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4786C9" w14:textId="11C76E67" w:rsidR="00765317" w:rsidRDefault="007B26F0">
      <w:pPr>
        <w:pStyle w:val="T1"/>
        <w:rPr>
          <w:rFonts w:eastAsiaTheme="minorEastAsia" w:cstheme="minorBidi"/>
          <w:b w:val="0"/>
          <w:bCs w:val="0"/>
          <w:noProof/>
          <w:sz w:val="24"/>
          <w:lang w:eastAsia="tr-TR" w:bidi="he-IL"/>
        </w:rPr>
      </w:pPr>
      <w:r w:rsidRPr="00F03A26">
        <w:rPr>
          <w:rFonts w:asciiTheme="majorBidi" w:hAnsiTheme="majorBidi" w:cstheme="majorBidi"/>
          <w:i/>
          <w:iCs/>
          <w:caps/>
          <w:color w:val="000000" w:themeColor="text1"/>
          <w:szCs w:val="28"/>
          <w:lang w:val="en-GB"/>
        </w:rPr>
        <w:fldChar w:fldCharType="begin"/>
      </w:r>
      <w:r w:rsidRPr="00F03A26">
        <w:rPr>
          <w:rFonts w:asciiTheme="majorBidi" w:hAnsiTheme="majorBidi" w:cstheme="majorBidi"/>
          <w:color w:val="000000" w:themeColor="text1"/>
          <w:lang w:val="en-GB"/>
        </w:rPr>
        <w:instrText xml:space="preserve"> TOC \o "1-3" \h \z \u </w:instrText>
      </w:r>
      <w:r w:rsidRPr="00F03A26">
        <w:rPr>
          <w:rFonts w:asciiTheme="majorBidi" w:hAnsiTheme="majorBidi" w:cstheme="majorBidi"/>
          <w:i/>
          <w:iCs/>
          <w:caps/>
          <w:color w:val="000000" w:themeColor="text1"/>
          <w:szCs w:val="28"/>
          <w:lang w:val="en-GB"/>
        </w:rPr>
        <w:fldChar w:fldCharType="separate"/>
      </w:r>
      <w:hyperlink w:anchor="_Toc173231176" w:history="1">
        <w:r w:rsidR="00765317" w:rsidRPr="00271A07">
          <w:rPr>
            <w:rStyle w:val="Kpr"/>
            <w:noProof/>
          </w:rPr>
          <w:t>Introduction</w:t>
        </w:r>
        <w:r w:rsidR="00765317">
          <w:rPr>
            <w:noProof/>
            <w:webHidden/>
          </w:rPr>
          <w:tab/>
        </w:r>
        <w:r w:rsidR="00765317">
          <w:rPr>
            <w:noProof/>
            <w:webHidden/>
          </w:rPr>
          <w:fldChar w:fldCharType="begin"/>
        </w:r>
        <w:r w:rsidR="00765317">
          <w:rPr>
            <w:noProof/>
            <w:webHidden/>
          </w:rPr>
          <w:instrText xml:space="preserve"> PAGEREF _Toc173231176 \h </w:instrText>
        </w:r>
        <w:r w:rsidR="00765317">
          <w:rPr>
            <w:noProof/>
            <w:webHidden/>
          </w:rPr>
        </w:r>
        <w:r w:rsidR="00765317">
          <w:rPr>
            <w:noProof/>
            <w:webHidden/>
          </w:rPr>
          <w:fldChar w:fldCharType="separate"/>
        </w:r>
        <w:r w:rsidR="00765317">
          <w:rPr>
            <w:noProof/>
            <w:webHidden/>
          </w:rPr>
          <w:t>5</w:t>
        </w:r>
        <w:r w:rsidR="00765317">
          <w:rPr>
            <w:noProof/>
            <w:webHidden/>
          </w:rPr>
          <w:fldChar w:fldCharType="end"/>
        </w:r>
      </w:hyperlink>
    </w:p>
    <w:p w14:paraId="0B0A81D9" w14:textId="413EF551" w:rsidR="00765317" w:rsidRDefault="00765317">
      <w:pPr>
        <w:pStyle w:val="T1"/>
        <w:rPr>
          <w:rFonts w:eastAsiaTheme="minorEastAsia" w:cstheme="minorBidi"/>
          <w:b w:val="0"/>
          <w:bCs w:val="0"/>
          <w:noProof/>
          <w:sz w:val="24"/>
          <w:lang w:eastAsia="tr-TR" w:bidi="he-IL"/>
        </w:rPr>
      </w:pPr>
      <w:hyperlink w:anchor="_Toc173231177" w:history="1">
        <w:r w:rsidRPr="00271A07">
          <w:rPr>
            <w:rStyle w:val="Kpr"/>
            <w:noProof/>
          </w:rPr>
          <w:t>CHAPTER I</w:t>
        </w:r>
        <w:r>
          <w:rPr>
            <w:noProof/>
            <w:webHidden/>
          </w:rPr>
          <w:tab/>
        </w:r>
        <w:r>
          <w:rPr>
            <w:noProof/>
            <w:webHidden/>
          </w:rPr>
          <w:fldChar w:fldCharType="begin"/>
        </w:r>
        <w:r>
          <w:rPr>
            <w:noProof/>
            <w:webHidden/>
          </w:rPr>
          <w:instrText xml:space="preserve"> PAGEREF _Toc173231177 \h </w:instrText>
        </w:r>
        <w:r>
          <w:rPr>
            <w:noProof/>
            <w:webHidden/>
          </w:rPr>
        </w:r>
        <w:r>
          <w:rPr>
            <w:noProof/>
            <w:webHidden/>
          </w:rPr>
          <w:fldChar w:fldCharType="separate"/>
        </w:r>
        <w:r>
          <w:rPr>
            <w:noProof/>
            <w:webHidden/>
          </w:rPr>
          <w:t>14</w:t>
        </w:r>
        <w:r>
          <w:rPr>
            <w:noProof/>
            <w:webHidden/>
          </w:rPr>
          <w:fldChar w:fldCharType="end"/>
        </w:r>
      </w:hyperlink>
    </w:p>
    <w:p w14:paraId="2D24177B" w14:textId="2A8A416A" w:rsidR="00765317" w:rsidRDefault="00765317">
      <w:pPr>
        <w:pStyle w:val="T1"/>
        <w:rPr>
          <w:rFonts w:eastAsiaTheme="minorEastAsia" w:cstheme="minorBidi"/>
          <w:b w:val="0"/>
          <w:bCs w:val="0"/>
          <w:noProof/>
          <w:sz w:val="24"/>
          <w:lang w:eastAsia="tr-TR" w:bidi="he-IL"/>
        </w:rPr>
      </w:pPr>
      <w:hyperlink w:anchor="_Toc173231178" w:history="1">
        <w:r w:rsidRPr="00271A07">
          <w:rPr>
            <w:rStyle w:val="Kpr"/>
            <w:noProof/>
          </w:rPr>
          <w:t>1-Ṭušpa From Dream to Reality: Pilgrims, Travelers, and Early Research</w:t>
        </w:r>
        <w:r>
          <w:rPr>
            <w:noProof/>
            <w:webHidden/>
          </w:rPr>
          <w:tab/>
        </w:r>
        <w:r>
          <w:rPr>
            <w:noProof/>
            <w:webHidden/>
          </w:rPr>
          <w:fldChar w:fldCharType="begin"/>
        </w:r>
        <w:r>
          <w:rPr>
            <w:noProof/>
            <w:webHidden/>
          </w:rPr>
          <w:instrText xml:space="preserve"> PAGEREF _Toc173231178 \h </w:instrText>
        </w:r>
        <w:r>
          <w:rPr>
            <w:noProof/>
            <w:webHidden/>
          </w:rPr>
        </w:r>
        <w:r>
          <w:rPr>
            <w:noProof/>
            <w:webHidden/>
          </w:rPr>
          <w:fldChar w:fldCharType="separate"/>
        </w:r>
        <w:r>
          <w:rPr>
            <w:noProof/>
            <w:webHidden/>
          </w:rPr>
          <w:t>14</w:t>
        </w:r>
        <w:r>
          <w:rPr>
            <w:noProof/>
            <w:webHidden/>
          </w:rPr>
          <w:fldChar w:fldCharType="end"/>
        </w:r>
      </w:hyperlink>
    </w:p>
    <w:p w14:paraId="5CA5A59F" w14:textId="790A2D79" w:rsidR="00765317" w:rsidRDefault="00765317">
      <w:pPr>
        <w:pStyle w:val="T2"/>
        <w:rPr>
          <w:rFonts w:eastAsiaTheme="minorEastAsia" w:cstheme="minorBidi"/>
          <w:i w:val="0"/>
          <w:iCs w:val="0"/>
          <w:noProof/>
          <w:sz w:val="24"/>
          <w:lang w:eastAsia="tr-TR" w:bidi="he-IL"/>
        </w:rPr>
      </w:pPr>
      <w:hyperlink w:anchor="_Toc173231179" w:history="1">
        <w:r w:rsidRPr="00271A07">
          <w:rPr>
            <w:rStyle w:val="Kpr"/>
            <w:rFonts w:asciiTheme="majorBidi" w:hAnsiTheme="majorBidi"/>
            <w:b/>
            <w:bCs/>
            <w:noProof/>
            <w:kern w:val="0"/>
            <w:lang w:val="en-US"/>
            <w14:ligatures w14:val="none"/>
          </w:rPr>
          <w:t>1.1. Introduction</w:t>
        </w:r>
        <w:r>
          <w:rPr>
            <w:noProof/>
            <w:webHidden/>
          </w:rPr>
          <w:tab/>
        </w:r>
        <w:r>
          <w:rPr>
            <w:noProof/>
            <w:webHidden/>
          </w:rPr>
          <w:fldChar w:fldCharType="begin"/>
        </w:r>
        <w:r>
          <w:rPr>
            <w:noProof/>
            <w:webHidden/>
          </w:rPr>
          <w:instrText xml:space="preserve"> PAGEREF _Toc173231179 \h </w:instrText>
        </w:r>
        <w:r>
          <w:rPr>
            <w:noProof/>
            <w:webHidden/>
          </w:rPr>
        </w:r>
        <w:r>
          <w:rPr>
            <w:noProof/>
            <w:webHidden/>
          </w:rPr>
          <w:fldChar w:fldCharType="separate"/>
        </w:r>
        <w:r>
          <w:rPr>
            <w:noProof/>
            <w:webHidden/>
          </w:rPr>
          <w:t>14</w:t>
        </w:r>
        <w:r>
          <w:rPr>
            <w:noProof/>
            <w:webHidden/>
          </w:rPr>
          <w:fldChar w:fldCharType="end"/>
        </w:r>
      </w:hyperlink>
    </w:p>
    <w:p w14:paraId="59CF99BB" w14:textId="77D9778F" w:rsidR="00765317" w:rsidRDefault="00765317">
      <w:pPr>
        <w:pStyle w:val="T2"/>
        <w:rPr>
          <w:rFonts w:eastAsiaTheme="minorEastAsia" w:cstheme="minorBidi"/>
          <w:i w:val="0"/>
          <w:iCs w:val="0"/>
          <w:noProof/>
          <w:sz w:val="24"/>
          <w:lang w:eastAsia="tr-TR" w:bidi="he-IL"/>
        </w:rPr>
      </w:pPr>
      <w:hyperlink w:anchor="_Toc173231180" w:history="1">
        <w:r w:rsidRPr="00271A07">
          <w:rPr>
            <w:rStyle w:val="Kpr"/>
            <w:rFonts w:asciiTheme="majorBidi" w:hAnsiTheme="majorBidi"/>
            <w:b/>
            <w:noProof/>
            <w:lang w:val="en-GB"/>
          </w:rPr>
          <w:t>1.2. Travellers, and Early Research</w:t>
        </w:r>
        <w:r>
          <w:rPr>
            <w:noProof/>
            <w:webHidden/>
          </w:rPr>
          <w:tab/>
        </w:r>
        <w:r>
          <w:rPr>
            <w:noProof/>
            <w:webHidden/>
          </w:rPr>
          <w:fldChar w:fldCharType="begin"/>
        </w:r>
        <w:r>
          <w:rPr>
            <w:noProof/>
            <w:webHidden/>
          </w:rPr>
          <w:instrText xml:space="preserve"> PAGEREF _Toc173231180 \h </w:instrText>
        </w:r>
        <w:r>
          <w:rPr>
            <w:noProof/>
            <w:webHidden/>
          </w:rPr>
        </w:r>
        <w:r>
          <w:rPr>
            <w:noProof/>
            <w:webHidden/>
          </w:rPr>
          <w:fldChar w:fldCharType="separate"/>
        </w:r>
        <w:r>
          <w:rPr>
            <w:noProof/>
            <w:webHidden/>
          </w:rPr>
          <w:t>15</w:t>
        </w:r>
        <w:r>
          <w:rPr>
            <w:noProof/>
            <w:webHidden/>
          </w:rPr>
          <w:fldChar w:fldCharType="end"/>
        </w:r>
      </w:hyperlink>
    </w:p>
    <w:p w14:paraId="0C497407" w14:textId="2BBE8786" w:rsidR="00765317" w:rsidRDefault="00765317">
      <w:pPr>
        <w:pStyle w:val="T2"/>
        <w:rPr>
          <w:rFonts w:eastAsiaTheme="minorEastAsia" w:cstheme="minorBidi"/>
          <w:i w:val="0"/>
          <w:iCs w:val="0"/>
          <w:noProof/>
          <w:sz w:val="24"/>
          <w:lang w:eastAsia="tr-TR" w:bidi="he-IL"/>
        </w:rPr>
      </w:pPr>
      <w:hyperlink w:anchor="_Toc173231181" w:history="1">
        <w:r w:rsidRPr="00271A07">
          <w:rPr>
            <w:rStyle w:val="Kpr"/>
            <w:rFonts w:asciiTheme="majorBidi" w:hAnsiTheme="majorBidi"/>
            <w:b/>
            <w:bCs/>
            <w:noProof/>
            <w:lang w:val="en-GB"/>
          </w:rPr>
          <w:t>1.3. First Excavations in Ṭušpa</w:t>
        </w:r>
        <w:r>
          <w:rPr>
            <w:noProof/>
            <w:webHidden/>
          </w:rPr>
          <w:tab/>
        </w:r>
        <w:r>
          <w:rPr>
            <w:noProof/>
            <w:webHidden/>
          </w:rPr>
          <w:fldChar w:fldCharType="begin"/>
        </w:r>
        <w:r>
          <w:rPr>
            <w:noProof/>
            <w:webHidden/>
          </w:rPr>
          <w:instrText xml:space="preserve"> PAGEREF _Toc173231181 \h </w:instrText>
        </w:r>
        <w:r>
          <w:rPr>
            <w:noProof/>
            <w:webHidden/>
          </w:rPr>
        </w:r>
        <w:r>
          <w:rPr>
            <w:noProof/>
            <w:webHidden/>
          </w:rPr>
          <w:fldChar w:fldCharType="separate"/>
        </w:r>
        <w:r>
          <w:rPr>
            <w:noProof/>
            <w:webHidden/>
          </w:rPr>
          <w:t>36</w:t>
        </w:r>
        <w:r>
          <w:rPr>
            <w:noProof/>
            <w:webHidden/>
          </w:rPr>
          <w:fldChar w:fldCharType="end"/>
        </w:r>
      </w:hyperlink>
    </w:p>
    <w:p w14:paraId="78F4E2E4" w14:textId="66F08472" w:rsidR="00765317" w:rsidRDefault="00765317">
      <w:pPr>
        <w:pStyle w:val="T2"/>
        <w:rPr>
          <w:rFonts w:eastAsiaTheme="minorEastAsia" w:cstheme="minorBidi"/>
          <w:i w:val="0"/>
          <w:iCs w:val="0"/>
          <w:noProof/>
          <w:sz w:val="24"/>
          <w:lang w:eastAsia="tr-TR" w:bidi="he-IL"/>
        </w:rPr>
      </w:pPr>
      <w:hyperlink w:anchor="_Toc173231182" w:history="1">
        <w:r w:rsidRPr="00271A07">
          <w:rPr>
            <w:rStyle w:val="Kpr"/>
            <w:rFonts w:asciiTheme="majorBidi" w:hAnsiTheme="majorBidi"/>
            <w:b/>
            <w:bCs/>
            <w:noProof/>
            <w:lang w:val="en-GB"/>
          </w:rPr>
          <w:t>1.4. Conclusion</w:t>
        </w:r>
        <w:r>
          <w:rPr>
            <w:noProof/>
            <w:webHidden/>
          </w:rPr>
          <w:tab/>
        </w:r>
        <w:r>
          <w:rPr>
            <w:noProof/>
            <w:webHidden/>
          </w:rPr>
          <w:fldChar w:fldCharType="begin"/>
        </w:r>
        <w:r>
          <w:rPr>
            <w:noProof/>
            <w:webHidden/>
          </w:rPr>
          <w:instrText xml:space="preserve"> PAGEREF _Toc173231182 \h </w:instrText>
        </w:r>
        <w:r>
          <w:rPr>
            <w:noProof/>
            <w:webHidden/>
          </w:rPr>
        </w:r>
        <w:r>
          <w:rPr>
            <w:noProof/>
            <w:webHidden/>
          </w:rPr>
          <w:fldChar w:fldCharType="separate"/>
        </w:r>
        <w:r>
          <w:rPr>
            <w:noProof/>
            <w:webHidden/>
          </w:rPr>
          <w:t>43</w:t>
        </w:r>
        <w:r>
          <w:rPr>
            <w:noProof/>
            <w:webHidden/>
          </w:rPr>
          <w:fldChar w:fldCharType="end"/>
        </w:r>
      </w:hyperlink>
    </w:p>
    <w:p w14:paraId="65B1476D" w14:textId="37D384A7" w:rsidR="00765317" w:rsidRDefault="00765317">
      <w:pPr>
        <w:pStyle w:val="T1"/>
        <w:rPr>
          <w:rFonts w:eastAsiaTheme="minorEastAsia" w:cstheme="minorBidi"/>
          <w:b w:val="0"/>
          <w:bCs w:val="0"/>
          <w:noProof/>
          <w:sz w:val="24"/>
          <w:lang w:eastAsia="tr-TR" w:bidi="he-IL"/>
        </w:rPr>
      </w:pPr>
      <w:hyperlink w:anchor="_Toc173231183" w:history="1">
        <w:r w:rsidRPr="00271A07">
          <w:rPr>
            <w:rStyle w:val="Kpr"/>
            <w:noProof/>
          </w:rPr>
          <w:t>CHAPTER II</w:t>
        </w:r>
        <w:r>
          <w:rPr>
            <w:noProof/>
            <w:webHidden/>
          </w:rPr>
          <w:tab/>
        </w:r>
        <w:r>
          <w:rPr>
            <w:noProof/>
            <w:webHidden/>
          </w:rPr>
          <w:fldChar w:fldCharType="begin"/>
        </w:r>
        <w:r>
          <w:rPr>
            <w:noProof/>
            <w:webHidden/>
          </w:rPr>
          <w:instrText xml:space="preserve"> PAGEREF _Toc173231183 \h </w:instrText>
        </w:r>
        <w:r>
          <w:rPr>
            <w:noProof/>
            <w:webHidden/>
          </w:rPr>
        </w:r>
        <w:r>
          <w:rPr>
            <w:noProof/>
            <w:webHidden/>
          </w:rPr>
          <w:fldChar w:fldCharType="separate"/>
        </w:r>
        <w:r>
          <w:rPr>
            <w:noProof/>
            <w:webHidden/>
          </w:rPr>
          <w:t>45</w:t>
        </w:r>
        <w:r>
          <w:rPr>
            <w:noProof/>
            <w:webHidden/>
          </w:rPr>
          <w:fldChar w:fldCharType="end"/>
        </w:r>
      </w:hyperlink>
    </w:p>
    <w:p w14:paraId="5D0E1183" w14:textId="73F77391" w:rsidR="00765317" w:rsidRDefault="00765317">
      <w:pPr>
        <w:pStyle w:val="T1"/>
        <w:rPr>
          <w:rFonts w:eastAsiaTheme="minorEastAsia" w:cstheme="minorBidi"/>
          <w:b w:val="0"/>
          <w:bCs w:val="0"/>
          <w:noProof/>
          <w:sz w:val="24"/>
          <w:lang w:eastAsia="tr-TR" w:bidi="he-IL"/>
        </w:rPr>
      </w:pPr>
      <w:hyperlink w:anchor="_Toc173231184" w:history="1">
        <w:r w:rsidRPr="00271A07">
          <w:rPr>
            <w:rStyle w:val="Kpr"/>
            <w:rFonts w:asciiTheme="majorBidi" w:eastAsiaTheme="majorEastAsia" w:hAnsiTheme="majorBidi" w:cstheme="majorBidi"/>
            <w:noProof/>
            <w:lang w:val="en-GB"/>
          </w:rPr>
          <w:t>2-</w:t>
        </w:r>
        <w:r w:rsidRPr="00271A07">
          <w:rPr>
            <w:rStyle w:val="Kpr"/>
            <w:rFonts w:asciiTheme="majorBidi" w:eastAsiaTheme="majorEastAsia" w:hAnsiTheme="majorBidi" w:cstheme="majorBidi"/>
            <w:noProof/>
            <w:vertAlign w:val="superscript"/>
            <w:lang w:val="en-GB"/>
          </w:rPr>
          <w:t xml:space="preserve"> </w:t>
        </w:r>
        <w:r w:rsidRPr="00271A07">
          <w:rPr>
            <w:rStyle w:val="Kpr"/>
            <w:rFonts w:asciiTheme="majorBidi" w:eastAsiaTheme="majorEastAsia" w:hAnsiTheme="majorBidi" w:cstheme="majorBidi"/>
            <w:noProof/>
            <w:lang w:val="en-GB"/>
          </w:rPr>
          <w:t>Ṭušpa: From the Rock Outcrop to the Capital</w:t>
        </w:r>
        <w:r>
          <w:rPr>
            <w:noProof/>
            <w:webHidden/>
          </w:rPr>
          <w:tab/>
        </w:r>
        <w:r>
          <w:rPr>
            <w:noProof/>
            <w:webHidden/>
          </w:rPr>
          <w:fldChar w:fldCharType="begin"/>
        </w:r>
        <w:r>
          <w:rPr>
            <w:noProof/>
            <w:webHidden/>
          </w:rPr>
          <w:instrText xml:space="preserve"> PAGEREF _Toc173231184 \h </w:instrText>
        </w:r>
        <w:r>
          <w:rPr>
            <w:noProof/>
            <w:webHidden/>
          </w:rPr>
        </w:r>
        <w:r>
          <w:rPr>
            <w:noProof/>
            <w:webHidden/>
          </w:rPr>
          <w:fldChar w:fldCharType="separate"/>
        </w:r>
        <w:r>
          <w:rPr>
            <w:noProof/>
            <w:webHidden/>
          </w:rPr>
          <w:t>45</w:t>
        </w:r>
        <w:r>
          <w:rPr>
            <w:noProof/>
            <w:webHidden/>
          </w:rPr>
          <w:fldChar w:fldCharType="end"/>
        </w:r>
      </w:hyperlink>
    </w:p>
    <w:p w14:paraId="7FC2C486" w14:textId="03F9E3AE" w:rsidR="00765317" w:rsidRDefault="00765317">
      <w:pPr>
        <w:pStyle w:val="T2"/>
        <w:rPr>
          <w:rFonts w:eastAsiaTheme="minorEastAsia" w:cstheme="minorBidi"/>
          <w:i w:val="0"/>
          <w:iCs w:val="0"/>
          <w:noProof/>
          <w:sz w:val="24"/>
          <w:lang w:eastAsia="tr-TR" w:bidi="he-IL"/>
        </w:rPr>
      </w:pPr>
      <w:hyperlink w:anchor="_Toc173231185" w:history="1">
        <w:r w:rsidRPr="00271A07">
          <w:rPr>
            <w:rStyle w:val="Kpr"/>
            <w:rFonts w:asciiTheme="majorBidi" w:eastAsia="Times New Roman" w:hAnsiTheme="majorBidi" w:cstheme="majorBidi"/>
            <w:b/>
            <w:noProof/>
            <w:lang w:val="en-GB"/>
          </w:rPr>
          <w:t>2.1. Introduction</w:t>
        </w:r>
        <w:r>
          <w:rPr>
            <w:noProof/>
            <w:webHidden/>
          </w:rPr>
          <w:tab/>
        </w:r>
        <w:r>
          <w:rPr>
            <w:noProof/>
            <w:webHidden/>
          </w:rPr>
          <w:fldChar w:fldCharType="begin"/>
        </w:r>
        <w:r>
          <w:rPr>
            <w:noProof/>
            <w:webHidden/>
          </w:rPr>
          <w:instrText xml:space="preserve"> PAGEREF _Toc173231185 \h </w:instrText>
        </w:r>
        <w:r>
          <w:rPr>
            <w:noProof/>
            <w:webHidden/>
          </w:rPr>
        </w:r>
        <w:r>
          <w:rPr>
            <w:noProof/>
            <w:webHidden/>
          </w:rPr>
          <w:fldChar w:fldCharType="separate"/>
        </w:r>
        <w:r>
          <w:rPr>
            <w:noProof/>
            <w:webHidden/>
          </w:rPr>
          <w:t>45</w:t>
        </w:r>
        <w:r>
          <w:rPr>
            <w:noProof/>
            <w:webHidden/>
          </w:rPr>
          <w:fldChar w:fldCharType="end"/>
        </w:r>
      </w:hyperlink>
    </w:p>
    <w:p w14:paraId="6DFA4522" w14:textId="00BADF3E" w:rsidR="00765317" w:rsidRDefault="00765317">
      <w:pPr>
        <w:pStyle w:val="T2"/>
        <w:rPr>
          <w:rFonts w:eastAsiaTheme="minorEastAsia" w:cstheme="minorBidi"/>
          <w:i w:val="0"/>
          <w:iCs w:val="0"/>
          <w:noProof/>
          <w:sz w:val="24"/>
          <w:lang w:eastAsia="tr-TR" w:bidi="he-IL"/>
        </w:rPr>
      </w:pPr>
      <w:hyperlink w:anchor="_Toc173231186" w:history="1">
        <w:r w:rsidRPr="00271A07">
          <w:rPr>
            <w:rStyle w:val="Kpr"/>
            <w:rFonts w:asciiTheme="majorBidi" w:eastAsia="Arial" w:hAnsiTheme="majorBidi" w:cstheme="majorBidi"/>
            <w:b/>
            <w:noProof/>
            <w:lang w:val="en-GB" w:eastAsia="tr-TR"/>
          </w:rPr>
          <w:t>2.2. Ṭušpa during the Urartian Period: Declaration of the Kingdom in Ṭušpa and the reign of Sarduri I</w:t>
        </w:r>
        <w:r>
          <w:rPr>
            <w:noProof/>
            <w:webHidden/>
          </w:rPr>
          <w:tab/>
        </w:r>
        <w:r>
          <w:rPr>
            <w:noProof/>
            <w:webHidden/>
          </w:rPr>
          <w:fldChar w:fldCharType="begin"/>
        </w:r>
        <w:r>
          <w:rPr>
            <w:noProof/>
            <w:webHidden/>
          </w:rPr>
          <w:instrText xml:space="preserve"> PAGEREF _Toc173231186 \h </w:instrText>
        </w:r>
        <w:r>
          <w:rPr>
            <w:noProof/>
            <w:webHidden/>
          </w:rPr>
        </w:r>
        <w:r>
          <w:rPr>
            <w:noProof/>
            <w:webHidden/>
          </w:rPr>
          <w:fldChar w:fldCharType="separate"/>
        </w:r>
        <w:r>
          <w:rPr>
            <w:noProof/>
            <w:webHidden/>
          </w:rPr>
          <w:t>48</w:t>
        </w:r>
        <w:r>
          <w:rPr>
            <w:noProof/>
            <w:webHidden/>
          </w:rPr>
          <w:fldChar w:fldCharType="end"/>
        </w:r>
      </w:hyperlink>
    </w:p>
    <w:p w14:paraId="353B1E51" w14:textId="102E3C2F" w:rsidR="00765317" w:rsidRDefault="00765317">
      <w:pPr>
        <w:pStyle w:val="T2"/>
        <w:rPr>
          <w:rFonts w:eastAsiaTheme="minorEastAsia" w:cstheme="minorBidi"/>
          <w:i w:val="0"/>
          <w:iCs w:val="0"/>
          <w:noProof/>
          <w:sz w:val="24"/>
          <w:lang w:eastAsia="tr-TR" w:bidi="he-IL"/>
        </w:rPr>
      </w:pPr>
      <w:hyperlink w:anchor="_Toc173231187" w:history="1">
        <w:r w:rsidRPr="00271A07">
          <w:rPr>
            <w:rStyle w:val="Kpr"/>
            <w:rFonts w:asciiTheme="majorBidi" w:eastAsia="Arial" w:hAnsiTheme="majorBidi" w:cstheme="majorBidi"/>
            <w:b/>
            <w:noProof/>
            <w:lang w:val="en-GB" w:eastAsia="tr-TR"/>
          </w:rPr>
          <w:t>2.3. New Period in Ṭušpa: Išpuini and the Lower City</w:t>
        </w:r>
        <w:r>
          <w:rPr>
            <w:noProof/>
            <w:webHidden/>
          </w:rPr>
          <w:tab/>
        </w:r>
        <w:r>
          <w:rPr>
            <w:noProof/>
            <w:webHidden/>
          </w:rPr>
          <w:fldChar w:fldCharType="begin"/>
        </w:r>
        <w:r>
          <w:rPr>
            <w:noProof/>
            <w:webHidden/>
          </w:rPr>
          <w:instrText xml:space="preserve"> PAGEREF _Toc173231187 \h </w:instrText>
        </w:r>
        <w:r>
          <w:rPr>
            <w:noProof/>
            <w:webHidden/>
          </w:rPr>
        </w:r>
        <w:r>
          <w:rPr>
            <w:noProof/>
            <w:webHidden/>
          </w:rPr>
          <w:fldChar w:fldCharType="separate"/>
        </w:r>
        <w:r>
          <w:rPr>
            <w:noProof/>
            <w:webHidden/>
          </w:rPr>
          <w:t>49</w:t>
        </w:r>
        <w:r>
          <w:rPr>
            <w:noProof/>
            <w:webHidden/>
          </w:rPr>
          <w:fldChar w:fldCharType="end"/>
        </w:r>
      </w:hyperlink>
    </w:p>
    <w:p w14:paraId="3806D1BB" w14:textId="133D0543" w:rsidR="00765317" w:rsidRDefault="00765317">
      <w:pPr>
        <w:pStyle w:val="T2"/>
        <w:rPr>
          <w:rFonts w:eastAsiaTheme="minorEastAsia" w:cstheme="minorBidi"/>
          <w:i w:val="0"/>
          <w:iCs w:val="0"/>
          <w:noProof/>
          <w:sz w:val="24"/>
          <w:lang w:eastAsia="tr-TR" w:bidi="he-IL"/>
        </w:rPr>
      </w:pPr>
      <w:hyperlink w:anchor="_Toc173231188" w:history="1">
        <w:r w:rsidRPr="00271A07">
          <w:rPr>
            <w:rStyle w:val="Kpr"/>
            <w:rFonts w:asciiTheme="majorBidi" w:eastAsia="Arial" w:hAnsiTheme="majorBidi" w:cstheme="majorBidi"/>
            <w:b/>
            <w:noProof/>
            <w:lang w:val="en-GB" w:eastAsia="tr-TR"/>
          </w:rPr>
          <w:t>2.4. First Indication of Ṭušpa in the Urartian Inscriptions: The co-regency of Išpuini and his Son Minua</w:t>
        </w:r>
        <w:r>
          <w:rPr>
            <w:noProof/>
            <w:webHidden/>
          </w:rPr>
          <w:tab/>
        </w:r>
        <w:r>
          <w:rPr>
            <w:noProof/>
            <w:webHidden/>
          </w:rPr>
          <w:fldChar w:fldCharType="begin"/>
        </w:r>
        <w:r>
          <w:rPr>
            <w:noProof/>
            <w:webHidden/>
          </w:rPr>
          <w:instrText xml:space="preserve"> PAGEREF _Toc173231188 \h </w:instrText>
        </w:r>
        <w:r>
          <w:rPr>
            <w:noProof/>
            <w:webHidden/>
          </w:rPr>
        </w:r>
        <w:r>
          <w:rPr>
            <w:noProof/>
            <w:webHidden/>
          </w:rPr>
          <w:fldChar w:fldCharType="separate"/>
        </w:r>
        <w:r>
          <w:rPr>
            <w:noProof/>
            <w:webHidden/>
          </w:rPr>
          <w:t>51</w:t>
        </w:r>
        <w:r>
          <w:rPr>
            <w:noProof/>
            <w:webHidden/>
          </w:rPr>
          <w:fldChar w:fldCharType="end"/>
        </w:r>
      </w:hyperlink>
    </w:p>
    <w:p w14:paraId="78A8D7A2" w14:textId="28036003" w:rsidR="00765317" w:rsidRDefault="00765317">
      <w:pPr>
        <w:pStyle w:val="T2"/>
        <w:rPr>
          <w:rFonts w:eastAsiaTheme="minorEastAsia" w:cstheme="minorBidi"/>
          <w:i w:val="0"/>
          <w:iCs w:val="0"/>
          <w:noProof/>
          <w:sz w:val="24"/>
          <w:lang w:eastAsia="tr-TR" w:bidi="he-IL"/>
        </w:rPr>
      </w:pPr>
      <w:hyperlink w:anchor="_Toc173231189" w:history="1">
        <w:r w:rsidRPr="00271A07">
          <w:rPr>
            <w:rStyle w:val="Kpr"/>
            <w:rFonts w:asciiTheme="majorBidi" w:eastAsia="Arial" w:hAnsiTheme="majorBidi" w:cstheme="majorBidi"/>
            <w:b/>
            <w:noProof/>
            <w:lang w:val="en-GB" w:eastAsia="tr-TR"/>
          </w:rPr>
          <w:t>2.5. Designation of the Ṭušpa Rock as the Citadel and the Reign of Minua</w:t>
        </w:r>
        <w:r>
          <w:rPr>
            <w:noProof/>
            <w:webHidden/>
          </w:rPr>
          <w:tab/>
        </w:r>
        <w:r>
          <w:rPr>
            <w:noProof/>
            <w:webHidden/>
          </w:rPr>
          <w:fldChar w:fldCharType="begin"/>
        </w:r>
        <w:r>
          <w:rPr>
            <w:noProof/>
            <w:webHidden/>
          </w:rPr>
          <w:instrText xml:space="preserve"> PAGEREF _Toc173231189 \h </w:instrText>
        </w:r>
        <w:r>
          <w:rPr>
            <w:noProof/>
            <w:webHidden/>
          </w:rPr>
        </w:r>
        <w:r>
          <w:rPr>
            <w:noProof/>
            <w:webHidden/>
          </w:rPr>
          <w:fldChar w:fldCharType="separate"/>
        </w:r>
        <w:r>
          <w:rPr>
            <w:noProof/>
            <w:webHidden/>
          </w:rPr>
          <w:t>53</w:t>
        </w:r>
        <w:r>
          <w:rPr>
            <w:noProof/>
            <w:webHidden/>
          </w:rPr>
          <w:fldChar w:fldCharType="end"/>
        </w:r>
      </w:hyperlink>
    </w:p>
    <w:p w14:paraId="006566DA" w14:textId="1234D0D6" w:rsidR="00765317" w:rsidRDefault="00765317">
      <w:pPr>
        <w:pStyle w:val="T2"/>
        <w:rPr>
          <w:rFonts w:eastAsiaTheme="minorEastAsia" w:cstheme="minorBidi"/>
          <w:i w:val="0"/>
          <w:iCs w:val="0"/>
          <w:noProof/>
          <w:sz w:val="24"/>
          <w:lang w:eastAsia="tr-TR" w:bidi="he-IL"/>
        </w:rPr>
      </w:pPr>
      <w:hyperlink w:anchor="_Toc173231190" w:history="1">
        <w:r w:rsidRPr="00271A07">
          <w:rPr>
            <w:rStyle w:val="Kpr"/>
            <w:rFonts w:asciiTheme="majorBidi" w:eastAsia="Arial" w:hAnsiTheme="majorBidi" w:cstheme="majorBidi"/>
            <w:b/>
            <w:bCs/>
            <w:noProof/>
            <w:lang w:val="en-GB" w:eastAsia="tr-TR"/>
          </w:rPr>
          <w:t>2.6. Grand Monuments at the Ṭušpa Fortress: The Reigns of Argišti I and his son Sarduri II</w:t>
        </w:r>
        <w:r>
          <w:rPr>
            <w:noProof/>
            <w:webHidden/>
          </w:rPr>
          <w:tab/>
        </w:r>
        <w:r>
          <w:rPr>
            <w:noProof/>
            <w:webHidden/>
          </w:rPr>
          <w:fldChar w:fldCharType="begin"/>
        </w:r>
        <w:r>
          <w:rPr>
            <w:noProof/>
            <w:webHidden/>
          </w:rPr>
          <w:instrText xml:space="preserve"> PAGEREF _Toc173231190 \h </w:instrText>
        </w:r>
        <w:r>
          <w:rPr>
            <w:noProof/>
            <w:webHidden/>
          </w:rPr>
        </w:r>
        <w:r>
          <w:rPr>
            <w:noProof/>
            <w:webHidden/>
          </w:rPr>
          <w:fldChar w:fldCharType="separate"/>
        </w:r>
        <w:r>
          <w:rPr>
            <w:noProof/>
            <w:webHidden/>
          </w:rPr>
          <w:t>58</w:t>
        </w:r>
        <w:r>
          <w:rPr>
            <w:noProof/>
            <w:webHidden/>
          </w:rPr>
          <w:fldChar w:fldCharType="end"/>
        </w:r>
      </w:hyperlink>
    </w:p>
    <w:p w14:paraId="4D277C8E" w14:textId="6FE7FC59" w:rsidR="00765317" w:rsidRDefault="00765317">
      <w:pPr>
        <w:pStyle w:val="T2"/>
        <w:rPr>
          <w:rFonts w:eastAsiaTheme="minorEastAsia" w:cstheme="minorBidi"/>
          <w:i w:val="0"/>
          <w:iCs w:val="0"/>
          <w:noProof/>
          <w:sz w:val="24"/>
          <w:lang w:eastAsia="tr-TR" w:bidi="he-IL"/>
        </w:rPr>
      </w:pPr>
      <w:hyperlink w:anchor="_Toc173231191" w:history="1">
        <w:r w:rsidRPr="00271A07">
          <w:rPr>
            <w:rStyle w:val="Kpr"/>
            <w:rFonts w:asciiTheme="majorBidi" w:eastAsia="Arial" w:hAnsiTheme="majorBidi" w:cstheme="majorBidi"/>
            <w:b/>
            <w:bCs/>
            <w:noProof/>
            <w:lang w:val="en-GB" w:eastAsia="tr-TR"/>
          </w:rPr>
          <w:t xml:space="preserve">2.7. Dark periods in Ṭušpa: Rusa I, Argišti II, </w:t>
        </w:r>
        <w:r w:rsidRPr="00271A07">
          <w:rPr>
            <w:rStyle w:val="Kpr"/>
            <w:rFonts w:asciiTheme="majorBidi" w:eastAsia="Calibri" w:hAnsiTheme="majorBidi" w:cstheme="majorBidi"/>
            <w:b/>
            <w:bCs/>
            <w:noProof/>
            <w:lang w:val="en-GB"/>
          </w:rPr>
          <w:t>Melarṭua</w:t>
        </w:r>
        <w:r w:rsidRPr="00271A07">
          <w:rPr>
            <w:rStyle w:val="Kpr"/>
            <w:rFonts w:asciiTheme="majorBidi" w:eastAsia="Arial" w:hAnsiTheme="majorBidi" w:cstheme="majorBidi"/>
            <w:b/>
            <w:bCs/>
            <w:noProof/>
            <w:lang w:val="en-GB" w:eastAsia="tr-TR"/>
          </w:rPr>
          <w:t xml:space="preserve">? Erimena? and </w:t>
        </w:r>
        <w:r w:rsidRPr="00271A07">
          <w:rPr>
            <w:rStyle w:val="Kpr"/>
            <w:rFonts w:asciiTheme="majorBidi" w:eastAsia="Calibri" w:hAnsiTheme="majorBidi" w:cstheme="majorBidi"/>
            <w:b/>
            <w:bCs/>
            <w:noProof/>
            <w:lang w:val="en-GB"/>
          </w:rPr>
          <w:t>Rusai Erimenaḫi?</w:t>
        </w:r>
        <w:r>
          <w:rPr>
            <w:noProof/>
            <w:webHidden/>
          </w:rPr>
          <w:tab/>
        </w:r>
        <w:r>
          <w:rPr>
            <w:noProof/>
            <w:webHidden/>
          </w:rPr>
          <w:fldChar w:fldCharType="begin"/>
        </w:r>
        <w:r>
          <w:rPr>
            <w:noProof/>
            <w:webHidden/>
          </w:rPr>
          <w:instrText xml:space="preserve"> PAGEREF _Toc173231191 \h </w:instrText>
        </w:r>
        <w:r>
          <w:rPr>
            <w:noProof/>
            <w:webHidden/>
          </w:rPr>
        </w:r>
        <w:r>
          <w:rPr>
            <w:noProof/>
            <w:webHidden/>
          </w:rPr>
          <w:fldChar w:fldCharType="separate"/>
        </w:r>
        <w:r>
          <w:rPr>
            <w:noProof/>
            <w:webHidden/>
          </w:rPr>
          <w:t>61</w:t>
        </w:r>
        <w:r>
          <w:rPr>
            <w:noProof/>
            <w:webHidden/>
          </w:rPr>
          <w:fldChar w:fldCharType="end"/>
        </w:r>
      </w:hyperlink>
    </w:p>
    <w:p w14:paraId="7EE238BD" w14:textId="2AC5CAE1" w:rsidR="00765317" w:rsidRDefault="00765317">
      <w:pPr>
        <w:pStyle w:val="T2"/>
        <w:rPr>
          <w:rFonts w:eastAsiaTheme="minorEastAsia" w:cstheme="minorBidi"/>
          <w:i w:val="0"/>
          <w:iCs w:val="0"/>
          <w:noProof/>
          <w:sz w:val="24"/>
          <w:lang w:eastAsia="tr-TR" w:bidi="he-IL"/>
        </w:rPr>
      </w:pPr>
      <w:hyperlink w:anchor="_Toc173231192" w:history="1">
        <w:r w:rsidRPr="00271A07">
          <w:rPr>
            <w:rStyle w:val="Kpr"/>
            <w:rFonts w:asciiTheme="majorBidi" w:eastAsia="Arial" w:hAnsiTheme="majorBidi" w:cstheme="majorBidi"/>
            <w:b/>
            <w:bCs/>
            <w:noProof/>
            <w:lang w:val="en-GB" w:eastAsia="tr-TR"/>
          </w:rPr>
          <w:t xml:space="preserve">2.8. Ṭušpa During the Last Bright Era of the Urartian Kingdom: </w:t>
        </w:r>
        <w:r w:rsidRPr="00271A07">
          <w:rPr>
            <w:rStyle w:val="Kpr"/>
            <w:rFonts w:asciiTheme="majorBidi" w:eastAsia="Calibri" w:hAnsiTheme="majorBidi" w:cstheme="majorBidi"/>
            <w:b/>
            <w:bCs/>
            <w:noProof/>
            <w:lang w:val="en-GB"/>
          </w:rPr>
          <w:t>Rusai Argištiḫi</w:t>
        </w:r>
        <w:r w:rsidRPr="00271A07">
          <w:rPr>
            <w:rStyle w:val="Kpr"/>
            <w:rFonts w:asciiTheme="majorBidi" w:eastAsia="Arial" w:hAnsiTheme="majorBidi" w:cstheme="majorBidi"/>
            <w:b/>
            <w:bCs/>
            <w:noProof/>
            <w:lang w:val="en-GB" w:eastAsia="tr-TR"/>
          </w:rPr>
          <w:t xml:space="preserve"> and Sarduri IV</w:t>
        </w:r>
        <w:r>
          <w:rPr>
            <w:noProof/>
            <w:webHidden/>
          </w:rPr>
          <w:tab/>
        </w:r>
        <w:r>
          <w:rPr>
            <w:noProof/>
            <w:webHidden/>
          </w:rPr>
          <w:fldChar w:fldCharType="begin"/>
        </w:r>
        <w:r>
          <w:rPr>
            <w:noProof/>
            <w:webHidden/>
          </w:rPr>
          <w:instrText xml:space="preserve"> PAGEREF _Toc173231192 \h </w:instrText>
        </w:r>
        <w:r>
          <w:rPr>
            <w:noProof/>
            <w:webHidden/>
          </w:rPr>
        </w:r>
        <w:r>
          <w:rPr>
            <w:noProof/>
            <w:webHidden/>
          </w:rPr>
          <w:fldChar w:fldCharType="separate"/>
        </w:r>
        <w:r>
          <w:rPr>
            <w:noProof/>
            <w:webHidden/>
          </w:rPr>
          <w:t>66</w:t>
        </w:r>
        <w:r>
          <w:rPr>
            <w:noProof/>
            <w:webHidden/>
          </w:rPr>
          <w:fldChar w:fldCharType="end"/>
        </w:r>
      </w:hyperlink>
    </w:p>
    <w:p w14:paraId="47A79B21" w14:textId="0D6B3C4D" w:rsidR="00765317" w:rsidRDefault="00765317">
      <w:pPr>
        <w:pStyle w:val="T2"/>
        <w:rPr>
          <w:rFonts w:eastAsiaTheme="minorEastAsia" w:cstheme="minorBidi"/>
          <w:i w:val="0"/>
          <w:iCs w:val="0"/>
          <w:noProof/>
          <w:sz w:val="24"/>
          <w:lang w:eastAsia="tr-TR" w:bidi="he-IL"/>
        </w:rPr>
      </w:pPr>
      <w:hyperlink w:anchor="_Toc173231193" w:history="1">
        <w:r w:rsidRPr="00271A07">
          <w:rPr>
            <w:rStyle w:val="Kpr"/>
            <w:rFonts w:asciiTheme="majorBidi" w:eastAsia="Times New Roman" w:hAnsiTheme="majorBidi" w:cstheme="majorBidi"/>
            <w:b/>
            <w:bCs/>
            <w:noProof/>
            <w:lang w:val="en-GB"/>
          </w:rPr>
          <w:t>2.9. Conclusion</w:t>
        </w:r>
        <w:r>
          <w:rPr>
            <w:noProof/>
            <w:webHidden/>
          </w:rPr>
          <w:tab/>
        </w:r>
        <w:r>
          <w:rPr>
            <w:noProof/>
            <w:webHidden/>
          </w:rPr>
          <w:fldChar w:fldCharType="begin"/>
        </w:r>
        <w:r>
          <w:rPr>
            <w:noProof/>
            <w:webHidden/>
          </w:rPr>
          <w:instrText xml:space="preserve"> PAGEREF _Toc173231193 \h </w:instrText>
        </w:r>
        <w:r>
          <w:rPr>
            <w:noProof/>
            <w:webHidden/>
          </w:rPr>
        </w:r>
        <w:r>
          <w:rPr>
            <w:noProof/>
            <w:webHidden/>
          </w:rPr>
          <w:fldChar w:fldCharType="separate"/>
        </w:r>
        <w:r>
          <w:rPr>
            <w:noProof/>
            <w:webHidden/>
          </w:rPr>
          <w:t>70</w:t>
        </w:r>
        <w:r>
          <w:rPr>
            <w:noProof/>
            <w:webHidden/>
          </w:rPr>
          <w:fldChar w:fldCharType="end"/>
        </w:r>
      </w:hyperlink>
    </w:p>
    <w:p w14:paraId="03F70D32" w14:textId="6BB2E87A" w:rsidR="00765317" w:rsidRDefault="00765317">
      <w:pPr>
        <w:pStyle w:val="T1"/>
        <w:rPr>
          <w:rFonts w:eastAsiaTheme="minorEastAsia" w:cstheme="minorBidi"/>
          <w:b w:val="0"/>
          <w:bCs w:val="0"/>
          <w:noProof/>
          <w:sz w:val="24"/>
          <w:lang w:eastAsia="tr-TR" w:bidi="he-IL"/>
        </w:rPr>
      </w:pPr>
      <w:hyperlink w:anchor="_Toc173231194" w:history="1">
        <w:r w:rsidRPr="00271A07">
          <w:rPr>
            <w:rStyle w:val="Kpr"/>
            <w:rFonts w:eastAsia="Times New Roman"/>
            <w:noProof/>
          </w:rPr>
          <w:t>CHAPTER III</w:t>
        </w:r>
        <w:r>
          <w:rPr>
            <w:noProof/>
            <w:webHidden/>
          </w:rPr>
          <w:tab/>
        </w:r>
        <w:r>
          <w:rPr>
            <w:noProof/>
            <w:webHidden/>
          </w:rPr>
          <w:fldChar w:fldCharType="begin"/>
        </w:r>
        <w:r>
          <w:rPr>
            <w:noProof/>
            <w:webHidden/>
          </w:rPr>
          <w:instrText xml:space="preserve"> PAGEREF _Toc173231194 \h </w:instrText>
        </w:r>
        <w:r>
          <w:rPr>
            <w:noProof/>
            <w:webHidden/>
          </w:rPr>
        </w:r>
        <w:r>
          <w:rPr>
            <w:noProof/>
            <w:webHidden/>
          </w:rPr>
          <w:fldChar w:fldCharType="separate"/>
        </w:r>
        <w:r>
          <w:rPr>
            <w:noProof/>
            <w:webHidden/>
          </w:rPr>
          <w:t>73</w:t>
        </w:r>
        <w:r>
          <w:rPr>
            <w:noProof/>
            <w:webHidden/>
          </w:rPr>
          <w:fldChar w:fldCharType="end"/>
        </w:r>
      </w:hyperlink>
    </w:p>
    <w:p w14:paraId="37C1E03A" w14:textId="6E850597" w:rsidR="00765317" w:rsidRDefault="00765317">
      <w:pPr>
        <w:pStyle w:val="T1"/>
        <w:rPr>
          <w:rFonts w:eastAsiaTheme="minorEastAsia" w:cstheme="minorBidi"/>
          <w:b w:val="0"/>
          <w:bCs w:val="0"/>
          <w:noProof/>
          <w:sz w:val="24"/>
          <w:lang w:eastAsia="tr-TR" w:bidi="he-IL"/>
        </w:rPr>
      </w:pPr>
      <w:hyperlink w:anchor="_Toc173231195" w:history="1">
        <w:r w:rsidRPr="00271A07">
          <w:rPr>
            <w:rStyle w:val="Kpr"/>
            <w:rFonts w:asciiTheme="majorBidi" w:eastAsia="Times New Roman" w:hAnsiTheme="majorBidi" w:cstheme="majorBidi"/>
            <w:noProof/>
            <w:lang w:val="en-GB"/>
          </w:rPr>
          <w:t>3-Historical Topography of the Van Fortress</w:t>
        </w:r>
        <w:r>
          <w:rPr>
            <w:noProof/>
            <w:webHidden/>
          </w:rPr>
          <w:tab/>
        </w:r>
        <w:r>
          <w:rPr>
            <w:noProof/>
            <w:webHidden/>
          </w:rPr>
          <w:fldChar w:fldCharType="begin"/>
        </w:r>
        <w:r>
          <w:rPr>
            <w:noProof/>
            <w:webHidden/>
          </w:rPr>
          <w:instrText xml:space="preserve"> PAGEREF _Toc173231195 \h </w:instrText>
        </w:r>
        <w:r>
          <w:rPr>
            <w:noProof/>
            <w:webHidden/>
          </w:rPr>
        </w:r>
        <w:r>
          <w:rPr>
            <w:noProof/>
            <w:webHidden/>
          </w:rPr>
          <w:fldChar w:fldCharType="separate"/>
        </w:r>
        <w:r>
          <w:rPr>
            <w:noProof/>
            <w:webHidden/>
          </w:rPr>
          <w:t>73</w:t>
        </w:r>
        <w:r>
          <w:rPr>
            <w:noProof/>
            <w:webHidden/>
          </w:rPr>
          <w:fldChar w:fldCharType="end"/>
        </w:r>
      </w:hyperlink>
    </w:p>
    <w:p w14:paraId="23C3D93A" w14:textId="5EC1D80C" w:rsidR="00765317" w:rsidRDefault="00765317">
      <w:pPr>
        <w:pStyle w:val="T2"/>
        <w:rPr>
          <w:rFonts w:eastAsiaTheme="minorEastAsia" w:cstheme="minorBidi"/>
          <w:i w:val="0"/>
          <w:iCs w:val="0"/>
          <w:noProof/>
          <w:sz w:val="24"/>
          <w:lang w:eastAsia="tr-TR" w:bidi="he-IL"/>
        </w:rPr>
      </w:pPr>
      <w:hyperlink w:anchor="_Toc173231196" w:history="1">
        <w:r w:rsidRPr="00271A07">
          <w:rPr>
            <w:rStyle w:val="Kpr"/>
            <w:rFonts w:asciiTheme="majorBidi" w:eastAsia="Times New Roman" w:hAnsiTheme="majorBidi" w:cstheme="majorBidi"/>
            <w:b/>
            <w:bCs/>
            <w:noProof/>
            <w:lang w:val="en-GB"/>
          </w:rPr>
          <w:t>3.1. Introduction</w:t>
        </w:r>
        <w:r>
          <w:rPr>
            <w:noProof/>
            <w:webHidden/>
          </w:rPr>
          <w:tab/>
        </w:r>
        <w:r>
          <w:rPr>
            <w:noProof/>
            <w:webHidden/>
          </w:rPr>
          <w:fldChar w:fldCharType="begin"/>
        </w:r>
        <w:r>
          <w:rPr>
            <w:noProof/>
            <w:webHidden/>
          </w:rPr>
          <w:instrText xml:space="preserve"> PAGEREF _Toc173231196 \h </w:instrText>
        </w:r>
        <w:r>
          <w:rPr>
            <w:noProof/>
            <w:webHidden/>
          </w:rPr>
        </w:r>
        <w:r>
          <w:rPr>
            <w:noProof/>
            <w:webHidden/>
          </w:rPr>
          <w:fldChar w:fldCharType="separate"/>
        </w:r>
        <w:r>
          <w:rPr>
            <w:noProof/>
            <w:webHidden/>
          </w:rPr>
          <w:t>73</w:t>
        </w:r>
        <w:r>
          <w:rPr>
            <w:noProof/>
            <w:webHidden/>
          </w:rPr>
          <w:fldChar w:fldCharType="end"/>
        </w:r>
      </w:hyperlink>
    </w:p>
    <w:p w14:paraId="2B715CD7" w14:textId="6004FC8A" w:rsidR="00765317" w:rsidRDefault="00765317">
      <w:pPr>
        <w:pStyle w:val="T2"/>
        <w:rPr>
          <w:rFonts w:eastAsiaTheme="minorEastAsia" w:cstheme="minorBidi"/>
          <w:i w:val="0"/>
          <w:iCs w:val="0"/>
          <w:noProof/>
          <w:sz w:val="24"/>
          <w:lang w:eastAsia="tr-TR" w:bidi="he-IL"/>
        </w:rPr>
      </w:pPr>
      <w:hyperlink w:anchor="_Toc173231197" w:history="1">
        <w:r w:rsidRPr="00271A07">
          <w:rPr>
            <w:rStyle w:val="Kpr"/>
            <w:rFonts w:asciiTheme="majorBidi" w:eastAsia="Times New Roman" w:hAnsiTheme="majorBidi" w:cstheme="majorBidi"/>
            <w:b/>
            <w:bCs/>
            <w:noProof/>
            <w:lang w:val="en-GB"/>
          </w:rPr>
          <w:t>3.2. Inscriptions and Structures</w:t>
        </w:r>
        <w:r>
          <w:rPr>
            <w:noProof/>
            <w:webHidden/>
          </w:rPr>
          <w:tab/>
        </w:r>
        <w:r>
          <w:rPr>
            <w:noProof/>
            <w:webHidden/>
          </w:rPr>
          <w:fldChar w:fldCharType="begin"/>
        </w:r>
        <w:r>
          <w:rPr>
            <w:noProof/>
            <w:webHidden/>
          </w:rPr>
          <w:instrText xml:space="preserve"> PAGEREF _Toc173231197 \h </w:instrText>
        </w:r>
        <w:r>
          <w:rPr>
            <w:noProof/>
            <w:webHidden/>
          </w:rPr>
        </w:r>
        <w:r>
          <w:rPr>
            <w:noProof/>
            <w:webHidden/>
          </w:rPr>
          <w:fldChar w:fldCharType="separate"/>
        </w:r>
        <w:r>
          <w:rPr>
            <w:noProof/>
            <w:webHidden/>
          </w:rPr>
          <w:t>80</w:t>
        </w:r>
        <w:r>
          <w:rPr>
            <w:noProof/>
            <w:webHidden/>
          </w:rPr>
          <w:fldChar w:fldCharType="end"/>
        </w:r>
      </w:hyperlink>
    </w:p>
    <w:p w14:paraId="3703649F" w14:textId="447B1877" w:rsidR="00765317" w:rsidRDefault="00765317">
      <w:pPr>
        <w:pStyle w:val="T2"/>
        <w:rPr>
          <w:rFonts w:eastAsiaTheme="minorEastAsia" w:cstheme="minorBidi"/>
          <w:i w:val="0"/>
          <w:iCs w:val="0"/>
          <w:noProof/>
          <w:sz w:val="24"/>
          <w:lang w:eastAsia="tr-TR" w:bidi="he-IL"/>
        </w:rPr>
      </w:pPr>
      <w:hyperlink w:anchor="_Toc173231198" w:history="1">
        <w:r w:rsidRPr="00271A07">
          <w:rPr>
            <w:rStyle w:val="Kpr"/>
            <w:rFonts w:asciiTheme="majorBidi" w:eastAsia="Times New Roman" w:hAnsiTheme="majorBidi" w:cstheme="majorBidi"/>
            <w:b/>
            <w:bCs/>
            <w:noProof/>
            <w:lang w:val="en-GB"/>
          </w:rPr>
          <w:t>3.3. Conclusion</w:t>
        </w:r>
        <w:r>
          <w:rPr>
            <w:noProof/>
            <w:webHidden/>
          </w:rPr>
          <w:tab/>
        </w:r>
        <w:r>
          <w:rPr>
            <w:noProof/>
            <w:webHidden/>
          </w:rPr>
          <w:fldChar w:fldCharType="begin"/>
        </w:r>
        <w:r>
          <w:rPr>
            <w:noProof/>
            <w:webHidden/>
          </w:rPr>
          <w:instrText xml:space="preserve"> PAGEREF _Toc173231198 \h </w:instrText>
        </w:r>
        <w:r>
          <w:rPr>
            <w:noProof/>
            <w:webHidden/>
          </w:rPr>
        </w:r>
        <w:r>
          <w:rPr>
            <w:noProof/>
            <w:webHidden/>
          </w:rPr>
          <w:fldChar w:fldCharType="separate"/>
        </w:r>
        <w:r>
          <w:rPr>
            <w:noProof/>
            <w:webHidden/>
          </w:rPr>
          <w:t>94</w:t>
        </w:r>
        <w:r>
          <w:rPr>
            <w:noProof/>
            <w:webHidden/>
          </w:rPr>
          <w:fldChar w:fldCharType="end"/>
        </w:r>
      </w:hyperlink>
    </w:p>
    <w:p w14:paraId="1837EA4D" w14:textId="1F683F5A" w:rsidR="00765317" w:rsidRDefault="00765317">
      <w:pPr>
        <w:pStyle w:val="T1"/>
        <w:rPr>
          <w:rFonts w:eastAsiaTheme="minorEastAsia" w:cstheme="minorBidi"/>
          <w:b w:val="0"/>
          <w:bCs w:val="0"/>
          <w:noProof/>
          <w:sz w:val="24"/>
          <w:lang w:eastAsia="tr-TR" w:bidi="he-IL"/>
        </w:rPr>
      </w:pPr>
      <w:hyperlink w:anchor="_Toc173231199" w:history="1">
        <w:r w:rsidRPr="00271A07">
          <w:rPr>
            <w:rStyle w:val="Kpr"/>
            <w:noProof/>
          </w:rPr>
          <w:t>CHAPTER IV</w:t>
        </w:r>
        <w:r>
          <w:rPr>
            <w:noProof/>
            <w:webHidden/>
          </w:rPr>
          <w:tab/>
        </w:r>
        <w:r>
          <w:rPr>
            <w:noProof/>
            <w:webHidden/>
          </w:rPr>
          <w:fldChar w:fldCharType="begin"/>
        </w:r>
        <w:r>
          <w:rPr>
            <w:noProof/>
            <w:webHidden/>
          </w:rPr>
          <w:instrText xml:space="preserve"> PAGEREF _Toc173231199 \h </w:instrText>
        </w:r>
        <w:r>
          <w:rPr>
            <w:noProof/>
            <w:webHidden/>
          </w:rPr>
        </w:r>
        <w:r>
          <w:rPr>
            <w:noProof/>
            <w:webHidden/>
          </w:rPr>
          <w:fldChar w:fldCharType="separate"/>
        </w:r>
        <w:r>
          <w:rPr>
            <w:noProof/>
            <w:webHidden/>
          </w:rPr>
          <w:t>98</w:t>
        </w:r>
        <w:r>
          <w:rPr>
            <w:noProof/>
            <w:webHidden/>
          </w:rPr>
          <w:fldChar w:fldCharType="end"/>
        </w:r>
      </w:hyperlink>
    </w:p>
    <w:p w14:paraId="34244AD7" w14:textId="6F7C2A2E" w:rsidR="00765317" w:rsidRDefault="00765317">
      <w:pPr>
        <w:pStyle w:val="T1"/>
        <w:rPr>
          <w:rFonts w:eastAsiaTheme="minorEastAsia" w:cstheme="minorBidi"/>
          <w:b w:val="0"/>
          <w:bCs w:val="0"/>
          <w:noProof/>
          <w:sz w:val="24"/>
          <w:lang w:eastAsia="tr-TR" w:bidi="he-IL"/>
        </w:rPr>
      </w:pPr>
      <w:hyperlink w:anchor="_Toc173231200" w:history="1">
        <w:r w:rsidRPr="00271A07">
          <w:rPr>
            <w:rStyle w:val="Kpr"/>
            <w:rFonts w:eastAsia="Times New Roman"/>
            <w:noProof/>
            <w:lang w:eastAsia="it-IT"/>
          </w:rPr>
          <w:t xml:space="preserve">IV-The written documents of </w:t>
        </w:r>
        <w:r w:rsidRPr="00271A07">
          <w:rPr>
            <w:rStyle w:val="Kpr"/>
            <w:rFonts w:eastAsia="Times New Roman"/>
            <w:iCs/>
            <w:noProof/>
            <w:lang w:eastAsia="it-IT"/>
          </w:rPr>
          <w:t>Ṭušpa</w:t>
        </w:r>
        <w:r w:rsidRPr="00271A07">
          <w:rPr>
            <w:rStyle w:val="Kpr"/>
            <w:rFonts w:eastAsia="Times New Roman"/>
            <w:noProof/>
            <w:lang w:eastAsia="it-IT"/>
          </w:rPr>
          <w:t xml:space="preserve">, the capital of Urartu </w:t>
        </w:r>
        <w:r w:rsidRPr="00271A07">
          <w:rPr>
            <w:rStyle w:val="Kpr"/>
            <w:rFonts w:eastAsia="Times New Roman"/>
            <w:noProof/>
            <w:vertAlign w:val="superscript"/>
            <w:lang w:eastAsia="it-IT"/>
          </w:rPr>
          <w:t>*</w:t>
        </w:r>
        <w:r>
          <w:rPr>
            <w:noProof/>
            <w:webHidden/>
          </w:rPr>
          <w:tab/>
        </w:r>
        <w:r>
          <w:rPr>
            <w:noProof/>
            <w:webHidden/>
          </w:rPr>
          <w:fldChar w:fldCharType="begin"/>
        </w:r>
        <w:r>
          <w:rPr>
            <w:noProof/>
            <w:webHidden/>
          </w:rPr>
          <w:instrText xml:space="preserve"> PAGEREF _Toc173231200 \h </w:instrText>
        </w:r>
        <w:r>
          <w:rPr>
            <w:noProof/>
            <w:webHidden/>
          </w:rPr>
        </w:r>
        <w:r>
          <w:rPr>
            <w:noProof/>
            <w:webHidden/>
          </w:rPr>
          <w:fldChar w:fldCharType="separate"/>
        </w:r>
        <w:r>
          <w:rPr>
            <w:noProof/>
            <w:webHidden/>
          </w:rPr>
          <w:t>98</w:t>
        </w:r>
        <w:r>
          <w:rPr>
            <w:noProof/>
            <w:webHidden/>
          </w:rPr>
          <w:fldChar w:fldCharType="end"/>
        </w:r>
      </w:hyperlink>
    </w:p>
    <w:p w14:paraId="6F57DCCA" w14:textId="7D6DC37E" w:rsidR="00765317" w:rsidRDefault="00765317">
      <w:pPr>
        <w:pStyle w:val="T2"/>
        <w:rPr>
          <w:rFonts w:eastAsiaTheme="minorEastAsia" w:cstheme="minorBidi"/>
          <w:i w:val="0"/>
          <w:iCs w:val="0"/>
          <w:noProof/>
          <w:sz w:val="24"/>
          <w:lang w:eastAsia="tr-TR" w:bidi="he-IL"/>
        </w:rPr>
      </w:pPr>
      <w:hyperlink w:anchor="_Toc173231201" w:history="1">
        <w:r w:rsidRPr="00271A07">
          <w:rPr>
            <w:rStyle w:val="Kpr"/>
            <w:rFonts w:ascii="Times New Roman" w:hAnsi="Times New Roman"/>
            <w:b/>
            <w:bCs/>
            <w:noProof/>
          </w:rPr>
          <w:t>4.1. Introduction</w:t>
        </w:r>
        <w:r>
          <w:rPr>
            <w:noProof/>
            <w:webHidden/>
          </w:rPr>
          <w:tab/>
        </w:r>
        <w:r>
          <w:rPr>
            <w:noProof/>
            <w:webHidden/>
          </w:rPr>
          <w:fldChar w:fldCharType="begin"/>
        </w:r>
        <w:r>
          <w:rPr>
            <w:noProof/>
            <w:webHidden/>
          </w:rPr>
          <w:instrText xml:space="preserve"> PAGEREF _Toc173231201 \h </w:instrText>
        </w:r>
        <w:r>
          <w:rPr>
            <w:noProof/>
            <w:webHidden/>
          </w:rPr>
        </w:r>
        <w:r>
          <w:rPr>
            <w:noProof/>
            <w:webHidden/>
          </w:rPr>
          <w:fldChar w:fldCharType="separate"/>
        </w:r>
        <w:r>
          <w:rPr>
            <w:noProof/>
            <w:webHidden/>
          </w:rPr>
          <w:t>98</w:t>
        </w:r>
        <w:r>
          <w:rPr>
            <w:noProof/>
            <w:webHidden/>
          </w:rPr>
          <w:fldChar w:fldCharType="end"/>
        </w:r>
      </w:hyperlink>
    </w:p>
    <w:p w14:paraId="18BE248D" w14:textId="7451113A" w:rsidR="00765317" w:rsidRDefault="00765317">
      <w:pPr>
        <w:pStyle w:val="T2"/>
        <w:rPr>
          <w:rFonts w:eastAsiaTheme="minorEastAsia" w:cstheme="minorBidi"/>
          <w:i w:val="0"/>
          <w:iCs w:val="0"/>
          <w:noProof/>
          <w:sz w:val="24"/>
          <w:lang w:eastAsia="tr-TR" w:bidi="he-IL"/>
        </w:rPr>
      </w:pPr>
      <w:hyperlink w:anchor="_Toc173231202" w:history="1">
        <w:r w:rsidRPr="00271A07">
          <w:rPr>
            <w:rStyle w:val="Kpr"/>
            <w:rFonts w:ascii="Times New Roman" w:hAnsi="Times New Roman"/>
            <w:b/>
            <w:noProof/>
            <w:lang w:val="en-GB"/>
          </w:rPr>
          <w:t xml:space="preserve">4.2. </w:t>
        </w:r>
        <w:r w:rsidRPr="00271A07">
          <w:rPr>
            <w:rStyle w:val="Kpr"/>
            <w:rFonts w:ascii="Times New Roman" w:eastAsia="Times New Roman" w:hAnsi="Times New Roman" w:cs="Times New Roman"/>
            <w:b/>
            <w:bCs/>
            <w:noProof/>
            <w:lang w:val="en-GB" w:eastAsia="it-IT"/>
          </w:rPr>
          <w:t>Van Fortress’s</w:t>
        </w:r>
        <w:r w:rsidRPr="00271A07">
          <w:rPr>
            <w:rStyle w:val="Kpr"/>
            <w:rFonts w:ascii="Times New Roman" w:hAnsi="Times New Roman"/>
            <w:b/>
            <w:noProof/>
            <w:lang w:val="en-GB"/>
          </w:rPr>
          <w:t xml:space="preserve"> Royal Inscriptions. A review the Texts</w:t>
        </w:r>
        <w:r>
          <w:rPr>
            <w:noProof/>
            <w:webHidden/>
          </w:rPr>
          <w:tab/>
        </w:r>
        <w:r>
          <w:rPr>
            <w:noProof/>
            <w:webHidden/>
          </w:rPr>
          <w:fldChar w:fldCharType="begin"/>
        </w:r>
        <w:r>
          <w:rPr>
            <w:noProof/>
            <w:webHidden/>
          </w:rPr>
          <w:instrText xml:space="preserve"> PAGEREF _Toc173231202 \h </w:instrText>
        </w:r>
        <w:r>
          <w:rPr>
            <w:noProof/>
            <w:webHidden/>
          </w:rPr>
        </w:r>
        <w:r>
          <w:rPr>
            <w:noProof/>
            <w:webHidden/>
          </w:rPr>
          <w:fldChar w:fldCharType="separate"/>
        </w:r>
        <w:r>
          <w:rPr>
            <w:noProof/>
            <w:webHidden/>
          </w:rPr>
          <w:t>105</w:t>
        </w:r>
        <w:r>
          <w:rPr>
            <w:noProof/>
            <w:webHidden/>
          </w:rPr>
          <w:fldChar w:fldCharType="end"/>
        </w:r>
      </w:hyperlink>
    </w:p>
    <w:p w14:paraId="518CEFBE" w14:textId="66765142" w:rsidR="00765317" w:rsidRDefault="00765317">
      <w:pPr>
        <w:pStyle w:val="T3"/>
        <w:tabs>
          <w:tab w:val="right" w:leader="dot" w:pos="9019"/>
        </w:tabs>
        <w:rPr>
          <w:rFonts w:eastAsiaTheme="minorEastAsia" w:cstheme="minorBidi"/>
          <w:noProof/>
          <w:sz w:val="24"/>
          <w:lang w:eastAsia="tr-TR" w:bidi="he-IL"/>
        </w:rPr>
      </w:pPr>
      <w:hyperlink w:anchor="_Toc173231203" w:history="1">
        <w:r w:rsidRPr="00271A07">
          <w:rPr>
            <w:rStyle w:val="Kpr"/>
            <w:rFonts w:ascii="Times New Roman" w:hAnsi="Times New Roman"/>
            <w:b/>
            <w:noProof/>
            <w:lang w:val="en-GB"/>
          </w:rPr>
          <w:t>4.2.1. Inscriptions of Sarduri I, son of Lutibri:</w:t>
        </w:r>
        <w:r>
          <w:rPr>
            <w:noProof/>
            <w:webHidden/>
          </w:rPr>
          <w:tab/>
        </w:r>
        <w:r>
          <w:rPr>
            <w:noProof/>
            <w:webHidden/>
          </w:rPr>
          <w:fldChar w:fldCharType="begin"/>
        </w:r>
        <w:r>
          <w:rPr>
            <w:noProof/>
            <w:webHidden/>
          </w:rPr>
          <w:instrText xml:space="preserve"> PAGEREF _Toc173231203 \h </w:instrText>
        </w:r>
        <w:r>
          <w:rPr>
            <w:noProof/>
            <w:webHidden/>
          </w:rPr>
        </w:r>
        <w:r>
          <w:rPr>
            <w:noProof/>
            <w:webHidden/>
          </w:rPr>
          <w:fldChar w:fldCharType="separate"/>
        </w:r>
        <w:r>
          <w:rPr>
            <w:noProof/>
            <w:webHidden/>
          </w:rPr>
          <w:t>105</w:t>
        </w:r>
        <w:r>
          <w:rPr>
            <w:noProof/>
            <w:webHidden/>
          </w:rPr>
          <w:fldChar w:fldCharType="end"/>
        </w:r>
      </w:hyperlink>
    </w:p>
    <w:p w14:paraId="26D6208B" w14:textId="36DF320D" w:rsidR="00765317" w:rsidRDefault="00765317">
      <w:pPr>
        <w:pStyle w:val="T3"/>
        <w:tabs>
          <w:tab w:val="right" w:leader="dot" w:pos="9019"/>
        </w:tabs>
        <w:rPr>
          <w:rFonts w:eastAsiaTheme="minorEastAsia" w:cstheme="minorBidi"/>
          <w:noProof/>
          <w:sz w:val="24"/>
          <w:lang w:eastAsia="tr-TR" w:bidi="he-IL"/>
        </w:rPr>
      </w:pPr>
      <w:hyperlink w:anchor="_Toc173231204" w:history="1">
        <w:r w:rsidRPr="00271A07">
          <w:rPr>
            <w:rStyle w:val="Kpr"/>
            <w:rFonts w:ascii="Times New Roman" w:hAnsi="Times New Roman"/>
            <w:b/>
            <w:noProof/>
            <w:lang w:val="en-GB"/>
          </w:rPr>
          <w:t>4.2.2. Texts of Išpuini, son of Sarduri 4.2.2.1. Cylindrical Inscription (CTU I. A 2-11)</w:t>
        </w:r>
        <w:r>
          <w:rPr>
            <w:noProof/>
            <w:webHidden/>
          </w:rPr>
          <w:tab/>
        </w:r>
        <w:r>
          <w:rPr>
            <w:noProof/>
            <w:webHidden/>
          </w:rPr>
          <w:fldChar w:fldCharType="begin"/>
        </w:r>
        <w:r>
          <w:rPr>
            <w:noProof/>
            <w:webHidden/>
          </w:rPr>
          <w:instrText xml:space="preserve"> PAGEREF _Toc173231204 \h </w:instrText>
        </w:r>
        <w:r>
          <w:rPr>
            <w:noProof/>
            <w:webHidden/>
          </w:rPr>
        </w:r>
        <w:r>
          <w:rPr>
            <w:noProof/>
            <w:webHidden/>
          </w:rPr>
          <w:fldChar w:fldCharType="separate"/>
        </w:r>
        <w:r>
          <w:rPr>
            <w:noProof/>
            <w:webHidden/>
          </w:rPr>
          <w:t>113</w:t>
        </w:r>
        <w:r>
          <w:rPr>
            <w:noProof/>
            <w:webHidden/>
          </w:rPr>
          <w:fldChar w:fldCharType="end"/>
        </w:r>
      </w:hyperlink>
    </w:p>
    <w:p w14:paraId="7FAB4A23" w14:textId="3A00D933" w:rsidR="00765317" w:rsidRDefault="00765317">
      <w:pPr>
        <w:pStyle w:val="T3"/>
        <w:tabs>
          <w:tab w:val="right" w:leader="dot" w:pos="9019"/>
        </w:tabs>
        <w:rPr>
          <w:rFonts w:eastAsiaTheme="minorEastAsia" w:cstheme="minorBidi"/>
          <w:noProof/>
          <w:sz w:val="24"/>
          <w:lang w:eastAsia="tr-TR" w:bidi="he-IL"/>
        </w:rPr>
      </w:pPr>
      <w:hyperlink w:anchor="_Toc173231205" w:history="1">
        <w:r w:rsidRPr="00271A07">
          <w:rPr>
            <w:rStyle w:val="Kpr"/>
            <w:rFonts w:ascii="Times New Roman" w:hAnsi="Times New Roman"/>
            <w:b/>
            <w:noProof/>
            <w:lang w:val="en-GB"/>
          </w:rPr>
          <w:t>4.2.3. Texts of Minua, son of Išpuini</w:t>
        </w:r>
        <w:r>
          <w:rPr>
            <w:noProof/>
            <w:webHidden/>
          </w:rPr>
          <w:tab/>
        </w:r>
        <w:r>
          <w:rPr>
            <w:noProof/>
            <w:webHidden/>
          </w:rPr>
          <w:fldChar w:fldCharType="begin"/>
        </w:r>
        <w:r>
          <w:rPr>
            <w:noProof/>
            <w:webHidden/>
          </w:rPr>
          <w:instrText xml:space="preserve"> PAGEREF _Toc173231205 \h </w:instrText>
        </w:r>
        <w:r>
          <w:rPr>
            <w:noProof/>
            <w:webHidden/>
          </w:rPr>
        </w:r>
        <w:r>
          <w:rPr>
            <w:noProof/>
            <w:webHidden/>
          </w:rPr>
          <w:fldChar w:fldCharType="separate"/>
        </w:r>
        <w:r>
          <w:rPr>
            <w:noProof/>
            <w:webHidden/>
          </w:rPr>
          <w:t>124</w:t>
        </w:r>
        <w:r>
          <w:rPr>
            <w:noProof/>
            <w:webHidden/>
          </w:rPr>
          <w:fldChar w:fldCharType="end"/>
        </w:r>
      </w:hyperlink>
    </w:p>
    <w:p w14:paraId="69481227" w14:textId="6F700CF3" w:rsidR="00765317" w:rsidRDefault="00765317">
      <w:pPr>
        <w:pStyle w:val="T3"/>
        <w:tabs>
          <w:tab w:val="right" w:leader="dot" w:pos="9019"/>
        </w:tabs>
        <w:rPr>
          <w:rFonts w:eastAsiaTheme="minorEastAsia" w:cstheme="minorBidi"/>
          <w:noProof/>
          <w:sz w:val="24"/>
          <w:lang w:eastAsia="tr-TR" w:bidi="he-IL"/>
        </w:rPr>
      </w:pPr>
      <w:hyperlink w:anchor="_Toc173231206" w:history="1">
        <w:r w:rsidRPr="00271A07">
          <w:rPr>
            <w:rStyle w:val="Kpr"/>
            <w:rFonts w:ascii="Times New Roman" w:hAnsi="Times New Roman"/>
            <w:b/>
            <w:noProof/>
            <w:lang w:val="en-GB"/>
          </w:rPr>
          <w:t>4.2.4. Texts of Argišti I, son of Minua</w:t>
        </w:r>
        <w:r>
          <w:rPr>
            <w:noProof/>
            <w:webHidden/>
          </w:rPr>
          <w:tab/>
        </w:r>
        <w:r>
          <w:rPr>
            <w:noProof/>
            <w:webHidden/>
          </w:rPr>
          <w:fldChar w:fldCharType="begin"/>
        </w:r>
        <w:r>
          <w:rPr>
            <w:noProof/>
            <w:webHidden/>
          </w:rPr>
          <w:instrText xml:space="preserve"> PAGEREF _Toc173231206 \h </w:instrText>
        </w:r>
        <w:r>
          <w:rPr>
            <w:noProof/>
            <w:webHidden/>
          </w:rPr>
        </w:r>
        <w:r>
          <w:rPr>
            <w:noProof/>
            <w:webHidden/>
          </w:rPr>
          <w:fldChar w:fldCharType="separate"/>
        </w:r>
        <w:r>
          <w:rPr>
            <w:noProof/>
            <w:webHidden/>
          </w:rPr>
          <w:t>146</w:t>
        </w:r>
        <w:r>
          <w:rPr>
            <w:noProof/>
            <w:webHidden/>
          </w:rPr>
          <w:fldChar w:fldCharType="end"/>
        </w:r>
      </w:hyperlink>
    </w:p>
    <w:p w14:paraId="0CED6286" w14:textId="264DDFD0" w:rsidR="00765317" w:rsidRDefault="00765317">
      <w:pPr>
        <w:pStyle w:val="T3"/>
        <w:tabs>
          <w:tab w:val="right" w:leader="dot" w:pos="9019"/>
        </w:tabs>
        <w:rPr>
          <w:rFonts w:eastAsiaTheme="minorEastAsia" w:cstheme="minorBidi"/>
          <w:noProof/>
          <w:sz w:val="24"/>
          <w:lang w:eastAsia="tr-TR" w:bidi="he-IL"/>
        </w:rPr>
      </w:pPr>
      <w:hyperlink w:anchor="_Toc173231207" w:history="1">
        <w:r w:rsidRPr="00271A07">
          <w:rPr>
            <w:rStyle w:val="Kpr"/>
            <w:rFonts w:ascii="Times New Roman" w:hAnsi="Times New Roman"/>
            <w:b/>
            <w:noProof/>
            <w:lang w:val="en-GB"/>
          </w:rPr>
          <w:t>4.2.5. The Annals of Sarduri II. (plan, No. 23).</w:t>
        </w:r>
        <w:r>
          <w:rPr>
            <w:noProof/>
            <w:webHidden/>
          </w:rPr>
          <w:tab/>
        </w:r>
        <w:r>
          <w:rPr>
            <w:noProof/>
            <w:webHidden/>
          </w:rPr>
          <w:fldChar w:fldCharType="begin"/>
        </w:r>
        <w:r>
          <w:rPr>
            <w:noProof/>
            <w:webHidden/>
          </w:rPr>
          <w:instrText xml:space="preserve"> PAGEREF _Toc173231207 \h </w:instrText>
        </w:r>
        <w:r>
          <w:rPr>
            <w:noProof/>
            <w:webHidden/>
          </w:rPr>
        </w:r>
        <w:r>
          <w:rPr>
            <w:noProof/>
            <w:webHidden/>
          </w:rPr>
          <w:fldChar w:fldCharType="separate"/>
        </w:r>
        <w:r>
          <w:rPr>
            <w:noProof/>
            <w:webHidden/>
          </w:rPr>
          <w:t>174</w:t>
        </w:r>
        <w:r>
          <w:rPr>
            <w:noProof/>
            <w:webHidden/>
          </w:rPr>
          <w:fldChar w:fldCharType="end"/>
        </w:r>
      </w:hyperlink>
    </w:p>
    <w:p w14:paraId="09E967EE" w14:textId="6E27AE7B" w:rsidR="00765317" w:rsidRDefault="00765317">
      <w:pPr>
        <w:pStyle w:val="T3"/>
        <w:tabs>
          <w:tab w:val="right" w:leader="dot" w:pos="9019"/>
        </w:tabs>
        <w:rPr>
          <w:rFonts w:eastAsiaTheme="minorEastAsia" w:cstheme="minorBidi"/>
          <w:noProof/>
          <w:sz w:val="24"/>
          <w:lang w:eastAsia="tr-TR" w:bidi="he-IL"/>
        </w:rPr>
      </w:pPr>
      <w:hyperlink w:anchor="_Toc173231208" w:history="1">
        <w:r w:rsidRPr="00271A07">
          <w:rPr>
            <w:rStyle w:val="Kpr"/>
            <w:rFonts w:ascii="Times New Roman" w:hAnsi="Times New Roman"/>
            <w:b/>
            <w:noProof/>
            <w:lang w:val="en-GB"/>
          </w:rPr>
          <w:t>4.2.6. Inscription of Achaemenid King Xerxes</w:t>
        </w:r>
        <w:r>
          <w:rPr>
            <w:noProof/>
            <w:webHidden/>
          </w:rPr>
          <w:tab/>
        </w:r>
        <w:r>
          <w:rPr>
            <w:noProof/>
            <w:webHidden/>
          </w:rPr>
          <w:fldChar w:fldCharType="begin"/>
        </w:r>
        <w:r>
          <w:rPr>
            <w:noProof/>
            <w:webHidden/>
          </w:rPr>
          <w:instrText xml:space="preserve"> PAGEREF _Toc173231208 \h </w:instrText>
        </w:r>
        <w:r>
          <w:rPr>
            <w:noProof/>
            <w:webHidden/>
          </w:rPr>
        </w:r>
        <w:r>
          <w:rPr>
            <w:noProof/>
            <w:webHidden/>
          </w:rPr>
          <w:fldChar w:fldCharType="separate"/>
        </w:r>
        <w:r>
          <w:rPr>
            <w:noProof/>
            <w:webHidden/>
          </w:rPr>
          <w:t>185</w:t>
        </w:r>
        <w:r>
          <w:rPr>
            <w:noProof/>
            <w:webHidden/>
          </w:rPr>
          <w:fldChar w:fldCharType="end"/>
        </w:r>
      </w:hyperlink>
    </w:p>
    <w:p w14:paraId="5A44C03E" w14:textId="0B839393" w:rsidR="00765317" w:rsidRDefault="00765317">
      <w:pPr>
        <w:pStyle w:val="T1"/>
        <w:rPr>
          <w:rFonts w:eastAsiaTheme="minorEastAsia" w:cstheme="minorBidi"/>
          <w:b w:val="0"/>
          <w:bCs w:val="0"/>
          <w:noProof/>
          <w:sz w:val="24"/>
          <w:lang w:eastAsia="tr-TR" w:bidi="he-IL"/>
        </w:rPr>
      </w:pPr>
      <w:hyperlink w:anchor="_Toc173231209" w:history="1">
        <w:r w:rsidRPr="00271A07">
          <w:rPr>
            <w:rStyle w:val="Kpr"/>
            <w:noProof/>
          </w:rPr>
          <w:t>CHAPTER V</w:t>
        </w:r>
        <w:r>
          <w:rPr>
            <w:noProof/>
            <w:webHidden/>
          </w:rPr>
          <w:tab/>
        </w:r>
        <w:r>
          <w:rPr>
            <w:noProof/>
            <w:webHidden/>
          </w:rPr>
          <w:fldChar w:fldCharType="begin"/>
        </w:r>
        <w:r>
          <w:rPr>
            <w:noProof/>
            <w:webHidden/>
          </w:rPr>
          <w:instrText xml:space="preserve"> PAGEREF _Toc173231209 \h </w:instrText>
        </w:r>
        <w:r>
          <w:rPr>
            <w:noProof/>
            <w:webHidden/>
          </w:rPr>
        </w:r>
        <w:r>
          <w:rPr>
            <w:noProof/>
            <w:webHidden/>
          </w:rPr>
          <w:fldChar w:fldCharType="separate"/>
        </w:r>
        <w:r>
          <w:rPr>
            <w:noProof/>
            <w:webHidden/>
          </w:rPr>
          <w:t>187</w:t>
        </w:r>
        <w:r>
          <w:rPr>
            <w:noProof/>
            <w:webHidden/>
          </w:rPr>
          <w:fldChar w:fldCharType="end"/>
        </w:r>
      </w:hyperlink>
    </w:p>
    <w:p w14:paraId="1A8FFFDD" w14:textId="34D8E678" w:rsidR="00765317" w:rsidRDefault="00765317">
      <w:pPr>
        <w:pStyle w:val="T2"/>
        <w:rPr>
          <w:rFonts w:eastAsiaTheme="minorEastAsia" w:cstheme="minorBidi"/>
          <w:i w:val="0"/>
          <w:iCs w:val="0"/>
          <w:noProof/>
          <w:sz w:val="24"/>
          <w:lang w:eastAsia="tr-TR" w:bidi="he-IL"/>
        </w:rPr>
      </w:pPr>
      <w:hyperlink w:anchor="_Toc173231210" w:history="1">
        <w:r w:rsidRPr="00271A07">
          <w:rPr>
            <w:rStyle w:val="Kpr"/>
            <w:rFonts w:asciiTheme="majorBidi" w:hAnsiTheme="majorBidi"/>
            <w:noProof/>
            <w:lang w:val="en-GB"/>
          </w:rPr>
          <w:t>5. The Earliest Royal Building of the Urartian Kingdom: Sardurburç</w:t>
        </w:r>
        <w:r>
          <w:rPr>
            <w:noProof/>
            <w:webHidden/>
          </w:rPr>
          <w:tab/>
        </w:r>
        <w:r>
          <w:rPr>
            <w:noProof/>
            <w:webHidden/>
          </w:rPr>
          <w:fldChar w:fldCharType="begin"/>
        </w:r>
        <w:r>
          <w:rPr>
            <w:noProof/>
            <w:webHidden/>
          </w:rPr>
          <w:instrText xml:space="preserve"> PAGEREF _Toc173231210 \h </w:instrText>
        </w:r>
        <w:r>
          <w:rPr>
            <w:noProof/>
            <w:webHidden/>
          </w:rPr>
        </w:r>
        <w:r>
          <w:rPr>
            <w:noProof/>
            <w:webHidden/>
          </w:rPr>
          <w:fldChar w:fldCharType="separate"/>
        </w:r>
        <w:r>
          <w:rPr>
            <w:noProof/>
            <w:webHidden/>
          </w:rPr>
          <w:t>187</w:t>
        </w:r>
        <w:r>
          <w:rPr>
            <w:noProof/>
            <w:webHidden/>
          </w:rPr>
          <w:fldChar w:fldCharType="end"/>
        </w:r>
      </w:hyperlink>
    </w:p>
    <w:p w14:paraId="215785FF" w14:textId="304BD58E" w:rsidR="00765317" w:rsidRDefault="00765317">
      <w:pPr>
        <w:pStyle w:val="T3"/>
        <w:tabs>
          <w:tab w:val="right" w:leader="dot" w:pos="9019"/>
        </w:tabs>
        <w:rPr>
          <w:rFonts w:eastAsiaTheme="minorEastAsia" w:cstheme="minorBidi"/>
          <w:noProof/>
          <w:sz w:val="24"/>
          <w:lang w:eastAsia="tr-TR" w:bidi="he-IL"/>
        </w:rPr>
      </w:pPr>
      <w:hyperlink w:anchor="_Toc173231211" w:history="1">
        <w:r w:rsidRPr="00271A07">
          <w:rPr>
            <w:rStyle w:val="Kpr"/>
            <w:rFonts w:ascii="Times New Roman" w:hAnsi="Times New Roman"/>
            <w:b/>
            <w:noProof/>
            <w:lang w:val="en-GB"/>
          </w:rPr>
          <w:t>5.1. Introduction</w:t>
        </w:r>
        <w:r>
          <w:rPr>
            <w:noProof/>
            <w:webHidden/>
          </w:rPr>
          <w:tab/>
        </w:r>
        <w:r>
          <w:rPr>
            <w:noProof/>
            <w:webHidden/>
          </w:rPr>
          <w:fldChar w:fldCharType="begin"/>
        </w:r>
        <w:r>
          <w:rPr>
            <w:noProof/>
            <w:webHidden/>
          </w:rPr>
          <w:instrText xml:space="preserve"> PAGEREF _Toc173231211 \h </w:instrText>
        </w:r>
        <w:r>
          <w:rPr>
            <w:noProof/>
            <w:webHidden/>
          </w:rPr>
        </w:r>
        <w:r>
          <w:rPr>
            <w:noProof/>
            <w:webHidden/>
          </w:rPr>
          <w:fldChar w:fldCharType="separate"/>
        </w:r>
        <w:r>
          <w:rPr>
            <w:noProof/>
            <w:webHidden/>
          </w:rPr>
          <w:t>188</w:t>
        </w:r>
        <w:r>
          <w:rPr>
            <w:noProof/>
            <w:webHidden/>
          </w:rPr>
          <w:fldChar w:fldCharType="end"/>
        </w:r>
      </w:hyperlink>
    </w:p>
    <w:p w14:paraId="35BC50C5" w14:textId="7D7BB226" w:rsidR="00765317" w:rsidRDefault="00765317">
      <w:pPr>
        <w:pStyle w:val="T3"/>
        <w:tabs>
          <w:tab w:val="right" w:leader="dot" w:pos="9019"/>
        </w:tabs>
        <w:rPr>
          <w:rFonts w:eastAsiaTheme="minorEastAsia" w:cstheme="minorBidi"/>
          <w:noProof/>
          <w:sz w:val="24"/>
          <w:lang w:eastAsia="tr-TR" w:bidi="he-IL"/>
        </w:rPr>
      </w:pPr>
      <w:hyperlink w:anchor="_Toc173231212" w:history="1">
        <w:r w:rsidRPr="00271A07">
          <w:rPr>
            <w:rStyle w:val="Kpr"/>
            <w:rFonts w:ascii="Times New Roman" w:hAnsi="Times New Roman"/>
            <w:b/>
            <w:noProof/>
            <w:lang w:val="en-GB"/>
          </w:rPr>
          <w:t>5.2. Inscriptions and Historical Assessments</w:t>
        </w:r>
        <w:r>
          <w:rPr>
            <w:noProof/>
            <w:webHidden/>
          </w:rPr>
          <w:tab/>
        </w:r>
        <w:r>
          <w:rPr>
            <w:noProof/>
            <w:webHidden/>
          </w:rPr>
          <w:fldChar w:fldCharType="begin"/>
        </w:r>
        <w:r>
          <w:rPr>
            <w:noProof/>
            <w:webHidden/>
          </w:rPr>
          <w:instrText xml:space="preserve"> PAGEREF _Toc173231212 \h </w:instrText>
        </w:r>
        <w:r>
          <w:rPr>
            <w:noProof/>
            <w:webHidden/>
          </w:rPr>
        </w:r>
        <w:r>
          <w:rPr>
            <w:noProof/>
            <w:webHidden/>
          </w:rPr>
          <w:fldChar w:fldCharType="separate"/>
        </w:r>
        <w:r>
          <w:rPr>
            <w:noProof/>
            <w:webHidden/>
          </w:rPr>
          <w:t>190</w:t>
        </w:r>
        <w:r>
          <w:rPr>
            <w:noProof/>
            <w:webHidden/>
          </w:rPr>
          <w:fldChar w:fldCharType="end"/>
        </w:r>
      </w:hyperlink>
    </w:p>
    <w:p w14:paraId="147353D6" w14:textId="12C2EECA" w:rsidR="00765317" w:rsidRDefault="00765317">
      <w:pPr>
        <w:pStyle w:val="T3"/>
        <w:tabs>
          <w:tab w:val="right" w:leader="dot" w:pos="9019"/>
        </w:tabs>
        <w:rPr>
          <w:rFonts w:eastAsiaTheme="minorEastAsia" w:cstheme="minorBidi"/>
          <w:noProof/>
          <w:sz w:val="24"/>
          <w:lang w:eastAsia="tr-TR" w:bidi="he-IL"/>
        </w:rPr>
      </w:pPr>
      <w:hyperlink w:anchor="_Toc173231213" w:history="1">
        <w:r w:rsidRPr="00271A07">
          <w:rPr>
            <w:rStyle w:val="Kpr"/>
            <w:rFonts w:ascii="Times New Roman" w:hAnsi="Times New Roman"/>
            <w:b/>
            <w:noProof/>
            <w:lang w:val="en-GB"/>
          </w:rPr>
          <w:t>5.3. Architectural Assessments</w:t>
        </w:r>
        <w:r>
          <w:rPr>
            <w:noProof/>
            <w:webHidden/>
          </w:rPr>
          <w:tab/>
        </w:r>
        <w:r>
          <w:rPr>
            <w:noProof/>
            <w:webHidden/>
          </w:rPr>
          <w:fldChar w:fldCharType="begin"/>
        </w:r>
        <w:r>
          <w:rPr>
            <w:noProof/>
            <w:webHidden/>
          </w:rPr>
          <w:instrText xml:space="preserve"> PAGEREF _Toc173231213 \h </w:instrText>
        </w:r>
        <w:r>
          <w:rPr>
            <w:noProof/>
            <w:webHidden/>
          </w:rPr>
        </w:r>
        <w:r>
          <w:rPr>
            <w:noProof/>
            <w:webHidden/>
          </w:rPr>
          <w:fldChar w:fldCharType="separate"/>
        </w:r>
        <w:r>
          <w:rPr>
            <w:noProof/>
            <w:webHidden/>
          </w:rPr>
          <w:t>201</w:t>
        </w:r>
        <w:r>
          <w:rPr>
            <w:noProof/>
            <w:webHidden/>
          </w:rPr>
          <w:fldChar w:fldCharType="end"/>
        </w:r>
      </w:hyperlink>
    </w:p>
    <w:p w14:paraId="2763EA0C" w14:textId="5FAD1AEA" w:rsidR="00765317" w:rsidRDefault="00765317">
      <w:pPr>
        <w:pStyle w:val="T3"/>
        <w:tabs>
          <w:tab w:val="right" w:leader="dot" w:pos="9019"/>
        </w:tabs>
        <w:rPr>
          <w:rFonts w:eastAsiaTheme="minorEastAsia" w:cstheme="minorBidi"/>
          <w:noProof/>
          <w:sz w:val="24"/>
          <w:lang w:eastAsia="tr-TR" w:bidi="he-IL"/>
        </w:rPr>
      </w:pPr>
      <w:hyperlink w:anchor="_Toc173231214" w:history="1">
        <w:r w:rsidRPr="00271A07">
          <w:rPr>
            <w:rStyle w:val="Kpr"/>
            <w:rFonts w:ascii="Times New Roman" w:hAnsi="Times New Roman"/>
            <w:b/>
            <w:noProof/>
            <w:lang w:val="en-GB"/>
          </w:rPr>
          <w:t>5.4. Conclusion</w:t>
        </w:r>
        <w:r>
          <w:rPr>
            <w:noProof/>
            <w:webHidden/>
          </w:rPr>
          <w:tab/>
        </w:r>
        <w:r>
          <w:rPr>
            <w:noProof/>
            <w:webHidden/>
          </w:rPr>
          <w:fldChar w:fldCharType="begin"/>
        </w:r>
        <w:r>
          <w:rPr>
            <w:noProof/>
            <w:webHidden/>
          </w:rPr>
          <w:instrText xml:space="preserve"> PAGEREF _Toc173231214 \h </w:instrText>
        </w:r>
        <w:r>
          <w:rPr>
            <w:noProof/>
            <w:webHidden/>
          </w:rPr>
        </w:r>
        <w:r>
          <w:rPr>
            <w:noProof/>
            <w:webHidden/>
          </w:rPr>
          <w:fldChar w:fldCharType="separate"/>
        </w:r>
        <w:r>
          <w:rPr>
            <w:noProof/>
            <w:webHidden/>
          </w:rPr>
          <w:t>216</w:t>
        </w:r>
        <w:r>
          <w:rPr>
            <w:noProof/>
            <w:webHidden/>
          </w:rPr>
          <w:fldChar w:fldCharType="end"/>
        </w:r>
      </w:hyperlink>
    </w:p>
    <w:p w14:paraId="3F1695C4" w14:textId="58EA8FC6" w:rsidR="00765317" w:rsidRDefault="00765317">
      <w:pPr>
        <w:pStyle w:val="T1"/>
        <w:rPr>
          <w:rFonts w:eastAsiaTheme="minorEastAsia" w:cstheme="minorBidi"/>
          <w:b w:val="0"/>
          <w:bCs w:val="0"/>
          <w:noProof/>
          <w:sz w:val="24"/>
          <w:lang w:eastAsia="tr-TR" w:bidi="he-IL"/>
        </w:rPr>
      </w:pPr>
      <w:hyperlink w:anchor="_Toc173231215" w:history="1">
        <w:r w:rsidRPr="00271A07">
          <w:rPr>
            <w:rStyle w:val="Kpr"/>
            <w:rFonts w:asciiTheme="majorBidi" w:eastAsia="Times New Roman" w:hAnsiTheme="majorBidi" w:cstheme="majorBidi"/>
            <w:noProof/>
            <w:lang w:val="en-GB"/>
          </w:rPr>
          <w:t>CHAPTER VI</w:t>
        </w:r>
        <w:r>
          <w:rPr>
            <w:noProof/>
            <w:webHidden/>
          </w:rPr>
          <w:tab/>
        </w:r>
        <w:r>
          <w:rPr>
            <w:noProof/>
            <w:webHidden/>
          </w:rPr>
          <w:fldChar w:fldCharType="begin"/>
        </w:r>
        <w:r>
          <w:rPr>
            <w:noProof/>
            <w:webHidden/>
          </w:rPr>
          <w:instrText xml:space="preserve"> PAGEREF _Toc173231215 \h </w:instrText>
        </w:r>
        <w:r>
          <w:rPr>
            <w:noProof/>
            <w:webHidden/>
          </w:rPr>
        </w:r>
        <w:r>
          <w:rPr>
            <w:noProof/>
            <w:webHidden/>
          </w:rPr>
          <w:fldChar w:fldCharType="separate"/>
        </w:r>
        <w:r>
          <w:rPr>
            <w:noProof/>
            <w:webHidden/>
          </w:rPr>
          <w:t>225</w:t>
        </w:r>
        <w:r>
          <w:rPr>
            <w:noProof/>
            <w:webHidden/>
          </w:rPr>
          <w:fldChar w:fldCharType="end"/>
        </w:r>
      </w:hyperlink>
    </w:p>
    <w:p w14:paraId="607C5E03" w14:textId="3C377117" w:rsidR="00765317" w:rsidRDefault="00765317">
      <w:pPr>
        <w:pStyle w:val="T1"/>
        <w:rPr>
          <w:rFonts w:eastAsiaTheme="minorEastAsia" w:cstheme="minorBidi"/>
          <w:b w:val="0"/>
          <w:bCs w:val="0"/>
          <w:noProof/>
          <w:sz w:val="24"/>
          <w:lang w:eastAsia="tr-TR" w:bidi="he-IL"/>
        </w:rPr>
      </w:pPr>
      <w:hyperlink w:anchor="_Toc173231216" w:history="1">
        <w:r w:rsidRPr="00271A07">
          <w:rPr>
            <w:rStyle w:val="Kpr"/>
            <w:rFonts w:asciiTheme="majorBidi" w:eastAsia="Times New Roman" w:hAnsiTheme="majorBidi" w:cstheme="majorBidi"/>
            <w:noProof/>
            <w:lang w:val="en-GB"/>
          </w:rPr>
          <w:t>6- Ṭušpa</w:t>
        </w:r>
        <w:r w:rsidRPr="00271A07">
          <w:rPr>
            <w:rStyle w:val="Kpr"/>
            <w:rFonts w:asciiTheme="majorBidi" w:eastAsia="Times New Roman" w:hAnsiTheme="majorBidi" w:cstheme="majorBidi"/>
            <w:i/>
            <w:iCs/>
            <w:noProof/>
            <w:lang w:val="en-GB"/>
          </w:rPr>
          <w:t xml:space="preserve"> </w:t>
        </w:r>
        <w:r w:rsidRPr="00271A07">
          <w:rPr>
            <w:rStyle w:val="Kpr"/>
            <w:rFonts w:asciiTheme="majorBidi" w:eastAsia="Times New Roman" w:hAnsiTheme="majorBidi" w:cstheme="majorBidi"/>
            <w:noProof/>
            <w:lang w:val="en-GB"/>
          </w:rPr>
          <w:t>İç Kale (Inner Citadel) and Structures</w:t>
        </w:r>
        <w:r>
          <w:rPr>
            <w:noProof/>
            <w:webHidden/>
          </w:rPr>
          <w:tab/>
        </w:r>
        <w:r>
          <w:rPr>
            <w:noProof/>
            <w:webHidden/>
          </w:rPr>
          <w:fldChar w:fldCharType="begin"/>
        </w:r>
        <w:r>
          <w:rPr>
            <w:noProof/>
            <w:webHidden/>
          </w:rPr>
          <w:instrText xml:space="preserve"> PAGEREF _Toc173231216 \h </w:instrText>
        </w:r>
        <w:r>
          <w:rPr>
            <w:noProof/>
            <w:webHidden/>
          </w:rPr>
        </w:r>
        <w:r>
          <w:rPr>
            <w:noProof/>
            <w:webHidden/>
          </w:rPr>
          <w:fldChar w:fldCharType="separate"/>
        </w:r>
        <w:r>
          <w:rPr>
            <w:noProof/>
            <w:webHidden/>
          </w:rPr>
          <w:t>225</w:t>
        </w:r>
        <w:r>
          <w:rPr>
            <w:noProof/>
            <w:webHidden/>
          </w:rPr>
          <w:fldChar w:fldCharType="end"/>
        </w:r>
      </w:hyperlink>
    </w:p>
    <w:p w14:paraId="1E2F82D1" w14:textId="02555EA0" w:rsidR="00765317" w:rsidRDefault="00765317">
      <w:pPr>
        <w:pStyle w:val="T2"/>
        <w:rPr>
          <w:rFonts w:eastAsiaTheme="minorEastAsia" w:cstheme="minorBidi"/>
          <w:i w:val="0"/>
          <w:iCs w:val="0"/>
          <w:noProof/>
          <w:sz w:val="24"/>
          <w:lang w:eastAsia="tr-TR" w:bidi="he-IL"/>
        </w:rPr>
      </w:pPr>
      <w:hyperlink w:anchor="_Toc173231217" w:history="1">
        <w:r w:rsidRPr="00271A07">
          <w:rPr>
            <w:rStyle w:val="Kpr"/>
            <w:rFonts w:ascii="Times New Roman" w:hAnsi="Times New Roman"/>
            <w:b/>
            <w:noProof/>
            <w:lang w:val="en-GB"/>
          </w:rPr>
          <w:t>6.2. İç Kale Walls</w:t>
        </w:r>
        <w:r>
          <w:rPr>
            <w:noProof/>
            <w:webHidden/>
          </w:rPr>
          <w:tab/>
        </w:r>
        <w:r>
          <w:rPr>
            <w:noProof/>
            <w:webHidden/>
          </w:rPr>
          <w:fldChar w:fldCharType="begin"/>
        </w:r>
        <w:r>
          <w:rPr>
            <w:noProof/>
            <w:webHidden/>
          </w:rPr>
          <w:instrText xml:space="preserve"> PAGEREF _Toc173231217 \h </w:instrText>
        </w:r>
        <w:r>
          <w:rPr>
            <w:noProof/>
            <w:webHidden/>
          </w:rPr>
        </w:r>
        <w:r>
          <w:rPr>
            <w:noProof/>
            <w:webHidden/>
          </w:rPr>
          <w:fldChar w:fldCharType="separate"/>
        </w:r>
        <w:r>
          <w:rPr>
            <w:noProof/>
            <w:webHidden/>
          </w:rPr>
          <w:t>226</w:t>
        </w:r>
        <w:r>
          <w:rPr>
            <w:noProof/>
            <w:webHidden/>
          </w:rPr>
          <w:fldChar w:fldCharType="end"/>
        </w:r>
      </w:hyperlink>
    </w:p>
    <w:p w14:paraId="1FBA4AB8" w14:textId="0E92123F" w:rsidR="00765317" w:rsidRDefault="00765317">
      <w:pPr>
        <w:pStyle w:val="T2"/>
        <w:rPr>
          <w:rFonts w:eastAsiaTheme="minorEastAsia" w:cstheme="minorBidi"/>
          <w:i w:val="0"/>
          <w:iCs w:val="0"/>
          <w:noProof/>
          <w:sz w:val="24"/>
          <w:lang w:eastAsia="tr-TR" w:bidi="he-IL"/>
        </w:rPr>
      </w:pPr>
      <w:hyperlink w:anchor="_Toc173231218" w:history="1">
        <w:r w:rsidRPr="00271A07">
          <w:rPr>
            <w:rStyle w:val="Kpr"/>
            <w:rFonts w:ascii="Times New Roman" w:hAnsi="Times New Roman"/>
            <w:b/>
            <w:noProof/>
            <w:lang w:val="en-GB"/>
          </w:rPr>
          <w:t>6.3. İç Kale  Buildings</w:t>
        </w:r>
        <w:r>
          <w:rPr>
            <w:noProof/>
            <w:webHidden/>
          </w:rPr>
          <w:tab/>
        </w:r>
        <w:r>
          <w:rPr>
            <w:noProof/>
            <w:webHidden/>
          </w:rPr>
          <w:fldChar w:fldCharType="begin"/>
        </w:r>
        <w:r>
          <w:rPr>
            <w:noProof/>
            <w:webHidden/>
          </w:rPr>
          <w:instrText xml:space="preserve"> PAGEREF _Toc173231218 \h </w:instrText>
        </w:r>
        <w:r>
          <w:rPr>
            <w:noProof/>
            <w:webHidden/>
          </w:rPr>
        </w:r>
        <w:r>
          <w:rPr>
            <w:noProof/>
            <w:webHidden/>
          </w:rPr>
          <w:fldChar w:fldCharType="separate"/>
        </w:r>
        <w:r>
          <w:rPr>
            <w:noProof/>
            <w:webHidden/>
          </w:rPr>
          <w:t>232</w:t>
        </w:r>
        <w:r>
          <w:rPr>
            <w:noProof/>
            <w:webHidden/>
          </w:rPr>
          <w:fldChar w:fldCharType="end"/>
        </w:r>
      </w:hyperlink>
    </w:p>
    <w:p w14:paraId="48D13090" w14:textId="3822B558" w:rsidR="00765317" w:rsidRDefault="00765317">
      <w:pPr>
        <w:pStyle w:val="T3"/>
        <w:tabs>
          <w:tab w:val="right" w:leader="dot" w:pos="9019"/>
        </w:tabs>
        <w:rPr>
          <w:rFonts w:eastAsiaTheme="minorEastAsia" w:cstheme="minorBidi"/>
          <w:noProof/>
          <w:sz w:val="24"/>
          <w:lang w:eastAsia="tr-TR" w:bidi="he-IL"/>
        </w:rPr>
      </w:pPr>
      <w:hyperlink w:anchor="_Toc173231219" w:history="1">
        <w:r w:rsidRPr="00271A07">
          <w:rPr>
            <w:rStyle w:val="Kpr"/>
            <w:rFonts w:ascii="Times New Roman" w:hAnsi="Times New Roman"/>
            <w:b/>
            <w:noProof/>
            <w:lang w:val="en-GB"/>
          </w:rPr>
          <w:t>6.3.1. Temple with Double Cella</w:t>
        </w:r>
        <w:r>
          <w:rPr>
            <w:noProof/>
            <w:webHidden/>
          </w:rPr>
          <w:tab/>
        </w:r>
        <w:r>
          <w:rPr>
            <w:noProof/>
            <w:webHidden/>
          </w:rPr>
          <w:fldChar w:fldCharType="begin"/>
        </w:r>
        <w:r>
          <w:rPr>
            <w:noProof/>
            <w:webHidden/>
          </w:rPr>
          <w:instrText xml:space="preserve"> PAGEREF _Toc173231219 \h </w:instrText>
        </w:r>
        <w:r>
          <w:rPr>
            <w:noProof/>
            <w:webHidden/>
          </w:rPr>
        </w:r>
        <w:r>
          <w:rPr>
            <w:noProof/>
            <w:webHidden/>
          </w:rPr>
          <w:fldChar w:fldCharType="separate"/>
        </w:r>
        <w:r>
          <w:rPr>
            <w:noProof/>
            <w:webHidden/>
          </w:rPr>
          <w:t>232</w:t>
        </w:r>
        <w:r>
          <w:rPr>
            <w:noProof/>
            <w:webHidden/>
          </w:rPr>
          <w:fldChar w:fldCharType="end"/>
        </w:r>
      </w:hyperlink>
    </w:p>
    <w:p w14:paraId="1C40D53D" w14:textId="4D18419F" w:rsidR="00765317" w:rsidRDefault="00765317">
      <w:pPr>
        <w:pStyle w:val="T3"/>
        <w:tabs>
          <w:tab w:val="right" w:leader="dot" w:pos="9019"/>
        </w:tabs>
        <w:rPr>
          <w:rFonts w:eastAsiaTheme="minorEastAsia" w:cstheme="minorBidi"/>
          <w:noProof/>
          <w:sz w:val="24"/>
          <w:lang w:eastAsia="tr-TR" w:bidi="he-IL"/>
        </w:rPr>
      </w:pPr>
      <w:hyperlink w:anchor="_Toc173231220" w:history="1">
        <w:r w:rsidRPr="00271A07">
          <w:rPr>
            <w:rStyle w:val="Kpr"/>
            <w:rFonts w:ascii="Times New Roman" w:hAnsi="Times New Roman"/>
            <w:b/>
            <w:noProof/>
            <w:lang w:val="en-GB"/>
          </w:rPr>
          <w:t>6.3.2. Platform</w:t>
        </w:r>
        <w:r>
          <w:rPr>
            <w:noProof/>
            <w:webHidden/>
          </w:rPr>
          <w:tab/>
        </w:r>
        <w:r>
          <w:rPr>
            <w:noProof/>
            <w:webHidden/>
          </w:rPr>
          <w:fldChar w:fldCharType="begin"/>
        </w:r>
        <w:r>
          <w:rPr>
            <w:noProof/>
            <w:webHidden/>
          </w:rPr>
          <w:instrText xml:space="preserve"> PAGEREF _Toc173231220 \h </w:instrText>
        </w:r>
        <w:r>
          <w:rPr>
            <w:noProof/>
            <w:webHidden/>
          </w:rPr>
        </w:r>
        <w:r>
          <w:rPr>
            <w:noProof/>
            <w:webHidden/>
          </w:rPr>
          <w:fldChar w:fldCharType="separate"/>
        </w:r>
        <w:r>
          <w:rPr>
            <w:noProof/>
            <w:webHidden/>
          </w:rPr>
          <w:t>234</w:t>
        </w:r>
        <w:r>
          <w:rPr>
            <w:noProof/>
            <w:webHidden/>
          </w:rPr>
          <w:fldChar w:fldCharType="end"/>
        </w:r>
      </w:hyperlink>
    </w:p>
    <w:p w14:paraId="7E413F3A" w14:textId="0D94EED8" w:rsidR="00765317" w:rsidRDefault="00765317">
      <w:pPr>
        <w:pStyle w:val="T2"/>
        <w:rPr>
          <w:rFonts w:eastAsiaTheme="minorEastAsia" w:cstheme="minorBidi"/>
          <w:i w:val="0"/>
          <w:iCs w:val="0"/>
          <w:noProof/>
          <w:sz w:val="24"/>
          <w:lang w:eastAsia="tr-TR" w:bidi="he-IL"/>
        </w:rPr>
      </w:pPr>
      <w:hyperlink w:anchor="_Toc173231221" w:history="1">
        <w:r w:rsidRPr="00271A07">
          <w:rPr>
            <w:rStyle w:val="Kpr"/>
            <w:rFonts w:ascii="Times New Roman" w:hAnsi="Times New Roman"/>
            <w:b/>
            <w:noProof/>
            <w:lang w:val="en-GB"/>
          </w:rPr>
          <w:t>6.4. Conclusion</w:t>
        </w:r>
        <w:r>
          <w:rPr>
            <w:noProof/>
            <w:webHidden/>
          </w:rPr>
          <w:tab/>
        </w:r>
        <w:r>
          <w:rPr>
            <w:noProof/>
            <w:webHidden/>
          </w:rPr>
          <w:fldChar w:fldCharType="begin"/>
        </w:r>
        <w:r>
          <w:rPr>
            <w:noProof/>
            <w:webHidden/>
          </w:rPr>
          <w:instrText xml:space="preserve"> PAGEREF _Toc173231221 \h </w:instrText>
        </w:r>
        <w:r>
          <w:rPr>
            <w:noProof/>
            <w:webHidden/>
          </w:rPr>
        </w:r>
        <w:r>
          <w:rPr>
            <w:noProof/>
            <w:webHidden/>
          </w:rPr>
          <w:fldChar w:fldCharType="separate"/>
        </w:r>
        <w:r>
          <w:rPr>
            <w:noProof/>
            <w:webHidden/>
          </w:rPr>
          <w:t>236</w:t>
        </w:r>
        <w:r>
          <w:rPr>
            <w:noProof/>
            <w:webHidden/>
          </w:rPr>
          <w:fldChar w:fldCharType="end"/>
        </w:r>
      </w:hyperlink>
    </w:p>
    <w:p w14:paraId="28238B82" w14:textId="5D92A012" w:rsidR="00765317" w:rsidRDefault="00765317">
      <w:pPr>
        <w:pStyle w:val="T1"/>
        <w:rPr>
          <w:rFonts w:eastAsiaTheme="minorEastAsia" w:cstheme="minorBidi"/>
          <w:b w:val="0"/>
          <w:bCs w:val="0"/>
          <w:noProof/>
          <w:sz w:val="24"/>
          <w:lang w:eastAsia="tr-TR" w:bidi="he-IL"/>
        </w:rPr>
      </w:pPr>
      <w:hyperlink w:anchor="_Toc173231222" w:history="1">
        <w:r w:rsidRPr="00271A07">
          <w:rPr>
            <w:rStyle w:val="Kpr"/>
            <w:noProof/>
          </w:rPr>
          <w:t>CHAPTER VII</w:t>
        </w:r>
        <w:r>
          <w:rPr>
            <w:noProof/>
            <w:webHidden/>
          </w:rPr>
          <w:tab/>
        </w:r>
        <w:r>
          <w:rPr>
            <w:noProof/>
            <w:webHidden/>
          </w:rPr>
          <w:fldChar w:fldCharType="begin"/>
        </w:r>
        <w:r>
          <w:rPr>
            <w:noProof/>
            <w:webHidden/>
          </w:rPr>
          <w:instrText xml:space="preserve"> PAGEREF _Toc173231222 \h </w:instrText>
        </w:r>
        <w:r>
          <w:rPr>
            <w:noProof/>
            <w:webHidden/>
          </w:rPr>
        </w:r>
        <w:r>
          <w:rPr>
            <w:noProof/>
            <w:webHidden/>
          </w:rPr>
          <w:fldChar w:fldCharType="separate"/>
        </w:r>
        <w:r>
          <w:rPr>
            <w:noProof/>
            <w:webHidden/>
          </w:rPr>
          <w:t>238</w:t>
        </w:r>
        <w:r>
          <w:rPr>
            <w:noProof/>
            <w:webHidden/>
          </w:rPr>
          <w:fldChar w:fldCharType="end"/>
        </w:r>
      </w:hyperlink>
    </w:p>
    <w:p w14:paraId="76ABC23B" w14:textId="49CEC1F0" w:rsidR="00765317" w:rsidRDefault="00765317">
      <w:pPr>
        <w:pStyle w:val="T1"/>
        <w:rPr>
          <w:rFonts w:eastAsiaTheme="minorEastAsia" w:cstheme="minorBidi"/>
          <w:b w:val="0"/>
          <w:bCs w:val="0"/>
          <w:noProof/>
          <w:sz w:val="24"/>
          <w:lang w:eastAsia="tr-TR" w:bidi="he-IL"/>
        </w:rPr>
      </w:pPr>
      <w:hyperlink w:anchor="_Toc173231223" w:history="1">
        <w:r w:rsidRPr="00271A07">
          <w:rPr>
            <w:rStyle w:val="Kpr"/>
            <w:noProof/>
          </w:rPr>
          <w:t>7-Siršini of the Ṭušpa</w:t>
        </w:r>
        <w:r>
          <w:rPr>
            <w:noProof/>
            <w:webHidden/>
          </w:rPr>
          <w:tab/>
        </w:r>
        <w:r>
          <w:rPr>
            <w:noProof/>
            <w:webHidden/>
          </w:rPr>
          <w:fldChar w:fldCharType="begin"/>
        </w:r>
        <w:r>
          <w:rPr>
            <w:noProof/>
            <w:webHidden/>
          </w:rPr>
          <w:instrText xml:space="preserve"> PAGEREF _Toc173231223 \h </w:instrText>
        </w:r>
        <w:r>
          <w:rPr>
            <w:noProof/>
            <w:webHidden/>
          </w:rPr>
        </w:r>
        <w:r>
          <w:rPr>
            <w:noProof/>
            <w:webHidden/>
          </w:rPr>
          <w:fldChar w:fldCharType="separate"/>
        </w:r>
        <w:r>
          <w:rPr>
            <w:noProof/>
            <w:webHidden/>
          </w:rPr>
          <w:t>238</w:t>
        </w:r>
        <w:r>
          <w:rPr>
            <w:noProof/>
            <w:webHidden/>
          </w:rPr>
          <w:fldChar w:fldCharType="end"/>
        </w:r>
      </w:hyperlink>
    </w:p>
    <w:p w14:paraId="364740A1" w14:textId="27E265C9" w:rsidR="00765317" w:rsidRDefault="00765317">
      <w:pPr>
        <w:pStyle w:val="T2"/>
        <w:rPr>
          <w:rFonts w:eastAsiaTheme="minorEastAsia" w:cstheme="minorBidi"/>
          <w:i w:val="0"/>
          <w:iCs w:val="0"/>
          <w:noProof/>
          <w:sz w:val="24"/>
          <w:lang w:eastAsia="tr-TR" w:bidi="he-IL"/>
        </w:rPr>
      </w:pPr>
      <w:hyperlink w:anchor="_Toc173231224" w:history="1">
        <w:r w:rsidRPr="00271A07">
          <w:rPr>
            <w:rStyle w:val="Kpr"/>
            <w:rFonts w:ascii="Times New Roman" w:hAnsi="Times New Roman"/>
            <w:b/>
            <w:noProof/>
            <w:lang w:val="en-GB"/>
          </w:rPr>
          <w:t>7.1. Introduction</w:t>
        </w:r>
        <w:r>
          <w:rPr>
            <w:noProof/>
            <w:webHidden/>
          </w:rPr>
          <w:tab/>
        </w:r>
        <w:r>
          <w:rPr>
            <w:noProof/>
            <w:webHidden/>
          </w:rPr>
          <w:fldChar w:fldCharType="begin"/>
        </w:r>
        <w:r>
          <w:rPr>
            <w:noProof/>
            <w:webHidden/>
          </w:rPr>
          <w:instrText xml:space="preserve"> PAGEREF _Toc173231224 \h </w:instrText>
        </w:r>
        <w:r>
          <w:rPr>
            <w:noProof/>
            <w:webHidden/>
          </w:rPr>
        </w:r>
        <w:r>
          <w:rPr>
            <w:noProof/>
            <w:webHidden/>
          </w:rPr>
          <w:fldChar w:fldCharType="separate"/>
        </w:r>
        <w:r>
          <w:rPr>
            <w:noProof/>
            <w:webHidden/>
          </w:rPr>
          <w:t>238</w:t>
        </w:r>
        <w:r>
          <w:rPr>
            <w:noProof/>
            <w:webHidden/>
          </w:rPr>
          <w:fldChar w:fldCharType="end"/>
        </w:r>
      </w:hyperlink>
    </w:p>
    <w:p w14:paraId="6687293E" w14:textId="614A9D97" w:rsidR="00765317" w:rsidRDefault="00765317">
      <w:pPr>
        <w:pStyle w:val="T2"/>
        <w:rPr>
          <w:rFonts w:eastAsiaTheme="minorEastAsia" w:cstheme="minorBidi"/>
          <w:i w:val="0"/>
          <w:iCs w:val="0"/>
          <w:noProof/>
          <w:sz w:val="24"/>
          <w:lang w:eastAsia="tr-TR" w:bidi="he-IL"/>
        </w:rPr>
      </w:pPr>
      <w:hyperlink w:anchor="_Toc173231225" w:history="1">
        <w:r w:rsidRPr="00271A07">
          <w:rPr>
            <w:rStyle w:val="Kpr"/>
            <w:rFonts w:ascii="Times New Roman" w:hAnsi="Times New Roman"/>
            <w:b/>
            <w:noProof/>
            <w:lang w:val="en-GB"/>
          </w:rPr>
          <w:t>7.2. Siršini Inscriptions</w:t>
        </w:r>
        <w:r>
          <w:rPr>
            <w:noProof/>
            <w:webHidden/>
          </w:rPr>
          <w:tab/>
        </w:r>
        <w:r>
          <w:rPr>
            <w:noProof/>
            <w:webHidden/>
          </w:rPr>
          <w:fldChar w:fldCharType="begin"/>
        </w:r>
        <w:r>
          <w:rPr>
            <w:noProof/>
            <w:webHidden/>
          </w:rPr>
          <w:instrText xml:space="preserve"> PAGEREF _Toc173231225 \h </w:instrText>
        </w:r>
        <w:r>
          <w:rPr>
            <w:noProof/>
            <w:webHidden/>
          </w:rPr>
        </w:r>
        <w:r>
          <w:rPr>
            <w:noProof/>
            <w:webHidden/>
          </w:rPr>
          <w:fldChar w:fldCharType="separate"/>
        </w:r>
        <w:r>
          <w:rPr>
            <w:noProof/>
            <w:webHidden/>
          </w:rPr>
          <w:t>239</w:t>
        </w:r>
        <w:r>
          <w:rPr>
            <w:noProof/>
            <w:webHidden/>
          </w:rPr>
          <w:fldChar w:fldCharType="end"/>
        </w:r>
      </w:hyperlink>
    </w:p>
    <w:p w14:paraId="6A4617AC" w14:textId="59016B84" w:rsidR="00765317" w:rsidRDefault="00765317">
      <w:pPr>
        <w:pStyle w:val="T3"/>
        <w:tabs>
          <w:tab w:val="right" w:leader="dot" w:pos="9019"/>
        </w:tabs>
        <w:rPr>
          <w:rFonts w:eastAsiaTheme="minorEastAsia" w:cstheme="minorBidi"/>
          <w:noProof/>
          <w:sz w:val="24"/>
          <w:lang w:eastAsia="tr-TR" w:bidi="he-IL"/>
        </w:rPr>
      </w:pPr>
      <w:hyperlink w:anchor="_Toc173231226" w:history="1">
        <w:r w:rsidRPr="00271A07">
          <w:rPr>
            <w:rStyle w:val="Kpr"/>
            <w:rFonts w:ascii="Times New Roman" w:hAnsi="Times New Roman"/>
            <w:b/>
            <w:noProof/>
            <w:lang w:val="en-GB"/>
          </w:rPr>
          <w:t>7.2.1. Rock Inscription</w:t>
        </w:r>
        <w:r>
          <w:rPr>
            <w:noProof/>
            <w:webHidden/>
          </w:rPr>
          <w:tab/>
        </w:r>
        <w:r>
          <w:rPr>
            <w:noProof/>
            <w:webHidden/>
          </w:rPr>
          <w:fldChar w:fldCharType="begin"/>
        </w:r>
        <w:r>
          <w:rPr>
            <w:noProof/>
            <w:webHidden/>
          </w:rPr>
          <w:instrText xml:space="preserve"> PAGEREF _Toc173231226 \h </w:instrText>
        </w:r>
        <w:r>
          <w:rPr>
            <w:noProof/>
            <w:webHidden/>
          </w:rPr>
        </w:r>
        <w:r>
          <w:rPr>
            <w:noProof/>
            <w:webHidden/>
          </w:rPr>
          <w:fldChar w:fldCharType="separate"/>
        </w:r>
        <w:r>
          <w:rPr>
            <w:noProof/>
            <w:webHidden/>
          </w:rPr>
          <w:t>239</w:t>
        </w:r>
        <w:r>
          <w:rPr>
            <w:noProof/>
            <w:webHidden/>
          </w:rPr>
          <w:fldChar w:fldCharType="end"/>
        </w:r>
      </w:hyperlink>
    </w:p>
    <w:p w14:paraId="1E070DC2" w14:textId="0FC6239B" w:rsidR="00765317" w:rsidRDefault="00765317">
      <w:pPr>
        <w:pStyle w:val="T3"/>
        <w:tabs>
          <w:tab w:val="right" w:leader="dot" w:pos="9019"/>
        </w:tabs>
        <w:rPr>
          <w:rFonts w:eastAsiaTheme="minorEastAsia" w:cstheme="minorBidi"/>
          <w:noProof/>
          <w:sz w:val="24"/>
          <w:lang w:eastAsia="tr-TR" w:bidi="he-IL"/>
        </w:rPr>
      </w:pPr>
      <w:hyperlink w:anchor="_Toc173231227" w:history="1">
        <w:r w:rsidRPr="00271A07">
          <w:rPr>
            <w:rStyle w:val="Kpr"/>
            <w:rFonts w:ascii="Times New Roman" w:hAnsi="Times New Roman"/>
            <w:b/>
            <w:noProof/>
            <w:lang w:val="en-GB"/>
          </w:rPr>
          <w:t>7.2.2. Building-Block Inscription</w:t>
        </w:r>
        <w:r>
          <w:rPr>
            <w:noProof/>
            <w:webHidden/>
          </w:rPr>
          <w:tab/>
        </w:r>
        <w:r>
          <w:rPr>
            <w:noProof/>
            <w:webHidden/>
          </w:rPr>
          <w:fldChar w:fldCharType="begin"/>
        </w:r>
        <w:r>
          <w:rPr>
            <w:noProof/>
            <w:webHidden/>
          </w:rPr>
          <w:instrText xml:space="preserve"> PAGEREF _Toc173231227 \h </w:instrText>
        </w:r>
        <w:r>
          <w:rPr>
            <w:noProof/>
            <w:webHidden/>
          </w:rPr>
        </w:r>
        <w:r>
          <w:rPr>
            <w:noProof/>
            <w:webHidden/>
          </w:rPr>
          <w:fldChar w:fldCharType="separate"/>
        </w:r>
        <w:r>
          <w:rPr>
            <w:noProof/>
            <w:webHidden/>
          </w:rPr>
          <w:t>240</w:t>
        </w:r>
        <w:r>
          <w:rPr>
            <w:noProof/>
            <w:webHidden/>
          </w:rPr>
          <w:fldChar w:fldCharType="end"/>
        </w:r>
      </w:hyperlink>
    </w:p>
    <w:p w14:paraId="0FA79103" w14:textId="23A1D84B" w:rsidR="00765317" w:rsidRDefault="00765317">
      <w:pPr>
        <w:pStyle w:val="T2"/>
        <w:rPr>
          <w:rFonts w:eastAsiaTheme="minorEastAsia" w:cstheme="minorBidi"/>
          <w:i w:val="0"/>
          <w:iCs w:val="0"/>
          <w:noProof/>
          <w:sz w:val="24"/>
          <w:lang w:eastAsia="tr-TR" w:bidi="he-IL"/>
        </w:rPr>
      </w:pPr>
      <w:hyperlink w:anchor="_Toc173231228" w:history="1">
        <w:r w:rsidRPr="00271A07">
          <w:rPr>
            <w:rStyle w:val="Kpr"/>
            <w:rFonts w:ascii="Times New Roman" w:hAnsi="Times New Roman"/>
            <w:b/>
            <w:noProof/>
            <w:lang w:val="en-GB"/>
          </w:rPr>
          <w:t>7.3. Excavation and Documentation Studies</w:t>
        </w:r>
        <w:r>
          <w:rPr>
            <w:noProof/>
            <w:webHidden/>
          </w:rPr>
          <w:tab/>
        </w:r>
        <w:r>
          <w:rPr>
            <w:noProof/>
            <w:webHidden/>
          </w:rPr>
          <w:fldChar w:fldCharType="begin"/>
        </w:r>
        <w:r>
          <w:rPr>
            <w:noProof/>
            <w:webHidden/>
          </w:rPr>
          <w:instrText xml:space="preserve"> PAGEREF _Toc173231228 \h </w:instrText>
        </w:r>
        <w:r>
          <w:rPr>
            <w:noProof/>
            <w:webHidden/>
          </w:rPr>
        </w:r>
        <w:r>
          <w:rPr>
            <w:noProof/>
            <w:webHidden/>
          </w:rPr>
          <w:fldChar w:fldCharType="separate"/>
        </w:r>
        <w:r>
          <w:rPr>
            <w:noProof/>
            <w:webHidden/>
          </w:rPr>
          <w:t>243</w:t>
        </w:r>
        <w:r>
          <w:rPr>
            <w:noProof/>
            <w:webHidden/>
          </w:rPr>
          <w:fldChar w:fldCharType="end"/>
        </w:r>
      </w:hyperlink>
    </w:p>
    <w:p w14:paraId="2A72E926" w14:textId="43220D11" w:rsidR="00765317" w:rsidRDefault="00765317">
      <w:pPr>
        <w:pStyle w:val="T2"/>
        <w:rPr>
          <w:rFonts w:eastAsiaTheme="minorEastAsia" w:cstheme="minorBidi"/>
          <w:i w:val="0"/>
          <w:iCs w:val="0"/>
          <w:noProof/>
          <w:sz w:val="24"/>
          <w:lang w:eastAsia="tr-TR" w:bidi="he-IL"/>
        </w:rPr>
      </w:pPr>
      <w:hyperlink w:anchor="_Toc173231229" w:history="1">
        <w:r w:rsidRPr="00271A07">
          <w:rPr>
            <w:rStyle w:val="Kpr"/>
            <w:rFonts w:ascii="Times New Roman" w:hAnsi="Times New Roman"/>
            <w:b/>
            <w:noProof/>
            <w:lang w:val="en-GB"/>
          </w:rPr>
          <w:t>7.4. Conclusion</w:t>
        </w:r>
        <w:r>
          <w:rPr>
            <w:noProof/>
            <w:webHidden/>
          </w:rPr>
          <w:tab/>
        </w:r>
        <w:r>
          <w:rPr>
            <w:noProof/>
            <w:webHidden/>
          </w:rPr>
          <w:fldChar w:fldCharType="begin"/>
        </w:r>
        <w:r>
          <w:rPr>
            <w:noProof/>
            <w:webHidden/>
          </w:rPr>
          <w:instrText xml:space="preserve"> PAGEREF _Toc173231229 \h </w:instrText>
        </w:r>
        <w:r>
          <w:rPr>
            <w:noProof/>
            <w:webHidden/>
          </w:rPr>
        </w:r>
        <w:r>
          <w:rPr>
            <w:noProof/>
            <w:webHidden/>
          </w:rPr>
          <w:fldChar w:fldCharType="separate"/>
        </w:r>
        <w:r>
          <w:rPr>
            <w:noProof/>
            <w:webHidden/>
          </w:rPr>
          <w:t>247</w:t>
        </w:r>
        <w:r>
          <w:rPr>
            <w:noProof/>
            <w:webHidden/>
          </w:rPr>
          <w:fldChar w:fldCharType="end"/>
        </w:r>
      </w:hyperlink>
    </w:p>
    <w:p w14:paraId="15670E1B" w14:textId="49551792" w:rsidR="00765317" w:rsidRDefault="00765317">
      <w:pPr>
        <w:pStyle w:val="T1"/>
        <w:rPr>
          <w:rFonts w:eastAsiaTheme="minorEastAsia" w:cstheme="minorBidi"/>
          <w:b w:val="0"/>
          <w:bCs w:val="0"/>
          <w:noProof/>
          <w:sz w:val="24"/>
          <w:lang w:eastAsia="tr-TR" w:bidi="he-IL"/>
        </w:rPr>
      </w:pPr>
      <w:hyperlink w:anchor="_Toc173231230" w:history="1">
        <w:r w:rsidRPr="00271A07">
          <w:rPr>
            <w:rStyle w:val="Kpr"/>
            <w:rFonts w:asciiTheme="majorBidi" w:eastAsia="Times New Roman" w:hAnsiTheme="majorBidi" w:cstheme="majorBidi"/>
            <w:noProof/>
            <w:lang w:val="en-GB"/>
          </w:rPr>
          <w:t>CHAPTER VIII</w:t>
        </w:r>
        <w:r>
          <w:rPr>
            <w:noProof/>
            <w:webHidden/>
          </w:rPr>
          <w:tab/>
        </w:r>
        <w:r>
          <w:rPr>
            <w:noProof/>
            <w:webHidden/>
          </w:rPr>
          <w:fldChar w:fldCharType="begin"/>
        </w:r>
        <w:r>
          <w:rPr>
            <w:noProof/>
            <w:webHidden/>
          </w:rPr>
          <w:instrText xml:space="preserve"> PAGEREF _Toc173231230 \h </w:instrText>
        </w:r>
        <w:r>
          <w:rPr>
            <w:noProof/>
            <w:webHidden/>
          </w:rPr>
        </w:r>
        <w:r>
          <w:rPr>
            <w:noProof/>
            <w:webHidden/>
          </w:rPr>
          <w:fldChar w:fldCharType="separate"/>
        </w:r>
        <w:r>
          <w:rPr>
            <w:noProof/>
            <w:webHidden/>
          </w:rPr>
          <w:t>249</w:t>
        </w:r>
        <w:r>
          <w:rPr>
            <w:noProof/>
            <w:webHidden/>
          </w:rPr>
          <w:fldChar w:fldCharType="end"/>
        </w:r>
      </w:hyperlink>
    </w:p>
    <w:p w14:paraId="2D94D73C" w14:textId="630A794C" w:rsidR="00765317" w:rsidRDefault="00765317">
      <w:pPr>
        <w:pStyle w:val="T1"/>
        <w:rPr>
          <w:rFonts w:eastAsiaTheme="minorEastAsia" w:cstheme="minorBidi"/>
          <w:b w:val="0"/>
          <w:bCs w:val="0"/>
          <w:noProof/>
          <w:sz w:val="24"/>
          <w:lang w:eastAsia="tr-TR" w:bidi="he-IL"/>
        </w:rPr>
      </w:pPr>
      <w:hyperlink w:anchor="_Toc173231231" w:history="1">
        <w:r w:rsidRPr="00271A07">
          <w:rPr>
            <w:rStyle w:val="Kpr"/>
            <w:rFonts w:asciiTheme="majorBidi" w:eastAsia="Times New Roman" w:hAnsiTheme="majorBidi" w:cstheme="majorBidi"/>
            <w:noProof/>
            <w:lang w:val="en-GB"/>
          </w:rPr>
          <w:t>8-Van Fortress: Areas west of the West Ditch, New Palace?</w:t>
        </w:r>
        <w:r>
          <w:rPr>
            <w:noProof/>
            <w:webHidden/>
          </w:rPr>
          <w:tab/>
        </w:r>
        <w:r>
          <w:rPr>
            <w:noProof/>
            <w:webHidden/>
          </w:rPr>
          <w:fldChar w:fldCharType="begin"/>
        </w:r>
        <w:r>
          <w:rPr>
            <w:noProof/>
            <w:webHidden/>
          </w:rPr>
          <w:instrText xml:space="preserve"> PAGEREF _Toc173231231 \h </w:instrText>
        </w:r>
        <w:r>
          <w:rPr>
            <w:noProof/>
            <w:webHidden/>
          </w:rPr>
        </w:r>
        <w:r>
          <w:rPr>
            <w:noProof/>
            <w:webHidden/>
          </w:rPr>
          <w:fldChar w:fldCharType="separate"/>
        </w:r>
        <w:r>
          <w:rPr>
            <w:noProof/>
            <w:webHidden/>
          </w:rPr>
          <w:t>249</w:t>
        </w:r>
        <w:r>
          <w:rPr>
            <w:noProof/>
            <w:webHidden/>
          </w:rPr>
          <w:fldChar w:fldCharType="end"/>
        </w:r>
      </w:hyperlink>
    </w:p>
    <w:p w14:paraId="4211DFD4" w14:textId="4E50E3F3" w:rsidR="00765317" w:rsidRDefault="00765317">
      <w:pPr>
        <w:pStyle w:val="T2"/>
        <w:rPr>
          <w:rFonts w:eastAsiaTheme="minorEastAsia" w:cstheme="minorBidi"/>
          <w:i w:val="0"/>
          <w:iCs w:val="0"/>
          <w:noProof/>
          <w:sz w:val="24"/>
          <w:lang w:eastAsia="tr-TR" w:bidi="he-IL"/>
        </w:rPr>
      </w:pPr>
      <w:hyperlink w:anchor="_Toc173231232" w:history="1">
        <w:r w:rsidRPr="00271A07">
          <w:rPr>
            <w:rStyle w:val="Kpr"/>
            <w:rFonts w:ascii="Times New Roman" w:hAnsi="Times New Roman"/>
            <w:b/>
            <w:noProof/>
            <w:lang w:val="en-GB"/>
          </w:rPr>
          <w:t>8.1. Introduction</w:t>
        </w:r>
        <w:r>
          <w:rPr>
            <w:noProof/>
            <w:webHidden/>
          </w:rPr>
          <w:tab/>
        </w:r>
        <w:r>
          <w:rPr>
            <w:noProof/>
            <w:webHidden/>
          </w:rPr>
          <w:fldChar w:fldCharType="begin"/>
        </w:r>
        <w:r>
          <w:rPr>
            <w:noProof/>
            <w:webHidden/>
          </w:rPr>
          <w:instrText xml:space="preserve"> PAGEREF _Toc173231232 \h </w:instrText>
        </w:r>
        <w:r>
          <w:rPr>
            <w:noProof/>
            <w:webHidden/>
          </w:rPr>
        </w:r>
        <w:r>
          <w:rPr>
            <w:noProof/>
            <w:webHidden/>
          </w:rPr>
          <w:fldChar w:fldCharType="separate"/>
        </w:r>
        <w:r>
          <w:rPr>
            <w:noProof/>
            <w:webHidden/>
          </w:rPr>
          <w:t>249</w:t>
        </w:r>
        <w:r>
          <w:rPr>
            <w:noProof/>
            <w:webHidden/>
          </w:rPr>
          <w:fldChar w:fldCharType="end"/>
        </w:r>
      </w:hyperlink>
    </w:p>
    <w:p w14:paraId="42C4A959" w14:textId="5339A348" w:rsidR="00765317" w:rsidRDefault="00765317">
      <w:pPr>
        <w:pStyle w:val="T2"/>
        <w:rPr>
          <w:rFonts w:eastAsiaTheme="minorEastAsia" w:cstheme="minorBidi"/>
          <w:i w:val="0"/>
          <w:iCs w:val="0"/>
          <w:noProof/>
          <w:sz w:val="24"/>
          <w:lang w:eastAsia="tr-TR" w:bidi="he-IL"/>
        </w:rPr>
      </w:pPr>
      <w:hyperlink w:anchor="_Toc173231233" w:history="1">
        <w:r w:rsidRPr="00271A07">
          <w:rPr>
            <w:rStyle w:val="Kpr"/>
            <w:rFonts w:ascii="Times New Roman" w:hAnsi="Times New Roman"/>
            <w:b/>
            <w:noProof/>
            <w:lang w:val="en-GB"/>
          </w:rPr>
          <w:t>8.2. Area A, B, C, D and E</w:t>
        </w:r>
        <w:r>
          <w:rPr>
            <w:noProof/>
            <w:webHidden/>
          </w:rPr>
          <w:tab/>
        </w:r>
        <w:r>
          <w:rPr>
            <w:noProof/>
            <w:webHidden/>
          </w:rPr>
          <w:fldChar w:fldCharType="begin"/>
        </w:r>
        <w:r>
          <w:rPr>
            <w:noProof/>
            <w:webHidden/>
          </w:rPr>
          <w:instrText xml:space="preserve"> PAGEREF _Toc173231233 \h </w:instrText>
        </w:r>
        <w:r>
          <w:rPr>
            <w:noProof/>
            <w:webHidden/>
          </w:rPr>
        </w:r>
        <w:r>
          <w:rPr>
            <w:noProof/>
            <w:webHidden/>
          </w:rPr>
          <w:fldChar w:fldCharType="separate"/>
        </w:r>
        <w:r>
          <w:rPr>
            <w:noProof/>
            <w:webHidden/>
          </w:rPr>
          <w:t>253</w:t>
        </w:r>
        <w:r>
          <w:rPr>
            <w:noProof/>
            <w:webHidden/>
          </w:rPr>
          <w:fldChar w:fldCharType="end"/>
        </w:r>
      </w:hyperlink>
    </w:p>
    <w:p w14:paraId="0DA1934D" w14:textId="6DCC5257" w:rsidR="00765317" w:rsidRDefault="00765317">
      <w:pPr>
        <w:pStyle w:val="T3"/>
        <w:tabs>
          <w:tab w:val="right" w:leader="dot" w:pos="9019"/>
        </w:tabs>
        <w:rPr>
          <w:rFonts w:eastAsiaTheme="minorEastAsia" w:cstheme="minorBidi"/>
          <w:noProof/>
          <w:sz w:val="24"/>
          <w:lang w:eastAsia="tr-TR" w:bidi="he-IL"/>
        </w:rPr>
      </w:pPr>
      <w:hyperlink w:anchor="_Toc173231234" w:history="1">
        <w:r w:rsidRPr="00271A07">
          <w:rPr>
            <w:rStyle w:val="Kpr"/>
            <w:rFonts w:ascii="Times New Roman" w:hAnsi="Times New Roman"/>
            <w:b/>
            <w:noProof/>
            <w:lang w:val="en-GB"/>
          </w:rPr>
          <w:t>8.2.1. Area A</w:t>
        </w:r>
        <w:r>
          <w:rPr>
            <w:noProof/>
            <w:webHidden/>
          </w:rPr>
          <w:tab/>
        </w:r>
        <w:r>
          <w:rPr>
            <w:noProof/>
            <w:webHidden/>
          </w:rPr>
          <w:fldChar w:fldCharType="begin"/>
        </w:r>
        <w:r>
          <w:rPr>
            <w:noProof/>
            <w:webHidden/>
          </w:rPr>
          <w:instrText xml:space="preserve"> PAGEREF _Toc173231234 \h </w:instrText>
        </w:r>
        <w:r>
          <w:rPr>
            <w:noProof/>
            <w:webHidden/>
          </w:rPr>
        </w:r>
        <w:r>
          <w:rPr>
            <w:noProof/>
            <w:webHidden/>
          </w:rPr>
          <w:fldChar w:fldCharType="separate"/>
        </w:r>
        <w:r>
          <w:rPr>
            <w:noProof/>
            <w:webHidden/>
          </w:rPr>
          <w:t>253</w:t>
        </w:r>
        <w:r>
          <w:rPr>
            <w:noProof/>
            <w:webHidden/>
          </w:rPr>
          <w:fldChar w:fldCharType="end"/>
        </w:r>
      </w:hyperlink>
    </w:p>
    <w:p w14:paraId="0A9CADE5" w14:textId="50DFE35E" w:rsidR="00765317" w:rsidRDefault="00765317">
      <w:pPr>
        <w:pStyle w:val="T3"/>
        <w:tabs>
          <w:tab w:val="right" w:leader="dot" w:pos="9019"/>
        </w:tabs>
        <w:rPr>
          <w:rFonts w:eastAsiaTheme="minorEastAsia" w:cstheme="minorBidi"/>
          <w:noProof/>
          <w:sz w:val="24"/>
          <w:lang w:eastAsia="tr-TR" w:bidi="he-IL"/>
        </w:rPr>
      </w:pPr>
      <w:hyperlink w:anchor="_Toc173231235" w:history="1">
        <w:r w:rsidRPr="00271A07">
          <w:rPr>
            <w:rStyle w:val="Kpr"/>
            <w:rFonts w:ascii="Times New Roman" w:hAnsi="Times New Roman"/>
            <w:b/>
            <w:noProof/>
            <w:lang w:val="en-GB"/>
          </w:rPr>
          <w:t>8.2.2. Areas B and D</w:t>
        </w:r>
        <w:r>
          <w:rPr>
            <w:noProof/>
            <w:webHidden/>
          </w:rPr>
          <w:tab/>
        </w:r>
        <w:r>
          <w:rPr>
            <w:noProof/>
            <w:webHidden/>
          </w:rPr>
          <w:fldChar w:fldCharType="begin"/>
        </w:r>
        <w:r>
          <w:rPr>
            <w:noProof/>
            <w:webHidden/>
          </w:rPr>
          <w:instrText xml:space="preserve"> PAGEREF _Toc173231235 \h </w:instrText>
        </w:r>
        <w:r>
          <w:rPr>
            <w:noProof/>
            <w:webHidden/>
          </w:rPr>
        </w:r>
        <w:r>
          <w:rPr>
            <w:noProof/>
            <w:webHidden/>
          </w:rPr>
          <w:fldChar w:fldCharType="separate"/>
        </w:r>
        <w:r>
          <w:rPr>
            <w:noProof/>
            <w:webHidden/>
          </w:rPr>
          <w:t>260</w:t>
        </w:r>
        <w:r>
          <w:rPr>
            <w:noProof/>
            <w:webHidden/>
          </w:rPr>
          <w:fldChar w:fldCharType="end"/>
        </w:r>
      </w:hyperlink>
    </w:p>
    <w:p w14:paraId="37C7D128" w14:textId="6F2403F5" w:rsidR="00765317" w:rsidRDefault="00765317">
      <w:pPr>
        <w:pStyle w:val="T3"/>
        <w:tabs>
          <w:tab w:val="right" w:leader="dot" w:pos="9019"/>
        </w:tabs>
        <w:rPr>
          <w:rFonts w:eastAsiaTheme="minorEastAsia" w:cstheme="minorBidi"/>
          <w:noProof/>
          <w:sz w:val="24"/>
          <w:lang w:eastAsia="tr-TR" w:bidi="he-IL"/>
        </w:rPr>
      </w:pPr>
      <w:hyperlink w:anchor="_Toc173231236" w:history="1">
        <w:r w:rsidRPr="00271A07">
          <w:rPr>
            <w:rStyle w:val="Kpr"/>
            <w:rFonts w:ascii="Times New Roman" w:hAnsi="Times New Roman"/>
            <w:b/>
            <w:noProof/>
            <w:lang w:val="en-GB"/>
          </w:rPr>
          <w:t>8.2.3. Area C</w:t>
        </w:r>
        <w:r>
          <w:rPr>
            <w:noProof/>
            <w:webHidden/>
          </w:rPr>
          <w:tab/>
        </w:r>
        <w:r>
          <w:rPr>
            <w:noProof/>
            <w:webHidden/>
          </w:rPr>
          <w:fldChar w:fldCharType="begin"/>
        </w:r>
        <w:r>
          <w:rPr>
            <w:noProof/>
            <w:webHidden/>
          </w:rPr>
          <w:instrText xml:space="preserve"> PAGEREF _Toc173231236 \h </w:instrText>
        </w:r>
        <w:r>
          <w:rPr>
            <w:noProof/>
            <w:webHidden/>
          </w:rPr>
        </w:r>
        <w:r>
          <w:rPr>
            <w:noProof/>
            <w:webHidden/>
          </w:rPr>
          <w:fldChar w:fldCharType="separate"/>
        </w:r>
        <w:r>
          <w:rPr>
            <w:noProof/>
            <w:webHidden/>
          </w:rPr>
          <w:t>264</w:t>
        </w:r>
        <w:r>
          <w:rPr>
            <w:noProof/>
            <w:webHidden/>
          </w:rPr>
          <w:fldChar w:fldCharType="end"/>
        </w:r>
      </w:hyperlink>
    </w:p>
    <w:p w14:paraId="07AFB065" w14:textId="4DC4C79D" w:rsidR="00765317" w:rsidRDefault="00765317">
      <w:pPr>
        <w:pStyle w:val="T3"/>
        <w:tabs>
          <w:tab w:val="right" w:leader="dot" w:pos="9019"/>
        </w:tabs>
        <w:rPr>
          <w:rFonts w:eastAsiaTheme="minorEastAsia" w:cstheme="minorBidi"/>
          <w:noProof/>
          <w:sz w:val="24"/>
          <w:lang w:eastAsia="tr-TR" w:bidi="he-IL"/>
        </w:rPr>
      </w:pPr>
      <w:hyperlink w:anchor="_Toc173231237" w:history="1">
        <w:r w:rsidRPr="00271A07">
          <w:rPr>
            <w:rStyle w:val="Kpr"/>
            <w:rFonts w:ascii="Times New Roman" w:hAnsi="Times New Roman"/>
            <w:b/>
            <w:noProof/>
            <w:lang w:val="en-GB"/>
          </w:rPr>
          <w:t>8.2.4. Area E</w:t>
        </w:r>
        <w:r>
          <w:rPr>
            <w:noProof/>
            <w:webHidden/>
          </w:rPr>
          <w:tab/>
        </w:r>
        <w:r>
          <w:rPr>
            <w:noProof/>
            <w:webHidden/>
          </w:rPr>
          <w:fldChar w:fldCharType="begin"/>
        </w:r>
        <w:r>
          <w:rPr>
            <w:noProof/>
            <w:webHidden/>
          </w:rPr>
          <w:instrText xml:space="preserve"> PAGEREF _Toc173231237 \h </w:instrText>
        </w:r>
        <w:r>
          <w:rPr>
            <w:noProof/>
            <w:webHidden/>
          </w:rPr>
        </w:r>
        <w:r>
          <w:rPr>
            <w:noProof/>
            <w:webHidden/>
          </w:rPr>
          <w:fldChar w:fldCharType="separate"/>
        </w:r>
        <w:r>
          <w:rPr>
            <w:noProof/>
            <w:webHidden/>
          </w:rPr>
          <w:t>264</w:t>
        </w:r>
        <w:r>
          <w:rPr>
            <w:noProof/>
            <w:webHidden/>
          </w:rPr>
          <w:fldChar w:fldCharType="end"/>
        </w:r>
      </w:hyperlink>
    </w:p>
    <w:p w14:paraId="7A0EC364" w14:textId="694DDD68" w:rsidR="00765317" w:rsidRDefault="00765317">
      <w:pPr>
        <w:pStyle w:val="T2"/>
        <w:rPr>
          <w:rFonts w:eastAsiaTheme="minorEastAsia" w:cstheme="minorBidi"/>
          <w:i w:val="0"/>
          <w:iCs w:val="0"/>
          <w:noProof/>
          <w:sz w:val="24"/>
          <w:lang w:eastAsia="tr-TR" w:bidi="he-IL"/>
        </w:rPr>
      </w:pPr>
      <w:hyperlink w:anchor="_Toc173231238" w:history="1">
        <w:r w:rsidRPr="00271A07">
          <w:rPr>
            <w:rStyle w:val="Kpr"/>
            <w:rFonts w:ascii="Times New Roman" w:hAnsi="Times New Roman"/>
            <w:b/>
            <w:noProof/>
            <w:lang w:val="en-GB"/>
          </w:rPr>
          <w:t>8.3. Conclusion</w:t>
        </w:r>
        <w:r>
          <w:rPr>
            <w:noProof/>
            <w:webHidden/>
          </w:rPr>
          <w:tab/>
        </w:r>
        <w:r>
          <w:rPr>
            <w:noProof/>
            <w:webHidden/>
          </w:rPr>
          <w:fldChar w:fldCharType="begin"/>
        </w:r>
        <w:r>
          <w:rPr>
            <w:noProof/>
            <w:webHidden/>
          </w:rPr>
          <w:instrText xml:space="preserve"> PAGEREF _Toc173231238 \h </w:instrText>
        </w:r>
        <w:r>
          <w:rPr>
            <w:noProof/>
            <w:webHidden/>
          </w:rPr>
        </w:r>
        <w:r>
          <w:rPr>
            <w:noProof/>
            <w:webHidden/>
          </w:rPr>
          <w:fldChar w:fldCharType="separate"/>
        </w:r>
        <w:r>
          <w:rPr>
            <w:noProof/>
            <w:webHidden/>
          </w:rPr>
          <w:t>265</w:t>
        </w:r>
        <w:r>
          <w:rPr>
            <w:noProof/>
            <w:webHidden/>
          </w:rPr>
          <w:fldChar w:fldCharType="end"/>
        </w:r>
      </w:hyperlink>
    </w:p>
    <w:p w14:paraId="236AD614" w14:textId="3180BC08" w:rsidR="00765317" w:rsidRDefault="00765317">
      <w:pPr>
        <w:pStyle w:val="T1"/>
        <w:rPr>
          <w:rFonts w:eastAsiaTheme="minorEastAsia" w:cstheme="minorBidi"/>
          <w:b w:val="0"/>
          <w:bCs w:val="0"/>
          <w:noProof/>
          <w:sz w:val="24"/>
          <w:lang w:eastAsia="tr-TR" w:bidi="he-IL"/>
        </w:rPr>
      </w:pPr>
      <w:hyperlink w:anchor="_Toc173231239" w:history="1">
        <w:r w:rsidRPr="00271A07">
          <w:rPr>
            <w:rStyle w:val="Kpr"/>
            <w:noProof/>
          </w:rPr>
          <w:t>CHAPTER IX</w:t>
        </w:r>
        <w:r>
          <w:rPr>
            <w:noProof/>
            <w:webHidden/>
          </w:rPr>
          <w:tab/>
        </w:r>
        <w:r>
          <w:rPr>
            <w:noProof/>
            <w:webHidden/>
          </w:rPr>
          <w:fldChar w:fldCharType="begin"/>
        </w:r>
        <w:r>
          <w:rPr>
            <w:noProof/>
            <w:webHidden/>
          </w:rPr>
          <w:instrText xml:space="preserve"> PAGEREF _Toc173231239 \h </w:instrText>
        </w:r>
        <w:r>
          <w:rPr>
            <w:noProof/>
            <w:webHidden/>
          </w:rPr>
        </w:r>
        <w:r>
          <w:rPr>
            <w:noProof/>
            <w:webHidden/>
          </w:rPr>
          <w:fldChar w:fldCharType="separate"/>
        </w:r>
        <w:r>
          <w:rPr>
            <w:noProof/>
            <w:webHidden/>
          </w:rPr>
          <w:t>268</w:t>
        </w:r>
        <w:r>
          <w:rPr>
            <w:noProof/>
            <w:webHidden/>
          </w:rPr>
          <w:fldChar w:fldCharType="end"/>
        </w:r>
      </w:hyperlink>
    </w:p>
    <w:p w14:paraId="54A395C1" w14:textId="241E3CC7" w:rsidR="00765317" w:rsidRDefault="00765317">
      <w:pPr>
        <w:pStyle w:val="T1"/>
        <w:rPr>
          <w:rFonts w:eastAsiaTheme="minorEastAsia" w:cstheme="minorBidi"/>
          <w:b w:val="0"/>
          <w:bCs w:val="0"/>
          <w:noProof/>
          <w:sz w:val="24"/>
          <w:lang w:eastAsia="tr-TR" w:bidi="he-IL"/>
        </w:rPr>
      </w:pPr>
      <w:hyperlink w:anchor="_Toc173231240" w:history="1">
        <w:r w:rsidRPr="00271A07">
          <w:rPr>
            <w:rStyle w:val="Kpr"/>
            <w:noProof/>
          </w:rPr>
          <w:t>9-Buried in the Rock: The Royal Tombs of Ṭušpa</w:t>
        </w:r>
        <w:r>
          <w:rPr>
            <w:noProof/>
            <w:webHidden/>
          </w:rPr>
          <w:tab/>
        </w:r>
        <w:r>
          <w:rPr>
            <w:noProof/>
            <w:webHidden/>
          </w:rPr>
          <w:fldChar w:fldCharType="begin"/>
        </w:r>
        <w:r>
          <w:rPr>
            <w:noProof/>
            <w:webHidden/>
          </w:rPr>
          <w:instrText xml:space="preserve"> PAGEREF _Toc173231240 \h </w:instrText>
        </w:r>
        <w:r>
          <w:rPr>
            <w:noProof/>
            <w:webHidden/>
          </w:rPr>
        </w:r>
        <w:r>
          <w:rPr>
            <w:noProof/>
            <w:webHidden/>
          </w:rPr>
          <w:fldChar w:fldCharType="separate"/>
        </w:r>
        <w:r>
          <w:rPr>
            <w:noProof/>
            <w:webHidden/>
          </w:rPr>
          <w:t>268</w:t>
        </w:r>
        <w:r>
          <w:rPr>
            <w:noProof/>
            <w:webHidden/>
          </w:rPr>
          <w:fldChar w:fldCharType="end"/>
        </w:r>
      </w:hyperlink>
    </w:p>
    <w:p w14:paraId="22B4FACF" w14:textId="41B0F748" w:rsidR="00765317" w:rsidRDefault="00765317">
      <w:pPr>
        <w:pStyle w:val="T2"/>
        <w:rPr>
          <w:rFonts w:eastAsiaTheme="minorEastAsia" w:cstheme="minorBidi"/>
          <w:i w:val="0"/>
          <w:iCs w:val="0"/>
          <w:noProof/>
          <w:sz w:val="24"/>
          <w:lang w:eastAsia="tr-TR" w:bidi="he-IL"/>
        </w:rPr>
      </w:pPr>
      <w:hyperlink w:anchor="_Toc173231241" w:history="1">
        <w:r w:rsidRPr="00271A07">
          <w:rPr>
            <w:rStyle w:val="Kpr"/>
            <w:rFonts w:ascii="Times New Roman" w:hAnsi="Times New Roman"/>
            <w:b/>
            <w:noProof/>
            <w:lang w:val="en-GB"/>
          </w:rPr>
          <w:t>9.1. Introduction</w:t>
        </w:r>
        <w:r>
          <w:rPr>
            <w:noProof/>
            <w:webHidden/>
          </w:rPr>
          <w:tab/>
        </w:r>
        <w:r>
          <w:rPr>
            <w:noProof/>
            <w:webHidden/>
          </w:rPr>
          <w:fldChar w:fldCharType="begin"/>
        </w:r>
        <w:r>
          <w:rPr>
            <w:noProof/>
            <w:webHidden/>
          </w:rPr>
          <w:instrText xml:space="preserve"> PAGEREF _Toc173231241 \h </w:instrText>
        </w:r>
        <w:r>
          <w:rPr>
            <w:noProof/>
            <w:webHidden/>
          </w:rPr>
        </w:r>
        <w:r>
          <w:rPr>
            <w:noProof/>
            <w:webHidden/>
          </w:rPr>
          <w:fldChar w:fldCharType="separate"/>
        </w:r>
        <w:r>
          <w:rPr>
            <w:noProof/>
            <w:webHidden/>
          </w:rPr>
          <w:t>268</w:t>
        </w:r>
        <w:r>
          <w:rPr>
            <w:noProof/>
            <w:webHidden/>
          </w:rPr>
          <w:fldChar w:fldCharType="end"/>
        </w:r>
      </w:hyperlink>
    </w:p>
    <w:p w14:paraId="1406AE0B" w14:textId="6E5FCDA3" w:rsidR="00765317" w:rsidRDefault="00765317">
      <w:pPr>
        <w:pStyle w:val="T2"/>
        <w:rPr>
          <w:rFonts w:eastAsiaTheme="minorEastAsia" w:cstheme="minorBidi"/>
          <w:i w:val="0"/>
          <w:iCs w:val="0"/>
          <w:noProof/>
          <w:sz w:val="24"/>
          <w:lang w:eastAsia="tr-TR" w:bidi="he-IL"/>
        </w:rPr>
      </w:pPr>
      <w:hyperlink w:anchor="_Toc173231242" w:history="1">
        <w:r w:rsidRPr="00271A07">
          <w:rPr>
            <w:rStyle w:val="Kpr"/>
            <w:rFonts w:ascii="Times New Roman" w:hAnsi="Times New Roman"/>
            <w:b/>
            <w:noProof/>
            <w:lang w:val="en-GB"/>
          </w:rPr>
          <w:t>9.2. Ṭušpa Rock-Cut Tombs</w:t>
        </w:r>
        <w:r>
          <w:rPr>
            <w:noProof/>
            <w:webHidden/>
          </w:rPr>
          <w:tab/>
        </w:r>
        <w:r>
          <w:rPr>
            <w:noProof/>
            <w:webHidden/>
          </w:rPr>
          <w:fldChar w:fldCharType="begin"/>
        </w:r>
        <w:r>
          <w:rPr>
            <w:noProof/>
            <w:webHidden/>
          </w:rPr>
          <w:instrText xml:space="preserve"> PAGEREF _Toc173231242 \h </w:instrText>
        </w:r>
        <w:r>
          <w:rPr>
            <w:noProof/>
            <w:webHidden/>
          </w:rPr>
        </w:r>
        <w:r>
          <w:rPr>
            <w:noProof/>
            <w:webHidden/>
          </w:rPr>
          <w:fldChar w:fldCharType="separate"/>
        </w:r>
        <w:r>
          <w:rPr>
            <w:noProof/>
            <w:webHidden/>
          </w:rPr>
          <w:t>269</w:t>
        </w:r>
        <w:r>
          <w:rPr>
            <w:noProof/>
            <w:webHidden/>
          </w:rPr>
          <w:fldChar w:fldCharType="end"/>
        </w:r>
      </w:hyperlink>
    </w:p>
    <w:p w14:paraId="5F4FA37A" w14:textId="3A8C7681" w:rsidR="00765317" w:rsidRDefault="00765317">
      <w:pPr>
        <w:pStyle w:val="T2"/>
        <w:rPr>
          <w:rFonts w:eastAsiaTheme="minorEastAsia" w:cstheme="minorBidi"/>
          <w:i w:val="0"/>
          <w:iCs w:val="0"/>
          <w:noProof/>
          <w:sz w:val="24"/>
          <w:lang w:eastAsia="tr-TR" w:bidi="he-IL"/>
        </w:rPr>
      </w:pPr>
      <w:hyperlink w:anchor="_Toc173231243" w:history="1">
        <w:r w:rsidRPr="00271A07">
          <w:rPr>
            <w:rStyle w:val="Kpr"/>
            <w:rFonts w:ascii="Times New Roman" w:hAnsi="Times New Roman"/>
            <w:b/>
            <w:noProof/>
            <w:lang w:val="en-GB"/>
          </w:rPr>
          <w:t>9.3. Royal Rock-Cut Tombs in the Ṭušpa Citadel</w:t>
        </w:r>
        <w:r>
          <w:rPr>
            <w:noProof/>
            <w:webHidden/>
          </w:rPr>
          <w:tab/>
        </w:r>
        <w:r>
          <w:rPr>
            <w:noProof/>
            <w:webHidden/>
          </w:rPr>
          <w:fldChar w:fldCharType="begin"/>
        </w:r>
        <w:r>
          <w:rPr>
            <w:noProof/>
            <w:webHidden/>
          </w:rPr>
          <w:instrText xml:space="preserve"> PAGEREF _Toc173231243 \h </w:instrText>
        </w:r>
        <w:r>
          <w:rPr>
            <w:noProof/>
            <w:webHidden/>
          </w:rPr>
        </w:r>
        <w:r>
          <w:rPr>
            <w:noProof/>
            <w:webHidden/>
          </w:rPr>
          <w:fldChar w:fldCharType="separate"/>
        </w:r>
        <w:r>
          <w:rPr>
            <w:noProof/>
            <w:webHidden/>
          </w:rPr>
          <w:t>271</w:t>
        </w:r>
        <w:r>
          <w:rPr>
            <w:noProof/>
            <w:webHidden/>
          </w:rPr>
          <w:fldChar w:fldCharType="end"/>
        </w:r>
      </w:hyperlink>
    </w:p>
    <w:p w14:paraId="0D3F641A" w14:textId="7955C870" w:rsidR="00765317" w:rsidRDefault="00765317">
      <w:pPr>
        <w:pStyle w:val="T3"/>
        <w:tabs>
          <w:tab w:val="right" w:leader="dot" w:pos="9019"/>
        </w:tabs>
        <w:rPr>
          <w:rFonts w:eastAsiaTheme="minorEastAsia" w:cstheme="minorBidi"/>
          <w:noProof/>
          <w:sz w:val="24"/>
          <w:lang w:eastAsia="tr-TR" w:bidi="he-IL"/>
        </w:rPr>
      </w:pPr>
      <w:hyperlink w:anchor="_Toc173231244" w:history="1">
        <w:r w:rsidRPr="00271A07">
          <w:rPr>
            <w:rStyle w:val="Kpr"/>
            <w:rFonts w:ascii="Times New Roman" w:hAnsi="Times New Roman"/>
            <w:b/>
            <w:noProof/>
            <w:lang w:val="en-GB"/>
          </w:rPr>
          <w:t>9.3.1. The Argišti I Tomb : AL20-21</w:t>
        </w:r>
        <w:r>
          <w:rPr>
            <w:noProof/>
            <w:webHidden/>
          </w:rPr>
          <w:tab/>
        </w:r>
        <w:r>
          <w:rPr>
            <w:noProof/>
            <w:webHidden/>
          </w:rPr>
          <w:fldChar w:fldCharType="begin"/>
        </w:r>
        <w:r>
          <w:rPr>
            <w:noProof/>
            <w:webHidden/>
          </w:rPr>
          <w:instrText xml:space="preserve"> PAGEREF _Toc173231244 \h </w:instrText>
        </w:r>
        <w:r>
          <w:rPr>
            <w:noProof/>
            <w:webHidden/>
          </w:rPr>
        </w:r>
        <w:r>
          <w:rPr>
            <w:noProof/>
            <w:webHidden/>
          </w:rPr>
          <w:fldChar w:fldCharType="separate"/>
        </w:r>
        <w:r>
          <w:rPr>
            <w:noProof/>
            <w:webHidden/>
          </w:rPr>
          <w:t>272</w:t>
        </w:r>
        <w:r>
          <w:rPr>
            <w:noProof/>
            <w:webHidden/>
          </w:rPr>
          <w:fldChar w:fldCharType="end"/>
        </w:r>
      </w:hyperlink>
    </w:p>
    <w:p w14:paraId="53EFF8AF" w14:textId="48C255F3" w:rsidR="00765317" w:rsidRDefault="00765317">
      <w:pPr>
        <w:pStyle w:val="T3"/>
        <w:tabs>
          <w:tab w:val="right" w:leader="dot" w:pos="9019"/>
        </w:tabs>
        <w:rPr>
          <w:rFonts w:eastAsiaTheme="minorEastAsia" w:cstheme="minorBidi"/>
          <w:noProof/>
          <w:sz w:val="24"/>
          <w:lang w:eastAsia="tr-TR" w:bidi="he-IL"/>
        </w:rPr>
      </w:pPr>
      <w:hyperlink w:anchor="_Toc173231245" w:history="1">
        <w:r w:rsidRPr="00271A07">
          <w:rPr>
            <w:rStyle w:val="Kpr"/>
            <w:rFonts w:ascii="Times New Roman" w:hAnsi="Times New Roman"/>
            <w:b/>
            <w:noProof/>
            <w:lang w:val="en-GB"/>
          </w:rPr>
          <w:t>9.3.2. The Small Horhor tomb: AL20</w:t>
        </w:r>
        <w:r>
          <w:rPr>
            <w:noProof/>
            <w:webHidden/>
          </w:rPr>
          <w:tab/>
        </w:r>
        <w:r>
          <w:rPr>
            <w:noProof/>
            <w:webHidden/>
          </w:rPr>
          <w:fldChar w:fldCharType="begin"/>
        </w:r>
        <w:r>
          <w:rPr>
            <w:noProof/>
            <w:webHidden/>
          </w:rPr>
          <w:instrText xml:space="preserve"> PAGEREF _Toc173231245 \h </w:instrText>
        </w:r>
        <w:r>
          <w:rPr>
            <w:noProof/>
            <w:webHidden/>
          </w:rPr>
        </w:r>
        <w:r>
          <w:rPr>
            <w:noProof/>
            <w:webHidden/>
          </w:rPr>
          <w:fldChar w:fldCharType="separate"/>
        </w:r>
        <w:r>
          <w:rPr>
            <w:noProof/>
            <w:webHidden/>
          </w:rPr>
          <w:t>285</w:t>
        </w:r>
        <w:r>
          <w:rPr>
            <w:noProof/>
            <w:webHidden/>
          </w:rPr>
          <w:fldChar w:fldCharType="end"/>
        </w:r>
      </w:hyperlink>
    </w:p>
    <w:p w14:paraId="3824371A" w14:textId="079A84D9" w:rsidR="00765317" w:rsidRDefault="00765317">
      <w:pPr>
        <w:pStyle w:val="T3"/>
        <w:tabs>
          <w:tab w:val="right" w:leader="dot" w:pos="9019"/>
        </w:tabs>
        <w:rPr>
          <w:rFonts w:eastAsiaTheme="minorEastAsia" w:cstheme="minorBidi"/>
          <w:noProof/>
          <w:sz w:val="24"/>
          <w:lang w:eastAsia="tr-TR" w:bidi="he-IL"/>
        </w:rPr>
      </w:pPr>
      <w:hyperlink w:anchor="_Toc173231246" w:history="1">
        <w:r w:rsidRPr="00271A07">
          <w:rPr>
            <w:rStyle w:val="Kpr"/>
            <w:rFonts w:ascii="Times New Roman" w:hAnsi="Times New Roman"/>
            <w:b/>
            <w:noProof/>
            <w:lang w:val="en-GB"/>
          </w:rPr>
          <w:t>9.3.3. Tombs around the Great Platform</w:t>
        </w:r>
        <w:r>
          <w:rPr>
            <w:noProof/>
            <w:webHidden/>
          </w:rPr>
          <w:tab/>
        </w:r>
        <w:r>
          <w:rPr>
            <w:noProof/>
            <w:webHidden/>
          </w:rPr>
          <w:fldChar w:fldCharType="begin"/>
        </w:r>
        <w:r>
          <w:rPr>
            <w:noProof/>
            <w:webHidden/>
          </w:rPr>
          <w:instrText xml:space="preserve"> PAGEREF _Toc173231246 \h </w:instrText>
        </w:r>
        <w:r>
          <w:rPr>
            <w:noProof/>
            <w:webHidden/>
          </w:rPr>
        </w:r>
        <w:r>
          <w:rPr>
            <w:noProof/>
            <w:webHidden/>
          </w:rPr>
          <w:fldChar w:fldCharType="separate"/>
        </w:r>
        <w:r>
          <w:rPr>
            <w:noProof/>
            <w:webHidden/>
          </w:rPr>
          <w:t>286</w:t>
        </w:r>
        <w:r>
          <w:rPr>
            <w:noProof/>
            <w:webHidden/>
          </w:rPr>
          <w:fldChar w:fldCharType="end"/>
        </w:r>
      </w:hyperlink>
    </w:p>
    <w:p w14:paraId="6062BF01" w14:textId="6B197FF8" w:rsidR="00765317" w:rsidRDefault="00765317">
      <w:pPr>
        <w:pStyle w:val="T3"/>
        <w:tabs>
          <w:tab w:val="right" w:leader="dot" w:pos="9019"/>
        </w:tabs>
        <w:rPr>
          <w:rFonts w:eastAsiaTheme="minorEastAsia" w:cstheme="minorBidi"/>
          <w:noProof/>
          <w:sz w:val="24"/>
          <w:lang w:eastAsia="tr-TR" w:bidi="he-IL"/>
        </w:rPr>
      </w:pPr>
      <w:hyperlink w:anchor="_Toc173231247" w:history="1">
        <w:r w:rsidRPr="00271A07">
          <w:rPr>
            <w:rStyle w:val="Kpr"/>
            <w:rFonts w:ascii="Times New Roman" w:hAnsi="Times New Roman"/>
            <w:b/>
            <w:noProof/>
            <w:lang w:val="en-GB"/>
          </w:rPr>
          <w:t>9.3.4. The Doğu Odaları Tomb: BG9899/BH 9899</w:t>
        </w:r>
        <w:r>
          <w:rPr>
            <w:noProof/>
            <w:webHidden/>
          </w:rPr>
          <w:tab/>
        </w:r>
        <w:r>
          <w:rPr>
            <w:noProof/>
            <w:webHidden/>
          </w:rPr>
          <w:fldChar w:fldCharType="begin"/>
        </w:r>
        <w:r>
          <w:rPr>
            <w:noProof/>
            <w:webHidden/>
          </w:rPr>
          <w:instrText xml:space="preserve"> PAGEREF _Toc173231247 \h </w:instrText>
        </w:r>
        <w:r>
          <w:rPr>
            <w:noProof/>
            <w:webHidden/>
          </w:rPr>
        </w:r>
        <w:r>
          <w:rPr>
            <w:noProof/>
            <w:webHidden/>
          </w:rPr>
          <w:fldChar w:fldCharType="separate"/>
        </w:r>
        <w:r>
          <w:rPr>
            <w:noProof/>
            <w:webHidden/>
          </w:rPr>
          <w:t>305</w:t>
        </w:r>
        <w:r>
          <w:rPr>
            <w:noProof/>
            <w:webHidden/>
          </w:rPr>
          <w:fldChar w:fldCharType="end"/>
        </w:r>
      </w:hyperlink>
    </w:p>
    <w:p w14:paraId="47466C0B" w14:textId="4F1EDACC" w:rsidR="00765317" w:rsidRDefault="00765317">
      <w:pPr>
        <w:pStyle w:val="T3"/>
        <w:tabs>
          <w:tab w:val="right" w:leader="dot" w:pos="9019"/>
        </w:tabs>
        <w:rPr>
          <w:rFonts w:eastAsiaTheme="minorEastAsia" w:cstheme="minorBidi"/>
          <w:noProof/>
          <w:sz w:val="24"/>
          <w:lang w:eastAsia="tr-TR" w:bidi="he-IL"/>
        </w:rPr>
      </w:pPr>
      <w:hyperlink w:anchor="_Toc173231248" w:history="1">
        <w:r w:rsidRPr="00271A07">
          <w:rPr>
            <w:rStyle w:val="Kpr"/>
            <w:rFonts w:ascii="Times New Roman" w:hAnsi="Times New Roman"/>
            <w:b/>
            <w:noProof/>
            <w:lang w:val="en-GB"/>
          </w:rPr>
          <w:t>9.3.5. The Cremation Tomb: BO115</w:t>
        </w:r>
        <w:r>
          <w:rPr>
            <w:noProof/>
            <w:webHidden/>
          </w:rPr>
          <w:tab/>
        </w:r>
        <w:r>
          <w:rPr>
            <w:noProof/>
            <w:webHidden/>
          </w:rPr>
          <w:fldChar w:fldCharType="begin"/>
        </w:r>
        <w:r>
          <w:rPr>
            <w:noProof/>
            <w:webHidden/>
          </w:rPr>
          <w:instrText xml:space="preserve"> PAGEREF _Toc173231248 \h </w:instrText>
        </w:r>
        <w:r>
          <w:rPr>
            <w:noProof/>
            <w:webHidden/>
          </w:rPr>
        </w:r>
        <w:r>
          <w:rPr>
            <w:noProof/>
            <w:webHidden/>
          </w:rPr>
          <w:fldChar w:fldCharType="separate"/>
        </w:r>
        <w:r>
          <w:rPr>
            <w:noProof/>
            <w:webHidden/>
          </w:rPr>
          <w:t>313</w:t>
        </w:r>
        <w:r>
          <w:rPr>
            <w:noProof/>
            <w:webHidden/>
          </w:rPr>
          <w:fldChar w:fldCharType="end"/>
        </w:r>
      </w:hyperlink>
    </w:p>
    <w:p w14:paraId="73ABC44D" w14:textId="0DCA80F5" w:rsidR="00765317" w:rsidRDefault="00765317">
      <w:pPr>
        <w:pStyle w:val="T3"/>
        <w:tabs>
          <w:tab w:val="right" w:leader="dot" w:pos="9019"/>
        </w:tabs>
        <w:rPr>
          <w:rFonts w:eastAsiaTheme="minorEastAsia" w:cstheme="minorBidi"/>
          <w:noProof/>
          <w:sz w:val="24"/>
          <w:lang w:eastAsia="tr-TR" w:bidi="he-IL"/>
        </w:rPr>
      </w:pPr>
      <w:hyperlink w:anchor="_Toc173231249" w:history="1">
        <w:r w:rsidRPr="00271A07">
          <w:rPr>
            <w:rStyle w:val="Kpr"/>
            <w:rFonts w:ascii="Times New Roman" w:hAnsi="Times New Roman"/>
            <w:b/>
            <w:noProof/>
            <w:lang w:val="en-GB"/>
          </w:rPr>
          <w:t>9.3.6. BG90 Tomb (Underground Burial Chamber)</w:t>
        </w:r>
        <w:r>
          <w:rPr>
            <w:noProof/>
            <w:webHidden/>
          </w:rPr>
          <w:tab/>
        </w:r>
        <w:r>
          <w:rPr>
            <w:noProof/>
            <w:webHidden/>
          </w:rPr>
          <w:fldChar w:fldCharType="begin"/>
        </w:r>
        <w:r>
          <w:rPr>
            <w:noProof/>
            <w:webHidden/>
          </w:rPr>
          <w:instrText xml:space="preserve"> PAGEREF _Toc173231249 \h </w:instrText>
        </w:r>
        <w:r>
          <w:rPr>
            <w:noProof/>
            <w:webHidden/>
          </w:rPr>
        </w:r>
        <w:r>
          <w:rPr>
            <w:noProof/>
            <w:webHidden/>
          </w:rPr>
          <w:fldChar w:fldCharType="separate"/>
        </w:r>
        <w:r>
          <w:rPr>
            <w:noProof/>
            <w:webHidden/>
          </w:rPr>
          <w:t>316</w:t>
        </w:r>
        <w:r>
          <w:rPr>
            <w:noProof/>
            <w:webHidden/>
          </w:rPr>
          <w:fldChar w:fldCharType="end"/>
        </w:r>
      </w:hyperlink>
    </w:p>
    <w:p w14:paraId="1F96A3CD" w14:textId="2C8EA9B1" w:rsidR="00765317" w:rsidRDefault="00765317">
      <w:pPr>
        <w:pStyle w:val="T2"/>
        <w:rPr>
          <w:rFonts w:eastAsiaTheme="minorEastAsia" w:cstheme="minorBidi"/>
          <w:i w:val="0"/>
          <w:iCs w:val="0"/>
          <w:noProof/>
          <w:sz w:val="24"/>
          <w:lang w:eastAsia="tr-TR" w:bidi="he-IL"/>
        </w:rPr>
      </w:pPr>
      <w:hyperlink w:anchor="_Toc173231250" w:history="1">
        <w:r w:rsidRPr="00271A07">
          <w:rPr>
            <w:rStyle w:val="Kpr"/>
            <w:rFonts w:ascii="Times New Roman" w:hAnsi="Times New Roman"/>
            <w:b/>
            <w:noProof/>
            <w:lang w:val="en-GB"/>
          </w:rPr>
          <w:t>9.4. Conclusion</w:t>
        </w:r>
        <w:r>
          <w:rPr>
            <w:noProof/>
            <w:webHidden/>
          </w:rPr>
          <w:tab/>
        </w:r>
        <w:r>
          <w:rPr>
            <w:noProof/>
            <w:webHidden/>
          </w:rPr>
          <w:fldChar w:fldCharType="begin"/>
        </w:r>
        <w:r>
          <w:rPr>
            <w:noProof/>
            <w:webHidden/>
          </w:rPr>
          <w:instrText xml:space="preserve"> PAGEREF _Toc173231250 \h </w:instrText>
        </w:r>
        <w:r>
          <w:rPr>
            <w:noProof/>
            <w:webHidden/>
          </w:rPr>
        </w:r>
        <w:r>
          <w:rPr>
            <w:noProof/>
            <w:webHidden/>
          </w:rPr>
          <w:fldChar w:fldCharType="separate"/>
        </w:r>
        <w:r>
          <w:rPr>
            <w:noProof/>
            <w:webHidden/>
          </w:rPr>
          <w:t>320</w:t>
        </w:r>
        <w:r>
          <w:rPr>
            <w:noProof/>
            <w:webHidden/>
          </w:rPr>
          <w:fldChar w:fldCharType="end"/>
        </w:r>
      </w:hyperlink>
    </w:p>
    <w:p w14:paraId="7116C39D" w14:textId="09605D6C" w:rsidR="00765317" w:rsidRDefault="00765317">
      <w:pPr>
        <w:pStyle w:val="T1"/>
        <w:rPr>
          <w:rFonts w:eastAsiaTheme="minorEastAsia" w:cstheme="minorBidi"/>
          <w:b w:val="0"/>
          <w:bCs w:val="0"/>
          <w:noProof/>
          <w:sz w:val="24"/>
          <w:lang w:eastAsia="tr-TR" w:bidi="he-IL"/>
        </w:rPr>
      </w:pPr>
      <w:hyperlink w:anchor="_Toc173231251" w:history="1">
        <w:r w:rsidRPr="00271A07">
          <w:rPr>
            <w:rStyle w:val="Kpr"/>
            <w:noProof/>
          </w:rPr>
          <w:t>CHAPTER X</w:t>
        </w:r>
        <w:r>
          <w:rPr>
            <w:noProof/>
            <w:webHidden/>
          </w:rPr>
          <w:tab/>
        </w:r>
        <w:r>
          <w:rPr>
            <w:noProof/>
            <w:webHidden/>
          </w:rPr>
          <w:fldChar w:fldCharType="begin"/>
        </w:r>
        <w:r>
          <w:rPr>
            <w:noProof/>
            <w:webHidden/>
          </w:rPr>
          <w:instrText xml:space="preserve"> PAGEREF _Toc173231251 \h </w:instrText>
        </w:r>
        <w:r>
          <w:rPr>
            <w:noProof/>
            <w:webHidden/>
          </w:rPr>
        </w:r>
        <w:r>
          <w:rPr>
            <w:noProof/>
            <w:webHidden/>
          </w:rPr>
          <w:fldChar w:fldCharType="separate"/>
        </w:r>
        <w:r>
          <w:rPr>
            <w:noProof/>
            <w:webHidden/>
          </w:rPr>
          <w:t>326</w:t>
        </w:r>
        <w:r>
          <w:rPr>
            <w:noProof/>
            <w:webHidden/>
          </w:rPr>
          <w:fldChar w:fldCharType="end"/>
        </w:r>
      </w:hyperlink>
    </w:p>
    <w:p w14:paraId="115B5D91" w14:textId="5F085790" w:rsidR="00765317" w:rsidRDefault="00765317">
      <w:pPr>
        <w:pStyle w:val="T1"/>
        <w:rPr>
          <w:rFonts w:eastAsiaTheme="minorEastAsia" w:cstheme="minorBidi"/>
          <w:b w:val="0"/>
          <w:bCs w:val="0"/>
          <w:noProof/>
          <w:sz w:val="24"/>
          <w:lang w:eastAsia="tr-TR" w:bidi="he-IL"/>
        </w:rPr>
      </w:pPr>
      <w:hyperlink w:anchor="_Toc173231252" w:history="1">
        <w:r w:rsidRPr="00271A07">
          <w:rPr>
            <w:rStyle w:val="Kpr"/>
            <w:noProof/>
          </w:rPr>
          <w:t>The Archaeology, Description, and Possible Functions of the Monumental Memory of Ṭušpa, Analıkız</w:t>
        </w:r>
        <w:r>
          <w:rPr>
            <w:noProof/>
            <w:webHidden/>
          </w:rPr>
          <w:tab/>
        </w:r>
        <w:r>
          <w:rPr>
            <w:noProof/>
            <w:webHidden/>
          </w:rPr>
          <w:fldChar w:fldCharType="begin"/>
        </w:r>
        <w:r>
          <w:rPr>
            <w:noProof/>
            <w:webHidden/>
          </w:rPr>
          <w:instrText xml:space="preserve"> PAGEREF _Toc173231252 \h </w:instrText>
        </w:r>
        <w:r>
          <w:rPr>
            <w:noProof/>
            <w:webHidden/>
          </w:rPr>
        </w:r>
        <w:r>
          <w:rPr>
            <w:noProof/>
            <w:webHidden/>
          </w:rPr>
          <w:fldChar w:fldCharType="separate"/>
        </w:r>
        <w:r>
          <w:rPr>
            <w:noProof/>
            <w:webHidden/>
          </w:rPr>
          <w:t>326</w:t>
        </w:r>
        <w:r>
          <w:rPr>
            <w:noProof/>
            <w:webHidden/>
          </w:rPr>
          <w:fldChar w:fldCharType="end"/>
        </w:r>
      </w:hyperlink>
    </w:p>
    <w:p w14:paraId="79213CFE" w14:textId="6B880071" w:rsidR="00765317" w:rsidRDefault="00765317">
      <w:pPr>
        <w:pStyle w:val="T2"/>
        <w:rPr>
          <w:rFonts w:eastAsiaTheme="minorEastAsia" w:cstheme="minorBidi"/>
          <w:i w:val="0"/>
          <w:iCs w:val="0"/>
          <w:noProof/>
          <w:sz w:val="24"/>
          <w:lang w:eastAsia="tr-TR" w:bidi="he-IL"/>
        </w:rPr>
      </w:pPr>
      <w:hyperlink w:anchor="_Toc173231253" w:history="1">
        <w:r w:rsidRPr="00271A07">
          <w:rPr>
            <w:rStyle w:val="Kpr"/>
            <w:rFonts w:ascii="Times New Roman" w:hAnsi="Times New Roman"/>
            <w:b/>
            <w:noProof/>
            <w:lang w:val="en-GB"/>
          </w:rPr>
          <w:t>10.1. Introduction</w:t>
        </w:r>
        <w:r>
          <w:rPr>
            <w:noProof/>
            <w:webHidden/>
          </w:rPr>
          <w:tab/>
        </w:r>
        <w:r>
          <w:rPr>
            <w:noProof/>
            <w:webHidden/>
          </w:rPr>
          <w:fldChar w:fldCharType="begin"/>
        </w:r>
        <w:r>
          <w:rPr>
            <w:noProof/>
            <w:webHidden/>
          </w:rPr>
          <w:instrText xml:space="preserve"> PAGEREF _Toc173231253 \h </w:instrText>
        </w:r>
        <w:r>
          <w:rPr>
            <w:noProof/>
            <w:webHidden/>
          </w:rPr>
        </w:r>
        <w:r>
          <w:rPr>
            <w:noProof/>
            <w:webHidden/>
          </w:rPr>
          <w:fldChar w:fldCharType="separate"/>
        </w:r>
        <w:r>
          <w:rPr>
            <w:noProof/>
            <w:webHidden/>
          </w:rPr>
          <w:t>328</w:t>
        </w:r>
        <w:r>
          <w:rPr>
            <w:noProof/>
            <w:webHidden/>
          </w:rPr>
          <w:fldChar w:fldCharType="end"/>
        </w:r>
      </w:hyperlink>
    </w:p>
    <w:p w14:paraId="0B2DDAC2" w14:textId="1D954B8B" w:rsidR="00765317" w:rsidRDefault="00765317">
      <w:pPr>
        <w:pStyle w:val="T2"/>
        <w:rPr>
          <w:rFonts w:eastAsiaTheme="minorEastAsia" w:cstheme="minorBidi"/>
          <w:i w:val="0"/>
          <w:iCs w:val="0"/>
          <w:noProof/>
          <w:sz w:val="24"/>
          <w:lang w:eastAsia="tr-TR" w:bidi="he-IL"/>
        </w:rPr>
      </w:pPr>
      <w:hyperlink w:anchor="_Toc173231254" w:history="1">
        <w:r w:rsidRPr="00271A07">
          <w:rPr>
            <w:rStyle w:val="Kpr"/>
            <w:rFonts w:ascii="Times New Roman" w:hAnsi="Times New Roman"/>
            <w:b/>
            <w:noProof/>
            <w:lang w:val="en-GB"/>
          </w:rPr>
          <w:t>10.2. First Excavations at Ṭušpa</w:t>
        </w:r>
        <w:r>
          <w:rPr>
            <w:noProof/>
            <w:webHidden/>
          </w:rPr>
          <w:tab/>
        </w:r>
        <w:r>
          <w:rPr>
            <w:noProof/>
            <w:webHidden/>
          </w:rPr>
          <w:fldChar w:fldCharType="begin"/>
        </w:r>
        <w:r>
          <w:rPr>
            <w:noProof/>
            <w:webHidden/>
          </w:rPr>
          <w:instrText xml:space="preserve"> PAGEREF _Toc173231254 \h </w:instrText>
        </w:r>
        <w:r>
          <w:rPr>
            <w:noProof/>
            <w:webHidden/>
          </w:rPr>
        </w:r>
        <w:r>
          <w:rPr>
            <w:noProof/>
            <w:webHidden/>
          </w:rPr>
          <w:fldChar w:fldCharType="separate"/>
        </w:r>
        <w:r>
          <w:rPr>
            <w:noProof/>
            <w:webHidden/>
          </w:rPr>
          <w:t>338</w:t>
        </w:r>
        <w:r>
          <w:rPr>
            <w:noProof/>
            <w:webHidden/>
          </w:rPr>
          <w:fldChar w:fldCharType="end"/>
        </w:r>
      </w:hyperlink>
    </w:p>
    <w:p w14:paraId="792DE8F7" w14:textId="6EFB5C88" w:rsidR="00765317" w:rsidRDefault="00765317">
      <w:pPr>
        <w:pStyle w:val="T2"/>
        <w:rPr>
          <w:rFonts w:eastAsiaTheme="minorEastAsia" w:cstheme="minorBidi"/>
          <w:i w:val="0"/>
          <w:iCs w:val="0"/>
          <w:noProof/>
          <w:sz w:val="24"/>
          <w:lang w:eastAsia="tr-TR" w:bidi="he-IL"/>
        </w:rPr>
      </w:pPr>
      <w:hyperlink w:anchor="_Toc173231255" w:history="1">
        <w:r w:rsidRPr="00271A07">
          <w:rPr>
            <w:rStyle w:val="Kpr"/>
            <w:rFonts w:ascii="Times New Roman" w:hAnsi="Times New Roman"/>
            <w:b/>
            <w:noProof/>
            <w:lang w:val="en-GB"/>
          </w:rPr>
          <w:t>10.3. The F</w:t>
        </w:r>
        <w:r w:rsidRPr="00271A07">
          <w:rPr>
            <w:rStyle w:val="Kpr"/>
            <w:rFonts w:ascii="Times New Roman" w:hAnsi="Times New Roman"/>
            <w:b/>
            <w:noProof/>
            <w:lang w:val="en-GB"/>
          </w:rPr>
          <w:t>u</w:t>
        </w:r>
        <w:r w:rsidRPr="00271A07">
          <w:rPr>
            <w:rStyle w:val="Kpr"/>
            <w:rFonts w:ascii="Times New Roman" w:hAnsi="Times New Roman"/>
            <w:b/>
            <w:noProof/>
            <w:lang w:val="en-GB"/>
          </w:rPr>
          <w:t>nction and Chronology of the Area</w:t>
        </w:r>
        <w:r>
          <w:rPr>
            <w:noProof/>
            <w:webHidden/>
          </w:rPr>
          <w:tab/>
        </w:r>
        <w:r>
          <w:rPr>
            <w:noProof/>
            <w:webHidden/>
          </w:rPr>
          <w:fldChar w:fldCharType="begin"/>
        </w:r>
        <w:r>
          <w:rPr>
            <w:noProof/>
            <w:webHidden/>
          </w:rPr>
          <w:instrText xml:space="preserve"> PAGEREF _Toc173231255 \h </w:instrText>
        </w:r>
        <w:r>
          <w:rPr>
            <w:noProof/>
            <w:webHidden/>
          </w:rPr>
        </w:r>
        <w:r>
          <w:rPr>
            <w:noProof/>
            <w:webHidden/>
          </w:rPr>
          <w:fldChar w:fldCharType="separate"/>
        </w:r>
        <w:r>
          <w:rPr>
            <w:noProof/>
            <w:webHidden/>
          </w:rPr>
          <w:t>342</w:t>
        </w:r>
        <w:r>
          <w:rPr>
            <w:noProof/>
            <w:webHidden/>
          </w:rPr>
          <w:fldChar w:fldCharType="end"/>
        </w:r>
      </w:hyperlink>
    </w:p>
    <w:p w14:paraId="714F372D" w14:textId="4166D118" w:rsidR="00765317" w:rsidRDefault="00765317">
      <w:pPr>
        <w:pStyle w:val="T3"/>
        <w:tabs>
          <w:tab w:val="right" w:leader="dot" w:pos="9019"/>
        </w:tabs>
        <w:rPr>
          <w:rFonts w:eastAsiaTheme="minorEastAsia" w:cstheme="minorBidi"/>
          <w:noProof/>
          <w:sz w:val="24"/>
          <w:lang w:eastAsia="tr-TR" w:bidi="he-IL"/>
        </w:rPr>
      </w:pPr>
      <w:hyperlink w:anchor="_Toc173231256" w:history="1">
        <w:r w:rsidRPr="00271A07">
          <w:rPr>
            <w:rStyle w:val="Kpr"/>
            <w:rFonts w:ascii="Times New Roman" w:hAnsi="Times New Roman"/>
            <w:noProof/>
            <w:lang w:val="en-GB"/>
          </w:rPr>
          <w:t>The stelae from Hazine Kapısı/Analıkız</w:t>
        </w:r>
        <w:r w:rsidRPr="00271A07">
          <w:rPr>
            <w:rStyle w:val="Kpr"/>
            <w:rFonts w:ascii="Times New Roman" w:eastAsia="Calibri" w:hAnsi="Times New Roman" w:cs="Times New Roman"/>
            <w:noProof/>
            <w:lang w:val="en-GB"/>
          </w:rPr>
          <w:t> </w:t>
        </w:r>
        <w:r w:rsidRPr="00271A07">
          <w:rPr>
            <w:rStyle w:val="Kpr"/>
            <w:rFonts w:asciiTheme="majorBidi" w:hAnsiTheme="majorBidi" w:cstheme="majorBidi"/>
            <w:noProof/>
            <w:lang w:val="en-GB"/>
          </w:rPr>
          <w:t xml:space="preserve"> </w:t>
        </w:r>
        <w:r w:rsidRPr="00271A07">
          <w:rPr>
            <w:rStyle w:val="Kpr"/>
            <w:rFonts w:ascii="Times New Roman" w:hAnsi="Times New Roman"/>
            <w:noProof/>
            <w:lang w:val="en-GB"/>
          </w:rPr>
          <w:t>differ from the so far</w:t>
        </w:r>
        <w:r w:rsidRPr="00271A07">
          <w:rPr>
            <w:rStyle w:val="Kpr"/>
            <w:rFonts w:ascii="Times New Roman" w:eastAsia="Calibri" w:hAnsi="Times New Roman" w:cs="Times New Roman"/>
            <w:noProof/>
            <w:lang w:val="en-GB"/>
          </w:rPr>
          <w:t>-</w:t>
        </w:r>
        <w:r w:rsidRPr="00271A07">
          <w:rPr>
            <w:rStyle w:val="Kpr"/>
            <w:rFonts w:ascii="Times New Roman" w:hAnsi="Times New Roman"/>
            <w:noProof/>
            <w:lang w:val="en-GB"/>
          </w:rPr>
          <w:t>known stelae in the sense that they were inscribed on all four sides and their design. Their presence in the citadel, the cuneiform texts and contents, and unique designs adhere closely to the obelisk tradition known from the citadel of the capital of Assyrian</w:t>
        </w:r>
        <w:r w:rsidRPr="00271A07">
          <w:rPr>
            <w:rStyle w:val="Kpr"/>
            <w:rFonts w:ascii="Times New Roman" w:eastAsia="Calibri" w:hAnsi="Times New Roman" w:cs="Times New Roman"/>
            <w:noProof/>
            <w:lang w:val="en-GB"/>
          </w:rPr>
          <w:t> </w:t>
        </w:r>
        <w:r w:rsidRPr="00271A07">
          <w:rPr>
            <w:rStyle w:val="Kpr"/>
            <w:rFonts w:asciiTheme="majorBidi" w:hAnsiTheme="majorBidi" w:cstheme="majorBidi"/>
            <w:noProof/>
            <w:lang w:val="en-GB"/>
          </w:rPr>
          <w:t xml:space="preserve"> </w:t>
        </w:r>
        <w:r w:rsidRPr="00271A07">
          <w:rPr>
            <w:rStyle w:val="Kpr"/>
            <w:rFonts w:ascii="Times New Roman" w:hAnsi="Times New Roman"/>
            <w:noProof/>
            <w:lang w:val="en-GB"/>
          </w:rPr>
          <w:t xml:space="preserve">(Genç, 2019: 231-240). </w:t>
        </w:r>
        <w:r w:rsidRPr="00271A07">
          <w:rPr>
            <w:rStyle w:val="Kpr"/>
            <w:rFonts w:ascii="Times New Roman" w:eastAsia="Calibri" w:hAnsi="Times New Roman" w:cs="Times New Roman"/>
            <w:noProof/>
            <w:lang w:val="en-GB"/>
          </w:rPr>
          <w:t>A</w:t>
        </w:r>
        <w:r w:rsidRPr="00271A07">
          <w:rPr>
            <w:rStyle w:val="Kpr"/>
            <w:rFonts w:ascii="Times New Roman" w:hAnsi="Times New Roman"/>
            <w:noProof/>
            <w:lang w:val="en-GB"/>
          </w:rPr>
          <w:t xml:space="preserve"> comparison with the New Assyrian kingdom would be worthwhile</w:t>
        </w:r>
        <w:r w:rsidRPr="00271A07">
          <w:rPr>
            <w:rStyle w:val="Kpr"/>
            <w:rFonts w:ascii="Times New Roman" w:eastAsia="Calibri" w:hAnsi="Times New Roman" w:cs="Times New Roman"/>
            <w:noProof/>
            <w:lang w:val="en-GB"/>
          </w:rPr>
          <w:t xml:space="preserve"> in this context.</w:t>
        </w:r>
        <w:r w:rsidRPr="00271A07">
          <w:rPr>
            <w:rStyle w:val="Kpr"/>
            <w:rFonts w:asciiTheme="majorBidi" w:hAnsiTheme="majorBidi" w:cstheme="majorBidi"/>
            <w:noProof/>
            <w:lang w:val="en-GB"/>
          </w:rPr>
          <w:t xml:space="preserve"> </w:t>
        </w:r>
        <w:r w:rsidRPr="00271A07">
          <w:rPr>
            <w:rStyle w:val="Kpr"/>
            <w:rFonts w:ascii="Times New Roman" w:hAnsi="Times New Roman"/>
            <w:noProof/>
            <w:lang w:val="en-GB"/>
          </w:rPr>
          <w:t>The “Rassam Obelisk” belonging to Ashurnasirpal II</w:t>
        </w:r>
        <w:r w:rsidRPr="00271A07">
          <w:rPr>
            <w:rStyle w:val="Kpr"/>
            <w:rFonts w:ascii="Times New Roman" w:eastAsia="Calibri" w:hAnsi="Times New Roman" w:cs="Times New Roman"/>
            <w:noProof/>
            <w:lang w:val="en-GB"/>
          </w:rPr>
          <w:t> </w:t>
        </w:r>
        <w:r w:rsidRPr="00271A07">
          <w:rPr>
            <w:rStyle w:val="Kpr"/>
            <w:rFonts w:asciiTheme="majorBidi" w:hAnsiTheme="majorBidi" w:cstheme="majorBidi"/>
            <w:noProof/>
            <w:lang w:val="en-GB"/>
          </w:rPr>
          <w:t xml:space="preserve"> </w:t>
        </w:r>
        <w:r w:rsidRPr="00271A07">
          <w:rPr>
            <w:rStyle w:val="Kpr"/>
            <w:rFonts w:ascii="Times New Roman" w:hAnsi="Times New Roman"/>
            <w:noProof/>
            <w:lang w:val="en-GB"/>
          </w:rPr>
          <w:t>(Rassam, 1897: 10-12; Börker- Klähn, 1982: no. 138; Grayson, 1991: A.0.101.24) and the ‘Black Obelisk</w:t>
        </w:r>
        <w:r w:rsidRPr="00271A07">
          <w:rPr>
            <w:rStyle w:val="Kpr"/>
            <w:rFonts w:ascii="Times New Roman" w:eastAsia="Calibri" w:hAnsi="Times New Roman" w:cs="Times New Roman"/>
            <w:noProof/>
            <w:lang w:val="en-GB"/>
          </w:rPr>
          <w:t xml:space="preserve">’ </w:t>
        </w:r>
        <w:r w:rsidRPr="00271A07">
          <w:rPr>
            <w:rStyle w:val="Kpr"/>
            <w:rFonts w:asciiTheme="majorBidi" w:hAnsiTheme="majorBidi" w:cstheme="majorBidi"/>
            <w:noProof/>
            <w:lang w:val="en-GB"/>
          </w:rPr>
          <w:t>”</w:t>
        </w:r>
        <w:r w:rsidRPr="00271A07">
          <w:rPr>
            <w:rStyle w:val="Kpr"/>
            <w:rFonts w:ascii="Times New Roman" w:hAnsi="Times New Roman"/>
            <w:noProof/>
            <w:lang w:val="en-GB"/>
          </w:rPr>
          <w:t xml:space="preserve"> of Shalmaneser III</w:t>
        </w:r>
        <w:r w:rsidRPr="00271A07">
          <w:rPr>
            <w:rStyle w:val="Kpr"/>
            <w:rFonts w:ascii="Times New Roman" w:eastAsia="Calibri" w:hAnsi="Times New Roman" w:cs="Times New Roman"/>
            <w:noProof/>
            <w:lang w:val="en-GB"/>
          </w:rPr>
          <w:t> </w:t>
        </w:r>
        <w:r w:rsidRPr="00271A07">
          <w:rPr>
            <w:rStyle w:val="Kpr"/>
            <w:rFonts w:asciiTheme="majorBidi" w:hAnsiTheme="majorBidi" w:cstheme="majorBidi"/>
            <w:noProof/>
            <w:lang w:val="en-GB"/>
          </w:rPr>
          <w:t xml:space="preserve"> </w:t>
        </w:r>
        <w:r w:rsidRPr="00271A07">
          <w:rPr>
            <w:rStyle w:val="Kpr"/>
            <w:rFonts w:ascii="Times New Roman" w:hAnsi="Times New Roman"/>
            <w:noProof/>
            <w:lang w:val="en-GB"/>
          </w:rPr>
          <w:t>(Layard</w:t>
        </w:r>
        <w:r w:rsidRPr="00271A07">
          <w:rPr>
            <w:rStyle w:val="Kpr"/>
            <w:rFonts w:asciiTheme="majorBidi" w:hAnsiTheme="majorBidi" w:cstheme="majorBidi"/>
            <w:noProof/>
            <w:lang w:val="en-GB"/>
          </w:rPr>
          <w:t>,</w:t>
        </w:r>
        <w:r w:rsidRPr="00271A07">
          <w:rPr>
            <w:rStyle w:val="Kpr"/>
            <w:rFonts w:ascii="Times New Roman" w:hAnsi="Times New Roman"/>
            <w:noProof/>
            <w:lang w:val="en-GB"/>
          </w:rPr>
          <w:t xml:space="preserve"> 1849: 12-13, Pl. 53-56; Börker-Klähn, 1982: no. 152; Grayson, 1996: A.0.102.14) was found inside the citadel in Nimrud</w:t>
        </w:r>
        <w:r w:rsidRPr="00271A07">
          <w:rPr>
            <w:rStyle w:val="Kpr"/>
            <w:rFonts w:ascii="Times New Roman" w:eastAsia="Calibri" w:hAnsi="Times New Roman" w:cs="Times New Roman"/>
            <w:noProof/>
            <w:lang w:val="en-GB"/>
          </w:rPr>
          <w:t>/</w:t>
        </w:r>
        <w:r w:rsidRPr="00271A07">
          <w:rPr>
            <w:rStyle w:val="Kpr"/>
            <w:rFonts w:ascii="Times New Roman" w:hAnsi="Times New Roman"/>
            <w:noProof/>
            <w:lang w:val="en-GB"/>
          </w:rPr>
          <w:t>Kalhu</w:t>
        </w:r>
        <w:r w:rsidRPr="00271A07">
          <w:rPr>
            <w:rStyle w:val="Kpr"/>
            <w:rFonts w:asciiTheme="majorBidi" w:hAnsiTheme="majorBidi" w:cstheme="majorBidi"/>
            <w:noProof/>
            <w:lang w:val="en-GB"/>
          </w:rPr>
          <w:t>.</w:t>
        </w:r>
        <w:r w:rsidRPr="00271A07">
          <w:rPr>
            <w:rStyle w:val="Kpr"/>
            <w:rFonts w:ascii="Times New Roman" w:hAnsi="Times New Roman"/>
            <w:noProof/>
            <w:lang w:val="en-GB"/>
          </w:rPr>
          <w:t xml:space="preserve"> Another obelisk of Ashurnasirpal II</w:t>
        </w:r>
        <w:r w:rsidRPr="00271A07">
          <w:rPr>
            <w:rStyle w:val="Kpr"/>
            <w:rFonts w:ascii="Times New Roman" w:eastAsia="Calibri" w:hAnsi="Times New Roman" w:cs="Times New Roman"/>
            <w:noProof/>
            <w:lang w:val="en-GB"/>
          </w:rPr>
          <w:t>,</w:t>
        </w:r>
        <w:r w:rsidRPr="00271A07">
          <w:rPr>
            <w:rStyle w:val="Kpr"/>
            <w:rFonts w:ascii="Times New Roman" w:hAnsi="Times New Roman"/>
            <w:noProof/>
            <w:lang w:val="en-GB"/>
          </w:rPr>
          <w:t xml:space="preserve"> the ‘White Obelisk</w:t>
        </w:r>
        <w:r w:rsidRPr="00271A07">
          <w:rPr>
            <w:rStyle w:val="Kpr"/>
            <w:rFonts w:ascii="Times New Roman" w:eastAsia="Calibri" w:hAnsi="Times New Roman" w:cs="Times New Roman"/>
            <w:noProof/>
            <w:lang w:val="en-GB"/>
          </w:rPr>
          <w:t xml:space="preserve">’ </w:t>
        </w:r>
        <w:r w:rsidRPr="00271A07">
          <w:rPr>
            <w:rStyle w:val="Kpr"/>
            <w:rFonts w:ascii="Times New Roman" w:hAnsi="Times New Roman"/>
            <w:noProof/>
            <w:lang w:val="en-GB"/>
          </w:rPr>
          <w:t>was found inside the citadel in Nineveh</w:t>
        </w:r>
        <w:r w:rsidRPr="00271A07">
          <w:rPr>
            <w:rStyle w:val="Kpr"/>
            <w:rFonts w:ascii="Times New Roman" w:eastAsia="Calibri" w:hAnsi="Times New Roman" w:cs="Times New Roman"/>
            <w:noProof/>
            <w:lang w:val="en-GB"/>
          </w:rPr>
          <w:t> </w:t>
        </w:r>
        <w:r w:rsidRPr="00271A07">
          <w:rPr>
            <w:rStyle w:val="Kpr"/>
            <w:rFonts w:asciiTheme="majorBidi" w:hAnsiTheme="majorBidi" w:cstheme="majorBidi"/>
            <w:noProof/>
            <w:lang w:val="en-GB"/>
          </w:rPr>
          <w:t xml:space="preserve"> </w:t>
        </w:r>
        <w:r w:rsidRPr="00271A07">
          <w:rPr>
            <w:rStyle w:val="Kpr"/>
            <w:rFonts w:ascii="Times New Roman" w:hAnsi="Times New Roman"/>
            <w:noProof/>
            <w:lang w:val="en-GB"/>
          </w:rPr>
          <w:t>(Rassam, 1897: 8-9). It is understood that the Assyrian obelisks were related to the palaces and sacred structures inside the citadel. For the Urartian</w:t>
        </w:r>
        <w:r w:rsidRPr="00271A07">
          <w:rPr>
            <w:rStyle w:val="Kpr"/>
            <w:rFonts w:ascii="Times New Roman" w:eastAsia="Calibri" w:hAnsi="Times New Roman" w:cs="Times New Roman"/>
            <w:noProof/>
            <w:lang w:val="en-GB"/>
          </w:rPr>
          <w:t> </w:t>
        </w:r>
        <w:r w:rsidRPr="00271A07">
          <w:rPr>
            <w:rStyle w:val="Kpr"/>
            <w:rFonts w:asciiTheme="majorBidi" w:hAnsiTheme="majorBidi" w:cstheme="majorBidi"/>
            <w:noProof/>
            <w:lang w:val="en-GB"/>
          </w:rPr>
          <w:t xml:space="preserve"> </w:t>
        </w:r>
        <w:r w:rsidRPr="00271A07">
          <w:rPr>
            <w:rStyle w:val="Kpr"/>
            <w:rFonts w:ascii="Times New Roman" w:hAnsi="Times New Roman"/>
            <w:noProof/>
            <w:lang w:val="en-GB"/>
          </w:rPr>
          <w:t>kingdom, we can suggest the presence of an obelisk tradition during the reigns of Argišti I</w:t>
        </w:r>
        <w:r w:rsidRPr="00271A07">
          <w:rPr>
            <w:rStyle w:val="Kpr"/>
            <w:rFonts w:ascii="Times New Roman" w:eastAsia="Calibri" w:hAnsi="Times New Roman" w:cs="Times New Roman"/>
            <w:noProof/>
            <w:lang w:val="en-GB"/>
          </w:rPr>
          <w:t> </w:t>
        </w:r>
        <w:r w:rsidRPr="00271A07">
          <w:rPr>
            <w:rStyle w:val="Kpr"/>
            <w:rFonts w:asciiTheme="majorBidi" w:hAnsiTheme="majorBidi" w:cstheme="majorBidi"/>
            <w:noProof/>
            <w:lang w:val="en-GB"/>
          </w:rPr>
          <w:t xml:space="preserve"> </w:t>
        </w:r>
        <w:r w:rsidRPr="00271A07">
          <w:rPr>
            <w:rStyle w:val="Kpr"/>
            <w:rFonts w:ascii="Times New Roman" w:hAnsi="Times New Roman"/>
            <w:noProof/>
            <w:lang w:val="en-GB"/>
          </w:rPr>
          <w:t>(CTU I. A 8-1, 2) and Sarduri II</w:t>
        </w:r>
        <w:r w:rsidRPr="00271A07">
          <w:rPr>
            <w:rStyle w:val="Kpr"/>
            <w:rFonts w:ascii="Times New Roman" w:eastAsia="Calibri" w:hAnsi="Times New Roman" w:cs="Times New Roman"/>
            <w:noProof/>
            <w:lang w:val="en-GB"/>
          </w:rPr>
          <w:t> </w:t>
        </w:r>
        <w:r w:rsidRPr="00271A07">
          <w:rPr>
            <w:rStyle w:val="Kpr"/>
            <w:rFonts w:asciiTheme="majorBidi" w:hAnsiTheme="majorBidi" w:cstheme="majorBidi"/>
            <w:noProof/>
            <w:lang w:val="en-GB"/>
          </w:rPr>
          <w:t xml:space="preserve"> </w:t>
        </w:r>
        <w:r w:rsidRPr="00271A07">
          <w:rPr>
            <w:rStyle w:val="Kpr"/>
            <w:rFonts w:ascii="Times New Roman" w:hAnsi="Times New Roman"/>
            <w:noProof/>
            <w:lang w:val="en-GB"/>
          </w:rPr>
          <w:t xml:space="preserve">(CTU I. A 9-1, 2, 3). These forms that consist of the chronicles of both kings can be defined as obelisks and were found in a unit related to the citadel of the capital of the Urartian Kingdom (Fig. 9, 11). These examples are similar to the Assyrian obelisks </w:t>
        </w:r>
        <w:r w:rsidRPr="00271A07">
          <w:rPr>
            <w:rStyle w:val="Kpr"/>
            <w:rFonts w:ascii="Times New Roman" w:eastAsia="Calibri" w:hAnsi="Times New Roman" w:cs="Times New Roman"/>
            <w:noProof/>
            <w:lang w:val="en-GB"/>
          </w:rPr>
          <w:t>regarding</w:t>
        </w:r>
        <w:r w:rsidRPr="00271A07">
          <w:rPr>
            <w:rStyle w:val="Kpr"/>
            <w:rFonts w:ascii="Times New Roman" w:hAnsi="Times New Roman"/>
            <w:noProof/>
            <w:lang w:val="en-GB"/>
          </w:rPr>
          <w:t xml:space="preserve"> the contents of the cuneiform texts as well (Genç, 2015: 431-435; Genç, 2019: 238).</w:t>
        </w:r>
        <w:r>
          <w:rPr>
            <w:noProof/>
            <w:webHidden/>
          </w:rPr>
          <w:tab/>
        </w:r>
        <w:r>
          <w:rPr>
            <w:noProof/>
            <w:webHidden/>
          </w:rPr>
          <w:fldChar w:fldCharType="begin"/>
        </w:r>
        <w:r>
          <w:rPr>
            <w:noProof/>
            <w:webHidden/>
          </w:rPr>
          <w:instrText xml:space="preserve"> PAGEREF _Toc173231256 \h </w:instrText>
        </w:r>
        <w:r>
          <w:rPr>
            <w:noProof/>
            <w:webHidden/>
          </w:rPr>
        </w:r>
        <w:r>
          <w:rPr>
            <w:noProof/>
            <w:webHidden/>
          </w:rPr>
          <w:fldChar w:fldCharType="separate"/>
        </w:r>
        <w:r>
          <w:rPr>
            <w:noProof/>
            <w:webHidden/>
          </w:rPr>
          <w:t>345</w:t>
        </w:r>
        <w:r>
          <w:rPr>
            <w:noProof/>
            <w:webHidden/>
          </w:rPr>
          <w:fldChar w:fldCharType="end"/>
        </w:r>
      </w:hyperlink>
    </w:p>
    <w:p w14:paraId="0704A553" w14:textId="3E4955C4" w:rsidR="00765317" w:rsidRDefault="00765317">
      <w:pPr>
        <w:pStyle w:val="T3"/>
        <w:tabs>
          <w:tab w:val="right" w:leader="dot" w:pos="9019"/>
        </w:tabs>
        <w:rPr>
          <w:rFonts w:eastAsiaTheme="minorEastAsia" w:cstheme="minorBidi"/>
          <w:noProof/>
          <w:sz w:val="24"/>
          <w:lang w:eastAsia="tr-TR" w:bidi="he-IL"/>
        </w:rPr>
      </w:pPr>
      <w:hyperlink w:anchor="_Toc173231257" w:history="1">
        <w:r w:rsidRPr="00271A07">
          <w:rPr>
            <w:rStyle w:val="Kpr"/>
            <w:rFonts w:ascii="Times New Roman" w:hAnsi="Times New Roman"/>
            <w:b/>
            <w:noProof/>
            <w:lang w:val="en-GB"/>
          </w:rPr>
          <w:t>10.3.1. The Drainage Channel that was interpreted as a Sacrificial Channel</w:t>
        </w:r>
        <w:r>
          <w:rPr>
            <w:noProof/>
            <w:webHidden/>
          </w:rPr>
          <w:tab/>
        </w:r>
        <w:r>
          <w:rPr>
            <w:noProof/>
            <w:webHidden/>
          </w:rPr>
          <w:fldChar w:fldCharType="begin"/>
        </w:r>
        <w:r>
          <w:rPr>
            <w:noProof/>
            <w:webHidden/>
          </w:rPr>
          <w:instrText xml:space="preserve"> PAGEREF _Toc173231257 \h </w:instrText>
        </w:r>
        <w:r>
          <w:rPr>
            <w:noProof/>
            <w:webHidden/>
          </w:rPr>
        </w:r>
        <w:r>
          <w:rPr>
            <w:noProof/>
            <w:webHidden/>
          </w:rPr>
          <w:fldChar w:fldCharType="separate"/>
        </w:r>
        <w:r>
          <w:rPr>
            <w:noProof/>
            <w:webHidden/>
          </w:rPr>
          <w:t>345</w:t>
        </w:r>
        <w:r>
          <w:rPr>
            <w:noProof/>
            <w:webHidden/>
          </w:rPr>
          <w:fldChar w:fldCharType="end"/>
        </w:r>
      </w:hyperlink>
    </w:p>
    <w:p w14:paraId="58470AE3" w14:textId="7DEA4296" w:rsidR="00765317" w:rsidRDefault="00765317">
      <w:pPr>
        <w:pStyle w:val="T3"/>
        <w:tabs>
          <w:tab w:val="right" w:leader="dot" w:pos="9019"/>
        </w:tabs>
        <w:rPr>
          <w:rFonts w:eastAsiaTheme="minorEastAsia" w:cstheme="minorBidi"/>
          <w:noProof/>
          <w:sz w:val="24"/>
          <w:lang w:eastAsia="tr-TR" w:bidi="he-IL"/>
        </w:rPr>
      </w:pPr>
      <w:hyperlink w:anchor="_Toc173231258" w:history="1">
        <w:r w:rsidRPr="00271A07">
          <w:rPr>
            <w:rStyle w:val="Kpr"/>
            <w:rFonts w:ascii="Times New Roman" w:hAnsi="Times New Roman"/>
            <w:b/>
            <w:noProof/>
            <w:lang w:val="en-GB"/>
          </w:rPr>
          <w:t>10.3.2. Structural Aspects of the Area</w:t>
        </w:r>
        <w:r>
          <w:rPr>
            <w:noProof/>
            <w:webHidden/>
          </w:rPr>
          <w:tab/>
        </w:r>
        <w:r>
          <w:rPr>
            <w:noProof/>
            <w:webHidden/>
          </w:rPr>
          <w:fldChar w:fldCharType="begin"/>
        </w:r>
        <w:r>
          <w:rPr>
            <w:noProof/>
            <w:webHidden/>
          </w:rPr>
          <w:instrText xml:space="preserve"> PAGEREF _Toc173231258 \h </w:instrText>
        </w:r>
        <w:r>
          <w:rPr>
            <w:noProof/>
            <w:webHidden/>
          </w:rPr>
        </w:r>
        <w:r>
          <w:rPr>
            <w:noProof/>
            <w:webHidden/>
          </w:rPr>
          <w:fldChar w:fldCharType="separate"/>
        </w:r>
        <w:r>
          <w:rPr>
            <w:noProof/>
            <w:webHidden/>
          </w:rPr>
          <w:t>346</w:t>
        </w:r>
        <w:r>
          <w:rPr>
            <w:noProof/>
            <w:webHidden/>
          </w:rPr>
          <w:fldChar w:fldCharType="end"/>
        </w:r>
      </w:hyperlink>
    </w:p>
    <w:p w14:paraId="387986F9" w14:textId="09760DD7" w:rsidR="00765317" w:rsidRDefault="00765317">
      <w:pPr>
        <w:pStyle w:val="T2"/>
        <w:rPr>
          <w:rFonts w:eastAsiaTheme="minorEastAsia" w:cstheme="minorBidi"/>
          <w:i w:val="0"/>
          <w:iCs w:val="0"/>
          <w:noProof/>
          <w:sz w:val="24"/>
          <w:lang w:eastAsia="tr-TR" w:bidi="he-IL"/>
        </w:rPr>
      </w:pPr>
      <w:hyperlink w:anchor="_Toc173231259" w:history="1">
        <w:r w:rsidRPr="00271A07">
          <w:rPr>
            <w:rStyle w:val="Kpr"/>
            <w:rFonts w:ascii="Times New Roman" w:hAnsi="Times New Roman"/>
            <w:b/>
            <w:noProof/>
            <w:lang w:val="en-GB"/>
          </w:rPr>
          <w:t>10.4. Conclusion</w:t>
        </w:r>
        <w:r>
          <w:rPr>
            <w:noProof/>
            <w:webHidden/>
          </w:rPr>
          <w:tab/>
        </w:r>
        <w:r>
          <w:rPr>
            <w:noProof/>
            <w:webHidden/>
          </w:rPr>
          <w:fldChar w:fldCharType="begin"/>
        </w:r>
        <w:r>
          <w:rPr>
            <w:noProof/>
            <w:webHidden/>
          </w:rPr>
          <w:instrText xml:space="preserve"> PAGEREF _Toc173231259 \h </w:instrText>
        </w:r>
        <w:r>
          <w:rPr>
            <w:noProof/>
            <w:webHidden/>
          </w:rPr>
        </w:r>
        <w:r>
          <w:rPr>
            <w:noProof/>
            <w:webHidden/>
          </w:rPr>
          <w:fldChar w:fldCharType="separate"/>
        </w:r>
        <w:r>
          <w:rPr>
            <w:noProof/>
            <w:webHidden/>
          </w:rPr>
          <w:t>347</w:t>
        </w:r>
        <w:r>
          <w:rPr>
            <w:noProof/>
            <w:webHidden/>
          </w:rPr>
          <w:fldChar w:fldCharType="end"/>
        </w:r>
      </w:hyperlink>
    </w:p>
    <w:p w14:paraId="293BD680" w14:textId="608F368D" w:rsidR="00765317" w:rsidRDefault="00765317">
      <w:pPr>
        <w:pStyle w:val="T1"/>
        <w:rPr>
          <w:rFonts w:eastAsiaTheme="minorEastAsia" w:cstheme="minorBidi"/>
          <w:b w:val="0"/>
          <w:bCs w:val="0"/>
          <w:noProof/>
          <w:sz w:val="24"/>
          <w:lang w:eastAsia="tr-TR" w:bidi="he-IL"/>
        </w:rPr>
      </w:pPr>
      <w:hyperlink w:anchor="_Toc173231260" w:history="1">
        <w:r w:rsidRPr="00271A07">
          <w:rPr>
            <w:rStyle w:val="Kpr"/>
            <w:noProof/>
          </w:rPr>
          <w:t>CHAPTER XI</w:t>
        </w:r>
        <w:r>
          <w:rPr>
            <w:noProof/>
            <w:webHidden/>
          </w:rPr>
          <w:tab/>
        </w:r>
        <w:r>
          <w:rPr>
            <w:noProof/>
            <w:webHidden/>
          </w:rPr>
          <w:fldChar w:fldCharType="begin"/>
        </w:r>
        <w:r>
          <w:rPr>
            <w:noProof/>
            <w:webHidden/>
          </w:rPr>
          <w:instrText xml:space="preserve"> PAGEREF _Toc173231260 \h </w:instrText>
        </w:r>
        <w:r>
          <w:rPr>
            <w:noProof/>
            <w:webHidden/>
          </w:rPr>
        </w:r>
        <w:r>
          <w:rPr>
            <w:noProof/>
            <w:webHidden/>
          </w:rPr>
          <w:fldChar w:fldCharType="separate"/>
        </w:r>
        <w:r>
          <w:rPr>
            <w:noProof/>
            <w:webHidden/>
          </w:rPr>
          <w:t>349</w:t>
        </w:r>
        <w:r>
          <w:rPr>
            <w:noProof/>
            <w:webHidden/>
          </w:rPr>
          <w:fldChar w:fldCharType="end"/>
        </w:r>
      </w:hyperlink>
    </w:p>
    <w:p w14:paraId="77A0B062" w14:textId="7BF305B9" w:rsidR="00765317" w:rsidRDefault="00765317">
      <w:pPr>
        <w:pStyle w:val="T1"/>
        <w:rPr>
          <w:rFonts w:eastAsiaTheme="minorEastAsia" w:cstheme="minorBidi"/>
          <w:b w:val="0"/>
          <w:bCs w:val="0"/>
          <w:noProof/>
          <w:sz w:val="24"/>
          <w:lang w:eastAsia="tr-TR" w:bidi="he-IL"/>
        </w:rPr>
      </w:pPr>
      <w:hyperlink w:anchor="_Toc173231261" w:history="1">
        <w:r w:rsidRPr="00271A07">
          <w:rPr>
            <w:rStyle w:val="Kpr"/>
            <w:noProof/>
          </w:rPr>
          <w:t>The Ṭušpa-Horhor Fountain</w:t>
        </w:r>
        <w:r>
          <w:rPr>
            <w:noProof/>
            <w:webHidden/>
          </w:rPr>
          <w:tab/>
        </w:r>
        <w:r>
          <w:rPr>
            <w:noProof/>
            <w:webHidden/>
          </w:rPr>
          <w:fldChar w:fldCharType="begin"/>
        </w:r>
        <w:r>
          <w:rPr>
            <w:noProof/>
            <w:webHidden/>
          </w:rPr>
          <w:instrText xml:space="preserve"> PAGEREF _Toc173231261 \h </w:instrText>
        </w:r>
        <w:r>
          <w:rPr>
            <w:noProof/>
            <w:webHidden/>
          </w:rPr>
        </w:r>
        <w:r>
          <w:rPr>
            <w:noProof/>
            <w:webHidden/>
          </w:rPr>
          <w:fldChar w:fldCharType="separate"/>
        </w:r>
        <w:r>
          <w:rPr>
            <w:noProof/>
            <w:webHidden/>
          </w:rPr>
          <w:t>349</w:t>
        </w:r>
        <w:r>
          <w:rPr>
            <w:noProof/>
            <w:webHidden/>
          </w:rPr>
          <w:fldChar w:fldCharType="end"/>
        </w:r>
      </w:hyperlink>
    </w:p>
    <w:p w14:paraId="6A9B8F2B" w14:textId="673479AC" w:rsidR="00765317" w:rsidRDefault="00765317">
      <w:pPr>
        <w:pStyle w:val="T2"/>
        <w:rPr>
          <w:rFonts w:eastAsiaTheme="minorEastAsia" w:cstheme="minorBidi"/>
          <w:i w:val="0"/>
          <w:iCs w:val="0"/>
          <w:noProof/>
          <w:sz w:val="24"/>
          <w:lang w:eastAsia="tr-TR" w:bidi="he-IL"/>
        </w:rPr>
      </w:pPr>
      <w:hyperlink w:anchor="_Toc173231262" w:history="1">
        <w:r w:rsidRPr="00271A07">
          <w:rPr>
            <w:rStyle w:val="Kpr"/>
            <w:rFonts w:ascii="Times New Roman" w:hAnsi="Times New Roman"/>
            <w:b/>
            <w:noProof/>
            <w:lang w:val="en-GB"/>
          </w:rPr>
          <w:t>11.1. Introduction</w:t>
        </w:r>
        <w:r>
          <w:rPr>
            <w:noProof/>
            <w:webHidden/>
          </w:rPr>
          <w:tab/>
        </w:r>
        <w:r>
          <w:rPr>
            <w:noProof/>
            <w:webHidden/>
          </w:rPr>
          <w:fldChar w:fldCharType="begin"/>
        </w:r>
        <w:r>
          <w:rPr>
            <w:noProof/>
            <w:webHidden/>
          </w:rPr>
          <w:instrText xml:space="preserve"> PAGEREF _Toc173231262 \h </w:instrText>
        </w:r>
        <w:r>
          <w:rPr>
            <w:noProof/>
            <w:webHidden/>
          </w:rPr>
        </w:r>
        <w:r>
          <w:rPr>
            <w:noProof/>
            <w:webHidden/>
          </w:rPr>
          <w:fldChar w:fldCharType="separate"/>
        </w:r>
        <w:r>
          <w:rPr>
            <w:noProof/>
            <w:webHidden/>
          </w:rPr>
          <w:t>349</w:t>
        </w:r>
        <w:r>
          <w:rPr>
            <w:noProof/>
            <w:webHidden/>
          </w:rPr>
          <w:fldChar w:fldCharType="end"/>
        </w:r>
      </w:hyperlink>
    </w:p>
    <w:p w14:paraId="6CD0504A" w14:textId="64CF65CB" w:rsidR="00765317" w:rsidRDefault="00765317">
      <w:pPr>
        <w:pStyle w:val="T2"/>
        <w:rPr>
          <w:rFonts w:eastAsiaTheme="minorEastAsia" w:cstheme="minorBidi"/>
          <w:i w:val="0"/>
          <w:iCs w:val="0"/>
          <w:noProof/>
          <w:sz w:val="24"/>
          <w:lang w:eastAsia="tr-TR" w:bidi="he-IL"/>
        </w:rPr>
      </w:pPr>
      <w:hyperlink w:anchor="_Toc173231263" w:history="1">
        <w:r w:rsidRPr="00271A07">
          <w:rPr>
            <w:rStyle w:val="Kpr"/>
            <w:rFonts w:ascii="Times New Roman" w:hAnsi="Times New Roman"/>
            <w:b/>
            <w:noProof/>
            <w:lang w:val="en-GB"/>
          </w:rPr>
          <w:t>11.2. The Horhor Fountain</w:t>
        </w:r>
        <w:r>
          <w:rPr>
            <w:noProof/>
            <w:webHidden/>
          </w:rPr>
          <w:tab/>
        </w:r>
        <w:r>
          <w:rPr>
            <w:noProof/>
            <w:webHidden/>
          </w:rPr>
          <w:fldChar w:fldCharType="begin"/>
        </w:r>
        <w:r>
          <w:rPr>
            <w:noProof/>
            <w:webHidden/>
          </w:rPr>
          <w:instrText xml:space="preserve"> PAGEREF _Toc173231263 \h </w:instrText>
        </w:r>
        <w:r>
          <w:rPr>
            <w:noProof/>
            <w:webHidden/>
          </w:rPr>
        </w:r>
        <w:r>
          <w:rPr>
            <w:noProof/>
            <w:webHidden/>
          </w:rPr>
          <w:fldChar w:fldCharType="separate"/>
        </w:r>
        <w:r>
          <w:rPr>
            <w:noProof/>
            <w:webHidden/>
          </w:rPr>
          <w:t>354</w:t>
        </w:r>
        <w:r>
          <w:rPr>
            <w:noProof/>
            <w:webHidden/>
          </w:rPr>
          <w:fldChar w:fldCharType="end"/>
        </w:r>
      </w:hyperlink>
    </w:p>
    <w:p w14:paraId="0EA527C3" w14:textId="29726C5E" w:rsidR="00765317" w:rsidRDefault="00765317">
      <w:pPr>
        <w:pStyle w:val="T2"/>
        <w:rPr>
          <w:rFonts w:eastAsiaTheme="minorEastAsia" w:cstheme="minorBidi"/>
          <w:i w:val="0"/>
          <w:iCs w:val="0"/>
          <w:noProof/>
          <w:sz w:val="24"/>
          <w:lang w:eastAsia="tr-TR" w:bidi="he-IL"/>
        </w:rPr>
      </w:pPr>
      <w:hyperlink w:anchor="_Toc173231264" w:history="1">
        <w:r w:rsidRPr="00271A07">
          <w:rPr>
            <w:rStyle w:val="Kpr"/>
            <w:rFonts w:ascii="Times New Roman" w:hAnsi="Times New Roman"/>
            <w:b/>
            <w:noProof/>
            <w:lang w:val="en-GB"/>
          </w:rPr>
          <w:t>11.3. Conclusion</w:t>
        </w:r>
        <w:r>
          <w:rPr>
            <w:noProof/>
            <w:webHidden/>
          </w:rPr>
          <w:tab/>
        </w:r>
        <w:r>
          <w:rPr>
            <w:noProof/>
            <w:webHidden/>
          </w:rPr>
          <w:fldChar w:fldCharType="begin"/>
        </w:r>
        <w:r>
          <w:rPr>
            <w:noProof/>
            <w:webHidden/>
          </w:rPr>
          <w:instrText xml:space="preserve"> PAGEREF _Toc173231264 \h </w:instrText>
        </w:r>
        <w:r>
          <w:rPr>
            <w:noProof/>
            <w:webHidden/>
          </w:rPr>
        </w:r>
        <w:r>
          <w:rPr>
            <w:noProof/>
            <w:webHidden/>
          </w:rPr>
          <w:fldChar w:fldCharType="separate"/>
        </w:r>
        <w:r>
          <w:rPr>
            <w:noProof/>
            <w:webHidden/>
          </w:rPr>
          <w:t>358</w:t>
        </w:r>
        <w:r>
          <w:rPr>
            <w:noProof/>
            <w:webHidden/>
          </w:rPr>
          <w:fldChar w:fldCharType="end"/>
        </w:r>
      </w:hyperlink>
    </w:p>
    <w:p w14:paraId="70F3277F" w14:textId="0A923EFC" w:rsidR="00765317" w:rsidRDefault="00765317">
      <w:pPr>
        <w:pStyle w:val="T1"/>
        <w:rPr>
          <w:rFonts w:eastAsiaTheme="minorEastAsia" w:cstheme="minorBidi"/>
          <w:b w:val="0"/>
          <w:bCs w:val="0"/>
          <w:noProof/>
          <w:sz w:val="24"/>
          <w:lang w:eastAsia="tr-TR" w:bidi="he-IL"/>
        </w:rPr>
      </w:pPr>
      <w:hyperlink w:anchor="_Toc173231265" w:history="1">
        <w:r w:rsidRPr="00271A07">
          <w:rPr>
            <w:rStyle w:val="Kpr"/>
            <w:noProof/>
          </w:rPr>
          <w:t>CHAPTER XII</w:t>
        </w:r>
        <w:r>
          <w:rPr>
            <w:noProof/>
            <w:webHidden/>
          </w:rPr>
          <w:tab/>
        </w:r>
        <w:r>
          <w:rPr>
            <w:noProof/>
            <w:webHidden/>
          </w:rPr>
          <w:fldChar w:fldCharType="begin"/>
        </w:r>
        <w:r>
          <w:rPr>
            <w:noProof/>
            <w:webHidden/>
          </w:rPr>
          <w:instrText xml:space="preserve"> PAGEREF _Toc173231265 \h </w:instrText>
        </w:r>
        <w:r>
          <w:rPr>
            <w:noProof/>
            <w:webHidden/>
          </w:rPr>
        </w:r>
        <w:r>
          <w:rPr>
            <w:noProof/>
            <w:webHidden/>
          </w:rPr>
          <w:fldChar w:fldCharType="separate"/>
        </w:r>
        <w:r>
          <w:rPr>
            <w:noProof/>
            <w:webHidden/>
          </w:rPr>
          <w:t>360</w:t>
        </w:r>
        <w:r>
          <w:rPr>
            <w:noProof/>
            <w:webHidden/>
          </w:rPr>
          <w:fldChar w:fldCharType="end"/>
        </w:r>
      </w:hyperlink>
    </w:p>
    <w:p w14:paraId="3B3F342A" w14:textId="6151F4E1" w:rsidR="00765317" w:rsidRDefault="00765317">
      <w:pPr>
        <w:pStyle w:val="T1"/>
        <w:rPr>
          <w:rFonts w:eastAsiaTheme="minorEastAsia" w:cstheme="minorBidi"/>
          <w:b w:val="0"/>
          <w:bCs w:val="0"/>
          <w:noProof/>
          <w:sz w:val="24"/>
          <w:lang w:eastAsia="tr-TR" w:bidi="he-IL"/>
        </w:rPr>
      </w:pPr>
      <w:hyperlink w:anchor="_Toc173231266" w:history="1">
        <w:r w:rsidRPr="00271A07">
          <w:rPr>
            <w:rStyle w:val="Kpr"/>
            <w:noProof/>
          </w:rPr>
          <w:t>“T” Shaped Niches Carved in the Bedrock of Van Fortress and Surrounding Places</w:t>
        </w:r>
        <w:r>
          <w:rPr>
            <w:noProof/>
            <w:webHidden/>
          </w:rPr>
          <w:tab/>
        </w:r>
        <w:r>
          <w:rPr>
            <w:noProof/>
            <w:webHidden/>
          </w:rPr>
          <w:fldChar w:fldCharType="begin"/>
        </w:r>
        <w:r>
          <w:rPr>
            <w:noProof/>
            <w:webHidden/>
          </w:rPr>
          <w:instrText xml:space="preserve"> PAGEREF _Toc173231266 \h </w:instrText>
        </w:r>
        <w:r>
          <w:rPr>
            <w:noProof/>
            <w:webHidden/>
          </w:rPr>
        </w:r>
        <w:r>
          <w:rPr>
            <w:noProof/>
            <w:webHidden/>
          </w:rPr>
          <w:fldChar w:fldCharType="separate"/>
        </w:r>
        <w:r>
          <w:rPr>
            <w:noProof/>
            <w:webHidden/>
          </w:rPr>
          <w:t>360</w:t>
        </w:r>
        <w:r>
          <w:rPr>
            <w:noProof/>
            <w:webHidden/>
          </w:rPr>
          <w:fldChar w:fldCharType="end"/>
        </w:r>
      </w:hyperlink>
    </w:p>
    <w:p w14:paraId="02C100DC" w14:textId="28FD05B2" w:rsidR="00765317" w:rsidRDefault="00765317">
      <w:pPr>
        <w:pStyle w:val="T2"/>
        <w:rPr>
          <w:rFonts w:eastAsiaTheme="minorEastAsia" w:cstheme="minorBidi"/>
          <w:i w:val="0"/>
          <w:iCs w:val="0"/>
          <w:noProof/>
          <w:sz w:val="24"/>
          <w:lang w:eastAsia="tr-TR" w:bidi="he-IL"/>
        </w:rPr>
      </w:pPr>
      <w:hyperlink w:anchor="_Toc173231267" w:history="1">
        <w:r w:rsidRPr="00271A07">
          <w:rPr>
            <w:rStyle w:val="Kpr"/>
            <w:rFonts w:ascii="Times New Roman" w:hAnsi="Times New Roman" w:cs="Times New Roman"/>
            <w:b/>
            <w:noProof/>
            <w:lang w:val="en-GB"/>
          </w:rPr>
          <w:t>12.2. “T” Shaped Niches on the Rock of Van Fortress</w:t>
        </w:r>
        <w:r>
          <w:rPr>
            <w:noProof/>
            <w:webHidden/>
          </w:rPr>
          <w:tab/>
        </w:r>
        <w:r>
          <w:rPr>
            <w:noProof/>
            <w:webHidden/>
          </w:rPr>
          <w:fldChar w:fldCharType="begin"/>
        </w:r>
        <w:r>
          <w:rPr>
            <w:noProof/>
            <w:webHidden/>
          </w:rPr>
          <w:instrText xml:space="preserve"> PAGEREF _Toc173231267 \h </w:instrText>
        </w:r>
        <w:r>
          <w:rPr>
            <w:noProof/>
            <w:webHidden/>
          </w:rPr>
        </w:r>
        <w:r>
          <w:rPr>
            <w:noProof/>
            <w:webHidden/>
          </w:rPr>
          <w:fldChar w:fldCharType="separate"/>
        </w:r>
        <w:r>
          <w:rPr>
            <w:noProof/>
            <w:webHidden/>
          </w:rPr>
          <w:t>361</w:t>
        </w:r>
        <w:r>
          <w:rPr>
            <w:noProof/>
            <w:webHidden/>
          </w:rPr>
          <w:fldChar w:fldCharType="end"/>
        </w:r>
      </w:hyperlink>
    </w:p>
    <w:p w14:paraId="414AA3FB" w14:textId="5985A24A" w:rsidR="00765317" w:rsidRDefault="00765317">
      <w:pPr>
        <w:pStyle w:val="T2"/>
        <w:rPr>
          <w:rFonts w:eastAsiaTheme="minorEastAsia" w:cstheme="minorBidi"/>
          <w:i w:val="0"/>
          <w:iCs w:val="0"/>
          <w:noProof/>
          <w:sz w:val="24"/>
          <w:lang w:eastAsia="tr-TR" w:bidi="he-IL"/>
        </w:rPr>
      </w:pPr>
      <w:hyperlink w:anchor="_Toc173231268" w:history="1">
        <w:r w:rsidRPr="00271A07">
          <w:rPr>
            <w:rStyle w:val="Kpr"/>
            <w:rFonts w:ascii="Times New Roman" w:hAnsi="Times New Roman" w:cs="Times New Roman"/>
            <w:b/>
            <w:noProof/>
            <w:lang w:val="en-GB"/>
          </w:rPr>
          <w:t>12.3. Other Sites in the Van Lake Basin</w:t>
        </w:r>
        <w:r>
          <w:rPr>
            <w:noProof/>
            <w:webHidden/>
          </w:rPr>
          <w:tab/>
        </w:r>
        <w:r>
          <w:rPr>
            <w:noProof/>
            <w:webHidden/>
          </w:rPr>
          <w:fldChar w:fldCharType="begin"/>
        </w:r>
        <w:r>
          <w:rPr>
            <w:noProof/>
            <w:webHidden/>
          </w:rPr>
          <w:instrText xml:space="preserve"> PAGEREF _Toc173231268 \h </w:instrText>
        </w:r>
        <w:r>
          <w:rPr>
            <w:noProof/>
            <w:webHidden/>
          </w:rPr>
        </w:r>
        <w:r>
          <w:rPr>
            <w:noProof/>
            <w:webHidden/>
          </w:rPr>
          <w:fldChar w:fldCharType="separate"/>
        </w:r>
        <w:r>
          <w:rPr>
            <w:noProof/>
            <w:webHidden/>
          </w:rPr>
          <w:t>369</w:t>
        </w:r>
        <w:r>
          <w:rPr>
            <w:noProof/>
            <w:webHidden/>
          </w:rPr>
          <w:fldChar w:fldCharType="end"/>
        </w:r>
      </w:hyperlink>
    </w:p>
    <w:p w14:paraId="6781A688" w14:textId="4AB53CCA" w:rsidR="00765317" w:rsidRDefault="00765317">
      <w:pPr>
        <w:pStyle w:val="T3"/>
        <w:tabs>
          <w:tab w:val="right" w:leader="dot" w:pos="9019"/>
        </w:tabs>
        <w:rPr>
          <w:rFonts w:eastAsiaTheme="minorEastAsia" w:cstheme="minorBidi"/>
          <w:noProof/>
          <w:sz w:val="24"/>
          <w:lang w:eastAsia="tr-TR" w:bidi="he-IL"/>
        </w:rPr>
      </w:pPr>
      <w:hyperlink w:anchor="_Toc173231269" w:history="1">
        <w:r w:rsidRPr="00271A07">
          <w:rPr>
            <w:rStyle w:val="Kpr"/>
            <w:rFonts w:ascii="Times New Roman" w:hAnsi="Times New Roman" w:cs="Times New Roman"/>
            <w:b/>
            <w:noProof/>
            <w:lang w:val="en-GB"/>
          </w:rPr>
          <w:t>12.3.1. Hişet</w:t>
        </w:r>
        <w:r>
          <w:rPr>
            <w:noProof/>
            <w:webHidden/>
          </w:rPr>
          <w:tab/>
        </w:r>
        <w:r>
          <w:rPr>
            <w:noProof/>
            <w:webHidden/>
          </w:rPr>
          <w:fldChar w:fldCharType="begin"/>
        </w:r>
        <w:r>
          <w:rPr>
            <w:noProof/>
            <w:webHidden/>
          </w:rPr>
          <w:instrText xml:space="preserve"> PAGEREF _Toc173231269 \h </w:instrText>
        </w:r>
        <w:r>
          <w:rPr>
            <w:noProof/>
            <w:webHidden/>
          </w:rPr>
        </w:r>
        <w:r>
          <w:rPr>
            <w:noProof/>
            <w:webHidden/>
          </w:rPr>
          <w:fldChar w:fldCharType="separate"/>
        </w:r>
        <w:r>
          <w:rPr>
            <w:noProof/>
            <w:webHidden/>
          </w:rPr>
          <w:t>369</w:t>
        </w:r>
        <w:r>
          <w:rPr>
            <w:noProof/>
            <w:webHidden/>
          </w:rPr>
          <w:fldChar w:fldCharType="end"/>
        </w:r>
      </w:hyperlink>
    </w:p>
    <w:p w14:paraId="73DE91C9" w14:textId="34051AE0" w:rsidR="00765317" w:rsidRDefault="00765317">
      <w:pPr>
        <w:pStyle w:val="T3"/>
        <w:tabs>
          <w:tab w:val="right" w:leader="dot" w:pos="9019"/>
        </w:tabs>
        <w:rPr>
          <w:rFonts w:eastAsiaTheme="minorEastAsia" w:cstheme="minorBidi"/>
          <w:noProof/>
          <w:sz w:val="24"/>
          <w:lang w:eastAsia="tr-TR" w:bidi="he-IL"/>
        </w:rPr>
      </w:pPr>
      <w:hyperlink w:anchor="_Toc173231270" w:history="1">
        <w:r w:rsidRPr="00271A07">
          <w:rPr>
            <w:rStyle w:val="Kpr"/>
            <w:rFonts w:ascii="Times New Roman" w:hAnsi="Times New Roman" w:cs="Times New Roman"/>
            <w:b/>
            <w:noProof/>
            <w:lang w:val="en-GB"/>
          </w:rPr>
          <w:t>12.3.2. Kalecik Fortress</w:t>
        </w:r>
        <w:r>
          <w:rPr>
            <w:noProof/>
            <w:webHidden/>
          </w:rPr>
          <w:tab/>
        </w:r>
        <w:r>
          <w:rPr>
            <w:noProof/>
            <w:webHidden/>
          </w:rPr>
          <w:fldChar w:fldCharType="begin"/>
        </w:r>
        <w:r>
          <w:rPr>
            <w:noProof/>
            <w:webHidden/>
          </w:rPr>
          <w:instrText xml:space="preserve"> PAGEREF _Toc173231270 \h </w:instrText>
        </w:r>
        <w:r>
          <w:rPr>
            <w:noProof/>
            <w:webHidden/>
          </w:rPr>
        </w:r>
        <w:r>
          <w:rPr>
            <w:noProof/>
            <w:webHidden/>
          </w:rPr>
          <w:fldChar w:fldCharType="separate"/>
        </w:r>
        <w:r>
          <w:rPr>
            <w:noProof/>
            <w:webHidden/>
          </w:rPr>
          <w:t>370</w:t>
        </w:r>
        <w:r>
          <w:rPr>
            <w:noProof/>
            <w:webHidden/>
          </w:rPr>
          <w:fldChar w:fldCharType="end"/>
        </w:r>
      </w:hyperlink>
    </w:p>
    <w:p w14:paraId="3C8BB8D1" w14:textId="7A75512A" w:rsidR="00765317" w:rsidRDefault="00765317">
      <w:pPr>
        <w:pStyle w:val="T3"/>
        <w:tabs>
          <w:tab w:val="right" w:leader="dot" w:pos="9019"/>
        </w:tabs>
        <w:rPr>
          <w:rFonts w:eastAsiaTheme="minorEastAsia" w:cstheme="minorBidi"/>
          <w:noProof/>
          <w:sz w:val="24"/>
          <w:lang w:eastAsia="tr-TR" w:bidi="he-IL"/>
        </w:rPr>
      </w:pPr>
      <w:hyperlink w:anchor="_Toc173231271" w:history="1">
        <w:r w:rsidRPr="00271A07">
          <w:rPr>
            <w:rStyle w:val="Kpr"/>
            <w:rFonts w:ascii="Times New Roman" w:hAnsi="Times New Roman" w:cs="Times New Roman"/>
            <w:noProof/>
            <w:lang w:val="en-GB"/>
          </w:rPr>
          <w:t>Kalecik</w:t>
        </w:r>
        <w:r w:rsidRPr="00271A07">
          <w:rPr>
            <w:rStyle w:val="Kpr"/>
            <w:rFonts w:ascii="Times New Roman" w:eastAsia="Calibri" w:hAnsi="Times New Roman" w:cs="Times New Roman"/>
            <w:noProof/>
            <w:lang w:val="en-GB"/>
          </w:rPr>
          <w:t> </w:t>
        </w:r>
        <w:r w:rsidRPr="00271A07">
          <w:rPr>
            <w:rStyle w:val="Kpr"/>
            <w:rFonts w:ascii="Times New Roman" w:hAnsi="Times New Roman" w:cs="Times New Roman"/>
            <w:noProof/>
            <w:lang w:val="en-GB"/>
          </w:rPr>
          <w:t xml:space="preserve"> or Araleks</w:t>
        </w:r>
        <w:r w:rsidRPr="00271A07">
          <w:rPr>
            <w:rStyle w:val="Kpr"/>
            <w:rFonts w:ascii="Times New Roman" w:eastAsia="Calibri" w:hAnsi="Times New Roman" w:cs="Times New Roman"/>
            <w:noProof/>
            <w:lang w:val="en-GB"/>
          </w:rPr>
          <w:t> </w:t>
        </w:r>
        <w:r w:rsidRPr="00271A07">
          <w:rPr>
            <w:rStyle w:val="Kpr"/>
            <w:rFonts w:ascii="Times New Roman" w:hAnsi="Times New Roman" w:cs="Times New Roman"/>
            <w:noProof/>
            <w:lang w:val="en-GB"/>
          </w:rPr>
          <w:t xml:space="preserve"> is a small fortress located on an independent limestone rock on the shore of Van Lake</w:t>
        </w:r>
        <w:r w:rsidRPr="00271A07">
          <w:rPr>
            <w:rStyle w:val="Kpr"/>
            <w:rFonts w:ascii="Times New Roman" w:eastAsia="Calibri" w:hAnsi="Times New Roman" w:cs="Times New Roman"/>
            <w:noProof/>
            <w:lang w:val="en-GB"/>
          </w:rPr>
          <w:t>,</w:t>
        </w:r>
        <w:r w:rsidRPr="00271A07">
          <w:rPr>
            <w:rStyle w:val="Kpr"/>
            <w:rFonts w:ascii="Times New Roman" w:hAnsi="Times New Roman" w:cs="Times New Roman"/>
            <w:noProof/>
            <w:lang w:val="en-GB"/>
          </w:rPr>
          <w:t xml:space="preserve"> about 5 </w:t>
        </w:r>
        <w:r w:rsidRPr="00271A07">
          <w:rPr>
            <w:rStyle w:val="Kpr"/>
            <w:rFonts w:ascii="Times New Roman" w:eastAsia="Calibri" w:hAnsi="Times New Roman" w:cs="Times New Roman"/>
            <w:noProof/>
            <w:lang w:val="en-GB"/>
          </w:rPr>
          <w:t>kilometers</w:t>
        </w:r>
        <w:r w:rsidRPr="00271A07">
          <w:rPr>
            <w:rStyle w:val="Kpr"/>
            <w:rFonts w:ascii="Times New Roman" w:hAnsi="Times New Roman" w:cs="Times New Roman"/>
            <w:noProof/>
            <w:lang w:val="en-GB"/>
          </w:rPr>
          <w:t xml:space="preserve"> north of the Van Fortress. The fortress is situated on a rock approximately 20-25 meters high, which limits the suitable </w:t>
        </w:r>
        <w:r w:rsidRPr="00271A07">
          <w:rPr>
            <w:rStyle w:val="Kpr"/>
            <w:rFonts w:ascii="Times New Roman" w:eastAsia="Calibri" w:hAnsi="Times New Roman" w:cs="Times New Roman"/>
            <w:noProof/>
            <w:lang w:val="en-GB"/>
          </w:rPr>
          <w:t xml:space="preserve">areas </w:t>
        </w:r>
        <w:r w:rsidRPr="00271A07">
          <w:rPr>
            <w:rStyle w:val="Kpr"/>
            <w:rFonts w:ascii="Times New Roman" w:hAnsi="Times New Roman" w:cs="Times New Roman"/>
            <w:noProof/>
            <w:lang w:val="en-GB"/>
          </w:rPr>
          <w:t xml:space="preserve">for construction. The Kalecik Rocky is the presence of a “T” shaped niche carved on a small, independent piece of rock just south of the main rock (Fig. 10/a-b). Additionally, a cistern </w:t>
        </w:r>
        <w:r w:rsidRPr="00271A07">
          <w:rPr>
            <w:rStyle w:val="Kpr"/>
            <w:rFonts w:ascii="Times New Roman" w:eastAsia="Calibri" w:hAnsi="Times New Roman" w:cs="Times New Roman"/>
            <w:noProof/>
            <w:lang w:val="en-GB"/>
          </w:rPr>
          <w:t xml:space="preserve">is </w:t>
        </w:r>
        <w:r w:rsidRPr="00271A07">
          <w:rPr>
            <w:rStyle w:val="Kpr"/>
            <w:rFonts w:ascii="Times New Roman" w:hAnsi="Times New Roman" w:cs="Times New Roman"/>
            <w:noProof/>
            <w:lang w:val="en-GB"/>
          </w:rPr>
          <w:t>located northeast of the main rock (Gökce, Genç &amp; Kaçmaz Levent, 2019: 328 ff., Res. 1).</w:t>
        </w:r>
        <w:r>
          <w:rPr>
            <w:noProof/>
            <w:webHidden/>
          </w:rPr>
          <w:tab/>
        </w:r>
        <w:r>
          <w:rPr>
            <w:noProof/>
            <w:webHidden/>
          </w:rPr>
          <w:fldChar w:fldCharType="begin"/>
        </w:r>
        <w:r>
          <w:rPr>
            <w:noProof/>
            <w:webHidden/>
          </w:rPr>
          <w:instrText xml:space="preserve"> PAGEREF _Toc173231271 \h </w:instrText>
        </w:r>
        <w:r>
          <w:rPr>
            <w:noProof/>
            <w:webHidden/>
          </w:rPr>
        </w:r>
        <w:r>
          <w:rPr>
            <w:noProof/>
            <w:webHidden/>
          </w:rPr>
          <w:fldChar w:fldCharType="separate"/>
        </w:r>
        <w:r>
          <w:rPr>
            <w:noProof/>
            <w:webHidden/>
          </w:rPr>
          <w:t>370</w:t>
        </w:r>
        <w:r>
          <w:rPr>
            <w:noProof/>
            <w:webHidden/>
          </w:rPr>
          <w:fldChar w:fldCharType="end"/>
        </w:r>
      </w:hyperlink>
    </w:p>
    <w:p w14:paraId="573DF9E0" w14:textId="59E0E01A" w:rsidR="00765317" w:rsidRDefault="00765317">
      <w:pPr>
        <w:pStyle w:val="T3"/>
        <w:tabs>
          <w:tab w:val="right" w:leader="dot" w:pos="9019"/>
        </w:tabs>
        <w:rPr>
          <w:rFonts w:eastAsiaTheme="minorEastAsia" w:cstheme="minorBidi"/>
          <w:noProof/>
          <w:sz w:val="24"/>
          <w:lang w:eastAsia="tr-TR" w:bidi="he-IL"/>
        </w:rPr>
      </w:pPr>
      <w:hyperlink w:anchor="_Toc173231272" w:history="1">
        <w:r w:rsidRPr="00271A07">
          <w:rPr>
            <w:rStyle w:val="Kpr"/>
            <w:rFonts w:ascii="Times New Roman" w:hAnsi="Times New Roman" w:cs="Times New Roman"/>
            <w:b/>
            <w:noProof/>
            <w:lang w:val="en-GB"/>
          </w:rPr>
          <w:t>12.3.3. Mermit Rock</w:t>
        </w:r>
        <w:r>
          <w:rPr>
            <w:noProof/>
            <w:webHidden/>
          </w:rPr>
          <w:tab/>
        </w:r>
        <w:r>
          <w:rPr>
            <w:noProof/>
            <w:webHidden/>
          </w:rPr>
          <w:fldChar w:fldCharType="begin"/>
        </w:r>
        <w:r>
          <w:rPr>
            <w:noProof/>
            <w:webHidden/>
          </w:rPr>
          <w:instrText xml:space="preserve"> PAGEREF _Toc173231272 \h </w:instrText>
        </w:r>
        <w:r>
          <w:rPr>
            <w:noProof/>
            <w:webHidden/>
          </w:rPr>
        </w:r>
        <w:r>
          <w:rPr>
            <w:noProof/>
            <w:webHidden/>
          </w:rPr>
          <w:fldChar w:fldCharType="separate"/>
        </w:r>
        <w:r>
          <w:rPr>
            <w:noProof/>
            <w:webHidden/>
          </w:rPr>
          <w:t>370</w:t>
        </w:r>
        <w:r>
          <w:rPr>
            <w:noProof/>
            <w:webHidden/>
          </w:rPr>
          <w:fldChar w:fldCharType="end"/>
        </w:r>
      </w:hyperlink>
    </w:p>
    <w:p w14:paraId="7FA7D8F1" w14:textId="198F42BF" w:rsidR="00765317" w:rsidRDefault="00765317">
      <w:pPr>
        <w:pStyle w:val="T3"/>
        <w:tabs>
          <w:tab w:val="right" w:leader="dot" w:pos="9019"/>
        </w:tabs>
        <w:rPr>
          <w:rFonts w:eastAsiaTheme="minorEastAsia" w:cstheme="minorBidi"/>
          <w:noProof/>
          <w:sz w:val="24"/>
          <w:lang w:eastAsia="tr-TR" w:bidi="he-IL"/>
        </w:rPr>
      </w:pPr>
      <w:hyperlink w:anchor="_Toc173231273" w:history="1">
        <w:r w:rsidRPr="00271A07">
          <w:rPr>
            <w:rStyle w:val="Kpr"/>
            <w:rFonts w:ascii="Times New Roman" w:hAnsi="Times New Roman" w:cs="Times New Roman"/>
            <w:b/>
            <w:noProof/>
            <w:lang w:val="en-GB"/>
          </w:rPr>
          <w:t>12.3.4. Amik Fortress</w:t>
        </w:r>
        <w:r>
          <w:rPr>
            <w:noProof/>
            <w:webHidden/>
          </w:rPr>
          <w:tab/>
        </w:r>
        <w:r>
          <w:rPr>
            <w:noProof/>
            <w:webHidden/>
          </w:rPr>
          <w:fldChar w:fldCharType="begin"/>
        </w:r>
        <w:r>
          <w:rPr>
            <w:noProof/>
            <w:webHidden/>
          </w:rPr>
          <w:instrText xml:space="preserve"> PAGEREF _Toc173231273 \h </w:instrText>
        </w:r>
        <w:r>
          <w:rPr>
            <w:noProof/>
            <w:webHidden/>
          </w:rPr>
        </w:r>
        <w:r>
          <w:rPr>
            <w:noProof/>
            <w:webHidden/>
          </w:rPr>
          <w:fldChar w:fldCharType="separate"/>
        </w:r>
        <w:r>
          <w:rPr>
            <w:noProof/>
            <w:webHidden/>
          </w:rPr>
          <w:t>373</w:t>
        </w:r>
        <w:r>
          <w:rPr>
            <w:noProof/>
            <w:webHidden/>
          </w:rPr>
          <w:fldChar w:fldCharType="end"/>
        </w:r>
      </w:hyperlink>
    </w:p>
    <w:p w14:paraId="653A9C32" w14:textId="2093F24A" w:rsidR="00765317" w:rsidRDefault="00765317">
      <w:pPr>
        <w:pStyle w:val="T3"/>
        <w:tabs>
          <w:tab w:val="right" w:leader="dot" w:pos="9019"/>
        </w:tabs>
        <w:rPr>
          <w:rFonts w:eastAsiaTheme="minorEastAsia" w:cstheme="minorBidi"/>
          <w:noProof/>
          <w:sz w:val="24"/>
          <w:lang w:eastAsia="tr-TR" w:bidi="he-IL"/>
        </w:rPr>
      </w:pPr>
      <w:hyperlink w:anchor="_Toc173231274" w:history="1">
        <w:r w:rsidRPr="00271A07">
          <w:rPr>
            <w:rStyle w:val="Kpr"/>
            <w:rFonts w:ascii="Times New Roman" w:hAnsi="Times New Roman" w:cs="Times New Roman"/>
            <w:b/>
            <w:noProof/>
            <w:lang w:val="en-GB"/>
          </w:rPr>
          <w:t>12.3.5. Körzüt</w:t>
        </w:r>
        <w:r>
          <w:rPr>
            <w:noProof/>
            <w:webHidden/>
          </w:rPr>
          <w:tab/>
        </w:r>
        <w:r>
          <w:rPr>
            <w:noProof/>
            <w:webHidden/>
          </w:rPr>
          <w:fldChar w:fldCharType="begin"/>
        </w:r>
        <w:r>
          <w:rPr>
            <w:noProof/>
            <w:webHidden/>
          </w:rPr>
          <w:instrText xml:space="preserve"> PAGEREF _Toc173231274 \h </w:instrText>
        </w:r>
        <w:r>
          <w:rPr>
            <w:noProof/>
            <w:webHidden/>
          </w:rPr>
        </w:r>
        <w:r>
          <w:rPr>
            <w:noProof/>
            <w:webHidden/>
          </w:rPr>
          <w:fldChar w:fldCharType="separate"/>
        </w:r>
        <w:r>
          <w:rPr>
            <w:noProof/>
            <w:webHidden/>
          </w:rPr>
          <w:t>375</w:t>
        </w:r>
        <w:r>
          <w:rPr>
            <w:noProof/>
            <w:webHidden/>
          </w:rPr>
          <w:fldChar w:fldCharType="end"/>
        </w:r>
      </w:hyperlink>
    </w:p>
    <w:p w14:paraId="148713BE" w14:textId="5B426685" w:rsidR="00765317" w:rsidRDefault="00765317">
      <w:pPr>
        <w:pStyle w:val="T3"/>
        <w:tabs>
          <w:tab w:val="right" w:leader="dot" w:pos="9019"/>
        </w:tabs>
        <w:rPr>
          <w:rFonts w:eastAsiaTheme="minorEastAsia" w:cstheme="minorBidi"/>
          <w:noProof/>
          <w:sz w:val="24"/>
          <w:lang w:eastAsia="tr-TR" w:bidi="he-IL"/>
        </w:rPr>
      </w:pPr>
      <w:hyperlink w:anchor="_Toc173231275" w:history="1">
        <w:r w:rsidRPr="00271A07">
          <w:rPr>
            <w:rStyle w:val="Kpr"/>
            <w:rFonts w:ascii="Times New Roman" w:hAnsi="Times New Roman" w:cs="Times New Roman"/>
            <w:noProof/>
            <w:lang w:val="en-GB"/>
          </w:rPr>
          <w:t>The southern slope of Körzüt</w:t>
        </w:r>
        <w:r w:rsidRPr="00271A07">
          <w:rPr>
            <w:rStyle w:val="Kpr"/>
            <w:rFonts w:ascii="Times New Roman" w:eastAsia="Calibri" w:hAnsi="Times New Roman" w:cs="Times New Roman"/>
            <w:noProof/>
            <w:lang w:val="en-GB"/>
          </w:rPr>
          <w:t>/</w:t>
        </w:r>
        <w:r w:rsidRPr="00271A07">
          <w:rPr>
            <w:rStyle w:val="Kpr"/>
            <w:rFonts w:ascii="Times New Roman" w:hAnsi="Times New Roman" w:cs="Times New Roman"/>
            <w:noProof/>
            <w:lang w:val="en-GB"/>
          </w:rPr>
          <w:t>Pértak</w:t>
        </w:r>
        <w:r w:rsidRPr="00271A07">
          <w:rPr>
            <w:rStyle w:val="Kpr"/>
            <w:rFonts w:ascii="Times New Roman" w:eastAsia="Calibri" w:hAnsi="Times New Roman" w:cs="Times New Roman"/>
            <w:noProof/>
            <w:lang w:val="en-GB"/>
          </w:rPr>
          <w:t> </w:t>
        </w:r>
        <w:r w:rsidRPr="00271A07">
          <w:rPr>
            <w:rStyle w:val="Kpr"/>
            <w:rFonts w:ascii="Times New Roman" w:hAnsi="Times New Roman" w:cs="Times New Roman"/>
            <w:noProof/>
            <w:lang w:val="en-GB"/>
          </w:rPr>
          <w:t xml:space="preserve"> fortress, which is one of the most prominent Urartian</w:t>
        </w:r>
        <w:r w:rsidRPr="00271A07">
          <w:rPr>
            <w:rStyle w:val="Kpr"/>
            <w:rFonts w:ascii="Times New Roman" w:eastAsia="Calibri" w:hAnsi="Times New Roman" w:cs="Times New Roman"/>
            <w:noProof/>
            <w:lang w:val="en-GB"/>
          </w:rPr>
          <w:t> </w:t>
        </w:r>
        <w:r w:rsidRPr="00271A07">
          <w:rPr>
            <w:rStyle w:val="Kpr"/>
            <w:rFonts w:ascii="Times New Roman" w:hAnsi="Times New Roman" w:cs="Times New Roman"/>
            <w:noProof/>
            <w:lang w:val="en-GB"/>
          </w:rPr>
          <w:t xml:space="preserve"> fortresses in the Muradiye</w:t>
        </w:r>
        <w:r w:rsidRPr="00271A07">
          <w:rPr>
            <w:rStyle w:val="Kpr"/>
            <w:rFonts w:ascii="Times New Roman" w:eastAsia="Calibri" w:hAnsi="Times New Roman" w:cs="Times New Roman"/>
            <w:noProof/>
            <w:lang w:val="en-GB"/>
          </w:rPr>
          <w:t> </w:t>
        </w:r>
        <w:r w:rsidRPr="00271A07">
          <w:rPr>
            <w:rStyle w:val="Kpr"/>
            <w:rFonts w:ascii="Times New Roman" w:hAnsi="Times New Roman" w:cs="Times New Roman"/>
            <w:noProof/>
            <w:lang w:val="en-GB"/>
          </w:rPr>
          <w:t xml:space="preserve"> plain, features a rock work that was initially described by Işık as only a rock bowl and a rock apse (Işık, 1995a: 16/Abb.61). However, upon closer examination, it became apparent that there is actually craftsmanship present in the "T" shaped niche tradition. The recess in the upper part and the niche arms that continue </w:t>
        </w:r>
        <w:r w:rsidRPr="00271A07">
          <w:rPr>
            <w:rStyle w:val="Kpr"/>
            <w:rFonts w:ascii="Times New Roman" w:eastAsia="Calibri" w:hAnsi="Times New Roman" w:cs="Times New Roman"/>
            <w:noProof/>
            <w:lang w:val="en-GB"/>
          </w:rPr>
          <w:t xml:space="preserve">on </w:t>
        </w:r>
        <w:r w:rsidRPr="00271A07">
          <w:rPr>
            <w:rStyle w:val="Kpr"/>
            <w:rFonts w:ascii="Times New Roman" w:hAnsi="Times New Roman" w:cs="Times New Roman"/>
            <w:noProof/>
            <w:lang w:val="en-GB"/>
          </w:rPr>
          <w:t xml:space="preserve">both sides are evident, even though the workmanship is coarser </w:t>
        </w:r>
        <w:r w:rsidRPr="00271A07">
          <w:rPr>
            <w:rStyle w:val="Kpr"/>
            <w:rFonts w:ascii="Times New Roman" w:eastAsia="Calibri" w:hAnsi="Times New Roman" w:cs="Times New Roman"/>
            <w:noProof/>
            <w:lang w:val="en-GB"/>
          </w:rPr>
          <w:t>than</w:t>
        </w:r>
        <w:r w:rsidRPr="00271A07">
          <w:rPr>
            <w:rStyle w:val="Kpr"/>
            <w:rFonts w:ascii="Times New Roman" w:hAnsi="Times New Roman" w:cs="Times New Roman"/>
            <w:noProof/>
            <w:lang w:val="en-GB"/>
          </w:rPr>
          <w:t xml:space="preserve"> other examples.</w:t>
        </w:r>
        <w:r>
          <w:rPr>
            <w:noProof/>
            <w:webHidden/>
          </w:rPr>
          <w:tab/>
        </w:r>
        <w:r>
          <w:rPr>
            <w:noProof/>
            <w:webHidden/>
          </w:rPr>
          <w:fldChar w:fldCharType="begin"/>
        </w:r>
        <w:r>
          <w:rPr>
            <w:noProof/>
            <w:webHidden/>
          </w:rPr>
          <w:instrText xml:space="preserve"> PAGEREF _Toc173231275 \h </w:instrText>
        </w:r>
        <w:r>
          <w:rPr>
            <w:noProof/>
            <w:webHidden/>
          </w:rPr>
        </w:r>
        <w:r>
          <w:rPr>
            <w:noProof/>
            <w:webHidden/>
          </w:rPr>
          <w:fldChar w:fldCharType="separate"/>
        </w:r>
        <w:r>
          <w:rPr>
            <w:noProof/>
            <w:webHidden/>
          </w:rPr>
          <w:t>375</w:t>
        </w:r>
        <w:r>
          <w:rPr>
            <w:noProof/>
            <w:webHidden/>
          </w:rPr>
          <w:fldChar w:fldCharType="end"/>
        </w:r>
      </w:hyperlink>
    </w:p>
    <w:p w14:paraId="1D0D10E1" w14:textId="0280EC47" w:rsidR="00765317" w:rsidRDefault="00765317">
      <w:pPr>
        <w:pStyle w:val="T3"/>
        <w:tabs>
          <w:tab w:val="right" w:leader="dot" w:pos="9019"/>
        </w:tabs>
        <w:rPr>
          <w:rFonts w:eastAsiaTheme="minorEastAsia" w:cstheme="minorBidi"/>
          <w:noProof/>
          <w:sz w:val="24"/>
          <w:lang w:eastAsia="tr-TR" w:bidi="he-IL"/>
        </w:rPr>
      </w:pPr>
      <w:hyperlink w:anchor="_Toc173231276" w:history="1">
        <w:r w:rsidRPr="00271A07">
          <w:rPr>
            <w:rStyle w:val="Kpr"/>
            <w:rFonts w:ascii="Times New Roman" w:hAnsi="Times New Roman" w:cs="Times New Roman"/>
            <w:b/>
            <w:noProof/>
            <w:lang w:val="en-GB"/>
          </w:rPr>
          <w:t>12.3.6. Zernaki Tepe</w:t>
        </w:r>
        <w:r>
          <w:rPr>
            <w:noProof/>
            <w:webHidden/>
          </w:rPr>
          <w:tab/>
        </w:r>
        <w:r>
          <w:rPr>
            <w:noProof/>
            <w:webHidden/>
          </w:rPr>
          <w:fldChar w:fldCharType="begin"/>
        </w:r>
        <w:r>
          <w:rPr>
            <w:noProof/>
            <w:webHidden/>
          </w:rPr>
          <w:instrText xml:space="preserve"> PAGEREF _Toc173231276 \h </w:instrText>
        </w:r>
        <w:r>
          <w:rPr>
            <w:noProof/>
            <w:webHidden/>
          </w:rPr>
        </w:r>
        <w:r>
          <w:rPr>
            <w:noProof/>
            <w:webHidden/>
          </w:rPr>
          <w:fldChar w:fldCharType="separate"/>
        </w:r>
        <w:r>
          <w:rPr>
            <w:noProof/>
            <w:webHidden/>
          </w:rPr>
          <w:t>375</w:t>
        </w:r>
        <w:r>
          <w:rPr>
            <w:noProof/>
            <w:webHidden/>
          </w:rPr>
          <w:fldChar w:fldCharType="end"/>
        </w:r>
      </w:hyperlink>
    </w:p>
    <w:p w14:paraId="194D4BB3" w14:textId="5C5882EB" w:rsidR="00765317" w:rsidRDefault="00765317">
      <w:pPr>
        <w:pStyle w:val="T3"/>
        <w:tabs>
          <w:tab w:val="right" w:leader="dot" w:pos="9019"/>
        </w:tabs>
        <w:rPr>
          <w:rFonts w:eastAsiaTheme="minorEastAsia" w:cstheme="minorBidi"/>
          <w:noProof/>
          <w:sz w:val="24"/>
          <w:lang w:eastAsia="tr-TR" w:bidi="he-IL"/>
        </w:rPr>
      </w:pPr>
      <w:hyperlink w:anchor="_Toc173231277" w:history="1">
        <w:r w:rsidRPr="00271A07">
          <w:rPr>
            <w:rStyle w:val="Kpr"/>
            <w:rFonts w:ascii="Times New Roman" w:hAnsi="Times New Roman" w:cs="Times New Roman"/>
            <w:b/>
            <w:noProof/>
            <w:lang w:val="en-GB"/>
          </w:rPr>
          <w:t>12.3.7. Madavank</w:t>
        </w:r>
        <w:r>
          <w:rPr>
            <w:noProof/>
            <w:webHidden/>
          </w:rPr>
          <w:tab/>
        </w:r>
        <w:r>
          <w:rPr>
            <w:noProof/>
            <w:webHidden/>
          </w:rPr>
          <w:fldChar w:fldCharType="begin"/>
        </w:r>
        <w:r>
          <w:rPr>
            <w:noProof/>
            <w:webHidden/>
          </w:rPr>
          <w:instrText xml:space="preserve"> PAGEREF _Toc173231277 \h </w:instrText>
        </w:r>
        <w:r>
          <w:rPr>
            <w:noProof/>
            <w:webHidden/>
          </w:rPr>
        </w:r>
        <w:r>
          <w:rPr>
            <w:noProof/>
            <w:webHidden/>
          </w:rPr>
          <w:fldChar w:fldCharType="separate"/>
        </w:r>
        <w:r>
          <w:rPr>
            <w:noProof/>
            <w:webHidden/>
          </w:rPr>
          <w:t>375</w:t>
        </w:r>
        <w:r>
          <w:rPr>
            <w:noProof/>
            <w:webHidden/>
          </w:rPr>
          <w:fldChar w:fldCharType="end"/>
        </w:r>
      </w:hyperlink>
    </w:p>
    <w:p w14:paraId="455DE233" w14:textId="515AA6D5" w:rsidR="00765317" w:rsidRDefault="00765317">
      <w:pPr>
        <w:pStyle w:val="T3"/>
        <w:tabs>
          <w:tab w:val="right" w:leader="dot" w:pos="9019"/>
        </w:tabs>
        <w:rPr>
          <w:rFonts w:eastAsiaTheme="minorEastAsia" w:cstheme="minorBidi"/>
          <w:noProof/>
          <w:sz w:val="24"/>
          <w:lang w:eastAsia="tr-TR" w:bidi="he-IL"/>
        </w:rPr>
      </w:pPr>
      <w:hyperlink w:anchor="_Toc173231278" w:history="1">
        <w:r w:rsidRPr="00271A07">
          <w:rPr>
            <w:rStyle w:val="Kpr"/>
            <w:rFonts w:ascii="Times New Roman" w:hAnsi="Times New Roman" w:cs="Times New Roman"/>
            <w:b/>
            <w:noProof/>
            <w:lang w:val="en-GB"/>
          </w:rPr>
          <w:t>12.3.8. Ava-Déré</w:t>
        </w:r>
        <w:r>
          <w:rPr>
            <w:noProof/>
            <w:webHidden/>
          </w:rPr>
          <w:tab/>
        </w:r>
        <w:r>
          <w:rPr>
            <w:noProof/>
            <w:webHidden/>
          </w:rPr>
          <w:fldChar w:fldCharType="begin"/>
        </w:r>
        <w:r>
          <w:rPr>
            <w:noProof/>
            <w:webHidden/>
          </w:rPr>
          <w:instrText xml:space="preserve"> PAGEREF _Toc173231278 \h </w:instrText>
        </w:r>
        <w:r>
          <w:rPr>
            <w:noProof/>
            <w:webHidden/>
          </w:rPr>
        </w:r>
        <w:r>
          <w:rPr>
            <w:noProof/>
            <w:webHidden/>
          </w:rPr>
          <w:fldChar w:fldCharType="separate"/>
        </w:r>
        <w:r>
          <w:rPr>
            <w:noProof/>
            <w:webHidden/>
          </w:rPr>
          <w:t>375</w:t>
        </w:r>
        <w:r>
          <w:rPr>
            <w:noProof/>
            <w:webHidden/>
          </w:rPr>
          <w:fldChar w:fldCharType="end"/>
        </w:r>
      </w:hyperlink>
    </w:p>
    <w:p w14:paraId="3DBBA601" w14:textId="2CC6F981" w:rsidR="00765317" w:rsidRDefault="00765317">
      <w:pPr>
        <w:pStyle w:val="T3"/>
        <w:tabs>
          <w:tab w:val="right" w:leader="dot" w:pos="9019"/>
        </w:tabs>
        <w:rPr>
          <w:rFonts w:eastAsiaTheme="minorEastAsia" w:cstheme="minorBidi"/>
          <w:noProof/>
          <w:sz w:val="24"/>
          <w:lang w:eastAsia="tr-TR" w:bidi="he-IL"/>
        </w:rPr>
      </w:pPr>
      <w:hyperlink w:anchor="_Toc173231279" w:history="1">
        <w:r w:rsidRPr="00271A07">
          <w:rPr>
            <w:rStyle w:val="Kpr"/>
            <w:rFonts w:ascii="Times New Roman" w:hAnsi="Times New Roman" w:cs="Times New Roman"/>
            <w:b/>
            <w:noProof/>
            <w:lang w:val="en-GB"/>
          </w:rPr>
          <w:t>12.3.9. Zakzak</w:t>
        </w:r>
        <w:r>
          <w:rPr>
            <w:noProof/>
            <w:webHidden/>
          </w:rPr>
          <w:tab/>
        </w:r>
        <w:r>
          <w:rPr>
            <w:noProof/>
            <w:webHidden/>
          </w:rPr>
          <w:fldChar w:fldCharType="begin"/>
        </w:r>
        <w:r>
          <w:rPr>
            <w:noProof/>
            <w:webHidden/>
          </w:rPr>
          <w:instrText xml:space="preserve"> PAGEREF _Toc173231279 \h </w:instrText>
        </w:r>
        <w:r>
          <w:rPr>
            <w:noProof/>
            <w:webHidden/>
          </w:rPr>
        </w:r>
        <w:r>
          <w:rPr>
            <w:noProof/>
            <w:webHidden/>
          </w:rPr>
          <w:fldChar w:fldCharType="separate"/>
        </w:r>
        <w:r>
          <w:rPr>
            <w:noProof/>
            <w:webHidden/>
          </w:rPr>
          <w:t>376</w:t>
        </w:r>
        <w:r>
          <w:rPr>
            <w:noProof/>
            <w:webHidden/>
          </w:rPr>
          <w:fldChar w:fldCharType="end"/>
        </w:r>
      </w:hyperlink>
    </w:p>
    <w:p w14:paraId="62DC4848" w14:textId="6899086B" w:rsidR="00765317" w:rsidRDefault="00765317">
      <w:pPr>
        <w:pStyle w:val="T2"/>
        <w:rPr>
          <w:rFonts w:eastAsiaTheme="minorEastAsia" w:cstheme="minorBidi"/>
          <w:i w:val="0"/>
          <w:iCs w:val="0"/>
          <w:noProof/>
          <w:sz w:val="24"/>
          <w:lang w:eastAsia="tr-TR" w:bidi="he-IL"/>
        </w:rPr>
      </w:pPr>
      <w:hyperlink w:anchor="_Toc173231280" w:history="1">
        <w:r w:rsidRPr="00271A07">
          <w:rPr>
            <w:rStyle w:val="Kpr"/>
            <w:rFonts w:ascii="Times New Roman" w:hAnsi="Times New Roman" w:cs="Times New Roman"/>
            <w:b/>
            <w:noProof/>
            <w:lang w:val="en-GB"/>
          </w:rPr>
          <w:t>12.4. Blind Windows</w:t>
        </w:r>
        <w:r>
          <w:rPr>
            <w:noProof/>
            <w:webHidden/>
          </w:rPr>
          <w:tab/>
        </w:r>
        <w:r>
          <w:rPr>
            <w:noProof/>
            <w:webHidden/>
          </w:rPr>
          <w:fldChar w:fldCharType="begin"/>
        </w:r>
        <w:r>
          <w:rPr>
            <w:noProof/>
            <w:webHidden/>
          </w:rPr>
          <w:instrText xml:space="preserve"> PAGEREF _Toc173231280 \h </w:instrText>
        </w:r>
        <w:r>
          <w:rPr>
            <w:noProof/>
            <w:webHidden/>
          </w:rPr>
        </w:r>
        <w:r>
          <w:rPr>
            <w:noProof/>
            <w:webHidden/>
          </w:rPr>
          <w:fldChar w:fldCharType="separate"/>
        </w:r>
        <w:r>
          <w:rPr>
            <w:noProof/>
            <w:webHidden/>
          </w:rPr>
          <w:t>377</w:t>
        </w:r>
        <w:r>
          <w:rPr>
            <w:noProof/>
            <w:webHidden/>
          </w:rPr>
          <w:fldChar w:fldCharType="end"/>
        </w:r>
      </w:hyperlink>
    </w:p>
    <w:p w14:paraId="37CDDCC8" w14:textId="56F12AEB" w:rsidR="00765317" w:rsidRDefault="00765317">
      <w:pPr>
        <w:pStyle w:val="T2"/>
        <w:rPr>
          <w:rFonts w:eastAsiaTheme="minorEastAsia" w:cstheme="minorBidi"/>
          <w:i w:val="0"/>
          <w:iCs w:val="0"/>
          <w:noProof/>
          <w:sz w:val="24"/>
          <w:lang w:eastAsia="tr-TR" w:bidi="he-IL"/>
        </w:rPr>
      </w:pPr>
      <w:hyperlink w:anchor="_Toc173231281" w:history="1">
        <w:r w:rsidRPr="00271A07">
          <w:rPr>
            <w:rStyle w:val="Kpr"/>
            <w:rFonts w:ascii="Times New Roman" w:hAnsi="Times New Roman" w:cs="Times New Roman"/>
            <w:b/>
            <w:noProof/>
            <w:lang w:val="en-GB"/>
          </w:rPr>
          <w:t>12.5. Blind Windows in Urartian Art</w:t>
        </w:r>
        <w:r>
          <w:rPr>
            <w:noProof/>
            <w:webHidden/>
          </w:rPr>
          <w:tab/>
        </w:r>
        <w:r>
          <w:rPr>
            <w:noProof/>
            <w:webHidden/>
          </w:rPr>
          <w:fldChar w:fldCharType="begin"/>
        </w:r>
        <w:r>
          <w:rPr>
            <w:noProof/>
            <w:webHidden/>
          </w:rPr>
          <w:instrText xml:space="preserve"> PAGEREF _Toc173231281 \h </w:instrText>
        </w:r>
        <w:r>
          <w:rPr>
            <w:noProof/>
            <w:webHidden/>
          </w:rPr>
        </w:r>
        <w:r>
          <w:rPr>
            <w:noProof/>
            <w:webHidden/>
          </w:rPr>
          <w:fldChar w:fldCharType="separate"/>
        </w:r>
        <w:r>
          <w:rPr>
            <w:noProof/>
            <w:webHidden/>
          </w:rPr>
          <w:t>378</w:t>
        </w:r>
        <w:r>
          <w:rPr>
            <w:noProof/>
            <w:webHidden/>
          </w:rPr>
          <w:fldChar w:fldCharType="end"/>
        </w:r>
      </w:hyperlink>
    </w:p>
    <w:p w14:paraId="6F9BAA56" w14:textId="40752EEC" w:rsidR="00765317" w:rsidRDefault="00765317">
      <w:pPr>
        <w:pStyle w:val="T3"/>
        <w:tabs>
          <w:tab w:val="right" w:leader="dot" w:pos="9019"/>
        </w:tabs>
        <w:rPr>
          <w:rFonts w:eastAsiaTheme="minorEastAsia" w:cstheme="minorBidi"/>
          <w:noProof/>
          <w:sz w:val="24"/>
          <w:lang w:eastAsia="tr-TR" w:bidi="he-IL"/>
        </w:rPr>
      </w:pPr>
      <w:hyperlink w:anchor="_Toc173231282" w:history="1">
        <w:r w:rsidRPr="00271A07">
          <w:rPr>
            <w:rStyle w:val="Kpr"/>
            <w:rFonts w:ascii="Times New Roman" w:hAnsi="Times New Roman" w:cs="Times New Roman"/>
            <w:b/>
            <w:noProof/>
            <w:lang w:val="en-GB"/>
          </w:rPr>
          <w:t>12.5.1. Toprakkale Artifacts</w:t>
        </w:r>
        <w:r>
          <w:rPr>
            <w:noProof/>
            <w:webHidden/>
          </w:rPr>
          <w:tab/>
        </w:r>
        <w:r>
          <w:rPr>
            <w:noProof/>
            <w:webHidden/>
          </w:rPr>
          <w:fldChar w:fldCharType="begin"/>
        </w:r>
        <w:r>
          <w:rPr>
            <w:noProof/>
            <w:webHidden/>
          </w:rPr>
          <w:instrText xml:space="preserve"> PAGEREF _Toc173231282 \h </w:instrText>
        </w:r>
        <w:r>
          <w:rPr>
            <w:noProof/>
            <w:webHidden/>
          </w:rPr>
        </w:r>
        <w:r>
          <w:rPr>
            <w:noProof/>
            <w:webHidden/>
          </w:rPr>
          <w:fldChar w:fldCharType="separate"/>
        </w:r>
        <w:r>
          <w:rPr>
            <w:noProof/>
            <w:webHidden/>
          </w:rPr>
          <w:t>378</w:t>
        </w:r>
        <w:r>
          <w:rPr>
            <w:noProof/>
            <w:webHidden/>
          </w:rPr>
          <w:fldChar w:fldCharType="end"/>
        </w:r>
      </w:hyperlink>
    </w:p>
    <w:p w14:paraId="41E2A299" w14:textId="7D3CE7F5" w:rsidR="00765317" w:rsidRDefault="00765317">
      <w:pPr>
        <w:pStyle w:val="T3"/>
        <w:tabs>
          <w:tab w:val="right" w:leader="dot" w:pos="9019"/>
        </w:tabs>
        <w:rPr>
          <w:rFonts w:eastAsiaTheme="minorEastAsia" w:cstheme="minorBidi"/>
          <w:noProof/>
          <w:sz w:val="24"/>
          <w:lang w:eastAsia="tr-TR" w:bidi="he-IL"/>
        </w:rPr>
      </w:pPr>
      <w:hyperlink w:anchor="_Toc173231283" w:history="1">
        <w:r w:rsidRPr="00271A07">
          <w:rPr>
            <w:rStyle w:val="Kpr"/>
            <w:rFonts w:ascii="Times New Roman" w:hAnsi="Times New Roman" w:cs="Times New Roman"/>
            <w:b/>
            <w:noProof/>
            <w:lang w:val="en-GB"/>
          </w:rPr>
          <w:t>12.5.2. Bastam Seal Impressions</w:t>
        </w:r>
        <w:r>
          <w:rPr>
            <w:noProof/>
            <w:webHidden/>
          </w:rPr>
          <w:tab/>
        </w:r>
        <w:r>
          <w:rPr>
            <w:noProof/>
            <w:webHidden/>
          </w:rPr>
          <w:fldChar w:fldCharType="begin"/>
        </w:r>
        <w:r>
          <w:rPr>
            <w:noProof/>
            <w:webHidden/>
          </w:rPr>
          <w:instrText xml:space="preserve"> PAGEREF _Toc173231283 \h </w:instrText>
        </w:r>
        <w:r>
          <w:rPr>
            <w:noProof/>
            <w:webHidden/>
          </w:rPr>
        </w:r>
        <w:r>
          <w:rPr>
            <w:noProof/>
            <w:webHidden/>
          </w:rPr>
          <w:fldChar w:fldCharType="separate"/>
        </w:r>
        <w:r>
          <w:rPr>
            <w:noProof/>
            <w:webHidden/>
          </w:rPr>
          <w:t>379</w:t>
        </w:r>
        <w:r>
          <w:rPr>
            <w:noProof/>
            <w:webHidden/>
          </w:rPr>
          <w:fldChar w:fldCharType="end"/>
        </w:r>
      </w:hyperlink>
    </w:p>
    <w:p w14:paraId="2E849D14" w14:textId="179F0EAA" w:rsidR="00765317" w:rsidRDefault="00765317">
      <w:pPr>
        <w:pStyle w:val="T3"/>
        <w:tabs>
          <w:tab w:val="right" w:leader="dot" w:pos="9019"/>
        </w:tabs>
        <w:rPr>
          <w:rFonts w:eastAsiaTheme="minorEastAsia" w:cstheme="minorBidi"/>
          <w:noProof/>
          <w:sz w:val="24"/>
          <w:lang w:eastAsia="tr-TR" w:bidi="he-IL"/>
        </w:rPr>
      </w:pPr>
      <w:hyperlink w:anchor="_Toc173231284" w:history="1">
        <w:r w:rsidRPr="00271A07">
          <w:rPr>
            <w:rStyle w:val="Kpr"/>
            <w:rFonts w:ascii="Times New Roman" w:hAnsi="Times New Roman" w:cs="Times New Roman"/>
            <w:b/>
            <w:noProof/>
            <w:lang w:val="en-GB"/>
          </w:rPr>
          <w:t>12.5.3. Reliefs of Adilcevaz Kef Fortress</w:t>
        </w:r>
        <w:r>
          <w:rPr>
            <w:noProof/>
            <w:webHidden/>
          </w:rPr>
          <w:tab/>
        </w:r>
        <w:r>
          <w:rPr>
            <w:noProof/>
            <w:webHidden/>
          </w:rPr>
          <w:fldChar w:fldCharType="begin"/>
        </w:r>
        <w:r>
          <w:rPr>
            <w:noProof/>
            <w:webHidden/>
          </w:rPr>
          <w:instrText xml:space="preserve"> PAGEREF _Toc173231284 \h </w:instrText>
        </w:r>
        <w:r>
          <w:rPr>
            <w:noProof/>
            <w:webHidden/>
          </w:rPr>
        </w:r>
        <w:r>
          <w:rPr>
            <w:noProof/>
            <w:webHidden/>
          </w:rPr>
          <w:fldChar w:fldCharType="separate"/>
        </w:r>
        <w:r>
          <w:rPr>
            <w:noProof/>
            <w:webHidden/>
          </w:rPr>
          <w:t>379</w:t>
        </w:r>
        <w:r>
          <w:rPr>
            <w:noProof/>
            <w:webHidden/>
          </w:rPr>
          <w:fldChar w:fldCharType="end"/>
        </w:r>
      </w:hyperlink>
    </w:p>
    <w:p w14:paraId="308AC569" w14:textId="7D28D883" w:rsidR="00765317" w:rsidRDefault="00765317">
      <w:pPr>
        <w:pStyle w:val="T2"/>
        <w:rPr>
          <w:rFonts w:eastAsiaTheme="minorEastAsia" w:cstheme="minorBidi"/>
          <w:i w:val="0"/>
          <w:iCs w:val="0"/>
          <w:noProof/>
          <w:sz w:val="24"/>
          <w:lang w:eastAsia="tr-TR" w:bidi="he-IL"/>
        </w:rPr>
      </w:pPr>
      <w:hyperlink w:anchor="_Toc173231285" w:history="1">
        <w:r w:rsidRPr="00271A07">
          <w:rPr>
            <w:rStyle w:val="Kpr"/>
            <w:rFonts w:ascii="Times New Roman" w:hAnsi="Times New Roman" w:cs="Times New Roman"/>
            <w:b/>
            <w:noProof/>
            <w:lang w:val="en-GB"/>
          </w:rPr>
          <w:t>12.6. Interpretation and Discussion</w:t>
        </w:r>
        <w:r>
          <w:rPr>
            <w:noProof/>
            <w:webHidden/>
          </w:rPr>
          <w:tab/>
        </w:r>
        <w:r>
          <w:rPr>
            <w:noProof/>
            <w:webHidden/>
          </w:rPr>
          <w:fldChar w:fldCharType="begin"/>
        </w:r>
        <w:r>
          <w:rPr>
            <w:noProof/>
            <w:webHidden/>
          </w:rPr>
          <w:instrText xml:space="preserve"> PAGEREF _Toc173231285 \h </w:instrText>
        </w:r>
        <w:r>
          <w:rPr>
            <w:noProof/>
            <w:webHidden/>
          </w:rPr>
        </w:r>
        <w:r>
          <w:rPr>
            <w:noProof/>
            <w:webHidden/>
          </w:rPr>
          <w:fldChar w:fldCharType="separate"/>
        </w:r>
        <w:r>
          <w:rPr>
            <w:noProof/>
            <w:webHidden/>
          </w:rPr>
          <w:t>381</w:t>
        </w:r>
        <w:r>
          <w:rPr>
            <w:noProof/>
            <w:webHidden/>
          </w:rPr>
          <w:fldChar w:fldCharType="end"/>
        </w:r>
      </w:hyperlink>
    </w:p>
    <w:p w14:paraId="56C40903" w14:textId="5E049ADC" w:rsidR="00765317" w:rsidRDefault="00765317">
      <w:pPr>
        <w:pStyle w:val="T2"/>
        <w:rPr>
          <w:rFonts w:eastAsiaTheme="minorEastAsia" w:cstheme="minorBidi"/>
          <w:i w:val="0"/>
          <w:iCs w:val="0"/>
          <w:noProof/>
          <w:sz w:val="24"/>
          <w:lang w:eastAsia="tr-TR" w:bidi="he-IL"/>
        </w:rPr>
      </w:pPr>
      <w:hyperlink w:anchor="_Toc173231286" w:history="1">
        <w:r w:rsidRPr="00271A07">
          <w:rPr>
            <w:rStyle w:val="Kpr"/>
            <w:rFonts w:ascii="Times New Roman" w:hAnsi="Times New Roman" w:cs="Times New Roman"/>
            <w:b/>
            <w:noProof/>
            <w:lang w:val="en-GB"/>
          </w:rPr>
          <w:t>12.7. Conclusion</w:t>
        </w:r>
        <w:r>
          <w:rPr>
            <w:noProof/>
            <w:webHidden/>
          </w:rPr>
          <w:tab/>
        </w:r>
        <w:r>
          <w:rPr>
            <w:noProof/>
            <w:webHidden/>
          </w:rPr>
          <w:fldChar w:fldCharType="begin"/>
        </w:r>
        <w:r>
          <w:rPr>
            <w:noProof/>
            <w:webHidden/>
          </w:rPr>
          <w:instrText xml:space="preserve"> PAGEREF _Toc173231286 \h </w:instrText>
        </w:r>
        <w:r>
          <w:rPr>
            <w:noProof/>
            <w:webHidden/>
          </w:rPr>
        </w:r>
        <w:r>
          <w:rPr>
            <w:noProof/>
            <w:webHidden/>
          </w:rPr>
          <w:fldChar w:fldCharType="separate"/>
        </w:r>
        <w:r>
          <w:rPr>
            <w:noProof/>
            <w:webHidden/>
          </w:rPr>
          <w:t>383</w:t>
        </w:r>
        <w:r>
          <w:rPr>
            <w:noProof/>
            <w:webHidden/>
          </w:rPr>
          <w:fldChar w:fldCharType="end"/>
        </w:r>
      </w:hyperlink>
    </w:p>
    <w:p w14:paraId="399A96F3" w14:textId="72F91BFC" w:rsidR="00765317" w:rsidRDefault="00765317">
      <w:pPr>
        <w:pStyle w:val="T1"/>
        <w:rPr>
          <w:rFonts w:eastAsiaTheme="minorEastAsia" w:cstheme="minorBidi"/>
          <w:b w:val="0"/>
          <w:bCs w:val="0"/>
          <w:noProof/>
          <w:sz w:val="24"/>
          <w:lang w:eastAsia="tr-TR" w:bidi="he-IL"/>
        </w:rPr>
      </w:pPr>
      <w:hyperlink w:anchor="_Toc173231287" w:history="1">
        <w:r w:rsidRPr="00271A07">
          <w:rPr>
            <w:rStyle w:val="Kpr"/>
            <w:noProof/>
          </w:rPr>
          <w:t>Abbreviations</w:t>
        </w:r>
        <w:r>
          <w:rPr>
            <w:noProof/>
            <w:webHidden/>
          </w:rPr>
          <w:tab/>
        </w:r>
        <w:r>
          <w:rPr>
            <w:noProof/>
            <w:webHidden/>
          </w:rPr>
          <w:fldChar w:fldCharType="begin"/>
        </w:r>
        <w:r>
          <w:rPr>
            <w:noProof/>
            <w:webHidden/>
          </w:rPr>
          <w:instrText xml:space="preserve"> PAGEREF _Toc173231287 \h </w:instrText>
        </w:r>
        <w:r>
          <w:rPr>
            <w:noProof/>
            <w:webHidden/>
          </w:rPr>
        </w:r>
        <w:r>
          <w:rPr>
            <w:noProof/>
            <w:webHidden/>
          </w:rPr>
          <w:fldChar w:fldCharType="separate"/>
        </w:r>
        <w:r>
          <w:rPr>
            <w:noProof/>
            <w:webHidden/>
          </w:rPr>
          <w:t>385</w:t>
        </w:r>
        <w:r>
          <w:rPr>
            <w:noProof/>
            <w:webHidden/>
          </w:rPr>
          <w:fldChar w:fldCharType="end"/>
        </w:r>
      </w:hyperlink>
    </w:p>
    <w:p w14:paraId="7A9DC077" w14:textId="16324C95" w:rsidR="00765317" w:rsidRDefault="00765317">
      <w:pPr>
        <w:pStyle w:val="T1"/>
        <w:rPr>
          <w:rFonts w:eastAsiaTheme="minorEastAsia" w:cstheme="minorBidi"/>
          <w:b w:val="0"/>
          <w:bCs w:val="0"/>
          <w:noProof/>
          <w:sz w:val="24"/>
          <w:lang w:eastAsia="tr-TR" w:bidi="he-IL"/>
        </w:rPr>
      </w:pPr>
      <w:hyperlink w:anchor="_Toc173231288" w:history="1">
        <w:r w:rsidRPr="00271A07">
          <w:rPr>
            <w:rStyle w:val="Kpr"/>
            <w:rFonts w:asciiTheme="majorBidi" w:hAnsiTheme="majorBidi"/>
            <w:noProof/>
          </w:rPr>
          <w:t>References</w:t>
        </w:r>
        <w:r>
          <w:rPr>
            <w:noProof/>
            <w:webHidden/>
          </w:rPr>
          <w:tab/>
        </w:r>
        <w:r>
          <w:rPr>
            <w:noProof/>
            <w:webHidden/>
          </w:rPr>
          <w:fldChar w:fldCharType="begin"/>
        </w:r>
        <w:r>
          <w:rPr>
            <w:noProof/>
            <w:webHidden/>
          </w:rPr>
          <w:instrText xml:space="preserve"> PAGEREF _Toc173231288 \h </w:instrText>
        </w:r>
        <w:r>
          <w:rPr>
            <w:noProof/>
            <w:webHidden/>
          </w:rPr>
        </w:r>
        <w:r>
          <w:rPr>
            <w:noProof/>
            <w:webHidden/>
          </w:rPr>
          <w:fldChar w:fldCharType="separate"/>
        </w:r>
        <w:r>
          <w:rPr>
            <w:noProof/>
            <w:webHidden/>
          </w:rPr>
          <w:t>385</w:t>
        </w:r>
        <w:r>
          <w:rPr>
            <w:noProof/>
            <w:webHidden/>
          </w:rPr>
          <w:fldChar w:fldCharType="end"/>
        </w:r>
      </w:hyperlink>
    </w:p>
    <w:p w14:paraId="10ED8D6B" w14:textId="5738364E" w:rsidR="00765317" w:rsidRDefault="00765317">
      <w:pPr>
        <w:pStyle w:val="T1"/>
        <w:rPr>
          <w:rFonts w:eastAsiaTheme="minorEastAsia" w:cstheme="minorBidi"/>
          <w:b w:val="0"/>
          <w:bCs w:val="0"/>
          <w:noProof/>
          <w:sz w:val="24"/>
          <w:lang w:eastAsia="tr-TR" w:bidi="he-IL"/>
        </w:rPr>
      </w:pPr>
      <w:hyperlink w:anchor="_Toc173231289" w:history="1">
        <w:r w:rsidRPr="00271A07">
          <w:rPr>
            <w:rStyle w:val="Kpr"/>
            <w:noProof/>
          </w:rPr>
          <w:t>INDEX</w:t>
        </w:r>
        <w:r>
          <w:rPr>
            <w:noProof/>
            <w:webHidden/>
          </w:rPr>
          <w:tab/>
        </w:r>
        <w:r>
          <w:rPr>
            <w:noProof/>
            <w:webHidden/>
          </w:rPr>
          <w:fldChar w:fldCharType="begin"/>
        </w:r>
        <w:r>
          <w:rPr>
            <w:noProof/>
            <w:webHidden/>
          </w:rPr>
          <w:instrText xml:space="preserve"> PAGEREF _Toc173231289 \h </w:instrText>
        </w:r>
        <w:r>
          <w:rPr>
            <w:noProof/>
            <w:webHidden/>
          </w:rPr>
        </w:r>
        <w:r>
          <w:rPr>
            <w:noProof/>
            <w:webHidden/>
          </w:rPr>
          <w:fldChar w:fldCharType="separate"/>
        </w:r>
        <w:r>
          <w:rPr>
            <w:noProof/>
            <w:webHidden/>
          </w:rPr>
          <w:t>407</w:t>
        </w:r>
        <w:r>
          <w:rPr>
            <w:noProof/>
            <w:webHidden/>
          </w:rPr>
          <w:fldChar w:fldCharType="end"/>
        </w:r>
      </w:hyperlink>
    </w:p>
    <w:p w14:paraId="3FEF05F2" w14:textId="045702D7" w:rsidR="007B26F0" w:rsidRPr="00F03A26" w:rsidRDefault="007B26F0"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fldChar w:fldCharType="end"/>
      </w:r>
    </w:p>
    <w:p w14:paraId="5357EACC" w14:textId="09691B5C" w:rsidR="007B26F0" w:rsidRPr="00F03A26" w:rsidRDefault="007B26F0" w:rsidP="00860408">
      <w:pPr>
        <w:pStyle w:val="TBal"/>
      </w:pPr>
    </w:p>
    <w:p w14:paraId="0C8EF6D2" w14:textId="77777777" w:rsidR="00FF0A5F" w:rsidRPr="00F03A26" w:rsidRDefault="00FF0A5F" w:rsidP="00F03A26">
      <w:pPr>
        <w:jc w:val="both"/>
        <w:rPr>
          <w:rFonts w:asciiTheme="majorBidi" w:hAnsiTheme="majorBidi" w:cstheme="majorBidi"/>
          <w:lang w:val="en-GB"/>
        </w:rPr>
      </w:pPr>
    </w:p>
    <w:p w14:paraId="06A786B7" w14:textId="77777777" w:rsidR="007B26F0" w:rsidRPr="00F03A26" w:rsidRDefault="007B26F0" w:rsidP="00F03A26">
      <w:pPr>
        <w:jc w:val="both"/>
        <w:rPr>
          <w:rFonts w:asciiTheme="majorBidi" w:hAnsiTheme="majorBidi" w:cstheme="majorBidi"/>
          <w:lang w:val="en-GB"/>
        </w:rPr>
      </w:pPr>
      <w:r w:rsidRPr="00F03A26">
        <w:rPr>
          <w:rFonts w:asciiTheme="majorBidi" w:hAnsiTheme="majorBidi" w:cstheme="majorBidi"/>
          <w:lang w:val="en-GB"/>
        </w:rPr>
        <w:br w:type="page"/>
      </w:r>
    </w:p>
    <w:p w14:paraId="3FFB100D" w14:textId="1BD2F256" w:rsidR="00EC5808" w:rsidRPr="00F03A26" w:rsidRDefault="001C11C8" w:rsidP="00860408">
      <w:pPr>
        <w:pStyle w:val="Balk1"/>
      </w:pPr>
      <w:bookmarkStart w:id="0" w:name="_Toc173231176"/>
      <w:r w:rsidRPr="00F03A26">
        <w:lastRenderedPageBreak/>
        <w:t>Introduction</w:t>
      </w:r>
      <w:bookmarkEnd w:id="0"/>
    </w:p>
    <w:p w14:paraId="69BEFB03" w14:textId="77777777" w:rsidR="00230497" w:rsidRPr="00F03A26" w:rsidRDefault="00230497" w:rsidP="00F03A26">
      <w:pPr>
        <w:jc w:val="both"/>
        <w:rPr>
          <w:rFonts w:asciiTheme="majorBidi" w:hAnsiTheme="majorBidi" w:cstheme="majorBidi"/>
          <w:lang w:val="en-GB"/>
        </w:rPr>
      </w:pPr>
    </w:p>
    <w:p w14:paraId="7D51B0F8" w14:textId="0E7F382D" w:rsidR="00627764" w:rsidRPr="00F03A26" w:rsidRDefault="001C11C8" w:rsidP="00E5258A">
      <w:pPr>
        <w:jc w:val="right"/>
        <w:rPr>
          <w:rFonts w:asciiTheme="majorBidi" w:hAnsiTheme="majorBidi" w:cstheme="majorBidi"/>
          <w:b/>
          <w:bCs/>
          <w:lang w:val="en-GB"/>
        </w:rPr>
      </w:pPr>
      <w:r w:rsidRPr="00F03A26">
        <w:rPr>
          <w:rFonts w:asciiTheme="majorBidi" w:hAnsiTheme="majorBidi" w:cstheme="majorBidi"/>
          <w:b/>
          <w:bCs/>
          <w:lang w:val="en-GB"/>
        </w:rPr>
        <w:t>S</w:t>
      </w:r>
      <w:r w:rsidR="00230497" w:rsidRPr="00F03A26">
        <w:rPr>
          <w:rFonts w:asciiTheme="majorBidi" w:hAnsiTheme="majorBidi" w:cstheme="majorBidi"/>
          <w:b/>
          <w:bCs/>
          <w:lang w:val="en-GB"/>
        </w:rPr>
        <w:t xml:space="preserve">tefan </w:t>
      </w:r>
      <w:r w:rsidRPr="00F03A26">
        <w:rPr>
          <w:rFonts w:asciiTheme="majorBidi" w:hAnsiTheme="majorBidi" w:cstheme="majorBidi"/>
          <w:b/>
          <w:bCs/>
          <w:lang w:val="en-GB"/>
        </w:rPr>
        <w:t>Kroll, E</w:t>
      </w:r>
      <w:r w:rsidR="00230497" w:rsidRPr="00F03A26">
        <w:rPr>
          <w:rFonts w:asciiTheme="majorBidi" w:hAnsiTheme="majorBidi" w:cstheme="majorBidi"/>
          <w:b/>
          <w:bCs/>
          <w:lang w:val="en-GB"/>
        </w:rPr>
        <w:t xml:space="preserve">rkan </w:t>
      </w:r>
      <w:r w:rsidRPr="00F03A26">
        <w:rPr>
          <w:rFonts w:asciiTheme="majorBidi" w:hAnsiTheme="majorBidi" w:cstheme="majorBidi"/>
          <w:b/>
          <w:bCs/>
          <w:lang w:val="en-GB"/>
        </w:rPr>
        <w:t>Konyar</w:t>
      </w:r>
      <w:r w:rsidR="00260D6B" w:rsidRPr="00F03A26">
        <w:rPr>
          <w:rFonts w:asciiTheme="majorBidi" w:hAnsiTheme="majorBidi" w:cstheme="majorBidi"/>
          <w:b/>
          <w:bCs/>
          <w:lang w:val="en-GB"/>
        </w:rPr>
        <w:t xml:space="preserve"> and</w:t>
      </w:r>
      <w:r w:rsidRPr="00F03A26">
        <w:rPr>
          <w:rFonts w:asciiTheme="majorBidi" w:hAnsiTheme="majorBidi" w:cstheme="majorBidi"/>
          <w:b/>
          <w:bCs/>
          <w:lang w:val="en-GB"/>
        </w:rPr>
        <w:t xml:space="preserve"> B</w:t>
      </w:r>
      <w:r w:rsidR="00230497" w:rsidRPr="00F03A26">
        <w:rPr>
          <w:rFonts w:asciiTheme="majorBidi" w:hAnsiTheme="majorBidi" w:cstheme="majorBidi"/>
          <w:b/>
          <w:bCs/>
          <w:lang w:val="en-GB"/>
        </w:rPr>
        <w:t xml:space="preserve">ülent </w:t>
      </w:r>
      <w:r w:rsidRPr="00F03A26">
        <w:rPr>
          <w:rFonts w:asciiTheme="majorBidi" w:hAnsiTheme="majorBidi" w:cstheme="majorBidi"/>
          <w:b/>
          <w:bCs/>
          <w:lang w:val="en-GB"/>
        </w:rPr>
        <w:t>Genç</w:t>
      </w:r>
    </w:p>
    <w:p w14:paraId="51C2EFFA" w14:textId="77777777" w:rsidR="00627764" w:rsidRPr="00F03A26" w:rsidRDefault="00627764" w:rsidP="00F03A26">
      <w:pPr>
        <w:jc w:val="both"/>
        <w:rPr>
          <w:rFonts w:asciiTheme="majorBidi" w:hAnsiTheme="majorBidi" w:cstheme="majorBidi"/>
          <w:lang w:val="en-GB"/>
        </w:rPr>
      </w:pPr>
    </w:p>
    <w:p w14:paraId="3337A3B8" w14:textId="458C27F3" w:rsidR="00111F62" w:rsidRPr="00F03A26" w:rsidRDefault="001C11C8" w:rsidP="00F03A26">
      <w:pPr>
        <w:pStyle w:val="Default"/>
        <w:jc w:val="both"/>
        <w:rPr>
          <w:rFonts w:asciiTheme="majorBidi" w:hAnsiTheme="majorBidi" w:cstheme="majorBidi"/>
          <w:color w:val="000000" w:themeColor="text1"/>
          <w:lang w:bidi="he-IL"/>
          <w14:ligatures w14:val="standardContextual"/>
        </w:rPr>
      </w:pPr>
      <w:r w:rsidRPr="00F03A26">
        <w:rPr>
          <w:rFonts w:asciiTheme="majorBidi" w:hAnsiTheme="majorBidi" w:cstheme="majorBidi"/>
          <w:color w:val="000000" w:themeColor="text1"/>
          <w:lang w:val="en-GB"/>
        </w:rPr>
        <w:t>The Van Fortress, located on a mass of limestone rising through the eastern shore of Van</w:t>
      </w:r>
      <w:r w:rsidR="004F4D01" w:rsidRPr="00F03A26">
        <w:rPr>
          <w:rFonts w:asciiTheme="majorBidi" w:hAnsiTheme="majorBidi" w:cstheme="majorBidi"/>
          <w:color w:val="000000" w:themeColor="text1"/>
          <w:lang w:val="en-GB"/>
        </w:rPr>
        <w:t xml:space="preserve"> Lake</w:t>
      </w:r>
      <w:r w:rsidR="00CA7B2B">
        <w:rPr>
          <w:rFonts w:asciiTheme="majorBidi" w:hAnsiTheme="majorBidi" w:cstheme="majorBidi"/>
          <w:color w:val="000000" w:themeColor="text1"/>
          <w:lang w:val="en-GB"/>
        </w:rPr>
        <w:fldChar w:fldCharType="begin"/>
      </w:r>
      <w:r w:rsidR="00CA7B2B">
        <w:instrText xml:space="preserve"> XE "</w:instrText>
      </w:r>
      <w:r w:rsidR="00CA7B2B" w:rsidRPr="008D530B">
        <w:rPr>
          <w:rFonts w:asciiTheme="majorBidi" w:hAnsiTheme="majorBidi" w:cstheme="majorBidi"/>
          <w:color w:val="000000" w:themeColor="text1"/>
          <w:lang w:val="en-GB"/>
        </w:rPr>
        <w:instrText>Van Lake</w:instrText>
      </w:r>
      <w:r w:rsidR="00CA7B2B">
        <w:instrText xml:space="preserve">" </w:instrText>
      </w:r>
      <w:r w:rsidR="00CA7B2B">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along with the lower city across the northern slopes</w:t>
      </w:r>
      <w:r w:rsidR="00DD66B3" w:rsidRPr="00F03A26">
        <w:rPr>
          <w:rFonts w:asciiTheme="majorBidi" w:hAnsiTheme="majorBidi" w:cstheme="majorBidi"/>
          <w:color w:val="000000" w:themeColor="text1"/>
          <w:lang w:val="en-GB"/>
        </w:rPr>
        <w:t>,</w:t>
      </w:r>
      <w:r w:rsidR="003E4C83" w:rsidRPr="00F03A26">
        <w:rPr>
          <w:rFonts w:asciiTheme="majorBidi" w:hAnsiTheme="majorBidi" w:cstheme="majorBidi"/>
          <w:color w:val="000000" w:themeColor="text1"/>
          <w:lang w:val="en-GB"/>
        </w:rPr>
        <w:t xml:space="preserve"> constituted</w:t>
      </w:r>
      <w:r w:rsidRPr="00F03A26">
        <w:rPr>
          <w:rFonts w:asciiTheme="majorBidi" w:hAnsiTheme="majorBidi" w:cstheme="majorBidi"/>
          <w:color w:val="000000" w:themeColor="text1"/>
          <w:lang w:val="en-GB"/>
        </w:rPr>
        <w:t xml:space="preserve"> </w:t>
      </w:r>
      <w:r w:rsidR="00801444" w:rsidRPr="009A6D06">
        <w:rPr>
          <w:rFonts w:asciiTheme="majorBidi" w:hAnsiTheme="majorBidi" w:cstheme="majorBidi"/>
          <w:color w:val="000000" w:themeColor="text1"/>
          <w:lang w:val="en-GB"/>
        </w:rPr>
        <w:t>Ṭušpa</w:t>
      </w:r>
      <w:r w:rsidR="005F421B" w:rsidRPr="00D87D45">
        <w:rPr>
          <w:rFonts w:asciiTheme="majorBidi" w:hAnsiTheme="majorBidi" w:cstheme="majorBidi"/>
          <w:color w:val="000000" w:themeColor="text1"/>
          <w:lang w:val="en-GB"/>
        </w:rPr>
        <w:fldChar w:fldCharType="begin"/>
      </w:r>
      <w:r w:rsidR="005F421B" w:rsidRPr="00D87D45">
        <w:rPr>
          <w:rFonts w:asciiTheme="majorBidi" w:hAnsiTheme="majorBidi" w:cstheme="majorBidi"/>
          <w:color w:val="000000" w:themeColor="text1"/>
          <w:lang w:val="en-GB"/>
        </w:rPr>
        <w:instrText xml:space="preserve"> XE "</w:instrText>
      </w:r>
      <w:r w:rsidR="00801444" w:rsidRPr="00D87D45">
        <w:rPr>
          <w:rFonts w:asciiTheme="majorBidi" w:hAnsiTheme="majorBidi" w:cstheme="majorBidi"/>
          <w:color w:val="000000" w:themeColor="text1"/>
          <w:lang w:val="en-GB"/>
        </w:rPr>
        <w:instrText>Ṭušpa</w:instrText>
      </w:r>
      <w:r w:rsidR="005F421B" w:rsidRPr="00D87D45">
        <w:rPr>
          <w:rFonts w:asciiTheme="majorBidi" w:hAnsiTheme="majorBidi" w:cstheme="majorBidi"/>
          <w:color w:val="000000" w:themeColor="text1"/>
          <w:lang w:val="en-GB"/>
        </w:rPr>
        <w:instrText xml:space="preserve">" </w:instrText>
      </w:r>
      <w:r w:rsidR="005F421B" w:rsidRPr="00D87D45">
        <w:rPr>
          <w:rFonts w:asciiTheme="majorBidi" w:hAnsiTheme="majorBidi" w:cstheme="majorBidi"/>
          <w:color w:val="000000" w:themeColor="text1"/>
          <w:lang w:val="en-GB"/>
        </w:rPr>
        <w:fldChar w:fldCharType="end"/>
      </w:r>
      <w:r w:rsidRPr="00D87D45">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the capital of the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DD3957" w:rsidRPr="00F03A26">
        <w:rPr>
          <w:rFonts w:asciiTheme="majorBidi" w:hAnsiTheme="majorBidi" w:cstheme="majorBidi"/>
          <w:color w:val="000000" w:themeColor="text1"/>
          <w:lang w:val="en-GB"/>
        </w:rPr>
        <w:t>k</w:t>
      </w:r>
      <w:r w:rsidRPr="00F03A26">
        <w:rPr>
          <w:rFonts w:asciiTheme="majorBidi" w:hAnsiTheme="majorBidi" w:cstheme="majorBidi"/>
          <w:color w:val="000000" w:themeColor="text1"/>
          <w:lang w:val="en-GB"/>
        </w:rPr>
        <w:t>ingdom</w:t>
      </w:r>
      <w:r w:rsidR="007042EF" w:rsidRPr="00F03A26">
        <w:rPr>
          <w:rFonts w:asciiTheme="majorBidi" w:hAnsiTheme="majorBidi" w:cstheme="majorBidi"/>
          <w:color w:val="000000" w:themeColor="text1"/>
          <w:lang w:val="en-GB"/>
        </w:rPr>
        <w:fldChar w:fldCharType="begin"/>
      </w:r>
      <w:r w:rsidR="007042EF" w:rsidRPr="00F03A26">
        <w:rPr>
          <w:rFonts w:asciiTheme="majorBidi" w:hAnsiTheme="majorBidi" w:cstheme="majorBidi"/>
          <w:color w:val="000000" w:themeColor="text1"/>
          <w:lang w:val="en-GB"/>
        </w:rPr>
        <w:instrText xml:space="preserve"> XE "Urartian </w:instrText>
      </w:r>
      <w:r w:rsidR="00897EF7">
        <w:rPr>
          <w:rFonts w:asciiTheme="majorBidi" w:hAnsiTheme="majorBidi" w:cstheme="majorBidi"/>
          <w:color w:val="000000" w:themeColor="text1"/>
          <w:lang w:val="en-GB"/>
        </w:rPr>
        <w:instrText>k</w:instrText>
      </w:r>
      <w:r w:rsidR="007042EF" w:rsidRPr="00F03A26">
        <w:rPr>
          <w:rFonts w:asciiTheme="majorBidi" w:hAnsiTheme="majorBidi" w:cstheme="majorBidi"/>
          <w:color w:val="000000" w:themeColor="text1"/>
          <w:lang w:val="en-GB"/>
        </w:rPr>
        <w:instrText xml:space="preserve">ingdom" </w:instrText>
      </w:r>
      <w:r w:rsidR="007042EF" w:rsidRPr="00F03A26">
        <w:rPr>
          <w:rFonts w:asciiTheme="majorBidi" w:hAnsiTheme="majorBidi" w:cstheme="majorBidi"/>
          <w:color w:val="000000" w:themeColor="text1"/>
          <w:lang w:val="en-GB"/>
        </w:rPr>
        <w:fldChar w:fldCharType="end"/>
      </w:r>
      <w:r w:rsidR="00050971"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one of the most important political and military powers of the Near East</w:t>
      </w:r>
      <w:r w:rsidR="0080291C" w:rsidRPr="00F03A26">
        <w:rPr>
          <w:rFonts w:asciiTheme="majorBidi" w:hAnsiTheme="majorBidi" w:cstheme="majorBidi"/>
          <w:color w:val="000000" w:themeColor="text1"/>
          <w:lang w:val="en-GB"/>
        </w:rPr>
        <w:fldChar w:fldCharType="begin"/>
      </w:r>
      <w:r w:rsidR="0080291C" w:rsidRPr="00F03A26">
        <w:rPr>
          <w:rFonts w:asciiTheme="majorBidi" w:hAnsiTheme="majorBidi" w:cstheme="majorBidi"/>
          <w:color w:val="000000" w:themeColor="text1"/>
          <w:lang w:val="en-GB"/>
        </w:rPr>
        <w:instrText xml:space="preserve"> XE "Near East" </w:instrText>
      </w:r>
      <w:r w:rsidR="0080291C"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Th</w:t>
      </w:r>
      <w:r w:rsidR="003E4C83" w:rsidRPr="00F03A26">
        <w:rPr>
          <w:rFonts w:asciiTheme="majorBidi" w:hAnsiTheme="majorBidi" w:cstheme="majorBidi"/>
          <w:color w:val="000000" w:themeColor="text1"/>
          <w:lang w:val="en-GB"/>
        </w:rPr>
        <w:t>e</w:t>
      </w:r>
      <w:r w:rsidRPr="00F03A26">
        <w:rPr>
          <w:rFonts w:asciiTheme="majorBidi" w:hAnsiTheme="majorBidi" w:cstheme="majorBidi"/>
          <w:color w:val="000000" w:themeColor="text1"/>
          <w:lang w:val="en-GB"/>
        </w:rPr>
        <w:t xml:space="preserve"> fortress</w:t>
      </w:r>
      <w:r w:rsidR="005C6852" w:rsidRPr="00F03A26">
        <w:rPr>
          <w:rFonts w:asciiTheme="majorBidi" w:hAnsiTheme="majorBidi" w:cstheme="majorBidi"/>
          <w:color w:val="000000" w:themeColor="text1"/>
          <w:lang w:val="en-GB"/>
        </w:rPr>
        <w:t>, comprising crucial written data and the monumental structures of the kingdom,</w:t>
      </w:r>
      <w:r w:rsidRPr="00F03A26">
        <w:rPr>
          <w:rFonts w:asciiTheme="majorBidi" w:hAnsiTheme="majorBidi" w:cstheme="majorBidi"/>
          <w:color w:val="000000" w:themeColor="text1"/>
          <w:lang w:val="en-GB"/>
        </w:rPr>
        <w:t xml:space="preserve"> has been subject </w:t>
      </w:r>
      <w:r w:rsidR="003E4C83" w:rsidRPr="00F03A26">
        <w:rPr>
          <w:rFonts w:asciiTheme="majorBidi" w:hAnsiTheme="majorBidi" w:cstheme="majorBidi"/>
          <w:color w:val="000000" w:themeColor="text1"/>
          <w:lang w:val="en-GB"/>
        </w:rPr>
        <w:t>to</w:t>
      </w:r>
      <w:r w:rsidRPr="00F03A26">
        <w:rPr>
          <w:rFonts w:asciiTheme="majorBidi" w:hAnsiTheme="majorBidi" w:cstheme="majorBidi"/>
          <w:color w:val="000000" w:themeColor="text1"/>
          <w:lang w:val="en-GB"/>
        </w:rPr>
        <w:t xml:space="preserve"> various </w:t>
      </w:r>
      <w:r w:rsidR="00FC2599" w:rsidRPr="00F03A26">
        <w:rPr>
          <w:rFonts w:asciiTheme="majorBidi" w:hAnsiTheme="majorBidi" w:cstheme="majorBidi"/>
          <w:color w:val="000000" w:themeColor="text1"/>
          <w:lang w:val="en-GB"/>
        </w:rPr>
        <w:t>stories</w:t>
      </w:r>
      <w:r w:rsidRPr="00F03A26">
        <w:rPr>
          <w:rFonts w:asciiTheme="majorBidi" w:hAnsiTheme="majorBidi" w:cstheme="majorBidi"/>
          <w:color w:val="000000" w:themeColor="text1"/>
          <w:lang w:val="en-GB"/>
        </w:rPr>
        <w:t xml:space="preserve"> by many </w:t>
      </w:r>
      <w:r w:rsidR="00050971" w:rsidRPr="00F03A26">
        <w:rPr>
          <w:rFonts w:asciiTheme="majorBidi" w:hAnsiTheme="majorBidi" w:cstheme="majorBidi"/>
          <w:color w:val="000000" w:themeColor="text1"/>
          <w:lang w:val="en-GB"/>
        </w:rPr>
        <w:t xml:space="preserve">visitors, </w:t>
      </w:r>
      <w:r w:rsidR="00EA2504" w:rsidRPr="00F03A26">
        <w:rPr>
          <w:rFonts w:asciiTheme="majorBidi" w:hAnsiTheme="majorBidi" w:cstheme="majorBidi"/>
          <w:color w:val="000000" w:themeColor="text1"/>
          <w:lang w:val="en-GB"/>
        </w:rPr>
        <w:t>travellers</w:t>
      </w:r>
      <w:r w:rsidRPr="00F03A26">
        <w:rPr>
          <w:rFonts w:asciiTheme="majorBidi" w:hAnsiTheme="majorBidi" w:cstheme="majorBidi"/>
          <w:color w:val="000000" w:themeColor="text1"/>
          <w:lang w:val="en-GB"/>
        </w:rPr>
        <w:t>, historians, and researchers since the Middle Ages</w:t>
      </w:r>
      <w:r w:rsidR="0080291C" w:rsidRPr="00F03A26">
        <w:rPr>
          <w:rFonts w:asciiTheme="majorBidi" w:hAnsiTheme="majorBidi" w:cstheme="majorBidi"/>
          <w:color w:val="000000" w:themeColor="text1"/>
          <w:lang w:val="en-GB"/>
        </w:rPr>
        <w:fldChar w:fldCharType="begin"/>
      </w:r>
      <w:r w:rsidR="0080291C" w:rsidRPr="00F03A26">
        <w:rPr>
          <w:rFonts w:asciiTheme="majorBidi" w:hAnsiTheme="majorBidi" w:cstheme="majorBidi"/>
          <w:color w:val="000000" w:themeColor="text1"/>
          <w:lang w:val="en-GB"/>
        </w:rPr>
        <w:instrText xml:space="preserve"> XE "Middle Ages" </w:instrText>
      </w:r>
      <w:r w:rsidR="0080291C"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3E4C83" w:rsidRPr="00F03A26">
        <w:rPr>
          <w:rFonts w:asciiTheme="majorBidi" w:hAnsiTheme="majorBidi" w:cstheme="majorBidi"/>
          <w:color w:val="000000" w:themeColor="text1"/>
          <w:lang w:val="en-GB"/>
        </w:rPr>
        <w:t>Within the</w:t>
      </w:r>
      <w:r w:rsidRPr="00F03A26">
        <w:rPr>
          <w:rFonts w:asciiTheme="majorBidi" w:hAnsiTheme="majorBidi" w:cstheme="majorBidi"/>
          <w:color w:val="000000" w:themeColor="text1"/>
          <w:lang w:val="en-GB"/>
        </w:rPr>
        <w:t xml:space="preserve"> </w:t>
      </w:r>
      <w:r w:rsidR="00FB6960" w:rsidRPr="00F03A26">
        <w:rPr>
          <w:rFonts w:asciiTheme="majorBidi" w:hAnsiTheme="majorBidi" w:cstheme="majorBidi"/>
          <w:color w:val="000000" w:themeColor="text1"/>
          <w:lang w:val="en-GB"/>
        </w:rPr>
        <w:t xml:space="preserve">given </w:t>
      </w:r>
      <w:r w:rsidRPr="00F03A26">
        <w:rPr>
          <w:rFonts w:asciiTheme="majorBidi" w:hAnsiTheme="majorBidi" w:cstheme="majorBidi"/>
          <w:color w:val="000000" w:themeColor="text1"/>
          <w:lang w:val="en-GB"/>
        </w:rPr>
        <w:t>contex</w:t>
      </w:r>
      <w:r w:rsidR="00FB6960" w:rsidRPr="00F03A26">
        <w:rPr>
          <w:rFonts w:asciiTheme="majorBidi" w:hAnsiTheme="majorBidi" w:cstheme="majorBidi"/>
          <w:color w:val="000000" w:themeColor="text1"/>
          <w:lang w:val="en-GB"/>
        </w:rPr>
        <w:t>t</w:t>
      </w:r>
      <w:r w:rsidRPr="00F03A26">
        <w:rPr>
          <w:rFonts w:asciiTheme="majorBidi" w:hAnsiTheme="majorBidi" w:cstheme="majorBidi"/>
          <w:color w:val="000000" w:themeColor="text1"/>
          <w:lang w:val="en-GB"/>
        </w:rPr>
        <w:t xml:space="preserve">, the </w:t>
      </w:r>
      <w:r w:rsidR="003E4C83" w:rsidRPr="00F03A26">
        <w:rPr>
          <w:rFonts w:asciiTheme="majorBidi" w:hAnsiTheme="majorBidi" w:cstheme="majorBidi"/>
          <w:color w:val="000000" w:themeColor="text1"/>
          <w:lang w:val="en-GB"/>
        </w:rPr>
        <w:t>oldest</w:t>
      </w:r>
      <w:r w:rsidRPr="00F03A26">
        <w:rPr>
          <w:rFonts w:asciiTheme="majorBidi" w:hAnsiTheme="majorBidi" w:cstheme="majorBidi"/>
          <w:color w:val="000000" w:themeColor="text1"/>
          <w:lang w:val="en-GB"/>
        </w:rPr>
        <w:t xml:space="preserve"> </w:t>
      </w:r>
      <w:r w:rsidR="003E4C83" w:rsidRPr="00F03A26">
        <w:rPr>
          <w:rFonts w:asciiTheme="majorBidi" w:hAnsiTheme="majorBidi" w:cstheme="majorBidi"/>
          <w:color w:val="000000" w:themeColor="text1"/>
          <w:lang w:val="en-GB"/>
        </w:rPr>
        <w:t xml:space="preserve">research </w:t>
      </w:r>
      <w:r w:rsidRPr="00F03A26">
        <w:rPr>
          <w:rFonts w:asciiTheme="majorBidi" w:hAnsiTheme="majorBidi" w:cstheme="majorBidi"/>
          <w:color w:val="000000" w:themeColor="text1"/>
          <w:lang w:val="en-GB"/>
        </w:rPr>
        <w:t>at</w:t>
      </w:r>
      <w:r w:rsidR="0081622B" w:rsidRPr="00F03A26">
        <w:rPr>
          <w:rFonts w:asciiTheme="majorBidi" w:hAnsiTheme="majorBidi" w:cstheme="majorBidi"/>
          <w:color w:val="000000" w:themeColor="text1"/>
          <w:lang w:val="en-GB"/>
        </w:rPr>
        <w:t xml:space="preserve"> the</w:t>
      </w:r>
      <w:r w:rsidRPr="00F03A26">
        <w:rPr>
          <w:rFonts w:asciiTheme="majorBidi" w:hAnsiTheme="majorBidi" w:cstheme="majorBidi"/>
          <w:color w:val="000000" w:themeColor="text1"/>
          <w:lang w:val="en-GB"/>
        </w:rPr>
        <w:t xml:space="preserve"> Van </w:t>
      </w:r>
      <w:r w:rsidR="0081622B" w:rsidRPr="00F03A26">
        <w:rPr>
          <w:rFonts w:asciiTheme="majorBidi" w:hAnsiTheme="majorBidi" w:cstheme="majorBidi"/>
          <w:color w:val="000000" w:themeColor="text1"/>
          <w:lang w:val="en-GB"/>
        </w:rPr>
        <w:t>Fortress</w:t>
      </w:r>
      <w:r w:rsidRPr="00F03A26">
        <w:rPr>
          <w:rFonts w:asciiTheme="majorBidi" w:hAnsiTheme="majorBidi" w:cstheme="majorBidi"/>
          <w:color w:val="000000" w:themeColor="text1"/>
          <w:lang w:val="en-GB"/>
        </w:rPr>
        <w:t xml:space="preserve"> is also the first</w:t>
      </w:r>
      <w:r w:rsidR="00175556" w:rsidRPr="00F03A26">
        <w:rPr>
          <w:rFonts w:asciiTheme="majorBidi" w:hAnsiTheme="majorBidi" w:cstheme="majorBidi"/>
          <w:color w:val="000000" w:themeColor="text1"/>
          <w:lang w:val="en-GB"/>
        </w:rPr>
        <w:t>-ever</w:t>
      </w:r>
      <w:r w:rsidRPr="00F03A26">
        <w:rPr>
          <w:rFonts w:asciiTheme="majorBidi" w:hAnsiTheme="majorBidi" w:cstheme="majorBidi"/>
          <w:color w:val="000000" w:themeColor="text1"/>
          <w:lang w:val="en-GB"/>
        </w:rPr>
        <w:t xml:space="preserve"> </w:t>
      </w:r>
      <w:r w:rsidR="00FC2599" w:rsidRPr="00F03A26">
        <w:rPr>
          <w:rFonts w:asciiTheme="majorBidi" w:hAnsiTheme="majorBidi" w:cstheme="majorBidi"/>
          <w:color w:val="000000" w:themeColor="text1"/>
          <w:lang w:val="en-GB"/>
        </w:rPr>
        <w:t>scholarly</w:t>
      </w:r>
      <w:r w:rsidRPr="00F03A26">
        <w:rPr>
          <w:rFonts w:asciiTheme="majorBidi" w:hAnsiTheme="majorBidi" w:cstheme="majorBidi"/>
          <w:color w:val="000000" w:themeColor="text1"/>
          <w:lang w:val="en-GB"/>
        </w:rPr>
        <w:t xml:space="preserve"> record for </w:t>
      </w:r>
      <w:r w:rsidR="00D46324" w:rsidRPr="00F03A26">
        <w:rPr>
          <w:rFonts w:asciiTheme="majorBidi" w:hAnsiTheme="majorBidi" w:cstheme="majorBidi"/>
          <w:color w:val="000000" w:themeColor="text1"/>
          <w:lang w:bidi="he-IL"/>
        </w:rPr>
        <w:t xml:space="preserve">documenting and comprehending </w:t>
      </w:r>
      <w:r w:rsidRPr="00F03A26">
        <w:rPr>
          <w:rFonts w:asciiTheme="majorBidi" w:hAnsiTheme="majorBidi" w:cstheme="majorBidi"/>
          <w:color w:val="000000" w:themeColor="text1"/>
          <w:lang w:val="en-GB"/>
        </w:rPr>
        <w:t>the</w:t>
      </w:r>
      <w:r w:rsidR="003E4C83"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Urartian</w:t>
      </w:r>
      <w:r w:rsidR="00050971" w:rsidRPr="00F03A26">
        <w:rPr>
          <w:rFonts w:asciiTheme="majorBidi" w:hAnsiTheme="majorBidi" w:cstheme="majorBidi"/>
          <w:color w:val="000000" w:themeColor="text1"/>
          <w:lang w:val="en-GB"/>
        </w:rPr>
        <w:t xml:space="preserve"> remains</w:t>
      </w:r>
      <w:r w:rsidRPr="00F03A26">
        <w:rPr>
          <w:rFonts w:asciiTheme="majorBidi" w:hAnsiTheme="majorBidi" w:cstheme="majorBidi"/>
          <w:color w:val="000000" w:themeColor="text1"/>
          <w:lang w:val="en-GB"/>
        </w:rPr>
        <w:t xml:space="preserve"> and</w:t>
      </w:r>
      <w:r w:rsidR="003E4C83" w:rsidRPr="00F03A26">
        <w:rPr>
          <w:rFonts w:asciiTheme="majorBidi" w:hAnsiTheme="majorBidi" w:cstheme="majorBidi"/>
          <w:color w:val="000000" w:themeColor="text1"/>
          <w:lang w:val="en-GB"/>
        </w:rPr>
        <w:t xml:space="preserve"> the</w:t>
      </w:r>
      <w:r w:rsidR="00050971"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culture.</w:t>
      </w:r>
    </w:p>
    <w:p w14:paraId="78909A63" w14:textId="77777777" w:rsidR="00111F62" w:rsidRPr="00F03A26" w:rsidRDefault="00111F62" w:rsidP="00F03A26">
      <w:pPr>
        <w:jc w:val="both"/>
        <w:rPr>
          <w:rFonts w:asciiTheme="majorBidi" w:hAnsiTheme="majorBidi" w:cstheme="majorBidi"/>
          <w:color w:val="000000" w:themeColor="text1"/>
          <w:lang w:val="en-GB"/>
        </w:rPr>
      </w:pPr>
    </w:p>
    <w:p w14:paraId="45E91DC2" w14:textId="723A90FB" w:rsidR="003205C0" w:rsidRPr="00F03A26" w:rsidRDefault="00D46324"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The f</w:t>
      </w:r>
      <w:r w:rsidR="001C11C8" w:rsidRPr="00F03A26">
        <w:rPr>
          <w:rFonts w:asciiTheme="majorBidi" w:hAnsiTheme="majorBidi" w:cstheme="majorBidi"/>
          <w:color w:val="000000" w:themeColor="text1"/>
          <w:lang w:val="en-GB"/>
        </w:rPr>
        <w:t xml:space="preserve">irst </w:t>
      </w:r>
      <w:r w:rsidR="00FC2599" w:rsidRPr="00F03A26">
        <w:rPr>
          <w:rFonts w:asciiTheme="majorBidi" w:hAnsiTheme="majorBidi" w:cstheme="majorBidi"/>
          <w:color w:val="000000" w:themeColor="text1"/>
          <w:lang w:val="en-GB"/>
        </w:rPr>
        <w:t xml:space="preserve">scholarly </w:t>
      </w:r>
      <w:r w:rsidR="001C11C8" w:rsidRPr="00F03A26">
        <w:rPr>
          <w:rFonts w:asciiTheme="majorBidi" w:hAnsiTheme="majorBidi" w:cstheme="majorBidi"/>
          <w:color w:val="000000" w:themeColor="text1"/>
          <w:lang w:val="en-GB"/>
        </w:rPr>
        <w:t>research at</w:t>
      </w:r>
      <w:r w:rsidR="00AD5F68" w:rsidRPr="00F03A26">
        <w:rPr>
          <w:rFonts w:asciiTheme="majorBidi" w:hAnsiTheme="majorBidi" w:cstheme="majorBidi"/>
          <w:color w:val="000000" w:themeColor="text1"/>
          <w:lang w:val="en-GB"/>
        </w:rPr>
        <w:t xml:space="preserve"> the</w:t>
      </w:r>
      <w:r w:rsidR="001C11C8" w:rsidRPr="00F03A26">
        <w:rPr>
          <w:rFonts w:asciiTheme="majorBidi" w:hAnsiTheme="majorBidi" w:cstheme="majorBidi"/>
          <w:color w:val="000000" w:themeColor="text1"/>
          <w:lang w:val="en-GB"/>
        </w:rPr>
        <w:t xml:space="preserve"> Van </w:t>
      </w:r>
      <w:r w:rsidR="00AD5F68" w:rsidRPr="00F03A26">
        <w:rPr>
          <w:rFonts w:asciiTheme="majorBidi" w:hAnsiTheme="majorBidi" w:cstheme="majorBidi"/>
          <w:color w:val="000000" w:themeColor="text1"/>
          <w:lang w:val="en-GB"/>
        </w:rPr>
        <w:t>Fortress</w:t>
      </w:r>
      <w:r w:rsidR="001C11C8" w:rsidRPr="00F03A26">
        <w:rPr>
          <w:rFonts w:asciiTheme="majorBidi" w:hAnsiTheme="majorBidi" w:cstheme="majorBidi"/>
          <w:color w:val="000000" w:themeColor="text1"/>
          <w:lang w:val="en-GB"/>
        </w:rPr>
        <w:t xml:space="preserve"> started </w:t>
      </w:r>
      <w:r w:rsidR="001315ED" w:rsidRPr="00F03A26">
        <w:rPr>
          <w:rFonts w:asciiTheme="majorBidi" w:hAnsiTheme="majorBidi" w:cstheme="majorBidi"/>
          <w:color w:val="000000" w:themeColor="text1"/>
          <w:lang w:val="en-GB"/>
        </w:rPr>
        <w:t>with F. E. Schulz</w:t>
      </w:r>
      <w:r w:rsidR="001F2587">
        <w:rPr>
          <w:rFonts w:asciiTheme="majorBidi" w:hAnsiTheme="majorBidi" w:cstheme="majorBidi"/>
          <w:color w:val="000000" w:themeColor="text1"/>
          <w:lang w:val="en-GB"/>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color w:val="000000" w:themeColor="text1"/>
          <w:lang w:val="en-GB"/>
        </w:rPr>
        <w:fldChar w:fldCharType="end"/>
      </w:r>
      <w:r w:rsidR="001315ED" w:rsidRPr="00F03A26">
        <w:rPr>
          <w:rFonts w:asciiTheme="majorBidi" w:hAnsiTheme="majorBidi" w:cstheme="majorBidi"/>
          <w:color w:val="000000" w:themeColor="text1"/>
          <w:lang w:val="en-GB"/>
        </w:rPr>
        <w:t xml:space="preserve"> in the first half of the 19th century, </w:t>
      </w:r>
      <w:r w:rsidR="001C11C8" w:rsidRPr="00F03A26">
        <w:rPr>
          <w:rFonts w:asciiTheme="majorBidi" w:hAnsiTheme="majorBidi" w:cstheme="majorBidi"/>
          <w:color w:val="000000" w:themeColor="text1"/>
          <w:lang w:val="en-GB"/>
        </w:rPr>
        <w:t xml:space="preserve">who </w:t>
      </w:r>
      <w:r w:rsidR="00FC2599" w:rsidRPr="00F03A26">
        <w:rPr>
          <w:rFonts w:asciiTheme="majorBidi" w:hAnsiTheme="majorBidi" w:cstheme="majorBidi"/>
          <w:color w:val="000000" w:themeColor="text1"/>
          <w:lang w:val="en-GB"/>
        </w:rPr>
        <w:t>copied</w:t>
      </w:r>
      <w:r w:rsidR="00EF3195" w:rsidRPr="00F03A26">
        <w:rPr>
          <w:rFonts w:asciiTheme="majorBidi" w:hAnsiTheme="majorBidi" w:cstheme="majorBidi"/>
          <w:color w:val="000000" w:themeColor="text1"/>
          <w:lang w:val="en-GB"/>
        </w:rPr>
        <w:t xml:space="preserve"> the</w:t>
      </w:r>
      <w:r w:rsidR="001C11C8" w:rsidRPr="00F03A26">
        <w:rPr>
          <w:rFonts w:asciiTheme="majorBidi" w:hAnsiTheme="majorBidi" w:cstheme="majorBidi"/>
          <w:color w:val="000000" w:themeColor="text1"/>
          <w:lang w:val="en-GB"/>
        </w:rPr>
        <w:t xml:space="preserve">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cuneiform </w:t>
      </w:r>
      <w:r w:rsidR="00B6522A" w:rsidRPr="00F03A26">
        <w:rPr>
          <w:rFonts w:asciiTheme="majorBidi" w:hAnsiTheme="majorBidi" w:cstheme="majorBidi"/>
          <w:color w:val="000000" w:themeColor="text1"/>
          <w:lang w:val="en-GB"/>
        </w:rPr>
        <w:t>inscription</w:t>
      </w:r>
      <w:r w:rsidR="00EF0DF1" w:rsidRPr="00F03A26">
        <w:rPr>
          <w:rFonts w:asciiTheme="majorBidi" w:hAnsiTheme="majorBidi" w:cstheme="majorBidi"/>
          <w:color w:val="000000" w:themeColor="text1"/>
          <w:lang w:val="en-GB"/>
        </w:rPr>
        <w:t>. H</w:t>
      </w:r>
      <w:r w:rsidR="0081622B" w:rsidRPr="00F03A26">
        <w:rPr>
          <w:rFonts w:asciiTheme="majorBidi" w:hAnsiTheme="majorBidi" w:cstheme="majorBidi"/>
          <w:color w:val="000000" w:themeColor="text1"/>
          <w:lang w:val="en-GB"/>
        </w:rPr>
        <w:t>is work</w:t>
      </w:r>
      <w:r w:rsidR="00EF3195" w:rsidRPr="00F03A26">
        <w:rPr>
          <w:rFonts w:asciiTheme="majorBidi" w:hAnsiTheme="majorBidi" w:cstheme="majorBidi"/>
          <w:color w:val="000000" w:themeColor="text1"/>
          <w:lang w:val="en-GB"/>
        </w:rPr>
        <w:t xml:space="preserve"> </w:t>
      </w:r>
      <w:r w:rsidR="001C11C8" w:rsidRPr="00F03A26">
        <w:rPr>
          <w:rFonts w:asciiTheme="majorBidi" w:hAnsiTheme="majorBidi" w:cstheme="majorBidi"/>
          <w:color w:val="000000" w:themeColor="text1"/>
          <w:lang w:val="en-GB"/>
        </w:rPr>
        <w:t>was</w:t>
      </w:r>
      <w:r w:rsidR="0081622B" w:rsidRPr="00F03A26">
        <w:rPr>
          <w:rFonts w:asciiTheme="majorBidi" w:hAnsiTheme="majorBidi" w:cstheme="majorBidi"/>
          <w:color w:val="000000" w:themeColor="text1"/>
          <w:lang w:val="en-GB"/>
        </w:rPr>
        <w:t xml:space="preserve"> continued with </w:t>
      </w:r>
      <w:r w:rsidR="00A90F52" w:rsidRPr="00F03A26">
        <w:rPr>
          <w:rFonts w:asciiTheme="majorBidi" w:hAnsiTheme="majorBidi" w:cstheme="majorBidi"/>
          <w:color w:val="000000" w:themeColor="text1"/>
          <w:lang w:val="en-GB"/>
        </w:rPr>
        <w:t xml:space="preserve">a short-term </w:t>
      </w:r>
      <w:r w:rsidR="001C11C8" w:rsidRPr="00F03A26">
        <w:rPr>
          <w:rFonts w:asciiTheme="majorBidi" w:hAnsiTheme="majorBidi" w:cstheme="majorBidi"/>
          <w:color w:val="000000" w:themeColor="text1"/>
          <w:lang w:val="en-GB"/>
        </w:rPr>
        <w:t>excavation by Layard</w:t>
      </w:r>
      <w:r w:rsidR="00B03080">
        <w:rPr>
          <w:rFonts w:asciiTheme="majorBidi" w:hAnsiTheme="majorBidi" w:cstheme="majorBidi"/>
          <w:color w:val="000000" w:themeColor="text1"/>
          <w:lang w:val="en-GB"/>
        </w:rPr>
        <w:t xml:space="preserve"> </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w:instrText>
      </w:r>
      <w:r w:rsidR="0002079A" w:rsidRPr="00F03A26">
        <w:rPr>
          <w:rFonts w:asciiTheme="majorBidi" w:hAnsiTheme="majorBidi" w:cstheme="majorBidi"/>
          <w:iCs/>
          <w:color w:val="000000" w:themeColor="text1"/>
          <w:lang w:val="en-GB"/>
        </w:rPr>
        <w:instrText>Layard</w:instrText>
      </w:r>
      <w:r w:rsidR="0002079A" w:rsidRPr="00F03A26">
        <w:rPr>
          <w:rFonts w:asciiTheme="majorBidi" w:hAnsiTheme="majorBidi" w:cstheme="majorBidi"/>
          <w:color w:val="000000" w:themeColor="text1"/>
          <w:lang w:val="en-GB"/>
        </w:rPr>
        <w:instrText xml:space="preserve">" </w:instrText>
      </w:r>
      <w:r w:rsidR="0002079A"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at Analıkı</w:t>
      </w:r>
      <w:r w:rsidR="00EF3195" w:rsidRPr="00F03A26">
        <w:rPr>
          <w:rFonts w:asciiTheme="majorBidi" w:hAnsiTheme="majorBidi" w:cstheme="majorBidi"/>
          <w:color w:val="000000" w:themeColor="text1"/>
          <w:lang w:val="en-GB"/>
        </w:rPr>
        <w:t>z</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"Analıkız" </w:instrText>
      </w:r>
      <w:r w:rsidR="005F421B" w:rsidRPr="00F03A26">
        <w:rPr>
          <w:rFonts w:asciiTheme="majorBidi" w:hAnsiTheme="majorBidi" w:cstheme="majorBidi"/>
          <w:color w:val="000000" w:themeColor="text1"/>
          <w:lang w:val="en-GB"/>
        </w:rPr>
        <w:fldChar w:fldCharType="end"/>
      </w:r>
      <w:r w:rsidR="00EF3195" w:rsidRPr="00F03A26">
        <w:rPr>
          <w:rFonts w:asciiTheme="majorBidi" w:hAnsiTheme="majorBidi" w:cstheme="majorBidi"/>
          <w:color w:val="000000" w:themeColor="text1"/>
          <w:lang w:val="en-GB"/>
        </w:rPr>
        <w:t xml:space="preserve"> </w:t>
      </w:r>
      <w:r w:rsidR="006C696B" w:rsidRPr="00F03A26">
        <w:rPr>
          <w:rFonts w:asciiTheme="majorBidi" w:hAnsiTheme="majorBidi" w:cstheme="majorBidi"/>
          <w:color w:val="000000" w:themeColor="text1"/>
          <w:lang w:val="en-GB"/>
        </w:rPr>
        <w:t>in 1849 (</w:t>
      </w:r>
      <w:r w:rsidR="00600FD9" w:rsidRPr="00F03A26">
        <w:rPr>
          <w:rFonts w:asciiTheme="majorBidi" w:hAnsiTheme="majorBidi" w:cstheme="majorBidi"/>
          <w:color w:val="000000" w:themeColor="text1"/>
          <w:lang w:val="en-GB"/>
        </w:rPr>
        <w:t>C</w:t>
      </w:r>
      <w:r w:rsidR="001C11C8" w:rsidRPr="00F03A26">
        <w:rPr>
          <w:rFonts w:asciiTheme="majorBidi" w:hAnsiTheme="majorBidi" w:cstheme="majorBidi"/>
          <w:color w:val="000000" w:themeColor="text1"/>
          <w:lang w:val="en-GB"/>
        </w:rPr>
        <w:t xml:space="preserve">hapter 1). </w:t>
      </w:r>
      <w:r w:rsidR="00EF3195" w:rsidRPr="00F03A26">
        <w:rPr>
          <w:rFonts w:asciiTheme="majorBidi" w:hAnsiTheme="majorBidi" w:cstheme="majorBidi"/>
          <w:color w:val="000000" w:themeColor="text1"/>
          <w:lang w:val="en-GB"/>
        </w:rPr>
        <w:t>R</w:t>
      </w:r>
      <w:r w:rsidR="001C11C8" w:rsidRPr="00F03A26">
        <w:rPr>
          <w:rFonts w:asciiTheme="majorBidi" w:hAnsiTheme="majorBidi" w:cstheme="majorBidi"/>
          <w:color w:val="000000" w:themeColor="text1"/>
          <w:lang w:val="en-GB"/>
        </w:rPr>
        <w:t>esearch</w:t>
      </w:r>
      <w:r w:rsidR="00EF3195" w:rsidRPr="00F03A26">
        <w:rPr>
          <w:rFonts w:asciiTheme="majorBidi" w:hAnsiTheme="majorBidi" w:cstheme="majorBidi"/>
          <w:color w:val="000000" w:themeColor="text1"/>
          <w:lang w:val="en-GB"/>
        </w:rPr>
        <w:t xml:space="preserve"> by Lehmann-Haupt</w:t>
      </w:r>
      <w:r w:rsidR="001C11C8" w:rsidRPr="00F03A26">
        <w:rPr>
          <w:rFonts w:asciiTheme="majorBidi" w:hAnsiTheme="majorBidi" w:cstheme="majorBidi"/>
          <w:color w:val="000000" w:themeColor="text1"/>
          <w:lang w:val="en-GB"/>
        </w:rPr>
        <w:t xml:space="preserve"> in 1898</w:t>
      </w:r>
      <w:r w:rsidR="00695338">
        <w:rPr>
          <w:rFonts w:asciiTheme="majorBidi" w:hAnsiTheme="majorBidi" w:cstheme="majorBidi"/>
          <w:color w:val="000000" w:themeColor="text1"/>
          <w:lang w:val="en-GB"/>
        </w:rPr>
        <w:t>-1899</w:t>
      </w:r>
      <w:r w:rsidR="001C11C8" w:rsidRPr="00F03A26">
        <w:rPr>
          <w:rFonts w:asciiTheme="majorBidi" w:hAnsiTheme="majorBidi" w:cstheme="majorBidi"/>
          <w:color w:val="000000" w:themeColor="text1"/>
          <w:lang w:val="en-GB"/>
        </w:rPr>
        <w:t xml:space="preserve"> was </w:t>
      </w:r>
      <w:r w:rsidR="00EF3195" w:rsidRPr="00F03A26">
        <w:rPr>
          <w:rFonts w:asciiTheme="majorBidi" w:hAnsiTheme="majorBidi" w:cstheme="majorBidi"/>
          <w:color w:val="000000" w:themeColor="text1"/>
          <w:lang w:val="en-GB"/>
        </w:rPr>
        <w:t>later carried on</w:t>
      </w:r>
      <w:r w:rsidR="001C11C8" w:rsidRPr="00F03A26">
        <w:rPr>
          <w:rFonts w:asciiTheme="majorBidi" w:hAnsiTheme="majorBidi" w:cstheme="majorBidi"/>
          <w:color w:val="000000" w:themeColor="text1"/>
          <w:lang w:val="en-GB"/>
        </w:rPr>
        <w:t xml:space="preserve"> </w:t>
      </w:r>
      <w:r w:rsidR="00EF3195" w:rsidRPr="00F03A26">
        <w:rPr>
          <w:rFonts w:asciiTheme="majorBidi" w:hAnsiTheme="majorBidi" w:cstheme="majorBidi"/>
          <w:color w:val="000000" w:themeColor="text1"/>
          <w:lang w:val="en-GB"/>
        </w:rPr>
        <w:t xml:space="preserve">by </w:t>
      </w:r>
      <w:r w:rsidR="001C11C8" w:rsidRPr="00F03A26">
        <w:rPr>
          <w:rFonts w:asciiTheme="majorBidi" w:hAnsiTheme="majorBidi" w:cstheme="majorBidi"/>
          <w:color w:val="000000" w:themeColor="text1"/>
          <w:lang w:val="en-GB"/>
        </w:rPr>
        <w:t>Marr and Orbeli's excavations in 1916 and</w:t>
      </w:r>
      <w:r w:rsidR="00EF3195" w:rsidRPr="00F03A26">
        <w:rPr>
          <w:rFonts w:asciiTheme="majorBidi" w:hAnsiTheme="majorBidi" w:cstheme="majorBidi"/>
          <w:color w:val="000000" w:themeColor="text1"/>
          <w:lang w:val="en-GB"/>
        </w:rPr>
        <w:t xml:space="preserve"> then</w:t>
      </w:r>
      <w:r w:rsidR="001C11C8" w:rsidRPr="00F03A26">
        <w:rPr>
          <w:rFonts w:asciiTheme="majorBidi" w:hAnsiTheme="majorBidi" w:cstheme="majorBidi"/>
          <w:color w:val="000000" w:themeColor="text1"/>
          <w:lang w:val="en-GB"/>
        </w:rPr>
        <w:t xml:space="preserve"> Lake's </w:t>
      </w:r>
      <w:r w:rsidR="00EF3195" w:rsidRPr="00F03A26">
        <w:rPr>
          <w:rFonts w:asciiTheme="majorBidi" w:hAnsiTheme="majorBidi" w:cstheme="majorBidi"/>
          <w:color w:val="000000" w:themeColor="text1"/>
          <w:lang w:val="en-GB"/>
        </w:rPr>
        <w:t>work</w:t>
      </w:r>
      <w:r w:rsidR="001C11C8" w:rsidRPr="00F03A26">
        <w:rPr>
          <w:rFonts w:asciiTheme="majorBidi" w:hAnsiTheme="majorBidi" w:cstheme="majorBidi"/>
          <w:color w:val="000000" w:themeColor="text1"/>
          <w:lang w:val="en-GB"/>
        </w:rPr>
        <w:t xml:space="preserve"> in 1938. Following this early </w:t>
      </w:r>
      <w:r w:rsidR="00EF3195" w:rsidRPr="00F03A26">
        <w:rPr>
          <w:rFonts w:asciiTheme="majorBidi" w:hAnsiTheme="majorBidi" w:cstheme="majorBidi"/>
          <w:color w:val="000000" w:themeColor="text1"/>
          <w:lang w:val="en-GB"/>
        </w:rPr>
        <w:t>research</w:t>
      </w:r>
      <w:r w:rsidR="001C11C8" w:rsidRPr="00F03A26">
        <w:rPr>
          <w:rFonts w:asciiTheme="majorBidi" w:hAnsiTheme="majorBidi" w:cstheme="majorBidi"/>
          <w:color w:val="000000" w:themeColor="text1"/>
          <w:lang w:val="en-GB"/>
        </w:rPr>
        <w:t xml:space="preserve">, Turkish archaeologists' work at </w:t>
      </w:r>
      <w:r w:rsidR="003717A9" w:rsidRPr="00F03A26">
        <w:rPr>
          <w:rFonts w:asciiTheme="majorBidi" w:hAnsiTheme="majorBidi" w:cstheme="majorBidi"/>
          <w:color w:val="000000" w:themeColor="text1"/>
          <w:lang w:val="en-GB"/>
        </w:rPr>
        <w:t xml:space="preserve">the </w:t>
      </w:r>
      <w:r w:rsidR="001C11C8" w:rsidRPr="00F03A26">
        <w:rPr>
          <w:rFonts w:asciiTheme="majorBidi" w:hAnsiTheme="majorBidi" w:cstheme="majorBidi"/>
          <w:color w:val="000000" w:themeColor="text1"/>
          <w:lang w:val="en-GB"/>
        </w:rPr>
        <w:t xml:space="preserve">Van </w:t>
      </w:r>
      <w:r w:rsidR="003717A9" w:rsidRPr="00F03A26">
        <w:rPr>
          <w:rFonts w:asciiTheme="majorBidi" w:hAnsiTheme="majorBidi" w:cstheme="majorBidi"/>
          <w:color w:val="000000" w:themeColor="text1"/>
          <w:lang w:val="en-GB"/>
        </w:rPr>
        <w:t>Fortress,</w:t>
      </w:r>
      <w:r w:rsidR="001C11C8" w:rsidRPr="00F03A26">
        <w:rPr>
          <w:rFonts w:asciiTheme="majorBidi" w:hAnsiTheme="majorBidi" w:cstheme="majorBidi"/>
          <w:color w:val="000000" w:themeColor="text1"/>
          <w:lang w:val="en-GB"/>
        </w:rPr>
        <w:t xml:space="preserve"> which</w:t>
      </w:r>
      <w:r w:rsidR="00AD5F68" w:rsidRPr="00F03A26">
        <w:rPr>
          <w:rFonts w:asciiTheme="majorBidi" w:hAnsiTheme="majorBidi" w:cstheme="majorBidi"/>
          <w:color w:val="000000" w:themeColor="text1"/>
          <w:lang w:val="en-GB"/>
        </w:rPr>
        <w:t xml:space="preserve"> eventually</w:t>
      </w:r>
      <w:r w:rsidR="001C11C8" w:rsidRPr="00F03A26">
        <w:rPr>
          <w:rFonts w:asciiTheme="majorBidi" w:hAnsiTheme="majorBidi" w:cstheme="majorBidi"/>
          <w:color w:val="000000" w:themeColor="text1"/>
          <w:lang w:val="en-GB"/>
        </w:rPr>
        <w:t xml:space="preserve"> began in the </w:t>
      </w:r>
      <w:r w:rsidR="00EF3195" w:rsidRPr="00F03A26">
        <w:rPr>
          <w:rFonts w:asciiTheme="majorBidi" w:hAnsiTheme="majorBidi" w:cstheme="majorBidi"/>
          <w:color w:val="000000" w:themeColor="text1"/>
          <w:lang w:val="en-GB"/>
        </w:rPr>
        <w:t>19</w:t>
      </w:r>
      <w:r w:rsidR="001C11C8" w:rsidRPr="00F03A26">
        <w:rPr>
          <w:rFonts w:asciiTheme="majorBidi" w:hAnsiTheme="majorBidi" w:cstheme="majorBidi"/>
          <w:color w:val="000000" w:themeColor="text1"/>
          <w:lang w:val="en-GB"/>
        </w:rPr>
        <w:t xml:space="preserve">50s and </w:t>
      </w:r>
      <w:r w:rsidR="00EF3195" w:rsidRPr="00F03A26">
        <w:rPr>
          <w:rFonts w:asciiTheme="majorBidi" w:hAnsiTheme="majorBidi" w:cstheme="majorBidi"/>
          <w:color w:val="000000" w:themeColor="text1"/>
          <w:lang w:val="en-GB"/>
        </w:rPr>
        <w:t>broadened</w:t>
      </w:r>
      <w:r w:rsidR="001C11C8" w:rsidRPr="00F03A26">
        <w:rPr>
          <w:rFonts w:asciiTheme="majorBidi" w:hAnsiTheme="majorBidi" w:cstheme="majorBidi"/>
          <w:color w:val="000000" w:themeColor="text1"/>
          <w:lang w:val="en-GB"/>
        </w:rPr>
        <w:t xml:space="preserve"> in the 1980s, was problem-oriented and carried out </w:t>
      </w:r>
      <w:r w:rsidR="00EF3195" w:rsidRPr="00F03A26">
        <w:rPr>
          <w:rFonts w:asciiTheme="majorBidi" w:hAnsiTheme="majorBidi" w:cstheme="majorBidi"/>
          <w:color w:val="000000" w:themeColor="text1"/>
          <w:lang w:val="en-GB"/>
        </w:rPr>
        <w:t>with</w:t>
      </w:r>
      <w:r w:rsidR="00AD5F68" w:rsidRPr="00F03A26">
        <w:rPr>
          <w:rFonts w:asciiTheme="majorBidi" w:hAnsiTheme="majorBidi" w:cstheme="majorBidi"/>
          <w:color w:val="000000" w:themeColor="text1"/>
          <w:lang w:val="en-GB"/>
        </w:rPr>
        <w:t xml:space="preserve"> the</w:t>
      </w:r>
      <w:r w:rsidR="001C11C8"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 xml:space="preserve">project’s </w:t>
      </w:r>
      <w:r w:rsidR="001C11C8" w:rsidRPr="00F03A26">
        <w:rPr>
          <w:rFonts w:asciiTheme="majorBidi" w:hAnsiTheme="majorBidi" w:cstheme="majorBidi"/>
          <w:color w:val="000000" w:themeColor="text1"/>
          <w:lang w:val="en-GB"/>
        </w:rPr>
        <w:t>specific objectives</w:t>
      </w:r>
      <w:r w:rsidR="00EF3195" w:rsidRPr="00F03A26">
        <w:rPr>
          <w:rFonts w:asciiTheme="majorBidi" w:hAnsiTheme="majorBidi" w:cstheme="majorBidi"/>
          <w:color w:val="000000" w:themeColor="text1"/>
          <w:lang w:val="en-GB"/>
        </w:rPr>
        <w:t>.</w:t>
      </w:r>
      <w:r w:rsidR="001C11C8" w:rsidRPr="00F03A26">
        <w:rPr>
          <w:rFonts w:asciiTheme="majorBidi" w:hAnsiTheme="majorBidi" w:cstheme="majorBidi"/>
          <w:color w:val="000000" w:themeColor="text1"/>
          <w:lang w:val="en-GB"/>
        </w:rPr>
        <w:t xml:space="preserve"> </w:t>
      </w:r>
      <w:r w:rsidR="00AD5F68" w:rsidRPr="00F03A26">
        <w:rPr>
          <w:rFonts w:asciiTheme="majorBidi" w:hAnsiTheme="majorBidi" w:cstheme="majorBidi"/>
          <w:color w:val="000000" w:themeColor="text1"/>
          <w:lang w:val="en-GB"/>
        </w:rPr>
        <w:t>The</w:t>
      </w:r>
      <w:r w:rsidR="001C11C8" w:rsidRPr="00F03A26">
        <w:rPr>
          <w:rFonts w:asciiTheme="majorBidi" w:hAnsiTheme="majorBidi" w:cstheme="majorBidi"/>
          <w:color w:val="000000" w:themeColor="text1"/>
          <w:lang w:val="en-GB"/>
        </w:rPr>
        <w:t xml:space="preserve"> excavations</w:t>
      </w:r>
      <w:r w:rsidR="00AD5F68" w:rsidRPr="00F03A26">
        <w:rPr>
          <w:rFonts w:asciiTheme="majorBidi" w:hAnsiTheme="majorBidi" w:cstheme="majorBidi"/>
          <w:color w:val="000000" w:themeColor="text1"/>
          <w:lang w:val="en-GB"/>
        </w:rPr>
        <w:t xml:space="preserve"> in the area allowed</w:t>
      </w:r>
      <w:r w:rsidR="001C11C8" w:rsidRPr="00F03A26">
        <w:rPr>
          <w:rFonts w:asciiTheme="majorBidi" w:hAnsiTheme="majorBidi" w:cstheme="majorBidi"/>
          <w:color w:val="000000" w:themeColor="text1"/>
          <w:lang w:val="en-GB"/>
        </w:rPr>
        <w:t xml:space="preserve"> discussion</w:t>
      </w:r>
      <w:r w:rsidR="00EF3195" w:rsidRPr="00F03A26">
        <w:rPr>
          <w:rFonts w:asciiTheme="majorBidi" w:hAnsiTheme="majorBidi" w:cstheme="majorBidi"/>
          <w:color w:val="000000" w:themeColor="text1"/>
          <w:lang w:val="en-GB"/>
        </w:rPr>
        <w:t>s</w:t>
      </w:r>
      <w:r w:rsidR="001C11C8" w:rsidRPr="00F03A26">
        <w:rPr>
          <w:rFonts w:asciiTheme="majorBidi" w:hAnsiTheme="majorBidi" w:cstheme="majorBidi"/>
          <w:color w:val="000000" w:themeColor="text1"/>
          <w:lang w:val="en-GB"/>
        </w:rPr>
        <w:t xml:space="preserve"> and research on the functions and chronology of the buildings </w:t>
      </w:r>
      <w:r w:rsidR="00AD5F68" w:rsidRPr="00F03A26">
        <w:rPr>
          <w:rFonts w:asciiTheme="majorBidi" w:hAnsiTheme="majorBidi" w:cstheme="majorBidi"/>
          <w:color w:val="000000" w:themeColor="text1"/>
          <w:lang w:val="en-GB"/>
        </w:rPr>
        <w:t>to</w:t>
      </w:r>
      <w:r w:rsidR="00EF3195" w:rsidRPr="00F03A26">
        <w:rPr>
          <w:rFonts w:asciiTheme="majorBidi" w:hAnsiTheme="majorBidi" w:cstheme="majorBidi"/>
          <w:color w:val="000000" w:themeColor="text1"/>
          <w:lang w:val="en-GB"/>
        </w:rPr>
        <w:t xml:space="preserve"> accelerate.</w:t>
      </w:r>
      <w:r w:rsidR="001C11C8" w:rsidRPr="00F03A26">
        <w:rPr>
          <w:rFonts w:asciiTheme="majorBidi" w:hAnsiTheme="majorBidi" w:cstheme="majorBidi"/>
          <w:color w:val="000000" w:themeColor="text1"/>
          <w:lang w:val="en-GB"/>
        </w:rPr>
        <w:t xml:space="preserve"> </w:t>
      </w:r>
    </w:p>
    <w:p w14:paraId="52E96050" w14:textId="77777777" w:rsidR="003205C0" w:rsidRPr="00F03A26" w:rsidRDefault="003205C0" w:rsidP="00F03A26">
      <w:pPr>
        <w:jc w:val="both"/>
        <w:rPr>
          <w:rFonts w:asciiTheme="majorBidi" w:hAnsiTheme="majorBidi" w:cstheme="majorBidi"/>
          <w:color w:val="000000" w:themeColor="text1"/>
          <w:lang w:val="en-GB"/>
        </w:rPr>
      </w:pPr>
    </w:p>
    <w:p w14:paraId="196D32B3" w14:textId="1F29A349" w:rsidR="00E41A1D" w:rsidRPr="00F03A26" w:rsidRDefault="001C11C8"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The capital </w:t>
      </w:r>
      <w:r w:rsidR="00B62C8A" w:rsidRPr="00F03A26">
        <w:rPr>
          <w:rFonts w:asciiTheme="majorBidi" w:hAnsiTheme="majorBidi" w:cstheme="majorBidi"/>
          <w:color w:val="000000" w:themeColor="text1"/>
          <w:lang w:val="en-GB"/>
        </w:rPr>
        <w:t>city,</w:t>
      </w:r>
      <w:r w:rsidR="00EF3195"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reflect</w:t>
      </w:r>
      <w:r w:rsidR="00EF3195" w:rsidRPr="00F03A26">
        <w:rPr>
          <w:rFonts w:asciiTheme="majorBidi" w:hAnsiTheme="majorBidi" w:cstheme="majorBidi"/>
          <w:color w:val="000000" w:themeColor="text1"/>
          <w:lang w:val="en-GB"/>
        </w:rPr>
        <w:t>ing</w:t>
      </w:r>
      <w:r w:rsidRPr="00F03A26">
        <w:rPr>
          <w:rFonts w:asciiTheme="majorBidi" w:hAnsiTheme="majorBidi" w:cstheme="majorBidi"/>
          <w:color w:val="000000" w:themeColor="text1"/>
          <w:lang w:val="en-GB"/>
        </w:rPr>
        <w:t xml:space="preserve"> the </w:t>
      </w:r>
      <w:r w:rsidR="00EC24E2" w:rsidRPr="00F03A26">
        <w:rPr>
          <w:rFonts w:asciiTheme="majorBidi" w:hAnsiTheme="majorBidi" w:cstheme="majorBidi"/>
          <w:color w:val="000000" w:themeColor="text1"/>
          <w:lang w:val="en-GB"/>
        </w:rPr>
        <w:t xml:space="preserve">characteristics of an </w:t>
      </w:r>
      <w:r w:rsidRPr="00F03A26">
        <w:rPr>
          <w:rFonts w:asciiTheme="majorBidi" w:hAnsiTheme="majorBidi" w:cstheme="majorBidi"/>
          <w:color w:val="000000" w:themeColor="text1"/>
          <w:lang w:val="en-GB"/>
        </w:rPr>
        <w:t>Urartian</w:t>
      </w:r>
      <w:r w:rsidR="00EA6C63">
        <w:rPr>
          <w:rFonts w:asciiTheme="majorBidi" w:hAnsiTheme="majorBidi" w:cstheme="majorBidi"/>
          <w:color w:val="000000" w:themeColor="text1"/>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city</w:t>
      </w:r>
      <w:r w:rsidR="00EC24E2"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 xml:space="preserve">with </w:t>
      </w:r>
      <w:r w:rsidR="00EC24E2" w:rsidRPr="00F03A26">
        <w:rPr>
          <w:rFonts w:asciiTheme="majorBidi" w:hAnsiTheme="majorBidi" w:cstheme="majorBidi"/>
          <w:color w:val="000000" w:themeColor="text1"/>
          <w:lang w:val="en-GB"/>
        </w:rPr>
        <w:t>its</w:t>
      </w:r>
      <w:r w:rsidRPr="00F03A26">
        <w:rPr>
          <w:rFonts w:asciiTheme="majorBidi" w:hAnsiTheme="majorBidi" w:cstheme="majorBidi"/>
          <w:color w:val="000000" w:themeColor="text1"/>
          <w:lang w:val="en-GB"/>
        </w:rPr>
        <w:t xml:space="preserve"> architecture and facilities </w:t>
      </w:r>
      <w:r w:rsidR="00EC24E2" w:rsidRPr="00F03A26">
        <w:rPr>
          <w:rFonts w:asciiTheme="majorBidi" w:hAnsiTheme="majorBidi" w:cstheme="majorBidi"/>
          <w:color w:val="000000" w:themeColor="text1"/>
          <w:lang w:val="en-GB"/>
        </w:rPr>
        <w:t xml:space="preserve">utilized for </w:t>
      </w:r>
      <w:r w:rsidR="003D7011" w:rsidRPr="00F03A26">
        <w:rPr>
          <w:rFonts w:asciiTheme="majorBidi" w:hAnsiTheme="majorBidi" w:cstheme="majorBidi"/>
          <w:color w:val="000000" w:themeColor="text1"/>
          <w:lang w:val="en-GB"/>
        </w:rPr>
        <w:t>several</w:t>
      </w:r>
      <w:r w:rsidR="00EC24E2" w:rsidRPr="00F03A26">
        <w:rPr>
          <w:rFonts w:asciiTheme="majorBidi" w:hAnsiTheme="majorBidi" w:cstheme="majorBidi"/>
          <w:color w:val="000000" w:themeColor="text1"/>
          <w:lang w:val="en-GB"/>
        </w:rPr>
        <w:t xml:space="preserve"> purposes</w:t>
      </w:r>
      <w:r w:rsidRPr="00F03A26">
        <w:rPr>
          <w:rFonts w:asciiTheme="majorBidi" w:hAnsiTheme="majorBidi" w:cstheme="majorBidi"/>
          <w:color w:val="000000" w:themeColor="text1"/>
          <w:lang w:val="en-GB"/>
        </w:rPr>
        <w:t xml:space="preserve">, has become a </w:t>
      </w:r>
      <w:r w:rsidR="00EC24E2" w:rsidRPr="00F03A26">
        <w:rPr>
          <w:rFonts w:asciiTheme="majorBidi" w:hAnsiTheme="majorBidi" w:cstheme="majorBidi"/>
          <w:color w:val="000000" w:themeColor="text1"/>
          <w:lang w:val="en-GB"/>
        </w:rPr>
        <w:t xml:space="preserve">model </w:t>
      </w:r>
      <w:r w:rsidR="001465B3" w:rsidRPr="00F03A26">
        <w:rPr>
          <w:rFonts w:asciiTheme="majorBidi" w:hAnsiTheme="majorBidi" w:cstheme="majorBidi"/>
          <w:color w:val="000000" w:themeColor="text1"/>
          <w:lang w:val="en-GB"/>
        </w:rPr>
        <w:t>cent</w:t>
      </w:r>
      <w:r w:rsidR="00D46324" w:rsidRPr="00F03A26">
        <w:rPr>
          <w:rFonts w:asciiTheme="majorBidi" w:hAnsiTheme="majorBidi" w:cstheme="majorBidi"/>
          <w:color w:val="000000" w:themeColor="text1"/>
          <w:lang w:val="en-GB"/>
        </w:rPr>
        <w:t>er</w:t>
      </w:r>
      <w:r w:rsidRPr="00F03A26">
        <w:rPr>
          <w:rFonts w:asciiTheme="majorBidi" w:hAnsiTheme="majorBidi" w:cstheme="majorBidi"/>
          <w:color w:val="000000" w:themeColor="text1"/>
          <w:lang w:val="en-GB"/>
        </w:rPr>
        <w:t xml:space="preserve"> for many scholars working in this field. Urartian urban architecture</w:t>
      </w:r>
      <w:r w:rsidR="00B62C8A" w:rsidRPr="00F03A26">
        <w:rPr>
          <w:rFonts w:asciiTheme="majorBidi" w:hAnsiTheme="majorBidi" w:cstheme="majorBidi"/>
          <w:color w:val="000000" w:themeColor="text1"/>
          <w:lang w:val="en-GB"/>
        </w:rPr>
        <w:t xml:space="preserve"> provides</w:t>
      </w:r>
      <w:r w:rsidRPr="00F03A26">
        <w:rPr>
          <w:rFonts w:asciiTheme="majorBidi" w:hAnsiTheme="majorBidi" w:cstheme="majorBidi"/>
          <w:color w:val="000000" w:themeColor="text1"/>
          <w:lang w:val="en-GB"/>
        </w:rPr>
        <w:t xml:space="preserve"> re</w:t>
      </w:r>
      <w:r w:rsidR="00EC24E2" w:rsidRPr="00F03A26">
        <w:rPr>
          <w:rFonts w:asciiTheme="majorBidi" w:hAnsiTheme="majorBidi" w:cstheme="majorBidi"/>
          <w:color w:val="000000" w:themeColor="text1"/>
          <w:lang w:val="en-GB"/>
        </w:rPr>
        <w:t>presentative</w:t>
      </w:r>
      <w:r w:rsidRPr="00F03A26">
        <w:rPr>
          <w:rFonts w:asciiTheme="majorBidi" w:hAnsiTheme="majorBidi" w:cstheme="majorBidi"/>
          <w:color w:val="000000" w:themeColor="text1"/>
          <w:lang w:val="en-GB"/>
        </w:rPr>
        <w:t xml:space="preserve"> examples </w:t>
      </w:r>
      <w:r w:rsidR="00EC24E2" w:rsidRPr="00F03A26">
        <w:rPr>
          <w:rFonts w:asciiTheme="majorBidi" w:hAnsiTheme="majorBidi" w:cstheme="majorBidi"/>
          <w:color w:val="000000" w:themeColor="text1"/>
          <w:lang w:val="en-GB"/>
        </w:rPr>
        <w:t>of</w:t>
      </w:r>
      <w:r w:rsidRPr="00F03A26">
        <w:rPr>
          <w:rFonts w:asciiTheme="majorBidi" w:hAnsiTheme="majorBidi" w:cstheme="majorBidi"/>
          <w:color w:val="000000" w:themeColor="text1"/>
          <w:lang w:val="en-GB"/>
        </w:rPr>
        <w:t xml:space="preserve"> rock-working techniques. </w:t>
      </w:r>
      <w:r w:rsidR="00EC24E2" w:rsidRPr="00F03A26">
        <w:rPr>
          <w:rFonts w:asciiTheme="majorBidi" w:hAnsiTheme="majorBidi" w:cstheme="majorBidi"/>
          <w:color w:val="000000" w:themeColor="text1"/>
          <w:lang w:val="en-GB"/>
        </w:rPr>
        <w:t>Also</w:t>
      </w:r>
      <w:r w:rsidRPr="00F03A26">
        <w:rPr>
          <w:rFonts w:asciiTheme="majorBidi" w:hAnsiTheme="majorBidi" w:cstheme="majorBidi"/>
          <w:color w:val="000000" w:themeColor="text1"/>
          <w:lang w:val="en-GB"/>
        </w:rPr>
        <w:t xml:space="preserve">, the inscriptions carved into the bedrock are the </w:t>
      </w:r>
      <w:r w:rsidR="00D46324" w:rsidRPr="00F03A26">
        <w:rPr>
          <w:rFonts w:asciiTheme="majorBidi" w:hAnsiTheme="majorBidi" w:cstheme="majorBidi"/>
          <w:color w:val="000000" w:themeColor="text1"/>
          <w:lang w:val="en-GB"/>
        </w:rPr>
        <w:t>primary data source</w:t>
      </w:r>
      <w:r w:rsidRPr="00F03A26">
        <w:rPr>
          <w:rFonts w:asciiTheme="majorBidi" w:hAnsiTheme="majorBidi" w:cstheme="majorBidi"/>
          <w:color w:val="000000" w:themeColor="text1"/>
          <w:lang w:val="en-GB"/>
        </w:rPr>
        <w:t xml:space="preserve"> </w:t>
      </w:r>
      <w:r w:rsidR="00FC2599" w:rsidRPr="00F03A26">
        <w:rPr>
          <w:rFonts w:asciiTheme="majorBidi" w:hAnsiTheme="majorBidi" w:cstheme="majorBidi"/>
          <w:color w:val="000000" w:themeColor="text1"/>
          <w:lang w:val="en-GB"/>
        </w:rPr>
        <w:t>for writing</w:t>
      </w:r>
      <w:r w:rsidR="00EC24E2"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 xml:space="preserve">Urartian history. </w:t>
      </w:r>
    </w:p>
    <w:p w14:paraId="3C281274" w14:textId="77777777" w:rsidR="00E41A1D" w:rsidRPr="00F03A26" w:rsidRDefault="00E41A1D" w:rsidP="00F03A26">
      <w:pPr>
        <w:jc w:val="both"/>
        <w:rPr>
          <w:rFonts w:asciiTheme="majorBidi" w:hAnsiTheme="majorBidi" w:cstheme="majorBidi"/>
          <w:color w:val="000000" w:themeColor="text1"/>
          <w:lang w:val="en-GB"/>
        </w:rPr>
      </w:pPr>
    </w:p>
    <w:p w14:paraId="30C9DEB1" w14:textId="34F8A080" w:rsidR="00E41A1D" w:rsidRPr="00F03A26" w:rsidRDefault="00E41A1D"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kern w:val="0"/>
          <w:lang w:bidi="he-IL"/>
        </w:rPr>
        <w:t>In this book, Tuspa is reevaluated in different ways, such as the capital of the Urartian</w:t>
      </w:r>
      <w:r w:rsidR="00EA6C63">
        <w:rPr>
          <w:rFonts w:asciiTheme="majorBidi" w:hAnsiTheme="majorBidi" w:cstheme="majorBidi"/>
          <w:color w:val="000000" w:themeColor="text1"/>
          <w:kern w:val="0"/>
          <w:lang w:bidi="he-IL"/>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color w:val="000000" w:themeColor="text1"/>
          <w:kern w:val="0"/>
          <w:lang w:bidi="he-IL"/>
        </w:rPr>
        <w:fldChar w:fldCharType="end"/>
      </w:r>
      <w:r w:rsidRPr="00F03A26">
        <w:rPr>
          <w:rFonts w:asciiTheme="majorBidi" w:hAnsiTheme="majorBidi" w:cstheme="majorBidi"/>
          <w:color w:val="000000" w:themeColor="text1"/>
          <w:kern w:val="0"/>
          <w:lang w:bidi="he-IL"/>
        </w:rPr>
        <w:t xml:space="preserve"> kingdom, its identification, topography, chronological development, inscriptions, and structures. This reevaluation is done with new data from excavation seasons of the citadel from 2010 to 2019 and the resulting research and documentation.</w:t>
      </w:r>
    </w:p>
    <w:p w14:paraId="68B2F9FB" w14:textId="77777777" w:rsidR="00111F62" w:rsidRPr="00F03A26" w:rsidRDefault="00111F62" w:rsidP="00F03A26">
      <w:pPr>
        <w:jc w:val="both"/>
        <w:rPr>
          <w:rFonts w:asciiTheme="majorBidi" w:hAnsiTheme="majorBidi" w:cstheme="majorBidi"/>
          <w:color w:val="000000" w:themeColor="text1"/>
          <w:lang w:val="en-GB"/>
        </w:rPr>
      </w:pPr>
    </w:p>
    <w:p w14:paraId="31AF24A2" w14:textId="780A5431" w:rsidR="003205C0" w:rsidRPr="00B71584" w:rsidRDefault="001C11C8" w:rsidP="00F03A26">
      <w:pPr>
        <w:jc w:val="both"/>
        <w:textAlignment w:val="baseline"/>
        <w:rPr>
          <w:rFonts w:asciiTheme="majorBidi" w:eastAsia="Times New Roman" w:hAnsiTheme="majorBidi" w:cstheme="majorBidi"/>
          <w:color w:val="000000" w:themeColor="text1"/>
          <w:lang w:val="en-US" w:eastAsia="it-IT"/>
        </w:rPr>
      </w:pPr>
      <w:r w:rsidRPr="00F03A26">
        <w:rPr>
          <w:rFonts w:asciiTheme="majorBidi" w:hAnsiTheme="majorBidi" w:cstheme="majorBidi"/>
          <w:color w:val="000000" w:themeColor="text1"/>
          <w:lang w:val="en-GB"/>
        </w:rPr>
        <w:t>Despite a</w:t>
      </w:r>
      <w:r w:rsidR="00175556" w:rsidRPr="00F03A26">
        <w:rPr>
          <w:rFonts w:asciiTheme="majorBidi" w:hAnsiTheme="majorBidi" w:cstheme="majorBidi"/>
          <w:color w:val="000000" w:themeColor="text1"/>
          <w:lang w:val="en-GB"/>
        </w:rPr>
        <w:t xml:space="preserve">n abundance </w:t>
      </w:r>
      <w:r w:rsidRPr="00F03A26">
        <w:rPr>
          <w:rFonts w:asciiTheme="majorBidi" w:hAnsiTheme="majorBidi" w:cstheme="majorBidi"/>
          <w:color w:val="000000" w:themeColor="text1"/>
          <w:lang w:val="en-GB"/>
        </w:rPr>
        <w:t>of scattered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inscriptions around the Van </w:t>
      </w:r>
      <w:r w:rsidR="003D7011" w:rsidRPr="00F03A26">
        <w:rPr>
          <w:rFonts w:asciiTheme="majorBidi" w:hAnsiTheme="majorBidi" w:cstheme="majorBidi"/>
          <w:color w:val="000000" w:themeColor="text1"/>
          <w:lang w:val="en-GB"/>
        </w:rPr>
        <w:t>Fortress</w:t>
      </w:r>
      <w:r w:rsidR="00465247"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and its immediate surroundings, only the rock inscription of Tabriz Gate</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"Tabriz Gate"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at the eastern end of the </w:t>
      </w:r>
      <w:r w:rsidR="00D008E2" w:rsidRPr="00F03A26">
        <w:rPr>
          <w:rFonts w:asciiTheme="majorBidi" w:hAnsiTheme="majorBidi" w:cstheme="majorBidi"/>
          <w:color w:val="000000" w:themeColor="text1"/>
          <w:lang w:val="en-GB"/>
        </w:rPr>
        <w:t>Rock could</w:t>
      </w:r>
      <w:r w:rsidR="003205C0" w:rsidRPr="00F03A26">
        <w:rPr>
          <w:rFonts w:asciiTheme="majorBidi" w:hAnsiTheme="majorBidi" w:cstheme="majorBidi"/>
          <w:color w:val="000000" w:themeColor="text1"/>
          <w:lang w:val="en-GB"/>
        </w:rPr>
        <w:t xml:space="preserve"> prove that this area was, in fac</w:t>
      </w:r>
      <w:r w:rsidR="00E5258A">
        <w:rPr>
          <w:rFonts w:asciiTheme="majorBidi" w:hAnsiTheme="majorBidi" w:cstheme="majorBidi"/>
          <w:color w:val="000000" w:themeColor="text1"/>
          <w:lang w:val="en-GB"/>
        </w:rPr>
        <w:t>t</w:t>
      </w:r>
      <w:r w:rsidR="003205C0" w:rsidRPr="00F03A26">
        <w:rPr>
          <w:rFonts w:asciiTheme="majorBidi" w:hAnsiTheme="majorBidi" w:cstheme="majorBidi"/>
          <w:color w:val="000000" w:themeColor="text1"/>
          <w:lang w:val="en-GB"/>
        </w:rPr>
        <w:t xml:space="preserve">, the city </w:t>
      </w:r>
      <w:r w:rsidR="00897EF7" w:rsidRPr="00F03A26">
        <w:rPr>
          <w:rFonts w:asciiTheme="majorBidi" w:hAnsiTheme="majorBidi" w:cstheme="majorBidi"/>
          <w:color w:val="000000" w:themeColor="text1"/>
          <w:lang w:val="en-GB"/>
        </w:rPr>
        <w:t xml:space="preserve">of </w:t>
      </w:r>
      <w:r w:rsidR="00897EF7">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In the inscription </w:t>
      </w:r>
      <w:r w:rsidR="000F72D0" w:rsidRPr="00F03A26">
        <w:rPr>
          <w:rFonts w:asciiTheme="majorBidi" w:hAnsiTheme="majorBidi" w:cstheme="majorBidi"/>
          <w:color w:val="000000" w:themeColor="text1"/>
          <w:lang w:val="en-GB"/>
        </w:rPr>
        <w:t xml:space="preserve">belonging to </w:t>
      </w:r>
      <w:r w:rsidRPr="00F03A26">
        <w:rPr>
          <w:rFonts w:asciiTheme="majorBidi" w:hAnsiTheme="majorBidi" w:cstheme="majorBidi"/>
          <w:iCs/>
          <w:color w:val="000000" w:themeColor="text1"/>
          <w:lang w:val="en-GB"/>
        </w:rPr>
        <w:t>Išpuini</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w:instrText>
      </w:r>
      <w:r w:rsidR="00512579" w:rsidRPr="00F03A26">
        <w:rPr>
          <w:rFonts w:asciiTheme="majorBidi" w:hAnsiTheme="majorBidi" w:cstheme="majorBidi"/>
          <w:iCs/>
          <w:color w:val="000000" w:themeColor="text1"/>
          <w:lang w:val="en-GB"/>
        </w:rPr>
        <w:instrText>Išpuini</w:instrText>
      </w:r>
      <w:r w:rsidR="00512579" w:rsidRPr="00F03A26">
        <w:rPr>
          <w:rFonts w:asciiTheme="majorBidi" w:hAnsiTheme="majorBidi" w:cstheme="majorBidi"/>
          <w:color w:val="000000" w:themeColor="text1"/>
          <w:lang w:val="en-GB"/>
        </w:rPr>
        <w:instrText xml:space="preserve">"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3205C0" w:rsidRPr="00F03A26">
        <w:rPr>
          <w:rFonts w:asciiTheme="majorBidi" w:hAnsiTheme="majorBidi" w:cstheme="majorBidi"/>
          <w:color w:val="000000" w:themeColor="text1"/>
          <w:lang w:val="en-GB"/>
        </w:rPr>
        <w:t xml:space="preserve">approx </w:t>
      </w:r>
      <w:r w:rsidRPr="00F03A26">
        <w:rPr>
          <w:rFonts w:asciiTheme="majorBidi" w:hAnsiTheme="majorBidi" w:cstheme="majorBidi"/>
          <w:color w:val="000000" w:themeColor="text1"/>
          <w:lang w:val="en-GB"/>
        </w:rPr>
        <w:t>830-820</w:t>
      </w:r>
      <w:r w:rsidR="003E78CB" w:rsidRPr="00F03A26">
        <w:rPr>
          <w:rFonts w:asciiTheme="majorBidi" w:hAnsiTheme="majorBidi" w:cstheme="majorBidi"/>
          <w:color w:val="000000" w:themeColor="text1"/>
          <w:lang w:val="en-GB"/>
        </w:rPr>
        <w:t>/810</w:t>
      </w:r>
      <w:r w:rsidRPr="00F03A26">
        <w:rPr>
          <w:rFonts w:asciiTheme="majorBidi" w:hAnsiTheme="majorBidi" w:cstheme="majorBidi"/>
          <w:color w:val="000000" w:themeColor="text1"/>
          <w:lang w:val="en-GB"/>
        </w:rPr>
        <w:t xml:space="preserve"> </w:t>
      </w:r>
      <w:r w:rsidR="001952DF" w:rsidRPr="00F03A26">
        <w:rPr>
          <w:rFonts w:asciiTheme="majorBidi" w:hAnsiTheme="majorBidi" w:cstheme="majorBidi"/>
          <w:color w:val="000000" w:themeColor="text1"/>
          <w:lang w:val="en-GB"/>
        </w:rPr>
        <w:t>BCE</w:t>
      </w:r>
      <w:r w:rsidRPr="00F03A26">
        <w:rPr>
          <w:rFonts w:asciiTheme="majorBidi" w:hAnsiTheme="majorBidi" w:cstheme="majorBidi"/>
          <w:color w:val="000000" w:themeColor="text1"/>
          <w:lang w:val="en-GB"/>
        </w:rPr>
        <w:t>), one of the founding kings of Urartu</w:t>
      </w:r>
      <w:r w:rsidR="0066296E" w:rsidRPr="00F03A26">
        <w:rPr>
          <w:rFonts w:asciiTheme="majorBidi" w:hAnsiTheme="majorBidi" w:cstheme="majorBidi"/>
          <w:color w:val="000000" w:themeColor="text1"/>
          <w:lang w:val="en-GB"/>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0F72D0" w:rsidRPr="00F03A26">
        <w:rPr>
          <w:rFonts w:asciiTheme="majorBidi" w:hAnsiTheme="majorBidi" w:cstheme="majorBidi"/>
          <w:color w:val="000000" w:themeColor="text1"/>
          <w:lang w:val="en-GB"/>
        </w:rPr>
        <w:t>he</w:t>
      </w:r>
      <w:r w:rsidRPr="00F03A26">
        <w:rPr>
          <w:rFonts w:asciiTheme="majorBidi" w:hAnsiTheme="majorBidi" w:cstheme="majorBidi"/>
          <w:color w:val="000000" w:themeColor="text1"/>
          <w:lang w:val="en-GB"/>
        </w:rPr>
        <w:t xml:space="preserve"> </w:t>
      </w:r>
      <w:r w:rsidR="000F72D0" w:rsidRPr="00F03A26">
        <w:rPr>
          <w:rFonts w:asciiTheme="majorBidi" w:hAnsiTheme="majorBidi" w:cstheme="majorBidi"/>
          <w:color w:val="000000" w:themeColor="text1"/>
          <w:lang w:val="en-GB"/>
        </w:rPr>
        <w:t>explains</w:t>
      </w:r>
      <w:r w:rsidRPr="00F03A26">
        <w:rPr>
          <w:rFonts w:asciiTheme="majorBidi" w:hAnsiTheme="majorBidi" w:cstheme="majorBidi"/>
          <w:color w:val="000000" w:themeColor="text1"/>
          <w:lang w:val="en-GB"/>
        </w:rPr>
        <w:t xml:space="preserve"> </w:t>
      </w:r>
      <w:r w:rsidR="000F72D0" w:rsidRPr="00F03A26">
        <w:rPr>
          <w:rFonts w:asciiTheme="majorBidi" w:hAnsiTheme="majorBidi" w:cstheme="majorBidi"/>
          <w:color w:val="000000" w:themeColor="text1"/>
          <w:lang w:val="en-GB"/>
        </w:rPr>
        <w:t>how</w:t>
      </w:r>
      <w:r w:rsidRPr="00F03A26">
        <w:rPr>
          <w:rFonts w:asciiTheme="majorBidi" w:hAnsiTheme="majorBidi" w:cstheme="majorBidi"/>
          <w:color w:val="000000" w:themeColor="text1"/>
          <w:lang w:val="en-GB"/>
        </w:rPr>
        <w:t xml:space="preserve"> he built </w:t>
      </w:r>
      <w:r w:rsidR="00D46324" w:rsidRPr="00F03A26">
        <w:rPr>
          <w:rFonts w:asciiTheme="majorBidi" w:hAnsiTheme="majorBidi" w:cstheme="majorBidi"/>
          <w:color w:val="000000" w:themeColor="text1"/>
          <w:lang w:val="en-GB"/>
        </w:rPr>
        <w:t>the</w:t>
      </w:r>
      <w:r w:rsidRPr="00F03A26">
        <w:rPr>
          <w:rFonts w:asciiTheme="majorBidi" w:hAnsiTheme="majorBidi" w:cstheme="majorBidi"/>
          <w:color w:val="000000" w:themeColor="text1"/>
          <w:lang w:val="en-GB"/>
        </w:rPr>
        <w:t xml:space="preserve"> susi</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"susi"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temple for the city of </w:t>
      </w:r>
      <w:r w:rsidR="00801444" w:rsidRPr="00B71584">
        <w:rPr>
          <w:rFonts w:asciiTheme="majorBidi" w:hAnsiTheme="majorBidi" w:cstheme="majorBidi"/>
          <w:color w:val="000000" w:themeColor="text1"/>
          <w:lang w:val="en-GB"/>
        </w:rPr>
        <w:t>Ṭušpa</w:t>
      </w:r>
      <w:r w:rsidR="000F72D0" w:rsidRPr="00B71584">
        <w:rPr>
          <w:rFonts w:asciiTheme="majorBidi" w:hAnsiTheme="majorBidi" w:cstheme="majorBidi"/>
          <w:color w:val="000000" w:themeColor="text1"/>
          <w:lang w:val="en-GB"/>
        </w:rPr>
        <w:t xml:space="preserve"> </w:t>
      </w:r>
      <w:r w:rsidR="000F72D0" w:rsidRPr="00F03A26">
        <w:rPr>
          <w:rFonts w:asciiTheme="majorBidi" w:hAnsiTheme="majorBidi" w:cstheme="majorBidi"/>
          <w:color w:val="000000" w:themeColor="text1"/>
          <w:lang w:val="en-GB"/>
        </w:rPr>
        <w:t>with his son, Minua</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"Minua" </w:instrText>
      </w:r>
      <w:r w:rsidR="00512579" w:rsidRPr="00F03A26">
        <w:rPr>
          <w:rFonts w:asciiTheme="majorBidi" w:hAnsiTheme="majorBidi" w:cstheme="majorBidi"/>
          <w:color w:val="000000" w:themeColor="text1"/>
          <w:lang w:val="en-GB"/>
        </w:rPr>
        <w:fldChar w:fldCharType="end"/>
      </w:r>
      <w:r w:rsidR="000F72D0" w:rsidRPr="00F03A26">
        <w:rPr>
          <w:rFonts w:asciiTheme="majorBidi" w:hAnsiTheme="majorBidi" w:cstheme="majorBidi"/>
          <w:color w:val="000000" w:themeColor="text1"/>
          <w:lang w:val="en-GB"/>
        </w:rPr>
        <w:t>, and his grandson, Inušpua</w:t>
      </w:r>
      <w:r w:rsidR="00D008E2">
        <w:rPr>
          <w:rFonts w:asciiTheme="majorBidi" w:hAnsiTheme="majorBidi" w:cstheme="majorBidi"/>
          <w:color w:val="000000" w:themeColor="text1"/>
          <w:lang w:val="en-GB"/>
        </w:rPr>
        <w:t xml:space="preserve"> </w:t>
      </w:r>
      <w:r w:rsidR="003205C0" w:rsidRPr="00F03A26">
        <w:rPr>
          <w:rFonts w:asciiTheme="majorBidi" w:eastAsia="Times New Roman" w:hAnsiTheme="majorBidi" w:cstheme="majorBidi"/>
          <w:color w:val="000000" w:themeColor="text1"/>
          <w:lang w:val="en-GB" w:eastAsia="it-IT"/>
        </w:rPr>
        <w:t>(Salvini 2011b, CTU A 4-1)</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"Inušpua"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0F72D0" w:rsidRPr="00F03A26">
        <w:rPr>
          <w:rFonts w:asciiTheme="majorBidi" w:hAnsiTheme="majorBidi" w:cstheme="majorBidi"/>
          <w:color w:val="000000" w:themeColor="text1"/>
          <w:lang w:val="en-GB"/>
        </w:rPr>
        <w:t>Hence</w:t>
      </w:r>
      <w:r w:rsidRPr="00F03A26">
        <w:rPr>
          <w:rFonts w:asciiTheme="majorBidi" w:hAnsiTheme="majorBidi" w:cstheme="majorBidi"/>
          <w:color w:val="000000" w:themeColor="text1"/>
          <w:lang w:val="en-GB"/>
        </w:rPr>
        <w:t xml:space="preserve">, we first encounter the name </w:t>
      </w:r>
      <w:r w:rsidR="00801444" w:rsidRPr="00B71584">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in Urartian texts during the reign of </w:t>
      </w:r>
      <w:r w:rsidRPr="00F03A26">
        <w:rPr>
          <w:rFonts w:asciiTheme="majorBidi" w:hAnsiTheme="majorBidi" w:cstheme="majorBidi"/>
          <w:iCs/>
          <w:color w:val="000000" w:themeColor="text1"/>
          <w:lang w:val="en-GB"/>
        </w:rPr>
        <w:t>Išpuini</w:t>
      </w:r>
      <w:r w:rsidRPr="00F03A26">
        <w:rPr>
          <w:rFonts w:asciiTheme="majorBidi" w:hAnsiTheme="majorBidi" w:cstheme="majorBidi"/>
          <w:color w:val="000000" w:themeColor="text1"/>
          <w:lang w:val="en-GB"/>
        </w:rPr>
        <w:t>. In addition to the</w:t>
      </w:r>
      <w:r w:rsidR="00C07AE6" w:rsidRPr="00F03A26">
        <w:rPr>
          <w:rFonts w:asciiTheme="majorBidi" w:hAnsiTheme="majorBidi" w:cstheme="majorBidi"/>
          <w:color w:val="000000" w:themeColor="text1"/>
          <w:lang w:val="en-GB"/>
        </w:rPr>
        <w:t xml:space="preserve"> inscription of</w:t>
      </w:r>
      <w:r w:rsidRPr="00F03A26">
        <w:rPr>
          <w:rFonts w:asciiTheme="majorBidi" w:hAnsiTheme="majorBidi" w:cstheme="majorBidi"/>
          <w:color w:val="000000" w:themeColor="text1"/>
          <w:lang w:val="en-GB"/>
        </w:rPr>
        <w:t xml:space="preserve"> Tabriz Gate, many architectural investments with different functions and forms</w:t>
      </w:r>
      <w:r w:rsidR="00EA2504"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such as king tombs,</w:t>
      </w:r>
      <w:r w:rsidR="00C07AE6"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 xml:space="preserve">palace, </w:t>
      </w:r>
      <w:r w:rsidR="003205C0" w:rsidRPr="00F03A26">
        <w:rPr>
          <w:rFonts w:asciiTheme="majorBidi" w:hAnsiTheme="majorBidi" w:cstheme="majorBidi"/>
          <w:color w:val="000000" w:themeColor="text1"/>
          <w:lang w:val="en-GB"/>
        </w:rPr>
        <w:t xml:space="preserve">and </w:t>
      </w:r>
      <w:r w:rsidRPr="00F03A26">
        <w:rPr>
          <w:rFonts w:asciiTheme="majorBidi" w:hAnsiTheme="majorBidi" w:cstheme="majorBidi"/>
          <w:color w:val="000000" w:themeColor="text1"/>
          <w:lang w:val="en-GB"/>
        </w:rPr>
        <w:t xml:space="preserve"> fortification system</w:t>
      </w:r>
      <w:r w:rsidRPr="00B71584">
        <w:rPr>
          <w:rFonts w:asciiTheme="majorBidi" w:hAnsiTheme="majorBidi" w:cstheme="majorBidi"/>
          <w:color w:val="000000" w:themeColor="text1"/>
          <w:lang w:val="en-GB"/>
        </w:rPr>
        <w:t>,</w:t>
      </w:r>
      <w:r w:rsidR="003205C0" w:rsidRPr="00B71584">
        <w:rPr>
          <w:rFonts w:asciiTheme="majorBidi" w:hAnsiTheme="majorBidi" w:cstheme="majorBidi"/>
          <w:color w:val="000000" w:themeColor="text1"/>
          <w:lang w:val="en-GB"/>
        </w:rPr>
        <w:t xml:space="preserve"> </w:t>
      </w:r>
      <w:r w:rsidR="00E5258A" w:rsidRPr="00F03A26">
        <w:rPr>
          <w:rFonts w:asciiTheme="majorBidi" w:eastAsia="Times New Roman" w:hAnsiTheme="majorBidi" w:cstheme="majorBidi"/>
          <w:lang w:val="en-GB"/>
        </w:rPr>
        <w:t>"</w:t>
      </w:r>
      <w:r w:rsidR="003205C0" w:rsidRPr="00B71584">
        <w:rPr>
          <w:rFonts w:asciiTheme="majorBidi" w:hAnsiTheme="majorBidi" w:cstheme="majorBidi"/>
          <w:color w:val="000000" w:themeColor="text1"/>
          <w:lang w:val="en-GB"/>
        </w:rPr>
        <w:t>susi</w:t>
      </w:r>
      <w:r w:rsidR="00E5258A" w:rsidRPr="00F03A26">
        <w:rPr>
          <w:rFonts w:asciiTheme="majorBidi" w:eastAsia="Times New Roman" w:hAnsiTheme="majorBidi" w:cstheme="majorBidi"/>
          <w:lang w:val="en-GB"/>
        </w:rPr>
        <w:t>"</w:t>
      </w:r>
      <w:r w:rsidR="003205C0" w:rsidRPr="00B71584">
        <w:rPr>
          <w:rFonts w:asciiTheme="majorBidi" w:hAnsiTheme="majorBidi" w:cstheme="majorBidi"/>
          <w:color w:val="000000" w:themeColor="text1"/>
          <w:lang w:val="en-GB"/>
        </w:rPr>
        <w:t xml:space="preserve"> (tower temple)</w:t>
      </w:r>
      <w:r w:rsidRPr="00B71584">
        <w:rPr>
          <w:rFonts w:asciiTheme="majorBidi" w:hAnsiTheme="majorBidi" w:cstheme="majorBidi"/>
          <w:color w:val="000000" w:themeColor="text1"/>
          <w:lang w:val="en-GB"/>
        </w:rPr>
        <w:t xml:space="preserve"> </w:t>
      </w:r>
      <w:r w:rsidR="00E5258A" w:rsidRPr="00F03A26">
        <w:rPr>
          <w:rFonts w:asciiTheme="majorBidi" w:eastAsia="Times New Roman" w:hAnsiTheme="majorBidi" w:cstheme="majorBidi"/>
          <w:lang w:val="en-GB"/>
        </w:rPr>
        <w:t>"</w:t>
      </w:r>
      <w:r w:rsidRPr="00B71584">
        <w:rPr>
          <w:rFonts w:asciiTheme="majorBidi" w:hAnsiTheme="majorBidi" w:cstheme="majorBidi"/>
          <w:color w:val="000000" w:themeColor="text1"/>
          <w:lang w:val="en-GB"/>
        </w:rPr>
        <w:t>ari</w:t>
      </w:r>
      <w:r w:rsidR="00E5258A" w:rsidRPr="00F03A26">
        <w:rPr>
          <w:rFonts w:asciiTheme="majorBidi" w:eastAsia="Times New Roman" w:hAnsiTheme="majorBidi" w:cstheme="majorBidi"/>
          <w:lang w:val="en-GB"/>
        </w:rPr>
        <w:t>"</w:t>
      </w:r>
      <w:r w:rsidR="003E78CB" w:rsidRPr="00B71584">
        <w:rPr>
          <w:rFonts w:asciiTheme="majorBidi" w:hAnsiTheme="majorBidi" w:cstheme="majorBidi"/>
          <w:color w:val="000000" w:themeColor="text1"/>
          <w:lang w:val="en-GB"/>
        </w:rPr>
        <w:t xml:space="preserve"> (</w:t>
      </w:r>
      <w:r w:rsidRPr="00B71584">
        <w:rPr>
          <w:rFonts w:asciiTheme="majorBidi" w:hAnsiTheme="majorBidi" w:cstheme="majorBidi"/>
          <w:color w:val="000000" w:themeColor="text1"/>
          <w:lang w:val="en-GB"/>
        </w:rPr>
        <w:t xml:space="preserve">silo), </w:t>
      </w:r>
      <w:r w:rsidR="00027DBE" w:rsidRPr="00F03A26">
        <w:rPr>
          <w:rFonts w:asciiTheme="majorBidi" w:eastAsia="Times New Roman" w:hAnsiTheme="majorBidi" w:cstheme="majorBidi"/>
          <w:lang w:val="en-GB"/>
        </w:rPr>
        <w:t>"</w:t>
      </w:r>
      <w:r w:rsidRPr="00B71584">
        <w:rPr>
          <w:rFonts w:asciiTheme="majorBidi" w:hAnsiTheme="majorBidi" w:cstheme="majorBidi"/>
          <w:color w:val="000000" w:themeColor="text1"/>
          <w:lang w:val="en-GB"/>
        </w:rPr>
        <w:t>siršini</w:t>
      </w:r>
      <w:r w:rsidR="00027DBE" w:rsidRPr="00F03A26">
        <w:rPr>
          <w:rFonts w:asciiTheme="majorBidi" w:eastAsia="Times New Roman" w:hAnsiTheme="majorBidi" w:cstheme="majorBidi"/>
          <w:lang w:val="en-GB"/>
        </w:rPr>
        <w:t>"</w:t>
      </w:r>
      <w:r w:rsidR="00512579" w:rsidRPr="00B71584">
        <w:rPr>
          <w:rFonts w:asciiTheme="majorBidi" w:hAnsiTheme="majorBidi" w:cstheme="majorBidi"/>
          <w:color w:val="000000" w:themeColor="text1"/>
          <w:lang w:val="en-GB"/>
        </w:rPr>
        <w:fldChar w:fldCharType="begin"/>
      </w:r>
      <w:r w:rsidR="00512579" w:rsidRPr="00B71584">
        <w:rPr>
          <w:rFonts w:asciiTheme="majorBidi" w:hAnsiTheme="majorBidi" w:cstheme="majorBidi"/>
          <w:color w:val="000000" w:themeColor="text1"/>
          <w:lang w:val="en-GB"/>
        </w:rPr>
        <w:instrText xml:space="preserve"> XE "siršini" </w:instrText>
      </w:r>
      <w:r w:rsidR="00512579" w:rsidRPr="00B71584">
        <w:rPr>
          <w:rFonts w:asciiTheme="majorBidi" w:hAnsiTheme="majorBidi" w:cstheme="majorBidi"/>
          <w:color w:val="000000" w:themeColor="text1"/>
          <w:lang w:val="en-GB"/>
        </w:rPr>
        <w:fldChar w:fldCharType="end"/>
      </w:r>
      <w:r w:rsidRPr="00B71584">
        <w:rPr>
          <w:rFonts w:asciiTheme="majorBidi" w:hAnsiTheme="majorBidi" w:cstheme="majorBidi"/>
          <w:color w:val="000000" w:themeColor="text1"/>
          <w:lang w:val="en-GB"/>
        </w:rPr>
        <w:t xml:space="preserve"> (</w:t>
      </w:r>
      <w:r w:rsidR="00C07AE6" w:rsidRPr="00B71584">
        <w:rPr>
          <w:rFonts w:asciiTheme="majorBidi" w:hAnsiTheme="majorBidi" w:cstheme="majorBidi"/>
          <w:color w:val="000000" w:themeColor="text1"/>
          <w:lang w:val="en-GB"/>
        </w:rPr>
        <w:t>the</w:t>
      </w:r>
      <w:r w:rsidR="00C07AE6"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barn</w:t>
      </w:r>
      <w:r w:rsidR="00C07AE6" w:rsidRPr="00F03A26">
        <w:rPr>
          <w:rFonts w:asciiTheme="majorBidi" w:hAnsiTheme="majorBidi" w:cstheme="majorBidi"/>
          <w:color w:val="000000" w:themeColor="text1"/>
          <w:lang w:val="en-GB"/>
        </w:rPr>
        <w:t xml:space="preserve"> of sacrificial animals</w:t>
      </w:r>
      <w:r w:rsidRPr="00F03A26">
        <w:rPr>
          <w:rFonts w:asciiTheme="majorBidi" w:hAnsiTheme="majorBidi" w:cstheme="majorBidi"/>
          <w:color w:val="000000" w:themeColor="text1"/>
          <w:lang w:val="en-GB"/>
        </w:rPr>
        <w:t>)</w:t>
      </w:r>
      <w:r w:rsidR="00D46324" w:rsidRPr="00F03A26">
        <w:rPr>
          <w:rFonts w:asciiTheme="majorBidi" w:hAnsiTheme="majorBidi" w:cstheme="majorBidi"/>
          <w:color w:val="000000" w:themeColor="text1"/>
          <w:lang w:val="en-GB"/>
        </w:rPr>
        <w:t xml:space="preserve"> </w:t>
      </w:r>
      <w:r w:rsidR="00D46324" w:rsidRPr="00B71584">
        <w:rPr>
          <w:rFonts w:asciiTheme="majorBidi" w:hAnsiTheme="majorBidi" w:cstheme="majorBidi"/>
          <w:color w:val="000000" w:themeColor="text1"/>
          <w:lang w:val="en-GB"/>
        </w:rPr>
        <w:t>and</w:t>
      </w:r>
      <w:r w:rsidRPr="00B71584">
        <w:rPr>
          <w:rFonts w:asciiTheme="majorBidi" w:hAnsiTheme="majorBidi" w:cstheme="majorBidi"/>
          <w:color w:val="000000" w:themeColor="text1"/>
          <w:lang w:val="en-GB"/>
        </w:rPr>
        <w:t xml:space="preserve"> </w:t>
      </w:r>
      <w:r w:rsidR="00027DBE" w:rsidRPr="00F03A26">
        <w:rPr>
          <w:rFonts w:asciiTheme="majorBidi" w:eastAsia="Times New Roman" w:hAnsiTheme="majorBidi" w:cstheme="majorBidi"/>
          <w:lang w:val="en-GB"/>
        </w:rPr>
        <w:t>"</w:t>
      </w:r>
      <w:r w:rsidRPr="00B71584">
        <w:rPr>
          <w:rFonts w:asciiTheme="majorBidi" w:hAnsiTheme="majorBidi" w:cstheme="majorBidi"/>
          <w:color w:val="000000" w:themeColor="text1"/>
          <w:lang w:val="en-GB"/>
        </w:rPr>
        <w:t>taramanili</w:t>
      </w:r>
      <w:r w:rsidR="00027DBE" w:rsidRPr="00F03A26">
        <w:rPr>
          <w:rFonts w:asciiTheme="majorBidi" w:eastAsia="Times New Roman" w:hAnsiTheme="majorBidi" w:cstheme="majorBidi"/>
          <w:lang w:val="en-GB"/>
        </w:rPr>
        <w:t>"</w:t>
      </w:r>
      <w:r w:rsidR="00512579" w:rsidRPr="00B71584">
        <w:rPr>
          <w:rFonts w:asciiTheme="majorBidi" w:hAnsiTheme="majorBidi" w:cstheme="majorBidi"/>
          <w:color w:val="000000" w:themeColor="text1"/>
          <w:lang w:val="en-GB"/>
        </w:rPr>
        <w:fldChar w:fldCharType="begin"/>
      </w:r>
      <w:r w:rsidR="00512579" w:rsidRPr="00B71584">
        <w:rPr>
          <w:rFonts w:asciiTheme="majorBidi" w:hAnsiTheme="majorBidi" w:cstheme="majorBidi"/>
          <w:color w:val="000000" w:themeColor="text1"/>
          <w:lang w:val="en-GB"/>
        </w:rPr>
        <w:instrText xml:space="preserve"> XE "taramanili" </w:instrText>
      </w:r>
      <w:r w:rsidR="00512579" w:rsidRPr="00B71584">
        <w:rPr>
          <w:rFonts w:asciiTheme="majorBidi" w:hAnsiTheme="majorBidi" w:cstheme="majorBidi"/>
          <w:color w:val="000000" w:themeColor="text1"/>
          <w:lang w:val="en-GB"/>
        </w:rPr>
        <w:fldChar w:fldCharType="end"/>
      </w:r>
      <w:r w:rsidRPr="00B71584">
        <w:rPr>
          <w:rFonts w:asciiTheme="majorBidi" w:hAnsiTheme="majorBidi" w:cstheme="majorBidi"/>
          <w:color w:val="000000" w:themeColor="text1"/>
          <w:lang w:val="en-GB"/>
        </w:rPr>
        <w:t xml:space="preserve"> (fountain</w:t>
      </w:r>
      <w:r w:rsidR="003205C0" w:rsidRPr="00B71584">
        <w:rPr>
          <w:rFonts w:asciiTheme="majorBidi" w:hAnsiTheme="majorBidi" w:cstheme="majorBidi"/>
          <w:color w:val="000000" w:themeColor="text1"/>
          <w:lang w:val="en-GB"/>
        </w:rPr>
        <w:t>s, Salvini, 1970)</w:t>
      </w:r>
      <w:r w:rsidRPr="00B71584">
        <w:rPr>
          <w:rFonts w:asciiTheme="majorBidi" w:hAnsiTheme="majorBidi" w:cstheme="majorBidi"/>
          <w:color w:val="000000" w:themeColor="text1"/>
          <w:lang w:val="en-GB"/>
        </w:rPr>
        <w:t>), etc. along the south</w:t>
      </w:r>
      <w:r w:rsidR="00D46324" w:rsidRPr="00B71584">
        <w:rPr>
          <w:rFonts w:asciiTheme="majorBidi" w:hAnsiTheme="majorBidi" w:cstheme="majorBidi"/>
          <w:color w:val="000000" w:themeColor="text1"/>
          <w:lang w:val="en-GB"/>
        </w:rPr>
        <w:t>,</w:t>
      </w:r>
      <w:r w:rsidRPr="00B71584">
        <w:rPr>
          <w:rFonts w:asciiTheme="majorBidi" w:hAnsiTheme="majorBidi" w:cstheme="majorBidi"/>
          <w:color w:val="000000" w:themeColor="text1"/>
          <w:lang w:val="en-GB"/>
        </w:rPr>
        <w:t xml:space="preserve"> </w:t>
      </w:r>
      <w:r w:rsidR="00C07AE6" w:rsidRPr="00B71584">
        <w:rPr>
          <w:rFonts w:asciiTheme="majorBidi" w:hAnsiTheme="majorBidi" w:cstheme="majorBidi"/>
          <w:color w:val="000000" w:themeColor="text1"/>
          <w:lang w:val="en-GB"/>
        </w:rPr>
        <w:t>to</w:t>
      </w:r>
      <w:r w:rsidRPr="00B71584">
        <w:rPr>
          <w:rFonts w:asciiTheme="majorBidi" w:hAnsiTheme="majorBidi" w:cstheme="majorBidi"/>
          <w:color w:val="000000" w:themeColor="text1"/>
          <w:lang w:val="en-GB"/>
        </w:rPr>
        <w:t xml:space="preserve"> the</w:t>
      </w:r>
      <w:r w:rsidR="00C07AE6" w:rsidRPr="00B71584">
        <w:rPr>
          <w:rFonts w:asciiTheme="majorBidi" w:hAnsiTheme="majorBidi" w:cstheme="majorBidi"/>
          <w:color w:val="000000" w:themeColor="text1"/>
          <w:lang w:val="en-GB"/>
        </w:rPr>
        <w:t xml:space="preserve"> outcrops of the</w:t>
      </w:r>
      <w:r w:rsidRPr="00B71584">
        <w:rPr>
          <w:rFonts w:asciiTheme="majorBidi" w:hAnsiTheme="majorBidi" w:cstheme="majorBidi"/>
          <w:color w:val="000000" w:themeColor="text1"/>
          <w:lang w:val="en-GB"/>
        </w:rPr>
        <w:t xml:space="preserve"> fortress reinforce the fact that the capital </w:t>
      </w:r>
      <w:r w:rsidR="003205C0" w:rsidRPr="00B71584">
        <w:rPr>
          <w:rFonts w:asciiTheme="majorBidi" w:eastAsia="Times New Roman" w:hAnsiTheme="majorBidi" w:cstheme="majorBidi"/>
          <w:color w:val="000000" w:themeColor="text1"/>
          <w:lang w:val="en-GB" w:eastAsia="it-IT"/>
        </w:rPr>
        <w:t>city reflects the Urartian urban character (Chapter 2). The inscriptions and structures on the Rock of Ṭušpa (Van Kalesi) belong to the earlier periods of the kingdom and some powerful kings afterwards (9.-8. Century BC</w:t>
      </w:r>
      <w:r w:rsidR="00E5258A">
        <w:rPr>
          <w:rFonts w:asciiTheme="majorBidi" w:eastAsia="Times New Roman" w:hAnsiTheme="majorBidi" w:cstheme="majorBidi"/>
          <w:color w:val="000000" w:themeColor="text1"/>
          <w:lang w:val="en-GB" w:eastAsia="it-IT"/>
        </w:rPr>
        <w:t>E</w:t>
      </w:r>
      <w:r w:rsidR="003205C0" w:rsidRPr="00B71584">
        <w:rPr>
          <w:rFonts w:asciiTheme="majorBidi" w:eastAsia="Times New Roman" w:hAnsiTheme="majorBidi" w:cstheme="majorBidi"/>
          <w:color w:val="000000" w:themeColor="text1"/>
          <w:lang w:val="en-GB" w:eastAsia="it-IT"/>
        </w:rPr>
        <w:t>).</w:t>
      </w:r>
      <w:r w:rsidR="003205C0" w:rsidRPr="00B71584">
        <w:rPr>
          <w:rFonts w:asciiTheme="majorBidi" w:eastAsia="Times New Roman" w:hAnsiTheme="majorBidi" w:cstheme="majorBidi"/>
          <w:color w:val="000000" w:themeColor="text1"/>
          <w:lang w:val="en-US" w:eastAsia="it-IT"/>
        </w:rPr>
        <w:t> </w:t>
      </w:r>
    </w:p>
    <w:p w14:paraId="1C49DB99" w14:textId="758627B1" w:rsidR="00111F62" w:rsidRPr="00F03A26" w:rsidRDefault="00111F62" w:rsidP="00E5258A">
      <w:pPr>
        <w:jc w:val="both"/>
        <w:rPr>
          <w:rFonts w:asciiTheme="majorBidi" w:hAnsiTheme="majorBidi" w:cstheme="majorBidi"/>
          <w:color w:val="000000" w:themeColor="text1"/>
          <w:lang w:val="en-GB"/>
        </w:rPr>
      </w:pPr>
    </w:p>
    <w:p w14:paraId="42950CA9" w14:textId="4020B2D1" w:rsidR="003205C0" w:rsidRPr="00B71584" w:rsidRDefault="003205C0" w:rsidP="00F03A26">
      <w:pPr>
        <w:jc w:val="both"/>
        <w:textAlignment w:val="baseline"/>
        <w:rPr>
          <w:rFonts w:asciiTheme="majorBidi" w:eastAsia="Times New Roman" w:hAnsiTheme="majorBidi" w:cstheme="majorBidi"/>
          <w:color w:val="000000" w:themeColor="text1"/>
          <w:lang w:val="en-US" w:eastAsia="it-IT"/>
        </w:rPr>
      </w:pPr>
      <w:r w:rsidRPr="00B71584">
        <w:rPr>
          <w:rFonts w:asciiTheme="majorBidi" w:eastAsia="Times New Roman" w:hAnsiTheme="majorBidi" w:cstheme="majorBidi"/>
          <w:color w:val="000000" w:themeColor="text1"/>
          <w:lang w:val="en-GB" w:eastAsia="it-IT"/>
        </w:rPr>
        <w:t>As a well-known fact, in the Near East, especially in the second millennium and increasingly in the first millennium, powerful kings with a passion for propaganda began to build new residences and move their former ones. In Urartu, Ṭušpa managed to be a centre on which the royal monarchy and the legitimacy of power were based until the end of the kingdom. The material remains to which royal legitimacy are attributed are the monumental inscriptions and structures accumulated on the Van Rock for one century from the earliest kings. Suppose the site of Ṭušpa was considered to be a royal seat between the period of Sarduri I</w:t>
      </w:r>
      <w:r w:rsidR="005C68BB">
        <w:rPr>
          <w:rFonts w:asciiTheme="majorBidi" w:eastAsia="Times New Roman" w:hAnsiTheme="majorBidi" w:cstheme="majorBidi"/>
          <w:color w:val="000000" w:themeColor="text1"/>
          <w:lang w:val="en-GB" w:eastAsia="it-IT"/>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Times New Roman" w:hAnsiTheme="majorBidi" w:cstheme="majorBidi"/>
          <w:color w:val="000000" w:themeColor="text1"/>
          <w:lang w:val="en-GB" w:eastAsia="it-IT"/>
        </w:rPr>
        <w:fldChar w:fldCharType="end"/>
      </w:r>
      <w:r w:rsidRPr="00B71584">
        <w:rPr>
          <w:rFonts w:asciiTheme="majorBidi" w:eastAsia="Times New Roman" w:hAnsiTheme="majorBidi" w:cstheme="majorBidi"/>
          <w:color w:val="000000" w:themeColor="text1"/>
          <w:lang w:val="en-GB" w:eastAsia="it-IT"/>
        </w:rPr>
        <w:t xml:space="preserve"> (approx 840-830 BC</w:t>
      </w:r>
      <w:r w:rsidR="00E5258A">
        <w:rPr>
          <w:rFonts w:asciiTheme="majorBidi" w:eastAsia="Times New Roman" w:hAnsiTheme="majorBidi" w:cstheme="majorBidi"/>
          <w:color w:val="000000" w:themeColor="text1"/>
          <w:lang w:val="en-GB" w:eastAsia="it-IT"/>
        </w:rPr>
        <w:t>E</w:t>
      </w:r>
      <w:r w:rsidRPr="00B71584">
        <w:rPr>
          <w:rFonts w:asciiTheme="majorBidi" w:eastAsia="Times New Roman" w:hAnsiTheme="majorBidi" w:cstheme="majorBidi"/>
          <w:color w:val="000000" w:themeColor="text1"/>
          <w:lang w:val="en-GB" w:eastAsia="it-IT"/>
        </w:rPr>
        <w:t>), when cuneiform inscriptions appeared in the area, and the era of Sarduri II</w:t>
      </w:r>
      <w:r w:rsidR="00C1513A" w:rsidRPr="00B71584">
        <w:rPr>
          <w:rFonts w:asciiTheme="majorBidi" w:eastAsia="Times New Roman" w:hAnsiTheme="majorBidi" w:cstheme="majorBidi"/>
          <w:color w:val="000000" w:themeColor="text1"/>
          <w:lang w:val="en-GB" w:eastAsia="it-IT"/>
        </w:rPr>
        <w:fldChar w:fldCharType="begin"/>
      </w:r>
      <w:r w:rsidR="00C1513A" w:rsidRPr="00B71584">
        <w:instrText xml:space="preserve"> XE "</w:instrText>
      </w:r>
      <w:r w:rsidR="00C1513A" w:rsidRPr="00B71584">
        <w:rPr>
          <w:rFonts w:asciiTheme="majorBidi" w:eastAsia="Times New Roman" w:hAnsiTheme="majorBidi" w:cstheme="majorBidi"/>
        </w:rPr>
        <w:instrText>Sarduri II</w:instrText>
      </w:r>
      <w:r w:rsidR="00C1513A" w:rsidRPr="00B71584">
        <w:instrText xml:space="preserve">" </w:instrText>
      </w:r>
      <w:r w:rsidR="00C1513A" w:rsidRPr="00B71584">
        <w:rPr>
          <w:rFonts w:asciiTheme="majorBidi" w:eastAsia="Times New Roman" w:hAnsiTheme="majorBidi" w:cstheme="majorBidi"/>
          <w:color w:val="000000" w:themeColor="text1"/>
          <w:lang w:val="en-GB" w:eastAsia="it-IT"/>
        </w:rPr>
        <w:fldChar w:fldCharType="end"/>
      </w:r>
      <w:r w:rsidRPr="00B71584">
        <w:rPr>
          <w:rFonts w:asciiTheme="majorBidi" w:eastAsia="Times New Roman" w:hAnsiTheme="majorBidi" w:cstheme="majorBidi"/>
          <w:color w:val="000000" w:themeColor="text1"/>
          <w:lang w:val="en-GB" w:eastAsia="it-IT"/>
        </w:rPr>
        <w:t xml:space="preserve"> (756- </w:t>
      </w:r>
      <w:r w:rsidR="00E5258A">
        <w:rPr>
          <w:rFonts w:asciiTheme="majorBidi" w:eastAsia="Times New Roman" w:hAnsiTheme="majorBidi" w:cstheme="majorBidi"/>
          <w:color w:val="000000" w:themeColor="text1"/>
          <w:lang w:val="en-GB" w:eastAsia="it-IT"/>
        </w:rPr>
        <w:t xml:space="preserve">approx </w:t>
      </w:r>
      <w:r w:rsidRPr="00B71584">
        <w:rPr>
          <w:rFonts w:asciiTheme="majorBidi" w:eastAsia="Times New Roman" w:hAnsiTheme="majorBidi" w:cstheme="majorBidi"/>
          <w:color w:val="000000" w:themeColor="text1"/>
          <w:lang w:val="en-GB" w:eastAsia="it-IT"/>
        </w:rPr>
        <w:t>730 BC</w:t>
      </w:r>
      <w:r w:rsidR="00E5258A">
        <w:rPr>
          <w:rFonts w:asciiTheme="majorBidi" w:eastAsia="Times New Roman" w:hAnsiTheme="majorBidi" w:cstheme="majorBidi"/>
          <w:color w:val="000000" w:themeColor="text1"/>
          <w:lang w:val="en-GB" w:eastAsia="it-IT"/>
        </w:rPr>
        <w:t>E</w:t>
      </w:r>
      <w:r w:rsidRPr="00B71584">
        <w:rPr>
          <w:rFonts w:asciiTheme="majorBidi" w:eastAsia="Times New Roman" w:hAnsiTheme="majorBidi" w:cstheme="majorBidi"/>
          <w:color w:val="000000" w:themeColor="text1"/>
          <w:lang w:val="en-GB" w:eastAsia="it-IT"/>
        </w:rPr>
        <w:t>), when the royal inscriptions appeared for the last time in the second half of the 8th century BC</w:t>
      </w:r>
      <w:r w:rsidR="00E5258A">
        <w:rPr>
          <w:rFonts w:asciiTheme="majorBidi" w:eastAsia="Times New Roman" w:hAnsiTheme="majorBidi" w:cstheme="majorBidi"/>
          <w:color w:val="000000" w:themeColor="text1"/>
          <w:lang w:val="en-GB" w:eastAsia="it-IT"/>
        </w:rPr>
        <w:t>E</w:t>
      </w:r>
      <w:r w:rsidRPr="00B71584">
        <w:rPr>
          <w:rFonts w:asciiTheme="majorBidi" w:eastAsia="Times New Roman" w:hAnsiTheme="majorBidi" w:cstheme="majorBidi"/>
          <w:color w:val="000000" w:themeColor="text1"/>
          <w:lang w:val="en-GB" w:eastAsia="it-IT"/>
        </w:rPr>
        <w:t xml:space="preserve"> (Chapter 4). It is noteworthy that, as far as is known, all buildings with approximate dates and inscriptions end with Sarduri II. We cannot ignore the fact that there might be internal or external reasons for that. Urartian</w:t>
      </w:r>
      <w:r w:rsidR="00EA6C63">
        <w:rPr>
          <w:rFonts w:asciiTheme="majorBidi" w:eastAsia="Times New Roman" w:hAnsiTheme="majorBidi" w:cstheme="majorBidi"/>
          <w:color w:val="000000" w:themeColor="text1"/>
          <w:lang w:val="en-GB" w:eastAsia="it-IT"/>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color w:val="000000" w:themeColor="text1"/>
          <w:lang w:val="en-GB" w:eastAsia="it-IT"/>
        </w:rPr>
        <w:fldChar w:fldCharType="end"/>
      </w:r>
      <w:r w:rsidRPr="00B71584">
        <w:rPr>
          <w:rFonts w:asciiTheme="majorBidi" w:eastAsia="Times New Roman" w:hAnsiTheme="majorBidi" w:cstheme="majorBidi"/>
          <w:color w:val="000000" w:themeColor="text1"/>
          <w:lang w:val="en-GB" w:eastAsia="it-IT"/>
        </w:rPr>
        <w:t xml:space="preserve"> inscriptions lack a narrative on this issue. The Assyrian</w:t>
      </w:r>
      <w:r w:rsidR="001F2587" w:rsidRPr="00B71584">
        <w:rPr>
          <w:rFonts w:asciiTheme="majorBidi" w:eastAsia="Times New Roman" w:hAnsiTheme="majorBidi" w:cstheme="majorBidi"/>
          <w:color w:val="000000" w:themeColor="text1"/>
          <w:lang w:val="en-GB" w:eastAsia="it-IT"/>
        </w:rPr>
        <w:fldChar w:fldCharType="begin"/>
      </w:r>
      <w:r w:rsidR="001F2587" w:rsidRPr="00B71584">
        <w:instrText xml:space="preserve"> XE "</w:instrText>
      </w:r>
      <w:r w:rsidR="001F2587" w:rsidRPr="00B71584">
        <w:rPr>
          <w:rFonts w:asciiTheme="majorBidi" w:hAnsiTheme="majorBidi" w:cstheme="majorBidi"/>
        </w:rPr>
        <w:instrText>Assyrian</w:instrText>
      </w:r>
      <w:r w:rsidR="001F2587" w:rsidRPr="00B71584">
        <w:instrText xml:space="preserve">" </w:instrText>
      </w:r>
      <w:r w:rsidR="001F2587" w:rsidRPr="00B71584">
        <w:rPr>
          <w:rFonts w:asciiTheme="majorBidi" w:eastAsia="Times New Roman" w:hAnsiTheme="majorBidi" w:cstheme="majorBidi"/>
          <w:color w:val="000000" w:themeColor="text1"/>
          <w:lang w:val="en-GB" w:eastAsia="it-IT"/>
        </w:rPr>
        <w:fldChar w:fldCharType="end"/>
      </w:r>
      <w:r w:rsidRPr="00B71584">
        <w:rPr>
          <w:rFonts w:asciiTheme="majorBidi" w:eastAsia="Times New Roman" w:hAnsiTheme="majorBidi" w:cstheme="majorBidi"/>
          <w:color w:val="000000" w:themeColor="text1"/>
          <w:lang w:val="en-GB" w:eastAsia="it-IT"/>
        </w:rPr>
        <w:t xml:space="preserve"> inscriptions, on the other hand, are way more detailed sources of Urartian matters.</w:t>
      </w:r>
      <w:r w:rsidRPr="00B71584">
        <w:rPr>
          <w:rFonts w:asciiTheme="majorBidi" w:eastAsia="Times New Roman" w:hAnsiTheme="majorBidi" w:cstheme="majorBidi"/>
          <w:color w:val="000000" w:themeColor="text1"/>
          <w:lang w:val="en-US" w:eastAsia="it-IT"/>
        </w:rPr>
        <w:t> </w:t>
      </w:r>
    </w:p>
    <w:p w14:paraId="6B139299" w14:textId="77777777" w:rsidR="003205C0" w:rsidRPr="00F03A26" w:rsidRDefault="003205C0" w:rsidP="00F03A26">
      <w:pPr>
        <w:jc w:val="both"/>
        <w:textAlignment w:val="baseline"/>
        <w:rPr>
          <w:rFonts w:asciiTheme="majorBidi" w:eastAsia="Times New Roman" w:hAnsiTheme="majorBidi" w:cstheme="majorBidi"/>
          <w:color w:val="000000" w:themeColor="text1"/>
          <w:lang w:val="en-US" w:eastAsia="it-IT"/>
        </w:rPr>
      </w:pPr>
      <w:r w:rsidRPr="00F03A26">
        <w:rPr>
          <w:rFonts w:asciiTheme="majorBidi" w:eastAsia="Times New Roman" w:hAnsiTheme="majorBidi" w:cstheme="majorBidi"/>
          <w:color w:val="000000" w:themeColor="text1"/>
          <w:lang w:val="en-US" w:eastAsia="it-IT"/>
        </w:rPr>
        <w:t> </w:t>
      </w:r>
    </w:p>
    <w:p w14:paraId="68EBE44D" w14:textId="3F90DE45" w:rsidR="003205C0" w:rsidRPr="00F03A26" w:rsidRDefault="003205C0" w:rsidP="00F03A26">
      <w:pPr>
        <w:pStyle w:val="HTMLncedenBiimlendirilmi"/>
        <w:shd w:val="clear" w:color="auto" w:fill="F8F9FA"/>
        <w:jc w:val="both"/>
        <w:rPr>
          <w:rFonts w:asciiTheme="majorBidi" w:hAnsiTheme="majorBidi" w:cstheme="majorBidi"/>
          <w:color w:val="000000" w:themeColor="text1"/>
          <w:sz w:val="24"/>
          <w:szCs w:val="24"/>
          <w:lang w:val="en-US"/>
        </w:rPr>
      </w:pPr>
      <w:r w:rsidRPr="00F03A26">
        <w:rPr>
          <w:rFonts w:asciiTheme="majorBidi" w:hAnsiTheme="majorBidi" w:cstheme="majorBidi"/>
          <w:color w:val="000000" w:themeColor="text1"/>
          <w:sz w:val="24"/>
          <w:szCs w:val="24"/>
          <w:lang w:val="en-GB"/>
        </w:rPr>
        <w:t xml:space="preserve">In this sense, the inscriptions </w:t>
      </w:r>
      <w:r w:rsidRPr="0028736C">
        <w:rPr>
          <w:rFonts w:asciiTheme="majorBidi" w:hAnsiTheme="majorBidi" w:cstheme="majorBidi"/>
          <w:color w:val="000000" w:themeColor="text1"/>
          <w:sz w:val="24"/>
          <w:szCs w:val="24"/>
          <w:lang w:val="en-GB"/>
        </w:rPr>
        <w:t xml:space="preserve">of </w:t>
      </w:r>
      <w:r w:rsidR="0028736C" w:rsidRPr="0028736C">
        <w:rPr>
          <w:rFonts w:asciiTheme="majorBidi" w:hAnsiTheme="majorBidi" w:cstheme="majorBidi"/>
          <w:color w:val="000000" w:themeColor="text1"/>
          <w:sz w:val="24"/>
          <w:szCs w:val="24"/>
          <w:lang w:val="en-GB"/>
        </w:rPr>
        <w:t>Tiglath-pileser III</w:t>
      </w:r>
      <w:r w:rsidR="0028736C">
        <w:rPr>
          <w:rFonts w:asciiTheme="majorBidi" w:hAnsiTheme="majorBidi" w:cstheme="majorBidi"/>
          <w:color w:val="000000" w:themeColor="text1"/>
          <w:sz w:val="24"/>
          <w:szCs w:val="24"/>
          <w:lang w:val="en-GB"/>
        </w:rPr>
        <w:t xml:space="preserve"> </w:t>
      </w:r>
      <w:r w:rsidR="0028736C">
        <w:rPr>
          <w:rFonts w:asciiTheme="majorBidi" w:hAnsiTheme="majorBidi" w:cstheme="majorBidi"/>
          <w:color w:val="000000" w:themeColor="text1"/>
          <w:sz w:val="24"/>
          <w:szCs w:val="24"/>
          <w:lang w:val="en-GB"/>
        </w:rPr>
        <w:fldChar w:fldCharType="begin"/>
      </w:r>
      <w:r w:rsidR="0028736C">
        <w:instrText xml:space="preserve"> XE "</w:instrText>
      </w:r>
      <w:r w:rsidR="0028736C" w:rsidRPr="00D169EF">
        <w:rPr>
          <w:rFonts w:asciiTheme="majorBidi" w:hAnsiTheme="majorBidi" w:cstheme="majorBidi"/>
          <w:color w:val="000000" w:themeColor="text1"/>
          <w:sz w:val="24"/>
          <w:szCs w:val="24"/>
          <w:lang w:val="en-GB"/>
        </w:rPr>
        <w:instrText>Tiglat-pileser III</w:instrText>
      </w:r>
      <w:r w:rsidR="0028736C">
        <w:instrText xml:space="preserve">" </w:instrText>
      </w:r>
      <w:r w:rsidR="0028736C">
        <w:rPr>
          <w:rFonts w:asciiTheme="majorBidi" w:hAnsiTheme="majorBidi" w:cstheme="majorBidi"/>
          <w:color w:val="000000" w:themeColor="text1"/>
          <w:sz w:val="24"/>
          <w:szCs w:val="24"/>
          <w:lang w:val="en-GB"/>
        </w:rPr>
        <w:fldChar w:fldCharType="end"/>
      </w:r>
      <w:r w:rsidRPr="00F03A26">
        <w:rPr>
          <w:rFonts w:asciiTheme="majorBidi" w:hAnsiTheme="majorBidi" w:cstheme="majorBidi"/>
          <w:color w:val="000000" w:themeColor="text1"/>
          <w:sz w:val="24"/>
          <w:szCs w:val="24"/>
          <w:lang w:val="en-GB"/>
        </w:rPr>
        <w:t xml:space="preserve"> (744-727 BC</w:t>
      </w:r>
      <w:r w:rsidR="00E5258A">
        <w:rPr>
          <w:rFonts w:asciiTheme="majorBidi" w:hAnsiTheme="majorBidi" w:cstheme="majorBidi"/>
          <w:color w:val="000000" w:themeColor="text1"/>
          <w:sz w:val="24"/>
          <w:szCs w:val="24"/>
          <w:lang w:val="en-GB"/>
        </w:rPr>
        <w:t>E</w:t>
      </w:r>
      <w:r w:rsidRPr="00F03A26">
        <w:rPr>
          <w:rFonts w:asciiTheme="majorBidi" w:hAnsiTheme="majorBidi" w:cstheme="majorBidi"/>
          <w:color w:val="000000" w:themeColor="text1"/>
          <w:sz w:val="24"/>
          <w:szCs w:val="24"/>
          <w:lang w:val="en-GB"/>
        </w:rPr>
        <w:t>) in his palace in Kalhu</w:t>
      </w:r>
      <w:r w:rsidR="0028736C">
        <w:rPr>
          <w:rFonts w:asciiTheme="majorBidi" w:hAnsiTheme="majorBidi" w:cstheme="majorBidi"/>
          <w:color w:val="000000" w:themeColor="text1"/>
          <w:sz w:val="24"/>
          <w:szCs w:val="24"/>
          <w:lang w:val="en-GB"/>
        </w:rPr>
        <w:fldChar w:fldCharType="begin"/>
      </w:r>
      <w:r w:rsidR="0028736C">
        <w:instrText xml:space="preserve"> XE "</w:instrText>
      </w:r>
      <w:r w:rsidR="0028736C" w:rsidRPr="00D43587">
        <w:rPr>
          <w:rFonts w:asciiTheme="majorBidi" w:hAnsiTheme="majorBidi" w:cstheme="majorBidi"/>
          <w:color w:val="000000" w:themeColor="text1"/>
          <w:sz w:val="24"/>
          <w:szCs w:val="24"/>
          <w:lang w:val="en-GB"/>
        </w:rPr>
        <w:instrText>Kalhu</w:instrText>
      </w:r>
      <w:r w:rsidR="0028736C">
        <w:instrText xml:space="preserve">" </w:instrText>
      </w:r>
      <w:r w:rsidR="0028736C">
        <w:rPr>
          <w:rFonts w:asciiTheme="majorBidi" w:hAnsiTheme="majorBidi" w:cstheme="majorBidi"/>
          <w:color w:val="000000" w:themeColor="text1"/>
          <w:sz w:val="24"/>
          <w:szCs w:val="24"/>
          <w:lang w:val="en-GB"/>
        </w:rPr>
        <w:fldChar w:fldCharType="end"/>
      </w:r>
      <w:r w:rsidRPr="00F03A26">
        <w:rPr>
          <w:rFonts w:asciiTheme="majorBidi" w:hAnsiTheme="majorBidi" w:cstheme="majorBidi"/>
          <w:color w:val="000000" w:themeColor="text1"/>
          <w:sz w:val="24"/>
          <w:szCs w:val="24"/>
          <w:lang w:val="en-GB"/>
        </w:rPr>
        <w:t xml:space="preserve"> consist of detailed accounts of the Urartian</w:t>
      </w:r>
      <w:r w:rsidR="00EA6C63">
        <w:rPr>
          <w:rFonts w:asciiTheme="majorBidi" w:hAnsiTheme="majorBidi" w:cstheme="majorBidi"/>
          <w:color w:val="000000" w:themeColor="text1"/>
          <w:sz w:val="24"/>
          <w:szCs w:val="24"/>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color w:val="000000" w:themeColor="text1"/>
          <w:sz w:val="24"/>
          <w:szCs w:val="24"/>
          <w:lang w:val="en-GB"/>
        </w:rPr>
        <w:fldChar w:fldCharType="end"/>
      </w:r>
      <w:r w:rsidRPr="00F03A26">
        <w:rPr>
          <w:rFonts w:asciiTheme="majorBidi" w:hAnsiTheme="majorBidi" w:cstheme="majorBidi"/>
          <w:color w:val="000000" w:themeColor="text1"/>
          <w:sz w:val="24"/>
          <w:szCs w:val="24"/>
          <w:lang w:val="en-GB"/>
        </w:rPr>
        <w:t xml:space="preserve"> campaign. It is remarkable that Tiglat-pileser III defeated Sarduri II</w:t>
      </w:r>
      <w:r w:rsidR="00C1513A">
        <w:rPr>
          <w:rFonts w:asciiTheme="majorBidi" w:hAnsiTheme="majorBidi" w:cstheme="majorBidi"/>
          <w:color w:val="000000" w:themeColor="text1"/>
          <w:sz w:val="24"/>
          <w:szCs w:val="24"/>
          <w:lang w:val="en-GB"/>
        </w:rPr>
        <w:fldChar w:fldCharType="begin"/>
      </w:r>
      <w:r w:rsidR="00C1513A">
        <w:instrText xml:space="preserve"> XE "</w:instrText>
      </w:r>
      <w:r w:rsidR="00C1513A" w:rsidRPr="00D355F0">
        <w:rPr>
          <w:rFonts w:asciiTheme="majorBidi" w:hAnsiTheme="majorBidi" w:cstheme="majorBidi"/>
          <w:iCs/>
        </w:rPr>
        <w:instrText>Sarduri II</w:instrText>
      </w:r>
      <w:r w:rsidR="00C1513A">
        <w:instrText xml:space="preserve">" </w:instrText>
      </w:r>
      <w:r w:rsidR="00C1513A">
        <w:rPr>
          <w:rFonts w:asciiTheme="majorBidi" w:hAnsiTheme="majorBidi" w:cstheme="majorBidi"/>
          <w:color w:val="000000" w:themeColor="text1"/>
          <w:sz w:val="24"/>
          <w:szCs w:val="24"/>
          <w:lang w:val="en-GB"/>
        </w:rPr>
        <w:fldChar w:fldCharType="end"/>
      </w:r>
      <w:r w:rsidRPr="00F03A26">
        <w:rPr>
          <w:rFonts w:asciiTheme="majorBidi" w:hAnsiTheme="majorBidi" w:cstheme="majorBidi"/>
          <w:color w:val="000000" w:themeColor="text1"/>
          <w:sz w:val="24"/>
          <w:szCs w:val="24"/>
          <w:lang w:val="en-GB"/>
        </w:rPr>
        <w:t xml:space="preserve"> and his allies west of the Euphrates in Kummuhu</w:t>
      </w:r>
      <w:r w:rsidR="0028736C">
        <w:rPr>
          <w:rFonts w:asciiTheme="majorBidi" w:hAnsiTheme="majorBidi" w:cstheme="majorBidi"/>
          <w:color w:val="000000" w:themeColor="text1"/>
          <w:sz w:val="24"/>
          <w:szCs w:val="24"/>
          <w:lang w:val="en-GB"/>
        </w:rPr>
        <w:fldChar w:fldCharType="begin"/>
      </w:r>
      <w:r w:rsidR="0028736C">
        <w:instrText xml:space="preserve"> XE "</w:instrText>
      </w:r>
      <w:r w:rsidR="0028736C" w:rsidRPr="00B97FCE">
        <w:rPr>
          <w:rFonts w:asciiTheme="majorBidi" w:hAnsiTheme="majorBidi" w:cstheme="majorBidi"/>
          <w:color w:val="000000" w:themeColor="text1"/>
          <w:sz w:val="24"/>
          <w:szCs w:val="24"/>
          <w:lang w:val="en-GB"/>
        </w:rPr>
        <w:instrText>Kummuhu</w:instrText>
      </w:r>
      <w:r w:rsidR="0028736C">
        <w:instrText xml:space="preserve">" </w:instrText>
      </w:r>
      <w:r w:rsidR="0028736C">
        <w:rPr>
          <w:rFonts w:asciiTheme="majorBidi" w:hAnsiTheme="majorBidi" w:cstheme="majorBidi"/>
          <w:color w:val="000000" w:themeColor="text1"/>
          <w:sz w:val="24"/>
          <w:szCs w:val="24"/>
          <w:lang w:val="en-GB"/>
        </w:rPr>
        <w:fldChar w:fldCharType="end"/>
      </w:r>
      <w:r w:rsidRPr="00F03A26">
        <w:rPr>
          <w:rFonts w:asciiTheme="majorBidi" w:hAnsiTheme="majorBidi" w:cstheme="majorBidi"/>
          <w:color w:val="000000" w:themeColor="text1"/>
          <w:sz w:val="24"/>
          <w:szCs w:val="24"/>
          <w:lang w:val="en-GB"/>
        </w:rPr>
        <w:t xml:space="preserve"> (the classic Commagene) in 743 BC</w:t>
      </w:r>
      <w:r w:rsidR="00E5258A">
        <w:rPr>
          <w:rFonts w:asciiTheme="majorBidi" w:hAnsiTheme="majorBidi" w:cstheme="majorBidi"/>
          <w:color w:val="000000" w:themeColor="text1"/>
          <w:sz w:val="24"/>
          <w:szCs w:val="24"/>
          <w:lang w:val="en-GB"/>
        </w:rPr>
        <w:t>E</w:t>
      </w:r>
      <w:r w:rsidRPr="00F03A26">
        <w:rPr>
          <w:rFonts w:asciiTheme="majorBidi" w:hAnsiTheme="majorBidi" w:cstheme="majorBidi"/>
          <w:color w:val="000000" w:themeColor="text1"/>
          <w:sz w:val="24"/>
          <w:szCs w:val="24"/>
          <w:lang w:val="en-GB"/>
        </w:rPr>
        <w:t xml:space="preserve"> and </w:t>
      </w:r>
      <w:r w:rsidRPr="00F03A26">
        <w:rPr>
          <w:rFonts w:asciiTheme="majorBidi" w:hAnsiTheme="majorBidi" w:cstheme="majorBidi"/>
          <w:color w:val="000000" w:themeColor="text1"/>
          <w:sz w:val="24"/>
          <w:szCs w:val="24"/>
          <w:lang w:val="en"/>
        </w:rPr>
        <w:t xml:space="preserve">claims to have besieged the capital </w:t>
      </w:r>
      <w:r w:rsidRPr="00897EF7">
        <w:rPr>
          <w:rFonts w:asciiTheme="majorBidi" w:hAnsiTheme="majorBidi" w:cstheme="majorBidi"/>
          <w:color w:val="000000" w:themeColor="text1"/>
          <w:sz w:val="24"/>
          <w:szCs w:val="24"/>
          <w:lang w:val="en-GB"/>
        </w:rPr>
        <w:t>Ṭušpa</w:t>
      </w:r>
      <w:r w:rsidRPr="00F03A26">
        <w:rPr>
          <w:rFonts w:asciiTheme="majorBidi" w:hAnsiTheme="majorBidi" w:cstheme="majorBidi"/>
          <w:color w:val="000000" w:themeColor="text1"/>
          <w:sz w:val="24"/>
          <w:szCs w:val="24"/>
          <w:lang w:val="en-GB"/>
        </w:rPr>
        <w:t xml:space="preserve">, </w:t>
      </w:r>
      <w:r w:rsidRPr="00F03A26">
        <w:rPr>
          <w:rFonts w:asciiTheme="majorBidi" w:hAnsiTheme="majorBidi" w:cstheme="majorBidi"/>
          <w:color w:val="000000" w:themeColor="text1"/>
          <w:sz w:val="24"/>
          <w:szCs w:val="24"/>
          <w:lang w:val="en"/>
        </w:rPr>
        <w:t>but this is by no means certain.</w:t>
      </w:r>
      <w:r w:rsidRPr="00F03A26">
        <w:rPr>
          <w:rFonts w:asciiTheme="majorBidi" w:hAnsiTheme="majorBidi" w:cstheme="majorBidi"/>
          <w:color w:val="000000" w:themeColor="text1"/>
          <w:sz w:val="24"/>
          <w:szCs w:val="24"/>
          <w:lang w:val="en-GB"/>
        </w:rPr>
        <w:t xml:space="preserve"> </w:t>
      </w:r>
      <w:r w:rsidRPr="00F03A26">
        <w:rPr>
          <w:rFonts w:asciiTheme="majorBidi" w:hAnsiTheme="majorBidi" w:cstheme="majorBidi"/>
          <w:color w:val="000000" w:themeColor="text1"/>
          <w:sz w:val="24"/>
          <w:szCs w:val="24"/>
          <w:lang w:val="en"/>
        </w:rPr>
        <w:t>The Urartu campaign of the Assyrians in 735, which is recorded in the eponym lists, has so far only very unclear contours for us.</w:t>
      </w:r>
    </w:p>
    <w:p w14:paraId="3CA7E6CD" w14:textId="77777777" w:rsidR="0081622B" w:rsidRPr="00F03A26" w:rsidRDefault="0081622B" w:rsidP="00F03A26">
      <w:pPr>
        <w:jc w:val="both"/>
        <w:rPr>
          <w:rFonts w:asciiTheme="majorBidi" w:hAnsiTheme="majorBidi" w:cstheme="majorBidi"/>
          <w:color w:val="000000" w:themeColor="text1"/>
          <w:lang w:val="en-GB"/>
        </w:rPr>
      </w:pPr>
    </w:p>
    <w:p w14:paraId="38763709" w14:textId="24276222" w:rsidR="0081622B" w:rsidRPr="00F03A26" w:rsidRDefault="00DE5A86" w:rsidP="00F03A26">
      <w:pPr>
        <w:ind w:left="850" w:right="850"/>
        <w:jc w:val="both"/>
        <w:rPr>
          <w:rFonts w:asciiTheme="majorBidi" w:eastAsia="Times New Roman" w:hAnsiTheme="majorBidi" w:cstheme="majorBidi"/>
          <w:iCs/>
          <w:color w:val="000000" w:themeColor="text1"/>
          <w:kern w:val="0"/>
          <w:lang w:val="en-GB" w:eastAsia="tr-TR" w:bidi="he-IL"/>
          <w14:ligatures w14:val="none"/>
        </w:rPr>
      </w:pPr>
      <w:r w:rsidRPr="00F03A26">
        <w:rPr>
          <w:rFonts w:asciiTheme="majorBidi" w:eastAsia="Times New Roman" w:hAnsiTheme="majorBidi" w:cstheme="majorBidi"/>
          <w:iCs/>
          <w:color w:val="000000" w:themeColor="text1"/>
          <w:kern w:val="0"/>
          <w:lang w:val="en-GB" w:eastAsia="tr-TR" w:bidi="he-IL"/>
          <w14:ligatures w14:val="none"/>
        </w:rPr>
        <w:t>“</w:t>
      </w:r>
      <w:r w:rsidR="001C11C8" w:rsidRPr="00F03A26">
        <w:rPr>
          <w:rFonts w:asciiTheme="majorBidi" w:eastAsia="Times New Roman" w:hAnsiTheme="majorBidi" w:cstheme="majorBidi"/>
          <w:iCs/>
          <w:color w:val="000000" w:themeColor="text1"/>
          <w:kern w:val="0"/>
          <w:lang w:val="en-GB" w:eastAsia="tr-TR" w:bidi="he-IL"/>
          <w14:ligatures w14:val="none"/>
        </w:rPr>
        <w:t>Sarduri</w:t>
      </w:r>
      <w:r w:rsidR="009177D4" w:rsidRPr="00F03A26">
        <w:rPr>
          <w:rFonts w:asciiTheme="majorBidi" w:eastAsia="Times New Roman" w:hAnsiTheme="majorBidi" w:cstheme="majorBidi"/>
          <w:iCs/>
          <w:color w:val="000000" w:themeColor="text1"/>
          <w:kern w:val="0"/>
          <w:lang w:val="en-GB" w:eastAsia="tr-TR" w:bidi="he-IL"/>
          <w14:ligatures w14:val="none"/>
        </w:rPr>
        <w:fldChar w:fldCharType="begin"/>
      </w:r>
      <w:r w:rsidR="009177D4" w:rsidRPr="00F03A26">
        <w:rPr>
          <w:rFonts w:asciiTheme="majorBidi" w:hAnsiTheme="majorBidi" w:cstheme="majorBidi"/>
          <w:color w:val="000000" w:themeColor="text1"/>
          <w:lang w:val="en-GB"/>
        </w:rPr>
        <w:instrText xml:space="preserve"> XE "</w:instrText>
      </w:r>
      <w:r w:rsidR="009177D4" w:rsidRPr="00F03A26">
        <w:rPr>
          <w:rFonts w:asciiTheme="majorBidi" w:hAnsiTheme="majorBidi" w:cstheme="majorBidi"/>
          <w:iCs/>
          <w:color w:val="000000" w:themeColor="text1"/>
          <w:lang w:val="en-GB"/>
        </w:rPr>
        <w:instrText>Sarduri</w:instrText>
      </w:r>
      <w:r w:rsidR="009177D4" w:rsidRPr="00F03A26">
        <w:rPr>
          <w:rFonts w:asciiTheme="majorBidi" w:hAnsiTheme="majorBidi" w:cstheme="majorBidi"/>
          <w:color w:val="000000" w:themeColor="text1"/>
          <w:lang w:val="en-GB"/>
        </w:rPr>
        <w:instrText xml:space="preserve">" </w:instrText>
      </w:r>
      <w:r w:rsidR="009177D4" w:rsidRPr="00F03A26">
        <w:rPr>
          <w:rFonts w:asciiTheme="majorBidi" w:eastAsia="Times New Roman" w:hAnsiTheme="majorBidi" w:cstheme="majorBidi"/>
          <w:iCs/>
          <w:color w:val="000000" w:themeColor="text1"/>
          <w:kern w:val="0"/>
          <w:lang w:val="en-GB" w:eastAsia="tr-TR" w:bidi="he-IL"/>
          <w14:ligatures w14:val="none"/>
        </w:rPr>
        <w:fldChar w:fldCharType="end"/>
      </w:r>
      <w:r w:rsidR="001C11C8" w:rsidRPr="00F03A26">
        <w:rPr>
          <w:rFonts w:asciiTheme="majorBidi" w:eastAsia="Times New Roman" w:hAnsiTheme="majorBidi" w:cstheme="majorBidi"/>
          <w:iCs/>
          <w:color w:val="000000" w:themeColor="text1"/>
          <w:kern w:val="0"/>
          <w:lang w:val="en-GB" w:eastAsia="tr-TR" w:bidi="he-IL"/>
          <w14:ligatures w14:val="none"/>
        </w:rPr>
        <w:t xml:space="preserve"> of the land Urartu</w:t>
      </w:r>
      <w:r w:rsidR="0066296E" w:rsidRPr="00F03A26">
        <w:rPr>
          <w:rFonts w:asciiTheme="majorBidi" w:eastAsia="Times New Roman" w:hAnsiTheme="majorBidi" w:cstheme="majorBidi"/>
          <w:iCs/>
          <w:color w:val="000000" w:themeColor="text1"/>
          <w:kern w:val="0"/>
          <w:lang w:val="en-GB" w:eastAsia="tr-TR" w:bidi="he-IL"/>
          <w14:ligatures w14:val="none"/>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eastAsia="Times New Roman" w:hAnsiTheme="majorBidi" w:cstheme="majorBidi"/>
          <w:iCs/>
          <w:color w:val="000000" w:themeColor="text1"/>
          <w:kern w:val="0"/>
          <w:lang w:val="en-GB" w:eastAsia="tr-TR" w:bidi="he-IL"/>
          <w14:ligatures w14:val="none"/>
        </w:rPr>
        <w:fldChar w:fldCharType="end"/>
      </w:r>
      <w:r w:rsidR="001C11C8" w:rsidRPr="00F03A26">
        <w:rPr>
          <w:rFonts w:asciiTheme="majorBidi" w:eastAsia="Times New Roman" w:hAnsiTheme="majorBidi" w:cstheme="majorBidi"/>
          <w:iCs/>
          <w:color w:val="000000" w:themeColor="text1"/>
          <w:kern w:val="0"/>
          <w:lang w:val="en-GB" w:eastAsia="tr-TR" w:bidi="he-IL"/>
          <w14:ligatures w14:val="none"/>
        </w:rPr>
        <w:t xml:space="preserve"> revolted against me and conspired with Mati᾿-il</w:t>
      </w:r>
      <w:r w:rsidR="00EA2504" w:rsidRPr="00F03A26">
        <w:rPr>
          <w:rFonts w:asciiTheme="majorBidi" w:eastAsia="Times New Roman" w:hAnsiTheme="majorBidi" w:cstheme="majorBidi"/>
          <w:iCs/>
          <w:color w:val="000000" w:themeColor="text1"/>
          <w:kern w:val="0"/>
          <w:lang w:val="en-GB" w:eastAsia="tr-TR" w:bidi="he-IL"/>
          <w14:ligatures w14:val="none"/>
        </w:rPr>
        <w:t>,</w:t>
      </w:r>
      <w:r w:rsidR="001C11C8" w:rsidRPr="00F03A26">
        <w:rPr>
          <w:rFonts w:asciiTheme="majorBidi" w:eastAsia="Times New Roman" w:hAnsiTheme="majorBidi" w:cstheme="majorBidi"/>
          <w:iCs/>
          <w:color w:val="000000" w:themeColor="text1"/>
          <w:kern w:val="0"/>
          <w:lang w:val="en-GB" w:eastAsia="tr-TR" w:bidi="he-IL"/>
          <w14:ligatures w14:val="none"/>
        </w:rPr>
        <w:t xml:space="preserve"> son of Agusi (i.e. king of Arpad</w:t>
      </w:r>
      <w:r w:rsidR="00512579" w:rsidRPr="00F03A26">
        <w:rPr>
          <w:rFonts w:asciiTheme="majorBidi" w:eastAsia="Times New Roman" w:hAnsiTheme="majorBidi" w:cstheme="majorBidi"/>
          <w:iCs/>
          <w:color w:val="000000" w:themeColor="text1"/>
          <w:kern w:val="0"/>
          <w:lang w:val="en-GB" w:eastAsia="tr-TR" w:bidi="he-IL"/>
          <w14:ligatures w14:val="none"/>
        </w:rPr>
        <w:fldChar w:fldCharType="begin"/>
      </w:r>
      <w:r w:rsidR="00512579" w:rsidRPr="00F03A26">
        <w:rPr>
          <w:rFonts w:asciiTheme="majorBidi" w:hAnsiTheme="majorBidi" w:cstheme="majorBidi"/>
          <w:color w:val="000000" w:themeColor="text1"/>
          <w:lang w:val="en-GB"/>
        </w:rPr>
        <w:instrText xml:space="preserve"> XE "</w:instrText>
      </w:r>
      <w:r w:rsidR="00512579" w:rsidRPr="00F03A26">
        <w:rPr>
          <w:rFonts w:asciiTheme="majorBidi" w:eastAsia="Times New Roman" w:hAnsiTheme="majorBidi" w:cstheme="majorBidi"/>
          <w:iCs/>
          <w:color w:val="000000" w:themeColor="text1"/>
          <w:kern w:val="0"/>
          <w:lang w:val="en-GB" w:eastAsia="tr-TR" w:bidi="he-IL"/>
          <w14:ligatures w14:val="none"/>
        </w:rPr>
        <w:instrText>Arpad</w:instrText>
      </w:r>
      <w:r w:rsidR="00512579" w:rsidRPr="00F03A26">
        <w:rPr>
          <w:rFonts w:asciiTheme="majorBidi" w:hAnsiTheme="majorBidi" w:cstheme="majorBidi"/>
          <w:color w:val="000000" w:themeColor="text1"/>
          <w:lang w:val="en-GB"/>
        </w:rPr>
        <w:instrText xml:space="preserve">" </w:instrText>
      </w:r>
      <w:r w:rsidR="00512579" w:rsidRPr="00F03A26">
        <w:rPr>
          <w:rFonts w:asciiTheme="majorBidi" w:eastAsia="Times New Roman" w:hAnsiTheme="majorBidi" w:cstheme="majorBidi"/>
          <w:iCs/>
          <w:color w:val="000000" w:themeColor="text1"/>
          <w:kern w:val="0"/>
          <w:lang w:val="en-GB" w:eastAsia="tr-TR" w:bidi="he-IL"/>
          <w14:ligatures w14:val="none"/>
        </w:rPr>
        <w:fldChar w:fldCharType="end"/>
      </w:r>
      <w:r w:rsidR="001C11C8" w:rsidRPr="00F03A26">
        <w:rPr>
          <w:rFonts w:asciiTheme="majorBidi" w:eastAsia="Times New Roman" w:hAnsiTheme="majorBidi" w:cstheme="majorBidi"/>
          <w:iCs/>
          <w:color w:val="000000" w:themeColor="text1"/>
          <w:kern w:val="0"/>
          <w:lang w:val="en-GB" w:eastAsia="tr-TR" w:bidi="he-IL"/>
          <w14:ligatures w14:val="none"/>
        </w:rPr>
        <w:t>). Between the lands [Kishtan] and Halpi, districts of the city Kummuhu</w:t>
      </w:r>
      <w:r w:rsidR="0028736C">
        <w:rPr>
          <w:rFonts w:asciiTheme="majorBidi" w:eastAsia="Times New Roman" w:hAnsiTheme="majorBidi" w:cstheme="majorBidi"/>
          <w:iCs/>
          <w:color w:val="000000" w:themeColor="text1"/>
          <w:kern w:val="0"/>
          <w:lang w:val="en-GB" w:eastAsia="tr-TR" w:bidi="he-IL"/>
          <w14:ligatures w14:val="none"/>
        </w:rPr>
        <w:fldChar w:fldCharType="begin"/>
      </w:r>
      <w:r w:rsidR="0028736C">
        <w:instrText xml:space="preserve"> XE "</w:instrText>
      </w:r>
      <w:r w:rsidR="0028736C" w:rsidRPr="00B97FCE">
        <w:rPr>
          <w:rFonts w:asciiTheme="majorBidi" w:hAnsiTheme="majorBidi" w:cstheme="majorBidi"/>
          <w:color w:val="000000" w:themeColor="text1"/>
          <w:lang w:val="en-GB"/>
        </w:rPr>
        <w:instrText>Kummuhu</w:instrText>
      </w:r>
      <w:r w:rsidR="0028736C">
        <w:instrText xml:space="preserve">" </w:instrText>
      </w:r>
      <w:r w:rsidR="0028736C">
        <w:rPr>
          <w:rFonts w:asciiTheme="majorBidi" w:eastAsia="Times New Roman" w:hAnsiTheme="majorBidi" w:cstheme="majorBidi"/>
          <w:iCs/>
          <w:color w:val="000000" w:themeColor="text1"/>
          <w:kern w:val="0"/>
          <w:lang w:val="en-GB" w:eastAsia="tr-TR" w:bidi="he-IL"/>
          <w14:ligatures w14:val="none"/>
        </w:rPr>
        <w:fldChar w:fldCharType="end"/>
      </w:r>
      <w:r w:rsidR="001C11C8" w:rsidRPr="00F03A26">
        <w:rPr>
          <w:rFonts w:asciiTheme="majorBidi" w:eastAsia="Times New Roman" w:hAnsiTheme="majorBidi" w:cstheme="majorBidi"/>
          <w:iCs/>
          <w:color w:val="000000" w:themeColor="text1"/>
          <w:kern w:val="0"/>
          <w:lang w:val="en-GB" w:eastAsia="tr-TR" w:bidi="he-IL"/>
          <w14:ligatures w14:val="none"/>
        </w:rPr>
        <w:t>, I utterly defeated him and took his entire camp away from him. He became frightened of [the terrifying radiance of] my weapons, mounted a mare [in] order to save his life, escaped during the night to Mount Sizir, a rugged mountain, and ascended (it)</w:t>
      </w:r>
      <w:r w:rsidR="003205C0" w:rsidRPr="00F03A26">
        <w:rPr>
          <w:rFonts w:asciiTheme="majorBidi" w:eastAsia="Times New Roman" w:hAnsiTheme="majorBidi" w:cstheme="majorBidi"/>
          <w:iCs/>
          <w:color w:val="000000" w:themeColor="text1"/>
          <w:kern w:val="0"/>
          <w:lang w:val="en-GB" w:eastAsia="tr-TR" w:bidi="he-IL"/>
          <w14:ligatures w14:val="none"/>
        </w:rPr>
        <w:t xml:space="preserve"> </w:t>
      </w:r>
      <w:r w:rsidR="003205C0" w:rsidRPr="00F03A26">
        <w:rPr>
          <w:rFonts w:asciiTheme="majorBidi" w:eastAsia="Times New Roman" w:hAnsiTheme="majorBidi" w:cstheme="majorBidi"/>
          <w:color w:val="000000" w:themeColor="text1"/>
          <w:lang w:val="en-US" w:eastAsia="it-IT"/>
        </w:rPr>
        <w:t>(Tadmor &amp; Yamada 2011, 103)</w:t>
      </w:r>
    </w:p>
    <w:p w14:paraId="2A2A2665" w14:textId="77777777" w:rsidR="0081622B" w:rsidRPr="00F03A26" w:rsidRDefault="0081622B" w:rsidP="00F03A26">
      <w:pPr>
        <w:ind w:left="850" w:right="850"/>
        <w:jc w:val="both"/>
        <w:rPr>
          <w:rFonts w:asciiTheme="majorBidi" w:hAnsiTheme="majorBidi" w:cstheme="majorBidi"/>
          <w:iCs/>
          <w:color w:val="000000" w:themeColor="text1"/>
          <w:lang w:val="en-GB"/>
        </w:rPr>
      </w:pPr>
    </w:p>
    <w:p w14:paraId="2E0FA72A" w14:textId="075A7580" w:rsidR="0081622B" w:rsidRPr="00F03A26" w:rsidRDefault="001C11C8" w:rsidP="00F03A26">
      <w:pPr>
        <w:ind w:left="850" w:right="850"/>
        <w:jc w:val="both"/>
        <w:rPr>
          <w:rFonts w:asciiTheme="majorBidi" w:hAnsiTheme="majorBidi" w:cstheme="majorBidi"/>
          <w:color w:val="000000" w:themeColor="text1"/>
          <w:lang w:val="en-GB"/>
        </w:rPr>
      </w:pPr>
      <w:r w:rsidRPr="00F03A26">
        <w:rPr>
          <w:rFonts w:asciiTheme="majorBidi" w:eastAsia="Times New Roman" w:hAnsiTheme="majorBidi" w:cstheme="majorBidi"/>
          <w:iCs/>
          <w:color w:val="000000" w:themeColor="text1"/>
          <w:kern w:val="0"/>
          <w:lang w:val="en-GB" w:eastAsia="tr-TR" w:bidi="he-IL"/>
          <w14:ligatures w14:val="none"/>
        </w:rPr>
        <w:t>I confined Sarduri</w:t>
      </w:r>
      <w:r w:rsidR="009177D4" w:rsidRPr="00F03A26">
        <w:rPr>
          <w:rFonts w:asciiTheme="majorBidi" w:eastAsia="Times New Roman" w:hAnsiTheme="majorBidi" w:cstheme="majorBidi"/>
          <w:iCs/>
          <w:color w:val="000000" w:themeColor="text1"/>
          <w:kern w:val="0"/>
          <w:lang w:val="en-GB" w:eastAsia="tr-TR" w:bidi="he-IL"/>
          <w14:ligatures w14:val="none"/>
        </w:rPr>
        <w:fldChar w:fldCharType="begin"/>
      </w:r>
      <w:r w:rsidR="009177D4" w:rsidRPr="00F03A26">
        <w:rPr>
          <w:rFonts w:asciiTheme="majorBidi" w:hAnsiTheme="majorBidi" w:cstheme="majorBidi"/>
          <w:color w:val="000000" w:themeColor="text1"/>
          <w:lang w:val="en-GB"/>
        </w:rPr>
        <w:instrText xml:space="preserve"> XE "</w:instrText>
      </w:r>
      <w:r w:rsidR="009177D4" w:rsidRPr="00F03A26">
        <w:rPr>
          <w:rFonts w:asciiTheme="majorBidi" w:hAnsiTheme="majorBidi" w:cstheme="majorBidi"/>
          <w:iCs/>
          <w:color w:val="000000" w:themeColor="text1"/>
          <w:lang w:val="en-GB"/>
        </w:rPr>
        <w:instrText>Sarduri</w:instrText>
      </w:r>
      <w:r w:rsidR="009177D4" w:rsidRPr="00F03A26">
        <w:rPr>
          <w:rFonts w:asciiTheme="majorBidi" w:hAnsiTheme="majorBidi" w:cstheme="majorBidi"/>
          <w:color w:val="000000" w:themeColor="text1"/>
          <w:lang w:val="en-GB"/>
        </w:rPr>
        <w:instrText xml:space="preserve">" </w:instrText>
      </w:r>
      <w:r w:rsidR="009177D4" w:rsidRPr="00F03A26">
        <w:rPr>
          <w:rFonts w:asciiTheme="majorBidi" w:eastAsia="Times New Roman" w:hAnsiTheme="majorBidi" w:cstheme="majorBidi"/>
          <w:iCs/>
          <w:color w:val="000000" w:themeColor="text1"/>
          <w:kern w:val="0"/>
          <w:lang w:val="en-GB" w:eastAsia="tr-TR" w:bidi="he-IL"/>
          <w14:ligatures w14:val="none"/>
        </w:rPr>
        <w:fldChar w:fldCharType="end"/>
      </w:r>
      <w:r w:rsidRPr="00F03A26">
        <w:rPr>
          <w:rFonts w:asciiTheme="majorBidi" w:eastAsia="Times New Roman" w:hAnsiTheme="majorBidi" w:cstheme="majorBidi"/>
          <w:iCs/>
          <w:color w:val="000000" w:themeColor="text1"/>
          <w:kern w:val="0"/>
          <w:lang w:val="en-GB" w:eastAsia="tr-TR" w:bidi="he-IL"/>
          <w14:ligatures w14:val="none"/>
        </w:rPr>
        <w:t xml:space="preserve"> of the land Urartu</w:t>
      </w:r>
      <w:r w:rsidR="0066296E" w:rsidRPr="00F03A26">
        <w:rPr>
          <w:rFonts w:asciiTheme="majorBidi" w:eastAsia="Times New Roman" w:hAnsiTheme="majorBidi" w:cstheme="majorBidi"/>
          <w:iCs/>
          <w:color w:val="000000" w:themeColor="text1"/>
          <w:kern w:val="0"/>
          <w:lang w:val="en-GB" w:eastAsia="tr-TR" w:bidi="he-IL"/>
          <w14:ligatures w14:val="none"/>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eastAsia="Times New Roman" w:hAnsiTheme="majorBidi" w:cstheme="majorBidi"/>
          <w:iCs/>
          <w:color w:val="000000" w:themeColor="text1"/>
          <w:kern w:val="0"/>
          <w:lang w:val="en-GB" w:eastAsia="tr-TR" w:bidi="he-IL"/>
          <w14:ligatures w14:val="none"/>
        </w:rPr>
        <w:fldChar w:fldCharType="end"/>
      </w:r>
      <w:r w:rsidRPr="00F03A26">
        <w:rPr>
          <w:rFonts w:asciiTheme="majorBidi" w:eastAsia="Times New Roman" w:hAnsiTheme="majorBidi" w:cstheme="majorBidi"/>
          <w:iCs/>
          <w:color w:val="000000" w:themeColor="text1"/>
          <w:kern w:val="0"/>
          <w:lang w:val="en-GB" w:eastAsia="tr-TR" w:bidi="he-IL"/>
          <w14:ligatures w14:val="none"/>
        </w:rPr>
        <w:t xml:space="preserve"> to the city </w:t>
      </w:r>
      <w:r w:rsidR="008F3084" w:rsidRPr="00F03A26">
        <w:rPr>
          <w:rFonts w:asciiTheme="majorBidi" w:eastAsia="Times New Roman" w:hAnsiTheme="majorBidi" w:cstheme="majorBidi"/>
          <w:iCs/>
          <w:color w:val="000000" w:themeColor="text1"/>
          <w:kern w:val="0"/>
          <w:lang w:val="en-GB" w:eastAsia="tr-TR" w:bidi="he-IL"/>
          <w14:ligatures w14:val="none"/>
        </w:rPr>
        <w:t>Ṭuruspâ</w:t>
      </w:r>
      <w:r w:rsidR="00512579" w:rsidRPr="00F03A26">
        <w:rPr>
          <w:rFonts w:asciiTheme="majorBidi" w:eastAsia="Times New Roman" w:hAnsiTheme="majorBidi" w:cstheme="majorBidi"/>
          <w:iCs/>
          <w:color w:val="000000" w:themeColor="text1"/>
          <w:kern w:val="0"/>
          <w:lang w:val="en-GB" w:eastAsia="tr-TR" w:bidi="he-IL"/>
          <w14:ligatures w14:val="none"/>
        </w:rPr>
        <w:fldChar w:fldCharType="begin"/>
      </w:r>
      <w:r w:rsidR="00512579" w:rsidRPr="00F03A26">
        <w:rPr>
          <w:rFonts w:asciiTheme="majorBidi" w:hAnsiTheme="majorBidi" w:cstheme="majorBidi"/>
          <w:color w:val="000000" w:themeColor="text1"/>
          <w:lang w:val="en-GB"/>
        </w:rPr>
        <w:instrText xml:space="preserve"> XE "</w:instrText>
      </w:r>
      <w:r w:rsidR="008F3084" w:rsidRPr="00F03A26">
        <w:rPr>
          <w:rFonts w:asciiTheme="majorBidi" w:eastAsia="Times New Roman" w:hAnsiTheme="majorBidi" w:cstheme="majorBidi"/>
          <w:iCs/>
          <w:color w:val="000000" w:themeColor="text1"/>
          <w:kern w:val="0"/>
          <w:lang w:val="en-GB" w:eastAsia="tr-TR" w:bidi="he-IL"/>
          <w14:ligatures w14:val="none"/>
        </w:rPr>
        <w:instrText>Ṭuruspâ</w:instrText>
      </w:r>
      <w:r w:rsidR="00512579" w:rsidRPr="00F03A26">
        <w:rPr>
          <w:rFonts w:asciiTheme="majorBidi" w:hAnsiTheme="majorBidi" w:cstheme="majorBidi"/>
          <w:color w:val="000000" w:themeColor="text1"/>
          <w:lang w:val="en-GB"/>
        </w:rPr>
        <w:instrText xml:space="preserve">" </w:instrText>
      </w:r>
      <w:r w:rsidR="00512579" w:rsidRPr="00F03A26">
        <w:rPr>
          <w:rFonts w:asciiTheme="majorBidi" w:eastAsia="Times New Roman" w:hAnsiTheme="majorBidi" w:cstheme="majorBidi"/>
          <w:iCs/>
          <w:color w:val="000000" w:themeColor="text1"/>
          <w:kern w:val="0"/>
          <w:lang w:val="en-GB" w:eastAsia="tr-TR" w:bidi="he-IL"/>
          <w14:ligatures w14:val="none"/>
        </w:rPr>
        <w:fldChar w:fldCharType="end"/>
      </w:r>
      <w:r w:rsidRPr="00F03A26">
        <w:rPr>
          <w:rFonts w:asciiTheme="majorBidi" w:eastAsia="Times New Roman" w:hAnsiTheme="majorBidi" w:cstheme="majorBidi"/>
          <w:iCs/>
          <w:color w:val="000000" w:themeColor="text1"/>
          <w:kern w:val="0"/>
          <w:lang w:val="en-GB" w:eastAsia="tr-TR" w:bidi="he-IL"/>
          <w14:ligatures w14:val="none"/>
        </w:rPr>
        <w:t xml:space="preserve">, his city, and inflicted a great defeat upon him before his city gates. I fashioned my royal image and erected (it) in front of the city </w:t>
      </w:r>
      <w:r w:rsidR="00573E2E" w:rsidRPr="00C1270A">
        <w:rPr>
          <w:rFonts w:asciiTheme="majorBidi" w:eastAsia="Times New Roman" w:hAnsiTheme="majorBidi" w:cstheme="majorBidi"/>
          <w:iCs/>
          <w:color w:val="000000" w:themeColor="text1"/>
          <w:kern w:val="0"/>
          <w:lang w:val="en-GB" w:eastAsia="tr-TR" w:bidi="he-IL"/>
          <w14:ligatures w14:val="none"/>
        </w:rPr>
        <w:t>Ṭuruspâ</w:t>
      </w:r>
      <w:r w:rsidR="00512579" w:rsidRPr="00C1270A">
        <w:rPr>
          <w:rFonts w:asciiTheme="majorBidi" w:eastAsia="Times New Roman" w:hAnsiTheme="majorBidi" w:cstheme="majorBidi"/>
          <w:iCs/>
          <w:color w:val="000000" w:themeColor="text1"/>
          <w:kern w:val="0"/>
          <w:lang w:val="en-GB" w:eastAsia="tr-TR" w:bidi="he-IL"/>
          <w14:ligatures w14:val="none"/>
        </w:rPr>
        <w:fldChar w:fldCharType="begin"/>
      </w:r>
      <w:r w:rsidR="00512579" w:rsidRPr="00C1270A">
        <w:rPr>
          <w:rFonts w:asciiTheme="majorBidi" w:hAnsiTheme="majorBidi" w:cstheme="majorBidi"/>
          <w:color w:val="000000" w:themeColor="text1"/>
          <w:lang w:val="en-GB"/>
        </w:rPr>
        <w:instrText xml:space="preserve"> XE "</w:instrText>
      </w:r>
      <w:r w:rsidR="00573E2E" w:rsidRPr="00C1270A">
        <w:rPr>
          <w:rFonts w:asciiTheme="majorBidi" w:eastAsia="Times New Roman" w:hAnsiTheme="majorBidi" w:cstheme="majorBidi"/>
          <w:iCs/>
          <w:color w:val="000000" w:themeColor="text1"/>
          <w:kern w:val="0"/>
          <w:lang w:val="en-GB" w:eastAsia="tr-TR" w:bidi="he-IL"/>
          <w14:ligatures w14:val="none"/>
        </w:rPr>
        <w:instrText>Ṭuruspâ</w:instrText>
      </w:r>
      <w:r w:rsidR="00512579" w:rsidRPr="00C1270A">
        <w:rPr>
          <w:rFonts w:asciiTheme="majorBidi" w:hAnsiTheme="majorBidi" w:cstheme="majorBidi"/>
          <w:color w:val="000000" w:themeColor="text1"/>
          <w:lang w:val="en-GB"/>
        </w:rPr>
        <w:instrText xml:space="preserve">" </w:instrText>
      </w:r>
      <w:r w:rsidR="00512579" w:rsidRPr="00C1270A">
        <w:rPr>
          <w:rFonts w:asciiTheme="majorBidi" w:eastAsia="Times New Roman" w:hAnsiTheme="majorBidi" w:cstheme="majorBidi"/>
          <w:iCs/>
          <w:color w:val="000000" w:themeColor="text1"/>
          <w:kern w:val="0"/>
          <w:lang w:val="en-GB" w:eastAsia="tr-TR" w:bidi="he-IL"/>
          <w14:ligatures w14:val="none"/>
        </w:rPr>
        <w:fldChar w:fldCharType="end"/>
      </w:r>
      <w:r w:rsidRPr="00F03A26">
        <w:rPr>
          <w:rFonts w:asciiTheme="majorBidi" w:eastAsia="Times New Roman" w:hAnsiTheme="majorBidi" w:cstheme="majorBidi"/>
          <w:iCs/>
          <w:color w:val="000000" w:themeColor="text1"/>
          <w:kern w:val="0"/>
          <w:lang w:val="en-GB" w:eastAsia="tr-TR" w:bidi="he-IL"/>
          <w14:ligatures w14:val="none"/>
        </w:rPr>
        <w:t xml:space="preserve"> or a distance of seventy leagues, [I proudly] marched [through the] extensive land of Urartu, from one end to the other (lit. ‘from above to below’), (a</w:t>
      </w:r>
      <w:r w:rsidR="00B51756" w:rsidRPr="00F03A26">
        <w:rPr>
          <w:rFonts w:asciiTheme="majorBidi" w:eastAsia="Times New Roman" w:hAnsiTheme="majorBidi" w:cstheme="majorBidi"/>
          <w:iCs/>
          <w:color w:val="000000" w:themeColor="text1"/>
          <w:kern w:val="0"/>
          <w:lang w:val="en-GB" w:eastAsia="tr-TR" w:bidi="he-IL"/>
          <w14:ligatures w14:val="none"/>
        </w:rPr>
        <w:t>nd) I had no opponent (therein)</w:t>
      </w:r>
      <w:r w:rsidR="00DE5A86" w:rsidRPr="00F03A26">
        <w:rPr>
          <w:rFonts w:asciiTheme="majorBidi" w:eastAsia="Times New Roman" w:hAnsiTheme="majorBidi" w:cstheme="majorBidi"/>
          <w:iCs/>
          <w:color w:val="000000" w:themeColor="text1"/>
          <w:kern w:val="0"/>
          <w:lang w:val="en-GB" w:eastAsia="tr-TR" w:bidi="he-IL"/>
          <w14:ligatures w14:val="none"/>
        </w:rPr>
        <w:t>”</w:t>
      </w:r>
      <w:r w:rsidRPr="00F03A26">
        <w:rPr>
          <w:rFonts w:asciiTheme="majorBidi" w:eastAsia="Times New Roman" w:hAnsiTheme="majorBidi" w:cstheme="majorBidi"/>
          <w:i/>
          <w:iCs/>
          <w:color w:val="000000" w:themeColor="text1"/>
          <w:kern w:val="0"/>
          <w:lang w:val="en-GB" w:eastAsia="tr-TR" w:bidi="he-IL"/>
          <w14:ligatures w14:val="none"/>
        </w:rPr>
        <w:t xml:space="preserve"> </w:t>
      </w:r>
      <w:r w:rsidR="003205C0" w:rsidRPr="00F03A26">
        <w:rPr>
          <w:rFonts w:asciiTheme="majorBidi" w:eastAsia="Times New Roman" w:hAnsiTheme="majorBidi" w:cstheme="majorBidi"/>
          <w:color w:val="000000" w:themeColor="text1"/>
          <w:lang w:val="en-US" w:eastAsia="it-IT"/>
        </w:rPr>
        <w:t>(Tadmor &amp; Yamada 2011, 98).</w:t>
      </w:r>
    </w:p>
    <w:p w14:paraId="298CD21F" w14:textId="77777777" w:rsidR="0081622B" w:rsidRPr="00F03A26" w:rsidRDefault="0081622B" w:rsidP="00F03A26">
      <w:pPr>
        <w:jc w:val="both"/>
        <w:rPr>
          <w:rFonts w:asciiTheme="majorBidi" w:hAnsiTheme="majorBidi" w:cstheme="majorBidi"/>
          <w:color w:val="000000" w:themeColor="text1"/>
          <w:lang w:val="en-GB"/>
        </w:rPr>
      </w:pPr>
    </w:p>
    <w:p w14:paraId="762542E3" w14:textId="1C3BCCE2" w:rsidR="00E41A1D" w:rsidRPr="00F03A26" w:rsidRDefault="001C11C8" w:rsidP="00F03A26">
      <w:pPr>
        <w:jc w:val="both"/>
        <w:rPr>
          <w:rFonts w:asciiTheme="majorBidi" w:eastAsia="Times New Roman" w:hAnsiTheme="majorBidi" w:cstheme="majorBidi"/>
          <w:color w:val="000000" w:themeColor="text1"/>
          <w:kern w:val="0"/>
          <w:lang w:val="en-GB" w:eastAsia="tr-TR" w:bidi="he-IL"/>
          <w14:ligatures w14:val="none"/>
        </w:rPr>
      </w:pPr>
      <w:r w:rsidRPr="00F03A26">
        <w:rPr>
          <w:rFonts w:asciiTheme="majorBidi" w:eastAsia="Times New Roman" w:hAnsiTheme="majorBidi" w:cstheme="majorBidi"/>
          <w:color w:val="000000" w:themeColor="text1"/>
          <w:kern w:val="0"/>
          <w:lang w:val="en-GB" w:eastAsia="tr-TR" w:bidi="he-IL"/>
          <w14:ligatures w14:val="none"/>
        </w:rPr>
        <w:t xml:space="preserve">This was the first time, and as far as we know, the only time that </w:t>
      </w:r>
      <w:r w:rsidR="00260D6B" w:rsidRPr="00F03A26">
        <w:rPr>
          <w:rFonts w:asciiTheme="majorBidi" w:eastAsia="Times New Roman" w:hAnsiTheme="majorBidi" w:cstheme="majorBidi"/>
          <w:color w:val="000000" w:themeColor="text1"/>
          <w:kern w:val="0"/>
          <w:lang w:val="en-GB" w:eastAsia="tr-TR" w:bidi="he-IL"/>
          <w14:ligatures w14:val="none"/>
        </w:rPr>
        <w:t xml:space="preserve">the </w:t>
      </w:r>
      <w:r w:rsidRPr="00F03A26">
        <w:rPr>
          <w:rFonts w:asciiTheme="majorBidi" w:eastAsia="Times New Roman" w:hAnsiTheme="majorBidi" w:cstheme="majorBidi"/>
          <w:color w:val="000000" w:themeColor="text1"/>
          <w:kern w:val="0"/>
          <w:lang w:val="en-GB" w:eastAsia="tr-TR" w:bidi="he-IL"/>
          <w14:ligatures w14:val="none"/>
        </w:rPr>
        <w:t>Assyrian</w:t>
      </w:r>
      <w:r w:rsidR="00B03080">
        <w:rPr>
          <w:rFonts w:asciiTheme="majorBidi" w:eastAsia="Times New Roman" w:hAnsiTheme="majorBidi" w:cstheme="majorBidi"/>
          <w:color w:val="000000" w:themeColor="text1"/>
          <w:kern w:val="0"/>
          <w:lang w:val="en-GB" w:eastAsia="tr-TR" w:bidi="he-IL"/>
          <w14:ligatures w14:val="none"/>
        </w:rPr>
        <w:t xml:space="preserve"> </w:t>
      </w:r>
      <w:r w:rsidR="00512579" w:rsidRPr="00F03A26">
        <w:rPr>
          <w:rFonts w:asciiTheme="majorBidi" w:eastAsia="Times New Roman" w:hAnsiTheme="majorBidi" w:cstheme="majorBidi"/>
          <w:color w:val="000000" w:themeColor="text1"/>
          <w:kern w:val="0"/>
          <w:lang w:val="en-GB" w:eastAsia="tr-TR" w:bidi="he-IL"/>
          <w14:ligatures w14:val="none"/>
        </w:rPr>
        <w:fldChar w:fldCharType="begin"/>
      </w:r>
      <w:r w:rsidR="00512579" w:rsidRPr="00F03A26">
        <w:rPr>
          <w:rFonts w:asciiTheme="majorBidi" w:hAnsiTheme="majorBidi" w:cstheme="majorBidi"/>
          <w:color w:val="000000" w:themeColor="text1"/>
          <w:lang w:val="en-GB"/>
        </w:rPr>
        <w:instrText xml:space="preserve"> XE "Assyrian" </w:instrText>
      </w:r>
      <w:r w:rsidR="00512579" w:rsidRPr="00F03A26">
        <w:rPr>
          <w:rFonts w:asciiTheme="majorBidi" w:eastAsia="Times New Roman" w:hAnsiTheme="majorBidi" w:cstheme="majorBidi"/>
          <w:color w:val="000000" w:themeColor="text1"/>
          <w:kern w:val="0"/>
          <w:lang w:val="en-GB" w:eastAsia="tr-TR" w:bidi="he-IL"/>
          <w14:ligatures w14:val="none"/>
        </w:rPr>
        <w:fldChar w:fldCharType="end"/>
      </w:r>
      <w:r w:rsidRPr="00F03A26">
        <w:rPr>
          <w:rFonts w:asciiTheme="majorBidi" w:eastAsia="Times New Roman" w:hAnsiTheme="majorBidi" w:cstheme="majorBidi"/>
          <w:color w:val="000000" w:themeColor="text1"/>
          <w:kern w:val="0"/>
          <w:lang w:val="en-GB" w:eastAsia="tr-TR" w:bidi="he-IL"/>
          <w14:ligatures w14:val="none"/>
        </w:rPr>
        <w:t xml:space="preserve"> troops </w:t>
      </w:r>
      <w:r w:rsidR="003205C0" w:rsidRPr="00F03A26">
        <w:rPr>
          <w:rFonts w:asciiTheme="majorBidi" w:eastAsia="Times New Roman" w:hAnsiTheme="majorBidi" w:cstheme="majorBidi"/>
          <w:color w:val="000000" w:themeColor="text1"/>
          <w:kern w:val="0"/>
          <w:lang w:val="en-GB" w:eastAsia="tr-TR" w:bidi="he-IL"/>
          <w14:ligatures w14:val="none"/>
        </w:rPr>
        <w:t>claim to have</w:t>
      </w:r>
      <w:r w:rsidRPr="00F03A26">
        <w:rPr>
          <w:rFonts w:asciiTheme="majorBidi" w:eastAsia="Times New Roman" w:hAnsiTheme="majorBidi" w:cstheme="majorBidi"/>
          <w:color w:val="000000" w:themeColor="text1"/>
          <w:kern w:val="0"/>
          <w:lang w:val="en-GB" w:eastAsia="tr-TR" w:bidi="he-IL"/>
          <w14:ligatures w14:val="none"/>
        </w:rPr>
        <w:t xml:space="preserve"> </w:t>
      </w:r>
      <w:r w:rsidR="00801444" w:rsidRPr="00F03A26">
        <w:rPr>
          <w:rFonts w:asciiTheme="majorBidi" w:eastAsia="Times New Roman" w:hAnsiTheme="majorBidi" w:cstheme="majorBidi"/>
          <w:color w:val="000000" w:themeColor="text1"/>
          <w:kern w:val="0"/>
          <w:lang w:val="en-GB" w:eastAsia="tr-TR" w:bidi="he-IL"/>
          <w14:ligatures w14:val="none"/>
        </w:rPr>
        <w:t>Ṭušpa</w:t>
      </w:r>
      <w:r w:rsidRPr="00F03A26">
        <w:rPr>
          <w:rFonts w:asciiTheme="majorBidi" w:eastAsia="Times New Roman" w:hAnsiTheme="majorBidi" w:cstheme="majorBidi"/>
          <w:color w:val="000000" w:themeColor="text1"/>
          <w:kern w:val="0"/>
          <w:lang w:val="en-GB" w:eastAsia="tr-TR" w:bidi="he-IL"/>
          <w14:ligatures w14:val="none"/>
        </w:rPr>
        <w:t>. Situated on a rock high above Van</w:t>
      </w:r>
      <w:r w:rsidR="0096233A" w:rsidRPr="00F03A26">
        <w:rPr>
          <w:rFonts w:asciiTheme="majorBidi" w:eastAsia="Times New Roman" w:hAnsiTheme="majorBidi" w:cstheme="majorBidi"/>
          <w:color w:val="000000" w:themeColor="text1"/>
          <w:kern w:val="0"/>
          <w:lang w:val="en-GB" w:eastAsia="tr-TR" w:bidi="he-IL"/>
          <w14:ligatures w14:val="none"/>
        </w:rPr>
        <w:t xml:space="preserve"> Lake</w:t>
      </w:r>
      <w:r w:rsidRPr="00F03A26">
        <w:rPr>
          <w:rFonts w:asciiTheme="majorBidi" w:eastAsia="Times New Roman" w:hAnsiTheme="majorBidi" w:cstheme="majorBidi"/>
          <w:color w:val="000000" w:themeColor="text1"/>
          <w:kern w:val="0"/>
          <w:lang w:val="en-GB" w:eastAsia="tr-TR" w:bidi="he-IL"/>
          <w14:ligatures w14:val="none"/>
        </w:rPr>
        <w:t xml:space="preserve">, the city proved impregnable. However, the </w:t>
      </w:r>
      <w:r w:rsidR="003205C0" w:rsidRPr="00F03A26">
        <w:rPr>
          <w:rFonts w:asciiTheme="majorBidi" w:eastAsia="Times New Roman" w:hAnsiTheme="majorBidi" w:cstheme="majorBidi"/>
          <w:color w:val="000000" w:themeColor="text1"/>
          <w:kern w:val="0"/>
          <w:lang w:val="en-GB" w:eastAsia="tr-TR" w:bidi="he-IL"/>
          <w14:ligatures w14:val="none"/>
        </w:rPr>
        <w:t xml:space="preserve">probable </w:t>
      </w:r>
      <w:r w:rsidRPr="00F03A26">
        <w:rPr>
          <w:rFonts w:asciiTheme="majorBidi" w:eastAsia="Times New Roman" w:hAnsiTheme="majorBidi" w:cstheme="majorBidi"/>
          <w:color w:val="000000" w:themeColor="text1"/>
          <w:kern w:val="0"/>
          <w:lang w:val="en-GB" w:eastAsia="tr-TR" w:bidi="he-IL"/>
          <w14:ligatures w14:val="none"/>
        </w:rPr>
        <w:t>siege had high symbolic significance</w:t>
      </w:r>
      <w:r w:rsidR="001E6679" w:rsidRPr="00F03A26">
        <w:rPr>
          <w:rFonts w:asciiTheme="majorBidi" w:eastAsia="Times New Roman" w:hAnsiTheme="majorBidi" w:cstheme="majorBidi"/>
          <w:color w:val="000000" w:themeColor="text1"/>
          <w:kern w:val="0"/>
          <w:lang w:val="en-GB" w:eastAsia="tr-TR" w:bidi="he-IL"/>
          <w14:ligatures w14:val="none"/>
        </w:rPr>
        <w:t xml:space="preserve">. It </w:t>
      </w:r>
      <w:r w:rsidRPr="00F03A26">
        <w:rPr>
          <w:rFonts w:asciiTheme="majorBidi" w:eastAsia="Times New Roman" w:hAnsiTheme="majorBidi" w:cstheme="majorBidi"/>
          <w:color w:val="000000" w:themeColor="text1"/>
          <w:kern w:val="0"/>
          <w:lang w:val="en-GB" w:eastAsia="tr-TR" w:bidi="he-IL"/>
          <w14:ligatures w14:val="none"/>
        </w:rPr>
        <w:t>marked a change in the balance of power, heralding Assyria</w:t>
      </w:r>
      <w:r w:rsidR="00512579" w:rsidRPr="00F03A26">
        <w:rPr>
          <w:rFonts w:asciiTheme="majorBidi" w:eastAsia="Times New Roman" w:hAnsiTheme="majorBidi" w:cstheme="majorBidi"/>
          <w:color w:val="000000" w:themeColor="text1"/>
          <w:kern w:val="0"/>
          <w:lang w:val="en-GB" w:eastAsia="tr-TR" w:bidi="he-IL"/>
          <w14:ligatures w14:val="none"/>
        </w:rPr>
        <w:fldChar w:fldCharType="begin"/>
      </w:r>
      <w:r w:rsidR="00512579" w:rsidRPr="00F03A26">
        <w:rPr>
          <w:rFonts w:asciiTheme="majorBidi" w:hAnsiTheme="majorBidi" w:cstheme="majorBidi"/>
          <w:color w:val="000000" w:themeColor="text1"/>
          <w:lang w:val="en-GB"/>
        </w:rPr>
        <w:instrText xml:space="preserve"> XE "</w:instrText>
      </w:r>
      <w:r w:rsidR="00512579" w:rsidRPr="00F03A26">
        <w:rPr>
          <w:rFonts w:asciiTheme="majorBidi" w:eastAsia="Times New Roman" w:hAnsiTheme="majorBidi" w:cstheme="majorBidi"/>
          <w:color w:val="000000" w:themeColor="text1"/>
          <w:kern w:val="0"/>
          <w:lang w:val="en-GB" w:eastAsia="tr-TR" w:bidi="he-IL"/>
          <w14:ligatures w14:val="none"/>
        </w:rPr>
        <w:instrText>Assyria</w:instrText>
      </w:r>
      <w:r w:rsidR="00512579" w:rsidRPr="00F03A26">
        <w:rPr>
          <w:rFonts w:asciiTheme="majorBidi" w:hAnsiTheme="majorBidi" w:cstheme="majorBidi"/>
          <w:color w:val="000000" w:themeColor="text1"/>
          <w:lang w:val="en-GB"/>
        </w:rPr>
        <w:instrText xml:space="preserve">" </w:instrText>
      </w:r>
      <w:r w:rsidR="00512579" w:rsidRPr="00F03A26">
        <w:rPr>
          <w:rFonts w:asciiTheme="majorBidi" w:eastAsia="Times New Roman" w:hAnsiTheme="majorBidi" w:cstheme="majorBidi"/>
          <w:color w:val="000000" w:themeColor="text1"/>
          <w:kern w:val="0"/>
          <w:lang w:val="en-GB" w:eastAsia="tr-TR" w:bidi="he-IL"/>
          <w14:ligatures w14:val="none"/>
        </w:rPr>
        <w:fldChar w:fldCharType="end"/>
      </w:r>
      <w:r w:rsidRPr="00F03A26">
        <w:rPr>
          <w:rFonts w:asciiTheme="majorBidi" w:eastAsia="Times New Roman" w:hAnsiTheme="majorBidi" w:cstheme="majorBidi"/>
          <w:color w:val="000000" w:themeColor="text1"/>
          <w:kern w:val="0"/>
          <w:lang w:val="en-GB" w:eastAsia="tr-TR" w:bidi="he-IL"/>
          <w14:ligatures w14:val="none"/>
        </w:rPr>
        <w:t>’s supremacy over the Near East</w:t>
      </w:r>
      <w:r w:rsidR="0080291C" w:rsidRPr="00F03A26">
        <w:rPr>
          <w:rFonts w:asciiTheme="majorBidi" w:eastAsia="Times New Roman" w:hAnsiTheme="majorBidi" w:cstheme="majorBidi"/>
          <w:color w:val="000000" w:themeColor="text1"/>
          <w:kern w:val="0"/>
          <w:lang w:val="en-GB" w:eastAsia="tr-TR" w:bidi="he-IL"/>
          <w14:ligatures w14:val="none"/>
        </w:rPr>
        <w:fldChar w:fldCharType="begin"/>
      </w:r>
      <w:r w:rsidR="0080291C" w:rsidRPr="00F03A26">
        <w:rPr>
          <w:rFonts w:asciiTheme="majorBidi" w:hAnsiTheme="majorBidi" w:cstheme="majorBidi"/>
          <w:color w:val="000000" w:themeColor="text1"/>
          <w:lang w:val="en-GB"/>
        </w:rPr>
        <w:instrText xml:space="preserve"> XE "Near East" </w:instrText>
      </w:r>
      <w:r w:rsidR="0080291C" w:rsidRPr="00F03A26">
        <w:rPr>
          <w:rFonts w:asciiTheme="majorBidi" w:eastAsia="Times New Roman" w:hAnsiTheme="majorBidi" w:cstheme="majorBidi"/>
          <w:color w:val="000000" w:themeColor="text1"/>
          <w:kern w:val="0"/>
          <w:lang w:val="en-GB" w:eastAsia="tr-TR" w:bidi="he-IL"/>
          <w14:ligatures w14:val="none"/>
        </w:rPr>
        <w:fldChar w:fldCharType="end"/>
      </w:r>
      <w:r w:rsidRPr="00F03A26">
        <w:rPr>
          <w:rFonts w:asciiTheme="majorBidi" w:eastAsia="Times New Roman" w:hAnsiTheme="majorBidi" w:cstheme="majorBidi"/>
          <w:color w:val="000000" w:themeColor="text1"/>
          <w:kern w:val="0"/>
          <w:lang w:val="en-GB" w:eastAsia="tr-TR" w:bidi="he-IL"/>
          <w14:ligatures w14:val="none"/>
        </w:rPr>
        <w:t xml:space="preserve"> (Radner</w:t>
      </w:r>
      <w:r w:rsidR="0025498C" w:rsidRPr="00F03A26">
        <w:rPr>
          <w:rFonts w:asciiTheme="majorBidi" w:eastAsia="Times New Roman" w:hAnsiTheme="majorBidi" w:cstheme="majorBidi"/>
          <w:color w:val="000000" w:themeColor="text1"/>
          <w:kern w:val="0"/>
          <w:lang w:val="en-GB" w:eastAsia="tr-TR" w:bidi="he-IL"/>
          <w14:ligatures w14:val="none"/>
        </w:rPr>
        <w:t>,</w:t>
      </w:r>
      <w:r w:rsidR="00991845" w:rsidRPr="00F03A26">
        <w:rPr>
          <w:rFonts w:asciiTheme="majorBidi" w:eastAsia="Times New Roman" w:hAnsiTheme="majorBidi" w:cstheme="majorBidi"/>
          <w:color w:val="000000" w:themeColor="text1"/>
          <w:kern w:val="0"/>
          <w:lang w:val="en-GB" w:eastAsia="tr-TR" w:bidi="he-IL"/>
          <w14:ligatures w14:val="none"/>
        </w:rPr>
        <w:t xml:space="preserve"> </w:t>
      </w:r>
      <w:r w:rsidRPr="00F03A26">
        <w:rPr>
          <w:rFonts w:asciiTheme="majorBidi" w:eastAsia="Times New Roman" w:hAnsiTheme="majorBidi" w:cstheme="majorBidi"/>
          <w:color w:val="000000" w:themeColor="text1"/>
          <w:kern w:val="0"/>
          <w:lang w:val="en-GB" w:eastAsia="tr-TR" w:bidi="he-IL"/>
          <w14:ligatures w14:val="none"/>
        </w:rPr>
        <w:t>2021</w:t>
      </w:r>
      <w:r w:rsidR="001E6679" w:rsidRPr="00F03A26">
        <w:rPr>
          <w:rFonts w:asciiTheme="majorBidi" w:eastAsia="Times New Roman" w:hAnsiTheme="majorBidi" w:cstheme="majorBidi"/>
          <w:color w:val="000000" w:themeColor="text1"/>
          <w:kern w:val="0"/>
          <w:lang w:val="en-GB" w:eastAsia="tr-TR" w:bidi="he-IL"/>
          <w14:ligatures w14:val="none"/>
        </w:rPr>
        <w:t>, pp.</w:t>
      </w:r>
      <w:r w:rsidRPr="00F03A26">
        <w:rPr>
          <w:rFonts w:asciiTheme="majorBidi" w:eastAsia="Times New Roman" w:hAnsiTheme="majorBidi" w:cstheme="majorBidi"/>
          <w:color w:val="000000" w:themeColor="text1"/>
          <w:kern w:val="0"/>
          <w:lang w:val="en-GB" w:eastAsia="tr-TR" w:bidi="he-IL"/>
          <w14:ligatures w14:val="none"/>
        </w:rPr>
        <w:t xml:space="preserve"> 388-389). The stela Tiglath-pileser</w:t>
      </w:r>
      <w:r w:rsidR="00512579" w:rsidRPr="00F03A26">
        <w:rPr>
          <w:rFonts w:asciiTheme="majorBidi" w:eastAsia="Times New Roman" w:hAnsiTheme="majorBidi" w:cstheme="majorBidi"/>
          <w:color w:val="000000" w:themeColor="text1"/>
          <w:kern w:val="0"/>
          <w:lang w:val="en-GB" w:eastAsia="tr-TR" w:bidi="he-IL"/>
          <w14:ligatures w14:val="none"/>
        </w:rPr>
        <w:fldChar w:fldCharType="begin"/>
      </w:r>
      <w:r w:rsidR="00512579" w:rsidRPr="00F03A26">
        <w:rPr>
          <w:rFonts w:asciiTheme="majorBidi" w:hAnsiTheme="majorBidi" w:cstheme="majorBidi"/>
          <w:color w:val="000000" w:themeColor="text1"/>
          <w:lang w:val="en-GB"/>
        </w:rPr>
        <w:instrText xml:space="preserve"> XE "</w:instrText>
      </w:r>
      <w:r w:rsidR="00512579" w:rsidRPr="00F03A26">
        <w:rPr>
          <w:rFonts w:asciiTheme="majorBidi" w:eastAsia="Times New Roman" w:hAnsiTheme="majorBidi" w:cstheme="majorBidi"/>
          <w:color w:val="000000" w:themeColor="text1"/>
          <w:kern w:val="0"/>
          <w:lang w:val="en-GB" w:eastAsia="tr-TR" w:bidi="he-IL"/>
          <w14:ligatures w14:val="none"/>
        </w:rPr>
        <w:instrText>Tiglath-pileser</w:instrText>
      </w:r>
      <w:r w:rsidR="00512579" w:rsidRPr="00F03A26">
        <w:rPr>
          <w:rFonts w:asciiTheme="majorBidi" w:hAnsiTheme="majorBidi" w:cstheme="majorBidi"/>
          <w:color w:val="000000" w:themeColor="text1"/>
          <w:lang w:val="en-GB"/>
        </w:rPr>
        <w:instrText xml:space="preserve">" </w:instrText>
      </w:r>
      <w:r w:rsidR="00512579" w:rsidRPr="00F03A26">
        <w:rPr>
          <w:rFonts w:asciiTheme="majorBidi" w:eastAsia="Times New Roman" w:hAnsiTheme="majorBidi" w:cstheme="majorBidi"/>
          <w:color w:val="000000" w:themeColor="text1"/>
          <w:kern w:val="0"/>
          <w:lang w:val="en-GB" w:eastAsia="tr-TR" w:bidi="he-IL"/>
          <w14:ligatures w14:val="none"/>
        </w:rPr>
        <w:fldChar w:fldCharType="end"/>
      </w:r>
      <w:r w:rsidRPr="00F03A26">
        <w:rPr>
          <w:rFonts w:asciiTheme="majorBidi" w:eastAsia="Times New Roman" w:hAnsiTheme="majorBidi" w:cstheme="majorBidi"/>
          <w:color w:val="000000" w:themeColor="text1"/>
          <w:kern w:val="0"/>
          <w:lang w:val="en-GB" w:eastAsia="tr-TR" w:bidi="he-IL"/>
          <w14:ligatures w14:val="none"/>
        </w:rPr>
        <w:t xml:space="preserve"> mentions in his annals was never found. From the inscription, it is clear the Assyrians </w:t>
      </w:r>
      <w:r w:rsidR="00DE5A86" w:rsidRPr="00F03A26">
        <w:rPr>
          <w:rFonts w:asciiTheme="majorBidi" w:eastAsia="Times New Roman" w:hAnsiTheme="majorBidi" w:cstheme="majorBidi"/>
          <w:color w:val="000000" w:themeColor="text1"/>
          <w:kern w:val="0"/>
          <w:lang w:val="en-GB" w:eastAsia="tr-TR" w:bidi="he-IL"/>
          <w14:ligatures w14:val="none"/>
        </w:rPr>
        <w:t>could</w:t>
      </w:r>
      <w:r w:rsidRPr="00F03A26">
        <w:rPr>
          <w:rFonts w:asciiTheme="majorBidi" w:eastAsia="Times New Roman" w:hAnsiTheme="majorBidi" w:cstheme="majorBidi"/>
          <w:color w:val="000000" w:themeColor="text1"/>
          <w:kern w:val="0"/>
          <w:lang w:val="en-GB" w:eastAsia="tr-TR" w:bidi="he-IL"/>
          <w14:ligatures w14:val="none"/>
        </w:rPr>
        <w:t xml:space="preserve"> raid the surrounding countryside but </w:t>
      </w:r>
      <w:r w:rsidR="00DE5A86" w:rsidRPr="00F03A26">
        <w:rPr>
          <w:rFonts w:asciiTheme="majorBidi" w:eastAsia="Times New Roman" w:hAnsiTheme="majorBidi" w:cstheme="majorBidi"/>
          <w:color w:val="000000" w:themeColor="text1"/>
          <w:kern w:val="0"/>
          <w:lang w:val="en-GB" w:eastAsia="tr-TR" w:bidi="he-IL"/>
          <w14:ligatures w14:val="none"/>
        </w:rPr>
        <w:t>could not</w:t>
      </w:r>
      <w:r w:rsidRPr="00F03A26">
        <w:rPr>
          <w:rFonts w:asciiTheme="majorBidi" w:eastAsia="Times New Roman" w:hAnsiTheme="majorBidi" w:cstheme="majorBidi"/>
          <w:color w:val="000000" w:themeColor="text1"/>
          <w:kern w:val="0"/>
          <w:lang w:val="en-GB" w:eastAsia="tr-TR" w:bidi="he-IL"/>
          <w14:ligatures w14:val="none"/>
        </w:rPr>
        <w:t xml:space="preserve"> conquer the city of </w:t>
      </w:r>
      <w:r w:rsidR="00801444" w:rsidRPr="00F03A26">
        <w:rPr>
          <w:rFonts w:asciiTheme="majorBidi" w:eastAsia="Times New Roman" w:hAnsiTheme="majorBidi" w:cstheme="majorBidi"/>
          <w:color w:val="000000" w:themeColor="text1"/>
          <w:kern w:val="0"/>
          <w:lang w:val="en-GB" w:eastAsia="tr-TR" w:bidi="he-IL"/>
          <w14:ligatures w14:val="none"/>
        </w:rPr>
        <w:t>Ṭušpa</w:t>
      </w:r>
      <w:r w:rsidRPr="00F03A26">
        <w:rPr>
          <w:rFonts w:asciiTheme="majorBidi" w:eastAsia="Times New Roman" w:hAnsiTheme="majorBidi" w:cstheme="majorBidi"/>
          <w:color w:val="000000" w:themeColor="text1"/>
          <w:kern w:val="0"/>
          <w:lang w:val="en-GB" w:eastAsia="tr-TR" w:bidi="he-IL"/>
          <w14:ligatures w14:val="none"/>
        </w:rPr>
        <w:t xml:space="preserve"> itself. </w:t>
      </w:r>
    </w:p>
    <w:p w14:paraId="79F2EAAC" w14:textId="77777777" w:rsidR="00E41A1D" w:rsidRPr="00F03A26" w:rsidRDefault="00E41A1D" w:rsidP="00F03A26">
      <w:pPr>
        <w:jc w:val="both"/>
        <w:rPr>
          <w:rFonts w:asciiTheme="majorBidi" w:eastAsia="Times New Roman" w:hAnsiTheme="majorBidi" w:cstheme="majorBidi"/>
          <w:color w:val="000000" w:themeColor="text1"/>
          <w:kern w:val="0"/>
          <w:lang w:val="en-GB" w:eastAsia="tr-TR" w:bidi="he-IL"/>
          <w14:ligatures w14:val="none"/>
        </w:rPr>
      </w:pPr>
    </w:p>
    <w:p w14:paraId="2245258E" w14:textId="7BDB82B1" w:rsidR="00E41A1D" w:rsidRPr="00F03A26" w:rsidRDefault="00E41A1D" w:rsidP="00F03A26">
      <w:pPr>
        <w:jc w:val="both"/>
        <w:rPr>
          <w:rFonts w:asciiTheme="majorBidi" w:eastAsia="Times New Roman" w:hAnsiTheme="majorBidi" w:cstheme="majorBidi"/>
          <w:color w:val="000000" w:themeColor="text1"/>
          <w:kern w:val="0"/>
          <w:lang w:val="en-GB" w:eastAsia="tr-TR" w:bidi="he-IL"/>
          <w14:ligatures w14:val="none"/>
        </w:rPr>
      </w:pPr>
      <w:r w:rsidRPr="00F03A26">
        <w:rPr>
          <w:rFonts w:asciiTheme="majorBidi" w:hAnsiTheme="majorBidi" w:cstheme="majorBidi"/>
          <w:color w:val="000000" w:themeColor="text1"/>
          <w:kern w:val="0"/>
          <w:lang w:bidi="he-IL"/>
        </w:rPr>
        <w:lastRenderedPageBreak/>
        <w:t xml:space="preserve">In another letter (ND 2673), one of Tiglath-pileser's officials urged his king to reattempt the capture of </w:t>
      </w:r>
      <w:r w:rsidR="00897EF7" w:rsidRPr="00F03A26">
        <w:rPr>
          <w:rFonts w:asciiTheme="majorBidi" w:eastAsia="Times New Roman" w:hAnsiTheme="majorBidi" w:cstheme="majorBidi"/>
          <w:color w:val="000000" w:themeColor="text1"/>
          <w:kern w:val="0"/>
          <w:lang w:val="en-GB" w:eastAsia="tr-TR" w:bidi="he-IL"/>
          <w14:ligatures w14:val="none"/>
        </w:rPr>
        <w:t>Ṭušpa</w:t>
      </w:r>
      <w:r w:rsidRPr="00F03A26">
        <w:rPr>
          <w:rFonts w:asciiTheme="majorBidi" w:hAnsiTheme="majorBidi" w:cstheme="majorBidi"/>
          <w:color w:val="000000" w:themeColor="text1"/>
          <w:kern w:val="0"/>
          <w:lang w:bidi="he-IL"/>
        </w:rPr>
        <w:t xml:space="preserve"> to achieve immortal fame, showing the symbolic significance of </w:t>
      </w:r>
      <w:r w:rsidR="00897EF7" w:rsidRPr="00F03A26">
        <w:rPr>
          <w:rFonts w:asciiTheme="majorBidi" w:eastAsia="Times New Roman" w:hAnsiTheme="majorBidi" w:cstheme="majorBidi"/>
          <w:color w:val="000000" w:themeColor="text1"/>
          <w:kern w:val="0"/>
          <w:lang w:val="en-GB" w:eastAsia="tr-TR" w:bidi="he-IL"/>
          <w14:ligatures w14:val="none"/>
        </w:rPr>
        <w:t>Ṭušpa</w:t>
      </w:r>
      <w:r w:rsidRPr="00F03A26">
        <w:rPr>
          <w:rFonts w:asciiTheme="majorBidi" w:hAnsiTheme="majorBidi" w:cstheme="majorBidi"/>
          <w:color w:val="000000" w:themeColor="text1"/>
          <w:kern w:val="0"/>
          <w:lang w:bidi="he-IL"/>
        </w:rPr>
        <w:t>:</w:t>
      </w:r>
    </w:p>
    <w:p w14:paraId="67562B83" w14:textId="77777777" w:rsidR="00E41A1D" w:rsidRPr="00F03A26" w:rsidRDefault="00E41A1D" w:rsidP="00F03A26">
      <w:pPr>
        <w:jc w:val="both"/>
        <w:rPr>
          <w:rFonts w:asciiTheme="majorBidi" w:eastAsia="Times New Roman" w:hAnsiTheme="majorBidi" w:cstheme="majorBidi"/>
          <w:color w:val="000000" w:themeColor="text1"/>
          <w:kern w:val="0"/>
          <w:lang w:val="en-GB" w:eastAsia="tr-TR" w:bidi="he-IL"/>
          <w14:ligatures w14:val="none"/>
        </w:rPr>
      </w:pPr>
    </w:p>
    <w:p w14:paraId="2A5206A0" w14:textId="09F17B14" w:rsidR="0081622B" w:rsidRPr="00F03A26" w:rsidRDefault="007C6821"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iCs/>
          <w:color w:val="000000" w:themeColor="text1"/>
          <w:lang w:val="en-GB"/>
        </w:rPr>
        <w:t>“</w:t>
      </w:r>
      <w:r w:rsidR="001C11C8" w:rsidRPr="00F03A26">
        <w:rPr>
          <w:rFonts w:asciiTheme="majorBidi" w:hAnsiTheme="majorBidi" w:cstheme="majorBidi"/>
          <w:iCs/>
          <w:color w:val="000000" w:themeColor="text1"/>
          <w:lang w:val="en-GB"/>
        </w:rPr>
        <w:t>When the king, my Lord, ascended to Urartu</w:t>
      </w:r>
      <w:r w:rsidR="0066296E" w:rsidRPr="00F03A26">
        <w:rPr>
          <w:rFonts w:asciiTheme="majorBidi" w:hAnsiTheme="majorBidi" w:cstheme="majorBidi"/>
          <w:iCs/>
          <w:color w:val="000000" w:themeColor="text1"/>
          <w:lang w:val="en-GB"/>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hAnsiTheme="majorBidi" w:cstheme="majorBidi"/>
          <w:iCs/>
          <w:color w:val="000000" w:themeColor="text1"/>
          <w:lang w:val="en-GB"/>
        </w:rPr>
        <w:fldChar w:fldCharType="end"/>
      </w:r>
      <w:r w:rsidR="001C11C8" w:rsidRPr="00F03A26">
        <w:rPr>
          <w:rFonts w:asciiTheme="majorBidi" w:hAnsiTheme="majorBidi" w:cstheme="majorBidi"/>
          <w:iCs/>
          <w:color w:val="000000" w:themeColor="text1"/>
          <w:lang w:val="en-GB"/>
        </w:rPr>
        <w:t xml:space="preserve"> before, the gods Assur</w:t>
      </w:r>
      <w:r w:rsidR="00AB510B" w:rsidRPr="00F03A26">
        <w:rPr>
          <w:rFonts w:asciiTheme="majorBidi" w:hAnsiTheme="majorBidi" w:cstheme="majorBidi"/>
          <w:iCs/>
          <w:color w:val="000000" w:themeColor="text1"/>
          <w:lang w:val="en-GB"/>
        </w:rPr>
        <w:fldChar w:fldCharType="begin"/>
      </w:r>
      <w:r w:rsidR="00AB510B" w:rsidRPr="00F03A26">
        <w:rPr>
          <w:rFonts w:asciiTheme="majorBidi" w:hAnsiTheme="majorBidi" w:cstheme="majorBidi"/>
          <w:color w:val="000000" w:themeColor="text1"/>
          <w:lang w:val="en-GB"/>
        </w:rPr>
        <w:instrText xml:space="preserve"> XE "</w:instrText>
      </w:r>
      <w:r w:rsidR="00AB510B" w:rsidRPr="00F03A26">
        <w:rPr>
          <w:rStyle w:val="y2iqfc"/>
          <w:rFonts w:asciiTheme="majorBidi" w:eastAsia="Arial" w:hAnsiTheme="majorBidi" w:cstheme="majorBidi"/>
          <w:color w:val="000000" w:themeColor="text1"/>
          <w:lang w:val="en-GB"/>
        </w:rPr>
        <w:instrText>Assur</w:instrText>
      </w:r>
      <w:r w:rsidR="00AB510B" w:rsidRPr="00F03A26">
        <w:rPr>
          <w:rFonts w:asciiTheme="majorBidi" w:hAnsiTheme="majorBidi" w:cstheme="majorBidi"/>
          <w:color w:val="000000" w:themeColor="text1"/>
          <w:lang w:val="en-GB"/>
        </w:rPr>
        <w:instrText xml:space="preserve">" </w:instrText>
      </w:r>
      <w:r w:rsidR="00AB510B" w:rsidRPr="00F03A26">
        <w:rPr>
          <w:rFonts w:asciiTheme="majorBidi" w:hAnsiTheme="majorBidi" w:cstheme="majorBidi"/>
          <w:iCs/>
          <w:color w:val="000000" w:themeColor="text1"/>
          <w:lang w:val="en-GB"/>
        </w:rPr>
        <w:fldChar w:fldCharType="end"/>
      </w:r>
      <w:r w:rsidR="001C11C8" w:rsidRPr="00F03A26">
        <w:rPr>
          <w:rFonts w:asciiTheme="majorBidi" w:hAnsiTheme="majorBidi" w:cstheme="majorBidi"/>
          <w:iCs/>
          <w:color w:val="000000" w:themeColor="text1"/>
          <w:lang w:val="en-GB"/>
        </w:rPr>
        <w:t xml:space="preserve"> and </w:t>
      </w:r>
      <w:r w:rsidR="00996495" w:rsidRPr="00F03A26">
        <w:rPr>
          <w:rFonts w:asciiTheme="majorBidi" w:hAnsiTheme="majorBidi" w:cstheme="majorBidi"/>
          <w:iCs/>
          <w:color w:val="000000" w:themeColor="text1"/>
          <w:lang w:val="en-GB"/>
        </w:rPr>
        <w:t>Š</w:t>
      </w:r>
      <w:r w:rsidR="001C11C8" w:rsidRPr="00F03A26">
        <w:rPr>
          <w:rFonts w:asciiTheme="majorBidi" w:hAnsiTheme="majorBidi" w:cstheme="majorBidi"/>
          <w:iCs/>
          <w:color w:val="000000" w:themeColor="text1"/>
          <w:lang w:val="en-GB"/>
        </w:rPr>
        <w:t>ama</w:t>
      </w:r>
      <w:r w:rsidR="00996495" w:rsidRPr="00F03A26">
        <w:rPr>
          <w:rFonts w:asciiTheme="majorBidi" w:hAnsiTheme="majorBidi" w:cstheme="majorBidi"/>
          <w:iCs/>
          <w:color w:val="000000" w:themeColor="text1"/>
          <w:lang w:val="en-GB"/>
        </w:rPr>
        <w:t>š</w:t>
      </w:r>
      <w:r w:rsidR="00897EF7">
        <w:rPr>
          <w:rFonts w:asciiTheme="majorBidi" w:hAnsiTheme="majorBidi" w:cstheme="majorBidi"/>
          <w:iCs/>
          <w:color w:val="000000" w:themeColor="text1"/>
          <w:lang w:val="en-GB"/>
        </w:rPr>
        <w:fldChar w:fldCharType="begin"/>
      </w:r>
      <w:r w:rsidR="00897EF7">
        <w:instrText xml:space="preserve"> XE "</w:instrText>
      </w:r>
      <w:r w:rsidR="00897EF7" w:rsidRPr="006124C9">
        <w:rPr>
          <w:rFonts w:asciiTheme="majorBidi" w:hAnsiTheme="majorBidi" w:cstheme="majorBidi"/>
          <w:iCs/>
          <w:color w:val="000000" w:themeColor="text1"/>
          <w:lang w:val="en-GB"/>
        </w:rPr>
        <w:instrText>Šamaš</w:instrText>
      </w:r>
      <w:r w:rsidR="00897EF7">
        <w:instrText xml:space="preserve">" </w:instrText>
      </w:r>
      <w:r w:rsidR="00897EF7">
        <w:rPr>
          <w:rFonts w:asciiTheme="majorBidi" w:hAnsiTheme="majorBidi" w:cstheme="majorBidi"/>
          <w:iCs/>
          <w:color w:val="000000" w:themeColor="text1"/>
          <w:lang w:val="en-GB"/>
        </w:rPr>
        <w:fldChar w:fldCharType="end"/>
      </w:r>
      <w:r w:rsidR="001C11C8" w:rsidRPr="00F03A26">
        <w:rPr>
          <w:rFonts w:asciiTheme="majorBidi" w:hAnsiTheme="majorBidi" w:cstheme="majorBidi"/>
          <w:iCs/>
          <w:color w:val="000000" w:themeColor="text1"/>
          <w:lang w:val="en-GB"/>
        </w:rPr>
        <w:t xml:space="preserve"> delivered </w:t>
      </w:r>
      <w:r w:rsidR="008F3084" w:rsidRPr="00F03A26">
        <w:rPr>
          <w:rFonts w:asciiTheme="majorBidi" w:hAnsiTheme="majorBidi" w:cstheme="majorBidi"/>
          <w:iCs/>
          <w:color w:val="000000" w:themeColor="text1"/>
          <w:lang w:val="en-GB"/>
        </w:rPr>
        <w:t>Ṭuruspâ</w:t>
      </w:r>
      <w:r w:rsidR="00512579" w:rsidRPr="00F03A26">
        <w:rPr>
          <w:rFonts w:asciiTheme="majorBidi" w:hAnsiTheme="majorBidi" w:cstheme="majorBidi"/>
          <w:iCs/>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w:instrText>
      </w:r>
      <w:r w:rsidR="008F3084" w:rsidRPr="00F03A26">
        <w:rPr>
          <w:rFonts w:asciiTheme="majorBidi" w:eastAsia="Times New Roman" w:hAnsiTheme="majorBidi" w:cstheme="majorBidi"/>
          <w:iCs/>
          <w:color w:val="000000" w:themeColor="text1"/>
          <w:kern w:val="0"/>
          <w:lang w:val="en-GB" w:eastAsia="tr-TR" w:bidi="he-IL"/>
          <w14:ligatures w14:val="none"/>
        </w:rPr>
        <w:instrText>Ṭuruspâ</w:instrText>
      </w:r>
      <w:r w:rsidR="00512579" w:rsidRPr="00F03A26">
        <w:rPr>
          <w:rFonts w:asciiTheme="majorBidi" w:hAnsiTheme="majorBidi" w:cstheme="majorBidi"/>
          <w:color w:val="000000" w:themeColor="text1"/>
          <w:lang w:val="en-GB"/>
        </w:rPr>
        <w:instrText xml:space="preserve">" </w:instrText>
      </w:r>
      <w:r w:rsidR="00512579" w:rsidRPr="00F03A26">
        <w:rPr>
          <w:rFonts w:asciiTheme="majorBidi" w:hAnsiTheme="majorBidi" w:cstheme="majorBidi"/>
          <w:iCs/>
          <w:color w:val="000000" w:themeColor="text1"/>
          <w:lang w:val="en-GB"/>
        </w:rPr>
        <w:fldChar w:fldCharType="end"/>
      </w:r>
      <w:r w:rsidR="001C11C8" w:rsidRPr="00F03A26">
        <w:rPr>
          <w:rFonts w:asciiTheme="majorBidi" w:hAnsiTheme="majorBidi" w:cstheme="majorBidi"/>
          <w:iCs/>
          <w:color w:val="000000" w:themeColor="text1"/>
          <w:lang w:val="en-GB"/>
        </w:rPr>
        <w:t xml:space="preserve"> into the hands of the king, my Lord, and (therefore) the king, my Lord, may lead his campaign against Urartu. May they capture </w:t>
      </w:r>
      <w:r w:rsidR="008F3084" w:rsidRPr="00F03A26">
        <w:rPr>
          <w:rFonts w:asciiTheme="majorBidi" w:hAnsiTheme="majorBidi" w:cstheme="majorBidi"/>
          <w:iCs/>
          <w:color w:val="000000" w:themeColor="text1"/>
          <w:lang w:val="en-GB"/>
        </w:rPr>
        <w:t>Ṭuruspâ</w:t>
      </w:r>
      <w:r w:rsidR="001C11C8" w:rsidRPr="00F03A26">
        <w:rPr>
          <w:rFonts w:asciiTheme="majorBidi" w:hAnsiTheme="majorBidi" w:cstheme="majorBidi"/>
          <w:iCs/>
          <w:color w:val="000000" w:themeColor="text1"/>
          <w:lang w:val="en-GB"/>
        </w:rPr>
        <w:t xml:space="preserve"> and may the king, </w:t>
      </w:r>
      <w:r w:rsidR="00B51756" w:rsidRPr="00F03A26">
        <w:rPr>
          <w:rFonts w:asciiTheme="majorBidi" w:hAnsiTheme="majorBidi" w:cstheme="majorBidi"/>
          <w:iCs/>
          <w:color w:val="000000" w:themeColor="text1"/>
          <w:lang w:val="en-GB"/>
        </w:rPr>
        <w:t>my Lord, immortalize his name!</w:t>
      </w:r>
      <w:r w:rsidRPr="00F03A26">
        <w:rPr>
          <w:rFonts w:asciiTheme="majorBidi" w:hAnsiTheme="majorBidi" w:cstheme="majorBidi"/>
          <w:iCs/>
          <w:color w:val="000000" w:themeColor="text1"/>
          <w:lang w:val="en-GB"/>
        </w:rPr>
        <w:t>”</w:t>
      </w:r>
    </w:p>
    <w:p w14:paraId="4525A088" w14:textId="77777777" w:rsidR="00953A46" w:rsidRPr="00F03A26" w:rsidRDefault="00953A46" w:rsidP="00F03A26">
      <w:pPr>
        <w:jc w:val="both"/>
        <w:rPr>
          <w:rFonts w:asciiTheme="majorBidi" w:hAnsiTheme="majorBidi" w:cstheme="majorBidi"/>
          <w:color w:val="000000" w:themeColor="text1"/>
          <w:lang w:val="en-GB"/>
        </w:rPr>
      </w:pPr>
    </w:p>
    <w:p w14:paraId="27D4EEDC" w14:textId="43EBADD0" w:rsidR="0081622B" w:rsidRPr="00F03A26" w:rsidRDefault="001C11C8"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Tiglath-pileser</w:t>
      </w:r>
      <w:r w:rsidR="00DE5A86" w:rsidRPr="00F03A26">
        <w:rPr>
          <w:rFonts w:asciiTheme="majorBidi" w:hAnsiTheme="majorBidi" w:cstheme="majorBidi"/>
          <w:color w:val="000000" w:themeColor="text1"/>
          <w:lang w:val="en-GB"/>
        </w:rPr>
        <w:t xml:space="preserve"> II</w:t>
      </w:r>
      <w:r w:rsidR="00C857F9" w:rsidRPr="00F03A26">
        <w:rPr>
          <w:rFonts w:asciiTheme="majorBidi" w:hAnsiTheme="majorBidi" w:cstheme="majorBidi"/>
          <w:color w:val="000000" w:themeColor="text1"/>
          <w:lang w:val="en-GB"/>
        </w:rPr>
        <w:t>I</w:t>
      </w:r>
      <w:r w:rsidR="0028736C">
        <w:rPr>
          <w:rFonts w:asciiTheme="majorBidi" w:hAnsiTheme="majorBidi" w:cstheme="majorBidi"/>
          <w:color w:val="000000" w:themeColor="text1"/>
          <w:lang w:val="en-GB"/>
        </w:rPr>
        <w:fldChar w:fldCharType="begin"/>
      </w:r>
      <w:r w:rsidR="0028736C">
        <w:instrText xml:space="preserve"> XE "</w:instrText>
      </w:r>
      <w:r w:rsidR="0028736C" w:rsidRPr="007426D5">
        <w:rPr>
          <w:rFonts w:asciiTheme="majorBidi" w:hAnsiTheme="majorBidi" w:cstheme="majorBidi"/>
          <w:color w:val="000000" w:themeColor="text1"/>
          <w:lang w:val="en-GB"/>
        </w:rPr>
        <w:instrText>Tiglath-pileser III</w:instrText>
      </w:r>
      <w:r w:rsidR="0028736C">
        <w:instrText xml:space="preserve">" </w:instrText>
      </w:r>
      <w:r w:rsidR="0028736C">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did not follow this suggestion</w:t>
      </w:r>
      <w:r w:rsidR="001E6679" w:rsidRPr="00F03A26">
        <w:rPr>
          <w:rFonts w:asciiTheme="majorBidi" w:hAnsiTheme="majorBidi" w:cstheme="majorBidi"/>
          <w:color w:val="000000" w:themeColor="text1"/>
          <w:lang w:val="en-GB"/>
        </w:rPr>
        <w:t xml:space="preserve">. I </w:t>
      </w:r>
      <w:r w:rsidRPr="00F03A26">
        <w:rPr>
          <w:rFonts w:asciiTheme="majorBidi" w:hAnsiTheme="majorBidi" w:cstheme="majorBidi"/>
          <w:color w:val="000000" w:themeColor="text1"/>
          <w:lang w:val="en-GB"/>
        </w:rPr>
        <w:t>avoided any direct confrontation with Urartu</w:t>
      </w:r>
      <w:r w:rsidR="0066296E" w:rsidRPr="00F03A26">
        <w:rPr>
          <w:rFonts w:asciiTheme="majorBidi" w:hAnsiTheme="majorBidi" w:cstheme="majorBidi"/>
          <w:color w:val="000000" w:themeColor="text1"/>
          <w:lang w:val="en-GB"/>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for the remainder of his rule (Radner</w:t>
      </w:r>
      <w:r w:rsidR="0025498C"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2013: 83).</w:t>
      </w:r>
    </w:p>
    <w:p w14:paraId="2EDC3362" w14:textId="77777777" w:rsidR="0081622B" w:rsidRPr="00F03A26" w:rsidRDefault="0081622B" w:rsidP="00F03A26">
      <w:pPr>
        <w:jc w:val="both"/>
        <w:rPr>
          <w:rFonts w:asciiTheme="majorBidi" w:hAnsiTheme="majorBidi" w:cstheme="majorBidi"/>
          <w:color w:val="000000" w:themeColor="text1"/>
          <w:lang w:val="en-GB"/>
        </w:rPr>
      </w:pPr>
    </w:p>
    <w:p w14:paraId="50ABF8B0" w14:textId="15EC7950" w:rsidR="0081622B" w:rsidRPr="00F03A26" w:rsidRDefault="00260D6B"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This</w:t>
      </w:r>
      <w:r w:rsidR="001C11C8" w:rsidRPr="00F03A26">
        <w:rPr>
          <w:rFonts w:asciiTheme="majorBidi" w:hAnsiTheme="majorBidi" w:cstheme="majorBidi"/>
          <w:color w:val="000000" w:themeColor="text1"/>
          <w:lang w:val="en-GB"/>
        </w:rPr>
        <w:t xml:space="preserve"> </w:t>
      </w:r>
      <w:r w:rsidR="001E6679" w:rsidRPr="00F03A26">
        <w:rPr>
          <w:rFonts w:asciiTheme="majorBidi" w:hAnsiTheme="majorBidi" w:cstheme="majorBidi"/>
          <w:color w:val="000000" w:themeColor="text1"/>
          <w:lang w:val="en-GB"/>
        </w:rPr>
        <w:t>critical</w:t>
      </w:r>
      <w:r w:rsidR="001C11C8" w:rsidRPr="00F03A26">
        <w:rPr>
          <w:rFonts w:asciiTheme="majorBidi" w:hAnsiTheme="majorBidi" w:cstheme="majorBidi"/>
          <w:color w:val="000000" w:themeColor="text1"/>
          <w:lang w:val="en-GB"/>
        </w:rPr>
        <w:t xml:space="preserve"> issue </w:t>
      </w:r>
      <w:r w:rsidR="00E41A1D" w:rsidRPr="00F03A26">
        <w:rPr>
          <w:rFonts w:asciiTheme="majorBidi" w:hAnsiTheme="majorBidi" w:cstheme="majorBidi"/>
          <w:color w:val="000000" w:themeColor="text1"/>
          <w:lang w:val="en-GB"/>
        </w:rPr>
        <w:t>should be</w:t>
      </w:r>
      <w:r w:rsidR="001C11C8" w:rsidRPr="00F03A26">
        <w:rPr>
          <w:rFonts w:asciiTheme="majorBidi" w:hAnsiTheme="majorBidi" w:cstheme="majorBidi"/>
          <w:color w:val="000000" w:themeColor="text1"/>
          <w:lang w:val="en-GB"/>
        </w:rPr>
        <w:t xml:space="preserve"> </w:t>
      </w:r>
      <w:r w:rsidR="001E6679" w:rsidRPr="00F03A26">
        <w:rPr>
          <w:rFonts w:asciiTheme="majorBidi" w:hAnsiTheme="majorBidi" w:cstheme="majorBidi"/>
          <w:color w:val="000000" w:themeColor="text1"/>
          <w:lang w:val="en-GB"/>
        </w:rPr>
        <w:t>remembered</w:t>
      </w:r>
      <w:r w:rsidR="001C11C8" w:rsidRPr="00F03A26">
        <w:rPr>
          <w:rFonts w:asciiTheme="majorBidi" w:hAnsiTheme="majorBidi" w:cstheme="majorBidi"/>
          <w:color w:val="000000" w:themeColor="text1"/>
          <w:lang w:val="en-GB"/>
        </w:rPr>
        <w:t>. According to Salvini (</w:t>
      </w:r>
      <w:r w:rsidR="006957CF" w:rsidRPr="00F03A26">
        <w:rPr>
          <w:rFonts w:asciiTheme="majorBidi" w:hAnsiTheme="majorBidi" w:cstheme="majorBidi"/>
          <w:color w:val="000000" w:themeColor="text1"/>
          <w:lang w:val="en-GB"/>
        </w:rPr>
        <w:t xml:space="preserve">Salvini, </w:t>
      </w:r>
      <w:r w:rsidR="001C11C8" w:rsidRPr="00F03A26">
        <w:rPr>
          <w:rFonts w:asciiTheme="majorBidi" w:hAnsiTheme="majorBidi" w:cstheme="majorBidi"/>
          <w:color w:val="000000" w:themeColor="text1"/>
          <w:lang w:val="en-GB"/>
        </w:rPr>
        <w:t>1995: 77), there are no inscriptions by Sarduri II</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"Sarduri II"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after 740. This could be another indication that his rule may have ended in turmoil caused by the Assyrians. We can add</w:t>
      </w:r>
      <w:r w:rsidR="00DE5A86" w:rsidRPr="00F03A26">
        <w:rPr>
          <w:rFonts w:asciiTheme="majorBidi" w:hAnsiTheme="majorBidi" w:cstheme="majorBidi"/>
          <w:color w:val="000000" w:themeColor="text1"/>
          <w:lang w:val="en-GB"/>
        </w:rPr>
        <w:t xml:space="preserve"> one</w:t>
      </w:r>
      <w:r w:rsidR="001C11C8" w:rsidRPr="00F03A26">
        <w:rPr>
          <w:rFonts w:asciiTheme="majorBidi" w:hAnsiTheme="majorBidi" w:cstheme="majorBidi"/>
          <w:color w:val="000000" w:themeColor="text1"/>
          <w:lang w:val="en-GB"/>
        </w:rPr>
        <w:t xml:space="preserve"> more question</w:t>
      </w:r>
      <w:r w:rsidR="00C62F7D" w:rsidRPr="00F03A26">
        <w:rPr>
          <w:rFonts w:asciiTheme="majorBidi" w:hAnsiTheme="majorBidi" w:cstheme="majorBidi"/>
          <w:color w:val="000000" w:themeColor="text1"/>
          <w:lang w:val="en-GB"/>
        </w:rPr>
        <w:t>: A</w:t>
      </w:r>
      <w:r w:rsidR="001C11C8" w:rsidRPr="00F03A26">
        <w:rPr>
          <w:rFonts w:asciiTheme="majorBidi" w:hAnsiTheme="majorBidi" w:cstheme="majorBidi"/>
          <w:color w:val="000000" w:themeColor="text1"/>
          <w:lang w:val="en-GB"/>
        </w:rPr>
        <w:t xml:space="preserve">re </w:t>
      </w:r>
      <w:r w:rsidR="00430082" w:rsidRPr="00F03A26">
        <w:rPr>
          <w:rFonts w:asciiTheme="majorBidi" w:hAnsiTheme="majorBidi" w:cstheme="majorBidi"/>
          <w:color w:val="000000" w:themeColor="text1"/>
          <w:lang w:val="en-GB"/>
        </w:rPr>
        <w:t>these</w:t>
      </w:r>
      <w:r w:rsidR="001C11C8" w:rsidRPr="00F03A26">
        <w:rPr>
          <w:rFonts w:asciiTheme="majorBidi" w:hAnsiTheme="majorBidi" w:cstheme="majorBidi"/>
          <w:color w:val="000000" w:themeColor="text1"/>
          <w:lang w:val="en-GB"/>
        </w:rPr>
        <w:t xml:space="preserve"> reasons</w:t>
      </w:r>
      <w:r w:rsidR="00C62F7D" w:rsidRPr="00F03A26">
        <w:rPr>
          <w:rFonts w:asciiTheme="majorBidi" w:hAnsiTheme="majorBidi" w:cstheme="majorBidi"/>
          <w:color w:val="000000" w:themeColor="text1"/>
          <w:lang w:val="en-GB"/>
        </w:rPr>
        <w:t xml:space="preserve"> why</w:t>
      </w:r>
      <w:r w:rsidR="001C11C8" w:rsidRPr="00F03A26">
        <w:rPr>
          <w:rFonts w:asciiTheme="majorBidi" w:hAnsiTheme="majorBidi" w:cstheme="majorBidi"/>
          <w:color w:val="000000" w:themeColor="text1"/>
          <w:lang w:val="en-GB"/>
        </w:rPr>
        <w:t xml:space="preserve"> most of the rock-cut tombs bear no inscriptions, and are possibly unfinished? Looking at later residences in the Van area like Toprakkale</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"Toprakkale"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were they erected because construction work shifted away from </w:t>
      </w:r>
      <w:r w:rsidR="00801444" w:rsidRPr="00F03A26">
        <w:rPr>
          <w:rFonts w:asciiTheme="majorBidi" w:hAnsiTheme="majorBidi" w:cstheme="majorBidi"/>
          <w:color w:val="000000" w:themeColor="text1"/>
          <w:lang w:val="en-GB"/>
        </w:rPr>
        <w:t>Ṭušpa</w:t>
      </w:r>
      <w:r w:rsidR="001C11C8" w:rsidRPr="00F03A26">
        <w:rPr>
          <w:rFonts w:asciiTheme="majorBidi" w:hAnsiTheme="majorBidi" w:cstheme="majorBidi"/>
          <w:color w:val="000000" w:themeColor="text1"/>
          <w:lang w:val="en-GB"/>
        </w:rPr>
        <w:t xml:space="preserve"> for unknown reasons?</w:t>
      </w:r>
    </w:p>
    <w:p w14:paraId="02B2095C" w14:textId="77777777" w:rsidR="00867745" w:rsidRPr="00F03A26" w:rsidRDefault="00867745" w:rsidP="00F03A26">
      <w:pPr>
        <w:jc w:val="both"/>
        <w:rPr>
          <w:rFonts w:asciiTheme="majorBidi" w:hAnsiTheme="majorBidi" w:cstheme="majorBidi"/>
          <w:color w:val="000000" w:themeColor="text1"/>
          <w:lang w:val="en-GB"/>
        </w:rPr>
      </w:pPr>
    </w:p>
    <w:p w14:paraId="247920D5" w14:textId="6CF6AA2F" w:rsidR="00A90F52" w:rsidRPr="00F03A26" w:rsidRDefault="00867745" w:rsidP="00F03A26">
      <w:pPr>
        <w:jc w:val="both"/>
        <w:rPr>
          <w:rFonts w:asciiTheme="majorBidi" w:hAnsiTheme="majorBidi" w:cstheme="majorBidi"/>
          <w:color w:val="000000" w:themeColor="text1"/>
          <w:lang w:val="en-GB"/>
        </w:rPr>
      </w:pPr>
      <w:r w:rsidRPr="00F03A26">
        <w:rPr>
          <w:rFonts w:asciiTheme="majorBidi" w:hAnsiTheme="majorBidi" w:cstheme="majorBidi"/>
          <w:iCs/>
          <w:color w:val="000000" w:themeColor="text1"/>
          <w:kern w:val="0"/>
          <w14:ligatures w14:val="none"/>
        </w:rPr>
        <w:t>Ṭušpa</w:t>
      </w:r>
      <w:r w:rsidRPr="00F03A26">
        <w:rPr>
          <w:rFonts w:asciiTheme="majorBidi" w:hAnsiTheme="majorBidi" w:cstheme="majorBidi"/>
          <w:color w:val="000000" w:themeColor="text1"/>
          <w:kern w:val="0"/>
          <w14:ligatures w14:val="none"/>
        </w:rPr>
        <w:t xml:space="preserve"> was the royal capital of Urartu from the beginning until its end. It also stood in as a symbol for the kingdom, as mentioned in many inscriptions.</w:t>
      </w:r>
      <w:r w:rsidRPr="00F03A26">
        <w:rPr>
          <w:rFonts w:asciiTheme="majorBidi" w:hAnsiTheme="majorBidi" w:cstheme="majorBidi"/>
          <w:color w:val="000000" w:themeColor="text1"/>
          <w:lang w:val="en-GB"/>
        </w:rPr>
        <w:t xml:space="preserve"> We a</w:t>
      </w:r>
      <w:r w:rsidR="001C11C8" w:rsidRPr="00F03A26">
        <w:rPr>
          <w:rFonts w:asciiTheme="majorBidi" w:hAnsiTheme="majorBidi" w:cstheme="majorBidi"/>
          <w:color w:val="000000" w:themeColor="text1"/>
          <w:lang w:val="en-GB"/>
        </w:rPr>
        <w:t>re fully aware that the capital was more than just a citadel located on the</w:t>
      </w:r>
      <w:r w:rsidR="00695338">
        <w:rPr>
          <w:rFonts w:asciiTheme="majorBidi" w:hAnsiTheme="majorBidi" w:cstheme="majorBidi"/>
          <w:color w:val="000000" w:themeColor="text1"/>
          <w:lang w:val="en-GB"/>
        </w:rPr>
        <w:t xml:space="preserve"> </w:t>
      </w:r>
      <w:r w:rsidR="003205C0" w:rsidRPr="00F03A26">
        <w:rPr>
          <w:rFonts w:asciiTheme="majorBidi" w:hAnsiTheme="majorBidi" w:cstheme="majorBidi"/>
          <w:color w:val="000000" w:themeColor="text1"/>
          <w:lang w:val="en-GB"/>
        </w:rPr>
        <w:t xml:space="preserve">Van Rock </w:t>
      </w:r>
      <w:r w:rsidR="001C11C8" w:rsidRPr="00F03A26">
        <w:rPr>
          <w:rFonts w:asciiTheme="majorBidi" w:hAnsiTheme="majorBidi" w:cstheme="majorBidi"/>
          <w:color w:val="000000" w:themeColor="text1"/>
          <w:lang w:val="en-GB"/>
        </w:rPr>
        <w:t>and in fact, Urartu's royal cities were built in the Van</w:t>
      </w:r>
      <w:r w:rsidR="00CA7B2B">
        <w:rPr>
          <w:rFonts w:asciiTheme="majorBidi" w:hAnsiTheme="majorBidi" w:cstheme="majorBidi"/>
          <w:color w:val="000000" w:themeColor="text1"/>
          <w:lang w:val="en-GB"/>
        </w:rPr>
        <w:t xml:space="preserve"> </w:t>
      </w:r>
      <w:r w:rsidR="0096233A" w:rsidRPr="00F03A26">
        <w:rPr>
          <w:rFonts w:asciiTheme="majorBidi" w:hAnsiTheme="majorBidi" w:cstheme="majorBidi"/>
          <w:color w:val="000000" w:themeColor="text1"/>
          <w:lang w:val="en-GB"/>
        </w:rPr>
        <w:t>Lake</w:t>
      </w:r>
      <w:r w:rsidR="001F2587">
        <w:rPr>
          <w:rFonts w:asciiTheme="majorBidi" w:hAnsiTheme="majorBidi" w:cstheme="majorBidi"/>
          <w:color w:val="000000" w:themeColor="text1"/>
          <w:lang w:val="en-GB"/>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hAnsiTheme="majorBidi" w:cstheme="majorBidi"/>
          <w:color w:val="000000" w:themeColor="text1"/>
          <w:lang w:val="en-GB"/>
        </w:rPr>
        <w:fldChar w:fldCharType="end"/>
      </w:r>
      <w:r w:rsidR="0096233A" w:rsidRPr="00F03A26">
        <w:rPr>
          <w:rFonts w:asciiTheme="majorBidi" w:hAnsiTheme="majorBidi" w:cstheme="majorBidi"/>
          <w:color w:val="000000" w:themeColor="text1"/>
          <w:lang w:val="en-GB"/>
        </w:rPr>
        <w:t xml:space="preserve"> </w:t>
      </w:r>
      <w:r w:rsidR="005D7D83" w:rsidRPr="00F03A26">
        <w:rPr>
          <w:rFonts w:asciiTheme="majorBidi" w:hAnsiTheme="majorBidi" w:cstheme="majorBidi"/>
          <w:color w:val="000000" w:themeColor="text1"/>
          <w:lang w:val="en-GB"/>
        </w:rPr>
        <w:t>b</w:t>
      </w:r>
      <w:r w:rsidR="001C11C8" w:rsidRPr="00F03A26">
        <w:rPr>
          <w:rFonts w:asciiTheme="majorBidi" w:hAnsiTheme="majorBidi" w:cstheme="majorBidi"/>
          <w:color w:val="000000" w:themeColor="text1"/>
          <w:lang w:val="en-GB"/>
        </w:rPr>
        <w:t>asin, where the capital was located, but also in the Erivan</w:t>
      </w:r>
      <w:r w:rsidR="000D025B" w:rsidRPr="00F03A26">
        <w:rPr>
          <w:rFonts w:asciiTheme="majorBidi" w:hAnsiTheme="majorBidi" w:cstheme="majorBidi"/>
          <w:color w:val="000000" w:themeColor="text1"/>
          <w:lang w:val="en-GB"/>
        </w:rPr>
        <w:fldChar w:fldCharType="begin"/>
      </w:r>
      <w:r w:rsidR="000D025B" w:rsidRPr="00F03A26">
        <w:rPr>
          <w:rFonts w:asciiTheme="majorBidi" w:hAnsiTheme="majorBidi" w:cstheme="majorBidi"/>
          <w:color w:val="000000" w:themeColor="text1"/>
          <w:lang w:val="en-GB"/>
        </w:rPr>
        <w:instrText xml:space="preserve"> XE "Erivan" </w:instrText>
      </w:r>
      <w:r w:rsidR="000D025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t>
      </w:r>
      <w:r w:rsidR="00025A1A" w:rsidRPr="00F03A26">
        <w:rPr>
          <w:rFonts w:asciiTheme="majorBidi" w:hAnsiTheme="majorBidi" w:cstheme="majorBidi"/>
          <w:color w:val="000000" w:themeColor="text1"/>
          <w:lang w:val="en-GB"/>
        </w:rPr>
        <w:t>p</w:t>
      </w:r>
      <w:r w:rsidR="001C11C8" w:rsidRPr="00F03A26">
        <w:rPr>
          <w:rFonts w:asciiTheme="majorBidi" w:hAnsiTheme="majorBidi" w:cstheme="majorBidi"/>
          <w:color w:val="000000" w:themeColor="text1"/>
          <w:lang w:val="en-GB"/>
        </w:rPr>
        <w:t xml:space="preserve">lain and </w:t>
      </w:r>
      <w:r w:rsidR="005D7D83" w:rsidRPr="00F03A26">
        <w:rPr>
          <w:rFonts w:asciiTheme="majorBidi" w:hAnsiTheme="majorBidi" w:cstheme="majorBidi"/>
          <w:color w:val="000000" w:themeColor="text1"/>
          <w:lang w:val="en-GB"/>
        </w:rPr>
        <w:t>n</w:t>
      </w:r>
      <w:r w:rsidR="001C11C8" w:rsidRPr="00F03A26">
        <w:rPr>
          <w:rFonts w:asciiTheme="majorBidi" w:hAnsiTheme="majorBidi" w:cstheme="majorBidi"/>
          <w:color w:val="000000" w:themeColor="text1"/>
          <w:lang w:val="en-GB"/>
        </w:rPr>
        <w:t>orthwest</w:t>
      </w:r>
      <w:r w:rsidR="00175556" w:rsidRPr="00F03A26">
        <w:rPr>
          <w:rFonts w:asciiTheme="majorBidi" w:hAnsiTheme="majorBidi" w:cstheme="majorBidi"/>
          <w:color w:val="000000" w:themeColor="text1"/>
          <w:lang w:val="en-GB"/>
        </w:rPr>
        <w:t>ern</w:t>
      </w:r>
      <w:r w:rsidR="001C11C8" w:rsidRPr="00F03A26">
        <w:rPr>
          <w:rFonts w:asciiTheme="majorBidi" w:hAnsiTheme="majorBidi" w:cstheme="majorBidi"/>
          <w:color w:val="000000" w:themeColor="text1"/>
          <w:lang w:val="en-GB"/>
        </w:rPr>
        <w:t xml:space="preserve"> Iran</w:t>
      </w:r>
      <w:r w:rsidR="00CE69CA" w:rsidRPr="00F03A26">
        <w:rPr>
          <w:rFonts w:asciiTheme="majorBidi" w:hAnsiTheme="majorBidi" w:cstheme="majorBidi"/>
          <w:color w:val="000000" w:themeColor="text1"/>
          <w:lang w:val="en-GB"/>
        </w:rPr>
        <w:fldChar w:fldCharType="begin"/>
      </w:r>
      <w:r w:rsidR="00CE69CA" w:rsidRPr="00F03A26">
        <w:rPr>
          <w:rFonts w:asciiTheme="majorBidi" w:hAnsiTheme="majorBidi" w:cstheme="majorBidi"/>
          <w:color w:val="000000" w:themeColor="text1"/>
          <w:lang w:val="en-GB"/>
        </w:rPr>
        <w:instrText xml:space="preserve"> XE "Northwestern Iran" </w:instrText>
      </w:r>
      <w:r w:rsidR="00CE69CA"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The Royal cities</w:t>
      </w:r>
      <w:r w:rsidR="001C11C8"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 xml:space="preserve">were </w:t>
      </w:r>
      <w:r w:rsidR="001C11C8" w:rsidRPr="00F03A26">
        <w:rPr>
          <w:rFonts w:asciiTheme="majorBidi" w:hAnsiTheme="majorBidi" w:cstheme="majorBidi"/>
          <w:color w:val="000000" w:themeColor="text1"/>
          <w:lang w:val="en-GB"/>
        </w:rPr>
        <w:t xml:space="preserve">usually represented by a standard architectural plan, </w:t>
      </w:r>
      <w:r w:rsidRPr="00F03A26">
        <w:rPr>
          <w:rFonts w:asciiTheme="majorBidi" w:hAnsiTheme="majorBidi" w:cstheme="majorBidi"/>
          <w:color w:val="000000" w:themeColor="text1"/>
          <w:lang w:val="en-GB"/>
        </w:rPr>
        <w:t xml:space="preserve">a </w:t>
      </w:r>
      <w:r w:rsidR="001C11C8" w:rsidRPr="00F03A26">
        <w:rPr>
          <w:rFonts w:asciiTheme="majorBidi" w:hAnsiTheme="majorBidi" w:cstheme="majorBidi"/>
          <w:color w:val="000000" w:themeColor="text1"/>
          <w:lang w:val="en-GB"/>
        </w:rPr>
        <w:t>tower-shaped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temple (</w:t>
      </w:r>
      <w:r w:rsidR="00027DBE" w:rsidRPr="00F03A26">
        <w:rPr>
          <w:rFonts w:asciiTheme="majorBidi" w:eastAsia="Times New Roman" w:hAnsiTheme="majorBidi" w:cstheme="majorBidi"/>
          <w:lang w:val="en-GB"/>
        </w:rPr>
        <w:t>"</w:t>
      </w:r>
      <w:r w:rsidR="001C11C8" w:rsidRPr="0028736C">
        <w:rPr>
          <w:rFonts w:asciiTheme="majorBidi" w:hAnsiTheme="majorBidi" w:cstheme="majorBidi"/>
          <w:iCs/>
          <w:color w:val="000000" w:themeColor="text1"/>
          <w:lang w:val="en-GB"/>
        </w:rPr>
        <w:t>susi</w:t>
      </w:r>
      <w:r w:rsidR="00027DBE" w:rsidRPr="00F03A26">
        <w:rPr>
          <w:rFonts w:asciiTheme="majorBidi" w:eastAsia="Times New Roman" w:hAnsiTheme="majorBidi" w:cstheme="majorBidi"/>
          <w:lang w:val="en-GB"/>
        </w:rPr>
        <w:t>"</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"susi"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w:t>
      </w:r>
      <w:r w:rsidR="001C11C8" w:rsidRPr="00F03A26">
        <w:rPr>
          <w:rFonts w:asciiTheme="majorBidi" w:hAnsiTheme="majorBidi" w:cstheme="majorBidi"/>
          <w:color w:val="000000" w:themeColor="text1"/>
          <w:lang w:val="en-GB"/>
        </w:rPr>
        <w:t xml:space="preserve"> within a walled citadel area on a natural hill, and various buildings in the temple area, storage</w:t>
      </w:r>
      <w:r w:rsidR="006F28A0" w:rsidRPr="00F03A26">
        <w:rPr>
          <w:rFonts w:asciiTheme="majorBidi" w:hAnsiTheme="majorBidi" w:cstheme="majorBidi"/>
          <w:color w:val="000000" w:themeColor="text1"/>
          <w:lang w:val="en-GB"/>
        </w:rPr>
        <w:t xml:space="preserve"> units</w:t>
      </w:r>
      <w:r w:rsidR="001C11C8" w:rsidRPr="00F03A26">
        <w:rPr>
          <w:rFonts w:asciiTheme="majorBidi" w:hAnsiTheme="majorBidi" w:cstheme="majorBidi"/>
          <w:color w:val="000000" w:themeColor="text1"/>
          <w:lang w:val="en-GB"/>
        </w:rPr>
        <w:t xml:space="preserve">, palaces, and a </w:t>
      </w:r>
      <w:r w:rsidR="006F28A0" w:rsidRPr="00F03A26">
        <w:rPr>
          <w:rFonts w:asciiTheme="majorBidi" w:hAnsiTheme="majorBidi" w:cstheme="majorBidi"/>
          <w:color w:val="000000" w:themeColor="text1"/>
          <w:lang w:val="en-GB"/>
        </w:rPr>
        <w:t>quantity</w:t>
      </w:r>
      <w:r w:rsidR="001C11C8" w:rsidRPr="00F03A26">
        <w:rPr>
          <w:rFonts w:asciiTheme="majorBidi" w:hAnsiTheme="majorBidi" w:cstheme="majorBidi"/>
          <w:color w:val="000000" w:themeColor="text1"/>
          <w:lang w:val="en-GB"/>
        </w:rPr>
        <w:t xml:space="preserve"> of </w:t>
      </w:r>
      <w:r w:rsidR="006F28A0" w:rsidRPr="00F03A26">
        <w:rPr>
          <w:rFonts w:asciiTheme="majorBidi" w:hAnsiTheme="majorBidi" w:cstheme="majorBidi"/>
          <w:color w:val="000000" w:themeColor="text1"/>
          <w:lang w:val="en-GB"/>
        </w:rPr>
        <w:t xml:space="preserve">other </w:t>
      </w:r>
      <w:r w:rsidR="001C11C8" w:rsidRPr="00F03A26">
        <w:rPr>
          <w:rFonts w:asciiTheme="majorBidi" w:hAnsiTheme="majorBidi" w:cstheme="majorBidi"/>
          <w:color w:val="000000" w:themeColor="text1"/>
          <w:lang w:val="en-GB"/>
        </w:rPr>
        <w:t xml:space="preserve">related royal residences. Outside the city walls is the outer or the lower city, which is composed of </w:t>
      </w:r>
      <w:r w:rsidR="006F28A0" w:rsidRPr="00F03A26">
        <w:rPr>
          <w:rFonts w:asciiTheme="majorBidi" w:hAnsiTheme="majorBidi" w:cstheme="majorBidi"/>
          <w:color w:val="000000" w:themeColor="text1"/>
          <w:lang w:val="en-GB"/>
        </w:rPr>
        <w:t>buildings with stone foundations and</w:t>
      </w:r>
      <w:r w:rsidR="001C11C8" w:rsidRPr="00F03A26">
        <w:rPr>
          <w:rFonts w:asciiTheme="majorBidi" w:hAnsiTheme="majorBidi" w:cstheme="majorBidi"/>
          <w:color w:val="000000" w:themeColor="text1"/>
          <w:lang w:val="en-GB"/>
        </w:rPr>
        <w:t xml:space="preserve"> mudbrick wall</w:t>
      </w:r>
      <w:r w:rsidR="006F28A0" w:rsidRPr="00F03A26">
        <w:rPr>
          <w:rFonts w:asciiTheme="majorBidi" w:hAnsiTheme="majorBidi" w:cstheme="majorBidi"/>
          <w:color w:val="000000" w:themeColor="text1"/>
          <w:lang w:val="en-GB"/>
        </w:rPr>
        <w:t>s</w:t>
      </w:r>
      <w:r w:rsidR="001C11C8" w:rsidRPr="00F03A26">
        <w:rPr>
          <w:rFonts w:asciiTheme="majorBidi" w:hAnsiTheme="majorBidi" w:cstheme="majorBidi"/>
          <w:color w:val="000000" w:themeColor="text1"/>
          <w:lang w:val="en-GB"/>
        </w:rPr>
        <w:t xml:space="preserve"> </w:t>
      </w:r>
      <w:r w:rsidR="006F28A0" w:rsidRPr="00F03A26">
        <w:rPr>
          <w:rFonts w:asciiTheme="majorBidi" w:hAnsiTheme="majorBidi" w:cstheme="majorBidi"/>
          <w:color w:val="000000" w:themeColor="text1"/>
          <w:lang w:val="en-GB"/>
        </w:rPr>
        <w:t xml:space="preserve">that </w:t>
      </w:r>
      <w:r w:rsidR="001C11C8" w:rsidRPr="00F03A26">
        <w:rPr>
          <w:rFonts w:asciiTheme="majorBidi" w:hAnsiTheme="majorBidi" w:cstheme="majorBidi"/>
          <w:color w:val="000000" w:themeColor="text1"/>
          <w:lang w:val="en-GB"/>
        </w:rPr>
        <w:t>do</w:t>
      </w:r>
      <w:r w:rsidRPr="00F03A26">
        <w:rPr>
          <w:rFonts w:asciiTheme="majorBidi" w:hAnsiTheme="majorBidi" w:cstheme="majorBidi"/>
          <w:color w:val="000000" w:themeColor="text1"/>
          <w:lang w:val="en-GB"/>
        </w:rPr>
        <w:t xml:space="preserve"> no</w:t>
      </w:r>
      <w:r w:rsidR="006F28A0" w:rsidRPr="00F03A26">
        <w:rPr>
          <w:rFonts w:asciiTheme="majorBidi" w:hAnsiTheme="majorBidi" w:cstheme="majorBidi"/>
          <w:color w:val="000000" w:themeColor="text1"/>
          <w:lang w:val="en-GB"/>
        </w:rPr>
        <w:t>t</w:t>
      </w:r>
      <w:r w:rsidR="001C11C8"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 xml:space="preserve">follow a </w:t>
      </w:r>
      <w:r w:rsidR="006F28A0" w:rsidRPr="00F03A26">
        <w:rPr>
          <w:rFonts w:asciiTheme="majorBidi" w:hAnsiTheme="majorBidi" w:cstheme="majorBidi"/>
          <w:color w:val="000000" w:themeColor="text1"/>
          <w:lang w:val="en-GB"/>
        </w:rPr>
        <w:t>standardized</w:t>
      </w:r>
      <w:r w:rsidR="001C11C8"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pattern</w:t>
      </w:r>
      <w:r w:rsidR="001C11C8" w:rsidRPr="00F03A26">
        <w:rPr>
          <w:rFonts w:asciiTheme="majorBidi" w:hAnsiTheme="majorBidi" w:cstheme="majorBidi"/>
          <w:color w:val="000000" w:themeColor="text1"/>
          <w:lang w:val="en-GB"/>
        </w:rPr>
        <w:t xml:space="preserve">. The citadels, usually built on rocky areas, are not very large. Among the largest ones, </w:t>
      </w:r>
      <w:r w:rsidR="00801444" w:rsidRPr="00F03A26">
        <w:rPr>
          <w:rFonts w:asciiTheme="majorBidi" w:hAnsiTheme="majorBidi" w:cstheme="majorBidi"/>
          <w:color w:val="000000" w:themeColor="text1"/>
          <w:lang w:val="en-GB"/>
        </w:rPr>
        <w:t>Ṭušpa</w:t>
      </w:r>
      <w:r w:rsidR="008C4CEB" w:rsidRPr="00F03A26">
        <w:rPr>
          <w:rFonts w:asciiTheme="majorBidi" w:hAnsiTheme="majorBidi" w:cstheme="majorBidi"/>
          <w:color w:val="000000" w:themeColor="text1"/>
          <w:lang w:val="en-GB"/>
        </w:rPr>
        <w:t xml:space="preserve"> spreads over an area of 15 hectares</w:t>
      </w:r>
      <w:r w:rsidR="00C62F7D" w:rsidRPr="00F03A26">
        <w:rPr>
          <w:rFonts w:asciiTheme="majorBidi" w:hAnsiTheme="majorBidi" w:cstheme="majorBidi"/>
          <w:color w:val="000000" w:themeColor="text1"/>
          <w:lang w:val="en-GB"/>
        </w:rPr>
        <w:t xml:space="preserve"> and </w:t>
      </w:r>
      <w:r w:rsidR="008C4CEB" w:rsidRPr="00F03A26">
        <w:rPr>
          <w:rFonts w:asciiTheme="majorBidi" w:hAnsiTheme="majorBidi" w:cstheme="majorBidi"/>
          <w:color w:val="000000" w:themeColor="text1"/>
          <w:lang w:val="en-GB"/>
        </w:rPr>
        <w:t>Bastam</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"Bastam" </w:instrText>
      </w:r>
      <w:r w:rsidR="00512579" w:rsidRPr="00F03A26">
        <w:rPr>
          <w:rFonts w:asciiTheme="majorBidi" w:hAnsiTheme="majorBidi" w:cstheme="majorBidi"/>
          <w:color w:val="000000" w:themeColor="text1"/>
          <w:lang w:val="en-GB"/>
        </w:rPr>
        <w:fldChar w:fldCharType="end"/>
      </w:r>
      <w:r w:rsidR="008C4CEB" w:rsidRPr="00F03A26">
        <w:rPr>
          <w:rFonts w:asciiTheme="majorBidi" w:hAnsiTheme="majorBidi" w:cstheme="majorBidi"/>
          <w:color w:val="000000" w:themeColor="text1"/>
          <w:lang w:val="en-GB"/>
        </w:rPr>
        <w:t xml:space="preserve"> compasses an area of 10 hectar</w:t>
      </w:r>
      <w:r w:rsidR="001C11C8" w:rsidRPr="00F03A26">
        <w:rPr>
          <w:rFonts w:asciiTheme="majorBidi" w:hAnsiTheme="majorBidi" w:cstheme="majorBidi"/>
          <w:color w:val="000000" w:themeColor="text1"/>
          <w:lang w:val="en-GB"/>
        </w:rPr>
        <w:t>es</w:t>
      </w:r>
      <w:r w:rsidR="00C62F7D" w:rsidRPr="00F03A26">
        <w:rPr>
          <w:rFonts w:asciiTheme="majorBidi" w:hAnsiTheme="majorBidi" w:cstheme="majorBidi"/>
          <w:color w:val="000000" w:themeColor="text1"/>
          <w:lang w:val="en-GB"/>
        </w:rPr>
        <w:t xml:space="preserve">, </w:t>
      </w:r>
      <w:r w:rsidR="008C4CEB" w:rsidRPr="00F03A26">
        <w:rPr>
          <w:rFonts w:asciiTheme="majorBidi" w:hAnsiTheme="majorBidi" w:cstheme="majorBidi"/>
          <w:color w:val="000000" w:themeColor="text1"/>
          <w:lang w:val="en-GB"/>
        </w:rPr>
        <w:t>while</w:t>
      </w:r>
      <w:r w:rsidR="001C11C8" w:rsidRPr="00F03A26">
        <w:rPr>
          <w:rFonts w:asciiTheme="majorBidi" w:hAnsiTheme="majorBidi" w:cstheme="majorBidi"/>
          <w:color w:val="000000" w:themeColor="text1"/>
          <w:lang w:val="en-GB"/>
        </w:rPr>
        <w:t xml:space="preserve"> Anzaf</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"Anzaf"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Çavuştepe</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"Çavuştepe"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Aznavurtepe</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"Aznavurtepe"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Körzüt</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"Körzüt" </w:instrText>
      </w:r>
      <w:r w:rsidR="00512579" w:rsidRPr="00F03A26">
        <w:rPr>
          <w:rFonts w:asciiTheme="majorBidi" w:hAnsiTheme="majorBidi" w:cstheme="majorBidi"/>
          <w:color w:val="000000" w:themeColor="text1"/>
          <w:lang w:val="en-GB"/>
        </w:rPr>
        <w:fldChar w:fldCharType="end"/>
      </w:r>
      <w:r w:rsidR="00C62F7D" w:rsidRPr="00F03A26">
        <w:rPr>
          <w:rFonts w:asciiTheme="majorBidi" w:hAnsiTheme="majorBidi" w:cstheme="majorBidi"/>
          <w:color w:val="000000" w:themeColor="text1"/>
          <w:lang w:val="en-GB"/>
        </w:rPr>
        <w:t xml:space="preserve"> and </w:t>
      </w:r>
      <w:r w:rsidR="001C11C8" w:rsidRPr="00F03A26">
        <w:rPr>
          <w:rFonts w:asciiTheme="majorBidi" w:hAnsiTheme="majorBidi" w:cstheme="majorBidi"/>
          <w:color w:val="000000" w:themeColor="text1"/>
          <w:lang w:val="en-GB"/>
        </w:rPr>
        <w:t>Karmir-</w:t>
      </w:r>
      <w:r w:rsidR="0028736C">
        <w:rPr>
          <w:rFonts w:asciiTheme="majorBidi" w:hAnsiTheme="majorBidi" w:cstheme="majorBidi"/>
          <w:color w:val="000000" w:themeColor="text1"/>
          <w:lang w:val="en-GB"/>
        </w:rPr>
        <w:t>B</w:t>
      </w:r>
      <w:r w:rsidR="001C11C8" w:rsidRPr="00F03A26">
        <w:rPr>
          <w:rFonts w:asciiTheme="majorBidi" w:hAnsiTheme="majorBidi" w:cstheme="majorBidi"/>
          <w:color w:val="000000" w:themeColor="text1"/>
          <w:lang w:val="en-GB"/>
        </w:rPr>
        <w:t>lur</w:t>
      </w:r>
      <w:r w:rsidR="0028736C">
        <w:rPr>
          <w:rFonts w:asciiTheme="majorBidi" w:hAnsiTheme="majorBidi" w:cstheme="majorBidi"/>
          <w:color w:val="000000" w:themeColor="text1"/>
          <w:lang w:val="en-GB"/>
        </w:rPr>
        <w:fldChar w:fldCharType="begin"/>
      </w:r>
      <w:r w:rsidR="0028736C">
        <w:instrText xml:space="preserve"> XE "</w:instrText>
      </w:r>
      <w:r w:rsidR="0028736C" w:rsidRPr="00311FDF">
        <w:rPr>
          <w:rFonts w:asciiTheme="majorBidi" w:hAnsiTheme="majorBidi" w:cstheme="majorBidi"/>
          <w:color w:val="000000" w:themeColor="text1"/>
          <w:lang w:val="en-GB"/>
        </w:rPr>
        <w:instrText>Karmir-Blur</w:instrText>
      </w:r>
      <w:r w:rsidR="0028736C">
        <w:instrText xml:space="preserve">" </w:instrText>
      </w:r>
      <w:r w:rsidR="0028736C">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t>
      </w:r>
      <w:r w:rsidR="008C4CEB" w:rsidRPr="00F03A26">
        <w:rPr>
          <w:rFonts w:asciiTheme="majorBidi" w:hAnsiTheme="majorBidi" w:cstheme="majorBidi"/>
          <w:color w:val="000000" w:themeColor="text1"/>
          <w:lang w:val="en-GB"/>
        </w:rPr>
        <w:t xml:space="preserve">appear in a range of </w:t>
      </w:r>
      <w:r w:rsidR="001C11C8" w:rsidRPr="00F03A26">
        <w:rPr>
          <w:rFonts w:asciiTheme="majorBidi" w:hAnsiTheme="majorBidi" w:cstheme="majorBidi"/>
          <w:color w:val="000000" w:themeColor="text1"/>
          <w:lang w:val="en-GB"/>
        </w:rPr>
        <w:t>4-6 hectares</w:t>
      </w:r>
      <w:r w:rsidR="006457BD" w:rsidRPr="00F03A26">
        <w:rPr>
          <w:rFonts w:asciiTheme="majorBidi" w:hAnsiTheme="majorBidi" w:cstheme="majorBidi"/>
          <w:color w:val="000000" w:themeColor="text1"/>
          <w:lang w:val="en-GB"/>
        </w:rPr>
        <w:t xml:space="preserve">, </w:t>
      </w:r>
      <w:r w:rsidR="001C11C8" w:rsidRPr="00F03A26">
        <w:rPr>
          <w:rFonts w:asciiTheme="majorBidi" w:hAnsiTheme="majorBidi" w:cstheme="majorBidi"/>
          <w:color w:val="000000" w:themeColor="text1"/>
          <w:lang w:val="en-GB"/>
        </w:rPr>
        <w:t xml:space="preserve">respectively. When </w:t>
      </w:r>
      <w:r w:rsidR="006F28A0" w:rsidRPr="00F03A26">
        <w:rPr>
          <w:rFonts w:asciiTheme="majorBidi" w:hAnsiTheme="majorBidi" w:cstheme="majorBidi"/>
          <w:color w:val="000000" w:themeColor="text1"/>
          <w:lang w:val="en-GB"/>
        </w:rPr>
        <w:t xml:space="preserve">compared to </w:t>
      </w:r>
      <w:r w:rsidR="001C11C8" w:rsidRPr="00F03A26">
        <w:rPr>
          <w:rFonts w:asciiTheme="majorBidi" w:hAnsiTheme="majorBidi" w:cstheme="majorBidi"/>
          <w:color w:val="000000" w:themeColor="text1"/>
          <w:lang w:val="en-GB"/>
        </w:rPr>
        <w:t>Kalhu</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"Kalhu"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(c. 360 h), Dur-Šarrukin</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"Dur-Šarrukin"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(c. 330 h), and Ninive</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"Ninive"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(c. 720 h) in contemporary Assyria</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w:instrText>
      </w:r>
      <w:r w:rsidR="00512579" w:rsidRPr="00F03A26">
        <w:rPr>
          <w:rFonts w:asciiTheme="majorBidi" w:eastAsia="Times New Roman" w:hAnsiTheme="majorBidi" w:cstheme="majorBidi"/>
          <w:color w:val="000000" w:themeColor="text1"/>
          <w:kern w:val="0"/>
          <w:lang w:val="en-GB" w:eastAsia="tr-TR" w:bidi="he-IL"/>
          <w14:ligatures w14:val="none"/>
        </w:rPr>
        <w:instrText>Assyria</w:instrText>
      </w:r>
      <w:r w:rsidR="00512579" w:rsidRPr="00F03A26">
        <w:rPr>
          <w:rFonts w:asciiTheme="majorBidi" w:hAnsiTheme="majorBidi" w:cstheme="majorBidi"/>
          <w:color w:val="000000" w:themeColor="text1"/>
          <w:lang w:val="en-GB"/>
        </w:rPr>
        <w:instrText xml:space="preserve">"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th</w:t>
      </w:r>
      <w:r w:rsidR="006F28A0" w:rsidRPr="00F03A26">
        <w:rPr>
          <w:rFonts w:asciiTheme="majorBidi" w:hAnsiTheme="majorBidi" w:cstheme="majorBidi"/>
          <w:color w:val="000000" w:themeColor="text1"/>
          <w:lang w:val="en-GB"/>
        </w:rPr>
        <w:t>os</w:t>
      </w:r>
      <w:r w:rsidR="001C11C8" w:rsidRPr="00F03A26">
        <w:rPr>
          <w:rFonts w:asciiTheme="majorBidi" w:hAnsiTheme="majorBidi" w:cstheme="majorBidi"/>
          <w:color w:val="000000" w:themeColor="text1"/>
          <w:lang w:val="en-GB"/>
        </w:rPr>
        <w:t xml:space="preserve">e are </w:t>
      </w:r>
      <w:r w:rsidR="00E5258A" w:rsidRPr="00F03A26">
        <w:rPr>
          <w:rFonts w:asciiTheme="majorBidi" w:hAnsiTheme="majorBidi" w:cstheme="majorBidi"/>
          <w:color w:val="000000" w:themeColor="text1"/>
          <w:lang w:val="en-GB"/>
        </w:rPr>
        <w:t>small</w:t>
      </w:r>
      <w:r w:rsidR="001C11C8" w:rsidRPr="00F03A26">
        <w:rPr>
          <w:rFonts w:asciiTheme="majorBidi" w:hAnsiTheme="majorBidi" w:cstheme="majorBidi"/>
          <w:color w:val="000000" w:themeColor="text1"/>
          <w:lang w:val="en-GB"/>
        </w:rPr>
        <w:t xml:space="preserve"> cities. </w:t>
      </w:r>
      <w:r w:rsidR="006F28A0" w:rsidRPr="00F03A26">
        <w:rPr>
          <w:rFonts w:asciiTheme="majorBidi" w:hAnsiTheme="majorBidi" w:cstheme="majorBidi"/>
          <w:color w:val="000000" w:themeColor="text1"/>
          <w:lang w:val="en-GB"/>
        </w:rPr>
        <w:t>It</w:t>
      </w:r>
      <w:r w:rsidR="001C11C8" w:rsidRPr="00F03A26">
        <w:rPr>
          <w:rFonts w:asciiTheme="majorBidi" w:hAnsiTheme="majorBidi" w:cstheme="majorBidi"/>
          <w:color w:val="000000" w:themeColor="text1"/>
          <w:lang w:val="en-GB"/>
        </w:rPr>
        <w:t xml:space="preserve"> also </w:t>
      </w:r>
      <w:r w:rsidR="006F28A0" w:rsidRPr="00F03A26">
        <w:rPr>
          <w:rFonts w:asciiTheme="majorBidi" w:hAnsiTheme="majorBidi" w:cstheme="majorBidi"/>
          <w:color w:val="000000" w:themeColor="text1"/>
          <w:lang w:val="en-GB"/>
        </w:rPr>
        <w:t>highlights</w:t>
      </w:r>
      <w:r w:rsidR="001C11C8" w:rsidRPr="00F03A26">
        <w:rPr>
          <w:rFonts w:asciiTheme="majorBidi" w:hAnsiTheme="majorBidi" w:cstheme="majorBidi"/>
          <w:color w:val="000000" w:themeColor="text1"/>
          <w:lang w:val="en-GB"/>
        </w:rPr>
        <w:t xml:space="preserve"> the difference in the understanding or potential of urbanization in Urartu. </w:t>
      </w:r>
      <w:r w:rsidR="00DC7A31" w:rsidRPr="00F03A26">
        <w:rPr>
          <w:rFonts w:asciiTheme="majorBidi" w:hAnsiTheme="majorBidi" w:cstheme="majorBidi"/>
          <w:color w:val="000000" w:themeColor="text1"/>
          <w:lang w:val="en-GB"/>
        </w:rPr>
        <w:t>W</w:t>
      </w:r>
      <w:r w:rsidR="001C11C8" w:rsidRPr="00F03A26">
        <w:rPr>
          <w:rFonts w:asciiTheme="majorBidi" w:hAnsiTheme="majorBidi" w:cstheme="majorBidi"/>
          <w:color w:val="000000" w:themeColor="text1"/>
          <w:lang w:val="en-GB"/>
        </w:rPr>
        <w:t xml:space="preserve">e can trace </w:t>
      </w:r>
      <w:r w:rsidR="006F28A0" w:rsidRPr="00F03A26">
        <w:rPr>
          <w:rFonts w:asciiTheme="majorBidi" w:hAnsiTheme="majorBidi" w:cstheme="majorBidi"/>
          <w:color w:val="000000" w:themeColor="text1"/>
          <w:lang w:val="en-GB"/>
        </w:rPr>
        <w:t xml:space="preserve">the </w:t>
      </w:r>
      <w:r w:rsidR="00ED7BFA" w:rsidRPr="00F03A26">
        <w:rPr>
          <w:rFonts w:asciiTheme="majorBidi" w:hAnsiTheme="majorBidi" w:cstheme="majorBidi"/>
          <w:color w:val="000000" w:themeColor="text1"/>
          <w:lang w:val="en-GB"/>
        </w:rPr>
        <w:t xml:space="preserve">manner of </w:t>
      </w:r>
      <w:r w:rsidR="006F28A0" w:rsidRPr="00F03A26">
        <w:rPr>
          <w:rFonts w:asciiTheme="majorBidi" w:hAnsiTheme="majorBidi" w:cstheme="majorBidi"/>
          <w:color w:val="000000" w:themeColor="text1"/>
          <w:lang w:val="en-GB"/>
        </w:rPr>
        <w:t xml:space="preserve">urbanization </w:t>
      </w:r>
      <w:r w:rsidR="001C11C8" w:rsidRPr="00F03A26">
        <w:rPr>
          <w:rFonts w:asciiTheme="majorBidi" w:hAnsiTheme="majorBidi" w:cstheme="majorBidi"/>
          <w:color w:val="000000" w:themeColor="text1"/>
          <w:lang w:val="en-GB"/>
        </w:rPr>
        <w:t xml:space="preserve">and </w:t>
      </w:r>
      <w:r w:rsidR="00ED7BFA" w:rsidRPr="00F03A26">
        <w:rPr>
          <w:rFonts w:asciiTheme="majorBidi" w:hAnsiTheme="majorBidi" w:cstheme="majorBidi"/>
          <w:color w:val="000000" w:themeColor="text1"/>
          <w:lang w:val="en-GB"/>
        </w:rPr>
        <w:t xml:space="preserve">the Mesopotamian </w:t>
      </w:r>
      <w:r w:rsidR="001C11C8" w:rsidRPr="00F03A26">
        <w:rPr>
          <w:rFonts w:asciiTheme="majorBidi" w:hAnsiTheme="majorBidi" w:cstheme="majorBidi"/>
          <w:color w:val="000000" w:themeColor="text1"/>
          <w:lang w:val="en-GB"/>
        </w:rPr>
        <w:t xml:space="preserve">heritage </w:t>
      </w:r>
      <w:r w:rsidR="00ED7BFA" w:rsidRPr="00F03A26">
        <w:rPr>
          <w:rFonts w:asciiTheme="majorBidi" w:hAnsiTheme="majorBidi" w:cstheme="majorBidi"/>
          <w:color w:val="000000" w:themeColor="text1"/>
          <w:lang w:val="en-GB"/>
        </w:rPr>
        <w:t>to</w:t>
      </w:r>
      <w:r w:rsidR="001C11C8" w:rsidRPr="00F03A26">
        <w:rPr>
          <w:rFonts w:asciiTheme="majorBidi" w:hAnsiTheme="majorBidi" w:cstheme="majorBidi"/>
          <w:color w:val="000000" w:themeColor="text1"/>
          <w:lang w:val="en-GB"/>
        </w:rPr>
        <w:t xml:space="preserve"> Assyria. However, the geography of </w:t>
      </w:r>
      <w:r w:rsidR="00B0402A" w:rsidRPr="00F03A26">
        <w:rPr>
          <w:rFonts w:asciiTheme="majorBidi" w:hAnsiTheme="majorBidi" w:cstheme="majorBidi"/>
          <w:color w:val="000000" w:themeColor="text1"/>
          <w:lang w:val="en-GB"/>
        </w:rPr>
        <w:t>e</w:t>
      </w:r>
      <w:r w:rsidR="001C11C8" w:rsidRPr="00F03A26">
        <w:rPr>
          <w:rFonts w:asciiTheme="majorBidi" w:hAnsiTheme="majorBidi" w:cstheme="majorBidi"/>
          <w:color w:val="000000" w:themeColor="text1"/>
          <w:lang w:val="en-GB"/>
        </w:rPr>
        <w:t>astern Anatolia and the Van</w:t>
      </w:r>
      <w:r w:rsidR="004F4D01" w:rsidRPr="00F03A26">
        <w:rPr>
          <w:rFonts w:asciiTheme="majorBidi" w:hAnsiTheme="majorBidi" w:cstheme="majorBidi"/>
          <w:color w:val="000000" w:themeColor="text1"/>
          <w:lang w:val="en-GB"/>
        </w:rPr>
        <w:t xml:space="preserve"> Lake b</w:t>
      </w:r>
      <w:r w:rsidR="001C11C8" w:rsidRPr="00F03A26">
        <w:rPr>
          <w:rFonts w:asciiTheme="majorBidi" w:hAnsiTheme="majorBidi" w:cstheme="majorBidi"/>
          <w:color w:val="000000" w:themeColor="text1"/>
          <w:lang w:val="en-GB"/>
        </w:rPr>
        <w:t xml:space="preserve">asin poses some difficulties </w:t>
      </w:r>
      <w:r w:rsidR="00C62F7D" w:rsidRPr="00F03A26">
        <w:rPr>
          <w:rFonts w:asciiTheme="majorBidi" w:hAnsiTheme="majorBidi" w:cstheme="majorBidi"/>
          <w:color w:val="000000" w:themeColor="text1"/>
          <w:lang w:val="en-GB"/>
        </w:rPr>
        <w:t>in</w:t>
      </w:r>
      <w:r w:rsidR="001C11C8" w:rsidRPr="00F03A26">
        <w:rPr>
          <w:rFonts w:asciiTheme="majorBidi" w:hAnsiTheme="majorBidi" w:cstheme="majorBidi"/>
          <w:color w:val="000000" w:themeColor="text1"/>
          <w:lang w:val="en-GB"/>
        </w:rPr>
        <w:t xml:space="preserve"> the understanding and develop</w:t>
      </w:r>
      <w:r w:rsidR="00C62F7D" w:rsidRPr="00F03A26">
        <w:rPr>
          <w:rFonts w:asciiTheme="majorBidi" w:hAnsiTheme="majorBidi" w:cstheme="majorBidi"/>
          <w:color w:val="000000" w:themeColor="text1"/>
          <w:lang w:val="en-GB"/>
        </w:rPr>
        <w:t>ing</w:t>
      </w:r>
      <w:r w:rsidR="001C11C8" w:rsidRPr="00F03A26">
        <w:rPr>
          <w:rFonts w:asciiTheme="majorBidi" w:hAnsiTheme="majorBidi" w:cstheme="majorBidi"/>
          <w:color w:val="000000" w:themeColor="text1"/>
          <w:lang w:val="en-GB"/>
        </w:rPr>
        <w:t xml:space="preserve"> of urbanization in Urartu. The capital </w:t>
      </w:r>
      <w:r w:rsidR="00801444" w:rsidRPr="00F03A26">
        <w:rPr>
          <w:rFonts w:asciiTheme="majorBidi" w:hAnsiTheme="majorBidi" w:cstheme="majorBidi"/>
          <w:color w:val="000000" w:themeColor="text1"/>
          <w:lang w:val="en-GB"/>
        </w:rPr>
        <w:t>Ṭušpa</w:t>
      </w:r>
      <w:r w:rsidR="001C11C8" w:rsidRPr="00F03A26">
        <w:rPr>
          <w:rFonts w:asciiTheme="majorBidi" w:hAnsiTheme="majorBidi" w:cstheme="majorBidi"/>
          <w:color w:val="000000" w:themeColor="text1"/>
          <w:lang w:val="en-GB"/>
        </w:rPr>
        <w:t xml:space="preserve"> should be eval</w:t>
      </w:r>
      <w:r w:rsidR="00E86079" w:rsidRPr="00F03A26">
        <w:rPr>
          <w:rFonts w:asciiTheme="majorBidi" w:hAnsiTheme="majorBidi" w:cstheme="majorBidi"/>
          <w:color w:val="000000" w:themeColor="text1"/>
          <w:lang w:val="en-GB"/>
        </w:rPr>
        <w:t>uated</w:t>
      </w:r>
      <w:r w:rsidR="001C11C8" w:rsidRPr="00F03A26">
        <w:rPr>
          <w:rFonts w:asciiTheme="majorBidi" w:hAnsiTheme="majorBidi" w:cstheme="majorBidi"/>
          <w:color w:val="000000" w:themeColor="text1"/>
          <w:lang w:val="en-GB"/>
        </w:rPr>
        <w:t xml:space="preserve"> by </w:t>
      </w:r>
      <w:r w:rsidR="00F87979" w:rsidRPr="00F03A26">
        <w:rPr>
          <w:rFonts w:asciiTheme="majorBidi" w:hAnsiTheme="majorBidi" w:cstheme="majorBidi"/>
          <w:color w:val="000000" w:themeColor="text1"/>
          <w:lang w:val="en-GB"/>
        </w:rPr>
        <w:t>considering</w:t>
      </w:r>
      <w:r w:rsidR="001C11C8" w:rsidRPr="00F03A26">
        <w:rPr>
          <w:rFonts w:asciiTheme="majorBidi" w:hAnsiTheme="majorBidi" w:cstheme="majorBidi"/>
          <w:color w:val="000000" w:themeColor="text1"/>
          <w:lang w:val="en-GB"/>
        </w:rPr>
        <w:t xml:space="preserve"> its settlement in the plain below rather than its famous rocky citadel</w:t>
      </w:r>
      <w:r w:rsidR="003205C0" w:rsidRPr="00F03A26">
        <w:rPr>
          <w:rFonts w:asciiTheme="majorBidi" w:hAnsiTheme="majorBidi" w:cstheme="majorBidi"/>
          <w:color w:val="000000" w:themeColor="text1"/>
          <w:lang w:val="en-GB"/>
        </w:rPr>
        <w:t xml:space="preserve"> (Van Kalesi)</w:t>
      </w:r>
      <w:r w:rsidR="001C11C8" w:rsidRPr="00F03A26">
        <w:rPr>
          <w:rFonts w:asciiTheme="majorBidi" w:hAnsiTheme="majorBidi" w:cstheme="majorBidi"/>
          <w:color w:val="000000" w:themeColor="text1"/>
          <w:lang w:val="en-GB"/>
        </w:rPr>
        <w:t xml:space="preserve">. The exact boundaries of the lower settlement, which is thought to have started especially north of the </w:t>
      </w:r>
      <w:r w:rsidR="00897EF7">
        <w:rPr>
          <w:rFonts w:asciiTheme="majorBidi" w:hAnsiTheme="majorBidi" w:cstheme="majorBidi"/>
          <w:color w:val="000000" w:themeColor="text1"/>
          <w:lang w:val="en-GB"/>
        </w:rPr>
        <w:t>Tuşpa/</w:t>
      </w:r>
      <w:r w:rsidR="003205C0" w:rsidRPr="00F03A26">
        <w:rPr>
          <w:rFonts w:asciiTheme="majorBidi" w:hAnsiTheme="majorBidi" w:cstheme="majorBidi"/>
          <w:color w:val="000000" w:themeColor="text1"/>
          <w:lang w:val="en-GB"/>
        </w:rPr>
        <w:t>Van Rock</w:t>
      </w:r>
      <w:r w:rsidR="00897EF7">
        <w:rPr>
          <w:rFonts w:asciiTheme="majorBidi" w:hAnsiTheme="majorBidi" w:cstheme="majorBidi"/>
          <w:color w:val="000000" w:themeColor="text1"/>
          <w:lang w:val="en-GB"/>
        </w:rPr>
        <w:fldChar w:fldCharType="begin"/>
      </w:r>
      <w:r w:rsidR="00897EF7">
        <w:instrText xml:space="preserve"> XE "</w:instrText>
      </w:r>
      <w:r w:rsidR="00897EF7" w:rsidRPr="00C81BBA">
        <w:rPr>
          <w:rFonts w:asciiTheme="majorBidi" w:hAnsiTheme="majorBidi" w:cstheme="majorBidi"/>
          <w:color w:val="000000" w:themeColor="text1"/>
          <w:lang w:val="en-GB"/>
        </w:rPr>
        <w:instrText>Tuşpa/Van Rock</w:instrText>
      </w:r>
      <w:r w:rsidR="00897EF7">
        <w:instrText xml:space="preserve">" </w:instrText>
      </w:r>
      <w:r w:rsidR="00897EF7">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are unknown due to the modern </w:t>
      </w:r>
      <w:r w:rsidR="00E86079" w:rsidRPr="00F03A26">
        <w:rPr>
          <w:rFonts w:asciiTheme="majorBidi" w:hAnsiTheme="majorBidi" w:cstheme="majorBidi"/>
          <w:color w:val="000000" w:themeColor="text1"/>
          <w:lang w:val="en-GB"/>
        </w:rPr>
        <w:t>de</w:t>
      </w:r>
      <w:r w:rsidR="001C11C8" w:rsidRPr="00F03A26">
        <w:rPr>
          <w:rFonts w:asciiTheme="majorBidi" w:hAnsiTheme="majorBidi" w:cstheme="majorBidi"/>
          <w:color w:val="000000" w:themeColor="text1"/>
          <w:lang w:val="en-GB"/>
        </w:rPr>
        <w:t>struction. The graves in the Al</w:t>
      </w:r>
      <w:r w:rsidR="00E86079" w:rsidRPr="00F03A26">
        <w:rPr>
          <w:rFonts w:asciiTheme="majorBidi" w:hAnsiTheme="majorBidi" w:cstheme="majorBidi"/>
          <w:color w:val="000000" w:themeColor="text1"/>
          <w:lang w:val="en-GB"/>
        </w:rPr>
        <w:t>t</w:t>
      </w:r>
      <w:r w:rsidR="00EF5A98" w:rsidRPr="00F03A26">
        <w:rPr>
          <w:rFonts w:asciiTheme="majorBidi" w:hAnsiTheme="majorBidi" w:cstheme="majorBidi"/>
          <w:color w:val="000000" w:themeColor="text1"/>
          <w:lang w:val="en-GB"/>
        </w:rPr>
        <w:t>ı</w:t>
      </w:r>
      <w:r w:rsidR="001C11C8" w:rsidRPr="00F03A26">
        <w:rPr>
          <w:rFonts w:asciiTheme="majorBidi" w:hAnsiTheme="majorBidi" w:cstheme="majorBidi"/>
          <w:color w:val="000000" w:themeColor="text1"/>
          <w:lang w:val="en-GB"/>
        </w:rPr>
        <w:t>ntepe</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"Altıntepe" </w:instrText>
      </w:r>
      <w:r w:rsidR="00512579" w:rsidRPr="00F03A26">
        <w:rPr>
          <w:rFonts w:asciiTheme="majorBidi" w:hAnsiTheme="majorBidi" w:cstheme="majorBidi"/>
          <w:color w:val="000000" w:themeColor="text1"/>
          <w:lang w:val="en-GB"/>
        </w:rPr>
        <w:fldChar w:fldCharType="end"/>
      </w:r>
      <w:r w:rsidR="006C696B" w:rsidRPr="00F03A26">
        <w:rPr>
          <w:rFonts w:asciiTheme="majorBidi" w:hAnsiTheme="majorBidi" w:cstheme="majorBidi"/>
          <w:color w:val="000000" w:themeColor="text1"/>
          <w:lang w:val="en-GB"/>
        </w:rPr>
        <w:t xml:space="preserve"> n</w:t>
      </w:r>
      <w:r w:rsidR="001C11C8" w:rsidRPr="00F03A26">
        <w:rPr>
          <w:rFonts w:asciiTheme="majorBidi" w:hAnsiTheme="majorBidi" w:cstheme="majorBidi"/>
          <w:color w:val="000000" w:themeColor="text1"/>
          <w:lang w:val="en-GB"/>
        </w:rPr>
        <w:t xml:space="preserve">ecropolis to the north of the </w:t>
      </w:r>
      <w:r w:rsidR="00C62F7D" w:rsidRPr="00F03A26">
        <w:rPr>
          <w:rFonts w:asciiTheme="majorBidi" w:hAnsiTheme="majorBidi" w:cstheme="majorBidi"/>
          <w:color w:val="000000" w:themeColor="text1"/>
          <w:lang w:val="en-GB"/>
        </w:rPr>
        <w:t>fortress most</w:t>
      </w:r>
      <w:r w:rsidR="00E86079" w:rsidRPr="00F03A26">
        <w:rPr>
          <w:rFonts w:asciiTheme="majorBidi" w:hAnsiTheme="majorBidi" w:cstheme="majorBidi"/>
          <w:color w:val="000000" w:themeColor="text1"/>
          <w:lang w:val="en-GB"/>
        </w:rPr>
        <w:t xml:space="preserve"> likely</w:t>
      </w:r>
      <w:r w:rsidR="001C11C8" w:rsidRPr="00F03A26">
        <w:rPr>
          <w:rFonts w:asciiTheme="majorBidi" w:hAnsiTheme="majorBidi" w:cstheme="majorBidi"/>
          <w:color w:val="000000" w:themeColor="text1"/>
          <w:lang w:val="en-GB"/>
        </w:rPr>
        <w:t xml:space="preserve"> belong </w:t>
      </w:r>
      <w:r w:rsidR="00C62F7D" w:rsidRPr="00F03A26">
        <w:rPr>
          <w:rFonts w:asciiTheme="majorBidi" w:hAnsiTheme="majorBidi" w:cstheme="majorBidi"/>
          <w:color w:val="000000" w:themeColor="text1"/>
          <w:lang w:val="en-GB"/>
        </w:rPr>
        <w:t xml:space="preserve">city’s </w:t>
      </w:r>
      <w:r w:rsidR="001C11C8" w:rsidRPr="00F03A26">
        <w:rPr>
          <w:rFonts w:asciiTheme="majorBidi" w:hAnsiTheme="majorBidi" w:cstheme="majorBidi"/>
          <w:color w:val="000000" w:themeColor="text1"/>
          <w:lang w:val="en-GB"/>
        </w:rPr>
        <w:t>inhabitants</w:t>
      </w:r>
      <w:r w:rsidR="00C62F7D" w:rsidRPr="00F03A26">
        <w:rPr>
          <w:rFonts w:asciiTheme="majorBidi" w:hAnsiTheme="majorBidi" w:cstheme="majorBidi"/>
          <w:color w:val="000000" w:themeColor="text1"/>
          <w:lang w:val="en-GB"/>
        </w:rPr>
        <w:t>. W</w:t>
      </w:r>
      <w:r w:rsidR="001C11C8" w:rsidRPr="00F03A26">
        <w:rPr>
          <w:rFonts w:asciiTheme="majorBidi" w:hAnsiTheme="majorBidi" w:cstheme="majorBidi"/>
          <w:color w:val="000000" w:themeColor="text1"/>
          <w:lang w:val="en-GB"/>
        </w:rPr>
        <w:t>e do not know the boundaries and density of the city</w:t>
      </w:r>
      <w:r w:rsidR="00E86079" w:rsidRPr="00F03A26">
        <w:rPr>
          <w:rFonts w:asciiTheme="majorBidi" w:hAnsiTheme="majorBidi" w:cstheme="majorBidi"/>
          <w:color w:val="000000" w:themeColor="text1"/>
          <w:lang w:val="en-GB"/>
        </w:rPr>
        <w:t xml:space="preserve"> </w:t>
      </w:r>
      <w:r w:rsidR="001C11C8" w:rsidRPr="00F03A26">
        <w:rPr>
          <w:rFonts w:asciiTheme="majorBidi" w:hAnsiTheme="majorBidi" w:cstheme="majorBidi"/>
          <w:color w:val="000000" w:themeColor="text1"/>
          <w:lang w:val="en-GB"/>
        </w:rPr>
        <w:t>up until the Alt</w:t>
      </w:r>
      <w:r w:rsidR="00E86079" w:rsidRPr="00F03A26">
        <w:rPr>
          <w:rFonts w:asciiTheme="majorBidi" w:hAnsiTheme="majorBidi" w:cstheme="majorBidi"/>
          <w:color w:val="000000" w:themeColor="text1"/>
          <w:lang w:val="en-GB"/>
        </w:rPr>
        <w:t>ı</w:t>
      </w:r>
      <w:r w:rsidR="001C11C8" w:rsidRPr="00F03A26">
        <w:rPr>
          <w:rFonts w:asciiTheme="majorBidi" w:hAnsiTheme="majorBidi" w:cstheme="majorBidi"/>
          <w:color w:val="000000" w:themeColor="text1"/>
          <w:lang w:val="en-GB"/>
        </w:rPr>
        <w:t xml:space="preserve">ntepe </w:t>
      </w:r>
      <w:r w:rsidR="0022436A" w:rsidRPr="00F03A26">
        <w:rPr>
          <w:rFonts w:asciiTheme="majorBidi" w:hAnsiTheme="majorBidi" w:cstheme="majorBidi"/>
          <w:color w:val="000000" w:themeColor="text1"/>
          <w:lang w:val="en-GB"/>
        </w:rPr>
        <w:t>neighbourhood</w:t>
      </w:r>
      <w:r w:rsidR="001C11C8" w:rsidRPr="00F03A26">
        <w:rPr>
          <w:rFonts w:asciiTheme="majorBidi" w:hAnsiTheme="majorBidi" w:cstheme="majorBidi"/>
          <w:color w:val="000000" w:themeColor="text1"/>
          <w:lang w:val="en-GB"/>
        </w:rPr>
        <w:t xml:space="preserve">. </w:t>
      </w:r>
    </w:p>
    <w:p w14:paraId="55ED52B6" w14:textId="77777777" w:rsidR="00A90F52" w:rsidRPr="00F03A26" w:rsidRDefault="00A90F52" w:rsidP="00F03A26">
      <w:pPr>
        <w:jc w:val="both"/>
        <w:rPr>
          <w:rFonts w:asciiTheme="majorBidi" w:hAnsiTheme="majorBidi" w:cstheme="majorBidi"/>
          <w:color w:val="000000" w:themeColor="text1"/>
          <w:lang w:val="en-GB"/>
        </w:rPr>
      </w:pPr>
    </w:p>
    <w:p w14:paraId="4E6779E8" w14:textId="1A196A90" w:rsidR="00C62F7D" w:rsidRPr="00F03A26" w:rsidRDefault="001C11C8" w:rsidP="00F03A26">
      <w:pPr>
        <w:pStyle w:val="Default"/>
        <w:jc w:val="both"/>
        <w:rPr>
          <w:rFonts w:asciiTheme="majorBidi" w:hAnsiTheme="majorBidi" w:cstheme="majorBidi"/>
          <w:color w:val="000000" w:themeColor="text1"/>
          <w:lang w:bidi="he-IL"/>
          <w14:ligatures w14:val="standardContextual"/>
        </w:rPr>
      </w:pPr>
      <w:r w:rsidRPr="00F03A26">
        <w:rPr>
          <w:rFonts w:asciiTheme="majorBidi" w:hAnsiTheme="majorBidi" w:cstheme="majorBidi"/>
          <w:color w:val="000000" w:themeColor="text1"/>
          <w:lang w:val="en-GB"/>
        </w:rPr>
        <w:t xml:space="preserve">The </w:t>
      </w:r>
      <w:r w:rsidR="008E74CD" w:rsidRPr="00F03A26">
        <w:rPr>
          <w:rFonts w:asciiTheme="majorBidi" w:hAnsiTheme="majorBidi" w:cstheme="majorBidi"/>
          <w:color w:val="000000" w:themeColor="text1"/>
          <w:lang w:val="en-GB"/>
        </w:rPr>
        <w:t>Ṭušpa</w:t>
      </w:r>
      <w:r w:rsidR="00897EF7">
        <w:rPr>
          <w:rFonts w:asciiTheme="majorBidi" w:hAnsiTheme="majorBidi" w:cstheme="majorBidi"/>
          <w:color w:val="000000" w:themeColor="text1"/>
          <w:lang w:val="en-GB"/>
        </w:rPr>
        <w:t>/Van</w:t>
      </w:r>
      <w:r w:rsidR="008E74CD" w:rsidRPr="00F03A26">
        <w:rPr>
          <w:rFonts w:asciiTheme="majorBidi" w:hAnsiTheme="majorBidi" w:cstheme="majorBidi"/>
          <w:color w:val="000000" w:themeColor="text1"/>
          <w:lang w:val="en-GB"/>
        </w:rPr>
        <w:t xml:space="preserve"> Rock</w:t>
      </w:r>
      <w:r w:rsidR="00897EF7">
        <w:rPr>
          <w:rFonts w:asciiTheme="majorBidi" w:hAnsiTheme="majorBidi" w:cstheme="majorBidi"/>
          <w:color w:val="000000" w:themeColor="text1"/>
          <w:lang w:val="en-GB"/>
        </w:rPr>
        <w:fldChar w:fldCharType="begin"/>
      </w:r>
      <w:r w:rsidR="00897EF7">
        <w:instrText xml:space="preserve"> XE "</w:instrText>
      </w:r>
      <w:r w:rsidR="00897EF7" w:rsidRPr="007F7B7C">
        <w:rPr>
          <w:rFonts w:asciiTheme="majorBidi" w:hAnsiTheme="majorBidi" w:cstheme="majorBidi"/>
          <w:color w:val="000000" w:themeColor="text1"/>
          <w:lang w:val="en-GB"/>
        </w:rPr>
        <w:instrText>Ṭušpa/Van Rock</w:instrText>
      </w:r>
      <w:r w:rsidR="00897EF7">
        <w:instrText xml:space="preserve">" </w:instrText>
      </w:r>
      <w:r w:rsidR="00897EF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where </w:t>
      </w:r>
      <w:r w:rsidR="00801444" w:rsidRPr="00F03A26">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was established</w:t>
      </w:r>
      <w:r w:rsidR="006C696B" w:rsidRPr="00F03A26">
        <w:rPr>
          <w:rFonts w:asciiTheme="majorBidi" w:hAnsiTheme="majorBidi" w:cstheme="majorBidi"/>
          <w:color w:val="000000" w:themeColor="text1"/>
          <w:lang w:val="en-GB"/>
        </w:rPr>
        <w:t xml:space="preserve"> </w:t>
      </w:r>
      <w:r w:rsidR="00C62F7D" w:rsidRPr="00F03A26">
        <w:rPr>
          <w:rFonts w:asciiTheme="majorBidi" w:hAnsiTheme="majorBidi" w:cstheme="majorBidi"/>
          <w:color w:val="000000" w:themeColor="text1"/>
          <w:lang w:val="en-GB"/>
        </w:rPr>
        <w:t>w</w:t>
      </w:r>
      <w:r w:rsidR="006C696B" w:rsidRPr="00F03A26">
        <w:rPr>
          <w:rFonts w:asciiTheme="majorBidi" w:hAnsiTheme="majorBidi" w:cstheme="majorBidi"/>
          <w:color w:val="000000" w:themeColor="text1"/>
          <w:lang w:val="en-GB"/>
        </w:rPr>
        <w:t xml:space="preserve">as </w:t>
      </w:r>
      <w:r w:rsidRPr="00F03A26">
        <w:rPr>
          <w:rFonts w:asciiTheme="majorBidi" w:hAnsiTheme="majorBidi" w:cstheme="majorBidi"/>
          <w:color w:val="000000" w:themeColor="text1"/>
          <w:lang w:val="en-GB"/>
        </w:rPr>
        <w:t>inhabited from the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9D48F8" w:rsidRPr="00F03A26">
        <w:rPr>
          <w:rFonts w:asciiTheme="majorBidi" w:hAnsiTheme="majorBidi" w:cstheme="majorBidi"/>
          <w:color w:val="000000" w:themeColor="text1"/>
          <w:lang w:val="en-GB"/>
        </w:rPr>
        <w:t>p</w:t>
      </w:r>
      <w:r w:rsidRPr="00F03A26">
        <w:rPr>
          <w:rFonts w:asciiTheme="majorBidi" w:hAnsiTheme="majorBidi" w:cstheme="majorBidi"/>
          <w:color w:val="000000" w:themeColor="text1"/>
          <w:lang w:val="en-GB"/>
        </w:rPr>
        <w:t xml:space="preserve">eriod until the early 20th century. Especially after the </w:t>
      </w:r>
      <w:r w:rsidR="008F3084" w:rsidRPr="00F03A26">
        <w:rPr>
          <w:rFonts w:asciiTheme="majorBidi" w:hAnsiTheme="majorBidi" w:cstheme="majorBidi"/>
          <w:color w:val="000000" w:themeColor="text1"/>
          <w:lang w:val="en-GB"/>
        </w:rPr>
        <w:t xml:space="preserve">Urartian </w:t>
      </w:r>
      <w:r w:rsidR="009D48F8" w:rsidRPr="00F03A26">
        <w:rPr>
          <w:rFonts w:asciiTheme="majorBidi" w:hAnsiTheme="majorBidi" w:cstheme="majorBidi"/>
          <w:color w:val="000000" w:themeColor="text1"/>
          <w:lang w:val="en-GB"/>
        </w:rPr>
        <w:t>p</w:t>
      </w:r>
      <w:r w:rsidR="008F3084" w:rsidRPr="00F03A26">
        <w:rPr>
          <w:rFonts w:asciiTheme="majorBidi" w:hAnsiTheme="majorBidi" w:cstheme="majorBidi"/>
          <w:color w:val="000000" w:themeColor="text1"/>
          <w:lang w:val="en-GB"/>
        </w:rPr>
        <w:t>eriod</w:t>
      </w:r>
      <w:r w:rsidRPr="00F03A26">
        <w:rPr>
          <w:rFonts w:asciiTheme="majorBidi" w:hAnsiTheme="majorBidi" w:cstheme="majorBidi"/>
          <w:color w:val="000000" w:themeColor="text1"/>
          <w:lang w:val="en-GB"/>
        </w:rPr>
        <w:t xml:space="preserve">, it is understood that stones removed from Urartian buildings were used </w:t>
      </w:r>
      <w:r w:rsidR="00C62F7D" w:rsidRPr="00F03A26">
        <w:rPr>
          <w:rFonts w:asciiTheme="majorBidi" w:hAnsiTheme="majorBidi" w:cstheme="majorBidi"/>
          <w:color w:val="000000" w:themeColor="text1"/>
          <w:lang w:val="en-GB"/>
        </w:rPr>
        <w:t>to</w:t>
      </w:r>
      <w:r w:rsidRPr="00F03A26">
        <w:rPr>
          <w:rFonts w:asciiTheme="majorBidi" w:hAnsiTheme="majorBidi" w:cstheme="majorBidi"/>
          <w:color w:val="000000" w:themeColor="text1"/>
          <w:lang w:val="en-GB"/>
        </w:rPr>
        <w:t xml:space="preserve"> construction of buildings. </w:t>
      </w:r>
      <w:r w:rsidR="001E6679" w:rsidRPr="00F03A26">
        <w:rPr>
          <w:rFonts w:asciiTheme="majorBidi" w:hAnsiTheme="majorBidi" w:cstheme="majorBidi"/>
          <w:color w:val="000000" w:themeColor="text1"/>
          <w:lang w:val="en-GB"/>
        </w:rPr>
        <w:t>Many</w:t>
      </w:r>
      <w:r w:rsidRPr="00F03A26">
        <w:rPr>
          <w:rFonts w:asciiTheme="majorBidi" w:hAnsiTheme="majorBidi" w:cstheme="majorBidi"/>
          <w:color w:val="000000" w:themeColor="text1"/>
          <w:lang w:val="en-GB"/>
        </w:rPr>
        <w:t xml:space="preserve"> ruined and lasting buildings in the fortress </w:t>
      </w:r>
      <w:r w:rsidR="001E6679" w:rsidRPr="00F03A26">
        <w:rPr>
          <w:rFonts w:asciiTheme="majorBidi" w:hAnsiTheme="majorBidi" w:cstheme="majorBidi"/>
          <w:color w:val="000000" w:themeColor="text1"/>
          <w:lang w:val="en-GB"/>
        </w:rPr>
        <w:t>and</w:t>
      </w:r>
      <w:r w:rsidRPr="00F03A26">
        <w:rPr>
          <w:rFonts w:asciiTheme="majorBidi" w:hAnsiTheme="majorBidi" w:cstheme="majorBidi"/>
          <w:color w:val="000000" w:themeColor="text1"/>
          <w:lang w:val="en-GB"/>
        </w:rPr>
        <w:t xml:space="preserve"> city walls </w:t>
      </w:r>
      <w:r w:rsidRPr="00F03A26">
        <w:rPr>
          <w:rFonts w:asciiTheme="majorBidi" w:hAnsiTheme="majorBidi" w:cstheme="majorBidi"/>
          <w:color w:val="000000" w:themeColor="text1"/>
          <w:lang w:val="en-GB"/>
        </w:rPr>
        <w:lastRenderedPageBreak/>
        <w:t>belong to the post-Urartu</w:t>
      </w:r>
      <w:r w:rsidR="0066296E" w:rsidRPr="00F03A26">
        <w:rPr>
          <w:rFonts w:asciiTheme="majorBidi" w:hAnsiTheme="majorBidi" w:cstheme="majorBidi"/>
          <w:color w:val="000000" w:themeColor="text1"/>
          <w:lang w:val="en-GB"/>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buildings that started </w:t>
      </w:r>
      <w:r w:rsidR="001E6679" w:rsidRPr="00F03A26">
        <w:rPr>
          <w:rFonts w:asciiTheme="majorBidi" w:hAnsiTheme="majorBidi" w:cstheme="majorBidi"/>
          <w:color w:val="000000" w:themeColor="text1"/>
          <w:lang w:val="en-GB"/>
        </w:rPr>
        <w:t>mainly</w:t>
      </w:r>
      <w:r w:rsidRPr="00F03A26">
        <w:rPr>
          <w:rFonts w:asciiTheme="majorBidi" w:hAnsiTheme="majorBidi" w:cstheme="majorBidi"/>
          <w:color w:val="000000" w:themeColor="text1"/>
          <w:lang w:val="en-GB"/>
        </w:rPr>
        <w:t xml:space="preserve"> in the </w:t>
      </w:r>
      <w:r w:rsidR="00E7318A" w:rsidRPr="00F03A26">
        <w:rPr>
          <w:rFonts w:asciiTheme="majorBidi" w:hAnsiTheme="majorBidi" w:cstheme="majorBidi"/>
          <w:color w:val="000000" w:themeColor="text1"/>
          <w:lang w:val="en-GB"/>
        </w:rPr>
        <w:t>Middle Ages</w:t>
      </w:r>
      <w:r w:rsidR="0080291C" w:rsidRPr="00F03A26">
        <w:rPr>
          <w:rFonts w:asciiTheme="majorBidi" w:hAnsiTheme="majorBidi" w:cstheme="majorBidi"/>
          <w:color w:val="000000" w:themeColor="text1"/>
          <w:lang w:val="en-GB"/>
        </w:rPr>
        <w:fldChar w:fldCharType="begin"/>
      </w:r>
      <w:r w:rsidR="0080291C" w:rsidRPr="00F03A26">
        <w:rPr>
          <w:rFonts w:asciiTheme="majorBidi" w:hAnsiTheme="majorBidi" w:cstheme="majorBidi"/>
          <w:color w:val="000000" w:themeColor="text1"/>
          <w:lang w:val="en-GB"/>
        </w:rPr>
        <w:instrText xml:space="preserve"> XE "Middle Ages" </w:instrText>
      </w:r>
      <w:r w:rsidR="0080291C"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It is safe to say that Urartu is </w:t>
      </w:r>
      <w:r w:rsidR="00C62F7D" w:rsidRPr="00F03A26">
        <w:rPr>
          <w:rFonts w:asciiTheme="majorBidi" w:hAnsiTheme="majorBidi" w:cstheme="majorBidi"/>
          <w:color w:val="000000" w:themeColor="text1"/>
          <w:lang w:val="en-GB"/>
        </w:rPr>
        <w:t>mainly</w:t>
      </w:r>
      <w:r w:rsidRPr="00F03A26">
        <w:rPr>
          <w:rFonts w:asciiTheme="majorBidi" w:hAnsiTheme="majorBidi" w:cstheme="majorBidi"/>
          <w:color w:val="000000" w:themeColor="text1"/>
          <w:lang w:val="en-GB"/>
        </w:rPr>
        <w:t xml:space="preserve"> represented by rock structures, rock tombs, rock</w:t>
      </w:r>
      <w:r w:rsidR="00B62C8A"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and </w:t>
      </w:r>
      <w:r w:rsidR="006C696B" w:rsidRPr="00F03A26">
        <w:rPr>
          <w:rFonts w:asciiTheme="majorBidi" w:hAnsiTheme="majorBidi" w:cstheme="majorBidi"/>
          <w:color w:val="000000" w:themeColor="text1"/>
          <w:lang w:val="en-GB"/>
        </w:rPr>
        <w:t xml:space="preserve">inscribed </w:t>
      </w:r>
      <w:r w:rsidRPr="00F03A26">
        <w:rPr>
          <w:rFonts w:asciiTheme="majorBidi" w:hAnsiTheme="majorBidi" w:cstheme="majorBidi"/>
          <w:color w:val="000000" w:themeColor="text1"/>
          <w:lang w:val="en-GB"/>
        </w:rPr>
        <w:t>stel</w:t>
      </w:r>
      <w:r w:rsidR="006C696B" w:rsidRPr="00F03A26">
        <w:rPr>
          <w:rFonts w:asciiTheme="majorBidi" w:hAnsiTheme="majorBidi" w:cstheme="majorBidi"/>
          <w:color w:val="000000" w:themeColor="text1"/>
          <w:lang w:val="en-GB"/>
        </w:rPr>
        <w:t>a</w:t>
      </w:r>
      <w:r w:rsidRPr="00F03A26">
        <w:rPr>
          <w:rFonts w:asciiTheme="majorBidi" w:hAnsiTheme="majorBidi" w:cstheme="majorBidi"/>
          <w:color w:val="000000" w:themeColor="text1"/>
          <w:lang w:val="en-GB"/>
        </w:rPr>
        <w:t xml:space="preserve">e, and building foundations.  Large Urartian stone building materials continued to be used in smaller sizes in general. Again, the tomb chambers and other spaces </w:t>
      </w:r>
      <w:r w:rsidR="00C62F7D" w:rsidRPr="00F03A26">
        <w:rPr>
          <w:rFonts w:asciiTheme="majorBidi" w:hAnsiTheme="majorBidi" w:cstheme="majorBidi"/>
          <w:color w:val="000000" w:themeColor="text1"/>
          <w:lang w:val="en-GB"/>
        </w:rPr>
        <w:t>constructed</w:t>
      </w:r>
      <w:r w:rsidRPr="00F03A26">
        <w:rPr>
          <w:rFonts w:asciiTheme="majorBidi" w:hAnsiTheme="majorBidi" w:cstheme="majorBidi"/>
          <w:color w:val="000000" w:themeColor="text1"/>
          <w:lang w:val="en-GB"/>
        </w:rPr>
        <w:t xml:space="preserve"> by processing the bedrock were used with different functions. In these later uses, it is understood that the buildings were </w:t>
      </w:r>
      <w:r w:rsidR="00DD66B3" w:rsidRPr="00F03A26">
        <w:rPr>
          <w:rFonts w:asciiTheme="majorBidi" w:hAnsiTheme="majorBidi" w:cstheme="majorBidi"/>
          <w:color w:val="000000" w:themeColor="text1"/>
          <w:lang w:val="en-GB"/>
        </w:rPr>
        <w:t>transformed,</w:t>
      </w:r>
      <w:r w:rsidRPr="00F03A26">
        <w:rPr>
          <w:rFonts w:asciiTheme="majorBidi" w:hAnsiTheme="majorBidi" w:cstheme="majorBidi"/>
          <w:color w:val="000000" w:themeColor="text1"/>
          <w:lang w:val="en-GB"/>
        </w:rPr>
        <w:t xml:space="preserve"> and revisions were made especially in details such as door </w:t>
      </w:r>
      <w:r w:rsidR="00764FCB" w:rsidRPr="00F03A26">
        <w:rPr>
          <w:rFonts w:asciiTheme="majorBidi" w:hAnsiTheme="majorBidi" w:cstheme="majorBidi"/>
          <w:color w:val="000000" w:themeColor="text1"/>
          <w:lang w:val="en-GB"/>
        </w:rPr>
        <w:t>apertures</w:t>
      </w:r>
      <w:r w:rsidRPr="00F03A26">
        <w:rPr>
          <w:rFonts w:asciiTheme="majorBidi" w:hAnsiTheme="majorBidi" w:cstheme="majorBidi"/>
          <w:color w:val="000000" w:themeColor="text1"/>
          <w:lang w:val="en-GB"/>
        </w:rPr>
        <w:t xml:space="preserve">, door components, foundation beds, drainage channels, and fortification routes. </w:t>
      </w:r>
      <w:r w:rsidR="00C62F7D" w:rsidRPr="00F03A26">
        <w:rPr>
          <w:rFonts w:asciiTheme="majorBidi" w:hAnsiTheme="majorBidi" w:cstheme="majorBidi"/>
          <w:color w:val="000000" w:themeColor="text1"/>
          <w:lang w:bidi="he-IL"/>
          <w14:ligatures w14:val="standardContextual"/>
        </w:rPr>
        <w:t xml:space="preserve">However, discussions are based entirely on the Urartian definition in the evaluations and documentation of Ṭušpa, especially its buildings. At least in the rock-cut tombs, it is clear from their purposes and names that many changes were made in later periods, so it is necessary to consider that the structural elements may also have been altered and that their present state may not be entirely authentic to the Urartian period (Chapter 3). </w:t>
      </w:r>
    </w:p>
    <w:p w14:paraId="50F2471E" w14:textId="77777777" w:rsidR="00C62F7D" w:rsidRPr="00F03A26" w:rsidRDefault="00C62F7D" w:rsidP="00F03A26">
      <w:pPr>
        <w:pStyle w:val="Default"/>
        <w:jc w:val="both"/>
        <w:rPr>
          <w:rFonts w:asciiTheme="majorBidi" w:hAnsiTheme="majorBidi" w:cstheme="majorBidi"/>
          <w:color w:val="000000" w:themeColor="text1"/>
          <w:lang w:bidi="he-IL"/>
          <w14:ligatures w14:val="standardContextual"/>
        </w:rPr>
      </w:pPr>
    </w:p>
    <w:p w14:paraId="68ADAD46" w14:textId="2242BB4C" w:rsidR="00A90F52" w:rsidRPr="00F03A26" w:rsidRDefault="001E6679" w:rsidP="00F03A26">
      <w:pPr>
        <w:jc w:val="both"/>
        <w:rPr>
          <w:rFonts w:asciiTheme="majorBidi" w:hAnsiTheme="majorBidi" w:cstheme="majorBidi"/>
          <w:color w:val="000000" w:themeColor="text1"/>
          <w:kern w:val="0"/>
          <w:lang w:bidi="he-IL"/>
        </w:rPr>
      </w:pPr>
      <w:r w:rsidRPr="00F03A26">
        <w:rPr>
          <w:rFonts w:asciiTheme="majorBidi" w:hAnsiTheme="majorBidi" w:cstheme="majorBidi"/>
          <w:color w:val="000000" w:themeColor="text1"/>
          <w:kern w:val="0"/>
          <w:lang w:bidi="he-IL"/>
        </w:rPr>
        <w:t>Due to the intensive post-Urartian</w:t>
      </w:r>
      <w:r w:rsidR="00EA6C63">
        <w:rPr>
          <w:rFonts w:asciiTheme="majorBidi" w:hAnsiTheme="majorBidi" w:cstheme="majorBidi"/>
          <w:color w:val="000000" w:themeColor="text1"/>
          <w:kern w:val="0"/>
          <w:lang w:bidi="he-IL"/>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color w:val="000000" w:themeColor="text1"/>
          <w:kern w:val="0"/>
          <w:lang w:bidi="he-IL"/>
        </w:rPr>
        <w:fldChar w:fldCharType="end"/>
      </w:r>
      <w:r w:rsidRPr="00F03A26">
        <w:rPr>
          <w:rFonts w:asciiTheme="majorBidi" w:hAnsiTheme="majorBidi" w:cstheme="majorBidi"/>
          <w:color w:val="000000" w:themeColor="text1"/>
          <w:kern w:val="0"/>
          <w:lang w:bidi="he-IL"/>
        </w:rPr>
        <w:t xml:space="preserve"> use, only a few </w:t>
      </w:r>
      <w:r w:rsidR="00C62F7D" w:rsidRPr="00EB2684">
        <w:rPr>
          <w:rFonts w:asciiTheme="majorBidi" w:hAnsiTheme="majorBidi" w:cstheme="majorBidi"/>
          <w:i/>
          <w:iCs/>
          <w:color w:val="000000" w:themeColor="text1"/>
          <w:kern w:val="0"/>
          <w:lang w:bidi="he-IL"/>
        </w:rPr>
        <w:t>in situ</w:t>
      </w:r>
      <w:r w:rsidR="00C62F7D" w:rsidRPr="00F03A26">
        <w:rPr>
          <w:rFonts w:asciiTheme="majorBidi" w:hAnsiTheme="majorBidi" w:cstheme="majorBidi"/>
          <w:color w:val="000000" w:themeColor="text1"/>
          <w:kern w:val="0"/>
          <w:lang w:bidi="he-IL"/>
        </w:rPr>
        <w:t xml:space="preserve"> objects associated with the kingdom were found </w:t>
      </w:r>
      <w:r w:rsidRPr="00F03A26">
        <w:rPr>
          <w:rFonts w:asciiTheme="majorBidi" w:hAnsiTheme="majorBidi" w:cstheme="majorBidi"/>
          <w:color w:val="000000" w:themeColor="text1"/>
          <w:kern w:val="0"/>
          <w:lang w:bidi="he-IL"/>
        </w:rPr>
        <w:t>during excavation at the citadel</w:t>
      </w:r>
      <w:r w:rsidR="00C62F7D" w:rsidRPr="00F03A26">
        <w:rPr>
          <w:rFonts w:asciiTheme="majorBidi" w:hAnsiTheme="majorBidi" w:cstheme="majorBidi"/>
          <w:color w:val="000000" w:themeColor="text1"/>
          <w:kern w:val="0"/>
          <w:lang w:bidi="he-IL"/>
        </w:rPr>
        <w:t>. For this reason, we are trying to understand the characteristics and chronology of the buildings by making a stylistic critique of the buildings through architectural features and inscriptions. Again, the mound to the north of the citadel provides essential information. According to the available data, it can be said that the monuments and inscriptions in the citadel ended after King Sarduri II</w:t>
      </w:r>
      <w:r w:rsidR="007F1FD7">
        <w:rPr>
          <w:rFonts w:asciiTheme="majorBidi" w:hAnsiTheme="majorBidi" w:cstheme="majorBidi"/>
          <w:color w:val="000000" w:themeColor="text1"/>
          <w:kern w:val="0"/>
          <w:lang w:bidi="he-IL"/>
        </w:rPr>
        <w:t>.</w:t>
      </w:r>
      <w:r w:rsidR="00C1513A">
        <w:rPr>
          <w:rFonts w:asciiTheme="majorBidi" w:hAnsiTheme="majorBidi" w:cstheme="majorBidi"/>
          <w:color w:val="000000" w:themeColor="text1"/>
          <w:kern w:val="0"/>
          <w:lang w:bidi="he-IL"/>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hAnsiTheme="majorBidi" w:cstheme="majorBidi"/>
          <w:color w:val="000000" w:themeColor="text1"/>
          <w:kern w:val="0"/>
          <w:lang w:bidi="he-IL"/>
        </w:rPr>
        <w:fldChar w:fldCharType="end"/>
      </w:r>
      <w:r w:rsidR="007F1FD7">
        <w:rPr>
          <w:rFonts w:asciiTheme="majorBidi" w:hAnsiTheme="majorBidi" w:cstheme="majorBidi"/>
          <w:color w:val="000000" w:themeColor="text1"/>
          <w:kern w:val="0"/>
          <w:lang w:bidi="he-IL"/>
        </w:rPr>
        <w:t xml:space="preserve"> </w:t>
      </w:r>
      <w:r w:rsidR="00C62F7D" w:rsidRPr="00F03A26">
        <w:rPr>
          <w:rFonts w:asciiTheme="majorBidi" w:hAnsiTheme="majorBidi" w:cstheme="majorBidi"/>
          <w:color w:val="000000" w:themeColor="text1"/>
          <w:kern w:val="0"/>
          <w:lang w:bidi="he-IL"/>
        </w:rPr>
        <w:t>Though, this could be a misleading conclusion for the Van Fortress, which is spread over a vast citadel area, very little of it has been researched or excavated. On the other hand, the mound to the north of the fortress yielded mansions with many rooms, halls, and storage units, which were used until the fall of the kingdom and are thought to have belonged to the wealthy. The small number of inscribed artifacts, bullae, and tablets found in them indicates that such buildings served the royal bureaucracy.</w:t>
      </w:r>
    </w:p>
    <w:p w14:paraId="5CA3D651" w14:textId="77777777" w:rsidR="00C62F7D" w:rsidRPr="00F03A26" w:rsidRDefault="00C62F7D" w:rsidP="00F03A26">
      <w:pPr>
        <w:jc w:val="both"/>
        <w:rPr>
          <w:rFonts w:asciiTheme="majorBidi" w:hAnsiTheme="majorBidi" w:cstheme="majorBidi"/>
          <w:color w:val="000000" w:themeColor="text1"/>
          <w:lang w:val="en-GB"/>
        </w:rPr>
      </w:pPr>
    </w:p>
    <w:p w14:paraId="224A0AF0" w14:textId="00BEF486" w:rsidR="00C62F7D" w:rsidRPr="00F03A26" w:rsidRDefault="00C62F7D" w:rsidP="00F03A26">
      <w:pPr>
        <w:autoSpaceDE w:val="0"/>
        <w:autoSpaceDN w:val="0"/>
        <w:adjustRightInd w:val="0"/>
        <w:jc w:val="both"/>
        <w:rPr>
          <w:rFonts w:asciiTheme="majorBidi" w:hAnsiTheme="majorBidi" w:cstheme="majorBidi"/>
          <w:color w:val="000000" w:themeColor="text1"/>
          <w:kern w:val="0"/>
          <w:lang w:bidi="he-IL"/>
        </w:rPr>
      </w:pPr>
      <w:r w:rsidRPr="00F03A26">
        <w:rPr>
          <w:rFonts w:asciiTheme="majorBidi" w:hAnsiTheme="majorBidi" w:cstheme="majorBidi"/>
          <w:color w:val="000000" w:themeColor="text1"/>
          <w:kern w:val="0"/>
          <w:lang w:bidi="he-IL"/>
        </w:rPr>
        <w:t>The most important outcome of the ten seasons of excavations at Ṭušpa was the extensive documentation of Urartian</w:t>
      </w:r>
      <w:r w:rsidR="00EA6C63">
        <w:rPr>
          <w:rFonts w:asciiTheme="majorBidi" w:hAnsiTheme="majorBidi" w:cstheme="majorBidi"/>
          <w:color w:val="000000" w:themeColor="text1"/>
          <w:kern w:val="0"/>
          <w:lang w:bidi="he-IL"/>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color w:val="000000" w:themeColor="text1"/>
          <w:kern w:val="0"/>
          <w:lang w:bidi="he-IL"/>
        </w:rPr>
        <w:fldChar w:fldCharType="end"/>
      </w:r>
      <w:r w:rsidRPr="00F03A26">
        <w:rPr>
          <w:rFonts w:asciiTheme="majorBidi" w:hAnsiTheme="majorBidi" w:cstheme="majorBidi"/>
          <w:color w:val="000000" w:themeColor="text1"/>
          <w:kern w:val="0"/>
          <w:lang w:bidi="he-IL"/>
        </w:rPr>
        <w:t xml:space="preserve"> buildings and the topography of the </w:t>
      </w:r>
      <w:r w:rsidR="00F04285" w:rsidRPr="00F03A26">
        <w:rPr>
          <w:rFonts w:asciiTheme="majorBidi" w:hAnsiTheme="majorBidi" w:cstheme="majorBidi"/>
          <w:color w:val="000000" w:themeColor="text1"/>
          <w:kern w:val="0"/>
          <w:lang w:bidi="he-IL"/>
        </w:rPr>
        <w:t>Van Rock</w:t>
      </w:r>
      <w:r w:rsidRPr="00F03A26">
        <w:rPr>
          <w:rFonts w:asciiTheme="majorBidi" w:hAnsiTheme="majorBidi" w:cstheme="majorBidi"/>
          <w:color w:val="000000" w:themeColor="text1"/>
          <w:kern w:val="0"/>
          <w:lang w:bidi="he-IL"/>
        </w:rPr>
        <w:t>. Orthophoto images, topographical maps, and site plans were mapped using new methods. 3D images of many buildings were taken using the Lidar technique, and the buildings were re-evaluated within the framework. Each chapter of this book uses the data and outputs of these documentation studies. Especially with digital imaging systems, it is difficult to determine which areas of the</w:t>
      </w:r>
      <w:r w:rsidR="00F04285" w:rsidRPr="00F03A26">
        <w:rPr>
          <w:rFonts w:asciiTheme="majorBidi" w:hAnsiTheme="majorBidi" w:cstheme="majorBidi"/>
          <w:color w:val="000000" w:themeColor="text1"/>
          <w:kern w:val="0"/>
          <w:lang w:bidi="he-IL"/>
        </w:rPr>
        <w:t xml:space="preserve"> Rock</w:t>
      </w:r>
      <w:r w:rsidRPr="00F03A26">
        <w:rPr>
          <w:rFonts w:asciiTheme="majorBidi" w:hAnsiTheme="majorBidi" w:cstheme="majorBidi"/>
          <w:color w:val="000000" w:themeColor="text1"/>
          <w:kern w:val="0"/>
          <w:lang w:bidi="he-IL"/>
        </w:rPr>
        <w:t xml:space="preserve"> are natural and which</w:t>
      </w:r>
      <w:r w:rsidR="00404029" w:rsidRPr="00F03A26">
        <w:rPr>
          <w:rFonts w:asciiTheme="majorBidi" w:hAnsiTheme="majorBidi" w:cstheme="majorBidi"/>
          <w:color w:val="000000" w:themeColor="text1"/>
          <w:kern w:val="0"/>
          <w:lang w:bidi="he-IL"/>
        </w:rPr>
        <w:t xml:space="preserve"> </w:t>
      </w:r>
      <w:r w:rsidRPr="00F03A26">
        <w:rPr>
          <w:rFonts w:asciiTheme="majorBidi" w:hAnsiTheme="majorBidi" w:cstheme="majorBidi"/>
          <w:color w:val="000000" w:themeColor="text1"/>
          <w:kern w:val="0"/>
          <w:lang w:bidi="he-IL"/>
        </w:rPr>
        <w:t xml:space="preserve">have been worked, especially in places like the Van Fortress, where there is a lot of bedrock artistry. Consequently, the technical drawings were analyzed on a computer and checked with the unaided eye in the field. The same problem, as mentioned many times, is the chronology of the rockwork. It is understood that interventions and changes were made in the same area and structure in the historical process. In these cases, the structure's integrity and the artistry quality were determined, and the chronology of the structure and the plan of that chronology were reconstructed. </w:t>
      </w:r>
      <w:r w:rsidR="007521BB" w:rsidRPr="007521BB">
        <w:rPr>
          <w:rFonts w:asciiTheme="majorBidi" w:hAnsiTheme="majorBidi" w:cstheme="majorBidi"/>
          <w:color w:val="000000" w:themeColor="text1"/>
          <w:kern w:val="0"/>
          <w:lang w:bidi="he-IL"/>
        </w:rPr>
        <w:t xml:space="preserve">In archaeology, reconstructions are challenging to use correctly and appropriately and can sometimes lead to erroneous results. </w:t>
      </w:r>
      <w:r w:rsidRPr="00F03A26">
        <w:rPr>
          <w:rFonts w:asciiTheme="majorBidi" w:hAnsiTheme="majorBidi" w:cstheme="majorBidi"/>
          <w:color w:val="000000" w:themeColor="text1"/>
          <w:kern w:val="0"/>
          <w:lang w:bidi="he-IL"/>
        </w:rPr>
        <w:t xml:space="preserve">In the case of the Van Fortress, these risks are even more significant. With these concerns in mind, restorations of the structures of the Van Fortress were attempted within the framework of the authors' opinions. However, it is recognized that there may be a margin of error, especially in details. </w:t>
      </w:r>
    </w:p>
    <w:p w14:paraId="2BE849D5" w14:textId="77777777" w:rsidR="00C62F7D" w:rsidRPr="00F03A26" w:rsidRDefault="00C62F7D" w:rsidP="00F03A26">
      <w:pPr>
        <w:autoSpaceDE w:val="0"/>
        <w:autoSpaceDN w:val="0"/>
        <w:adjustRightInd w:val="0"/>
        <w:jc w:val="both"/>
        <w:rPr>
          <w:rFonts w:asciiTheme="majorBidi" w:hAnsiTheme="majorBidi" w:cstheme="majorBidi"/>
          <w:color w:val="000000" w:themeColor="text1"/>
          <w:kern w:val="0"/>
          <w:lang w:bidi="he-IL"/>
        </w:rPr>
      </w:pPr>
    </w:p>
    <w:p w14:paraId="0D926A57" w14:textId="03AE79CE" w:rsidR="00C62F7D" w:rsidRPr="00F03A26" w:rsidRDefault="00C62F7D" w:rsidP="00F03A26">
      <w:pPr>
        <w:autoSpaceDE w:val="0"/>
        <w:autoSpaceDN w:val="0"/>
        <w:adjustRightInd w:val="0"/>
        <w:jc w:val="both"/>
        <w:rPr>
          <w:rFonts w:asciiTheme="majorBidi" w:hAnsiTheme="majorBidi" w:cstheme="majorBidi"/>
          <w:color w:val="000000" w:themeColor="text1"/>
          <w:kern w:val="0"/>
          <w:lang w:bidi="he-IL"/>
        </w:rPr>
      </w:pPr>
      <w:r w:rsidRPr="00F03A26">
        <w:rPr>
          <w:rFonts w:asciiTheme="majorBidi" w:hAnsiTheme="majorBidi" w:cstheme="majorBidi"/>
          <w:color w:val="000000" w:themeColor="text1"/>
          <w:kern w:val="0"/>
          <w:lang w:bidi="he-IL"/>
        </w:rPr>
        <w:t>The book follows a chronological order for single buildings. However, groups such as water-related structures (Chapter 11), tombs (Chapter 9), and "T" shaped niches (Chapter 12) are subdivided according to their characteristics</w:t>
      </w:r>
      <w:r w:rsidR="00404029" w:rsidRPr="00F03A26">
        <w:rPr>
          <w:rFonts w:asciiTheme="majorBidi" w:hAnsiTheme="majorBidi" w:cstheme="majorBidi"/>
          <w:color w:val="000000" w:themeColor="text1"/>
          <w:kern w:val="0"/>
          <w:lang w:bidi="he-IL"/>
        </w:rPr>
        <w:t>. T</w:t>
      </w:r>
      <w:r w:rsidRPr="00F03A26">
        <w:rPr>
          <w:rFonts w:asciiTheme="majorBidi" w:hAnsiTheme="majorBidi" w:cstheme="majorBidi"/>
          <w:color w:val="000000" w:themeColor="text1"/>
          <w:kern w:val="0"/>
          <w:lang w:bidi="he-IL"/>
        </w:rPr>
        <w:t xml:space="preserve">heir location and chronology are considered in the subheadings. After a summary in each chapter, the data concerning previous studies are discussed and re-evaluated in light of new information. Ṭušpa, with its inscriptions and </w:t>
      </w:r>
      <w:r w:rsidRPr="00F03A26">
        <w:rPr>
          <w:rFonts w:asciiTheme="majorBidi" w:hAnsiTheme="majorBidi" w:cstheme="majorBidi"/>
          <w:color w:val="000000" w:themeColor="text1"/>
          <w:kern w:val="0"/>
          <w:lang w:bidi="he-IL"/>
        </w:rPr>
        <w:lastRenderedPageBreak/>
        <w:t>buildings, is of great importance in Urartian</w:t>
      </w:r>
      <w:r w:rsidR="00EA6C63">
        <w:rPr>
          <w:rFonts w:asciiTheme="majorBidi" w:hAnsiTheme="majorBidi" w:cstheme="majorBidi"/>
          <w:color w:val="000000" w:themeColor="text1"/>
          <w:kern w:val="0"/>
          <w:lang w:bidi="he-IL"/>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color w:val="000000" w:themeColor="text1"/>
          <w:kern w:val="0"/>
          <w:lang w:bidi="he-IL"/>
        </w:rPr>
        <w:fldChar w:fldCharType="end"/>
      </w:r>
      <w:r w:rsidRPr="00F03A26">
        <w:rPr>
          <w:rFonts w:asciiTheme="majorBidi" w:hAnsiTheme="majorBidi" w:cstheme="majorBidi"/>
          <w:color w:val="000000" w:themeColor="text1"/>
          <w:kern w:val="0"/>
          <w:lang w:bidi="he-IL"/>
        </w:rPr>
        <w:t xml:space="preserve"> archaeology's history, culture, and architecture. Since it is a crucial settlement, it has been the source of many studies. In this respect, while evaluating the buildings and inscriptions, an attempt has been made to give references in as wide a range as possible. However, publications that are not directly related to the subject and not scientifically biased to the discussion have not been used. As mentioned before, all studies are based on original field data. Photographs, drawings, and illustrations have been reproduced. In this respect, for example, referencing books on Urartian tombs and their illustrations in every discussion may not be highly needed. Again, in some comprehensive publications in the same framework, information and plans on room dimensions, numbers, and other features are inaccurate and inadequate and, therefore, not used as references in every relevant data and information evaluation. </w:t>
      </w:r>
    </w:p>
    <w:p w14:paraId="08F4F089" w14:textId="77777777" w:rsidR="00C62F7D" w:rsidRPr="00F03A26" w:rsidRDefault="00C62F7D" w:rsidP="00F03A26">
      <w:pPr>
        <w:autoSpaceDE w:val="0"/>
        <w:autoSpaceDN w:val="0"/>
        <w:adjustRightInd w:val="0"/>
        <w:jc w:val="both"/>
        <w:rPr>
          <w:rFonts w:asciiTheme="majorBidi" w:hAnsiTheme="majorBidi" w:cstheme="majorBidi"/>
          <w:color w:val="000000" w:themeColor="text1"/>
          <w:kern w:val="0"/>
          <w:lang w:bidi="he-IL"/>
        </w:rPr>
      </w:pPr>
    </w:p>
    <w:p w14:paraId="47D91109" w14:textId="64011CEB" w:rsidR="00EF5A98" w:rsidRPr="00F03A26" w:rsidRDefault="00C62F7D" w:rsidP="00F03A26">
      <w:pPr>
        <w:jc w:val="both"/>
        <w:rPr>
          <w:rFonts w:asciiTheme="majorBidi" w:hAnsiTheme="majorBidi" w:cstheme="majorBidi"/>
          <w:color w:val="000000" w:themeColor="text1"/>
          <w:kern w:val="0"/>
          <w:lang w:bidi="he-IL"/>
        </w:rPr>
      </w:pPr>
      <w:r w:rsidRPr="00F03A26">
        <w:rPr>
          <w:rFonts w:asciiTheme="majorBidi" w:hAnsiTheme="majorBidi" w:cstheme="majorBidi"/>
          <w:color w:val="000000" w:themeColor="text1"/>
          <w:kern w:val="0"/>
          <w:lang w:bidi="he-IL"/>
        </w:rPr>
        <w:t>The first two chapters (Chapters 1 and 2) give the name of Ṭušpa, its references in written documents, the first researchers, travelers, and archaeological excavations in the area in general chronological order. Of course, the assessments made here are sometimes revisited on a chapter-by</w:t>
      </w:r>
      <w:r w:rsidR="00404029" w:rsidRPr="00F03A26">
        <w:rPr>
          <w:rFonts w:asciiTheme="majorBidi" w:hAnsiTheme="majorBidi" w:cstheme="majorBidi"/>
          <w:color w:val="000000" w:themeColor="text1"/>
          <w:kern w:val="0"/>
          <w:lang w:bidi="he-IL"/>
        </w:rPr>
        <w:t xml:space="preserve"> </w:t>
      </w:r>
      <w:r w:rsidRPr="00F03A26">
        <w:rPr>
          <w:rFonts w:asciiTheme="majorBidi" w:hAnsiTheme="majorBidi" w:cstheme="majorBidi"/>
          <w:color w:val="000000" w:themeColor="text1"/>
          <w:kern w:val="0"/>
          <w:lang w:bidi="he-IL"/>
        </w:rPr>
        <w:t>chapter basis in the structures and related areas.</w:t>
      </w:r>
    </w:p>
    <w:p w14:paraId="429E76BF" w14:textId="77777777" w:rsidR="00F04285" w:rsidRPr="00F03A26" w:rsidRDefault="00F04285" w:rsidP="00F03A26">
      <w:pPr>
        <w:jc w:val="both"/>
        <w:rPr>
          <w:rFonts w:asciiTheme="majorBidi" w:hAnsiTheme="majorBidi" w:cstheme="majorBidi"/>
          <w:color w:val="000000" w:themeColor="text1"/>
          <w:lang w:val="en-GB"/>
        </w:rPr>
      </w:pPr>
    </w:p>
    <w:p w14:paraId="69DD3BF5" w14:textId="53F947E1" w:rsidR="00A90F52" w:rsidRPr="00F03A26" w:rsidRDefault="00801444"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Ṭušpa</w:t>
      </w:r>
      <w:r w:rsidR="001C11C8" w:rsidRPr="00F03A26">
        <w:rPr>
          <w:rFonts w:asciiTheme="majorBidi" w:hAnsiTheme="majorBidi" w:cstheme="majorBidi"/>
          <w:color w:val="000000" w:themeColor="text1"/>
          <w:lang w:val="en-GB"/>
        </w:rPr>
        <w:t xml:space="preserve"> structures are positioned according to the topography of the</w:t>
      </w:r>
      <w:r w:rsidR="001C37D8" w:rsidRPr="00F03A26">
        <w:rPr>
          <w:rFonts w:asciiTheme="majorBidi" w:hAnsiTheme="majorBidi" w:cstheme="majorBidi"/>
          <w:color w:val="000000" w:themeColor="text1"/>
          <w:lang w:val="en-GB"/>
        </w:rPr>
        <w:t xml:space="preserve"> </w:t>
      </w:r>
      <w:r w:rsidR="00F04285" w:rsidRPr="00F03A26">
        <w:rPr>
          <w:rFonts w:asciiTheme="majorBidi" w:hAnsiTheme="majorBidi" w:cstheme="majorBidi"/>
          <w:color w:val="000000" w:themeColor="text1"/>
          <w:lang w:val="en-GB"/>
        </w:rPr>
        <w:t>Van Rock</w:t>
      </w:r>
      <w:r w:rsidR="001C11C8" w:rsidRPr="00F03A26">
        <w:rPr>
          <w:rFonts w:asciiTheme="majorBidi" w:hAnsiTheme="majorBidi" w:cstheme="majorBidi"/>
          <w:color w:val="000000" w:themeColor="text1"/>
          <w:lang w:val="en-GB"/>
        </w:rPr>
        <w:t xml:space="preserve"> (Chapter 3). For</w:t>
      </w:r>
      <w:r w:rsidR="001C37D8" w:rsidRPr="00F03A26">
        <w:rPr>
          <w:rFonts w:asciiTheme="majorBidi" w:hAnsiTheme="majorBidi" w:cstheme="majorBidi"/>
          <w:color w:val="000000" w:themeColor="text1"/>
          <w:lang w:val="en-GB"/>
        </w:rPr>
        <w:t xml:space="preserve"> instance</w:t>
      </w:r>
      <w:r w:rsidR="001C11C8" w:rsidRPr="00F03A26">
        <w:rPr>
          <w:rFonts w:asciiTheme="majorBidi" w:hAnsiTheme="majorBidi" w:cstheme="majorBidi"/>
          <w:color w:val="000000" w:themeColor="text1"/>
          <w:lang w:val="en-GB"/>
        </w:rPr>
        <w:t xml:space="preserve">, </w:t>
      </w:r>
      <w:r w:rsidR="00B62C8A" w:rsidRPr="00F03A26">
        <w:rPr>
          <w:rFonts w:asciiTheme="majorBidi" w:hAnsiTheme="majorBidi" w:cstheme="majorBidi"/>
          <w:color w:val="000000" w:themeColor="text1"/>
          <w:lang w:val="en-GB"/>
        </w:rPr>
        <w:t>all</w:t>
      </w:r>
      <w:r w:rsidR="001C11C8" w:rsidRPr="00F03A26">
        <w:rPr>
          <w:rFonts w:asciiTheme="majorBidi" w:hAnsiTheme="majorBidi" w:cstheme="majorBidi"/>
          <w:color w:val="000000" w:themeColor="text1"/>
          <w:lang w:val="en-GB"/>
        </w:rPr>
        <w:t xml:space="preserve"> the tombs were built on the south side. </w:t>
      </w:r>
      <w:r w:rsidR="007310B3" w:rsidRPr="00F03A26">
        <w:rPr>
          <w:rFonts w:asciiTheme="majorBidi" w:hAnsiTheme="majorBidi" w:cstheme="majorBidi"/>
          <w:color w:val="000000" w:themeColor="text1"/>
          <w:lang w:val="en-GB"/>
        </w:rPr>
        <w:t>T</w:t>
      </w:r>
      <w:r w:rsidR="001C11C8" w:rsidRPr="00F03A26">
        <w:rPr>
          <w:rFonts w:asciiTheme="majorBidi" w:hAnsiTheme="majorBidi" w:cstheme="majorBidi"/>
          <w:color w:val="000000" w:themeColor="text1"/>
          <w:lang w:val="en-GB"/>
        </w:rPr>
        <w:t>he steep rocky structure is more suitable for the creati</w:t>
      </w:r>
      <w:r w:rsidR="007310B3" w:rsidRPr="00F03A26">
        <w:rPr>
          <w:rFonts w:asciiTheme="majorBidi" w:hAnsiTheme="majorBidi" w:cstheme="majorBidi"/>
          <w:color w:val="000000" w:themeColor="text1"/>
          <w:lang w:val="en-GB"/>
        </w:rPr>
        <w:t>ng</w:t>
      </w:r>
      <w:r w:rsidR="001C11C8" w:rsidRPr="00F03A26">
        <w:rPr>
          <w:rFonts w:asciiTheme="majorBidi" w:hAnsiTheme="majorBidi" w:cstheme="majorBidi"/>
          <w:color w:val="000000" w:themeColor="text1"/>
          <w:lang w:val="en-GB"/>
        </w:rPr>
        <w:t xml:space="preserve"> grave facades</w:t>
      </w:r>
      <w:r w:rsidR="007310B3" w:rsidRPr="00F03A26">
        <w:rPr>
          <w:rFonts w:asciiTheme="majorBidi" w:hAnsiTheme="majorBidi" w:cstheme="majorBidi"/>
          <w:color w:val="000000" w:themeColor="text1"/>
          <w:lang w:val="en-GB"/>
        </w:rPr>
        <w:t xml:space="preserve"> in this </w:t>
      </w:r>
      <w:r w:rsidR="00456C1C" w:rsidRPr="00F03A26">
        <w:rPr>
          <w:rFonts w:asciiTheme="majorBidi" w:hAnsiTheme="majorBidi" w:cstheme="majorBidi"/>
          <w:color w:val="000000" w:themeColor="text1"/>
          <w:lang w:val="en-GB"/>
        </w:rPr>
        <w:t xml:space="preserve">section. </w:t>
      </w:r>
      <w:r w:rsidR="001C11C8" w:rsidRPr="00F03A26">
        <w:rPr>
          <w:rFonts w:asciiTheme="majorBidi" w:hAnsiTheme="majorBidi" w:cstheme="majorBidi"/>
          <w:color w:val="000000" w:themeColor="text1"/>
          <w:lang w:val="en-GB"/>
        </w:rPr>
        <w:t xml:space="preserve">The other building groups were built on the western </w:t>
      </w:r>
      <w:r w:rsidR="00456C1C" w:rsidRPr="00F03A26">
        <w:rPr>
          <w:rFonts w:asciiTheme="majorBidi" w:hAnsiTheme="majorBidi" w:cstheme="majorBidi"/>
          <w:color w:val="000000" w:themeColor="text1"/>
          <w:lang w:val="en-GB"/>
        </w:rPr>
        <w:t>and northern</w:t>
      </w:r>
      <w:r w:rsidR="001C11C8" w:rsidRPr="00F03A26">
        <w:rPr>
          <w:rFonts w:asciiTheme="majorBidi" w:hAnsiTheme="majorBidi" w:cstheme="majorBidi"/>
          <w:color w:val="000000" w:themeColor="text1"/>
          <w:lang w:val="en-GB"/>
        </w:rPr>
        <w:t xml:space="preserve"> slopes where the </w:t>
      </w:r>
      <w:r w:rsidR="007521BB" w:rsidRPr="007521BB">
        <w:rPr>
          <w:rFonts w:asciiTheme="majorBidi" w:hAnsiTheme="majorBidi" w:cstheme="majorBidi"/>
          <w:color w:val="000000" w:themeColor="text1"/>
          <w:lang w:val="en-GB"/>
        </w:rPr>
        <w:t>cliff</w:t>
      </w:r>
      <w:r w:rsidR="001C11C8" w:rsidRPr="00F03A26">
        <w:rPr>
          <w:rFonts w:asciiTheme="majorBidi" w:hAnsiTheme="majorBidi" w:cstheme="majorBidi"/>
          <w:color w:val="000000" w:themeColor="text1"/>
          <w:lang w:val="en-GB"/>
        </w:rPr>
        <w:t xml:space="preserve"> </w:t>
      </w:r>
      <w:r w:rsidR="00F04285" w:rsidRPr="00F03A26">
        <w:rPr>
          <w:rFonts w:asciiTheme="majorBidi" w:hAnsiTheme="majorBidi" w:cstheme="majorBidi"/>
          <w:color w:val="000000" w:themeColor="text1"/>
          <w:lang w:val="en-GB"/>
        </w:rPr>
        <w:t>is</w:t>
      </w:r>
      <w:r w:rsidR="001C11C8" w:rsidRPr="00F03A26">
        <w:rPr>
          <w:rFonts w:asciiTheme="majorBidi" w:hAnsiTheme="majorBidi" w:cstheme="majorBidi"/>
          <w:color w:val="000000" w:themeColor="text1"/>
          <w:lang w:val="en-GB"/>
        </w:rPr>
        <w:t xml:space="preserve"> not so steep. The topographical problems of the rocky mass were turned into an advantage by the Urartians</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"Urartians"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The planes that were technically not very suitable for construction were tried to be solved by dividing the bedrock into terraces.  It will be seen that bedrock </w:t>
      </w:r>
      <w:r w:rsidR="00456C1C" w:rsidRPr="00F03A26">
        <w:rPr>
          <w:rFonts w:asciiTheme="majorBidi" w:hAnsiTheme="majorBidi" w:cstheme="majorBidi"/>
          <w:color w:val="000000" w:themeColor="text1"/>
          <w:lang w:val="en-GB"/>
        </w:rPr>
        <w:t xml:space="preserve">artistry </w:t>
      </w:r>
      <w:r w:rsidR="001C11C8" w:rsidRPr="00F03A26">
        <w:rPr>
          <w:rFonts w:asciiTheme="majorBidi" w:hAnsiTheme="majorBidi" w:cstheme="majorBidi"/>
          <w:color w:val="000000" w:themeColor="text1"/>
          <w:lang w:val="en-GB"/>
        </w:rPr>
        <w:t>is the determining factor in the buildings discussed in all chapters of the book. At this point, the characteristic</w:t>
      </w:r>
      <w:r w:rsidR="00456C1C" w:rsidRPr="00F03A26">
        <w:rPr>
          <w:rFonts w:asciiTheme="majorBidi" w:hAnsiTheme="majorBidi" w:cstheme="majorBidi"/>
          <w:color w:val="000000" w:themeColor="text1"/>
          <w:lang w:val="en-GB"/>
        </w:rPr>
        <w:t xml:space="preserve"> and</w:t>
      </w:r>
      <w:r w:rsidR="001C11C8" w:rsidRPr="00F03A26">
        <w:rPr>
          <w:rFonts w:asciiTheme="majorBidi" w:hAnsiTheme="majorBidi" w:cstheme="majorBidi"/>
          <w:color w:val="000000" w:themeColor="text1"/>
          <w:lang w:val="en-GB"/>
        </w:rPr>
        <w:t xml:space="preserve"> standard practices seen in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royal buildings are taken as reference. However, rock steps, niches, small rooms, and </w:t>
      </w:r>
      <w:r w:rsidR="001C37D8" w:rsidRPr="00F03A26">
        <w:rPr>
          <w:rFonts w:asciiTheme="majorBidi" w:hAnsiTheme="majorBidi" w:cstheme="majorBidi"/>
          <w:color w:val="000000" w:themeColor="text1"/>
          <w:lang w:val="en-GB"/>
        </w:rPr>
        <w:t>aperture</w:t>
      </w:r>
      <w:r w:rsidR="001C11C8" w:rsidRPr="00F03A26">
        <w:rPr>
          <w:rFonts w:asciiTheme="majorBidi" w:hAnsiTheme="majorBidi" w:cstheme="majorBidi"/>
          <w:color w:val="000000" w:themeColor="text1"/>
          <w:lang w:val="en-GB"/>
        </w:rPr>
        <w:t xml:space="preserve">s into the bedrock will continue to be the subject of debate. </w:t>
      </w:r>
      <w:r w:rsidR="005E73BD" w:rsidRPr="00F03A26">
        <w:rPr>
          <w:rFonts w:asciiTheme="majorBidi" w:hAnsiTheme="majorBidi" w:cstheme="majorBidi"/>
          <w:color w:val="000000" w:themeColor="text1"/>
          <w:lang w:val="en-GB"/>
        </w:rPr>
        <w:t xml:space="preserve">Based on </w:t>
      </w:r>
      <w:r w:rsidR="001C11C8" w:rsidRPr="00F03A26">
        <w:rPr>
          <w:rFonts w:asciiTheme="majorBidi" w:hAnsiTheme="majorBidi" w:cstheme="majorBidi"/>
          <w:color w:val="000000" w:themeColor="text1"/>
          <w:lang w:val="en-GB"/>
        </w:rPr>
        <w:t xml:space="preserve">these debates, almost every chapter </w:t>
      </w:r>
      <w:r w:rsidR="005E73BD" w:rsidRPr="00F03A26">
        <w:rPr>
          <w:rFonts w:asciiTheme="majorBidi" w:hAnsiTheme="majorBidi" w:cstheme="majorBidi"/>
          <w:color w:val="000000" w:themeColor="text1"/>
          <w:lang w:val="en-GB"/>
        </w:rPr>
        <w:t xml:space="preserve">of </w:t>
      </w:r>
      <w:r w:rsidR="001C11C8" w:rsidRPr="00F03A26">
        <w:rPr>
          <w:rFonts w:asciiTheme="majorBidi" w:hAnsiTheme="majorBidi" w:cstheme="majorBidi"/>
          <w:color w:val="000000" w:themeColor="text1"/>
          <w:lang w:val="en-GB"/>
        </w:rPr>
        <w:t>this book approaches rockwork</w:t>
      </w:r>
      <w:r w:rsidR="005E73BD" w:rsidRPr="00F03A26">
        <w:rPr>
          <w:rFonts w:asciiTheme="majorBidi" w:hAnsiTheme="majorBidi" w:cstheme="majorBidi"/>
          <w:color w:val="000000" w:themeColor="text1"/>
          <w:lang w:val="en-GB"/>
        </w:rPr>
        <w:t xml:space="preserve"> </w:t>
      </w:r>
      <w:r w:rsidR="00F87979" w:rsidRPr="00F03A26">
        <w:rPr>
          <w:rFonts w:asciiTheme="majorBidi" w:hAnsiTheme="majorBidi" w:cstheme="majorBidi"/>
          <w:color w:val="000000" w:themeColor="text1"/>
          <w:lang w:val="en-GB"/>
        </w:rPr>
        <w:t>from</w:t>
      </w:r>
      <w:r w:rsidR="005E73BD" w:rsidRPr="00F03A26">
        <w:rPr>
          <w:rFonts w:asciiTheme="majorBidi" w:hAnsiTheme="majorBidi" w:cstheme="majorBidi"/>
          <w:color w:val="000000" w:themeColor="text1"/>
          <w:lang w:val="en-GB"/>
        </w:rPr>
        <w:t xml:space="preserve"> the perspective of</w:t>
      </w:r>
      <w:r w:rsidR="001C11C8" w:rsidRPr="00F03A26">
        <w:rPr>
          <w:rFonts w:asciiTheme="majorBidi" w:hAnsiTheme="majorBidi" w:cstheme="majorBidi"/>
          <w:color w:val="000000" w:themeColor="text1"/>
          <w:lang w:val="en-GB"/>
        </w:rPr>
        <w:t xml:space="preserve"> th</w:t>
      </w:r>
      <w:r w:rsidR="001C37D8" w:rsidRPr="00F03A26">
        <w:rPr>
          <w:rFonts w:asciiTheme="majorBidi" w:hAnsiTheme="majorBidi" w:cstheme="majorBidi"/>
          <w:color w:val="000000" w:themeColor="text1"/>
          <w:lang w:val="en-GB"/>
        </w:rPr>
        <w:t>ose questions</w:t>
      </w:r>
      <w:r w:rsidR="001C11C8" w:rsidRPr="00F03A26">
        <w:rPr>
          <w:rFonts w:asciiTheme="majorBidi" w:hAnsiTheme="majorBidi" w:cstheme="majorBidi"/>
          <w:color w:val="000000" w:themeColor="text1"/>
          <w:lang w:val="en-GB"/>
        </w:rPr>
        <w:t>. Unfortunately, until recent years, especially the bedrock and fortification systems in Eastern Anatolia, the Caucasus</w:t>
      </w:r>
      <w:r w:rsidR="00CE69CA" w:rsidRPr="00F03A26">
        <w:rPr>
          <w:rFonts w:asciiTheme="majorBidi" w:hAnsiTheme="majorBidi" w:cstheme="majorBidi"/>
          <w:color w:val="000000" w:themeColor="text1"/>
          <w:lang w:val="en-GB"/>
        </w:rPr>
        <w:fldChar w:fldCharType="begin"/>
      </w:r>
      <w:r w:rsidR="00CE69CA" w:rsidRPr="00F03A26">
        <w:rPr>
          <w:rFonts w:asciiTheme="majorBidi" w:hAnsiTheme="majorBidi" w:cstheme="majorBidi"/>
          <w:color w:val="000000" w:themeColor="text1"/>
          <w:lang w:val="en-GB"/>
        </w:rPr>
        <w:instrText xml:space="preserve"> XE "Caucasus" </w:instrText>
      </w:r>
      <w:r w:rsidR="00CE69CA"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and Northwestern Iran</w:t>
      </w:r>
      <w:r w:rsidR="00CE69CA" w:rsidRPr="00F03A26">
        <w:rPr>
          <w:rFonts w:asciiTheme="majorBidi" w:hAnsiTheme="majorBidi" w:cstheme="majorBidi"/>
          <w:color w:val="000000" w:themeColor="text1"/>
          <w:lang w:val="en-GB"/>
        </w:rPr>
        <w:fldChar w:fldCharType="begin"/>
      </w:r>
      <w:r w:rsidR="00CE69CA" w:rsidRPr="00F03A26">
        <w:rPr>
          <w:rFonts w:asciiTheme="majorBidi" w:hAnsiTheme="majorBidi" w:cstheme="majorBidi"/>
          <w:color w:val="000000" w:themeColor="text1"/>
          <w:lang w:val="en-GB"/>
        </w:rPr>
        <w:instrText xml:space="preserve"> XE "Northwestern Iran" </w:instrText>
      </w:r>
      <w:r w:rsidR="00CE69CA"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have been attributed to Urartu</w:t>
      </w:r>
      <w:r w:rsidR="0066296E" w:rsidRPr="00F03A26">
        <w:rPr>
          <w:rFonts w:asciiTheme="majorBidi" w:hAnsiTheme="majorBidi" w:cstheme="majorBidi"/>
          <w:color w:val="000000" w:themeColor="text1"/>
          <w:lang w:val="en-GB"/>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without much discussion. The fact that the </w:t>
      </w:r>
      <w:r w:rsidR="008E74CD" w:rsidRPr="00F03A26">
        <w:rPr>
          <w:rFonts w:asciiTheme="majorBidi" w:hAnsiTheme="majorBidi" w:cstheme="majorBidi"/>
          <w:color w:val="000000" w:themeColor="text1"/>
          <w:lang w:val="en-GB"/>
        </w:rPr>
        <w:t>Ṭušpa</w:t>
      </w:r>
      <w:r w:rsidR="00D008E2">
        <w:rPr>
          <w:rFonts w:asciiTheme="majorBidi" w:hAnsiTheme="majorBidi" w:cstheme="majorBidi"/>
          <w:color w:val="000000" w:themeColor="text1"/>
          <w:lang w:val="en-GB"/>
        </w:rPr>
        <w:t>/Van</w:t>
      </w:r>
      <w:r w:rsidR="008E74CD" w:rsidRPr="00F03A26">
        <w:rPr>
          <w:rFonts w:asciiTheme="majorBidi" w:hAnsiTheme="majorBidi" w:cstheme="majorBidi"/>
          <w:color w:val="000000" w:themeColor="text1"/>
          <w:lang w:val="en-GB"/>
        </w:rPr>
        <w:t xml:space="preserve"> Rock</w:t>
      </w:r>
      <w:r w:rsidR="00CE69CA" w:rsidRPr="00F03A26">
        <w:rPr>
          <w:rFonts w:asciiTheme="majorBidi" w:hAnsiTheme="majorBidi" w:cstheme="majorBidi"/>
          <w:color w:val="000000" w:themeColor="text1"/>
          <w:lang w:val="en-GB"/>
        </w:rPr>
        <w:fldChar w:fldCharType="begin"/>
      </w:r>
      <w:r w:rsidR="00CE69CA" w:rsidRPr="00F03A26">
        <w:rPr>
          <w:rFonts w:asciiTheme="majorBidi" w:hAnsiTheme="majorBidi" w:cstheme="majorBidi"/>
          <w:color w:val="000000" w:themeColor="text1"/>
          <w:lang w:val="en-GB"/>
        </w:rPr>
        <w:instrText xml:space="preserve"> XE "</w:instrText>
      </w:r>
      <w:r w:rsidR="008E74CD" w:rsidRPr="00F03A26">
        <w:rPr>
          <w:rFonts w:asciiTheme="majorBidi" w:hAnsiTheme="majorBidi" w:cstheme="majorBidi"/>
          <w:color w:val="000000" w:themeColor="text1"/>
          <w:lang w:val="en-GB"/>
        </w:rPr>
        <w:instrText>Ṭušpa</w:instrText>
      </w:r>
      <w:r w:rsidR="00D008E2">
        <w:rPr>
          <w:rFonts w:asciiTheme="majorBidi" w:hAnsiTheme="majorBidi" w:cstheme="majorBidi"/>
          <w:color w:val="000000" w:themeColor="text1"/>
          <w:lang w:val="en-GB"/>
        </w:rPr>
        <w:instrText>/Van</w:instrText>
      </w:r>
      <w:r w:rsidR="008E74CD" w:rsidRPr="00F03A26">
        <w:rPr>
          <w:rFonts w:asciiTheme="majorBidi" w:hAnsiTheme="majorBidi" w:cstheme="majorBidi"/>
          <w:color w:val="000000" w:themeColor="text1"/>
          <w:lang w:val="en-GB"/>
        </w:rPr>
        <w:instrText xml:space="preserve"> Rock</w:instrText>
      </w:r>
      <w:r w:rsidR="00CE69CA" w:rsidRPr="00F03A26">
        <w:rPr>
          <w:rFonts w:asciiTheme="majorBidi" w:hAnsiTheme="majorBidi" w:cstheme="majorBidi"/>
          <w:color w:val="000000" w:themeColor="text1"/>
          <w:lang w:val="en-GB"/>
        </w:rPr>
        <w:instrText xml:space="preserve">" </w:instrText>
      </w:r>
      <w:r w:rsidR="00CE69CA"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contain important building groups, especially in terms of rockwork, makes it a reference point for these discussions. For example, should we date the eastern and western ditches, rock steps, water channels, niches, or cavities seen almost everywhere with the structure near and within them? At this point, we have tried to look at the integrity of the building and </w:t>
      </w:r>
      <w:r w:rsidR="00456C1C" w:rsidRPr="00F03A26">
        <w:rPr>
          <w:rFonts w:asciiTheme="majorBidi" w:hAnsiTheme="majorBidi" w:cstheme="majorBidi"/>
          <w:color w:val="000000" w:themeColor="text1"/>
          <w:lang w:val="en-GB"/>
        </w:rPr>
        <w:t xml:space="preserve">not </w:t>
      </w:r>
      <w:r w:rsidR="001C11C8" w:rsidRPr="00F03A26">
        <w:rPr>
          <w:rFonts w:asciiTheme="majorBidi" w:hAnsiTheme="majorBidi" w:cstheme="majorBidi"/>
          <w:color w:val="000000" w:themeColor="text1"/>
          <w:lang w:val="en-GB"/>
        </w:rPr>
        <w:t>look for compelling meanings for unidentified small interventions and applications in the details.</w:t>
      </w:r>
    </w:p>
    <w:p w14:paraId="6441862C" w14:textId="77777777" w:rsidR="00EF5A98" w:rsidRPr="00F03A26" w:rsidRDefault="00EF5A98" w:rsidP="00F03A26">
      <w:pPr>
        <w:jc w:val="both"/>
        <w:rPr>
          <w:rFonts w:asciiTheme="majorBidi" w:hAnsiTheme="majorBidi" w:cstheme="majorBidi"/>
          <w:color w:val="000000" w:themeColor="text1"/>
          <w:lang w:val="en-GB"/>
        </w:rPr>
      </w:pPr>
    </w:p>
    <w:p w14:paraId="630FB896" w14:textId="6FC805BE" w:rsidR="00EF5A98" w:rsidRPr="00F03A26" w:rsidRDefault="00260D6B"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I</w:t>
      </w:r>
      <w:r w:rsidR="001C11C8" w:rsidRPr="00F03A26">
        <w:rPr>
          <w:rFonts w:asciiTheme="majorBidi" w:hAnsiTheme="majorBidi" w:cstheme="majorBidi"/>
          <w:color w:val="000000" w:themeColor="text1"/>
          <w:lang w:val="en-GB"/>
        </w:rPr>
        <w:t xml:space="preserve">nscriptions of </w:t>
      </w:r>
      <w:r w:rsidR="001C37D8" w:rsidRPr="00F03A26">
        <w:rPr>
          <w:rFonts w:asciiTheme="majorBidi" w:hAnsiTheme="majorBidi" w:cstheme="majorBidi"/>
          <w:color w:val="000000" w:themeColor="text1"/>
          <w:lang w:val="en-GB"/>
        </w:rPr>
        <w:t xml:space="preserve">the </w:t>
      </w:r>
      <w:r w:rsidR="00897EF7" w:rsidRPr="00F03A26">
        <w:rPr>
          <w:rFonts w:asciiTheme="majorBidi" w:hAnsiTheme="majorBidi" w:cstheme="majorBidi"/>
          <w:color w:val="000000" w:themeColor="text1"/>
          <w:lang w:val="en-GB"/>
        </w:rPr>
        <w:t>Ṭušpa</w:t>
      </w:r>
      <w:r w:rsidR="001C11C8" w:rsidRPr="00F03A26">
        <w:rPr>
          <w:rFonts w:asciiTheme="majorBidi" w:hAnsiTheme="majorBidi" w:cstheme="majorBidi"/>
          <w:color w:val="000000" w:themeColor="text1"/>
          <w:lang w:val="en-GB"/>
        </w:rPr>
        <w:t xml:space="preserve"> were rewritten by M. Salvini (Chapter 4). All cuneiform inscriptions on rock inscriptions, stelae, or building stones identified so far in the citadel belong to the early and most powerful kings of the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t>
      </w:r>
      <w:r w:rsidR="00DD3957" w:rsidRPr="00F03A26">
        <w:rPr>
          <w:rFonts w:asciiTheme="majorBidi" w:hAnsiTheme="majorBidi" w:cstheme="majorBidi"/>
          <w:color w:val="000000" w:themeColor="text1"/>
          <w:lang w:val="en-GB"/>
        </w:rPr>
        <w:t>k</w:t>
      </w:r>
      <w:r w:rsidR="001C11C8" w:rsidRPr="00F03A26">
        <w:rPr>
          <w:rFonts w:asciiTheme="majorBidi" w:hAnsiTheme="majorBidi" w:cstheme="majorBidi"/>
          <w:color w:val="000000" w:themeColor="text1"/>
          <w:lang w:val="en-GB"/>
        </w:rPr>
        <w:t>ingdom</w:t>
      </w:r>
      <w:r w:rsidR="007042EF" w:rsidRPr="00F03A26">
        <w:rPr>
          <w:rFonts w:asciiTheme="majorBidi" w:hAnsiTheme="majorBidi" w:cstheme="majorBidi"/>
          <w:color w:val="000000" w:themeColor="text1"/>
          <w:lang w:val="en-GB"/>
        </w:rPr>
        <w:fldChar w:fldCharType="begin"/>
      </w:r>
      <w:r w:rsidR="007042EF" w:rsidRPr="00F03A26">
        <w:rPr>
          <w:rFonts w:asciiTheme="majorBidi" w:hAnsiTheme="majorBidi" w:cstheme="majorBidi"/>
          <w:color w:val="000000" w:themeColor="text1"/>
          <w:lang w:val="en-GB"/>
        </w:rPr>
        <w:instrText xml:space="preserve"> XE "Urartian </w:instrText>
      </w:r>
      <w:r w:rsidR="00D87D45">
        <w:rPr>
          <w:rFonts w:asciiTheme="majorBidi" w:hAnsiTheme="majorBidi" w:cstheme="majorBidi"/>
          <w:color w:val="000000" w:themeColor="text1"/>
          <w:lang w:val="en-GB"/>
        </w:rPr>
        <w:instrText>k</w:instrText>
      </w:r>
      <w:r w:rsidR="007042EF" w:rsidRPr="00F03A26">
        <w:rPr>
          <w:rFonts w:asciiTheme="majorBidi" w:hAnsiTheme="majorBidi" w:cstheme="majorBidi"/>
          <w:color w:val="000000" w:themeColor="text1"/>
          <w:lang w:val="en-GB"/>
        </w:rPr>
        <w:instrText xml:space="preserve">ingdom" </w:instrText>
      </w:r>
      <w:r w:rsidR="007042EF"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Sarduri</w:t>
      </w:r>
      <w:r w:rsidR="0079591B" w:rsidRPr="00F03A26">
        <w:rPr>
          <w:rFonts w:asciiTheme="majorBidi" w:hAnsiTheme="majorBidi" w:cstheme="majorBidi"/>
          <w:color w:val="000000" w:themeColor="text1"/>
          <w:lang w:val="en-GB"/>
        </w:rPr>
        <w:t xml:space="preserve"> </w:t>
      </w:r>
      <w:r w:rsidR="001C11C8" w:rsidRPr="00F03A26">
        <w:rPr>
          <w:rFonts w:asciiTheme="majorBidi" w:hAnsiTheme="majorBidi" w:cstheme="majorBidi"/>
          <w:color w:val="000000" w:themeColor="text1"/>
          <w:lang w:val="en-GB"/>
        </w:rPr>
        <w:t>I</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"Sarduri I"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t>
      </w:r>
      <w:r w:rsidR="001C11C8" w:rsidRPr="00F03A26">
        <w:rPr>
          <w:rFonts w:asciiTheme="majorBidi" w:hAnsiTheme="majorBidi" w:cstheme="majorBidi"/>
          <w:iCs/>
          <w:color w:val="000000" w:themeColor="text1"/>
          <w:lang w:val="en-GB"/>
        </w:rPr>
        <w:t>Išpuini</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w:instrText>
      </w:r>
      <w:r w:rsidR="00512579" w:rsidRPr="0028736C">
        <w:rPr>
          <w:rFonts w:asciiTheme="majorBidi" w:hAnsiTheme="majorBidi" w:cstheme="majorBidi"/>
          <w:color w:val="000000" w:themeColor="text1"/>
          <w:lang w:val="en-GB"/>
        </w:rPr>
        <w:instrText>Išpuini"</w:instrText>
      </w:r>
      <w:r w:rsidR="00512579" w:rsidRPr="00F03A26">
        <w:rPr>
          <w:rFonts w:asciiTheme="majorBidi" w:hAnsiTheme="majorBidi" w:cstheme="majorBidi"/>
          <w:color w:val="000000" w:themeColor="text1"/>
          <w:lang w:val="en-GB"/>
        </w:rPr>
        <w:instrText xml:space="preserve">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Minua</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"Minua"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Argišti I</w:t>
      </w:r>
      <w:r w:rsidR="00CE69CA" w:rsidRPr="0028736C">
        <w:rPr>
          <w:rFonts w:asciiTheme="majorBidi" w:hAnsiTheme="majorBidi" w:cstheme="majorBidi"/>
          <w:color w:val="000000" w:themeColor="text1"/>
          <w:lang w:val="en-GB"/>
        </w:rPr>
        <w:fldChar w:fldCharType="begin"/>
      </w:r>
      <w:r w:rsidR="00CE69CA" w:rsidRPr="0028736C">
        <w:rPr>
          <w:rFonts w:asciiTheme="majorBidi" w:hAnsiTheme="majorBidi" w:cstheme="majorBidi"/>
          <w:color w:val="000000" w:themeColor="text1"/>
          <w:lang w:val="en-GB"/>
        </w:rPr>
        <w:instrText xml:space="preserve"> XE "Argišti I" </w:instrText>
      </w:r>
      <w:r w:rsidR="00CE69CA" w:rsidRPr="0028736C">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and Sarduri II</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"Sarduri II" </w:instrText>
      </w:r>
      <w:r w:rsidR="00512579" w:rsidRPr="00F03A26">
        <w:rPr>
          <w:rFonts w:asciiTheme="majorBidi" w:hAnsiTheme="majorBidi" w:cstheme="majorBidi"/>
          <w:color w:val="000000" w:themeColor="text1"/>
          <w:lang w:val="en-GB"/>
        </w:rPr>
        <w:fldChar w:fldCharType="end"/>
      </w:r>
      <w:r w:rsidR="001C37D8" w:rsidRPr="00F03A26">
        <w:rPr>
          <w:rFonts w:asciiTheme="majorBidi" w:hAnsiTheme="majorBidi" w:cstheme="majorBidi"/>
          <w:color w:val="000000" w:themeColor="text1"/>
          <w:lang w:val="en-GB"/>
        </w:rPr>
        <w:t>, in order</w:t>
      </w:r>
      <w:r w:rsidR="001C11C8" w:rsidRPr="00F03A26">
        <w:rPr>
          <w:rFonts w:asciiTheme="majorBidi" w:hAnsiTheme="majorBidi" w:cstheme="majorBidi"/>
          <w:color w:val="000000" w:themeColor="text1"/>
          <w:lang w:val="en-GB"/>
        </w:rPr>
        <w:t xml:space="preserve">. </w:t>
      </w:r>
      <w:r w:rsidR="00DD66B3" w:rsidRPr="00F03A26">
        <w:rPr>
          <w:rFonts w:asciiTheme="majorBidi" w:hAnsiTheme="majorBidi" w:cstheme="majorBidi"/>
          <w:color w:val="000000" w:themeColor="text1"/>
          <w:lang w:val="en-GB"/>
        </w:rPr>
        <w:t>First</w:t>
      </w:r>
      <w:r w:rsidR="001C11C8" w:rsidRPr="00F03A26">
        <w:rPr>
          <w:rFonts w:asciiTheme="majorBidi" w:hAnsiTheme="majorBidi" w:cstheme="majorBidi"/>
          <w:color w:val="000000" w:themeColor="text1"/>
          <w:lang w:val="en-GB"/>
        </w:rPr>
        <w:t xml:space="preserve">, </w:t>
      </w:r>
      <w:r w:rsidR="00456C1C" w:rsidRPr="00F03A26">
        <w:rPr>
          <w:rFonts w:asciiTheme="majorBidi" w:hAnsiTheme="majorBidi" w:cstheme="majorBidi"/>
          <w:color w:val="000000" w:themeColor="text1"/>
          <w:lang w:val="en-GB"/>
        </w:rPr>
        <w:t>six</w:t>
      </w:r>
      <w:r w:rsidR="001C11C8" w:rsidRPr="00F03A26">
        <w:rPr>
          <w:rFonts w:asciiTheme="majorBidi" w:hAnsiTheme="majorBidi" w:cstheme="majorBidi"/>
          <w:color w:val="000000" w:themeColor="text1"/>
          <w:lang w:val="en-GB"/>
        </w:rPr>
        <w:t xml:space="preserve"> duplicate Assyrian</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"Assyrian"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inscriptions on the stones of the monumental building at the western end of the </w:t>
      </w:r>
      <w:r w:rsidR="00F04285" w:rsidRPr="00F03A26">
        <w:rPr>
          <w:rFonts w:asciiTheme="majorBidi" w:hAnsiTheme="majorBidi" w:cstheme="majorBidi"/>
          <w:color w:val="000000" w:themeColor="text1"/>
          <w:lang w:val="en-GB"/>
        </w:rPr>
        <w:t>Van R</w:t>
      </w:r>
      <w:r w:rsidR="00897EF7">
        <w:rPr>
          <w:rFonts w:asciiTheme="majorBidi" w:hAnsiTheme="majorBidi" w:cstheme="majorBidi"/>
          <w:color w:val="000000" w:themeColor="text1"/>
          <w:lang w:val="en-GB"/>
        </w:rPr>
        <w:t>o</w:t>
      </w:r>
      <w:r w:rsidR="00F04285" w:rsidRPr="00F03A26">
        <w:rPr>
          <w:rFonts w:asciiTheme="majorBidi" w:hAnsiTheme="majorBidi" w:cstheme="majorBidi"/>
          <w:color w:val="000000" w:themeColor="text1"/>
          <w:lang w:val="en-GB"/>
        </w:rPr>
        <w:t>ck</w:t>
      </w:r>
      <w:r w:rsidR="001C11C8" w:rsidRPr="00F03A26">
        <w:rPr>
          <w:rFonts w:asciiTheme="majorBidi" w:hAnsiTheme="majorBidi" w:cstheme="majorBidi"/>
          <w:color w:val="000000" w:themeColor="text1"/>
          <w:lang w:val="en-GB"/>
        </w:rPr>
        <w:t xml:space="preserve"> belonging to Sarduri I, who is considered the the kingdom</w:t>
      </w:r>
      <w:r w:rsidR="00456C1C" w:rsidRPr="00F03A26">
        <w:rPr>
          <w:rFonts w:asciiTheme="majorBidi" w:hAnsiTheme="majorBidi" w:cstheme="majorBidi"/>
          <w:color w:val="000000" w:themeColor="text1"/>
          <w:lang w:val="en-GB"/>
        </w:rPr>
        <w:t>’s founder</w:t>
      </w:r>
      <w:r w:rsidR="001C11C8" w:rsidRPr="00F03A26">
        <w:rPr>
          <w:rFonts w:asciiTheme="majorBidi" w:hAnsiTheme="majorBidi" w:cstheme="majorBidi"/>
          <w:color w:val="000000" w:themeColor="text1"/>
          <w:lang w:val="en-GB"/>
        </w:rPr>
        <w:t xml:space="preserve">, can be mentioned here. </w:t>
      </w:r>
      <w:r w:rsidR="00F04285" w:rsidRPr="00F03A26">
        <w:rPr>
          <w:rFonts w:asciiTheme="majorBidi" w:hAnsiTheme="majorBidi" w:cstheme="majorBidi"/>
          <w:color w:val="000000" w:themeColor="text1"/>
          <w:lang w:val="en"/>
        </w:rPr>
        <w:t xml:space="preserve">Preceding these is a mutilated Assyrian inscription of a sacrificial nature (CTU A 1-2). </w:t>
      </w:r>
      <w:r w:rsidR="001C11C8" w:rsidRPr="00F03A26">
        <w:rPr>
          <w:rFonts w:asciiTheme="majorBidi" w:hAnsiTheme="majorBidi" w:cstheme="majorBidi"/>
          <w:color w:val="000000" w:themeColor="text1"/>
          <w:lang w:val="en-GB"/>
        </w:rPr>
        <w:t>The Tabriz Gate</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"Tabriz Gate"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rock inscription of </w:t>
      </w:r>
      <w:r w:rsidR="001C11C8" w:rsidRPr="00F03A26">
        <w:rPr>
          <w:rFonts w:asciiTheme="majorBidi" w:hAnsiTheme="majorBidi" w:cstheme="majorBidi"/>
          <w:iCs/>
          <w:color w:val="000000" w:themeColor="text1"/>
          <w:lang w:val="en-GB"/>
        </w:rPr>
        <w:t>Išpuini</w:t>
      </w:r>
      <w:r w:rsidR="001C11C8" w:rsidRPr="00F03A26">
        <w:rPr>
          <w:rFonts w:asciiTheme="majorBidi" w:hAnsiTheme="majorBidi" w:cstheme="majorBidi"/>
          <w:color w:val="000000" w:themeColor="text1"/>
          <w:lang w:val="en-GB"/>
        </w:rPr>
        <w:t xml:space="preserve"> at the eastern end of the </w:t>
      </w:r>
      <w:r w:rsidR="00F04285" w:rsidRPr="00F03A26">
        <w:rPr>
          <w:rFonts w:asciiTheme="majorBidi" w:hAnsiTheme="majorBidi" w:cstheme="majorBidi"/>
          <w:color w:val="000000" w:themeColor="text1"/>
          <w:lang w:val="en-GB"/>
        </w:rPr>
        <w:t>Van Rock</w:t>
      </w:r>
      <w:r w:rsidR="001C11C8" w:rsidRPr="00F03A26">
        <w:rPr>
          <w:rFonts w:asciiTheme="majorBidi" w:hAnsiTheme="majorBidi" w:cstheme="majorBidi"/>
          <w:color w:val="000000" w:themeColor="text1"/>
          <w:lang w:val="en-GB"/>
        </w:rPr>
        <w:t xml:space="preserve"> is the first Urartian inscription in the fortress. The longest Urartian inscriptions are the </w:t>
      </w:r>
      <w:r w:rsidR="00D451C9" w:rsidRPr="00F03A26">
        <w:rPr>
          <w:rFonts w:asciiTheme="majorBidi" w:hAnsiTheme="majorBidi" w:cstheme="majorBidi"/>
          <w:color w:val="000000" w:themeColor="text1"/>
          <w:lang w:val="en-GB"/>
        </w:rPr>
        <w:t xml:space="preserve">Argišti I </w:t>
      </w:r>
      <w:r w:rsidR="002503EA" w:rsidRPr="00F03A26">
        <w:rPr>
          <w:rFonts w:asciiTheme="majorBidi" w:hAnsiTheme="majorBidi" w:cstheme="majorBidi"/>
          <w:color w:val="000000" w:themeColor="text1"/>
          <w:lang w:val="en-GB"/>
        </w:rPr>
        <w:t>t</w:t>
      </w:r>
      <w:r w:rsidR="00D451C9" w:rsidRPr="00F03A26">
        <w:rPr>
          <w:rFonts w:asciiTheme="majorBidi" w:hAnsiTheme="majorBidi" w:cstheme="majorBidi"/>
          <w:color w:val="000000" w:themeColor="text1"/>
          <w:lang w:val="en-GB"/>
        </w:rPr>
        <w:t>omb</w:t>
      </w:r>
      <w:r w:rsidR="001C11C8" w:rsidRPr="00F03A26">
        <w:rPr>
          <w:rFonts w:asciiTheme="majorBidi" w:hAnsiTheme="majorBidi" w:cstheme="majorBidi"/>
          <w:color w:val="000000" w:themeColor="text1"/>
          <w:lang w:val="en-GB"/>
        </w:rPr>
        <w:t xml:space="preserve"> </w:t>
      </w:r>
      <w:r w:rsidR="00CE69CA" w:rsidRPr="00F03A26">
        <w:rPr>
          <w:rFonts w:asciiTheme="majorBidi" w:hAnsiTheme="majorBidi" w:cstheme="majorBidi"/>
          <w:color w:val="000000" w:themeColor="text1"/>
          <w:lang w:val="en-GB"/>
        </w:rPr>
        <w:fldChar w:fldCharType="begin"/>
      </w:r>
      <w:r w:rsidR="00CE69CA" w:rsidRPr="00F03A26">
        <w:rPr>
          <w:rFonts w:asciiTheme="majorBidi" w:hAnsiTheme="majorBidi" w:cstheme="majorBidi"/>
          <w:color w:val="000000" w:themeColor="text1"/>
          <w:lang w:val="en-GB"/>
        </w:rPr>
        <w:instrText xml:space="preserve"> </w:instrText>
      </w:r>
      <w:r w:rsidR="00CE69CA" w:rsidRPr="0028736C">
        <w:rPr>
          <w:rFonts w:asciiTheme="majorBidi" w:hAnsiTheme="majorBidi" w:cstheme="majorBidi"/>
          <w:color w:val="000000" w:themeColor="text1"/>
          <w:lang w:val="en-GB"/>
        </w:rPr>
        <w:instrText>XE "</w:instrText>
      </w:r>
      <w:r w:rsidR="00D451C9" w:rsidRPr="0028736C">
        <w:rPr>
          <w:rFonts w:asciiTheme="majorBidi" w:hAnsiTheme="majorBidi" w:cstheme="majorBidi"/>
          <w:color w:val="000000" w:themeColor="text1"/>
          <w:lang w:val="en-GB"/>
        </w:rPr>
        <w:instrText>Argišti I</w:instrText>
      </w:r>
      <w:r w:rsidR="00D451C9" w:rsidRPr="00F03A26">
        <w:rPr>
          <w:rFonts w:asciiTheme="majorBidi" w:hAnsiTheme="majorBidi" w:cstheme="majorBidi"/>
          <w:color w:val="000000" w:themeColor="text1"/>
          <w:lang w:val="en-GB"/>
        </w:rPr>
        <w:instrText xml:space="preserve"> </w:instrText>
      </w:r>
      <w:r w:rsidR="00573B62">
        <w:rPr>
          <w:rFonts w:asciiTheme="majorBidi" w:hAnsiTheme="majorBidi" w:cstheme="majorBidi"/>
          <w:color w:val="000000" w:themeColor="text1"/>
          <w:lang w:val="en-GB"/>
        </w:rPr>
        <w:instrText>t</w:instrText>
      </w:r>
      <w:r w:rsidR="00D451C9" w:rsidRPr="00F03A26">
        <w:rPr>
          <w:rFonts w:asciiTheme="majorBidi" w:hAnsiTheme="majorBidi" w:cstheme="majorBidi"/>
          <w:color w:val="000000" w:themeColor="text1"/>
          <w:lang w:val="en-GB"/>
        </w:rPr>
        <w:instrText>omb</w:instrText>
      </w:r>
      <w:r w:rsidR="00CE69CA" w:rsidRPr="00F03A26">
        <w:rPr>
          <w:rFonts w:asciiTheme="majorBidi" w:hAnsiTheme="majorBidi" w:cstheme="majorBidi"/>
          <w:color w:val="000000" w:themeColor="text1"/>
          <w:lang w:val="en-GB"/>
        </w:rPr>
        <w:instrText xml:space="preserve">" </w:instrText>
      </w:r>
      <w:r w:rsidR="00CE69CA"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/Horhor</w:t>
      </w:r>
      <w:r w:rsidR="006D4DC9" w:rsidRPr="00F03A26">
        <w:rPr>
          <w:rFonts w:asciiTheme="majorBidi" w:hAnsiTheme="majorBidi" w:cstheme="majorBidi"/>
          <w:color w:val="000000" w:themeColor="text1"/>
          <w:lang w:val="en-GB"/>
        </w:rPr>
        <w:fldChar w:fldCharType="begin"/>
      </w:r>
      <w:r w:rsidR="006D4DC9" w:rsidRPr="00F03A26">
        <w:rPr>
          <w:rFonts w:asciiTheme="majorBidi" w:hAnsiTheme="majorBidi" w:cstheme="majorBidi"/>
          <w:color w:val="000000" w:themeColor="text1"/>
          <w:lang w:val="en-GB"/>
        </w:rPr>
        <w:instrText xml:space="preserve"> XE "Horhor" </w:instrText>
      </w:r>
      <w:r w:rsidR="006D4DC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t>
      </w:r>
      <w:r w:rsidR="002503EA" w:rsidRPr="00F03A26">
        <w:rPr>
          <w:rFonts w:asciiTheme="majorBidi" w:hAnsiTheme="majorBidi" w:cstheme="majorBidi"/>
          <w:color w:val="000000" w:themeColor="text1"/>
          <w:lang w:val="en-GB"/>
        </w:rPr>
        <w:t>r</w:t>
      </w:r>
      <w:r w:rsidR="001C11C8" w:rsidRPr="00F03A26">
        <w:rPr>
          <w:rFonts w:asciiTheme="majorBidi" w:hAnsiTheme="majorBidi" w:cstheme="majorBidi"/>
          <w:color w:val="000000" w:themeColor="text1"/>
          <w:lang w:val="en-GB"/>
        </w:rPr>
        <w:t xml:space="preserve">ock </w:t>
      </w:r>
      <w:r w:rsidR="002503EA" w:rsidRPr="00F03A26">
        <w:rPr>
          <w:rFonts w:asciiTheme="majorBidi" w:hAnsiTheme="majorBidi" w:cstheme="majorBidi"/>
          <w:color w:val="000000" w:themeColor="text1"/>
          <w:lang w:val="en-GB"/>
        </w:rPr>
        <w:t>i</w:t>
      </w:r>
      <w:r w:rsidR="001C11C8" w:rsidRPr="00F03A26">
        <w:rPr>
          <w:rFonts w:asciiTheme="majorBidi" w:hAnsiTheme="majorBidi" w:cstheme="majorBidi"/>
          <w:color w:val="000000" w:themeColor="text1"/>
          <w:lang w:val="en-GB"/>
        </w:rPr>
        <w:t>nscription and the rock inscription and stelae of Sarduri II at Analıkız</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"Analıkız"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which are chronicles of </w:t>
      </w:r>
      <w:r w:rsidR="001C11C8" w:rsidRPr="00F03A26">
        <w:rPr>
          <w:rFonts w:asciiTheme="majorBidi" w:hAnsiTheme="majorBidi" w:cstheme="majorBidi"/>
          <w:color w:val="000000" w:themeColor="text1"/>
          <w:lang w:val="en-GB"/>
        </w:rPr>
        <w:lastRenderedPageBreak/>
        <w:t xml:space="preserve">the campaigns and actions of the kings. Thus, </w:t>
      </w:r>
      <w:r w:rsidR="00801444" w:rsidRPr="00F03A26">
        <w:rPr>
          <w:rFonts w:asciiTheme="majorBidi" w:hAnsiTheme="majorBidi" w:cstheme="majorBidi"/>
          <w:color w:val="000000" w:themeColor="text1"/>
          <w:lang w:val="en-GB"/>
        </w:rPr>
        <w:t>Ṭušpa</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w:instrText>
      </w:r>
      <w:r w:rsidR="00801444" w:rsidRPr="00D008E2">
        <w:rPr>
          <w:rFonts w:asciiTheme="majorBidi" w:hAnsiTheme="majorBidi" w:cstheme="majorBidi"/>
          <w:color w:val="000000" w:themeColor="text1"/>
          <w:lang w:val="en-GB"/>
        </w:rPr>
        <w:instrText>Ṭušpa</w:instrText>
      </w:r>
      <w:r w:rsidR="005F421B" w:rsidRPr="00F03A26">
        <w:rPr>
          <w:rFonts w:asciiTheme="majorBidi" w:hAnsiTheme="majorBidi" w:cstheme="majorBidi"/>
          <w:color w:val="000000" w:themeColor="text1"/>
          <w:lang w:val="en-GB"/>
        </w:rPr>
        <w:instrText xml:space="preserve">"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t>
      </w:r>
      <w:r w:rsidR="00CE69CA" w:rsidRPr="00F03A26">
        <w:rPr>
          <w:rFonts w:asciiTheme="majorBidi" w:hAnsiTheme="majorBidi" w:cstheme="majorBidi"/>
          <w:color w:val="000000" w:themeColor="text1"/>
          <w:lang w:val="en-GB"/>
        </w:rPr>
        <w:t>Rock</w:t>
      </w:r>
      <w:r w:rsidR="001C11C8" w:rsidRPr="00F03A26">
        <w:rPr>
          <w:rFonts w:asciiTheme="majorBidi" w:hAnsiTheme="majorBidi" w:cstheme="majorBidi"/>
          <w:color w:val="000000" w:themeColor="text1"/>
          <w:lang w:val="en-GB"/>
        </w:rPr>
        <w:t xml:space="preserve"> </w:t>
      </w:r>
      <w:r w:rsidR="00DD66B3" w:rsidRPr="00F03A26">
        <w:rPr>
          <w:rFonts w:asciiTheme="majorBidi" w:hAnsiTheme="majorBidi" w:cstheme="majorBidi"/>
          <w:color w:val="000000" w:themeColor="text1"/>
          <w:lang w:val="en-GB"/>
        </w:rPr>
        <w:t>is</w:t>
      </w:r>
      <w:r w:rsidR="001C11C8" w:rsidRPr="00F03A26">
        <w:rPr>
          <w:rFonts w:asciiTheme="majorBidi" w:hAnsiTheme="majorBidi" w:cstheme="majorBidi"/>
          <w:color w:val="000000" w:themeColor="text1"/>
          <w:lang w:val="en-GB"/>
        </w:rPr>
        <w:t xml:space="preserve"> the memory </w:t>
      </w:r>
      <w:r w:rsidR="001465B3" w:rsidRPr="00F03A26">
        <w:rPr>
          <w:rFonts w:asciiTheme="majorBidi" w:hAnsiTheme="majorBidi" w:cstheme="majorBidi"/>
          <w:color w:val="000000" w:themeColor="text1"/>
          <w:lang w:val="en-GB"/>
        </w:rPr>
        <w:t>centre</w:t>
      </w:r>
      <w:r w:rsidR="001C11C8" w:rsidRPr="00F03A26">
        <w:rPr>
          <w:rFonts w:asciiTheme="majorBidi" w:hAnsiTheme="majorBidi" w:cstheme="majorBidi"/>
          <w:color w:val="000000" w:themeColor="text1"/>
          <w:lang w:val="en-GB"/>
        </w:rPr>
        <w:t xml:space="preserve"> of the Urartian </w:t>
      </w:r>
      <w:r w:rsidR="00DD3957" w:rsidRPr="00F03A26">
        <w:rPr>
          <w:rFonts w:asciiTheme="majorBidi" w:hAnsiTheme="majorBidi" w:cstheme="majorBidi"/>
          <w:color w:val="000000" w:themeColor="text1"/>
          <w:lang w:val="en-GB"/>
        </w:rPr>
        <w:t>k</w:t>
      </w:r>
      <w:r w:rsidR="001C11C8" w:rsidRPr="00F03A26">
        <w:rPr>
          <w:rFonts w:asciiTheme="majorBidi" w:hAnsiTheme="majorBidi" w:cstheme="majorBidi"/>
          <w:color w:val="000000" w:themeColor="text1"/>
          <w:lang w:val="en-GB"/>
        </w:rPr>
        <w:t xml:space="preserve">ingdom with its royal inscriptions. In addition to the chronicles, inscriptions attributed to </w:t>
      </w:r>
      <w:r w:rsidR="00456C1C" w:rsidRPr="00F03A26">
        <w:rPr>
          <w:rFonts w:asciiTheme="majorBidi" w:hAnsiTheme="majorBidi" w:cstheme="majorBidi"/>
          <w:color w:val="000000" w:themeColor="text1"/>
          <w:lang w:val="en-GB"/>
        </w:rPr>
        <w:t xml:space="preserve">unique </w:t>
      </w:r>
      <w:r w:rsidR="001C11C8" w:rsidRPr="00F03A26">
        <w:rPr>
          <w:rFonts w:asciiTheme="majorBidi" w:hAnsiTheme="majorBidi" w:cstheme="majorBidi"/>
          <w:color w:val="000000" w:themeColor="text1"/>
          <w:lang w:val="en-GB"/>
        </w:rPr>
        <w:t xml:space="preserve">structures and arrangements such as </w:t>
      </w:r>
      <w:r w:rsidR="003C5C9D" w:rsidRPr="00F03A26">
        <w:rPr>
          <w:rFonts w:asciiTheme="majorBidi" w:eastAsia="Times New Roman" w:hAnsiTheme="majorBidi" w:cstheme="majorBidi"/>
          <w:lang w:val="en-GB"/>
        </w:rPr>
        <w:t>"</w:t>
      </w:r>
      <w:r w:rsidR="001C11C8" w:rsidRPr="0028736C">
        <w:rPr>
          <w:rFonts w:asciiTheme="majorBidi" w:hAnsiTheme="majorBidi" w:cstheme="majorBidi"/>
          <w:iCs/>
          <w:color w:val="000000" w:themeColor="text1"/>
          <w:lang w:val="en-GB"/>
        </w:rPr>
        <w:t>siršini</w:t>
      </w:r>
      <w:r w:rsidR="003C5C9D" w:rsidRPr="00F03A26">
        <w:rPr>
          <w:rFonts w:asciiTheme="majorBidi" w:eastAsia="Times New Roman" w:hAnsiTheme="majorBidi" w:cstheme="majorBidi"/>
          <w:lang w:val="en-GB"/>
        </w:rPr>
        <w:t>"</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"siršini" </w:instrText>
      </w:r>
      <w:r w:rsidR="00512579" w:rsidRPr="00F03A26">
        <w:rPr>
          <w:rFonts w:asciiTheme="majorBidi" w:hAnsiTheme="majorBidi" w:cstheme="majorBidi"/>
          <w:color w:val="000000" w:themeColor="text1"/>
          <w:lang w:val="en-GB"/>
        </w:rPr>
        <w:fldChar w:fldCharType="end"/>
      </w:r>
      <w:r w:rsidR="00A927EA" w:rsidRPr="00F03A26">
        <w:rPr>
          <w:rFonts w:asciiTheme="majorBidi" w:hAnsiTheme="majorBidi" w:cstheme="majorBidi"/>
          <w:color w:val="000000" w:themeColor="text1"/>
          <w:lang w:val="en-GB"/>
        </w:rPr>
        <w:t xml:space="preserve">, </w:t>
      </w:r>
      <w:r w:rsidR="003C5C9D" w:rsidRPr="00F03A26">
        <w:rPr>
          <w:rFonts w:asciiTheme="majorBidi" w:eastAsia="Times New Roman" w:hAnsiTheme="majorBidi" w:cstheme="majorBidi"/>
          <w:lang w:val="en-GB"/>
        </w:rPr>
        <w:t>"</w:t>
      </w:r>
      <w:r w:rsidR="001C11C8" w:rsidRPr="0028736C">
        <w:rPr>
          <w:rFonts w:asciiTheme="majorBidi" w:hAnsiTheme="majorBidi" w:cstheme="majorBidi"/>
          <w:color w:val="000000" w:themeColor="text1"/>
          <w:lang w:val="en-GB"/>
        </w:rPr>
        <w:t>ari</w:t>
      </w:r>
      <w:r w:rsidR="003C5C9D" w:rsidRPr="00F03A26">
        <w:rPr>
          <w:rFonts w:asciiTheme="majorBidi" w:eastAsia="Times New Roman" w:hAnsiTheme="majorBidi" w:cstheme="majorBidi"/>
          <w:lang w:val="en-GB"/>
        </w:rPr>
        <w:t>"</w:t>
      </w:r>
      <w:r w:rsidR="00512579" w:rsidRPr="0028736C">
        <w:rPr>
          <w:rFonts w:asciiTheme="majorBidi" w:hAnsiTheme="majorBidi" w:cstheme="majorBidi"/>
          <w:color w:val="000000" w:themeColor="text1"/>
          <w:lang w:val="en-GB"/>
        </w:rPr>
        <w:fldChar w:fldCharType="begin"/>
      </w:r>
      <w:r w:rsidR="00512579" w:rsidRPr="0028736C">
        <w:rPr>
          <w:rFonts w:asciiTheme="majorBidi" w:hAnsiTheme="majorBidi" w:cstheme="majorBidi"/>
          <w:color w:val="000000" w:themeColor="text1"/>
          <w:lang w:val="en-GB"/>
        </w:rPr>
        <w:instrText xml:space="preserve"> XE "ari" </w:instrText>
      </w:r>
      <w:r w:rsidR="00512579" w:rsidRPr="0028736C">
        <w:rPr>
          <w:rFonts w:asciiTheme="majorBidi" w:hAnsiTheme="majorBidi" w:cstheme="majorBidi"/>
          <w:color w:val="000000" w:themeColor="text1"/>
          <w:lang w:val="en-GB"/>
        </w:rPr>
        <w:fldChar w:fldCharType="end"/>
      </w:r>
      <w:r w:rsidR="001C11C8" w:rsidRPr="0028736C">
        <w:rPr>
          <w:rFonts w:asciiTheme="majorBidi" w:hAnsiTheme="majorBidi" w:cstheme="majorBidi"/>
          <w:color w:val="000000" w:themeColor="text1"/>
          <w:lang w:val="en-GB"/>
        </w:rPr>
        <w:t xml:space="preserve">, </w:t>
      </w:r>
      <w:r w:rsidR="003C5C9D" w:rsidRPr="00F03A26">
        <w:rPr>
          <w:rFonts w:asciiTheme="majorBidi" w:eastAsia="Times New Roman" w:hAnsiTheme="majorBidi" w:cstheme="majorBidi"/>
          <w:lang w:val="en-GB"/>
        </w:rPr>
        <w:t>"</w:t>
      </w:r>
      <w:r w:rsidR="001C11C8" w:rsidRPr="0028736C">
        <w:rPr>
          <w:rFonts w:asciiTheme="majorBidi" w:hAnsiTheme="majorBidi" w:cstheme="majorBidi"/>
          <w:color w:val="000000" w:themeColor="text1"/>
          <w:lang w:val="en-GB"/>
        </w:rPr>
        <w:t>taramanili</w:t>
      </w:r>
      <w:r w:rsidR="003C5C9D" w:rsidRPr="00F03A26">
        <w:rPr>
          <w:rFonts w:asciiTheme="majorBidi" w:eastAsia="Times New Roman" w:hAnsiTheme="majorBidi" w:cstheme="majorBidi"/>
          <w:lang w:val="en-GB"/>
        </w:rPr>
        <w:t>"</w:t>
      </w:r>
      <w:r w:rsidR="00512579" w:rsidRPr="0028736C">
        <w:rPr>
          <w:rFonts w:asciiTheme="majorBidi" w:hAnsiTheme="majorBidi" w:cstheme="majorBidi"/>
          <w:color w:val="000000" w:themeColor="text1"/>
          <w:lang w:val="en-GB"/>
        </w:rPr>
        <w:fldChar w:fldCharType="begin"/>
      </w:r>
      <w:r w:rsidR="00512579" w:rsidRPr="0028736C">
        <w:rPr>
          <w:rFonts w:asciiTheme="majorBidi" w:hAnsiTheme="majorBidi" w:cstheme="majorBidi"/>
          <w:color w:val="000000" w:themeColor="text1"/>
          <w:lang w:val="en-GB"/>
        </w:rPr>
        <w:instrText xml:space="preserve"> XE "taramanili" </w:instrText>
      </w:r>
      <w:r w:rsidR="00512579" w:rsidRPr="0028736C">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built on the rock can be seen as the prototypes of the inscription-building tradition in Urartu</w:t>
      </w:r>
      <w:r w:rsidR="0066296E" w:rsidRPr="00F03A26">
        <w:rPr>
          <w:rFonts w:asciiTheme="majorBidi" w:hAnsiTheme="majorBidi" w:cstheme="majorBidi"/>
          <w:color w:val="000000" w:themeColor="text1"/>
          <w:lang w:val="en-GB"/>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in the capital. In this study, the inscriptions in the citadel are </w:t>
      </w:r>
      <w:r w:rsidR="0022436A" w:rsidRPr="00F03A26">
        <w:rPr>
          <w:rFonts w:asciiTheme="majorBidi" w:hAnsiTheme="majorBidi" w:cstheme="majorBidi"/>
          <w:color w:val="000000" w:themeColor="text1"/>
          <w:lang w:val="en-GB"/>
        </w:rPr>
        <w:t>analysed</w:t>
      </w:r>
      <w:r w:rsidR="001C11C8" w:rsidRPr="00F03A26">
        <w:rPr>
          <w:rFonts w:asciiTheme="majorBidi" w:hAnsiTheme="majorBidi" w:cstheme="majorBidi"/>
          <w:color w:val="000000" w:themeColor="text1"/>
          <w:lang w:val="en-GB"/>
        </w:rPr>
        <w:t xml:space="preserve"> from all angles. </w:t>
      </w:r>
      <w:r w:rsidR="00F04285" w:rsidRPr="00F03A26">
        <w:rPr>
          <w:rFonts w:asciiTheme="majorBidi" w:hAnsiTheme="majorBidi" w:cstheme="majorBidi"/>
          <w:color w:val="000000" w:themeColor="text1"/>
          <w:lang w:val="en-GB"/>
        </w:rPr>
        <w:t xml:space="preserve">The inscriptions were taken directly from the </w:t>
      </w:r>
      <w:r w:rsidR="00F04285" w:rsidRPr="00897EF7">
        <w:rPr>
          <w:rFonts w:asciiTheme="majorBidi" w:hAnsiTheme="majorBidi" w:cstheme="majorBidi"/>
          <w:bCs/>
          <w:color w:val="000000" w:themeColor="text1"/>
          <w:lang w:val="en-GB"/>
        </w:rPr>
        <w:t>Corpus dei testi urartei (CTU) by M. Salvini himself. See also the</w:t>
      </w:r>
      <w:r w:rsidR="00F04285" w:rsidRPr="00F03A26">
        <w:rPr>
          <w:rFonts w:asciiTheme="majorBidi" w:hAnsiTheme="majorBidi" w:cstheme="majorBidi"/>
          <w:color w:val="000000" w:themeColor="text1"/>
          <w:lang w:val="en-GB"/>
        </w:rPr>
        <w:t xml:space="preserve"> </w:t>
      </w:r>
      <w:r w:rsidR="00E5258A">
        <w:rPr>
          <w:rFonts w:asciiTheme="majorBidi" w:hAnsiTheme="majorBidi" w:cstheme="majorBidi"/>
          <w:color w:val="000000" w:themeColor="text1"/>
          <w:lang w:val="en-GB"/>
        </w:rPr>
        <w:t>‘</w:t>
      </w:r>
      <w:r w:rsidR="00F04285" w:rsidRPr="00F03A26">
        <w:rPr>
          <w:rFonts w:asciiTheme="majorBidi" w:hAnsiTheme="majorBidi" w:cstheme="majorBidi"/>
          <w:color w:val="000000" w:themeColor="text1"/>
          <w:lang w:val="en-GB"/>
        </w:rPr>
        <w:t>Electronic Corpus of Urartian Texts (eCUT) Project</w:t>
      </w:r>
      <w:r w:rsidR="00E5258A">
        <w:rPr>
          <w:rFonts w:asciiTheme="majorBidi" w:hAnsiTheme="majorBidi" w:cstheme="majorBidi"/>
          <w:color w:val="000000" w:themeColor="text1"/>
          <w:lang w:val="en-GB"/>
        </w:rPr>
        <w:t>’</w:t>
      </w:r>
      <w:r w:rsidR="00F04285" w:rsidRPr="00F03A26">
        <w:rPr>
          <w:rFonts w:asciiTheme="majorBidi" w:hAnsiTheme="majorBidi" w:cstheme="majorBidi"/>
          <w:color w:val="000000" w:themeColor="text1"/>
          <w:lang w:val="en-GB"/>
        </w:rPr>
        <w:t xml:space="preserve"> (https://oracc.museum.upenn.edu/ecut/index.html) portal and evaluated holistically.</w:t>
      </w:r>
      <w:r w:rsidR="001C11C8" w:rsidRPr="00F03A26">
        <w:rPr>
          <w:rFonts w:asciiTheme="majorBidi" w:hAnsiTheme="majorBidi" w:cstheme="majorBidi"/>
          <w:color w:val="000000" w:themeColor="text1"/>
          <w:lang w:val="en-GB"/>
        </w:rPr>
        <w:t xml:space="preserve"> By focusing on the Fortress of Van, the discussion of </w:t>
      </w:r>
      <w:r w:rsidR="00801444" w:rsidRPr="00F03A26">
        <w:rPr>
          <w:rFonts w:asciiTheme="majorBidi" w:hAnsiTheme="majorBidi" w:cstheme="majorBidi"/>
          <w:color w:val="000000" w:themeColor="text1"/>
          <w:lang w:val="en-GB"/>
        </w:rPr>
        <w:t>Ṭušpa</w:t>
      </w:r>
      <w:r w:rsidR="001C11C8" w:rsidRPr="00F03A26">
        <w:rPr>
          <w:rFonts w:asciiTheme="majorBidi" w:hAnsiTheme="majorBidi" w:cstheme="majorBidi"/>
          <w:color w:val="000000" w:themeColor="text1"/>
          <w:lang w:val="en-GB"/>
        </w:rPr>
        <w:t xml:space="preserve">'s character in terms of inscriptions is provided as a reference for future studies. Salvini also provides the annals of Sarduri </w:t>
      </w:r>
      <w:r w:rsidR="00CE69CA" w:rsidRPr="00F03A26">
        <w:rPr>
          <w:rFonts w:asciiTheme="majorBidi" w:hAnsiTheme="majorBidi" w:cstheme="majorBidi"/>
          <w:color w:val="000000" w:themeColor="text1"/>
          <w:lang w:val="en-GB"/>
        </w:rPr>
        <w:t xml:space="preserve">II </w:t>
      </w:r>
      <w:r w:rsidR="001C11C8" w:rsidRPr="00F03A26">
        <w:rPr>
          <w:rFonts w:asciiTheme="majorBidi" w:hAnsiTheme="majorBidi" w:cstheme="majorBidi"/>
          <w:color w:val="000000" w:themeColor="text1"/>
          <w:lang w:val="en-GB"/>
        </w:rPr>
        <w:t>and Argišti</w:t>
      </w:r>
      <w:r w:rsidR="00CE69CA" w:rsidRPr="00F03A26">
        <w:rPr>
          <w:rFonts w:asciiTheme="majorBidi" w:hAnsiTheme="majorBidi" w:cstheme="majorBidi"/>
          <w:color w:val="000000" w:themeColor="text1"/>
          <w:lang w:val="en-GB"/>
        </w:rPr>
        <w:t xml:space="preserve"> I</w:t>
      </w:r>
      <w:r w:rsidR="001C11C8" w:rsidRPr="00F03A26">
        <w:rPr>
          <w:rFonts w:asciiTheme="majorBidi" w:hAnsiTheme="majorBidi" w:cstheme="majorBidi"/>
          <w:color w:val="000000" w:themeColor="text1"/>
          <w:lang w:val="en-GB"/>
        </w:rPr>
        <w:t xml:space="preserve"> collectively, allowing us to compare these two systems. At this point, the Van </w:t>
      </w:r>
      <w:r w:rsidR="00ED6714" w:rsidRPr="00F03A26">
        <w:rPr>
          <w:rFonts w:asciiTheme="majorBidi" w:hAnsiTheme="majorBidi" w:cstheme="majorBidi"/>
          <w:color w:val="000000" w:themeColor="text1"/>
          <w:lang w:val="en-GB"/>
        </w:rPr>
        <w:t>Fortress</w:t>
      </w:r>
      <w:r w:rsidR="001C11C8" w:rsidRPr="00F03A26">
        <w:rPr>
          <w:rFonts w:asciiTheme="majorBidi" w:hAnsiTheme="majorBidi" w:cstheme="majorBidi"/>
          <w:color w:val="000000" w:themeColor="text1"/>
          <w:lang w:val="en-GB"/>
        </w:rPr>
        <w:t xml:space="preserve"> inscriptions are an </w:t>
      </w:r>
      <w:r w:rsidR="00456C1C" w:rsidRPr="00F03A26">
        <w:rPr>
          <w:rFonts w:asciiTheme="majorBidi" w:hAnsiTheme="majorBidi" w:cstheme="majorBidi"/>
          <w:color w:val="000000" w:themeColor="text1"/>
          <w:lang w:val="en-GB"/>
        </w:rPr>
        <w:t>essential</w:t>
      </w:r>
      <w:r w:rsidR="001C11C8" w:rsidRPr="00F03A26">
        <w:rPr>
          <w:rFonts w:asciiTheme="majorBidi" w:hAnsiTheme="majorBidi" w:cstheme="majorBidi"/>
          <w:color w:val="000000" w:themeColor="text1"/>
          <w:lang w:val="en-GB"/>
        </w:rPr>
        <w:t xml:space="preserve"> reference for Urartian history.  For this reason, the inscriptions are not given again in the later inscribed buildings in the book</w:t>
      </w:r>
      <w:r w:rsidR="00404029" w:rsidRPr="00F03A26">
        <w:rPr>
          <w:rFonts w:asciiTheme="majorBidi" w:hAnsiTheme="majorBidi" w:cstheme="majorBidi"/>
          <w:color w:val="000000" w:themeColor="text1"/>
          <w:lang w:val="en-GB"/>
        </w:rPr>
        <w:t xml:space="preserve">. However, </w:t>
      </w:r>
      <w:r w:rsidR="001C11C8" w:rsidRPr="00F03A26">
        <w:rPr>
          <w:rFonts w:asciiTheme="majorBidi" w:hAnsiTheme="majorBidi" w:cstheme="majorBidi"/>
          <w:color w:val="000000" w:themeColor="text1"/>
          <w:lang w:val="en-GB"/>
        </w:rPr>
        <w:t xml:space="preserve">the nature and chronology of the buildings are discussed </w:t>
      </w:r>
      <w:r w:rsidR="00FA5983" w:rsidRPr="00F03A26">
        <w:rPr>
          <w:rFonts w:asciiTheme="majorBidi" w:hAnsiTheme="majorBidi" w:cstheme="majorBidi"/>
          <w:color w:val="000000" w:themeColor="text1"/>
          <w:lang w:val="en-GB"/>
        </w:rPr>
        <w:t>in the context</w:t>
      </w:r>
      <w:r w:rsidR="001C11C8" w:rsidRPr="00F03A26">
        <w:rPr>
          <w:rFonts w:asciiTheme="majorBidi" w:hAnsiTheme="majorBidi" w:cstheme="majorBidi"/>
          <w:color w:val="000000" w:themeColor="text1"/>
          <w:lang w:val="en-GB"/>
        </w:rPr>
        <w:t xml:space="preserve"> of the inscriptions. </w:t>
      </w:r>
    </w:p>
    <w:p w14:paraId="6D2943DB" w14:textId="77777777" w:rsidR="00EF5A98" w:rsidRPr="00F03A26" w:rsidRDefault="00EF5A98" w:rsidP="00F03A26">
      <w:pPr>
        <w:jc w:val="both"/>
        <w:rPr>
          <w:rFonts w:asciiTheme="majorBidi" w:hAnsiTheme="majorBidi" w:cstheme="majorBidi"/>
          <w:color w:val="000000" w:themeColor="text1"/>
          <w:lang w:val="en-GB"/>
        </w:rPr>
      </w:pPr>
    </w:p>
    <w:p w14:paraId="631D21F1" w14:textId="689FE907" w:rsidR="00EF5A98" w:rsidRPr="00F03A26" w:rsidRDefault="000E69F3" w:rsidP="00F03A26">
      <w:pPr>
        <w:jc w:val="both"/>
        <w:rPr>
          <w:rFonts w:asciiTheme="majorBidi" w:hAnsiTheme="majorBidi" w:cstheme="majorBidi"/>
          <w:color w:val="000000" w:themeColor="text1"/>
          <w:lang w:val="en-GB"/>
        </w:rPr>
      </w:pPr>
      <w:r w:rsidRPr="000E69F3">
        <w:rPr>
          <w:rFonts w:asciiTheme="majorBidi" w:hAnsiTheme="majorBidi" w:cstheme="majorBidi"/>
          <w:color w:val="000000" w:themeColor="text1"/>
          <w:lang w:val="en-GB"/>
        </w:rPr>
        <w:t xml:space="preserve">It is partially possible to propose the chronology of the Urartian building of Ṭušpa based on the </w:t>
      </w:r>
      <w:r w:rsidRPr="000E69F3">
        <w:rPr>
          <w:rFonts w:asciiTheme="majorBidi" w:hAnsiTheme="majorBidi" w:cstheme="majorBidi"/>
          <w:i/>
          <w:iCs/>
          <w:color w:val="000000" w:themeColor="text1"/>
          <w:lang w:val="en-GB"/>
        </w:rPr>
        <w:t>in situ</w:t>
      </w:r>
      <w:r w:rsidRPr="000E69F3">
        <w:rPr>
          <w:rFonts w:asciiTheme="majorBidi" w:hAnsiTheme="majorBidi" w:cstheme="majorBidi"/>
          <w:color w:val="000000" w:themeColor="text1"/>
          <w:lang w:val="en-GB"/>
        </w:rPr>
        <w:t xml:space="preserve"> inscribed stone blocks and rock inscriptions</w:t>
      </w:r>
      <w:r w:rsidR="00F04285" w:rsidRPr="00F03A26">
        <w:rPr>
          <w:rFonts w:asciiTheme="majorBidi" w:hAnsiTheme="majorBidi" w:cstheme="majorBidi"/>
          <w:color w:val="000000" w:themeColor="text1"/>
          <w:lang w:val="en-GB"/>
        </w:rPr>
        <w:t xml:space="preserve"> (Salvini, 2014)</w:t>
      </w:r>
      <w:r w:rsidR="001C11C8" w:rsidRPr="00F03A26">
        <w:rPr>
          <w:rFonts w:asciiTheme="majorBidi" w:hAnsiTheme="majorBidi" w:cstheme="majorBidi"/>
          <w:color w:val="000000" w:themeColor="text1"/>
          <w:lang w:val="en-GB"/>
        </w:rPr>
        <w:t xml:space="preserve">. Accordingly, the </w:t>
      </w:r>
      <w:r w:rsidR="00F04285" w:rsidRPr="00F03A26">
        <w:rPr>
          <w:rFonts w:asciiTheme="majorBidi" w:hAnsiTheme="majorBidi" w:cstheme="majorBidi"/>
          <w:color w:val="000000" w:themeColor="text1"/>
          <w:lang w:val="en-GB"/>
        </w:rPr>
        <w:t>Sardursburg (Sardurburç)</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"Sardurburç"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with the inscriptions of Sarduri I</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"Sarduri I"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in the westernmost part of the </w:t>
      </w:r>
      <w:r w:rsidR="00F04285" w:rsidRPr="00F03A26">
        <w:rPr>
          <w:rFonts w:asciiTheme="majorBidi" w:hAnsiTheme="majorBidi" w:cstheme="majorBidi"/>
          <w:color w:val="000000" w:themeColor="text1"/>
          <w:lang w:val="en-GB"/>
        </w:rPr>
        <w:t>Van Rock</w:t>
      </w:r>
      <w:r w:rsidR="001C11C8" w:rsidRPr="00F03A26">
        <w:rPr>
          <w:rFonts w:asciiTheme="majorBidi" w:hAnsiTheme="majorBidi" w:cstheme="majorBidi"/>
          <w:color w:val="000000" w:themeColor="text1"/>
          <w:lang w:val="en-GB"/>
        </w:rPr>
        <w:t xml:space="preserve"> appears as the first building group (Chapter 5). By </w:t>
      </w:r>
      <w:r w:rsidR="0022436A" w:rsidRPr="00F03A26">
        <w:rPr>
          <w:rFonts w:asciiTheme="majorBidi" w:hAnsiTheme="majorBidi" w:cstheme="majorBidi"/>
          <w:color w:val="000000" w:themeColor="text1"/>
          <w:lang w:val="en-GB"/>
        </w:rPr>
        <w:t>analysing</w:t>
      </w:r>
      <w:r w:rsidR="001C11C8" w:rsidRPr="00F03A26">
        <w:rPr>
          <w:rFonts w:asciiTheme="majorBidi" w:hAnsiTheme="majorBidi" w:cstheme="majorBidi"/>
          <w:color w:val="000000" w:themeColor="text1"/>
          <w:lang w:val="en-GB"/>
        </w:rPr>
        <w:t xml:space="preserve"> the positions of the inscriptions and the wall, it is suggested that the building may have undergone more than one construction phase. As in the other chapters of the book, simple animations are used to illustrate the possible stages of architectural development for better comprehension by the reader. </w:t>
      </w:r>
    </w:p>
    <w:p w14:paraId="6FABFE47" w14:textId="77777777" w:rsidR="00EF5A98" w:rsidRPr="00F03A26" w:rsidRDefault="00EF5A98" w:rsidP="00F03A26">
      <w:pPr>
        <w:jc w:val="both"/>
        <w:rPr>
          <w:rFonts w:asciiTheme="majorBidi" w:hAnsiTheme="majorBidi" w:cstheme="majorBidi"/>
          <w:color w:val="000000" w:themeColor="text1"/>
          <w:lang w:val="en-GB"/>
        </w:rPr>
      </w:pPr>
    </w:p>
    <w:p w14:paraId="3446E0EE" w14:textId="3867C6BB" w:rsidR="00EF5A98" w:rsidRPr="00F03A26" w:rsidRDefault="001C11C8"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For the post-Urartian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buildings in many parts of the citadel, it is observed that the Urartian stone masonry walls were </w:t>
      </w:r>
      <w:r w:rsidR="00456C1C" w:rsidRPr="00F03A26">
        <w:rPr>
          <w:rFonts w:asciiTheme="majorBidi" w:hAnsiTheme="majorBidi" w:cstheme="majorBidi"/>
          <w:color w:val="000000" w:themeColor="text1"/>
          <w:lang w:val="en-GB"/>
        </w:rPr>
        <w:t>wholly</w:t>
      </w:r>
      <w:r w:rsidRPr="00F03A26">
        <w:rPr>
          <w:rFonts w:asciiTheme="majorBidi" w:hAnsiTheme="majorBidi" w:cstheme="majorBidi"/>
          <w:color w:val="000000" w:themeColor="text1"/>
          <w:lang w:val="en-GB"/>
        </w:rPr>
        <w:t xml:space="preserve"> dismantled and reused in the </w:t>
      </w:r>
      <w:r w:rsidR="00456C1C" w:rsidRPr="00F03A26">
        <w:rPr>
          <w:rFonts w:asciiTheme="majorBidi" w:hAnsiTheme="majorBidi" w:cstheme="majorBidi"/>
          <w:color w:val="000000" w:themeColor="text1"/>
          <w:lang w:val="en-GB"/>
        </w:rPr>
        <w:t>exact</w:t>
      </w:r>
      <w:r w:rsidRPr="00F03A26">
        <w:rPr>
          <w:rFonts w:asciiTheme="majorBidi" w:hAnsiTheme="majorBidi" w:cstheme="majorBidi"/>
          <w:color w:val="000000" w:themeColor="text1"/>
          <w:lang w:val="en-GB"/>
        </w:rPr>
        <w:t xml:space="preserve"> dimensions in certain areas. </w:t>
      </w:r>
      <w:r w:rsidR="000E69F3" w:rsidRPr="000E69F3">
        <w:rPr>
          <w:rFonts w:asciiTheme="majorBidi" w:hAnsiTheme="majorBidi" w:cstheme="majorBidi"/>
          <w:color w:val="000000" w:themeColor="text1"/>
          <w:lang w:val="en-GB"/>
        </w:rPr>
        <w:t xml:space="preserve">For example, it is understood that the northern walls of the Inner citadel, especially the middle section, were dismantled down to the bedrock after the Urartian period. </w:t>
      </w:r>
      <w:r w:rsidR="00404029" w:rsidRPr="00F03A26">
        <w:rPr>
          <w:rFonts w:asciiTheme="majorBidi" w:hAnsiTheme="majorBidi" w:cstheme="majorBidi"/>
          <w:color w:val="000000" w:themeColor="text1"/>
          <w:lang w:val="en-GB"/>
        </w:rPr>
        <w:t>A</w:t>
      </w:r>
      <w:r w:rsidRPr="00F03A26">
        <w:rPr>
          <w:rFonts w:asciiTheme="majorBidi" w:hAnsiTheme="majorBidi" w:cstheme="majorBidi"/>
          <w:color w:val="000000" w:themeColor="text1"/>
          <w:lang w:val="en-GB"/>
        </w:rPr>
        <w:t xml:space="preserve"> new wall foundation was formed with the same stones (Chapter 6). The changed wall patterns were redrawn based on technical drawings, photo analysis, and the evaluation of the sketches made on-site. It should be noted that some of the drawings have been annotated to better express the subject matter. The Ottoman</w:t>
      </w:r>
      <w:r w:rsidR="009A71AE" w:rsidRPr="00F03A26">
        <w:rPr>
          <w:rFonts w:asciiTheme="majorBidi" w:hAnsiTheme="majorBidi" w:cstheme="majorBidi"/>
          <w:color w:val="000000" w:themeColor="text1"/>
          <w:lang w:val="en-GB"/>
        </w:rPr>
        <w:fldChar w:fldCharType="begin"/>
      </w:r>
      <w:r w:rsidR="009A71AE" w:rsidRPr="00F03A26">
        <w:rPr>
          <w:rFonts w:asciiTheme="majorBidi" w:hAnsiTheme="majorBidi" w:cstheme="majorBidi"/>
          <w:color w:val="000000" w:themeColor="text1"/>
          <w:lang w:val="en-GB"/>
        </w:rPr>
        <w:instrText xml:space="preserve"> XE "</w:instrText>
      </w:r>
      <w:r w:rsidR="009A71AE" w:rsidRPr="00F03A26">
        <w:rPr>
          <w:rFonts w:asciiTheme="majorBidi" w:eastAsia="Calibri" w:hAnsiTheme="majorBidi" w:cstheme="majorBidi"/>
          <w:color w:val="000000" w:themeColor="text1"/>
          <w:lang w:val="en-GB"/>
        </w:rPr>
        <w:instrText>Ottoman</w:instrText>
      </w:r>
      <w:r w:rsidR="009A71AE" w:rsidRPr="00F03A26">
        <w:rPr>
          <w:rFonts w:asciiTheme="majorBidi" w:hAnsiTheme="majorBidi" w:cstheme="majorBidi"/>
          <w:color w:val="000000" w:themeColor="text1"/>
          <w:lang w:val="en-GB"/>
        </w:rPr>
        <w:instrText xml:space="preserve">" </w:instrText>
      </w:r>
      <w:r w:rsidR="009A71AE"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construction of the citadel and the restoration works that started to be implemented on a larger scale in the 1990s have not only disrupted the original texture of the Urartian buildings of </w:t>
      </w:r>
      <w:r w:rsidR="00801444" w:rsidRPr="00F03A26">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w:t>
      </w:r>
      <w:r w:rsidR="00456C1C" w:rsidRPr="00F03A26">
        <w:rPr>
          <w:rFonts w:asciiTheme="majorBidi" w:hAnsiTheme="majorBidi" w:cstheme="majorBidi"/>
          <w:color w:val="000000" w:themeColor="text1"/>
          <w:lang w:val="en-GB"/>
        </w:rPr>
        <w:t>and</w:t>
      </w:r>
      <w:r w:rsidRPr="00F03A26">
        <w:rPr>
          <w:rFonts w:asciiTheme="majorBidi" w:hAnsiTheme="majorBidi" w:cstheme="majorBidi"/>
          <w:color w:val="000000" w:themeColor="text1"/>
          <w:lang w:val="en-GB"/>
        </w:rPr>
        <w:t xml:space="preserve"> strengthened the understanding of the character of later additions and constructions. The most striking example of these interventions can be seen in the northern walls of the </w:t>
      </w:r>
      <w:r w:rsidR="00C10847" w:rsidRPr="00F03A26">
        <w:rPr>
          <w:rFonts w:asciiTheme="majorBidi" w:hAnsiTheme="majorBidi" w:cstheme="majorBidi"/>
          <w:color w:val="000000" w:themeColor="text1"/>
          <w:lang w:val="en-GB"/>
        </w:rPr>
        <w:t>Inner</w:t>
      </w:r>
      <w:r w:rsidRPr="00F03A26">
        <w:rPr>
          <w:rFonts w:asciiTheme="majorBidi" w:hAnsiTheme="majorBidi" w:cstheme="majorBidi"/>
          <w:color w:val="000000" w:themeColor="text1"/>
          <w:lang w:val="en-GB"/>
        </w:rPr>
        <w:t xml:space="preserve"> </w:t>
      </w:r>
      <w:r w:rsidR="00456C1C" w:rsidRPr="00F03A26">
        <w:rPr>
          <w:rFonts w:asciiTheme="majorBidi" w:hAnsiTheme="majorBidi" w:cstheme="majorBidi"/>
          <w:color w:val="000000" w:themeColor="text1"/>
          <w:lang w:val="en-GB"/>
        </w:rPr>
        <w:t>C</w:t>
      </w:r>
      <w:r w:rsidR="00807F56" w:rsidRPr="00F03A26">
        <w:rPr>
          <w:rFonts w:asciiTheme="majorBidi" w:hAnsiTheme="majorBidi" w:cstheme="majorBidi"/>
          <w:color w:val="000000" w:themeColor="text1"/>
          <w:lang w:val="en-GB"/>
        </w:rPr>
        <w:t>itadel</w:t>
      </w:r>
      <w:r w:rsidRPr="00F03A26">
        <w:rPr>
          <w:rFonts w:asciiTheme="majorBidi" w:hAnsiTheme="majorBidi" w:cstheme="majorBidi"/>
          <w:color w:val="000000" w:themeColor="text1"/>
          <w:lang w:val="en-GB"/>
        </w:rPr>
        <w:t xml:space="preserve">. </w:t>
      </w:r>
      <w:bookmarkStart w:id="1" w:name="_Hlk172907648"/>
      <w:r w:rsidRPr="00F03A26">
        <w:rPr>
          <w:rFonts w:asciiTheme="majorBidi" w:hAnsiTheme="majorBidi" w:cstheme="majorBidi"/>
          <w:color w:val="000000" w:themeColor="text1"/>
          <w:lang w:val="en-GB"/>
        </w:rPr>
        <w:t xml:space="preserve">Today, even the spaces between the large travertine stones forming the lower rows of these walls are filled with lime mortar. Irreversible damage has been caused to this most original and early Urartian masonry. Unfortunately, such practices can be seen in almost all of the walls of </w:t>
      </w:r>
      <w:r w:rsidR="00801444" w:rsidRPr="00F03A26">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w:t>
      </w:r>
      <w:bookmarkEnd w:id="1"/>
    </w:p>
    <w:p w14:paraId="1E2FDD1C" w14:textId="77777777" w:rsidR="00EF5A98" w:rsidRPr="00F03A26" w:rsidRDefault="00EF5A98" w:rsidP="00F03A26">
      <w:pPr>
        <w:jc w:val="both"/>
        <w:rPr>
          <w:rFonts w:asciiTheme="majorBidi" w:hAnsiTheme="majorBidi" w:cstheme="majorBidi"/>
          <w:color w:val="000000" w:themeColor="text1"/>
          <w:lang w:val="en-GB"/>
        </w:rPr>
      </w:pPr>
    </w:p>
    <w:p w14:paraId="2D423C10" w14:textId="72B6033F" w:rsidR="00EF5A98" w:rsidRPr="00F03A26" w:rsidRDefault="001C11C8"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Another building of questionable quality at </w:t>
      </w:r>
      <w:r w:rsidR="00801444" w:rsidRPr="00F03A26">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is the </w:t>
      </w:r>
      <w:r w:rsidR="003C5C9D" w:rsidRPr="00F03A26">
        <w:rPr>
          <w:rFonts w:asciiTheme="majorBidi" w:eastAsia="Times New Roman" w:hAnsiTheme="majorBidi" w:cstheme="majorBidi"/>
          <w:lang w:val="en-GB"/>
        </w:rPr>
        <w:t>"</w:t>
      </w:r>
      <w:r w:rsidRPr="00F03A26">
        <w:rPr>
          <w:rFonts w:asciiTheme="majorBidi" w:hAnsiTheme="majorBidi" w:cstheme="majorBidi"/>
          <w:color w:val="000000" w:themeColor="text1"/>
          <w:lang w:val="en-GB"/>
        </w:rPr>
        <w:t>siršini</w:t>
      </w:r>
      <w:r w:rsidR="003C5C9D" w:rsidRPr="00F03A26">
        <w:rPr>
          <w:rFonts w:asciiTheme="majorBidi" w:eastAsia="Times New Roman" w:hAnsiTheme="majorBidi" w:cstheme="majorBidi"/>
          <w:lang w:val="en-GB"/>
        </w:rPr>
        <w:t>"</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"siršini"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building consisting of a single room built into the bedrock on the northwestern slope of the </w:t>
      </w:r>
      <w:r w:rsidR="003C5C9D">
        <w:rPr>
          <w:rFonts w:asciiTheme="majorBidi" w:hAnsiTheme="majorBidi" w:cstheme="majorBidi"/>
          <w:color w:val="000000" w:themeColor="text1"/>
          <w:lang w:val="en-GB"/>
        </w:rPr>
        <w:t>Rock</w:t>
      </w:r>
      <w:r w:rsidRPr="00F03A26">
        <w:rPr>
          <w:rFonts w:asciiTheme="majorBidi" w:hAnsiTheme="majorBidi" w:cstheme="majorBidi"/>
          <w:color w:val="000000" w:themeColor="text1"/>
          <w:lang w:val="en-GB"/>
        </w:rPr>
        <w:t>. According to the inscription at its entrance, it was built by the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DD3957" w:rsidRPr="00F03A26">
        <w:rPr>
          <w:rFonts w:asciiTheme="majorBidi" w:hAnsiTheme="majorBidi" w:cstheme="majorBidi"/>
          <w:color w:val="000000" w:themeColor="text1"/>
          <w:lang w:val="en-GB"/>
        </w:rPr>
        <w:t>k</w:t>
      </w:r>
      <w:r w:rsidRPr="00F03A26">
        <w:rPr>
          <w:rFonts w:asciiTheme="majorBidi" w:hAnsiTheme="majorBidi" w:cstheme="majorBidi"/>
          <w:color w:val="000000" w:themeColor="text1"/>
          <w:lang w:val="en-GB"/>
        </w:rPr>
        <w:t>ing Minua</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"Minua"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(Chapter 7). It is suggested that the </w:t>
      </w:r>
      <w:r w:rsidR="000E69F3" w:rsidRPr="000E69F3">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siršini</w:t>
      </w:r>
      <w:r w:rsidR="000E69F3" w:rsidRPr="000E69F3">
        <w:t xml:space="preserve"> </w:t>
      </w:r>
      <w:r w:rsidR="000E69F3" w:rsidRPr="000E69F3">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whose name we have not come across in Urartu</w:t>
      </w:r>
      <w:r w:rsidR="0066296E" w:rsidRPr="00F03A26">
        <w:rPr>
          <w:rFonts w:asciiTheme="majorBidi" w:hAnsiTheme="majorBidi" w:cstheme="majorBidi"/>
          <w:color w:val="000000" w:themeColor="text1"/>
          <w:lang w:val="en-GB"/>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except for this rock chamber model seen only </w:t>
      </w:r>
      <w:r w:rsidR="00ED6714" w:rsidRPr="00F03A26">
        <w:rPr>
          <w:rFonts w:asciiTheme="majorBidi" w:hAnsiTheme="majorBidi" w:cstheme="majorBidi"/>
          <w:color w:val="000000" w:themeColor="text1"/>
          <w:lang w:val="en-GB"/>
        </w:rPr>
        <w:t>at the</w:t>
      </w:r>
      <w:r w:rsidRPr="00F03A26">
        <w:rPr>
          <w:rFonts w:asciiTheme="majorBidi" w:hAnsiTheme="majorBidi" w:cstheme="majorBidi"/>
          <w:color w:val="000000" w:themeColor="text1"/>
          <w:lang w:val="en-GB"/>
        </w:rPr>
        <w:t xml:space="preserve"> Van </w:t>
      </w:r>
      <w:r w:rsidR="00ED6714" w:rsidRPr="00F03A26">
        <w:rPr>
          <w:rFonts w:asciiTheme="majorBidi" w:hAnsiTheme="majorBidi" w:cstheme="majorBidi"/>
          <w:color w:val="000000" w:themeColor="text1"/>
          <w:lang w:val="en-GB"/>
        </w:rPr>
        <w:t>Fortress</w:t>
      </w:r>
      <w:r w:rsidRPr="00F03A26">
        <w:rPr>
          <w:rFonts w:asciiTheme="majorBidi" w:hAnsiTheme="majorBidi" w:cstheme="majorBidi"/>
          <w:color w:val="000000" w:themeColor="text1"/>
          <w:lang w:val="en-GB"/>
        </w:rPr>
        <w:t xml:space="preserve"> and the inscriptions found here, functioned as a corral where animals of </w:t>
      </w:r>
      <w:r w:rsidR="00456C1C" w:rsidRPr="00F03A26">
        <w:rPr>
          <w:rFonts w:asciiTheme="majorBidi" w:hAnsiTheme="majorBidi" w:cstheme="majorBidi"/>
          <w:color w:val="000000" w:themeColor="text1"/>
          <w:lang w:val="en-GB"/>
        </w:rPr>
        <w:t>particular</w:t>
      </w:r>
      <w:r w:rsidRPr="00F03A26">
        <w:rPr>
          <w:rFonts w:asciiTheme="majorBidi" w:hAnsiTheme="majorBidi" w:cstheme="majorBidi"/>
          <w:color w:val="000000" w:themeColor="text1"/>
          <w:lang w:val="en-GB"/>
        </w:rPr>
        <w:t xml:space="preserve"> importance were kept. During our excavations</w:t>
      </w:r>
      <w:r w:rsidR="00B62C8A"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in recent years, several soundings were drilled on the slope in front of this rock chamber. The data we obtained </w:t>
      </w:r>
      <w:r w:rsidR="00456C1C" w:rsidRPr="00F03A26">
        <w:rPr>
          <w:rFonts w:asciiTheme="majorBidi" w:hAnsiTheme="majorBidi" w:cstheme="majorBidi"/>
          <w:color w:val="000000" w:themeColor="text1"/>
          <w:lang w:val="en-GB"/>
        </w:rPr>
        <w:t>mainly were</w:t>
      </w:r>
      <w:r w:rsidRPr="00F03A26">
        <w:rPr>
          <w:rFonts w:asciiTheme="majorBidi" w:hAnsiTheme="majorBidi" w:cstheme="majorBidi"/>
          <w:color w:val="000000" w:themeColor="text1"/>
          <w:lang w:val="en-GB"/>
        </w:rPr>
        <w:t xml:space="preserve"> related to the </w:t>
      </w:r>
      <w:r w:rsidRPr="00F03A26">
        <w:rPr>
          <w:rFonts w:asciiTheme="majorBidi" w:hAnsiTheme="majorBidi" w:cstheme="majorBidi"/>
          <w:color w:val="000000" w:themeColor="text1"/>
          <w:lang w:val="en-GB"/>
        </w:rPr>
        <w:lastRenderedPageBreak/>
        <w:t>construction system and the intended use of this area. In this study, all aspects of the siršini structure were re-examined.</w:t>
      </w:r>
    </w:p>
    <w:p w14:paraId="66850643" w14:textId="77777777" w:rsidR="00EF5A98" w:rsidRPr="00F03A26" w:rsidRDefault="00EF5A98" w:rsidP="00F03A26">
      <w:pPr>
        <w:jc w:val="both"/>
        <w:rPr>
          <w:rFonts w:asciiTheme="majorBidi" w:hAnsiTheme="majorBidi" w:cstheme="majorBidi"/>
          <w:color w:val="000000" w:themeColor="text1"/>
          <w:lang w:val="en-GB"/>
        </w:rPr>
      </w:pPr>
    </w:p>
    <w:p w14:paraId="51858973" w14:textId="325007E9" w:rsidR="00EF5A98" w:rsidRPr="00F03A26" w:rsidRDefault="00C322C6" w:rsidP="00F03A26">
      <w:pPr>
        <w:jc w:val="both"/>
        <w:rPr>
          <w:rFonts w:asciiTheme="majorBidi" w:hAnsiTheme="majorBidi" w:cstheme="majorBidi"/>
          <w:color w:val="000000" w:themeColor="text1"/>
          <w:lang w:val="en-GB"/>
        </w:rPr>
      </w:pPr>
      <w:r w:rsidRPr="00C322C6">
        <w:rPr>
          <w:rFonts w:asciiTheme="majorBidi" w:hAnsiTheme="majorBidi" w:cstheme="majorBidi"/>
          <w:color w:val="000000" w:themeColor="text1"/>
          <w:lang w:val="en-GB"/>
        </w:rPr>
        <w:t>Today, most of the Van Fortress is a body of rock</w:t>
      </w:r>
      <w:r w:rsidR="001C11C8" w:rsidRPr="00F03A26">
        <w:rPr>
          <w:rFonts w:asciiTheme="majorBidi" w:hAnsiTheme="majorBidi" w:cstheme="majorBidi"/>
          <w:color w:val="000000" w:themeColor="text1"/>
          <w:lang w:val="en-GB"/>
        </w:rPr>
        <w:t xml:space="preserve">. Almost </w:t>
      </w:r>
      <w:r w:rsidR="00B62C8A" w:rsidRPr="00F03A26">
        <w:rPr>
          <w:rFonts w:asciiTheme="majorBidi" w:hAnsiTheme="majorBidi" w:cstheme="majorBidi"/>
          <w:color w:val="000000" w:themeColor="text1"/>
          <w:lang w:val="en-GB"/>
        </w:rPr>
        <w:t>all</w:t>
      </w:r>
      <w:r w:rsidR="001C11C8" w:rsidRPr="00F03A26">
        <w:rPr>
          <w:rFonts w:asciiTheme="majorBidi" w:hAnsiTheme="majorBidi" w:cstheme="majorBidi"/>
          <w:color w:val="000000" w:themeColor="text1"/>
          <w:lang w:val="en-GB"/>
        </w:rPr>
        <w:t xml:space="preserve"> the stone foundations and walls of the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buildings have been dismantled, sometimes to be used in medieval buildings and sometimes in Old Van City</w:t>
      </w:r>
      <w:r w:rsidR="00C10847" w:rsidRPr="00F03A26">
        <w:rPr>
          <w:rFonts w:asciiTheme="majorBidi" w:hAnsiTheme="majorBidi" w:cstheme="majorBidi"/>
          <w:color w:val="000000" w:themeColor="text1"/>
          <w:lang w:val="en-GB"/>
        </w:rPr>
        <w:fldChar w:fldCharType="begin"/>
      </w:r>
      <w:r w:rsidR="00C10847" w:rsidRPr="00F03A26">
        <w:rPr>
          <w:rFonts w:asciiTheme="majorBidi" w:hAnsiTheme="majorBidi" w:cstheme="majorBidi"/>
          <w:color w:val="000000" w:themeColor="text1"/>
          <w:lang w:val="en-GB"/>
        </w:rPr>
        <w:instrText xml:space="preserve"> XE "Old Van City" </w:instrText>
      </w:r>
      <w:r w:rsidR="00C10847"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buildings. For the section identified as the New Palace</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"New Palace" </w:instrText>
      </w:r>
      <w:r w:rsidR="0002079A"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we can say that it is the area with the most destruction (Chapter 8). </w:t>
      </w:r>
      <w:r w:rsidR="0074182F" w:rsidRPr="00F03A26">
        <w:rPr>
          <w:rFonts w:asciiTheme="majorBidi" w:hAnsiTheme="majorBidi" w:cstheme="majorBidi"/>
          <w:color w:val="000000" w:themeColor="text1"/>
        </w:rPr>
        <w:t>Again, its nature and chronology are controversial. This area has been divided into five sections coded A to E based on Orthophoto images, new site drawings, and detailed on-site observations</w:t>
      </w:r>
      <w:r w:rsidR="001C11C8" w:rsidRPr="00F03A26">
        <w:rPr>
          <w:rFonts w:asciiTheme="majorBidi" w:hAnsiTheme="majorBidi" w:cstheme="majorBidi"/>
          <w:color w:val="000000" w:themeColor="text1"/>
          <w:lang w:val="en-GB"/>
        </w:rPr>
        <w:t>. The main distinctions and sub-divisions are based on the possible relationships of the buildings in this section within the context of the topography and foundation deposits, and these possible connections are again tried to be supported by plans and reconstructions. However, the fact that there are almost no remains of walls and that some of the foundation deposits may have different functions and chronologies should be taken into consider</w:t>
      </w:r>
      <w:r w:rsidR="0074182F" w:rsidRPr="00F03A26">
        <w:rPr>
          <w:rFonts w:asciiTheme="majorBidi" w:hAnsiTheme="majorBidi" w:cstheme="majorBidi"/>
          <w:color w:val="000000" w:themeColor="text1"/>
          <w:lang w:val="en-GB"/>
        </w:rPr>
        <w:t>ed</w:t>
      </w:r>
      <w:r w:rsidR="001C11C8" w:rsidRPr="00F03A26">
        <w:rPr>
          <w:rFonts w:asciiTheme="majorBidi" w:hAnsiTheme="majorBidi" w:cstheme="majorBidi"/>
          <w:color w:val="000000" w:themeColor="text1"/>
          <w:lang w:val="en-GB"/>
        </w:rPr>
        <w:t xml:space="preserve">. </w:t>
      </w:r>
    </w:p>
    <w:p w14:paraId="0AF6EFE6" w14:textId="77777777" w:rsidR="00EF5A98" w:rsidRPr="00F03A26" w:rsidRDefault="00EF5A98" w:rsidP="00F03A26">
      <w:pPr>
        <w:jc w:val="both"/>
        <w:rPr>
          <w:rFonts w:asciiTheme="majorBidi" w:hAnsiTheme="majorBidi" w:cstheme="majorBidi"/>
          <w:color w:val="000000" w:themeColor="text1"/>
          <w:lang w:val="en-GB"/>
        </w:rPr>
      </w:pPr>
    </w:p>
    <w:p w14:paraId="3E5E0C58" w14:textId="42B06023" w:rsidR="00EF5A98" w:rsidRPr="00F03A26" w:rsidRDefault="001C11C8"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None of the rock-cut tombs at </w:t>
      </w:r>
      <w:r w:rsidR="00801444" w:rsidRPr="00F03A26">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have been unearthed in their original state. In particular, the first tomb uncovered by archaeological excavations in the citadel to date is the BG90</w:t>
      </w:r>
      <w:r w:rsidR="009A2F9F" w:rsidRPr="00F03A26">
        <w:rPr>
          <w:rFonts w:asciiTheme="majorBidi" w:hAnsiTheme="majorBidi" w:cstheme="majorBidi"/>
          <w:color w:val="000000" w:themeColor="text1"/>
          <w:lang w:val="en-GB"/>
        </w:rPr>
        <w:t xml:space="preserve"> </w:t>
      </w:r>
      <w:r w:rsidR="004C4D4A" w:rsidRPr="00F03A26">
        <w:rPr>
          <w:rFonts w:asciiTheme="majorBidi" w:hAnsiTheme="majorBidi" w:cstheme="majorBidi"/>
          <w:color w:val="000000" w:themeColor="text1"/>
          <w:lang w:val="en-GB"/>
        </w:rPr>
        <w:t>tomb</w:t>
      </w:r>
      <w:r w:rsidR="00EA6C63">
        <w:rPr>
          <w:rFonts w:asciiTheme="majorBidi" w:hAnsiTheme="majorBidi" w:cstheme="majorBidi"/>
          <w:color w:val="000000" w:themeColor="text1"/>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single-chamber underground rock tomb. This tomb allowed us to understand the concept and development of the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royal rock tomb. Thus, with the new data, it became necessary to re-discuss all the rock tombs in the citadel. Therefore, all the rock-cut tombs at </w:t>
      </w:r>
      <w:r w:rsidR="00801444" w:rsidRPr="00F03A26">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were evaluated (Chapter 9). The </w:t>
      </w:r>
      <w:r w:rsidR="00801444" w:rsidRPr="00F03A26">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rock-cut tombs are monumental</w:t>
      </w:r>
      <w:r w:rsidR="00DB2A7B" w:rsidRPr="00F03A26">
        <w:rPr>
          <w:rFonts w:asciiTheme="majorBidi" w:hAnsiTheme="majorBidi" w:cstheme="majorBidi"/>
          <w:color w:val="000000" w:themeColor="text1"/>
          <w:lang w:val="en-GB"/>
        </w:rPr>
        <w:t xml:space="preserve"> and </w:t>
      </w:r>
      <w:r w:rsidRPr="00F03A26">
        <w:rPr>
          <w:rFonts w:asciiTheme="majorBidi" w:hAnsiTheme="majorBidi" w:cstheme="majorBidi"/>
          <w:color w:val="000000" w:themeColor="text1"/>
          <w:lang w:val="en-GB"/>
        </w:rPr>
        <w:t xml:space="preserve">royal structures, given their size and the </w:t>
      </w:r>
      <w:r w:rsidR="0022436A" w:rsidRPr="00F03A26">
        <w:rPr>
          <w:rFonts w:asciiTheme="majorBidi" w:hAnsiTheme="majorBidi" w:cstheme="majorBidi"/>
          <w:color w:val="000000" w:themeColor="text1"/>
          <w:lang w:val="en-GB"/>
        </w:rPr>
        <w:t>labour</w:t>
      </w:r>
      <w:r w:rsidRPr="00F03A26">
        <w:rPr>
          <w:rFonts w:asciiTheme="majorBidi" w:hAnsiTheme="majorBidi" w:cstheme="majorBidi"/>
          <w:color w:val="000000" w:themeColor="text1"/>
          <w:lang w:val="en-GB"/>
        </w:rPr>
        <w:t xml:space="preserve"> involved, and they are the product of a capital city tradition initiated by a powerful</w:t>
      </w:r>
      <w:r w:rsidR="00DB2A7B"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pioneering king. Urartian kings and royalty were buried in these multi-chambered rock tombs. Only the one belonging to Argišti I</w:t>
      </w:r>
      <w:r w:rsidR="00CE69CA" w:rsidRPr="00EA6C63">
        <w:rPr>
          <w:rFonts w:asciiTheme="majorBidi" w:hAnsiTheme="majorBidi" w:cstheme="majorBidi"/>
          <w:color w:val="000000" w:themeColor="text1"/>
          <w:lang w:val="en-GB"/>
        </w:rPr>
        <w:fldChar w:fldCharType="begin"/>
      </w:r>
      <w:r w:rsidR="00CE69CA" w:rsidRPr="00EA6C63">
        <w:rPr>
          <w:rFonts w:asciiTheme="majorBidi" w:hAnsiTheme="majorBidi" w:cstheme="majorBidi"/>
          <w:color w:val="000000" w:themeColor="text1"/>
          <w:lang w:val="en-GB"/>
        </w:rPr>
        <w:instrText xml:space="preserve"> XE "Argišti I" </w:instrText>
      </w:r>
      <w:r w:rsidR="00CE69CA" w:rsidRPr="00EA6C63">
        <w:rPr>
          <w:rFonts w:asciiTheme="majorBidi" w:hAnsiTheme="majorBidi" w:cstheme="majorBidi"/>
          <w:color w:val="000000" w:themeColor="text1"/>
          <w:lang w:val="en-GB"/>
        </w:rPr>
        <w:fldChar w:fldCharType="end"/>
      </w:r>
      <w:r w:rsidRPr="00EA6C63">
        <w:rPr>
          <w:rFonts w:asciiTheme="majorBidi" w:hAnsiTheme="majorBidi" w:cstheme="majorBidi"/>
          <w:color w:val="000000" w:themeColor="text1"/>
          <w:lang w:val="en-GB"/>
        </w:rPr>
        <w:t xml:space="preserve"> can be dated because of </w:t>
      </w:r>
      <w:r w:rsidR="0074182F" w:rsidRPr="00EA6C63">
        <w:rPr>
          <w:rFonts w:asciiTheme="majorBidi" w:hAnsiTheme="majorBidi" w:cstheme="majorBidi"/>
          <w:color w:val="000000" w:themeColor="text1"/>
          <w:lang w:val="en-GB"/>
        </w:rPr>
        <w:t xml:space="preserve">its </w:t>
      </w:r>
      <w:r w:rsidRPr="00EA6C63">
        <w:rPr>
          <w:rFonts w:asciiTheme="majorBidi" w:hAnsiTheme="majorBidi" w:cstheme="majorBidi"/>
          <w:color w:val="000000" w:themeColor="text1"/>
          <w:lang w:val="en-GB"/>
        </w:rPr>
        <w:t>annals. Although the inscriptions do not specify to</w:t>
      </w:r>
      <w:r w:rsidRPr="00F03A26">
        <w:rPr>
          <w:rFonts w:asciiTheme="majorBidi" w:hAnsiTheme="majorBidi" w:cstheme="majorBidi"/>
          <w:color w:val="000000" w:themeColor="text1"/>
          <w:lang w:val="en-GB"/>
        </w:rPr>
        <w:t xml:space="preserve"> whom the tomb belongs, the cuneiform Urartian chronicles consisting of 8 columns decorating the entrance façade of the mausoleum chamber </w:t>
      </w:r>
      <w:r w:rsidR="00F04285" w:rsidRPr="00F03A26">
        <w:rPr>
          <w:rFonts w:asciiTheme="majorBidi" w:hAnsiTheme="majorBidi" w:cstheme="majorBidi"/>
          <w:color w:val="000000" w:themeColor="text1"/>
          <w:lang w:val="en-GB"/>
        </w:rPr>
        <w:t xml:space="preserve">(CTU A 8-3) </w:t>
      </w:r>
      <w:r w:rsidRPr="00F03A26">
        <w:rPr>
          <w:rFonts w:asciiTheme="majorBidi" w:hAnsiTheme="majorBidi" w:cstheme="majorBidi"/>
          <w:color w:val="000000" w:themeColor="text1"/>
          <w:lang w:val="en-GB"/>
        </w:rPr>
        <w:t xml:space="preserve">prove that the tomb belongs to Argišti I. Different proposals have been discussed for the dating of the other eight graves, all of which were opened on the steep south face of the </w:t>
      </w:r>
      <w:r w:rsidR="00F04285" w:rsidRPr="00F03A26">
        <w:rPr>
          <w:rFonts w:asciiTheme="majorBidi" w:hAnsiTheme="majorBidi" w:cstheme="majorBidi"/>
          <w:color w:val="000000" w:themeColor="text1"/>
          <w:lang w:val="en-GB"/>
        </w:rPr>
        <w:t>Van Rock</w:t>
      </w:r>
      <w:r w:rsidRPr="00F03A26">
        <w:rPr>
          <w:rFonts w:asciiTheme="majorBidi" w:hAnsiTheme="majorBidi" w:cstheme="majorBidi"/>
          <w:color w:val="000000" w:themeColor="text1"/>
          <w:lang w:val="en-GB"/>
        </w:rPr>
        <w:t xml:space="preserve"> on which the citadel sits</w:t>
      </w:r>
      <w:r w:rsidR="0074182F" w:rsidRPr="00F03A26">
        <w:rPr>
          <w:rFonts w:asciiTheme="majorBidi" w:hAnsiTheme="majorBidi" w:cstheme="majorBidi"/>
          <w:color w:val="000000" w:themeColor="text1"/>
          <w:lang w:val="en-GB"/>
        </w:rPr>
        <w:t>. A</w:t>
      </w:r>
      <w:r w:rsidRPr="00F03A26">
        <w:rPr>
          <w:rFonts w:asciiTheme="majorBidi" w:hAnsiTheme="majorBidi" w:cstheme="majorBidi"/>
          <w:color w:val="000000" w:themeColor="text1"/>
          <w:lang w:val="en-GB"/>
        </w:rPr>
        <w:t>n evaluation has been made here as well. The tombs of Argišti I,</w:t>
      </w:r>
      <w:r w:rsidR="00991845" w:rsidRPr="00F03A26">
        <w:rPr>
          <w:rFonts w:asciiTheme="majorBidi" w:hAnsiTheme="majorBidi" w:cstheme="majorBidi"/>
          <w:color w:val="000000" w:themeColor="text1"/>
          <w:lang w:val="en-GB"/>
        </w:rPr>
        <w:t xml:space="preserve"> </w:t>
      </w:r>
      <w:r w:rsidR="00F46CA8" w:rsidRPr="00F03A26">
        <w:rPr>
          <w:rFonts w:asciiTheme="majorBidi" w:hAnsiTheme="majorBidi" w:cstheme="majorBidi"/>
          <w:color w:val="000000" w:themeColor="text1"/>
          <w:lang w:val="en-GB"/>
        </w:rPr>
        <w:t>İç Kale</w:t>
      </w:r>
      <w:r w:rsidR="00647545">
        <w:rPr>
          <w:rFonts w:asciiTheme="majorBidi" w:hAnsiTheme="majorBidi" w:cstheme="majorBidi"/>
          <w:color w:val="000000" w:themeColor="text1"/>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F46CA8" w:rsidRPr="00F03A26">
        <w:rPr>
          <w:rFonts w:asciiTheme="majorBidi" w:hAnsiTheme="majorBidi" w:cstheme="majorBidi"/>
          <w:color w:val="000000" w:themeColor="text1"/>
          <w:lang w:val="en-GB"/>
        </w:rPr>
        <w:t>(</w:t>
      </w:r>
      <w:r w:rsidR="00935396" w:rsidRPr="00F03A26">
        <w:rPr>
          <w:rFonts w:asciiTheme="majorBidi" w:hAnsiTheme="majorBidi" w:cstheme="majorBidi"/>
          <w:color w:val="000000" w:themeColor="text1"/>
          <w:lang w:val="en-GB"/>
        </w:rPr>
        <w:t>Kurucular/</w:t>
      </w:r>
      <w:r w:rsidR="00F46CA8" w:rsidRPr="00F03A26">
        <w:rPr>
          <w:rFonts w:asciiTheme="majorBidi" w:hAnsiTheme="majorBidi" w:cstheme="majorBidi"/>
          <w:color w:val="000000" w:themeColor="text1"/>
          <w:lang w:val="en-GB"/>
        </w:rPr>
        <w:t>Founders</w:t>
      </w:r>
      <w:r w:rsidRPr="00F03A26">
        <w:rPr>
          <w:rFonts w:asciiTheme="majorBidi" w:hAnsiTheme="majorBidi" w:cstheme="majorBidi"/>
          <w:color w:val="000000" w:themeColor="text1"/>
          <w:lang w:val="en-GB"/>
        </w:rPr>
        <w:t xml:space="preserve">/Inner </w:t>
      </w:r>
      <w:r w:rsidR="00807F56" w:rsidRPr="00F03A26">
        <w:rPr>
          <w:rFonts w:asciiTheme="majorBidi" w:hAnsiTheme="majorBidi" w:cstheme="majorBidi"/>
          <w:color w:val="000000" w:themeColor="text1"/>
          <w:lang w:val="en-GB"/>
        </w:rPr>
        <w:t>citadel</w:t>
      </w:r>
      <w:r w:rsidR="00F46CA8"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Neft </w:t>
      </w:r>
      <w:r w:rsidR="00F46CA8" w:rsidRPr="00F03A26">
        <w:rPr>
          <w:rFonts w:asciiTheme="majorBidi" w:hAnsiTheme="majorBidi" w:cstheme="majorBidi"/>
          <w:color w:val="000000" w:themeColor="text1"/>
          <w:lang w:val="en-GB"/>
        </w:rPr>
        <w:t>Kuyu</w:t>
      </w:r>
      <w:r w:rsidR="001F2587">
        <w:rPr>
          <w:rFonts w:asciiTheme="majorBidi" w:hAnsiTheme="majorBidi" w:cstheme="majorBidi"/>
          <w:color w:val="000000" w:themeColor="text1"/>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and </w:t>
      </w:r>
      <w:r w:rsidR="00F46CA8" w:rsidRPr="00F03A26">
        <w:rPr>
          <w:rFonts w:asciiTheme="majorBidi" w:hAnsiTheme="majorBidi" w:cstheme="majorBidi"/>
          <w:color w:val="000000" w:themeColor="text1"/>
          <w:lang w:val="en-GB"/>
        </w:rPr>
        <w:t>Doğu Odaları</w:t>
      </w:r>
      <w:r w:rsidR="001F2587">
        <w:rPr>
          <w:rFonts w:asciiTheme="majorBidi" w:hAnsiTheme="majorBidi" w:cstheme="majorBidi"/>
          <w:color w:val="000000" w:themeColor="text1"/>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hAnsiTheme="majorBidi" w:cstheme="majorBidi"/>
          <w:color w:val="000000" w:themeColor="text1"/>
          <w:lang w:val="en-GB"/>
        </w:rPr>
        <w:fldChar w:fldCharType="end"/>
      </w:r>
      <w:r w:rsidR="00F46CA8"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the East Chambers</w:t>
      </w:r>
      <w:r w:rsidR="000F3586"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are similar in their façade, size, and multi-chamber arrangements</w:t>
      </w:r>
      <w:r w:rsidR="00F04285" w:rsidRPr="00F03A26">
        <w:rPr>
          <w:rFonts w:asciiTheme="majorBidi" w:hAnsiTheme="majorBidi" w:cstheme="majorBidi"/>
          <w:color w:val="000000" w:themeColor="text1"/>
          <w:lang w:val="en-GB"/>
        </w:rPr>
        <w:t xml:space="preserve"> </w:t>
      </w:r>
      <w:r w:rsidR="00F04285" w:rsidRPr="00F03A26">
        <w:rPr>
          <w:rFonts w:asciiTheme="majorBidi" w:eastAsia="Times New Roman" w:hAnsiTheme="majorBidi" w:cstheme="majorBidi"/>
          <w:color w:val="000000" w:themeColor="text1"/>
          <w:lang w:val="de-DE" w:eastAsia="it-IT"/>
        </w:rPr>
        <w:t xml:space="preserve">(cf. the old definitions by König, 1955-57, Taf. 126-127: Argišti-Kammern, Gründer-Kammern, Menua-Kammern, Sardur- Kammern). </w:t>
      </w:r>
      <w:r w:rsidRPr="00F03A26">
        <w:rPr>
          <w:rFonts w:asciiTheme="majorBidi" w:hAnsiTheme="majorBidi" w:cstheme="majorBidi"/>
          <w:color w:val="000000" w:themeColor="text1"/>
          <w:lang w:val="en-GB"/>
        </w:rPr>
        <w:t xml:space="preserve">Apart from these, the three smaller and single-chambered </w:t>
      </w:r>
      <w:r w:rsidR="00C322C6">
        <w:rPr>
          <w:rFonts w:asciiTheme="majorBidi" w:hAnsiTheme="majorBidi" w:cstheme="majorBidi"/>
          <w:color w:val="000000" w:themeColor="text1"/>
          <w:lang w:val="en-GB"/>
        </w:rPr>
        <w:t>tombs</w:t>
      </w:r>
      <w:r w:rsidRPr="00F03A26">
        <w:rPr>
          <w:rFonts w:asciiTheme="majorBidi" w:hAnsiTheme="majorBidi" w:cstheme="majorBidi"/>
          <w:color w:val="000000" w:themeColor="text1"/>
          <w:lang w:val="en-GB"/>
        </w:rPr>
        <w:t xml:space="preserve">, the cremation </w:t>
      </w:r>
      <w:r w:rsidR="00C322C6">
        <w:rPr>
          <w:rFonts w:asciiTheme="majorBidi" w:hAnsiTheme="majorBidi" w:cstheme="majorBidi"/>
          <w:color w:val="000000" w:themeColor="text1"/>
          <w:lang w:val="en-GB"/>
        </w:rPr>
        <w:t>tomb</w:t>
      </w:r>
      <w:r w:rsidRPr="00F03A26">
        <w:rPr>
          <w:rFonts w:asciiTheme="majorBidi" w:hAnsiTheme="majorBidi" w:cstheme="majorBidi"/>
          <w:color w:val="000000" w:themeColor="text1"/>
          <w:lang w:val="en-GB"/>
        </w:rPr>
        <w:t xml:space="preserve"> and the underground BG90</w:t>
      </w:r>
      <w:r w:rsidR="009A2F9F" w:rsidRPr="00F03A26">
        <w:rPr>
          <w:rFonts w:asciiTheme="majorBidi" w:hAnsiTheme="majorBidi" w:cstheme="majorBidi"/>
          <w:color w:val="000000" w:themeColor="text1"/>
          <w:lang w:val="en-GB"/>
        </w:rPr>
        <w:t xml:space="preserve"> </w:t>
      </w:r>
      <w:r w:rsidR="004C4D4A" w:rsidRPr="00F03A26">
        <w:rPr>
          <w:rFonts w:asciiTheme="majorBidi" w:hAnsiTheme="majorBidi" w:cstheme="majorBidi"/>
          <w:color w:val="000000" w:themeColor="text1"/>
          <w:lang w:val="en-GB"/>
        </w:rPr>
        <w:t>tomb</w:t>
      </w:r>
      <w:r w:rsidRPr="00F03A26">
        <w:rPr>
          <w:rFonts w:asciiTheme="majorBidi" w:hAnsiTheme="majorBidi" w:cstheme="majorBidi"/>
          <w:color w:val="000000" w:themeColor="text1"/>
          <w:lang w:val="en-GB"/>
        </w:rPr>
        <w:t xml:space="preserve"> cut into the bedrock uncovered during the 2016 excavations differ in plan and structural features. A detailed chronological discussion of these is given in the relevant section. The BG90 </w:t>
      </w:r>
      <w:r w:rsidR="004C4D4A" w:rsidRPr="00F03A26">
        <w:rPr>
          <w:rFonts w:asciiTheme="majorBidi" w:hAnsiTheme="majorBidi" w:cstheme="majorBidi"/>
          <w:color w:val="000000" w:themeColor="text1"/>
          <w:lang w:val="en-GB"/>
        </w:rPr>
        <w:t>tomb</w:t>
      </w:r>
      <w:r w:rsidR="000D025B" w:rsidRPr="00F03A26">
        <w:rPr>
          <w:rFonts w:asciiTheme="majorBidi" w:hAnsiTheme="majorBidi" w:cstheme="majorBidi"/>
          <w:color w:val="000000" w:themeColor="text1"/>
          <w:lang w:val="en-GB"/>
        </w:rPr>
        <w:fldChar w:fldCharType="begin"/>
      </w:r>
      <w:r w:rsidR="000D025B" w:rsidRPr="00F03A26">
        <w:rPr>
          <w:rFonts w:asciiTheme="majorBidi" w:hAnsiTheme="majorBidi" w:cstheme="majorBidi"/>
          <w:color w:val="000000" w:themeColor="text1"/>
          <w:lang w:val="en-GB"/>
        </w:rPr>
        <w:instrText xml:space="preserve"> XE "BG90 </w:instrText>
      </w:r>
      <w:r w:rsidR="00EA6C63">
        <w:rPr>
          <w:rFonts w:asciiTheme="majorBidi" w:hAnsiTheme="majorBidi" w:cstheme="majorBidi"/>
          <w:color w:val="000000" w:themeColor="text1"/>
          <w:lang w:val="en-GB"/>
        </w:rPr>
        <w:instrText>t</w:instrText>
      </w:r>
      <w:r w:rsidR="000D025B" w:rsidRPr="00F03A26">
        <w:rPr>
          <w:rFonts w:asciiTheme="majorBidi" w:hAnsiTheme="majorBidi" w:cstheme="majorBidi"/>
          <w:color w:val="000000" w:themeColor="text1"/>
          <w:lang w:val="en-GB"/>
        </w:rPr>
        <w:instrText xml:space="preserve">omb" </w:instrText>
      </w:r>
      <w:r w:rsidR="000D025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is the only example in </w:t>
      </w:r>
      <w:r w:rsidR="00801444" w:rsidRPr="00F03A26">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and other Urartian </w:t>
      </w:r>
      <w:r w:rsidR="0074182F" w:rsidRPr="00F03A26">
        <w:rPr>
          <w:rFonts w:asciiTheme="majorBidi" w:hAnsiTheme="majorBidi" w:cstheme="majorBidi"/>
          <w:color w:val="000000" w:themeColor="text1"/>
          <w:lang w:val="en-GB"/>
        </w:rPr>
        <w:t>cities regarding</w:t>
      </w:r>
      <w:r w:rsidRPr="00F03A26">
        <w:rPr>
          <w:rFonts w:asciiTheme="majorBidi" w:hAnsiTheme="majorBidi" w:cstheme="majorBidi"/>
          <w:color w:val="000000" w:themeColor="text1"/>
          <w:lang w:val="en-GB"/>
        </w:rPr>
        <w:t xml:space="preserve"> plan and architectural details. BG90</w:t>
      </w:r>
      <w:r w:rsidR="009A2F9F" w:rsidRPr="00F03A26">
        <w:rPr>
          <w:rFonts w:asciiTheme="majorBidi" w:hAnsiTheme="majorBidi" w:cstheme="majorBidi"/>
          <w:color w:val="000000" w:themeColor="text1"/>
          <w:lang w:val="en-GB"/>
        </w:rPr>
        <w:t xml:space="preserve"> </w:t>
      </w:r>
      <w:r w:rsidR="004C4D4A" w:rsidRPr="00F03A26">
        <w:rPr>
          <w:rFonts w:asciiTheme="majorBidi" w:hAnsiTheme="majorBidi" w:cstheme="majorBidi"/>
          <w:color w:val="000000" w:themeColor="text1"/>
          <w:lang w:val="en-GB"/>
        </w:rPr>
        <w:t>tomb</w:t>
      </w:r>
      <w:r w:rsidRPr="00F03A26">
        <w:rPr>
          <w:rFonts w:asciiTheme="majorBidi" w:hAnsiTheme="majorBidi" w:cstheme="majorBidi"/>
          <w:color w:val="000000" w:themeColor="text1"/>
          <w:lang w:val="en-GB"/>
        </w:rPr>
        <w:t xml:space="preserve"> is a single chamber tomb with a niche extending along its side walls, accessed from the surface by a dromos. With these characteristics, it exhibits the same typological </w:t>
      </w:r>
      <w:r w:rsidR="00C94436" w:rsidRPr="00C94436">
        <w:rPr>
          <w:rFonts w:asciiTheme="majorBidi" w:hAnsiTheme="majorBidi" w:cstheme="majorBidi"/>
          <w:color w:val="202124"/>
          <w:shd w:val="clear" w:color="auto" w:fill="FFFFFF"/>
        </w:rPr>
        <w:t>features</w:t>
      </w:r>
      <w:r w:rsidRPr="00C9443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 xml:space="preserve">as the Urartian </w:t>
      </w:r>
      <w:r w:rsidR="00B71584">
        <w:rPr>
          <w:rFonts w:asciiTheme="majorBidi" w:hAnsiTheme="majorBidi" w:cstheme="majorBidi"/>
          <w:color w:val="000000" w:themeColor="text1"/>
          <w:lang w:val="en-GB"/>
        </w:rPr>
        <w:t>public</w:t>
      </w:r>
      <w:r w:rsidRPr="00F03A26">
        <w:rPr>
          <w:rFonts w:asciiTheme="majorBidi" w:hAnsiTheme="majorBidi" w:cstheme="majorBidi"/>
          <w:color w:val="000000" w:themeColor="text1"/>
          <w:lang w:val="en-GB"/>
        </w:rPr>
        <w:t xml:space="preserve"> graves, which are rooms dug underground for multiple burials. Although there are similar examples in settlements such as Karagündüz</w:t>
      </w:r>
      <w:r w:rsidR="009177D4" w:rsidRPr="00F03A26">
        <w:rPr>
          <w:rFonts w:asciiTheme="majorBidi" w:hAnsiTheme="majorBidi" w:cstheme="majorBidi"/>
          <w:color w:val="000000" w:themeColor="text1"/>
          <w:lang w:val="en-GB"/>
        </w:rPr>
        <w:fldChar w:fldCharType="begin"/>
      </w:r>
      <w:r w:rsidR="009177D4" w:rsidRPr="00F03A26">
        <w:rPr>
          <w:rFonts w:asciiTheme="majorBidi" w:hAnsiTheme="majorBidi" w:cstheme="majorBidi"/>
          <w:color w:val="000000" w:themeColor="text1"/>
          <w:lang w:val="en-GB"/>
        </w:rPr>
        <w:instrText xml:space="preserve"> XE "Karagündüz" </w:instrText>
      </w:r>
      <w:r w:rsidR="009177D4"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it is an unusual example </w:t>
      </w:r>
      <w:r w:rsidR="0074182F" w:rsidRPr="00F03A26">
        <w:rPr>
          <w:rFonts w:asciiTheme="majorBidi" w:hAnsiTheme="majorBidi" w:cstheme="majorBidi"/>
          <w:color w:val="000000" w:themeColor="text1"/>
          <w:lang w:val="en-GB"/>
        </w:rPr>
        <w:t>of</w:t>
      </w:r>
      <w:r w:rsidRPr="00F03A26">
        <w:rPr>
          <w:rFonts w:asciiTheme="majorBidi" w:hAnsiTheme="majorBidi" w:cstheme="majorBidi"/>
          <w:color w:val="000000" w:themeColor="text1"/>
          <w:lang w:val="en-GB"/>
        </w:rPr>
        <w:t xml:space="preserve"> a royal settlement in the central Urartian region</w:t>
      </w:r>
      <w:r w:rsidR="0074182F"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it is an </w:t>
      </w:r>
      <w:r w:rsidR="0074182F" w:rsidRPr="00F03A26">
        <w:rPr>
          <w:rFonts w:asciiTheme="majorBidi" w:hAnsiTheme="majorBidi" w:cstheme="majorBidi"/>
          <w:color w:val="000000" w:themeColor="text1"/>
          <w:lang w:val="en-GB"/>
        </w:rPr>
        <w:t>essential</w:t>
      </w:r>
      <w:r w:rsidRPr="00F03A26">
        <w:rPr>
          <w:rFonts w:asciiTheme="majorBidi" w:hAnsiTheme="majorBidi" w:cstheme="majorBidi"/>
          <w:color w:val="000000" w:themeColor="text1"/>
          <w:lang w:val="en-GB"/>
        </w:rPr>
        <w:t xml:space="preserve"> example in terms of showing the development of Urartian multi-chambered royal rock tombs. The fact that discoveries are still being made in such citadels shows us that we still have a long way to go in Urartian archaeology. </w:t>
      </w:r>
    </w:p>
    <w:p w14:paraId="6251C5A3" w14:textId="77777777" w:rsidR="00EF5A98" w:rsidRPr="00F03A26" w:rsidRDefault="00EF5A98" w:rsidP="00F03A26">
      <w:pPr>
        <w:jc w:val="both"/>
        <w:rPr>
          <w:rFonts w:asciiTheme="majorBidi" w:hAnsiTheme="majorBidi" w:cstheme="majorBidi"/>
          <w:color w:val="000000" w:themeColor="text1"/>
          <w:lang w:val="en-GB"/>
        </w:rPr>
      </w:pPr>
    </w:p>
    <w:p w14:paraId="6408CFA9" w14:textId="65E7E1B6" w:rsidR="00DB2A7B" w:rsidRPr="00F03A26" w:rsidRDefault="001C11C8"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The tombs are sometimes described according to their location, sometimes according to the king </w:t>
      </w:r>
      <w:r w:rsidR="00260D6B" w:rsidRPr="00F03A26">
        <w:rPr>
          <w:rFonts w:asciiTheme="majorBidi" w:hAnsiTheme="majorBidi" w:cstheme="majorBidi"/>
          <w:color w:val="000000" w:themeColor="text1"/>
          <w:lang w:val="en-GB"/>
        </w:rPr>
        <w:t xml:space="preserve">to whom </w:t>
      </w:r>
      <w:r w:rsidRPr="00F03A26">
        <w:rPr>
          <w:rFonts w:asciiTheme="majorBidi" w:hAnsiTheme="majorBidi" w:cstheme="majorBidi"/>
          <w:color w:val="000000" w:themeColor="text1"/>
          <w:lang w:val="en-GB"/>
        </w:rPr>
        <w:t xml:space="preserve">they are thought to belong, and sometimes according to their characteristics </w:t>
      </w:r>
      <w:r w:rsidRPr="00F03A26">
        <w:rPr>
          <w:rFonts w:asciiTheme="majorBidi" w:hAnsiTheme="majorBidi" w:cstheme="majorBidi"/>
          <w:color w:val="000000" w:themeColor="text1"/>
          <w:lang w:val="en-GB"/>
        </w:rPr>
        <w:lastRenderedPageBreak/>
        <w:t>(Chapter 9). Except for Argišti I</w:t>
      </w:r>
      <w:r w:rsidR="00CE69CA" w:rsidRPr="00F03A26">
        <w:rPr>
          <w:rFonts w:asciiTheme="majorBidi" w:hAnsiTheme="majorBidi" w:cstheme="majorBidi"/>
          <w:color w:val="000000" w:themeColor="text1"/>
          <w:lang w:val="en-GB"/>
        </w:rPr>
        <w:fldChar w:fldCharType="begin"/>
      </w:r>
      <w:r w:rsidR="00CE69CA" w:rsidRPr="00F03A26">
        <w:rPr>
          <w:rFonts w:asciiTheme="majorBidi" w:hAnsiTheme="majorBidi" w:cstheme="majorBidi"/>
          <w:color w:val="000000" w:themeColor="text1"/>
          <w:lang w:val="en-GB"/>
        </w:rPr>
        <w:instrText xml:space="preserve"> XE "</w:instrText>
      </w:r>
      <w:r w:rsidR="00CE69CA" w:rsidRPr="00EA6C63">
        <w:rPr>
          <w:rFonts w:asciiTheme="majorBidi" w:hAnsiTheme="majorBidi" w:cstheme="majorBidi"/>
          <w:color w:val="000000" w:themeColor="text1"/>
          <w:lang w:val="en-GB"/>
        </w:rPr>
        <w:instrText xml:space="preserve">Argišti </w:instrText>
      </w:r>
      <w:r w:rsidR="00CE69CA" w:rsidRPr="00F03A26">
        <w:rPr>
          <w:rFonts w:asciiTheme="majorBidi" w:hAnsiTheme="majorBidi" w:cstheme="majorBidi"/>
          <w:color w:val="000000" w:themeColor="text1"/>
          <w:lang w:val="en-GB"/>
        </w:rPr>
        <w:instrText xml:space="preserve">I" </w:instrText>
      </w:r>
      <w:r w:rsidR="00CE69CA"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the names of the kings are not used in the text except for dating suggestions, as their chronology is very controversial. For these, the Turkish names used by T. Tarhan are mostly taken as references. In this context, the grave with a relief on the façade to the north of</w:t>
      </w:r>
      <w:r w:rsidR="000A6541" w:rsidRPr="00F03A26">
        <w:rPr>
          <w:rFonts w:asciiTheme="majorBidi" w:hAnsiTheme="majorBidi" w:cstheme="majorBidi"/>
          <w:color w:val="000000" w:themeColor="text1"/>
          <w:lang w:val="en-GB"/>
        </w:rPr>
        <w:t xml:space="preserve"> the </w:t>
      </w:r>
      <w:r w:rsidR="00C94436">
        <w:rPr>
          <w:rFonts w:asciiTheme="majorBidi" w:hAnsiTheme="majorBidi" w:cstheme="majorBidi"/>
          <w:color w:val="000000" w:themeColor="text1"/>
          <w:lang w:val="en-GB"/>
        </w:rPr>
        <w:t>‘</w:t>
      </w:r>
      <w:r w:rsidR="006F2CA8" w:rsidRPr="00F03A26">
        <w:rPr>
          <w:rFonts w:asciiTheme="majorBidi" w:hAnsiTheme="majorBidi" w:cstheme="majorBidi"/>
          <w:color w:val="000000" w:themeColor="text1"/>
          <w:lang w:val="en-GB"/>
        </w:rPr>
        <w:t>Great</w:t>
      </w:r>
      <w:r w:rsidRPr="00F03A26">
        <w:rPr>
          <w:rFonts w:asciiTheme="majorBidi" w:hAnsiTheme="majorBidi" w:cstheme="majorBidi"/>
          <w:color w:val="000000" w:themeColor="text1"/>
          <w:lang w:val="en-GB"/>
        </w:rPr>
        <w:t xml:space="preserve"> </w:t>
      </w:r>
      <w:r w:rsidR="006F2CA8" w:rsidRPr="00F03A26">
        <w:rPr>
          <w:rFonts w:asciiTheme="majorBidi" w:hAnsiTheme="majorBidi" w:cstheme="majorBidi"/>
          <w:color w:val="000000" w:themeColor="text1"/>
          <w:lang w:val="en-GB"/>
        </w:rPr>
        <w:t>P</w:t>
      </w:r>
      <w:r w:rsidRPr="00F03A26">
        <w:rPr>
          <w:rFonts w:asciiTheme="majorBidi" w:hAnsiTheme="majorBidi" w:cstheme="majorBidi"/>
          <w:color w:val="000000" w:themeColor="text1"/>
          <w:lang w:val="en-GB"/>
        </w:rPr>
        <w:t>latform</w:t>
      </w:r>
      <w:r w:rsidR="006F2CA8" w:rsidRPr="00F03A26">
        <w:rPr>
          <w:rFonts w:asciiTheme="majorBidi" w:hAnsiTheme="majorBidi" w:cstheme="majorBidi"/>
          <w:color w:val="000000" w:themeColor="text1"/>
          <w:lang w:val="en-GB"/>
        </w:rPr>
        <w:fldChar w:fldCharType="begin"/>
      </w:r>
      <w:r w:rsidR="006F2CA8" w:rsidRPr="00F03A26">
        <w:rPr>
          <w:rFonts w:asciiTheme="majorBidi" w:hAnsiTheme="majorBidi" w:cstheme="majorBidi"/>
          <w:color w:val="000000" w:themeColor="text1"/>
          <w:lang w:val="en-GB"/>
        </w:rPr>
        <w:instrText xml:space="preserve"> XE "Great Platform" </w:instrText>
      </w:r>
      <w:r w:rsidR="006F2CA8" w:rsidRPr="00F03A26">
        <w:rPr>
          <w:rFonts w:asciiTheme="majorBidi" w:hAnsiTheme="majorBidi" w:cstheme="majorBidi"/>
          <w:color w:val="000000" w:themeColor="text1"/>
          <w:lang w:val="en-GB"/>
        </w:rPr>
        <w:fldChar w:fldCharType="end"/>
      </w:r>
      <w:r w:rsidR="00C9443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is called Neft </w:t>
      </w:r>
      <w:r w:rsidR="00F46CA8" w:rsidRPr="00F03A26">
        <w:rPr>
          <w:rFonts w:asciiTheme="majorBidi" w:hAnsiTheme="majorBidi" w:cstheme="majorBidi"/>
          <w:color w:val="000000" w:themeColor="text1"/>
          <w:lang w:val="en-GB"/>
        </w:rPr>
        <w:t>Kuyu</w:t>
      </w:r>
      <w:r w:rsidR="001F2587">
        <w:rPr>
          <w:rFonts w:asciiTheme="majorBidi" w:hAnsiTheme="majorBidi" w:cstheme="majorBidi"/>
          <w:color w:val="000000" w:themeColor="text1"/>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and the grave to the west is called </w:t>
      </w:r>
      <w:r w:rsidR="00935396" w:rsidRPr="00F03A26">
        <w:rPr>
          <w:rFonts w:asciiTheme="majorBidi" w:hAnsiTheme="majorBidi" w:cstheme="majorBidi"/>
          <w:color w:val="000000" w:themeColor="text1"/>
          <w:lang w:val="en-GB"/>
        </w:rPr>
        <w:t>İç Kale</w:t>
      </w:r>
      <w:r w:rsidR="00647545">
        <w:rPr>
          <w:rFonts w:asciiTheme="majorBidi" w:hAnsiTheme="majorBidi" w:cstheme="majorBidi"/>
          <w:color w:val="000000" w:themeColor="text1"/>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hAnsiTheme="majorBidi" w:cstheme="majorBidi"/>
          <w:color w:val="000000" w:themeColor="text1"/>
          <w:lang w:val="en-GB"/>
        </w:rPr>
        <w:fldChar w:fldCharType="end"/>
      </w:r>
      <w:r w:rsidR="00935396"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Kurucular/</w:t>
      </w:r>
      <w:r w:rsidR="00ED6714" w:rsidRPr="00F03A26">
        <w:rPr>
          <w:rFonts w:asciiTheme="majorBidi" w:hAnsiTheme="majorBidi" w:cstheme="majorBidi"/>
          <w:color w:val="000000" w:themeColor="text1"/>
          <w:lang w:val="en-GB"/>
        </w:rPr>
        <w:t xml:space="preserve">Inner </w:t>
      </w:r>
      <w:r w:rsidR="007517B6" w:rsidRPr="00F03A26">
        <w:rPr>
          <w:rFonts w:asciiTheme="majorBidi" w:hAnsiTheme="majorBidi" w:cstheme="majorBidi"/>
          <w:color w:val="000000" w:themeColor="text1"/>
          <w:lang w:val="en-GB"/>
        </w:rPr>
        <w:t>C</w:t>
      </w:r>
      <w:r w:rsidR="00807F56" w:rsidRPr="00F03A26">
        <w:rPr>
          <w:rFonts w:asciiTheme="majorBidi" w:hAnsiTheme="majorBidi" w:cstheme="majorBidi"/>
          <w:color w:val="000000" w:themeColor="text1"/>
          <w:lang w:val="en-GB"/>
        </w:rPr>
        <w:t>itadel</w:t>
      </w:r>
      <w:r w:rsidR="00C1513A">
        <w:rPr>
          <w:rFonts w:asciiTheme="majorBidi" w:hAnsiTheme="majorBidi" w:cstheme="majorBidi"/>
          <w:color w:val="000000" w:themeColor="text1"/>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Where Turkish names are first given, their common English usage is also shown in par</w:t>
      </w:r>
      <w:r w:rsidR="000A6541" w:rsidRPr="00F03A26">
        <w:rPr>
          <w:rFonts w:asciiTheme="majorBidi" w:hAnsiTheme="majorBidi" w:cstheme="majorBidi"/>
          <w:color w:val="000000" w:themeColor="text1"/>
          <w:lang w:val="en-GB"/>
        </w:rPr>
        <w:t xml:space="preserve">entheses at the beginning; the </w:t>
      </w:r>
      <w:r w:rsidR="00C9443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Founde</w:t>
      </w:r>
      <w:r w:rsidR="000A6541" w:rsidRPr="00F03A26">
        <w:rPr>
          <w:rFonts w:asciiTheme="majorBidi" w:hAnsiTheme="majorBidi" w:cstheme="majorBidi"/>
          <w:color w:val="000000" w:themeColor="text1"/>
          <w:lang w:val="en-GB"/>
        </w:rPr>
        <w:t xml:space="preserve">rs/Inner </w:t>
      </w:r>
      <w:r w:rsidR="00807F56" w:rsidRPr="00F03A26">
        <w:rPr>
          <w:rFonts w:asciiTheme="majorBidi" w:hAnsiTheme="majorBidi" w:cstheme="majorBidi"/>
          <w:color w:val="000000" w:themeColor="text1"/>
          <w:lang w:val="en-GB"/>
        </w:rPr>
        <w:t>citadel</w:t>
      </w:r>
      <w:r w:rsidR="00C9443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tomb has </w:t>
      </w:r>
      <w:r w:rsidR="000A6541" w:rsidRPr="00F03A26">
        <w:rPr>
          <w:rFonts w:asciiTheme="majorBidi" w:hAnsiTheme="majorBidi" w:cstheme="majorBidi"/>
          <w:color w:val="000000" w:themeColor="text1"/>
          <w:lang w:val="en-GB"/>
        </w:rPr>
        <w:t xml:space="preserve">continued to be referred to as </w:t>
      </w:r>
      <w:r w:rsidR="00C94436">
        <w:rPr>
          <w:rFonts w:asciiTheme="majorBidi" w:hAnsiTheme="majorBidi" w:cstheme="majorBidi"/>
          <w:color w:val="000000" w:themeColor="text1"/>
          <w:lang w:val="en-GB"/>
        </w:rPr>
        <w:t>‘</w:t>
      </w:r>
      <w:r w:rsidR="005F421B" w:rsidRPr="00F03A26">
        <w:rPr>
          <w:rFonts w:asciiTheme="majorBidi" w:hAnsiTheme="majorBidi" w:cstheme="majorBidi"/>
          <w:color w:val="000000" w:themeColor="text1"/>
          <w:lang w:val="en-GB"/>
        </w:rPr>
        <w:t>İç Kale</w:t>
      </w:r>
      <w:r w:rsidR="00C9443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in secondary uses.</w:t>
      </w:r>
      <w:r w:rsidR="00164DCD" w:rsidRPr="00F03A26">
        <w:rPr>
          <w:rFonts w:asciiTheme="majorBidi" w:hAnsiTheme="majorBidi" w:cstheme="majorBidi"/>
          <w:color w:val="000000" w:themeColor="text1"/>
          <w:lang w:val="en-GB"/>
        </w:rPr>
        <w:t xml:space="preserve"> The multi-chambered grave to the east of the </w:t>
      </w:r>
      <w:r w:rsidR="00DD471B" w:rsidRPr="00F03A26">
        <w:rPr>
          <w:rFonts w:asciiTheme="majorBidi" w:hAnsiTheme="majorBidi" w:cstheme="majorBidi"/>
          <w:color w:val="000000" w:themeColor="text1"/>
          <w:lang w:val="en-GB"/>
        </w:rPr>
        <w:t>East Ditch</w:t>
      </w:r>
      <w:r w:rsidR="00647545">
        <w:rPr>
          <w:rFonts w:asciiTheme="majorBidi" w:hAnsiTheme="majorBidi" w:cstheme="majorBidi"/>
          <w:color w:val="000000" w:themeColor="text1"/>
          <w:lang w:val="en-GB"/>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hAnsiTheme="majorBidi" w:cstheme="majorBidi"/>
          <w:color w:val="000000" w:themeColor="text1"/>
          <w:lang w:val="en-GB"/>
        </w:rPr>
        <w:fldChar w:fldCharType="end"/>
      </w:r>
      <w:r w:rsidR="00DD471B" w:rsidRPr="00F03A26">
        <w:rPr>
          <w:rFonts w:asciiTheme="majorBidi" w:hAnsiTheme="majorBidi" w:cstheme="majorBidi"/>
          <w:color w:val="000000" w:themeColor="text1"/>
          <w:lang w:val="en-GB"/>
        </w:rPr>
        <w:t>,</w:t>
      </w:r>
      <w:r w:rsidR="00164DCD" w:rsidRPr="00F03A26">
        <w:rPr>
          <w:rFonts w:asciiTheme="majorBidi" w:hAnsiTheme="majorBidi" w:cstheme="majorBidi"/>
          <w:color w:val="000000" w:themeColor="text1"/>
          <w:lang w:val="en-GB"/>
        </w:rPr>
        <w:t xml:space="preserve"> was named as </w:t>
      </w:r>
      <w:r w:rsidR="000F3586" w:rsidRPr="00F03A26">
        <w:rPr>
          <w:rFonts w:asciiTheme="majorBidi" w:hAnsiTheme="majorBidi" w:cstheme="majorBidi"/>
          <w:color w:val="000000" w:themeColor="text1"/>
          <w:lang w:val="en-GB"/>
        </w:rPr>
        <w:t>Doğu Odaları</w:t>
      </w:r>
      <w:r w:rsidR="001F2587">
        <w:rPr>
          <w:rFonts w:asciiTheme="majorBidi" w:hAnsiTheme="majorBidi" w:cstheme="majorBidi"/>
          <w:color w:val="000000" w:themeColor="text1"/>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hAnsiTheme="majorBidi" w:cstheme="majorBidi"/>
          <w:color w:val="000000" w:themeColor="text1"/>
          <w:lang w:val="en-GB"/>
        </w:rPr>
        <w:fldChar w:fldCharType="end"/>
      </w:r>
      <w:r w:rsidR="005F421B" w:rsidRPr="00F03A26">
        <w:rPr>
          <w:rFonts w:asciiTheme="majorBidi" w:hAnsiTheme="majorBidi" w:cstheme="majorBidi"/>
          <w:color w:val="000000" w:themeColor="text1"/>
          <w:lang w:val="en-GB"/>
        </w:rPr>
        <w:t xml:space="preserve"> (</w:t>
      </w:r>
      <w:r w:rsidR="00164DCD" w:rsidRPr="00F03A26">
        <w:rPr>
          <w:rFonts w:asciiTheme="majorBidi" w:hAnsiTheme="majorBidi" w:cstheme="majorBidi"/>
          <w:color w:val="000000" w:themeColor="text1"/>
          <w:lang w:val="en-GB"/>
        </w:rPr>
        <w:t>East Chambers</w:t>
      </w:r>
      <w:r w:rsidR="005F421B" w:rsidRPr="00F03A26">
        <w:rPr>
          <w:rFonts w:asciiTheme="majorBidi" w:hAnsiTheme="majorBidi" w:cstheme="majorBidi"/>
          <w:color w:val="000000" w:themeColor="text1"/>
          <w:lang w:val="en-GB"/>
        </w:rPr>
        <w:t>)</w:t>
      </w:r>
      <w:r w:rsidR="00164DCD" w:rsidRPr="00F03A26">
        <w:rPr>
          <w:rFonts w:asciiTheme="majorBidi" w:hAnsiTheme="majorBidi" w:cstheme="majorBidi"/>
          <w:color w:val="000000" w:themeColor="text1"/>
          <w:lang w:val="en-GB"/>
        </w:rPr>
        <w:t xml:space="preserve">. The one-chambered grave further east, identified as the Cremation </w:t>
      </w:r>
      <w:r w:rsidR="004C4D4A" w:rsidRPr="00F03A26">
        <w:rPr>
          <w:rFonts w:asciiTheme="majorBidi" w:hAnsiTheme="majorBidi" w:cstheme="majorBidi"/>
          <w:color w:val="000000" w:themeColor="text1"/>
          <w:lang w:val="en-GB"/>
        </w:rPr>
        <w:t>tomb</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"Cremation </w:instrText>
      </w:r>
      <w:r w:rsidR="00EA6C63">
        <w:rPr>
          <w:rFonts w:asciiTheme="majorBidi" w:hAnsiTheme="majorBidi" w:cstheme="majorBidi"/>
          <w:color w:val="000000" w:themeColor="text1"/>
          <w:lang w:val="en-GB"/>
        </w:rPr>
        <w:instrText>t</w:instrText>
      </w:r>
      <w:r w:rsidR="005F421B" w:rsidRPr="00F03A26">
        <w:rPr>
          <w:rFonts w:asciiTheme="majorBidi" w:hAnsiTheme="majorBidi" w:cstheme="majorBidi"/>
          <w:color w:val="000000" w:themeColor="text1"/>
          <w:lang w:val="en-GB"/>
        </w:rPr>
        <w:instrText xml:space="preserve">omb" </w:instrText>
      </w:r>
      <w:r w:rsidR="005F421B" w:rsidRPr="00F03A26">
        <w:rPr>
          <w:rFonts w:asciiTheme="majorBidi" w:hAnsiTheme="majorBidi" w:cstheme="majorBidi"/>
          <w:color w:val="000000" w:themeColor="text1"/>
          <w:lang w:val="en-GB"/>
        </w:rPr>
        <w:fldChar w:fldCharType="end"/>
      </w:r>
      <w:r w:rsidR="00164DCD" w:rsidRPr="00F03A26">
        <w:rPr>
          <w:rFonts w:asciiTheme="majorBidi" w:hAnsiTheme="majorBidi" w:cstheme="majorBidi"/>
          <w:color w:val="000000" w:themeColor="text1"/>
          <w:lang w:val="en-GB"/>
        </w:rPr>
        <w:t xml:space="preserve">, is also named as a cremation </w:t>
      </w:r>
      <w:r w:rsidR="00B71584">
        <w:rPr>
          <w:rFonts w:asciiTheme="majorBidi" w:hAnsiTheme="majorBidi" w:cstheme="majorBidi"/>
          <w:color w:val="000000" w:themeColor="text1"/>
          <w:lang w:val="en-GB"/>
        </w:rPr>
        <w:t>tomb</w:t>
      </w:r>
      <w:r w:rsidR="00164DCD" w:rsidRPr="00F03A26">
        <w:rPr>
          <w:rFonts w:asciiTheme="majorBidi" w:hAnsiTheme="majorBidi" w:cstheme="majorBidi"/>
          <w:color w:val="000000" w:themeColor="text1"/>
          <w:lang w:val="en-GB"/>
        </w:rPr>
        <w:t xml:space="preserve">. On the other hand, the grave under the grave of Argišti I. </w:t>
      </w:r>
      <w:r w:rsidR="00D5494C" w:rsidRPr="00F03A26">
        <w:rPr>
          <w:rFonts w:asciiTheme="majorBidi" w:hAnsiTheme="majorBidi" w:cstheme="majorBidi"/>
          <w:color w:val="000000" w:themeColor="text1"/>
          <w:lang w:val="en-GB"/>
        </w:rPr>
        <w:t>Small Horhor</w:t>
      </w:r>
      <w:r w:rsidR="00DC7D1F" w:rsidRPr="00F03A26">
        <w:rPr>
          <w:rFonts w:asciiTheme="majorBidi" w:hAnsiTheme="majorBidi" w:cstheme="majorBidi"/>
          <w:color w:val="000000" w:themeColor="text1"/>
          <w:lang w:val="en-GB"/>
        </w:rPr>
        <w:fldChar w:fldCharType="begin"/>
      </w:r>
      <w:r w:rsidR="00DC7D1F" w:rsidRPr="00F03A26">
        <w:rPr>
          <w:rFonts w:asciiTheme="majorBidi" w:hAnsiTheme="majorBidi" w:cstheme="majorBidi"/>
          <w:color w:val="000000" w:themeColor="text1"/>
          <w:lang w:val="en-GB"/>
        </w:rPr>
        <w:instrText xml:space="preserve"> XE "</w:instrText>
      </w:r>
      <w:r w:rsidR="00DC7D1F" w:rsidRPr="00F03A26">
        <w:rPr>
          <w:rStyle w:val="y2iqfc"/>
          <w:rFonts w:asciiTheme="majorBidi" w:eastAsia="Arial" w:hAnsiTheme="majorBidi" w:cstheme="majorBidi"/>
          <w:color w:val="000000" w:themeColor="text1"/>
          <w:lang w:val="en-GB"/>
        </w:rPr>
        <w:instrText>Horhor</w:instrText>
      </w:r>
      <w:r w:rsidR="00DC7D1F" w:rsidRPr="00F03A26">
        <w:rPr>
          <w:rFonts w:asciiTheme="majorBidi" w:hAnsiTheme="majorBidi" w:cstheme="majorBidi"/>
          <w:color w:val="000000" w:themeColor="text1"/>
          <w:lang w:val="en-GB"/>
        </w:rPr>
        <w:instrText xml:space="preserve">" </w:instrText>
      </w:r>
      <w:r w:rsidR="00DC7D1F" w:rsidRPr="00F03A26">
        <w:rPr>
          <w:rFonts w:asciiTheme="majorBidi" w:hAnsiTheme="majorBidi" w:cstheme="majorBidi"/>
          <w:color w:val="000000" w:themeColor="text1"/>
          <w:lang w:val="en-GB"/>
        </w:rPr>
        <w:fldChar w:fldCharType="end"/>
      </w:r>
      <w:r w:rsidR="003159F6" w:rsidRPr="00F03A26">
        <w:rPr>
          <w:rFonts w:asciiTheme="majorBidi" w:hAnsiTheme="majorBidi" w:cstheme="majorBidi"/>
          <w:color w:val="000000" w:themeColor="text1"/>
          <w:lang w:val="en-GB"/>
        </w:rPr>
        <w:t xml:space="preserve"> </w:t>
      </w:r>
      <w:r w:rsidR="004F4D01" w:rsidRPr="00F03A26">
        <w:rPr>
          <w:rFonts w:asciiTheme="majorBidi" w:hAnsiTheme="majorBidi" w:cstheme="majorBidi"/>
          <w:color w:val="000000" w:themeColor="text1"/>
          <w:lang w:val="en-GB"/>
        </w:rPr>
        <w:t>tomb</w:t>
      </w:r>
      <w:r w:rsidR="003159F6" w:rsidRPr="00F03A26">
        <w:rPr>
          <w:rFonts w:asciiTheme="majorBidi" w:hAnsiTheme="majorBidi" w:cstheme="majorBidi"/>
          <w:color w:val="000000" w:themeColor="text1"/>
          <w:lang w:val="en-GB"/>
        </w:rPr>
        <w:fldChar w:fldCharType="begin"/>
      </w:r>
      <w:r w:rsidR="003159F6" w:rsidRPr="00F03A26">
        <w:rPr>
          <w:rFonts w:asciiTheme="majorBidi" w:hAnsiTheme="majorBidi" w:cstheme="majorBidi"/>
          <w:color w:val="000000" w:themeColor="text1"/>
          <w:lang w:val="en-GB"/>
        </w:rPr>
        <w:instrText xml:space="preserve"> XE "Small Horhor </w:instrText>
      </w:r>
      <w:r w:rsidR="00EA6C63">
        <w:rPr>
          <w:rFonts w:asciiTheme="majorBidi" w:hAnsiTheme="majorBidi" w:cstheme="majorBidi"/>
          <w:color w:val="000000" w:themeColor="text1"/>
          <w:lang w:val="en-GB"/>
        </w:rPr>
        <w:instrText>t</w:instrText>
      </w:r>
      <w:r w:rsidR="003159F6" w:rsidRPr="00F03A26">
        <w:rPr>
          <w:rFonts w:asciiTheme="majorBidi" w:hAnsiTheme="majorBidi" w:cstheme="majorBidi"/>
          <w:color w:val="000000" w:themeColor="text1"/>
          <w:lang w:val="en-GB"/>
        </w:rPr>
        <w:instrText xml:space="preserve">omb" </w:instrText>
      </w:r>
      <w:r w:rsidR="003159F6" w:rsidRPr="00F03A26">
        <w:rPr>
          <w:rFonts w:asciiTheme="majorBidi" w:hAnsiTheme="majorBidi" w:cstheme="majorBidi"/>
          <w:color w:val="000000" w:themeColor="text1"/>
          <w:lang w:val="en-GB"/>
        </w:rPr>
        <w:fldChar w:fldCharType="end"/>
      </w:r>
      <w:r w:rsidR="00164DCD" w:rsidRPr="00F03A26">
        <w:rPr>
          <w:rFonts w:asciiTheme="majorBidi" w:hAnsiTheme="majorBidi" w:cstheme="majorBidi"/>
          <w:color w:val="000000" w:themeColor="text1"/>
          <w:lang w:val="en-GB"/>
        </w:rPr>
        <w:t>, the small grave chamber opened into the bedrock at the upper level</w:t>
      </w:r>
      <w:r w:rsidR="00C94436">
        <w:rPr>
          <w:rFonts w:asciiTheme="majorBidi" w:hAnsiTheme="majorBidi" w:cstheme="majorBidi"/>
          <w:color w:val="000000" w:themeColor="text1"/>
          <w:lang w:val="en-GB"/>
        </w:rPr>
        <w:t xml:space="preserve"> </w:t>
      </w:r>
      <w:r w:rsidR="00164DCD" w:rsidRPr="00F03A26">
        <w:rPr>
          <w:rFonts w:asciiTheme="majorBidi" w:hAnsiTheme="majorBidi" w:cstheme="majorBidi"/>
          <w:color w:val="000000" w:themeColor="text1"/>
          <w:lang w:val="en-GB"/>
        </w:rPr>
        <w:t xml:space="preserve">of the </w:t>
      </w:r>
      <w:r w:rsidR="005F421B" w:rsidRPr="00F03A26">
        <w:rPr>
          <w:rFonts w:asciiTheme="majorBidi" w:hAnsiTheme="majorBidi" w:cstheme="majorBidi"/>
          <w:color w:val="000000" w:themeColor="text1"/>
          <w:lang w:val="en-GB"/>
        </w:rPr>
        <w:t>İç Kale</w:t>
      </w:r>
      <w:r w:rsidR="00164DCD" w:rsidRPr="00F03A26">
        <w:rPr>
          <w:rFonts w:asciiTheme="majorBidi" w:hAnsiTheme="majorBidi" w:cstheme="majorBidi"/>
          <w:color w:val="000000" w:themeColor="text1"/>
          <w:lang w:val="en-GB"/>
        </w:rPr>
        <w:t xml:space="preserve"> grave just below the </w:t>
      </w:r>
      <w:r w:rsidR="005F421B" w:rsidRPr="00F03A26">
        <w:rPr>
          <w:rFonts w:asciiTheme="majorBidi" w:hAnsiTheme="majorBidi" w:cstheme="majorBidi"/>
          <w:color w:val="000000" w:themeColor="text1"/>
          <w:lang w:val="en-GB"/>
        </w:rPr>
        <w:t>İç Kale</w:t>
      </w:r>
      <w:r w:rsidR="00164DCD" w:rsidRPr="00F03A26">
        <w:rPr>
          <w:rFonts w:asciiTheme="majorBidi" w:hAnsiTheme="majorBidi" w:cstheme="majorBidi"/>
          <w:color w:val="000000" w:themeColor="text1"/>
          <w:lang w:val="en-GB"/>
        </w:rPr>
        <w:t>, the Arsenal</w:t>
      </w:r>
      <w:r w:rsidR="00C1513A">
        <w:rPr>
          <w:rFonts w:asciiTheme="majorBidi" w:hAnsiTheme="majorBidi" w:cstheme="majorBidi"/>
          <w:color w:val="000000" w:themeColor="text1"/>
          <w:lang w:val="en-GB"/>
        </w:rPr>
        <w:fldChar w:fldCharType="begin"/>
      </w:r>
      <w:r w:rsidR="00C1513A">
        <w:instrText xml:space="preserve"> XE "</w:instrText>
      </w:r>
      <w:r w:rsidR="00C1513A" w:rsidRPr="0028570E">
        <w:rPr>
          <w:rFonts w:asciiTheme="majorBidi" w:eastAsia="Times New Roman" w:hAnsiTheme="majorBidi" w:cstheme="majorBidi"/>
          <w:lang w:val="en-GB"/>
        </w:rPr>
        <w:instrText>Arsenal</w:instrText>
      </w:r>
      <w:r w:rsidR="00C1513A">
        <w:instrText xml:space="preserve">" </w:instrText>
      </w:r>
      <w:r w:rsidR="00C1513A">
        <w:rPr>
          <w:rFonts w:asciiTheme="majorBidi" w:hAnsiTheme="majorBidi" w:cstheme="majorBidi"/>
          <w:color w:val="000000" w:themeColor="text1"/>
          <w:lang w:val="en-GB"/>
        </w:rPr>
        <w:fldChar w:fldCharType="end"/>
      </w:r>
      <w:r w:rsidR="006F2CA8" w:rsidRPr="00F03A26">
        <w:rPr>
          <w:rFonts w:asciiTheme="majorBidi" w:hAnsiTheme="majorBidi" w:cstheme="majorBidi"/>
          <w:color w:val="000000" w:themeColor="text1"/>
          <w:lang w:val="en-GB"/>
        </w:rPr>
        <w:t>/</w:t>
      </w:r>
      <w:r w:rsidR="006F2CA8" w:rsidRPr="00F03A26">
        <w:rPr>
          <w:rFonts w:asciiTheme="majorBidi" w:hAnsiTheme="majorBidi" w:cstheme="majorBidi"/>
          <w:bCs/>
          <w:color w:val="000000" w:themeColor="text1"/>
          <w:lang w:val="en-GB"/>
        </w:rPr>
        <w:t xml:space="preserve">BD78 </w:t>
      </w:r>
      <w:r w:rsidR="004C4D4A" w:rsidRPr="00F03A26">
        <w:rPr>
          <w:rFonts w:asciiTheme="majorBidi" w:hAnsiTheme="majorBidi" w:cstheme="majorBidi"/>
          <w:bCs/>
          <w:color w:val="000000" w:themeColor="text1"/>
          <w:lang w:val="en-GB"/>
        </w:rPr>
        <w:t>tomb</w:t>
      </w:r>
      <w:r w:rsidR="00164DCD" w:rsidRPr="00F03A26">
        <w:rPr>
          <w:rFonts w:asciiTheme="majorBidi" w:hAnsiTheme="majorBidi" w:cstheme="majorBidi"/>
          <w:color w:val="000000" w:themeColor="text1"/>
          <w:lang w:val="en-GB"/>
        </w:rPr>
        <w:t>, the grave under the large platform and the BG90</w:t>
      </w:r>
      <w:r w:rsidR="000D025B" w:rsidRPr="00F03A26">
        <w:rPr>
          <w:rFonts w:asciiTheme="majorBidi" w:hAnsiTheme="majorBidi" w:cstheme="majorBidi"/>
          <w:color w:val="000000" w:themeColor="text1"/>
          <w:lang w:val="en-GB"/>
        </w:rPr>
        <w:t xml:space="preserve"> </w:t>
      </w:r>
      <w:r w:rsidR="004C4D4A" w:rsidRPr="00F03A26">
        <w:rPr>
          <w:rFonts w:asciiTheme="majorBidi" w:hAnsiTheme="majorBidi" w:cstheme="majorBidi"/>
          <w:color w:val="000000" w:themeColor="text1"/>
          <w:lang w:val="en-GB"/>
        </w:rPr>
        <w:t>tomb</w:t>
      </w:r>
      <w:r w:rsidR="000D025B" w:rsidRPr="00F03A26">
        <w:rPr>
          <w:rFonts w:asciiTheme="majorBidi" w:hAnsiTheme="majorBidi" w:cstheme="majorBidi"/>
          <w:color w:val="000000" w:themeColor="text1"/>
          <w:lang w:val="en-GB"/>
        </w:rPr>
        <w:fldChar w:fldCharType="begin"/>
      </w:r>
      <w:r w:rsidR="000D025B" w:rsidRPr="00F03A26">
        <w:rPr>
          <w:rFonts w:asciiTheme="majorBidi" w:hAnsiTheme="majorBidi" w:cstheme="majorBidi"/>
          <w:color w:val="000000" w:themeColor="text1"/>
          <w:lang w:val="en-GB"/>
        </w:rPr>
        <w:instrText xml:space="preserve"> XE "BG90 Tomb" </w:instrText>
      </w:r>
      <w:r w:rsidR="000D025B" w:rsidRPr="00F03A26">
        <w:rPr>
          <w:rFonts w:asciiTheme="majorBidi" w:hAnsiTheme="majorBidi" w:cstheme="majorBidi"/>
          <w:color w:val="000000" w:themeColor="text1"/>
          <w:lang w:val="en-GB"/>
        </w:rPr>
        <w:fldChar w:fldCharType="end"/>
      </w:r>
      <w:r w:rsidR="000D025B" w:rsidRPr="00F03A26">
        <w:rPr>
          <w:rFonts w:asciiTheme="majorBidi" w:hAnsiTheme="majorBidi" w:cstheme="majorBidi"/>
          <w:color w:val="000000" w:themeColor="text1"/>
          <w:lang w:val="en-GB"/>
        </w:rPr>
        <w:t xml:space="preserve"> </w:t>
      </w:r>
      <w:r w:rsidR="00164DCD" w:rsidRPr="00F03A26">
        <w:rPr>
          <w:rFonts w:asciiTheme="majorBidi" w:hAnsiTheme="majorBidi" w:cstheme="majorBidi"/>
          <w:color w:val="000000" w:themeColor="text1"/>
          <w:lang w:val="en-GB"/>
        </w:rPr>
        <w:t>unearthed by us are also based on the grid system. In addition, to avoid possible confusion, the grid system in which the largest area of each grave chamber is entered is suggested as the grave name.</w:t>
      </w:r>
      <w:r w:rsidR="00C94436">
        <w:rPr>
          <w:rFonts w:asciiTheme="majorBidi" w:hAnsiTheme="majorBidi" w:cstheme="majorBidi"/>
          <w:color w:val="000000" w:themeColor="text1"/>
          <w:lang w:val="en-GB"/>
        </w:rPr>
        <w:t xml:space="preserve"> </w:t>
      </w:r>
      <w:r w:rsidR="00164DCD" w:rsidRPr="00F03A26">
        <w:rPr>
          <w:rFonts w:asciiTheme="majorBidi" w:hAnsiTheme="majorBidi" w:cstheme="majorBidi"/>
          <w:color w:val="000000" w:themeColor="text1"/>
          <w:lang w:val="en-GB"/>
        </w:rPr>
        <w:t xml:space="preserve">For example, </w:t>
      </w:r>
      <w:r w:rsidR="0074182F" w:rsidRPr="00F03A26">
        <w:rPr>
          <w:rFonts w:asciiTheme="majorBidi" w:hAnsiTheme="majorBidi" w:cstheme="majorBidi"/>
          <w:color w:val="000000" w:themeColor="text1"/>
          <w:lang w:val="en-GB"/>
        </w:rPr>
        <w:t xml:space="preserve">the </w:t>
      </w:r>
      <w:r w:rsidR="00164DCD" w:rsidRPr="00F03A26">
        <w:rPr>
          <w:rFonts w:asciiTheme="majorBidi" w:hAnsiTheme="majorBidi" w:cstheme="majorBidi"/>
          <w:iCs/>
          <w:color w:val="000000" w:themeColor="text1"/>
          <w:lang w:val="en-GB"/>
        </w:rPr>
        <w:t>Argišti</w:t>
      </w:r>
      <w:r w:rsidR="009E2B7F" w:rsidRPr="00F03A26">
        <w:rPr>
          <w:rFonts w:asciiTheme="majorBidi" w:hAnsiTheme="majorBidi" w:cstheme="majorBidi"/>
          <w:iCs/>
          <w:color w:val="000000" w:themeColor="text1"/>
          <w:lang w:val="en-GB"/>
        </w:rPr>
        <w:t xml:space="preserve"> I</w:t>
      </w:r>
      <w:r w:rsidR="00164DCD" w:rsidRPr="00F03A26">
        <w:rPr>
          <w:rFonts w:asciiTheme="majorBidi" w:hAnsiTheme="majorBidi" w:cstheme="majorBidi"/>
          <w:color w:val="000000" w:themeColor="text1"/>
          <w:lang w:val="en-GB"/>
        </w:rPr>
        <w:t xml:space="preserve"> </w:t>
      </w:r>
      <w:r w:rsidR="004C4D4A" w:rsidRPr="00F03A26">
        <w:rPr>
          <w:rFonts w:asciiTheme="majorBidi" w:hAnsiTheme="majorBidi" w:cstheme="majorBidi"/>
          <w:color w:val="000000" w:themeColor="text1"/>
          <w:lang w:val="en-GB"/>
        </w:rPr>
        <w:t>tomb</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w:instrText>
      </w:r>
      <w:r w:rsidR="005F421B" w:rsidRPr="00573B62">
        <w:rPr>
          <w:rFonts w:asciiTheme="majorBidi" w:hAnsiTheme="majorBidi" w:cstheme="majorBidi"/>
          <w:color w:val="000000" w:themeColor="text1"/>
          <w:lang w:val="en-GB"/>
        </w:rPr>
        <w:instrText>XE "Argišti</w:instrText>
      </w:r>
      <w:r w:rsidR="009E2B7F" w:rsidRPr="00573B62">
        <w:rPr>
          <w:rFonts w:asciiTheme="majorBidi" w:hAnsiTheme="majorBidi" w:cstheme="majorBidi"/>
          <w:color w:val="000000" w:themeColor="text1"/>
          <w:lang w:val="en-GB"/>
        </w:rPr>
        <w:instrText xml:space="preserve"> I</w:instrText>
      </w:r>
      <w:r w:rsidR="005F421B" w:rsidRPr="00573B62">
        <w:rPr>
          <w:rFonts w:asciiTheme="majorBidi" w:hAnsiTheme="majorBidi" w:cstheme="majorBidi"/>
          <w:color w:val="000000" w:themeColor="text1"/>
          <w:lang w:val="en-GB"/>
        </w:rPr>
        <w:instrText xml:space="preserve"> </w:instrText>
      </w:r>
      <w:r w:rsidR="00573B62">
        <w:rPr>
          <w:rFonts w:asciiTheme="majorBidi" w:hAnsiTheme="majorBidi" w:cstheme="majorBidi"/>
          <w:color w:val="000000" w:themeColor="text1"/>
          <w:lang w:val="en-GB"/>
        </w:rPr>
        <w:instrText>t</w:instrText>
      </w:r>
      <w:r w:rsidR="005F421B" w:rsidRPr="00573B62">
        <w:rPr>
          <w:rFonts w:asciiTheme="majorBidi" w:hAnsiTheme="majorBidi" w:cstheme="majorBidi"/>
          <w:color w:val="000000" w:themeColor="text1"/>
          <w:lang w:val="en-GB"/>
        </w:rPr>
        <w:instrText>omb</w:instrText>
      </w:r>
      <w:r w:rsidR="005F421B" w:rsidRPr="00F03A26">
        <w:rPr>
          <w:rFonts w:asciiTheme="majorBidi" w:hAnsiTheme="majorBidi" w:cstheme="majorBidi"/>
          <w:color w:val="000000" w:themeColor="text1"/>
          <w:lang w:val="en-GB"/>
        </w:rPr>
        <w:instrText xml:space="preserve">" </w:instrText>
      </w:r>
      <w:r w:rsidR="005F421B" w:rsidRPr="00F03A26">
        <w:rPr>
          <w:rFonts w:asciiTheme="majorBidi" w:hAnsiTheme="majorBidi" w:cstheme="majorBidi"/>
          <w:color w:val="000000" w:themeColor="text1"/>
          <w:lang w:val="en-GB"/>
        </w:rPr>
        <w:fldChar w:fldCharType="end"/>
      </w:r>
      <w:r w:rsidR="00164DCD" w:rsidRPr="00F03A26">
        <w:rPr>
          <w:rFonts w:asciiTheme="majorBidi" w:hAnsiTheme="majorBidi" w:cstheme="majorBidi"/>
          <w:color w:val="000000" w:themeColor="text1"/>
          <w:lang w:val="en-GB"/>
        </w:rPr>
        <w:t xml:space="preserve"> is named AL20-21, </w:t>
      </w:r>
      <w:r w:rsidR="0074182F" w:rsidRPr="00F03A26">
        <w:rPr>
          <w:rFonts w:asciiTheme="majorBidi" w:hAnsiTheme="majorBidi" w:cstheme="majorBidi"/>
          <w:color w:val="000000" w:themeColor="text1"/>
          <w:lang w:val="en-GB"/>
        </w:rPr>
        <w:t xml:space="preserve">the </w:t>
      </w:r>
      <w:r w:rsidR="00D5494C" w:rsidRPr="00F03A26">
        <w:rPr>
          <w:rFonts w:asciiTheme="majorBidi" w:hAnsiTheme="majorBidi" w:cstheme="majorBidi"/>
          <w:color w:val="000000" w:themeColor="text1"/>
          <w:lang w:val="en-GB"/>
        </w:rPr>
        <w:t>Small Horhor</w:t>
      </w:r>
      <w:r w:rsidR="00647545">
        <w:rPr>
          <w:rFonts w:asciiTheme="majorBidi" w:hAnsiTheme="majorBidi" w:cstheme="majorBidi"/>
          <w:color w:val="000000" w:themeColor="text1"/>
          <w:lang w:val="en-GB"/>
        </w:rPr>
        <w:fldChar w:fldCharType="begin"/>
      </w:r>
      <w:r w:rsidR="00647545">
        <w:instrText xml:space="preserve"> XE "</w:instrText>
      </w:r>
      <w:r w:rsidR="00647545" w:rsidRPr="00791D30">
        <w:rPr>
          <w:rFonts w:asciiTheme="majorBidi" w:hAnsiTheme="majorBidi" w:cstheme="majorBidi"/>
        </w:rPr>
        <w:instrText>Small Horhor</w:instrText>
      </w:r>
      <w:r w:rsidR="00647545">
        <w:instrText xml:space="preserve">" </w:instrText>
      </w:r>
      <w:r w:rsidR="00647545">
        <w:rPr>
          <w:rFonts w:asciiTheme="majorBidi" w:hAnsiTheme="majorBidi" w:cstheme="majorBidi"/>
          <w:color w:val="000000" w:themeColor="text1"/>
          <w:lang w:val="en-GB"/>
        </w:rPr>
        <w:fldChar w:fldCharType="end"/>
      </w:r>
      <w:r w:rsidR="003159F6" w:rsidRPr="00F03A26">
        <w:rPr>
          <w:rFonts w:asciiTheme="majorBidi" w:hAnsiTheme="majorBidi" w:cstheme="majorBidi"/>
          <w:color w:val="000000" w:themeColor="text1"/>
          <w:lang w:val="en-GB"/>
        </w:rPr>
        <w:t xml:space="preserve"> </w:t>
      </w:r>
      <w:r w:rsidR="004F4D01" w:rsidRPr="00F03A26">
        <w:rPr>
          <w:rFonts w:asciiTheme="majorBidi" w:hAnsiTheme="majorBidi" w:cstheme="majorBidi"/>
          <w:color w:val="000000" w:themeColor="text1"/>
          <w:lang w:val="en-GB"/>
        </w:rPr>
        <w:t>tomb</w:t>
      </w:r>
      <w:r w:rsidR="000A6541" w:rsidRPr="00F03A26">
        <w:rPr>
          <w:rFonts w:asciiTheme="majorBidi" w:hAnsiTheme="majorBidi" w:cstheme="majorBidi"/>
          <w:color w:val="000000" w:themeColor="text1"/>
          <w:lang w:val="en-GB"/>
        </w:rPr>
        <w:t xml:space="preserve"> AL20</w:t>
      </w:r>
      <w:r w:rsidR="00164DCD" w:rsidRPr="00F03A26">
        <w:rPr>
          <w:rFonts w:asciiTheme="majorBidi" w:hAnsiTheme="majorBidi" w:cstheme="majorBidi"/>
          <w:color w:val="000000" w:themeColor="text1"/>
          <w:lang w:val="en-GB"/>
        </w:rPr>
        <w:t xml:space="preserve">, </w:t>
      </w:r>
      <w:r w:rsidR="005F421B" w:rsidRPr="00F03A26">
        <w:rPr>
          <w:rFonts w:asciiTheme="majorBidi" w:hAnsiTheme="majorBidi" w:cstheme="majorBidi"/>
          <w:color w:val="000000" w:themeColor="text1"/>
          <w:lang w:val="en-GB"/>
        </w:rPr>
        <w:t>İç Kale</w:t>
      </w:r>
      <w:r w:rsidR="00164DCD" w:rsidRPr="00F03A26">
        <w:rPr>
          <w:rFonts w:asciiTheme="majorBidi" w:hAnsiTheme="majorBidi" w:cstheme="majorBidi"/>
          <w:color w:val="000000" w:themeColor="text1"/>
          <w:lang w:val="en-GB"/>
        </w:rPr>
        <w:t xml:space="preserve"> </w:t>
      </w:r>
      <w:r w:rsidR="004C4D4A" w:rsidRPr="00F03A26">
        <w:rPr>
          <w:rFonts w:asciiTheme="majorBidi" w:hAnsiTheme="majorBidi" w:cstheme="majorBidi"/>
          <w:color w:val="000000" w:themeColor="text1"/>
          <w:lang w:val="en-GB"/>
        </w:rPr>
        <w:t>tomb</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"İç Kale Tomb" </w:instrText>
      </w:r>
      <w:r w:rsidR="005F421B" w:rsidRPr="00F03A26">
        <w:rPr>
          <w:rFonts w:asciiTheme="majorBidi" w:hAnsiTheme="majorBidi" w:cstheme="majorBidi"/>
          <w:color w:val="000000" w:themeColor="text1"/>
          <w:lang w:val="en-GB"/>
        </w:rPr>
        <w:fldChar w:fldCharType="end"/>
      </w:r>
      <w:r w:rsidR="00164DCD" w:rsidRPr="00F03A26">
        <w:rPr>
          <w:rFonts w:asciiTheme="majorBidi" w:hAnsiTheme="majorBidi" w:cstheme="majorBidi"/>
          <w:color w:val="000000" w:themeColor="text1"/>
          <w:lang w:val="en-GB"/>
        </w:rPr>
        <w:t xml:space="preserve"> BB79-80/BC79-80, </w:t>
      </w:r>
      <w:r w:rsidR="0074182F" w:rsidRPr="00F03A26">
        <w:rPr>
          <w:rFonts w:asciiTheme="majorBidi" w:hAnsiTheme="majorBidi" w:cstheme="majorBidi"/>
          <w:color w:val="000000" w:themeColor="text1"/>
          <w:lang w:val="en-GB"/>
        </w:rPr>
        <w:t xml:space="preserve">the </w:t>
      </w:r>
      <w:r w:rsidR="004F4D01" w:rsidRPr="00F03A26">
        <w:rPr>
          <w:rFonts w:asciiTheme="majorBidi" w:hAnsiTheme="majorBidi" w:cstheme="majorBidi"/>
          <w:color w:val="000000" w:themeColor="text1"/>
          <w:lang w:val="en-GB"/>
        </w:rPr>
        <w:t>tomb</w:t>
      </w:r>
      <w:r w:rsidR="00164DCD" w:rsidRPr="00F03A26">
        <w:rPr>
          <w:rFonts w:asciiTheme="majorBidi" w:hAnsiTheme="majorBidi" w:cstheme="majorBidi"/>
          <w:color w:val="000000" w:themeColor="text1"/>
          <w:lang w:val="en-GB"/>
        </w:rPr>
        <w:t xml:space="preserve"> under the Great Platform</w:t>
      </w:r>
      <w:r w:rsidR="000D025B" w:rsidRPr="00F03A26">
        <w:rPr>
          <w:rFonts w:asciiTheme="majorBidi" w:hAnsiTheme="majorBidi" w:cstheme="majorBidi"/>
          <w:color w:val="000000" w:themeColor="text1"/>
          <w:lang w:val="en-GB"/>
        </w:rPr>
        <w:fldChar w:fldCharType="begin"/>
      </w:r>
      <w:r w:rsidR="000D025B" w:rsidRPr="00F03A26">
        <w:rPr>
          <w:rFonts w:asciiTheme="majorBidi" w:hAnsiTheme="majorBidi" w:cstheme="majorBidi"/>
          <w:color w:val="000000" w:themeColor="text1"/>
          <w:lang w:val="en-GB"/>
        </w:rPr>
        <w:instrText xml:space="preserve"> XE "Great Platform" </w:instrText>
      </w:r>
      <w:r w:rsidR="000D025B" w:rsidRPr="00F03A26">
        <w:rPr>
          <w:rFonts w:asciiTheme="majorBidi" w:hAnsiTheme="majorBidi" w:cstheme="majorBidi"/>
          <w:color w:val="000000" w:themeColor="text1"/>
          <w:lang w:val="en-GB"/>
        </w:rPr>
        <w:fldChar w:fldCharType="end"/>
      </w:r>
      <w:r w:rsidR="00164DCD" w:rsidRPr="00F03A26">
        <w:rPr>
          <w:rFonts w:asciiTheme="majorBidi" w:hAnsiTheme="majorBidi" w:cstheme="majorBidi"/>
          <w:color w:val="000000" w:themeColor="text1"/>
          <w:lang w:val="en-GB"/>
        </w:rPr>
        <w:t xml:space="preserve"> BD80</w:t>
      </w:r>
      <w:r w:rsidR="000D025B" w:rsidRPr="00F03A26">
        <w:rPr>
          <w:rFonts w:asciiTheme="majorBidi" w:hAnsiTheme="majorBidi" w:cstheme="majorBidi"/>
          <w:color w:val="000000" w:themeColor="text1"/>
          <w:lang w:val="en-GB"/>
        </w:rPr>
        <w:t xml:space="preserve"> </w:t>
      </w:r>
      <w:r w:rsidR="004F4D01" w:rsidRPr="00F03A26">
        <w:rPr>
          <w:rFonts w:asciiTheme="majorBidi" w:hAnsiTheme="majorBidi" w:cstheme="majorBidi"/>
          <w:color w:val="000000" w:themeColor="text1"/>
          <w:lang w:val="en-GB"/>
        </w:rPr>
        <w:t>tomb</w:t>
      </w:r>
      <w:r w:rsidR="000D025B" w:rsidRPr="00F03A26">
        <w:rPr>
          <w:rFonts w:asciiTheme="majorBidi" w:hAnsiTheme="majorBidi" w:cstheme="majorBidi"/>
          <w:color w:val="000000" w:themeColor="text1"/>
          <w:lang w:val="en-GB"/>
        </w:rPr>
        <w:fldChar w:fldCharType="begin"/>
      </w:r>
      <w:r w:rsidR="000D025B" w:rsidRPr="00F03A26">
        <w:rPr>
          <w:rFonts w:asciiTheme="majorBidi" w:hAnsiTheme="majorBidi" w:cstheme="majorBidi"/>
          <w:color w:val="000000" w:themeColor="text1"/>
          <w:lang w:val="en-GB"/>
        </w:rPr>
        <w:instrText xml:space="preserve"> XE "BD80 Tomb" </w:instrText>
      </w:r>
      <w:r w:rsidR="000D025B" w:rsidRPr="00F03A26">
        <w:rPr>
          <w:rFonts w:asciiTheme="majorBidi" w:hAnsiTheme="majorBidi" w:cstheme="majorBidi"/>
          <w:color w:val="000000" w:themeColor="text1"/>
          <w:lang w:val="en-GB"/>
        </w:rPr>
        <w:fldChar w:fldCharType="end"/>
      </w:r>
      <w:r w:rsidR="00164DCD" w:rsidRPr="00F03A26">
        <w:rPr>
          <w:rFonts w:asciiTheme="majorBidi" w:hAnsiTheme="majorBidi" w:cstheme="majorBidi"/>
          <w:color w:val="000000" w:themeColor="text1"/>
          <w:lang w:val="en-GB"/>
        </w:rPr>
        <w:t xml:space="preserve">, </w:t>
      </w:r>
      <w:r w:rsidR="00160229" w:rsidRPr="00F03A26">
        <w:rPr>
          <w:rFonts w:asciiTheme="majorBidi" w:hAnsiTheme="majorBidi" w:cstheme="majorBidi"/>
          <w:color w:val="000000" w:themeColor="text1"/>
          <w:lang w:val="en-GB"/>
        </w:rPr>
        <w:t xml:space="preserve">Doğu Odaları </w:t>
      </w:r>
      <w:r w:rsidR="004F4D01" w:rsidRPr="00F03A26">
        <w:rPr>
          <w:rFonts w:asciiTheme="majorBidi" w:hAnsiTheme="majorBidi" w:cstheme="majorBidi"/>
          <w:color w:val="000000" w:themeColor="text1"/>
          <w:lang w:val="en-GB"/>
        </w:rPr>
        <w:t>tomb</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w:instrText>
      </w:r>
      <w:r w:rsidR="00160229" w:rsidRPr="00F03A26">
        <w:rPr>
          <w:rFonts w:asciiTheme="majorBidi" w:hAnsiTheme="majorBidi" w:cstheme="majorBidi"/>
          <w:color w:val="000000" w:themeColor="text1"/>
          <w:lang w:val="en-GB"/>
        </w:rPr>
        <w:instrText xml:space="preserve">Doğu Odaları </w:instrText>
      </w:r>
      <w:r w:rsidR="00EA6C63">
        <w:rPr>
          <w:rFonts w:asciiTheme="majorBidi" w:hAnsiTheme="majorBidi" w:cstheme="majorBidi"/>
          <w:color w:val="000000" w:themeColor="text1"/>
          <w:lang w:val="en-GB"/>
        </w:rPr>
        <w:instrText>t</w:instrText>
      </w:r>
      <w:r w:rsidR="00160229" w:rsidRPr="00F03A26">
        <w:rPr>
          <w:rFonts w:asciiTheme="majorBidi" w:hAnsiTheme="majorBidi" w:cstheme="majorBidi"/>
          <w:color w:val="000000" w:themeColor="text1"/>
          <w:lang w:val="en-GB"/>
        </w:rPr>
        <w:instrText>omb</w:instrText>
      </w:r>
      <w:r w:rsidR="005F421B" w:rsidRPr="00F03A26">
        <w:rPr>
          <w:rFonts w:asciiTheme="majorBidi" w:hAnsiTheme="majorBidi" w:cstheme="majorBidi"/>
          <w:color w:val="000000" w:themeColor="text1"/>
          <w:lang w:val="en-GB"/>
        </w:rPr>
        <w:instrText xml:space="preserve">" </w:instrText>
      </w:r>
      <w:r w:rsidR="005F421B" w:rsidRPr="00F03A26">
        <w:rPr>
          <w:rFonts w:asciiTheme="majorBidi" w:hAnsiTheme="majorBidi" w:cstheme="majorBidi"/>
          <w:color w:val="000000" w:themeColor="text1"/>
          <w:lang w:val="en-GB"/>
        </w:rPr>
        <w:fldChar w:fldCharType="end"/>
      </w:r>
      <w:r w:rsidR="00164DCD" w:rsidRPr="00F03A26">
        <w:rPr>
          <w:rFonts w:asciiTheme="majorBidi" w:hAnsiTheme="majorBidi" w:cstheme="majorBidi"/>
          <w:color w:val="000000" w:themeColor="text1"/>
          <w:lang w:val="en-GB"/>
        </w:rPr>
        <w:t xml:space="preserve"> BG9899/BH 9899, Cremation </w:t>
      </w:r>
      <w:r w:rsidR="004F4D01" w:rsidRPr="00F03A26">
        <w:rPr>
          <w:rFonts w:asciiTheme="majorBidi" w:hAnsiTheme="majorBidi" w:cstheme="majorBidi"/>
          <w:color w:val="000000" w:themeColor="text1"/>
          <w:lang w:val="en-GB"/>
        </w:rPr>
        <w:t>tomb</w:t>
      </w:r>
      <w:r w:rsidR="00C1513A">
        <w:rPr>
          <w:rFonts w:asciiTheme="majorBidi" w:hAnsiTheme="majorBidi" w:cstheme="majorBidi"/>
          <w:color w:val="000000" w:themeColor="text1"/>
          <w:lang w:val="en-GB"/>
        </w:rPr>
        <w:fldChar w:fldCharType="begin"/>
      </w:r>
      <w:r w:rsidR="00C1513A">
        <w:instrText xml:space="preserve"> XE "</w:instrText>
      </w:r>
      <w:r w:rsidR="00C1513A" w:rsidRPr="00041C3F">
        <w:rPr>
          <w:rFonts w:asciiTheme="majorBidi" w:eastAsia="Times New Roman" w:hAnsiTheme="majorBidi" w:cstheme="majorBidi"/>
          <w:lang w:val="en-GB"/>
        </w:rPr>
        <w:instrText>Cremation tomb</w:instrText>
      </w:r>
      <w:r w:rsidR="00C1513A">
        <w:instrText xml:space="preserve">" </w:instrText>
      </w:r>
      <w:r w:rsidR="00C1513A">
        <w:rPr>
          <w:rFonts w:asciiTheme="majorBidi" w:hAnsiTheme="majorBidi" w:cstheme="majorBidi"/>
          <w:color w:val="000000" w:themeColor="text1"/>
          <w:lang w:val="en-GB"/>
        </w:rPr>
        <w:fldChar w:fldCharType="end"/>
      </w:r>
      <w:r w:rsidR="00164DCD" w:rsidRPr="00F03A26">
        <w:rPr>
          <w:rFonts w:asciiTheme="majorBidi" w:hAnsiTheme="majorBidi" w:cstheme="majorBidi"/>
          <w:color w:val="000000" w:themeColor="text1"/>
          <w:lang w:val="en-GB"/>
        </w:rPr>
        <w:t xml:space="preserve"> BO115, Arsenal</w:t>
      </w:r>
      <w:r w:rsidR="000D0FE6" w:rsidRPr="00F03A26">
        <w:rPr>
          <w:rFonts w:asciiTheme="majorBidi" w:hAnsiTheme="majorBidi" w:cstheme="majorBidi"/>
          <w:color w:val="000000" w:themeColor="text1"/>
          <w:lang w:val="en-GB"/>
        </w:rPr>
        <w:t>/</w:t>
      </w:r>
      <w:r w:rsidR="00164DCD" w:rsidRPr="00F03A26">
        <w:rPr>
          <w:rFonts w:asciiTheme="majorBidi" w:hAnsiTheme="majorBidi" w:cstheme="majorBidi"/>
          <w:color w:val="000000" w:themeColor="text1"/>
          <w:lang w:val="en-GB"/>
        </w:rPr>
        <w:t>BD78</w:t>
      </w:r>
      <w:r w:rsidR="003159F6" w:rsidRPr="00F03A26">
        <w:rPr>
          <w:rFonts w:asciiTheme="majorBidi" w:hAnsiTheme="majorBidi" w:cstheme="majorBidi"/>
          <w:color w:val="000000" w:themeColor="text1"/>
          <w:lang w:val="en-GB"/>
        </w:rPr>
        <w:t xml:space="preserve"> </w:t>
      </w:r>
      <w:r w:rsidR="004F4D01" w:rsidRPr="00F03A26">
        <w:rPr>
          <w:rFonts w:asciiTheme="majorBidi" w:hAnsiTheme="majorBidi" w:cstheme="majorBidi"/>
          <w:color w:val="000000" w:themeColor="text1"/>
          <w:lang w:val="en-GB"/>
        </w:rPr>
        <w:t>tomb</w:t>
      </w:r>
      <w:r w:rsidR="003159F6" w:rsidRPr="00F03A26">
        <w:rPr>
          <w:rFonts w:asciiTheme="majorBidi" w:hAnsiTheme="majorBidi" w:cstheme="majorBidi"/>
          <w:color w:val="000000" w:themeColor="text1"/>
          <w:lang w:val="en-GB"/>
        </w:rPr>
        <w:fldChar w:fldCharType="begin"/>
      </w:r>
      <w:r w:rsidR="003159F6" w:rsidRPr="00F03A26">
        <w:rPr>
          <w:rFonts w:asciiTheme="majorBidi" w:hAnsiTheme="majorBidi" w:cstheme="majorBidi"/>
          <w:color w:val="000000" w:themeColor="text1"/>
          <w:lang w:val="en-GB"/>
        </w:rPr>
        <w:instrText xml:space="preserve"> XE "Arsenal/BD78 </w:instrText>
      </w:r>
      <w:r w:rsidR="00EA6C63">
        <w:rPr>
          <w:rFonts w:asciiTheme="majorBidi" w:hAnsiTheme="majorBidi" w:cstheme="majorBidi"/>
          <w:color w:val="000000" w:themeColor="text1"/>
          <w:lang w:val="en-GB"/>
        </w:rPr>
        <w:instrText>t</w:instrText>
      </w:r>
      <w:r w:rsidR="003159F6" w:rsidRPr="00F03A26">
        <w:rPr>
          <w:rFonts w:asciiTheme="majorBidi" w:hAnsiTheme="majorBidi" w:cstheme="majorBidi"/>
          <w:color w:val="000000" w:themeColor="text1"/>
          <w:lang w:val="en-GB"/>
        </w:rPr>
        <w:instrText xml:space="preserve">omb" </w:instrText>
      </w:r>
      <w:r w:rsidR="003159F6" w:rsidRPr="00F03A26">
        <w:rPr>
          <w:rFonts w:asciiTheme="majorBidi" w:hAnsiTheme="majorBidi" w:cstheme="majorBidi"/>
          <w:color w:val="000000" w:themeColor="text1"/>
          <w:lang w:val="en-GB"/>
        </w:rPr>
        <w:fldChar w:fldCharType="end"/>
      </w:r>
      <w:r w:rsidR="00164DCD" w:rsidRPr="00F03A26">
        <w:rPr>
          <w:rFonts w:asciiTheme="majorBidi" w:hAnsiTheme="majorBidi" w:cstheme="majorBidi"/>
          <w:color w:val="000000" w:themeColor="text1"/>
          <w:lang w:val="en-GB"/>
        </w:rPr>
        <w:t xml:space="preserve"> in the 10x10 m grid system of </w:t>
      </w:r>
      <w:r w:rsidR="00FA5983" w:rsidRPr="00F03A26">
        <w:rPr>
          <w:rFonts w:asciiTheme="majorBidi" w:hAnsiTheme="majorBidi" w:cstheme="majorBidi"/>
          <w:color w:val="000000" w:themeColor="text1"/>
          <w:lang w:val="en-GB"/>
        </w:rPr>
        <w:t xml:space="preserve">the </w:t>
      </w:r>
      <w:r w:rsidR="00164DCD" w:rsidRPr="00F03A26">
        <w:rPr>
          <w:rFonts w:asciiTheme="majorBidi" w:hAnsiTheme="majorBidi" w:cstheme="majorBidi"/>
          <w:color w:val="000000" w:themeColor="text1"/>
          <w:lang w:val="en-GB"/>
        </w:rPr>
        <w:t xml:space="preserve">Van </w:t>
      </w:r>
      <w:r w:rsidR="00FA5983" w:rsidRPr="00F03A26">
        <w:rPr>
          <w:rFonts w:asciiTheme="majorBidi" w:hAnsiTheme="majorBidi" w:cstheme="majorBidi"/>
          <w:color w:val="000000" w:themeColor="text1"/>
          <w:lang w:val="en-GB"/>
        </w:rPr>
        <w:t>Fortress</w:t>
      </w:r>
      <w:r w:rsidR="00164DCD" w:rsidRPr="00F03A26">
        <w:rPr>
          <w:rFonts w:asciiTheme="majorBidi" w:hAnsiTheme="majorBidi" w:cstheme="majorBidi"/>
          <w:color w:val="000000" w:themeColor="text1"/>
          <w:lang w:val="en-GB"/>
        </w:rPr>
        <w:t xml:space="preserve">. However, this system is </w:t>
      </w:r>
      <w:r w:rsidR="0074182F" w:rsidRPr="00F03A26">
        <w:rPr>
          <w:rFonts w:asciiTheme="majorBidi" w:hAnsiTheme="majorBidi" w:cstheme="majorBidi"/>
          <w:color w:val="000000" w:themeColor="text1"/>
          <w:lang w:val="en-GB"/>
        </w:rPr>
        <w:t>impractical</w:t>
      </w:r>
      <w:r w:rsidR="00164DCD" w:rsidRPr="00F03A26">
        <w:rPr>
          <w:rFonts w:asciiTheme="majorBidi" w:hAnsiTheme="majorBidi" w:cstheme="majorBidi"/>
          <w:color w:val="000000" w:themeColor="text1"/>
          <w:lang w:val="en-GB"/>
        </w:rPr>
        <w:t xml:space="preserve">, </w:t>
      </w:r>
      <w:r w:rsidR="00AC607A" w:rsidRPr="00F03A26">
        <w:rPr>
          <w:rFonts w:asciiTheme="majorBidi" w:hAnsiTheme="majorBidi" w:cstheme="majorBidi"/>
          <w:color w:val="000000" w:themeColor="text1"/>
          <w:lang w:val="en-GB"/>
        </w:rPr>
        <w:t>mainly because</w:t>
      </w:r>
      <w:r w:rsidR="00164DCD" w:rsidRPr="00F03A26">
        <w:rPr>
          <w:rFonts w:asciiTheme="majorBidi" w:hAnsiTheme="majorBidi" w:cstheme="majorBidi"/>
          <w:color w:val="000000" w:themeColor="text1"/>
          <w:lang w:val="en-GB"/>
        </w:rPr>
        <w:t xml:space="preserve"> the large-scale burial chambers correspond to more than one plan square. This application was only used to indicate the position of the burial chamber in the plan square system. In the naming of the rooms and halls of the tombs, a coding system consisting of Arabic numerals was used, using the initials that make up the name. For example, the main hall of the </w:t>
      </w:r>
      <w:r w:rsidR="00050829" w:rsidRPr="00F03A26">
        <w:rPr>
          <w:rFonts w:asciiTheme="majorBidi" w:hAnsiTheme="majorBidi" w:cstheme="majorBidi"/>
          <w:color w:val="000000" w:themeColor="text1"/>
          <w:lang w:val="en-GB"/>
        </w:rPr>
        <w:t xml:space="preserve">Neft Kuyu </w:t>
      </w:r>
      <w:r w:rsidR="004F4D01" w:rsidRPr="00F03A26">
        <w:rPr>
          <w:rFonts w:asciiTheme="majorBidi" w:hAnsiTheme="majorBidi" w:cstheme="majorBidi"/>
          <w:color w:val="000000" w:themeColor="text1"/>
          <w:lang w:val="en-GB"/>
        </w:rPr>
        <w:t>tomb</w:t>
      </w:r>
      <w:r w:rsidR="00164DCD" w:rsidRPr="00F03A26">
        <w:rPr>
          <w:rFonts w:asciiTheme="majorBidi" w:hAnsiTheme="majorBidi" w:cstheme="majorBidi"/>
          <w:color w:val="000000" w:themeColor="text1"/>
          <w:lang w:val="en-GB"/>
        </w:rPr>
        <w:t xml:space="preserve"> is coded as NK01, and the northwestern burial chamber as NK04.</w:t>
      </w:r>
    </w:p>
    <w:p w14:paraId="55DF0E45" w14:textId="77777777" w:rsidR="00164DCD" w:rsidRPr="00F03A26" w:rsidRDefault="00164DCD" w:rsidP="00F03A26">
      <w:pPr>
        <w:jc w:val="both"/>
        <w:rPr>
          <w:rFonts w:asciiTheme="majorBidi" w:hAnsiTheme="majorBidi" w:cstheme="majorBidi"/>
          <w:color w:val="000000" w:themeColor="text1"/>
          <w:lang w:val="en-GB"/>
        </w:rPr>
      </w:pPr>
    </w:p>
    <w:p w14:paraId="6EE38792" w14:textId="3182AACC" w:rsidR="00164DCD" w:rsidRPr="00F03A26" w:rsidRDefault="00127DA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This </w:t>
      </w:r>
      <w:r w:rsidR="001C11C8" w:rsidRPr="00F03A26">
        <w:rPr>
          <w:rFonts w:asciiTheme="majorBidi" w:hAnsiTheme="majorBidi" w:cstheme="majorBidi"/>
          <w:color w:val="000000" w:themeColor="text1"/>
          <w:lang w:val="en-GB"/>
        </w:rPr>
        <w:t xml:space="preserve">book reassesses the chronology </w:t>
      </w:r>
      <w:r w:rsidR="00230497" w:rsidRPr="00F03A26">
        <w:rPr>
          <w:rFonts w:asciiTheme="majorBidi" w:hAnsiTheme="majorBidi" w:cstheme="majorBidi"/>
          <w:color w:val="000000" w:themeColor="text1"/>
          <w:lang w:val="en-GB"/>
        </w:rPr>
        <w:t>and nature</w:t>
      </w:r>
      <w:r w:rsidR="001C11C8" w:rsidRPr="00F03A26">
        <w:rPr>
          <w:rFonts w:asciiTheme="majorBidi" w:hAnsiTheme="majorBidi" w:cstheme="majorBidi"/>
          <w:color w:val="000000" w:themeColor="text1"/>
          <w:lang w:val="en-GB"/>
        </w:rPr>
        <w:t xml:space="preserve"> of the Analıkız</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"Analıkız" </w:instrText>
      </w:r>
      <w:r w:rsidR="005F421B" w:rsidRPr="00F03A26">
        <w:rPr>
          <w:rFonts w:asciiTheme="majorBidi" w:hAnsiTheme="majorBidi" w:cstheme="majorBidi"/>
          <w:color w:val="000000" w:themeColor="text1"/>
          <w:lang w:val="en-GB"/>
        </w:rPr>
        <w:fldChar w:fldCharType="end"/>
      </w:r>
      <w:r w:rsidR="001C37D8" w:rsidRPr="00F03A26">
        <w:rPr>
          <w:rFonts w:asciiTheme="majorBidi" w:hAnsiTheme="majorBidi" w:cstheme="majorBidi"/>
          <w:color w:val="000000" w:themeColor="text1"/>
          <w:lang w:val="en-GB"/>
        </w:rPr>
        <w:t>/</w:t>
      </w:r>
      <w:r w:rsidR="001C11C8" w:rsidRPr="00F03A26">
        <w:rPr>
          <w:rFonts w:asciiTheme="majorBidi" w:hAnsiTheme="majorBidi" w:cstheme="majorBidi"/>
          <w:color w:val="000000" w:themeColor="text1"/>
          <w:lang w:val="en-GB"/>
        </w:rPr>
        <w:t xml:space="preserve">Treasure Gate, where the first excavations were carried out at </w:t>
      </w:r>
      <w:r w:rsidR="008E74CD" w:rsidRPr="00F03A26">
        <w:rPr>
          <w:rFonts w:asciiTheme="majorBidi" w:hAnsiTheme="majorBidi" w:cstheme="majorBidi"/>
          <w:color w:val="000000" w:themeColor="text1"/>
          <w:lang w:val="en-GB"/>
        </w:rPr>
        <w:t>Ṭušpa</w:t>
      </w:r>
      <w:r w:rsidR="00D008E2">
        <w:rPr>
          <w:rFonts w:asciiTheme="majorBidi" w:hAnsiTheme="majorBidi" w:cstheme="majorBidi"/>
          <w:color w:val="000000" w:themeColor="text1"/>
          <w:lang w:val="en-GB"/>
        </w:rPr>
        <w:t>/Van</w:t>
      </w:r>
      <w:r w:rsidR="008E74CD" w:rsidRPr="00F03A26">
        <w:rPr>
          <w:rFonts w:asciiTheme="majorBidi" w:hAnsiTheme="majorBidi" w:cstheme="majorBidi"/>
          <w:color w:val="000000" w:themeColor="text1"/>
          <w:lang w:val="en-GB"/>
        </w:rPr>
        <w:t xml:space="preserve"> Rock</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w:instrText>
      </w:r>
      <w:r w:rsidR="008E74CD" w:rsidRPr="00F03A26">
        <w:rPr>
          <w:rFonts w:asciiTheme="majorBidi" w:hAnsiTheme="majorBidi" w:cstheme="majorBidi"/>
          <w:color w:val="000000" w:themeColor="text1"/>
          <w:lang w:val="en-GB"/>
        </w:rPr>
        <w:instrText>Ṭušpa</w:instrText>
      </w:r>
      <w:r w:rsidR="00D008E2">
        <w:rPr>
          <w:rFonts w:asciiTheme="majorBidi" w:hAnsiTheme="majorBidi" w:cstheme="majorBidi"/>
          <w:color w:val="000000" w:themeColor="text1"/>
          <w:lang w:val="en-GB"/>
        </w:rPr>
        <w:instrText>/Van</w:instrText>
      </w:r>
      <w:r w:rsidR="008E74CD" w:rsidRPr="00F03A26">
        <w:rPr>
          <w:rFonts w:asciiTheme="majorBidi" w:hAnsiTheme="majorBidi" w:cstheme="majorBidi"/>
          <w:color w:val="000000" w:themeColor="text1"/>
          <w:lang w:val="en-GB"/>
        </w:rPr>
        <w:instrText xml:space="preserve"> Rock</w:instrText>
      </w:r>
      <w:r w:rsidR="005F421B" w:rsidRPr="00F03A26">
        <w:rPr>
          <w:rFonts w:asciiTheme="majorBidi" w:hAnsiTheme="majorBidi" w:cstheme="majorBidi"/>
          <w:color w:val="000000" w:themeColor="text1"/>
          <w:lang w:val="en-GB"/>
        </w:rPr>
        <w:instrText xml:space="preserve">"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(Chapter 10). The main topic of discussion in the chapter is that the site was built during the reign of Minua</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"Minua"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 the eastern niche - and the western niche </w:t>
      </w:r>
      <w:r w:rsidR="00AC607A" w:rsidRPr="00F03A26">
        <w:rPr>
          <w:rFonts w:asciiTheme="majorBidi" w:hAnsiTheme="majorBidi" w:cstheme="majorBidi"/>
          <w:color w:val="000000" w:themeColor="text1"/>
          <w:lang w:val="en-GB"/>
        </w:rPr>
        <w:t>was</w:t>
      </w:r>
      <w:r w:rsidRPr="00F03A26">
        <w:rPr>
          <w:rFonts w:asciiTheme="majorBidi" w:hAnsiTheme="majorBidi" w:cstheme="majorBidi"/>
          <w:color w:val="000000" w:themeColor="text1"/>
          <w:lang w:val="en-GB"/>
        </w:rPr>
        <w:t xml:space="preserve"> </w:t>
      </w:r>
      <w:r w:rsidR="001C11C8" w:rsidRPr="00F03A26">
        <w:rPr>
          <w:rFonts w:asciiTheme="majorBidi" w:hAnsiTheme="majorBidi" w:cstheme="majorBidi"/>
          <w:color w:val="000000" w:themeColor="text1"/>
          <w:lang w:val="en-GB"/>
        </w:rPr>
        <w:t>added during the reign of Sarduri II</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"Sarduri II" </w:instrText>
      </w:r>
      <w:r w:rsidR="00512579"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and that it was, in fact, a propaganda and royal memory site where the annals of the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kings were kept. The channel cut into the bedrock, which has been suggested for years as a sacrificial channel associated with this building, has been shown with concrete evidence to be a drainage channel associated with the fortifications or the buildings just west of the Analıkız structure. Again, it is suggested that the area was covered in the new construction discussed here.</w:t>
      </w:r>
    </w:p>
    <w:p w14:paraId="571C6B7B" w14:textId="77777777" w:rsidR="00953A46" w:rsidRPr="00F03A26" w:rsidRDefault="00953A46" w:rsidP="00F03A26">
      <w:pPr>
        <w:jc w:val="both"/>
        <w:rPr>
          <w:rFonts w:asciiTheme="majorBidi" w:hAnsiTheme="majorBidi" w:cstheme="majorBidi"/>
          <w:color w:val="000000" w:themeColor="text1"/>
          <w:lang w:val="en-GB"/>
        </w:rPr>
      </w:pPr>
    </w:p>
    <w:p w14:paraId="714D4DFC" w14:textId="03CB39AE" w:rsidR="00164DCD" w:rsidRPr="00F03A26" w:rsidRDefault="001C11C8"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One of the most important reasons for the choice of </w:t>
      </w:r>
      <w:r w:rsidR="00801444" w:rsidRPr="00F03A26">
        <w:rPr>
          <w:rFonts w:asciiTheme="majorBidi" w:hAnsiTheme="majorBidi" w:cstheme="majorBidi"/>
          <w:color w:val="000000" w:themeColor="text1"/>
          <w:lang w:val="en-GB"/>
        </w:rPr>
        <w:t>Ṭušpa</w:t>
      </w:r>
      <w:r w:rsidRPr="00F03A26">
        <w:rPr>
          <w:rFonts w:asciiTheme="majorBidi" w:hAnsiTheme="majorBidi" w:cstheme="majorBidi"/>
          <w:color w:val="000000" w:themeColor="text1"/>
          <w:lang w:val="en-GB"/>
        </w:rPr>
        <w:t xml:space="preserve"> by the Urartians</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"Urartians"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besides the imposing appearance of the </w:t>
      </w:r>
      <w:r w:rsidR="00F04285" w:rsidRPr="00F03A26">
        <w:rPr>
          <w:rFonts w:asciiTheme="majorBidi" w:hAnsiTheme="majorBidi" w:cstheme="majorBidi"/>
          <w:color w:val="000000" w:themeColor="text1"/>
          <w:lang w:val="en-GB"/>
        </w:rPr>
        <w:t>Van Rock</w:t>
      </w:r>
      <w:r w:rsidRPr="00F03A26">
        <w:rPr>
          <w:rFonts w:asciiTheme="majorBidi" w:hAnsiTheme="majorBidi" w:cstheme="majorBidi"/>
          <w:color w:val="000000" w:themeColor="text1"/>
          <w:lang w:val="en-GB"/>
        </w:rPr>
        <w:t xml:space="preserve">, was probably the abundance of underground water. This was discussed in Chapter 11. Groundwater springs up along the entire </w:t>
      </w:r>
      <w:r w:rsidR="00C94436">
        <w:rPr>
          <w:rFonts w:asciiTheme="majorBidi" w:hAnsiTheme="majorBidi" w:cstheme="majorBidi"/>
          <w:color w:val="000000" w:themeColor="text1"/>
          <w:lang w:val="en-GB"/>
        </w:rPr>
        <w:t>rock</w:t>
      </w:r>
      <w:r w:rsidR="007517B6" w:rsidRPr="00F03A26">
        <w:rPr>
          <w:rFonts w:asciiTheme="majorBidi" w:hAnsiTheme="majorBidi" w:cstheme="majorBidi"/>
          <w:color w:val="000000" w:themeColor="text1"/>
          <w:lang w:val="en-GB"/>
        </w:rPr>
        <w:t xml:space="preserve">, which </w:t>
      </w:r>
      <w:r w:rsidRPr="00F03A26">
        <w:rPr>
          <w:rFonts w:asciiTheme="majorBidi" w:hAnsiTheme="majorBidi" w:cstheme="majorBidi"/>
          <w:color w:val="000000" w:themeColor="text1"/>
          <w:lang w:val="en-GB"/>
        </w:rPr>
        <w:t xml:space="preserve">was an advantage for the settlement. It is conceivable that these water sources coming out of the bottom of the </w:t>
      </w:r>
      <w:r w:rsidR="00F04285" w:rsidRPr="00F03A26">
        <w:rPr>
          <w:rFonts w:asciiTheme="majorBidi" w:hAnsiTheme="majorBidi" w:cstheme="majorBidi"/>
          <w:color w:val="000000" w:themeColor="text1"/>
          <w:lang w:val="en-GB"/>
        </w:rPr>
        <w:t>Van Rock</w:t>
      </w:r>
      <w:r w:rsidRPr="00F03A26">
        <w:rPr>
          <w:rFonts w:asciiTheme="majorBidi" w:hAnsiTheme="majorBidi" w:cstheme="majorBidi"/>
          <w:color w:val="000000" w:themeColor="text1"/>
          <w:lang w:val="en-GB"/>
        </w:rPr>
        <w:t xml:space="preserve"> were utilized and that there should have been large rock cisterns at the Van </w:t>
      </w:r>
      <w:r w:rsidR="00ED6714" w:rsidRPr="00F03A26">
        <w:rPr>
          <w:rFonts w:asciiTheme="majorBidi" w:hAnsiTheme="majorBidi" w:cstheme="majorBidi"/>
          <w:color w:val="000000" w:themeColor="text1"/>
          <w:lang w:val="en-GB"/>
        </w:rPr>
        <w:t>Fortress</w:t>
      </w:r>
      <w:r w:rsidRPr="00F03A26">
        <w:rPr>
          <w:rFonts w:asciiTheme="majorBidi" w:hAnsiTheme="majorBidi" w:cstheme="majorBidi"/>
          <w:color w:val="000000" w:themeColor="text1"/>
          <w:lang w:val="en-GB"/>
        </w:rPr>
        <w:t xml:space="preserve"> site, as there were at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sites such as Çavuştepe</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"Çavuştepe"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and Bostankaya</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"Bostankaya"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Although we do not know the exact chronology of the </w:t>
      </w:r>
      <w:r w:rsidR="00C9443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thousand stairs</w:t>
      </w:r>
      <w:r w:rsidR="00C9443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the areas where the steps ascend and descend and the arrangements around these areas indicate that they may have been built during the </w:t>
      </w:r>
      <w:r w:rsidR="008F3084" w:rsidRPr="00F03A26">
        <w:rPr>
          <w:rFonts w:asciiTheme="majorBidi" w:hAnsiTheme="majorBidi" w:cstheme="majorBidi"/>
          <w:color w:val="000000" w:themeColor="text1"/>
          <w:lang w:val="en-GB"/>
        </w:rPr>
        <w:t xml:space="preserve">Urartian </w:t>
      </w:r>
      <w:r w:rsidR="009D48F8" w:rsidRPr="00F03A26">
        <w:rPr>
          <w:rFonts w:asciiTheme="majorBidi" w:hAnsiTheme="majorBidi" w:cstheme="majorBidi"/>
          <w:color w:val="000000" w:themeColor="text1"/>
          <w:lang w:val="en-GB"/>
        </w:rPr>
        <w:t>p</w:t>
      </w:r>
      <w:r w:rsidR="008F3084" w:rsidRPr="00F03A26">
        <w:rPr>
          <w:rFonts w:asciiTheme="majorBidi" w:hAnsiTheme="majorBidi" w:cstheme="majorBidi"/>
          <w:color w:val="000000" w:themeColor="text1"/>
          <w:lang w:val="en-GB"/>
        </w:rPr>
        <w:t>eriod</w:t>
      </w:r>
      <w:r w:rsidRPr="00F03A26">
        <w:rPr>
          <w:rFonts w:asciiTheme="majorBidi" w:hAnsiTheme="majorBidi" w:cstheme="majorBidi"/>
          <w:color w:val="000000" w:themeColor="text1"/>
          <w:lang w:val="en-GB"/>
        </w:rPr>
        <w:t xml:space="preserve">. Another new piece of data on water structures is a fountain structure with a niche that </w:t>
      </w:r>
      <w:r w:rsidRPr="00F03A26">
        <w:rPr>
          <w:rFonts w:asciiTheme="majorBidi" w:hAnsiTheme="majorBidi" w:cstheme="majorBidi"/>
          <w:color w:val="000000" w:themeColor="text1"/>
          <w:lang w:val="en-GB"/>
        </w:rPr>
        <w:lastRenderedPageBreak/>
        <w:t xml:space="preserve">we unearthed during </w:t>
      </w:r>
      <w:r w:rsidR="00127DA6" w:rsidRPr="00F03A26">
        <w:rPr>
          <w:rFonts w:asciiTheme="majorBidi" w:hAnsiTheme="majorBidi" w:cstheme="majorBidi"/>
          <w:color w:val="000000" w:themeColor="text1"/>
          <w:lang w:val="en-GB"/>
        </w:rPr>
        <w:t>recent</w:t>
      </w:r>
      <w:r w:rsidRPr="00F03A26">
        <w:rPr>
          <w:rFonts w:asciiTheme="majorBidi" w:hAnsiTheme="majorBidi" w:cstheme="majorBidi"/>
          <w:color w:val="000000" w:themeColor="text1"/>
          <w:lang w:val="en-GB"/>
        </w:rPr>
        <w:t xml:space="preserve"> excavations. The function of such niches is discussed again in this book. In addition to the </w:t>
      </w:r>
      <w:r w:rsidR="008E2355" w:rsidRPr="00F03A26">
        <w:rPr>
          <w:rFonts w:asciiTheme="majorBidi" w:hAnsiTheme="majorBidi" w:cstheme="majorBidi"/>
          <w:color w:val="000000" w:themeColor="text1"/>
          <w:lang w:val="en-GB"/>
        </w:rPr>
        <w:t>“T” shaped niches</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w:instrText>
      </w:r>
      <w:r w:rsidR="008E2355" w:rsidRPr="00F03A26">
        <w:rPr>
          <w:rFonts w:asciiTheme="majorBidi" w:hAnsiTheme="majorBidi" w:cstheme="majorBidi"/>
          <w:color w:val="000000" w:themeColor="text1"/>
          <w:lang w:val="en-GB"/>
        </w:rPr>
        <w:instrText>“T” shaped niches</w:instrText>
      </w:r>
      <w:r w:rsidR="005F421B" w:rsidRPr="00F03A26">
        <w:rPr>
          <w:rFonts w:asciiTheme="majorBidi" w:hAnsiTheme="majorBidi" w:cstheme="majorBidi"/>
          <w:color w:val="000000" w:themeColor="text1"/>
          <w:lang w:val="en-GB"/>
        </w:rPr>
        <w:instrText xml:space="preserve">"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surrounding the </w:t>
      </w:r>
      <w:r w:rsidR="00FA5983" w:rsidRPr="00F03A26">
        <w:rPr>
          <w:rFonts w:asciiTheme="majorBidi" w:hAnsiTheme="majorBidi" w:cstheme="majorBidi"/>
          <w:color w:val="000000" w:themeColor="text1"/>
          <w:lang w:val="en-GB"/>
        </w:rPr>
        <w:t>outcrops</w:t>
      </w:r>
      <w:r w:rsidRPr="00F03A26">
        <w:rPr>
          <w:rFonts w:asciiTheme="majorBidi" w:hAnsiTheme="majorBidi" w:cstheme="majorBidi"/>
          <w:color w:val="000000" w:themeColor="text1"/>
          <w:lang w:val="en-GB"/>
        </w:rPr>
        <w:t xml:space="preserve">, it has been revealed that such quadrangular niches may be associated with water structures. The main contribution to </w:t>
      </w:r>
      <w:r w:rsidR="007517B6" w:rsidRPr="00F03A26">
        <w:rPr>
          <w:rFonts w:asciiTheme="majorBidi" w:hAnsiTheme="majorBidi" w:cstheme="majorBidi"/>
          <w:color w:val="000000" w:themeColor="text1"/>
          <w:lang w:val="en-GB"/>
        </w:rPr>
        <w:t>using</w:t>
      </w:r>
      <w:r w:rsidRPr="00F03A26">
        <w:rPr>
          <w:rFonts w:asciiTheme="majorBidi" w:hAnsiTheme="majorBidi" w:cstheme="majorBidi"/>
          <w:color w:val="000000" w:themeColor="text1"/>
          <w:lang w:val="en-GB"/>
        </w:rPr>
        <w:t xml:space="preserve"> rock water comes from the </w:t>
      </w:r>
      <w:r w:rsidR="00F04285" w:rsidRPr="00F03A26">
        <w:rPr>
          <w:rFonts w:asciiTheme="majorBidi" w:hAnsiTheme="majorBidi" w:cstheme="majorBidi"/>
          <w:color w:val="000000" w:themeColor="text1"/>
          <w:lang w:val="en-GB"/>
        </w:rPr>
        <w:t>northern flank of the Van R</w:t>
      </w:r>
      <w:r w:rsidR="00DA087A">
        <w:rPr>
          <w:rFonts w:asciiTheme="majorBidi" w:hAnsiTheme="majorBidi" w:cstheme="majorBidi"/>
          <w:color w:val="000000" w:themeColor="text1"/>
          <w:lang w:val="en-GB"/>
        </w:rPr>
        <w:t>o</w:t>
      </w:r>
      <w:r w:rsidR="00F04285" w:rsidRPr="00F03A26">
        <w:rPr>
          <w:rFonts w:asciiTheme="majorBidi" w:hAnsiTheme="majorBidi" w:cstheme="majorBidi"/>
          <w:color w:val="000000" w:themeColor="text1"/>
          <w:lang w:val="en-GB"/>
        </w:rPr>
        <w:t>ck</w:t>
      </w:r>
      <w:r w:rsidRPr="00F03A26">
        <w:rPr>
          <w:rFonts w:asciiTheme="majorBidi" w:hAnsiTheme="majorBidi" w:cstheme="majorBidi"/>
          <w:color w:val="000000" w:themeColor="text1"/>
          <w:lang w:val="en-GB"/>
        </w:rPr>
        <w:t xml:space="preserve"> called </w:t>
      </w:r>
      <w:r w:rsidR="003C5C9D" w:rsidRPr="00F03A26">
        <w:rPr>
          <w:rFonts w:asciiTheme="majorBidi" w:eastAsia="Times New Roman" w:hAnsiTheme="majorBidi" w:cstheme="majorBidi"/>
          <w:lang w:val="en-GB"/>
        </w:rPr>
        <w:t>"</w:t>
      </w:r>
      <w:r w:rsidRPr="00F03A26">
        <w:rPr>
          <w:rFonts w:asciiTheme="majorBidi" w:hAnsiTheme="majorBidi" w:cstheme="majorBidi"/>
          <w:color w:val="000000" w:themeColor="text1"/>
          <w:lang w:val="en-GB"/>
        </w:rPr>
        <w:t>taramanili</w:t>
      </w:r>
      <w:r w:rsidR="003C5C9D" w:rsidRPr="00F03A26">
        <w:rPr>
          <w:rFonts w:asciiTheme="majorBidi" w:eastAsia="Times New Roman" w:hAnsiTheme="majorBidi" w:cstheme="majorBidi"/>
          <w:lang w:val="en-GB"/>
        </w:rPr>
        <w:t>"</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"taramanili"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(spring water structure/fountain) </w:t>
      </w:r>
      <w:r w:rsidR="00F04285" w:rsidRPr="00F03A26">
        <w:rPr>
          <w:rFonts w:asciiTheme="majorBidi" w:hAnsiTheme="majorBidi" w:cstheme="majorBidi"/>
          <w:color w:val="000000" w:themeColor="text1"/>
          <w:lang w:val="en-GB"/>
        </w:rPr>
        <w:t>built</w:t>
      </w:r>
      <w:r w:rsidRPr="00F03A26">
        <w:rPr>
          <w:rFonts w:asciiTheme="majorBidi" w:hAnsiTheme="majorBidi" w:cstheme="majorBidi"/>
          <w:color w:val="000000" w:themeColor="text1"/>
          <w:lang w:val="en-GB"/>
        </w:rPr>
        <w:t xml:space="preserve"> by </w:t>
      </w:r>
      <w:r w:rsidR="00DD3957" w:rsidRPr="00F03A26">
        <w:rPr>
          <w:rFonts w:asciiTheme="majorBidi" w:hAnsiTheme="majorBidi" w:cstheme="majorBidi"/>
          <w:color w:val="000000" w:themeColor="text1"/>
          <w:lang w:val="en-GB"/>
        </w:rPr>
        <w:t>k</w:t>
      </w:r>
      <w:r w:rsidRPr="00F03A26">
        <w:rPr>
          <w:rFonts w:asciiTheme="majorBidi" w:hAnsiTheme="majorBidi" w:cstheme="majorBidi"/>
          <w:color w:val="000000" w:themeColor="text1"/>
          <w:lang w:val="en-GB"/>
        </w:rPr>
        <w:t>ing Minua</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"Minua"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7517B6" w:rsidRPr="00F03A26">
        <w:rPr>
          <w:rFonts w:asciiTheme="majorBidi" w:hAnsiTheme="majorBidi" w:cstheme="majorBidi"/>
          <w:color w:val="000000" w:themeColor="text1"/>
          <w:lang w:val="en-GB"/>
        </w:rPr>
        <w:t>I</w:t>
      </w:r>
      <w:r w:rsidRPr="00F03A26">
        <w:rPr>
          <w:rFonts w:asciiTheme="majorBidi" w:hAnsiTheme="majorBidi" w:cstheme="majorBidi"/>
          <w:color w:val="000000" w:themeColor="text1"/>
          <w:lang w:val="en-GB"/>
        </w:rPr>
        <w:t>n three niches cut into the rock, duplicate inscriptions indicate that a water source was organized. Based on this inscription, both a geophysical study and an archaeological excavation were conducted in this area.</w:t>
      </w:r>
    </w:p>
    <w:p w14:paraId="37E5BBF5" w14:textId="77777777" w:rsidR="00164DCD" w:rsidRPr="00F03A26" w:rsidRDefault="00164DCD" w:rsidP="00F03A26">
      <w:pPr>
        <w:jc w:val="both"/>
        <w:rPr>
          <w:rFonts w:asciiTheme="majorBidi" w:hAnsiTheme="majorBidi" w:cstheme="majorBidi"/>
          <w:color w:val="000000" w:themeColor="text1"/>
          <w:lang w:val="en-GB"/>
        </w:rPr>
      </w:pPr>
    </w:p>
    <w:p w14:paraId="5B760DB5" w14:textId="3CEAE07A" w:rsidR="00164DCD" w:rsidRPr="00F03A26" w:rsidRDefault="008E2355"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 shaped niches</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w:instrText>
      </w:r>
      <w:r w:rsidRPr="00F03A26">
        <w:rPr>
          <w:rFonts w:asciiTheme="majorBidi" w:hAnsiTheme="majorBidi" w:cstheme="majorBidi"/>
          <w:color w:val="000000" w:themeColor="text1"/>
          <w:lang w:val="en-GB"/>
        </w:rPr>
        <w:instrText>“T” shaped niches</w:instrText>
      </w:r>
      <w:r w:rsidR="005F421B" w:rsidRPr="00F03A26">
        <w:rPr>
          <w:rFonts w:asciiTheme="majorBidi" w:hAnsiTheme="majorBidi" w:cstheme="majorBidi"/>
          <w:color w:val="000000" w:themeColor="text1"/>
          <w:lang w:val="en-GB"/>
        </w:rPr>
        <w:instrText xml:space="preserve">"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(Chapter 12) are another example of rockwork on the </w:t>
      </w:r>
      <w:r w:rsidR="008E74CD" w:rsidRPr="00F03A26">
        <w:rPr>
          <w:rFonts w:asciiTheme="majorBidi" w:hAnsiTheme="majorBidi" w:cstheme="majorBidi"/>
          <w:color w:val="000000" w:themeColor="text1"/>
          <w:lang w:val="en-GB"/>
        </w:rPr>
        <w:t>Ṭušpa</w:t>
      </w:r>
      <w:r w:rsidR="00D008E2">
        <w:rPr>
          <w:rFonts w:asciiTheme="majorBidi" w:hAnsiTheme="majorBidi" w:cstheme="majorBidi"/>
          <w:color w:val="000000" w:themeColor="text1"/>
          <w:lang w:val="en-GB"/>
        </w:rPr>
        <w:t>/Van</w:t>
      </w:r>
      <w:r w:rsidR="008E74CD" w:rsidRPr="00F03A26">
        <w:rPr>
          <w:rFonts w:asciiTheme="majorBidi" w:hAnsiTheme="majorBidi" w:cstheme="majorBidi"/>
          <w:color w:val="000000" w:themeColor="text1"/>
          <w:lang w:val="en-GB"/>
        </w:rPr>
        <w:t xml:space="preserve"> Rock</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w:instrText>
      </w:r>
      <w:r w:rsidR="008E74CD" w:rsidRPr="00F03A26">
        <w:rPr>
          <w:rFonts w:asciiTheme="majorBidi" w:hAnsiTheme="majorBidi" w:cstheme="majorBidi"/>
          <w:color w:val="000000" w:themeColor="text1"/>
          <w:lang w:val="en-GB"/>
        </w:rPr>
        <w:instrText>Ṭušpa</w:instrText>
      </w:r>
      <w:r w:rsidR="00D008E2">
        <w:rPr>
          <w:rFonts w:asciiTheme="majorBidi" w:hAnsiTheme="majorBidi" w:cstheme="majorBidi"/>
          <w:color w:val="000000" w:themeColor="text1"/>
          <w:lang w:val="en-GB"/>
        </w:rPr>
        <w:instrText>/Van</w:instrText>
      </w:r>
      <w:r w:rsidR="008E74CD" w:rsidRPr="00F03A26">
        <w:rPr>
          <w:rFonts w:asciiTheme="majorBidi" w:hAnsiTheme="majorBidi" w:cstheme="majorBidi"/>
          <w:color w:val="000000" w:themeColor="text1"/>
          <w:lang w:val="en-GB"/>
        </w:rPr>
        <w:instrText xml:space="preserve"> Rock</w:instrText>
      </w:r>
      <w:r w:rsidR="005F421B" w:rsidRPr="00F03A26">
        <w:rPr>
          <w:rFonts w:asciiTheme="majorBidi" w:hAnsiTheme="majorBidi" w:cstheme="majorBidi"/>
          <w:color w:val="000000" w:themeColor="text1"/>
          <w:lang w:val="en-GB"/>
        </w:rPr>
        <w:instrText xml:space="preserve">"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the chronology and quality of which are disputed. However, the</w:t>
      </w:r>
      <w:r w:rsidR="007517B6" w:rsidRPr="00F03A26">
        <w:rPr>
          <w:rFonts w:asciiTheme="majorBidi" w:hAnsiTheme="majorBidi" w:cstheme="majorBidi"/>
          <w:color w:val="000000" w:themeColor="text1"/>
          <w:lang w:val="en-GB"/>
        </w:rPr>
        <w:t>ir size and position</w:t>
      </w:r>
      <w:r w:rsidR="001C11C8" w:rsidRPr="00F03A26">
        <w:rPr>
          <w:rFonts w:asciiTheme="majorBidi" w:hAnsiTheme="majorBidi" w:cstheme="majorBidi"/>
          <w:color w:val="000000" w:themeColor="text1"/>
          <w:lang w:val="en-GB"/>
        </w:rPr>
        <w:t xml:space="preserve"> differ from other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rockwork </w:t>
      </w:r>
      <w:r w:rsidR="007517B6" w:rsidRPr="00F03A26">
        <w:rPr>
          <w:rFonts w:asciiTheme="majorBidi" w:hAnsiTheme="majorBidi" w:cstheme="majorBidi"/>
          <w:color w:val="000000" w:themeColor="text1"/>
          <w:lang w:val="en-GB"/>
        </w:rPr>
        <w:t>examples</w:t>
      </w:r>
      <w:r w:rsidR="000146A6" w:rsidRPr="00F03A26">
        <w:rPr>
          <w:rFonts w:asciiTheme="majorBidi" w:hAnsiTheme="majorBidi" w:cstheme="majorBidi"/>
          <w:color w:val="000000" w:themeColor="text1"/>
          <w:lang w:val="en-GB"/>
        </w:rPr>
        <w:t xml:space="preserve">. </w:t>
      </w:r>
      <w:r w:rsidR="001C11C8" w:rsidRPr="00F03A26">
        <w:rPr>
          <w:rFonts w:asciiTheme="majorBidi" w:hAnsiTheme="majorBidi" w:cstheme="majorBidi"/>
          <w:color w:val="000000" w:themeColor="text1"/>
          <w:lang w:val="en-GB"/>
        </w:rPr>
        <w:t xml:space="preserve">They are often dated to the </w:t>
      </w:r>
      <w:r w:rsidR="008F3084" w:rsidRPr="00F03A26">
        <w:rPr>
          <w:rFonts w:asciiTheme="majorBidi" w:hAnsiTheme="majorBidi" w:cstheme="majorBidi"/>
          <w:color w:val="000000" w:themeColor="text1"/>
          <w:lang w:val="en-GB"/>
        </w:rPr>
        <w:t xml:space="preserve">Urartian </w:t>
      </w:r>
      <w:r w:rsidR="009D48F8" w:rsidRPr="00F03A26">
        <w:rPr>
          <w:rFonts w:asciiTheme="majorBidi" w:hAnsiTheme="majorBidi" w:cstheme="majorBidi"/>
          <w:color w:val="000000" w:themeColor="text1"/>
          <w:lang w:val="en-GB"/>
        </w:rPr>
        <w:t>p</w:t>
      </w:r>
      <w:r w:rsidR="008F3084" w:rsidRPr="00F03A26">
        <w:rPr>
          <w:rFonts w:asciiTheme="majorBidi" w:hAnsiTheme="majorBidi" w:cstheme="majorBidi"/>
          <w:color w:val="000000" w:themeColor="text1"/>
          <w:lang w:val="en-GB"/>
        </w:rPr>
        <w:t>eriod</w:t>
      </w:r>
      <w:r w:rsidR="001C11C8" w:rsidRPr="00F03A26">
        <w:rPr>
          <w:rFonts w:asciiTheme="majorBidi" w:hAnsiTheme="majorBidi" w:cstheme="majorBidi"/>
          <w:color w:val="000000" w:themeColor="text1"/>
          <w:lang w:val="en-GB"/>
        </w:rPr>
        <w:t xml:space="preserve"> regarding the T-shaped blind windows. The locations of the 23 </w:t>
      </w:r>
      <w:r w:rsidRPr="00F03A26">
        <w:rPr>
          <w:rFonts w:asciiTheme="majorBidi" w:hAnsiTheme="majorBidi" w:cstheme="majorBidi"/>
          <w:color w:val="000000" w:themeColor="text1"/>
          <w:lang w:val="en-GB"/>
        </w:rPr>
        <w:t>“T” shaped niches</w:t>
      </w:r>
      <w:r w:rsidR="001C11C8" w:rsidRPr="00F03A26">
        <w:rPr>
          <w:rFonts w:asciiTheme="majorBidi" w:hAnsiTheme="majorBidi" w:cstheme="majorBidi"/>
          <w:color w:val="000000" w:themeColor="text1"/>
          <w:lang w:val="en-GB"/>
        </w:rPr>
        <w:t xml:space="preserve"> in </w:t>
      </w:r>
      <w:r w:rsidR="00FA5983" w:rsidRPr="00F03A26">
        <w:rPr>
          <w:rFonts w:asciiTheme="majorBidi" w:hAnsiTheme="majorBidi" w:cstheme="majorBidi"/>
          <w:color w:val="000000" w:themeColor="text1"/>
          <w:lang w:val="en-GB"/>
        </w:rPr>
        <w:t xml:space="preserve">the </w:t>
      </w:r>
      <w:r w:rsidR="001C11C8" w:rsidRPr="00F03A26">
        <w:rPr>
          <w:rFonts w:asciiTheme="majorBidi" w:hAnsiTheme="majorBidi" w:cstheme="majorBidi"/>
          <w:color w:val="000000" w:themeColor="text1"/>
          <w:lang w:val="en-GB"/>
        </w:rPr>
        <w:t xml:space="preserve">Van </w:t>
      </w:r>
      <w:r w:rsidR="00FA5983" w:rsidRPr="00F03A26">
        <w:rPr>
          <w:rFonts w:asciiTheme="majorBidi" w:hAnsiTheme="majorBidi" w:cstheme="majorBidi"/>
          <w:color w:val="000000" w:themeColor="text1"/>
          <w:lang w:val="en-GB"/>
        </w:rPr>
        <w:t>Fortress</w:t>
      </w:r>
      <w:r w:rsidR="001C11C8" w:rsidRPr="00F03A26">
        <w:rPr>
          <w:rFonts w:asciiTheme="majorBidi" w:hAnsiTheme="majorBidi" w:cstheme="majorBidi"/>
          <w:color w:val="000000" w:themeColor="text1"/>
          <w:lang w:val="en-GB"/>
        </w:rPr>
        <w:t xml:space="preserve"> were d</w:t>
      </w:r>
      <w:r w:rsidR="00FA5983" w:rsidRPr="00F03A26">
        <w:rPr>
          <w:rFonts w:asciiTheme="majorBidi" w:hAnsiTheme="majorBidi" w:cstheme="majorBidi"/>
          <w:color w:val="000000" w:themeColor="text1"/>
          <w:lang w:val="en-GB"/>
        </w:rPr>
        <w:t>etected</w:t>
      </w:r>
      <w:r w:rsidR="001C11C8" w:rsidRPr="00F03A26">
        <w:rPr>
          <w:rFonts w:asciiTheme="majorBidi" w:hAnsiTheme="majorBidi" w:cstheme="majorBidi"/>
          <w:color w:val="000000" w:themeColor="text1"/>
          <w:lang w:val="en-GB"/>
        </w:rPr>
        <w:t>, individually drawn, and classified according to their size and type. Based on these data, their relationship with Urartu</w:t>
      </w:r>
      <w:r w:rsidR="0066296E" w:rsidRPr="00F03A26">
        <w:rPr>
          <w:rFonts w:asciiTheme="majorBidi" w:hAnsiTheme="majorBidi" w:cstheme="majorBidi"/>
          <w:color w:val="000000" w:themeColor="text1"/>
          <w:lang w:val="en-GB"/>
        </w:rPr>
        <w:fldChar w:fldCharType="begin"/>
      </w:r>
      <w:r w:rsidR="0066296E" w:rsidRPr="00F03A26">
        <w:rPr>
          <w:rFonts w:asciiTheme="majorBidi" w:hAnsiTheme="majorBidi" w:cstheme="majorBidi"/>
          <w:color w:val="000000" w:themeColor="text1"/>
          <w:lang w:val="en-GB"/>
        </w:rPr>
        <w:instrText xml:space="preserve"> XE "</w:instrText>
      </w:r>
      <w:r w:rsidR="0066296E" w:rsidRPr="00F03A26">
        <w:rPr>
          <w:rFonts w:asciiTheme="majorBidi" w:eastAsia="Times New Roman" w:hAnsiTheme="majorBidi" w:cstheme="majorBidi"/>
          <w:color w:val="000000" w:themeColor="text1"/>
          <w:lang w:val="en-GB"/>
        </w:rPr>
        <w:instrText>Urartu</w:instrText>
      </w:r>
      <w:r w:rsidR="0066296E" w:rsidRPr="00F03A26">
        <w:rPr>
          <w:rFonts w:asciiTheme="majorBidi" w:hAnsiTheme="majorBidi" w:cstheme="majorBidi"/>
          <w:color w:val="000000" w:themeColor="text1"/>
          <w:lang w:val="en-GB"/>
        </w:rPr>
        <w:instrText xml:space="preserve">" </w:instrText>
      </w:r>
      <w:r w:rsidR="0066296E" w:rsidRPr="00F03A26">
        <w:rPr>
          <w:rFonts w:asciiTheme="majorBidi" w:hAnsiTheme="majorBidi" w:cstheme="majorBidi"/>
          <w:color w:val="000000" w:themeColor="text1"/>
          <w:lang w:val="en-GB"/>
        </w:rPr>
        <w:fldChar w:fldCharType="end"/>
      </w:r>
      <w:r w:rsidR="001C11C8" w:rsidRPr="00F03A26">
        <w:rPr>
          <w:rFonts w:asciiTheme="majorBidi" w:hAnsiTheme="majorBidi" w:cstheme="majorBidi"/>
          <w:color w:val="000000" w:themeColor="text1"/>
          <w:lang w:val="en-GB"/>
        </w:rPr>
        <w:t xml:space="preserve"> is discussed again by comparing them with similar examples in the Van</w:t>
      </w:r>
      <w:r w:rsidR="004F4D01" w:rsidRPr="00F03A26">
        <w:rPr>
          <w:rFonts w:asciiTheme="majorBidi" w:hAnsiTheme="majorBidi" w:cstheme="majorBidi"/>
          <w:color w:val="000000" w:themeColor="text1"/>
          <w:lang w:val="en-GB"/>
        </w:rPr>
        <w:t xml:space="preserve"> Lake</w:t>
      </w:r>
      <w:r w:rsidR="001F2587">
        <w:rPr>
          <w:rFonts w:asciiTheme="majorBidi" w:hAnsiTheme="majorBidi" w:cstheme="majorBidi"/>
          <w:color w:val="000000" w:themeColor="text1"/>
          <w:lang w:val="en-GB"/>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hAnsiTheme="majorBidi" w:cstheme="majorBidi"/>
          <w:color w:val="000000" w:themeColor="text1"/>
          <w:lang w:val="en-GB"/>
        </w:rPr>
        <w:fldChar w:fldCharType="end"/>
      </w:r>
      <w:r w:rsidR="004F4D01" w:rsidRPr="00F03A26">
        <w:rPr>
          <w:rFonts w:asciiTheme="majorBidi" w:hAnsiTheme="majorBidi" w:cstheme="majorBidi"/>
          <w:color w:val="000000" w:themeColor="text1"/>
          <w:lang w:val="en-GB"/>
        </w:rPr>
        <w:t xml:space="preserve"> b</w:t>
      </w:r>
      <w:r w:rsidR="001C11C8" w:rsidRPr="00F03A26">
        <w:rPr>
          <w:rFonts w:asciiTheme="majorBidi" w:hAnsiTheme="majorBidi" w:cstheme="majorBidi"/>
          <w:color w:val="000000" w:themeColor="text1"/>
          <w:lang w:val="en-GB"/>
        </w:rPr>
        <w:t>asin.</w:t>
      </w:r>
    </w:p>
    <w:p w14:paraId="7FAA2258" w14:textId="77777777" w:rsidR="00164DCD" w:rsidRPr="00F03A26" w:rsidRDefault="00164DCD" w:rsidP="00F03A26">
      <w:pPr>
        <w:jc w:val="both"/>
        <w:rPr>
          <w:rFonts w:asciiTheme="majorBidi" w:hAnsiTheme="majorBidi" w:cstheme="majorBidi"/>
          <w:color w:val="000000" w:themeColor="text1"/>
          <w:lang w:val="en-GB"/>
        </w:rPr>
      </w:pPr>
    </w:p>
    <w:p w14:paraId="13416AD7" w14:textId="3D2FBBF7" w:rsidR="003579B5" w:rsidRPr="00F03A26" w:rsidRDefault="001C11C8"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In this book, all proper names such as names of historical persons, gods, and places are given in their original forms </w:t>
      </w:r>
      <w:r w:rsidR="000146A6" w:rsidRPr="00F03A26">
        <w:rPr>
          <w:rFonts w:asciiTheme="majorBidi" w:hAnsiTheme="majorBidi" w:cstheme="majorBidi"/>
          <w:color w:val="000000" w:themeColor="text1"/>
          <w:lang w:val="en-GB"/>
        </w:rPr>
        <w:t>and</w:t>
      </w:r>
      <w:r w:rsidRPr="00F03A26">
        <w:rPr>
          <w:rFonts w:asciiTheme="majorBidi" w:hAnsiTheme="majorBidi" w:cstheme="majorBidi"/>
          <w:color w:val="000000" w:themeColor="text1"/>
          <w:lang w:val="en-GB"/>
        </w:rPr>
        <w:t xml:space="preserve"> alternative </w:t>
      </w:r>
      <w:r w:rsidR="00F87979" w:rsidRPr="00F03A26">
        <w:rPr>
          <w:rFonts w:asciiTheme="majorBidi" w:hAnsiTheme="majorBidi" w:cstheme="majorBidi"/>
          <w:color w:val="000000" w:themeColor="text1"/>
          <w:lang w:val="en-GB"/>
        </w:rPr>
        <w:t>spellings,</w:t>
      </w:r>
      <w:r w:rsidRPr="00F03A26">
        <w:rPr>
          <w:rFonts w:asciiTheme="majorBidi" w:hAnsiTheme="majorBidi" w:cstheme="majorBidi"/>
          <w:color w:val="000000" w:themeColor="text1"/>
          <w:lang w:val="en-GB"/>
        </w:rPr>
        <w:t xml:space="preserve"> such as </w:t>
      </w:r>
      <w:r w:rsidR="009E5CCD" w:rsidRPr="00B71584">
        <w:rPr>
          <w:rFonts w:asciiTheme="majorBidi" w:eastAsia="Times New Roman" w:hAnsiTheme="majorBidi" w:cstheme="majorBidi"/>
          <w:color w:val="000000" w:themeColor="text1"/>
          <w:lang w:val="en-GB" w:eastAsia="it-IT"/>
        </w:rPr>
        <w:t>Išpuini</w:t>
      </w:r>
      <w:r w:rsidR="00C1513A">
        <w:rPr>
          <w:rFonts w:asciiTheme="majorBidi" w:eastAsia="Times New Roman" w:hAnsiTheme="majorBidi" w:cstheme="majorBidi"/>
          <w:i/>
          <w:iCs/>
          <w:color w:val="000000" w:themeColor="text1"/>
          <w:lang w:val="en-GB" w:eastAsia="it-IT"/>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Times New Roman" w:hAnsiTheme="majorBidi" w:cstheme="majorBidi"/>
          <w:i/>
          <w:iCs/>
          <w:color w:val="000000" w:themeColor="text1"/>
          <w:lang w:val="en-GB" w:eastAsia="it-IT"/>
        </w:rPr>
        <w:fldChar w:fldCharType="end"/>
      </w:r>
      <w:r w:rsidR="009E5CCD" w:rsidRPr="00F03A26">
        <w:rPr>
          <w:rFonts w:asciiTheme="majorBidi" w:eastAsia="Times New Roman" w:hAnsiTheme="majorBidi" w:cstheme="majorBidi"/>
          <w:color w:val="000000" w:themeColor="text1"/>
          <w:lang w:val="en-GB" w:eastAsia="it-IT"/>
        </w:rPr>
        <w:t xml:space="preserve"> (?). </w:t>
      </w:r>
      <w:r w:rsidRPr="00F03A26">
        <w:rPr>
          <w:rFonts w:asciiTheme="majorBidi" w:hAnsiTheme="majorBidi" w:cstheme="majorBidi"/>
          <w:color w:val="000000" w:themeColor="text1"/>
          <w:lang w:val="en-GB"/>
        </w:rPr>
        <w:t xml:space="preserve">Likewise, all historical and contemporary names of buildings and places are given in their inscriptional forms and with their </w:t>
      </w:r>
      <w:r w:rsidR="000146A6" w:rsidRPr="00F03A26">
        <w:rPr>
          <w:rFonts w:asciiTheme="majorBidi" w:hAnsiTheme="majorBidi" w:cstheme="majorBidi"/>
          <w:color w:val="000000" w:themeColor="text1"/>
          <w:lang w:val="en-GB"/>
        </w:rPr>
        <w:t>modern</w:t>
      </w:r>
      <w:r w:rsidRPr="00F03A26">
        <w:rPr>
          <w:rFonts w:asciiTheme="majorBidi" w:hAnsiTheme="majorBidi" w:cstheme="majorBidi"/>
          <w:color w:val="000000" w:themeColor="text1"/>
          <w:lang w:val="en-GB"/>
        </w:rPr>
        <w:t xml:space="preserve"> names. Both usages are valid in the text Toprakkale</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"Toprakkale"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(in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3C5C9D" w:rsidRPr="00F03A26">
        <w:rPr>
          <w:rFonts w:asciiTheme="majorBidi" w:eastAsia="Times New Roman" w:hAnsiTheme="majorBidi" w:cstheme="majorBidi"/>
          <w:lang w:val="en-GB"/>
        </w:rPr>
        <w:t>"</w:t>
      </w:r>
      <w:r w:rsidRPr="00E340E0">
        <w:rPr>
          <w:rFonts w:asciiTheme="majorBidi" w:hAnsiTheme="majorBidi" w:cstheme="majorBidi"/>
          <w:iCs/>
          <w:color w:val="000000" w:themeColor="text1"/>
          <w:lang w:val="en-GB"/>
        </w:rPr>
        <w:t>Rusaḫinili</w:t>
      </w:r>
      <w:r w:rsidR="005F421B" w:rsidRPr="00E340E0">
        <w:rPr>
          <w:rFonts w:asciiTheme="majorBidi" w:hAnsiTheme="majorBidi" w:cstheme="majorBidi"/>
          <w:iCs/>
          <w:color w:val="000000" w:themeColor="text1"/>
          <w:lang w:val="en-GB"/>
        </w:rPr>
        <w:fldChar w:fldCharType="begin"/>
      </w:r>
      <w:r w:rsidR="005F421B" w:rsidRPr="00E340E0">
        <w:rPr>
          <w:rFonts w:asciiTheme="majorBidi" w:hAnsiTheme="majorBidi" w:cstheme="majorBidi"/>
          <w:iCs/>
          <w:color w:val="000000" w:themeColor="text1"/>
          <w:lang w:val="en-GB"/>
        </w:rPr>
        <w:instrText xml:space="preserve"> XE "Rusaḫinili" </w:instrText>
      </w:r>
      <w:r w:rsidR="005F421B" w:rsidRPr="00E340E0">
        <w:rPr>
          <w:rFonts w:asciiTheme="majorBidi" w:hAnsiTheme="majorBidi" w:cstheme="majorBidi"/>
          <w:iCs/>
          <w:color w:val="000000" w:themeColor="text1"/>
          <w:lang w:val="en-GB"/>
        </w:rPr>
        <w:fldChar w:fldCharType="end"/>
      </w:r>
      <w:r w:rsidRPr="00E340E0">
        <w:rPr>
          <w:rFonts w:asciiTheme="majorBidi" w:hAnsiTheme="majorBidi" w:cstheme="majorBidi"/>
          <w:iCs/>
          <w:color w:val="000000" w:themeColor="text1"/>
          <w:lang w:val="en-GB"/>
        </w:rPr>
        <w:t xml:space="preserve"> </w:t>
      </w:r>
      <w:r w:rsidR="004224C2" w:rsidRPr="00E340E0">
        <w:rPr>
          <w:rFonts w:asciiTheme="majorBidi" w:hAnsiTheme="majorBidi" w:cstheme="majorBidi"/>
          <w:iCs/>
          <w:color w:val="000000" w:themeColor="text1"/>
          <w:lang w:val="en-GB"/>
        </w:rPr>
        <w:t>Qilbani</w:t>
      </w:r>
      <w:r w:rsidR="009E5CCD" w:rsidRPr="00E340E0">
        <w:rPr>
          <w:rFonts w:asciiTheme="majorBidi" w:hAnsiTheme="majorBidi" w:cstheme="majorBidi"/>
          <w:iCs/>
          <w:color w:val="000000" w:themeColor="text1"/>
          <w:lang w:val="en-GB"/>
        </w:rPr>
        <w:t>-kai</w:t>
      </w:r>
      <w:r w:rsidR="003C5C9D" w:rsidRPr="00F03A26">
        <w:rPr>
          <w:rFonts w:asciiTheme="majorBidi" w:eastAsia="Times New Roman" w:hAnsiTheme="majorBidi" w:cstheme="majorBidi"/>
          <w:lang w:val="en-GB"/>
        </w:rPr>
        <w:t>"</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w:instrText>
      </w:r>
      <w:r w:rsidR="004224C2" w:rsidRPr="00F03A26">
        <w:rPr>
          <w:rFonts w:asciiTheme="majorBidi" w:hAnsiTheme="majorBidi" w:cstheme="majorBidi"/>
          <w:color w:val="000000" w:themeColor="text1"/>
          <w:lang w:val="en-GB"/>
        </w:rPr>
        <w:instrText xml:space="preserve">Qilbani </w:instrText>
      </w:r>
      <w:r w:rsidR="005F421B" w:rsidRPr="00F03A26">
        <w:rPr>
          <w:rFonts w:asciiTheme="majorBidi" w:hAnsiTheme="majorBidi" w:cstheme="majorBidi"/>
          <w:color w:val="000000" w:themeColor="text1"/>
          <w:lang w:val="en-GB"/>
        </w:rPr>
        <w:instrText xml:space="preserve">"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404029" w:rsidRPr="00F03A26">
        <w:rPr>
          <w:rFonts w:asciiTheme="majorBidi" w:hAnsiTheme="majorBidi" w:cstheme="majorBidi"/>
          <w:color w:val="000000" w:themeColor="text1"/>
          <w:lang w:val="en-GB"/>
        </w:rPr>
        <w:t>The standart</w:t>
      </w:r>
      <w:r w:rsidR="009C13E9" w:rsidRPr="00F03A26">
        <w:rPr>
          <w:rFonts w:asciiTheme="majorBidi" w:hAnsiTheme="majorBidi" w:cstheme="majorBidi"/>
          <w:color w:val="000000" w:themeColor="text1"/>
          <w:lang w:val="en-GB"/>
        </w:rPr>
        <w:t xml:space="preserve"> form, </w:t>
      </w:r>
      <w:r w:rsidR="00C94436">
        <w:rPr>
          <w:rFonts w:asciiTheme="majorBidi" w:hAnsiTheme="majorBidi" w:cstheme="majorBidi"/>
          <w:color w:val="000000" w:themeColor="text1"/>
          <w:lang w:val="en-GB"/>
        </w:rPr>
        <w:t>‘</w:t>
      </w:r>
      <w:r w:rsidR="009C13E9" w:rsidRPr="00F03A26">
        <w:rPr>
          <w:rFonts w:asciiTheme="majorBidi" w:hAnsiTheme="majorBidi" w:cstheme="majorBidi"/>
          <w:color w:val="000000" w:themeColor="text1"/>
          <w:lang w:val="en-GB"/>
        </w:rPr>
        <w:t>Toprakkale</w:t>
      </w:r>
      <w:r w:rsidR="00C94436">
        <w:rPr>
          <w:rFonts w:asciiTheme="majorBidi" w:hAnsiTheme="majorBidi" w:cstheme="majorBidi"/>
          <w:color w:val="000000" w:themeColor="text1"/>
          <w:lang w:val="en-GB"/>
        </w:rPr>
        <w:t>’</w:t>
      </w:r>
      <w:r w:rsidR="009C13E9" w:rsidRPr="00F03A26">
        <w:rPr>
          <w:rFonts w:asciiTheme="majorBidi" w:hAnsiTheme="majorBidi" w:cstheme="majorBidi"/>
          <w:color w:val="000000" w:themeColor="text1"/>
          <w:lang w:val="en-GB"/>
        </w:rPr>
        <w:t xml:space="preserve"> is mainly used in the latter. </w:t>
      </w:r>
      <w:r w:rsidRPr="00F03A26">
        <w:rPr>
          <w:rFonts w:asciiTheme="majorBidi" w:hAnsiTheme="majorBidi" w:cstheme="majorBidi"/>
          <w:color w:val="000000" w:themeColor="text1"/>
          <w:lang w:val="en-GB"/>
        </w:rPr>
        <w:t xml:space="preserve">In some cases, the names used by the </w:t>
      </w:r>
      <w:r w:rsidR="000146A6" w:rsidRPr="00F03A26">
        <w:rPr>
          <w:rFonts w:asciiTheme="majorBidi" w:hAnsiTheme="majorBidi" w:cstheme="majorBidi"/>
          <w:color w:val="000000" w:themeColor="text1"/>
          <w:lang w:val="en-GB"/>
        </w:rPr>
        <w:t>ordinary</w:t>
      </w:r>
      <w:r w:rsidRPr="00F03A26">
        <w:rPr>
          <w:rFonts w:asciiTheme="majorBidi" w:hAnsiTheme="majorBidi" w:cstheme="majorBidi"/>
          <w:color w:val="000000" w:themeColor="text1"/>
          <w:lang w:val="en-GB"/>
        </w:rPr>
        <w:t xml:space="preserve"> people and the forms in different languages used by </w:t>
      </w:r>
      <w:r w:rsidR="0022436A" w:rsidRPr="00F03A26">
        <w:rPr>
          <w:rFonts w:asciiTheme="majorBidi" w:hAnsiTheme="majorBidi" w:cstheme="majorBidi"/>
          <w:color w:val="000000" w:themeColor="text1"/>
          <w:lang w:val="en-GB"/>
        </w:rPr>
        <w:t>travelers</w:t>
      </w:r>
      <w:r w:rsidRPr="00F03A26">
        <w:rPr>
          <w:rFonts w:asciiTheme="majorBidi" w:hAnsiTheme="majorBidi" w:cstheme="majorBidi"/>
          <w:color w:val="000000" w:themeColor="text1"/>
          <w:lang w:val="en-GB"/>
        </w:rPr>
        <w:t xml:space="preserve"> and in some publications are given in parentheses at the first occurrence of the name, and then the form in the current literature is used; Analıkız</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"Analıkız"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B6522A" w:rsidRPr="00F03A26">
        <w:rPr>
          <w:rFonts w:asciiTheme="majorBidi" w:hAnsiTheme="majorBidi" w:cstheme="majorBidi"/>
          <w:color w:val="000000" w:themeColor="text1"/>
          <w:lang w:val="en-GB"/>
        </w:rPr>
        <w:t>Hazine Kapısı</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"Hazine Kapısı"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Khazana Kapoussi</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"Khazana Kapoussi"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Chazineh-</w:t>
      </w:r>
      <w:r w:rsidR="00965934" w:rsidRPr="00F03A26">
        <w:rPr>
          <w:rFonts w:asciiTheme="majorBidi" w:hAnsiTheme="majorBidi" w:cstheme="majorBidi"/>
          <w:color w:val="000000" w:themeColor="text1"/>
          <w:lang w:val="en-GB"/>
        </w:rPr>
        <w:t>K</w:t>
      </w:r>
      <w:r w:rsidRPr="00F03A26">
        <w:rPr>
          <w:rFonts w:asciiTheme="majorBidi" w:hAnsiTheme="majorBidi" w:cstheme="majorBidi"/>
          <w:color w:val="000000" w:themeColor="text1"/>
          <w:lang w:val="en-GB"/>
        </w:rPr>
        <w:t>apyssy-Schatztor</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"Chazineh-</w:instrText>
      </w:r>
      <w:r w:rsidR="00965934" w:rsidRPr="00F03A26">
        <w:rPr>
          <w:rFonts w:asciiTheme="majorBidi" w:hAnsiTheme="majorBidi" w:cstheme="majorBidi"/>
          <w:color w:val="000000" w:themeColor="text1"/>
          <w:lang w:val="en-GB"/>
        </w:rPr>
        <w:instrText>K</w:instrText>
      </w:r>
      <w:r w:rsidR="005F421B" w:rsidRPr="00F03A26">
        <w:rPr>
          <w:rFonts w:asciiTheme="majorBidi" w:hAnsiTheme="majorBidi" w:cstheme="majorBidi"/>
          <w:color w:val="000000" w:themeColor="text1"/>
          <w:lang w:val="en-GB"/>
        </w:rPr>
        <w:instrText xml:space="preserve">apyssy-Schatztor" </w:instrText>
      </w:r>
      <w:r w:rsidR="005F421B" w:rsidRPr="00F03A26">
        <w:rPr>
          <w:rFonts w:asciiTheme="majorBidi" w:hAnsiTheme="majorBidi" w:cstheme="majorBidi"/>
          <w:color w:val="000000" w:themeColor="text1"/>
          <w:lang w:val="en-GB"/>
        </w:rPr>
        <w:fldChar w:fldCharType="end"/>
      </w:r>
      <w:r w:rsidR="00B6522A" w:rsidRPr="00F03A26">
        <w:rPr>
          <w:rFonts w:asciiTheme="majorBidi" w:hAnsiTheme="majorBidi" w:cstheme="majorBidi"/>
          <w:color w:val="000000" w:themeColor="text1"/>
          <w:lang w:val="en-GB"/>
        </w:rPr>
        <w:t>, Treasure Gate</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"Treasure Gate"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Sardurburç</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"Sardurburç"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(Madı</w:t>
      </w:r>
      <w:r w:rsidR="00935396" w:rsidRPr="00F03A26">
        <w:rPr>
          <w:rFonts w:asciiTheme="majorBidi" w:hAnsiTheme="majorBidi" w:cstheme="majorBidi"/>
          <w:color w:val="000000" w:themeColor="text1"/>
          <w:lang w:val="en-GB"/>
        </w:rPr>
        <w:t>rburç</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"Madırburç" </w:instrText>
      </w:r>
      <w:r w:rsidR="005F421B" w:rsidRPr="00F03A26">
        <w:rPr>
          <w:rFonts w:asciiTheme="majorBidi" w:hAnsiTheme="majorBidi" w:cstheme="majorBidi"/>
          <w:color w:val="000000" w:themeColor="text1"/>
          <w:lang w:val="en-GB"/>
        </w:rPr>
        <w:fldChar w:fldCharType="end"/>
      </w:r>
      <w:r w:rsidR="00935396" w:rsidRPr="00F03A26">
        <w:rPr>
          <w:rFonts w:asciiTheme="majorBidi" w:hAnsiTheme="majorBidi" w:cstheme="majorBidi"/>
          <w:color w:val="000000" w:themeColor="text1"/>
          <w:lang w:val="en-GB"/>
        </w:rPr>
        <w:t xml:space="preserve">, </w:t>
      </w:r>
      <w:r w:rsidR="009E5CCD" w:rsidRPr="00F03A26">
        <w:rPr>
          <w:rFonts w:asciiTheme="majorBidi" w:hAnsiTheme="majorBidi" w:cstheme="majorBidi"/>
          <w:color w:val="000000" w:themeColor="text1"/>
          <w:lang w:val="en-GB"/>
        </w:rPr>
        <w:t>Sardursburg</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"Sardurburg"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Minua</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"Minua"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's </w:t>
      </w:r>
      <w:r w:rsidR="003C5C9D" w:rsidRPr="00F03A26">
        <w:rPr>
          <w:rFonts w:asciiTheme="majorBidi" w:eastAsia="Times New Roman" w:hAnsiTheme="majorBidi" w:cstheme="majorBidi"/>
          <w:lang w:val="en-GB"/>
        </w:rPr>
        <w:t>"</w:t>
      </w:r>
      <w:r w:rsidRPr="00B71584">
        <w:rPr>
          <w:rFonts w:asciiTheme="majorBidi" w:hAnsiTheme="majorBidi" w:cstheme="majorBidi"/>
          <w:iCs/>
          <w:color w:val="000000" w:themeColor="text1"/>
          <w:lang w:val="en-GB"/>
        </w:rPr>
        <w:t>siršini</w:t>
      </w:r>
      <w:r w:rsidR="003C5C9D" w:rsidRPr="00F03A26">
        <w:rPr>
          <w:rFonts w:asciiTheme="majorBidi" w:eastAsia="Times New Roman" w:hAnsiTheme="majorBidi" w:cstheme="majorBidi"/>
          <w:lang w:val="en-GB"/>
        </w:rPr>
        <w:t>"</w:t>
      </w:r>
      <w:r w:rsidR="00512579" w:rsidRPr="00B71584">
        <w:rPr>
          <w:rFonts w:asciiTheme="majorBidi" w:hAnsiTheme="majorBidi" w:cstheme="majorBidi"/>
          <w:iCs/>
          <w:color w:val="000000" w:themeColor="text1"/>
          <w:lang w:val="en-GB"/>
        </w:rPr>
        <w:fldChar w:fldCharType="begin"/>
      </w:r>
      <w:r w:rsidR="00512579" w:rsidRPr="00B71584">
        <w:rPr>
          <w:rFonts w:asciiTheme="majorBidi" w:hAnsiTheme="majorBidi" w:cstheme="majorBidi"/>
          <w:iCs/>
          <w:color w:val="000000" w:themeColor="text1"/>
          <w:lang w:val="en-GB"/>
        </w:rPr>
        <w:instrText xml:space="preserve"> XE "siršini" </w:instrText>
      </w:r>
      <w:r w:rsidR="00512579" w:rsidRPr="00B71584">
        <w:rPr>
          <w:rFonts w:asciiTheme="majorBidi" w:hAnsiTheme="majorBidi" w:cstheme="majorBidi"/>
          <w:iCs/>
          <w:color w:val="000000" w:themeColor="text1"/>
          <w:lang w:val="en-GB"/>
        </w:rPr>
        <w:fldChar w:fldCharType="end"/>
      </w:r>
      <w:r w:rsidRPr="00F03A26">
        <w:rPr>
          <w:rFonts w:asciiTheme="majorBidi" w:hAnsiTheme="majorBidi" w:cstheme="majorBidi"/>
          <w:color w:val="000000" w:themeColor="text1"/>
          <w:lang w:val="en-GB"/>
        </w:rPr>
        <w:t xml:space="preserve"> (Rock Room</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"Rock Room"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Great Cave</w:t>
      </w:r>
      <w:r w:rsidR="00D70350">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Minua's Fountain</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"Minua's Fountain" </w:instrText>
      </w:r>
      <w:r w:rsidR="0002079A"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(Minua's </w:t>
      </w:r>
      <w:r w:rsidR="003C5C9D" w:rsidRPr="00F03A26">
        <w:rPr>
          <w:rFonts w:asciiTheme="majorBidi" w:eastAsia="Times New Roman" w:hAnsiTheme="majorBidi" w:cstheme="majorBidi"/>
          <w:lang w:val="en-GB"/>
        </w:rPr>
        <w:t>"</w:t>
      </w:r>
      <w:r w:rsidRPr="00F03A26">
        <w:rPr>
          <w:rFonts w:asciiTheme="majorBidi" w:hAnsiTheme="majorBidi" w:cstheme="majorBidi"/>
          <w:color w:val="000000" w:themeColor="text1"/>
          <w:lang w:val="en-GB"/>
        </w:rPr>
        <w:t>tarmanili</w:t>
      </w:r>
      <w:r w:rsidR="003C5C9D" w:rsidRPr="00F03A26">
        <w:rPr>
          <w:rFonts w:asciiTheme="majorBidi" w:eastAsia="Times New Roman" w:hAnsiTheme="majorBidi" w:cstheme="majorBidi"/>
          <w:lang w:val="en-GB"/>
        </w:rPr>
        <w:t>"</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"Minua's tarmanili" </w:instrText>
      </w:r>
      <w:r w:rsidR="0002079A" w:rsidRPr="00F03A26">
        <w:rPr>
          <w:rFonts w:asciiTheme="majorBidi" w:hAnsiTheme="majorBidi" w:cstheme="majorBidi"/>
          <w:color w:val="000000" w:themeColor="text1"/>
          <w:lang w:val="en-GB"/>
        </w:rPr>
        <w:fldChar w:fldCharType="end"/>
      </w:r>
      <w:r w:rsidR="00D70350">
        <w:rPr>
          <w:rFonts w:asciiTheme="majorBidi" w:hAnsiTheme="majorBidi" w:cstheme="majorBidi"/>
          <w:color w:val="000000" w:themeColor="text1"/>
          <w:lang w:val="en-GB"/>
        </w:rPr>
        <w:t>, Minua Çeşmesi</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"Minua Fountain" </w:instrText>
      </w:r>
      <w:r w:rsidR="0002079A"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02079A" w:rsidRPr="00F03A26">
        <w:rPr>
          <w:rFonts w:asciiTheme="majorBidi" w:hAnsiTheme="majorBidi" w:cstheme="majorBidi"/>
          <w:color w:val="000000" w:themeColor="text1"/>
          <w:lang w:val="en-GB"/>
        </w:rPr>
        <w:t>İç Kale</w:t>
      </w:r>
      <w:r w:rsidR="006D4DC9" w:rsidRPr="00F03A26">
        <w:rPr>
          <w:rFonts w:asciiTheme="majorBidi" w:hAnsiTheme="majorBidi" w:cstheme="majorBidi"/>
          <w:color w:val="000000" w:themeColor="text1"/>
          <w:lang w:val="en-GB"/>
        </w:rPr>
        <w:fldChar w:fldCharType="begin"/>
      </w:r>
      <w:r w:rsidR="006D4DC9" w:rsidRPr="00F03A26">
        <w:rPr>
          <w:rFonts w:asciiTheme="majorBidi" w:hAnsiTheme="majorBidi" w:cstheme="majorBidi"/>
          <w:color w:val="000000" w:themeColor="text1"/>
          <w:lang w:val="en-GB"/>
        </w:rPr>
        <w:instrText xml:space="preserve"> XE "İç Kale" </w:instrText>
      </w:r>
      <w:r w:rsidR="006D4DC9" w:rsidRPr="00F03A26">
        <w:rPr>
          <w:rFonts w:asciiTheme="majorBidi" w:hAnsiTheme="majorBidi" w:cstheme="majorBidi"/>
          <w:color w:val="000000" w:themeColor="text1"/>
          <w:lang w:val="en-GB"/>
        </w:rPr>
        <w:fldChar w:fldCharType="end"/>
      </w:r>
      <w:r w:rsidR="0002079A"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Inner Citadel</w:t>
      </w:r>
      <w:r w:rsidR="00C10847" w:rsidRPr="00F03A26">
        <w:rPr>
          <w:rFonts w:asciiTheme="majorBidi" w:hAnsiTheme="majorBidi" w:cstheme="majorBidi"/>
          <w:color w:val="000000" w:themeColor="text1"/>
          <w:lang w:val="en-GB"/>
        </w:rPr>
        <w:fldChar w:fldCharType="begin"/>
      </w:r>
      <w:r w:rsidR="00C10847" w:rsidRPr="00F03A26">
        <w:rPr>
          <w:rFonts w:asciiTheme="majorBidi" w:hAnsiTheme="majorBidi" w:cstheme="majorBidi"/>
          <w:color w:val="000000" w:themeColor="text1"/>
          <w:lang w:val="en-GB"/>
        </w:rPr>
        <w:instrText xml:space="preserve"> XE "Inner Citadel" </w:instrText>
      </w:r>
      <w:r w:rsidR="00C10847" w:rsidRPr="00F03A26">
        <w:rPr>
          <w:rFonts w:asciiTheme="majorBidi" w:hAnsiTheme="majorBidi" w:cstheme="majorBidi"/>
          <w:color w:val="000000" w:themeColor="text1"/>
          <w:lang w:val="en-GB"/>
        </w:rPr>
        <w:fldChar w:fldCharType="end"/>
      </w:r>
      <w:r w:rsidR="00B6522A" w:rsidRPr="00F03A26">
        <w:rPr>
          <w:rFonts w:asciiTheme="majorBidi" w:hAnsiTheme="majorBidi" w:cstheme="majorBidi"/>
          <w:color w:val="000000" w:themeColor="text1"/>
          <w:lang w:val="en-GB"/>
        </w:rPr>
        <w:t>, Yukarı Sitadel, Upper Citadel</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"Upper Citadel" </w:instrText>
      </w:r>
      <w:r w:rsidR="0002079A" w:rsidRPr="00F03A26">
        <w:rPr>
          <w:rFonts w:asciiTheme="majorBidi" w:hAnsiTheme="majorBidi" w:cstheme="majorBidi"/>
          <w:color w:val="000000" w:themeColor="text1"/>
          <w:lang w:val="en-GB"/>
        </w:rPr>
        <w:fldChar w:fldCharType="end"/>
      </w:r>
      <w:r w:rsidR="00B6522A"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w:t>
      </w:r>
      <w:r w:rsidR="00364E1B" w:rsidRPr="00F03A26">
        <w:rPr>
          <w:rFonts w:asciiTheme="majorBidi" w:hAnsiTheme="majorBidi" w:cstheme="majorBidi"/>
          <w:color w:val="000000" w:themeColor="text1"/>
          <w:lang w:val="en-GB"/>
        </w:rPr>
        <w:t>Old Palace</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w:instrText>
      </w:r>
      <w:r w:rsidR="00364E1B" w:rsidRPr="00F03A26">
        <w:rPr>
          <w:rFonts w:asciiTheme="majorBidi" w:hAnsiTheme="majorBidi" w:cstheme="majorBidi"/>
          <w:color w:val="000000" w:themeColor="text1"/>
          <w:lang w:val="en-GB"/>
        </w:rPr>
        <w:instrText>Old Palace</w:instrText>
      </w:r>
      <w:r w:rsidR="0002079A" w:rsidRPr="00F03A26">
        <w:rPr>
          <w:rFonts w:asciiTheme="majorBidi" w:hAnsiTheme="majorBidi" w:cstheme="majorBidi"/>
          <w:color w:val="000000" w:themeColor="text1"/>
          <w:lang w:val="en-GB"/>
        </w:rPr>
        <w:instrText xml:space="preserve">" </w:instrText>
      </w:r>
      <w:r w:rsidR="0002079A"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B6522A" w:rsidRPr="00F03A26">
        <w:rPr>
          <w:rFonts w:asciiTheme="majorBidi" w:hAnsiTheme="majorBidi" w:cstheme="majorBidi"/>
          <w:color w:val="000000" w:themeColor="text1"/>
          <w:lang w:val="en-GB"/>
        </w:rPr>
        <w:t>Yeni Saray</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"Yeni Saray" </w:instrText>
      </w:r>
      <w:r w:rsidR="0002079A" w:rsidRPr="00F03A26">
        <w:rPr>
          <w:rFonts w:asciiTheme="majorBidi" w:hAnsiTheme="majorBidi" w:cstheme="majorBidi"/>
          <w:color w:val="000000" w:themeColor="text1"/>
          <w:lang w:val="en-GB"/>
        </w:rPr>
        <w:fldChar w:fldCharType="end"/>
      </w:r>
      <w:r w:rsidR="00B6522A" w:rsidRPr="00F03A26">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t>New Palace</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"New Palace" </w:instrText>
      </w:r>
      <w:r w:rsidR="0002079A" w:rsidRPr="00F03A26">
        <w:rPr>
          <w:rFonts w:asciiTheme="majorBidi" w:hAnsiTheme="majorBidi" w:cstheme="majorBidi"/>
          <w:color w:val="000000" w:themeColor="text1"/>
          <w:lang w:val="en-GB"/>
        </w:rPr>
        <w:fldChar w:fldCharType="end"/>
      </w:r>
      <w:r w:rsidR="00B6522A"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West Ditch</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"West Ditch" </w:instrText>
      </w:r>
      <w:r w:rsidR="0002079A" w:rsidRPr="00F03A26">
        <w:rPr>
          <w:rFonts w:asciiTheme="majorBidi" w:hAnsiTheme="majorBidi" w:cstheme="majorBidi"/>
          <w:color w:val="000000" w:themeColor="text1"/>
          <w:lang w:val="en-GB"/>
        </w:rPr>
        <w:fldChar w:fldCharType="end"/>
      </w:r>
      <w:r w:rsidR="009D5017" w:rsidRPr="00F03A26">
        <w:rPr>
          <w:rFonts w:asciiTheme="majorBidi" w:hAnsiTheme="majorBidi" w:cstheme="majorBidi"/>
          <w:color w:val="000000" w:themeColor="text1"/>
          <w:lang w:val="en-GB"/>
        </w:rPr>
        <w:t xml:space="preserve"> (Batı Hendeği)</w:t>
      </w:r>
      <w:r w:rsidRPr="00F03A26">
        <w:rPr>
          <w:rFonts w:asciiTheme="majorBidi" w:hAnsiTheme="majorBidi" w:cstheme="majorBidi"/>
          <w:color w:val="000000" w:themeColor="text1"/>
          <w:lang w:val="en-GB"/>
        </w:rPr>
        <w:t>, East Ditch</w:t>
      </w:r>
      <w:r w:rsidR="0002079A" w:rsidRPr="00F03A26">
        <w:rPr>
          <w:rFonts w:asciiTheme="majorBidi" w:hAnsiTheme="majorBidi" w:cstheme="majorBidi"/>
          <w:color w:val="000000" w:themeColor="text1"/>
          <w:lang w:val="en-GB"/>
        </w:rPr>
        <w:fldChar w:fldCharType="begin"/>
      </w:r>
      <w:r w:rsidR="0002079A" w:rsidRPr="00F03A26">
        <w:rPr>
          <w:rFonts w:asciiTheme="majorBidi" w:hAnsiTheme="majorBidi" w:cstheme="majorBidi"/>
          <w:color w:val="000000" w:themeColor="text1"/>
          <w:lang w:val="en-GB"/>
        </w:rPr>
        <w:instrText xml:space="preserve"> XE "East Ditch" </w:instrText>
      </w:r>
      <w:r w:rsidR="0002079A" w:rsidRPr="00F03A26">
        <w:rPr>
          <w:rFonts w:asciiTheme="majorBidi" w:hAnsiTheme="majorBidi" w:cstheme="majorBidi"/>
          <w:color w:val="000000" w:themeColor="text1"/>
          <w:lang w:val="en-GB"/>
        </w:rPr>
        <w:fldChar w:fldCharType="end"/>
      </w:r>
      <w:r w:rsidR="00B6522A" w:rsidRPr="00F03A26">
        <w:rPr>
          <w:rFonts w:asciiTheme="majorBidi" w:hAnsiTheme="majorBidi" w:cstheme="majorBidi"/>
          <w:color w:val="000000" w:themeColor="text1"/>
          <w:lang w:val="en-GB"/>
        </w:rPr>
        <w:t xml:space="preserve"> (Do</w:t>
      </w:r>
      <w:r w:rsidR="006C2DA9" w:rsidRPr="00F03A26">
        <w:rPr>
          <w:rFonts w:asciiTheme="majorBidi" w:hAnsiTheme="majorBidi" w:cstheme="majorBidi"/>
          <w:color w:val="000000" w:themeColor="text1"/>
          <w:lang w:val="en-GB"/>
        </w:rPr>
        <w:t>ğu Hendeği</w:t>
      </w:r>
      <w:r w:rsidR="00411159"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w:t>
      </w:r>
      <w:r w:rsidR="006C2DA9" w:rsidRPr="00F03A26">
        <w:rPr>
          <w:rFonts w:asciiTheme="majorBidi" w:hAnsiTheme="majorBidi" w:cstheme="majorBidi"/>
          <w:color w:val="000000" w:themeColor="text1"/>
          <w:lang w:val="en-GB"/>
        </w:rPr>
        <w:t>Bin merdivenler (T</w:t>
      </w:r>
      <w:r w:rsidRPr="00F03A26">
        <w:rPr>
          <w:rFonts w:asciiTheme="majorBidi" w:hAnsiTheme="majorBidi" w:cstheme="majorBidi"/>
          <w:color w:val="000000" w:themeColor="text1"/>
          <w:lang w:val="en-GB"/>
        </w:rPr>
        <w:t>housand Stairs</w:t>
      </w:r>
      <w:r w:rsidR="006C2DA9" w:rsidRPr="00F03A26">
        <w:rPr>
          <w:rFonts w:asciiTheme="majorBidi" w:hAnsiTheme="majorBidi" w:cstheme="majorBidi"/>
          <w:color w:val="000000" w:themeColor="text1"/>
          <w:lang w:val="en-GB"/>
        </w:rPr>
        <w:t>)</w:t>
      </w:r>
      <w:r w:rsidRPr="00F03A26">
        <w:rPr>
          <w:rFonts w:asciiTheme="majorBidi" w:hAnsiTheme="majorBidi" w:cstheme="majorBidi"/>
          <w:color w:val="000000" w:themeColor="text1"/>
          <w:lang w:val="en-GB"/>
        </w:rPr>
        <w:t xml:space="preserve">. Again, proper names, as well as phrases and passages from the inscriptions, </w:t>
      </w:r>
      <w:r w:rsidR="005E73BD" w:rsidRPr="00F03A26">
        <w:rPr>
          <w:rFonts w:asciiTheme="majorBidi" w:hAnsiTheme="majorBidi" w:cstheme="majorBidi"/>
          <w:color w:val="000000" w:themeColor="text1"/>
          <w:lang w:val="en-GB"/>
        </w:rPr>
        <w:t xml:space="preserve">are given </w:t>
      </w:r>
      <w:r w:rsidRPr="00F03A26">
        <w:rPr>
          <w:rFonts w:asciiTheme="majorBidi" w:hAnsiTheme="majorBidi" w:cstheme="majorBidi"/>
          <w:color w:val="000000" w:themeColor="text1"/>
          <w:lang w:val="en-GB"/>
        </w:rPr>
        <w:t>in parentheses whe</w:t>
      </w:r>
      <w:r w:rsidR="005E73BD" w:rsidRPr="00F03A26">
        <w:rPr>
          <w:rFonts w:asciiTheme="majorBidi" w:hAnsiTheme="majorBidi" w:cstheme="majorBidi"/>
          <w:color w:val="000000" w:themeColor="text1"/>
          <w:lang w:val="en-GB"/>
        </w:rPr>
        <w:t>n and where</w:t>
      </w:r>
      <w:r w:rsidRPr="00F03A26">
        <w:rPr>
          <w:rFonts w:asciiTheme="majorBidi" w:hAnsiTheme="majorBidi" w:cstheme="majorBidi"/>
          <w:color w:val="000000" w:themeColor="text1"/>
          <w:lang w:val="en-GB"/>
        </w:rPr>
        <w:t xml:space="preserve"> necessary. In the case of Assyrian</w:t>
      </w:r>
      <w:r w:rsidR="00512579" w:rsidRPr="00F03A26">
        <w:rPr>
          <w:rFonts w:asciiTheme="majorBidi" w:hAnsiTheme="majorBidi" w:cstheme="majorBidi"/>
          <w:color w:val="000000" w:themeColor="text1"/>
          <w:lang w:val="en-GB"/>
        </w:rPr>
        <w:fldChar w:fldCharType="begin"/>
      </w:r>
      <w:r w:rsidR="00512579" w:rsidRPr="00F03A26">
        <w:rPr>
          <w:rFonts w:asciiTheme="majorBidi" w:hAnsiTheme="majorBidi" w:cstheme="majorBidi"/>
          <w:color w:val="000000" w:themeColor="text1"/>
          <w:lang w:val="en-GB"/>
        </w:rPr>
        <w:instrText xml:space="preserve"> XE "Assyrian" </w:instrText>
      </w:r>
      <w:r w:rsidR="00512579"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king names only, such as </w:t>
      </w:r>
      <w:r w:rsidR="009E5CCD" w:rsidRPr="00F03A26">
        <w:rPr>
          <w:rFonts w:asciiTheme="majorBidi" w:eastAsia="Times New Roman" w:hAnsiTheme="majorBidi" w:cstheme="majorBidi"/>
          <w:color w:val="000000" w:themeColor="text1"/>
          <w:lang w:val="en-GB" w:eastAsia="it-IT"/>
        </w:rPr>
        <w:t>such as "LÚ</w:t>
      </w:r>
      <w:r w:rsidR="009E5CCD" w:rsidRPr="00F03A26">
        <w:rPr>
          <w:rFonts w:asciiTheme="majorBidi" w:eastAsia="Times New Roman" w:hAnsiTheme="majorBidi" w:cstheme="majorBidi"/>
          <w:b/>
          <w:color w:val="000000" w:themeColor="text1"/>
          <w:lang w:val="en-GB" w:eastAsia="it-IT"/>
        </w:rPr>
        <w:t>.</w:t>
      </w:r>
      <w:r w:rsidR="00B03080">
        <w:rPr>
          <w:rFonts w:asciiTheme="majorBidi" w:eastAsia="Times New Roman" w:hAnsiTheme="majorBidi" w:cstheme="majorBidi"/>
          <w:b/>
          <w:color w:val="000000" w:themeColor="text1"/>
          <w:lang w:val="en-GB" w:eastAsia="it-IT"/>
        </w:rPr>
        <w:t xml:space="preserve"> </w:t>
      </w:r>
      <w:r w:rsidR="009E5CCD" w:rsidRPr="00F03A26">
        <w:rPr>
          <w:rFonts w:asciiTheme="majorBidi" w:eastAsia="Times New Roman" w:hAnsiTheme="majorBidi" w:cstheme="majorBidi"/>
          <w:color w:val="000000" w:themeColor="text1"/>
          <w:lang w:val="en-GB" w:eastAsia="it-IT"/>
        </w:rPr>
        <w:t xml:space="preserve">DUMU-še </w:t>
      </w:r>
      <w:r w:rsidR="009E5CCD" w:rsidRPr="00F03A26">
        <w:rPr>
          <w:rFonts w:asciiTheme="majorBidi" w:eastAsia="Times New Roman" w:hAnsiTheme="majorBidi" w:cstheme="majorBidi"/>
          <w:color w:val="000000" w:themeColor="text1"/>
          <w:vertAlign w:val="superscript"/>
          <w:lang w:val="en-GB" w:eastAsia="it-IT"/>
        </w:rPr>
        <w:t>URU</w:t>
      </w:r>
      <w:r w:rsidR="009E5CCD" w:rsidRPr="00F03A26">
        <w:rPr>
          <w:rFonts w:asciiTheme="majorBidi" w:eastAsia="Times New Roman" w:hAnsiTheme="majorBidi" w:cstheme="majorBidi"/>
          <w:color w:val="000000" w:themeColor="text1"/>
          <w:lang w:val="en-GB" w:eastAsia="it-IT"/>
        </w:rPr>
        <w:t xml:space="preserve">ṭušpaini= citizens of </w:t>
      </w:r>
      <w:r w:rsidR="009E5CCD" w:rsidRPr="00D008E2">
        <w:rPr>
          <w:rFonts w:asciiTheme="majorBidi" w:eastAsia="Times New Roman" w:hAnsiTheme="majorBidi" w:cstheme="majorBidi"/>
          <w:color w:val="000000" w:themeColor="text1"/>
          <w:lang w:val="en-GB" w:eastAsia="it-IT"/>
        </w:rPr>
        <w:t>Ṭušpa</w:t>
      </w:r>
      <w:r w:rsidR="009E5CCD" w:rsidRPr="00F03A26">
        <w:rPr>
          <w:rFonts w:asciiTheme="majorBidi" w:eastAsia="Times New Roman" w:hAnsiTheme="majorBidi" w:cstheme="majorBidi"/>
          <w:color w:val="000000" w:themeColor="text1"/>
          <w:lang w:val="en-GB" w:eastAsia="it-IT"/>
        </w:rPr>
        <w:t xml:space="preserve">"(?) </w:t>
      </w:r>
      <w:r w:rsidR="005621EB" w:rsidRPr="00F03A26">
        <w:rPr>
          <w:rFonts w:asciiTheme="majorBidi" w:hAnsiTheme="majorBidi" w:cstheme="majorBidi"/>
          <w:color w:val="000000" w:themeColor="text1"/>
          <w:lang w:val="en-GB"/>
        </w:rPr>
        <w:fldChar w:fldCharType="begin"/>
      </w:r>
      <w:r w:rsidR="005621EB" w:rsidRPr="00F03A26">
        <w:rPr>
          <w:rFonts w:asciiTheme="majorBidi" w:hAnsiTheme="majorBidi" w:cstheme="majorBidi"/>
          <w:color w:val="000000" w:themeColor="text1"/>
          <w:lang w:val="en-GB"/>
        </w:rPr>
        <w:instrText xml:space="preserve"> XE "</w:instrText>
      </w:r>
      <w:r w:rsidR="005621EB" w:rsidRPr="00D008E2">
        <w:rPr>
          <w:rFonts w:asciiTheme="majorBidi" w:hAnsiTheme="majorBidi" w:cstheme="majorBidi"/>
          <w:color w:val="000000" w:themeColor="text1"/>
          <w:lang w:val="en-GB"/>
        </w:rPr>
        <w:instrText>Ṭušpa</w:instrText>
      </w:r>
      <w:r w:rsidR="005621EB" w:rsidRPr="00F03A26">
        <w:rPr>
          <w:rFonts w:asciiTheme="majorBidi" w:hAnsiTheme="majorBidi" w:cstheme="majorBidi"/>
          <w:color w:val="000000" w:themeColor="text1"/>
          <w:lang w:val="en-GB"/>
        </w:rPr>
        <w:instrText xml:space="preserve">" </w:instrText>
      </w:r>
      <w:r w:rsidR="005621E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although the original pronunciations are given, the </w:t>
      </w:r>
      <w:r w:rsidR="000146A6" w:rsidRPr="00F03A26">
        <w:rPr>
          <w:rFonts w:asciiTheme="majorBidi" w:hAnsiTheme="majorBidi" w:cstheme="majorBidi"/>
          <w:color w:val="000000" w:themeColor="text1"/>
          <w:lang w:val="en-GB"/>
        </w:rPr>
        <w:t>standart</w:t>
      </w:r>
      <w:r w:rsidRPr="00F03A26">
        <w:rPr>
          <w:rFonts w:asciiTheme="majorBidi" w:hAnsiTheme="majorBidi" w:cstheme="majorBidi"/>
          <w:color w:val="000000" w:themeColor="text1"/>
          <w:lang w:val="en-GB"/>
        </w:rPr>
        <w:t xml:space="preserve"> English spellings are preferred throughout the</w:t>
      </w:r>
      <w:r w:rsidR="009D5017" w:rsidRPr="00F03A26">
        <w:rPr>
          <w:rFonts w:asciiTheme="majorBidi" w:hAnsiTheme="majorBidi" w:cstheme="majorBidi"/>
          <w:color w:val="000000" w:themeColor="text1"/>
          <w:lang w:val="en-GB"/>
        </w:rPr>
        <w:t xml:space="preserve"> text, such as Ashurnasirpal (A</w:t>
      </w:r>
      <w:r w:rsidRPr="00F03A26">
        <w:rPr>
          <w:rFonts w:asciiTheme="majorBidi" w:hAnsiTheme="majorBidi" w:cstheme="majorBidi"/>
          <w:color w:val="000000" w:themeColor="text1"/>
          <w:lang w:val="en-GB"/>
        </w:rPr>
        <w:t>ššur-nāṣir-apli).</w:t>
      </w:r>
    </w:p>
    <w:p w14:paraId="68D6DE90" w14:textId="77777777" w:rsidR="00E20DA9" w:rsidRPr="00F03A26" w:rsidRDefault="00E20DA9" w:rsidP="00F03A26">
      <w:pPr>
        <w:jc w:val="both"/>
        <w:rPr>
          <w:rFonts w:asciiTheme="majorBidi" w:hAnsiTheme="majorBidi" w:cstheme="majorBidi"/>
          <w:color w:val="000000" w:themeColor="text1"/>
          <w:lang w:val="en-GB"/>
        </w:rPr>
      </w:pPr>
    </w:p>
    <w:p w14:paraId="32A1AA98" w14:textId="45A3AA9A" w:rsidR="006957CF" w:rsidRPr="00F03A26" w:rsidRDefault="001C11C8" w:rsidP="00F03A26">
      <w:pPr>
        <w:jc w:val="both"/>
        <w:rPr>
          <w:rFonts w:asciiTheme="majorBidi" w:hAnsiTheme="majorBidi" w:cstheme="majorBidi"/>
          <w:color w:val="000000" w:themeColor="text1"/>
          <w:lang w:val="en-GB"/>
        </w:rPr>
        <w:sectPr w:rsidR="006957CF" w:rsidRPr="00F03A26" w:rsidSect="007F3733">
          <w:footerReference w:type="even" r:id="rId8"/>
          <w:footerReference w:type="default" r:id="rId9"/>
          <w:pgSz w:w="11909" w:h="16834"/>
          <w:pgMar w:top="1440" w:right="1440" w:bottom="1440" w:left="1440" w:header="720" w:footer="720" w:gutter="0"/>
          <w:cols w:space="708"/>
        </w:sectPr>
      </w:pPr>
      <w:r w:rsidRPr="00F03A26">
        <w:rPr>
          <w:rFonts w:asciiTheme="majorBidi" w:hAnsiTheme="majorBidi" w:cstheme="majorBidi"/>
          <w:color w:val="000000" w:themeColor="text1"/>
          <w:lang w:val="en-GB"/>
        </w:rPr>
        <w:t xml:space="preserve">This book </w:t>
      </w:r>
      <w:r w:rsidR="00260D6B" w:rsidRPr="00F03A26">
        <w:rPr>
          <w:rFonts w:asciiTheme="majorBidi" w:hAnsiTheme="majorBidi" w:cstheme="majorBidi"/>
          <w:color w:val="000000" w:themeColor="text1"/>
          <w:lang w:val="en-GB"/>
        </w:rPr>
        <w:t>presents</w:t>
      </w:r>
      <w:r w:rsidRPr="00F03A26">
        <w:rPr>
          <w:rFonts w:asciiTheme="majorBidi" w:hAnsiTheme="majorBidi" w:cstheme="majorBidi"/>
          <w:color w:val="000000" w:themeColor="text1"/>
          <w:lang w:val="en-GB"/>
        </w:rPr>
        <w:t xml:space="preserve"> the discussions, suggestions, and interpretations about the capital </w:t>
      </w:r>
      <w:r w:rsidR="00801444" w:rsidRPr="00F03A26">
        <w:rPr>
          <w:rFonts w:asciiTheme="majorBidi" w:hAnsiTheme="majorBidi" w:cstheme="majorBidi"/>
          <w:color w:val="000000" w:themeColor="text1"/>
          <w:lang w:val="en-GB"/>
        </w:rPr>
        <w:t>Ṭušpa</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w:instrText>
      </w:r>
      <w:r w:rsidR="00801444" w:rsidRPr="00D008E2">
        <w:rPr>
          <w:rFonts w:asciiTheme="majorBidi" w:hAnsiTheme="majorBidi" w:cstheme="majorBidi"/>
          <w:color w:val="000000" w:themeColor="text1"/>
          <w:lang w:val="en-GB"/>
        </w:rPr>
        <w:instrText>Ṭušpa</w:instrText>
      </w:r>
      <w:r w:rsidR="005F421B" w:rsidRPr="00F03A26">
        <w:rPr>
          <w:rFonts w:asciiTheme="majorBidi" w:hAnsiTheme="majorBidi" w:cstheme="majorBidi"/>
          <w:color w:val="000000" w:themeColor="text1"/>
          <w:lang w:val="en-GB"/>
        </w:rPr>
        <w:instrText xml:space="preserve">"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with new archaeological data and suggestions</w:t>
      </w:r>
      <w:r w:rsidR="00BF310E" w:rsidRPr="00F03A26">
        <w:rPr>
          <w:rFonts w:asciiTheme="majorBidi" w:hAnsiTheme="majorBidi" w:cstheme="majorBidi"/>
          <w:color w:val="000000" w:themeColor="text1"/>
          <w:lang w:val="en-GB"/>
        </w:rPr>
        <w:t xml:space="preserve"> together</w:t>
      </w:r>
      <w:r w:rsidRPr="00F03A26">
        <w:rPr>
          <w:rFonts w:asciiTheme="majorBidi" w:hAnsiTheme="majorBidi" w:cstheme="majorBidi"/>
          <w:color w:val="000000" w:themeColor="text1"/>
          <w:lang w:val="en-GB"/>
        </w:rPr>
        <w:t>, such as excavations and documentation</w:t>
      </w:r>
      <w:r w:rsidR="00BF310E" w:rsidRPr="00F03A26">
        <w:rPr>
          <w:rFonts w:asciiTheme="majorBidi" w:hAnsiTheme="majorBidi" w:cstheme="majorBidi"/>
          <w:color w:val="000000" w:themeColor="text1"/>
          <w:lang w:val="en-GB"/>
        </w:rPr>
        <w:t>s</w:t>
      </w:r>
      <w:r w:rsidR="000146A6" w:rsidRPr="00F03A26">
        <w:rPr>
          <w:rFonts w:asciiTheme="majorBidi" w:hAnsiTheme="majorBidi" w:cstheme="majorBidi"/>
          <w:color w:val="000000" w:themeColor="text1"/>
          <w:lang w:val="en-GB"/>
        </w:rPr>
        <w:t xml:space="preserve">. It </w:t>
      </w:r>
      <w:r w:rsidRPr="00F03A26">
        <w:rPr>
          <w:rFonts w:asciiTheme="majorBidi" w:hAnsiTheme="majorBidi" w:cstheme="majorBidi"/>
          <w:color w:val="000000" w:themeColor="text1"/>
          <w:lang w:val="en-GB"/>
        </w:rPr>
        <w:t xml:space="preserve">brings us one step closer to understanding the time of </w:t>
      </w:r>
      <w:r w:rsidR="000146A6" w:rsidRPr="00F03A26">
        <w:rPr>
          <w:rFonts w:asciiTheme="majorBidi" w:hAnsiTheme="majorBidi" w:cstheme="majorBidi"/>
          <w:color w:val="000000" w:themeColor="text1"/>
          <w:lang w:val="en-GB"/>
        </w:rPr>
        <w:t>significant</w:t>
      </w:r>
      <w:r w:rsidRPr="00F03A26">
        <w:rPr>
          <w:rFonts w:asciiTheme="majorBidi" w:hAnsiTheme="majorBidi" w:cstheme="majorBidi"/>
          <w:color w:val="000000" w:themeColor="text1"/>
          <w:lang w:val="en-GB"/>
        </w:rPr>
        <w:t xml:space="preserve"> changes </w:t>
      </w:r>
      <w:r w:rsidR="00BF310E" w:rsidRPr="00F03A26">
        <w:rPr>
          <w:rFonts w:asciiTheme="majorBidi" w:hAnsiTheme="majorBidi" w:cstheme="majorBidi"/>
          <w:color w:val="000000" w:themeColor="text1"/>
          <w:lang w:val="en-GB"/>
        </w:rPr>
        <w:t xml:space="preserve">made by </w:t>
      </w:r>
      <w:r w:rsidRPr="00F03A26">
        <w:rPr>
          <w:rFonts w:asciiTheme="majorBidi" w:hAnsiTheme="majorBidi" w:cstheme="majorBidi"/>
          <w:color w:val="000000" w:themeColor="text1"/>
          <w:lang w:val="en-GB"/>
        </w:rPr>
        <w:t>the Urartian</w:t>
      </w:r>
      <w:r w:rsidR="005F421B" w:rsidRPr="00F03A26">
        <w:rPr>
          <w:rFonts w:asciiTheme="majorBidi" w:hAnsiTheme="majorBidi" w:cstheme="majorBidi"/>
          <w:color w:val="000000" w:themeColor="text1"/>
          <w:lang w:val="en-GB"/>
        </w:rPr>
        <w:fldChar w:fldCharType="begin"/>
      </w:r>
      <w:r w:rsidR="005F421B" w:rsidRPr="00F03A26">
        <w:rPr>
          <w:rFonts w:asciiTheme="majorBidi" w:hAnsiTheme="majorBidi" w:cstheme="majorBidi"/>
          <w:color w:val="000000" w:themeColor="text1"/>
          <w:lang w:val="en-GB"/>
        </w:rPr>
        <w:instrText xml:space="preserve"> XE "Urartian" </w:instrText>
      </w:r>
      <w:r w:rsidR="005F421B"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DD3957" w:rsidRPr="00F03A26">
        <w:rPr>
          <w:rFonts w:asciiTheme="majorBidi" w:hAnsiTheme="majorBidi" w:cstheme="majorBidi"/>
          <w:color w:val="000000" w:themeColor="text1"/>
          <w:lang w:val="en-GB"/>
        </w:rPr>
        <w:t>k</w:t>
      </w:r>
      <w:r w:rsidRPr="00F03A26">
        <w:rPr>
          <w:rFonts w:asciiTheme="majorBidi" w:hAnsiTheme="majorBidi" w:cstheme="majorBidi"/>
          <w:color w:val="000000" w:themeColor="text1"/>
          <w:lang w:val="en-GB"/>
        </w:rPr>
        <w:t>ingdom</w:t>
      </w:r>
      <w:r w:rsidR="007042EF" w:rsidRPr="00F03A26">
        <w:rPr>
          <w:rFonts w:asciiTheme="majorBidi" w:hAnsiTheme="majorBidi" w:cstheme="majorBidi"/>
          <w:color w:val="000000" w:themeColor="text1"/>
          <w:lang w:val="en-GB"/>
        </w:rPr>
        <w:fldChar w:fldCharType="begin"/>
      </w:r>
      <w:r w:rsidR="007042EF" w:rsidRPr="00F03A26">
        <w:rPr>
          <w:rFonts w:asciiTheme="majorBidi" w:hAnsiTheme="majorBidi" w:cstheme="majorBidi"/>
          <w:color w:val="000000" w:themeColor="text1"/>
          <w:lang w:val="en-GB"/>
        </w:rPr>
        <w:instrText xml:space="preserve"> XE "Urartian </w:instrText>
      </w:r>
      <w:r w:rsidR="00D87D45">
        <w:rPr>
          <w:rFonts w:asciiTheme="majorBidi" w:hAnsiTheme="majorBidi" w:cstheme="majorBidi"/>
          <w:color w:val="000000" w:themeColor="text1"/>
          <w:lang w:val="en-GB"/>
        </w:rPr>
        <w:instrText>k</w:instrText>
      </w:r>
      <w:r w:rsidR="007042EF" w:rsidRPr="00F03A26">
        <w:rPr>
          <w:rFonts w:asciiTheme="majorBidi" w:hAnsiTheme="majorBidi" w:cstheme="majorBidi"/>
          <w:color w:val="000000" w:themeColor="text1"/>
          <w:lang w:val="en-GB"/>
        </w:rPr>
        <w:instrText xml:space="preserve">ingdom" </w:instrText>
      </w:r>
      <w:r w:rsidR="007042EF"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in the Van</w:t>
      </w:r>
      <w:r w:rsidR="004F4D01" w:rsidRPr="00F03A26">
        <w:rPr>
          <w:rFonts w:asciiTheme="majorBidi" w:hAnsiTheme="majorBidi" w:cstheme="majorBidi"/>
          <w:color w:val="000000" w:themeColor="text1"/>
          <w:lang w:val="en-GB"/>
        </w:rPr>
        <w:t xml:space="preserve"> Lake</w:t>
      </w:r>
      <w:r w:rsidR="007042EF" w:rsidRPr="00F03A26">
        <w:rPr>
          <w:rFonts w:asciiTheme="majorBidi" w:hAnsiTheme="majorBidi" w:cstheme="majorBidi"/>
          <w:color w:val="000000" w:themeColor="text1"/>
          <w:lang w:val="en-GB"/>
        </w:rPr>
        <w:fldChar w:fldCharType="begin"/>
      </w:r>
      <w:r w:rsidR="007042EF" w:rsidRPr="00F03A26">
        <w:rPr>
          <w:rFonts w:asciiTheme="majorBidi" w:hAnsiTheme="majorBidi" w:cstheme="majorBidi"/>
          <w:color w:val="000000" w:themeColor="text1"/>
          <w:lang w:val="en-GB"/>
        </w:rPr>
        <w:instrText xml:space="preserve"> </w:instrText>
      </w:r>
      <w:r w:rsidR="007042EF" w:rsidRPr="00EA6C63">
        <w:rPr>
          <w:rFonts w:asciiTheme="majorBidi" w:hAnsiTheme="majorBidi" w:cstheme="majorBidi"/>
          <w:color w:val="000000" w:themeColor="text1"/>
          <w:lang w:val="en-GB"/>
        </w:rPr>
        <w:instrText>XE "Lake Van"</w:instrText>
      </w:r>
      <w:r w:rsidR="007042EF" w:rsidRPr="00F03A26">
        <w:rPr>
          <w:rFonts w:asciiTheme="majorBidi" w:hAnsiTheme="majorBidi" w:cstheme="majorBidi"/>
          <w:color w:val="000000" w:themeColor="text1"/>
          <w:lang w:val="en-GB"/>
        </w:rPr>
        <w:instrText xml:space="preserve"> </w:instrText>
      </w:r>
      <w:r w:rsidR="007042EF"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4F4D01" w:rsidRPr="00F03A26">
        <w:rPr>
          <w:rFonts w:asciiTheme="majorBidi" w:hAnsiTheme="majorBidi" w:cstheme="majorBidi"/>
          <w:color w:val="000000" w:themeColor="text1"/>
          <w:lang w:val="en-GB"/>
        </w:rPr>
        <w:t>b</w:t>
      </w:r>
      <w:r w:rsidRPr="00F03A26">
        <w:rPr>
          <w:rFonts w:asciiTheme="majorBidi" w:hAnsiTheme="majorBidi" w:cstheme="majorBidi"/>
          <w:color w:val="000000" w:themeColor="text1"/>
          <w:lang w:val="en-GB"/>
        </w:rPr>
        <w:t xml:space="preserve">asin. Each of the </w:t>
      </w:r>
      <w:r w:rsidR="005E73BD" w:rsidRPr="00F03A26">
        <w:rPr>
          <w:rFonts w:asciiTheme="majorBidi" w:hAnsiTheme="majorBidi" w:cstheme="majorBidi"/>
          <w:color w:val="000000" w:themeColor="text1"/>
          <w:lang w:val="en-GB"/>
        </w:rPr>
        <w:t xml:space="preserve">book’s </w:t>
      </w:r>
      <w:r w:rsidRPr="00F03A26">
        <w:rPr>
          <w:rFonts w:asciiTheme="majorBidi" w:hAnsiTheme="majorBidi" w:cstheme="majorBidi"/>
          <w:color w:val="000000" w:themeColor="text1"/>
          <w:lang w:val="en-GB"/>
        </w:rPr>
        <w:t>12 chapters contributes to our understanding of Urartian culture with its original discussions and ideas.</w:t>
      </w:r>
    </w:p>
    <w:p w14:paraId="2A3A8E8B" w14:textId="12A864F3" w:rsidR="00E20DA9" w:rsidRPr="00F03A26" w:rsidRDefault="00E20DA9" w:rsidP="00F03A26">
      <w:pPr>
        <w:jc w:val="both"/>
        <w:rPr>
          <w:rFonts w:asciiTheme="majorBidi" w:hAnsiTheme="majorBidi" w:cstheme="majorBidi"/>
          <w:lang w:val="en-GB"/>
        </w:rPr>
      </w:pPr>
    </w:p>
    <w:p w14:paraId="7B4BE06C" w14:textId="4412A273" w:rsidR="00FF0A5F" w:rsidRPr="00F03A26" w:rsidRDefault="00FF0A5F" w:rsidP="00860408">
      <w:pPr>
        <w:pStyle w:val="Balk1"/>
      </w:pPr>
      <w:bookmarkStart w:id="2" w:name="_Toc173231177"/>
      <w:r w:rsidRPr="00F03A26">
        <w:t xml:space="preserve">CHAPTER </w:t>
      </w:r>
      <w:r w:rsidR="007968FF" w:rsidRPr="00F03A26">
        <w:t>I</w:t>
      </w:r>
      <w:bookmarkEnd w:id="2"/>
    </w:p>
    <w:p w14:paraId="28ED83E6" w14:textId="4DC1E309" w:rsidR="00FF0A5F" w:rsidRPr="00F03A26" w:rsidRDefault="00FF0A5F" w:rsidP="00860408">
      <w:pPr>
        <w:pStyle w:val="Balk1"/>
      </w:pPr>
      <w:bookmarkStart w:id="3" w:name="_Toc173231178"/>
      <w:r w:rsidRPr="00F03A26">
        <w:t xml:space="preserve">1-Ṭušpa From Dream to Reality: Pilgrims, Travelers, and Early </w:t>
      </w:r>
      <w:r w:rsidR="00F87979" w:rsidRPr="00F03A26">
        <w:t>Research</w:t>
      </w:r>
      <w:bookmarkEnd w:id="3"/>
    </w:p>
    <w:p w14:paraId="3AE9E15A" w14:textId="77777777" w:rsidR="00FF0A5F" w:rsidRPr="00F03A26" w:rsidRDefault="00FF0A5F" w:rsidP="00F03A26">
      <w:pPr>
        <w:jc w:val="both"/>
        <w:rPr>
          <w:rFonts w:asciiTheme="majorBidi" w:hAnsiTheme="majorBidi" w:cstheme="majorBidi"/>
          <w:b/>
          <w:color w:val="000000" w:themeColor="text1"/>
          <w:lang w:val="en-GB"/>
        </w:rPr>
      </w:pPr>
    </w:p>
    <w:p w14:paraId="39770885" w14:textId="2EFA270E" w:rsidR="00FF0A5F" w:rsidRPr="00F03A26" w:rsidRDefault="00FF0A5F" w:rsidP="00F03A26">
      <w:pPr>
        <w:jc w:val="both"/>
        <w:rPr>
          <w:rFonts w:asciiTheme="majorBidi" w:hAnsiTheme="majorBidi" w:cstheme="majorBidi"/>
          <w:b/>
          <w:color w:val="000000" w:themeColor="text1"/>
          <w:lang w:val="en-GB"/>
        </w:rPr>
      </w:pPr>
      <w:r w:rsidRPr="00F03A26">
        <w:rPr>
          <w:rFonts w:asciiTheme="majorBidi" w:hAnsiTheme="majorBidi" w:cstheme="majorBidi"/>
          <w:b/>
          <w:color w:val="000000" w:themeColor="text1"/>
          <w:lang w:val="en-GB"/>
        </w:rPr>
        <w:t>Erkan Konyar</w:t>
      </w:r>
      <w:r w:rsidR="00230497" w:rsidRPr="00F03A26">
        <w:rPr>
          <w:rFonts w:asciiTheme="majorBidi" w:hAnsiTheme="majorBidi" w:cstheme="majorBidi"/>
          <w:b/>
          <w:color w:val="000000" w:themeColor="text1"/>
          <w:lang w:val="en-GB"/>
        </w:rPr>
        <w:t xml:space="preserve">, </w:t>
      </w:r>
      <w:r w:rsidRPr="00F03A26">
        <w:rPr>
          <w:rFonts w:asciiTheme="majorBidi" w:hAnsiTheme="majorBidi" w:cstheme="majorBidi"/>
          <w:b/>
          <w:color w:val="000000" w:themeColor="text1"/>
          <w:lang w:val="en-GB"/>
        </w:rPr>
        <w:t>Bülent Genç</w:t>
      </w:r>
    </w:p>
    <w:p w14:paraId="36F7771B" w14:textId="77777777" w:rsidR="00230497" w:rsidRPr="00F03A26" w:rsidRDefault="00230497" w:rsidP="00F03A26">
      <w:pPr>
        <w:jc w:val="both"/>
        <w:rPr>
          <w:rFonts w:asciiTheme="majorBidi" w:hAnsiTheme="majorBidi" w:cstheme="majorBidi"/>
          <w:b/>
          <w:color w:val="000000" w:themeColor="text1"/>
          <w:lang w:val="en-GB"/>
        </w:rPr>
      </w:pPr>
    </w:p>
    <w:p w14:paraId="3E20571F" w14:textId="1C034C79" w:rsidR="001004F6" w:rsidRPr="00F03A26" w:rsidRDefault="001004F6" w:rsidP="00F03A26">
      <w:pPr>
        <w:spacing w:after="160" w:line="259" w:lineRule="auto"/>
        <w:jc w:val="both"/>
        <w:rPr>
          <w:rFonts w:asciiTheme="majorBidi" w:hAnsiTheme="majorBidi" w:cstheme="majorBidi"/>
          <w:kern w:val="0"/>
          <w:sz w:val="22"/>
          <w:szCs w:val="22"/>
          <w:lang w:val="en-US"/>
          <w14:ligatures w14:val="none"/>
        </w:rPr>
      </w:pPr>
      <w:r w:rsidRPr="00F03A26">
        <w:rPr>
          <w:rFonts w:asciiTheme="majorBidi" w:hAnsiTheme="majorBidi" w:cstheme="majorBidi"/>
          <w:kern w:val="0"/>
          <w:sz w:val="22"/>
          <w:szCs w:val="22"/>
          <w:lang w:val="en-US"/>
          <w14:ligatures w14:val="none"/>
        </w:rPr>
        <w:t>Abstract: When we look at research in the Van region, Van Fortress, and the city and its surroundings in general, two chronological distinctions roughly stand out. The first is the long-standing narratives of various travelers and travelers' tales, as well as the observations and descriptions of researchers curious about the settlements in this region. In this sense, the earliest narrative of Van Fortress appears with Movses</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62015B">
        <w:rPr>
          <w:rFonts w:asciiTheme="majorBidi" w:hAnsiTheme="majorBidi" w:cstheme="majorBidi"/>
          <w:kern w:val="0"/>
          <w:sz w:val="22"/>
          <w:szCs w:val="22"/>
          <w:lang w:val="en-US"/>
          <w14:ligatures w14:val="none"/>
        </w:rPr>
        <w:instrText>Movses</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xml:space="preserve"> Khorenatsi. Khorenatsi's legendary account and description of Van Fortress continue centuries later with Evliya Çelebi</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's account. However, the second chronological distinction emerges in the early 19th century with the first scientific research. Especially in the first half of the 19th century, Van Fortress and its stories, which were sometimes imaginary and legendary and sometimes exaggerated until the first half of the 19th century, began to be the focus of researchers and travelers who were curious about this region and its settlements. The research and analyses that gradually, albeit slowly, increased in the following years constitute the first data that will lead us to understand the Urartian</w:t>
      </w:r>
      <w:r w:rsidR="00EA6C63">
        <w:rPr>
          <w:rFonts w:asciiTheme="majorBidi" w:hAnsiTheme="majorBidi" w:cstheme="majorBidi"/>
          <w:kern w:val="0"/>
          <w:sz w:val="22"/>
          <w:szCs w:val="22"/>
          <w:lang w:val="en-US"/>
          <w14:ligatures w14:val="none"/>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xml:space="preserve"> culture. In this context, together with Schulz</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we encounter truly scientific researchers and their research. In this respect, the ongoing narrations, which were half dream and half legend and stories, were replaced by researchers and scientists from various professions such as Texier</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Layard</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Hell</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F00B51">
        <w:rPr>
          <w:rFonts w:asciiTheme="majorBidi" w:hAnsiTheme="majorBidi" w:cstheme="majorBidi"/>
          <w:kern w:val="0"/>
          <w:sz w:val="22"/>
          <w:szCs w:val="22"/>
          <w:lang w:val="en-US"/>
          <w14:ligatures w14:val="none"/>
        </w:rPr>
        <w:instrText>Hell</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Deyrolle</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FF084F">
        <w:rPr>
          <w:rFonts w:asciiTheme="majorBidi" w:hAnsiTheme="majorBidi" w:cstheme="majorBidi"/>
          <w:kern w:val="0"/>
          <w:sz w:val="22"/>
          <w:szCs w:val="22"/>
          <w:lang w:val="en-US"/>
          <w14:ligatures w14:val="none"/>
        </w:rPr>
        <w:instrText>Deyrolle</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Burnaby</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4623C0">
        <w:rPr>
          <w:rFonts w:asciiTheme="majorBidi" w:hAnsiTheme="majorBidi" w:cstheme="majorBidi"/>
          <w:kern w:val="0"/>
          <w:sz w:val="22"/>
          <w:szCs w:val="22"/>
          <w:lang w:val="en-US"/>
          <w14:ligatures w14:val="none"/>
        </w:rPr>
        <w:instrText>Burnaby</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Tozer</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7E0924">
        <w:rPr>
          <w:rFonts w:asciiTheme="majorBidi" w:hAnsiTheme="majorBidi" w:cstheme="majorBidi"/>
          <w:kern w:val="0"/>
          <w:sz w:val="22"/>
          <w:szCs w:val="22"/>
          <w:lang w:val="en-US"/>
          <w14:ligatures w14:val="none"/>
        </w:rPr>
        <w:instrText>Tozer</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Chantre</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B42CDA">
        <w:rPr>
          <w:rFonts w:asciiTheme="majorBidi" w:hAnsiTheme="majorBidi" w:cstheme="majorBidi"/>
          <w:kern w:val="0"/>
          <w:sz w:val="22"/>
          <w:szCs w:val="22"/>
          <w:lang w:val="en-US"/>
          <w14:ligatures w14:val="none"/>
        </w:rPr>
        <w:instrText>Chantre</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-Barry, Müller-Simonis</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3F2E53">
        <w:rPr>
          <w:rFonts w:asciiTheme="majorBidi" w:hAnsiTheme="majorBidi" w:cstheme="majorBidi"/>
          <w:kern w:val="0"/>
          <w:sz w:val="22"/>
          <w:szCs w:val="22"/>
          <w:lang w:val="en-US"/>
          <w14:ligatures w14:val="none"/>
        </w:rPr>
        <w:instrText>Müller-Simonis</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Hyvernat</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616BED">
        <w:rPr>
          <w:rFonts w:asciiTheme="majorBidi" w:hAnsiTheme="majorBidi" w:cstheme="majorBidi"/>
          <w:kern w:val="0"/>
          <w:sz w:val="22"/>
          <w:szCs w:val="22"/>
          <w:lang w:val="en-US"/>
          <w14:ligatures w14:val="none"/>
        </w:rPr>
        <w:instrText>Hyvernat</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Ansari</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C95DD1">
        <w:rPr>
          <w:rFonts w:asciiTheme="majorBidi" w:hAnsiTheme="majorBidi" w:cstheme="majorBidi"/>
          <w:kern w:val="0"/>
          <w:sz w:val="22"/>
          <w:szCs w:val="22"/>
          <w:lang w:val="en-US"/>
          <w14:ligatures w14:val="none"/>
        </w:rPr>
        <w:instrText>Ansari</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Lehmann-Haupt, Marr and Orbeli, Kirsopp and Silva Lake, Erzen, who were genuinely curious about this region and tried to understand it. This section deals with the research and evaluations of these researchers on the Van region and Van Fortress from the early periods to the present day. In this way, it attempts to understand the changes Van Fortress has undergone since its beginnings in imaginary narratives through research and archaeological excavations. In this context, the journey of understanding both the Urartians and the settlement patterns in and around Van Fortress and the contribution of this journey to subsequent research is analyzed.</w:t>
      </w:r>
    </w:p>
    <w:p w14:paraId="79BB0977" w14:textId="77777777" w:rsidR="001004F6" w:rsidRPr="00F03A26" w:rsidRDefault="001004F6" w:rsidP="00F03A26">
      <w:pPr>
        <w:spacing w:after="160" w:line="259" w:lineRule="auto"/>
        <w:jc w:val="both"/>
        <w:rPr>
          <w:rFonts w:asciiTheme="majorBidi" w:hAnsiTheme="majorBidi" w:cstheme="majorBidi"/>
          <w:kern w:val="0"/>
          <w:sz w:val="22"/>
          <w:szCs w:val="22"/>
          <w:lang w:val="en-US"/>
          <w14:ligatures w14:val="none"/>
        </w:rPr>
      </w:pPr>
    </w:p>
    <w:p w14:paraId="176705D5" w14:textId="77777777" w:rsidR="001004F6" w:rsidRPr="00F03A26" w:rsidRDefault="001004F6" w:rsidP="00F03A26">
      <w:pPr>
        <w:pStyle w:val="Balk2"/>
        <w:jc w:val="both"/>
        <w:rPr>
          <w:rFonts w:asciiTheme="majorBidi" w:hAnsiTheme="majorBidi"/>
          <w:b/>
          <w:bCs/>
          <w:color w:val="000000" w:themeColor="text1"/>
          <w:kern w:val="0"/>
          <w:sz w:val="28"/>
          <w:szCs w:val="28"/>
          <w:lang w:val="en-US"/>
          <w14:ligatures w14:val="none"/>
        </w:rPr>
      </w:pPr>
      <w:bookmarkStart w:id="4" w:name="_Toc173231179"/>
      <w:r w:rsidRPr="00F03A26">
        <w:rPr>
          <w:rFonts w:asciiTheme="majorBidi" w:hAnsiTheme="majorBidi"/>
          <w:b/>
          <w:bCs/>
          <w:color w:val="000000" w:themeColor="text1"/>
          <w:kern w:val="0"/>
          <w:sz w:val="28"/>
          <w:szCs w:val="28"/>
          <w:lang w:val="en-US"/>
          <w14:ligatures w14:val="none"/>
        </w:rPr>
        <w:t>1.1. Introduction</w:t>
      </w:r>
      <w:bookmarkEnd w:id="4"/>
    </w:p>
    <w:p w14:paraId="6657698F" w14:textId="2422C32B" w:rsidR="001004F6" w:rsidRPr="00F03A26" w:rsidRDefault="001004F6" w:rsidP="00F03A26">
      <w:pPr>
        <w:spacing w:after="160" w:line="259" w:lineRule="auto"/>
        <w:jc w:val="both"/>
        <w:rPr>
          <w:rFonts w:asciiTheme="majorBidi" w:hAnsiTheme="majorBidi" w:cstheme="majorBidi"/>
          <w:kern w:val="0"/>
          <w:sz w:val="22"/>
          <w:szCs w:val="22"/>
          <w:lang w:val="en-US"/>
          <w14:ligatures w14:val="none"/>
        </w:rPr>
      </w:pPr>
      <w:r w:rsidRPr="00F03A26">
        <w:rPr>
          <w:rFonts w:asciiTheme="majorBidi" w:hAnsiTheme="majorBidi" w:cstheme="majorBidi"/>
          <w:kern w:val="0"/>
          <w:sz w:val="22"/>
          <w:szCs w:val="22"/>
          <w:lang w:val="en-US"/>
          <w14:ligatures w14:val="none"/>
        </w:rPr>
        <w:t>The earliest depiction of Van Fortress comes from Movses</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62015B">
        <w:rPr>
          <w:rFonts w:asciiTheme="majorBidi" w:hAnsiTheme="majorBidi" w:cstheme="majorBidi"/>
          <w:kern w:val="0"/>
          <w:sz w:val="22"/>
          <w:szCs w:val="22"/>
          <w:lang w:val="en-US"/>
          <w14:ligatures w14:val="none"/>
        </w:rPr>
        <w:instrText>Movses</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xml:space="preserve"> Khorenatsi. Although Movse's historical data is inaccurate, and some of his descriptions are exaggerated and fantastic, it is understood that he correctly described </w:t>
      </w:r>
      <w:r w:rsidR="00EB71FC">
        <w:rPr>
          <w:rFonts w:asciiTheme="majorBidi" w:hAnsiTheme="majorBidi" w:cstheme="majorBidi"/>
          <w:kern w:val="0"/>
          <w:sz w:val="22"/>
          <w:szCs w:val="22"/>
          <w:lang w:val="en-US"/>
          <w14:ligatures w14:val="none"/>
        </w:rPr>
        <w:t>t</w:t>
      </w:r>
      <w:r w:rsidRPr="00F03A26">
        <w:rPr>
          <w:rFonts w:asciiTheme="majorBidi" w:hAnsiTheme="majorBidi" w:cstheme="majorBidi"/>
          <w:kern w:val="0"/>
          <w:sz w:val="22"/>
          <w:szCs w:val="22"/>
          <w:lang w:val="en-US"/>
          <w14:ligatures w14:val="none"/>
        </w:rPr>
        <w:t>he Van</w:t>
      </w:r>
      <w:r w:rsidR="00EB71FC">
        <w:rPr>
          <w:rFonts w:asciiTheme="majorBidi" w:hAnsiTheme="majorBidi" w:cstheme="majorBidi"/>
          <w:kern w:val="0"/>
          <w:sz w:val="22"/>
          <w:szCs w:val="22"/>
          <w:lang w:val="en-US"/>
          <w14:ligatures w14:val="none"/>
        </w:rPr>
        <w:t xml:space="preserve"> Rock</w:t>
      </w:r>
      <w:r w:rsidRPr="00F03A26">
        <w:rPr>
          <w:rFonts w:asciiTheme="majorBidi" w:hAnsiTheme="majorBidi" w:cstheme="majorBidi"/>
          <w:kern w:val="0"/>
          <w:sz w:val="22"/>
          <w:szCs w:val="22"/>
          <w:lang w:val="en-US"/>
          <w14:ligatures w14:val="none"/>
        </w:rPr>
        <w:t>. The shape of the rock, tombs, multi-story royal palaces, and cuneiform rock inscriptions are the primary references for its correct description. However, if it is accepted that Movses lived in the 5th century AD, or even in the VIII-IX century AD according to some sources, it cannot be said that he saw the palace as described by "Semiramis</w:t>
      </w:r>
      <w:r w:rsidR="00B03080" w:rsidRPr="00F03A26">
        <w:rPr>
          <w:rFonts w:asciiTheme="majorBidi" w:hAnsiTheme="majorBidi" w:cstheme="majorBidi"/>
          <w:kern w:val="0"/>
          <w:sz w:val="22"/>
          <w:szCs w:val="22"/>
          <w:lang w:val="en-US"/>
          <w14:ligatures w14:val="none"/>
        </w:rPr>
        <w:t>"</w:t>
      </w:r>
      <w:r w:rsidR="001F2587">
        <w:rPr>
          <w:rFonts w:asciiTheme="majorBidi" w:hAnsiTheme="majorBidi" w:cstheme="majorBidi"/>
          <w:kern w:val="0"/>
          <w:sz w:val="22"/>
          <w:szCs w:val="22"/>
          <w:lang w:val="en-US"/>
          <w14:ligatures w14:val="none"/>
        </w:rPr>
        <w:fldChar w:fldCharType="begin"/>
      </w:r>
      <w:r w:rsidR="001F2587">
        <w:instrText xml:space="preserve"> XE "</w:instrText>
      </w:r>
      <w:r w:rsidR="001F2587" w:rsidRPr="00276759">
        <w:rPr>
          <w:rFonts w:asciiTheme="majorBidi" w:hAnsiTheme="majorBidi" w:cstheme="majorBidi"/>
          <w:kern w:val="0"/>
          <w:sz w:val="22"/>
          <w:szCs w:val="22"/>
          <w:lang w:val="en-US"/>
          <w14:ligatures w14:val="none"/>
        </w:rPr>
        <w:instrText>Semiramis</w:instrText>
      </w:r>
      <w:r w:rsidR="001F2587">
        <w:instrText xml:space="preserve">" </w:instrText>
      </w:r>
      <w:r w:rsidR="001F2587">
        <w:rPr>
          <w:rFonts w:asciiTheme="majorBidi" w:hAnsiTheme="majorBidi" w:cstheme="majorBidi"/>
          <w:kern w:val="0"/>
          <w:sz w:val="22"/>
          <w:szCs w:val="22"/>
          <w:lang w:val="en-US"/>
          <w14:ligatures w14:val="none"/>
        </w:rPr>
        <w:fldChar w:fldCharType="end"/>
      </w:r>
      <w:r w:rsidRPr="00F03A26">
        <w:rPr>
          <w:rFonts w:asciiTheme="majorBidi" w:hAnsiTheme="majorBidi" w:cstheme="majorBidi"/>
          <w:kern w:val="0"/>
          <w:sz w:val="22"/>
          <w:szCs w:val="22"/>
          <w:lang w:val="en-US"/>
          <w14:ligatures w14:val="none"/>
        </w:rPr>
        <w:t>, which he claimed to have built.</w:t>
      </w:r>
    </w:p>
    <w:p w14:paraId="42798118" w14:textId="77777777" w:rsidR="001004F6" w:rsidRPr="00F03A26" w:rsidRDefault="001004F6" w:rsidP="00F03A26">
      <w:pPr>
        <w:jc w:val="both"/>
        <w:rPr>
          <w:rFonts w:asciiTheme="majorBidi" w:hAnsiTheme="majorBidi" w:cstheme="majorBidi"/>
          <w:color w:val="000000" w:themeColor="text1"/>
          <w:lang w:val="en-GB"/>
        </w:rPr>
      </w:pPr>
    </w:p>
    <w:p w14:paraId="4A5A5002" w14:textId="4DDC6853" w:rsidR="001004F6" w:rsidRPr="00F03A26" w:rsidRDefault="00B03080" w:rsidP="00F03A26">
      <w:pPr>
        <w:autoSpaceDE w:val="0"/>
        <w:autoSpaceDN w:val="0"/>
        <w:adjustRightInd w:val="0"/>
        <w:ind w:left="850" w:right="850"/>
        <w:jc w:val="both"/>
        <w:rPr>
          <w:rFonts w:asciiTheme="majorBidi" w:hAnsiTheme="majorBidi" w:cstheme="majorBidi"/>
          <w:iCs/>
          <w:color w:val="000000" w:themeColor="text1"/>
          <w:lang w:val="en-GB" w:bidi="he-IL"/>
        </w:rPr>
      </w:pPr>
      <w:r w:rsidRPr="00F03A26">
        <w:rPr>
          <w:rFonts w:asciiTheme="majorBidi" w:hAnsiTheme="majorBidi" w:cstheme="majorBidi"/>
          <w:iCs/>
          <w:color w:val="000000" w:themeColor="text1"/>
          <w:lang w:val="en-GB" w:bidi="he-IL"/>
        </w:rPr>
        <w:t>…</w:t>
      </w:r>
      <w:r>
        <w:rPr>
          <w:rFonts w:asciiTheme="majorBidi" w:hAnsiTheme="majorBidi" w:cstheme="majorBidi"/>
          <w:iCs/>
          <w:color w:val="000000" w:themeColor="text1"/>
          <w:lang w:val="en-GB" w:bidi="he-IL"/>
        </w:rPr>
        <w:t>”</w:t>
      </w:r>
      <w:r w:rsidRPr="00F03A26">
        <w:rPr>
          <w:rFonts w:asciiTheme="majorBidi" w:hAnsiTheme="majorBidi" w:cstheme="majorBidi"/>
          <w:iCs/>
          <w:color w:val="000000" w:themeColor="text1"/>
          <w:lang w:val="en-GB" w:bidi="he-IL"/>
        </w:rPr>
        <w:t>There</w:t>
      </w:r>
      <w:r w:rsidR="001004F6" w:rsidRPr="00F03A26">
        <w:rPr>
          <w:rFonts w:asciiTheme="majorBidi" w:hAnsiTheme="majorBidi" w:cstheme="majorBidi"/>
          <w:iCs/>
          <w:color w:val="000000" w:themeColor="text1"/>
          <w:lang w:val="en-GB" w:bidi="he-IL"/>
        </w:rPr>
        <w:t xml:space="preserve"> she ordered the crowd [of workmen] to be divided into many groups and over each group to be set chosen masters of the craft. And thus, by dint of great efforts, with</w:t>
      </w:r>
      <w:r>
        <w:rPr>
          <w:rFonts w:asciiTheme="majorBidi" w:hAnsiTheme="majorBidi" w:cstheme="majorBidi"/>
          <w:iCs/>
          <w:color w:val="000000" w:themeColor="text1"/>
          <w:lang w:val="en-GB" w:bidi="he-IL"/>
        </w:rPr>
        <w:t xml:space="preserve"> </w:t>
      </w:r>
      <w:r w:rsidR="001004F6" w:rsidRPr="00F03A26">
        <w:rPr>
          <w:rFonts w:asciiTheme="majorBidi" w:hAnsiTheme="majorBidi" w:cstheme="majorBidi"/>
          <w:iCs/>
          <w:color w:val="000000" w:themeColor="text1"/>
          <w:lang w:val="en-GB" w:bidi="he-IL"/>
        </w:rPr>
        <w:t xml:space="preserve">in a few years she completed the marvellous </w:t>
      </w:r>
      <w:r w:rsidR="001004F6" w:rsidRPr="00F03A26">
        <w:rPr>
          <w:rFonts w:asciiTheme="majorBidi" w:hAnsiTheme="majorBidi" w:cstheme="majorBidi"/>
          <w:iCs/>
          <w:color w:val="000000" w:themeColor="text1"/>
          <w:lang w:val="en-GB" w:bidi="he-IL"/>
        </w:rPr>
        <w:lastRenderedPageBreak/>
        <w:t>[city] with strong walls and bronze gates. She also built inside the city many exquisite palaces, adorned with various stones and colours, of two and three stories, each one turned to the sun where suitable. The sections of the city she divided by beautiful and wide avenues. She also built some elegant and admirable baths for the needs of the sections of the city. She diverted part of the river through the city to serve every necessity and for the irrigation of the parks and flower gardens. The rest she made run along the edge of the lake to the right and left, to water the city and all the surrounding area. All the regions east, north, and south of the city she adorned with estates and with leafy trees that produced varied fruit and foliage. There she planted many fruitful vineyards. The walled city she rendered absolutely splendid and magnificent, settling within a numberless multitude of inhabitants.</w:t>
      </w:r>
    </w:p>
    <w:p w14:paraId="05BC31D9" w14:textId="77777777" w:rsidR="001004F6" w:rsidRPr="00F03A26" w:rsidRDefault="001004F6" w:rsidP="00F03A26">
      <w:pPr>
        <w:autoSpaceDE w:val="0"/>
        <w:autoSpaceDN w:val="0"/>
        <w:adjustRightInd w:val="0"/>
        <w:ind w:left="850" w:right="850"/>
        <w:jc w:val="both"/>
        <w:rPr>
          <w:rFonts w:asciiTheme="majorBidi" w:hAnsiTheme="majorBidi" w:cstheme="majorBidi"/>
          <w:iCs/>
          <w:color w:val="000000" w:themeColor="text1"/>
          <w:lang w:val="en-GB" w:bidi="he-IL"/>
        </w:rPr>
      </w:pPr>
    </w:p>
    <w:p w14:paraId="1FD1127F" w14:textId="77777777" w:rsidR="001004F6" w:rsidRPr="00F03A26" w:rsidRDefault="001004F6" w:rsidP="00F03A26">
      <w:pPr>
        <w:autoSpaceDE w:val="0"/>
        <w:autoSpaceDN w:val="0"/>
        <w:adjustRightInd w:val="0"/>
        <w:ind w:left="850" w:right="850"/>
        <w:jc w:val="both"/>
        <w:rPr>
          <w:rFonts w:asciiTheme="majorBidi" w:hAnsiTheme="majorBidi" w:cstheme="majorBidi"/>
          <w:i/>
          <w:color w:val="000000" w:themeColor="text1"/>
          <w:lang w:val="en-GB"/>
        </w:rPr>
      </w:pPr>
      <w:r w:rsidRPr="00F03A26">
        <w:rPr>
          <w:rFonts w:asciiTheme="majorBidi" w:hAnsiTheme="majorBidi" w:cstheme="majorBidi"/>
          <w:iCs/>
          <w:color w:val="000000" w:themeColor="text1"/>
          <w:lang w:val="en-GB" w:bidi="he-IL"/>
        </w:rPr>
        <w:t>As for the summit of the city and the various wonderful constructions on it, many men cannot comprehend nor is it possible to describe them. The summit she surrounded with a wall and erected there a royal palace and some fearsome dungeons, difficult of entry and impossible to escape from. The nature of this site and construction we have not heard from anyone with accuracy, so we are unwilling to include it in our history. But we merely say that of all royal works, as we have heard, this is considered the foremost and most majestic”</w:t>
      </w:r>
      <w:r w:rsidRPr="00F03A26">
        <w:rPr>
          <w:rFonts w:asciiTheme="majorBidi" w:hAnsiTheme="majorBidi" w:cstheme="majorBidi"/>
          <w:color w:val="000000" w:themeColor="text1"/>
          <w:lang w:val="en-GB"/>
        </w:rPr>
        <w:t xml:space="preserve"> (Khorenatsi, 2006: 95-97).</w:t>
      </w:r>
    </w:p>
    <w:p w14:paraId="32BF629C" w14:textId="77777777" w:rsidR="001004F6" w:rsidRPr="00F03A26" w:rsidRDefault="001004F6" w:rsidP="00F03A26">
      <w:pPr>
        <w:autoSpaceDE w:val="0"/>
        <w:autoSpaceDN w:val="0"/>
        <w:adjustRightInd w:val="0"/>
        <w:jc w:val="both"/>
        <w:rPr>
          <w:rFonts w:asciiTheme="majorBidi" w:hAnsiTheme="majorBidi" w:cstheme="majorBidi"/>
          <w:i/>
          <w:color w:val="000000" w:themeColor="text1"/>
          <w:lang w:val="en-GB"/>
        </w:rPr>
      </w:pPr>
    </w:p>
    <w:p w14:paraId="7336D7A8" w14:textId="2721919A" w:rsidR="001004F6" w:rsidRPr="00F03A26" w:rsidRDefault="001004F6" w:rsidP="00F03A26">
      <w:pPr>
        <w:jc w:val="both"/>
        <w:rPr>
          <w:rFonts w:asciiTheme="majorBidi" w:hAnsiTheme="majorBidi" w:cstheme="majorBidi"/>
        </w:rPr>
      </w:pPr>
      <w:r w:rsidRPr="00F03A26">
        <w:rPr>
          <w:rFonts w:asciiTheme="majorBidi" w:hAnsiTheme="majorBidi" w:cstheme="majorBidi"/>
        </w:rPr>
        <w:t>Movses</w:t>
      </w:r>
      <w:r w:rsidR="001F2587">
        <w:rPr>
          <w:rFonts w:asciiTheme="majorBidi" w:hAnsiTheme="majorBidi" w:cstheme="majorBidi"/>
        </w:rPr>
        <w:fldChar w:fldCharType="begin"/>
      </w:r>
      <w:r w:rsidR="001F2587">
        <w:instrText xml:space="preserve"> XE "</w:instrText>
      </w:r>
      <w:r w:rsidR="001F2587" w:rsidRPr="0062015B">
        <w:rPr>
          <w:rFonts w:asciiTheme="majorBidi" w:hAnsiTheme="majorBidi" w:cstheme="majorBidi"/>
          <w:kern w:val="0"/>
          <w:sz w:val="22"/>
          <w:szCs w:val="22"/>
          <w:lang w:val="en-US"/>
          <w14:ligatures w14:val="none"/>
        </w:rPr>
        <w:instrText>Movses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Khorenatsi's comments about Van Fortress and its surroundings remain narratives for many years. However, from around 1000 AD onwards, we encounter different accounts of the city of Van (Genç, 2011: 68-72). Especially after the 1500s, it became a city that travelers and pilgrims visited occasionally and tried to describe.</w:t>
      </w:r>
    </w:p>
    <w:p w14:paraId="19FC31D5" w14:textId="77777777" w:rsidR="001004F6" w:rsidRPr="00F03A26" w:rsidRDefault="001004F6" w:rsidP="00F03A26">
      <w:pPr>
        <w:autoSpaceDE w:val="0"/>
        <w:autoSpaceDN w:val="0"/>
        <w:adjustRightInd w:val="0"/>
        <w:jc w:val="both"/>
        <w:rPr>
          <w:rFonts w:asciiTheme="majorBidi" w:hAnsiTheme="majorBidi" w:cstheme="majorBidi"/>
          <w:lang w:val="en-GB"/>
        </w:rPr>
      </w:pPr>
    </w:p>
    <w:p w14:paraId="7B107E22" w14:textId="77777777" w:rsidR="001004F6" w:rsidRPr="00F03A26" w:rsidRDefault="001004F6" w:rsidP="00F03A26">
      <w:pPr>
        <w:pStyle w:val="Balk2"/>
        <w:jc w:val="both"/>
        <w:rPr>
          <w:rFonts w:asciiTheme="majorBidi" w:hAnsiTheme="majorBidi"/>
          <w:i/>
          <w:iCs/>
          <w:color w:val="auto"/>
          <w:sz w:val="28"/>
          <w:szCs w:val="28"/>
          <w:lang w:val="en-GB" w:bidi="he-IL"/>
        </w:rPr>
      </w:pPr>
      <w:bookmarkStart w:id="5" w:name="_Toc173231180"/>
      <w:r w:rsidRPr="00F03A26">
        <w:rPr>
          <w:rFonts w:asciiTheme="majorBidi" w:hAnsiTheme="majorBidi"/>
          <w:b/>
          <w:color w:val="auto"/>
          <w:sz w:val="28"/>
          <w:szCs w:val="28"/>
          <w:lang w:val="en-GB"/>
        </w:rPr>
        <w:t>1.2. Travellers, and Early Research</w:t>
      </w:r>
      <w:bookmarkEnd w:id="5"/>
    </w:p>
    <w:p w14:paraId="42C3E2AD" w14:textId="57D69EA4" w:rsidR="001004F6" w:rsidRPr="00F03A26" w:rsidRDefault="001004F6" w:rsidP="00F03A26">
      <w:pPr>
        <w:jc w:val="both"/>
        <w:rPr>
          <w:rFonts w:asciiTheme="majorBidi" w:hAnsiTheme="majorBidi" w:cstheme="majorBidi"/>
        </w:rPr>
      </w:pPr>
      <w:r w:rsidRPr="00F03A26">
        <w:rPr>
          <w:rFonts w:asciiTheme="majorBidi" w:hAnsiTheme="majorBidi" w:cstheme="majorBidi"/>
        </w:rPr>
        <w:t xml:space="preserve">Two sources provide essential information about the 17th-century city depiction of Van. One is a miniature, apparently 0.70 x 0.55 meters in size (Inv. No. 9487) named </w:t>
      </w:r>
      <w:r w:rsidR="007E4D33" w:rsidRPr="00F03A26">
        <w:rPr>
          <w:rFonts w:asciiTheme="majorBidi" w:eastAsia="Times New Roman" w:hAnsiTheme="majorBidi" w:cstheme="majorBidi"/>
          <w:lang w:val="en-GB"/>
        </w:rPr>
        <w:t>"</w:t>
      </w:r>
      <w:r w:rsidRPr="00F03A26">
        <w:rPr>
          <w:rFonts w:asciiTheme="majorBidi" w:hAnsiTheme="majorBidi" w:cstheme="majorBidi"/>
        </w:rPr>
        <w:t>Kala-i Seng-i Van</w:t>
      </w:r>
      <w:r w:rsidR="007E4D33" w:rsidRPr="00F03A26">
        <w:rPr>
          <w:rFonts w:asciiTheme="majorBidi" w:eastAsia="Times New Roman" w:hAnsiTheme="majorBidi" w:cstheme="majorBidi"/>
          <w:lang w:val="en-GB"/>
        </w:rPr>
        <w:t>"</w:t>
      </w:r>
      <w:r w:rsidR="00EA6C63">
        <w:rPr>
          <w:rFonts w:asciiTheme="majorBidi" w:hAnsiTheme="majorBidi" w:cstheme="majorBidi"/>
        </w:rPr>
        <w:fldChar w:fldCharType="begin"/>
      </w:r>
      <w:r w:rsidR="00EA6C63">
        <w:instrText xml:space="preserve"> XE "</w:instrText>
      </w:r>
      <w:r w:rsidR="00EA6C63" w:rsidRPr="00105B9E">
        <w:rPr>
          <w:rFonts w:asciiTheme="majorBidi" w:hAnsiTheme="majorBidi" w:cstheme="majorBidi"/>
        </w:rPr>
        <w:instrText>Kala-i Seng-i Van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which is currently housed in the Topkapı Palace Museum (Fig. 1), and the other one is the narratives in Evliya Çelebi</w:t>
      </w:r>
      <w:r w:rsidR="001F2587">
        <w:rPr>
          <w:rFonts w:asciiTheme="majorBidi" w:hAnsiTheme="majorBidi" w:cstheme="majorBidi"/>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Seyahatname.  Since they belong to the same historical period, they are essential documents for comparison and verification.</w:t>
      </w:r>
    </w:p>
    <w:p w14:paraId="6FDBD824" w14:textId="77777777" w:rsidR="001004F6" w:rsidRPr="00F03A26" w:rsidRDefault="001004F6" w:rsidP="00F03A26">
      <w:pPr>
        <w:jc w:val="both"/>
        <w:rPr>
          <w:rFonts w:asciiTheme="majorBidi" w:hAnsiTheme="majorBidi" w:cstheme="majorBidi"/>
          <w:color w:val="000000" w:themeColor="text1"/>
          <w:lang w:val="en-GB"/>
        </w:rPr>
      </w:pPr>
    </w:p>
    <w:p w14:paraId="5FFFE05A"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lastRenderedPageBreak/>
        <w:drawing>
          <wp:inline distT="0" distB="0" distL="0" distR="0" wp14:anchorId="5FC62F01" wp14:editId="51062A94">
            <wp:extent cx="5638165" cy="3695700"/>
            <wp:effectExtent l="0" t="0" r="635" b="0"/>
            <wp:docPr id="1064842905" name="Resim 106484290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harita içeren bir resim&#10;&#10;Açıklama otomatik olarak oluşturuldu"/>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638165" cy="3695700"/>
                    </a:xfrm>
                    <a:prstGeom prst="rect">
                      <a:avLst/>
                    </a:prstGeom>
                    <a:ln>
                      <a:noFill/>
                    </a:ln>
                    <a:extLst>
                      <a:ext uri="{53640926-AAD7-44D8-BBD7-CCE9431645EC}">
                        <a14:shadowObscured xmlns:a14="http://schemas.microsoft.com/office/drawing/2010/main"/>
                      </a:ext>
                    </a:extLst>
                  </pic:spPr>
                </pic:pic>
              </a:graphicData>
            </a:graphic>
          </wp:inline>
        </w:drawing>
      </w:r>
    </w:p>
    <w:p w14:paraId="764EBF86" w14:textId="648ED7BC"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1 Miniature, the 17th century city depiction of Van (Topkapı Palace Museum Inv. No. 9487).</w:t>
      </w:r>
    </w:p>
    <w:p w14:paraId="461667EC" w14:textId="77777777" w:rsidR="001004F6" w:rsidRPr="00F03A26" w:rsidRDefault="001004F6" w:rsidP="00F03A26">
      <w:pPr>
        <w:jc w:val="both"/>
        <w:rPr>
          <w:rFonts w:asciiTheme="majorBidi" w:hAnsiTheme="majorBidi" w:cstheme="majorBidi"/>
          <w:lang w:val="en-GB"/>
        </w:rPr>
      </w:pPr>
    </w:p>
    <w:p w14:paraId="649DA651" w14:textId="452686F0" w:rsidR="001004F6" w:rsidRPr="00F03A26" w:rsidRDefault="001004F6" w:rsidP="00F03A26">
      <w:pPr>
        <w:jc w:val="both"/>
        <w:rPr>
          <w:rFonts w:asciiTheme="majorBidi" w:hAnsiTheme="majorBidi" w:cstheme="majorBidi"/>
        </w:rPr>
      </w:pPr>
      <w:r w:rsidRPr="00F03A26">
        <w:rPr>
          <w:rFonts w:asciiTheme="majorBidi" w:hAnsiTheme="majorBidi" w:cstheme="majorBidi"/>
        </w:rPr>
        <w:t>In the miniature, the southern facade of the Ṭušpa</w:t>
      </w:r>
      <w:r w:rsidR="001F2587">
        <w:rPr>
          <w:rFonts w:asciiTheme="majorBidi" w:hAnsiTheme="majorBidi" w:cstheme="majorBidi"/>
        </w:rPr>
        <w:t>/Van</w:t>
      </w:r>
      <w:r w:rsidRPr="00F03A26">
        <w:rPr>
          <w:rFonts w:asciiTheme="majorBidi" w:hAnsiTheme="majorBidi" w:cstheme="majorBidi"/>
        </w:rPr>
        <w:t xml:space="preserve"> Rock</w:t>
      </w:r>
      <w:r w:rsidR="001F2587">
        <w:rPr>
          <w:rFonts w:asciiTheme="majorBidi" w:hAnsiTheme="majorBidi" w:cstheme="majorBidi"/>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the buildings on it, and the </w:t>
      </w:r>
      <w:r w:rsidR="00C1513A">
        <w:rPr>
          <w:rFonts w:asciiTheme="majorBidi" w:hAnsiTheme="majorBidi" w:cstheme="majorBidi"/>
        </w:rPr>
        <w:t>Old Van City</w:t>
      </w:r>
      <w:r w:rsidRPr="00F03A26">
        <w:rPr>
          <w:rFonts w:asciiTheme="majorBidi" w:hAnsiTheme="majorBidi" w:cstheme="majorBidi"/>
        </w:rPr>
        <w:t xml:space="preserve"> lying to the south are depicted. The explanatory information on the structures, which are described as quite realistic in terms of their locations, also allows us to know and compare the nature and names of the structures in Old Van City</w:t>
      </w:r>
      <w:r w:rsidR="00647545">
        <w:rPr>
          <w:rFonts w:asciiTheme="majorBidi" w:hAnsiTheme="majorBidi" w:cstheme="majorBidi"/>
        </w:rPr>
        <w:fldChar w:fldCharType="begin"/>
      </w:r>
      <w:r w:rsidR="00647545">
        <w:instrText xml:space="preserve"> XE "</w:instrText>
      </w:r>
      <w:r w:rsidR="00647545" w:rsidRPr="00756E33">
        <w:rPr>
          <w:rFonts w:asciiTheme="majorBidi" w:hAnsiTheme="majorBidi" w:cstheme="majorBidi"/>
        </w:rPr>
        <w:instrText>Old Van City</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and Ṭušpa</w:t>
      </w:r>
      <w:r w:rsidR="001F2587">
        <w:rPr>
          <w:rFonts w:asciiTheme="majorBidi" w:hAnsiTheme="majorBidi" w:cstheme="majorBidi"/>
        </w:rPr>
        <w:t>/Van</w:t>
      </w:r>
      <w:r w:rsidRPr="00F03A26">
        <w:rPr>
          <w:rFonts w:asciiTheme="majorBidi" w:hAnsiTheme="majorBidi" w:cstheme="majorBidi"/>
        </w:rPr>
        <w:t xml:space="preserve"> Rock. In the citadel section, in the area surrounded by the city walls and the towers on it, the buildings are described as Süleyman Han Mosque, Yeniçeri Ağası Mansion, Top (Cannon) Square, Armory and Yeniçeri Kışlası. The areas defined as </w:t>
      </w:r>
      <w:r w:rsidR="007E4D33">
        <w:rPr>
          <w:rFonts w:asciiTheme="majorBidi" w:hAnsiTheme="majorBidi" w:cstheme="majorBidi"/>
        </w:rPr>
        <w:t>‘</w:t>
      </w:r>
      <w:r w:rsidRPr="00F03A26">
        <w:rPr>
          <w:rFonts w:asciiTheme="majorBidi" w:hAnsiTheme="majorBidi" w:cstheme="majorBidi"/>
        </w:rPr>
        <w:t>caves</w:t>
      </w:r>
      <w:r w:rsidR="007E4D33">
        <w:rPr>
          <w:rFonts w:asciiTheme="majorBidi" w:hAnsiTheme="majorBidi" w:cstheme="majorBidi"/>
        </w:rPr>
        <w:t>’</w:t>
      </w:r>
      <w:r w:rsidRPr="00F03A26">
        <w:rPr>
          <w:rFonts w:asciiTheme="majorBidi" w:hAnsiTheme="majorBidi" w:cstheme="majorBidi"/>
        </w:rPr>
        <w:t xml:space="preserve"> on the south face of the bedrock are the Büyük (Argišti I</w:t>
      </w:r>
      <w:r w:rsidR="001F2587">
        <w:rPr>
          <w:rFonts w:asciiTheme="majorBid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and Küçük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Mağaraları</w:t>
      </w:r>
      <w:r w:rsidR="001F2587">
        <w:rPr>
          <w:rFonts w:asciiTheme="majorBidi" w:hAnsiTheme="majorBidi" w:cstheme="majorBidi"/>
        </w:rPr>
        <w:fldChar w:fldCharType="begin"/>
      </w:r>
      <w:r w:rsidR="001F2587">
        <w:instrText xml:space="preserve"> XE "</w:instrText>
      </w:r>
      <w:r w:rsidR="001F2587" w:rsidRPr="00BF387C">
        <w:rPr>
          <w:rFonts w:asciiTheme="majorBidi" w:hAnsiTheme="majorBidi" w:cstheme="majorBidi"/>
        </w:rPr>
        <w:instrText>Küçük Horhor Mağaraları</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the Neft Kuyu</w:t>
      </w:r>
      <w:r w:rsidR="001F2587">
        <w:rPr>
          <w:rFonts w:asciiTheme="majorBidi" w:hAnsiTheme="majorBidi" w:cstheme="majorBidi"/>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the Doğu Odaları</w:t>
      </w:r>
      <w:r w:rsidR="001F2587">
        <w:rPr>
          <w:rFonts w:asciiTheme="majorBidi" w:hAnsiTheme="majorBidi" w:cstheme="majorBidi"/>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and the Cremation tombs</w:t>
      </w:r>
      <w:r w:rsidR="001F2587">
        <w:rPr>
          <w:rFonts w:asciiTheme="majorBidi" w:hAnsiTheme="majorBidi" w:cstheme="majorBidi"/>
        </w:rPr>
        <w:fldChar w:fldCharType="begin"/>
      </w:r>
      <w:r w:rsidR="001F2587">
        <w:instrText xml:space="preserve"> XE "</w:instrText>
      </w:r>
      <w:r w:rsidR="001F2587" w:rsidRPr="0012324B">
        <w:rPr>
          <w:rFonts w:asciiTheme="majorBidi" w:hAnsiTheme="majorBidi" w:cstheme="majorBidi"/>
        </w:rPr>
        <w:instrText>Cremation tombs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which can be observed at the exact locations today. The waterway "a thousand stairs" descending from the citadel to the cistern is defined with the phrase "tarık-i âb-lezizdir"</w:t>
      </w:r>
      <w:r w:rsidR="003C5C9D">
        <w:rPr>
          <w:rFonts w:asciiTheme="majorBidi" w:hAnsiTheme="majorBidi" w:cstheme="majorBidi"/>
        </w:rPr>
        <w:t>.</w:t>
      </w:r>
      <w:r w:rsidRPr="00F03A26">
        <w:rPr>
          <w:rFonts w:asciiTheme="majorBidi" w:hAnsiTheme="majorBidi" w:cstheme="majorBidi"/>
        </w:rPr>
        <w:t xml:space="preserve"> </w:t>
      </w:r>
    </w:p>
    <w:p w14:paraId="0F026C9C" w14:textId="77777777" w:rsidR="001004F6" w:rsidRPr="00F03A26" w:rsidRDefault="001004F6" w:rsidP="00F03A26">
      <w:pPr>
        <w:jc w:val="both"/>
        <w:rPr>
          <w:rFonts w:asciiTheme="majorBidi" w:hAnsiTheme="majorBidi" w:cstheme="majorBidi"/>
        </w:rPr>
      </w:pPr>
    </w:p>
    <w:p w14:paraId="6B0D67D3" w14:textId="6C6C4E1E" w:rsidR="001004F6" w:rsidRPr="00F03A26" w:rsidRDefault="001004F6" w:rsidP="00F03A26">
      <w:pPr>
        <w:jc w:val="both"/>
        <w:rPr>
          <w:rFonts w:asciiTheme="majorBidi" w:hAnsiTheme="majorBidi" w:cstheme="majorBidi"/>
        </w:rPr>
      </w:pPr>
      <w:r w:rsidRPr="00F03A26">
        <w:rPr>
          <w:rFonts w:asciiTheme="majorBidi" w:hAnsiTheme="majorBidi" w:cstheme="majorBidi"/>
        </w:rPr>
        <w:t xml:space="preserve">In the miniature, the </w:t>
      </w:r>
      <w:r w:rsidR="00C1513A">
        <w:rPr>
          <w:rFonts w:asciiTheme="majorBidi" w:hAnsiTheme="majorBidi" w:cstheme="majorBidi"/>
        </w:rPr>
        <w:t>Old Van City</w:t>
      </w:r>
      <w:r w:rsidR="00EB71FC">
        <w:rPr>
          <w:rFonts w:asciiTheme="majorBid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xml:space="preserve"> is surrounded by double walls with towers on it. The Sur-u İç and the city are surrounded by three walls from the east, south, and west directions. The Ṭušpa Rock is located in the north. There are three main entrance gates. It's typical for structures such as doors and towers to have names and information about their construction or repair written on them. On the east, Tophane tower, Tabriz Gate</w:t>
      </w:r>
      <w:r w:rsidR="00647545">
        <w:rPr>
          <w:rFonts w:asciiTheme="majorBidi" w:hAnsiTheme="majorBidi" w:cstheme="majorBidi"/>
        </w:rPr>
        <w:fldChar w:fldCharType="begin"/>
      </w:r>
      <w:r w:rsidR="00647545">
        <w:instrText xml:space="preserve"> XE "</w:instrText>
      </w:r>
      <w:r w:rsidR="00647545" w:rsidRPr="003F67E3">
        <w:rPr>
          <w:rFonts w:asciiTheme="majorBidi" w:hAnsiTheme="majorBidi" w:cstheme="majorBidi"/>
        </w:rPr>
        <w:instrText>Tabriz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(Tebriz Kapı), Veled tower, Middle Gate (Orta Kapı</w:t>
      </w:r>
      <w:r w:rsidR="00647545">
        <w:rPr>
          <w:rFonts w:asciiTheme="majorBidi" w:hAnsiTheme="majorBidi" w:cstheme="majorBidi"/>
        </w:rPr>
        <w:fldChar w:fldCharType="begin"/>
      </w:r>
      <w:r w:rsidR="00647545">
        <w:instrText xml:space="preserve"> XE "</w:instrText>
      </w:r>
      <w:r w:rsidR="00647545" w:rsidRPr="000F476A">
        <w:rPr>
          <w:rFonts w:asciiTheme="majorBidi" w:hAnsiTheme="majorBidi" w:cstheme="majorBidi"/>
        </w:rPr>
        <w:instrText>Orta Kapı</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on the South Wall, Ali Pasha tower, and on the inner wall, Uğrun Gate (Uğrun Kapısı) and Pasha Kapusu are written. On the west is the Pier Gate (İskele Kapı). The names of the people who repaired the walls were also written in the relevant places. The variation of the wall material in the appropriate areas may be related to these repairs.</w:t>
      </w:r>
    </w:p>
    <w:p w14:paraId="7C54EA9B" w14:textId="77777777" w:rsidR="001004F6" w:rsidRPr="00F03A26" w:rsidRDefault="001004F6" w:rsidP="00F03A26">
      <w:pPr>
        <w:jc w:val="both"/>
        <w:rPr>
          <w:rFonts w:asciiTheme="majorBidi" w:hAnsiTheme="majorBidi" w:cstheme="majorBidi"/>
        </w:rPr>
      </w:pPr>
    </w:p>
    <w:p w14:paraId="60B93E28" w14:textId="05B212E6" w:rsidR="001004F6" w:rsidRPr="00F03A26" w:rsidRDefault="001004F6" w:rsidP="00F03A26">
      <w:pPr>
        <w:jc w:val="both"/>
        <w:rPr>
          <w:rFonts w:asciiTheme="majorBidi" w:hAnsiTheme="majorBidi" w:cstheme="majorBidi"/>
        </w:rPr>
      </w:pPr>
      <w:r w:rsidRPr="00F03A26">
        <w:rPr>
          <w:rFonts w:asciiTheme="majorBidi" w:hAnsiTheme="majorBidi" w:cstheme="majorBidi"/>
        </w:rPr>
        <w:t>Descriptions in the Seyahatname of Evliya Çelebi</w:t>
      </w:r>
      <w:r w:rsidR="001F2587">
        <w:rPr>
          <w:rFonts w:asciiTheme="majorBidi" w:hAnsiTheme="majorBidi" w:cstheme="majorBidi"/>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understood to have visited Van in the 17th century, are another early reference in understanding the structures and urban texture of the fortress and Old Van City</w:t>
      </w:r>
      <w:r w:rsidR="00647545">
        <w:rPr>
          <w:rFonts w:asciiTheme="majorBidi" w:hAnsiTheme="majorBidi" w:cstheme="majorBidi"/>
        </w:rPr>
        <w:fldChar w:fldCharType="begin"/>
      </w:r>
      <w:r w:rsidR="00647545">
        <w:instrText xml:space="preserve"> XE "</w:instrText>
      </w:r>
      <w:r w:rsidR="00647545" w:rsidRPr="00756E33">
        <w:rPr>
          <w:rFonts w:asciiTheme="majorBidi" w:hAnsiTheme="majorBidi" w:cstheme="majorBidi"/>
        </w:rPr>
        <w:instrText>Old Van City</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Evliya Çelebi likens the Ṭušpa</w:t>
      </w:r>
      <w:r w:rsidR="001F2587">
        <w:rPr>
          <w:rFonts w:asciiTheme="majorBidi" w:hAnsiTheme="majorBidi" w:cstheme="majorBidi"/>
        </w:rPr>
        <w:t>/Van</w:t>
      </w:r>
      <w:r w:rsidRPr="00F03A26">
        <w:rPr>
          <w:rFonts w:asciiTheme="majorBidi" w:hAnsiTheme="majorBidi" w:cstheme="majorBidi"/>
        </w:rPr>
        <w:t xml:space="preserve"> Rock</w:t>
      </w:r>
      <w:r w:rsidR="001F2587">
        <w:rPr>
          <w:rFonts w:asciiTheme="majorBidi" w:hAnsiTheme="majorBidi" w:cstheme="majorBidi"/>
        </w:rPr>
        <w:fldChar w:fldCharType="begin"/>
      </w:r>
      <w:r w:rsidR="001F2587">
        <w:instrText xml:space="preserve"> XE "</w:instrText>
      </w:r>
      <w:r w:rsidR="001F2587" w:rsidRPr="009332BD">
        <w:rPr>
          <w:rFonts w:asciiTheme="majorBidi" w:hAnsiTheme="majorBidi" w:cstheme="majorBidi"/>
        </w:rPr>
        <w:instrText>Ṭušpa/Van Rock</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 a collapsed camel. The eastern section is the low section of Deve Boynu (</w:t>
      </w:r>
      <w:r w:rsidR="00E769F1">
        <w:rPr>
          <w:rFonts w:asciiTheme="majorBidi" w:hAnsiTheme="majorBidi" w:cstheme="majorBidi"/>
        </w:rPr>
        <w:t>n</w:t>
      </w:r>
      <w:r w:rsidRPr="00F03A26">
        <w:rPr>
          <w:rFonts w:asciiTheme="majorBidi" w:hAnsiTheme="majorBidi" w:cstheme="majorBidi"/>
        </w:rPr>
        <w:t xml:space="preserve">eck of the </w:t>
      </w:r>
      <w:r w:rsidR="00E769F1">
        <w:rPr>
          <w:rFonts w:asciiTheme="majorBidi" w:hAnsiTheme="majorBidi" w:cstheme="majorBidi"/>
        </w:rPr>
        <w:t>c</w:t>
      </w:r>
      <w:r w:rsidRPr="00F03A26">
        <w:rPr>
          <w:rFonts w:asciiTheme="majorBidi" w:hAnsiTheme="majorBidi" w:cstheme="majorBidi"/>
        </w:rPr>
        <w:t xml:space="preserve">amel) / Kesik Kale, extending </w:t>
      </w:r>
      <w:r w:rsidRPr="00F03A26">
        <w:rPr>
          <w:rFonts w:asciiTheme="majorBidi" w:hAnsiTheme="majorBidi" w:cstheme="majorBidi"/>
        </w:rPr>
        <w:lastRenderedPageBreak/>
        <w:t>east from where the ditch is located. The western part extending to Van Lake</w:t>
      </w:r>
      <w:r w:rsidR="001F2587">
        <w:rPr>
          <w:rFonts w:asciiTheme="majorBidi" w:hAnsiTheme="majorBidi" w:cstheme="majorBidi"/>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represents the rump of the camel. He also states that there is no settlement in the lower northern part and a city in the steep southern part.</w:t>
      </w:r>
    </w:p>
    <w:p w14:paraId="3D927C7E" w14:textId="77777777" w:rsidR="001004F6" w:rsidRPr="00F03A26" w:rsidRDefault="001004F6" w:rsidP="00F03A26">
      <w:pPr>
        <w:jc w:val="both"/>
        <w:rPr>
          <w:rFonts w:asciiTheme="majorBidi" w:hAnsiTheme="majorBidi" w:cstheme="majorBidi"/>
        </w:rPr>
      </w:pPr>
    </w:p>
    <w:p w14:paraId="37BEC032" w14:textId="77777777" w:rsidR="001004F6" w:rsidRPr="00F03A26" w:rsidRDefault="001004F6" w:rsidP="00F03A26">
      <w:pPr>
        <w:jc w:val="both"/>
        <w:rPr>
          <w:rFonts w:asciiTheme="majorBidi" w:hAnsiTheme="majorBidi" w:cstheme="majorBidi"/>
        </w:rPr>
      </w:pPr>
      <w:r w:rsidRPr="00F03A26">
        <w:rPr>
          <w:rFonts w:asciiTheme="majorBidi" w:hAnsiTheme="majorBidi" w:cstheme="majorBidi"/>
        </w:rPr>
        <w:t xml:space="preserve">The northern part is fortified with fortification walls for any defense vulnerability, and the southern part has a very steep structure, so there is no need for any defense system. </w:t>
      </w:r>
    </w:p>
    <w:p w14:paraId="2BE01083" w14:textId="77777777" w:rsidR="001004F6" w:rsidRPr="00F03A26" w:rsidRDefault="001004F6" w:rsidP="00F03A26">
      <w:pPr>
        <w:jc w:val="both"/>
        <w:rPr>
          <w:rFonts w:asciiTheme="majorBidi" w:hAnsiTheme="majorBidi" w:cstheme="majorBidi"/>
          <w:color w:val="000000" w:themeColor="text1"/>
          <w:lang w:val="en-GB"/>
        </w:rPr>
      </w:pPr>
    </w:p>
    <w:p w14:paraId="4DE63CF8" w14:textId="07368A17" w:rsidR="001004F6" w:rsidRPr="00F03A26" w:rsidRDefault="001004F6"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“This exemplary rock is located in Azerbaijan and the land of Armenia</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Armenia</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surrounded by the Van Sea to the south, west, and north. Its qibla is to the east, and its sitâre shines brightly in the middle of the desert, resembling the legendary Irem Garden. The rock itself resembles a camel kneeling down with a heavy load, reaching up to the sky with all kinds of blue, red, and colourful embroidery” (Çelebi, 2010: 238-239).</w:t>
      </w:r>
    </w:p>
    <w:p w14:paraId="14BDC598" w14:textId="77777777" w:rsidR="001004F6" w:rsidRPr="00F03A26" w:rsidRDefault="001004F6" w:rsidP="00F03A26">
      <w:pPr>
        <w:ind w:left="850" w:right="850"/>
        <w:jc w:val="both"/>
        <w:rPr>
          <w:rFonts w:asciiTheme="majorBidi" w:hAnsiTheme="majorBidi" w:cstheme="majorBidi"/>
          <w:color w:val="000000" w:themeColor="text1"/>
          <w:lang w:val="en-GB"/>
        </w:rPr>
      </w:pPr>
    </w:p>
    <w:p w14:paraId="4F522758" w14:textId="5C87BEE6" w:rsidR="001004F6" w:rsidRPr="00F03A26" w:rsidRDefault="001004F6"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There is a small fortress known as Kesik, situated on the eastern side of the area we previously described as resembling a camel's neck. The fortress features a large tower that appears to be situated on the head of a camel. But it is below from the upper Yeniçeri Fortress. However, there are ways that can be reached from the great fortress through the rocks and it has its own guards, soldiers, other armory and other caves, and it is another inclined fortress with a slope towards the Tabriz gate. It is not possible to concur this in any way. It is indeed a small fortress on a cliff like a camel's head on a few rocks like a camel neck. On the north side, there are three sections of fortress walls, divided by rocks, in which the Azebân and other soldiers stay. From this north side, there is the Suluk road, which goes down through the rocks and down to the reeds, on which there are Balyemez canons like hedgehogs.</w:t>
      </w:r>
      <w:r w:rsidRPr="00F03A26">
        <w:rPr>
          <w:rFonts w:asciiTheme="majorBidi" w:hAnsiTheme="majorBidi" w:cstheme="majorBidi"/>
          <w:color w:val="000000" w:themeColor="text1"/>
          <w:lang w:val="en-GB"/>
        </w:rPr>
        <w:br/>
        <w:t>There are no fortress walls in the area facing the lower city on the qibla side and the south side of this fortress” (Çelebi, 2010: 242-243).</w:t>
      </w:r>
    </w:p>
    <w:p w14:paraId="1DBC2D9E"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 </w:t>
      </w:r>
    </w:p>
    <w:p w14:paraId="572EC749" w14:textId="0B3E5E7A" w:rsidR="001004F6" w:rsidRPr="00F03A26" w:rsidRDefault="001004F6" w:rsidP="00F03A26">
      <w:pPr>
        <w:jc w:val="both"/>
        <w:rPr>
          <w:rFonts w:asciiTheme="majorBidi" w:hAnsiTheme="majorBidi" w:cstheme="majorBidi"/>
        </w:rPr>
      </w:pPr>
      <w:r w:rsidRPr="00F03A26">
        <w:rPr>
          <w:rFonts w:asciiTheme="majorBidi" w:hAnsiTheme="majorBidi" w:cstheme="majorBidi"/>
        </w:rPr>
        <w:t>Evliya Çelebi</w:t>
      </w:r>
      <w:r w:rsidR="001F2587">
        <w:rPr>
          <w:rFonts w:asciiTheme="majorBidi" w:hAnsiTheme="majorBidi" w:cstheme="majorBidi"/>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states that there are 600 large caves inside the Ṭušpa</w:t>
      </w:r>
      <w:r w:rsidR="001F2587">
        <w:rPr>
          <w:rFonts w:asciiTheme="majorBidi" w:hAnsiTheme="majorBidi" w:cstheme="majorBidi"/>
        </w:rPr>
        <w:t>/Van</w:t>
      </w:r>
      <w:r w:rsidRPr="00F03A26">
        <w:rPr>
          <w:rFonts w:asciiTheme="majorBidi" w:hAnsiTheme="majorBidi" w:cstheme="majorBidi"/>
        </w:rPr>
        <w:t xml:space="preserve"> Rock</w:t>
      </w:r>
      <w:r w:rsidR="001F2587">
        <w:rPr>
          <w:rFonts w:asciiTheme="majorBidi" w:hAnsiTheme="majorBidi" w:cstheme="majorBidi"/>
        </w:rPr>
        <w:fldChar w:fldCharType="begin"/>
      </w:r>
      <w:r w:rsidR="001F2587">
        <w:instrText xml:space="preserve"> XE "</w:instrText>
      </w:r>
      <w:r w:rsidR="001F2587" w:rsidRPr="009332BD">
        <w:rPr>
          <w:rFonts w:asciiTheme="majorBidi" w:hAnsiTheme="majorBidi" w:cstheme="majorBidi"/>
        </w:rPr>
        <w:instrText>Ṭušpa/Van Rock</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Today, many natural caves on the southern façade of the Ṭušpa</w:t>
      </w:r>
      <w:r w:rsidR="001F2587">
        <w:rPr>
          <w:rFonts w:asciiTheme="majorBidi" w:hAnsiTheme="majorBidi" w:cstheme="majorBidi"/>
        </w:rPr>
        <w:t>/Van</w:t>
      </w:r>
      <w:r w:rsidRPr="00F03A26">
        <w:rPr>
          <w:rFonts w:asciiTheme="majorBidi" w:hAnsiTheme="majorBidi" w:cstheme="majorBidi"/>
        </w:rPr>
        <w:t xml:space="preserve"> Rock remind the entrance of caves or tombs, but the number given by Çelebi cannot be explained even with these. These areas, which are defined as caves, are understood to be Urartian</w:t>
      </w:r>
      <w:r w:rsidR="00EA6C63">
        <w:rPr>
          <w:rFonts w:asciiTheme="majorBid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xml:space="preserve"> rock tombs today. Some of the details he gave can be traced in today's tombs and reflect the characteristic features of classical Urartian rock tombs.</w:t>
      </w:r>
    </w:p>
    <w:p w14:paraId="38A020E6" w14:textId="77777777" w:rsidR="001004F6" w:rsidRPr="00F03A26" w:rsidRDefault="001004F6" w:rsidP="00F03A26">
      <w:pPr>
        <w:jc w:val="both"/>
        <w:rPr>
          <w:rFonts w:asciiTheme="majorBidi" w:hAnsiTheme="majorBidi" w:cstheme="majorBidi"/>
          <w:color w:val="000000" w:themeColor="text1"/>
          <w:lang w:val="en-GB"/>
        </w:rPr>
      </w:pPr>
    </w:p>
    <w:p w14:paraId="721AE82D" w14:textId="6EFA7554" w:rsidR="001004F6" w:rsidRPr="00F03A26" w:rsidRDefault="001004F6"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“All the hard stony mountains were fascinated by the wisdom of God that they carved the rocks of Van like cheese and made caves. If a thousand ‘camapur’ soldiers enter each cave, they will disappear. There are rooms in rooms, in sections, in divanhanes, which, due to the geometry they have, have cabinets carved from small stones with twisted sills, gilvi, medene [an architectural ornament] and shelf sergens [big cabinets] that the masters of the current century are incapable of hitting with a chisel. All of them were wealthy and proprietary tribes, as if they had covered the domes and ceilings and their arches and plastered the gold with their hands. Such a righteous exemplary cave does not exist in any land” (Çelebi, 2010: 231).</w:t>
      </w:r>
    </w:p>
    <w:p w14:paraId="0D49F146" w14:textId="77777777" w:rsidR="001004F6" w:rsidRPr="00F03A26" w:rsidRDefault="001004F6" w:rsidP="00F03A26">
      <w:pPr>
        <w:jc w:val="both"/>
        <w:rPr>
          <w:rFonts w:asciiTheme="majorBidi" w:hAnsiTheme="majorBidi" w:cstheme="majorBidi"/>
        </w:rPr>
      </w:pPr>
      <w:r w:rsidRPr="00F03A26">
        <w:rPr>
          <w:rFonts w:asciiTheme="majorBidi" w:hAnsiTheme="majorBidi" w:cstheme="majorBidi"/>
          <w:i/>
          <w:color w:val="000000" w:themeColor="text1"/>
          <w:lang w:val="en-GB"/>
        </w:rPr>
        <w:br/>
      </w:r>
      <w:r w:rsidRPr="00F03A26">
        <w:rPr>
          <w:rFonts w:asciiTheme="majorBidi" w:hAnsiTheme="majorBidi" w:cstheme="majorBidi"/>
        </w:rPr>
        <w:t xml:space="preserve">The tombs, defined as caves, were used for different purposes within the framework of the needs of the period. Devdahane (silk, yarn, etc. production workshop), </w:t>
      </w:r>
      <w:r w:rsidRPr="00F03A26">
        <w:rPr>
          <w:rFonts w:asciiTheme="majorBidi" w:hAnsiTheme="majorBidi" w:cstheme="majorBidi"/>
        </w:rPr>
        <w:lastRenderedPageBreak/>
        <w:t xml:space="preserve">arsenal (cannonball, gunpowder, arrow, bow, rifle, sword, etc.), granary (wheat, barley, millet, rice, broad beans, lentils, chickpeas), the cave where animal bones, old shoes, sandals, etc. are piled, the cave where leather products are stored, the cave where there are cisterns where linseed oil, sesame oil, tar, pitch, etc. products are stored, the cave where animal skin is stored and processed, the cave where salted fish, glass, cattle, sheep, and goat meat are stored; Çelebi also states that forty pieces of baked millet bread, rusks, flour, and bulgur (Çelebi, 2010: 240) were stored in the caves and that there were vinegar, honey, cheese, olives and olive oil in hundreds of pools inside the caves. In these caves, </w:t>
      </w:r>
    </w:p>
    <w:p w14:paraId="68B9C5B2" w14:textId="77777777" w:rsidR="001004F6" w:rsidRPr="00F03A26" w:rsidRDefault="001004F6" w:rsidP="00F03A26">
      <w:pPr>
        <w:jc w:val="both"/>
        <w:rPr>
          <w:rFonts w:asciiTheme="majorBidi" w:hAnsiTheme="majorBidi" w:cstheme="majorBidi"/>
          <w:i/>
          <w:color w:val="000000" w:themeColor="text1"/>
          <w:lang w:val="en-GB"/>
        </w:rPr>
      </w:pPr>
    </w:p>
    <w:p w14:paraId="39E23181" w14:textId="77777777" w:rsidR="001004F6" w:rsidRPr="00F03A26" w:rsidRDefault="001004F6"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“There is even shameless wine for the non muslim people who come to make peace or who are stranded, there is even wine (Çelebi, 2010: 240).</w:t>
      </w:r>
    </w:p>
    <w:p w14:paraId="3591F4A9" w14:textId="77777777" w:rsidR="001004F6" w:rsidRPr="00F03A26" w:rsidRDefault="001004F6" w:rsidP="00F03A26">
      <w:pPr>
        <w:jc w:val="both"/>
        <w:rPr>
          <w:rFonts w:asciiTheme="majorBidi" w:hAnsiTheme="majorBidi" w:cstheme="majorBidi"/>
          <w:i/>
          <w:color w:val="000000" w:themeColor="text1"/>
          <w:lang w:val="en-GB"/>
        </w:rPr>
      </w:pPr>
    </w:p>
    <w:p w14:paraId="3B63C638" w14:textId="4D191FFC" w:rsidR="001004F6" w:rsidRPr="00F03A26" w:rsidRDefault="001004F6"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In one of the caves, there is a “naphtha mine”: There is even a naphtha mine in a cave by Allah's command, which flows from the rock and is collected into a large pool, and when that big pool is full, it is sold to the merchants by the mîrî, who is the treasurer of Van. It is a complete spectacle. But this cave also remains closed day and night. In fact, heaps of clean earth are piled up on one side of this cave. God forbid, if a fire hits this nave, they will pour this earth on it and put it out” (Çelebi, 2010: 231).</w:t>
      </w:r>
    </w:p>
    <w:p w14:paraId="7DB82F7A" w14:textId="77777777" w:rsidR="001004F6" w:rsidRPr="00F03A26" w:rsidRDefault="001004F6" w:rsidP="00F03A26">
      <w:pPr>
        <w:jc w:val="both"/>
        <w:rPr>
          <w:rFonts w:asciiTheme="majorBidi" w:hAnsiTheme="majorBidi" w:cstheme="majorBidi"/>
          <w:i/>
          <w:color w:val="000000" w:themeColor="text1"/>
          <w:lang w:val="en-GB"/>
        </w:rPr>
      </w:pPr>
    </w:p>
    <w:p w14:paraId="1E02530F" w14:textId="6F9C2D9D" w:rsidR="001004F6" w:rsidRPr="00F03A26" w:rsidRDefault="001004F6" w:rsidP="00F03A26">
      <w:pPr>
        <w:jc w:val="both"/>
        <w:rPr>
          <w:rFonts w:asciiTheme="majorBidi" w:hAnsiTheme="majorBidi" w:cstheme="majorBidi"/>
        </w:rPr>
      </w:pPr>
      <w:r w:rsidRPr="00F03A26">
        <w:rPr>
          <w:rFonts w:asciiTheme="majorBidi" w:hAnsiTheme="majorBidi" w:cstheme="majorBidi"/>
        </w:rPr>
        <w:t>The cave where this naphtha oil is stored is the Urartian</w:t>
      </w:r>
      <w:r w:rsidR="00EA6C63">
        <w:rPr>
          <w:rFonts w:asciiTheme="majorBid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xml:space="preserve"> rock tomb, defined as the Neft Kuyu</w:t>
      </w:r>
      <w:r w:rsidR="001F2587">
        <w:rPr>
          <w:rFonts w:asciiTheme="majorBidi" w:hAnsiTheme="majorBidi" w:cstheme="majorBidi"/>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today. Some travelers after Evliya Çelebi</w:t>
      </w:r>
      <w:r w:rsidR="001F2587">
        <w:rPr>
          <w:rFonts w:asciiTheme="majorBidi" w:hAnsiTheme="majorBidi" w:cstheme="majorBidi"/>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also reported that naphtha oil was stored in this tomb.</w:t>
      </w:r>
    </w:p>
    <w:p w14:paraId="5A3923F7" w14:textId="77777777" w:rsidR="001004F6" w:rsidRPr="00F03A26" w:rsidRDefault="001004F6" w:rsidP="00F03A26">
      <w:pPr>
        <w:jc w:val="both"/>
        <w:rPr>
          <w:rFonts w:asciiTheme="majorBidi" w:hAnsiTheme="majorBidi" w:cstheme="majorBidi"/>
        </w:rPr>
      </w:pPr>
    </w:p>
    <w:p w14:paraId="5D259970" w14:textId="40B131CA" w:rsidR="001004F6" w:rsidRPr="00F03A26" w:rsidRDefault="001004F6" w:rsidP="00F03A26">
      <w:pPr>
        <w:jc w:val="both"/>
        <w:rPr>
          <w:rFonts w:asciiTheme="majorBidi" w:hAnsiTheme="majorBidi" w:cstheme="majorBidi"/>
        </w:rPr>
      </w:pPr>
      <w:r w:rsidRPr="00F03A26">
        <w:rPr>
          <w:rFonts w:asciiTheme="majorBidi" w:hAnsiTheme="majorBidi" w:cstheme="majorBidi"/>
        </w:rPr>
        <w:t>Evliya Çelebi</w:t>
      </w:r>
      <w:r w:rsidR="001F2587">
        <w:rPr>
          <w:rFonts w:asciiTheme="majorBidi" w:hAnsiTheme="majorBidi" w:cstheme="majorBidi"/>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also gives information about the nature of the buildings on the upper part of the fortress. On the top of the fortress, which we define as the İç Kale</w:t>
      </w:r>
      <w:r w:rsidR="00647545">
        <w:rPr>
          <w:rFonts w:asciiTheme="majorBidi" w:hAnsiTheme="majorBidi" w:cstheme="majorBidi"/>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are the </w:t>
      </w:r>
      <w:r w:rsidR="007E4D33">
        <w:rPr>
          <w:rFonts w:asciiTheme="majorBidi" w:hAnsiTheme="majorBidi" w:cstheme="majorBidi"/>
        </w:rPr>
        <w:t>‘</w:t>
      </w:r>
      <w:r w:rsidRPr="00F03A26">
        <w:rPr>
          <w:rFonts w:asciiTheme="majorBidi" w:hAnsiTheme="majorBidi" w:cstheme="majorBidi"/>
        </w:rPr>
        <w:t>palace</w:t>
      </w:r>
      <w:r w:rsidR="007E4D33">
        <w:rPr>
          <w:rFonts w:asciiTheme="majorBidi" w:hAnsiTheme="majorBidi" w:cstheme="majorBidi"/>
        </w:rPr>
        <w:t>’</w:t>
      </w:r>
      <w:r w:rsidRPr="00F03A26">
        <w:rPr>
          <w:rFonts w:asciiTheme="majorBidi" w:hAnsiTheme="majorBidi" w:cstheme="majorBidi"/>
        </w:rPr>
        <w:t xml:space="preserve"> (dwellings) of the administrators and high-ranking soldiers and the structures where the military personnel were sheltered. In other parts of the fortress, there are residences for single soldiers. It is understood that military personnel lived with families in the northern part of the fortress. Çelebi states that there are hawks in these structures. In the miniature of Van Fortress, it is seen that some of the buildings in the citadel section have special sections with windows.</w:t>
      </w:r>
    </w:p>
    <w:p w14:paraId="067C4E4F" w14:textId="77777777" w:rsidR="001004F6" w:rsidRPr="00F03A26" w:rsidRDefault="001004F6" w:rsidP="00F03A26">
      <w:pPr>
        <w:jc w:val="both"/>
        <w:rPr>
          <w:rFonts w:asciiTheme="majorBidi" w:hAnsiTheme="majorBidi" w:cstheme="majorBidi"/>
          <w:color w:val="000000" w:themeColor="text1"/>
          <w:lang w:val="en-GB"/>
        </w:rPr>
      </w:pPr>
    </w:p>
    <w:p w14:paraId="69D4E066" w14:textId="5C0BD5E2" w:rsidR="001004F6" w:rsidRPr="00F03A26" w:rsidRDefault="001004F6"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“And there is this one Sultan Süleyman Mosque in this inner fortress, which is the place built by Melik Câlut during the reign of Prophet David, which has been nothing but a temple in every state. When it was a church, Armenians called it vank. They still say Van, from Vank, the name of the church. It is still the Süleyman Khan Mosque, whose minaret was destroyed by the earthquake, and a Mohammedan minaret was built by a man named Janissary Agha Ömer A</w:t>
      </w:r>
      <w:r w:rsidRPr="00F03A26">
        <w:rPr>
          <w:rFonts w:asciiTheme="majorBidi" w:hAnsiTheme="majorBidi" w:cstheme="majorBidi"/>
          <w:lang w:val="en-GB"/>
        </w:rPr>
        <w:t>ğ</w:t>
      </w:r>
      <w:r w:rsidRPr="00F03A26">
        <w:rPr>
          <w:rFonts w:asciiTheme="majorBidi" w:hAnsiTheme="majorBidi" w:cstheme="majorBidi"/>
          <w:color w:val="000000" w:themeColor="text1"/>
          <w:lang w:val="en-GB"/>
        </w:rPr>
        <w:t>a. The dome and the roofs of other palaces are not visible in the blue clouds unless until the morning. It is a tall fortress that has extended its height to the skies to this degree” (Çelebi, 2010: 244).</w:t>
      </w:r>
    </w:p>
    <w:p w14:paraId="26B18FA2" w14:textId="77777777" w:rsidR="001004F6" w:rsidRPr="00F03A26" w:rsidRDefault="001004F6" w:rsidP="00F03A26">
      <w:pPr>
        <w:jc w:val="both"/>
        <w:rPr>
          <w:rFonts w:asciiTheme="majorBidi" w:hAnsiTheme="majorBidi" w:cstheme="majorBidi"/>
          <w:color w:val="000000" w:themeColor="text1"/>
          <w:lang w:val="en-GB"/>
        </w:rPr>
      </w:pPr>
    </w:p>
    <w:p w14:paraId="04E006E2" w14:textId="769E0A88" w:rsidR="001004F6" w:rsidRPr="00F03A26" w:rsidRDefault="001004F6" w:rsidP="00F03A26">
      <w:pPr>
        <w:jc w:val="both"/>
        <w:rPr>
          <w:rFonts w:asciiTheme="majorBidi" w:hAnsiTheme="majorBidi" w:cstheme="majorBidi"/>
        </w:rPr>
      </w:pPr>
      <w:r w:rsidRPr="00F03A26">
        <w:rPr>
          <w:rFonts w:asciiTheme="majorBidi" w:hAnsiTheme="majorBidi" w:cstheme="majorBidi"/>
        </w:rPr>
        <w:t>Çelebi often states that the spring water comes out at many points at the bottom of the fortress and is quite delicious. These waters form the primary water sources of the lower city</w:t>
      </w:r>
      <w:r w:rsidR="00EB71FC">
        <w:rPr>
          <w:rFonts w:asciiTheme="majorBidi" w:hAnsiTheme="majorBidi" w:cstheme="majorBidi"/>
        </w:rPr>
        <w:t xml:space="preserve"> </w:t>
      </w:r>
      <w:r w:rsidRPr="00F03A26">
        <w:rPr>
          <w:rFonts w:asciiTheme="majorBidi" w:hAnsiTheme="majorBidi" w:cstheme="majorBidi"/>
        </w:rPr>
        <w:t>(Çelebi, 2010: 244-245)</w:t>
      </w:r>
      <w:r w:rsidR="00EB71FC">
        <w:rPr>
          <w:rFonts w:asciiTheme="majorBidi" w:hAnsiTheme="majorBidi" w:cstheme="majorBidi"/>
        </w:rPr>
        <w:t>.</w:t>
      </w:r>
      <w:r w:rsidRPr="00F03A26">
        <w:rPr>
          <w:rFonts w:asciiTheme="majorBidi" w:hAnsiTheme="majorBidi" w:cstheme="majorBidi"/>
        </w:rPr>
        <w:t xml:space="preserve"> It also informs us about the waterway called Bin Merdivenler</w:t>
      </w:r>
      <w:r w:rsidR="001F2587">
        <w:rPr>
          <w:rFonts w:asciiTheme="majorBidi" w:hAnsiTheme="majorBidi" w:cstheme="majorBidi"/>
        </w:rPr>
        <w:fldChar w:fldCharType="begin"/>
      </w:r>
      <w:r w:rsidR="001F2587">
        <w:instrText xml:space="preserve"> XE "</w:instrText>
      </w:r>
      <w:r w:rsidR="001F2587" w:rsidRPr="00EA3FFD">
        <w:rPr>
          <w:rFonts w:asciiTheme="majorBidi" w:hAnsiTheme="majorBidi" w:cstheme="majorBidi"/>
        </w:rPr>
        <w:instrText xml:space="preserve">Bin </w:instrText>
      </w:r>
      <w:r w:rsidR="001F2587" w:rsidRPr="00EA3FFD">
        <w:rPr>
          <w:rFonts w:asciiTheme="majorBidi" w:hAnsiTheme="majorBidi" w:cstheme="majorBidi"/>
        </w:rPr>
        <w:lastRenderedPageBreak/>
        <w:instrText>Merdivenler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w:t>
      </w:r>
      <w:r w:rsidR="001F2587">
        <w:rPr>
          <w:rFonts w:asciiTheme="majorBidi" w:hAnsiTheme="majorBidi" w:cstheme="majorBidi"/>
        </w:rPr>
        <w:t>t</w:t>
      </w:r>
      <w:r w:rsidRPr="00F03A26">
        <w:rPr>
          <w:rFonts w:asciiTheme="majorBidi" w:hAnsiTheme="majorBidi" w:cstheme="majorBidi"/>
        </w:rPr>
        <w:t xml:space="preserve">housand </w:t>
      </w:r>
      <w:r w:rsidR="001F2587">
        <w:rPr>
          <w:rFonts w:asciiTheme="majorBidi" w:hAnsiTheme="majorBidi" w:cstheme="majorBidi"/>
        </w:rPr>
        <w:t>s</w:t>
      </w:r>
      <w:r w:rsidRPr="00F03A26">
        <w:rPr>
          <w:rFonts w:asciiTheme="majorBidi" w:hAnsiTheme="majorBidi" w:cstheme="majorBidi"/>
        </w:rPr>
        <w:t xml:space="preserve">tairs), which descends from the citadel to the water source in the </w:t>
      </w:r>
      <w:r w:rsidR="00C1513A">
        <w:rPr>
          <w:rFonts w:asciiTheme="majorBidi" w:hAnsiTheme="majorBidi" w:cstheme="majorBidi"/>
        </w:rPr>
        <w:t>Old Van City</w:t>
      </w:r>
      <w:r w:rsidR="00EB71FC">
        <w:rPr>
          <w:rFonts w:asciiTheme="majorBid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The source of the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Stream, located below, is reached by a Bin Merdivenler carved into the bedrock. The waterway was built by Sultan Kılıç Arslan Shah to avoid congestion, especially during the siege. Horhor water has such a vital source that it </w:t>
      </w:r>
      <w:r w:rsidR="007E4D33">
        <w:rPr>
          <w:rFonts w:asciiTheme="majorBidi" w:hAnsiTheme="majorBidi" w:cstheme="majorBidi"/>
        </w:rPr>
        <w:t>‘</w:t>
      </w:r>
      <w:r w:rsidRPr="00F03A26">
        <w:rPr>
          <w:rFonts w:asciiTheme="majorBidi" w:hAnsiTheme="majorBidi" w:cstheme="majorBidi"/>
        </w:rPr>
        <w:t>runs the mill</w:t>
      </w:r>
      <w:r w:rsidR="007E4D33">
        <w:rPr>
          <w:rFonts w:asciiTheme="majorBidi" w:eastAsia="Times New Roman" w:hAnsiTheme="majorBidi" w:cstheme="majorBidi"/>
          <w:lang w:val="en-GB"/>
        </w:rPr>
        <w:t>’</w:t>
      </w:r>
      <w:r w:rsidRPr="00F03A26">
        <w:rPr>
          <w:rFonts w:asciiTheme="majorBidi" w:hAnsiTheme="majorBidi" w:cstheme="majorBidi"/>
        </w:rPr>
        <w:t>. These "ab-ı hayat" waters pour into Van Lake</w:t>
      </w:r>
      <w:r w:rsidR="001F2587">
        <w:rPr>
          <w:rFonts w:asciiTheme="majorBidi" w:hAnsiTheme="majorBidi" w:cstheme="majorBidi"/>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from inside the tannery, irrigating the vineyards and gardens outside (Çelebi, 2010</w:t>
      </w:r>
      <w:r w:rsidR="00EB71FC">
        <w:rPr>
          <w:rFonts w:asciiTheme="majorBidi" w:hAnsiTheme="majorBidi" w:cstheme="majorBidi"/>
        </w:rPr>
        <w:t xml:space="preserve">: </w:t>
      </w:r>
      <w:r w:rsidRPr="00F03A26">
        <w:rPr>
          <w:rFonts w:asciiTheme="majorBidi" w:hAnsiTheme="majorBidi" w:cstheme="majorBidi"/>
        </w:rPr>
        <w:t>242).</w:t>
      </w:r>
    </w:p>
    <w:p w14:paraId="2174B517" w14:textId="77777777" w:rsidR="001004F6" w:rsidRPr="00F03A26" w:rsidRDefault="001004F6" w:rsidP="00F03A26">
      <w:pPr>
        <w:jc w:val="both"/>
        <w:rPr>
          <w:rFonts w:asciiTheme="majorBidi" w:hAnsiTheme="majorBidi" w:cstheme="majorBidi"/>
          <w:color w:val="000000" w:themeColor="text1"/>
          <w:lang w:val="en-GB"/>
        </w:rPr>
      </w:pPr>
    </w:p>
    <w:p w14:paraId="1553F48C" w14:textId="02AF3DCE" w:rsidR="001004F6" w:rsidRPr="00F03A26" w:rsidRDefault="001004F6" w:rsidP="00F03A26">
      <w:pPr>
        <w:jc w:val="both"/>
        <w:rPr>
          <w:rFonts w:asciiTheme="majorBidi" w:hAnsiTheme="majorBidi" w:cstheme="majorBidi"/>
        </w:rPr>
      </w:pPr>
      <w:r w:rsidRPr="00F03A26">
        <w:rPr>
          <w:rFonts w:asciiTheme="majorBidi" w:hAnsiTheme="majorBidi" w:cstheme="majorBidi"/>
        </w:rPr>
        <w:t>Movses</w:t>
      </w:r>
      <w:r w:rsidR="001F2587">
        <w:rPr>
          <w:rFonts w:asciiTheme="majorBidi" w:hAnsiTheme="majorBidi" w:cstheme="majorBidi"/>
        </w:rPr>
        <w:fldChar w:fldCharType="begin"/>
      </w:r>
      <w:r w:rsidR="001F2587">
        <w:instrText xml:space="preserve"> XE "</w:instrText>
      </w:r>
      <w:r w:rsidR="001F2587" w:rsidRPr="0062015B">
        <w:rPr>
          <w:rFonts w:asciiTheme="majorBidi" w:hAnsiTheme="majorBidi" w:cstheme="majorBidi"/>
          <w:kern w:val="0"/>
          <w:sz w:val="22"/>
          <w:szCs w:val="22"/>
          <w:lang w:val="en-US"/>
          <w14:ligatures w14:val="none"/>
        </w:rPr>
        <w:instrText>Movses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depiction of Van in the 5th century AD, the Van Miniature dating to the 17th century, and Evliya Çelebi</w:t>
      </w:r>
      <w:r w:rsidR="001F2587">
        <w:rPr>
          <w:rFonts w:asciiTheme="majorBidi" w:hAnsiTheme="majorBidi" w:cstheme="majorBidi"/>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's more detailed observations constitute the earliest chronological descriptions of Van. Although Evliya Çelebi uses exaggerated terms at many points, he is the most important source for our understanding of the city of Van and its structures. </w:t>
      </w:r>
    </w:p>
    <w:p w14:paraId="50D95362"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749C5B36" wp14:editId="2D641297">
            <wp:extent cx="3333340" cy="4421687"/>
            <wp:effectExtent l="0" t="0" r="0" b="0"/>
            <wp:docPr id="1064842907" name="Resim 1064842907" descr="çizim, taslak, sanat, res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7" name="Resim 1064842907" descr="çizim, taslak, sanat, resim içeren bir resim&#10;&#10;Açıklama otomatik olarak oluşturuldu"/>
                    <pic:cNvPicPr/>
                  </pic:nvPicPr>
                  <pic:blipFill>
                    <a:blip r:embed="rId11" cstate="email">
                      <a:extLst>
                        <a:ext uri="{28A0092B-C50C-407E-A947-70E740481C1C}">
                          <a14:useLocalDpi xmlns:a14="http://schemas.microsoft.com/office/drawing/2010/main"/>
                        </a:ext>
                      </a:extLst>
                    </a:blip>
                    <a:stretch>
                      <a:fillRect/>
                    </a:stretch>
                  </pic:blipFill>
                  <pic:spPr>
                    <a:xfrm>
                      <a:off x="0" y="0"/>
                      <a:ext cx="3356944" cy="4452997"/>
                    </a:xfrm>
                    <a:prstGeom prst="rect">
                      <a:avLst/>
                    </a:prstGeom>
                  </pic:spPr>
                </pic:pic>
              </a:graphicData>
            </a:graphic>
          </wp:inline>
        </w:drawing>
      </w:r>
    </w:p>
    <w:p w14:paraId="3C60BD1B" w14:textId="23A4C4E7"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2 Engraving, named Vanaper</w:t>
      </w:r>
      <w:r w:rsidR="00EA6C63">
        <w:rPr>
          <w:rFonts w:asciiTheme="majorBidi" w:hAnsiTheme="majorBidi" w:cstheme="majorBidi"/>
          <w:lang w:val="en-GB"/>
        </w:rPr>
        <w:fldChar w:fldCharType="begin"/>
      </w:r>
      <w:r w:rsidR="00EA6C63">
        <w:instrText xml:space="preserve"> XE "</w:instrText>
      </w:r>
      <w:r w:rsidR="00EA6C63" w:rsidRPr="00DB0D05">
        <w:rPr>
          <w:rFonts w:asciiTheme="majorBidi" w:hAnsiTheme="majorBidi" w:cstheme="majorBidi"/>
        </w:rPr>
        <w:instrText>Vanaper</w:instrText>
      </w:r>
      <w:r w:rsidR="00EA6C63">
        <w:instrText xml:space="preserve">" </w:instrText>
      </w:r>
      <w:r w:rsidR="00EA6C63">
        <w:rPr>
          <w:rFonts w:asciiTheme="majorBidi" w:hAnsiTheme="majorBidi" w:cstheme="majorBidi"/>
          <w:lang w:val="en-GB"/>
        </w:rPr>
        <w:fldChar w:fldCharType="end"/>
      </w:r>
      <w:r w:rsidRPr="00F03A26">
        <w:rPr>
          <w:rFonts w:asciiTheme="majorBidi" w:hAnsiTheme="majorBidi" w:cstheme="majorBidi"/>
          <w:lang w:val="en-GB"/>
        </w:rPr>
        <w:t>, in the 1806 edition of Incicean</w:t>
      </w:r>
      <w:r w:rsidR="001F2587">
        <w:rPr>
          <w:rFonts w:asciiTheme="majorBidi" w:hAnsiTheme="majorBidi" w:cstheme="majorBidi"/>
          <w:lang w:val="en-GB"/>
        </w:rPr>
        <w:fldChar w:fldCharType="begin"/>
      </w:r>
      <w:r w:rsidR="001F2587">
        <w:instrText xml:space="preserve"> XE "</w:instrText>
      </w:r>
      <w:r w:rsidR="001F2587" w:rsidRPr="009C2F2B">
        <w:rPr>
          <w:rFonts w:asciiTheme="majorBidi" w:hAnsiTheme="majorBidi" w:cstheme="majorBidi"/>
        </w:rPr>
        <w:instrText>Incicean</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’s book (Cuneo, 1986: Fig.7).</w:t>
      </w:r>
    </w:p>
    <w:p w14:paraId="66437ADD" w14:textId="77777777" w:rsidR="001004F6" w:rsidRPr="00F03A26" w:rsidRDefault="001004F6" w:rsidP="00F03A26">
      <w:pPr>
        <w:jc w:val="both"/>
        <w:rPr>
          <w:rFonts w:asciiTheme="majorBidi" w:hAnsiTheme="majorBidi" w:cstheme="majorBidi"/>
          <w:color w:val="000000" w:themeColor="text1"/>
          <w:lang w:val="en-GB"/>
        </w:rPr>
      </w:pPr>
    </w:p>
    <w:p w14:paraId="45CD6A1E" w14:textId="09E034D8" w:rsidR="001004F6" w:rsidRPr="00F03A26" w:rsidRDefault="001004F6" w:rsidP="00F03A26">
      <w:pPr>
        <w:jc w:val="both"/>
        <w:rPr>
          <w:rFonts w:asciiTheme="majorBidi" w:hAnsiTheme="majorBidi" w:cstheme="majorBidi"/>
        </w:rPr>
      </w:pPr>
      <w:r w:rsidRPr="00F03A26">
        <w:rPr>
          <w:rFonts w:asciiTheme="majorBidi" w:hAnsiTheme="majorBidi" w:cstheme="majorBidi"/>
        </w:rPr>
        <w:t>In the first half of the 19th century, two different traditions and perspectives on Van are seen in parallel. Incicean</w:t>
      </w:r>
      <w:r w:rsidR="001F2587">
        <w:rPr>
          <w:rFonts w:asciiTheme="majorBidi" w:hAnsiTheme="majorBidi" w:cstheme="majorBidi"/>
        </w:rPr>
        <w:fldChar w:fldCharType="begin"/>
      </w:r>
      <w:r w:rsidR="001F2587">
        <w:instrText xml:space="preserve"> XE "</w:instrText>
      </w:r>
      <w:r w:rsidR="001F2587" w:rsidRPr="009C2F2B">
        <w:rPr>
          <w:rFonts w:asciiTheme="majorBidi" w:hAnsiTheme="majorBidi" w:cstheme="majorBidi"/>
        </w:rPr>
        <w:instrText>Incicean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and Bore</w:t>
      </w:r>
      <w:r w:rsidR="001F2587">
        <w:rPr>
          <w:rFonts w:asciiTheme="majorBidi" w:hAnsiTheme="majorBidi" w:cstheme="majorBidi"/>
        </w:rPr>
        <w:fldChar w:fldCharType="begin"/>
      </w:r>
      <w:r w:rsidR="001F2587">
        <w:instrText xml:space="preserve"> XE "</w:instrText>
      </w:r>
      <w:r w:rsidR="001F2587" w:rsidRPr="00797F4A">
        <w:rPr>
          <w:rFonts w:asciiTheme="majorBidi" w:hAnsiTheme="majorBidi" w:cstheme="majorBidi"/>
        </w:rPr>
        <w:instrText>Bore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work continues the exaggerated, schematic tradition, but travelers like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are beginning to appear with more realistic engravings, drawings, and depictions.</w:t>
      </w:r>
    </w:p>
    <w:p w14:paraId="746CE812" w14:textId="77777777" w:rsidR="001004F6" w:rsidRPr="00F03A26" w:rsidRDefault="001004F6" w:rsidP="00F03A26">
      <w:pPr>
        <w:jc w:val="both"/>
        <w:rPr>
          <w:rFonts w:asciiTheme="majorBidi" w:hAnsiTheme="majorBidi" w:cstheme="majorBidi"/>
          <w:color w:val="000000" w:themeColor="text1"/>
          <w:lang w:val="en-GB"/>
        </w:rPr>
      </w:pPr>
    </w:p>
    <w:p w14:paraId="1807ED63" w14:textId="49CF1940" w:rsidR="001004F6" w:rsidRPr="00F03A26" w:rsidRDefault="001004F6" w:rsidP="00F03A26">
      <w:pPr>
        <w:jc w:val="both"/>
        <w:rPr>
          <w:rFonts w:asciiTheme="majorBidi" w:hAnsiTheme="majorBidi" w:cstheme="majorBidi"/>
        </w:rPr>
      </w:pPr>
      <w:r w:rsidRPr="00F03A26">
        <w:rPr>
          <w:rFonts w:asciiTheme="majorBidi" w:hAnsiTheme="majorBidi" w:cstheme="majorBidi"/>
        </w:rPr>
        <w:lastRenderedPageBreak/>
        <w:t>The engraving, named Vanaper</w:t>
      </w:r>
      <w:r w:rsidR="00EA6C63">
        <w:rPr>
          <w:rFonts w:asciiTheme="majorBidi" w:hAnsiTheme="majorBidi" w:cstheme="majorBidi"/>
        </w:rPr>
        <w:fldChar w:fldCharType="begin"/>
      </w:r>
      <w:r w:rsidR="00EA6C63">
        <w:instrText xml:space="preserve"> XE "</w:instrText>
      </w:r>
      <w:r w:rsidR="00EA6C63" w:rsidRPr="00DB0D05">
        <w:rPr>
          <w:rFonts w:asciiTheme="majorBidi" w:hAnsiTheme="majorBidi" w:cstheme="majorBidi"/>
        </w:rPr>
        <w:instrText>Vanaper</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in the 1806 edition of Incicean</w:t>
      </w:r>
      <w:r w:rsidR="001F2587">
        <w:rPr>
          <w:rFonts w:asciiTheme="majorBidi" w:hAnsiTheme="majorBidi" w:cstheme="majorBidi"/>
        </w:rPr>
        <w:fldChar w:fldCharType="begin"/>
      </w:r>
      <w:r w:rsidR="001F2587">
        <w:instrText xml:space="preserve"> XE "</w:instrText>
      </w:r>
      <w:r w:rsidR="001F2587" w:rsidRPr="009C2F2B">
        <w:rPr>
          <w:rFonts w:asciiTheme="majorBidi" w:hAnsiTheme="majorBidi" w:cstheme="majorBidi"/>
        </w:rPr>
        <w:instrText>Incicean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book reflects the perception of Van by the fashion of the period (Incicean, 1806). This is an exaggerated reflection of the mystical world of the East. Although this quite schematic work is a product of imagination in general, it contains many detailed realities. First, it is seen that he evaluated the city in two parts: the citadel (upper fortress) and the lower city (Fig. 2). It is seen that the part of the İç Kale</w:t>
      </w:r>
      <w:r w:rsidR="00647545">
        <w:rPr>
          <w:rFonts w:asciiTheme="majorBidi" w:hAnsiTheme="majorBidi" w:cstheme="majorBidi"/>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facing the </w:t>
      </w:r>
      <w:r w:rsidR="00C1513A">
        <w:rPr>
          <w:rFonts w:asciiTheme="majorBidi" w:hAnsiTheme="majorBidi" w:cstheme="majorBidi"/>
        </w:rPr>
        <w:t>Old Van City</w:t>
      </w:r>
      <w:r w:rsidR="00EB71FC">
        <w:rPr>
          <w:rFonts w:asciiTheme="majorBid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xml:space="preserve"> is indeed arranged in a single row. From the citadel, the two main roads converge after reaching the city.</w:t>
      </w:r>
    </w:p>
    <w:p w14:paraId="032AADAF" w14:textId="77777777" w:rsidR="001004F6" w:rsidRPr="00F03A26" w:rsidRDefault="001004F6" w:rsidP="00F03A26">
      <w:pPr>
        <w:jc w:val="both"/>
        <w:rPr>
          <w:rFonts w:asciiTheme="majorBidi" w:hAnsiTheme="majorBidi" w:cstheme="majorBidi"/>
        </w:rPr>
      </w:pPr>
    </w:p>
    <w:p w14:paraId="1755C754" w14:textId="6FF7BEAD" w:rsidR="001004F6" w:rsidRPr="00F03A26" w:rsidRDefault="001004F6" w:rsidP="00F03A26">
      <w:pPr>
        <w:jc w:val="both"/>
        <w:rPr>
          <w:rFonts w:asciiTheme="majorBidi" w:hAnsiTheme="majorBidi" w:cstheme="majorBidi"/>
        </w:rPr>
      </w:pPr>
      <w:r w:rsidRPr="00F03A26">
        <w:rPr>
          <w:rFonts w:asciiTheme="majorBidi" w:hAnsiTheme="majorBidi" w:cstheme="majorBidi"/>
        </w:rPr>
        <w:t>The engraving, which E. Bore</w:t>
      </w:r>
      <w:r w:rsidR="001F2587">
        <w:rPr>
          <w:rFonts w:asciiTheme="majorBidi" w:hAnsiTheme="majorBidi" w:cstheme="majorBidi"/>
        </w:rPr>
        <w:fldChar w:fldCharType="begin"/>
      </w:r>
      <w:r w:rsidR="001F2587">
        <w:instrText xml:space="preserve"> XE "</w:instrText>
      </w:r>
      <w:r w:rsidR="001F2587" w:rsidRPr="00797F4A">
        <w:rPr>
          <w:rFonts w:asciiTheme="majorBidi" w:hAnsiTheme="majorBidi" w:cstheme="majorBidi"/>
        </w:rPr>
        <w:instrText>Bore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describes as Semiramis</w:t>
      </w:r>
      <w:r w:rsidR="001F2587">
        <w:rPr>
          <w:rFonts w:asciiTheme="majorBidi" w:hAnsiTheme="majorBidi" w:cstheme="majorBidi"/>
        </w:rPr>
        <w:fldChar w:fldCharType="begin"/>
      </w:r>
      <w:r w:rsidR="001F2587">
        <w:instrText xml:space="preserve"> XE "</w:instrText>
      </w:r>
      <w:r w:rsidR="001F2587" w:rsidRPr="00276759">
        <w:rPr>
          <w:rFonts w:asciiTheme="majorBidi" w:hAnsiTheme="majorBidi" w:cstheme="majorBidi"/>
          <w:kern w:val="0"/>
          <w:sz w:val="22"/>
          <w:szCs w:val="22"/>
          <w:lang w:val="en-US"/>
          <w14:ligatures w14:val="none"/>
        </w:rPr>
        <w:instrText>Semiramis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Fortress in Van" in his work published in 1838, parallels the description of Incicean</w:t>
      </w:r>
      <w:r w:rsidR="001F2587">
        <w:rPr>
          <w:rFonts w:asciiTheme="majorBidi" w:hAnsiTheme="majorBidi" w:cstheme="majorBidi"/>
        </w:rPr>
        <w:fldChar w:fldCharType="begin"/>
      </w:r>
      <w:r w:rsidR="001F2587">
        <w:instrText xml:space="preserve"> XE "</w:instrText>
      </w:r>
      <w:r w:rsidR="001F2587" w:rsidRPr="009C2F2B">
        <w:rPr>
          <w:rFonts w:asciiTheme="majorBidi" w:hAnsiTheme="majorBidi" w:cstheme="majorBidi"/>
        </w:rPr>
        <w:instrText>Incicean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in many respects. In the work, which carries traces of the romantic influences of the period, the locations of Van Lake</w:t>
      </w:r>
      <w:r w:rsidR="001F2587">
        <w:rPr>
          <w:rFonts w:asciiTheme="majorBidi" w:hAnsiTheme="majorBidi" w:cstheme="majorBidi"/>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the Fortress, and the </w:t>
      </w:r>
      <w:r w:rsidR="00C1513A">
        <w:rPr>
          <w:rFonts w:asciiTheme="majorBidi" w:hAnsiTheme="majorBidi" w:cstheme="majorBidi"/>
        </w:rPr>
        <w:t>Old Van City</w:t>
      </w:r>
      <w:r w:rsidR="00EB71FC">
        <w:rPr>
          <w:rFonts w:asciiTheme="majorBid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xml:space="preserve"> are given correctly but draw attention with their exaggerated elements. Walls surround the citadel on a mushroom-shaped rocky mass located on a wide plinth; the lower city surrounded by double walls in the south and Van Lake in the west are depicted (Fig. 3).</w:t>
      </w:r>
    </w:p>
    <w:p w14:paraId="50CC9033" w14:textId="77777777" w:rsidR="001004F6" w:rsidRPr="00F03A26" w:rsidRDefault="001004F6" w:rsidP="00F03A26">
      <w:pPr>
        <w:jc w:val="both"/>
        <w:rPr>
          <w:rFonts w:asciiTheme="majorBidi" w:hAnsiTheme="majorBidi" w:cstheme="majorBidi"/>
          <w:color w:val="000000" w:themeColor="text1"/>
          <w:lang w:val="en-GB"/>
        </w:rPr>
      </w:pPr>
    </w:p>
    <w:p w14:paraId="52C4C539"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7329FAF3" wp14:editId="2C8D4326">
            <wp:extent cx="2501728" cy="3957277"/>
            <wp:effectExtent l="0" t="0" r="635" b="5715"/>
            <wp:docPr id="1064842908" name="Resim 1064842908" descr="dış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8" name="Resim 1064842908" descr="dış mekan, doğa içeren bir resim&#10;&#10;Açıklama otomatik olarak oluşturuldu"/>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2529116" cy="4000600"/>
                    </a:xfrm>
                    <a:prstGeom prst="rect">
                      <a:avLst/>
                    </a:prstGeom>
                    <a:ln>
                      <a:noFill/>
                    </a:ln>
                    <a:extLst>
                      <a:ext uri="{53640926-AAD7-44D8-BBD7-CCE9431645EC}">
                        <a14:shadowObscured xmlns:a14="http://schemas.microsoft.com/office/drawing/2010/main"/>
                      </a:ext>
                    </a:extLst>
                  </pic:spPr>
                </pic:pic>
              </a:graphicData>
            </a:graphic>
          </wp:inline>
        </w:drawing>
      </w:r>
    </w:p>
    <w:p w14:paraId="61CF0D99" w14:textId="2806F66C"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3 Engraving, which E. Bore</w:t>
      </w:r>
      <w:r w:rsidR="001F2587">
        <w:rPr>
          <w:rFonts w:asciiTheme="majorBidi" w:hAnsiTheme="majorBidi" w:cstheme="majorBidi"/>
          <w:lang w:val="en-GB"/>
        </w:rPr>
        <w:fldChar w:fldCharType="begin"/>
      </w:r>
      <w:r w:rsidR="001F2587">
        <w:instrText xml:space="preserve"> XE "</w:instrText>
      </w:r>
      <w:r w:rsidR="001F2587" w:rsidRPr="00797F4A">
        <w:rPr>
          <w:rFonts w:asciiTheme="majorBidi" w:hAnsiTheme="majorBidi" w:cstheme="majorBidi"/>
        </w:rPr>
        <w:instrText>Bore</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describes as Semiramis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Semiramis</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Fortress in Van (Borè, 1838).</w:t>
      </w:r>
    </w:p>
    <w:p w14:paraId="5F498404" w14:textId="77777777" w:rsidR="001004F6" w:rsidRPr="00F03A26" w:rsidRDefault="001004F6" w:rsidP="00F03A26">
      <w:pPr>
        <w:jc w:val="both"/>
        <w:rPr>
          <w:rFonts w:asciiTheme="majorBidi" w:hAnsiTheme="majorBidi" w:cstheme="majorBidi"/>
          <w:iCs/>
          <w:color w:val="000000" w:themeColor="text1"/>
          <w:lang w:val="en-GB"/>
        </w:rPr>
      </w:pPr>
    </w:p>
    <w:p w14:paraId="225A7AB3" w14:textId="020B863E" w:rsidR="001004F6" w:rsidRDefault="001004F6" w:rsidP="00F03A26">
      <w:pPr>
        <w:jc w:val="both"/>
        <w:rPr>
          <w:rFonts w:asciiTheme="majorBidi" w:hAnsiTheme="majorBidi" w:cstheme="majorBidi"/>
        </w:rPr>
      </w:pPr>
      <w:r w:rsidRPr="00F03A26">
        <w:rPr>
          <w:rFonts w:asciiTheme="majorBidi" w:hAnsiTheme="majorBidi" w:cstheme="majorBidi"/>
        </w:rPr>
        <w:t>Friedrich Eduard Schulz</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was the first </w:t>
      </w:r>
      <w:r w:rsidR="00F03A26" w:rsidRPr="00F03A26">
        <w:rPr>
          <w:rFonts w:asciiTheme="majorBidi" w:hAnsiTheme="majorBidi" w:cstheme="majorBidi"/>
        </w:rPr>
        <w:t>w</w:t>
      </w:r>
      <w:r w:rsidRPr="00F03A26">
        <w:rPr>
          <w:rFonts w:asciiTheme="majorBidi" w:hAnsiTheme="majorBidi" w:cstheme="majorBidi"/>
        </w:rPr>
        <w:t>estern traveler who visited Van and turned this visit into a publication. Schulz, a German Orientalist, was in Van in 1827 to research ancient eastern religions and cultures on behalf of the French "Oriental Society" (Société Asiatique) (Salvini, 2017). The primary source of inspiration for Schulz and the orientalists of the time was the History of Armenia</w:t>
      </w:r>
      <w:r w:rsidR="001F2587">
        <w:rPr>
          <w:rFonts w:asciiTheme="majorBidi" w:hAnsiTheme="majorBidi" w:cstheme="majorBidi"/>
        </w:rPr>
        <w:fldChar w:fldCharType="begin"/>
      </w:r>
      <w:r w:rsidR="001F2587">
        <w:instrText xml:space="preserve"> XE "</w:instrText>
      </w:r>
      <w:r w:rsidR="001F2587" w:rsidRPr="00AB114E">
        <w:rPr>
          <w:rFonts w:asciiTheme="majorBidi" w:hAnsiTheme="majorBidi" w:cstheme="majorBidi"/>
        </w:rPr>
        <w:instrText>Armenia</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by Movses</w:t>
      </w:r>
      <w:r w:rsidR="001F2587">
        <w:rPr>
          <w:rFonts w:asciiTheme="majorBidi" w:hAnsiTheme="majorBidi" w:cstheme="majorBidi"/>
        </w:rPr>
        <w:fldChar w:fldCharType="begin"/>
      </w:r>
      <w:r w:rsidR="001F2587">
        <w:instrText xml:space="preserve"> XE "</w:instrText>
      </w:r>
      <w:r w:rsidR="001F2587" w:rsidRPr="0062015B">
        <w:rPr>
          <w:rFonts w:asciiTheme="majorBidi" w:hAnsiTheme="majorBidi" w:cstheme="majorBidi"/>
          <w:kern w:val="0"/>
          <w:sz w:val="22"/>
          <w:szCs w:val="22"/>
          <w:lang w:val="en-US"/>
          <w14:ligatures w14:val="none"/>
        </w:rPr>
        <w:instrText>Movses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Khorenatsi. This work is taken as a reference in many works of the period. He detailedly described the Urartian</w:t>
      </w:r>
      <w:r w:rsidR="00EA6C63">
        <w:rPr>
          <w:rFonts w:asciiTheme="majorBid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xml:space="preserve"> structures in the fortress and made copies of the Urartian cuneiform </w:t>
      </w:r>
      <w:r w:rsidRPr="00F03A26">
        <w:rPr>
          <w:rFonts w:asciiTheme="majorBidi" w:hAnsiTheme="majorBidi" w:cstheme="majorBidi"/>
        </w:rPr>
        <w:lastRenderedPageBreak/>
        <w:t>inscriptions. Schulz was killed around Hakkâri in 1829 (Potts, 2017</w:t>
      </w:r>
      <w:r w:rsidR="00EB71FC">
        <w:rPr>
          <w:rFonts w:asciiTheme="majorBidi" w:hAnsiTheme="majorBidi" w:cstheme="majorBidi"/>
        </w:rPr>
        <w:t xml:space="preserve">: </w:t>
      </w:r>
      <w:r w:rsidRPr="00F03A26">
        <w:rPr>
          <w:rFonts w:asciiTheme="majorBidi" w:hAnsiTheme="majorBidi" w:cstheme="majorBidi"/>
        </w:rPr>
        <w:t>249-270), and his research was only published in the 1840s after his death. It is understood that Schulz experienced disappointment in Van. As expected, he did not encounter the palace ruins and magnificent structures of the Assyrian</w:t>
      </w:r>
      <w:r w:rsidR="001F2587">
        <w:rPr>
          <w:rFonts w:asciiTheme="majorBid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queen (Schulz, 1840</w:t>
      </w:r>
      <w:r w:rsidR="00EB71FC">
        <w:rPr>
          <w:rFonts w:asciiTheme="majorBidi" w:hAnsiTheme="majorBidi" w:cstheme="majorBidi"/>
        </w:rPr>
        <w:t xml:space="preserve">: </w:t>
      </w:r>
      <w:r w:rsidRPr="00F03A26">
        <w:rPr>
          <w:rFonts w:asciiTheme="majorBidi" w:hAnsiTheme="majorBidi" w:cstheme="majorBidi"/>
        </w:rPr>
        <w:t>296).</w:t>
      </w:r>
    </w:p>
    <w:p w14:paraId="5ADC6A4C" w14:textId="77777777" w:rsidR="00F03A26" w:rsidRPr="00F03A26" w:rsidRDefault="00F03A26" w:rsidP="00F03A26">
      <w:pPr>
        <w:jc w:val="both"/>
        <w:rPr>
          <w:rFonts w:asciiTheme="majorBidi" w:hAnsiTheme="majorBidi" w:cstheme="majorBidi"/>
        </w:rPr>
      </w:pPr>
    </w:p>
    <w:p w14:paraId="0421F86D" w14:textId="300F9C6A" w:rsidR="001004F6" w:rsidRPr="00F03A26" w:rsidRDefault="001004F6" w:rsidP="00F03A26">
      <w:pPr>
        <w:jc w:val="both"/>
        <w:rPr>
          <w:rFonts w:asciiTheme="majorBidi" w:hAnsiTheme="majorBidi" w:cstheme="majorBidi"/>
        </w:rPr>
      </w:pPr>
      <w:r w:rsidRPr="00F03A26">
        <w:rPr>
          <w:rFonts w:asciiTheme="majorBidi" w:hAnsiTheme="majorBidi" w:cstheme="majorBidi"/>
        </w:rPr>
        <w:t>Moreover, there is no trace of sculptures and reliefs attributed to Semiramis</w:t>
      </w:r>
      <w:r w:rsidR="001F2587">
        <w:rPr>
          <w:rFonts w:asciiTheme="majorBidi" w:hAnsiTheme="majorBidi" w:cstheme="majorBidi"/>
        </w:rPr>
        <w:fldChar w:fldCharType="begin"/>
      </w:r>
      <w:r w:rsidR="001F2587">
        <w:instrText xml:space="preserve"> XE "</w:instrText>
      </w:r>
      <w:r w:rsidR="001F2587" w:rsidRPr="00276759">
        <w:rPr>
          <w:rFonts w:asciiTheme="majorBidi" w:hAnsiTheme="majorBidi" w:cstheme="majorBidi"/>
          <w:kern w:val="0"/>
          <w:sz w:val="22"/>
          <w:szCs w:val="22"/>
          <w:lang w:val="en-US"/>
          <w14:ligatures w14:val="none"/>
        </w:rPr>
        <w:instrText>Semiramis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Apart from the cuneiform stone blocks in the churches in the </w:t>
      </w:r>
      <w:r w:rsidR="00C1513A">
        <w:rPr>
          <w:rFonts w:asciiTheme="majorBidi" w:hAnsiTheme="majorBidi" w:cstheme="majorBidi"/>
        </w:rPr>
        <w:t>Old Van City</w:t>
      </w:r>
      <w:r w:rsidR="00EB71FC">
        <w:rPr>
          <w:rFonts w:asciiTheme="majorBid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the only thing he could find about the past is the stone relief on the pier gate, depicting the lion's fight with the bull from his period, and a relief fragment of a human relief on the stone found in the Orta Kapı</w:t>
      </w:r>
      <w:r w:rsidR="00647545">
        <w:rPr>
          <w:rFonts w:asciiTheme="majorBidi" w:hAnsiTheme="majorBidi" w:cstheme="majorBidi"/>
        </w:rPr>
        <w:fldChar w:fldCharType="begin"/>
      </w:r>
      <w:r w:rsidR="00647545">
        <w:instrText xml:space="preserve"> XE "</w:instrText>
      </w:r>
      <w:r w:rsidR="00647545" w:rsidRPr="000F476A">
        <w:rPr>
          <w:rFonts w:asciiTheme="majorBidi" w:hAnsiTheme="majorBidi" w:cstheme="majorBidi"/>
        </w:rPr>
        <w:instrText>Orta Kapı</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area. Schulz</w:t>
      </w:r>
      <w:r w:rsidR="00647545">
        <w:rPr>
          <w:rFonts w:asciiTheme="majorBidi" w:hAnsiTheme="majorBidi" w:cstheme="majorBidi"/>
        </w:rPr>
        <w:t xml:space="preserve"> </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states that Van has around 10-12 thousand houses (Schulz, 1840</w:t>
      </w:r>
      <w:r w:rsidR="00EB71FC">
        <w:rPr>
          <w:rFonts w:asciiTheme="majorBidi" w:hAnsiTheme="majorBidi" w:cstheme="majorBidi"/>
        </w:rPr>
        <w:t xml:space="preserve">: </w:t>
      </w:r>
      <w:r w:rsidRPr="00F03A26">
        <w:rPr>
          <w:rFonts w:asciiTheme="majorBidi" w:hAnsiTheme="majorBidi" w:cstheme="majorBidi"/>
        </w:rPr>
        <w:t>260). It states that the Van plain, surrounded by bare mountains, does not have a very impressive texture, except for the gardens greened with poplar and fruit trees and the streams and canals that irrigate this area. The city is surrounded by a wall with double battlements and towers on three sides. In front of the wall is a deep and wide waterless ditch (Schulz, 1840, p. 261). Schulz mentions an architectural texture that does not go back a few centuries, except for a few mosques and churches in the city, and states that it neither carries the characteristics of a modern urban texture of the period nor an ancient civilization. The houses have been built in line with the needs and are apparently far from aesthetic concerns and comfort.</w:t>
      </w:r>
    </w:p>
    <w:p w14:paraId="26442772" w14:textId="77777777" w:rsidR="001004F6" w:rsidRPr="00F03A26" w:rsidRDefault="001004F6" w:rsidP="00F03A26">
      <w:pPr>
        <w:jc w:val="both"/>
        <w:rPr>
          <w:rFonts w:asciiTheme="majorBidi" w:hAnsiTheme="majorBidi" w:cstheme="majorBidi"/>
        </w:rPr>
      </w:pPr>
    </w:p>
    <w:p w14:paraId="1FA9FC95" w14:textId="5DFEA178" w:rsidR="001004F6" w:rsidRPr="00F03A26" w:rsidRDefault="001004F6" w:rsidP="00F03A26">
      <w:pPr>
        <w:jc w:val="both"/>
        <w:rPr>
          <w:rFonts w:asciiTheme="majorBidi" w:hAnsiTheme="majorBidi" w:cstheme="majorBidi"/>
        </w:rPr>
      </w:pPr>
      <w:r w:rsidRPr="00F03A26">
        <w:rPr>
          <w:rFonts w:asciiTheme="majorBidi" w:hAnsiTheme="majorBidi" w:cstheme="majorBidi"/>
        </w:rPr>
        <w:t>Ṭušpa</w:t>
      </w:r>
      <w:r w:rsidR="00647545">
        <w:rPr>
          <w:rFonts w:asciiTheme="majorBidi" w:hAnsiTheme="majorBidi" w:cstheme="majorBidi"/>
        </w:rPr>
        <w:t>/Van</w:t>
      </w:r>
      <w:r w:rsidRPr="00F03A26">
        <w:rPr>
          <w:rFonts w:asciiTheme="majorBidi" w:hAnsiTheme="majorBidi" w:cstheme="majorBidi"/>
        </w:rPr>
        <w:t xml:space="preserve"> Rock</w:t>
      </w:r>
      <w:r w:rsidR="00647545">
        <w:rPr>
          <w:rFonts w:asciiTheme="majorBidi" w:hAnsiTheme="majorBidi" w:cstheme="majorBidi"/>
        </w:rPr>
        <w:fldChar w:fldCharType="begin"/>
      </w:r>
      <w:r w:rsidR="00647545">
        <w:instrText xml:space="preserve"> XE "</w:instrText>
      </w:r>
      <w:r w:rsidR="00647545" w:rsidRPr="00616C18">
        <w:rPr>
          <w:rFonts w:asciiTheme="majorBidi" w:hAnsiTheme="majorBidi" w:cstheme="majorBidi"/>
        </w:rPr>
        <w:instrText>Ṭušpa/Van Rock</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(Schulz</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1840</w:t>
      </w:r>
      <w:r w:rsidR="00EB71FC">
        <w:rPr>
          <w:rFonts w:asciiTheme="majorBidi" w:hAnsiTheme="majorBidi" w:cstheme="majorBidi"/>
        </w:rPr>
        <w:t xml:space="preserve">: </w:t>
      </w:r>
      <w:r w:rsidRPr="00F03A26">
        <w:rPr>
          <w:rFonts w:asciiTheme="majorBidi" w:hAnsiTheme="majorBidi" w:cstheme="majorBidi"/>
        </w:rPr>
        <w:t>262), which rises in the middle of the plain and draws attention from far away, is also mystical and the subject of legends with its impressive appearance and being inaccessible and 'unconquerable.' Schulz states that the fortress can be entered from the west, from the (İskele Gate</w:t>
      </w:r>
      <w:r w:rsidR="00647545">
        <w:rPr>
          <w:rFonts w:asciiTheme="majorBidi" w:hAnsiTheme="majorBidi" w:cstheme="majorBidi"/>
        </w:rPr>
        <w:fldChar w:fldCharType="begin"/>
      </w:r>
      <w:r w:rsidR="00647545">
        <w:instrText xml:space="preserve"> XE "</w:instrText>
      </w:r>
      <w:r w:rsidR="00647545" w:rsidRPr="00C82E17">
        <w:rPr>
          <w:rFonts w:asciiTheme="majorBidi" w:hAnsiTheme="majorBidi" w:cstheme="majorBidi"/>
        </w:rPr>
        <w:instrText>İskele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location. In this area, the Ṭušpa</w:t>
      </w:r>
      <w:r w:rsidR="00647545">
        <w:rPr>
          <w:rFonts w:asciiTheme="majorBidi" w:hAnsiTheme="majorBidi" w:cstheme="majorBidi"/>
        </w:rPr>
        <w:t>/Van</w:t>
      </w:r>
      <w:r w:rsidRPr="00F03A26">
        <w:rPr>
          <w:rFonts w:asciiTheme="majorBidi" w:hAnsiTheme="majorBidi" w:cstheme="majorBidi"/>
        </w:rPr>
        <w:t xml:space="preserve"> Rock descends to the plain level by making steps. This area, where the exit to the fortress is more accessible, is also open to attacks from outside. For this reason, it is understood that there is more fortification in this area (Schulz, 1840</w:t>
      </w:r>
      <w:r w:rsidR="00EB71FC">
        <w:rPr>
          <w:rFonts w:asciiTheme="majorBidi" w:hAnsiTheme="majorBidi" w:cstheme="majorBidi"/>
        </w:rPr>
        <w:t xml:space="preserve">: </w:t>
      </w:r>
      <w:r w:rsidRPr="00F03A26">
        <w:rPr>
          <w:rFonts w:asciiTheme="majorBidi" w:hAnsiTheme="majorBidi" w:cstheme="majorBidi"/>
        </w:rPr>
        <w:t>265). Schulz states that both sides of the ramp extending to the Ṭušpa</w:t>
      </w:r>
      <w:r w:rsidR="00647545">
        <w:rPr>
          <w:rFonts w:asciiTheme="majorBidi" w:hAnsiTheme="majorBidi" w:cstheme="majorBidi"/>
        </w:rPr>
        <w:t>/Van</w:t>
      </w:r>
      <w:r w:rsidRPr="00F03A26">
        <w:rPr>
          <w:rFonts w:asciiTheme="majorBidi" w:hAnsiTheme="majorBidi" w:cstheme="majorBidi"/>
        </w:rPr>
        <w:t xml:space="preserve"> Rock in the west are like an amphitheater. Steps carved into the bedrock form a pyramidal structure. It is known today that this arrangement, which no one knows for what purpose it was built, is the fortifications opened into the bedrock and the areas where the foundation beds of the building sit. From this information, it is clear that, at least in Schulz's time, there were not even foundation walls left in the foundation beds laid on these steep areas. There is a beautiful view towards the Van </w:t>
      </w:r>
      <w:r w:rsidR="00647545">
        <w:rPr>
          <w:rFonts w:asciiTheme="majorBidi" w:hAnsiTheme="majorBidi" w:cstheme="majorBidi"/>
        </w:rPr>
        <w:t>p</w:t>
      </w:r>
      <w:r w:rsidRPr="00F03A26">
        <w:rPr>
          <w:rFonts w:asciiTheme="majorBidi" w:hAnsiTheme="majorBidi" w:cstheme="majorBidi"/>
        </w:rPr>
        <w:t>lain and the lake from the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side. Again, under the area called Horhor tombs (Argišti I</w:t>
      </w:r>
      <w:r w:rsidR="001F2587">
        <w:rPr>
          <w:rFonts w:asciiTheme="majorBid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Small Horhor</w:t>
      </w:r>
      <w:r w:rsidR="00647545">
        <w:rPr>
          <w:rFonts w:asciiTheme="majorBidi" w:hAnsiTheme="majorBidi" w:cstheme="majorBidi"/>
        </w:rPr>
        <w:fldChar w:fldCharType="begin"/>
      </w:r>
      <w:r w:rsidR="00647545">
        <w:instrText xml:space="preserve"> XE "</w:instrText>
      </w:r>
      <w:r w:rsidR="00647545" w:rsidRPr="00791D30">
        <w:rPr>
          <w:rFonts w:asciiTheme="majorBidi" w:hAnsiTheme="majorBidi" w:cstheme="majorBidi"/>
        </w:rPr>
        <w:instrText>Small 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tomb, Schulz informs us that there are water sources and the Pasha's summer mansion, and many sources specifically indicate the richness of this location in terms of water resources. The highest part of the fort is called "Ghourab</w:t>
      </w:r>
      <w:r w:rsidR="007E4D33" w:rsidRPr="00F03A26">
        <w:rPr>
          <w:rFonts w:asciiTheme="majorBidi" w:eastAsia="Times New Roman" w:hAnsiTheme="majorBidi" w:cstheme="majorBidi"/>
          <w:lang w:val="en-GB"/>
        </w:rPr>
        <w:t>"</w:t>
      </w:r>
      <w:r w:rsidR="00647545">
        <w:rPr>
          <w:rFonts w:asciiTheme="majorBidi" w:hAnsiTheme="majorBidi" w:cstheme="majorBidi"/>
        </w:rPr>
        <w:fldChar w:fldCharType="begin"/>
      </w:r>
      <w:r w:rsidR="00647545">
        <w:instrText xml:space="preserve"> XE "</w:instrText>
      </w:r>
      <w:r w:rsidR="00647545" w:rsidRPr="0077633B">
        <w:rPr>
          <w:rFonts w:asciiTheme="majorBidi" w:hAnsiTheme="majorBidi" w:cstheme="majorBidi"/>
        </w:rPr>
        <w:instrText>Ghourab</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This place also houses the İç Kale</w:t>
      </w:r>
      <w:r w:rsidR="00647545">
        <w:rPr>
          <w:rFonts w:asciiTheme="majorBidi" w:hAnsiTheme="majorBidi" w:cstheme="majorBidi"/>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The south of this area is quite steep. Süleyman Khan Mosque is located in the west. Schulz states explicitly that no inscriptions or rock tombs were found on this high plain behind the door called the dungeon door.</w:t>
      </w:r>
    </w:p>
    <w:p w14:paraId="574BB47F" w14:textId="77777777" w:rsidR="001004F6" w:rsidRPr="00F03A26" w:rsidRDefault="001004F6" w:rsidP="00F03A26">
      <w:pPr>
        <w:jc w:val="both"/>
        <w:rPr>
          <w:rFonts w:asciiTheme="majorBidi" w:hAnsiTheme="majorBidi" w:cstheme="majorBidi"/>
        </w:rPr>
      </w:pPr>
    </w:p>
    <w:p w14:paraId="0E585A36" w14:textId="743AE622" w:rsidR="001004F6" w:rsidRPr="00F03A26" w:rsidRDefault="001004F6" w:rsidP="00F03A26">
      <w:pPr>
        <w:jc w:val="both"/>
        <w:rPr>
          <w:rFonts w:asciiTheme="majorBidi" w:hAnsiTheme="majorBidi" w:cstheme="majorBidi"/>
        </w:rPr>
      </w:pPr>
      <w:r w:rsidRPr="00F03A26">
        <w:rPr>
          <w:rFonts w:asciiTheme="majorBidi" w:hAnsiTheme="majorBidi" w:cstheme="majorBidi"/>
        </w:rPr>
        <w:t xml:space="preserve">Three engravings depicting Van Fortress and </w:t>
      </w:r>
      <w:r w:rsidR="00647545">
        <w:rPr>
          <w:rFonts w:asciiTheme="majorBidi" w:hAnsiTheme="majorBidi" w:cstheme="majorBidi"/>
        </w:rPr>
        <w:t xml:space="preserve">Old </w:t>
      </w:r>
      <w:r w:rsidRPr="00F03A26">
        <w:rPr>
          <w:rFonts w:asciiTheme="majorBidi" w:hAnsiTheme="majorBidi" w:cstheme="majorBidi"/>
        </w:rPr>
        <w:t>Van City</w:t>
      </w:r>
      <w:r w:rsidR="00EB71FC">
        <w:rPr>
          <w:rFonts w:asciiTheme="majorBid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xml:space="preserve"> and a city plan published by C.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in his 1842/1852 printed books are the products of a new understanding (Fig. 4). More realistic depictions are available and serve as a reference for many future works. So much so that even the angles at which the city view is rendered are often the same. The view of the fortress and the city is dominant in terms of the high rocky Tabriz Gate</w:t>
      </w:r>
      <w:r w:rsidR="00647545">
        <w:rPr>
          <w:rFonts w:asciiTheme="majorBidi" w:hAnsiTheme="majorBidi" w:cstheme="majorBidi"/>
        </w:rPr>
        <w:fldChar w:fldCharType="begin"/>
      </w:r>
      <w:r w:rsidR="00647545">
        <w:instrText xml:space="preserve"> XE "</w:instrText>
      </w:r>
      <w:r w:rsidR="00647545" w:rsidRPr="003F67E3">
        <w:rPr>
          <w:rFonts w:asciiTheme="majorBidi" w:hAnsiTheme="majorBidi" w:cstheme="majorBidi"/>
        </w:rPr>
        <w:instrText>Tabriz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and İskele </w:t>
      </w:r>
      <w:r w:rsidR="00EB71FC">
        <w:rPr>
          <w:rFonts w:asciiTheme="majorBidi" w:hAnsiTheme="majorBidi" w:cstheme="majorBidi"/>
        </w:rPr>
        <w:t>Gate</w:t>
      </w:r>
      <w:r w:rsidR="00EB71FC">
        <w:rPr>
          <w:rFonts w:asciiTheme="majorBidi" w:hAnsiTheme="majorBidi" w:cstheme="majorBidi"/>
        </w:rPr>
        <w:fldChar w:fldCharType="begin"/>
      </w:r>
      <w:r w:rsidR="00EB71FC">
        <w:instrText xml:space="preserve"> XE "</w:instrText>
      </w:r>
      <w:r w:rsidR="00EB71FC" w:rsidRPr="00691AC6">
        <w:rPr>
          <w:rFonts w:asciiTheme="majorBidi" w:hAnsiTheme="majorBidi" w:cstheme="majorBidi"/>
        </w:rPr>
        <w:instrText>İskele Gate</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xml:space="preserve"> from the south.</w:t>
      </w:r>
    </w:p>
    <w:p w14:paraId="6E897692" w14:textId="77777777" w:rsidR="001004F6" w:rsidRPr="00F03A26" w:rsidRDefault="001004F6" w:rsidP="00F03A26">
      <w:pPr>
        <w:jc w:val="both"/>
        <w:rPr>
          <w:rFonts w:asciiTheme="majorBidi" w:hAnsiTheme="majorBidi" w:cstheme="majorBidi"/>
        </w:rPr>
      </w:pPr>
    </w:p>
    <w:p w14:paraId="2A96BEA5" w14:textId="4317FE0B" w:rsidR="001004F6" w:rsidRPr="00F03A26" w:rsidRDefault="001004F6" w:rsidP="00F03A26">
      <w:pPr>
        <w:jc w:val="both"/>
        <w:rPr>
          <w:rFonts w:asciiTheme="majorBidi" w:hAnsiTheme="majorBidi" w:cstheme="majorBidi"/>
        </w:rPr>
      </w:pPr>
      <w:r w:rsidRPr="00F03A26">
        <w:rPr>
          <w:rFonts w:asciiTheme="majorBidi" w:hAnsiTheme="majorBidi" w:cstheme="majorBidi"/>
        </w:rPr>
        <w:t>He talks about Van's short history in the text part of the work. It is no different from Movses</w:t>
      </w:r>
      <w:r w:rsidR="001F2587">
        <w:rPr>
          <w:rFonts w:asciiTheme="majorBidi" w:hAnsiTheme="majorBidi" w:cstheme="majorBidi"/>
        </w:rPr>
        <w:fldChar w:fldCharType="begin"/>
      </w:r>
      <w:r w:rsidR="001F2587">
        <w:instrText xml:space="preserve"> XE "</w:instrText>
      </w:r>
      <w:r w:rsidR="001F2587" w:rsidRPr="0062015B">
        <w:rPr>
          <w:rFonts w:asciiTheme="majorBidi" w:hAnsiTheme="majorBidi" w:cstheme="majorBidi"/>
          <w:kern w:val="0"/>
          <w:sz w:val="22"/>
          <w:szCs w:val="22"/>
          <w:lang w:val="en-US"/>
          <w14:ligatures w14:val="none"/>
        </w:rPr>
        <w:instrText>Movses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Khorenatsi. It refers to the Assyrian</w:t>
      </w:r>
      <w:r w:rsidR="001F2587">
        <w:rPr>
          <w:rFonts w:asciiTheme="majorBid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queen Semiramis</w:t>
      </w:r>
      <w:r w:rsidR="001F2587">
        <w:rPr>
          <w:rFonts w:asciiTheme="majorBidi" w:hAnsiTheme="majorBidi" w:cstheme="majorBidi"/>
        </w:rPr>
        <w:fldChar w:fldCharType="begin"/>
      </w:r>
      <w:r w:rsidR="001F2587">
        <w:instrText xml:space="preserve"> XE "</w:instrText>
      </w:r>
      <w:r w:rsidR="001F2587" w:rsidRPr="00276759">
        <w:rPr>
          <w:rFonts w:asciiTheme="majorBidi" w:hAnsiTheme="majorBidi" w:cstheme="majorBidi"/>
          <w:kern w:val="0"/>
          <w:sz w:val="22"/>
          <w:szCs w:val="22"/>
          <w:lang w:val="en-US"/>
          <w14:ligatures w14:val="none"/>
        </w:rPr>
        <w:instrText>Semiramis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Alexander the Great, the Armenian</w:t>
      </w:r>
      <w:r w:rsidR="00647545">
        <w:rPr>
          <w:rFonts w:asciiTheme="majorBidi" w:hAnsiTheme="majorBidi" w:cstheme="majorBidi"/>
        </w:rPr>
        <w:fldChar w:fldCharType="begin"/>
      </w:r>
      <w:r w:rsidR="00647545">
        <w:instrText xml:space="preserve"> XE "</w:instrText>
      </w:r>
      <w:r w:rsidR="00647545" w:rsidRPr="003B7F51">
        <w:rPr>
          <w:rFonts w:asciiTheme="majorBidi" w:hAnsiTheme="majorBidi" w:cstheme="majorBidi"/>
        </w:rPr>
        <w:instrText>Armenian</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kingdom, Byzantines, Timur, Safavids, and Ottomans made additions to the city. In addition to drawing the city plan,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also copies the Urartian</w:t>
      </w:r>
      <w:r w:rsidR="00EA6C63">
        <w:rPr>
          <w:rFonts w:asciiTheme="majorBid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xml:space="preserve"> structures and cuneiform writings on the Ṭušpa</w:t>
      </w:r>
      <w:r w:rsidR="00647545">
        <w:rPr>
          <w:rFonts w:asciiTheme="majorBidi" w:hAnsiTheme="majorBidi" w:cstheme="majorBidi"/>
        </w:rPr>
        <w:t>/Van</w:t>
      </w:r>
      <w:r w:rsidRPr="00F03A26">
        <w:rPr>
          <w:rFonts w:asciiTheme="majorBidi" w:hAnsiTheme="majorBidi" w:cstheme="majorBidi"/>
        </w:rPr>
        <w:t xml:space="preserve"> Rock</w:t>
      </w:r>
      <w:r w:rsidR="00C1513A">
        <w:rPr>
          <w:rFonts w:asciiTheme="majorBidi" w:hAnsiTheme="majorBidi" w:cstheme="majorBidi"/>
        </w:rPr>
        <w:fldChar w:fldCharType="begin"/>
      </w:r>
      <w:r w:rsidR="00C1513A">
        <w:instrText xml:space="preserve"> XE "</w:instrText>
      </w:r>
      <w:r w:rsidR="00C1513A" w:rsidRPr="00E2560E">
        <w:rPr>
          <w:rFonts w:asciiTheme="majorBidi" w:eastAsia="Times New Roman" w:hAnsiTheme="majorBidi" w:cstheme="majorBidi"/>
          <w:lang w:val="en-GB"/>
        </w:rPr>
        <w:instrText>Ṭušpa/Van Rock</w:instrText>
      </w:r>
      <w:r w:rsidR="00C1513A">
        <w:instrText xml:space="preserve">" </w:instrText>
      </w:r>
      <w:r w:rsidR="00C1513A">
        <w:rPr>
          <w:rFonts w:asciiTheme="majorBidi" w:hAnsiTheme="majorBidi" w:cstheme="majorBidi"/>
        </w:rPr>
        <w:fldChar w:fldCharType="end"/>
      </w:r>
      <w:r w:rsidRPr="00F03A26">
        <w:rPr>
          <w:rFonts w:asciiTheme="majorBidi" w:hAnsiTheme="majorBidi" w:cstheme="majorBidi"/>
        </w:rPr>
        <w:t xml:space="preserve"> and draws the general images of the city (Texier, 1852: Van). It is interesting that the Van Fortress resembles the Anazarbos Fortress in Çukurova. Both fortresses' form, location, and lower settlement characteristics are similar in many ways.</w:t>
      </w:r>
    </w:p>
    <w:p w14:paraId="741C804D" w14:textId="77777777" w:rsidR="001004F6" w:rsidRPr="00F03A26" w:rsidRDefault="001004F6" w:rsidP="00F03A26">
      <w:pPr>
        <w:jc w:val="both"/>
        <w:rPr>
          <w:rFonts w:asciiTheme="majorBidi" w:hAnsiTheme="majorBidi" w:cstheme="majorBidi"/>
        </w:rPr>
      </w:pPr>
    </w:p>
    <w:p w14:paraId="04730B4E" w14:textId="76BA4450" w:rsidR="001004F6" w:rsidRPr="00F03A26" w:rsidRDefault="001004F6" w:rsidP="00F03A26">
      <w:pPr>
        <w:jc w:val="both"/>
        <w:rPr>
          <w:rFonts w:asciiTheme="majorBidi" w:hAnsiTheme="majorBidi" w:cstheme="majorBidi"/>
        </w:rPr>
      </w:pPr>
      <w:r w:rsidRPr="00F03A26">
        <w:rPr>
          <w:rFonts w:asciiTheme="majorBidi" w:hAnsiTheme="majorBidi" w:cstheme="majorBidi"/>
        </w:rPr>
        <w:t>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states that extensive, watery gardens of fruit trees and vineyards surround the city. He writes that round towers were placed on the city walls, there was a walking path on it, and it was well built. A ditch about 10 m wide in front of the walls was probably filled with water from the gardens. The city has three gates. There is Tabriz Gate</w:t>
      </w:r>
      <w:r w:rsidR="00647545">
        <w:rPr>
          <w:rFonts w:asciiTheme="majorBidi" w:hAnsiTheme="majorBidi" w:cstheme="majorBidi"/>
        </w:rPr>
        <w:fldChar w:fldCharType="begin"/>
      </w:r>
      <w:r w:rsidR="00647545">
        <w:instrText xml:space="preserve"> XE "</w:instrText>
      </w:r>
      <w:r w:rsidR="00647545" w:rsidRPr="003F67E3">
        <w:rPr>
          <w:rFonts w:asciiTheme="majorBidi" w:hAnsiTheme="majorBidi" w:cstheme="majorBidi"/>
        </w:rPr>
        <w:instrText>Tabriz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in the east, the Orta Kapı</w:t>
      </w:r>
      <w:r w:rsidR="00647545">
        <w:rPr>
          <w:rFonts w:asciiTheme="majorBidi" w:hAnsiTheme="majorBidi" w:cstheme="majorBidi"/>
        </w:rPr>
        <w:fldChar w:fldCharType="begin"/>
      </w:r>
      <w:r w:rsidR="00647545">
        <w:instrText xml:space="preserve"> XE "</w:instrText>
      </w:r>
      <w:r w:rsidR="00647545" w:rsidRPr="000F476A">
        <w:rPr>
          <w:rFonts w:asciiTheme="majorBidi" w:hAnsiTheme="majorBidi" w:cstheme="majorBidi"/>
        </w:rPr>
        <w:instrText>Orta Kapı</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in the south, and the İskele Gate</w:t>
      </w:r>
      <w:r w:rsidR="00647545">
        <w:rPr>
          <w:rFonts w:asciiTheme="majorBidi" w:hAnsiTheme="majorBidi" w:cstheme="majorBidi"/>
        </w:rPr>
        <w:fldChar w:fldCharType="begin"/>
      </w:r>
      <w:r w:rsidR="00647545">
        <w:instrText xml:space="preserve"> XE "</w:instrText>
      </w:r>
      <w:r w:rsidR="00647545" w:rsidRPr="00C82E17">
        <w:rPr>
          <w:rFonts w:asciiTheme="majorBidi" w:hAnsiTheme="majorBidi" w:cstheme="majorBidi"/>
        </w:rPr>
        <w:instrText>İskele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in the west. This gate on the west also provides access to the lake. Texier counts two Armenian</w:t>
      </w:r>
      <w:r w:rsidR="00647545">
        <w:rPr>
          <w:rFonts w:asciiTheme="majorBidi" w:hAnsiTheme="majorBidi" w:cstheme="majorBidi"/>
        </w:rPr>
        <w:fldChar w:fldCharType="begin"/>
      </w:r>
      <w:r w:rsidR="00647545">
        <w:instrText xml:space="preserve"> XE "</w:instrText>
      </w:r>
      <w:r w:rsidR="00647545" w:rsidRPr="003B7F51">
        <w:rPr>
          <w:rFonts w:asciiTheme="majorBidi" w:hAnsiTheme="majorBidi" w:cstheme="majorBidi"/>
        </w:rPr>
        <w:instrText>Armenian</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churches in the city with Assyrian</w:t>
      </w:r>
      <w:r w:rsidR="001F2587">
        <w:rPr>
          <w:rFonts w:asciiTheme="majorBid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inscriptions and the inn where camel caravans stayed as monumental city structures.</w:t>
      </w:r>
    </w:p>
    <w:p w14:paraId="4C855014"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 </w:t>
      </w:r>
      <w:r w:rsidRPr="00F03A26">
        <w:rPr>
          <w:rFonts w:asciiTheme="majorBidi" w:hAnsiTheme="majorBidi" w:cstheme="majorBidi"/>
          <w:noProof/>
          <w:color w:val="000000" w:themeColor="text1"/>
          <w:lang w:val="en-US"/>
        </w:rPr>
        <w:drawing>
          <wp:inline distT="0" distB="0" distL="0" distR="0" wp14:anchorId="4255E0D8" wp14:editId="739FA8B7">
            <wp:extent cx="5733415" cy="3615055"/>
            <wp:effectExtent l="0" t="0" r="0" b="4445"/>
            <wp:docPr id="1064842909" name="Resim 1064842909"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9" name="Resim 1064842909" descr="harita içeren bir resim&#10;&#10;Açıklama otomatik olarak oluşturuldu"/>
                    <pic:cNvPicPr/>
                  </pic:nvPicPr>
                  <pic:blipFill>
                    <a:blip r:embed="rId13" cstate="email">
                      <a:extLst>
                        <a:ext uri="{28A0092B-C50C-407E-A947-70E740481C1C}">
                          <a14:useLocalDpi xmlns:a14="http://schemas.microsoft.com/office/drawing/2010/main"/>
                        </a:ext>
                      </a:extLst>
                    </a:blip>
                    <a:stretch>
                      <a:fillRect/>
                    </a:stretch>
                  </pic:blipFill>
                  <pic:spPr>
                    <a:xfrm>
                      <a:off x="0" y="0"/>
                      <a:ext cx="5733415" cy="3615055"/>
                    </a:xfrm>
                    <a:prstGeom prst="rect">
                      <a:avLst/>
                    </a:prstGeom>
                  </pic:spPr>
                </pic:pic>
              </a:graphicData>
            </a:graphic>
          </wp:inline>
        </w:drawing>
      </w:r>
    </w:p>
    <w:p w14:paraId="315DF791" w14:textId="77777777"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4 First city plan/map of Van (Texier</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Texier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1842/1852).</w:t>
      </w:r>
    </w:p>
    <w:p w14:paraId="7CEF4984" w14:textId="77777777" w:rsidR="001004F6" w:rsidRPr="00F03A26" w:rsidRDefault="001004F6" w:rsidP="00F03A26">
      <w:pPr>
        <w:jc w:val="both"/>
        <w:rPr>
          <w:rFonts w:asciiTheme="majorBidi" w:hAnsiTheme="majorBidi" w:cstheme="majorBidi"/>
          <w:lang w:val="en-GB"/>
        </w:rPr>
      </w:pPr>
    </w:p>
    <w:p w14:paraId="02E456FA" w14:textId="4FC32C74" w:rsidR="001004F6" w:rsidRPr="00F03A26" w:rsidRDefault="001004F6" w:rsidP="00F03A26">
      <w:pPr>
        <w:jc w:val="both"/>
        <w:rPr>
          <w:rFonts w:asciiTheme="majorBidi" w:hAnsiTheme="majorBidi" w:cstheme="majorBidi"/>
        </w:rPr>
      </w:pPr>
      <w:r w:rsidRPr="00F03A26">
        <w:rPr>
          <w:rFonts w:asciiTheme="majorBidi" w:hAnsiTheme="majorBidi" w:cstheme="majorBidi"/>
        </w:rPr>
        <w:t>The plan published by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is the first city plan/map of Van (Texier, 1842/1852) (Fig. 4). From the surviving ruins, it is seen that the topography of the Van Fortress, and the Old Van City</w:t>
      </w:r>
      <w:r w:rsidR="00647545">
        <w:rPr>
          <w:rFonts w:asciiTheme="majorBidi" w:hAnsiTheme="majorBidi" w:cstheme="majorBidi"/>
        </w:rPr>
        <w:fldChar w:fldCharType="begin"/>
      </w:r>
      <w:r w:rsidR="00647545">
        <w:instrText xml:space="preserve"> XE "</w:instrText>
      </w:r>
      <w:r w:rsidR="00647545" w:rsidRPr="00756E33">
        <w:rPr>
          <w:rFonts w:asciiTheme="majorBidi" w:hAnsiTheme="majorBidi" w:cstheme="majorBidi"/>
        </w:rPr>
        <w:instrText>Old Van City</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the defense system, and some buildings overlap with the city plan in many ways. The city is evaluated in two main parts. The </w:t>
      </w:r>
      <w:r w:rsidR="007E4D33">
        <w:rPr>
          <w:rFonts w:asciiTheme="majorBidi" w:hAnsiTheme="majorBidi" w:cstheme="majorBidi"/>
        </w:rPr>
        <w:t>‘</w:t>
      </w:r>
      <w:r w:rsidRPr="00F03A26">
        <w:rPr>
          <w:rFonts w:asciiTheme="majorBidi" w:hAnsiTheme="majorBidi" w:cstheme="majorBidi"/>
        </w:rPr>
        <w:t>Chateau de Wan</w:t>
      </w:r>
      <w:r w:rsidR="007E4D33">
        <w:rPr>
          <w:rFonts w:asciiTheme="majorBidi" w:hAnsiTheme="majorBidi" w:cstheme="majorBidi"/>
        </w:rPr>
        <w:t>’</w:t>
      </w:r>
      <w:r w:rsidRPr="00F03A26">
        <w:rPr>
          <w:rFonts w:asciiTheme="majorBidi" w:hAnsiTheme="majorBidi" w:cstheme="majorBidi"/>
        </w:rPr>
        <w:t xml:space="preserve"> section is the area we define today as the citadel or İç Kale</w:t>
      </w:r>
      <w:r w:rsidR="00647545">
        <w:rPr>
          <w:rFonts w:asciiTheme="majorBidi" w:hAnsiTheme="majorBidi" w:cstheme="majorBidi"/>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This part of the fortress is surrounded by a fortification system from four directions. The lower extension to the east of </w:t>
      </w:r>
      <w:r w:rsidRPr="00F03A26">
        <w:rPr>
          <w:rFonts w:asciiTheme="majorBidi" w:hAnsiTheme="majorBidi" w:cstheme="majorBidi"/>
        </w:rPr>
        <w:lastRenderedPageBreak/>
        <w:t>the East Ditch</w:t>
      </w:r>
      <w:r w:rsidR="00647545">
        <w:rPr>
          <w:rFonts w:asciiTheme="majorBidi" w:hAnsiTheme="majorBidi" w:cstheme="majorBidi"/>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and the sections called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to the west have a wall system only in the north direction. In these regions, the rocks in the south are pretty steep and form a natural defense system. The area that forms the middle part of the fortress has a gradual and sometimes 4-row defense system towards the north. The ledges and towers on the walls are often shown in the correct locations. It is possible to see the Sardurburç</w:t>
      </w:r>
      <w:r w:rsidR="00647545">
        <w:rPr>
          <w:rFonts w:asciiTheme="majorBid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on the west of the fortress and the </w:t>
      </w:r>
      <w:r w:rsidR="00F03A26" w:rsidRPr="00F03A26">
        <w:rPr>
          <w:rFonts w:asciiTheme="majorBidi" w:hAnsiTheme="majorBidi" w:cstheme="majorBidi"/>
        </w:rPr>
        <w:t>w</w:t>
      </w:r>
      <w:r w:rsidRPr="00F03A26">
        <w:rPr>
          <w:rFonts w:asciiTheme="majorBidi" w:hAnsiTheme="majorBidi" w:cstheme="majorBidi"/>
        </w:rPr>
        <w:t>ater tower (Su Kulesi) on the northern skirts. The region, which was defined as Horhor, was named Gourab. It has also been stated that the area called Minua</w:t>
      </w:r>
      <w:r w:rsidR="00C1513A">
        <w:rPr>
          <w:rFonts w:asciiTheme="majorBid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hAnsiTheme="majorBidi" w:cstheme="majorBidi"/>
        </w:rPr>
        <w:fldChar w:fldCharType="end"/>
      </w:r>
      <w:r w:rsidRPr="00F03A26">
        <w:rPr>
          <w:rFonts w:asciiTheme="majorBidi" w:hAnsiTheme="majorBidi" w:cstheme="majorBidi"/>
        </w:rPr>
        <w:t xml:space="preserve"> Fountain</w:t>
      </w:r>
      <w:r w:rsidR="00647545">
        <w:rPr>
          <w:rFonts w:asciiTheme="majorBidi" w:hAnsiTheme="majorBidi" w:cstheme="majorBidi"/>
        </w:rPr>
        <w:fldChar w:fldCharType="begin"/>
      </w:r>
      <w:r w:rsidR="00647545">
        <w:instrText xml:space="preserve"> XE "</w:instrText>
      </w:r>
      <w:r w:rsidR="00647545" w:rsidRPr="000E5BA2">
        <w:rPr>
          <w:rFonts w:asciiTheme="majorBidi" w:hAnsiTheme="majorBidi" w:cstheme="majorBidi"/>
        </w:rPr>
        <w:instrText>Minua Fountain</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today is a wetland.</w:t>
      </w:r>
    </w:p>
    <w:p w14:paraId="0CE95844" w14:textId="77777777" w:rsidR="001004F6" w:rsidRPr="00F03A26" w:rsidRDefault="001004F6" w:rsidP="00F03A26">
      <w:pPr>
        <w:jc w:val="both"/>
        <w:rPr>
          <w:rFonts w:asciiTheme="majorBidi" w:hAnsiTheme="majorBidi" w:cstheme="majorBidi"/>
        </w:rPr>
      </w:pPr>
    </w:p>
    <w:p w14:paraId="6EEBD8F5" w14:textId="3A36650E" w:rsidR="001004F6" w:rsidRPr="00F03A26" w:rsidRDefault="001004F6" w:rsidP="00F03A26">
      <w:pPr>
        <w:jc w:val="both"/>
        <w:rPr>
          <w:rFonts w:asciiTheme="majorBidi" w:hAnsiTheme="majorBidi" w:cstheme="majorBidi"/>
        </w:rPr>
      </w:pPr>
      <w:r w:rsidRPr="00F03A26">
        <w:rPr>
          <w:rFonts w:asciiTheme="majorBidi" w:hAnsiTheme="majorBidi" w:cstheme="majorBidi"/>
        </w:rPr>
        <w:t>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general views of the city from three directions provide important information for understanding the city's fortification system, monumental structures, and sometimes civil architecture. The engraving shows the city from the direction of Tabriz Gate</w:t>
      </w:r>
      <w:r w:rsidR="00647545">
        <w:rPr>
          <w:rFonts w:asciiTheme="majorBidi" w:hAnsiTheme="majorBidi" w:cstheme="majorBidi"/>
        </w:rPr>
        <w:fldChar w:fldCharType="begin"/>
      </w:r>
      <w:r w:rsidR="00647545">
        <w:instrText xml:space="preserve"> XE "</w:instrText>
      </w:r>
      <w:r w:rsidR="00647545" w:rsidRPr="003F67E3">
        <w:rPr>
          <w:rFonts w:asciiTheme="majorBidi" w:hAnsiTheme="majorBidi" w:cstheme="majorBidi"/>
        </w:rPr>
        <w:instrText>Tabriz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(Fig. 5). It is surrounded by a crenelated wall system, with the lower one in the front and the higher one in the back.</w:t>
      </w:r>
    </w:p>
    <w:p w14:paraId="68EF1EEF" w14:textId="77777777" w:rsidR="001004F6" w:rsidRPr="00F03A26" w:rsidRDefault="001004F6" w:rsidP="00F03A26">
      <w:pPr>
        <w:jc w:val="both"/>
        <w:rPr>
          <w:rFonts w:asciiTheme="majorBidi" w:hAnsiTheme="majorBidi" w:cstheme="majorBidi"/>
        </w:rPr>
      </w:pPr>
    </w:p>
    <w:p w14:paraId="3882B5FA" w14:textId="1677D286" w:rsidR="001004F6" w:rsidRPr="00F03A26" w:rsidRDefault="001004F6" w:rsidP="00F03A26">
      <w:pPr>
        <w:jc w:val="both"/>
        <w:rPr>
          <w:rFonts w:asciiTheme="majorBidi" w:hAnsiTheme="majorBidi" w:cstheme="majorBidi"/>
        </w:rPr>
      </w:pPr>
      <w:r w:rsidRPr="00F03A26">
        <w:rPr>
          <w:rFonts w:asciiTheme="majorBidi" w:hAnsiTheme="majorBidi" w:cstheme="majorBidi"/>
        </w:rPr>
        <w:t>An engraving depicting the city of Van from the Orta Kapı</w:t>
      </w:r>
      <w:r w:rsidR="00647545">
        <w:rPr>
          <w:rFonts w:asciiTheme="majorBidi" w:hAnsiTheme="majorBidi" w:cstheme="majorBidi"/>
        </w:rPr>
        <w:fldChar w:fldCharType="begin"/>
      </w:r>
      <w:r w:rsidR="00647545">
        <w:instrText xml:space="preserve"> XE "</w:instrText>
      </w:r>
      <w:r w:rsidR="00647545" w:rsidRPr="000F476A">
        <w:rPr>
          <w:rFonts w:asciiTheme="majorBidi" w:hAnsiTheme="majorBidi" w:cstheme="majorBidi"/>
        </w:rPr>
        <w:instrText>Orta Kapı</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from the south, has more details (Fig. 6). It is seen that the southern silhouette of the Ṭušpa</w:t>
      </w:r>
      <w:r w:rsidR="00647545">
        <w:rPr>
          <w:rFonts w:asciiTheme="majorBidi" w:hAnsiTheme="majorBidi" w:cstheme="majorBidi"/>
        </w:rPr>
        <w:t>/Van</w:t>
      </w:r>
      <w:r w:rsidRPr="00F03A26">
        <w:rPr>
          <w:rFonts w:asciiTheme="majorBidi" w:hAnsiTheme="majorBidi" w:cstheme="majorBidi"/>
        </w:rPr>
        <w:t xml:space="preserve"> Rock</w:t>
      </w:r>
      <w:r w:rsidR="00C1513A">
        <w:rPr>
          <w:rFonts w:asciiTheme="majorBidi" w:hAnsiTheme="majorBidi" w:cstheme="majorBidi"/>
        </w:rPr>
        <w:fldChar w:fldCharType="begin"/>
      </w:r>
      <w:r w:rsidR="00C1513A">
        <w:instrText xml:space="preserve"> XE "</w:instrText>
      </w:r>
      <w:r w:rsidR="00C1513A" w:rsidRPr="00E2560E">
        <w:rPr>
          <w:rFonts w:asciiTheme="majorBidi" w:eastAsia="Times New Roman" w:hAnsiTheme="majorBidi" w:cstheme="majorBidi"/>
          <w:lang w:val="en-GB"/>
        </w:rPr>
        <w:instrText>Ṭušpa/Van Rock</w:instrText>
      </w:r>
      <w:r w:rsidR="00C1513A">
        <w:instrText xml:space="preserve">" </w:instrText>
      </w:r>
      <w:r w:rsidR="00C1513A">
        <w:rPr>
          <w:rFonts w:asciiTheme="majorBidi" w:hAnsiTheme="majorBidi" w:cstheme="majorBidi"/>
        </w:rPr>
        <w:fldChar w:fldCharType="end"/>
      </w:r>
      <w:r w:rsidRPr="00F03A26">
        <w:rPr>
          <w:rFonts w:asciiTheme="majorBidi" w:hAnsiTheme="majorBidi" w:cstheme="majorBidi"/>
        </w:rPr>
        <w:t xml:space="preserve"> and the entire urban texture extending from the İskele Gate</w:t>
      </w:r>
      <w:r w:rsidR="00647545">
        <w:rPr>
          <w:rFonts w:asciiTheme="majorBidi" w:hAnsiTheme="majorBidi" w:cstheme="majorBidi"/>
        </w:rPr>
        <w:fldChar w:fldCharType="begin"/>
      </w:r>
      <w:r w:rsidR="00647545">
        <w:instrText xml:space="preserve"> XE "</w:instrText>
      </w:r>
      <w:r w:rsidR="00647545" w:rsidRPr="00C82E17">
        <w:rPr>
          <w:rFonts w:asciiTheme="majorBidi" w:hAnsiTheme="majorBidi" w:cstheme="majorBidi"/>
        </w:rPr>
        <w:instrText>İskele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to the Tabriz Gate</w:t>
      </w:r>
      <w:r w:rsidR="00647545">
        <w:rPr>
          <w:rFonts w:asciiTheme="majorBidi" w:hAnsiTheme="majorBidi" w:cstheme="majorBidi"/>
        </w:rPr>
        <w:fldChar w:fldCharType="begin"/>
      </w:r>
      <w:r w:rsidR="00647545">
        <w:instrText xml:space="preserve"> XE "</w:instrText>
      </w:r>
      <w:r w:rsidR="00647545" w:rsidRPr="003F67E3">
        <w:rPr>
          <w:rFonts w:asciiTheme="majorBidi" w:hAnsiTheme="majorBidi" w:cstheme="majorBidi"/>
        </w:rPr>
        <w:instrText>Tabriz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are depicted. This angle, in which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described the city, became a reference for the works done after him. It is seen that the same angle and even the details are similar in the works of travelers and researchers such as A. H.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H. B. Aster</w:t>
      </w:r>
      <w:r w:rsidR="00647545">
        <w:rPr>
          <w:rFonts w:asciiTheme="majorBidi" w:hAnsiTheme="majorBidi" w:cstheme="majorBidi"/>
        </w:rPr>
        <w:fldChar w:fldCharType="begin"/>
      </w:r>
      <w:r w:rsidR="00647545">
        <w:instrText xml:space="preserve"> XE "</w:instrText>
      </w:r>
      <w:r w:rsidR="00647545" w:rsidRPr="00C8493C">
        <w:rPr>
          <w:rFonts w:asciiTheme="majorBidi" w:hAnsiTheme="majorBidi" w:cstheme="majorBidi"/>
        </w:rPr>
        <w:instrText>Aster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T. Deyrolle</w:t>
      </w:r>
      <w:r w:rsidR="001F2587">
        <w:rPr>
          <w:rFonts w:asciiTheme="majorBidi" w:hAnsiTheme="majorBidi" w:cstheme="majorBidi"/>
        </w:rPr>
        <w:fldChar w:fldCharType="begin"/>
      </w:r>
      <w:r w:rsidR="001F2587">
        <w:instrText xml:space="preserve"> XE "</w:instrText>
      </w:r>
      <w:r w:rsidR="001F2587" w:rsidRPr="00FF084F">
        <w:rPr>
          <w:rFonts w:asciiTheme="majorBidi" w:hAnsiTheme="majorBidi" w:cstheme="majorBidi"/>
          <w:kern w:val="0"/>
          <w:sz w:val="22"/>
          <w:szCs w:val="22"/>
          <w:lang w:val="en-US"/>
          <w14:ligatures w14:val="none"/>
        </w:rPr>
        <w:instrText>Deyrolle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and P. Miller-Simonis. (Layard, 1853; Aster, 1860; Deyrolle, 1876; Müller-Simonis</w:t>
      </w:r>
      <w:r w:rsidR="001F2587">
        <w:rPr>
          <w:rFonts w:asciiTheme="majorBidi" w:hAnsiTheme="majorBidi" w:cstheme="majorBidi"/>
        </w:rPr>
        <w:fldChar w:fldCharType="begin"/>
      </w:r>
      <w:r w:rsidR="001F2587">
        <w:instrText xml:space="preserve"> XE "</w:instrText>
      </w:r>
      <w:r w:rsidR="001F2587" w:rsidRPr="003F2E53">
        <w:rPr>
          <w:rFonts w:asciiTheme="majorBidi" w:hAnsiTheme="majorBidi" w:cstheme="majorBidi"/>
          <w:kern w:val="0"/>
          <w:sz w:val="22"/>
          <w:szCs w:val="22"/>
          <w:lang w:val="en-US"/>
          <w14:ligatures w14:val="none"/>
        </w:rPr>
        <w:instrText>Müller-Simonis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1892).</w:t>
      </w:r>
    </w:p>
    <w:p w14:paraId="098C1B07" w14:textId="77777777" w:rsidR="001004F6" w:rsidRPr="00F03A26" w:rsidRDefault="001004F6" w:rsidP="00F03A26">
      <w:pPr>
        <w:jc w:val="both"/>
        <w:rPr>
          <w:rFonts w:asciiTheme="majorBidi" w:hAnsiTheme="majorBidi" w:cstheme="majorBidi"/>
          <w:color w:val="000000" w:themeColor="text1"/>
          <w:lang w:val="en-GB"/>
        </w:rPr>
      </w:pPr>
    </w:p>
    <w:p w14:paraId="5EF5A1E6"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4F18640C" wp14:editId="75C30C07">
            <wp:extent cx="5733415" cy="2618740"/>
            <wp:effectExtent l="0" t="0" r="0" b="0"/>
            <wp:docPr id="1064842910" name="Resim 1064842910" descr="taslak, çizim, resim,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0" name="Resim 1064842910" descr="taslak, çizim, resim, gökyüzü içeren bir resim&#10;&#10;Açıklama otomatik olarak oluşturuldu"/>
                    <pic:cNvPicPr/>
                  </pic:nvPicPr>
                  <pic:blipFill>
                    <a:blip r:embed="rId14" cstate="email">
                      <a:extLst>
                        <a:ext uri="{28A0092B-C50C-407E-A947-70E740481C1C}">
                          <a14:useLocalDpi xmlns:a14="http://schemas.microsoft.com/office/drawing/2010/main"/>
                        </a:ext>
                      </a:extLst>
                    </a:blip>
                    <a:stretch>
                      <a:fillRect/>
                    </a:stretch>
                  </pic:blipFill>
                  <pic:spPr>
                    <a:xfrm>
                      <a:off x="0" y="0"/>
                      <a:ext cx="5733415" cy="2618740"/>
                    </a:xfrm>
                    <a:prstGeom prst="rect">
                      <a:avLst/>
                    </a:prstGeom>
                  </pic:spPr>
                </pic:pic>
              </a:graphicData>
            </a:graphic>
          </wp:inline>
        </w:drawing>
      </w:r>
    </w:p>
    <w:p w14:paraId="1050E3E7" w14:textId="7CD6CEC0"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 </w:t>
      </w:r>
      <w:r w:rsidRPr="00F03A26">
        <w:rPr>
          <w:rFonts w:asciiTheme="majorBidi" w:hAnsiTheme="majorBidi" w:cstheme="majorBidi"/>
          <w:lang w:val="en-GB"/>
        </w:rPr>
        <w:t>Fig. 5 Depicting the city of Van from the Tabriz Kapı</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Tabriz Kapı</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(Texier</w:t>
      </w:r>
      <w:r w:rsidR="001F2587">
        <w:rPr>
          <w:rFonts w:asciiTheme="majorBidi" w:hAnsiTheme="majorBidi" w:cstheme="majorBidi"/>
          <w:lang w:val="en-GB"/>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1842/1852).</w:t>
      </w:r>
    </w:p>
    <w:p w14:paraId="0A43C540"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lastRenderedPageBreak/>
        <w:drawing>
          <wp:inline distT="0" distB="0" distL="0" distR="0" wp14:anchorId="56B1696B" wp14:editId="6F2617E4">
            <wp:extent cx="5742819" cy="1571082"/>
            <wp:effectExtent l="0" t="0" r="0" b="3810"/>
            <wp:docPr id="1064842911" name="Resim 1064842911" descr="gökyüzü, manzara, dış mekan, panora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1" name="Resim 1064842911" descr="gökyüzü, manzara, dış mekan, panorama içeren bir resim&#10;&#10;Açıklama otomatik olarak oluşturuldu"/>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5875568" cy="1607398"/>
                    </a:xfrm>
                    <a:prstGeom prst="rect">
                      <a:avLst/>
                    </a:prstGeom>
                    <a:ln>
                      <a:noFill/>
                    </a:ln>
                    <a:extLst>
                      <a:ext uri="{53640926-AAD7-44D8-BBD7-CCE9431645EC}">
                        <a14:shadowObscured xmlns:a14="http://schemas.microsoft.com/office/drawing/2010/main"/>
                      </a:ext>
                    </a:extLst>
                  </pic:spPr>
                </pic:pic>
              </a:graphicData>
            </a:graphic>
          </wp:inline>
        </w:drawing>
      </w:r>
    </w:p>
    <w:p w14:paraId="64F2E1CB" w14:textId="6578D9C0"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6 Depicting the city of Van from the south (Texier</w:t>
      </w:r>
      <w:r w:rsidR="001F2587">
        <w:rPr>
          <w:rFonts w:asciiTheme="majorBidi" w:hAnsiTheme="majorBidi" w:cstheme="majorBidi"/>
          <w:lang w:val="en-GB"/>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1842/1852).</w:t>
      </w:r>
    </w:p>
    <w:p w14:paraId="54CD15C4"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236F86DB" wp14:editId="08955129">
            <wp:extent cx="5787673" cy="2139519"/>
            <wp:effectExtent l="0" t="0" r="3810" b="0"/>
            <wp:docPr id="1064842912" name="Resim 1064842912" descr="taslak, gökyüzü, çizim,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2" name="Resim 1064842912" descr="taslak, gökyüzü, çizim, dış mekan içeren bir resim&#10;&#10;Açıklama otomatik olarak oluşturuldu"/>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838564" cy="2158332"/>
                    </a:xfrm>
                    <a:prstGeom prst="rect">
                      <a:avLst/>
                    </a:prstGeom>
                    <a:ln>
                      <a:noFill/>
                    </a:ln>
                    <a:extLst>
                      <a:ext uri="{53640926-AAD7-44D8-BBD7-CCE9431645EC}">
                        <a14:shadowObscured xmlns:a14="http://schemas.microsoft.com/office/drawing/2010/main"/>
                      </a:ext>
                    </a:extLst>
                  </pic:spPr>
                </pic:pic>
              </a:graphicData>
            </a:graphic>
          </wp:inline>
        </w:drawing>
      </w:r>
    </w:p>
    <w:p w14:paraId="5AC8E50E" w14:textId="5E1A61C0"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7 Depicting the city of Van from the İskele Gate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"İskele Gate"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(Texier</w:t>
      </w:r>
      <w:r w:rsidR="001F2587">
        <w:rPr>
          <w:rFonts w:asciiTheme="majorBidi" w:hAnsiTheme="majorBidi" w:cstheme="majorBidi"/>
          <w:lang w:val="en-GB"/>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1842/1852).</w:t>
      </w:r>
    </w:p>
    <w:p w14:paraId="680836A8" w14:textId="77777777" w:rsidR="001004F6" w:rsidRPr="00F03A26" w:rsidRDefault="001004F6" w:rsidP="00F03A26">
      <w:pPr>
        <w:jc w:val="both"/>
        <w:rPr>
          <w:rFonts w:asciiTheme="majorBidi" w:hAnsiTheme="majorBidi" w:cstheme="majorBidi"/>
          <w:lang w:val="en-GB"/>
        </w:rPr>
      </w:pPr>
    </w:p>
    <w:p w14:paraId="1E25AC71" w14:textId="57746734" w:rsidR="001004F6" w:rsidRPr="00F03A26" w:rsidRDefault="001004F6" w:rsidP="00F03A26">
      <w:pPr>
        <w:jc w:val="both"/>
        <w:rPr>
          <w:rFonts w:asciiTheme="majorBidi" w:hAnsiTheme="majorBidi" w:cstheme="majorBidi"/>
        </w:rPr>
      </w:pPr>
      <w:r w:rsidRPr="00F03A26">
        <w:rPr>
          <w:rFonts w:asciiTheme="majorBidi" w:hAnsiTheme="majorBidi" w:cstheme="majorBidi"/>
        </w:rPr>
        <w:t>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states that the cliff can only be reached from the west. In this direction, the İskele Gate</w:t>
      </w:r>
      <w:r w:rsidR="00647545">
        <w:rPr>
          <w:rFonts w:asciiTheme="majorBidi" w:hAnsiTheme="majorBidi" w:cstheme="majorBidi"/>
        </w:rPr>
        <w:fldChar w:fldCharType="begin"/>
      </w:r>
      <w:r w:rsidR="00647545">
        <w:instrText xml:space="preserve"> XE "</w:instrText>
      </w:r>
      <w:r w:rsidR="00647545" w:rsidRPr="00C82E17">
        <w:rPr>
          <w:rFonts w:asciiTheme="majorBidi" w:hAnsiTheme="majorBidi" w:cstheme="majorBidi"/>
        </w:rPr>
        <w:instrText>İskele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connects the city to the lake. In the engraving showing the fortress from this location, it is seen that the rectangular structure on the plain level behind the İskele Gate on the left is the Urartian</w:t>
      </w:r>
      <w:r w:rsidR="00EA6C63">
        <w:rPr>
          <w:rFonts w:asciiTheme="majorBid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xml:space="preserve"> period Sardurburç</w:t>
      </w:r>
      <w:r w:rsidR="00647545">
        <w:rPr>
          <w:rFonts w:asciiTheme="majorBid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structure (Fig. 7). Texier emphasizes that this structure, which was built with large stone blocks without mortar, dates from the Assyrian</w:t>
      </w:r>
      <w:r w:rsidR="001F2587">
        <w:rPr>
          <w:rFonts w:asciiTheme="majorBid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period. In the engraving, two roads leading to the citadel are visible further back, which connect the upper fortress and are still used today. Defensive towers and gates placed at periodic intervals in the west and the double-staged city wall system in the north are depicted realistically, with some shifts in angles and proportions. Texier reaches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Caves by using these roads. It briefly mentions the locations and distributions of the inscriptions skilfully carved into the rock surface. It states that the main hall of the tomb was 4.5 m wide and 10 m long.</w:t>
      </w:r>
    </w:p>
    <w:p w14:paraId="4708F49F" w14:textId="77777777" w:rsidR="001004F6" w:rsidRPr="00F03A26" w:rsidRDefault="001004F6" w:rsidP="00F03A26">
      <w:pPr>
        <w:jc w:val="both"/>
        <w:rPr>
          <w:rFonts w:asciiTheme="majorBidi" w:hAnsiTheme="majorBidi" w:cstheme="majorBidi"/>
        </w:rPr>
      </w:pPr>
    </w:p>
    <w:p w14:paraId="265523A0" w14:textId="762457D2" w:rsidR="001004F6" w:rsidRPr="00F03A26" w:rsidRDefault="001004F6" w:rsidP="00F03A26">
      <w:pPr>
        <w:jc w:val="both"/>
        <w:rPr>
          <w:rFonts w:asciiTheme="majorBidi" w:hAnsiTheme="majorBidi" w:cstheme="majorBidi"/>
        </w:rPr>
      </w:pPr>
      <w:r w:rsidRPr="00F03A26">
        <w:rPr>
          <w:rFonts w:asciiTheme="majorBidi" w:hAnsiTheme="majorBidi" w:cstheme="majorBidi"/>
        </w:rPr>
        <w:t>Interestingly, he also mentioned the concave square cavities between the niches and that metal plates might have been placed in these areas. He mentions no burial beds/lines and sarcophagi in the burial chambers. It also mentions the Small Horhor</w:t>
      </w:r>
      <w:r w:rsidR="00647545">
        <w:rPr>
          <w:rFonts w:asciiTheme="majorBidi" w:hAnsiTheme="majorBidi" w:cstheme="majorBidi"/>
        </w:rPr>
        <w:fldChar w:fldCharType="begin"/>
      </w:r>
      <w:r w:rsidR="00647545">
        <w:instrText xml:space="preserve"> XE "</w:instrText>
      </w:r>
      <w:r w:rsidR="00647545" w:rsidRPr="00791D30">
        <w:rPr>
          <w:rFonts w:asciiTheme="majorBidi" w:hAnsiTheme="majorBidi" w:cstheme="majorBidi"/>
        </w:rPr>
        <w:instrText>Small 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Cave, located on and below the same axis as the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Caves. He states that in previous visits, human bones and pottery remains were found in the grave. He especially emphasizes that the bitumen and hemp surrounding the bones indicate that they may have belonged to ancient human burials.</w:t>
      </w:r>
    </w:p>
    <w:p w14:paraId="2B4469EC" w14:textId="77777777" w:rsidR="001004F6" w:rsidRPr="00F03A26" w:rsidRDefault="001004F6" w:rsidP="00F03A26">
      <w:pPr>
        <w:jc w:val="both"/>
        <w:rPr>
          <w:rFonts w:asciiTheme="majorBidi" w:hAnsiTheme="majorBidi" w:cstheme="majorBidi"/>
        </w:rPr>
      </w:pPr>
    </w:p>
    <w:p w14:paraId="7AA0506F" w14:textId="2C807F82" w:rsidR="001004F6" w:rsidRPr="00F03A26" w:rsidRDefault="001004F6" w:rsidP="00F03A26">
      <w:pPr>
        <w:jc w:val="both"/>
        <w:rPr>
          <w:rFonts w:asciiTheme="majorBidi" w:hAnsiTheme="majorBidi" w:cstheme="majorBidi"/>
        </w:rPr>
      </w:pPr>
      <w:r w:rsidRPr="00F03A26">
        <w:rPr>
          <w:rFonts w:asciiTheme="majorBidi" w:hAnsiTheme="majorBidi" w:cstheme="majorBidi"/>
        </w:rPr>
        <w:lastRenderedPageBreak/>
        <w:t>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also gives information about the rock steps observed in almost every part of the rock during the ongoing fortress tour. Although his guide informs himself that these steps were built for navigation purposes, the traveler makes the assessment that is still accepted today. The beds' orientation and arrangement suggest that these are the foundation beds created for the placement of the stones that formed the defensive walls of the citadel (Texier, 1852: Van VI). The stone blocks (Sardurburç</w:t>
      </w:r>
      <w:r w:rsidR="00647545">
        <w:rPr>
          <w:rFonts w:asciiTheme="majorBid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encountered in the İskele Gate</w:t>
      </w:r>
      <w:r w:rsidR="00647545">
        <w:rPr>
          <w:rFonts w:asciiTheme="majorBidi" w:hAnsiTheme="majorBidi" w:cstheme="majorBidi"/>
        </w:rPr>
        <w:fldChar w:fldCharType="begin"/>
      </w:r>
      <w:r w:rsidR="00647545">
        <w:instrText xml:space="preserve"> XE "</w:instrText>
      </w:r>
      <w:r w:rsidR="00647545" w:rsidRPr="00C82E17">
        <w:rPr>
          <w:rFonts w:asciiTheme="majorBidi" w:hAnsiTheme="majorBidi" w:cstheme="majorBidi"/>
        </w:rPr>
        <w:instrText>İskele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area from the beginning of this defense system, and together with this defense system, the walls surround the entire rock.</w:t>
      </w:r>
    </w:p>
    <w:p w14:paraId="733A9A06" w14:textId="77777777" w:rsidR="001004F6" w:rsidRPr="00F03A26" w:rsidRDefault="001004F6" w:rsidP="00F03A26">
      <w:pPr>
        <w:jc w:val="both"/>
        <w:rPr>
          <w:rFonts w:asciiTheme="majorBidi" w:hAnsiTheme="majorBidi" w:cstheme="majorBidi"/>
        </w:rPr>
      </w:pPr>
    </w:p>
    <w:p w14:paraId="2A33C102" w14:textId="14AB5E9B" w:rsidR="001004F6" w:rsidRPr="00F03A26" w:rsidRDefault="001004F6" w:rsidP="00F03A26">
      <w:pPr>
        <w:jc w:val="both"/>
        <w:rPr>
          <w:rFonts w:asciiTheme="majorBidi" w:hAnsiTheme="majorBidi" w:cstheme="majorBidi"/>
        </w:rPr>
      </w:pPr>
      <w:r w:rsidRPr="00F03A26">
        <w:rPr>
          <w:rFonts w:asciiTheme="majorBidi" w:hAnsiTheme="majorBidi" w:cstheme="majorBidi"/>
        </w:rPr>
        <w:t xml:space="preserve">The traveler then reaches the citadel at the highest part of the fortress, which the locals call </w:t>
      </w:r>
      <w:r w:rsidR="007E4D33" w:rsidRPr="00F03A26">
        <w:rPr>
          <w:rFonts w:asciiTheme="majorBidi" w:eastAsia="Times New Roman" w:hAnsiTheme="majorBidi" w:cstheme="majorBidi"/>
          <w:lang w:val="en-GB"/>
        </w:rPr>
        <w:t>"</w:t>
      </w:r>
      <w:r w:rsidRPr="00F03A26">
        <w:rPr>
          <w:rFonts w:asciiTheme="majorBidi" w:hAnsiTheme="majorBidi" w:cstheme="majorBidi"/>
        </w:rPr>
        <w:t>Gh</w:t>
      </w:r>
      <w:r w:rsidR="007E4D33">
        <w:rPr>
          <w:rFonts w:asciiTheme="majorBidi" w:hAnsiTheme="majorBidi" w:cstheme="majorBidi"/>
        </w:rPr>
        <w:t>o</w:t>
      </w:r>
      <w:r w:rsidRPr="00F03A26">
        <w:rPr>
          <w:rFonts w:asciiTheme="majorBidi" w:hAnsiTheme="majorBidi" w:cstheme="majorBidi"/>
        </w:rPr>
        <w:t>urab</w:t>
      </w:r>
      <w:r w:rsidR="007E4D33" w:rsidRPr="00F03A26">
        <w:rPr>
          <w:rFonts w:asciiTheme="majorBidi" w:eastAsia="Times New Roman" w:hAnsiTheme="majorBidi" w:cstheme="majorBidi"/>
          <w:lang w:val="en-GB"/>
        </w:rPr>
        <w:t>"</w:t>
      </w:r>
      <w:r w:rsidR="00647545">
        <w:rPr>
          <w:rFonts w:asciiTheme="majorBidi" w:hAnsiTheme="majorBidi" w:cstheme="majorBidi"/>
        </w:rPr>
        <w:fldChar w:fldCharType="begin"/>
      </w:r>
      <w:r w:rsidR="00647545">
        <w:instrText xml:space="preserve"> XE "</w:instrText>
      </w:r>
      <w:r w:rsidR="00647545" w:rsidRPr="0077633B">
        <w:rPr>
          <w:rFonts w:asciiTheme="majorBidi" w:hAnsiTheme="majorBidi" w:cstheme="majorBidi"/>
        </w:rPr>
        <w:instrText>Ghourab</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(Raven). In some places in this flattened area, he cannot see anything remarkable except heaps of rubble and cisterns carved into the bedrock. According to him, the stones of the Assyrian</w:t>
      </w:r>
      <w:r w:rsidR="001F2587">
        <w:rPr>
          <w:rFonts w:asciiTheme="majorBid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period buildings must have been broken and used for the small military structures built in the late period in this section.</w:t>
      </w:r>
    </w:p>
    <w:p w14:paraId="1E8021B3" w14:textId="77777777" w:rsidR="001004F6" w:rsidRPr="00F03A26" w:rsidRDefault="001004F6" w:rsidP="00F03A26">
      <w:pPr>
        <w:jc w:val="both"/>
        <w:rPr>
          <w:rFonts w:asciiTheme="majorBidi" w:hAnsiTheme="majorBidi" w:cstheme="majorBidi"/>
        </w:rPr>
      </w:pPr>
    </w:p>
    <w:p w14:paraId="34999DCE" w14:textId="4C98A596" w:rsidR="001004F6" w:rsidRPr="00F03A26" w:rsidRDefault="001004F6" w:rsidP="00F03A26">
      <w:pPr>
        <w:jc w:val="both"/>
        <w:rPr>
          <w:rFonts w:asciiTheme="majorBidi" w:hAnsiTheme="majorBidi" w:cstheme="majorBidi"/>
        </w:rPr>
      </w:pPr>
      <w:r w:rsidRPr="00F03A26">
        <w:rPr>
          <w:rFonts w:asciiTheme="majorBidi" w:hAnsiTheme="majorBidi" w:cstheme="majorBidi"/>
        </w:rPr>
        <w:t>It is understood from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later accounts that he went to the burial chamber, which is now known as the İç Kale</w:t>
      </w:r>
      <w:r w:rsidR="00647545">
        <w:rPr>
          <w:rFonts w:asciiTheme="majorBidi" w:hAnsiTheme="majorBidi" w:cstheme="majorBidi"/>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tomb</w:t>
      </w:r>
      <w:r w:rsidR="006B23DC">
        <w:rPr>
          <w:rFonts w:asciiTheme="majorBidi" w:hAnsiTheme="majorBidi" w:cstheme="majorBidi"/>
        </w:rPr>
        <w:fldChar w:fldCharType="begin"/>
      </w:r>
      <w:r w:rsidR="006B23DC">
        <w:instrText xml:space="preserve"> XE "</w:instrText>
      </w:r>
      <w:r w:rsidR="006B23DC" w:rsidRPr="0072234F">
        <w:rPr>
          <w:rFonts w:ascii="Times New Roman" w:hAnsi="Times New Roman"/>
          <w:szCs w:val="22"/>
          <w:lang w:val="en-GB"/>
        </w:rPr>
        <w:instrText>İç Kale tomb</w:instrText>
      </w:r>
      <w:r w:rsidR="006B23DC">
        <w:instrText xml:space="preserve">" </w:instrText>
      </w:r>
      <w:r w:rsidR="006B23DC">
        <w:rPr>
          <w:rFonts w:asciiTheme="majorBidi" w:hAnsiTheme="majorBidi" w:cstheme="majorBidi"/>
        </w:rPr>
        <w:fldChar w:fldCharType="end"/>
      </w:r>
      <w:r w:rsidRPr="00F03A26">
        <w:rPr>
          <w:rFonts w:asciiTheme="majorBidi" w:hAnsiTheme="majorBidi" w:cstheme="majorBidi"/>
        </w:rPr>
        <w:t xml:space="preserve"> (Texier, 1852: Van VI). He states that he descended to a terrace by a difficult road, the same route today. It makes the burial chambers carved into the bedrock to the east of the terrace resemble those in the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tomb. Also, he emphasizes that this is the largest tomb (cave) of the Ṭušpa</w:t>
      </w:r>
      <w:r w:rsidR="00E2269D">
        <w:rPr>
          <w:rFonts w:asciiTheme="majorBidi" w:hAnsiTheme="majorBidi" w:cstheme="majorBidi"/>
        </w:rPr>
        <w:t>/Van</w:t>
      </w:r>
      <w:r w:rsidRPr="00F03A26">
        <w:rPr>
          <w:rFonts w:asciiTheme="majorBidi" w:hAnsiTheme="majorBidi" w:cstheme="majorBidi"/>
        </w:rPr>
        <w:t xml:space="preserve"> Rock</w:t>
      </w:r>
      <w:r w:rsidR="00E2269D">
        <w:rPr>
          <w:rFonts w:asciiTheme="majorBidi" w:hAnsiTheme="majorBidi" w:cstheme="majorBidi"/>
        </w:rPr>
        <w:fldChar w:fldCharType="begin"/>
      </w:r>
      <w:r w:rsidR="00E2269D">
        <w:instrText xml:space="preserve"> XE "</w:instrText>
      </w:r>
      <w:r w:rsidR="00E2269D" w:rsidRPr="007A7330">
        <w:rPr>
          <w:rFonts w:asciiTheme="majorBidi" w:hAnsiTheme="majorBidi"/>
          <w:lang w:val="en-GB"/>
        </w:rPr>
        <w:instrText>Ṭušpa/Van Rock</w:instrText>
      </w:r>
      <w:r w:rsidR="00E2269D">
        <w:instrText xml:space="preserve">" </w:instrText>
      </w:r>
      <w:r w:rsidR="00E2269D">
        <w:rPr>
          <w:rFonts w:asciiTheme="majorBidi" w:hAnsiTheme="majorBidi" w:cstheme="majorBidi"/>
        </w:rPr>
        <w:fldChar w:fldCharType="end"/>
      </w:r>
      <w:r w:rsidRPr="00F03A26">
        <w:rPr>
          <w:rFonts w:asciiTheme="majorBidi" w:hAnsiTheme="majorBidi" w:cstheme="majorBidi"/>
        </w:rPr>
        <w:t>.</w:t>
      </w:r>
    </w:p>
    <w:p w14:paraId="0447B025" w14:textId="77777777" w:rsidR="001004F6" w:rsidRPr="00F03A26" w:rsidRDefault="001004F6" w:rsidP="00F03A26">
      <w:pPr>
        <w:jc w:val="both"/>
        <w:rPr>
          <w:rFonts w:asciiTheme="majorBidi" w:hAnsiTheme="majorBidi" w:cstheme="majorBidi"/>
        </w:rPr>
      </w:pPr>
    </w:p>
    <w:p w14:paraId="4D3D39C8" w14:textId="2E11B9F2" w:rsidR="001004F6" w:rsidRPr="00F03A26" w:rsidRDefault="001004F6" w:rsidP="00F03A26">
      <w:pPr>
        <w:jc w:val="both"/>
        <w:rPr>
          <w:rFonts w:asciiTheme="majorBidi" w:hAnsiTheme="majorBidi" w:cstheme="majorBidi"/>
        </w:rPr>
      </w:pPr>
      <w:r w:rsidRPr="00F03A26">
        <w:rPr>
          <w:rFonts w:asciiTheme="majorBidi" w:hAnsiTheme="majorBidi" w:cstheme="majorBidi"/>
        </w:rPr>
        <w:t>The traveler also mentions the burial chambers north of the terrace, which we call the Neft Kuyu</w:t>
      </w:r>
      <w:r w:rsidR="001F2587">
        <w:rPr>
          <w:rFonts w:asciiTheme="majorBidi" w:hAnsiTheme="majorBidi" w:cstheme="majorBidi"/>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today. The city governor was convinced that there was a treasure in this tomb. The brick masonry (Late period) in the burial chamber excavated by the governor is being demolished. It states that the bone remaining on the ground may belong to the prisoners held there. Without going into details,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also writes that there was another tomb with four rooms Doğu Odaları</w:t>
      </w:r>
      <w:r w:rsidR="001F2587">
        <w:rPr>
          <w:rFonts w:asciiTheme="majorBidi" w:hAnsiTheme="majorBidi" w:cstheme="majorBidi"/>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 at the back of the rock (Texier, 1852: Van VII).</w:t>
      </w:r>
    </w:p>
    <w:p w14:paraId="40DE8C4A" w14:textId="77777777" w:rsidR="001004F6" w:rsidRPr="00F03A26" w:rsidRDefault="001004F6" w:rsidP="00F03A26">
      <w:pPr>
        <w:jc w:val="both"/>
        <w:rPr>
          <w:rFonts w:asciiTheme="majorBidi" w:hAnsiTheme="majorBidi" w:cstheme="majorBidi"/>
        </w:rPr>
      </w:pPr>
    </w:p>
    <w:p w14:paraId="34B8DC88" w14:textId="0C9E2C45" w:rsidR="001004F6" w:rsidRPr="00F03A26" w:rsidRDefault="001004F6" w:rsidP="00F03A26">
      <w:pPr>
        <w:jc w:val="both"/>
        <w:rPr>
          <w:rFonts w:asciiTheme="majorBidi" w:hAnsiTheme="majorBidi" w:cstheme="majorBidi"/>
        </w:rPr>
      </w:pPr>
      <w:r w:rsidRPr="00F03A26">
        <w:rPr>
          <w:rFonts w:asciiTheme="majorBidi" w:hAnsiTheme="majorBidi" w:cstheme="majorBidi"/>
        </w:rPr>
        <w:t>The traveler also had the opportunity to examine the Analıkız</w:t>
      </w:r>
      <w:r w:rsidR="00647545">
        <w:rPr>
          <w:rFonts w:asciiTheme="majorBid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structure at the northeastern end of the Rock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1852: Van VII). It states that there is an inscription of 29 lines to the left of the first of the 'caves' in this area, which is called the 'Treasure Cave.' The inscription was partially destroyed with a later carved cross. It is understood that these structures, which we know today as monumental niches, were defined as "caves" because they were filled with stones and soil up to the upper parts. Texier also points out that the cave was considered sacred by the people, referring to the mystical story told by Schulz</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w:t>
      </w:r>
    </w:p>
    <w:p w14:paraId="32F12B98" w14:textId="77777777" w:rsidR="001004F6" w:rsidRPr="00F03A26" w:rsidRDefault="001004F6" w:rsidP="00F03A26">
      <w:pPr>
        <w:jc w:val="both"/>
        <w:rPr>
          <w:rFonts w:asciiTheme="majorBidi" w:hAnsiTheme="majorBidi" w:cstheme="majorBidi"/>
        </w:rPr>
      </w:pPr>
    </w:p>
    <w:p w14:paraId="6922260E" w14:textId="7A669ACC" w:rsidR="001004F6" w:rsidRPr="00F03A26" w:rsidRDefault="001004F6" w:rsidP="00F03A26">
      <w:pPr>
        <w:jc w:val="both"/>
        <w:rPr>
          <w:rFonts w:asciiTheme="majorBidi" w:hAnsiTheme="majorBidi" w:cstheme="majorBidi"/>
        </w:rPr>
      </w:pPr>
      <w:r w:rsidRPr="00F03A26">
        <w:rPr>
          <w:rFonts w:asciiTheme="majorBidi" w:hAnsiTheme="majorBidi" w:cstheme="majorBidi"/>
        </w:rPr>
        <w:t>Another definition of the citadel is on the Xerxes</w:t>
      </w:r>
      <w:r w:rsidR="00647545">
        <w:rPr>
          <w:rFonts w:asciiTheme="majorBidi" w:hAnsiTheme="majorBidi" w:cstheme="majorBidi"/>
        </w:rPr>
        <w:fldChar w:fldCharType="begin"/>
      </w:r>
      <w:r w:rsidR="00647545">
        <w:instrText xml:space="preserve"> XE "</w:instrText>
      </w:r>
      <w:r w:rsidR="00647545" w:rsidRPr="004F53AA">
        <w:rPr>
          <w:rFonts w:asciiTheme="majorBidi" w:hAnsiTheme="majorBidi" w:cstheme="majorBidi"/>
        </w:rPr>
        <w:instrText>Xerxes</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Inscription</w:t>
      </w:r>
      <w:r w:rsidR="00647545">
        <w:rPr>
          <w:rFonts w:asciiTheme="majorBidi" w:hAnsiTheme="majorBidi" w:cstheme="majorBidi"/>
        </w:rPr>
        <w:fldChar w:fldCharType="begin"/>
      </w:r>
      <w:r w:rsidR="00647545">
        <w:instrText xml:space="preserve"> XE "</w:instrText>
      </w:r>
      <w:r w:rsidR="00647545" w:rsidRPr="00B86C9E">
        <w:rPr>
          <w:rFonts w:asciiTheme="majorBidi" w:hAnsiTheme="majorBidi" w:cstheme="majorBidi"/>
        </w:rPr>
        <w:instrText>Xerxes Inscription</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on the rock's south side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1852: Van VII). He can identify the inscription from the terrace of the house where he is staying with the help of a telescope. He states that the inscription is engraved on the board, is 3 m wide and 2 m high, and consists of 3 columns and 26 lines. The font in the first column is like the other inscriptions in the fortress. Texier predicts subsequent lines to be in another language.</w:t>
      </w:r>
    </w:p>
    <w:p w14:paraId="5E1ADDFF" w14:textId="77777777" w:rsidR="001004F6" w:rsidRPr="00F03A26" w:rsidRDefault="001004F6" w:rsidP="00F03A26">
      <w:pPr>
        <w:jc w:val="both"/>
        <w:rPr>
          <w:rFonts w:asciiTheme="majorBidi" w:hAnsiTheme="majorBidi" w:cstheme="majorBidi"/>
        </w:rPr>
      </w:pPr>
    </w:p>
    <w:p w14:paraId="47C36397" w14:textId="52E169E4" w:rsidR="001004F6" w:rsidRPr="00F03A26" w:rsidRDefault="001004F6" w:rsidP="00F03A26">
      <w:pPr>
        <w:jc w:val="both"/>
        <w:rPr>
          <w:rFonts w:asciiTheme="majorBidi" w:hAnsiTheme="majorBidi" w:cstheme="majorBidi"/>
        </w:rPr>
      </w:pPr>
      <w:r w:rsidRPr="00F03A26">
        <w:rPr>
          <w:rFonts w:asciiTheme="majorBidi" w:hAnsiTheme="majorBidi" w:cstheme="majorBidi"/>
        </w:rPr>
        <w:t>Some drawings (Fig. 8-10), understood to have been made by the famous French traveler and artist J. Laurens</w:t>
      </w:r>
      <w:r w:rsidR="00647545">
        <w:rPr>
          <w:rFonts w:asciiTheme="majorBidi" w:hAnsiTheme="majorBidi" w:cstheme="majorBidi"/>
        </w:rPr>
        <w:fldChar w:fldCharType="begin"/>
      </w:r>
      <w:r w:rsidR="00647545">
        <w:instrText xml:space="preserve"> XE "</w:instrText>
      </w:r>
      <w:r w:rsidR="00647545" w:rsidRPr="007545CA">
        <w:rPr>
          <w:rFonts w:asciiTheme="majorBidi" w:hAnsiTheme="majorBidi" w:cstheme="majorBidi"/>
        </w:rPr>
        <w:instrText>Laurens</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in 1848, are also important, especially in terms of rendering the structures in the citadel. These were also used in the works of X.H. de Hell</w:t>
      </w:r>
      <w:r w:rsidR="001F2587">
        <w:rPr>
          <w:rFonts w:asciiTheme="majorBidi" w:hAnsiTheme="majorBidi" w:cstheme="majorBidi"/>
        </w:rPr>
        <w:fldChar w:fldCharType="begin"/>
      </w:r>
      <w:r w:rsidR="001F2587">
        <w:instrText xml:space="preserve"> XE "</w:instrText>
      </w:r>
      <w:r w:rsidR="001F2587" w:rsidRPr="00F00B51">
        <w:rPr>
          <w:rFonts w:asciiTheme="majorBidi" w:hAnsiTheme="majorBidi" w:cstheme="majorBidi"/>
          <w:kern w:val="0"/>
          <w:sz w:val="22"/>
          <w:szCs w:val="22"/>
          <w:lang w:val="en-US"/>
          <w14:ligatures w14:val="none"/>
        </w:rPr>
        <w:instrText>Hell</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(Hell, 1854) and T. Deyrolle</w:t>
      </w:r>
      <w:r w:rsidR="001F2587">
        <w:rPr>
          <w:rFonts w:asciiTheme="majorBidi" w:hAnsiTheme="majorBidi" w:cstheme="majorBidi"/>
        </w:rPr>
        <w:fldChar w:fldCharType="begin"/>
      </w:r>
      <w:r w:rsidR="001F2587">
        <w:instrText xml:space="preserve"> XE "</w:instrText>
      </w:r>
      <w:r w:rsidR="001F2587" w:rsidRPr="00FF084F">
        <w:rPr>
          <w:rFonts w:asciiTheme="majorBidi" w:hAnsiTheme="majorBidi" w:cstheme="majorBidi"/>
          <w:kern w:val="0"/>
          <w:sz w:val="22"/>
          <w:szCs w:val="22"/>
          <w:lang w:val="en-US"/>
          <w14:ligatures w14:val="none"/>
        </w:rPr>
        <w:instrText>Deyrolle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(Deyrolle, 1875/76).</w:t>
      </w:r>
    </w:p>
    <w:p w14:paraId="2DD07D89" w14:textId="77777777" w:rsidR="001004F6" w:rsidRPr="00F03A26" w:rsidRDefault="001004F6" w:rsidP="00F03A26">
      <w:pPr>
        <w:jc w:val="both"/>
        <w:rPr>
          <w:rFonts w:asciiTheme="majorBidi" w:hAnsiTheme="majorBidi" w:cstheme="majorBidi"/>
        </w:rPr>
      </w:pPr>
    </w:p>
    <w:p w14:paraId="326CB6E7" w14:textId="6555F693" w:rsidR="001004F6" w:rsidRPr="00F03A26" w:rsidRDefault="001004F6" w:rsidP="00F03A26">
      <w:pPr>
        <w:jc w:val="both"/>
        <w:rPr>
          <w:rFonts w:asciiTheme="majorBidi" w:hAnsiTheme="majorBidi" w:cstheme="majorBidi"/>
        </w:rPr>
      </w:pPr>
      <w:r w:rsidRPr="00F03A26">
        <w:rPr>
          <w:rFonts w:asciiTheme="majorBidi" w:hAnsiTheme="majorBidi" w:cstheme="majorBidi"/>
        </w:rPr>
        <w:t>The work of Hommaire de Hell</w:t>
      </w:r>
      <w:r w:rsidR="001F2587">
        <w:rPr>
          <w:rFonts w:asciiTheme="majorBidi" w:hAnsiTheme="majorBidi" w:cstheme="majorBidi"/>
        </w:rPr>
        <w:fldChar w:fldCharType="begin"/>
      </w:r>
      <w:r w:rsidR="001F2587">
        <w:instrText xml:space="preserve"> XE "</w:instrText>
      </w:r>
      <w:r w:rsidR="001F2587" w:rsidRPr="00F00B51">
        <w:rPr>
          <w:rFonts w:asciiTheme="majorBidi" w:hAnsiTheme="majorBidi" w:cstheme="majorBidi"/>
          <w:kern w:val="0"/>
          <w:sz w:val="22"/>
          <w:szCs w:val="22"/>
          <w:lang w:val="en-US"/>
          <w14:ligatures w14:val="none"/>
        </w:rPr>
        <w:instrText>Hell</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 traveler and geologist who seems to have visited Van in the late 1840s, was published in 1854 and contained many details about the Van </w:t>
      </w:r>
      <w:r w:rsidR="00647545">
        <w:rPr>
          <w:rFonts w:asciiTheme="majorBidi" w:hAnsiTheme="majorBidi" w:cstheme="majorBidi"/>
        </w:rPr>
        <w:t>r</w:t>
      </w:r>
      <w:r w:rsidRPr="00F03A26">
        <w:rPr>
          <w:rFonts w:asciiTheme="majorBidi" w:hAnsiTheme="majorBidi" w:cstheme="majorBidi"/>
        </w:rPr>
        <w:t>egion. He also used several drawings by J. Laurens</w:t>
      </w:r>
      <w:r w:rsidR="00647545">
        <w:rPr>
          <w:rFonts w:asciiTheme="majorBidi" w:hAnsiTheme="majorBidi" w:cstheme="majorBidi"/>
        </w:rPr>
        <w:fldChar w:fldCharType="begin"/>
      </w:r>
      <w:r w:rsidR="00647545">
        <w:instrText xml:space="preserve"> XE "</w:instrText>
      </w:r>
      <w:r w:rsidR="00647545" w:rsidRPr="007545CA">
        <w:rPr>
          <w:rFonts w:asciiTheme="majorBidi" w:hAnsiTheme="majorBidi" w:cstheme="majorBidi"/>
        </w:rPr>
        <w:instrText>Laurens</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in his book.</w:t>
      </w:r>
    </w:p>
    <w:p w14:paraId="0FB1965C" w14:textId="77777777" w:rsidR="001004F6" w:rsidRPr="00F03A26" w:rsidRDefault="001004F6" w:rsidP="00F03A26">
      <w:pPr>
        <w:jc w:val="both"/>
        <w:rPr>
          <w:rFonts w:asciiTheme="majorBidi" w:hAnsiTheme="majorBidi" w:cstheme="majorBidi"/>
        </w:rPr>
      </w:pPr>
    </w:p>
    <w:p w14:paraId="2AE2041E" w14:textId="4128FFA9" w:rsidR="001004F6" w:rsidRPr="00F03A26" w:rsidRDefault="001004F6" w:rsidP="00F03A26">
      <w:pPr>
        <w:jc w:val="both"/>
        <w:rPr>
          <w:rFonts w:asciiTheme="majorBidi" w:hAnsiTheme="majorBidi" w:cstheme="majorBidi"/>
        </w:rPr>
      </w:pPr>
      <w:r w:rsidRPr="00F03A26">
        <w:rPr>
          <w:rFonts w:asciiTheme="majorBidi" w:hAnsiTheme="majorBidi" w:cstheme="majorBidi"/>
        </w:rPr>
        <w:t>M.T. Deyrolle</w:t>
      </w:r>
      <w:r w:rsidR="001F2587">
        <w:rPr>
          <w:rFonts w:asciiTheme="majorBidi" w:hAnsiTheme="majorBidi" w:cstheme="majorBidi"/>
        </w:rPr>
        <w:fldChar w:fldCharType="begin"/>
      </w:r>
      <w:r w:rsidR="001F2587">
        <w:instrText xml:space="preserve"> XE "</w:instrText>
      </w:r>
      <w:r w:rsidR="001F2587" w:rsidRPr="00FF084F">
        <w:rPr>
          <w:rFonts w:asciiTheme="majorBidi" w:hAnsiTheme="majorBidi" w:cstheme="majorBidi"/>
          <w:kern w:val="0"/>
          <w:sz w:val="22"/>
          <w:szCs w:val="22"/>
          <w:lang w:val="en-US"/>
          <w14:ligatures w14:val="none"/>
        </w:rPr>
        <w:instrText>Deyrolle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whose 1869 observations about Van we learned from his work published in 1875-76, is an essential source of information with his drawings of the city and the Rock from the south and north, and the Van Great Mosque closely, as well as his descriptions of the town (Fig. 9).</w:t>
      </w:r>
    </w:p>
    <w:p w14:paraId="3BC4AB52" w14:textId="77777777" w:rsidR="001004F6" w:rsidRPr="00F03A26" w:rsidRDefault="001004F6" w:rsidP="00F03A26">
      <w:pPr>
        <w:jc w:val="both"/>
        <w:rPr>
          <w:rFonts w:asciiTheme="majorBidi" w:hAnsiTheme="majorBidi" w:cstheme="majorBidi"/>
          <w:color w:val="000000" w:themeColor="text1"/>
          <w:lang w:val="en-GB"/>
        </w:rPr>
      </w:pPr>
    </w:p>
    <w:p w14:paraId="02ED3A04"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lastRenderedPageBreak/>
        <w:drawing>
          <wp:inline distT="0" distB="0" distL="0" distR="0" wp14:anchorId="63573DF3" wp14:editId="24F08BFD">
            <wp:extent cx="4251767" cy="6236208"/>
            <wp:effectExtent l="0" t="0" r="3175" b="0"/>
            <wp:docPr id="1064842915" name="Resim 1064842915" descr="metin,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dış mekan içeren bir resim&#10;&#10;Açıklama otomatik olarak oluşturuldu"/>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4279150" cy="6276372"/>
                    </a:xfrm>
                    <a:prstGeom prst="rect">
                      <a:avLst/>
                    </a:prstGeom>
                    <a:ln>
                      <a:noFill/>
                    </a:ln>
                    <a:extLst>
                      <a:ext uri="{53640926-AAD7-44D8-BBD7-CCE9431645EC}">
                        <a14:shadowObscured xmlns:a14="http://schemas.microsoft.com/office/drawing/2010/main"/>
                      </a:ext>
                    </a:extLst>
                  </pic:spPr>
                </pic:pic>
              </a:graphicData>
            </a:graphic>
          </wp:inline>
        </w:drawing>
      </w:r>
    </w:p>
    <w:p w14:paraId="61D75B08" w14:textId="23E6256F"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8 Van Fortess and the Neft Kuyu</w:t>
      </w:r>
      <w:r w:rsidR="001F2587">
        <w:rPr>
          <w:rFonts w:asciiTheme="majorBidi"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tomb, drawn by J. Laurens</w:t>
      </w:r>
      <w:r w:rsidR="00647545">
        <w:rPr>
          <w:rFonts w:asciiTheme="majorBidi" w:hAnsiTheme="majorBidi" w:cstheme="majorBidi"/>
          <w:lang w:val="en-GB"/>
        </w:rPr>
        <w:fldChar w:fldCharType="begin"/>
      </w:r>
      <w:r w:rsidR="00647545">
        <w:instrText xml:space="preserve"> XE "</w:instrText>
      </w:r>
      <w:r w:rsidR="00647545" w:rsidRPr="007545CA">
        <w:rPr>
          <w:rFonts w:asciiTheme="majorBidi" w:hAnsiTheme="majorBidi" w:cstheme="majorBidi"/>
        </w:rPr>
        <w:instrText>Laurens</w:instrText>
      </w:r>
      <w:r w:rsidR="00647545">
        <w:instrText xml:space="preserve">" </w:instrText>
      </w:r>
      <w:r w:rsidR="00647545">
        <w:rPr>
          <w:rFonts w:asciiTheme="majorBidi" w:hAnsiTheme="majorBidi" w:cstheme="majorBidi"/>
          <w:lang w:val="en-GB"/>
        </w:rPr>
        <w:fldChar w:fldCharType="end"/>
      </w:r>
      <w:r w:rsidRPr="00F03A26">
        <w:rPr>
          <w:rFonts w:asciiTheme="majorBidi" w:hAnsiTheme="majorBidi" w:cstheme="majorBidi"/>
          <w:lang w:val="en-GB"/>
        </w:rPr>
        <w:t>. (Deyrolle</w:t>
      </w:r>
      <w:r w:rsidR="001F2587">
        <w:rPr>
          <w:rFonts w:asciiTheme="majorBidi" w:hAnsiTheme="majorBidi" w:cstheme="majorBidi"/>
          <w:lang w:val="en-GB"/>
        </w:rPr>
        <w:fldChar w:fldCharType="begin"/>
      </w:r>
      <w:r w:rsidR="001F2587">
        <w:instrText xml:space="preserve"> XE "</w:instrText>
      </w:r>
      <w:r w:rsidR="001F2587" w:rsidRPr="00FF084F">
        <w:rPr>
          <w:rFonts w:asciiTheme="majorBidi" w:hAnsiTheme="majorBidi" w:cstheme="majorBidi"/>
          <w:kern w:val="0"/>
          <w:sz w:val="22"/>
          <w:szCs w:val="22"/>
          <w:lang w:val="en-US"/>
          <w14:ligatures w14:val="none"/>
        </w:rPr>
        <w:instrText>Deyrolle</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1875/76: 393).</w:t>
      </w:r>
    </w:p>
    <w:p w14:paraId="1DCC28DD"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 </w:t>
      </w:r>
    </w:p>
    <w:p w14:paraId="3C48606E"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lastRenderedPageBreak/>
        <w:drawing>
          <wp:inline distT="0" distB="0" distL="0" distR="0" wp14:anchorId="3B37344A" wp14:editId="4FDDCA62">
            <wp:extent cx="3934875" cy="2557669"/>
            <wp:effectExtent l="0" t="0" r="2540" b="0"/>
            <wp:docPr id="1064842916" name="Resim 1064842916" descr="taslak, çizim, resim,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6" name="Resim 1064842916" descr="taslak, çizim, resim, dış mekan içeren bir resim&#10;&#10;Açıklama otomatik olarak oluşturuldu"/>
                    <pic:cNvPicPr/>
                  </pic:nvPicPr>
                  <pic:blipFill>
                    <a:blip r:embed="rId18" cstate="email">
                      <a:extLst>
                        <a:ext uri="{28A0092B-C50C-407E-A947-70E740481C1C}">
                          <a14:useLocalDpi xmlns:a14="http://schemas.microsoft.com/office/drawing/2010/main"/>
                        </a:ext>
                      </a:extLst>
                    </a:blip>
                    <a:stretch>
                      <a:fillRect/>
                    </a:stretch>
                  </pic:blipFill>
                  <pic:spPr>
                    <a:xfrm>
                      <a:off x="0" y="0"/>
                      <a:ext cx="3962639" cy="2575716"/>
                    </a:xfrm>
                    <a:prstGeom prst="rect">
                      <a:avLst/>
                    </a:prstGeom>
                  </pic:spPr>
                </pic:pic>
              </a:graphicData>
            </a:graphic>
          </wp:inline>
        </w:drawing>
      </w:r>
    </w:p>
    <w:p w14:paraId="3FA83401" w14:textId="6095C140"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9 Van Fortress and Neft Kuyu</w:t>
      </w:r>
      <w:r w:rsidR="001F2587">
        <w:rPr>
          <w:rFonts w:asciiTheme="majorBidi"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tomb from the south (Deyrolle</w:t>
      </w:r>
      <w:r w:rsidR="001F2587">
        <w:rPr>
          <w:rFonts w:asciiTheme="majorBidi" w:hAnsiTheme="majorBidi" w:cstheme="majorBidi"/>
          <w:lang w:val="en-GB"/>
        </w:rPr>
        <w:fldChar w:fldCharType="begin"/>
      </w:r>
      <w:r w:rsidR="001F2587">
        <w:instrText xml:space="preserve"> XE "</w:instrText>
      </w:r>
      <w:r w:rsidR="001F2587" w:rsidRPr="00FF084F">
        <w:rPr>
          <w:rFonts w:asciiTheme="majorBidi" w:hAnsiTheme="majorBidi" w:cstheme="majorBidi"/>
          <w:kern w:val="0"/>
          <w:sz w:val="22"/>
          <w:szCs w:val="22"/>
          <w:lang w:val="en-US"/>
          <w14:ligatures w14:val="none"/>
        </w:rPr>
        <w:instrText>Deyrolle</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1875/76: 381).</w:t>
      </w:r>
    </w:p>
    <w:p w14:paraId="32DFCE40" w14:textId="77777777" w:rsidR="001004F6" w:rsidRPr="00F03A26" w:rsidRDefault="001004F6" w:rsidP="00F03A26">
      <w:pPr>
        <w:jc w:val="both"/>
        <w:rPr>
          <w:rFonts w:asciiTheme="majorBidi" w:hAnsiTheme="majorBidi" w:cstheme="majorBidi"/>
          <w:color w:val="000000" w:themeColor="text1"/>
          <w:lang w:val="en-GB"/>
        </w:rPr>
      </w:pPr>
    </w:p>
    <w:p w14:paraId="4EF83674" w14:textId="620DF100" w:rsidR="001004F6" w:rsidRPr="00F03A26" w:rsidRDefault="001004F6" w:rsidP="00F03A26">
      <w:pPr>
        <w:jc w:val="both"/>
        <w:rPr>
          <w:rFonts w:asciiTheme="majorBidi" w:hAnsiTheme="majorBidi" w:cstheme="majorBidi"/>
        </w:rPr>
      </w:pPr>
      <w:r w:rsidRPr="00F03A26">
        <w:rPr>
          <w:rFonts w:asciiTheme="majorBidi" w:hAnsiTheme="majorBidi" w:cstheme="majorBidi"/>
        </w:rPr>
        <w:t>Deyrolle</w:t>
      </w:r>
      <w:r w:rsidR="001F2587">
        <w:rPr>
          <w:rFonts w:asciiTheme="majorBidi" w:hAnsiTheme="majorBidi" w:cstheme="majorBidi"/>
        </w:rPr>
        <w:fldChar w:fldCharType="begin"/>
      </w:r>
      <w:r w:rsidR="001F2587">
        <w:instrText xml:space="preserve"> XE "</w:instrText>
      </w:r>
      <w:r w:rsidR="001F2587" w:rsidRPr="00FF084F">
        <w:rPr>
          <w:rFonts w:asciiTheme="majorBidi" w:hAnsiTheme="majorBidi" w:cstheme="majorBidi"/>
          <w:kern w:val="0"/>
          <w:sz w:val="22"/>
          <w:szCs w:val="22"/>
          <w:lang w:val="en-US"/>
          <w14:ligatures w14:val="none"/>
        </w:rPr>
        <w:instrText>Deyrolle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drawing of the city and the cliff from the south is, in many ways, a replica of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Although the drawing depicting the fortress from the north is far from detailed, the roads leading to the İç Kale</w:t>
      </w:r>
      <w:r w:rsidR="00647545">
        <w:rPr>
          <w:rFonts w:asciiTheme="majorBidi" w:hAnsiTheme="majorBidi" w:cstheme="majorBidi"/>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/citadel, the towers and gates on this route, and the Süleyman Han Mosque were engraved. What is essential in his work is that perhaps, for the first time, a building was depicted closely in the </w:t>
      </w:r>
      <w:r w:rsidR="00C1513A">
        <w:rPr>
          <w:rFonts w:asciiTheme="majorBidi" w:hAnsiTheme="majorBidi" w:cstheme="majorBidi"/>
        </w:rPr>
        <w:t>Old Van City</w:t>
      </w:r>
      <w:r w:rsidR="00EB71FC">
        <w:rPr>
          <w:rFonts w:asciiTheme="majorBid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Van Great Mosque, with its thick cylindrical minaret and Rock of Van in the background are depicted (Fig. 9). On the left, the İç Kale surrounded by the walls and the rectangular panel with the trilingual text of Xerxes</w:t>
      </w:r>
      <w:r w:rsidR="00647545">
        <w:rPr>
          <w:rFonts w:asciiTheme="majorBidi" w:hAnsiTheme="majorBidi" w:cstheme="majorBidi"/>
        </w:rPr>
        <w:fldChar w:fldCharType="begin"/>
      </w:r>
      <w:r w:rsidR="00647545">
        <w:instrText xml:space="preserve"> XE "</w:instrText>
      </w:r>
      <w:r w:rsidR="00647545" w:rsidRPr="004F53AA">
        <w:rPr>
          <w:rFonts w:asciiTheme="majorBidi" w:hAnsiTheme="majorBidi" w:cstheme="majorBidi"/>
        </w:rPr>
        <w:instrText>Xerxes</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can be seen in detail, and on the right, the Urartian</w:t>
      </w:r>
      <w:r w:rsidR="00EA6C63">
        <w:rPr>
          <w:rFonts w:asciiTheme="majorBid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xml:space="preserve"> rock tomb defined as Neft Kuyu</w:t>
      </w:r>
      <w:r w:rsidR="001F2587">
        <w:rPr>
          <w:rFonts w:asciiTheme="majorBidi" w:hAnsiTheme="majorBidi" w:cstheme="majorBidi"/>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(Figs. 9-10).</w:t>
      </w:r>
    </w:p>
    <w:p w14:paraId="234DEBBD" w14:textId="77777777" w:rsidR="001004F6" w:rsidRPr="00F03A26" w:rsidRDefault="001004F6" w:rsidP="00F03A26">
      <w:pPr>
        <w:jc w:val="both"/>
        <w:rPr>
          <w:rFonts w:asciiTheme="majorBidi" w:hAnsiTheme="majorBidi" w:cstheme="majorBidi"/>
          <w:color w:val="000000" w:themeColor="text1"/>
          <w:lang w:val="en-GB"/>
        </w:rPr>
      </w:pPr>
    </w:p>
    <w:p w14:paraId="7F598534"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0AA9E0BB" wp14:editId="321F1238">
            <wp:extent cx="5733415" cy="1914525"/>
            <wp:effectExtent l="0" t="0" r="0" b="3175"/>
            <wp:docPr id="1064842917" name="Resim 1064842917" descr="taslak, çizim, resim,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7" name="Resim 1064842917" descr="taslak, çizim, resim, sanat içeren bir resim&#10;&#10;Açıklama otomatik olarak oluşturuldu"/>
                    <pic:cNvPicPr/>
                  </pic:nvPicPr>
                  <pic:blipFill>
                    <a:blip r:embed="rId19" cstate="email">
                      <a:extLst>
                        <a:ext uri="{28A0092B-C50C-407E-A947-70E740481C1C}">
                          <a14:useLocalDpi xmlns:a14="http://schemas.microsoft.com/office/drawing/2010/main"/>
                        </a:ext>
                      </a:extLst>
                    </a:blip>
                    <a:stretch>
                      <a:fillRect/>
                    </a:stretch>
                  </pic:blipFill>
                  <pic:spPr>
                    <a:xfrm>
                      <a:off x="0" y="0"/>
                      <a:ext cx="5733415" cy="1914525"/>
                    </a:xfrm>
                    <a:prstGeom prst="rect">
                      <a:avLst/>
                    </a:prstGeom>
                  </pic:spPr>
                </pic:pic>
              </a:graphicData>
            </a:graphic>
          </wp:inline>
        </w:drawing>
      </w:r>
    </w:p>
    <w:p w14:paraId="28580A09" w14:textId="18EAE99E"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 xml:space="preserve">Fig. 10 Facades of </w:t>
      </w:r>
      <w:r w:rsidRPr="00F03A26">
        <w:rPr>
          <w:rFonts w:asciiTheme="majorBidi" w:hAnsiTheme="majorBidi" w:cstheme="majorBidi"/>
          <w:iCs/>
          <w:lang w:val="en-GB"/>
        </w:rPr>
        <w:t xml:space="preserve">Argišti </w:t>
      </w:r>
      <w:r w:rsidRPr="00F03A26">
        <w:rPr>
          <w:rFonts w:asciiTheme="majorBidi" w:hAnsiTheme="majorBidi" w:cstheme="majorBidi"/>
          <w:lang w:val="en-GB"/>
        </w:rPr>
        <w:t>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iCs/>
          <w:lang w:val="en-GB"/>
        </w:rPr>
        <w:instrText xml:space="preserve">Argišti </w:instrText>
      </w:r>
      <w:r w:rsidRPr="00F03A26">
        <w:rPr>
          <w:rFonts w:asciiTheme="majorBidi" w:eastAsia="Times New Roman" w:hAnsiTheme="majorBidi" w:cstheme="majorBidi"/>
          <w:lang w:val="en-GB"/>
        </w:rPr>
        <w:instrText>I</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tomb</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7E4D33">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sidR="00E2269D">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(left) and Neft Kuyu</w:t>
      </w:r>
      <w:r w:rsidR="001F2587">
        <w:rPr>
          <w:rFonts w:asciiTheme="majorBidi"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tomb (right) tombs (Deyrolle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Deyrolle</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1875/76: 385, 387).</w:t>
      </w:r>
    </w:p>
    <w:p w14:paraId="5485D58F" w14:textId="77777777" w:rsidR="001004F6" w:rsidRPr="00F03A26" w:rsidRDefault="001004F6" w:rsidP="00F03A26">
      <w:pPr>
        <w:jc w:val="both"/>
        <w:rPr>
          <w:rFonts w:asciiTheme="majorBidi" w:hAnsiTheme="majorBidi" w:cstheme="majorBidi"/>
          <w:color w:val="000000" w:themeColor="text1"/>
          <w:lang w:val="en-GB"/>
        </w:rPr>
      </w:pPr>
    </w:p>
    <w:p w14:paraId="2D5EA412" w14:textId="45429E42" w:rsidR="001004F6" w:rsidRPr="00F03A26" w:rsidRDefault="001004F6" w:rsidP="00F03A26">
      <w:pPr>
        <w:jc w:val="both"/>
        <w:rPr>
          <w:rFonts w:asciiTheme="majorBidi" w:hAnsiTheme="majorBidi" w:cstheme="majorBidi"/>
        </w:rPr>
      </w:pPr>
      <w:r w:rsidRPr="00F03A26">
        <w:rPr>
          <w:rFonts w:asciiTheme="majorBidi" w:hAnsiTheme="majorBidi" w:cstheme="majorBidi"/>
        </w:rPr>
        <w:t>Another traveler, a British officer who visited Van's city in 1876, was Fred Burnaby</w:t>
      </w:r>
      <w:r w:rsidR="001F2587">
        <w:rPr>
          <w:rFonts w:asciiTheme="majorBidi" w:hAnsiTheme="majorBidi" w:cstheme="majorBidi"/>
        </w:rPr>
        <w:fldChar w:fldCharType="begin"/>
      </w:r>
      <w:r w:rsidR="001F2587">
        <w:instrText xml:space="preserve"> XE "</w:instrText>
      </w:r>
      <w:r w:rsidR="001F2587" w:rsidRPr="004623C0">
        <w:rPr>
          <w:rFonts w:asciiTheme="majorBidi" w:hAnsiTheme="majorBidi" w:cstheme="majorBidi"/>
          <w:kern w:val="0"/>
          <w:sz w:val="22"/>
          <w:szCs w:val="22"/>
          <w:lang w:val="en-US"/>
          <w14:ligatures w14:val="none"/>
        </w:rPr>
        <w:instrText>Burnaby</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(Burnaby, 1877). The fortress Burnaby visited is in a very dilapidated condition. There are structures in the fortress that can accommodate about 100 soldiers. He mentions the units carved into the bedrock, which he says were used as a dungeon where the soldiers were to be used when necessary and sometimes as a dungeon where the prisoners were placed, which are probably Urartian</w:t>
      </w:r>
      <w:r w:rsidR="00EA6C63">
        <w:rPr>
          <w:rFonts w:asciiTheme="majorBid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xml:space="preserve"> king tombs carved into the bedrock. Burnaby also gives </w:t>
      </w:r>
      <w:r w:rsidRPr="00F03A26">
        <w:rPr>
          <w:rFonts w:asciiTheme="majorBidi" w:hAnsiTheme="majorBidi" w:cstheme="majorBidi"/>
        </w:rPr>
        <w:lastRenderedPageBreak/>
        <w:t>information about naphtha well. This must be the Urartian king rock tomb, which we define as the Neft Kuyu</w:t>
      </w:r>
      <w:r w:rsidR="001F2587">
        <w:rPr>
          <w:rFonts w:asciiTheme="majorBidi" w:hAnsiTheme="majorBidi" w:cstheme="majorBidi"/>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today.</w:t>
      </w:r>
    </w:p>
    <w:p w14:paraId="22C90734" w14:textId="77777777" w:rsidR="001004F6" w:rsidRPr="00F03A26" w:rsidRDefault="001004F6" w:rsidP="00F03A26">
      <w:pPr>
        <w:jc w:val="both"/>
        <w:rPr>
          <w:rFonts w:asciiTheme="majorBidi" w:hAnsiTheme="majorBidi" w:cstheme="majorBidi"/>
        </w:rPr>
      </w:pPr>
    </w:p>
    <w:p w14:paraId="1526265E" w14:textId="23D8C856" w:rsidR="001004F6" w:rsidRPr="00F03A26" w:rsidRDefault="001004F6" w:rsidP="00F03A26">
      <w:pPr>
        <w:jc w:val="both"/>
        <w:rPr>
          <w:rFonts w:asciiTheme="majorBidi" w:hAnsiTheme="majorBidi" w:cstheme="majorBidi"/>
        </w:rPr>
      </w:pPr>
      <w:r w:rsidRPr="00F03A26">
        <w:rPr>
          <w:rFonts w:asciiTheme="majorBidi" w:hAnsiTheme="majorBidi" w:cstheme="majorBidi"/>
        </w:rPr>
        <w:t>Tozer</w:t>
      </w:r>
      <w:r w:rsidR="001F2587">
        <w:rPr>
          <w:rFonts w:asciiTheme="majorBidi" w:hAnsiTheme="majorBidi" w:cstheme="majorBidi"/>
        </w:rPr>
        <w:fldChar w:fldCharType="begin"/>
      </w:r>
      <w:r w:rsidR="001F2587">
        <w:instrText xml:space="preserve"> XE "</w:instrText>
      </w:r>
      <w:r w:rsidR="001F2587" w:rsidRPr="007E0924">
        <w:rPr>
          <w:rFonts w:asciiTheme="majorBidi" w:hAnsiTheme="majorBidi" w:cstheme="majorBidi"/>
          <w:kern w:val="0"/>
          <w:sz w:val="22"/>
          <w:szCs w:val="22"/>
          <w:lang w:val="en-US"/>
          <w14:ligatures w14:val="none"/>
        </w:rPr>
        <w:instrText>Tozer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is another traveler who describes his observations of Van Fortress in his book published in 1881. Again, he had the opportunity to examine the Xerxes</w:t>
      </w:r>
      <w:r w:rsidR="00647545">
        <w:rPr>
          <w:rFonts w:asciiTheme="majorBidi" w:hAnsiTheme="majorBidi" w:cstheme="majorBidi"/>
        </w:rPr>
        <w:fldChar w:fldCharType="begin"/>
      </w:r>
      <w:r w:rsidR="00647545">
        <w:instrText xml:space="preserve"> XE "</w:instrText>
      </w:r>
      <w:r w:rsidR="00647545" w:rsidRPr="004F53AA">
        <w:rPr>
          <w:rFonts w:asciiTheme="majorBidi" w:hAnsiTheme="majorBidi" w:cstheme="majorBidi"/>
        </w:rPr>
        <w:instrText>Xerxes</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Inscription</w:t>
      </w:r>
      <w:r w:rsidR="00647545">
        <w:rPr>
          <w:rFonts w:asciiTheme="majorBidi" w:hAnsiTheme="majorBidi" w:cstheme="majorBidi"/>
        </w:rPr>
        <w:fldChar w:fldCharType="begin"/>
      </w:r>
      <w:r w:rsidR="00647545">
        <w:instrText xml:space="preserve"> XE "</w:instrText>
      </w:r>
      <w:r w:rsidR="00647545" w:rsidRPr="00B86C9E">
        <w:rPr>
          <w:rFonts w:asciiTheme="majorBidi" w:hAnsiTheme="majorBidi" w:cstheme="majorBidi"/>
        </w:rPr>
        <w:instrText>Xerxes Inscription</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from the balcony of one of the houses in the </w:t>
      </w:r>
      <w:r w:rsidR="00C1513A">
        <w:rPr>
          <w:rFonts w:asciiTheme="majorBidi" w:hAnsiTheme="majorBidi" w:cstheme="majorBidi"/>
        </w:rPr>
        <w:t>Old Van City</w:t>
      </w:r>
      <w:r w:rsidR="00EB71FC">
        <w:rPr>
          <w:rFonts w:asciiTheme="majorBid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xml:space="preserve"> (Tozer, 1881: 345). The inscription is in three columns. Here, the traveler's likening the inscription to the page of the Times newspaper is an interesting comparison. He emphasizes that it is like a copy of the inscriptions of Xerxes, son of Darius</w:t>
      </w:r>
      <w:r w:rsidR="00647545">
        <w:rPr>
          <w:rFonts w:asciiTheme="majorBidi" w:hAnsiTheme="majorBidi" w:cstheme="majorBidi"/>
        </w:rPr>
        <w:fldChar w:fldCharType="begin"/>
      </w:r>
      <w:r w:rsidR="00647545">
        <w:instrText xml:space="preserve"> XE "</w:instrText>
      </w:r>
      <w:r w:rsidR="00647545" w:rsidRPr="00317E67">
        <w:rPr>
          <w:rFonts w:asciiTheme="majorBidi" w:hAnsiTheme="majorBidi" w:cstheme="majorBidi"/>
        </w:rPr>
        <w:instrText>Darius</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in Hamadan and Persepolis. As with other travelers, the rock tombs attract the most attention of Tozer. He writes that the main hall of the Neft Kuyu</w:t>
      </w:r>
      <w:r w:rsidR="001F2587">
        <w:rPr>
          <w:rFonts w:asciiTheme="majorBidi" w:hAnsiTheme="majorBidi" w:cstheme="majorBidi"/>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was approximately 7.5 m high and 9x6 m in size (Tozer, 1881: 351). The main hall is barrel-vaulted. Four rooms are cut into the bedrock, two across the entrance and one on each side of the hall. One of the rooms has two niches. It also indicates that there is no decorative arrangement in the tomb. After the Neft Kuyu tomb, he visits the Founders/İç Kale</w:t>
      </w:r>
      <w:r w:rsidR="00647545">
        <w:rPr>
          <w:rFonts w:asciiTheme="majorBidi" w:hAnsiTheme="majorBidi" w:cstheme="majorBidi"/>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tomb</w:t>
      </w:r>
      <w:r w:rsidR="006B23DC">
        <w:rPr>
          <w:rFonts w:asciiTheme="majorBidi" w:hAnsiTheme="majorBidi" w:cstheme="majorBidi"/>
        </w:rPr>
        <w:fldChar w:fldCharType="begin"/>
      </w:r>
      <w:r w:rsidR="006B23DC">
        <w:instrText xml:space="preserve"> XE "</w:instrText>
      </w:r>
      <w:r w:rsidR="006B23DC" w:rsidRPr="0072234F">
        <w:rPr>
          <w:rFonts w:ascii="Times New Roman" w:hAnsi="Times New Roman"/>
          <w:szCs w:val="22"/>
          <w:lang w:val="en-GB"/>
        </w:rPr>
        <w:instrText>İç Kale tomb</w:instrText>
      </w:r>
      <w:r w:rsidR="006B23DC">
        <w:instrText xml:space="preserve">" </w:instrText>
      </w:r>
      <w:r w:rsidR="006B23DC">
        <w:rPr>
          <w:rFonts w:asciiTheme="majorBidi" w:hAnsiTheme="majorBidi" w:cstheme="majorBidi"/>
        </w:rPr>
        <w:fldChar w:fldCharType="end"/>
      </w:r>
      <w:r w:rsidRPr="00F03A26">
        <w:rPr>
          <w:rFonts w:asciiTheme="majorBidi" w:hAnsiTheme="majorBidi" w:cstheme="majorBidi"/>
        </w:rPr>
        <w:t>. Pointing out that there is a different architectural order here, he states that behind the hall in front, three more rooms are dug deep into the rock (Tozer, 1881: 351).</w:t>
      </w:r>
    </w:p>
    <w:p w14:paraId="739A9AC5" w14:textId="77777777" w:rsidR="001004F6" w:rsidRPr="00F03A26" w:rsidRDefault="001004F6" w:rsidP="00F03A26">
      <w:pPr>
        <w:jc w:val="both"/>
        <w:rPr>
          <w:rFonts w:asciiTheme="majorBidi" w:hAnsiTheme="majorBidi" w:cstheme="majorBidi"/>
        </w:rPr>
      </w:pPr>
    </w:p>
    <w:p w14:paraId="0D30615E" w14:textId="3F665624" w:rsidR="001004F6" w:rsidRPr="00F03A26" w:rsidRDefault="001004F6" w:rsidP="00F03A26">
      <w:pPr>
        <w:jc w:val="both"/>
        <w:rPr>
          <w:rFonts w:asciiTheme="majorBidi" w:hAnsiTheme="majorBidi" w:cstheme="majorBidi"/>
        </w:rPr>
      </w:pPr>
      <w:r w:rsidRPr="00F03A26">
        <w:rPr>
          <w:rFonts w:asciiTheme="majorBidi" w:hAnsiTheme="majorBidi" w:cstheme="majorBidi"/>
        </w:rPr>
        <w:t>Tozer</w:t>
      </w:r>
      <w:r w:rsidR="001F2587">
        <w:rPr>
          <w:rFonts w:asciiTheme="majorBidi" w:hAnsiTheme="majorBidi" w:cstheme="majorBidi"/>
        </w:rPr>
        <w:fldChar w:fldCharType="begin"/>
      </w:r>
      <w:r w:rsidR="001F2587">
        <w:instrText xml:space="preserve"> XE "</w:instrText>
      </w:r>
      <w:r w:rsidR="001F2587" w:rsidRPr="007E0924">
        <w:rPr>
          <w:rFonts w:asciiTheme="majorBidi" w:hAnsiTheme="majorBidi" w:cstheme="majorBidi"/>
          <w:kern w:val="0"/>
          <w:sz w:val="22"/>
          <w:szCs w:val="22"/>
          <w:lang w:val="en-US"/>
          <w14:ligatures w14:val="none"/>
        </w:rPr>
        <w:instrText>Tozer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next stop is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Caves (Argišti I</w:t>
      </w:r>
      <w:r w:rsidR="001F2587">
        <w:rPr>
          <w:rFonts w:asciiTheme="majorBid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(Tozer, 1881: 352). He said the polished staircase leading down to the burial chamber is slippery. It is so upright that some of his companions refuse to come. He writes that the gardens just below the Horhor Caves are called Horhor.</w:t>
      </w:r>
    </w:p>
    <w:p w14:paraId="141418E9" w14:textId="77777777" w:rsidR="001004F6" w:rsidRPr="00F03A26" w:rsidRDefault="001004F6" w:rsidP="00F03A26">
      <w:pPr>
        <w:jc w:val="both"/>
        <w:rPr>
          <w:rFonts w:asciiTheme="majorBidi" w:hAnsiTheme="majorBidi" w:cstheme="majorBidi"/>
        </w:rPr>
      </w:pPr>
    </w:p>
    <w:p w14:paraId="620C5A3D" w14:textId="06FEA5F2" w:rsidR="001004F6" w:rsidRPr="00F03A26" w:rsidRDefault="001004F6" w:rsidP="00F03A26">
      <w:pPr>
        <w:jc w:val="both"/>
        <w:rPr>
          <w:rFonts w:asciiTheme="majorBidi" w:hAnsiTheme="majorBidi" w:cstheme="majorBidi"/>
        </w:rPr>
      </w:pPr>
      <w:r w:rsidRPr="00F03A26">
        <w:rPr>
          <w:rFonts w:asciiTheme="majorBidi" w:hAnsiTheme="majorBidi" w:cstheme="majorBidi"/>
        </w:rPr>
        <w:t>Previous travelers also mention the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Gardens and the Pasha Palace at this point, Evliya Çelebi</w:t>
      </w:r>
      <w:r w:rsidR="001F2587">
        <w:rPr>
          <w:rFonts w:asciiTheme="majorBidi" w:hAnsiTheme="majorBidi" w:cstheme="majorBidi"/>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references being the earliest among them</w:t>
      </w:r>
      <w:r w:rsidR="003A6C5A" w:rsidRPr="00F03A26">
        <w:rPr>
          <w:rStyle w:val="DipnotBavurusu"/>
          <w:rFonts w:asciiTheme="majorBidi" w:hAnsiTheme="majorBidi" w:cstheme="majorBidi"/>
        </w:rPr>
        <w:footnoteReference w:id="1"/>
      </w:r>
      <w:r w:rsidRPr="00F03A26">
        <w:rPr>
          <w:rFonts w:asciiTheme="majorBidi" w:hAnsiTheme="majorBidi" w:cstheme="majorBidi"/>
        </w:rPr>
        <w:t>.</w:t>
      </w:r>
      <w:r w:rsidR="003A6C5A" w:rsidRPr="00F03A26">
        <w:rPr>
          <w:rFonts w:asciiTheme="majorBidi" w:hAnsiTheme="majorBidi" w:cstheme="majorBidi"/>
        </w:rPr>
        <w:t xml:space="preserve"> </w:t>
      </w:r>
      <w:r w:rsidRPr="00F03A26">
        <w:rPr>
          <w:rFonts w:asciiTheme="majorBidi" w:hAnsiTheme="majorBidi" w:cstheme="majorBidi"/>
        </w:rPr>
        <w:t>It is understood that the water sources in this area gave the region a name, and the burial chamber was called the cave.</w:t>
      </w:r>
    </w:p>
    <w:p w14:paraId="0EEECDD3" w14:textId="77777777" w:rsidR="001004F6" w:rsidRPr="00F03A26" w:rsidRDefault="001004F6" w:rsidP="00F03A26">
      <w:pPr>
        <w:jc w:val="both"/>
        <w:rPr>
          <w:rFonts w:asciiTheme="majorBidi" w:hAnsiTheme="majorBidi" w:cstheme="majorBidi"/>
        </w:rPr>
      </w:pPr>
    </w:p>
    <w:p w14:paraId="7A5ACE32" w14:textId="5BB58E8E" w:rsidR="001004F6" w:rsidRPr="00F03A26" w:rsidRDefault="001004F6" w:rsidP="00F03A26">
      <w:pPr>
        <w:jc w:val="both"/>
        <w:rPr>
          <w:rFonts w:asciiTheme="majorBidi" w:hAnsiTheme="majorBidi" w:cstheme="majorBidi"/>
        </w:rPr>
      </w:pPr>
      <w:r w:rsidRPr="00F03A26">
        <w:rPr>
          <w:rFonts w:asciiTheme="majorBidi" w:hAnsiTheme="majorBidi" w:cstheme="majorBidi"/>
        </w:rPr>
        <w:t>It distinguishes itself from other tombs with its flat ceiling. He writes that there are niches in the main hall and the side rooms. Emphasizing the elegance and polished appearance of the side walls of the grave chambers carved into the bedrock, the Tozer</w:t>
      </w:r>
      <w:r w:rsidR="001F2587">
        <w:rPr>
          <w:rFonts w:asciiTheme="majorBidi" w:hAnsiTheme="majorBidi" w:cstheme="majorBidi"/>
        </w:rPr>
        <w:fldChar w:fldCharType="begin"/>
      </w:r>
      <w:r w:rsidR="001F2587">
        <w:instrText xml:space="preserve"> XE "</w:instrText>
      </w:r>
      <w:r w:rsidR="001F2587" w:rsidRPr="007E0924">
        <w:rPr>
          <w:rFonts w:asciiTheme="majorBidi" w:hAnsiTheme="majorBidi" w:cstheme="majorBidi"/>
          <w:kern w:val="0"/>
          <w:sz w:val="22"/>
          <w:szCs w:val="22"/>
          <w:lang w:val="en-US"/>
          <w14:ligatures w14:val="none"/>
        </w:rPr>
        <w:instrText>Tozer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also talks about the deep room reached by the door opened to the room on the left. He threw a stone into the room and concluded it was not deep (Tozer, 1881: 352). He states that the steps to the left of the wall opposite the entrance may belong to a wooden platform or some temporary arrangement (Tozer, 1881: 352). The traveler also mentions the M.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inscription carved into the bedrock, which can still be seen in this area today.</w:t>
      </w:r>
    </w:p>
    <w:p w14:paraId="08A55D5D" w14:textId="77777777" w:rsidR="001004F6" w:rsidRPr="00F03A26" w:rsidRDefault="001004F6" w:rsidP="00F03A26">
      <w:pPr>
        <w:jc w:val="both"/>
        <w:rPr>
          <w:rFonts w:asciiTheme="majorBidi" w:hAnsiTheme="majorBidi" w:cstheme="majorBidi"/>
        </w:rPr>
      </w:pPr>
    </w:p>
    <w:p w14:paraId="4AFB5C60" w14:textId="77777777" w:rsidR="001004F6" w:rsidRPr="00F03A26" w:rsidRDefault="001004F6" w:rsidP="00F03A26">
      <w:pPr>
        <w:jc w:val="both"/>
        <w:rPr>
          <w:rFonts w:asciiTheme="majorBidi" w:hAnsiTheme="majorBidi" w:cstheme="majorBidi"/>
        </w:rPr>
      </w:pPr>
      <w:r w:rsidRPr="00F03A26">
        <w:rPr>
          <w:rFonts w:asciiTheme="majorBidi" w:hAnsiTheme="majorBidi" w:cstheme="majorBidi"/>
        </w:rPr>
        <w:t xml:space="preserve">Today, this arrangement is mainly associated with the covering of bedrock deterioration encountered during construction with cut stone blocks. In other words, the cracks in the bedrock </w:t>
      </w:r>
      <w:r w:rsidRPr="00F03A26">
        <w:rPr>
          <w:rFonts w:asciiTheme="majorBidi" w:hAnsiTheme="majorBidi" w:cstheme="majorBidi"/>
        </w:rPr>
        <w:lastRenderedPageBreak/>
        <w:t>were closed using a method commonly used by Urartu, and aesthetic and static problems were eliminated.</w:t>
      </w:r>
    </w:p>
    <w:p w14:paraId="2813B36E" w14:textId="77777777" w:rsidR="001004F6" w:rsidRPr="00F03A26" w:rsidRDefault="001004F6" w:rsidP="00F03A26">
      <w:pPr>
        <w:jc w:val="both"/>
        <w:rPr>
          <w:rFonts w:asciiTheme="majorBidi" w:hAnsiTheme="majorBidi" w:cstheme="majorBidi"/>
          <w:color w:val="000000" w:themeColor="text1"/>
          <w:lang w:val="en-GB"/>
        </w:rPr>
      </w:pPr>
    </w:p>
    <w:p w14:paraId="16D753A9" w14:textId="1EF277CC" w:rsidR="001004F6" w:rsidRPr="00F03A26" w:rsidRDefault="001004F6" w:rsidP="00F03A26">
      <w:pPr>
        <w:jc w:val="both"/>
        <w:rPr>
          <w:rFonts w:asciiTheme="majorBidi" w:hAnsiTheme="majorBidi" w:cstheme="majorBidi"/>
        </w:rPr>
      </w:pPr>
      <w:r w:rsidRPr="00F03A26">
        <w:rPr>
          <w:rFonts w:asciiTheme="majorBidi" w:hAnsiTheme="majorBidi" w:cstheme="majorBidi"/>
        </w:rPr>
        <w:t>Tozer</w:t>
      </w:r>
      <w:r w:rsidR="001F2587">
        <w:rPr>
          <w:rFonts w:asciiTheme="majorBidi" w:hAnsiTheme="majorBidi" w:cstheme="majorBidi"/>
        </w:rPr>
        <w:fldChar w:fldCharType="begin"/>
      </w:r>
      <w:r w:rsidR="001F2587">
        <w:instrText xml:space="preserve"> XE "</w:instrText>
      </w:r>
      <w:r w:rsidR="001F2587" w:rsidRPr="007E0924">
        <w:rPr>
          <w:rFonts w:asciiTheme="majorBidi" w:hAnsiTheme="majorBidi" w:cstheme="majorBidi"/>
          <w:kern w:val="0"/>
          <w:sz w:val="22"/>
          <w:szCs w:val="22"/>
          <w:lang w:val="en-US"/>
          <w14:ligatures w14:val="none"/>
        </w:rPr>
        <w:instrText>Tozer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also mentions the holes drilled at regular intervals between the niches and finds it more accurate to associate them with metal plate connections, as in the examples he encountered in Amasya. The traveler makes some predictions about the functions of the tombs. He compares it with the rock-cut structures he encountered in Amasya, Ürgüp, Göreme, Palu, and Ahlat. He says the Cappadocian specimens carved into tuff-type rocks may have been used as dwellings. However, he emphasizes that the Amasya, Palu, and Van examples are the product of more skilled craftsmanship. They should have been the burial places of the kings with their professional craftsmanship and plans and, more importantly, their inscriptions (Tozer, 1881: 355 ff). While saying these, he refers to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similar observations about caves.</w:t>
      </w:r>
    </w:p>
    <w:p w14:paraId="5DB145EC" w14:textId="77777777" w:rsidR="001004F6" w:rsidRPr="00F03A26" w:rsidRDefault="001004F6" w:rsidP="00F03A26">
      <w:pPr>
        <w:jc w:val="both"/>
        <w:rPr>
          <w:rFonts w:asciiTheme="majorBidi" w:hAnsiTheme="majorBidi" w:cstheme="majorBidi"/>
        </w:rPr>
      </w:pPr>
    </w:p>
    <w:p w14:paraId="74D44C2B" w14:textId="085900DC" w:rsidR="001004F6" w:rsidRPr="00F03A26" w:rsidRDefault="001004F6" w:rsidP="00F03A26">
      <w:pPr>
        <w:jc w:val="both"/>
        <w:rPr>
          <w:rFonts w:asciiTheme="majorBidi" w:hAnsiTheme="majorBidi" w:cstheme="majorBidi"/>
        </w:rPr>
      </w:pPr>
      <w:r w:rsidRPr="00F03A26">
        <w:rPr>
          <w:rFonts w:asciiTheme="majorBidi" w:hAnsiTheme="majorBidi" w:cstheme="majorBidi"/>
        </w:rPr>
        <w:t>Three cuneiform inscriptions that Tozer</w:t>
      </w:r>
      <w:r w:rsidR="001F2587">
        <w:rPr>
          <w:rFonts w:asciiTheme="majorBidi" w:hAnsiTheme="majorBidi" w:cstheme="majorBidi"/>
        </w:rPr>
        <w:fldChar w:fldCharType="begin"/>
      </w:r>
      <w:r w:rsidR="001F2587">
        <w:instrText xml:space="preserve"> XE "</w:instrText>
      </w:r>
      <w:r w:rsidR="001F2587" w:rsidRPr="007E0924">
        <w:rPr>
          <w:rFonts w:asciiTheme="majorBidi" w:hAnsiTheme="majorBidi" w:cstheme="majorBidi"/>
          <w:kern w:val="0"/>
          <w:sz w:val="22"/>
          <w:szCs w:val="22"/>
          <w:lang w:val="en-US"/>
          <w14:ligatures w14:val="none"/>
        </w:rPr>
        <w:instrText>Tozer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saw as he moved east along the northern edge of the cliff outside the city walls are what we now call the 'Fountain of Minua</w:t>
      </w:r>
      <w:r w:rsidR="00C1513A">
        <w:rPr>
          <w:rFonts w:asciiTheme="majorBid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hAnsiTheme="majorBidi" w:cstheme="majorBidi"/>
        </w:rPr>
        <w:fldChar w:fldCharType="end"/>
      </w:r>
      <w:r w:rsidRPr="00F03A26">
        <w:rPr>
          <w:rFonts w:asciiTheme="majorBidi" w:hAnsiTheme="majorBidi" w:cstheme="majorBidi"/>
        </w:rPr>
        <w:t>.' The last thing Old Van City</w:t>
      </w:r>
      <w:r w:rsidR="00647545">
        <w:rPr>
          <w:rFonts w:asciiTheme="majorBidi" w:hAnsiTheme="majorBidi" w:cstheme="majorBidi"/>
        </w:rPr>
        <w:fldChar w:fldCharType="begin"/>
      </w:r>
      <w:r w:rsidR="00647545">
        <w:instrText xml:space="preserve"> XE "</w:instrText>
      </w:r>
      <w:r w:rsidR="00647545" w:rsidRPr="00756E33">
        <w:rPr>
          <w:rFonts w:asciiTheme="majorBidi" w:hAnsiTheme="majorBidi" w:cstheme="majorBidi"/>
        </w:rPr>
        <w:instrText>Old Van City</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draws attention to before entering the Tabriz Gate</w:t>
      </w:r>
      <w:r w:rsidR="00647545">
        <w:rPr>
          <w:rFonts w:asciiTheme="majorBidi" w:hAnsiTheme="majorBidi" w:cstheme="majorBidi"/>
        </w:rPr>
        <w:fldChar w:fldCharType="begin"/>
      </w:r>
      <w:r w:rsidR="00647545">
        <w:instrText xml:space="preserve"> XE "</w:instrText>
      </w:r>
      <w:r w:rsidR="00647545" w:rsidRPr="003F67E3">
        <w:rPr>
          <w:rFonts w:asciiTheme="majorBidi" w:hAnsiTheme="majorBidi" w:cstheme="majorBidi"/>
        </w:rPr>
        <w:instrText>Tabriz Gate</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on his ongoing tour is the Analıkız</w:t>
      </w:r>
      <w:r w:rsidR="00647545">
        <w:rPr>
          <w:rFonts w:asciiTheme="majorBid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Monument. It indicates that one of the arched recesses in the rock is inscribed. Tozer also writes in his book that Schulz</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first copied the cuneiform script in 1827. According to him, these examples have the same characteristics as the inscriptions encountered in the south of Armenia</w:t>
      </w:r>
      <w:r w:rsidR="001F2587">
        <w:rPr>
          <w:rFonts w:asciiTheme="majorBidi" w:hAnsiTheme="majorBidi" w:cstheme="majorBidi"/>
        </w:rPr>
        <w:fldChar w:fldCharType="begin"/>
      </w:r>
      <w:r w:rsidR="001F2587">
        <w:instrText xml:space="preserve"> XE "</w:instrText>
      </w:r>
      <w:r w:rsidR="001F2587" w:rsidRPr="00AB114E">
        <w:rPr>
          <w:rFonts w:asciiTheme="majorBidi" w:hAnsiTheme="majorBidi" w:cstheme="majorBidi"/>
        </w:rPr>
        <w:instrText>Armenia</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in Palu, and elsewhere on the lake. The cuneiform used in the inscriptions is Assyrian</w:t>
      </w:r>
      <w:r w:rsidR="001F2587">
        <w:rPr>
          <w:rFonts w:asciiTheme="majorBid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but its language is not Assyrian. He says they must belong to other people who used Assyrian cuneiform to express their language (Tozer, 1881: 354). In the following pages, he repeats a general history of Van by quoting Movses</w:t>
      </w:r>
      <w:r w:rsidR="001F2587">
        <w:rPr>
          <w:rFonts w:asciiTheme="majorBidi" w:hAnsiTheme="majorBidi" w:cstheme="majorBidi"/>
        </w:rPr>
        <w:fldChar w:fldCharType="begin"/>
      </w:r>
      <w:r w:rsidR="001F2587">
        <w:instrText xml:space="preserve"> XE "</w:instrText>
      </w:r>
      <w:r w:rsidR="001F2587" w:rsidRPr="0062015B">
        <w:rPr>
          <w:rFonts w:asciiTheme="majorBidi" w:hAnsiTheme="majorBidi" w:cstheme="majorBidi"/>
          <w:kern w:val="0"/>
          <w:sz w:val="22"/>
          <w:szCs w:val="22"/>
          <w:lang w:val="en-US"/>
          <w14:ligatures w14:val="none"/>
        </w:rPr>
        <w:instrText>Movses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Khorenatsi, as other researchers and travelers do (Tozer, 1881: 359 ff.).</w:t>
      </w:r>
    </w:p>
    <w:p w14:paraId="0F7AFADF" w14:textId="77777777" w:rsidR="001004F6" w:rsidRPr="00F03A26" w:rsidRDefault="001004F6" w:rsidP="00F03A26">
      <w:pPr>
        <w:jc w:val="both"/>
        <w:rPr>
          <w:rFonts w:asciiTheme="majorBidi" w:hAnsiTheme="majorBidi" w:cstheme="majorBidi"/>
        </w:rPr>
      </w:pPr>
    </w:p>
    <w:p w14:paraId="7BF6EA0A" w14:textId="3699BD8F" w:rsidR="001004F6" w:rsidRPr="00F03A26" w:rsidRDefault="001004F6" w:rsidP="00F03A26">
      <w:pPr>
        <w:jc w:val="both"/>
        <w:rPr>
          <w:rFonts w:asciiTheme="majorBidi" w:hAnsiTheme="majorBidi" w:cstheme="majorBidi"/>
        </w:rPr>
      </w:pPr>
      <w:r w:rsidRPr="00F03A26">
        <w:rPr>
          <w:rFonts w:asciiTheme="majorBidi" w:hAnsiTheme="majorBidi" w:cstheme="majorBidi"/>
        </w:rPr>
        <w:t>Ernest Chantre</w:t>
      </w:r>
      <w:r w:rsidR="001F2587">
        <w:rPr>
          <w:rFonts w:asciiTheme="majorBidi" w:hAnsiTheme="majorBidi" w:cstheme="majorBidi"/>
        </w:rPr>
        <w:fldChar w:fldCharType="begin"/>
      </w:r>
      <w:r w:rsidR="001F2587">
        <w:instrText xml:space="preserve"> XE "</w:instrText>
      </w:r>
      <w:r w:rsidR="001F2587" w:rsidRPr="00B42CDA">
        <w:rPr>
          <w:rFonts w:asciiTheme="majorBidi" w:hAnsiTheme="majorBidi" w:cstheme="majorBidi"/>
          <w:kern w:val="0"/>
          <w:sz w:val="22"/>
          <w:szCs w:val="22"/>
          <w:lang w:val="en-US"/>
          <w14:ligatures w14:val="none"/>
        </w:rPr>
        <w:instrText>Chantre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and Capitaine Barry</w:t>
      </w:r>
      <w:r w:rsidR="004809DA">
        <w:rPr>
          <w:rFonts w:asciiTheme="majorBidi" w:hAnsiTheme="majorBidi" w:cstheme="majorBidi"/>
        </w:rPr>
        <w:fldChar w:fldCharType="begin"/>
      </w:r>
      <w:r w:rsidR="004809DA">
        <w:instrText xml:space="preserve"> XE "</w:instrText>
      </w:r>
      <w:r w:rsidR="004809DA" w:rsidRPr="0000391D">
        <w:rPr>
          <w:rFonts w:asciiTheme="majorBidi" w:hAnsiTheme="majorBidi" w:cstheme="majorBidi"/>
        </w:rPr>
        <w:instrText>Capitaine Barry</w:instrText>
      </w:r>
      <w:r w:rsidR="004809DA">
        <w:instrText xml:space="preserve">" </w:instrText>
      </w:r>
      <w:r w:rsidR="004809DA">
        <w:rPr>
          <w:rFonts w:asciiTheme="majorBidi" w:hAnsiTheme="majorBidi" w:cstheme="majorBidi"/>
        </w:rPr>
        <w:fldChar w:fldCharType="end"/>
      </w:r>
      <w:r w:rsidRPr="00F03A26">
        <w:rPr>
          <w:rFonts w:asciiTheme="majorBidi" w:hAnsiTheme="majorBidi" w:cstheme="majorBidi"/>
        </w:rPr>
        <w:t>'s photographs of Toprakkale</w:t>
      </w:r>
      <w:r w:rsidR="003A6C5A" w:rsidRPr="00F03A26">
        <w:rPr>
          <w:rStyle w:val="DipnotBavurusu"/>
          <w:rFonts w:asciiTheme="majorBidi" w:hAnsiTheme="majorBidi" w:cstheme="majorBidi"/>
        </w:rPr>
        <w:footnoteReference w:id="2"/>
      </w:r>
      <w:r w:rsidRPr="00F03A26">
        <w:rPr>
          <w:rFonts w:asciiTheme="majorBidi" w:hAnsiTheme="majorBidi" w:cstheme="majorBidi"/>
        </w:rPr>
        <w:t>, Van Fortress and the city are particularly striking in the images they published in 1881. They photographed the Van Fortress from various angles from the west, south, and east, and thus, essential photos of the city and the fortress have survived to the present day. From the west, the fortification belt surrounding the city, the walls and bastions in the citadel, the Neft Kuyu</w:t>
      </w:r>
      <w:r w:rsidR="001F2587">
        <w:rPr>
          <w:rFonts w:asciiTheme="majorBidi" w:hAnsiTheme="majorBidi" w:cstheme="majorBidi"/>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the Doğu Odaları</w:t>
      </w:r>
      <w:r w:rsidR="001F2587">
        <w:rPr>
          <w:rFonts w:asciiTheme="majorBidi" w:hAnsiTheme="majorBidi" w:cstheme="majorBidi"/>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and even the cremation tomb can be seen (Fig. 11) (Chantre &amp; Barry, 1881: F. 8-14).</w:t>
      </w:r>
    </w:p>
    <w:p w14:paraId="4A7D8834" w14:textId="77777777" w:rsidR="001004F6" w:rsidRPr="00F03A26" w:rsidRDefault="001004F6" w:rsidP="00F03A26">
      <w:pPr>
        <w:jc w:val="both"/>
        <w:rPr>
          <w:rFonts w:asciiTheme="majorBidi" w:hAnsiTheme="majorBidi" w:cstheme="majorBidi"/>
          <w:color w:val="000000" w:themeColor="text1"/>
          <w:lang w:val="en-GB"/>
        </w:rPr>
      </w:pPr>
    </w:p>
    <w:p w14:paraId="4CDF156C"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lastRenderedPageBreak/>
        <w:drawing>
          <wp:inline distT="0" distB="0" distL="0" distR="0" wp14:anchorId="6D0AAF3B" wp14:editId="4DF14FD0">
            <wp:extent cx="5733415" cy="3434080"/>
            <wp:effectExtent l="0" t="0" r="0" b="0"/>
            <wp:docPr id="1064842918" name="Resim 1064842918" descr="metin,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8" name="Resim 1064842918" descr="metin, dış mekan içeren bir resim&#10;&#10;Açıklama otomatik olarak oluşturuldu"/>
                    <pic:cNvPicPr/>
                  </pic:nvPicPr>
                  <pic:blipFill>
                    <a:blip r:embed="rId20" cstate="email">
                      <a:extLst>
                        <a:ext uri="{28A0092B-C50C-407E-A947-70E740481C1C}">
                          <a14:useLocalDpi xmlns:a14="http://schemas.microsoft.com/office/drawing/2010/main"/>
                        </a:ext>
                      </a:extLst>
                    </a:blip>
                    <a:stretch>
                      <a:fillRect/>
                    </a:stretch>
                  </pic:blipFill>
                  <pic:spPr>
                    <a:xfrm>
                      <a:off x="0" y="0"/>
                      <a:ext cx="5733415" cy="3434080"/>
                    </a:xfrm>
                    <a:prstGeom prst="rect">
                      <a:avLst/>
                    </a:prstGeom>
                  </pic:spPr>
                </pic:pic>
              </a:graphicData>
            </a:graphic>
          </wp:inline>
        </w:drawing>
      </w:r>
    </w:p>
    <w:p w14:paraId="2545A49B" w14:textId="45E22C36"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 xml:space="preserve">Fig. 11 </w:t>
      </w:r>
      <w:r w:rsidR="00C1513A">
        <w:rPr>
          <w:rFonts w:asciiTheme="majorBidi" w:hAnsiTheme="majorBidi" w:cstheme="majorBidi"/>
          <w:lang w:val="en-GB"/>
        </w:rPr>
        <w:t>Old Van City</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00C1513A">
        <w:rPr>
          <w:rFonts w:asciiTheme="majorBidi" w:hAnsiTheme="majorBidi" w:cstheme="majorBidi"/>
          <w:color w:val="000000" w:themeColor="text1"/>
          <w:lang w:val="en-GB"/>
        </w:rPr>
        <w:instrText>Old Van City</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Van Fortress (Chantre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Chantre</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eastAsia="Times New Roman" w:hAnsiTheme="majorBidi" w:cstheme="majorBidi"/>
          <w:lang w:val="en-GB" w:bidi="he-IL"/>
        </w:rPr>
        <w:t xml:space="preserve">&amp; </w:t>
      </w:r>
      <w:r w:rsidRPr="00F03A26">
        <w:rPr>
          <w:rFonts w:asciiTheme="majorBidi" w:hAnsiTheme="majorBidi" w:cstheme="majorBidi"/>
          <w:lang w:val="en-GB"/>
        </w:rPr>
        <w:t>Barry, 1881: F. 8-14).</w:t>
      </w:r>
    </w:p>
    <w:p w14:paraId="7BC89603" w14:textId="77777777" w:rsidR="001004F6" w:rsidRPr="00F03A26" w:rsidRDefault="001004F6" w:rsidP="00F03A26">
      <w:pPr>
        <w:jc w:val="both"/>
        <w:rPr>
          <w:rFonts w:asciiTheme="majorBidi" w:hAnsiTheme="majorBidi" w:cstheme="majorBidi"/>
          <w:color w:val="000000" w:themeColor="text1"/>
          <w:lang w:val="en-GB"/>
        </w:rPr>
      </w:pPr>
    </w:p>
    <w:p w14:paraId="592FEAC6" w14:textId="661B76ED" w:rsidR="001004F6" w:rsidRPr="00F03A26" w:rsidRDefault="001004F6" w:rsidP="00F03A26">
      <w:pPr>
        <w:jc w:val="both"/>
        <w:rPr>
          <w:rFonts w:asciiTheme="majorBidi" w:hAnsiTheme="majorBidi" w:cstheme="majorBidi"/>
        </w:rPr>
      </w:pPr>
      <w:r w:rsidRPr="00F03A26">
        <w:rPr>
          <w:rFonts w:asciiTheme="majorBidi" w:hAnsiTheme="majorBidi" w:cstheme="majorBidi"/>
        </w:rPr>
        <w:t>On October 7, 1888, P. Müller-Simonis</w:t>
      </w:r>
      <w:r w:rsidR="001F2587">
        <w:rPr>
          <w:rFonts w:asciiTheme="majorBidi" w:hAnsiTheme="majorBidi" w:cstheme="majorBidi"/>
        </w:rPr>
        <w:fldChar w:fldCharType="begin"/>
      </w:r>
      <w:r w:rsidR="001F2587">
        <w:instrText xml:space="preserve"> XE "</w:instrText>
      </w:r>
      <w:r w:rsidR="001F2587" w:rsidRPr="003F2E53">
        <w:rPr>
          <w:rFonts w:asciiTheme="majorBidi" w:hAnsiTheme="majorBidi" w:cstheme="majorBidi"/>
          <w:kern w:val="0"/>
          <w:sz w:val="22"/>
          <w:szCs w:val="22"/>
          <w:lang w:val="en-US"/>
          <w14:ligatures w14:val="none"/>
        </w:rPr>
        <w:instrText>Müller-Simonis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and H. Hyvernat</w:t>
      </w:r>
      <w:r w:rsidR="001F2587">
        <w:rPr>
          <w:rFonts w:asciiTheme="majorBidi" w:hAnsiTheme="majorBidi" w:cstheme="majorBidi"/>
        </w:rPr>
        <w:fldChar w:fldCharType="begin"/>
      </w:r>
      <w:r w:rsidR="001F2587">
        <w:instrText xml:space="preserve"> XE "</w:instrText>
      </w:r>
      <w:r w:rsidR="001F2587" w:rsidRPr="00616BED">
        <w:rPr>
          <w:rFonts w:asciiTheme="majorBidi" w:hAnsiTheme="majorBidi" w:cstheme="majorBidi"/>
          <w:kern w:val="0"/>
          <w:sz w:val="22"/>
          <w:szCs w:val="22"/>
          <w:lang w:val="en-US"/>
          <w14:ligatures w14:val="none"/>
        </w:rPr>
        <w:instrText>Hyvernat</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came to Van as part of their research trip to Eastern Anatolia, the Caucasus, and Iran (Müller-Simonis &amp; Hyvernat, 1892: 221). Although Simonis does not go far beyond the standard narratives of other travelers in his book, the Van plan/map he published, photographs, and documentation offer a different perspective in understanding the urban texture and demography of the region at that time. Engravings, drawings, plans, and published photographs allow us to make more objective descriptions. The two engravings/drawings Simonis published are not very different from those published by previous travelers. The usual silhouette with the Ṭušpa</w:t>
      </w:r>
      <w:r w:rsidR="004809DA">
        <w:rPr>
          <w:rFonts w:asciiTheme="majorBidi" w:hAnsiTheme="majorBidi" w:cstheme="majorBidi"/>
        </w:rPr>
        <w:t>/Van</w:t>
      </w:r>
      <w:r w:rsidRPr="00F03A26">
        <w:rPr>
          <w:rFonts w:asciiTheme="majorBidi" w:hAnsiTheme="majorBidi" w:cstheme="majorBidi"/>
        </w:rPr>
        <w:t xml:space="preserve"> Rock and the round towers in front of it is repeated. On the other hand, the other drawing depicts the city from the Tabriz </w:t>
      </w:r>
      <w:r w:rsidR="00E2269D">
        <w:rPr>
          <w:rFonts w:asciiTheme="majorBidi" w:hAnsiTheme="majorBidi" w:cstheme="majorBidi"/>
        </w:rPr>
        <w:t>Gate</w:t>
      </w:r>
      <w:r w:rsidR="00E2269D">
        <w:rPr>
          <w:rFonts w:asciiTheme="majorBidi" w:hAnsiTheme="majorBidi" w:cstheme="majorBidi"/>
        </w:rPr>
        <w:fldChar w:fldCharType="begin"/>
      </w:r>
      <w:r w:rsidR="00E2269D">
        <w:instrText xml:space="preserve"> XE "</w:instrText>
      </w:r>
      <w:r w:rsidR="00E2269D" w:rsidRPr="001A75DD">
        <w:rPr>
          <w:rFonts w:asciiTheme="majorBidi" w:hAnsiTheme="majorBidi" w:cstheme="majorBidi"/>
        </w:rPr>
        <w:instrText>Tabriz Gate</w:instrText>
      </w:r>
      <w:r w:rsidR="00E2269D">
        <w:instrText xml:space="preserve">" </w:instrText>
      </w:r>
      <w:r w:rsidR="00E2269D">
        <w:rPr>
          <w:rFonts w:asciiTheme="majorBidi" w:hAnsiTheme="majorBidi" w:cstheme="majorBidi"/>
        </w:rPr>
        <w:fldChar w:fldCharType="end"/>
      </w:r>
      <w:r w:rsidRPr="00F03A26">
        <w:rPr>
          <w:rFonts w:asciiTheme="majorBidi" w:hAnsiTheme="majorBidi" w:cstheme="majorBidi"/>
        </w:rPr>
        <w:t xml:space="preserve"> locality from the same angle as the other examples. Simonis's work differs because he published the plan/map of the town with the gardens for the first time after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(Fig. 12).</w:t>
      </w:r>
    </w:p>
    <w:p w14:paraId="1E4E872C"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lastRenderedPageBreak/>
        <w:drawing>
          <wp:inline distT="0" distB="0" distL="0" distR="0" wp14:anchorId="3D8FAF43" wp14:editId="4C4368DE">
            <wp:extent cx="5733415" cy="3674745"/>
            <wp:effectExtent l="0" t="0" r="0" b="0"/>
            <wp:docPr id="1064842919" name="Resim 1064842919"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descr="diyagram içeren bir resim&#10;&#10;Açıklama otomatik olarak oluşturuldu"/>
                    <pic:cNvPicPr/>
                  </pic:nvPicPr>
                  <pic:blipFill>
                    <a:blip r:embed="rId21" cstate="email">
                      <a:extLst>
                        <a:ext uri="{28A0092B-C50C-407E-A947-70E740481C1C}">
                          <a14:useLocalDpi xmlns:a14="http://schemas.microsoft.com/office/drawing/2010/main"/>
                        </a:ext>
                      </a:extLst>
                    </a:blip>
                    <a:stretch>
                      <a:fillRect/>
                    </a:stretch>
                  </pic:blipFill>
                  <pic:spPr>
                    <a:xfrm>
                      <a:off x="0" y="0"/>
                      <a:ext cx="5733415" cy="3674745"/>
                    </a:xfrm>
                    <a:prstGeom prst="rect">
                      <a:avLst/>
                    </a:prstGeom>
                  </pic:spPr>
                </pic:pic>
              </a:graphicData>
            </a:graphic>
          </wp:inline>
        </w:drawing>
      </w:r>
    </w:p>
    <w:p w14:paraId="45A46346" w14:textId="669DEB00"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 xml:space="preserve"> Fig. 12 Plan of the </w:t>
      </w:r>
      <w:r w:rsidR="00C1513A">
        <w:rPr>
          <w:rFonts w:asciiTheme="majorBidi" w:hAnsiTheme="majorBidi" w:cstheme="majorBidi"/>
          <w:lang w:val="en-GB"/>
        </w:rPr>
        <w:t>Old Van City</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00C1513A">
        <w:rPr>
          <w:rFonts w:asciiTheme="majorBidi" w:hAnsiTheme="majorBidi" w:cstheme="majorBidi"/>
          <w:color w:val="000000" w:themeColor="text1"/>
          <w:lang w:val="en-GB"/>
        </w:rPr>
        <w:instrText>Old Van City</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Van Fortress (Müller- Simonis </w:t>
      </w:r>
      <w:r w:rsidRPr="00F03A26">
        <w:rPr>
          <w:rFonts w:asciiTheme="majorBidi" w:eastAsia="Times New Roman" w:hAnsiTheme="majorBidi" w:cstheme="majorBidi"/>
          <w:lang w:val="en-GB" w:bidi="he-IL"/>
        </w:rPr>
        <w:t xml:space="preserve">&amp; </w:t>
      </w:r>
      <w:r w:rsidRPr="00F03A26">
        <w:rPr>
          <w:rFonts w:asciiTheme="majorBidi" w:hAnsiTheme="majorBidi" w:cstheme="majorBidi"/>
          <w:lang w:val="en-GB"/>
        </w:rPr>
        <w:t>Hyvernat</w:t>
      </w:r>
      <w:r w:rsidR="001F2587">
        <w:rPr>
          <w:rFonts w:asciiTheme="majorBidi" w:hAnsiTheme="majorBidi" w:cstheme="majorBidi"/>
          <w:lang w:val="en-GB"/>
        </w:rPr>
        <w:fldChar w:fldCharType="begin"/>
      </w:r>
      <w:r w:rsidR="001F2587">
        <w:instrText xml:space="preserve"> XE "</w:instrText>
      </w:r>
      <w:r w:rsidR="001F2587" w:rsidRPr="00616BED">
        <w:rPr>
          <w:rFonts w:asciiTheme="majorBidi" w:hAnsiTheme="majorBidi" w:cstheme="majorBidi"/>
          <w:kern w:val="0"/>
          <w:sz w:val="22"/>
          <w:szCs w:val="22"/>
          <w:lang w:val="en-US"/>
          <w14:ligatures w14:val="none"/>
        </w:rPr>
        <w:instrText>Hyvernat</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1892: 245).</w:t>
      </w:r>
    </w:p>
    <w:p w14:paraId="4E81486C" w14:textId="77777777" w:rsidR="001004F6" w:rsidRPr="00F03A26" w:rsidRDefault="001004F6" w:rsidP="00F03A26">
      <w:pPr>
        <w:jc w:val="both"/>
        <w:rPr>
          <w:rFonts w:asciiTheme="majorBidi" w:hAnsiTheme="majorBidi" w:cstheme="majorBidi"/>
          <w:color w:val="000000" w:themeColor="text1"/>
          <w:lang w:val="en-GB"/>
        </w:rPr>
      </w:pPr>
    </w:p>
    <w:p w14:paraId="50C448D3" w14:textId="64A604F0" w:rsidR="001004F6" w:rsidRPr="00F03A26" w:rsidRDefault="001004F6" w:rsidP="00F03A26">
      <w:pPr>
        <w:jc w:val="both"/>
        <w:rPr>
          <w:rFonts w:asciiTheme="majorBidi" w:hAnsiTheme="majorBidi" w:cstheme="majorBidi"/>
        </w:rPr>
      </w:pPr>
      <w:r w:rsidRPr="00F03A26">
        <w:rPr>
          <w:rFonts w:asciiTheme="majorBidi" w:hAnsiTheme="majorBidi" w:cstheme="majorBidi"/>
        </w:rPr>
        <w:t>British traveler Lynch</w:t>
      </w:r>
      <w:r w:rsidR="00B03080">
        <w:rPr>
          <w:rFonts w:asciiTheme="majorBidi" w:hAnsiTheme="majorBidi" w:cstheme="majorBidi"/>
        </w:rPr>
        <w:t xml:space="preserve"> </w:t>
      </w:r>
      <w:r w:rsidR="00647545">
        <w:rPr>
          <w:rFonts w:asciiTheme="majorBidi" w:hAnsiTheme="majorBidi" w:cstheme="majorBidi"/>
        </w:rPr>
        <w:fldChar w:fldCharType="begin"/>
      </w:r>
      <w:r w:rsidR="00647545">
        <w:instrText xml:space="preserve"> XE "</w:instrText>
      </w:r>
      <w:r w:rsidR="00647545" w:rsidRPr="00FE6B44">
        <w:rPr>
          <w:rFonts w:asciiTheme="majorBidi" w:hAnsiTheme="majorBidi" w:cstheme="majorBidi"/>
        </w:rPr>
        <w:instrText>Lynch</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who visited Van in 1898, provides new details about its appearance in the late 19th century with the city plan he developed from Müller-Simonis</w:t>
      </w:r>
      <w:r w:rsidR="001F2587">
        <w:rPr>
          <w:rFonts w:asciiTheme="majorBidi" w:hAnsiTheme="majorBidi" w:cstheme="majorBidi"/>
        </w:rPr>
        <w:fldChar w:fldCharType="begin"/>
      </w:r>
      <w:r w:rsidR="001F2587">
        <w:instrText xml:space="preserve"> XE "</w:instrText>
      </w:r>
      <w:r w:rsidR="001F2587" w:rsidRPr="003F2E53">
        <w:rPr>
          <w:rFonts w:asciiTheme="majorBidi" w:hAnsiTheme="majorBidi" w:cstheme="majorBidi"/>
          <w:kern w:val="0"/>
          <w:sz w:val="22"/>
          <w:szCs w:val="22"/>
          <w:lang w:val="en-US"/>
          <w14:ligatures w14:val="none"/>
        </w:rPr>
        <w:instrText>Müller-Simonis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his photographs, and some detailed descriptions (Fig. 13). He also devoted a large section to the Urartians and their works in his book. Lynch states that about 30 thousand people may live in Van, including in the gardens, of which 20 thousand are Muslims and 10 thousand Armenians (Lynch, 1901: 78).</w:t>
      </w:r>
    </w:p>
    <w:p w14:paraId="152AAE95" w14:textId="77777777" w:rsidR="001004F6" w:rsidRPr="00F03A26" w:rsidRDefault="001004F6" w:rsidP="00F03A26">
      <w:pPr>
        <w:jc w:val="both"/>
        <w:rPr>
          <w:rFonts w:asciiTheme="majorBidi" w:hAnsiTheme="majorBidi" w:cstheme="majorBidi"/>
          <w:color w:val="000000" w:themeColor="text1"/>
          <w:lang w:val="en-GB"/>
        </w:rPr>
      </w:pPr>
    </w:p>
    <w:p w14:paraId="21783B22"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511AEA15" wp14:editId="109314E1">
            <wp:extent cx="5414838" cy="2932612"/>
            <wp:effectExtent l="0" t="0" r="0" b="1270"/>
            <wp:docPr id="1064842920" name="Resim 1064842920" descr="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0" name="Resim 1064842920" descr="metin, harita içeren bir resim&#10;&#10;Açıklama otomatik olarak oluşturuldu"/>
                    <pic:cNvPicPr/>
                  </pic:nvPicPr>
                  <pic:blipFill>
                    <a:blip r:embed="rId22" cstate="email">
                      <a:extLst>
                        <a:ext uri="{28A0092B-C50C-407E-A947-70E740481C1C}">
                          <a14:useLocalDpi xmlns:a14="http://schemas.microsoft.com/office/drawing/2010/main"/>
                        </a:ext>
                      </a:extLst>
                    </a:blip>
                    <a:stretch>
                      <a:fillRect/>
                    </a:stretch>
                  </pic:blipFill>
                  <pic:spPr>
                    <a:xfrm>
                      <a:off x="0" y="0"/>
                      <a:ext cx="5426997" cy="2939197"/>
                    </a:xfrm>
                    <a:prstGeom prst="rect">
                      <a:avLst/>
                    </a:prstGeom>
                  </pic:spPr>
                </pic:pic>
              </a:graphicData>
            </a:graphic>
          </wp:inline>
        </w:drawing>
      </w:r>
    </w:p>
    <w:p w14:paraId="1C815940" w14:textId="534D5F5A"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 xml:space="preserve">Fig. 13 Plan of the </w:t>
      </w:r>
      <w:r w:rsidR="00C1513A">
        <w:rPr>
          <w:rFonts w:asciiTheme="majorBidi" w:hAnsiTheme="majorBidi" w:cstheme="majorBidi"/>
          <w:lang w:val="en-GB"/>
        </w:rPr>
        <w:t>Old Van City</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00C1513A">
        <w:rPr>
          <w:rFonts w:asciiTheme="majorBidi" w:hAnsiTheme="majorBidi" w:cstheme="majorBidi"/>
          <w:color w:val="000000" w:themeColor="text1"/>
          <w:lang w:val="en-GB"/>
        </w:rPr>
        <w:instrText>Old Van City</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Van Fortress (Lynch</w:t>
      </w:r>
      <w:r w:rsidR="00647545">
        <w:rPr>
          <w:rFonts w:asciiTheme="majorBidi" w:hAnsiTheme="majorBidi" w:cstheme="majorBidi"/>
          <w:lang w:val="en-GB"/>
        </w:rPr>
        <w:fldChar w:fldCharType="begin"/>
      </w:r>
      <w:r w:rsidR="00647545">
        <w:instrText xml:space="preserve"> XE "</w:instrText>
      </w:r>
      <w:r w:rsidR="00647545" w:rsidRPr="00FE6B44">
        <w:rPr>
          <w:rFonts w:asciiTheme="majorBidi" w:hAnsiTheme="majorBidi" w:cstheme="majorBidi"/>
        </w:rPr>
        <w:instrText>Lynch</w:instrText>
      </w:r>
      <w:r w:rsidR="00647545">
        <w:instrText xml:space="preserve">" </w:instrText>
      </w:r>
      <w:r w:rsidR="00647545">
        <w:rPr>
          <w:rFonts w:asciiTheme="majorBidi" w:hAnsiTheme="majorBidi" w:cstheme="majorBidi"/>
          <w:lang w:val="en-GB"/>
        </w:rPr>
        <w:fldChar w:fldCharType="end"/>
      </w:r>
      <w:r w:rsidRPr="00F03A26">
        <w:rPr>
          <w:rFonts w:asciiTheme="majorBidi" w:hAnsiTheme="majorBidi" w:cstheme="majorBidi"/>
          <w:lang w:val="en-GB"/>
        </w:rPr>
        <w:t>, 1901: 58).</w:t>
      </w:r>
    </w:p>
    <w:p w14:paraId="2949B42F" w14:textId="77777777" w:rsidR="001004F6" w:rsidRPr="00F03A26" w:rsidRDefault="001004F6" w:rsidP="00F03A26">
      <w:pPr>
        <w:jc w:val="both"/>
        <w:rPr>
          <w:rFonts w:asciiTheme="majorBidi" w:hAnsiTheme="majorBidi" w:cstheme="majorBidi"/>
          <w:lang w:val="en-GB"/>
        </w:rPr>
      </w:pPr>
    </w:p>
    <w:p w14:paraId="0B9230F1" w14:textId="79A6F490" w:rsidR="001004F6" w:rsidRPr="00F03A26" w:rsidRDefault="001004F6" w:rsidP="00F03A26">
      <w:pPr>
        <w:jc w:val="both"/>
        <w:rPr>
          <w:rFonts w:asciiTheme="majorBidi" w:hAnsiTheme="majorBidi" w:cstheme="majorBidi"/>
        </w:rPr>
      </w:pPr>
      <w:r w:rsidRPr="00F03A26">
        <w:rPr>
          <w:rFonts w:asciiTheme="majorBidi" w:hAnsiTheme="majorBidi" w:cstheme="majorBidi"/>
        </w:rPr>
        <w:t>Notably, for the first time after Evliya Çelebi</w:t>
      </w:r>
      <w:r w:rsidR="001F2587">
        <w:rPr>
          <w:rFonts w:asciiTheme="majorBidi" w:hAnsiTheme="majorBidi" w:cstheme="majorBidi"/>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someone from the region was included in the various narratives of the foreign researchers who visited Van about the Van Fortress and its city, which have continued for years. In this sense, the book </w:t>
      </w:r>
      <w:r w:rsidR="00FD3038">
        <w:rPr>
          <w:rFonts w:asciiTheme="majorBidi" w:hAnsiTheme="majorBidi" w:cstheme="majorBidi"/>
        </w:rPr>
        <w:t>‘</w:t>
      </w:r>
      <w:r w:rsidRPr="00F03A26">
        <w:rPr>
          <w:rFonts w:asciiTheme="majorBidi" w:hAnsiTheme="majorBidi" w:cstheme="majorBidi"/>
        </w:rPr>
        <w:t>Zobdat al-Vaqayi, Tarikh wa Jughrafyaye Van</w:t>
      </w:r>
      <w:r w:rsidR="00FD3038">
        <w:rPr>
          <w:rFonts w:asciiTheme="majorBidi" w:hAnsiTheme="majorBidi" w:cstheme="majorBidi"/>
        </w:rPr>
        <w:t>’</w:t>
      </w:r>
      <w:r w:rsidRPr="00F03A26">
        <w:rPr>
          <w:rFonts w:asciiTheme="majorBidi" w:hAnsiTheme="majorBidi" w:cstheme="majorBidi"/>
        </w:rPr>
        <w:t xml:space="preserve"> (1888-1889), written by Iranian Consul in Van, Mirza Musa Khan Tabatabai Ansari</w:t>
      </w:r>
      <w:r w:rsidR="001F2587">
        <w:rPr>
          <w:rFonts w:asciiTheme="majorBidi" w:hAnsiTheme="majorBidi" w:cstheme="majorBidi"/>
        </w:rPr>
        <w:fldChar w:fldCharType="begin"/>
      </w:r>
      <w:r w:rsidR="001F2587">
        <w:instrText xml:space="preserve"> XE "</w:instrText>
      </w:r>
      <w:r w:rsidR="001F2587" w:rsidRPr="00C95DD1">
        <w:rPr>
          <w:rFonts w:asciiTheme="majorBidi" w:hAnsiTheme="majorBidi" w:cstheme="majorBidi"/>
          <w:kern w:val="0"/>
          <w:sz w:val="22"/>
          <w:szCs w:val="22"/>
          <w:lang w:val="en-US"/>
          <w14:ligatures w14:val="none"/>
        </w:rPr>
        <w:instrText>Ansari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to be presented to the Iranian shah, Nasreddin Shah, is essential. Ansari first mentions that the Van Fortress was built on a rocky hill at an altitude of 300 meters from the ground and at an altitude of 280 and 260 meters in places. He measures the length of the fortress with a walking distance of half an hour from east to west and 15 minutes from north to south (Ansari, 1396/2017: 96).</w:t>
      </w:r>
    </w:p>
    <w:p w14:paraId="026C3411" w14:textId="77777777" w:rsidR="001004F6" w:rsidRPr="00F03A26" w:rsidRDefault="001004F6" w:rsidP="00F03A26">
      <w:pPr>
        <w:jc w:val="both"/>
        <w:rPr>
          <w:rFonts w:asciiTheme="majorBidi" w:hAnsiTheme="majorBidi" w:cstheme="majorBidi"/>
        </w:rPr>
      </w:pPr>
    </w:p>
    <w:p w14:paraId="0C163197" w14:textId="557F9050" w:rsidR="001004F6" w:rsidRPr="00F03A26" w:rsidRDefault="001004F6" w:rsidP="00F03A26">
      <w:pPr>
        <w:jc w:val="both"/>
        <w:rPr>
          <w:rFonts w:asciiTheme="majorBidi" w:hAnsiTheme="majorBidi" w:cstheme="majorBidi"/>
        </w:rPr>
      </w:pPr>
      <w:r w:rsidRPr="00F03A26">
        <w:rPr>
          <w:rFonts w:asciiTheme="majorBidi" w:hAnsiTheme="majorBidi" w:cstheme="majorBidi"/>
        </w:rPr>
        <w:t>According to Ansari</w:t>
      </w:r>
      <w:r w:rsidR="001F2587">
        <w:rPr>
          <w:rFonts w:asciiTheme="majorBidi" w:hAnsiTheme="majorBidi" w:cstheme="majorBidi"/>
        </w:rPr>
        <w:fldChar w:fldCharType="begin"/>
      </w:r>
      <w:r w:rsidR="001F2587">
        <w:instrText xml:space="preserve"> XE "</w:instrText>
      </w:r>
      <w:r w:rsidR="001F2587" w:rsidRPr="00C95DD1">
        <w:rPr>
          <w:rFonts w:asciiTheme="majorBidi" w:hAnsiTheme="majorBidi" w:cstheme="majorBidi"/>
          <w:kern w:val="0"/>
          <w:sz w:val="22"/>
          <w:szCs w:val="22"/>
          <w:lang w:val="en-US"/>
          <w14:ligatures w14:val="none"/>
        </w:rPr>
        <w:instrText>Ansari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it is unknown which king's name was written on the stones of the fortress. He finds it strange that the Ottoman</w:t>
      </w:r>
      <w:r w:rsidR="00647545">
        <w:rPr>
          <w:rFonts w:asciiTheme="majorBidi" w:hAnsiTheme="majorBidi" w:cstheme="majorBidi"/>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Empire needed more research to obtain accurate information about the fortress. He mentions that the British and Russian consuls and several multilingual men were doing research in the fortress. He states that although he also knows several languages, he could not read any of the writings in the fortress either. He especially emphasizes that he reached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's book after much research and could read and understand it with the help of the British consul in Van (Ansari, 1396/2017: 101).</w:t>
      </w:r>
    </w:p>
    <w:p w14:paraId="4A79374A" w14:textId="77777777" w:rsidR="001004F6" w:rsidRPr="00F03A26" w:rsidRDefault="001004F6" w:rsidP="00F03A26">
      <w:pPr>
        <w:jc w:val="both"/>
        <w:rPr>
          <w:rFonts w:asciiTheme="majorBidi" w:hAnsiTheme="majorBidi" w:cstheme="majorBidi"/>
        </w:rPr>
      </w:pPr>
    </w:p>
    <w:p w14:paraId="274ADCA7" w14:textId="7A0562F3" w:rsidR="001004F6" w:rsidRPr="00F03A26" w:rsidRDefault="001004F6" w:rsidP="00F03A26">
      <w:pPr>
        <w:jc w:val="both"/>
        <w:rPr>
          <w:rFonts w:asciiTheme="majorBidi" w:hAnsiTheme="majorBidi" w:cstheme="majorBidi"/>
        </w:rPr>
      </w:pPr>
      <w:r w:rsidRPr="00F03A26">
        <w:rPr>
          <w:rFonts w:asciiTheme="majorBidi" w:hAnsiTheme="majorBidi" w:cstheme="majorBidi"/>
        </w:rPr>
        <w:t>Ansari</w:t>
      </w:r>
      <w:r w:rsidR="001F2587">
        <w:rPr>
          <w:rFonts w:asciiTheme="majorBidi" w:hAnsiTheme="majorBidi" w:cstheme="majorBidi"/>
        </w:rPr>
        <w:fldChar w:fldCharType="begin"/>
      </w:r>
      <w:r w:rsidR="001F2587">
        <w:instrText xml:space="preserve"> XE "</w:instrText>
      </w:r>
      <w:r w:rsidR="001F2587" w:rsidRPr="00C95DD1">
        <w:rPr>
          <w:rFonts w:asciiTheme="majorBidi" w:hAnsiTheme="majorBidi" w:cstheme="majorBidi"/>
          <w:kern w:val="0"/>
          <w:sz w:val="22"/>
          <w:szCs w:val="22"/>
          <w:lang w:val="en-US"/>
          <w14:ligatures w14:val="none"/>
        </w:rPr>
        <w:instrText>Ansari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also refers to Sardurburç</w:t>
      </w:r>
      <w:r w:rsidR="00647545">
        <w:rPr>
          <w:rFonts w:asciiTheme="majorBid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at the western end of the fortress. He mentions that the oldest of all stones is located here. He mentions that there was an Armenian</w:t>
      </w:r>
      <w:r w:rsidR="00647545">
        <w:rPr>
          <w:rFonts w:asciiTheme="majorBidi" w:hAnsiTheme="majorBidi" w:cstheme="majorBidi"/>
        </w:rPr>
        <w:fldChar w:fldCharType="begin"/>
      </w:r>
      <w:r w:rsidR="00647545">
        <w:instrText xml:space="preserve"> XE "</w:instrText>
      </w:r>
      <w:r w:rsidR="00647545" w:rsidRPr="003B7F51">
        <w:rPr>
          <w:rFonts w:asciiTheme="majorBidi" w:hAnsiTheme="majorBidi" w:cstheme="majorBidi"/>
        </w:rPr>
        <w:instrText>Armenian</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church next to this building in ancient times, but it has now been destroyed. It is also worth noting that these stones were brought from other places. He emphasizes that the names of a king and his son are written in cuneiform on two stones in the Assyrian</w:t>
      </w:r>
      <w:r w:rsidR="001F2587">
        <w:rPr>
          <w:rFonts w:asciiTheme="majorBid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language, but it is not clear who they are (Ansari, 1396/2017: 104).</w:t>
      </w:r>
    </w:p>
    <w:p w14:paraId="7DFFC7DC" w14:textId="77777777" w:rsidR="001004F6" w:rsidRPr="00F03A26" w:rsidRDefault="001004F6" w:rsidP="00F03A26">
      <w:pPr>
        <w:jc w:val="both"/>
        <w:rPr>
          <w:rFonts w:asciiTheme="majorBidi" w:hAnsiTheme="majorBidi" w:cstheme="majorBidi"/>
        </w:rPr>
      </w:pPr>
    </w:p>
    <w:p w14:paraId="58A330EA" w14:textId="1A4111B7" w:rsidR="001004F6" w:rsidRPr="00F03A26" w:rsidRDefault="001004F6" w:rsidP="00F03A26">
      <w:pPr>
        <w:jc w:val="both"/>
        <w:rPr>
          <w:rFonts w:asciiTheme="majorBidi" w:hAnsiTheme="majorBidi" w:cstheme="majorBidi"/>
        </w:rPr>
      </w:pPr>
      <w:r w:rsidRPr="00F03A26">
        <w:rPr>
          <w:rFonts w:asciiTheme="majorBidi" w:hAnsiTheme="majorBidi" w:cstheme="majorBidi"/>
        </w:rPr>
        <w:t>Ansari</w:t>
      </w:r>
      <w:r w:rsidR="001F2587">
        <w:rPr>
          <w:rFonts w:asciiTheme="majorBidi" w:hAnsiTheme="majorBidi" w:cstheme="majorBidi"/>
        </w:rPr>
        <w:fldChar w:fldCharType="begin"/>
      </w:r>
      <w:r w:rsidR="001F2587">
        <w:instrText xml:space="preserve"> XE "</w:instrText>
      </w:r>
      <w:r w:rsidR="001F2587" w:rsidRPr="00C95DD1">
        <w:rPr>
          <w:rFonts w:asciiTheme="majorBidi" w:hAnsiTheme="majorBidi" w:cstheme="majorBidi"/>
          <w:kern w:val="0"/>
          <w:sz w:val="22"/>
          <w:szCs w:val="22"/>
          <w:lang w:val="en-US"/>
          <w14:ligatures w14:val="none"/>
        </w:rPr>
        <w:instrText>Ansari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mentions the existence of similar inscriptions in the south of the fortress and refers to the caves carved into the rock in this area. This inscription is located above the cave's door. Ansari shares interesting information while describing the Argišti I</w:t>
      </w:r>
      <w:r w:rsidR="001F2587">
        <w:rPr>
          <w:rFonts w:asciiTheme="majorBid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as a cave.</w:t>
      </w:r>
    </w:p>
    <w:p w14:paraId="079873BA" w14:textId="77777777" w:rsidR="001004F6" w:rsidRPr="00F03A26" w:rsidRDefault="001004F6" w:rsidP="00F03A26">
      <w:pPr>
        <w:jc w:val="both"/>
        <w:rPr>
          <w:rFonts w:asciiTheme="majorBidi" w:hAnsiTheme="majorBidi" w:cstheme="majorBidi"/>
          <w:i/>
          <w:iCs/>
          <w:color w:val="000000" w:themeColor="text1"/>
          <w:lang w:val="en-GB"/>
        </w:rPr>
      </w:pPr>
    </w:p>
    <w:p w14:paraId="7E9C5D90" w14:textId="51C91FBD" w:rsidR="001004F6" w:rsidRPr="00F03A26" w:rsidRDefault="001004F6"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iCs/>
          <w:color w:val="000000" w:themeColor="text1"/>
          <w:lang w:val="en-GB"/>
        </w:rPr>
        <w:t>“According to what we heard there, these caves were the tombs of the kings of that time. But now there is no trace of those graves. The way to the biggest cave comes through the body walls of the fortress. They made the stones like stairs, and they went up and down these narrow stairs. It is a very scary and dangerous road. The rocky wall of the stairs is covered with cuneiform. The door of the cave is seven feet long. The cave is 24.5 feet long, 21 feet wide and 12 feet high. There are 4 stone gates inside this cave and a different cave is entered from each of them. These caves are called Horhor</w:t>
      </w:r>
      <w:r w:rsidRPr="00F03A26">
        <w:rPr>
          <w:rFonts w:asciiTheme="majorBidi" w:hAnsiTheme="majorBidi" w:cstheme="majorBidi"/>
          <w:iCs/>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iCs/>
          <w:color w:val="000000" w:themeColor="text1"/>
          <w:lang w:val="en-GB"/>
        </w:rPr>
        <w:fldChar w:fldCharType="end"/>
      </w:r>
      <w:r w:rsidRPr="00F03A26">
        <w:rPr>
          <w:rFonts w:asciiTheme="majorBidi" w:hAnsiTheme="majorBidi" w:cstheme="majorBidi"/>
          <w:iCs/>
          <w:color w:val="000000" w:themeColor="text1"/>
          <w:lang w:val="en-GB"/>
        </w:rPr>
        <w:t xml:space="preserve"> caves. Frightening sounds are heard on the left side of the great cave. The guards of the fortress interpret these sounds as miracles and marvels. However, these sounds belong to the waters coming with the wing system, which goes under the fortress. These wings are 3 pieces and there is even a well on the left side of the same cave, from which they supply water when the fortress is besieged. The inscriptions on the door of this cave consist of 300 lines. Their translations are as follows; Argišti the great king”</w:t>
      </w:r>
      <w:r w:rsidRPr="00F03A26">
        <w:rPr>
          <w:rFonts w:asciiTheme="majorBidi" w:hAnsiTheme="majorBidi" w:cstheme="majorBidi"/>
          <w:color w:val="000000" w:themeColor="text1"/>
          <w:lang w:val="en-GB"/>
        </w:rPr>
        <w:t xml:space="preserve"> (Ansari</w:t>
      </w:r>
      <w:r w:rsidR="001F2587">
        <w:rPr>
          <w:rFonts w:asciiTheme="majorBidi" w:hAnsiTheme="majorBidi" w:cstheme="majorBidi"/>
          <w:color w:val="000000" w:themeColor="text1"/>
          <w:lang w:val="en-GB"/>
        </w:rPr>
        <w:fldChar w:fldCharType="begin"/>
      </w:r>
      <w:r w:rsidR="001F2587">
        <w:instrText xml:space="preserve"> XE "</w:instrText>
      </w:r>
      <w:r w:rsidR="001F2587" w:rsidRPr="00C95DD1">
        <w:rPr>
          <w:rFonts w:asciiTheme="majorBidi" w:hAnsiTheme="majorBidi" w:cstheme="majorBidi"/>
          <w:kern w:val="0"/>
          <w:sz w:val="22"/>
          <w:szCs w:val="22"/>
          <w:lang w:val="en-US"/>
          <w14:ligatures w14:val="none"/>
        </w:rPr>
        <w:instrText>Ansari</w:instrText>
      </w:r>
      <w:r w:rsidR="001F2587">
        <w:instrText xml:space="preserve">" </w:instrText>
      </w:r>
      <w:r w:rsidR="001F258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1396/2017: 105).</w:t>
      </w:r>
    </w:p>
    <w:p w14:paraId="4FBE69F4" w14:textId="77777777" w:rsidR="001004F6" w:rsidRPr="00F03A26" w:rsidRDefault="001004F6" w:rsidP="00F03A26">
      <w:pPr>
        <w:jc w:val="both"/>
        <w:rPr>
          <w:rFonts w:asciiTheme="majorBidi" w:hAnsiTheme="majorBidi" w:cstheme="majorBidi"/>
          <w:color w:val="000000" w:themeColor="text1"/>
          <w:lang w:val="en-GB"/>
        </w:rPr>
      </w:pPr>
    </w:p>
    <w:p w14:paraId="56F38D3B" w14:textId="0EC88D7F" w:rsidR="001004F6" w:rsidRPr="00F03A26" w:rsidRDefault="001004F6" w:rsidP="00F03A26">
      <w:pPr>
        <w:jc w:val="both"/>
        <w:rPr>
          <w:rFonts w:asciiTheme="majorBidi" w:hAnsiTheme="majorBidi" w:cstheme="majorBidi"/>
        </w:rPr>
      </w:pPr>
      <w:r w:rsidRPr="00F03A26">
        <w:rPr>
          <w:rFonts w:asciiTheme="majorBidi" w:hAnsiTheme="majorBidi" w:cstheme="majorBidi"/>
        </w:rPr>
        <w:lastRenderedPageBreak/>
        <w:t>Ansari</w:t>
      </w:r>
      <w:r w:rsidR="001F2587">
        <w:rPr>
          <w:rFonts w:asciiTheme="majorBidi" w:hAnsiTheme="majorBidi" w:cstheme="majorBidi"/>
        </w:rPr>
        <w:fldChar w:fldCharType="begin"/>
      </w:r>
      <w:r w:rsidR="001F2587">
        <w:instrText xml:space="preserve"> XE "</w:instrText>
      </w:r>
      <w:r w:rsidR="001F2587" w:rsidRPr="00C95DD1">
        <w:rPr>
          <w:rFonts w:asciiTheme="majorBidi" w:hAnsiTheme="majorBidi" w:cstheme="majorBidi"/>
          <w:kern w:val="0"/>
          <w:sz w:val="22"/>
          <w:szCs w:val="22"/>
          <w:lang w:val="en-US"/>
          <w14:ligatures w14:val="none"/>
        </w:rPr>
        <w:instrText>Ansari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mentions the existence of 5 inscribed stones in the north of the fortress and describes the Analıkız</w:t>
      </w:r>
      <w:r w:rsidR="00647545">
        <w:rPr>
          <w:rFonts w:asciiTheme="majorBid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area. The most extensive inscription comprises 29 lines (CTU I. A 9-3 I). It is located on the left side of the cave, which Christians and Muslims consider sacred. It's called the Treasure Gate. It is a place that is thought to be a treasure. Two jinns/demons guard this place with swords made of grass on either side of the door. Ansari cites another version of the story told by Schulz</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and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w:t>
      </w:r>
    </w:p>
    <w:p w14:paraId="587DF73C" w14:textId="77777777" w:rsidR="001004F6" w:rsidRPr="00F03A26" w:rsidRDefault="001004F6" w:rsidP="00F03A26">
      <w:pPr>
        <w:jc w:val="both"/>
        <w:rPr>
          <w:rFonts w:asciiTheme="majorBidi" w:hAnsiTheme="majorBidi" w:cstheme="majorBidi"/>
          <w:color w:val="000000" w:themeColor="text1"/>
          <w:lang w:val="en-GB"/>
        </w:rPr>
      </w:pPr>
    </w:p>
    <w:p w14:paraId="73829ABA" w14:textId="77777777" w:rsidR="001004F6" w:rsidRPr="00F03A26" w:rsidRDefault="001004F6"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iCs/>
          <w:color w:val="000000" w:themeColor="text1"/>
          <w:lang w:val="en-GB"/>
        </w:rPr>
        <w:t>“There is an inscription of 19 lines on the surface of three stones on the upper side of the wall of the cave. These inscriptions belong to the Chaldean king, Nineves, and the translation is as follows; Nineves commemorates the homeland of Babylon with its beauty. He took this place with his army. These translations are based on studies made by the arsenal manager in Paris, frank dö sosi, during his trip to Van 35 years ago. Below these translations is the following note. These inscriptions are slightly different from the inscriptions in the Mosul fortress, and it seems that Nebire is one of the Assyrian</w:t>
      </w:r>
      <w:r w:rsidRPr="00F03A26">
        <w:rPr>
          <w:rFonts w:asciiTheme="majorBidi" w:hAnsiTheme="majorBidi" w:cstheme="majorBidi"/>
          <w:iCs/>
          <w:color w:val="000000" w:themeColor="text1"/>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iCs/>
          <w:color w:val="000000" w:themeColor="text1"/>
          <w:lang w:val="en-GB"/>
        </w:rPr>
        <w:fldChar w:fldCharType="end"/>
      </w:r>
      <w:r w:rsidRPr="00F03A26">
        <w:rPr>
          <w:rFonts w:asciiTheme="majorBidi" w:hAnsiTheme="majorBidi" w:cstheme="majorBidi"/>
          <w:iCs/>
          <w:color w:val="000000" w:themeColor="text1"/>
          <w:lang w:val="en-GB"/>
        </w:rPr>
        <w:t xml:space="preserve"> kings. However, such a person is not found among the Assyrian kings. However, he must have been one of 30 kings who were descended from a grandparent. And it probably came to us by changing its name in this way”</w:t>
      </w:r>
      <w:r w:rsidRPr="00F03A26">
        <w:rPr>
          <w:rFonts w:asciiTheme="majorBidi" w:hAnsiTheme="majorBidi" w:cstheme="majorBidi"/>
          <w:color w:val="000000" w:themeColor="text1"/>
          <w:lang w:val="en-GB"/>
        </w:rPr>
        <w:t xml:space="preserve"> (Ansari</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Ansari</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1396/2017: 106).</w:t>
      </w:r>
    </w:p>
    <w:p w14:paraId="7476BAEB" w14:textId="77777777" w:rsidR="001004F6" w:rsidRPr="00F03A26" w:rsidRDefault="001004F6" w:rsidP="00F03A26">
      <w:pPr>
        <w:jc w:val="both"/>
        <w:rPr>
          <w:rFonts w:asciiTheme="majorBidi" w:hAnsiTheme="majorBidi" w:cstheme="majorBidi"/>
          <w:color w:val="000000" w:themeColor="text1"/>
          <w:lang w:val="en-GB"/>
        </w:rPr>
      </w:pPr>
    </w:p>
    <w:p w14:paraId="09EDB20D" w14:textId="6561145D" w:rsidR="001004F6" w:rsidRPr="00F03A26" w:rsidRDefault="001004F6" w:rsidP="00F03A26">
      <w:pPr>
        <w:jc w:val="both"/>
        <w:rPr>
          <w:rFonts w:asciiTheme="majorBidi" w:hAnsiTheme="majorBidi" w:cstheme="majorBidi"/>
        </w:rPr>
      </w:pPr>
      <w:r w:rsidRPr="00F03A26">
        <w:rPr>
          <w:rFonts w:asciiTheme="majorBidi" w:hAnsiTheme="majorBidi" w:cstheme="majorBidi"/>
        </w:rPr>
        <w:t>Ansari</w:t>
      </w:r>
      <w:r w:rsidR="001F2587">
        <w:rPr>
          <w:rFonts w:asciiTheme="majorBidi" w:hAnsiTheme="majorBidi" w:cstheme="majorBidi"/>
        </w:rPr>
        <w:fldChar w:fldCharType="begin"/>
      </w:r>
      <w:r w:rsidR="001F2587">
        <w:instrText xml:space="preserve"> XE "</w:instrText>
      </w:r>
      <w:r w:rsidR="001F2587" w:rsidRPr="00C95DD1">
        <w:rPr>
          <w:rFonts w:asciiTheme="majorBidi" w:hAnsiTheme="majorBidi" w:cstheme="majorBidi"/>
          <w:kern w:val="0"/>
          <w:sz w:val="22"/>
          <w:szCs w:val="22"/>
          <w:lang w:val="en-US"/>
          <w14:ligatures w14:val="none"/>
        </w:rPr>
        <w:instrText>Ansari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provides some information about the fortress. He mentions that the cannons placed on the bastions and walls were more powerful than in the past.</w:t>
      </w:r>
    </w:p>
    <w:p w14:paraId="7ED446C1" w14:textId="77777777" w:rsidR="001004F6" w:rsidRPr="00F03A26" w:rsidRDefault="001004F6" w:rsidP="00F03A26">
      <w:pPr>
        <w:jc w:val="both"/>
        <w:rPr>
          <w:rFonts w:asciiTheme="majorBidi" w:hAnsiTheme="majorBidi" w:cstheme="majorBidi"/>
          <w:color w:val="000000" w:themeColor="text1"/>
          <w:lang w:val="en-GB"/>
        </w:rPr>
      </w:pPr>
    </w:p>
    <w:p w14:paraId="30AB567F" w14:textId="30981076" w:rsidR="001004F6" w:rsidRPr="00F03A26" w:rsidRDefault="001004F6" w:rsidP="00F03A26">
      <w:pPr>
        <w:ind w:left="850" w:right="850"/>
        <w:jc w:val="both"/>
        <w:rPr>
          <w:rFonts w:asciiTheme="majorBidi" w:hAnsiTheme="majorBidi" w:cstheme="majorBidi"/>
          <w:color w:val="000000" w:themeColor="text1"/>
          <w:lang w:val="en-GB"/>
        </w:rPr>
      </w:pPr>
      <w:r w:rsidRPr="00F03A26">
        <w:rPr>
          <w:rFonts w:asciiTheme="majorBidi" w:hAnsiTheme="majorBidi" w:cstheme="majorBidi"/>
          <w:iCs/>
          <w:color w:val="000000" w:themeColor="text1"/>
          <w:lang w:val="en-GB"/>
        </w:rPr>
        <w:t>“Because they are old and useless, they are broken by the order of the state. Now the cannons and ‘humbara’s inside the fortress are about 40 cars. These 40 cars are deployed in the form of ten cars all over the wholesale fortress. All the rest are old buildings, very large and unusable. The cannonballs of these cannons are kept in a warehouse inside the fortress. There is a tar well in the middle of the fortress. The people extract enough tar for themselves. So much so that when it is finished, it fills up again overnight. There is a small mosque in the fortress. It used to be a church. There</w:t>
      </w:r>
      <w:r w:rsidRPr="00F03A26">
        <w:rPr>
          <w:rFonts w:asciiTheme="majorBidi" w:hAnsiTheme="majorBidi" w:cstheme="majorBidi"/>
          <w:color w:val="000000" w:themeColor="text1"/>
          <w:lang w:val="en-GB"/>
        </w:rPr>
        <w:t xml:space="preserve"> </w:t>
      </w:r>
      <w:r w:rsidRPr="00F03A26">
        <w:rPr>
          <w:rFonts w:asciiTheme="majorBidi" w:hAnsiTheme="majorBidi" w:cstheme="majorBidi"/>
          <w:iCs/>
          <w:color w:val="000000" w:themeColor="text1"/>
          <w:lang w:val="en-GB"/>
        </w:rPr>
        <w:t>are two locked warehouses where grain is kept. The old armory and ammunition are located between these two warehouses. There is also a cemetery in the fortress”</w:t>
      </w:r>
      <w:r w:rsidRPr="00F03A26">
        <w:rPr>
          <w:rFonts w:asciiTheme="majorBidi" w:hAnsiTheme="majorBidi" w:cstheme="majorBidi"/>
          <w:color w:val="000000" w:themeColor="text1"/>
          <w:lang w:val="en-GB"/>
        </w:rPr>
        <w:t xml:space="preserve"> (Ansari</w:t>
      </w:r>
      <w:r w:rsidR="001F2587">
        <w:rPr>
          <w:rFonts w:asciiTheme="majorBidi" w:hAnsiTheme="majorBidi" w:cstheme="majorBidi"/>
          <w:color w:val="000000" w:themeColor="text1"/>
          <w:lang w:val="en-GB"/>
        </w:rPr>
        <w:fldChar w:fldCharType="begin"/>
      </w:r>
      <w:r w:rsidR="001F2587">
        <w:instrText xml:space="preserve"> XE "</w:instrText>
      </w:r>
      <w:r w:rsidR="001F2587" w:rsidRPr="00C95DD1">
        <w:rPr>
          <w:rFonts w:asciiTheme="majorBidi" w:hAnsiTheme="majorBidi" w:cstheme="majorBidi"/>
          <w:kern w:val="0"/>
          <w:sz w:val="22"/>
          <w:szCs w:val="22"/>
          <w:lang w:val="en-US"/>
          <w14:ligatures w14:val="none"/>
        </w:rPr>
        <w:instrText>Ansari</w:instrText>
      </w:r>
      <w:r w:rsidR="001F2587">
        <w:instrText xml:space="preserve">" </w:instrText>
      </w:r>
      <w:r w:rsidR="001F258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1396/2017: 110).</w:t>
      </w:r>
    </w:p>
    <w:p w14:paraId="38220DB2" w14:textId="77777777" w:rsidR="001004F6" w:rsidRPr="00F03A26" w:rsidRDefault="001004F6" w:rsidP="00F03A26">
      <w:pPr>
        <w:jc w:val="both"/>
        <w:rPr>
          <w:rFonts w:asciiTheme="majorBidi" w:hAnsiTheme="majorBidi" w:cstheme="majorBidi"/>
          <w:color w:val="000000" w:themeColor="text1"/>
          <w:lang w:val="en-GB"/>
        </w:rPr>
      </w:pPr>
    </w:p>
    <w:p w14:paraId="0D742B0D" w14:textId="7281AE96"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rPr>
        <w:t>Although the work initiated by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in 1849 in Van Fortress-Analıkız</w:t>
      </w:r>
      <w:r w:rsidR="00647545">
        <w:rPr>
          <w:rFonts w:asciiTheme="majorBid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was for a short time, the capital Ṭušpa and its surroundings gradually became a frequent destination for various researchers and travelers. Among these researchers, the German Scholar-Traveller Carl Ferdinand Friedrich Lehmann-Haupt conducted various research in the Van Lake</w:t>
      </w:r>
      <w:r w:rsidR="001F2587">
        <w:rPr>
          <w:rFonts w:asciiTheme="majorBidi" w:hAnsiTheme="majorBidi" w:cstheme="majorBidi"/>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basin in 1898 (Genç, 2018a: 113-137; Genç, 2019a: 36-47). Lehmann-Haupt, who also stops by the Van Fortress, researches the Treasure Gate/Analıkız structure and defines this area as 'Chazineh-Kapyssy-Schatztor.' Again, in Lehman-Haupt, he mentions that the treasure is believed to be buried in this area, similar to the story told by Schulz</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and Layard. In particular, he mentions the channel leading to the rocky bed on the northern slope towards the outside of the area. It indicates that one of these canals, which is divided into two branches, extends to the northeast and the other to the east. Lehmann-Haupt emphasizes that this channel can be a sacrificial channel for victims brought to this area (Lehmann-Haupt, 1926: 29-30). It is understood that this evaluation of Lehmann-Haupt has been decisive in the assessments made about the function of the field until today (Genç, 2019b: 234-235, Fig. 6). The Treasure Gate/Analıkız was defined in many later </w:t>
      </w:r>
      <w:r w:rsidRPr="00F03A26">
        <w:rPr>
          <w:rFonts w:asciiTheme="majorBidi" w:hAnsiTheme="majorBidi" w:cstheme="majorBidi"/>
        </w:rPr>
        <w:lastRenderedPageBreak/>
        <w:t>studies as a sanctuary or an open-air temple in which religious ceremonies and sacrificial offerings were held (Korfmann, 1977: 184; Erzen, 1978a: 7; Tarhan, 1994: 28-31; Çilingiroğlu, 1998: 233-234; Salvini, 2006: 72, 158; Kroll, Gruber, Hellwag, Roaf, &amp; Zimansky, 2012: 16).</w:t>
      </w:r>
    </w:p>
    <w:p w14:paraId="3CA44CD7"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7594A8C4" wp14:editId="631B6DC6">
            <wp:extent cx="5958968" cy="4230478"/>
            <wp:effectExtent l="0" t="0" r="0" b="0"/>
            <wp:docPr id="1064842921" name="Resim 1064842921" descr="taslak, çizim, dağ, res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1" name="Resim 1064842921" descr="taslak, çizim, dağ, resim içeren bir resim&#10;&#10;Açıklama otomatik olarak oluşturuldu"/>
                    <pic:cNvPicPr/>
                  </pic:nvPicPr>
                  <pic:blipFill>
                    <a:blip r:embed="rId23" cstate="email">
                      <a:extLst>
                        <a:ext uri="{28A0092B-C50C-407E-A947-70E740481C1C}">
                          <a14:useLocalDpi xmlns:a14="http://schemas.microsoft.com/office/drawing/2010/main"/>
                        </a:ext>
                      </a:extLst>
                    </a:blip>
                    <a:stretch>
                      <a:fillRect/>
                    </a:stretch>
                  </pic:blipFill>
                  <pic:spPr>
                    <a:xfrm>
                      <a:off x="0" y="0"/>
                      <a:ext cx="5965796" cy="4235325"/>
                    </a:xfrm>
                    <a:prstGeom prst="rect">
                      <a:avLst/>
                    </a:prstGeom>
                  </pic:spPr>
                </pic:pic>
              </a:graphicData>
            </a:graphic>
          </wp:inline>
        </w:drawing>
      </w:r>
      <w:r w:rsidRPr="00F03A26">
        <w:rPr>
          <w:rFonts w:asciiTheme="majorBidi" w:hAnsiTheme="majorBidi" w:cstheme="majorBidi"/>
          <w:color w:val="000000" w:themeColor="text1"/>
          <w:lang w:val="en-GB"/>
        </w:rPr>
        <w:tab/>
      </w:r>
      <w:r w:rsidRPr="00F03A26">
        <w:rPr>
          <w:rFonts w:asciiTheme="majorBidi" w:hAnsiTheme="majorBidi" w:cstheme="majorBidi"/>
          <w:color w:val="000000" w:themeColor="text1"/>
          <w:lang w:val="en-GB"/>
        </w:rPr>
        <w:tab/>
      </w:r>
      <w:r w:rsidRPr="00F03A26">
        <w:rPr>
          <w:rFonts w:asciiTheme="majorBidi" w:hAnsiTheme="majorBidi" w:cstheme="majorBidi"/>
          <w:color w:val="000000" w:themeColor="text1"/>
          <w:lang w:val="en-GB"/>
        </w:rPr>
        <w:tab/>
      </w:r>
      <w:r w:rsidRPr="00F03A26">
        <w:rPr>
          <w:rFonts w:asciiTheme="majorBidi" w:hAnsiTheme="majorBidi" w:cstheme="majorBidi"/>
          <w:color w:val="000000" w:themeColor="text1"/>
          <w:lang w:val="en-GB"/>
        </w:rPr>
        <w:tab/>
      </w:r>
      <w:r w:rsidRPr="00F03A26">
        <w:rPr>
          <w:rFonts w:asciiTheme="majorBidi" w:hAnsiTheme="majorBidi" w:cstheme="majorBidi"/>
          <w:color w:val="000000" w:themeColor="text1"/>
          <w:lang w:val="en-GB"/>
        </w:rPr>
        <w:tab/>
      </w:r>
      <w:r w:rsidRPr="00F03A26">
        <w:rPr>
          <w:rFonts w:asciiTheme="majorBidi" w:hAnsiTheme="majorBidi" w:cstheme="majorBidi"/>
          <w:color w:val="000000" w:themeColor="text1"/>
          <w:lang w:val="en-GB"/>
        </w:rPr>
        <w:tab/>
        <w:t>c</w:t>
      </w:r>
    </w:p>
    <w:p w14:paraId="0624BA03" w14:textId="7413AD9F"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 xml:space="preserve">Fig. 14 a. Van Fortress and the </w:t>
      </w:r>
      <w:r w:rsidR="00C1513A">
        <w:rPr>
          <w:rFonts w:asciiTheme="majorBidi" w:hAnsiTheme="majorBidi" w:cstheme="majorBidi"/>
          <w:lang w:val="en-GB"/>
        </w:rPr>
        <w:t>Old Van City</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00C1513A">
        <w:rPr>
          <w:rFonts w:asciiTheme="majorBidi" w:hAnsiTheme="majorBidi" w:cstheme="majorBidi"/>
          <w:color w:val="000000" w:themeColor="text1"/>
          <w:lang w:val="en-GB"/>
        </w:rPr>
        <w:instrText>Old Van City</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from the south, b. Bin Merdivenler</w:t>
      </w:r>
      <w:r w:rsidR="001F2587">
        <w:rPr>
          <w:rFonts w:asciiTheme="majorBidi" w:hAnsiTheme="majorBidi" w:cstheme="majorBidi"/>
          <w:lang w:val="en-GB"/>
        </w:rPr>
        <w:fldChar w:fldCharType="begin"/>
      </w:r>
      <w:r w:rsidR="001F2587">
        <w:instrText xml:space="preserve"> XE "</w:instrText>
      </w:r>
      <w:r w:rsidR="001F2587" w:rsidRPr="00EA3FFD">
        <w:rPr>
          <w:rFonts w:asciiTheme="majorBidi" w:hAnsiTheme="majorBidi" w:cstheme="majorBidi"/>
        </w:rPr>
        <w:instrText>Bin Merdivenler</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(a thousand stairs), c. Doğu Odaları</w:t>
      </w:r>
      <w:r w:rsidR="001F2587">
        <w:rPr>
          <w:rFonts w:asciiTheme="majorBidi" w:hAnsiTheme="majorBidi" w:cstheme="majorBidi"/>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tomb (Lehmann-Haupt, 1926).</w:t>
      </w:r>
    </w:p>
    <w:p w14:paraId="4A00B9C4" w14:textId="77777777" w:rsidR="001004F6" w:rsidRPr="00F03A26" w:rsidRDefault="001004F6" w:rsidP="00F03A26">
      <w:pPr>
        <w:jc w:val="both"/>
        <w:rPr>
          <w:rFonts w:asciiTheme="majorBidi" w:hAnsiTheme="majorBidi" w:cstheme="majorBidi"/>
          <w:color w:val="000000" w:themeColor="text1"/>
          <w:lang w:val="en-GB"/>
        </w:rPr>
      </w:pPr>
    </w:p>
    <w:p w14:paraId="18E36248" w14:textId="31F893A4" w:rsidR="001004F6" w:rsidRDefault="001004F6" w:rsidP="00F03A26">
      <w:pPr>
        <w:jc w:val="both"/>
        <w:rPr>
          <w:rFonts w:asciiTheme="majorBidi" w:hAnsiTheme="majorBidi" w:cstheme="majorBidi"/>
        </w:rPr>
      </w:pPr>
      <w:r w:rsidRPr="00F03A26">
        <w:rPr>
          <w:rFonts w:asciiTheme="majorBidi" w:hAnsiTheme="majorBidi" w:cstheme="majorBidi"/>
        </w:rPr>
        <w:t xml:space="preserve">In his book, published in 1926, Lehmann-Haupt includes photographs and drawings containing general views of the </w:t>
      </w:r>
      <w:r w:rsidR="00C1513A">
        <w:rPr>
          <w:rFonts w:asciiTheme="majorBidi" w:hAnsiTheme="majorBidi" w:cstheme="majorBidi"/>
        </w:rPr>
        <w:t>Old Van City</w:t>
      </w:r>
      <w:r w:rsidR="00EB71FC">
        <w:rPr>
          <w:rFonts w:asciiTheme="majorBid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hAnsiTheme="majorBidi" w:cstheme="majorBidi"/>
        </w:rPr>
        <w:fldChar w:fldCharType="end"/>
      </w:r>
      <w:r w:rsidRPr="00F03A26">
        <w:rPr>
          <w:rFonts w:asciiTheme="majorBidi" w:hAnsiTheme="majorBidi" w:cstheme="majorBidi"/>
        </w:rPr>
        <w:t>. His drawing, showing the city and the fortress from the south, contains many details about the urban texture and structures. Further back, the southern façade of the Ṭušpa</w:t>
      </w:r>
      <w:r w:rsidR="00E652FB">
        <w:rPr>
          <w:rFonts w:asciiTheme="majorBidi" w:hAnsiTheme="majorBidi" w:cstheme="majorBidi"/>
        </w:rPr>
        <w:t>/Van</w:t>
      </w:r>
      <w:r w:rsidRPr="00F03A26">
        <w:rPr>
          <w:rFonts w:asciiTheme="majorBidi" w:hAnsiTheme="majorBidi" w:cstheme="majorBidi"/>
        </w:rPr>
        <w:t xml:space="preserve"> Rock</w:t>
      </w:r>
      <w:r w:rsidR="00C1513A">
        <w:rPr>
          <w:rFonts w:asciiTheme="majorBidi" w:hAnsiTheme="majorBidi" w:cstheme="majorBidi"/>
        </w:rPr>
        <w:fldChar w:fldCharType="begin"/>
      </w:r>
      <w:r w:rsidR="00C1513A">
        <w:instrText xml:space="preserve"> XE "</w:instrText>
      </w:r>
      <w:r w:rsidR="00C1513A" w:rsidRPr="00E2560E">
        <w:rPr>
          <w:rFonts w:asciiTheme="majorBidi" w:eastAsia="Times New Roman" w:hAnsiTheme="majorBidi" w:cstheme="majorBidi"/>
          <w:lang w:val="en-GB"/>
        </w:rPr>
        <w:instrText>Ṭušpa/Van Rock</w:instrText>
      </w:r>
      <w:r w:rsidR="00C1513A">
        <w:instrText xml:space="preserve">" </w:instrText>
      </w:r>
      <w:r w:rsidR="00C1513A">
        <w:rPr>
          <w:rFonts w:asciiTheme="majorBidi" w:hAnsiTheme="majorBidi" w:cstheme="majorBidi"/>
        </w:rPr>
        <w:fldChar w:fldCharType="end"/>
      </w:r>
      <w:r w:rsidRPr="00F03A26">
        <w:rPr>
          <w:rFonts w:asciiTheme="majorBidi" w:hAnsiTheme="majorBidi" w:cstheme="majorBidi"/>
        </w:rPr>
        <w:t xml:space="preserve"> borders the drawing. The rock-cut façades of the tombs, such as the Neft Kuyu</w:t>
      </w:r>
      <w:r w:rsidR="001F2587">
        <w:rPr>
          <w:rFonts w:asciiTheme="majorBidi" w:hAnsiTheme="majorBidi" w:cstheme="majorBidi"/>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and the Doğu Odaları</w:t>
      </w:r>
      <w:r w:rsidR="001F2587">
        <w:rPr>
          <w:rFonts w:asciiTheme="majorBidi" w:hAnsiTheme="majorBidi" w:cstheme="majorBidi"/>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are accurately depicted (Fig. 14). Another picture that will help us understand the urban texture of Van was taken from the steps of the Argišti I</w:t>
      </w:r>
      <w:r w:rsidR="001F2587">
        <w:rPr>
          <w:rFonts w:asciiTheme="majorBid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On the left in the square, the cuneiform annuals covering the façade of the Argišti I tomb stand out (Fig. 15-16). On the right, the city stretches. The composition is dominated by a panoramic view of trees rising among flat-roofed houses (Lehmann-Haupt, 1926).</w:t>
      </w:r>
    </w:p>
    <w:p w14:paraId="2A2A91EA" w14:textId="77777777" w:rsidR="00E2269D" w:rsidRPr="00F03A26" w:rsidRDefault="00E2269D" w:rsidP="00F03A26">
      <w:pPr>
        <w:jc w:val="both"/>
        <w:rPr>
          <w:rFonts w:asciiTheme="majorBidi" w:hAnsiTheme="majorBidi" w:cstheme="majorBidi"/>
        </w:rPr>
      </w:pPr>
    </w:p>
    <w:p w14:paraId="663E21F8" w14:textId="7039ECFA" w:rsidR="001004F6" w:rsidRPr="00F03A26" w:rsidRDefault="001004F6" w:rsidP="00F03A26">
      <w:pPr>
        <w:jc w:val="both"/>
        <w:rPr>
          <w:rFonts w:asciiTheme="majorBidi" w:hAnsiTheme="majorBidi" w:cstheme="majorBidi"/>
        </w:rPr>
      </w:pPr>
      <w:r w:rsidRPr="00F03A26">
        <w:rPr>
          <w:rFonts w:asciiTheme="majorBidi" w:hAnsiTheme="majorBidi" w:cstheme="majorBidi"/>
        </w:rPr>
        <w:lastRenderedPageBreak/>
        <w:t>German researcher W. Bachmann</w:t>
      </w:r>
      <w:r w:rsidR="00E652FB">
        <w:rPr>
          <w:rFonts w:asciiTheme="majorBidi" w:hAnsiTheme="majorBidi" w:cstheme="majorBidi"/>
        </w:rPr>
        <w:fldChar w:fldCharType="begin"/>
      </w:r>
      <w:r w:rsidR="00E652FB">
        <w:instrText xml:space="preserve"> XE "</w:instrText>
      </w:r>
      <w:r w:rsidR="00E652FB" w:rsidRPr="00DD5E52">
        <w:rPr>
          <w:rFonts w:asciiTheme="majorBidi" w:hAnsiTheme="majorBidi" w:cstheme="majorBidi"/>
        </w:rPr>
        <w:instrText>Bachmann</w:instrText>
      </w:r>
      <w:r w:rsidR="00E652FB">
        <w:instrText xml:space="preserve">" </w:instrText>
      </w:r>
      <w:r w:rsidR="00E652FB">
        <w:rPr>
          <w:rFonts w:asciiTheme="majorBidi" w:hAnsiTheme="majorBidi" w:cstheme="majorBidi"/>
        </w:rPr>
        <w:fldChar w:fldCharType="end"/>
      </w:r>
      <w:r w:rsidRPr="00F03A26">
        <w:rPr>
          <w:rFonts w:asciiTheme="majorBidi" w:hAnsiTheme="majorBidi" w:cstheme="majorBidi"/>
        </w:rPr>
        <w:t>, who came to Van in 1911, also evaluated the monumental structures in the region mainly in terms of art history. He detailed the plan of essential churches (Bachmann, 1913: 28-74).</w:t>
      </w:r>
    </w:p>
    <w:p w14:paraId="78AA21AC" w14:textId="77777777" w:rsidR="001004F6" w:rsidRPr="00F03A26" w:rsidRDefault="001004F6" w:rsidP="00F03A26">
      <w:pPr>
        <w:jc w:val="both"/>
        <w:rPr>
          <w:rFonts w:asciiTheme="majorBidi" w:hAnsiTheme="majorBidi" w:cstheme="majorBidi"/>
          <w:color w:val="000000" w:themeColor="text1"/>
          <w:lang w:val="en-GB"/>
        </w:rPr>
      </w:pPr>
    </w:p>
    <w:p w14:paraId="31DAC9FB"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2E4F2776" wp14:editId="2DA9AE3D">
            <wp:extent cx="2628900" cy="3949700"/>
            <wp:effectExtent l="0" t="0" r="0" b="0"/>
            <wp:docPr id="1064842922" name="Resim 1064842922"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diyagram içeren bir resim&#10;&#10;Açıklama otomatik olarak oluşturuldu"/>
                    <pic:cNvPicPr/>
                  </pic:nvPicPr>
                  <pic:blipFill>
                    <a:blip r:embed="rId24" cstate="email">
                      <a:extLst>
                        <a:ext uri="{28A0092B-C50C-407E-A947-70E740481C1C}">
                          <a14:useLocalDpi xmlns:a14="http://schemas.microsoft.com/office/drawing/2010/main"/>
                        </a:ext>
                      </a:extLst>
                    </a:blip>
                    <a:stretch>
                      <a:fillRect/>
                    </a:stretch>
                  </pic:blipFill>
                  <pic:spPr>
                    <a:xfrm>
                      <a:off x="0" y="0"/>
                      <a:ext cx="2628900" cy="3949700"/>
                    </a:xfrm>
                    <a:prstGeom prst="rect">
                      <a:avLst/>
                    </a:prstGeom>
                  </pic:spPr>
                </pic:pic>
              </a:graphicData>
            </a:graphic>
          </wp:inline>
        </w:drawing>
      </w:r>
    </w:p>
    <w:p w14:paraId="31837DD2" w14:textId="2844BD31"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 xml:space="preserve">Fig. 15 Plans of </w:t>
      </w:r>
      <w:r w:rsidRPr="00F03A26">
        <w:rPr>
          <w:rFonts w:asciiTheme="majorBidi" w:hAnsiTheme="majorBidi" w:cstheme="majorBidi"/>
          <w:iCs/>
          <w:lang w:val="en-GB"/>
        </w:rPr>
        <w:t>Argišti</w:t>
      </w:r>
      <w:r w:rsidRPr="00F03A26">
        <w:rPr>
          <w:rFonts w:asciiTheme="majorBidi" w:hAnsiTheme="majorBidi" w:cstheme="majorBidi"/>
          <w:lang w:val="en-GB"/>
        </w:rPr>
        <w:t xml:space="preserve"> 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tomb</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E340E0">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sidR="00E652FB">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(Lehmann-Haupt, 1926: 125).</w:t>
      </w:r>
    </w:p>
    <w:p w14:paraId="1C7EC0C0" w14:textId="77777777" w:rsidR="001004F6" w:rsidRPr="00F03A26" w:rsidRDefault="001004F6" w:rsidP="00F03A26">
      <w:pPr>
        <w:jc w:val="both"/>
        <w:rPr>
          <w:rFonts w:asciiTheme="majorBidi" w:hAnsiTheme="majorBidi" w:cstheme="majorBidi"/>
          <w:color w:val="000000" w:themeColor="text1"/>
          <w:lang w:val="en-GB"/>
        </w:rPr>
      </w:pPr>
    </w:p>
    <w:p w14:paraId="45B548F6"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618E21DD" wp14:editId="24B614F8">
            <wp:extent cx="4351784" cy="3238500"/>
            <wp:effectExtent l="0" t="0" r="4445" b="0"/>
            <wp:docPr id="1064842923" name="Resim 1064842923" descr="dış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dış mekan, doğa içeren bir resim&#10;&#10;Açıklama otomatik olarak oluşturuldu"/>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4351784" cy="3238500"/>
                    </a:xfrm>
                    <a:prstGeom prst="rect">
                      <a:avLst/>
                    </a:prstGeom>
                    <a:ln>
                      <a:noFill/>
                    </a:ln>
                    <a:extLst>
                      <a:ext uri="{53640926-AAD7-44D8-BBD7-CCE9431645EC}">
                        <a14:shadowObscured xmlns:a14="http://schemas.microsoft.com/office/drawing/2010/main"/>
                      </a:ext>
                    </a:extLst>
                  </pic:spPr>
                </pic:pic>
              </a:graphicData>
            </a:graphic>
          </wp:inline>
        </w:drawing>
      </w:r>
    </w:p>
    <w:p w14:paraId="56BCDC95" w14:textId="63301403"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i/>
          <w:iCs/>
          <w:color w:val="0070C0"/>
          <w:lang w:val="en-GB"/>
        </w:rPr>
        <w:lastRenderedPageBreak/>
        <w:t xml:space="preserve"> </w:t>
      </w:r>
      <w:r w:rsidRPr="00F03A26">
        <w:rPr>
          <w:rFonts w:asciiTheme="majorBidi" w:hAnsiTheme="majorBidi" w:cstheme="majorBidi"/>
          <w:lang w:val="en-GB"/>
        </w:rPr>
        <w:t xml:space="preserve">Fig. 16 Facade of </w:t>
      </w:r>
      <w:r w:rsidRPr="00F03A26">
        <w:rPr>
          <w:rFonts w:asciiTheme="majorBidi" w:hAnsiTheme="majorBidi" w:cstheme="majorBidi"/>
          <w:iCs/>
          <w:lang w:val="en-GB"/>
        </w:rPr>
        <w:t>Argišti I</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iCs/>
          <w:lang w:val="en-GB"/>
        </w:rPr>
        <w:fldChar w:fldCharType="end"/>
      </w:r>
      <w:r w:rsidRPr="00F03A26">
        <w:rPr>
          <w:rFonts w:asciiTheme="majorBidi" w:hAnsiTheme="majorBidi" w:cstheme="majorBidi"/>
          <w:lang w:val="en-GB"/>
        </w:rPr>
        <w:t xml:space="preserve"> tomb</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E340E0">
        <w:rPr>
          <w:rFonts w:asciiTheme="majorBidi" w:hAnsiTheme="majorBidi" w:cstheme="majorBidi"/>
          <w:lang w:val="en-GB"/>
        </w:rPr>
        <w:instrText xml:space="preserve">Argišti </w:instrText>
      </w:r>
      <w:r w:rsidRPr="00F03A26">
        <w:rPr>
          <w:rFonts w:asciiTheme="majorBidi" w:hAnsiTheme="majorBidi" w:cstheme="majorBidi"/>
          <w:lang w:val="en-GB"/>
        </w:rPr>
        <w:instrText xml:space="preserve">I </w:instrText>
      </w:r>
      <w:r w:rsidR="00E652FB">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(Bachmann</w:t>
      </w:r>
      <w:r w:rsidR="00E652FB">
        <w:rPr>
          <w:rFonts w:asciiTheme="majorBidi" w:hAnsiTheme="majorBidi" w:cstheme="majorBidi"/>
          <w:lang w:val="en-GB"/>
        </w:rPr>
        <w:fldChar w:fldCharType="begin"/>
      </w:r>
      <w:r w:rsidR="00E652FB">
        <w:instrText xml:space="preserve"> XE "</w:instrText>
      </w:r>
      <w:r w:rsidR="00E652FB" w:rsidRPr="00DD5E52">
        <w:rPr>
          <w:rFonts w:asciiTheme="majorBidi" w:hAnsiTheme="majorBidi" w:cstheme="majorBidi"/>
        </w:rPr>
        <w:instrText>Bachmann</w:instrText>
      </w:r>
      <w:r w:rsidR="00E652FB">
        <w:instrText xml:space="preserve">" </w:instrText>
      </w:r>
      <w:r w:rsidR="00E652FB">
        <w:rPr>
          <w:rFonts w:asciiTheme="majorBidi" w:hAnsiTheme="majorBidi" w:cstheme="majorBidi"/>
          <w:lang w:val="en-GB"/>
        </w:rPr>
        <w:fldChar w:fldCharType="end"/>
      </w:r>
      <w:r w:rsidRPr="00F03A26">
        <w:rPr>
          <w:rFonts w:asciiTheme="majorBidi" w:hAnsiTheme="majorBidi" w:cstheme="majorBidi"/>
          <w:lang w:val="en-GB"/>
        </w:rPr>
        <w:t>, 1913).</w:t>
      </w:r>
    </w:p>
    <w:p w14:paraId="26672A74" w14:textId="77777777"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br w:type="page"/>
      </w:r>
    </w:p>
    <w:p w14:paraId="5ED47450" w14:textId="77777777" w:rsidR="001004F6" w:rsidRPr="00F03A26" w:rsidRDefault="001004F6" w:rsidP="00F03A26">
      <w:pPr>
        <w:jc w:val="both"/>
        <w:rPr>
          <w:rFonts w:asciiTheme="majorBidi" w:hAnsiTheme="majorBidi" w:cstheme="majorBidi"/>
          <w:color w:val="0070C0"/>
          <w:lang w:val="en-GB"/>
        </w:rPr>
      </w:pPr>
    </w:p>
    <w:p w14:paraId="177F088B" w14:textId="52905517" w:rsidR="001004F6" w:rsidRPr="00F03A26" w:rsidRDefault="001004F6" w:rsidP="00F03A26">
      <w:pPr>
        <w:pStyle w:val="Balk2"/>
        <w:jc w:val="both"/>
        <w:rPr>
          <w:rFonts w:asciiTheme="majorBidi" w:hAnsiTheme="majorBidi"/>
          <w:b/>
          <w:bCs/>
          <w:i/>
          <w:iCs/>
          <w:color w:val="000000" w:themeColor="text1"/>
          <w:sz w:val="28"/>
          <w:szCs w:val="28"/>
          <w:lang w:val="en-GB"/>
        </w:rPr>
      </w:pPr>
      <w:bookmarkStart w:id="6" w:name="_Toc173231181"/>
      <w:r w:rsidRPr="00F03A26">
        <w:rPr>
          <w:rFonts w:asciiTheme="majorBidi" w:hAnsiTheme="majorBidi"/>
          <w:b/>
          <w:bCs/>
          <w:color w:val="000000" w:themeColor="text1"/>
          <w:sz w:val="28"/>
          <w:szCs w:val="28"/>
          <w:lang w:val="en-GB"/>
        </w:rPr>
        <w:t>1.3. First Excavations in Ṭušpa</w:t>
      </w:r>
      <w:bookmarkEnd w:id="6"/>
    </w:p>
    <w:p w14:paraId="7F776A0D" w14:textId="77777777" w:rsidR="001004F6" w:rsidRPr="00F03A26" w:rsidRDefault="001004F6" w:rsidP="00F03A26">
      <w:pPr>
        <w:jc w:val="both"/>
        <w:rPr>
          <w:rFonts w:asciiTheme="majorBidi" w:hAnsiTheme="majorBidi" w:cstheme="majorBidi"/>
          <w:b/>
          <w:bCs/>
          <w:color w:val="000000" w:themeColor="text1"/>
          <w:lang w:val="en-GB"/>
        </w:rPr>
      </w:pPr>
    </w:p>
    <w:p w14:paraId="232C5F59"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784F4755" wp14:editId="14706E89">
            <wp:extent cx="5473700" cy="2501900"/>
            <wp:effectExtent l="0" t="0" r="0" b="0"/>
            <wp:docPr id="1064842913" name="Resim 1064842913" descr="taslak, çizim, dağ,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3" name="Resim 1064842913" descr="taslak, çizim, dağ, siyah beyaz içeren bir resim&#10;&#10;Açıklama otomatik olarak oluşturuldu"/>
                    <pic:cNvPicPr/>
                  </pic:nvPicPr>
                  <pic:blipFill>
                    <a:blip r:embed="rId26" cstate="email">
                      <a:extLst>
                        <a:ext uri="{28A0092B-C50C-407E-A947-70E740481C1C}">
                          <a14:useLocalDpi xmlns:a14="http://schemas.microsoft.com/office/drawing/2010/main"/>
                        </a:ext>
                      </a:extLst>
                    </a:blip>
                    <a:stretch>
                      <a:fillRect/>
                    </a:stretch>
                  </pic:blipFill>
                  <pic:spPr>
                    <a:xfrm>
                      <a:off x="0" y="0"/>
                      <a:ext cx="5473700" cy="2501900"/>
                    </a:xfrm>
                    <a:prstGeom prst="rect">
                      <a:avLst/>
                    </a:prstGeom>
                  </pic:spPr>
                </pic:pic>
              </a:graphicData>
            </a:graphic>
          </wp:inline>
        </w:drawing>
      </w:r>
    </w:p>
    <w:p w14:paraId="78529F16" w14:textId="3C997851"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17 Depicting the city of Van from the south (Layard</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Layard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1853</w:t>
      </w:r>
      <w:r w:rsidR="00B03080">
        <w:rPr>
          <w:rFonts w:asciiTheme="majorBidi" w:hAnsiTheme="majorBidi" w:cstheme="majorBidi"/>
          <w:lang w:val="en-GB"/>
        </w:rPr>
        <w:t>:</w:t>
      </w:r>
      <w:r w:rsidRPr="00F03A26">
        <w:rPr>
          <w:rFonts w:asciiTheme="majorBidi" w:hAnsiTheme="majorBidi" w:cstheme="majorBidi"/>
          <w:lang w:val="en-GB"/>
        </w:rPr>
        <w:t xml:space="preserve"> 393).</w:t>
      </w:r>
    </w:p>
    <w:p w14:paraId="14AE1352" w14:textId="77777777" w:rsidR="001004F6" w:rsidRPr="00F03A26" w:rsidRDefault="001004F6" w:rsidP="00F03A26">
      <w:pPr>
        <w:jc w:val="both"/>
        <w:rPr>
          <w:rFonts w:asciiTheme="majorBidi" w:hAnsiTheme="majorBidi" w:cstheme="majorBidi"/>
          <w:lang w:val="en-GB"/>
        </w:rPr>
      </w:pPr>
    </w:p>
    <w:p w14:paraId="7527DBB8" w14:textId="26EB3950" w:rsidR="001004F6" w:rsidRPr="00F03A26" w:rsidRDefault="001004F6" w:rsidP="00F03A26">
      <w:pPr>
        <w:jc w:val="both"/>
        <w:rPr>
          <w:rFonts w:asciiTheme="majorBidi" w:hAnsiTheme="majorBidi" w:cstheme="majorBidi"/>
        </w:rPr>
      </w:pPr>
      <w:r w:rsidRPr="00F03A26">
        <w:rPr>
          <w:rFonts w:asciiTheme="majorBidi" w:hAnsiTheme="majorBidi" w:cstheme="majorBidi"/>
        </w:rPr>
        <w:t>Starting excavations in the Assyrian</w:t>
      </w:r>
      <w:r w:rsidR="001F2587">
        <w:rPr>
          <w:rFonts w:asciiTheme="majorBid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capitals in the 1845s, A. H.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visited Van in 1849 and even made excavations. Layard gives information about Van in his publication dated 1853 and publishes an engraving by F. C. Cooper (Layard, 1853) (Fig. 17). Layard briefly mentions the location of the Ṭušpa</w:t>
      </w:r>
      <w:r w:rsidR="00E652FB">
        <w:rPr>
          <w:rFonts w:asciiTheme="majorBidi" w:hAnsiTheme="majorBidi" w:cstheme="majorBidi"/>
        </w:rPr>
        <w:t>/Van</w:t>
      </w:r>
      <w:r w:rsidRPr="00F03A26">
        <w:rPr>
          <w:rFonts w:asciiTheme="majorBidi" w:hAnsiTheme="majorBidi" w:cstheme="majorBidi"/>
        </w:rPr>
        <w:t xml:space="preserve"> Rock</w:t>
      </w:r>
      <w:r w:rsidR="00C1513A">
        <w:rPr>
          <w:rFonts w:asciiTheme="majorBidi" w:hAnsiTheme="majorBidi" w:cstheme="majorBidi"/>
        </w:rPr>
        <w:fldChar w:fldCharType="begin"/>
      </w:r>
      <w:r w:rsidR="00C1513A">
        <w:instrText xml:space="preserve"> XE "</w:instrText>
      </w:r>
      <w:r w:rsidR="00C1513A" w:rsidRPr="00E2560E">
        <w:rPr>
          <w:rFonts w:asciiTheme="majorBidi" w:eastAsia="Times New Roman" w:hAnsiTheme="majorBidi" w:cstheme="majorBidi"/>
          <w:lang w:val="en-GB"/>
        </w:rPr>
        <w:instrText>Ṭušpa/Van Rock</w:instrText>
      </w:r>
      <w:r w:rsidR="00C1513A">
        <w:instrText xml:space="preserve">" </w:instrText>
      </w:r>
      <w:r w:rsidR="00C1513A">
        <w:rPr>
          <w:rFonts w:asciiTheme="majorBidi" w:hAnsiTheme="majorBidi" w:cstheme="majorBidi"/>
        </w:rPr>
        <w:fldChar w:fldCharType="end"/>
      </w:r>
      <w:r w:rsidRPr="00F03A26">
        <w:rPr>
          <w:rFonts w:asciiTheme="majorBidi" w:hAnsiTheme="majorBidi" w:cstheme="majorBidi"/>
        </w:rPr>
        <w:t xml:space="preserve"> at the beginning (Layard, 1853: 390). He writes that the mountains surround the plain, and he rises in the middle of the </w:t>
      </w:r>
      <w:r w:rsidR="00E652FB">
        <w:rPr>
          <w:rFonts w:asciiTheme="majorBidi" w:hAnsiTheme="majorBidi" w:cstheme="majorBidi"/>
        </w:rPr>
        <w:t>Tuşpa/</w:t>
      </w:r>
      <w:r w:rsidRPr="00F03A26">
        <w:rPr>
          <w:rFonts w:asciiTheme="majorBidi" w:hAnsiTheme="majorBidi" w:cstheme="majorBidi"/>
        </w:rPr>
        <w:t>Van</w:t>
      </w:r>
      <w:r w:rsidR="00E652FB">
        <w:rPr>
          <w:rFonts w:asciiTheme="majorBidi" w:hAnsiTheme="majorBidi" w:cstheme="majorBidi"/>
        </w:rPr>
        <w:t xml:space="preserve"> Rock</w:t>
      </w:r>
      <w:r w:rsidR="00897EF7">
        <w:rPr>
          <w:rFonts w:asciiTheme="majorBidi" w:hAnsiTheme="majorBidi" w:cstheme="majorBidi"/>
        </w:rPr>
        <w:fldChar w:fldCharType="begin"/>
      </w:r>
      <w:r w:rsidR="00897EF7">
        <w:instrText xml:space="preserve"> XE "</w:instrText>
      </w:r>
      <w:r w:rsidR="00897EF7" w:rsidRPr="00C81BBA">
        <w:rPr>
          <w:rFonts w:asciiTheme="majorBidi" w:hAnsiTheme="majorBidi" w:cstheme="majorBidi"/>
          <w:color w:val="000000" w:themeColor="text1"/>
          <w:lang w:val="en-GB"/>
        </w:rPr>
        <w:instrText>Tuşpa/Van Rock</w:instrText>
      </w:r>
      <w:r w:rsidR="00897EF7">
        <w:instrText xml:space="preserve">" </w:instrText>
      </w:r>
      <w:r w:rsidR="00897EF7">
        <w:rPr>
          <w:rFonts w:asciiTheme="majorBidi" w:hAnsiTheme="majorBidi" w:cstheme="majorBidi"/>
        </w:rPr>
        <w:fldChar w:fldCharType="end"/>
      </w:r>
      <w:r w:rsidRPr="00F03A26">
        <w:rPr>
          <w:rFonts w:asciiTheme="majorBidi" w:hAnsiTheme="majorBidi" w:cstheme="majorBidi"/>
        </w:rPr>
        <w:t xml:space="preserve"> as an amphitheater. He repeats the historical perspective of Armenian</w:t>
      </w:r>
      <w:r w:rsidR="00647545">
        <w:rPr>
          <w:rFonts w:asciiTheme="majorBidi" w:hAnsiTheme="majorBidi" w:cstheme="majorBidi"/>
        </w:rPr>
        <w:fldChar w:fldCharType="begin"/>
      </w:r>
      <w:r w:rsidR="00647545">
        <w:instrText xml:space="preserve"> XE "</w:instrText>
      </w:r>
      <w:r w:rsidR="00647545" w:rsidRPr="003B7F51">
        <w:rPr>
          <w:rFonts w:asciiTheme="majorBidi" w:hAnsiTheme="majorBidi" w:cstheme="majorBidi"/>
        </w:rPr>
        <w:instrText>Armenian</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sources about the fortress, such as Texier</w:t>
      </w:r>
      <w:r w:rsidR="001F2587">
        <w:rPr>
          <w:rFonts w:asciiTheme="majorBidi" w:hAnsiTheme="majorBidi" w:cstheme="majorBidi"/>
        </w:rPr>
        <w:fldChar w:fldCharType="begin"/>
      </w:r>
      <w:r w:rsidR="001F2587">
        <w:instrText xml:space="preserve"> XE "</w:instrText>
      </w:r>
      <w:r w:rsidR="001F2587" w:rsidRPr="00D76C49">
        <w:rPr>
          <w:rFonts w:asciiTheme="majorBidi" w:hAnsiTheme="majorBidi" w:cstheme="majorBidi"/>
          <w:kern w:val="0"/>
          <w:sz w:val="22"/>
          <w:szCs w:val="22"/>
          <w:lang w:val="en-US"/>
          <w14:ligatures w14:val="none"/>
        </w:rPr>
        <w:instrText>Texier</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(see Movses</w:t>
      </w:r>
      <w:r w:rsidR="001F2587">
        <w:rPr>
          <w:rFonts w:asciiTheme="majorBidi" w:hAnsiTheme="majorBidi" w:cstheme="majorBidi"/>
        </w:rPr>
        <w:fldChar w:fldCharType="begin"/>
      </w:r>
      <w:r w:rsidR="001F2587">
        <w:instrText xml:space="preserve"> XE "</w:instrText>
      </w:r>
      <w:r w:rsidR="001F2587" w:rsidRPr="0062015B">
        <w:rPr>
          <w:rFonts w:asciiTheme="majorBidi" w:hAnsiTheme="majorBidi" w:cstheme="majorBidi"/>
          <w:kern w:val="0"/>
          <w:sz w:val="22"/>
          <w:szCs w:val="22"/>
          <w:lang w:val="en-US"/>
          <w14:ligatures w14:val="none"/>
        </w:rPr>
        <w:instrText>Movses</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of Khorene). The Assyrian Queen built the city. In the summer, the queen escaped Mesopotamia's unbearable summer heat and settled in this region. In the winter, he would return to his palace in Nineveh</w:t>
      </w:r>
      <w:r w:rsidR="00E652FB">
        <w:rPr>
          <w:rFonts w:asciiTheme="majorBidi" w:hAnsiTheme="majorBidi" w:cstheme="majorBidi"/>
        </w:rPr>
        <w:fldChar w:fldCharType="begin"/>
      </w:r>
      <w:r w:rsidR="00E652FB">
        <w:instrText xml:space="preserve"> XE "</w:instrText>
      </w:r>
      <w:r w:rsidR="00E652FB" w:rsidRPr="00BF4535">
        <w:rPr>
          <w:rFonts w:asciiTheme="majorBidi" w:hAnsiTheme="majorBidi" w:cstheme="majorBidi"/>
        </w:rPr>
        <w:instrText>Nineveh</w:instrText>
      </w:r>
      <w:r w:rsidR="00E652FB">
        <w:instrText xml:space="preserve">" </w:instrText>
      </w:r>
      <w:r w:rsidR="00E652FB">
        <w:rPr>
          <w:rFonts w:asciiTheme="majorBidi" w:hAnsiTheme="majorBidi" w:cstheme="majorBidi"/>
        </w:rPr>
        <w:fldChar w:fldCharType="end"/>
      </w:r>
      <w:r w:rsidRPr="00F03A26">
        <w:rPr>
          <w:rFonts w:asciiTheme="majorBidi" w:hAnsiTheme="majorBidi" w:cstheme="majorBidi"/>
        </w:rPr>
        <w:t>. He states that just before the invasion of Alexander the Great, the city was rebuilt by an Armenian king named Wan, who gave the city his name (Layard, 1853: 390), and Texier gives the same information. Layard also reports that the first copies of the inscriptions in the Van Fortress were made by Schulz</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in 1827 and published by the Asiatic Society of France. It is understood that both Texier and Layard read the relevant publication of Schulz before coming to Van.</w:t>
      </w:r>
    </w:p>
    <w:p w14:paraId="1525251F" w14:textId="77777777" w:rsidR="001004F6" w:rsidRPr="00F03A26" w:rsidRDefault="001004F6" w:rsidP="00F03A26">
      <w:pPr>
        <w:jc w:val="both"/>
        <w:rPr>
          <w:rFonts w:asciiTheme="majorBidi" w:hAnsiTheme="majorBidi" w:cstheme="majorBidi"/>
        </w:rPr>
      </w:pPr>
    </w:p>
    <w:p w14:paraId="4D0DD2BA" w14:textId="3B293B3C" w:rsidR="001004F6" w:rsidRPr="00F03A26" w:rsidRDefault="001004F6" w:rsidP="00F03A26">
      <w:pPr>
        <w:jc w:val="both"/>
        <w:rPr>
          <w:rFonts w:asciiTheme="majorBidi" w:hAnsiTheme="majorBidi" w:cstheme="majorBidi"/>
        </w:rPr>
      </w:pPr>
      <w:r w:rsidRPr="00F03A26">
        <w:rPr>
          <w:rFonts w:asciiTheme="majorBidi" w:hAnsiTheme="majorBidi" w:cstheme="majorBidi"/>
        </w:rPr>
        <w:t>Like other researchers, he focused on the monuments and inscriptions from the Urartian</w:t>
      </w:r>
      <w:r w:rsidR="00EA6C63">
        <w:rPr>
          <w:rFonts w:asciiTheme="majorBid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xml:space="preserve"> period in the fortress. It is possible to reach the fortress from the west side. He says there may be the remains of the old city walls built with large stones with an inscription for the Madırburç</w:t>
      </w:r>
      <w:r w:rsidR="00E652FB">
        <w:rPr>
          <w:rFonts w:asciiTheme="majorBidi" w:hAnsiTheme="majorBidi" w:cstheme="majorBidi"/>
        </w:rPr>
        <w:fldChar w:fldCharType="begin"/>
      </w:r>
      <w:r w:rsidR="00E652FB">
        <w:instrText xml:space="preserve"> XE "</w:instrText>
      </w:r>
      <w:r w:rsidR="00E652FB" w:rsidRPr="007A1ADD">
        <w:rPr>
          <w:rFonts w:asciiTheme="majorBidi" w:hAnsiTheme="majorBidi" w:cstheme="majorBidi"/>
        </w:rPr>
        <w:instrText>Madırburç</w:instrText>
      </w:r>
      <w:r w:rsidR="00E652FB">
        <w:instrText xml:space="preserve">" </w:instrText>
      </w:r>
      <w:r w:rsidR="00E652FB">
        <w:rPr>
          <w:rFonts w:asciiTheme="majorBidi" w:hAnsiTheme="majorBidi" w:cstheme="majorBidi"/>
        </w:rPr>
        <w:fldChar w:fldCharType="end"/>
      </w:r>
      <w:r w:rsidRPr="00F03A26">
        <w:rPr>
          <w:rFonts w:asciiTheme="majorBidi" w:hAnsiTheme="majorBidi" w:cstheme="majorBidi"/>
        </w:rPr>
        <w:t>/Sardurburç</w:t>
      </w:r>
      <w:r w:rsidR="00647545">
        <w:rPr>
          <w:rFonts w:asciiTheme="majorBid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at the western entrance of the fortress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1853: 394). He points out that St. John's Church remains in this building (Layard, 1853: 394). He also mentions the contents of the inscriptions and says that they contain Assyrian</w:t>
      </w:r>
      <w:r w:rsidR="001F2587">
        <w:rPr>
          <w:rFonts w:asciiTheme="majorBid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royal titles except 'King of Nairi.' This section, which rises gradually from the plain level, has been strengthened by the fortification system, which is progressively placed proportionally to the height.</w:t>
      </w:r>
    </w:p>
    <w:p w14:paraId="292EF89B" w14:textId="77777777" w:rsidR="003A6C5A" w:rsidRPr="00F03A26" w:rsidRDefault="003A6C5A" w:rsidP="00F03A26">
      <w:pPr>
        <w:jc w:val="both"/>
        <w:rPr>
          <w:rFonts w:asciiTheme="majorBidi" w:hAnsiTheme="majorBidi" w:cstheme="majorBidi"/>
        </w:rPr>
      </w:pPr>
    </w:p>
    <w:p w14:paraId="265A19D1" w14:textId="6A5F364B" w:rsidR="001004F6" w:rsidRPr="00F03A26" w:rsidRDefault="001004F6" w:rsidP="00F03A26">
      <w:pPr>
        <w:jc w:val="both"/>
        <w:rPr>
          <w:rFonts w:asciiTheme="majorBidi" w:hAnsiTheme="majorBidi" w:cstheme="majorBidi"/>
        </w:rPr>
      </w:pPr>
      <w:r w:rsidRPr="00F03A26">
        <w:rPr>
          <w:rFonts w:asciiTheme="majorBidi" w:hAnsiTheme="majorBidi" w:cstheme="majorBidi"/>
        </w:rPr>
        <w:t>His next stop is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Caves (Horhor Mağaraları). Twenty narrow steps reach the door of the tomb. He says this is the royal tomb, pointing to the inscriptions on its façade. It states that there is a hall and four doors opening to this hall after the entrance and that there </w:t>
      </w:r>
      <w:r w:rsidRPr="00F03A26">
        <w:rPr>
          <w:rFonts w:asciiTheme="majorBidi" w:hAnsiTheme="majorBidi" w:cstheme="majorBidi"/>
        </w:rPr>
        <w:lastRenderedPageBreak/>
        <w:t>are decorative niches on the side walls. He reports that holes between these niches may have carried the lamps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1853: 396). It also mentions the existence of square/rectangular cavities in the ground. Layard also mentions the pit room, which is reached from the room to the left of the entrance, and states that most of it is filled with stones and rubble. According to him, it is impossible to determine its function without excavation.</w:t>
      </w:r>
    </w:p>
    <w:p w14:paraId="699D1E25"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384D2B67" wp14:editId="0386D9A6">
            <wp:extent cx="2754217" cy="2953714"/>
            <wp:effectExtent l="0" t="0" r="1905" b="5715"/>
            <wp:docPr id="1064842914" name="Resim 1064842914"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metin içeren bir resim&#10;&#10;Açıklama otomatik olarak oluşturuldu"/>
                    <pic:cNvPicPr/>
                  </pic:nvPicPr>
                  <pic:blipFill>
                    <a:blip r:embed="rId27" cstate="email">
                      <a:extLst>
                        <a:ext uri="{28A0092B-C50C-407E-A947-70E740481C1C}">
                          <a14:useLocalDpi xmlns:a14="http://schemas.microsoft.com/office/drawing/2010/main"/>
                        </a:ext>
                      </a:extLst>
                    </a:blip>
                    <a:stretch>
                      <a:fillRect/>
                    </a:stretch>
                  </pic:blipFill>
                  <pic:spPr>
                    <a:xfrm>
                      <a:off x="0" y="0"/>
                      <a:ext cx="2795424" cy="2997906"/>
                    </a:xfrm>
                    <a:prstGeom prst="rect">
                      <a:avLst/>
                    </a:prstGeom>
                  </pic:spPr>
                </pic:pic>
              </a:graphicData>
            </a:graphic>
          </wp:inline>
        </w:drawing>
      </w:r>
    </w:p>
    <w:p w14:paraId="4B9A6CA0" w14:textId="77777777" w:rsidR="001004F6" w:rsidRPr="00F03A26" w:rsidRDefault="001004F6" w:rsidP="00F03A26">
      <w:pPr>
        <w:jc w:val="both"/>
        <w:rPr>
          <w:rFonts w:asciiTheme="majorBidi" w:hAnsiTheme="majorBidi" w:cstheme="majorBidi"/>
          <w:color w:val="000000" w:themeColor="text1"/>
          <w:lang w:val="en-GB"/>
        </w:rPr>
      </w:pPr>
    </w:p>
    <w:p w14:paraId="7E460146" w14:textId="3109FEA9"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18 Plan and a drawing of the interior Horhor</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Caves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 Caves</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Cs/>
          <w:lang w:val="en-GB"/>
        </w:rPr>
        <w:t>Argišti</w:t>
      </w:r>
      <w:r w:rsidRPr="00F03A26">
        <w:rPr>
          <w:rFonts w:asciiTheme="majorBidi" w:hAnsiTheme="majorBidi" w:cstheme="majorBidi"/>
          <w:lang w:val="en-GB"/>
        </w:rPr>
        <w:t xml:space="preserve"> I tomb</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00E652FB">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i/>
          <w:iCs/>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E340E0">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(Layard</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Layard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1853: 396).</w:t>
      </w:r>
    </w:p>
    <w:p w14:paraId="5EABE1C0" w14:textId="77777777" w:rsidR="001004F6" w:rsidRPr="00F03A26" w:rsidRDefault="001004F6" w:rsidP="00F03A26">
      <w:pPr>
        <w:jc w:val="both"/>
        <w:rPr>
          <w:rFonts w:asciiTheme="majorBidi" w:hAnsiTheme="majorBidi" w:cstheme="majorBidi"/>
          <w:lang w:val="en-GB"/>
        </w:rPr>
      </w:pPr>
    </w:p>
    <w:p w14:paraId="03005E3E" w14:textId="7AF2D575" w:rsidR="001004F6" w:rsidRPr="00F03A26" w:rsidRDefault="001004F6" w:rsidP="00F03A26">
      <w:pPr>
        <w:jc w:val="both"/>
        <w:rPr>
          <w:rFonts w:asciiTheme="majorBidi" w:hAnsiTheme="majorBidi" w:cstheme="majorBidi"/>
        </w:rPr>
      </w:pPr>
      <w:r w:rsidRPr="00F03A26">
        <w:rPr>
          <w:rFonts w:asciiTheme="majorBidi" w:hAnsiTheme="majorBidi" w:cstheme="majorBidi"/>
        </w:rPr>
        <w:t>Like the others, the inscriptions on the tomb façade attract more attention. He writes that the inscription consists of 8 columns, 300 lines, and 13 consecutive paragraphs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1853: 397). Referring to Dr. Hincks's publication, he writes that the name of the king mentioned in the inscriptions is Argišti and gives a summary of its contents (Hincks, 1847: 387-449).</w:t>
      </w:r>
    </w:p>
    <w:p w14:paraId="402C1BAF" w14:textId="77777777" w:rsidR="001004F6" w:rsidRPr="00F03A26" w:rsidRDefault="001004F6" w:rsidP="00F03A26">
      <w:pPr>
        <w:jc w:val="both"/>
        <w:rPr>
          <w:rFonts w:asciiTheme="majorBidi" w:hAnsiTheme="majorBidi" w:cstheme="majorBidi"/>
        </w:rPr>
      </w:pPr>
    </w:p>
    <w:p w14:paraId="772ED407" w14:textId="55F04921" w:rsidR="001004F6" w:rsidRPr="00F03A26" w:rsidRDefault="001004F6" w:rsidP="00F03A26">
      <w:pPr>
        <w:jc w:val="both"/>
        <w:rPr>
          <w:rFonts w:asciiTheme="majorBidi" w:hAnsiTheme="majorBidi" w:cstheme="majorBidi"/>
        </w:rPr>
      </w:pPr>
      <w:r w:rsidRPr="00F03A26">
        <w:rPr>
          <w:rFonts w:asciiTheme="majorBidi" w:hAnsiTheme="majorBidi" w:cstheme="majorBidi"/>
        </w:rPr>
        <w:t>He published a detailed description of the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Caves/ Argišti I</w:t>
      </w:r>
      <w:r w:rsidR="001F2587">
        <w:rPr>
          <w:rFonts w:asciiTheme="majorBid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as well as a plan and a drawing of its interior for the first time (Fig. 18). The drawings show niches, square and rectangular recesses cut into the floor, and even siqqatu slots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1853: 396).</w:t>
      </w:r>
    </w:p>
    <w:p w14:paraId="5A88FE03" w14:textId="77777777" w:rsidR="001004F6" w:rsidRPr="00F03A26" w:rsidRDefault="001004F6" w:rsidP="00F03A26">
      <w:pPr>
        <w:jc w:val="both"/>
        <w:rPr>
          <w:rFonts w:asciiTheme="majorBidi" w:hAnsiTheme="majorBidi" w:cstheme="majorBidi"/>
        </w:rPr>
      </w:pPr>
    </w:p>
    <w:p w14:paraId="5485A177" w14:textId="4E5F0117" w:rsidR="001004F6" w:rsidRPr="00F03A26" w:rsidRDefault="001004F6" w:rsidP="00F03A26">
      <w:pPr>
        <w:jc w:val="both"/>
        <w:rPr>
          <w:rFonts w:asciiTheme="majorBidi" w:hAnsiTheme="majorBidi" w:cstheme="majorBidi"/>
        </w:rPr>
      </w:pPr>
      <w:r w:rsidRPr="00F03A26">
        <w:rPr>
          <w:rFonts w:asciiTheme="majorBidi" w:hAnsiTheme="majorBidi" w:cstheme="majorBidi"/>
        </w:rPr>
        <w:t>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then goes to the site of the Analıkız</w:t>
      </w:r>
      <w:r w:rsidR="00647545">
        <w:rPr>
          <w:rFonts w:asciiTheme="majorBid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popularly known as the </w:t>
      </w:r>
      <w:r w:rsidR="00FD3038">
        <w:rPr>
          <w:rFonts w:asciiTheme="majorBidi" w:hAnsiTheme="majorBidi" w:cstheme="majorBidi"/>
        </w:rPr>
        <w:t>‘</w:t>
      </w:r>
      <w:r w:rsidRPr="00F03A26">
        <w:rPr>
          <w:rFonts w:asciiTheme="majorBidi" w:hAnsiTheme="majorBidi" w:cstheme="majorBidi"/>
        </w:rPr>
        <w:t>Khazana Kapoussi</w:t>
      </w:r>
      <w:r w:rsidR="00FD3038">
        <w:rPr>
          <w:rFonts w:asciiTheme="majorBidi" w:hAnsiTheme="majorBidi" w:cstheme="majorBidi"/>
        </w:rPr>
        <w:t>’</w:t>
      </w:r>
      <w:r w:rsidRPr="00F03A26">
        <w:rPr>
          <w:rFonts w:asciiTheme="majorBidi" w:hAnsiTheme="majorBidi" w:cstheme="majorBidi"/>
        </w:rPr>
        <w:t xml:space="preserve">, which means </w:t>
      </w:r>
      <w:r w:rsidR="00FD3038">
        <w:rPr>
          <w:rFonts w:asciiTheme="majorBidi" w:hAnsiTheme="majorBidi" w:cstheme="majorBidi"/>
        </w:rPr>
        <w:t>‘</w:t>
      </w:r>
      <w:r w:rsidRPr="00F03A26">
        <w:rPr>
          <w:rFonts w:asciiTheme="majorBidi" w:hAnsiTheme="majorBidi" w:cstheme="majorBidi"/>
        </w:rPr>
        <w:t>Treasure Gate</w:t>
      </w:r>
      <w:r w:rsidR="00FD3038">
        <w:rPr>
          <w:rFonts w:asciiTheme="majorBidi" w:hAnsiTheme="majorBidi" w:cstheme="majorBidi"/>
        </w:rPr>
        <w:t>’,</w:t>
      </w:r>
      <w:r w:rsidRPr="00F03A26">
        <w:rPr>
          <w:rFonts w:asciiTheme="majorBidi" w:hAnsiTheme="majorBidi" w:cstheme="majorBidi"/>
        </w:rPr>
        <w:t xml:space="preserve"> where he makes a short-term excavation (Layard, 1853: 398-399). We can say that the first scientific studies on the Analıkız Building started in the first half of the 19th century. The story that Schulz</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talks about </w:t>
      </w:r>
      <w:r w:rsidR="00FD3038">
        <w:rPr>
          <w:rFonts w:asciiTheme="majorBidi" w:hAnsiTheme="majorBidi" w:cstheme="majorBidi"/>
        </w:rPr>
        <w:t>‘</w:t>
      </w:r>
      <w:r w:rsidRPr="00F03A26">
        <w:rPr>
          <w:rFonts w:asciiTheme="majorBidi" w:hAnsiTheme="majorBidi" w:cstheme="majorBidi"/>
        </w:rPr>
        <w:t>Khazana Kapoussi</w:t>
      </w:r>
      <w:r w:rsidR="00FD3038">
        <w:rPr>
          <w:rFonts w:asciiTheme="majorBidi" w:hAnsiTheme="majorBidi" w:cstheme="majorBidi"/>
        </w:rPr>
        <w:t>’</w:t>
      </w:r>
      <w:r w:rsidRPr="00F03A26">
        <w:rPr>
          <w:rFonts w:asciiTheme="majorBidi" w:hAnsiTheme="majorBidi" w:cstheme="majorBidi"/>
        </w:rPr>
        <w:t>-Treasure Gate/Analıkız, who copied the inscriptions of the Analıkız, is quite interesting (Schulz, 1840: 290-292). Referring to Layard</w:t>
      </w:r>
      <w:r w:rsidR="00E652FB">
        <w:rPr>
          <w:rFonts w:asciiTheme="majorBidi" w:hAnsiTheme="majorBidi" w:cstheme="majorBidi"/>
        </w:rPr>
        <w:t>,</w:t>
      </w:r>
      <w:r w:rsidRPr="00F03A26">
        <w:rPr>
          <w:rFonts w:asciiTheme="majorBidi" w:hAnsiTheme="majorBidi" w:cstheme="majorBidi"/>
        </w:rPr>
        <w:t xml:space="preserve"> Schulz's related story, It is believed that this cave or hollow, called </w:t>
      </w:r>
      <w:r w:rsidR="00FD3038">
        <w:rPr>
          <w:rFonts w:asciiTheme="majorBidi" w:hAnsiTheme="majorBidi" w:cstheme="majorBidi"/>
        </w:rPr>
        <w:t>‘</w:t>
      </w:r>
      <w:r w:rsidRPr="00F03A26">
        <w:rPr>
          <w:rFonts w:asciiTheme="majorBidi" w:hAnsiTheme="majorBidi" w:cstheme="majorBidi"/>
        </w:rPr>
        <w:t>Khazana Kapoussi</w:t>
      </w:r>
      <w:r w:rsidR="00FD3038">
        <w:rPr>
          <w:rFonts w:asciiTheme="majorBidi" w:hAnsiTheme="majorBidi" w:cstheme="majorBidi"/>
        </w:rPr>
        <w:t>’</w:t>
      </w:r>
      <w:r w:rsidRPr="00F03A26">
        <w:rPr>
          <w:rFonts w:asciiTheme="majorBidi" w:hAnsiTheme="majorBidi" w:cstheme="majorBidi"/>
        </w:rPr>
        <w:t xml:space="preserve"> or the Treasure Gate, is defined as a sacred area by Christians and Muslims, and according to the belief, there is an iron door protected by demons armed with flaming swords under these niches. He says that he closed the hall entrance and that this main door was only opened with incantations in the inscription and was protected by a snake at night. This snake is drawn into a hole around the cave with the dawn (Schulz, 1840: 290-292; Layard, 1853: 398; Genç, 2019b: 231-240; Genç &amp; Konyar, 2019: 1-23).</w:t>
      </w:r>
    </w:p>
    <w:p w14:paraId="25902D0C" w14:textId="77777777" w:rsidR="001004F6" w:rsidRPr="00F03A26" w:rsidRDefault="001004F6" w:rsidP="00F03A26">
      <w:pPr>
        <w:jc w:val="both"/>
        <w:rPr>
          <w:rFonts w:asciiTheme="majorBidi" w:hAnsiTheme="majorBidi" w:cstheme="majorBidi"/>
        </w:rPr>
      </w:pPr>
    </w:p>
    <w:p w14:paraId="271CDE88" w14:textId="78A10006" w:rsidR="001004F6" w:rsidRPr="00F03A26" w:rsidRDefault="001004F6" w:rsidP="00F03A26">
      <w:pPr>
        <w:jc w:val="both"/>
        <w:rPr>
          <w:rFonts w:asciiTheme="majorBidi" w:hAnsiTheme="majorBidi" w:cstheme="majorBidi"/>
        </w:rPr>
      </w:pPr>
      <w:r w:rsidRPr="00F03A26">
        <w:rPr>
          <w:rFonts w:asciiTheme="majorBidi" w:hAnsiTheme="majorBidi" w:cstheme="majorBidi"/>
        </w:rPr>
        <w:t>It is unknown whether it is from this exciting story or the curiosity caused by the fact that only the upper parts of the niches are exposed. However, the British archaeologist Austen Henry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carried out the first excavation work in the Van Fortress in 1849. Layard mentions two people, Nikὸos and Cawass, who helped him during his work in Van. Pasha sent Nikὸos to accompany Layard during his research in Van. Cawass, on the other hand, is trying to get permission from Istanbul, thinking there is a treasure under the inscription in the western niche. Cawass eventually obtained excavation permission from the Ottoman</w:t>
      </w:r>
      <w:r w:rsidR="00647545">
        <w:rPr>
          <w:rFonts w:asciiTheme="majorBidi" w:hAnsiTheme="majorBidi" w:cstheme="majorBidi"/>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Empire on the condition that the riches to be found be shared. However, due to his financial situation, Cawass's work does not yield any results. Layard, with the help of these two men, continues the excavation for a short time at the Analıkız</w:t>
      </w:r>
      <w:r w:rsidR="00647545">
        <w:rPr>
          <w:rFonts w:asciiTheme="majorBid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(Layard, 1853: 398-399). Layard saw the inscriptions in Surp Boğos Church</w:t>
      </w:r>
      <w:r w:rsidR="00E652FB">
        <w:rPr>
          <w:rFonts w:asciiTheme="majorBidi" w:hAnsiTheme="majorBidi" w:cstheme="majorBidi"/>
        </w:rPr>
        <w:fldChar w:fldCharType="begin"/>
      </w:r>
      <w:r w:rsidR="00E652FB">
        <w:instrText xml:space="preserve"> XE "</w:instrText>
      </w:r>
      <w:r w:rsidR="00E652FB" w:rsidRPr="00BA712F">
        <w:rPr>
          <w:rFonts w:asciiTheme="majorBidi" w:hAnsiTheme="majorBidi" w:cstheme="majorBidi"/>
        </w:rPr>
        <w:instrText>Surp Boğos Church</w:instrText>
      </w:r>
      <w:r w:rsidR="00E652FB">
        <w:instrText xml:space="preserve">" </w:instrText>
      </w:r>
      <w:r w:rsidR="00E652FB">
        <w:rPr>
          <w:rFonts w:asciiTheme="majorBidi" w:hAnsiTheme="majorBidi" w:cstheme="majorBidi"/>
        </w:rPr>
        <w:fldChar w:fldCharType="end"/>
      </w:r>
      <w:r w:rsidRPr="00F03A26">
        <w:rPr>
          <w:rFonts w:asciiTheme="majorBidi" w:hAnsiTheme="majorBidi" w:cstheme="majorBidi"/>
        </w:rPr>
        <w:t xml:space="preserve"> and Surp Sahak Church</w:t>
      </w:r>
      <w:r w:rsidR="00E652FB">
        <w:rPr>
          <w:rFonts w:asciiTheme="majorBidi" w:hAnsiTheme="majorBidi" w:cstheme="majorBidi"/>
        </w:rPr>
        <w:fldChar w:fldCharType="begin"/>
      </w:r>
      <w:r w:rsidR="00E652FB">
        <w:instrText xml:space="preserve"> XE "</w:instrText>
      </w:r>
      <w:r w:rsidR="00E652FB" w:rsidRPr="00D67A85">
        <w:rPr>
          <w:rFonts w:asciiTheme="majorBidi" w:hAnsiTheme="majorBidi" w:cstheme="majorBidi"/>
        </w:rPr>
        <w:instrText>Surp Sahak Church</w:instrText>
      </w:r>
      <w:r w:rsidR="00E652FB">
        <w:instrText xml:space="preserve">" </w:instrText>
      </w:r>
      <w:r w:rsidR="00E652FB">
        <w:rPr>
          <w:rFonts w:asciiTheme="majorBidi" w:hAnsiTheme="majorBidi" w:cstheme="majorBidi"/>
        </w:rPr>
        <w:fldChar w:fldCharType="end"/>
      </w:r>
      <w:r w:rsidRPr="00F03A26">
        <w:rPr>
          <w:rFonts w:asciiTheme="majorBidi" w:hAnsiTheme="majorBidi" w:cstheme="majorBidi"/>
        </w:rPr>
        <w:t>, as did other travelers. He briefly mentions the rock tombs in the fortress and writes that he will not go into detail one by one because they resemble the Argišti I</w:t>
      </w:r>
      <w:r w:rsidR="001F2587">
        <w:rPr>
          <w:rFonts w:asciiTheme="majorBid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xml:space="preserve"> tomb he described.</w:t>
      </w:r>
    </w:p>
    <w:p w14:paraId="1991D197" w14:textId="77777777" w:rsidR="001004F6" w:rsidRPr="00F03A26" w:rsidRDefault="001004F6" w:rsidP="00F03A26">
      <w:pPr>
        <w:jc w:val="both"/>
        <w:rPr>
          <w:rFonts w:asciiTheme="majorBidi" w:hAnsiTheme="majorBidi" w:cstheme="majorBidi"/>
        </w:rPr>
      </w:pPr>
    </w:p>
    <w:p w14:paraId="0A223A97" w14:textId="476E8B65" w:rsidR="001004F6" w:rsidRPr="00F03A26" w:rsidRDefault="001004F6" w:rsidP="00F03A26">
      <w:pPr>
        <w:jc w:val="both"/>
        <w:rPr>
          <w:rFonts w:asciiTheme="majorBidi" w:hAnsiTheme="majorBidi" w:cstheme="majorBidi"/>
        </w:rPr>
      </w:pPr>
      <w:r w:rsidRPr="00F03A26">
        <w:rPr>
          <w:rFonts w:asciiTheme="majorBidi" w:hAnsiTheme="majorBidi" w:cstheme="majorBidi"/>
        </w:rPr>
        <w:t>After the narratives of Schulz</w:t>
      </w:r>
      <w:r w:rsidR="001F2587">
        <w:rPr>
          <w:rFonts w:asciiTheme="majorBidi" w:hAnsiTheme="majorBidi" w:cstheme="majorBidi"/>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Layard</w:t>
      </w:r>
      <w:r w:rsidR="001F2587">
        <w:rPr>
          <w:rFonts w:asciiTheme="majorBidi" w:hAnsiTheme="majorBidi" w:cstheme="majorBidi"/>
        </w:rPr>
        <w:fldChar w:fldCharType="begin"/>
      </w:r>
      <w:r w:rsidR="001F2587">
        <w:instrText xml:space="preserve"> XE "</w:instrText>
      </w:r>
      <w:r w:rsidR="001F2587" w:rsidRPr="00995E06">
        <w:rPr>
          <w:rFonts w:asciiTheme="majorBidi" w:hAnsiTheme="majorBidi" w:cstheme="majorBidi"/>
          <w:kern w:val="0"/>
          <w:sz w:val="22"/>
          <w:szCs w:val="22"/>
          <w:lang w:val="en-US"/>
          <w14:ligatures w14:val="none"/>
        </w:rPr>
        <w:instrText>Layard</w:instrText>
      </w:r>
      <w:r w:rsidR="001F2587">
        <w:instrText xml:space="preserve">" </w:instrText>
      </w:r>
      <w:r w:rsidR="001F2587">
        <w:rPr>
          <w:rFonts w:asciiTheme="majorBidi" w:hAnsiTheme="majorBidi" w:cstheme="majorBidi"/>
        </w:rPr>
        <w:fldChar w:fldCharType="end"/>
      </w:r>
      <w:r w:rsidRPr="00F03A26">
        <w:rPr>
          <w:rFonts w:asciiTheme="majorBidi" w:hAnsiTheme="majorBidi" w:cstheme="majorBidi"/>
        </w:rPr>
        <w:t>, and Lehmann-Haupt about Analıkız</w:t>
      </w:r>
      <w:r w:rsidR="00647545">
        <w:rPr>
          <w:rFonts w:asciiTheme="majorBid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in Van and Ṭušpa, excavations targeting niches and steles in this area were started by Nicholas Yakovlevich Marr and Iosif Abgarovich Orbeli in 1916 on behalf of the Russian Archaeological Society. In the works of Marr and Orbeli, both niches and part of the space in front of them were opened (Fig. 19). In addition to the monumental niches and steles, the walls unearthed in this area and the stones belonging to the collapsed walls give various ideas about the use of this area (Marr &amp; Orbeli, 1922). Looking at the excavation data and visuals of Marr and Orbeli, it should be noted that the stele on the basalt base with inscriptions in the western niche did not stand </w:t>
      </w:r>
      <w:r w:rsidRPr="00EB2684">
        <w:rPr>
          <w:rFonts w:asciiTheme="majorBidi" w:hAnsiTheme="majorBidi" w:cstheme="majorBidi"/>
          <w:i/>
          <w:iCs/>
        </w:rPr>
        <w:t>in situ</w:t>
      </w:r>
      <w:r w:rsidRPr="00F03A26">
        <w:rPr>
          <w:rFonts w:asciiTheme="majorBidi" w:hAnsiTheme="majorBidi" w:cstheme="majorBidi"/>
        </w:rPr>
        <w:t xml:space="preserve"> as it was in the Urartian</w:t>
      </w:r>
      <w:r w:rsidR="00EA6C63">
        <w:rPr>
          <w:rFonts w:asciiTheme="majorBid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rPr>
        <w:fldChar w:fldCharType="end"/>
      </w:r>
      <w:r w:rsidRPr="00F03A26">
        <w:rPr>
          <w:rFonts w:asciiTheme="majorBidi" w:hAnsiTheme="majorBidi" w:cstheme="majorBidi"/>
        </w:rPr>
        <w:t xml:space="preserve"> period. Both the lack of the foot of the stele, which should be at the bottom of the stele, and the destructions on the stele are essential in terms of showing that the intervention to the site took place before the Middle Ages, perhaps in the Urartian period (Fig. 19-20). The stele fell, or after it was dropped, it was tried to be returned the right way.</w:t>
      </w:r>
    </w:p>
    <w:p w14:paraId="5E2E7730" w14:textId="77777777" w:rsidR="001004F6" w:rsidRPr="00F03A26" w:rsidRDefault="001004F6" w:rsidP="00F03A26">
      <w:pPr>
        <w:jc w:val="both"/>
        <w:rPr>
          <w:rFonts w:asciiTheme="majorBidi" w:hAnsiTheme="majorBidi" w:cstheme="majorBidi"/>
          <w:color w:val="000000" w:themeColor="text1"/>
          <w:lang w:val="en-GB"/>
        </w:rPr>
      </w:pPr>
    </w:p>
    <w:p w14:paraId="379F5F74"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lastRenderedPageBreak/>
        <w:drawing>
          <wp:inline distT="0" distB="0" distL="0" distR="0" wp14:anchorId="675876DD" wp14:editId="47D4FA04">
            <wp:extent cx="5646198" cy="3615774"/>
            <wp:effectExtent l="0" t="0" r="5715" b="3810"/>
            <wp:docPr id="1064842924" name="Resim 1064842924" descr="metin, dış mekan, dalg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metin, dış mekan, dalga içeren bir resim&#10;&#10;Açıklama otomatik olarak oluşturuldu"/>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671359" cy="3631887"/>
                    </a:xfrm>
                    <a:prstGeom prst="rect">
                      <a:avLst/>
                    </a:prstGeom>
                    <a:ln>
                      <a:noFill/>
                    </a:ln>
                    <a:extLst>
                      <a:ext uri="{53640926-AAD7-44D8-BBD7-CCE9431645EC}">
                        <a14:shadowObscured xmlns:a14="http://schemas.microsoft.com/office/drawing/2010/main"/>
                      </a:ext>
                    </a:extLst>
                  </pic:spPr>
                </pic:pic>
              </a:graphicData>
            </a:graphic>
          </wp:inline>
        </w:drawing>
      </w:r>
    </w:p>
    <w:p w14:paraId="781DB802" w14:textId="28084C97"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19 Analıkız</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excavations from the north (Marr </w:t>
      </w:r>
      <w:r w:rsidRPr="00F03A26">
        <w:rPr>
          <w:rFonts w:asciiTheme="majorBidi" w:eastAsia="Times New Roman" w:hAnsiTheme="majorBidi" w:cstheme="majorBidi"/>
          <w:lang w:val="en-GB" w:bidi="he-IL"/>
        </w:rPr>
        <w:t>&amp;</w:t>
      </w:r>
      <w:r w:rsidRPr="00F03A26">
        <w:rPr>
          <w:rFonts w:asciiTheme="majorBidi" w:hAnsiTheme="majorBidi" w:cstheme="majorBidi"/>
          <w:lang w:val="en-GB"/>
        </w:rPr>
        <w:t xml:space="preserve"> Orbeli, 1922).</w:t>
      </w:r>
    </w:p>
    <w:p w14:paraId="272920E2" w14:textId="77777777" w:rsidR="001004F6" w:rsidRPr="00F03A26" w:rsidRDefault="001004F6" w:rsidP="00F03A26">
      <w:pPr>
        <w:jc w:val="both"/>
        <w:rPr>
          <w:rFonts w:asciiTheme="majorBidi" w:hAnsiTheme="majorBidi" w:cstheme="majorBidi"/>
          <w:color w:val="000000" w:themeColor="text1"/>
          <w:lang w:val="en-GB"/>
        </w:rPr>
      </w:pPr>
    </w:p>
    <w:p w14:paraId="6FDF5730" w14:textId="789F17B1" w:rsidR="001004F6" w:rsidRPr="00F03A26" w:rsidRDefault="001004F6" w:rsidP="00F03A26">
      <w:pPr>
        <w:jc w:val="both"/>
        <w:rPr>
          <w:rFonts w:asciiTheme="majorBidi" w:hAnsiTheme="majorBidi" w:cstheme="majorBidi"/>
        </w:rPr>
      </w:pPr>
      <w:r w:rsidRPr="00F03A26">
        <w:rPr>
          <w:rFonts w:asciiTheme="majorBidi" w:hAnsiTheme="majorBidi" w:cstheme="majorBidi"/>
        </w:rPr>
        <w:t>It should also be noted that the panoramic city photograph taken from the fortress by A. Vruyr, who we know is the photographer of Marr and Orbeli, includes many details to help us understand the urban fabric. The region stretching from Horhor</w:t>
      </w:r>
      <w:r w:rsidR="00647545">
        <w:rPr>
          <w:rFonts w:asciiTheme="majorBid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xml:space="preserve"> in the west to Tabriz Kapı in the east is depicted.</w:t>
      </w:r>
    </w:p>
    <w:p w14:paraId="6620CB84" w14:textId="77777777" w:rsidR="001004F6" w:rsidRPr="00F03A26" w:rsidRDefault="001004F6" w:rsidP="00F03A26">
      <w:pPr>
        <w:jc w:val="both"/>
        <w:rPr>
          <w:rFonts w:asciiTheme="majorBidi" w:hAnsiTheme="majorBidi" w:cstheme="majorBidi"/>
        </w:rPr>
      </w:pPr>
    </w:p>
    <w:p w14:paraId="132C6331" w14:textId="363783F1" w:rsidR="001004F6" w:rsidRPr="00F03A26" w:rsidRDefault="001004F6" w:rsidP="00F03A26">
      <w:pPr>
        <w:jc w:val="both"/>
        <w:rPr>
          <w:rFonts w:asciiTheme="majorBidi" w:hAnsiTheme="majorBidi" w:cstheme="majorBidi"/>
        </w:rPr>
      </w:pPr>
      <w:r w:rsidRPr="00F03A26">
        <w:rPr>
          <w:rFonts w:asciiTheme="majorBidi" w:hAnsiTheme="majorBidi" w:cstheme="majorBidi"/>
        </w:rPr>
        <w:t>After the excavations of Marr and Orbeli, this time American scientists Kirsopp Lake and Silva Lake carried out excavations in Van Fortress in 1938-1939. Excavations were published much later by M. Korfmann (Korfmann, 1977). Kirsopp and Silva Lake started working again on May 30, 1938, at the Analıkız</w:t>
      </w:r>
      <w:r w:rsidR="00647545">
        <w:rPr>
          <w:rFonts w:asciiTheme="majorBid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hAnsiTheme="majorBidi" w:cstheme="majorBidi"/>
        </w:rPr>
        <w:fldChar w:fldCharType="end"/>
      </w:r>
      <w:r w:rsidRPr="00F03A26">
        <w:rPr>
          <w:rFonts w:asciiTheme="majorBidi" w:hAnsiTheme="majorBidi" w:cstheme="majorBidi"/>
        </w:rPr>
        <w:t>. Starting by removing the debris to the east of the great niche and between the niches, Lake mentions a previously untouched section covered with a heap of rocks and earth to the west. Lake states that the stones fell from a structure at the west end or an upper structure in this section, where there are many large stones. The presence of a wall, the remains of which can still be seen, especially at the western end, is extremely important for the character of this area (Lake, 1940: 180-184; Korfmann, 1977: 182-185, Abb. Taf. VI-VIII). Lake mentions that there were two construction phases in this area. He states that in the first phase, large stone blocks were placed in the beds of low depth, which opened into the bedrock, while smaller stones were used in the second phase (Lake 1940: 184). As seen from the section of the wall built adjacent to one of the niches in the works of Marr and Orbeli, it belongs to a second construction phase (Marr &amp; Orbeli, 1922: Pl. XV-2).</w:t>
      </w:r>
    </w:p>
    <w:p w14:paraId="28E61948"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lastRenderedPageBreak/>
        <w:drawing>
          <wp:inline distT="0" distB="0" distL="0" distR="0" wp14:anchorId="50883D59" wp14:editId="15A66DA1">
            <wp:extent cx="5667516" cy="3646311"/>
            <wp:effectExtent l="0" t="0" r="0" b="0"/>
            <wp:docPr id="1064842925" name="Resim 1064842925" descr="metin, iç mekan, duvar,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metin, iç mekan, duvar, beyaz içeren bir resim&#10;&#10;Açıklama otomatik olarak oluşturuldu"/>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687981" cy="3659478"/>
                    </a:xfrm>
                    <a:prstGeom prst="rect">
                      <a:avLst/>
                    </a:prstGeom>
                    <a:ln>
                      <a:noFill/>
                    </a:ln>
                    <a:extLst>
                      <a:ext uri="{53640926-AAD7-44D8-BBD7-CCE9431645EC}">
                        <a14:shadowObscured xmlns:a14="http://schemas.microsoft.com/office/drawing/2010/main"/>
                      </a:ext>
                    </a:extLst>
                  </pic:spPr>
                </pic:pic>
              </a:graphicData>
            </a:graphic>
          </wp:inline>
        </w:drawing>
      </w:r>
    </w:p>
    <w:p w14:paraId="1E64A7C4" w14:textId="29F5F002"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 </w:t>
      </w:r>
      <w:r w:rsidRPr="00F03A26">
        <w:rPr>
          <w:rFonts w:asciiTheme="majorBidi" w:hAnsiTheme="majorBidi" w:cstheme="majorBidi"/>
          <w:lang w:val="en-GB"/>
        </w:rPr>
        <w:t>Fig. 20 Analıkız</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excavations. Analıkız niches and inscribed stelae are unearthed (Marr </w:t>
      </w:r>
      <w:r w:rsidRPr="00F03A26">
        <w:rPr>
          <w:rFonts w:asciiTheme="majorBidi" w:eastAsia="Times New Roman" w:hAnsiTheme="majorBidi" w:cstheme="majorBidi"/>
          <w:lang w:val="en-GB" w:bidi="he-IL"/>
        </w:rPr>
        <w:t>&amp;</w:t>
      </w:r>
      <w:r w:rsidRPr="00F03A26">
        <w:rPr>
          <w:rFonts w:asciiTheme="majorBidi" w:hAnsiTheme="majorBidi" w:cstheme="majorBidi"/>
          <w:lang w:val="en-GB"/>
        </w:rPr>
        <w:t xml:space="preserve"> Orbeli, 1922). </w:t>
      </w:r>
    </w:p>
    <w:p w14:paraId="1684BE0E" w14:textId="77777777" w:rsidR="001004F6" w:rsidRPr="00F03A26" w:rsidRDefault="001004F6" w:rsidP="00F03A26">
      <w:pPr>
        <w:jc w:val="both"/>
        <w:rPr>
          <w:rFonts w:asciiTheme="majorBidi" w:hAnsiTheme="majorBidi" w:cstheme="majorBidi"/>
          <w:noProof/>
          <w:color w:val="000000" w:themeColor="text1"/>
          <w:lang w:val="en-GB"/>
        </w:rPr>
      </w:pPr>
      <w:r w:rsidRPr="00F03A26">
        <w:rPr>
          <w:rFonts w:asciiTheme="majorBidi" w:hAnsiTheme="majorBidi" w:cstheme="majorBidi"/>
          <w:noProof/>
          <w:color w:val="000000" w:themeColor="text1"/>
          <w:lang w:val="en-US"/>
        </w:rPr>
        <w:drawing>
          <wp:inline distT="0" distB="0" distL="0" distR="0" wp14:anchorId="2CC87B5A" wp14:editId="2230F893">
            <wp:extent cx="4996070" cy="2495412"/>
            <wp:effectExtent l="0" t="0" r="0" b="0"/>
            <wp:docPr id="1064842926" name="Resim 1064842926" descr="dış mekan, yer,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6" name="Resim 1064842926" descr="dış mekan, yer, dağ içeren bir resim&#10;&#10;Açıklama otomatik olarak oluşturuldu"/>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072425" cy="2533550"/>
                    </a:xfrm>
                    <a:prstGeom prst="rect">
                      <a:avLst/>
                    </a:prstGeom>
                    <a:ln>
                      <a:noFill/>
                    </a:ln>
                    <a:extLst>
                      <a:ext uri="{53640926-AAD7-44D8-BBD7-CCE9431645EC}">
                        <a14:shadowObscured xmlns:a14="http://schemas.microsoft.com/office/drawing/2010/main"/>
                      </a:ext>
                    </a:extLst>
                  </pic:spPr>
                </pic:pic>
              </a:graphicData>
            </a:graphic>
          </wp:inline>
        </w:drawing>
      </w:r>
    </w:p>
    <w:p w14:paraId="7D7BED3C" w14:textId="25F6D3FD"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21 Kirsopp and Silva Lake's Analıkız</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Excavations (Korfmann, 1977: X/1).</w:t>
      </w:r>
    </w:p>
    <w:p w14:paraId="164901F2" w14:textId="77777777" w:rsidR="001004F6" w:rsidRPr="00F03A26" w:rsidRDefault="001004F6" w:rsidP="00F03A26">
      <w:pPr>
        <w:jc w:val="both"/>
        <w:rPr>
          <w:rFonts w:asciiTheme="majorBidi" w:hAnsiTheme="majorBidi" w:cstheme="majorBidi"/>
          <w:lang w:val="en-GB"/>
        </w:rPr>
      </w:pPr>
    </w:p>
    <w:p w14:paraId="09DC7104" w14:textId="0ACD9570"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After these studies in Analıkız</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Kirsopp and Silva Lake expanded the excavation areas by continuing to the west during the 1939 excavation season. During the works carried out between Analıkız and the East Ditch</w:t>
      </w:r>
      <w:r w:rsidR="00647545">
        <w:rPr>
          <w:rFonts w:asciiTheme="majorBidi" w:hAnsiTheme="majorBidi" w:cstheme="majorBidi"/>
          <w:color w:val="000000" w:themeColor="text1"/>
          <w:lang w:val="en-GB"/>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and on the terraces, the remains of the fortification walls consisting of various wall lines and large blocks were unearthed (Fig. 21). The direction and connections of the city walls in this area were examined. Especially in the excavation and cleaning works carried out in Sardurburç</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"Sardurburç"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details about the wall-foundation structures and the connection of the building with the fortress </w:t>
      </w:r>
      <w:r w:rsidRPr="00F03A26">
        <w:rPr>
          <w:rFonts w:asciiTheme="majorBidi" w:hAnsiTheme="majorBidi" w:cstheme="majorBidi"/>
          <w:color w:val="000000" w:themeColor="text1"/>
          <w:lang w:val="en-GB"/>
        </w:rPr>
        <w:lastRenderedPageBreak/>
        <w:t>were revealed. In addition, observations about the construction phases of the building are also included (Korfmann, 1977: 173-200, Abb. Taf. V-XIV; Lake, 1940: 179-191).</w:t>
      </w:r>
    </w:p>
    <w:p w14:paraId="68E86098"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noProof/>
          <w:color w:val="000000" w:themeColor="text1"/>
          <w:lang w:val="en-US"/>
        </w:rPr>
        <w:drawing>
          <wp:inline distT="0" distB="0" distL="0" distR="0" wp14:anchorId="4BBCE0D0" wp14:editId="28097B5B">
            <wp:extent cx="5728771" cy="3640157"/>
            <wp:effectExtent l="0" t="0" r="0" b="5080"/>
            <wp:docPr id="1064842927" name="Resim 1064842927" descr="dış mekan, gökyüzü, ağaç,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7" name="Resim 1064842927" descr="dış mekan, gökyüzü, ağaç, manzara içeren bir resim&#10;&#10;Açıklama otomatik olarak oluşturuldu"/>
                    <pic:cNvPicPr/>
                  </pic:nvPicPr>
                  <pic:blipFill>
                    <a:blip r:embed="rId31" cstate="email">
                      <a:extLst>
                        <a:ext uri="{28A0092B-C50C-407E-A947-70E740481C1C}">
                          <a14:useLocalDpi xmlns:a14="http://schemas.microsoft.com/office/drawing/2010/main"/>
                        </a:ext>
                      </a:extLst>
                    </a:blip>
                    <a:stretch>
                      <a:fillRect/>
                    </a:stretch>
                  </pic:blipFill>
                  <pic:spPr>
                    <a:xfrm>
                      <a:off x="0" y="0"/>
                      <a:ext cx="5787313" cy="3677355"/>
                    </a:xfrm>
                    <a:prstGeom prst="rect">
                      <a:avLst/>
                    </a:prstGeom>
                  </pic:spPr>
                </pic:pic>
              </a:graphicData>
            </a:graphic>
          </wp:inline>
        </w:drawing>
      </w:r>
    </w:p>
    <w:p w14:paraId="35CEA5A0" w14:textId="5B054DA6"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22 Sardurburç</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"Sardurburç"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Excavation under the direction of A. Erzen, 1974 (A. Erzen Photo Archive).</w:t>
      </w:r>
    </w:p>
    <w:p w14:paraId="53B4AF02" w14:textId="77777777" w:rsidR="001004F6" w:rsidRPr="00F03A26" w:rsidRDefault="001004F6" w:rsidP="00F03A26">
      <w:pPr>
        <w:jc w:val="both"/>
        <w:rPr>
          <w:rFonts w:asciiTheme="majorBidi" w:hAnsiTheme="majorBidi" w:cstheme="majorBidi"/>
          <w:lang w:val="en-GB"/>
        </w:rPr>
      </w:pPr>
    </w:p>
    <w:p w14:paraId="55AACF4B" w14:textId="0BEA97D9"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Approximately 20 years after Kirsopp and Silva Lake's excavations in Van Fortress, Afif Erzen and his team started their first research in Van and its surroundings in 1959 and 1960. The excavations </w:t>
      </w:r>
    </w:p>
    <w:p w14:paraId="14DF5BD9" w14:textId="22FBAD6D"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noProof/>
          <w:color w:val="000000" w:themeColor="text1"/>
          <w:lang w:val="en-US"/>
        </w:rPr>
        <w:drawing>
          <wp:anchor distT="0" distB="0" distL="114300" distR="114300" simplePos="0" relativeHeight="251851776" behindDoc="0" locked="0" layoutInCell="1" allowOverlap="1" wp14:anchorId="0ECE2C33" wp14:editId="0C9C3224">
            <wp:simplePos x="0" y="0"/>
            <wp:positionH relativeFrom="margin">
              <wp:posOffset>1412240</wp:posOffset>
            </wp:positionH>
            <wp:positionV relativeFrom="margin">
              <wp:posOffset>723900</wp:posOffset>
            </wp:positionV>
            <wp:extent cx="2908300" cy="4585335"/>
            <wp:effectExtent l="0" t="0" r="0" b="0"/>
            <wp:wrapTopAndBottom/>
            <wp:docPr id="1064842928" name="Resim 1064842928" descr="harabeler, dış mekan, gökyüzü, Arkeolojik sit alan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8" name="Resim 1064842928" descr="harabeler, dış mekan, gökyüzü, Arkeolojik sit alanı içeren bir resim&#10;&#10;Açıklama otomatik olarak oluşturuldu"/>
                    <pic:cNvPicPr/>
                  </pic:nvPicPr>
                  <pic:blipFill>
                    <a:blip r:embed="rId32" cstate="email">
                      <a:extLst>
                        <a:ext uri="{28A0092B-C50C-407E-A947-70E740481C1C}">
                          <a14:useLocalDpi xmlns:a14="http://schemas.microsoft.com/office/drawing/2010/main"/>
                        </a:ext>
                      </a:extLst>
                    </a:blip>
                    <a:stretch>
                      <a:fillRect/>
                    </a:stretch>
                  </pic:blipFill>
                  <pic:spPr>
                    <a:xfrm>
                      <a:off x="0" y="0"/>
                      <a:ext cx="2908300" cy="4585335"/>
                    </a:xfrm>
                    <a:prstGeom prst="rect">
                      <a:avLst/>
                    </a:prstGeom>
                  </pic:spPr>
                </pic:pic>
              </a:graphicData>
            </a:graphic>
            <wp14:sizeRelH relativeFrom="margin">
              <wp14:pctWidth>0</wp14:pctWidth>
            </wp14:sizeRelH>
            <wp14:sizeRelV relativeFrom="margin">
              <wp14:pctHeight>0</wp14:pctHeight>
            </wp14:sizeRelV>
          </wp:anchor>
        </w:drawing>
      </w:r>
    </w:p>
    <w:p w14:paraId="57D34103" w14:textId="77777777" w:rsidR="001004F6" w:rsidRPr="00F03A26" w:rsidRDefault="001004F6" w:rsidP="00F03A26">
      <w:pPr>
        <w:jc w:val="both"/>
        <w:rPr>
          <w:rFonts w:asciiTheme="majorBidi" w:hAnsiTheme="majorBidi" w:cstheme="majorBidi"/>
          <w:lang w:val="en-GB"/>
        </w:rPr>
      </w:pPr>
    </w:p>
    <w:p w14:paraId="5E71FE3C" w14:textId="31C30DF8"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23 İç Kale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Excavation under the direction of M. Taner Tarhan 1991 (M. T. Tarhan Photo Archive).</w:t>
      </w:r>
    </w:p>
    <w:p w14:paraId="56331E16" w14:textId="77777777" w:rsidR="001004F6" w:rsidRPr="00F03A26" w:rsidRDefault="001004F6" w:rsidP="00F03A26">
      <w:pPr>
        <w:jc w:val="both"/>
        <w:rPr>
          <w:rFonts w:asciiTheme="majorBidi" w:hAnsiTheme="majorBidi" w:cstheme="majorBidi"/>
          <w:color w:val="000000" w:themeColor="text1"/>
          <w:lang w:val="en-GB"/>
        </w:rPr>
      </w:pPr>
    </w:p>
    <w:p w14:paraId="0216071D" w14:textId="77777777" w:rsidR="001004F6" w:rsidRPr="00F03A26" w:rsidRDefault="001004F6" w:rsidP="00F03A26">
      <w:pPr>
        <w:jc w:val="both"/>
        <w:rPr>
          <w:rFonts w:asciiTheme="majorBidi" w:hAnsiTheme="majorBidi" w:cstheme="majorBidi"/>
          <w:color w:val="000000" w:themeColor="text1"/>
          <w:lang w:val="en-GB"/>
        </w:rPr>
      </w:pPr>
    </w:p>
    <w:p w14:paraId="221BA433"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in Toprakkale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"Toprakkale"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constitute the beginning of these research (Erzen, 1960b: 12-18; Erzen, 1960a: 716-718). In this first season, Sardurburç</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"Sardurburç"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becomes the focus of research. In the following years, work continued in Sardurburç, and excavations continued in the structure that was built adjacent to the eastern wall of Sardurburç. It is stated that the stones used in the construction of this structure, which is dated to the Middle Ages</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"Middle Ages"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belong to the upper order of Sardurburç (Erzen, 1974: 549) (Fig. 22). In the citadel, some soundings were made, and the building levels of the fortress were tried to be understood (Erzen, 1975: 561-562). Erzen also conducted research in the southern burial chamber, which he described as the İç Kale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İç Kale</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or Minua</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's tomb. The rubble and debris </w:t>
      </w:r>
      <w:r w:rsidRPr="00F03A26">
        <w:rPr>
          <w:rFonts w:asciiTheme="majorBidi" w:hAnsiTheme="majorBidi" w:cstheme="majorBidi"/>
          <w:color w:val="000000" w:themeColor="text1"/>
          <w:lang w:val="en-GB"/>
        </w:rPr>
        <w:lastRenderedPageBreak/>
        <w:t>on the upper part of the monumental platform in front of these rock tombs were cleaned. He associated the step surrounding the tomb façade, which was uncovered because of these studies carried out on the monumental platform, with religious rituals (Erzen, 1976a: 65).</w:t>
      </w:r>
    </w:p>
    <w:p w14:paraId="19770901" w14:textId="77777777" w:rsidR="001004F6" w:rsidRPr="00F03A26" w:rsidRDefault="001004F6" w:rsidP="00F03A26">
      <w:pPr>
        <w:jc w:val="both"/>
        <w:rPr>
          <w:rFonts w:asciiTheme="majorBidi" w:hAnsiTheme="majorBidi" w:cstheme="majorBidi"/>
          <w:color w:val="000000" w:themeColor="text1"/>
          <w:lang w:val="en-GB"/>
        </w:rPr>
      </w:pPr>
    </w:p>
    <w:p w14:paraId="0981DA87" w14:textId="77777777"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noProof/>
          <w:lang w:val="en-US"/>
        </w:rPr>
        <w:drawing>
          <wp:anchor distT="0" distB="0" distL="114300" distR="114300" simplePos="0" relativeHeight="251852800" behindDoc="0" locked="0" layoutInCell="1" allowOverlap="1" wp14:anchorId="23D17A06" wp14:editId="364307E8">
            <wp:simplePos x="0" y="0"/>
            <wp:positionH relativeFrom="margin">
              <wp:align>center</wp:align>
            </wp:positionH>
            <wp:positionV relativeFrom="margin">
              <wp:align>top</wp:align>
            </wp:positionV>
            <wp:extent cx="5749290" cy="3754120"/>
            <wp:effectExtent l="0" t="0" r="3810" b="5080"/>
            <wp:wrapSquare wrapText="bothSides"/>
            <wp:docPr id="1064842929" name="Resim 1064842929" descr="dış mekan, doğa, yam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dış mekan, doğa, yamaç içeren bir resim&#10;&#10;Açıklama otomatik olarak oluşturuldu"/>
                    <pic:cNvPicPr/>
                  </pic:nvPicPr>
                  <pic:blipFill>
                    <a:blip r:embed="rId33" cstate="email">
                      <a:extLst>
                        <a:ext uri="{28A0092B-C50C-407E-A947-70E740481C1C}">
                          <a14:useLocalDpi xmlns:a14="http://schemas.microsoft.com/office/drawing/2010/main"/>
                        </a:ext>
                      </a:extLst>
                    </a:blip>
                    <a:stretch>
                      <a:fillRect/>
                    </a:stretch>
                  </pic:blipFill>
                  <pic:spPr>
                    <a:xfrm>
                      <a:off x="0" y="0"/>
                      <a:ext cx="5749290" cy="3754120"/>
                    </a:xfrm>
                    <a:prstGeom prst="rect">
                      <a:avLst/>
                    </a:prstGeom>
                  </pic:spPr>
                </pic:pic>
              </a:graphicData>
            </a:graphic>
            <wp14:sizeRelH relativeFrom="margin">
              <wp14:pctWidth>0</wp14:pctWidth>
            </wp14:sizeRelH>
            <wp14:sizeRelV relativeFrom="margin">
              <wp14:pctHeight>0</wp14:pctHeight>
            </wp14:sizeRelV>
          </wp:anchor>
        </w:drawing>
      </w:r>
    </w:p>
    <w:p w14:paraId="55A92490" w14:textId="77777777" w:rsidR="001004F6" w:rsidRPr="00F03A26" w:rsidRDefault="001004F6" w:rsidP="00F03A26">
      <w:pPr>
        <w:jc w:val="both"/>
        <w:rPr>
          <w:rFonts w:asciiTheme="majorBidi" w:hAnsiTheme="majorBidi" w:cstheme="majorBidi"/>
          <w:lang w:val="en-GB"/>
        </w:rPr>
      </w:pPr>
      <w:r w:rsidRPr="00F03A26">
        <w:rPr>
          <w:rFonts w:asciiTheme="majorBidi" w:hAnsiTheme="majorBidi" w:cstheme="majorBidi"/>
          <w:lang w:val="en-GB"/>
        </w:rPr>
        <w:t>Fig. 24 New Palace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"New Palace"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Excavation under the direction of M. Taner Tarhan, 1987 (M. T. Tarhan Photo Archive).</w:t>
      </w:r>
    </w:p>
    <w:p w14:paraId="54EC9901" w14:textId="77777777" w:rsidR="001004F6" w:rsidRPr="00F03A26" w:rsidRDefault="001004F6" w:rsidP="00F03A26">
      <w:pPr>
        <w:jc w:val="both"/>
        <w:rPr>
          <w:rFonts w:asciiTheme="majorBidi" w:hAnsiTheme="majorBidi" w:cstheme="majorBidi"/>
          <w:color w:val="000000" w:themeColor="text1"/>
          <w:lang w:val="en-GB"/>
        </w:rPr>
      </w:pPr>
    </w:p>
    <w:p w14:paraId="13B69C66" w14:textId="024756AC"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The Van Fortress and Old Van City</w:t>
      </w:r>
      <w:r w:rsidR="005C68BB">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"Old Van City"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Excavations, which were carried out between 1987 and 1991 under the direction of M. Taner Tarhan, constitute the second period of the Urartian</w:t>
      </w:r>
      <w:r w:rsidR="005C68BB">
        <w:rPr>
          <w:rFonts w:asciiTheme="majorBidi" w:hAnsiTheme="majorBidi" w:cstheme="majorBidi"/>
          <w:color w:val="000000" w:themeColor="text1"/>
          <w:lang w:val="en-GB"/>
        </w:rPr>
        <w:t xml:space="preserve"> </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studies that started during the Afif Erzen period of Istanbul University. Tarhan and his team carry out excavations in the New Palace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"New Palace"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the Old Palace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"Old Palace"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and its surroundings, as well as the royal tomb structures in the Van Fortress (Figs. 23-24). They reach important findings about the nature and chronology of these areas (Tarhan, 1994).</w:t>
      </w:r>
    </w:p>
    <w:p w14:paraId="5F9AB125" w14:textId="77777777" w:rsidR="001004F6" w:rsidRPr="00F03A26" w:rsidRDefault="001004F6" w:rsidP="00F03A26">
      <w:pPr>
        <w:jc w:val="both"/>
        <w:rPr>
          <w:rFonts w:asciiTheme="majorBidi" w:hAnsiTheme="majorBidi" w:cstheme="majorBidi"/>
          <w:color w:val="000000" w:themeColor="text1"/>
          <w:lang w:val="en-GB"/>
        </w:rPr>
      </w:pPr>
    </w:p>
    <w:p w14:paraId="4C8ACC35" w14:textId="77777777" w:rsidR="001004F6" w:rsidRPr="00F03A26" w:rsidRDefault="001004F6" w:rsidP="00F03A26">
      <w:pPr>
        <w:jc w:val="both"/>
        <w:rPr>
          <w:rFonts w:asciiTheme="majorBidi" w:hAnsiTheme="majorBidi" w:cstheme="majorBidi"/>
          <w:color w:val="000000" w:themeColor="text1"/>
          <w:lang w:val="en-GB"/>
        </w:rPr>
      </w:pPr>
    </w:p>
    <w:p w14:paraId="03C8D916" w14:textId="77777777" w:rsidR="001004F6" w:rsidRPr="00F03A26" w:rsidRDefault="001004F6" w:rsidP="00F03A26">
      <w:pPr>
        <w:jc w:val="both"/>
        <w:rPr>
          <w:rFonts w:asciiTheme="majorBidi" w:hAnsiTheme="majorBidi" w:cstheme="majorBidi"/>
          <w:color w:val="000000" w:themeColor="text1"/>
          <w:lang w:val="en-GB"/>
        </w:rPr>
      </w:pPr>
    </w:p>
    <w:p w14:paraId="4B3CCD93"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 </w:t>
      </w:r>
    </w:p>
    <w:p w14:paraId="76A75D29" w14:textId="77777777" w:rsidR="001004F6" w:rsidRPr="00F03A26" w:rsidRDefault="001004F6" w:rsidP="00F03A26">
      <w:pPr>
        <w:jc w:val="both"/>
        <w:rPr>
          <w:rFonts w:asciiTheme="majorBidi" w:hAnsiTheme="majorBidi" w:cstheme="majorBidi"/>
          <w:color w:val="000000" w:themeColor="text1"/>
          <w:lang w:val="en-GB"/>
        </w:rPr>
      </w:pPr>
    </w:p>
    <w:p w14:paraId="0DADE928" w14:textId="77777777" w:rsidR="001004F6" w:rsidRPr="00F03A26" w:rsidRDefault="001004F6" w:rsidP="00F03A26">
      <w:pPr>
        <w:jc w:val="both"/>
        <w:rPr>
          <w:rFonts w:asciiTheme="majorBidi" w:hAnsiTheme="majorBidi" w:cstheme="majorBidi"/>
          <w:color w:val="000000" w:themeColor="text1"/>
          <w:lang w:val="en-GB"/>
        </w:rPr>
      </w:pPr>
    </w:p>
    <w:p w14:paraId="63D64F5D" w14:textId="77777777" w:rsidR="001004F6" w:rsidRPr="00F03A26" w:rsidRDefault="001004F6" w:rsidP="00F03A26">
      <w:pPr>
        <w:jc w:val="both"/>
        <w:rPr>
          <w:rFonts w:asciiTheme="majorBidi" w:hAnsiTheme="majorBidi" w:cstheme="majorBidi"/>
          <w:color w:val="000000" w:themeColor="text1"/>
          <w:lang w:val="en-GB"/>
        </w:rPr>
      </w:pPr>
    </w:p>
    <w:p w14:paraId="2FAF8697" w14:textId="77777777" w:rsidR="001004F6" w:rsidRPr="00F03A26" w:rsidRDefault="001004F6" w:rsidP="00F03A26">
      <w:pPr>
        <w:jc w:val="both"/>
        <w:rPr>
          <w:rFonts w:asciiTheme="majorBidi" w:hAnsiTheme="majorBidi" w:cstheme="majorBidi"/>
          <w:color w:val="000000" w:themeColor="text1"/>
          <w:lang w:val="en-GB"/>
        </w:rPr>
      </w:pPr>
    </w:p>
    <w:p w14:paraId="7BCB2698" w14:textId="77777777" w:rsidR="001004F6" w:rsidRPr="00F03A26" w:rsidRDefault="001004F6" w:rsidP="00F03A26">
      <w:pPr>
        <w:jc w:val="both"/>
        <w:rPr>
          <w:rFonts w:asciiTheme="majorBidi" w:hAnsiTheme="majorBidi" w:cstheme="majorBidi"/>
          <w:color w:val="000000" w:themeColor="text1"/>
          <w:lang w:val="en-GB"/>
        </w:rPr>
      </w:pPr>
    </w:p>
    <w:p w14:paraId="3B9489F5" w14:textId="77777777" w:rsidR="001004F6" w:rsidRPr="00F03A26" w:rsidRDefault="001004F6" w:rsidP="00F03A26">
      <w:pPr>
        <w:jc w:val="both"/>
        <w:rPr>
          <w:rFonts w:asciiTheme="majorBidi" w:hAnsiTheme="majorBidi" w:cstheme="majorBidi"/>
          <w:color w:val="000000" w:themeColor="text1"/>
          <w:lang w:val="en-GB"/>
        </w:rPr>
      </w:pPr>
    </w:p>
    <w:p w14:paraId="4C7D55B1" w14:textId="77777777" w:rsidR="001004F6" w:rsidRPr="00F03A26" w:rsidRDefault="001004F6" w:rsidP="00F03A26">
      <w:pPr>
        <w:jc w:val="both"/>
        <w:rPr>
          <w:rFonts w:asciiTheme="majorBidi" w:hAnsiTheme="majorBidi" w:cstheme="majorBidi"/>
          <w:color w:val="000000" w:themeColor="text1"/>
          <w:lang w:val="en-GB"/>
        </w:rPr>
      </w:pPr>
    </w:p>
    <w:p w14:paraId="7F4D5165" w14:textId="77777777" w:rsidR="001004F6" w:rsidRPr="00F03A26" w:rsidRDefault="001004F6" w:rsidP="00F03A26">
      <w:pPr>
        <w:jc w:val="both"/>
        <w:rPr>
          <w:rFonts w:asciiTheme="majorBidi" w:hAnsiTheme="majorBidi" w:cstheme="majorBidi"/>
          <w:color w:val="000000" w:themeColor="text1"/>
          <w:lang w:val="en-GB"/>
        </w:rPr>
      </w:pPr>
    </w:p>
    <w:p w14:paraId="543897AF" w14:textId="77777777" w:rsidR="001004F6" w:rsidRPr="00F03A26" w:rsidRDefault="001004F6" w:rsidP="00F03A26">
      <w:pPr>
        <w:jc w:val="both"/>
        <w:rPr>
          <w:rFonts w:asciiTheme="majorBidi" w:hAnsiTheme="majorBidi" w:cstheme="majorBidi"/>
          <w:color w:val="000000" w:themeColor="text1"/>
          <w:lang w:val="en-GB"/>
        </w:rPr>
      </w:pPr>
    </w:p>
    <w:p w14:paraId="1A20087E" w14:textId="77777777" w:rsidR="001004F6" w:rsidRPr="00F03A26" w:rsidRDefault="001004F6" w:rsidP="00F03A26">
      <w:pPr>
        <w:jc w:val="both"/>
        <w:rPr>
          <w:rFonts w:asciiTheme="majorBidi" w:hAnsiTheme="majorBidi" w:cstheme="majorBidi"/>
          <w:color w:val="000000" w:themeColor="text1"/>
          <w:lang w:val="en-GB"/>
        </w:rPr>
      </w:pPr>
    </w:p>
    <w:p w14:paraId="59F27D2C" w14:textId="77777777" w:rsidR="001004F6" w:rsidRPr="00F03A26" w:rsidRDefault="001004F6" w:rsidP="00F03A26">
      <w:pPr>
        <w:jc w:val="both"/>
        <w:rPr>
          <w:rFonts w:asciiTheme="majorBidi" w:hAnsiTheme="majorBidi" w:cstheme="majorBidi"/>
          <w:color w:val="000000" w:themeColor="text1"/>
          <w:lang w:val="en-GB"/>
        </w:rPr>
      </w:pPr>
    </w:p>
    <w:p w14:paraId="46B8F20D" w14:textId="77777777" w:rsidR="001004F6" w:rsidRPr="00F03A26" w:rsidRDefault="001004F6" w:rsidP="00F03A26">
      <w:pPr>
        <w:jc w:val="both"/>
        <w:rPr>
          <w:rFonts w:asciiTheme="majorBidi" w:hAnsiTheme="majorBidi" w:cstheme="majorBidi"/>
          <w:color w:val="000000" w:themeColor="text1"/>
          <w:lang w:val="en-GB"/>
        </w:rPr>
      </w:pPr>
    </w:p>
    <w:p w14:paraId="402ABA3C" w14:textId="77777777" w:rsidR="001004F6" w:rsidRPr="00F03A26" w:rsidRDefault="001004F6" w:rsidP="00F03A26">
      <w:pPr>
        <w:jc w:val="both"/>
        <w:rPr>
          <w:rFonts w:asciiTheme="majorBidi" w:hAnsiTheme="majorBidi" w:cstheme="majorBidi"/>
          <w:color w:val="000000" w:themeColor="text1"/>
          <w:lang w:val="en-GB"/>
        </w:rPr>
      </w:pPr>
    </w:p>
    <w:p w14:paraId="42375DA6" w14:textId="77777777" w:rsidR="001004F6" w:rsidRPr="00F03A26" w:rsidRDefault="001004F6" w:rsidP="00F03A26">
      <w:pPr>
        <w:jc w:val="both"/>
        <w:rPr>
          <w:rFonts w:asciiTheme="majorBidi" w:hAnsiTheme="majorBidi" w:cstheme="majorBidi"/>
          <w:color w:val="000000" w:themeColor="text1"/>
          <w:lang w:val="en-GB"/>
        </w:rPr>
      </w:pPr>
    </w:p>
    <w:p w14:paraId="61107894" w14:textId="77777777"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br w:type="page"/>
      </w:r>
    </w:p>
    <w:p w14:paraId="4FEEA659" w14:textId="77777777" w:rsidR="001004F6" w:rsidRPr="00F03A26" w:rsidRDefault="001004F6" w:rsidP="00F03A26">
      <w:pPr>
        <w:pStyle w:val="Balk2"/>
        <w:jc w:val="both"/>
        <w:rPr>
          <w:rFonts w:asciiTheme="majorBidi" w:hAnsiTheme="majorBidi"/>
          <w:b/>
          <w:bCs/>
          <w:color w:val="000000" w:themeColor="text1"/>
          <w:sz w:val="28"/>
          <w:szCs w:val="28"/>
          <w:lang w:val="en-GB"/>
        </w:rPr>
      </w:pPr>
      <w:bookmarkStart w:id="7" w:name="_Toc173231182"/>
      <w:r w:rsidRPr="00F03A26">
        <w:rPr>
          <w:rFonts w:asciiTheme="majorBidi" w:hAnsiTheme="majorBidi"/>
          <w:b/>
          <w:bCs/>
          <w:color w:val="000000" w:themeColor="text1"/>
          <w:sz w:val="28"/>
          <w:szCs w:val="28"/>
          <w:lang w:val="en-GB"/>
        </w:rPr>
        <w:lastRenderedPageBreak/>
        <w:t>1.4. Conclusion</w:t>
      </w:r>
      <w:bookmarkEnd w:id="7"/>
    </w:p>
    <w:p w14:paraId="11708358" w14:textId="72FACA4B"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The earliest narrative of Van Fortress, which has kept its silence for thousands of years, appears with Movses</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Movses</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Khorenatsi. The Van Fortress, which Khorenatsi told and described in a legendary way, became flesh and bone with the narratives of Evliya Çelebi</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Evliya Çelebi</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centuries later. In this process, we see that various travellers and pilgrims continue to reflect Van and its surroundings with their engravings and drawings (Fig. 2-3). In fact, with the first half of the 19th century, the Van Fortress and its stories, which were told in some places dreamy and legendary and exaggerated in some places, until the first half of the 19th century, started to become the focus of researchers and travellers who were curious about this region and its settlements. In this context, when we look at the first research about the Van Fortress at a time when archaeology began to be defined and developed, we come across Schulz</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"Schulz"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Thus, together with Schulz, we encounter real scientific researchers and their research. Before Schulz, the narratives of travellers, pilgrims and the like about Van Fortress and its surroundings and the way they describe the past sit in a scientific framework with Schulz. In this respect, the ongoing transmissions with half-dreams, half-legends and stories are now replaced by scientists who are genuinely curious and trying to understand this region. However, these investigations are interrupted by the murder of Schulz. And then, with the publication of his works, Van Fortress and its surroundings take their place in literature and these studies begin to attract the attention of new researchers. These studies are now a touchstone for future research and researchers. Texier</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Texier</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's detailed study of Van Fortress and its city is also important research that presents integrity (Fig. 4-7). Texier makes important and realistic determinations about the fortress and the various structures and units of the city. Like Texier, who seems to have benefited from Schulz's work, Layard</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Layard</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also focuses on various structures of the fortress and the city, giving detailed information supported by drawings (Fig. 17). The plans and drawings of the Horhor</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rock tomb is extremely realistic and surprising (Fig. 18). With Layard, who focused especially on Urartian</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building groups and definitions, a significant change was experienced in Van Fortress and its research. Layard no longer only identifies the various structures and ruins in the fort but is found for the first time in an excavation. Layard narrates the story of the Treasure Gate told by Schulz in Analıkız</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in the same way. Layard is excavating with two people, Nikὸos and Cawass, who help him in this area. Beyond being an archaeological excavation, this excavation looks like a treasure excavation to find the treasures in the story told. In this respect, the effort to reach the treasury rooms believed to exist by the public is interesting. In addition, Layard's efforts to continue his excavations in the vicinity of Mosul and the cities of Assyrian</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in and around the Van Fortress are remarkable in terms of the history of archaeology in the Ottoman</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Ottoman</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Empire. Such studies, which the Ottoman administrators were initially indifferent to, begin to settle into a system over time, within the framework of needs and at the stage of solving the problems that arise. In this respect, the work of European consuls, travellers, pilgrims, researchers and scientists in Mesopotamia and the work in the Van region are simultaneous.</w:t>
      </w:r>
    </w:p>
    <w:p w14:paraId="246B86BC" w14:textId="77777777" w:rsidR="001004F6" w:rsidRPr="00F03A26" w:rsidRDefault="001004F6" w:rsidP="00F03A26">
      <w:pPr>
        <w:jc w:val="both"/>
        <w:rPr>
          <w:rFonts w:asciiTheme="majorBidi" w:hAnsiTheme="majorBidi" w:cstheme="majorBidi"/>
          <w:color w:val="000000" w:themeColor="text1"/>
          <w:lang w:val="en-GB"/>
        </w:rPr>
      </w:pPr>
    </w:p>
    <w:p w14:paraId="4C1CA3E0" w14:textId="3C30DE7F"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After Layard</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Layard</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travellers, researchers and travellers such as Hell</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Hell</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Deyrolle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Deyrolle</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Burnaby</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Burnaby</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Tozer</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Tozer</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Chantre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Chantre</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and Barry, Müller-Simonis</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Müller-Simonis</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and Hyvernat</w:t>
      </w:r>
      <w:r w:rsidR="001F2587">
        <w:rPr>
          <w:rFonts w:asciiTheme="majorBidi" w:hAnsiTheme="majorBidi" w:cstheme="majorBidi"/>
          <w:color w:val="000000" w:themeColor="text1"/>
          <w:lang w:val="en-GB"/>
        </w:rPr>
        <w:fldChar w:fldCharType="begin"/>
      </w:r>
      <w:r w:rsidR="001F2587">
        <w:instrText xml:space="preserve"> XE "</w:instrText>
      </w:r>
      <w:r w:rsidR="001F2587" w:rsidRPr="00616BED">
        <w:rPr>
          <w:rFonts w:asciiTheme="majorBidi" w:hAnsiTheme="majorBidi" w:cstheme="majorBidi"/>
          <w:kern w:val="0"/>
          <w:sz w:val="22"/>
          <w:szCs w:val="22"/>
          <w:lang w:val="en-US"/>
          <w14:ligatures w14:val="none"/>
        </w:rPr>
        <w:instrText>Hyvernat</w:instrText>
      </w:r>
      <w:r w:rsidR="001F2587">
        <w:instrText xml:space="preserve">" </w:instrText>
      </w:r>
      <w:r w:rsidR="001F258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recount Van Fortress and its city like previous researchers. However, it is especially important that new plans, drawings, photographs and engravings accompany these works (Fig. 8-13). Thus, new visuals begin to accompany the narratives. The book of Ansari</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Ansari</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who was the first Iranian consul after all these European researchers and travellers, about Van and its surroundings is noteworthy. In his book, Ansari describes the Van Fortress and its city, various structures, rock tombs, Analıkız</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Sardurburç</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"Sardurburç"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and </w:t>
      </w:r>
      <w:r w:rsidRPr="00F03A26">
        <w:rPr>
          <w:rFonts w:asciiTheme="majorBidi" w:hAnsiTheme="majorBidi" w:cstheme="majorBidi"/>
          <w:color w:val="000000" w:themeColor="text1"/>
          <w:lang w:val="en-GB"/>
        </w:rPr>
        <w:lastRenderedPageBreak/>
        <w:t>the structures in the fortress. Mentioning that he also read Layard's book, Ansari's emphasizing that the Ottoman</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Ottoman</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Empire had not done any research to reach real information about the fortress shows an important point of view for the period.</w:t>
      </w:r>
    </w:p>
    <w:p w14:paraId="01C7B074" w14:textId="77777777" w:rsidR="001004F6" w:rsidRPr="00F03A26" w:rsidRDefault="001004F6" w:rsidP="00F03A26">
      <w:pPr>
        <w:jc w:val="both"/>
        <w:rPr>
          <w:rFonts w:asciiTheme="majorBidi" w:hAnsiTheme="majorBidi" w:cstheme="majorBidi"/>
          <w:color w:val="000000" w:themeColor="text1"/>
          <w:lang w:val="en-GB"/>
        </w:rPr>
      </w:pPr>
    </w:p>
    <w:p w14:paraId="64C91114" w14:textId="2DEB48A2" w:rsidR="001004F6" w:rsidRPr="00F03A26" w:rsidRDefault="001004F6"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As of 1898, we see that Lehmann-Haupt also conducted research on the Van Fortress and the Analıkız</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00E2269D" w:rsidRPr="00F03A26">
        <w:rPr>
          <w:rFonts w:asciiTheme="majorBidi" w:hAnsiTheme="majorBidi" w:cstheme="majorBidi"/>
          <w:color w:val="000000" w:themeColor="text1"/>
          <w:lang w:val="en-GB"/>
        </w:rPr>
        <w:t>structure and</w:t>
      </w:r>
      <w:r w:rsidRPr="00F03A26">
        <w:rPr>
          <w:rFonts w:asciiTheme="majorBidi" w:hAnsiTheme="majorBidi" w:cstheme="majorBidi"/>
          <w:color w:val="000000" w:themeColor="text1"/>
          <w:lang w:val="en-GB"/>
        </w:rPr>
        <w:t xml:space="preserve"> mentioned that the treasure was believed to be buried in this area, similar to the story told by Schulz</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"Schulz"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and Layard</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Layard</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(Fig. 14-17). </w:t>
      </w:r>
      <w:r w:rsidRPr="00F03A26">
        <w:rPr>
          <w:rFonts w:asciiTheme="majorBidi" w:hAnsiTheme="majorBidi" w:cstheme="majorBidi"/>
          <w:lang w:val="en-GB"/>
        </w:rPr>
        <w:t>Lehmann-Haupt's definition of the canal in Analıkız, especially for the victims brought to this area, was accepted without question in many later studies (see chapter 10).</w:t>
      </w:r>
      <w:r w:rsidRPr="00F03A26">
        <w:rPr>
          <w:rFonts w:asciiTheme="majorBidi" w:hAnsiTheme="majorBidi" w:cstheme="majorBidi"/>
          <w:color w:val="000000" w:themeColor="text1"/>
          <w:lang w:val="en-GB"/>
        </w:rPr>
        <w:t xml:space="preserve"> Thus, it led to the definition of Analıkız sanctuary as an open-air temple in which religious ceremonies and sacrificial offerings were made. The excavation of niches and stelae in Analıkız in 1916 by Marr and Orbeli and the discovery of this area appears as an important work (Fig. 19-20). However, it is a question of interest why both researchers excavated in Analıkız, and whether this excavation has a connection with the story of the Treasure Gate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"Treasure Gate"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as reported by Schulz, Layard and Lehmann-Haupt. However, after the excavations of Marr and Orbeli</w:t>
      </w:r>
      <w:r w:rsidR="001F2587">
        <w:rPr>
          <w:rFonts w:asciiTheme="majorBidi" w:hAnsiTheme="majorBidi" w:cstheme="majorBidi"/>
          <w:color w:val="000000" w:themeColor="text1"/>
          <w:lang w:val="en-GB"/>
        </w:rPr>
        <w:fldChar w:fldCharType="begin"/>
      </w:r>
      <w:r w:rsidR="001F2587">
        <w:instrText xml:space="preserve"> XE "</w:instrText>
      </w:r>
      <w:r w:rsidR="001F2587" w:rsidRPr="00EB50DE">
        <w:rPr>
          <w:rFonts w:asciiTheme="majorBidi" w:hAnsiTheme="majorBidi" w:cstheme="majorBidi"/>
          <w:kern w:val="0"/>
          <w:sz w:val="22"/>
          <w:szCs w:val="22"/>
          <w:lang w:val="en-US"/>
          <w14:ligatures w14:val="none"/>
        </w:rPr>
        <w:instrText>Orbeli</w:instrText>
      </w:r>
      <w:r w:rsidR="001F2587">
        <w:instrText xml:space="preserve">" </w:instrText>
      </w:r>
      <w:r w:rsidR="001F258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the excavation work of Kirsopp and Silva Lake in Analıkız in the Van Fortress in 1938-1939 is important (Fig. 21). The description of the construction phases in this area is especially important and different from the others in terms of excavation technique. In addition, the observations about the construction phases of the Sardurburç</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"Sardurburç"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structure reflect a more rigorous method than previous researchers. We see that Erzen and his team were involved in the research that continued throughout the 19th century in and around the Van Fortress in 1959 and 1960. Erzen's first research in Van Fortress are continued in Sardurburç (Fig. 22). In the citadel, the building levels of the fortress were tried to be understood. Erzen conducted research in the burial chamber, which he described as İç Kale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İç Kale</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or Minua</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's tomb. Work was carried out on the platform in front of these rock tombs. </w:t>
      </w:r>
    </w:p>
    <w:p w14:paraId="10A11C4A" w14:textId="77777777" w:rsidR="001004F6" w:rsidRPr="00F03A26" w:rsidRDefault="001004F6" w:rsidP="00F03A26">
      <w:pPr>
        <w:jc w:val="both"/>
        <w:rPr>
          <w:rFonts w:asciiTheme="majorBidi" w:hAnsiTheme="majorBidi" w:cstheme="majorBidi"/>
          <w:color w:val="FF0000"/>
          <w:lang w:val="en-GB"/>
        </w:rPr>
      </w:pPr>
    </w:p>
    <w:p w14:paraId="0FC6FC35" w14:textId="279708D5" w:rsidR="001004F6" w:rsidRPr="00F03A26" w:rsidRDefault="001004F6" w:rsidP="00F03A26">
      <w:pPr>
        <w:jc w:val="both"/>
        <w:rPr>
          <w:rFonts w:asciiTheme="majorBidi" w:hAnsiTheme="majorBidi" w:cstheme="majorBidi"/>
        </w:rPr>
      </w:pPr>
      <w:r w:rsidRPr="00F03A26">
        <w:rPr>
          <w:rFonts w:asciiTheme="majorBidi" w:hAnsiTheme="majorBidi" w:cstheme="majorBidi"/>
          <w:color w:val="000000" w:themeColor="text1"/>
          <w:lang w:val="en-GB"/>
        </w:rPr>
        <w:t>When we look at the research in Van Fortress, the city and its surroundings through the Van region, roughly two chronological distinctions stand out. The first is the fairy-tale narratives of various travellers and pilgrims, which have continued for many years, and their transmissions based on the observations and descriptions of researchers who are curious about the settlements in this region. However, the second chronological distinction appears with the first scientific research at the beginning of the 19th century. And in the continuation of these years, gradually increasing research and investigations constitute the first data that will lead us to understand Urartian</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culture. Excavations accompanying scientific research show parallels with the development of archaeology in Europe. Therefore, the simultaneity of the various excavations in Mesopotamia and the excavations in the Van region </w:t>
      </w:r>
      <w:r w:rsidRPr="00F03A26">
        <w:rPr>
          <w:rFonts w:asciiTheme="majorBidi" w:hAnsiTheme="majorBidi" w:cstheme="majorBidi"/>
          <w:color w:val="000000" w:themeColor="text1"/>
          <w:lang w:val="en-GB"/>
        </w:rPr>
        <w:lastRenderedPageBreak/>
        <w:t>is extremely important in terms of the beginning and history of archaeology. The fact that the Van region has been the focus of such studies since early times has made it easier for us to understand both the Urartians</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"Urartians"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and the settlement types in and around the Van Fortress, thus paving the way for further research.</w:t>
      </w:r>
    </w:p>
    <w:p w14:paraId="7765698F" w14:textId="77777777" w:rsidR="00041246" w:rsidRPr="00F03A26" w:rsidRDefault="00041246" w:rsidP="00F03A26">
      <w:pPr>
        <w:jc w:val="both"/>
        <w:rPr>
          <w:rFonts w:asciiTheme="majorBidi" w:hAnsiTheme="majorBidi" w:cstheme="majorBidi"/>
          <w:lang w:val="en-US"/>
        </w:rPr>
      </w:pPr>
    </w:p>
    <w:p w14:paraId="70FACA54" w14:textId="14D83487" w:rsidR="00041246" w:rsidRPr="00F03A26" w:rsidRDefault="00041246" w:rsidP="00F03A26">
      <w:pPr>
        <w:jc w:val="both"/>
        <w:rPr>
          <w:rFonts w:asciiTheme="majorBidi" w:hAnsiTheme="majorBidi" w:cstheme="majorBidi"/>
          <w:color w:val="000000" w:themeColor="text1"/>
          <w:lang w:val="en-GB"/>
        </w:rPr>
        <w:sectPr w:rsidR="00041246" w:rsidRPr="00F03A26" w:rsidSect="007F3733">
          <w:pgSz w:w="11909" w:h="16834"/>
          <w:pgMar w:top="1440" w:right="1440" w:bottom="1440" w:left="1440" w:header="720" w:footer="720" w:gutter="0"/>
          <w:cols w:space="708"/>
        </w:sectPr>
      </w:pPr>
    </w:p>
    <w:p w14:paraId="28967D71" w14:textId="737E16D0" w:rsidR="00FF0A5F" w:rsidRPr="00F03A26" w:rsidRDefault="00FF0A5F" w:rsidP="00F03A26">
      <w:pPr>
        <w:jc w:val="both"/>
        <w:rPr>
          <w:rFonts w:asciiTheme="majorBidi" w:hAnsiTheme="majorBidi" w:cstheme="majorBidi"/>
          <w:color w:val="000000" w:themeColor="text1"/>
          <w:lang w:val="en-GB"/>
        </w:rPr>
      </w:pPr>
    </w:p>
    <w:p w14:paraId="1C2A6D5B" w14:textId="4CF428D1" w:rsidR="00FF0A5F" w:rsidRPr="00F03A26" w:rsidRDefault="00FF0A5F" w:rsidP="00860408">
      <w:pPr>
        <w:pStyle w:val="Balk1"/>
      </w:pPr>
      <w:bookmarkStart w:id="8" w:name="_Toc132072503"/>
      <w:bookmarkStart w:id="9" w:name="_Toc173231183"/>
      <w:r w:rsidRPr="00F03A26">
        <w:t xml:space="preserve">CHAPTER </w:t>
      </w:r>
      <w:bookmarkEnd w:id="8"/>
      <w:r w:rsidR="007968FF" w:rsidRPr="00F03A26">
        <w:t>II</w:t>
      </w:r>
      <w:bookmarkEnd w:id="9"/>
    </w:p>
    <w:p w14:paraId="22B20EEE" w14:textId="364E4B9D" w:rsidR="00FF0A5F" w:rsidRPr="00F03A26" w:rsidRDefault="00FF0A5F" w:rsidP="005C68BB">
      <w:pPr>
        <w:keepNext/>
        <w:keepLines/>
        <w:spacing w:before="240"/>
        <w:jc w:val="center"/>
        <w:outlineLvl w:val="0"/>
        <w:rPr>
          <w:rFonts w:asciiTheme="majorBidi" w:eastAsiaTheme="majorEastAsia" w:hAnsiTheme="majorBidi" w:cstheme="majorBidi"/>
          <w:b/>
          <w:bCs/>
          <w:sz w:val="32"/>
          <w:szCs w:val="32"/>
          <w:lang w:val="en-GB"/>
        </w:rPr>
      </w:pPr>
      <w:bookmarkStart w:id="10" w:name="_Toc132072504"/>
      <w:bookmarkStart w:id="11" w:name="_Toc173231184"/>
      <w:r w:rsidRPr="00F03A26">
        <w:rPr>
          <w:rFonts w:asciiTheme="majorBidi" w:eastAsiaTheme="majorEastAsia" w:hAnsiTheme="majorBidi" w:cstheme="majorBidi"/>
          <w:b/>
          <w:bCs/>
          <w:sz w:val="32"/>
          <w:szCs w:val="32"/>
          <w:lang w:val="en-GB"/>
        </w:rPr>
        <w:t>2-</w:t>
      </w:r>
      <w:r w:rsidRPr="00F03A26">
        <w:rPr>
          <w:rFonts w:asciiTheme="majorBidi" w:eastAsiaTheme="majorEastAsia" w:hAnsiTheme="majorBidi" w:cstheme="majorBidi"/>
          <w:b/>
          <w:bCs/>
          <w:sz w:val="32"/>
          <w:szCs w:val="32"/>
          <w:vertAlign w:val="superscript"/>
          <w:lang w:val="en-GB"/>
        </w:rPr>
        <w:t xml:space="preserve"> </w:t>
      </w:r>
      <w:r w:rsidRPr="00F03A26">
        <w:rPr>
          <w:rFonts w:asciiTheme="majorBidi" w:eastAsiaTheme="majorEastAsia" w:hAnsiTheme="majorBidi" w:cstheme="majorBidi"/>
          <w:b/>
          <w:bCs/>
          <w:sz w:val="32"/>
          <w:szCs w:val="32"/>
          <w:lang w:val="en-GB"/>
        </w:rPr>
        <w:t>Ṭušpa: From the Rock Outcrop to the Capital</w:t>
      </w:r>
      <w:bookmarkEnd w:id="10"/>
      <w:bookmarkEnd w:id="11"/>
    </w:p>
    <w:p w14:paraId="23F39642" w14:textId="77777777" w:rsidR="00FF0A5F" w:rsidRPr="00F03A26" w:rsidRDefault="00FF0A5F" w:rsidP="005C68BB">
      <w:pPr>
        <w:spacing w:before="100" w:beforeAutospacing="1" w:after="100" w:afterAutospacing="1" w:line="276" w:lineRule="auto"/>
        <w:ind w:left="2832" w:firstLine="708"/>
        <w:jc w:val="right"/>
        <w:rPr>
          <w:rFonts w:asciiTheme="majorBidi" w:hAnsiTheme="majorBidi" w:cstheme="majorBidi"/>
          <w:b/>
          <w:lang w:val="en-GB"/>
        </w:rPr>
      </w:pPr>
      <w:r w:rsidRPr="00F03A26">
        <w:rPr>
          <w:rFonts w:asciiTheme="majorBidi" w:hAnsiTheme="majorBidi" w:cstheme="majorBidi"/>
          <w:b/>
          <w:lang w:val="en-GB"/>
        </w:rPr>
        <w:t>Kenan Işık-Bülent Genç</w:t>
      </w:r>
    </w:p>
    <w:p w14:paraId="52D814A1" w14:textId="77777777" w:rsidR="00FF0A5F" w:rsidRPr="00F03A26" w:rsidRDefault="00FF0A5F" w:rsidP="00F03A26">
      <w:pPr>
        <w:spacing w:before="100" w:beforeAutospacing="1" w:after="100" w:afterAutospacing="1" w:line="276" w:lineRule="auto"/>
        <w:jc w:val="both"/>
        <w:rPr>
          <w:rFonts w:asciiTheme="majorBidi" w:hAnsiTheme="majorBidi" w:cstheme="majorBidi"/>
          <w:b/>
          <w:lang w:val="en-GB"/>
        </w:rPr>
      </w:pPr>
    </w:p>
    <w:p w14:paraId="105082C0" w14:textId="7FD252B4" w:rsidR="00F40E43" w:rsidRPr="00F03A26" w:rsidRDefault="00F40E43" w:rsidP="00F03A26">
      <w:pPr>
        <w:spacing w:before="100" w:beforeAutospacing="1" w:after="100" w:afterAutospacing="1" w:line="276" w:lineRule="auto"/>
        <w:jc w:val="both"/>
        <w:rPr>
          <w:rFonts w:asciiTheme="majorBidi" w:eastAsia="Calibri" w:hAnsiTheme="majorBidi" w:cstheme="majorBidi"/>
          <w:i/>
          <w:lang w:val="en-GB"/>
        </w:rPr>
      </w:pPr>
      <w:r w:rsidRPr="00F03A26">
        <w:rPr>
          <w:rFonts w:asciiTheme="majorBidi" w:eastAsia="Calibri" w:hAnsiTheme="majorBidi" w:cstheme="majorBidi"/>
          <w:b/>
          <w:lang w:val="en-GB"/>
        </w:rPr>
        <w:t>Abstract:</w:t>
      </w:r>
      <w:r w:rsidRPr="00F03A26">
        <w:rPr>
          <w:rFonts w:asciiTheme="majorBidi" w:eastAsia="Calibri" w:hAnsiTheme="majorBidi" w:cstheme="majorBidi"/>
          <w:b/>
          <w:i/>
          <w:lang w:val="en-GB"/>
        </w:rPr>
        <w:t xml:space="preserve"> </w:t>
      </w:r>
      <w:r w:rsidRPr="00F03A26">
        <w:rPr>
          <w:rFonts w:asciiTheme="majorBidi" w:eastAsia="Calibri" w:hAnsiTheme="majorBidi" w:cstheme="majorBidi"/>
          <w:lang w:val="en-GB"/>
        </w:rPr>
        <w:t>The Van Fortress, associated with Ṭušpa, the capital of the Urartian</w:t>
      </w:r>
      <w:r w:rsidR="00EA6C63">
        <w:rPr>
          <w:rFonts w:asciiTheme="majorBidi" w:eastAsia="Calibr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kingdom, was constructed on a limestone outcrop near the eastern shore of Van Lake</w:t>
      </w:r>
      <w:r w:rsidR="001F2587">
        <w:rPr>
          <w:rFonts w:asciiTheme="majorBidi" w:eastAsia="Calibri" w:hAnsiTheme="majorBidi" w:cstheme="majorBidi"/>
          <w:lang w:val="en-GB"/>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eastAsia="Calibri" w:hAnsiTheme="majorBidi" w:cstheme="majorBidi"/>
          <w:lang w:val="en-GB"/>
        </w:rPr>
        <w:fldChar w:fldCharType="end"/>
      </w:r>
      <w:r w:rsidRPr="00F03A26">
        <w:rPr>
          <w:rFonts w:asciiTheme="majorBidi" w:eastAsia="Calibri" w:hAnsiTheme="majorBidi" w:cstheme="majorBidi"/>
          <w:lang w:val="en-GB"/>
        </w:rPr>
        <w:t>. It measures 1345 meters in length, 200 meters in width, and 100 meters in height. The fortress contains the kingdom's main structures and monumental units, including administrative, public, and ritual monuments. The secluded location of the Ṭušpa citadel is also significant. The city of Ṭušpa was first inhabited before establishing the Urartian kingdom during the Neo-Assyrian</w:t>
      </w:r>
      <w:r w:rsidR="001F2587">
        <w:rPr>
          <w:rFonts w:asciiTheme="majorBidi" w:eastAsia="Calibri"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w:t>
      </w:r>
      <w:r w:rsidR="00C3551A" w:rsidRPr="00F03A26">
        <w:rPr>
          <w:rFonts w:asciiTheme="majorBidi" w:eastAsia="Calibri" w:hAnsiTheme="majorBidi" w:cstheme="majorBidi"/>
          <w:lang w:val="en-GB"/>
        </w:rPr>
        <w:t>p</w:t>
      </w:r>
      <w:r w:rsidRPr="00F03A26">
        <w:rPr>
          <w:rFonts w:asciiTheme="majorBidi" w:eastAsia="Calibri" w:hAnsiTheme="majorBidi" w:cstheme="majorBidi"/>
          <w:lang w:val="en-GB"/>
        </w:rPr>
        <w:t>eriod and gained new aspects after Sarduri I</w:t>
      </w:r>
      <w:r w:rsidR="005C68BB">
        <w:rPr>
          <w:rFonts w:asciiTheme="majorBidi" w:eastAsia="Calibri" w:hAnsiTheme="majorBidi" w:cstheme="majorBidi"/>
          <w:lang w:val="en-GB"/>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Calibri" w:hAnsiTheme="majorBidi" w:cstheme="majorBidi"/>
          <w:lang w:val="en-GB"/>
        </w:rPr>
        <w:fldChar w:fldCharType="end"/>
      </w:r>
      <w:r w:rsidRPr="00F03A26">
        <w:rPr>
          <w:rFonts w:asciiTheme="majorBidi" w:eastAsia="Calibri" w:hAnsiTheme="majorBidi" w:cstheme="majorBidi"/>
          <w:lang w:val="en-GB"/>
        </w:rPr>
        <w:t>. As the Urartian kingdom's structure evolved, the rock outcrop identified with Ṭušpa also changed. This study focuses on the initial identification of this rock outcrop as the capital of the Urartian kingdom during the Assyrian military campaigns in the region, the construction activities under different Urartian kings, and the extent of the capital city that included the Ṭušpa citadel and its surroundings. We discuss how this rock outcrop was chosen as the citadel of the capital city, its transformation into a fortress, the chronological phases of its habitation, and the changes that occurred during these periods.</w:t>
      </w:r>
    </w:p>
    <w:p w14:paraId="7BB4CB80" w14:textId="77777777" w:rsidR="00F40E43" w:rsidRPr="00F03A26" w:rsidRDefault="00F40E43" w:rsidP="00F03A26">
      <w:pPr>
        <w:keepNext/>
        <w:keepLines/>
        <w:spacing w:before="40"/>
        <w:jc w:val="both"/>
        <w:outlineLvl w:val="1"/>
        <w:rPr>
          <w:rFonts w:asciiTheme="majorBidi" w:eastAsia="Times New Roman" w:hAnsiTheme="majorBidi" w:cstheme="majorBidi"/>
          <w:b/>
          <w:sz w:val="28"/>
          <w:szCs w:val="28"/>
          <w:lang w:val="en-GB"/>
        </w:rPr>
      </w:pPr>
      <w:bookmarkStart w:id="12" w:name="_Toc173231185"/>
      <w:r w:rsidRPr="00F03A26">
        <w:rPr>
          <w:rFonts w:asciiTheme="majorBidi" w:eastAsia="Times New Roman" w:hAnsiTheme="majorBidi" w:cstheme="majorBidi"/>
          <w:b/>
          <w:sz w:val="28"/>
          <w:szCs w:val="28"/>
          <w:lang w:val="en-GB"/>
        </w:rPr>
        <w:t>2.1. Introduction</w:t>
      </w:r>
      <w:bookmarkEnd w:id="12"/>
    </w:p>
    <w:p w14:paraId="61EFDFD7" w14:textId="7D073839" w:rsidR="00F40E43" w:rsidRPr="00F03A26" w:rsidRDefault="00F40E43" w:rsidP="00F03A26">
      <w:pPr>
        <w:autoSpaceDE w:val="0"/>
        <w:autoSpaceDN w:val="0"/>
        <w:adjustRightInd w:val="0"/>
        <w:jc w:val="both"/>
        <w:rPr>
          <w:rFonts w:asciiTheme="majorBidi" w:eastAsia="Calibri" w:hAnsiTheme="majorBidi" w:cstheme="majorBidi"/>
          <w:lang w:val="en-GB"/>
        </w:rPr>
      </w:pPr>
      <w:r w:rsidRPr="00F03A26">
        <w:rPr>
          <w:rFonts w:asciiTheme="majorBidi" w:eastAsia="Calibri" w:hAnsiTheme="majorBidi" w:cstheme="majorBidi"/>
        </w:rPr>
        <w:t>During the Middle Assyrian</w:t>
      </w:r>
      <w:r w:rsidR="001F2587">
        <w:rPr>
          <w:rFonts w:asciiTheme="majorBidi" w:eastAsia="Calibr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period, starting from 13th</w:t>
      </w:r>
      <w:r w:rsidR="001F1A53" w:rsidRPr="00F03A26">
        <w:rPr>
          <w:rFonts w:asciiTheme="majorBidi" w:eastAsia="Calibri" w:hAnsiTheme="majorBidi" w:cstheme="majorBidi"/>
        </w:rPr>
        <w:t xml:space="preserve"> </w:t>
      </w:r>
      <w:r w:rsidRPr="00F03A26">
        <w:rPr>
          <w:rFonts w:asciiTheme="majorBidi" w:eastAsia="Calibri" w:hAnsiTheme="majorBidi" w:cstheme="majorBidi"/>
        </w:rPr>
        <w:t>century BCE, inscriptions describing the Assyrian military campaigns to the north, in mountainous areas where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kingdom would later be established, mention the tribes of ‘Uraṭri/Uruaṭri’ and ‘Nairi’</w:t>
      </w:r>
      <w:r w:rsidR="005C68BB">
        <w:rPr>
          <w:rFonts w:asciiTheme="majorBidi" w:eastAsia="Calibri" w:hAnsiTheme="majorBidi" w:cstheme="majorBidi"/>
        </w:rPr>
        <w:t>.</w:t>
      </w:r>
      <w:r w:rsidRPr="00F03A26">
        <w:rPr>
          <w:rFonts w:asciiTheme="majorBidi" w:eastAsia="Calibri" w:hAnsiTheme="majorBidi" w:cstheme="majorBidi"/>
        </w:rPr>
        <w:t xml:space="preserve"> During this period, the mountainous regions of Eastern Anatolia, Northwest Iran, and Armenia</w:t>
      </w:r>
      <w:r w:rsidR="001F2587">
        <w:rPr>
          <w:rFonts w:asciiTheme="majorBidi" w:eastAsia="Calibri" w:hAnsiTheme="majorBidi" w:cstheme="majorBidi"/>
        </w:rPr>
        <w:fldChar w:fldCharType="begin"/>
      </w:r>
      <w:r w:rsidR="001F2587">
        <w:instrText xml:space="preserve"> XE "</w:instrText>
      </w:r>
      <w:r w:rsidR="001F2587" w:rsidRPr="00AB114E">
        <w:rPr>
          <w:rFonts w:asciiTheme="majorBidi" w:hAnsiTheme="majorBidi" w:cstheme="majorBidi"/>
        </w:rPr>
        <w:instrText>Armenia</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were ruled by tribes known for their fortresses with crudely built walls and graves. Each tribe ruled in one region and was led by a chief. In this regard, archaeological data correspond to the Assyrian written records. Records dealing with the military campaigns of the Middle Assyrian kingdom against these tribes provide information on the political structures and the architecturally changing settlements in the region. Especially between the 13th-9th</w:t>
      </w:r>
      <w:r w:rsidR="001F1A53" w:rsidRPr="00F03A26">
        <w:rPr>
          <w:rFonts w:asciiTheme="majorBidi" w:eastAsia="Calibri" w:hAnsiTheme="majorBidi" w:cstheme="majorBidi"/>
        </w:rPr>
        <w:t xml:space="preserve"> </w:t>
      </w:r>
      <w:r w:rsidRPr="00F03A26">
        <w:rPr>
          <w:rFonts w:asciiTheme="majorBidi" w:eastAsia="Calibri" w:hAnsiTheme="majorBidi" w:cstheme="majorBidi"/>
        </w:rPr>
        <w:t>centuries BCE, campaigns of the Middle Assyrian kings [</w:t>
      </w:r>
      <w:r w:rsidRPr="00A967A3">
        <w:rPr>
          <w:rFonts w:asciiTheme="majorBidi" w:eastAsia="Calibri" w:hAnsiTheme="majorBidi" w:cstheme="majorBidi"/>
        </w:rPr>
        <w:t>Shalmaneser</w:t>
      </w:r>
      <w:r w:rsidRPr="00F03A26">
        <w:rPr>
          <w:rFonts w:asciiTheme="majorBidi" w:eastAsia="Calibri" w:hAnsiTheme="majorBidi" w:cstheme="majorBidi"/>
          <w:i/>
          <w:iCs/>
        </w:rPr>
        <w:t> </w:t>
      </w:r>
      <w:r w:rsidRPr="00F03A26">
        <w:rPr>
          <w:rFonts w:asciiTheme="majorBidi" w:eastAsia="Calibri" w:hAnsiTheme="majorBidi" w:cstheme="majorBidi"/>
        </w:rPr>
        <w:t>I (1273-1244 BCE) (Grayson, 1972: 81,108; Genç &amp; MacGinnis, 2023</w:t>
      </w:r>
      <w:r w:rsidR="001F1A53" w:rsidRPr="00F03A26">
        <w:rPr>
          <w:rFonts w:asciiTheme="majorBidi" w:eastAsia="Calibri" w:hAnsiTheme="majorBidi" w:cstheme="majorBidi"/>
        </w:rPr>
        <w:t xml:space="preserve">, </w:t>
      </w:r>
      <w:r w:rsidRPr="00F03A26">
        <w:rPr>
          <w:rFonts w:asciiTheme="majorBidi" w:eastAsia="Calibri" w:hAnsiTheme="majorBidi" w:cstheme="majorBidi"/>
        </w:rPr>
        <w:t xml:space="preserve">79-95), Tukultī-Ninurta I (1243-1207 BCE) (Grayson, 1972, 108), </w:t>
      </w:r>
      <w:r w:rsidRPr="00A967A3">
        <w:rPr>
          <w:rFonts w:asciiTheme="majorBidi" w:eastAsia="Calibri" w:hAnsiTheme="majorBidi" w:cstheme="majorBidi"/>
        </w:rPr>
        <w:t>Tiglath-pileser</w:t>
      </w:r>
      <w:r w:rsidRPr="00F03A26">
        <w:rPr>
          <w:rFonts w:asciiTheme="majorBidi" w:eastAsia="Calibri" w:hAnsiTheme="majorBidi" w:cstheme="majorBidi"/>
          <w:i/>
          <w:iCs/>
        </w:rPr>
        <w:t> </w:t>
      </w:r>
      <w:r w:rsidRPr="00F03A26">
        <w:rPr>
          <w:rFonts w:asciiTheme="majorBidi" w:eastAsia="Calibri" w:hAnsiTheme="majorBidi" w:cstheme="majorBidi"/>
        </w:rPr>
        <w:t>I (1114-1076 BCE) (Grayson, 1991: A.0.87.1,2,16; Genç &amp; MacGinnis, 2023</w:t>
      </w:r>
      <w:r w:rsidR="001F1A53" w:rsidRPr="00F03A26">
        <w:rPr>
          <w:rFonts w:asciiTheme="majorBidi" w:eastAsia="Calibri" w:hAnsiTheme="majorBidi" w:cstheme="majorBidi"/>
        </w:rPr>
        <w:t xml:space="preserve">, </w:t>
      </w:r>
      <w:r w:rsidRPr="00F03A26">
        <w:rPr>
          <w:rFonts w:asciiTheme="majorBidi" w:eastAsia="Calibri" w:hAnsiTheme="majorBidi" w:cstheme="majorBidi"/>
        </w:rPr>
        <w:t>6-22) and Aššur-bēl-kala</w:t>
      </w:r>
      <w:r w:rsidR="00C1513A">
        <w:rPr>
          <w:rFonts w:asciiTheme="majorBidi" w:eastAsia="Calibri" w:hAnsiTheme="majorBidi" w:cstheme="majorBidi"/>
        </w:rPr>
        <w:fldChar w:fldCharType="begin"/>
      </w:r>
      <w:r w:rsidR="00C1513A">
        <w:instrText xml:space="preserve"> XE "</w:instrText>
      </w:r>
      <w:r w:rsidR="00C1513A" w:rsidRPr="009B6B7E">
        <w:rPr>
          <w:rFonts w:asciiTheme="majorBidi" w:eastAsia="Times New Roman" w:hAnsiTheme="majorBidi" w:cstheme="majorBidi"/>
          <w:lang w:val="en-GB"/>
        </w:rPr>
        <w:instrText>Aššur-bēl-kala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(1073-1056 BCE) (Grayson, 1991: A.0.89.4,5,7) respectively] to the north illustrate the changing dynamics in this geography (Salvini, 2011, pp. 72-79; Genç 2015,</w:t>
      </w:r>
      <w:r w:rsidR="001F1A53" w:rsidRPr="00F03A26">
        <w:rPr>
          <w:rFonts w:asciiTheme="majorBidi" w:eastAsia="Calibri" w:hAnsiTheme="majorBidi" w:cstheme="majorBidi"/>
        </w:rPr>
        <w:t xml:space="preserve"> </w:t>
      </w:r>
      <w:r w:rsidRPr="00F03A26">
        <w:rPr>
          <w:rFonts w:asciiTheme="majorBidi" w:eastAsia="Calibri" w:hAnsiTheme="majorBidi" w:cstheme="majorBidi"/>
        </w:rPr>
        <w:t>1; Grekyan 2023</w:t>
      </w:r>
      <w:r w:rsidR="001F1A53" w:rsidRPr="00F03A26">
        <w:rPr>
          <w:rFonts w:asciiTheme="majorBidi" w:eastAsia="Calibri" w:hAnsiTheme="majorBidi" w:cstheme="majorBidi"/>
        </w:rPr>
        <w:t xml:space="preserve">, </w:t>
      </w:r>
      <w:r w:rsidRPr="00F03A26">
        <w:rPr>
          <w:rFonts w:asciiTheme="majorBidi" w:eastAsia="Calibri" w:hAnsiTheme="majorBidi" w:cstheme="majorBidi"/>
        </w:rPr>
        <w:t xml:space="preserve">770-775). With the reign of </w:t>
      </w:r>
      <w:r w:rsidRPr="00A967A3">
        <w:rPr>
          <w:rFonts w:asciiTheme="majorBidi" w:eastAsia="Calibri" w:hAnsiTheme="majorBidi" w:cstheme="majorBidi"/>
        </w:rPr>
        <w:t>Shalmaneser</w:t>
      </w:r>
      <w:r w:rsidRPr="00F03A26">
        <w:rPr>
          <w:rFonts w:asciiTheme="majorBidi" w:eastAsia="Calibri" w:hAnsiTheme="majorBidi" w:cstheme="majorBidi"/>
        </w:rPr>
        <w:t xml:space="preserve"> III, the written records allow us to track the transformation of the tribes in Eastern Anatolia into a centralized kingdom. The Urartian kingdom began to be visible in all aspects during the Neo-Assyrian period, especially under the reigns of </w:t>
      </w:r>
      <w:r w:rsidRPr="00A967A3">
        <w:rPr>
          <w:rFonts w:asciiTheme="majorBidi" w:eastAsia="Calibri" w:hAnsiTheme="majorBidi" w:cstheme="majorBidi"/>
        </w:rPr>
        <w:t xml:space="preserve">Ashurnasirpal </w:t>
      </w:r>
      <w:r w:rsidRPr="00F03A26">
        <w:rPr>
          <w:rFonts w:asciiTheme="majorBidi" w:eastAsia="Calibri" w:hAnsiTheme="majorBidi" w:cstheme="majorBidi"/>
        </w:rPr>
        <w:t>II</w:t>
      </w:r>
      <w:r w:rsidR="00C1513A">
        <w:rPr>
          <w:rFonts w:asciiTheme="majorBidi" w:eastAsia="Calibri" w:hAnsiTheme="majorBidi" w:cstheme="majorBidi"/>
        </w:rPr>
        <w:fldChar w:fldCharType="begin"/>
      </w:r>
      <w:r w:rsidR="00C1513A">
        <w:instrText xml:space="preserve"> XE "</w:instrText>
      </w:r>
      <w:r w:rsidR="00C1513A" w:rsidRPr="006F1CAC">
        <w:rPr>
          <w:rFonts w:asciiTheme="majorBidi" w:hAnsiTheme="majorBidi" w:cstheme="majorBidi"/>
          <w:lang w:val="en-GB"/>
        </w:rPr>
        <w:instrText>Ashurnasirpal II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(in Akkadian </w:t>
      </w:r>
      <w:r w:rsidRPr="00A967A3">
        <w:rPr>
          <w:rFonts w:asciiTheme="majorBidi" w:eastAsia="Calibri" w:hAnsiTheme="majorBidi" w:cstheme="majorBidi"/>
        </w:rPr>
        <w:t>Aššur-nāṣir-apli</w:t>
      </w:r>
      <w:r w:rsidRPr="00F03A26">
        <w:rPr>
          <w:rFonts w:asciiTheme="majorBidi" w:eastAsia="Calibri" w:hAnsiTheme="majorBidi" w:cstheme="majorBidi"/>
          <w:i/>
          <w:iCs/>
        </w:rPr>
        <w:t>,</w:t>
      </w:r>
      <w:r w:rsidRPr="00F03A26">
        <w:rPr>
          <w:rFonts w:asciiTheme="majorBidi" w:eastAsia="Calibri" w:hAnsiTheme="majorBidi" w:cstheme="majorBidi"/>
        </w:rPr>
        <w:t xml:space="preserve"> 883-</w:t>
      </w:r>
      <w:r w:rsidRPr="00F03A26">
        <w:rPr>
          <w:rFonts w:asciiTheme="majorBidi" w:eastAsia="Calibri" w:hAnsiTheme="majorBidi" w:cstheme="majorBidi"/>
        </w:rPr>
        <w:lastRenderedPageBreak/>
        <w:t xml:space="preserve">859 BCE) and </w:t>
      </w:r>
      <w:r w:rsidRPr="00A967A3">
        <w:rPr>
          <w:rFonts w:asciiTheme="majorBidi" w:eastAsia="Calibri" w:hAnsiTheme="majorBidi" w:cstheme="majorBidi"/>
        </w:rPr>
        <w:t>Shalmaneser </w:t>
      </w:r>
      <w:r w:rsidRPr="00F03A26">
        <w:rPr>
          <w:rFonts w:asciiTheme="majorBidi" w:eastAsia="Calibri" w:hAnsiTheme="majorBidi" w:cstheme="majorBidi"/>
        </w:rPr>
        <w:t xml:space="preserve">III (in Assyrian </w:t>
      </w:r>
      <w:r w:rsidRPr="00A967A3">
        <w:rPr>
          <w:rFonts w:asciiTheme="majorBidi" w:eastAsia="Calibri" w:hAnsiTheme="majorBidi" w:cstheme="majorBidi"/>
        </w:rPr>
        <w:t>Šulmanu-ašared</w:t>
      </w:r>
      <w:r w:rsidRPr="00F03A26">
        <w:rPr>
          <w:rFonts w:asciiTheme="majorBidi" w:eastAsia="Calibri" w:hAnsiTheme="majorBidi" w:cstheme="majorBidi"/>
        </w:rPr>
        <w:t>, 858-824 BCE). It is understood that the kingdom’s relationships with the Assyrian empire began to change. The power balance between the two entities began to be balanced (Genç, 2015, 28). The chronicles of</w:t>
      </w:r>
      <w:r w:rsidRPr="00F03A26">
        <w:rPr>
          <w:rFonts w:asciiTheme="majorBidi" w:eastAsia="Calibri" w:hAnsiTheme="majorBidi" w:cstheme="majorBidi"/>
          <w:i/>
          <w:iCs/>
        </w:rPr>
        <w:t xml:space="preserve"> </w:t>
      </w:r>
      <w:r w:rsidRPr="00A967A3">
        <w:rPr>
          <w:rFonts w:asciiTheme="majorBidi" w:eastAsia="Calibri" w:hAnsiTheme="majorBidi" w:cstheme="majorBidi"/>
        </w:rPr>
        <w:t>Shalmaneser</w:t>
      </w:r>
      <w:r w:rsidRPr="00F03A26">
        <w:rPr>
          <w:rFonts w:asciiTheme="majorBidi" w:eastAsia="Calibri" w:hAnsiTheme="majorBidi" w:cstheme="majorBidi"/>
          <w:i/>
          <w:iCs/>
        </w:rPr>
        <w:t> </w:t>
      </w:r>
      <w:r w:rsidRPr="00F03A26">
        <w:rPr>
          <w:rFonts w:asciiTheme="majorBidi" w:eastAsia="Calibri" w:hAnsiTheme="majorBidi" w:cstheme="majorBidi"/>
        </w:rPr>
        <w:t>III indicate that he conquered the fortified city of Sugunia of the Urartian king Arame during the first (858 BCE) year of his enthronement (Grayson, 1996: 8, A.0.102.1:29b-33a) and that he conquered the royal city of Arṣašku</w:t>
      </w:r>
      <w:r w:rsidR="005C68BB">
        <w:rPr>
          <w:rFonts w:asciiTheme="majorBidi" w:eastAsia="Calibri" w:hAnsiTheme="majorBidi" w:cstheme="majorBidi"/>
        </w:rPr>
        <w:fldChar w:fldCharType="begin"/>
      </w:r>
      <w:r w:rsidR="005C68BB">
        <w:instrText xml:space="preserve"> XE "</w:instrText>
      </w:r>
      <w:r w:rsidR="005C68BB" w:rsidRPr="009077F5">
        <w:rPr>
          <w:rFonts w:asciiTheme="majorBidi" w:eastAsia="Calibri" w:hAnsiTheme="majorBidi" w:cstheme="majorBidi"/>
        </w:rPr>
        <w:instrText>Arṣašku</w:instrText>
      </w:r>
      <w:r w:rsidR="005C68BB">
        <w:instrText xml:space="preserve">" </w:instrText>
      </w:r>
      <w:r w:rsidR="005C68BB">
        <w:rPr>
          <w:rFonts w:asciiTheme="majorBidi" w:eastAsia="Calibri" w:hAnsiTheme="majorBidi" w:cstheme="majorBidi"/>
        </w:rPr>
        <w:fldChar w:fldCharType="end"/>
      </w:r>
      <w:r w:rsidRPr="00F03A26">
        <w:rPr>
          <w:rFonts w:asciiTheme="majorBidi" w:eastAsia="Calibri" w:hAnsiTheme="majorBidi" w:cstheme="majorBidi"/>
        </w:rPr>
        <w:t xml:space="preserve"> of Arame during the third year of his reign (Grayson, 1996: 35, A.0.102.6: i57-ii2). The precise localization of the cities of Sugunia and Arṣašku has not yet been made. However, their presence indicates the formation of a political power established around a centralized authority that possesses royal cities in this mountainous region (Fig. 1). </w:t>
      </w:r>
      <w:r w:rsidR="001F1A53" w:rsidRPr="00F03A26">
        <w:rPr>
          <w:rFonts w:asciiTheme="majorBidi" w:eastAsia="Calibri" w:hAnsiTheme="majorBidi" w:cstheme="majorBidi"/>
        </w:rPr>
        <w:t>T</w:t>
      </w:r>
      <w:r w:rsidRPr="00F03A26">
        <w:rPr>
          <w:rFonts w:asciiTheme="majorBidi" w:eastAsia="Calibri" w:hAnsiTheme="majorBidi" w:cstheme="majorBidi"/>
        </w:rPr>
        <w:t>hese developments can be tracked from the Neo-Assyrian kings' chronicles; another city in the mountainous Urartian geography called Ṭuruspâ by the Assyrians began to be mentioned in the inscriptions.</w:t>
      </w:r>
      <w:r w:rsidRPr="00F03A26">
        <w:rPr>
          <w:rFonts w:asciiTheme="majorBidi" w:eastAsia="Calibri" w:hAnsiTheme="majorBidi" w:cstheme="majorBidi"/>
          <w:lang w:val="en-GB"/>
        </w:rPr>
        <w:t xml:space="preserve"> </w:t>
      </w:r>
    </w:p>
    <w:p w14:paraId="4A6B1BFD"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drawing>
          <wp:inline distT="0" distB="0" distL="0" distR="0" wp14:anchorId="2F828C8E" wp14:editId="3E570239">
            <wp:extent cx="5733415" cy="3363595"/>
            <wp:effectExtent l="114300" t="190500" r="114935" b="179705"/>
            <wp:docPr id="583081592" name="Resim 1" descr="taslak, çizim,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81592" name="Resim 1" descr="taslak, çizim, sanat, siyah beyaz içeren bir resim&#10;&#10;Açıklama otomatik olarak oluşturuldu"/>
                    <pic:cNvPicPr/>
                  </pic:nvPicPr>
                  <pic:blipFill>
                    <a:blip r:embed="rId34" cstate="email">
                      <a:extLst>
                        <a:ext uri="{28A0092B-C50C-407E-A947-70E740481C1C}">
                          <a14:useLocalDpi xmlns:a14="http://schemas.microsoft.com/office/drawing/2010/main"/>
                        </a:ext>
                      </a:extLst>
                    </a:blip>
                    <a:stretch>
                      <a:fillRect/>
                    </a:stretch>
                  </pic:blipFill>
                  <pic:spPr>
                    <a:xfrm>
                      <a:off x="0" y="0"/>
                      <a:ext cx="5733415" cy="3363595"/>
                    </a:xfrm>
                    <a:prstGeom prst="rect">
                      <a:avLst/>
                    </a:prstGeom>
                  </pic:spPr>
                </pic:pic>
              </a:graphicData>
            </a:graphic>
          </wp:inline>
        </w:drawing>
      </w:r>
    </w:p>
    <w:p w14:paraId="0A1D8D6F"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1 Scenes of the Assyrian</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"Assyrian"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king </w:t>
      </w:r>
      <w:r w:rsidRPr="00F03A26">
        <w:rPr>
          <w:rFonts w:asciiTheme="majorBidi" w:eastAsia="Calibri" w:hAnsiTheme="majorBidi" w:cstheme="majorBidi"/>
          <w:iCs/>
          <w:shd w:val="clear" w:color="auto" w:fill="FFFFFF"/>
          <w:lang w:val="en-GB"/>
        </w:rPr>
        <w:t>Shalmaneser</w:t>
      </w:r>
      <w:r w:rsidRPr="00F03A26">
        <w:rPr>
          <w:rFonts w:asciiTheme="majorBidi" w:eastAsia="Calibri" w:hAnsiTheme="majorBidi" w:cstheme="majorBidi"/>
          <w:lang w:val="en-GB"/>
        </w:rPr>
        <w:t> III</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w:instrText>
      </w:r>
      <w:r w:rsidRPr="00A967A3">
        <w:rPr>
          <w:rFonts w:asciiTheme="majorBidi" w:eastAsia="Calibri" w:hAnsiTheme="majorBidi" w:cstheme="majorBidi"/>
          <w:shd w:val="clear" w:color="auto" w:fill="FFFFFF"/>
          <w:lang w:val="en-GB"/>
        </w:rPr>
        <w:instrText>Shalmaneser</w:instrText>
      </w:r>
      <w:r w:rsidRPr="00F03A26">
        <w:rPr>
          <w:rFonts w:asciiTheme="majorBidi" w:eastAsia="Calibri" w:hAnsiTheme="majorBidi" w:cstheme="majorBidi"/>
          <w:i/>
          <w:shd w:val="clear" w:color="auto" w:fill="FFFFFF"/>
          <w:lang w:val="en-GB"/>
        </w:rPr>
        <w:instrText> </w:instrText>
      </w:r>
      <w:r w:rsidRPr="00F03A26">
        <w:rPr>
          <w:rFonts w:asciiTheme="majorBidi" w:eastAsia="Calibri" w:hAnsiTheme="majorBidi" w:cstheme="majorBidi"/>
          <w:lang w:val="en-GB"/>
        </w:rPr>
        <w:instrText xml:space="preserve">III"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’s campaign against Urartu</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from the Balawat Gate</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"Balawat Gate"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relief (</w:t>
      </w:r>
      <w:r w:rsidRPr="00F03A26">
        <w:rPr>
          <w:rFonts w:asciiTheme="majorBidi" w:eastAsia="Calibri" w:hAnsiTheme="majorBidi" w:cstheme="majorBidi"/>
          <w:bdr w:val="none" w:sz="0" w:space="0" w:color="auto" w:frame="1"/>
          <w:shd w:val="clear" w:color="auto" w:fill="FFFFFF"/>
          <w:lang w:val="en-GB"/>
        </w:rPr>
        <w:t>King, 1915</w:t>
      </w:r>
      <w:r w:rsidRPr="00F03A26">
        <w:rPr>
          <w:rFonts w:asciiTheme="majorBidi" w:eastAsia="Calibri" w:hAnsiTheme="majorBidi" w:cstheme="majorBidi"/>
          <w:shd w:val="clear" w:color="auto" w:fill="FFFFFF"/>
          <w:lang w:val="en-GB"/>
        </w:rPr>
        <w:t>:</w:t>
      </w:r>
      <w:r w:rsidRPr="00F03A26">
        <w:rPr>
          <w:rFonts w:asciiTheme="majorBidi" w:eastAsia="Calibri" w:hAnsiTheme="majorBidi" w:cstheme="majorBidi"/>
          <w:lang w:val="en-GB"/>
        </w:rPr>
        <w:t xml:space="preserve"> Plate 1, Band. I.1).</w:t>
      </w:r>
    </w:p>
    <w:p w14:paraId="2AC78A9B" w14:textId="0C20EDAD"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rPr>
        <w:t xml:space="preserve">The name of Ṭušpa is first encountered on a tablet from Ḫuzirina (Sultantepe), dating to the reign of </w:t>
      </w:r>
      <w:r w:rsidRPr="00A967A3">
        <w:rPr>
          <w:rFonts w:asciiTheme="majorBidi" w:eastAsia="Calibri" w:hAnsiTheme="majorBidi" w:cstheme="majorBidi"/>
        </w:rPr>
        <w:t xml:space="preserve">Shalmaneser </w:t>
      </w:r>
      <w:r w:rsidRPr="00F03A26">
        <w:rPr>
          <w:rFonts w:asciiTheme="majorBidi" w:eastAsia="Calibri" w:hAnsiTheme="majorBidi" w:cstheme="majorBidi"/>
        </w:rPr>
        <w:t>III. From the inscription on the tablet, we learn that Assur was collecting taxes and spoils from the city of Ṭuruspâ (Lambert, 1961: 153; Grayson, 1996: 87, A.0.102.17: 38-57). This suggests that the city of Ṭušpa held an essential place in the region during the campaign of the Assyrian</w:t>
      </w:r>
      <w:r w:rsidR="001F2587">
        <w:rPr>
          <w:rFonts w:asciiTheme="majorBidi" w:eastAsia="Calibr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xml:space="preserve"> army in 856 BCE, under the command of the chief (in Assyrian </w:t>
      </w:r>
      <w:r w:rsidRPr="00A967A3">
        <w:rPr>
          <w:rFonts w:asciiTheme="majorBidi" w:eastAsia="Calibri" w:hAnsiTheme="majorBidi" w:cstheme="majorBidi"/>
        </w:rPr>
        <w:t>turtānu</w:t>
      </w:r>
      <w:r w:rsidRPr="00F03A26">
        <w:rPr>
          <w:rFonts w:asciiTheme="majorBidi" w:eastAsia="Calibri" w:hAnsiTheme="majorBidi" w:cstheme="majorBidi"/>
        </w:rPr>
        <w:t>) Aššur-bēl-ka. This date precedes the official origin of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kingdom, dating to the reign of the Sarduri I</w:t>
      </w:r>
      <w:r w:rsidR="005C68BB">
        <w:rPr>
          <w:rFonts w:asciiTheme="majorBidi" w:eastAsia="Calibri" w:hAnsiTheme="majorBidi" w:cstheme="majorBidi"/>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Calibri" w:hAnsiTheme="majorBidi" w:cstheme="majorBidi"/>
        </w:rPr>
        <w:fldChar w:fldCharType="end"/>
      </w:r>
      <w:r w:rsidRPr="00F03A26">
        <w:rPr>
          <w:rFonts w:asciiTheme="majorBidi" w:eastAsia="Calibri" w:hAnsiTheme="majorBidi" w:cstheme="majorBidi"/>
        </w:rPr>
        <w:t xml:space="preserve"> (840-830 BCE) for at least 20 years. In other words, the city of Ṭušpa should have already become the center of a significant local power before establishing the Urartian kingdom. Indeed, archaeological </w:t>
      </w:r>
      <w:r w:rsidRPr="00F03A26">
        <w:rPr>
          <w:rFonts w:asciiTheme="majorBidi" w:eastAsia="Calibri" w:hAnsiTheme="majorBidi" w:cstheme="majorBidi"/>
        </w:rPr>
        <w:lastRenderedPageBreak/>
        <w:t>investigations at</w:t>
      </w:r>
      <w:r w:rsidR="0035259E" w:rsidRPr="00F03A26">
        <w:rPr>
          <w:rFonts w:asciiTheme="majorBidi" w:eastAsia="Calibri" w:hAnsiTheme="majorBidi" w:cstheme="majorBidi"/>
        </w:rPr>
        <w:t xml:space="preserve"> </w:t>
      </w:r>
      <w:r w:rsidRPr="00F03A26">
        <w:rPr>
          <w:rFonts w:asciiTheme="majorBidi" w:eastAsia="Calibri" w:hAnsiTheme="majorBidi" w:cstheme="majorBidi"/>
        </w:rPr>
        <w:t>Ṭušpa</w:t>
      </w:r>
      <w:r w:rsidR="0035259E" w:rsidRPr="00F03A26">
        <w:rPr>
          <w:rFonts w:asciiTheme="majorBidi" w:eastAsia="Calibri" w:hAnsiTheme="majorBidi" w:cstheme="majorBidi"/>
        </w:rPr>
        <w:t xml:space="preserve"> </w:t>
      </w:r>
      <w:r w:rsidRPr="00F03A26">
        <w:rPr>
          <w:rFonts w:asciiTheme="majorBidi" w:eastAsia="Calibri" w:hAnsiTheme="majorBidi" w:cstheme="majorBidi"/>
        </w:rPr>
        <w:t>have bolstered the suggestion that the area was inhabited before the occupation of the Urartian kingdom. Excavations conducted at the citadel</w:t>
      </w:r>
      <w:r w:rsidR="0035259E" w:rsidRPr="00F03A26">
        <w:rPr>
          <w:rStyle w:val="DipnotBavurusu"/>
          <w:rFonts w:asciiTheme="majorBidi" w:eastAsia="Calibri" w:hAnsiTheme="majorBidi" w:cstheme="majorBidi"/>
        </w:rPr>
        <w:footnoteReference w:id="3"/>
      </w:r>
      <w:r w:rsidRPr="00F03A26">
        <w:rPr>
          <w:rFonts w:asciiTheme="majorBidi" w:eastAsia="Calibri" w:hAnsiTheme="majorBidi" w:cstheme="majorBidi"/>
        </w:rPr>
        <w:t xml:space="preserve"> and the mound right to the north of the fortress where the lower settlement was formed have revealed an occupation history starting as early as the </w:t>
      </w:r>
      <w:r w:rsidR="0035259E" w:rsidRPr="00F03A26">
        <w:rPr>
          <w:rFonts w:asciiTheme="majorBidi" w:eastAsia="Calibri" w:hAnsiTheme="majorBidi" w:cstheme="majorBidi"/>
        </w:rPr>
        <w:t>Early Bronze Age</w:t>
      </w:r>
      <w:r w:rsidR="0035259E" w:rsidRPr="00F03A26">
        <w:rPr>
          <w:rStyle w:val="DipnotBavurusu"/>
          <w:rFonts w:asciiTheme="majorBidi" w:eastAsia="Calibri" w:hAnsiTheme="majorBidi" w:cstheme="majorBidi"/>
        </w:rPr>
        <w:footnoteReference w:id="4"/>
      </w:r>
      <w:r w:rsidRPr="00F03A26">
        <w:rPr>
          <w:rFonts w:asciiTheme="majorBidi" w:eastAsia="Calibri" w:hAnsiTheme="majorBidi" w:cstheme="majorBidi"/>
        </w:rPr>
        <w:t>.</w:t>
      </w:r>
      <w:r w:rsidR="0035259E" w:rsidRPr="00F03A26">
        <w:rPr>
          <w:rFonts w:asciiTheme="majorBidi" w:eastAsia="Calibri" w:hAnsiTheme="majorBidi" w:cstheme="majorBidi"/>
        </w:rPr>
        <w:t xml:space="preserve"> </w:t>
      </w:r>
      <w:r w:rsidRPr="00F03A26">
        <w:rPr>
          <w:rFonts w:asciiTheme="majorBidi" w:eastAsia="Calibri" w:hAnsiTheme="majorBidi" w:cstheme="majorBidi"/>
        </w:rPr>
        <w:t>By the Middle Assyrian period, Ṭušpa</w:t>
      </w:r>
      <w:r w:rsidRPr="00F03A26">
        <w:rPr>
          <w:rFonts w:asciiTheme="majorBidi" w:eastAsia="Calibri" w:hAnsiTheme="majorBidi" w:cstheme="majorBidi"/>
          <w:i/>
          <w:iCs/>
        </w:rPr>
        <w:t xml:space="preserve"> </w:t>
      </w:r>
      <w:r w:rsidRPr="00F03A26">
        <w:rPr>
          <w:rFonts w:asciiTheme="majorBidi" w:eastAsia="Calibri" w:hAnsiTheme="majorBidi" w:cstheme="majorBidi"/>
        </w:rPr>
        <w:t>became a locally powerful Early Iron Age center. However, it was not reflected in the written records</w:t>
      </w:r>
      <w:r w:rsidR="0035259E" w:rsidRPr="00F03A26">
        <w:rPr>
          <w:rStyle w:val="DipnotBavurusu"/>
          <w:rFonts w:asciiTheme="majorBidi" w:eastAsia="Calibri" w:hAnsiTheme="majorBidi" w:cstheme="majorBidi"/>
        </w:rPr>
        <w:footnoteReference w:id="5"/>
      </w:r>
      <w:r w:rsidRPr="00F03A26">
        <w:rPr>
          <w:rFonts w:asciiTheme="majorBidi" w:eastAsia="Calibri" w:hAnsiTheme="majorBidi" w:cstheme="majorBidi"/>
        </w:rPr>
        <w:t>. It was later designated as the capital of the kingdom by the Urartians. The Van Fortress was formed on a 1345 m. long, 200 m. comprehensive, and 100 m. High calcareous outcrops located near the eastern shore of Van Lake</w:t>
      </w:r>
      <w:r w:rsidR="001F2587">
        <w:rPr>
          <w:rFonts w:asciiTheme="majorBidi" w:eastAsia="Calibri" w:hAnsiTheme="majorBidi" w:cstheme="majorBidi"/>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particularly, have acropolis characteristics. Identified as Ṭušpa, the capital city of the Urartian kingdom, the Van Fortress began to incorporate essential structures and monumental units through time as the kingdom developed. The secluded and strategic location of the high outcrop overlooking the plain and surrounded by mountains to the east of Van Lake should have influenced the preference of Ṭušpa</w:t>
      </w:r>
      <w:r w:rsidR="0035259E" w:rsidRPr="00F03A26">
        <w:rPr>
          <w:rFonts w:asciiTheme="majorBidi" w:eastAsia="Calibri" w:hAnsiTheme="majorBidi" w:cstheme="majorBidi"/>
        </w:rPr>
        <w:t xml:space="preserve"> </w:t>
      </w:r>
      <w:r w:rsidRPr="00F03A26">
        <w:rPr>
          <w:rFonts w:asciiTheme="majorBidi" w:eastAsia="Calibri" w:hAnsiTheme="majorBidi" w:cstheme="majorBidi"/>
        </w:rPr>
        <w:t>as, the capital city of the kingdom (Fig. 2).</w:t>
      </w:r>
    </w:p>
    <w:p w14:paraId="441D2763"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noProof/>
          <w:lang w:val="en-GB" w:eastAsia="tr-TR"/>
        </w:rPr>
      </w:pPr>
      <w:r w:rsidRPr="00F03A26">
        <w:rPr>
          <w:rFonts w:asciiTheme="majorBidi" w:eastAsia="Calibri" w:hAnsiTheme="majorBidi" w:cstheme="majorBidi"/>
          <w:noProof/>
        </w:rPr>
        <w:drawing>
          <wp:inline distT="0" distB="0" distL="0" distR="0" wp14:anchorId="2AFD07FF" wp14:editId="3DC8BD36">
            <wp:extent cx="5378114" cy="3349886"/>
            <wp:effectExtent l="0" t="0" r="0" b="3175"/>
            <wp:docPr id="82" name="Resim 82" descr="dış mekan, gökyüzü, bulut,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esim 82" descr="dış mekan, gökyüzü, bulut, manzara içeren bir resim&#10;&#10;Açıklama otomatik olarak oluşturuldu"/>
                    <pic:cNvPicPr/>
                  </pic:nvPicPr>
                  <pic:blipFill rotWithShape="1">
                    <a:blip r:embed="rId35" cstate="email">
                      <a:extLst>
                        <a:ext uri="{28A0092B-C50C-407E-A947-70E740481C1C}">
                          <a14:useLocalDpi xmlns:a14="http://schemas.microsoft.com/office/drawing/2010/main"/>
                        </a:ext>
                      </a:extLst>
                    </a:blip>
                    <a:srcRect t="6563"/>
                    <a:stretch/>
                  </pic:blipFill>
                  <pic:spPr bwMode="auto">
                    <a:xfrm>
                      <a:off x="0" y="0"/>
                      <a:ext cx="5387520" cy="3355744"/>
                    </a:xfrm>
                    <a:prstGeom prst="rect">
                      <a:avLst/>
                    </a:prstGeom>
                    <a:ln>
                      <a:noFill/>
                    </a:ln>
                    <a:extLst>
                      <a:ext uri="{53640926-AAD7-44D8-BBD7-CCE9431645EC}">
                        <a14:shadowObscured xmlns:a14="http://schemas.microsoft.com/office/drawing/2010/main"/>
                      </a:ext>
                    </a:extLst>
                  </pic:spPr>
                </pic:pic>
              </a:graphicData>
            </a:graphic>
          </wp:inline>
        </w:drawing>
      </w:r>
    </w:p>
    <w:p w14:paraId="2D7CDAF5" w14:textId="683AA234" w:rsidR="00F40E43" w:rsidRPr="00F03A26" w:rsidRDefault="00F40E43" w:rsidP="00F03A26">
      <w:pPr>
        <w:tabs>
          <w:tab w:val="left" w:pos="2360"/>
        </w:tabs>
        <w:jc w:val="both"/>
        <w:rPr>
          <w:rFonts w:asciiTheme="majorBidi" w:eastAsia="Calibri" w:hAnsiTheme="majorBidi" w:cstheme="majorBidi"/>
          <w:lang w:val="en-GB"/>
        </w:rPr>
      </w:pPr>
      <w:r w:rsidRPr="00F03A26">
        <w:rPr>
          <w:rFonts w:asciiTheme="majorBidi" w:eastAsia="Calibri" w:hAnsiTheme="majorBidi" w:cstheme="majorBidi"/>
          <w:lang w:val="en-GB"/>
        </w:rPr>
        <w:t xml:space="preserve">      Fig. 2 Southwestern part of Van Fortress.</w:t>
      </w:r>
    </w:p>
    <w:p w14:paraId="29E8A240" w14:textId="30BE3AEE" w:rsidR="00F40E43" w:rsidRPr="00F03A26" w:rsidRDefault="00F40E43" w:rsidP="00F03A26">
      <w:pPr>
        <w:keepNext/>
        <w:keepLines/>
        <w:spacing w:before="360" w:after="120" w:line="276" w:lineRule="auto"/>
        <w:jc w:val="both"/>
        <w:outlineLvl w:val="1"/>
        <w:rPr>
          <w:rFonts w:asciiTheme="majorBidi" w:eastAsia="Arial" w:hAnsiTheme="majorBidi" w:cstheme="majorBidi"/>
          <w:b/>
          <w:sz w:val="28"/>
          <w:szCs w:val="28"/>
          <w:lang w:val="en-GB" w:eastAsia="tr-TR" w:bidi="he-IL"/>
        </w:rPr>
      </w:pPr>
      <w:bookmarkStart w:id="13" w:name="_Toc132072505"/>
      <w:bookmarkStart w:id="14" w:name="_Toc173231186"/>
      <w:r w:rsidRPr="00F03A26">
        <w:rPr>
          <w:rFonts w:asciiTheme="majorBidi" w:eastAsia="Arial" w:hAnsiTheme="majorBidi" w:cstheme="majorBidi"/>
          <w:b/>
          <w:sz w:val="28"/>
          <w:szCs w:val="28"/>
          <w:lang w:val="en-GB" w:eastAsia="tr-TR" w:bidi="he-IL"/>
        </w:rPr>
        <w:lastRenderedPageBreak/>
        <w:t>2.2. Ṭušpa during the Urartian</w:t>
      </w:r>
      <w:r w:rsidRPr="00F03A26">
        <w:rPr>
          <w:rFonts w:asciiTheme="majorBidi" w:eastAsia="Arial" w:hAnsiTheme="majorBidi" w:cstheme="majorBidi"/>
          <w:b/>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"Urartian" </w:instrText>
      </w:r>
      <w:r w:rsidRPr="00F03A26">
        <w:rPr>
          <w:rFonts w:asciiTheme="majorBidi" w:eastAsia="Arial" w:hAnsiTheme="majorBidi" w:cstheme="majorBidi"/>
          <w:b/>
          <w:sz w:val="28"/>
          <w:szCs w:val="28"/>
          <w:lang w:val="en-GB" w:eastAsia="tr-TR" w:bidi="he-IL"/>
        </w:rPr>
        <w:fldChar w:fldCharType="end"/>
      </w:r>
      <w:r w:rsidRPr="00F03A26">
        <w:rPr>
          <w:rFonts w:asciiTheme="majorBidi" w:eastAsia="Arial" w:hAnsiTheme="majorBidi" w:cstheme="majorBidi"/>
          <w:b/>
          <w:sz w:val="28"/>
          <w:szCs w:val="28"/>
          <w:lang w:val="en-GB" w:eastAsia="tr-TR" w:bidi="he-IL"/>
        </w:rPr>
        <w:t xml:space="preserve"> Period: Declaration of the Kingdom in Ṭušpa</w:t>
      </w:r>
      <w:r w:rsidRPr="00F03A26">
        <w:rPr>
          <w:rFonts w:asciiTheme="majorBidi" w:eastAsia="Arial" w:hAnsiTheme="majorBidi" w:cstheme="majorBidi"/>
          <w:b/>
          <w:i/>
          <w:iCs/>
          <w:sz w:val="28"/>
          <w:szCs w:val="28"/>
          <w:lang w:val="en-GB" w:eastAsia="tr-TR" w:bidi="he-IL"/>
        </w:rPr>
        <w:t xml:space="preserve"> </w:t>
      </w:r>
      <w:r w:rsidRPr="00F03A26">
        <w:rPr>
          <w:rFonts w:asciiTheme="majorBidi" w:eastAsia="Arial" w:hAnsiTheme="majorBidi" w:cstheme="majorBidi"/>
          <w:b/>
          <w:sz w:val="28"/>
          <w:szCs w:val="28"/>
          <w:lang w:val="en-GB" w:eastAsia="tr-TR" w:bidi="he-IL"/>
        </w:rPr>
        <w:t>and the reign of Sarduri I</w:t>
      </w:r>
      <w:bookmarkEnd w:id="13"/>
      <w:bookmarkEnd w:id="14"/>
      <w:r w:rsidRPr="00F03A26">
        <w:rPr>
          <w:rFonts w:asciiTheme="majorBidi" w:eastAsia="Arial" w:hAnsiTheme="majorBidi" w:cstheme="majorBidi"/>
          <w:b/>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"Sarduri I" </w:instrText>
      </w:r>
      <w:r w:rsidRPr="00F03A26">
        <w:rPr>
          <w:rFonts w:asciiTheme="majorBidi" w:eastAsia="Arial" w:hAnsiTheme="majorBidi" w:cstheme="majorBidi"/>
          <w:b/>
          <w:sz w:val="28"/>
          <w:szCs w:val="28"/>
          <w:lang w:val="en-GB" w:eastAsia="tr-TR" w:bidi="he-IL"/>
        </w:rPr>
        <w:fldChar w:fldCharType="end"/>
      </w:r>
    </w:p>
    <w:p w14:paraId="5CA54265" w14:textId="7DF9B3F2"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The Assyrian</w:t>
      </w:r>
      <w:r w:rsidR="001F2587">
        <w:rPr>
          <w:rFonts w:asciiTheme="majorBidi" w:eastAsia="Calibri"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lang w:val="en-GB"/>
        </w:rPr>
        <w:fldChar w:fldCharType="end"/>
      </w:r>
      <w:r w:rsidRPr="00F03A26">
        <w:rPr>
          <w:rFonts w:asciiTheme="majorBidi" w:eastAsia="Calibri" w:hAnsiTheme="majorBidi" w:cstheme="majorBidi"/>
          <w:lang w:val="en-GB"/>
        </w:rPr>
        <w:t> Ṭuruspâ or the Urartian</w:t>
      </w:r>
      <w:r w:rsidR="00EA6C63">
        <w:rPr>
          <w:rFonts w:asciiTheme="majorBidi" w:eastAsia="Calibr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lang w:val="en-GB"/>
        </w:rPr>
        <w:fldChar w:fldCharType="end"/>
      </w:r>
      <w:r w:rsidRPr="00F03A26">
        <w:rPr>
          <w:rFonts w:asciiTheme="majorBidi" w:eastAsia="Calibri" w:hAnsiTheme="majorBidi" w:cstheme="majorBidi"/>
          <w:lang w:val="en-GB"/>
        </w:rPr>
        <w:t> Ṭušpa names of the Van Fortress were not indicated on the six Assyrian inscriptions that are the duplicates of each other on the walls of the Sardurburç</w:t>
      </w:r>
      <w:r w:rsidR="00647545">
        <w:rPr>
          <w:rFonts w:asciiTheme="majorBidi" w:eastAsia="Calibri"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Calibri" w:hAnsiTheme="majorBidi" w:cstheme="majorBidi"/>
          <w:lang w:val="en-GB"/>
        </w:rPr>
        <w:fldChar w:fldCharType="end"/>
      </w:r>
      <w:r w:rsidRPr="00F03A26">
        <w:rPr>
          <w:rFonts w:asciiTheme="majorBidi" w:eastAsia="Calibri" w:hAnsiTheme="majorBidi" w:cstheme="majorBidi"/>
          <w:lang w:val="en-GB"/>
        </w:rPr>
        <w:t>/Madırburç</w:t>
      </w:r>
      <w:r w:rsidR="00E652FB">
        <w:rPr>
          <w:rFonts w:asciiTheme="majorBidi" w:eastAsia="Calibri" w:hAnsiTheme="majorBidi" w:cstheme="majorBidi"/>
          <w:lang w:val="en-GB"/>
        </w:rPr>
        <w:fldChar w:fldCharType="begin"/>
      </w:r>
      <w:r w:rsidR="00E652FB">
        <w:instrText xml:space="preserve"> XE "</w:instrText>
      </w:r>
      <w:r w:rsidR="00E652FB" w:rsidRPr="007A1ADD">
        <w:rPr>
          <w:rFonts w:asciiTheme="majorBidi" w:hAnsiTheme="majorBidi" w:cstheme="majorBidi"/>
        </w:rPr>
        <w:instrText>Madırburç</w:instrText>
      </w:r>
      <w:r w:rsidR="00E652FB">
        <w:instrText xml:space="preserve">" </w:instrText>
      </w:r>
      <w:r w:rsidR="00E652FB">
        <w:rPr>
          <w:rFonts w:asciiTheme="majorBidi" w:eastAsia="Calibri" w:hAnsiTheme="majorBidi" w:cstheme="majorBidi"/>
          <w:lang w:val="en-GB"/>
        </w:rPr>
        <w:fldChar w:fldCharType="end"/>
      </w:r>
      <w:r w:rsidRPr="00F03A26">
        <w:rPr>
          <w:rFonts w:asciiTheme="majorBidi" w:eastAsia="Calibri" w:hAnsiTheme="majorBidi" w:cstheme="majorBidi"/>
          <w:lang w:val="en-GB"/>
        </w:rPr>
        <w:t>. Belonging to Sarduri I</w:t>
      </w:r>
      <w:r w:rsidR="005C68BB">
        <w:rPr>
          <w:rFonts w:asciiTheme="majorBidi" w:eastAsia="Calibri" w:hAnsiTheme="majorBidi" w:cstheme="majorBidi"/>
          <w:lang w:val="en-GB"/>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Calibri" w:hAnsiTheme="majorBidi" w:cstheme="majorBidi"/>
          <w:lang w:val="en-GB"/>
        </w:rPr>
        <w:fldChar w:fldCharType="end"/>
      </w:r>
      <w:r w:rsidRPr="00F03A26">
        <w:rPr>
          <w:rFonts w:asciiTheme="majorBidi" w:eastAsia="Calibri" w:hAnsiTheme="majorBidi" w:cstheme="majorBidi"/>
          <w:lang w:val="en-GB"/>
        </w:rPr>
        <w:t> (840-830 BCE), these inscriptions on the northwestern edge of Ṭušpa citadel were the first inscriptions (CTU I. 1-1 A-F) of the Urartian kingdom (see Chapter 4). Sarduri I introduces himself as the ‘king of Nairi’ with many other denotations in these inscriptions. He further states that he brought the stones of this structure from the city of Alniunu (in the Edremit province)</w:t>
      </w:r>
      <w:r w:rsidR="003A0DA8" w:rsidRPr="00F03A26">
        <w:rPr>
          <w:rStyle w:val="DipnotBavurusu"/>
          <w:rFonts w:asciiTheme="majorBidi" w:eastAsia="Calibri" w:hAnsiTheme="majorBidi" w:cstheme="majorBidi"/>
          <w:lang w:val="en-GB"/>
        </w:rPr>
        <w:footnoteReference w:id="6"/>
      </w:r>
      <w:r w:rsidRPr="00F03A26">
        <w:rPr>
          <w:rFonts w:asciiTheme="majorBidi" w:eastAsia="Calibri" w:hAnsiTheme="majorBidi" w:cstheme="majorBidi"/>
          <w:lang w:val="en-GB"/>
        </w:rPr>
        <w:t>. The Sardurburç was built with rectangular limestone and travertine blocks of tons of weight and stood out as the first monumental structure that the Urartian kingdom built in Ṭušpa. The function of this structure is debatable; however, the travertine blocks that were brought from Edremit at a 15 km distance point out to a massive labor organization (Kuvanç, 2017,</w:t>
      </w:r>
      <w:r w:rsidR="003A0DA8" w:rsidRPr="00F03A26">
        <w:rPr>
          <w:rFonts w:asciiTheme="majorBidi" w:eastAsia="Calibri" w:hAnsiTheme="majorBidi" w:cstheme="majorBidi"/>
          <w:lang w:val="en-GB"/>
        </w:rPr>
        <w:t xml:space="preserve"> </w:t>
      </w:r>
      <w:r w:rsidRPr="00F03A26">
        <w:rPr>
          <w:rFonts w:asciiTheme="majorBidi" w:eastAsia="Calibri" w:hAnsiTheme="majorBidi" w:cstheme="majorBidi"/>
          <w:lang w:val="en-GB"/>
        </w:rPr>
        <w:t>115-134).</w:t>
      </w:r>
    </w:p>
    <w:p w14:paraId="4AF11207" w14:textId="15F15969"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The Sardurburç</w:t>
      </w:r>
      <w:r w:rsidR="00647545">
        <w:rPr>
          <w:rFonts w:asciiTheme="majorBidi" w:eastAsia="Calibri"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Calibri" w:hAnsiTheme="majorBidi" w:cstheme="majorBidi"/>
          <w:lang w:val="en-GB"/>
        </w:rPr>
        <w:fldChar w:fldCharType="end"/>
      </w:r>
      <w:r w:rsidRPr="00F03A26">
        <w:rPr>
          <w:rFonts w:asciiTheme="majorBidi" w:eastAsia="Calibri" w:hAnsiTheme="majorBidi" w:cstheme="majorBidi"/>
          <w:lang w:val="en-GB"/>
        </w:rPr>
        <w:t> was built adjacent to the rock outcrop of the fortress. Its location on the plain level and the flat walls of the structure without a bastion contradict the architectural characteristics of Urartian</w:t>
      </w:r>
      <w:r w:rsidR="00EA6C63">
        <w:rPr>
          <w:rFonts w:asciiTheme="majorBidi" w:eastAsia="Calibr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lang w:val="en-GB"/>
        </w:rPr>
        <w:fldChar w:fldCharType="end"/>
      </w:r>
      <w:r w:rsidRPr="00F03A26">
        <w:rPr>
          <w:rFonts w:asciiTheme="majorBidi" w:eastAsia="Calibri" w:hAnsiTheme="majorBidi" w:cstheme="majorBidi"/>
          <w:lang w:val="en-GB"/>
        </w:rPr>
        <w:t> monuments. Another text ascribed to Sarduri I</w:t>
      </w:r>
      <w:r w:rsidR="005C68BB">
        <w:rPr>
          <w:rFonts w:asciiTheme="majorBidi" w:eastAsia="Calibri" w:hAnsiTheme="majorBidi" w:cstheme="majorBidi"/>
          <w:lang w:val="en-GB"/>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Calibri" w:hAnsiTheme="majorBidi" w:cstheme="majorBidi"/>
          <w:lang w:val="en-GB"/>
        </w:rPr>
        <w:fldChar w:fldCharType="end"/>
      </w:r>
      <w:r w:rsidRPr="00F03A26">
        <w:rPr>
          <w:rFonts w:asciiTheme="majorBidi" w:eastAsia="Calibri" w:hAnsiTheme="majorBidi" w:cstheme="majorBidi"/>
          <w:lang w:val="en-GB"/>
        </w:rPr>
        <w:t> in Ṭušpa citadel is an Assyrian</w:t>
      </w:r>
      <w:r w:rsidR="001F2587">
        <w:rPr>
          <w:rFonts w:asciiTheme="majorBidi" w:eastAsia="Calibri"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lang w:val="en-GB"/>
        </w:rPr>
        <w:fldChar w:fldCharType="end"/>
      </w:r>
      <w:r w:rsidRPr="00F03A26">
        <w:rPr>
          <w:rFonts w:asciiTheme="majorBidi" w:eastAsia="Calibri" w:hAnsiTheme="majorBidi" w:cstheme="majorBidi"/>
          <w:lang w:val="en-GB"/>
        </w:rPr>
        <w:t> inscription on the front face of the niche with the destroyed upper part and the stele bed inside, located about 40 meters east of the East Ditch</w:t>
      </w:r>
      <w:r w:rsidR="00647545">
        <w:rPr>
          <w:rFonts w:asciiTheme="majorBidi" w:eastAsia="Calibri" w:hAnsiTheme="majorBidi" w:cstheme="majorBidi"/>
          <w:lang w:val="en-GB"/>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eastAsia="Calibri" w:hAnsiTheme="majorBidi" w:cstheme="majorBidi"/>
          <w:lang w:val="en-GB"/>
        </w:rPr>
        <w:fldChar w:fldCharType="end"/>
      </w:r>
      <w:r w:rsidRPr="00F03A26">
        <w:rPr>
          <w:rFonts w:asciiTheme="majorBidi" w:eastAsia="Calibri" w:hAnsiTheme="majorBidi" w:cstheme="majorBidi"/>
          <w:lang w:val="en-GB"/>
        </w:rPr>
        <w:t>. Although the inscription was severely destroyed, the preserved part of the inscription was a sacrificial text, mentioning the sacrificing of animals such as sheep and cattle (CTU I. A 1-2). The inscription does not mention the names of any kings, which makes its chronology debatable. However, the palaeographic (as ductus) suggests that it can be dated to Sarduri I. The lack of any mention of gods (specifically God Ḫaldi</w:t>
      </w:r>
      <w:r w:rsidR="00C1513A">
        <w:rPr>
          <w:rFonts w:asciiTheme="majorBidi" w:eastAsia="Calibri" w:hAnsiTheme="majorBidi" w:cstheme="majorBidi"/>
          <w:lang w:val="en-GB"/>
        </w:rPr>
        <w:fldChar w:fldCharType="begin"/>
      </w:r>
      <w:r w:rsidR="00C1513A">
        <w:instrText xml:space="preserve"> XE "</w:instrText>
      </w:r>
      <w:r w:rsidR="00C1513A" w:rsidRPr="009F22E3">
        <w:rPr>
          <w:rFonts w:asciiTheme="majorBidi" w:eastAsia="Times New Roman" w:hAnsiTheme="majorBidi" w:cstheme="majorBidi"/>
          <w:lang w:val="en-GB"/>
        </w:rPr>
        <w:instrText>God Ḫaldi</w:instrText>
      </w:r>
      <w:r w:rsidR="00C1513A">
        <w:instrText xml:space="preserve">" </w:instrText>
      </w:r>
      <w:r w:rsidR="00C1513A">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also points out this period. Indeed, after Sarduri I, whether they were written in Assyrian or Urartian, the name of God Ḫaldi was mentioned in all Urartian texts as a rule. The niche was carved flat into the bedrock. In front of the niche, there was most probably a stele, indicated by the presence of the stele bed. In 2016, a rock-cut burial chamber consisting of an entrance and a central hall that was carved underground was unearthed at the edge of the fortress, 35 meters to the south of this Assyrian inscribed niche (Konyar et al., 2018, 211-220). Its underground architecture and smaller size differentiate this tomb from other Urartian rock-cut tombs in the Van Fortress. The available data makes its relationship with the nearby Assyrian inscription and a possible relationship with Sarduri I uncertain. However, its location on the southern edge of the fortress where Urartian monumental royal tombs are located and </w:t>
      </w:r>
      <w:r w:rsidRPr="00F03A26">
        <w:rPr>
          <w:rFonts w:asciiTheme="majorBidi" w:eastAsia="Calibri" w:hAnsiTheme="majorBidi" w:cstheme="majorBidi"/>
          <w:lang w:val="en-GB"/>
        </w:rPr>
        <w:lastRenderedPageBreak/>
        <w:t>its characteristics that adhere closely to earlier periods may suggest a chronological relationship between this tomb and Sarduri I.</w:t>
      </w:r>
    </w:p>
    <w:p w14:paraId="0A0D5403" w14:textId="3B0C106C" w:rsidR="003A0DA8" w:rsidRPr="00F03A26" w:rsidRDefault="003A0DA8" w:rsidP="00F03A26">
      <w:pPr>
        <w:keepNext/>
        <w:keepLines/>
        <w:spacing w:before="360" w:after="120" w:line="276" w:lineRule="auto"/>
        <w:jc w:val="both"/>
        <w:outlineLvl w:val="1"/>
        <w:rPr>
          <w:rFonts w:asciiTheme="majorBidi" w:eastAsia="Arial" w:hAnsiTheme="majorBidi" w:cstheme="majorBidi"/>
          <w:b/>
          <w:sz w:val="28"/>
          <w:szCs w:val="28"/>
          <w:lang w:val="en-GB" w:eastAsia="tr-TR" w:bidi="he-IL"/>
        </w:rPr>
      </w:pPr>
      <w:bookmarkStart w:id="15" w:name="_Toc132072506"/>
      <w:bookmarkStart w:id="16" w:name="_Toc173231187"/>
      <w:r w:rsidRPr="00F03A26">
        <w:rPr>
          <w:rFonts w:asciiTheme="majorBidi" w:eastAsia="Arial" w:hAnsiTheme="majorBidi" w:cstheme="majorBidi"/>
          <w:b/>
          <w:sz w:val="28"/>
          <w:szCs w:val="28"/>
          <w:lang w:val="en-GB" w:eastAsia="tr-TR" w:bidi="he-IL"/>
        </w:rPr>
        <w:t xml:space="preserve">2.3. New Period in Ṭušpa: </w:t>
      </w:r>
      <w:r w:rsidRPr="007256E1">
        <w:rPr>
          <w:rFonts w:asciiTheme="majorBidi" w:eastAsia="Arial" w:hAnsiTheme="majorBidi" w:cstheme="majorBidi"/>
          <w:b/>
          <w:sz w:val="28"/>
          <w:szCs w:val="28"/>
          <w:lang w:val="en-GB" w:eastAsia="tr-TR" w:bidi="he-IL"/>
        </w:rPr>
        <w:t>Išpuini</w:t>
      </w:r>
      <w:r w:rsidRPr="00F03A26">
        <w:rPr>
          <w:rFonts w:asciiTheme="majorBidi" w:eastAsia="Arial" w:hAnsiTheme="majorBidi" w:cstheme="majorBidi"/>
          <w:b/>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w:instrText>
      </w:r>
      <w:r w:rsidRPr="007256E1">
        <w:rPr>
          <w:rFonts w:asciiTheme="majorBidi" w:eastAsia="Calibri" w:hAnsiTheme="majorBidi" w:cstheme="majorBidi"/>
          <w:sz w:val="28"/>
          <w:szCs w:val="28"/>
          <w:lang w:val="en-GB"/>
        </w:rPr>
        <w:instrText>Išpuini</w:instrText>
      </w:r>
      <w:r w:rsidRPr="00F03A26">
        <w:rPr>
          <w:rFonts w:asciiTheme="majorBidi" w:eastAsia="Calibri" w:hAnsiTheme="majorBidi" w:cstheme="majorBidi"/>
          <w:sz w:val="28"/>
          <w:szCs w:val="28"/>
          <w:lang w:val="en-GB"/>
        </w:rPr>
        <w:instrText xml:space="preserve">" </w:instrText>
      </w:r>
      <w:r w:rsidRPr="00F03A26">
        <w:rPr>
          <w:rFonts w:asciiTheme="majorBidi" w:eastAsia="Arial" w:hAnsiTheme="majorBidi" w:cstheme="majorBidi"/>
          <w:b/>
          <w:sz w:val="28"/>
          <w:szCs w:val="28"/>
          <w:lang w:val="en-GB" w:eastAsia="tr-TR" w:bidi="he-IL"/>
        </w:rPr>
        <w:fldChar w:fldCharType="end"/>
      </w:r>
      <w:r w:rsidRPr="00F03A26">
        <w:rPr>
          <w:rFonts w:asciiTheme="majorBidi" w:eastAsia="Arial" w:hAnsiTheme="majorBidi" w:cstheme="majorBidi"/>
          <w:b/>
          <w:sz w:val="28"/>
          <w:szCs w:val="28"/>
          <w:lang w:val="en-GB" w:eastAsia="tr-TR" w:bidi="he-IL"/>
        </w:rPr>
        <w:t xml:space="preserve"> and the Lower City</w:t>
      </w:r>
      <w:bookmarkEnd w:id="15"/>
      <w:bookmarkEnd w:id="16"/>
    </w:p>
    <w:p w14:paraId="1D4D819E" w14:textId="13B8ED5F"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After Sarduri I</w:t>
      </w:r>
      <w:r w:rsidR="005C68BB">
        <w:rPr>
          <w:rFonts w:asciiTheme="majorBidi" w:eastAsia="Calibri" w:hAnsiTheme="majorBidi" w:cstheme="majorBidi"/>
          <w:lang w:val="en-GB"/>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Calibri" w:hAnsiTheme="majorBidi" w:cstheme="majorBidi"/>
          <w:lang w:val="en-GB"/>
        </w:rPr>
        <w:fldChar w:fldCharType="end"/>
      </w:r>
      <w:r w:rsidRPr="00F03A26">
        <w:rPr>
          <w:rFonts w:asciiTheme="majorBidi" w:eastAsia="Calibri" w:hAnsiTheme="majorBidi" w:cstheme="majorBidi"/>
          <w:lang w:val="en-GB"/>
        </w:rPr>
        <w:t>, the transitional period to Išpuini</w:t>
      </w:r>
      <w:r w:rsidR="00C1513A">
        <w:rPr>
          <w:rFonts w:asciiTheme="majorBidi" w:eastAsia="Calibri" w:hAnsiTheme="majorBidi" w:cstheme="majorBidi"/>
          <w:lang w:val="en-GB"/>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lang w:val="en-GB"/>
        </w:rPr>
        <w:fldChar w:fldCharType="end"/>
      </w:r>
      <w:r w:rsidRPr="00F03A26">
        <w:rPr>
          <w:rFonts w:asciiTheme="majorBidi" w:eastAsia="Calibri" w:hAnsiTheme="majorBidi" w:cstheme="majorBidi"/>
          <w:lang w:val="en-GB"/>
        </w:rPr>
        <w:t> is not well known. This uncertainty is relatively accurate for the reign of Išpuini in Ṭušpa. No inscription on the alone enthronement of Išpuini was found in Ṭušpa</w:t>
      </w:r>
      <w:r w:rsidR="001F1A53" w:rsidRPr="00F03A26">
        <w:rPr>
          <w:rFonts w:asciiTheme="majorBidi" w:eastAsia="Calibri" w:hAnsiTheme="majorBidi" w:cstheme="majorBidi"/>
          <w:lang w:val="en-GB"/>
        </w:rPr>
        <w:t xml:space="preserve"> </w:t>
      </w:r>
      <w:r w:rsidRPr="00F03A26">
        <w:rPr>
          <w:rFonts w:asciiTheme="majorBidi" w:eastAsia="Calibri" w:hAnsiTheme="majorBidi" w:cstheme="majorBidi"/>
          <w:lang w:val="en-GB"/>
        </w:rPr>
        <w:t>citadel. However, an oval-shaped stone base belonging to Išpuini was found in an area located about 800 meters north of the Ṭušpa</w:t>
      </w:r>
      <w:r w:rsidR="001F1A53" w:rsidRPr="00F03A26">
        <w:rPr>
          <w:rFonts w:asciiTheme="majorBidi" w:eastAsia="Calibri" w:hAnsiTheme="majorBidi" w:cstheme="majorBidi"/>
          <w:lang w:val="en-GB"/>
        </w:rPr>
        <w:t xml:space="preserve"> </w:t>
      </w:r>
      <w:r w:rsidRPr="00F03A26">
        <w:rPr>
          <w:rFonts w:asciiTheme="majorBidi" w:eastAsia="Calibri" w:hAnsiTheme="majorBidi" w:cstheme="majorBidi"/>
          <w:lang w:val="en-GB"/>
        </w:rPr>
        <w:t>citadel during a sewerage work in 2012. The stone base was unearthed in a flat area of modern-day inhabitation (Yalı) located between the Ṭušpa citadel and the Kelepost (Altıntepe) Urartian</w:t>
      </w:r>
      <w:r w:rsidR="00EA6C63">
        <w:rPr>
          <w:rFonts w:asciiTheme="majorBidi" w:eastAsia="Calibr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lang w:val="en-GB"/>
        </w:rPr>
        <w:fldChar w:fldCharType="end"/>
      </w:r>
      <w:r w:rsidRPr="00F03A26">
        <w:rPr>
          <w:rFonts w:asciiTheme="majorBidi" w:eastAsia="Calibri" w:hAnsiTheme="majorBidi" w:cstheme="majorBidi"/>
          <w:lang w:val="en-GB"/>
        </w:rPr>
        <w:t> necropolis. An iron spear and typical Urartian ceramic sherds, the majority of which are defined as the Biainili type, were found near the base as well</w:t>
      </w:r>
      <w:r w:rsidR="003A0DA8" w:rsidRPr="00F03A26">
        <w:rPr>
          <w:rFonts w:asciiTheme="majorBidi" w:eastAsia="Calibri" w:hAnsiTheme="majorBidi" w:cstheme="majorBidi"/>
          <w:lang w:val="en-GB"/>
        </w:rPr>
        <w:t xml:space="preserve"> </w:t>
      </w:r>
      <w:r w:rsidR="005C68BB">
        <w:rPr>
          <w:rFonts w:asciiTheme="majorBidi" w:eastAsia="Calibri" w:hAnsiTheme="majorBidi" w:cstheme="majorBidi"/>
          <w:lang w:val="en-GB"/>
        </w:rPr>
        <w:t>(</w:t>
      </w:r>
      <w:r w:rsidR="003A0DA8" w:rsidRPr="00F03A26">
        <w:rPr>
          <w:rFonts w:asciiTheme="majorBidi" w:eastAsia="Calibri" w:hAnsiTheme="majorBidi" w:cstheme="majorBidi"/>
          <w:lang w:val="en-GB"/>
        </w:rPr>
        <w:t>Fig. 3</w:t>
      </w:r>
      <w:r w:rsidR="005C68BB">
        <w:rPr>
          <w:rFonts w:asciiTheme="majorBidi" w:eastAsia="Calibri" w:hAnsiTheme="majorBidi" w:cstheme="majorBidi"/>
          <w:lang w:val="en-GB"/>
        </w:rPr>
        <w:t>)</w:t>
      </w:r>
      <w:r w:rsidRPr="00F03A26">
        <w:rPr>
          <w:rFonts w:asciiTheme="majorBidi" w:eastAsia="Calibri" w:hAnsiTheme="majorBidi" w:cstheme="majorBidi"/>
          <w:lang w:val="en-GB"/>
        </w:rPr>
        <w:t>.</w:t>
      </w:r>
    </w:p>
    <w:p w14:paraId="59FB46AC"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drawing>
          <wp:inline distT="0" distB="0" distL="0" distR="0" wp14:anchorId="53C863B5" wp14:editId="49A5E74D">
            <wp:extent cx="5529072" cy="4146956"/>
            <wp:effectExtent l="0" t="0" r="0" b="6350"/>
            <wp:docPr id="1299177844" name="Resim 1" descr="yer, dış mekan, jeoloji, kireç taş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177844" name="Resim 1" descr="yer, dış mekan, jeoloji, kireç taşı içeren bir resim&#10;&#10;Açıklama otomatik olarak oluşturuldu"/>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529072" cy="4146956"/>
                    </a:xfrm>
                    <a:prstGeom prst="rect">
                      <a:avLst/>
                    </a:prstGeom>
                    <a:noFill/>
                    <a:ln>
                      <a:noFill/>
                    </a:ln>
                  </pic:spPr>
                </pic:pic>
              </a:graphicData>
            </a:graphic>
          </wp:inline>
        </w:drawing>
      </w:r>
    </w:p>
    <w:p w14:paraId="17D30C27"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3 Išpuini</w:t>
      </w:r>
      <w:r w:rsidRPr="00F03A26">
        <w:rPr>
          <w:rFonts w:asciiTheme="majorBidi" w:eastAsia="Calibri" w:hAnsiTheme="majorBidi" w:cstheme="majorBidi"/>
          <w:iCs/>
          <w:lang w:val="en-GB"/>
        </w:rPr>
        <w:fldChar w:fldCharType="begin"/>
      </w:r>
      <w:r w:rsidRPr="00F03A26">
        <w:rPr>
          <w:rFonts w:asciiTheme="majorBidi" w:eastAsia="Calibri" w:hAnsiTheme="majorBidi" w:cstheme="majorBidi"/>
          <w:lang w:val="en-GB"/>
        </w:rPr>
        <w:instrText xml:space="preserve"> XE "</w:instrText>
      </w:r>
      <w:r w:rsidRPr="00F03A26">
        <w:rPr>
          <w:rFonts w:asciiTheme="majorBidi" w:eastAsia="Calibri" w:hAnsiTheme="majorBidi" w:cstheme="majorBidi"/>
          <w:iCs/>
          <w:lang w:val="en-GB"/>
        </w:rPr>
        <w:instrText>Išpuini</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iCs/>
          <w:lang w:val="en-GB"/>
        </w:rPr>
        <w:fldChar w:fldCharType="end"/>
      </w:r>
      <w:r w:rsidRPr="00F03A26">
        <w:rPr>
          <w:rFonts w:asciiTheme="majorBidi" w:eastAsia="Calibri" w:hAnsiTheme="majorBidi" w:cstheme="majorBidi"/>
          <w:lang w:val="en-GB"/>
        </w:rPr>
        <w:t>’</w:t>
      </w:r>
      <w:r w:rsidRPr="00F03A26">
        <w:rPr>
          <w:rFonts w:asciiTheme="majorBidi" w:eastAsia="Calibri" w:hAnsiTheme="majorBidi" w:cstheme="majorBidi"/>
          <w:iCs/>
          <w:lang w:val="en-GB"/>
        </w:rPr>
        <w:t xml:space="preserve">s Column base with </w:t>
      </w:r>
      <w:r w:rsidRPr="00F03A26">
        <w:rPr>
          <w:rFonts w:asciiTheme="majorBidi" w:eastAsia="Calibri" w:hAnsiTheme="majorBidi" w:cstheme="majorBidi"/>
          <w:lang w:val="en-GB"/>
        </w:rPr>
        <w:t>Urartian</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"Urartian"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ceramic sherds.</w:t>
      </w:r>
    </w:p>
    <w:p w14:paraId="1685FB94" w14:textId="09302339" w:rsidR="00F40E43" w:rsidRPr="00F03A26" w:rsidRDefault="00F40E43" w:rsidP="005C68BB">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More importantly, calcareous and sandstone blocks belonging to a structure were unearthed during the same sewerage work. The sandstone base found here is the most prominent example known among the Urartian</w:t>
      </w:r>
      <w:r w:rsidR="00EA6C63">
        <w:rPr>
          <w:rFonts w:asciiTheme="majorBidi" w:eastAsia="Calibr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lang w:val="en-GB"/>
        </w:rPr>
        <w:fldChar w:fldCharType="end"/>
      </w:r>
      <w:r w:rsidRPr="00F03A26">
        <w:rPr>
          <w:rFonts w:asciiTheme="majorBidi" w:eastAsia="Calibri" w:hAnsiTheme="majorBidi" w:cstheme="majorBidi"/>
          <w:lang w:val="en-GB"/>
        </w:rPr>
        <w:t> column bases. The base measures 104 cm in diameter, and three lines of Urartian cuneiform text were inscribed on it:</w:t>
      </w:r>
    </w:p>
    <w:p w14:paraId="2D111437" w14:textId="77777777" w:rsidR="00F40E43" w:rsidRPr="00F03A26" w:rsidRDefault="00F40E43" w:rsidP="00F03A26">
      <w:pPr>
        <w:spacing w:before="100" w:beforeAutospacing="1" w:after="100" w:afterAutospacing="1"/>
        <w:ind w:left="850" w:right="850"/>
        <w:jc w:val="both"/>
        <w:rPr>
          <w:rFonts w:asciiTheme="majorBidi" w:eastAsia="Calibri" w:hAnsiTheme="majorBidi" w:cstheme="majorBidi"/>
          <w:lang w:val="en-GB"/>
        </w:rPr>
      </w:pPr>
      <w:r w:rsidRPr="00F03A26">
        <w:rPr>
          <w:rFonts w:asciiTheme="majorBidi" w:eastAsia="Calibri" w:hAnsiTheme="majorBidi" w:cstheme="majorBidi"/>
          <w:iCs/>
          <w:lang w:val="en-GB"/>
        </w:rPr>
        <w:t>“By the power of Ḫaldi</w:t>
      </w:r>
      <w:r w:rsidRPr="00F03A26">
        <w:rPr>
          <w:rFonts w:asciiTheme="majorBidi" w:eastAsia="Calibri" w:hAnsiTheme="majorBidi" w:cstheme="majorBidi"/>
          <w:iCs/>
          <w:lang w:val="en-GB"/>
        </w:rPr>
        <w:fldChar w:fldCharType="begin"/>
      </w:r>
      <w:r w:rsidRPr="00F03A26">
        <w:rPr>
          <w:rFonts w:asciiTheme="majorBidi" w:eastAsia="Calibri" w:hAnsiTheme="majorBidi" w:cstheme="majorBidi"/>
          <w:lang w:val="en-GB"/>
        </w:rPr>
        <w:instrText xml:space="preserve"> XE "Ḫaldi" </w:instrText>
      </w:r>
      <w:r w:rsidRPr="00F03A26">
        <w:rPr>
          <w:rFonts w:asciiTheme="majorBidi" w:eastAsia="Calibri" w:hAnsiTheme="majorBidi" w:cstheme="majorBidi"/>
          <w:iCs/>
          <w:lang w:val="en-GB"/>
        </w:rPr>
        <w:fldChar w:fldCharType="end"/>
      </w:r>
      <w:r w:rsidRPr="00F03A26">
        <w:rPr>
          <w:rFonts w:asciiTheme="majorBidi" w:eastAsia="Calibri" w:hAnsiTheme="majorBidi" w:cstheme="majorBidi"/>
          <w:iCs/>
          <w:lang w:val="en-GB"/>
        </w:rPr>
        <w:t xml:space="preserve">, </w:t>
      </w:r>
      <w:r w:rsidRPr="00F03A26">
        <w:rPr>
          <w:rFonts w:asciiTheme="majorBidi" w:eastAsia="Calibri" w:hAnsiTheme="majorBidi" w:cstheme="majorBidi"/>
          <w:lang w:val="en-GB"/>
        </w:rPr>
        <w:t>Išpuini</w:t>
      </w:r>
      <w:r w:rsidRPr="00F03A26">
        <w:rPr>
          <w:rFonts w:asciiTheme="majorBidi" w:eastAsia="Calibri" w:hAnsiTheme="majorBidi" w:cstheme="majorBidi"/>
          <w:iCs/>
          <w:lang w:val="en-GB"/>
        </w:rPr>
        <w:fldChar w:fldCharType="begin"/>
      </w:r>
      <w:r w:rsidRPr="00F03A26">
        <w:rPr>
          <w:rFonts w:asciiTheme="majorBidi" w:eastAsia="Calibri" w:hAnsiTheme="majorBidi" w:cstheme="majorBidi"/>
          <w:lang w:val="en-GB"/>
        </w:rPr>
        <w:instrText xml:space="preserve"> XE "</w:instrText>
      </w:r>
      <w:r w:rsidRPr="00F03A26">
        <w:rPr>
          <w:rFonts w:asciiTheme="majorBidi" w:eastAsia="Calibri" w:hAnsiTheme="majorBidi" w:cstheme="majorBidi"/>
          <w:iCs/>
          <w:lang w:val="en-GB"/>
        </w:rPr>
        <w:instrText>Išpuini</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iCs/>
          <w:lang w:val="en-GB"/>
        </w:rPr>
        <w:fldChar w:fldCharType="end"/>
      </w:r>
      <w:r w:rsidRPr="00F03A26">
        <w:rPr>
          <w:rFonts w:asciiTheme="majorBidi" w:eastAsia="Calibri" w:hAnsiTheme="majorBidi" w:cstheme="majorBidi"/>
          <w:iCs/>
          <w:lang w:val="en-GB"/>
        </w:rPr>
        <w:t xml:space="preserve"> the son of Sarduri I</w:t>
      </w:r>
      <w:r w:rsidRPr="00F03A26">
        <w:rPr>
          <w:rFonts w:asciiTheme="majorBidi" w:eastAsia="Calibri" w:hAnsiTheme="majorBidi" w:cstheme="majorBidi"/>
          <w:iCs/>
          <w:lang w:val="en-GB"/>
        </w:rPr>
        <w:fldChar w:fldCharType="begin"/>
      </w:r>
      <w:r w:rsidRPr="00F03A26">
        <w:rPr>
          <w:rFonts w:asciiTheme="majorBidi" w:eastAsia="Calibri" w:hAnsiTheme="majorBidi" w:cstheme="majorBidi"/>
          <w:lang w:val="en-GB"/>
        </w:rPr>
        <w:instrText xml:space="preserve"> XE "</w:instrText>
      </w:r>
      <w:r w:rsidRPr="00F03A26">
        <w:rPr>
          <w:rFonts w:asciiTheme="majorBidi" w:eastAsia="Calibri" w:hAnsiTheme="majorBidi" w:cstheme="majorBidi"/>
          <w:iCs/>
          <w:lang w:val="en-GB"/>
        </w:rPr>
        <w:instrText>Sarduri I</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iCs/>
          <w:lang w:val="en-GB"/>
        </w:rPr>
        <w:fldChar w:fldCharType="end"/>
      </w:r>
      <w:r w:rsidRPr="00F03A26">
        <w:rPr>
          <w:rFonts w:asciiTheme="majorBidi" w:eastAsia="Calibri" w:hAnsiTheme="majorBidi" w:cstheme="majorBidi"/>
          <w:iCs/>
          <w:lang w:val="en-GB"/>
        </w:rPr>
        <w:t xml:space="preserve">, built this building (?) and established it </w:t>
      </w:r>
      <w:r w:rsidRPr="00F03A26">
        <w:rPr>
          <w:rFonts w:asciiTheme="majorBidi" w:eastAsia="Calibri" w:hAnsiTheme="majorBidi" w:cstheme="majorBidi"/>
          <w:iCs/>
          <w:lang w:val="en-GB"/>
        </w:rPr>
        <w:lastRenderedPageBreak/>
        <w:t xml:space="preserve">perfectly. The land was deserted (there were no buildings/it was quiet). The son of Sarduri, </w:t>
      </w:r>
      <w:r w:rsidRPr="00F03A26">
        <w:rPr>
          <w:rFonts w:asciiTheme="majorBidi" w:eastAsia="Calibri" w:hAnsiTheme="majorBidi" w:cstheme="majorBidi"/>
          <w:lang w:val="en-GB"/>
        </w:rPr>
        <w:t>Išpuini</w:t>
      </w:r>
      <w:r w:rsidRPr="00F03A26">
        <w:rPr>
          <w:rFonts w:asciiTheme="majorBidi" w:eastAsia="Calibri" w:hAnsiTheme="majorBidi" w:cstheme="majorBidi"/>
          <w:i/>
          <w:lang w:val="en-GB"/>
        </w:rPr>
        <w:t xml:space="preserve"> </w:t>
      </w:r>
      <w:r w:rsidRPr="00F03A26">
        <w:rPr>
          <w:rFonts w:asciiTheme="majorBidi" w:eastAsia="Calibri" w:hAnsiTheme="majorBidi" w:cstheme="majorBidi"/>
          <w:iCs/>
          <w:lang w:val="en-GB"/>
        </w:rPr>
        <w:t>built it”</w:t>
      </w:r>
      <w:r w:rsidRPr="00F03A26">
        <w:rPr>
          <w:rFonts w:asciiTheme="majorBidi" w:eastAsia="Calibri" w:hAnsiTheme="majorBidi" w:cstheme="majorBidi"/>
          <w:i/>
          <w:lang w:val="en-GB"/>
        </w:rPr>
        <w:t xml:space="preserve"> </w:t>
      </w:r>
      <w:r w:rsidRPr="00F03A26">
        <w:rPr>
          <w:rFonts w:asciiTheme="majorBidi" w:eastAsia="Calibri" w:hAnsiTheme="majorBidi" w:cstheme="majorBidi"/>
          <w:iCs/>
          <w:lang w:val="en-GB"/>
        </w:rPr>
        <w:t>(Işık</w:t>
      </w:r>
      <w:r w:rsidRPr="00F03A26">
        <w:rPr>
          <w:rFonts w:asciiTheme="majorBidi" w:eastAsia="Calibri" w:hAnsiTheme="majorBidi" w:cstheme="majorBidi"/>
          <w:lang w:val="en-GB"/>
        </w:rPr>
        <w:t xml:space="preserve"> </w:t>
      </w:r>
      <w:r w:rsidRPr="00F03A26">
        <w:rPr>
          <w:rFonts w:asciiTheme="majorBidi" w:eastAsia="Times New Roman" w:hAnsiTheme="majorBidi" w:cstheme="majorBidi"/>
          <w:lang w:val="en-GB" w:eastAsia="tr-TR" w:bidi="he-IL"/>
        </w:rPr>
        <w:t xml:space="preserve">&amp; </w:t>
      </w:r>
      <w:r w:rsidRPr="00F03A26">
        <w:rPr>
          <w:rFonts w:asciiTheme="majorBidi" w:eastAsia="Calibri" w:hAnsiTheme="majorBidi" w:cstheme="majorBidi"/>
          <w:lang w:val="en-GB"/>
        </w:rPr>
        <w:t>Genç, 2012: 72-79, also see. Chapter 4, CTU I. A 2-11).</w:t>
      </w:r>
    </w:p>
    <w:p w14:paraId="03414558" w14:textId="494B581B" w:rsidR="00F40E43" w:rsidRPr="00F03A26" w:rsidRDefault="00F40E43"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 xml:space="preserve">The expression </w:t>
      </w:r>
      <w:r w:rsidRPr="00F03A26">
        <w:rPr>
          <w:rFonts w:asciiTheme="majorBidi" w:eastAsia="Calibri" w:hAnsiTheme="majorBidi" w:cstheme="majorBidi"/>
          <w:i/>
          <w:iCs/>
        </w:rPr>
        <w:t>‘</w:t>
      </w:r>
      <w:r w:rsidRPr="007256E1">
        <w:rPr>
          <w:rFonts w:asciiTheme="majorBidi" w:eastAsia="Calibri" w:hAnsiTheme="majorBidi" w:cstheme="majorBidi"/>
        </w:rPr>
        <w:t>qiurani quldini manu</w:t>
      </w:r>
      <w:r w:rsidRPr="00F03A26">
        <w:rPr>
          <w:rFonts w:asciiTheme="majorBidi" w:eastAsia="Calibri" w:hAnsiTheme="majorBidi" w:cstheme="majorBidi"/>
        </w:rPr>
        <w:t>=nothing was built here before’ in the text is characteristic of most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xml:space="preserve"> inscriptions. However, it is still noteworthy due to the </w:t>
      </w:r>
      <w:r w:rsidRPr="00F03A26">
        <w:rPr>
          <w:rFonts w:asciiTheme="majorBidi" w:eastAsia="Calibri" w:hAnsiTheme="majorBidi" w:cstheme="majorBidi"/>
          <w:i/>
          <w:iCs/>
        </w:rPr>
        <w:t xml:space="preserve">in-situ </w:t>
      </w:r>
      <w:r w:rsidRPr="007256E1">
        <w:rPr>
          <w:rFonts w:asciiTheme="majorBidi" w:eastAsia="Calibri" w:hAnsiTheme="majorBidi" w:cstheme="majorBidi"/>
        </w:rPr>
        <w:t xml:space="preserve">location </w:t>
      </w:r>
      <w:r w:rsidRPr="00F03A26">
        <w:rPr>
          <w:rFonts w:asciiTheme="majorBidi" w:eastAsia="Calibri" w:hAnsiTheme="majorBidi" w:cstheme="majorBidi"/>
        </w:rPr>
        <w:t>of the base, suggested by the structural remains, ceramics, and the spear found in the same area. In the inscription, the demonstrative pronoun ‘</w:t>
      </w:r>
      <w:r w:rsidRPr="00F03A26">
        <w:rPr>
          <w:rFonts w:asciiTheme="majorBidi" w:eastAsia="Calibri" w:hAnsiTheme="majorBidi" w:cstheme="majorBidi"/>
          <w:i/>
          <w:iCs/>
        </w:rPr>
        <w:t>inǝ</w:t>
      </w:r>
      <w:r w:rsidRPr="00F03A26">
        <w:rPr>
          <w:rFonts w:asciiTheme="majorBidi" w:eastAsia="Calibri" w:hAnsiTheme="majorBidi" w:cstheme="majorBidi"/>
        </w:rPr>
        <w:t>’ means ‘this’</w:t>
      </w:r>
      <w:r w:rsidR="00302238">
        <w:rPr>
          <w:rFonts w:asciiTheme="majorBidi" w:eastAsia="Calibri" w:hAnsiTheme="majorBidi" w:cstheme="majorBidi"/>
        </w:rPr>
        <w:t>,</w:t>
      </w:r>
      <w:r w:rsidRPr="00F03A26">
        <w:rPr>
          <w:rFonts w:asciiTheme="majorBidi" w:eastAsia="Calibri" w:hAnsiTheme="majorBidi" w:cstheme="majorBidi"/>
        </w:rPr>
        <w:t xml:space="preserve"> indicating that the structure ‘É’? Built by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it was not located in the fortress but in the flat area where the base was found. This brings forth several questions and some plausible explanations. The dimensions of the base indicate the royal aspects of the structure mentioned in the text. The largest so far known base that belongs to Išpuini was found in the Lower Anzaf Fortress, measuring 89 cm in diameter and 18 cm in height (Hulin, 1960</w:t>
      </w:r>
      <w:r w:rsidR="003A0DA8" w:rsidRPr="00F03A26">
        <w:rPr>
          <w:rFonts w:asciiTheme="majorBidi" w:eastAsia="Calibri" w:hAnsiTheme="majorBidi" w:cstheme="majorBidi"/>
        </w:rPr>
        <w:t xml:space="preserve">: </w:t>
      </w:r>
      <w:r w:rsidRPr="00F03A26">
        <w:rPr>
          <w:rFonts w:asciiTheme="majorBidi" w:eastAsia="Calibri" w:hAnsiTheme="majorBidi" w:cstheme="majorBidi"/>
        </w:rPr>
        <w:t xml:space="preserve">205-208). The bases of the same king found in Zivistan (Elmalı), Lower Anzaf, and Aznavurtepe measure 77 cm, 70 cm, and 75 cm, respectively, in diameter (CTU I. 107-108.). Considering such examples, the Išpuini structure mentioned in the inscription could have been monumental compared to other satellite settlements (Lower Anzaf, Zivistan, Aznavurtepe). Most inscribed or uninscribed oval column bases were found </w:t>
      </w:r>
      <w:r w:rsidRPr="00F03A26">
        <w:rPr>
          <w:rFonts w:asciiTheme="majorBidi" w:eastAsia="Calibri" w:hAnsiTheme="majorBidi" w:cstheme="majorBidi"/>
          <w:i/>
          <w:iCs/>
        </w:rPr>
        <w:t xml:space="preserve">in situ </w:t>
      </w:r>
      <w:r w:rsidRPr="00F03A26">
        <w:rPr>
          <w:rFonts w:asciiTheme="majorBidi" w:eastAsia="Calibri" w:hAnsiTheme="majorBidi" w:cstheme="majorBidi"/>
        </w:rPr>
        <w:t>in royal contexts in the Urartian fortresses. The structure was probably an important one that belonged to Išpuini. Its location in the capital city further strengthens its relationship with the king’s administrative complex. The expressions in the inscription, the finds, and their location suggest that Išpuini’s first official construction activities could have occurred here. If this was the case, one can ask why Išpuini did not build this structure near the Sardurburç</w:t>
      </w:r>
      <w:r w:rsidR="00647545">
        <w:rPr>
          <w:rFonts w:asciiTheme="majorBidi" w:eastAsia="Calibr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that belonged to his father, Sarduri I</w:t>
      </w:r>
      <w:r w:rsidR="005C68BB">
        <w:rPr>
          <w:rFonts w:asciiTheme="majorBidi" w:eastAsia="Calibri" w:hAnsiTheme="majorBidi" w:cstheme="majorBidi"/>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Calibri" w:hAnsiTheme="majorBidi" w:cstheme="majorBidi"/>
        </w:rPr>
        <w:fldChar w:fldCharType="end"/>
      </w:r>
      <w:r w:rsidRPr="00F03A26">
        <w:rPr>
          <w:rFonts w:asciiTheme="majorBidi" w:eastAsia="Calibri" w:hAnsiTheme="majorBidi" w:cstheme="majorBidi"/>
        </w:rPr>
        <w:t>, or in the Ṭušpa citadel. The location of the Lower Anzaf Fortress and the palace, as the only excavated center that belonged to Išpuini, is noteworthy in this context (Belli, 2003: 1-3). The Lower Anzaf Fortress was built on a nearly plain level hill and was on the eastern military campaign route. However, interestingly, Išpuini’s son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built the Upper Anzaf Fortress, a much more significant investment, on a high hill to the south. A similar case could be plausible for the Ṭušpa</w:t>
      </w:r>
      <w:r w:rsidR="003A0DA8" w:rsidRPr="00F03A26">
        <w:rPr>
          <w:rFonts w:asciiTheme="majorBidi" w:eastAsia="Calibri" w:hAnsiTheme="majorBidi" w:cstheme="majorBidi"/>
        </w:rPr>
        <w:t xml:space="preserve"> </w:t>
      </w:r>
      <w:r w:rsidRPr="00F03A26">
        <w:rPr>
          <w:rFonts w:asciiTheme="majorBidi" w:eastAsia="Calibri" w:hAnsiTheme="majorBidi" w:cstheme="majorBidi"/>
        </w:rPr>
        <w:t>citadel as well. This may partially explain why no characteristic Urartian fortress structures dating to the Išpuini</w:t>
      </w:r>
      <w:r w:rsidR="003A0DA8" w:rsidRPr="00F03A26">
        <w:rPr>
          <w:rFonts w:asciiTheme="majorBidi" w:eastAsia="Calibri" w:hAnsiTheme="majorBidi" w:cstheme="majorBidi"/>
        </w:rPr>
        <w:t xml:space="preserve"> </w:t>
      </w:r>
      <w:r w:rsidRPr="00F03A26">
        <w:rPr>
          <w:rFonts w:asciiTheme="majorBidi" w:eastAsia="Calibri" w:hAnsiTheme="majorBidi" w:cstheme="majorBidi"/>
        </w:rPr>
        <w:t>period were found so far in higher areas.</w:t>
      </w:r>
    </w:p>
    <w:p w14:paraId="7A0DFFC1" w14:textId="3010BB7B" w:rsidR="00F40E43" w:rsidRPr="00F03A26" w:rsidRDefault="00F40E43"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Ṭušpa, the capital city of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xml:space="preserve"> kingdom from the 9th century until the kingdom ended, was, of course, more than just a citadel built on a calcareous outcrop. One can question the extent of its lower settlement along the Van </w:t>
      </w:r>
      <w:r w:rsidR="003A0DA8" w:rsidRPr="00F03A26">
        <w:rPr>
          <w:rFonts w:asciiTheme="majorBidi" w:eastAsia="Calibri" w:hAnsiTheme="majorBidi" w:cstheme="majorBidi"/>
        </w:rPr>
        <w:t>p</w:t>
      </w:r>
      <w:r w:rsidRPr="00F03A26">
        <w:rPr>
          <w:rFonts w:asciiTheme="majorBidi" w:eastAsia="Calibri" w:hAnsiTheme="majorBidi" w:cstheme="majorBidi"/>
        </w:rPr>
        <w:t>lain. The inscription on the stone base of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xml:space="preserve"> and other finds from the same context can provide insight into the extent of Ṭušpa’s lower settlement outside the citadel. The pre-kingdom local settlement in the mound of Ṭušpa, close to the citadel, should have enlarged with the growth of Išpuini’s power through military </w:t>
      </w:r>
      <w:r w:rsidRPr="00F03A26">
        <w:rPr>
          <w:rFonts w:asciiTheme="majorBidi" w:eastAsia="Calibri" w:hAnsiTheme="majorBidi" w:cstheme="majorBidi"/>
        </w:rPr>
        <w:lastRenderedPageBreak/>
        <w:t>campaigns and population deportations</w:t>
      </w:r>
      <w:r w:rsidR="003A0DA8" w:rsidRPr="00F03A26">
        <w:rPr>
          <w:rStyle w:val="DipnotBavurusu"/>
          <w:rFonts w:asciiTheme="majorBidi" w:eastAsia="Calibri" w:hAnsiTheme="majorBidi" w:cstheme="majorBidi"/>
        </w:rPr>
        <w:footnoteReference w:id="7"/>
      </w:r>
      <w:r w:rsidRPr="00F03A26">
        <w:rPr>
          <w:rFonts w:asciiTheme="majorBidi" w:eastAsia="Calibri" w:hAnsiTheme="majorBidi" w:cstheme="majorBidi"/>
        </w:rPr>
        <w:t>. During this period, the extent of the settlement probably reached the Kelepost (Altıntepe) necropolis, which served as a necropolis for the city of Ṭušpa</w:t>
      </w:r>
      <w:r w:rsidR="003A0DA8" w:rsidRPr="00F03A26">
        <w:rPr>
          <w:rStyle w:val="DipnotBavurusu"/>
          <w:rFonts w:asciiTheme="majorBidi" w:eastAsia="Calibri" w:hAnsiTheme="majorBidi" w:cstheme="majorBidi"/>
        </w:rPr>
        <w:footnoteReference w:id="8"/>
      </w:r>
      <w:r w:rsidRPr="00F03A26">
        <w:rPr>
          <w:rFonts w:asciiTheme="majorBidi" w:eastAsia="Calibri" w:hAnsiTheme="majorBidi" w:cstheme="majorBidi"/>
        </w:rPr>
        <w:t xml:space="preserve">. It is emphasized that the Kelepost necropolis extends 2 km to the north of Ṭušpa, to the southwest of the Kalecik Fortress in the northeast, to the </w:t>
      </w:r>
      <w:r w:rsidR="00FD3038">
        <w:rPr>
          <w:rFonts w:asciiTheme="majorBidi" w:eastAsia="Calibri" w:hAnsiTheme="majorBidi" w:cstheme="majorBidi"/>
        </w:rPr>
        <w:t>‘</w:t>
      </w:r>
      <w:r w:rsidRPr="00F03A26">
        <w:rPr>
          <w:rFonts w:asciiTheme="majorBidi" w:eastAsia="Calibri" w:hAnsiTheme="majorBidi" w:cstheme="majorBidi"/>
        </w:rPr>
        <w:t>Yeni Sanayi Çarşı</w:t>
      </w:r>
      <w:r w:rsidR="00FD3038">
        <w:rPr>
          <w:rFonts w:asciiTheme="majorBidi" w:eastAsia="Calibri" w:hAnsiTheme="majorBidi" w:cstheme="majorBidi"/>
        </w:rPr>
        <w:t>’</w:t>
      </w:r>
      <w:r w:rsidRPr="00F03A26">
        <w:rPr>
          <w:rFonts w:asciiTheme="majorBidi" w:eastAsia="Calibri" w:hAnsiTheme="majorBidi" w:cstheme="majorBidi"/>
        </w:rPr>
        <w:t xml:space="preserve"> area in the north, to the train road in the south and inside to the Iskele neighborhood in the west. Overall, it encompasses an area of 1-1.5 km in the east-west direction and a couple more kilometers in the north-south direction (Sevin, 2012a</w:t>
      </w:r>
      <w:r w:rsidR="003A0DA8" w:rsidRPr="00F03A26">
        <w:rPr>
          <w:rFonts w:asciiTheme="majorBidi" w:eastAsia="Calibri" w:hAnsiTheme="majorBidi" w:cstheme="majorBidi"/>
        </w:rPr>
        <w:t xml:space="preserve">: </w:t>
      </w:r>
      <w:r w:rsidRPr="00F03A26">
        <w:rPr>
          <w:rFonts w:asciiTheme="majorBidi" w:eastAsia="Calibri" w:hAnsiTheme="majorBidi" w:cstheme="majorBidi"/>
        </w:rPr>
        <w:t>108-109). The cemetery surrounds the Ṭušpa citadel and its northern zones like an arc, further demonstrating the extent of Ṭušpa towards the north. In a sense, such off-site cemeteries of the Urartian kingdom define the limits of the cities. Thus, a consideration of the expansion of Ṭušpa and its necropolis suggests that the Engüsner stream—cutting the Van plain from the west to the east—stood as a natural border between the city and the necropolis (Işık &amp; Genç, 2012</w:t>
      </w:r>
      <w:r w:rsidR="003A0DA8" w:rsidRPr="00F03A26">
        <w:rPr>
          <w:rFonts w:asciiTheme="majorBidi" w:eastAsia="Calibri" w:hAnsiTheme="majorBidi" w:cstheme="majorBidi"/>
        </w:rPr>
        <w:t xml:space="preserve">: </w:t>
      </w:r>
      <w:r w:rsidRPr="00F03A26">
        <w:rPr>
          <w:rFonts w:asciiTheme="majorBidi" w:eastAsia="Calibri" w:hAnsiTheme="majorBidi" w:cstheme="majorBidi"/>
        </w:rPr>
        <w:t>72-79). Van Lake</w:t>
      </w:r>
      <w:r w:rsidR="001F2587">
        <w:rPr>
          <w:rFonts w:asciiTheme="majorBidi" w:eastAsia="Calibri" w:hAnsiTheme="majorBidi" w:cstheme="majorBidi"/>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and the reed fields near the shore border the settlement of Ṭušpa in the west.</w:t>
      </w:r>
    </w:p>
    <w:p w14:paraId="1ED830E1" w14:textId="4E448C94" w:rsidR="00F40E43" w:rsidRPr="00302238" w:rsidRDefault="00F40E43" w:rsidP="00302238">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On the other hand, a sewerage work in 1979 revealed its extension towards the east. During this work, remains of structures with stone foundations, as well as several finds such as cuneiform inscribed chest guards belonging to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xml:space="preserve"> kings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and Argišti</w:t>
      </w:r>
      <w:r w:rsidR="003A0DA8" w:rsidRPr="00F03A26">
        <w:rPr>
          <w:rFonts w:asciiTheme="majorBidi" w:eastAsia="Calibri" w:hAnsiTheme="majorBidi" w:cstheme="majorBidi"/>
        </w:rPr>
        <w:t xml:space="preserve"> </w:t>
      </w:r>
      <w:r w:rsidRPr="00F03A26">
        <w:rPr>
          <w:rFonts w:asciiTheme="majorBidi" w:eastAsia="Calibri" w:hAnsiTheme="majorBidi" w:cstheme="majorBidi"/>
        </w:rPr>
        <w:t>I</w:t>
      </w:r>
      <w:r w:rsidR="001F2587">
        <w:rPr>
          <w:rFonts w:asciiTheme="majorBidi" w:eastAsia="Calibr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were found about 1 kilometer to the northeast of Ṭušpa citadel (Belli, 1983</w:t>
      </w:r>
      <w:r w:rsidR="003A0DA8" w:rsidRPr="00F03A26">
        <w:rPr>
          <w:rFonts w:asciiTheme="majorBidi" w:eastAsia="Calibri" w:hAnsiTheme="majorBidi" w:cstheme="majorBidi"/>
        </w:rPr>
        <w:t xml:space="preserve">: </w:t>
      </w:r>
      <w:r w:rsidRPr="00F03A26">
        <w:rPr>
          <w:rFonts w:asciiTheme="majorBidi" w:eastAsia="Calibri" w:hAnsiTheme="majorBidi" w:cstheme="majorBidi"/>
        </w:rPr>
        <w:t>361-371). However, the precise borders of the Urartian capital Ṭušpa</w:t>
      </w:r>
      <w:r w:rsidRPr="00F03A26">
        <w:rPr>
          <w:rFonts w:asciiTheme="majorBidi" w:eastAsia="Calibri" w:hAnsiTheme="majorBidi" w:cstheme="majorBidi"/>
          <w:i/>
          <w:iCs/>
        </w:rPr>
        <w:t xml:space="preserve">, </w:t>
      </w:r>
      <w:r w:rsidRPr="00F03A26">
        <w:rPr>
          <w:rFonts w:asciiTheme="majorBidi" w:eastAsia="Calibri" w:hAnsiTheme="majorBidi" w:cstheme="majorBidi"/>
        </w:rPr>
        <w:t>inhabited today by the modern city of Van, can only be detected through further scientific research.</w:t>
      </w:r>
    </w:p>
    <w:p w14:paraId="66D7D8BD" w14:textId="58DECF55" w:rsidR="00F40E43" w:rsidRPr="00F03A26" w:rsidRDefault="00F40E43" w:rsidP="00F03A26">
      <w:pPr>
        <w:keepNext/>
        <w:keepLines/>
        <w:spacing w:before="360" w:after="120" w:line="276" w:lineRule="auto"/>
        <w:jc w:val="both"/>
        <w:outlineLvl w:val="1"/>
        <w:rPr>
          <w:rFonts w:asciiTheme="majorBidi" w:eastAsia="Calibri" w:hAnsiTheme="majorBidi" w:cstheme="majorBidi"/>
          <w:lang w:val="en-GB"/>
        </w:rPr>
      </w:pPr>
      <w:bookmarkStart w:id="17" w:name="_Toc132072507"/>
      <w:bookmarkStart w:id="18" w:name="_Toc173231188"/>
      <w:r w:rsidRPr="00F03A26">
        <w:rPr>
          <w:rFonts w:asciiTheme="majorBidi" w:eastAsia="Arial" w:hAnsiTheme="majorBidi" w:cstheme="majorBidi"/>
          <w:b/>
          <w:sz w:val="28"/>
          <w:szCs w:val="28"/>
          <w:lang w:val="en-GB" w:eastAsia="tr-TR" w:bidi="he-IL"/>
        </w:rPr>
        <w:t xml:space="preserve">2.4. First Indication of </w:t>
      </w:r>
      <w:r w:rsidRPr="00F03A26">
        <w:rPr>
          <w:rFonts w:asciiTheme="majorBidi" w:eastAsia="Arial" w:hAnsiTheme="majorBidi" w:cstheme="majorBidi"/>
          <w:b/>
          <w:iCs/>
          <w:sz w:val="28"/>
          <w:szCs w:val="28"/>
          <w:lang w:val="en-GB" w:eastAsia="tr-TR" w:bidi="he-IL"/>
        </w:rPr>
        <w:t>Ṭušpa</w:t>
      </w:r>
      <w:r w:rsidRPr="00F03A26">
        <w:rPr>
          <w:rFonts w:asciiTheme="majorBidi" w:eastAsia="Arial" w:hAnsiTheme="majorBidi" w:cstheme="majorBidi"/>
          <w:b/>
          <w:sz w:val="28"/>
          <w:szCs w:val="28"/>
          <w:lang w:val="en-GB" w:eastAsia="tr-TR" w:bidi="he-IL"/>
        </w:rPr>
        <w:t xml:space="preserve"> in the Urartian</w:t>
      </w:r>
      <w:r w:rsidRPr="00F03A26">
        <w:rPr>
          <w:rFonts w:asciiTheme="majorBidi" w:eastAsia="Arial" w:hAnsiTheme="majorBidi" w:cstheme="majorBidi"/>
          <w:b/>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"Urartian" </w:instrText>
      </w:r>
      <w:r w:rsidRPr="00F03A26">
        <w:rPr>
          <w:rFonts w:asciiTheme="majorBidi" w:eastAsia="Arial" w:hAnsiTheme="majorBidi" w:cstheme="majorBidi"/>
          <w:b/>
          <w:sz w:val="28"/>
          <w:szCs w:val="28"/>
          <w:lang w:val="en-GB" w:eastAsia="tr-TR" w:bidi="he-IL"/>
        </w:rPr>
        <w:fldChar w:fldCharType="end"/>
      </w:r>
      <w:r w:rsidRPr="00F03A26">
        <w:rPr>
          <w:rFonts w:asciiTheme="majorBidi" w:eastAsia="Arial" w:hAnsiTheme="majorBidi" w:cstheme="majorBidi"/>
          <w:b/>
          <w:sz w:val="28"/>
          <w:szCs w:val="28"/>
          <w:lang w:val="en-GB" w:eastAsia="tr-TR" w:bidi="he-IL"/>
        </w:rPr>
        <w:t xml:space="preserve"> Inscriptions: The co-regency of </w:t>
      </w:r>
      <w:r w:rsidRPr="00F03A26">
        <w:rPr>
          <w:rFonts w:asciiTheme="majorBidi" w:eastAsia="Arial" w:hAnsiTheme="majorBidi" w:cstheme="majorBidi"/>
          <w:b/>
          <w:iCs/>
          <w:sz w:val="28"/>
          <w:szCs w:val="28"/>
          <w:lang w:val="en-GB" w:eastAsia="tr-TR" w:bidi="he-IL"/>
        </w:rPr>
        <w:t>Išpuini</w:t>
      </w:r>
      <w:r w:rsidRPr="00F03A26">
        <w:rPr>
          <w:rFonts w:asciiTheme="majorBidi" w:eastAsia="Arial" w:hAnsiTheme="majorBidi" w:cstheme="majorBidi"/>
          <w:b/>
          <w:iCs/>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w:instrText>
      </w:r>
      <w:r w:rsidRPr="00F03A26">
        <w:rPr>
          <w:rFonts w:asciiTheme="majorBidi" w:eastAsia="Calibri" w:hAnsiTheme="majorBidi" w:cstheme="majorBidi"/>
          <w:iCs/>
          <w:sz w:val="28"/>
          <w:szCs w:val="28"/>
          <w:lang w:val="en-GB"/>
        </w:rPr>
        <w:instrText>Išpuini</w:instrText>
      </w:r>
      <w:r w:rsidRPr="00F03A26">
        <w:rPr>
          <w:rFonts w:asciiTheme="majorBidi" w:eastAsia="Calibri" w:hAnsiTheme="majorBidi" w:cstheme="majorBidi"/>
          <w:sz w:val="28"/>
          <w:szCs w:val="28"/>
          <w:lang w:val="en-GB"/>
        </w:rPr>
        <w:instrText xml:space="preserve">" </w:instrText>
      </w:r>
      <w:r w:rsidRPr="00F03A26">
        <w:rPr>
          <w:rFonts w:asciiTheme="majorBidi" w:eastAsia="Arial" w:hAnsiTheme="majorBidi" w:cstheme="majorBidi"/>
          <w:b/>
          <w:iCs/>
          <w:sz w:val="28"/>
          <w:szCs w:val="28"/>
          <w:lang w:val="en-GB" w:eastAsia="tr-TR" w:bidi="he-IL"/>
        </w:rPr>
        <w:fldChar w:fldCharType="end"/>
      </w:r>
      <w:r w:rsidRPr="00F03A26">
        <w:rPr>
          <w:rFonts w:asciiTheme="majorBidi" w:eastAsia="Arial" w:hAnsiTheme="majorBidi" w:cstheme="majorBidi"/>
          <w:b/>
          <w:iCs/>
          <w:sz w:val="28"/>
          <w:szCs w:val="28"/>
          <w:lang w:val="en-GB" w:eastAsia="tr-TR" w:bidi="he-IL"/>
        </w:rPr>
        <w:t xml:space="preserve"> </w:t>
      </w:r>
      <w:r w:rsidRPr="00F03A26">
        <w:rPr>
          <w:rFonts w:asciiTheme="majorBidi" w:eastAsia="Arial" w:hAnsiTheme="majorBidi" w:cstheme="majorBidi"/>
          <w:b/>
          <w:sz w:val="28"/>
          <w:szCs w:val="28"/>
          <w:lang w:val="en-GB" w:eastAsia="tr-TR" w:bidi="he-IL"/>
        </w:rPr>
        <w:t xml:space="preserve">and his Son </w:t>
      </w:r>
      <w:r w:rsidRPr="00F03A26">
        <w:rPr>
          <w:rFonts w:asciiTheme="majorBidi" w:eastAsia="Arial" w:hAnsiTheme="majorBidi" w:cstheme="majorBidi"/>
          <w:b/>
          <w:iCs/>
          <w:sz w:val="28"/>
          <w:szCs w:val="28"/>
          <w:lang w:val="en-GB" w:eastAsia="tr-TR" w:bidi="he-IL"/>
        </w:rPr>
        <w:t>Minua</w:t>
      </w:r>
      <w:bookmarkEnd w:id="17"/>
      <w:bookmarkEnd w:id="18"/>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"Minua" </w:instrText>
      </w:r>
      <w:r w:rsidRPr="00F03A26">
        <w:rPr>
          <w:rFonts w:asciiTheme="majorBidi" w:eastAsia="Calibri" w:hAnsiTheme="majorBidi" w:cstheme="majorBidi"/>
          <w:lang w:val="en-GB"/>
        </w:rPr>
        <w:fldChar w:fldCharType="end"/>
      </w:r>
    </w:p>
    <w:p w14:paraId="01A2C2ED" w14:textId="501FEA98" w:rsidR="00F40E43" w:rsidRPr="00F03A26" w:rsidRDefault="00F40E43"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lastRenderedPageBreak/>
        <w:t>A group of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inscriptions indicate the name of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along with his son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These inscriptions are suggested to be dating to the end of the reign of Išpuini, and this period is known as the 'father-son, co-regency period' of the Urartian kingdom</w:t>
      </w:r>
      <w:r w:rsidR="00172E00" w:rsidRPr="00F03A26">
        <w:rPr>
          <w:rStyle w:val="DipnotBavurusu"/>
          <w:rFonts w:asciiTheme="majorBidi" w:eastAsia="Calibri" w:hAnsiTheme="majorBidi" w:cstheme="majorBidi"/>
        </w:rPr>
        <w:footnoteReference w:id="9"/>
      </w:r>
      <w:r w:rsidRPr="00F03A26">
        <w:rPr>
          <w:rFonts w:asciiTheme="majorBidi" w:eastAsia="Calibri" w:hAnsiTheme="majorBidi" w:cstheme="majorBidi"/>
        </w:rPr>
        <w:t>. In addition to these two kings, several other Urartian inscriptions also incorporate the name of Inušpua</w:t>
      </w:r>
      <w:r w:rsidR="004B0374">
        <w:rPr>
          <w:rFonts w:asciiTheme="majorBidi" w:eastAsia="Calibri" w:hAnsiTheme="majorBidi" w:cstheme="majorBidi"/>
        </w:rPr>
        <w:fldChar w:fldCharType="begin"/>
      </w:r>
      <w:r w:rsidR="004B0374">
        <w:instrText xml:space="preserve"> XE "</w:instrText>
      </w:r>
      <w:r w:rsidR="004B0374" w:rsidRPr="00AB28D0">
        <w:rPr>
          <w:rFonts w:ascii="Times New Roman" w:hAnsi="Times New Roman"/>
          <w:lang w:val="en-GB"/>
        </w:rPr>
        <w:instrText>Inušpua</w:instrText>
      </w:r>
      <w:r w:rsidR="004B0374">
        <w:instrText xml:space="preserve">" </w:instrText>
      </w:r>
      <w:r w:rsidR="004B0374">
        <w:rPr>
          <w:rFonts w:asciiTheme="majorBidi" w:eastAsia="Calibri" w:hAnsiTheme="majorBidi" w:cstheme="majorBidi"/>
        </w:rPr>
        <w:fldChar w:fldCharType="end"/>
      </w:r>
      <w:r w:rsidRPr="00F03A26">
        <w:rPr>
          <w:rFonts w:asciiTheme="majorBidi" w:eastAsia="Calibri" w:hAnsiTheme="majorBidi" w:cstheme="majorBidi"/>
        </w:rPr>
        <w:t>, about whom we do not have much information to date but is thought to be the son of Minua</w:t>
      </w:r>
      <w:r w:rsidR="00172E00" w:rsidRPr="00F03A26">
        <w:rPr>
          <w:rStyle w:val="DipnotBavurusu"/>
          <w:rFonts w:asciiTheme="majorBidi" w:eastAsia="Calibri" w:hAnsiTheme="majorBidi" w:cstheme="majorBidi"/>
        </w:rPr>
        <w:footnoteReference w:id="10"/>
      </w:r>
      <w:r w:rsidRPr="00F03A26">
        <w:rPr>
          <w:rFonts w:asciiTheme="majorBidi" w:eastAsia="Calibri" w:hAnsiTheme="majorBidi" w:cstheme="majorBidi"/>
        </w:rPr>
        <w:t>. Based on the inscriptions recovered so far, the name of Ṭušpa was first mentioned during the co-regency of Išpuini</w:t>
      </w:r>
      <w:r w:rsidR="00172E00" w:rsidRPr="00F03A26">
        <w:rPr>
          <w:rFonts w:asciiTheme="majorBidi" w:eastAsia="Calibri" w:hAnsiTheme="majorBidi" w:cstheme="majorBidi"/>
        </w:rPr>
        <w:t xml:space="preserve"> </w:t>
      </w:r>
      <w:r w:rsidRPr="00F03A26">
        <w:rPr>
          <w:rFonts w:asciiTheme="majorBidi" w:eastAsia="Calibri" w:hAnsiTheme="majorBidi" w:cstheme="majorBidi"/>
        </w:rPr>
        <w:t>and his son Minua</w:t>
      </w:r>
      <w:r w:rsidR="00172E00" w:rsidRPr="00F03A26">
        <w:rPr>
          <w:rStyle w:val="DipnotBavurusu"/>
          <w:rFonts w:asciiTheme="majorBidi" w:eastAsia="Calibri" w:hAnsiTheme="majorBidi" w:cstheme="majorBidi"/>
        </w:rPr>
        <w:footnoteReference w:id="11"/>
      </w:r>
      <w:r w:rsidRPr="00F03A26">
        <w:rPr>
          <w:rFonts w:asciiTheme="majorBidi" w:eastAsia="Calibri" w:hAnsiTheme="majorBidi" w:cstheme="majorBidi"/>
        </w:rPr>
        <w:t>. Among these inscriptions, the Urartian pantheon listed on the Meher Kapı inscription provides insights into the name of the city of Ṭušpa. This inscription mentions the three major sacred cities and the number of animals to be sacrificed for their gods. These cities are Ardini (in Assyrian</w:t>
      </w:r>
      <w:r w:rsidR="001F2587">
        <w:rPr>
          <w:rFonts w:asciiTheme="majorBidi" w:eastAsia="Calibr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w:t>
      </w:r>
      <w:r w:rsidRPr="007256E1">
        <w:rPr>
          <w:rFonts w:asciiTheme="majorBidi" w:eastAsia="Calibri" w:hAnsiTheme="majorBidi" w:cstheme="majorBidi"/>
        </w:rPr>
        <w:t>Muṣaṣir</w:t>
      </w:r>
      <w:r w:rsidRPr="00F03A26">
        <w:rPr>
          <w:rFonts w:asciiTheme="majorBidi" w:eastAsia="Calibri" w:hAnsiTheme="majorBidi" w:cstheme="majorBidi"/>
        </w:rPr>
        <w:t xml:space="preserve">), Qumenu (in Assyrian </w:t>
      </w:r>
      <w:r w:rsidRPr="007256E1">
        <w:rPr>
          <w:rFonts w:asciiTheme="majorBidi" w:eastAsia="Calibri" w:hAnsiTheme="majorBidi" w:cstheme="majorBidi"/>
        </w:rPr>
        <w:t>Kumme</w:t>
      </w:r>
      <w:r w:rsidRPr="00F03A26">
        <w:rPr>
          <w:rFonts w:asciiTheme="majorBidi" w:eastAsia="Calibri" w:hAnsiTheme="majorBidi" w:cstheme="majorBidi"/>
        </w:rPr>
        <w:t xml:space="preserve">), and Ṭušpa, respectively. The text incorporates, </w:t>
      </w:r>
      <w:r w:rsidR="00FD3038">
        <w:rPr>
          <w:rFonts w:asciiTheme="majorBidi" w:eastAsia="Calibri" w:hAnsiTheme="majorBidi" w:cstheme="majorBidi"/>
        </w:rPr>
        <w:t>‘</w:t>
      </w:r>
      <w:r w:rsidRPr="00F03A26">
        <w:rPr>
          <w:rFonts w:asciiTheme="majorBidi" w:eastAsia="Calibri" w:hAnsiTheme="majorBidi" w:cstheme="majorBidi"/>
        </w:rPr>
        <w:t>Two sheep and cattle should be sacrificed for the god of the city of Ṭušpa</w:t>
      </w:r>
      <w:r w:rsidR="00FD3038">
        <w:rPr>
          <w:rFonts w:asciiTheme="majorBidi" w:eastAsia="Calibri" w:hAnsiTheme="majorBidi" w:cstheme="majorBidi"/>
        </w:rPr>
        <w:t>’</w:t>
      </w:r>
      <w:r w:rsidRPr="00F03A26">
        <w:rPr>
          <w:rFonts w:asciiTheme="majorBidi" w:eastAsia="Calibri" w:hAnsiTheme="majorBidi" w:cstheme="majorBidi"/>
        </w:rPr>
        <w:t xml:space="preserve"> (CTU I. A 3-1, 14, 56). The god of the city of Ṭušpa</w:t>
      </w:r>
      <w:r w:rsidRPr="00F03A26">
        <w:rPr>
          <w:rFonts w:asciiTheme="majorBidi" w:eastAsia="Calibri" w:hAnsiTheme="majorBidi" w:cstheme="majorBidi"/>
          <w:i/>
          <w:iCs/>
        </w:rPr>
        <w:t xml:space="preserve"> </w:t>
      </w:r>
      <w:r w:rsidRPr="00F03A26">
        <w:rPr>
          <w:rFonts w:asciiTheme="majorBidi" w:eastAsia="Calibri" w:hAnsiTheme="majorBidi" w:cstheme="majorBidi"/>
        </w:rPr>
        <w:t>is suggested to be the sun god Šiuini (Salvini, 2006, p. 199). This should be related to the association of three Urartian cities mentioned in the Meher Kapı inscription with the three major Urartian deities (Ardini=Ḫaldi, Qumenu=Teišeba, Ṭušpa=Šiuini?). The Meher Kapı inscription also indicates the sacrificing of a cow (GU4.ÁB) for goddess Dṭušpuea (CTU I. A 3-1, 21, 68-69). The goddess Ṭušpuea is among the consorts of the three major Urartian gods in the Meher Kapı inscription: Arubani=Ḫaldi, Baba=Teišeba, Ṭušpuea=Šiuini. Due to this association, as well as the similarities of the names, it is suggested that Ṭušpuea was the goddess of the city of Ṭušpa</w:t>
      </w:r>
      <w:r w:rsidR="001F1A53" w:rsidRPr="00F03A26">
        <w:rPr>
          <w:rFonts w:asciiTheme="majorBidi" w:eastAsia="Calibri" w:hAnsiTheme="majorBidi" w:cstheme="majorBidi"/>
        </w:rPr>
        <w:t xml:space="preserve"> </w:t>
      </w:r>
      <w:r w:rsidRPr="00F03A26">
        <w:rPr>
          <w:rFonts w:asciiTheme="majorBidi" w:eastAsia="Calibri" w:hAnsiTheme="majorBidi" w:cstheme="majorBidi"/>
        </w:rPr>
        <w:t xml:space="preserve">(Çilingiroğlu, 1997: 161). This association is related to the similarities of the names and the god-goddess names ranked in the Meher Kapı inscription. Such an association between Ṭušpa=Ṭušpuea would also explain why the name of Ṭušpa was not given to new cities/fortresses built by the Urartian kings (e.g., </w:t>
      </w:r>
      <w:r w:rsidRPr="007256E1">
        <w:rPr>
          <w:rFonts w:asciiTheme="majorBidi" w:eastAsia="Calibri" w:hAnsiTheme="majorBidi" w:cstheme="majorBidi"/>
        </w:rPr>
        <w:t>Minuaḫinili</w:t>
      </w:r>
      <w:r w:rsidR="00302238">
        <w:rPr>
          <w:rFonts w:asciiTheme="majorBidi" w:eastAsia="Calibri" w:hAnsiTheme="majorBidi" w:cstheme="majorBidi"/>
        </w:rPr>
        <w:fldChar w:fldCharType="begin"/>
      </w:r>
      <w:r w:rsidR="00302238">
        <w:instrText xml:space="preserve"> XE "</w:instrText>
      </w:r>
      <w:r w:rsidR="00302238" w:rsidRPr="00CD50BC">
        <w:rPr>
          <w:rFonts w:asciiTheme="majorBidi" w:eastAsia="Calibri" w:hAnsiTheme="majorBidi" w:cstheme="majorBidi"/>
        </w:rPr>
        <w:instrText>Minuaḫinili</w:instrText>
      </w:r>
      <w:r w:rsidR="00302238">
        <w:instrText xml:space="preserve">" </w:instrText>
      </w:r>
      <w:r w:rsidR="00302238">
        <w:rPr>
          <w:rFonts w:asciiTheme="majorBidi" w:eastAsia="Calibri" w:hAnsiTheme="majorBidi" w:cstheme="majorBidi"/>
        </w:rPr>
        <w:fldChar w:fldCharType="end"/>
      </w:r>
      <w:r w:rsidRPr="007256E1">
        <w:rPr>
          <w:rFonts w:asciiTheme="majorBidi" w:eastAsia="Calibri" w:hAnsiTheme="majorBidi" w:cstheme="majorBidi"/>
        </w:rPr>
        <w:t>, Rusaḫinili</w:t>
      </w:r>
      <w:r w:rsidR="00302238">
        <w:rPr>
          <w:rFonts w:asciiTheme="majorBidi" w:eastAsia="Calibri" w:hAnsiTheme="majorBidi" w:cstheme="majorBidi"/>
        </w:rPr>
        <w:fldChar w:fldCharType="begin"/>
      </w:r>
      <w:r w:rsidR="00302238">
        <w:instrText xml:space="preserve"> XE "</w:instrText>
      </w:r>
      <w:r w:rsidR="00302238" w:rsidRPr="00BE26A4">
        <w:rPr>
          <w:rFonts w:asciiTheme="majorBidi" w:eastAsia="Calibri" w:hAnsiTheme="majorBidi" w:cstheme="majorBidi"/>
        </w:rPr>
        <w:instrText>Rusaḫinili</w:instrText>
      </w:r>
      <w:r w:rsidR="00302238">
        <w:instrText xml:space="preserve">" </w:instrText>
      </w:r>
      <w:r w:rsidR="00302238">
        <w:rPr>
          <w:rFonts w:asciiTheme="majorBidi" w:eastAsia="Calibri" w:hAnsiTheme="majorBidi" w:cstheme="majorBidi"/>
        </w:rPr>
        <w:fldChar w:fldCharType="end"/>
      </w:r>
      <w:r w:rsidRPr="00F03A26">
        <w:rPr>
          <w:rFonts w:asciiTheme="majorBidi" w:eastAsia="Calibri" w:hAnsiTheme="majorBidi" w:cstheme="majorBidi"/>
        </w:rPr>
        <w:t>). At this point, it would be plausible to suggest that Ṭušpa was a center already associated with a local goddess before the kingdom's establishment. With the formation of the Urartian state, the local deity of Ṭušpa should have been incorporated into the flexible pantheon of Urartu. It is known that the Urartian kings dedicated temples to God Ḫaldi</w:t>
      </w:r>
      <w:r w:rsidR="00C1513A">
        <w:rPr>
          <w:rFonts w:asciiTheme="majorBidi" w:eastAsia="Calibri" w:hAnsiTheme="majorBidi" w:cstheme="majorBidi"/>
        </w:rPr>
        <w:fldChar w:fldCharType="begin"/>
      </w:r>
      <w:r w:rsidR="00C1513A">
        <w:instrText xml:space="preserve"> XE "</w:instrText>
      </w:r>
      <w:r w:rsidR="00C1513A" w:rsidRPr="009F22E3">
        <w:rPr>
          <w:rFonts w:asciiTheme="majorBidi" w:eastAsia="Times New Roman" w:hAnsiTheme="majorBidi" w:cstheme="majorBidi"/>
          <w:lang w:val="en-GB"/>
        </w:rPr>
        <w:instrText>God Ḫaldi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but also the local deities of the conquered areas or the newly established centers</w:t>
      </w:r>
      <w:r w:rsidR="00172E00" w:rsidRPr="00F03A26">
        <w:rPr>
          <w:rStyle w:val="DipnotBavurusu"/>
          <w:rFonts w:asciiTheme="majorBidi" w:eastAsia="Calibri" w:hAnsiTheme="majorBidi" w:cstheme="majorBidi"/>
        </w:rPr>
        <w:footnoteReference w:id="12"/>
      </w:r>
      <w:r w:rsidRPr="00F03A26">
        <w:rPr>
          <w:rFonts w:asciiTheme="majorBidi" w:eastAsia="Calibri" w:hAnsiTheme="majorBidi" w:cstheme="majorBidi"/>
        </w:rPr>
        <w:t xml:space="preserve">. A similar </w:t>
      </w:r>
      <w:r w:rsidRPr="00F03A26">
        <w:rPr>
          <w:rFonts w:asciiTheme="majorBidi" w:eastAsia="Calibri" w:hAnsiTheme="majorBidi" w:cstheme="majorBidi"/>
        </w:rPr>
        <w:lastRenderedPageBreak/>
        <w:t>case should be valid for Ṭušpa as well. It is, therefore, plausible to expect that cult areas for Tušpuea and her consort, the sun god Šiuini, were also built in the fortress.</w:t>
      </w:r>
    </w:p>
    <w:p w14:paraId="5C1C9FAA" w14:textId="7D88D7EC" w:rsidR="00F40E43" w:rsidRPr="00F03A26" w:rsidRDefault="00F40E43" w:rsidP="00F03A26">
      <w:pPr>
        <w:spacing w:before="100" w:beforeAutospacing="1" w:after="100" w:afterAutospacing="1" w:line="276" w:lineRule="auto"/>
        <w:jc w:val="both"/>
        <w:rPr>
          <w:rFonts w:asciiTheme="majorBidi" w:eastAsia="Calibri" w:hAnsiTheme="majorBidi" w:cstheme="majorBidi"/>
        </w:rPr>
      </w:pPr>
      <w:r w:rsidRPr="007256E1">
        <w:rPr>
          <w:rFonts w:asciiTheme="majorBidi" w:eastAsia="Calibri" w:hAnsiTheme="majorBidi" w:cstheme="majorBidi"/>
        </w:rPr>
        <w:t xml:space="preserve">The expression of MAN KURbiainaúe alusi </w:t>
      </w:r>
      <w:r w:rsidRPr="007256E1">
        <w:rPr>
          <w:rFonts w:asciiTheme="majorBidi" w:eastAsia="Calibri" w:hAnsiTheme="majorBidi" w:cstheme="majorBidi"/>
          <w:vertAlign w:val="superscript"/>
        </w:rPr>
        <w:t>URU</w:t>
      </w:r>
      <w:r w:rsidRPr="007256E1">
        <w:rPr>
          <w:rFonts w:asciiTheme="majorBidi" w:eastAsia="Calibri" w:hAnsiTheme="majorBidi" w:cstheme="majorBidi"/>
        </w:rPr>
        <w:t>ṭušpaURU = King of the Biainili Lan</w:t>
      </w:r>
      <w:r w:rsidRPr="00F03A26">
        <w:rPr>
          <w:rFonts w:asciiTheme="majorBidi" w:eastAsia="Calibri" w:hAnsiTheme="majorBidi" w:cstheme="majorBidi"/>
        </w:rPr>
        <w:t>d, ruler of the Ṭušpa city' in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is prominent in the inscriptions dating to the co-regency of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and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This expression later became a common royal denotation for all Urartian kings. In the two inscriptions where we see this expression, the name of Išpuini goes together with Minua. However, this denotation refers only to Išpuini</w:t>
      </w:r>
      <w:r w:rsidR="00172E00" w:rsidRPr="00F03A26">
        <w:rPr>
          <w:rStyle w:val="DipnotBavurusu"/>
          <w:rFonts w:asciiTheme="majorBidi" w:eastAsia="Calibri" w:hAnsiTheme="majorBidi" w:cstheme="majorBidi"/>
        </w:rPr>
        <w:footnoteReference w:id="13"/>
      </w:r>
      <w:r w:rsidRPr="00F03A26">
        <w:rPr>
          <w:rFonts w:asciiTheme="majorBidi" w:eastAsia="Calibri" w:hAnsiTheme="majorBidi" w:cstheme="majorBidi"/>
        </w:rPr>
        <w:t>, and one can suggest that its use started during his reign. The inscriptions dating to the joint administration period also give information about the forced population movements from different lands and tribes to the city of Ṭušpa during the military campaigns of the Urartian kings</w:t>
      </w:r>
      <w:r w:rsidR="00172E00" w:rsidRPr="00F03A26">
        <w:rPr>
          <w:rStyle w:val="DipnotBavurusu"/>
          <w:rFonts w:asciiTheme="majorBidi" w:eastAsia="Calibri" w:hAnsiTheme="majorBidi" w:cstheme="majorBidi"/>
        </w:rPr>
        <w:footnoteReference w:id="14"/>
      </w:r>
      <w:r w:rsidRPr="00F03A26">
        <w:rPr>
          <w:rFonts w:asciiTheme="majorBidi" w:eastAsia="Calibri" w:hAnsiTheme="majorBidi" w:cstheme="majorBidi"/>
        </w:rPr>
        <w:t>. In the Surp Boğos Church</w:t>
      </w:r>
      <w:r w:rsidR="00E652FB">
        <w:rPr>
          <w:rFonts w:asciiTheme="majorBidi" w:eastAsia="Calibri" w:hAnsiTheme="majorBidi" w:cstheme="majorBidi"/>
        </w:rPr>
        <w:fldChar w:fldCharType="begin"/>
      </w:r>
      <w:r w:rsidR="00E652FB">
        <w:instrText xml:space="preserve"> XE "</w:instrText>
      </w:r>
      <w:r w:rsidR="00E652FB" w:rsidRPr="00BA712F">
        <w:rPr>
          <w:rFonts w:asciiTheme="majorBidi" w:hAnsiTheme="majorBidi" w:cstheme="majorBidi"/>
        </w:rPr>
        <w:instrText>Surp Boğos Church</w:instrText>
      </w:r>
      <w:r w:rsidR="00E652FB">
        <w:instrText xml:space="preserve">" </w:instrText>
      </w:r>
      <w:r w:rsidR="00E652FB">
        <w:rPr>
          <w:rFonts w:asciiTheme="majorBidi" w:eastAsia="Calibri" w:hAnsiTheme="majorBidi" w:cstheme="majorBidi"/>
        </w:rPr>
        <w:fldChar w:fldCharType="end"/>
      </w:r>
      <w:r w:rsidRPr="00F03A26">
        <w:rPr>
          <w:rFonts w:asciiTheme="majorBidi" w:eastAsia="Calibri" w:hAnsiTheme="majorBidi" w:cstheme="majorBidi"/>
        </w:rPr>
        <w:t xml:space="preserve"> and Karagündüz inscriptions, the deported populations are referred to as úedia. </w:t>
      </w:r>
      <w:r w:rsidR="00270549" w:rsidRPr="00270549">
        <w:rPr>
          <w:rFonts w:asciiTheme="majorBidi" w:eastAsia="Calibri" w:hAnsiTheme="majorBidi" w:cstheme="majorBidi"/>
        </w:rPr>
        <w:t>"</w:t>
      </w:r>
      <w:r w:rsidRPr="00F03A26">
        <w:rPr>
          <w:rFonts w:asciiTheme="majorBidi" w:eastAsia="Calibri" w:hAnsiTheme="majorBidi" w:cstheme="majorBidi"/>
        </w:rPr>
        <w:t>úedia</w:t>
      </w:r>
      <w:r w:rsidR="00270549" w:rsidRPr="00270549">
        <w:rPr>
          <w:rFonts w:asciiTheme="majorBidi" w:eastAsia="Calibri" w:hAnsiTheme="majorBidi" w:cstheme="majorBidi"/>
        </w:rPr>
        <w:t>"</w:t>
      </w:r>
      <w:r w:rsidRPr="00F03A26">
        <w:rPr>
          <w:rFonts w:asciiTheme="majorBidi" w:eastAsia="Calibri" w:hAnsiTheme="majorBidi" w:cstheme="majorBidi"/>
        </w:rPr>
        <w:t xml:space="preserve"> or as reading </w:t>
      </w:r>
      <w:r w:rsidR="00270549" w:rsidRPr="00270549">
        <w:rPr>
          <w:rFonts w:asciiTheme="majorBidi" w:eastAsia="Calibri" w:hAnsiTheme="majorBidi" w:cstheme="majorBidi"/>
        </w:rPr>
        <w:t>"</w:t>
      </w:r>
      <w:r w:rsidRPr="00F03A26">
        <w:rPr>
          <w:rFonts w:asciiTheme="majorBidi" w:eastAsia="Calibri" w:hAnsiTheme="majorBidi" w:cstheme="majorBidi"/>
        </w:rPr>
        <w:t>wedia</w:t>
      </w:r>
      <w:r w:rsidR="00270549" w:rsidRPr="00270549">
        <w:rPr>
          <w:rFonts w:asciiTheme="majorBidi" w:eastAsia="Calibri" w:hAnsiTheme="majorBidi" w:cstheme="majorBidi"/>
        </w:rPr>
        <w:t>"</w:t>
      </w:r>
      <w:r w:rsidRPr="00F03A26">
        <w:rPr>
          <w:rFonts w:asciiTheme="majorBidi" w:eastAsia="Calibri" w:hAnsiTheme="majorBidi" w:cstheme="majorBidi"/>
          <w:i/>
          <w:iCs/>
        </w:rPr>
        <w:t xml:space="preserve"> </w:t>
      </w:r>
      <w:r w:rsidRPr="00F03A26">
        <w:rPr>
          <w:rFonts w:asciiTheme="majorBidi" w:eastAsia="Calibri" w:hAnsiTheme="majorBidi" w:cstheme="majorBidi"/>
        </w:rPr>
        <w:t>should be a term referring to the captive and exiled women (Çavuşoğlu, Işık, &amp; Gökce, 2014: 238-240). The inscriptions indicate that these women</w:t>
      </w:r>
      <w:r w:rsidR="00270549">
        <w:rPr>
          <w:rFonts w:asciiTheme="majorBidi" w:eastAsia="Calibri" w:hAnsiTheme="majorBidi" w:cstheme="majorBidi"/>
        </w:rPr>
        <w:t xml:space="preserve"> </w:t>
      </w:r>
      <w:r w:rsidRPr="00F03A26">
        <w:rPr>
          <w:rFonts w:asciiTheme="majorBidi" w:eastAsia="Calibri" w:hAnsiTheme="majorBidi" w:cstheme="majorBidi"/>
        </w:rPr>
        <w:t xml:space="preserve">' LÚúedia or </w:t>
      </w:r>
      <w:r w:rsidRPr="00F03A26">
        <w:rPr>
          <w:rFonts w:asciiTheme="majorBidi" w:eastAsia="Calibri" w:hAnsiTheme="majorBidi" w:cstheme="majorBidi"/>
          <w:vertAlign w:val="superscript"/>
        </w:rPr>
        <w:t>MUNUS</w:t>
      </w:r>
      <w:r w:rsidRPr="00F03A26">
        <w:rPr>
          <w:rFonts w:asciiTheme="majorBidi" w:eastAsia="Calibri" w:hAnsiTheme="majorBidi" w:cstheme="majorBidi"/>
        </w:rPr>
        <w:t xml:space="preserve">úedia' were brought to Ṭušpa to become a </w:t>
      </w:r>
      <w:r w:rsidR="00270549" w:rsidRPr="00270549">
        <w:rPr>
          <w:rFonts w:asciiTheme="majorBidi" w:eastAsia="Calibri" w:hAnsiTheme="majorBidi" w:cstheme="majorBidi"/>
        </w:rPr>
        <w:t>"</w:t>
      </w:r>
      <w:r w:rsidRPr="00F03A26">
        <w:rPr>
          <w:rFonts w:asciiTheme="majorBidi" w:eastAsia="Calibri" w:hAnsiTheme="majorBidi" w:cstheme="majorBidi"/>
        </w:rPr>
        <w:t>gurdari</w:t>
      </w:r>
      <w:r w:rsidR="00270549" w:rsidRPr="00270549">
        <w:rPr>
          <w:rFonts w:asciiTheme="majorBidi" w:eastAsia="Calibri" w:hAnsiTheme="majorBidi" w:cstheme="majorBidi"/>
        </w:rPr>
        <w:t>"</w:t>
      </w:r>
      <w:r w:rsidRPr="00F03A26">
        <w:rPr>
          <w:rFonts w:asciiTheme="majorBidi" w:eastAsia="Calibri" w:hAnsiTheme="majorBidi" w:cstheme="majorBidi"/>
        </w:rPr>
        <w:t xml:space="preserve">? For its </w:t>
      </w:r>
      <w:r w:rsidR="00270549" w:rsidRPr="00270549">
        <w:rPr>
          <w:rFonts w:asciiTheme="majorBidi" w:eastAsia="Calibri" w:hAnsiTheme="majorBidi" w:cstheme="majorBidi"/>
        </w:rPr>
        <w:t>"</w:t>
      </w:r>
      <w:r w:rsidRPr="00F03A26">
        <w:rPr>
          <w:rFonts w:asciiTheme="majorBidi" w:eastAsia="Calibri" w:hAnsiTheme="majorBidi" w:cstheme="majorBidi"/>
        </w:rPr>
        <w:t>ašiniei</w:t>
      </w:r>
      <w:r w:rsidR="00270549" w:rsidRPr="00270549">
        <w:rPr>
          <w:rFonts w:asciiTheme="majorBidi" w:eastAsia="Calibri" w:hAnsiTheme="majorBidi" w:cstheme="majorBidi"/>
        </w:rPr>
        <w:t>"</w:t>
      </w:r>
      <w:r w:rsidRPr="00F03A26">
        <w:rPr>
          <w:rFonts w:asciiTheme="majorBidi" w:eastAsia="Calibri" w:hAnsiTheme="majorBidi" w:cstheme="majorBidi"/>
        </w:rPr>
        <w:t xml:space="preserve">? These unknown words make it difficult to fully understand the purpose of their exile to the city of Ṭušpa. However, according to the Surp Boğos Church stelae, if the expressions in these inscriptions stand true […x] thousand 670 people were brought from the </w:t>
      </w:r>
      <w:r w:rsidRPr="007256E1">
        <w:rPr>
          <w:rFonts w:asciiTheme="majorBidi" w:eastAsia="Calibri" w:hAnsiTheme="majorBidi" w:cstheme="majorBidi"/>
        </w:rPr>
        <w:t>Etiu/Etiuḫi/Etiuni</w:t>
      </w:r>
      <w:r w:rsidR="00302238">
        <w:rPr>
          <w:rFonts w:asciiTheme="majorBidi" w:eastAsia="Calibri" w:hAnsiTheme="majorBidi" w:cstheme="majorBidi"/>
        </w:rPr>
        <w:fldChar w:fldCharType="begin"/>
      </w:r>
      <w:r w:rsidR="00302238">
        <w:instrText xml:space="preserve"> XE "</w:instrText>
      </w:r>
      <w:r w:rsidR="00302238" w:rsidRPr="00005D84">
        <w:rPr>
          <w:rFonts w:asciiTheme="majorBidi" w:eastAsia="Calibri" w:hAnsiTheme="majorBidi" w:cstheme="majorBidi"/>
        </w:rPr>
        <w:instrText>Etiu/Etiuḫi/Etiuni</w:instrText>
      </w:r>
      <w:r w:rsidR="00302238">
        <w:instrText xml:space="preserve">" </w:instrText>
      </w:r>
      <w:r w:rsidR="00302238">
        <w:rPr>
          <w:rFonts w:asciiTheme="majorBidi" w:eastAsia="Calibri" w:hAnsiTheme="majorBidi" w:cstheme="majorBidi"/>
        </w:rPr>
        <w:fldChar w:fldCharType="end"/>
      </w:r>
      <w:r w:rsidRPr="007256E1">
        <w:rPr>
          <w:rFonts w:asciiTheme="majorBidi" w:eastAsia="Calibri" w:hAnsiTheme="majorBidi" w:cstheme="majorBidi"/>
        </w:rPr>
        <w:t> tribes of Katarza, Luša and Witeruḫi in</w:t>
      </w:r>
      <w:r w:rsidRPr="00F03A26">
        <w:rPr>
          <w:rFonts w:asciiTheme="majorBidi" w:eastAsia="Calibri" w:hAnsiTheme="majorBidi" w:cstheme="majorBidi"/>
        </w:rPr>
        <w:t xml:space="preserve"> the north, while the Karagündüz stelae suggest that? Several LÚúedia were brought from the city of Mešta</w:t>
      </w:r>
      <w:r w:rsidRPr="00F03A26">
        <w:rPr>
          <w:rFonts w:asciiTheme="majorBidi" w:eastAsia="Calibri" w:hAnsiTheme="majorBidi" w:cstheme="majorBidi"/>
          <w:i/>
          <w:iCs/>
        </w:rPr>
        <w:t> </w:t>
      </w:r>
      <w:r w:rsidRPr="00F03A26">
        <w:rPr>
          <w:rFonts w:asciiTheme="majorBidi" w:eastAsia="Calibri" w:hAnsiTheme="majorBidi" w:cstheme="majorBidi"/>
        </w:rPr>
        <w:t>and the Land of Paršua in the south of Urmia lake. This indicates that different ethnic groups from the north and south of the Urartian kingdom were brought together in the city of Ṭušpa; hence, the city gained a cosmopolite structure. It has been suggested that reflections of the varied ethnic and religious structure of the city could be tracked from the rock-cut graves in the citadel and the different burial customs (e.g., inhumation, cremation, rock-cut, and urn graves) seen in the city's public necropolis in Kelepost/Altıntepe (Zimansky, 1995: 109-110; Sevin &amp; Özfırat, 2000: 219).</w:t>
      </w:r>
    </w:p>
    <w:p w14:paraId="512624FC"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 xml:space="preserve"> </w:t>
      </w:r>
    </w:p>
    <w:p w14:paraId="3F65AFE3" w14:textId="77C51477" w:rsidR="00F40E43" w:rsidRPr="00F03A26" w:rsidRDefault="00F40E43" w:rsidP="00F03A26">
      <w:pPr>
        <w:keepNext/>
        <w:keepLines/>
        <w:spacing w:before="360" w:after="120" w:line="276" w:lineRule="auto"/>
        <w:jc w:val="both"/>
        <w:outlineLvl w:val="1"/>
        <w:rPr>
          <w:rFonts w:asciiTheme="majorBidi" w:eastAsia="Arial" w:hAnsiTheme="majorBidi" w:cstheme="majorBidi"/>
          <w:b/>
          <w:sz w:val="28"/>
          <w:szCs w:val="28"/>
          <w:lang w:val="en-GB" w:eastAsia="tr-TR" w:bidi="he-IL"/>
        </w:rPr>
      </w:pPr>
      <w:bookmarkStart w:id="20" w:name="_Toc132072508"/>
      <w:bookmarkStart w:id="21" w:name="_Toc173231189"/>
      <w:r w:rsidRPr="00F03A26">
        <w:rPr>
          <w:rFonts w:asciiTheme="majorBidi" w:eastAsia="Arial" w:hAnsiTheme="majorBidi" w:cstheme="majorBidi"/>
          <w:b/>
          <w:sz w:val="28"/>
          <w:szCs w:val="28"/>
          <w:lang w:val="en-GB" w:eastAsia="tr-TR" w:bidi="he-IL"/>
        </w:rPr>
        <w:t xml:space="preserve">2.5. Designation of the </w:t>
      </w:r>
      <w:r w:rsidRPr="00F03A26">
        <w:rPr>
          <w:rFonts w:asciiTheme="majorBidi" w:eastAsia="Arial" w:hAnsiTheme="majorBidi" w:cstheme="majorBidi"/>
          <w:b/>
          <w:iCs/>
          <w:sz w:val="28"/>
          <w:szCs w:val="28"/>
          <w:lang w:val="en-GB" w:eastAsia="tr-TR" w:bidi="he-IL"/>
        </w:rPr>
        <w:t>Ṭušpa</w:t>
      </w:r>
      <w:r w:rsidRPr="00F03A26">
        <w:rPr>
          <w:rFonts w:asciiTheme="majorBidi" w:eastAsia="Arial" w:hAnsiTheme="majorBidi" w:cstheme="majorBidi"/>
          <w:b/>
          <w:sz w:val="28"/>
          <w:szCs w:val="28"/>
          <w:lang w:val="en-GB" w:eastAsia="tr-TR" w:bidi="he-IL"/>
        </w:rPr>
        <w:t xml:space="preserve"> Rock as the Citadel and the Reign of Minua</w:t>
      </w:r>
      <w:bookmarkEnd w:id="20"/>
      <w:bookmarkEnd w:id="21"/>
      <w:r w:rsidR="00C1513A">
        <w:rPr>
          <w:rFonts w:asciiTheme="majorBidi" w:eastAsia="Arial" w:hAnsiTheme="majorBidi" w:cstheme="majorBidi"/>
          <w:b/>
          <w:sz w:val="28"/>
          <w:szCs w:val="28"/>
          <w:lang w:val="en-GB" w:eastAsia="tr-TR" w:bidi="he-IL"/>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Arial" w:hAnsiTheme="majorBidi" w:cstheme="majorBidi"/>
          <w:b/>
          <w:sz w:val="28"/>
          <w:szCs w:val="28"/>
          <w:lang w:val="en-GB" w:eastAsia="tr-TR" w:bidi="he-IL"/>
        </w:rPr>
        <w:fldChar w:fldCharType="end"/>
      </w:r>
    </w:p>
    <w:p w14:paraId="3B197739" w14:textId="1F0525D4"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The enthronement process of Minua and the fate of his son Inušpua</w:t>
      </w:r>
      <w:r w:rsidR="004B0374">
        <w:rPr>
          <w:rFonts w:asciiTheme="majorBidi" w:eastAsia="Calibri" w:hAnsiTheme="majorBidi" w:cstheme="majorBidi"/>
          <w:lang w:val="en-GB"/>
        </w:rPr>
        <w:fldChar w:fldCharType="begin"/>
      </w:r>
      <w:r w:rsidR="004B0374">
        <w:instrText xml:space="preserve"> XE "</w:instrText>
      </w:r>
      <w:r w:rsidR="004B0374" w:rsidRPr="00AB28D0">
        <w:rPr>
          <w:rFonts w:ascii="Times New Roman" w:hAnsi="Times New Roman"/>
          <w:lang w:val="en-GB"/>
        </w:rPr>
        <w:instrText>Inušpua</w:instrText>
      </w:r>
      <w:r w:rsidR="004B0374">
        <w:instrText xml:space="preserve">" </w:instrText>
      </w:r>
      <w:r w:rsidR="004B0374">
        <w:rPr>
          <w:rFonts w:asciiTheme="majorBidi" w:eastAsia="Calibri" w:hAnsiTheme="majorBidi" w:cstheme="majorBidi"/>
          <w:lang w:val="en-GB"/>
        </w:rPr>
        <w:fldChar w:fldCharType="end"/>
      </w:r>
      <w:r w:rsidRPr="00F03A26">
        <w:rPr>
          <w:rFonts w:asciiTheme="majorBidi" w:eastAsia="Calibri" w:hAnsiTheme="majorBidi" w:cstheme="majorBidi"/>
          <w:lang w:val="en-GB"/>
        </w:rPr>
        <w:t> is one of the unknown, darker phases of the Urartian</w:t>
      </w:r>
      <w:r w:rsidR="00EA6C63">
        <w:rPr>
          <w:rFonts w:asciiTheme="majorBidi" w:eastAsia="Calibr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lang w:val="en-GB"/>
        </w:rPr>
        <w:fldChar w:fldCharType="end"/>
      </w:r>
      <w:r w:rsidRPr="00F03A26">
        <w:rPr>
          <w:rFonts w:asciiTheme="majorBidi" w:eastAsia="Calibri" w:hAnsiTheme="majorBidi" w:cstheme="majorBidi"/>
          <w:lang w:val="en-GB"/>
        </w:rPr>
        <w:t> history. To our knowledge, the Tabriz Kapı inscription is the only one where the names of Išpuini</w:t>
      </w:r>
      <w:r w:rsidR="00C1513A">
        <w:rPr>
          <w:rFonts w:asciiTheme="majorBidi" w:eastAsia="Calibri" w:hAnsiTheme="majorBidi" w:cstheme="majorBidi"/>
          <w:lang w:val="en-GB"/>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Minua, and </w:t>
      </w:r>
      <w:r w:rsidRPr="00F03A26">
        <w:rPr>
          <w:rFonts w:asciiTheme="majorBidi" w:eastAsia="Calibri" w:hAnsiTheme="majorBidi" w:cstheme="majorBidi"/>
          <w:lang w:val="en-GB"/>
        </w:rPr>
        <w:lastRenderedPageBreak/>
        <w:t xml:space="preserve">Inušpua are indicated. It is inscribed on a panel at the eastern edge of Ṭušpa citadel (CTU I. A 4-1) (Fig. 4). </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"Minua" </w:instrText>
      </w:r>
      <w:r w:rsidRPr="00F03A26">
        <w:rPr>
          <w:rFonts w:asciiTheme="majorBidi" w:eastAsia="Calibri" w:hAnsiTheme="majorBidi" w:cstheme="majorBidi"/>
          <w:lang w:val="en-GB"/>
        </w:rPr>
        <w:fldChar w:fldCharType="end"/>
      </w:r>
    </w:p>
    <w:p w14:paraId="5AFFA4CA"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drawing>
          <wp:inline distT="0" distB="0" distL="0" distR="0" wp14:anchorId="7CA758EC" wp14:editId="3B0B61C7">
            <wp:extent cx="4511040" cy="3007693"/>
            <wp:effectExtent l="0" t="0" r="3810" b="2540"/>
            <wp:docPr id="1282049461" name="Resim 2" descr="dış mekan, gökyüzü, dip kay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49461" name="Resim 2" descr="dış mekan, gökyüzü, dip kaya, dağ içeren bir resim&#10;&#10;Açıklama otomatik olarak oluşturuldu"/>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511040" cy="3007693"/>
                    </a:xfrm>
                    <a:prstGeom prst="rect">
                      <a:avLst/>
                    </a:prstGeom>
                    <a:noFill/>
                    <a:ln>
                      <a:noFill/>
                    </a:ln>
                  </pic:spPr>
                </pic:pic>
              </a:graphicData>
            </a:graphic>
          </wp:inline>
        </w:drawing>
      </w:r>
    </w:p>
    <w:p w14:paraId="1C61C67B"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4 Tabriz Kapı</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w:instrText>
      </w:r>
      <w:r w:rsidRPr="00F03A26">
        <w:rPr>
          <w:rFonts w:asciiTheme="majorBidi" w:eastAsia="Times New Roman" w:hAnsiTheme="majorBidi" w:cstheme="majorBidi"/>
          <w:lang w:val="en-GB"/>
        </w:rPr>
        <w:instrText>Tabriz Kapı</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Inscription.</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"Tabriz Kapı Inscription" </w:instrText>
      </w:r>
      <w:r w:rsidRPr="00F03A26">
        <w:rPr>
          <w:rFonts w:asciiTheme="majorBidi" w:eastAsia="Calibri" w:hAnsiTheme="majorBidi" w:cstheme="majorBidi"/>
          <w:lang w:val="en-GB"/>
        </w:rPr>
        <w:fldChar w:fldCharType="end"/>
      </w:r>
    </w:p>
    <w:p w14:paraId="6E082224" w14:textId="39BC7632" w:rsidR="00F40E43" w:rsidRPr="00F03A26" w:rsidRDefault="00F40E43"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 xml:space="preserve">The inscription is also essential for the localization of Ṭušpa. Indeed, none of the inscriptions found in or adjacent to the Ṭušpa citadel directly states that this outcrop or the citadel was named Ṭušpa. On the other hand, although no demonstrative pronouns were used, The Tabriz </w:t>
      </w:r>
      <w:r w:rsidRPr="007256E1">
        <w:rPr>
          <w:rFonts w:asciiTheme="majorBidi" w:eastAsia="Calibri" w:hAnsiTheme="majorBidi" w:cstheme="majorBidi"/>
        </w:rPr>
        <w:t xml:space="preserve">Kapı Inscription records some construction work at Ṭušpa. According to the inscription, a </w:t>
      </w:r>
      <w:r w:rsidR="00270549" w:rsidRPr="00270549">
        <w:rPr>
          <w:rFonts w:asciiTheme="majorBidi" w:eastAsia="Calibri" w:hAnsiTheme="majorBidi" w:cstheme="majorBidi"/>
        </w:rPr>
        <w:t>"</w:t>
      </w:r>
      <w:r w:rsidRPr="007256E1">
        <w:rPr>
          <w:rFonts w:asciiTheme="majorBidi" w:eastAsia="Calibri" w:hAnsiTheme="majorBidi" w:cstheme="majorBidi"/>
        </w:rPr>
        <w:t>susi</w:t>
      </w:r>
      <w:r w:rsidR="00270549" w:rsidRPr="00270549">
        <w:rPr>
          <w:rFonts w:asciiTheme="majorBidi" w:eastAsia="Calibri" w:hAnsiTheme="majorBidi" w:cstheme="majorBidi"/>
        </w:rPr>
        <w:t>"</w:t>
      </w:r>
      <w:r w:rsidR="00C1513A" w:rsidRPr="007256E1">
        <w:rPr>
          <w:rFonts w:asciiTheme="majorBidi" w:eastAsia="Calibri" w:hAnsiTheme="majorBidi" w:cstheme="majorBidi"/>
        </w:rPr>
        <w:fldChar w:fldCharType="begin"/>
      </w:r>
      <w:r w:rsidR="00C1513A" w:rsidRPr="007256E1">
        <w:instrText xml:space="preserve"> XE "</w:instrText>
      </w:r>
      <w:r w:rsidR="00C1513A" w:rsidRPr="007256E1">
        <w:rPr>
          <w:rFonts w:asciiTheme="majorBidi" w:eastAsia="Times New Roman" w:hAnsiTheme="majorBidi" w:cstheme="majorBidi"/>
          <w:lang w:val="en-GB"/>
        </w:rPr>
        <w:instrText>susi</w:instrText>
      </w:r>
      <w:r w:rsidR="00C1513A" w:rsidRPr="007256E1">
        <w:instrText xml:space="preserve">" </w:instrText>
      </w:r>
      <w:r w:rsidR="00C1513A" w:rsidRPr="007256E1">
        <w:rPr>
          <w:rFonts w:asciiTheme="majorBidi" w:eastAsia="Calibri" w:hAnsiTheme="majorBidi" w:cstheme="majorBidi"/>
        </w:rPr>
        <w:fldChar w:fldCharType="end"/>
      </w:r>
      <w:r w:rsidR="00334E6F" w:rsidRPr="007256E1">
        <w:rPr>
          <w:rStyle w:val="DipnotBavurusu"/>
          <w:rFonts w:asciiTheme="majorBidi" w:eastAsia="Calibri" w:hAnsiTheme="majorBidi" w:cstheme="majorBidi"/>
        </w:rPr>
        <w:footnoteReference w:id="15"/>
      </w:r>
      <w:r w:rsidRPr="007256E1">
        <w:rPr>
          <w:rFonts w:asciiTheme="majorBidi" w:eastAsia="Calibri" w:hAnsiTheme="majorBidi" w:cstheme="majorBidi"/>
        </w:rPr>
        <w:t xml:space="preserve"> temple and a Ḫaldinili KÁ (Gates of God Ḫaldi</w:t>
      </w:r>
      <w:r w:rsidR="00C1513A" w:rsidRPr="007256E1">
        <w:rPr>
          <w:rFonts w:asciiTheme="majorBidi" w:eastAsia="Calibri" w:hAnsiTheme="majorBidi" w:cstheme="majorBidi"/>
        </w:rPr>
        <w:fldChar w:fldCharType="begin"/>
      </w:r>
      <w:r w:rsidR="00C1513A" w:rsidRPr="007256E1">
        <w:instrText xml:space="preserve"> XE "</w:instrText>
      </w:r>
      <w:r w:rsidR="00C1513A" w:rsidRPr="007256E1">
        <w:rPr>
          <w:rFonts w:asciiTheme="majorBidi" w:eastAsia="Times New Roman" w:hAnsiTheme="majorBidi" w:cstheme="majorBidi"/>
          <w:lang w:val="en-GB"/>
        </w:rPr>
        <w:instrText>God Ḫaldi</w:instrText>
      </w:r>
      <w:r w:rsidR="00C1513A" w:rsidRPr="007256E1">
        <w:instrText xml:space="preserve">" </w:instrText>
      </w:r>
      <w:r w:rsidR="00C1513A" w:rsidRPr="007256E1">
        <w:rPr>
          <w:rFonts w:asciiTheme="majorBidi" w:eastAsia="Calibri" w:hAnsiTheme="majorBidi" w:cstheme="majorBidi"/>
        </w:rPr>
        <w:fldChar w:fldCharType="end"/>
      </w:r>
      <w:r w:rsidRPr="007256E1">
        <w:rPr>
          <w:rFonts w:asciiTheme="majorBidi" w:eastAsia="Calibri" w:hAnsiTheme="majorBidi" w:cstheme="majorBidi"/>
        </w:rPr>
        <w:t>) was built for God Ḫaldi. The expression of susi is used with the demonstrat</w:t>
      </w:r>
      <w:r w:rsidRPr="00F03A26">
        <w:rPr>
          <w:rFonts w:asciiTheme="majorBidi" w:eastAsia="Calibri" w:hAnsiTheme="majorBidi" w:cstheme="majorBidi"/>
        </w:rPr>
        <w:t>ive pronoun of ‛</w:t>
      </w:r>
      <w:r w:rsidRPr="00F03A26">
        <w:rPr>
          <w:rFonts w:asciiTheme="majorBidi" w:eastAsia="Calibri" w:hAnsiTheme="majorBidi" w:cstheme="majorBidi"/>
          <w:i/>
          <w:iCs/>
        </w:rPr>
        <w:t>inǝ</w:t>
      </w:r>
      <w:r w:rsidRPr="00F03A26">
        <w:rPr>
          <w:rFonts w:asciiTheme="majorBidi" w:eastAsia="Calibri" w:hAnsiTheme="majorBidi" w:cstheme="majorBidi"/>
        </w:rPr>
        <w:t>’ (this) in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Construction texts on the Ḫaldinili</w:t>
      </w:r>
      <w:r w:rsidRPr="00F03A26">
        <w:rPr>
          <w:rFonts w:asciiTheme="majorBidi" w:eastAsia="Calibri" w:hAnsiTheme="majorBidi" w:cstheme="majorBidi"/>
          <w:i/>
          <w:iCs/>
        </w:rPr>
        <w:t xml:space="preserve"> </w:t>
      </w:r>
      <w:r w:rsidRPr="00F03A26">
        <w:rPr>
          <w:rFonts w:asciiTheme="majorBidi" w:eastAsia="Calibri" w:hAnsiTheme="majorBidi" w:cstheme="majorBidi"/>
        </w:rPr>
        <w:t>KÁ are usually known from inscriptions located on the blocks of the entrance walls of the susi</w:t>
      </w:r>
      <w:r w:rsidRPr="00F03A26">
        <w:rPr>
          <w:rFonts w:asciiTheme="majorBidi" w:eastAsia="Calibri" w:hAnsiTheme="majorBidi" w:cstheme="majorBidi"/>
          <w:i/>
          <w:iCs/>
        </w:rPr>
        <w:t xml:space="preserve"> </w:t>
      </w:r>
      <w:r w:rsidRPr="00F03A26">
        <w:rPr>
          <w:rFonts w:asciiTheme="majorBidi" w:eastAsia="Calibri" w:hAnsiTheme="majorBidi" w:cstheme="majorBidi"/>
        </w:rPr>
        <w:t>temples. The Tabriz Kapı inscription, located in a zone unsuitable for construction work, is thus a unique example.</w:t>
      </w:r>
    </w:p>
    <w:p w14:paraId="4912A787" w14:textId="7A6A14F9" w:rsidR="00F40E43" w:rsidRPr="00F03A26" w:rsidRDefault="00F40E43"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Considering the locations of other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xml:space="preserve"> </w:t>
      </w:r>
      <w:r w:rsidR="00270549" w:rsidRPr="00270549">
        <w:rPr>
          <w:rFonts w:asciiTheme="majorBidi" w:eastAsia="Calibri" w:hAnsiTheme="majorBidi" w:cstheme="majorBidi"/>
        </w:rPr>
        <w:t>"</w:t>
      </w:r>
      <w:r w:rsidRPr="00F03A26">
        <w:rPr>
          <w:rFonts w:asciiTheme="majorBidi" w:eastAsia="Calibri" w:hAnsiTheme="majorBidi" w:cstheme="majorBidi"/>
        </w:rPr>
        <w:t>susi</w:t>
      </w:r>
      <w:r w:rsidR="00270549" w:rsidRPr="00270549">
        <w:rPr>
          <w:rFonts w:asciiTheme="majorBidi" w:eastAsia="Calibri" w:hAnsiTheme="majorBidi" w:cstheme="majorBidi"/>
        </w:rPr>
        <w:t>"</w:t>
      </w:r>
      <w:r w:rsidR="00C1513A">
        <w:rPr>
          <w:rFonts w:asciiTheme="majorBidi" w:eastAsia="Calibri" w:hAnsiTheme="majorBidi" w:cstheme="majorBidi"/>
        </w:rPr>
        <w:fldChar w:fldCharType="begin"/>
      </w:r>
      <w:r w:rsidR="00C1513A">
        <w:instrText xml:space="preserve"> XE "</w:instrText>
      </w:r>
      <w:r w:rsidR="00C1513A" w:rsidRPr="00C85EFB">
        <w:rPr>
          <w:rFonts w:asciiTheme="majorBidi" w:eastAsia="Times New Roman" w:hAnsiTheme="majorBidi" w:cstheme="majorBidi"/>
          <w:lang w:val="en-GB"/>
        </w:rPr>
        <w:instrText>susi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xml:space="preserve"> temples dedicated to God Ḫaldi</w:t>
      </w:r>
      <w:r w:rsidR="00C1513A">
        <w:rPr>
          <w:rFonts w:asciiTheme="majorBidi" w:eastAsia="Calibri" w:hAnsiTheme="majorBidi" w:cstheme="majorBidi"/>
        </w:rPr>
        <w:fldChar w:fldCharType="begin"/>
      </w:r>
      <w:r w:rsidR="00C1513A">
        <w:instrText xml:space="preserve"> XE "</w:instrText>
      </w:r>
      <w:r w:rsidR="00C1513A" w:rsidRPr="009F22E3">
        <w:rPr>
          <w:rFonts w:asciiTheme="majorBidi" w:eastAsia="Times New Roman" w:hAnsiTheme="majorBidi" w:cstheme="majorBidi"/>
          <w:lang w:val="en-GB"/>
        </w:rPr>
        <w:instrText>God Ḫaldi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the susi</w:t>
      </w:r>
      <w:r w:rsidRPr="00F03A26">
        <w:rPr>
          <w:rFonts w:asciiTheme="majorBidi" w:eastAsia="Calibri" w:hAnsiTheme="majorBidi" w:cstheme="majorBidi"/>
          <w:i/>
          <w:iCs/>
        </w:rPr>
        <w:t xml:space="preserve"> </w:t>
      </w:r>
      <w:r w:rsidRPr="00F03A26">
        <w:rPr>
          <w:rFonts w:asciiTheme="majorBidi" w:eastAsia="Calibri" w:hAnsiTheme="majorBidi" w:cstheme="majorBidi"/>
        </w:rPr>
        <w:t>temple mentioned in the inscription should have been built on the highest part of the Ṭušpa citadel, in the İç Kale</w:t>
      </w:r>
      <w:r w:rsidR="00647545">
        <w:rPr>
          <w:rFonts w:asciiTheme="majorBidi" w:eastAsia="Calibri" w:hAnsiTheme="majorBidi" w:cstheme="majorBidi"/>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/Old Palace</w:t>
      </w:r>
      <w:r w:rsidR="00C1513A">
        <w:rPr>
          <w:rFonts w:asciiTheme="majorBidi" w:eastAsia="Calibri" w:hAnsiTheme="majorBidi" w:cstheme="majorBidi"/>
        </w:rPr>
        <w:fldChar w:fldCharType="begin"/>
      </w:r>
      <w:r w:rsidR="00C1513A">
        <w:instrText xml:space="preserve"> XE "</w:instrText>
      </w:r>
      <w:r w:rsidR="00C1513A" w:rsidRPr="009746DD">
        <w:rPr>
          <w:rFonts w:asciiTheme="majorBidi" w:eastAsia="Times New Roman" w:hAnsiTheme="majorBidi" w:cstheme="majorBidi"/>
          <w:iCs/>
        </w:rPr>
        <w:instrText>Old Palace</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xml:space="preserve"> area. As an architectural unit, the susi</w:t>
      </w:r>
      <w:r w:rsidRPr="00F03A26">
        <w:rPr>
          <w:rFonts w:asciiTheme="majorBidi" w:eastAsia="Calibri" w:hAnsiTheme="majorBidi" w:cstheme="majorBidi"/>
          <w:i/>
          <w:iCs/>
        </w:rPr>
        <w:t xml:space="preserve"> </w:t>
      </w:r>
      <w:r w:rsidRPr="00F03A26">
        <w:rPr>
          <w:rFonts w:asciiTheme="majorBidi" w:eastAsia="Calibri" w:hAnsiTheme="majorBidi" w:cstheme="majorBidi"/>
        </w:rPr>
        <w:t xml:space="preserve">is known to be the most prominent characteristic reflection of the religious and ideological structure of the Urartian kingdom, which was centered on God Ḫaldi. Thus, the construction of the </w:t>
      </w:r>
      <w:r w:rsidR="00270549" w:rsidRPr="00270549">
        <w:rPr>
          <w:rFonts w:asciiTheme="majorBidi" w:eastAsia="Calibri" w:hAnsiTheme="majorBidi" w:cstheme="majorBidi"/>
        </w:rPr>
        <w:t>"</w:t>
      </w:r>
      <w:r w:rsidRPr="00F03A26">
        <w:rPr>
          <w:rFonts w:asciiTheme="majorBidi" w:eastAsia="Calibri" w:hAnsiTheme="majorBidi" w:cstheme="majorBidi"/>
        </w:rPr>
        <w:t>susi</w:t>
      </w:r>
      <w:r w:rsidR="00270549" w:rsidRPr="00270549">
        <w:rPr>
          <w:rFonts w:asciiTheme="majorBidi" w:eastAsia="Calibri" w:hAnsiTheme="majorBidi" w:cstheme="majorBidi"/>
        </w:rPr>
        <w:t>"</w:t>
      </w:r>
      <w:r w:rsidRPr="00F03A26">
        <w:rPr>
          <w:rFonts w:asciiTheme="majorBidi" w:eastAsia="Calibri" w:hAnsiTheme="majorBidi" w:cstheme="majorBidi"/>
          <w:i/>
          <w:iCs/>
        </w:rPr>
        <w:t xml:space="preserve"> </w:t>
      </w:r>
      <w:r w:rsidRPr="00F03A26">
        <w:rPr>
          <w:rFonts w:asciiTheme="majorBidi" w:eastAsia="Calibri" w:hAnsiTheme="majorBidi" w:cstheme="majorBidi"/>
        </w:rPr>
        <w:t>temple should have officially declared the establishment of the Urartian kingdom in Ṭušpa. It is also understood that Ṭušpa did not have a temple dedicated to Ḫaldi until the construction of the susi temple in this area. Although the Tabriz Kapı inscription mentions the names of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and his son</w:t>
      </w:r>
      <w:r w:rsidRPr="00F03A26">
        <w:rPr>
          <w:rFonts w:asciiTheme="majorBidi" w:eastAsia="Calibri" w:hAnsiTheme="majorBidi" w:cstheme="majorBidi"/>
          <w:i/>
          <w:iCs/>
        </w:rPr>
        <w:t xml:space="preserve"> </w:t>
      </w:r>
      <w:r w:rsidRPr="00F03A26">
        <w:rPr>
          <w:rFonts w:asciiTheme="majorBidi" w:eastAsia="Calibri" w:hAnsiTheme="majorBidi" w:cstheme="majorBidi"/>
        </w:rPr>
        <w:t>Inušpua</w:t>
      </w:r>
      <w:r w:rsidR="004B0374">
        <w:rPr>
          <w:rFonts w:asciiTheme="majorBidi" w:eastAsia="Calibri" w:hAnsiTheme="majorBidi" w:cstheme="majorBidi"/>
        </w:rPr>
        <w:fldChar w:fldCharType="begin"/>
      </w:r>
      <w:r w:rsidR="004B0374">
        <w:instrText xml:space="preserve"> XE "</w:instrText>
      </w:r>
      <w:r w:rsidR="004B0374" w:rsidRPr="00AB28D0">
        <w:rPr>
          <w:rFonts w:ascii="Times New Roman" w:hAnsi="Times New Roman"/>
          <w:lang w:val="en-GB"/>
        </w:rPr>
        <w:instrText>Inušpua</w:instrText>
      </w:r>
      <w:r w:rsidR="004B0374">
        <w:instrText xml:space="preserve">" </w:instrText>
      </w:r>
      <w:r w:rsidR="004B0374">
        <w:rPr>
          <w:rFonts w:asciiTheme="majorBidi" w:eastAsia="Calibri" w:hAnsiTheme="majorBidi" w:cstheme="majorBidi"/>
        </w:rPr>
        <w:fldChar w:fldCharType="end"/>
      </w:r>
      <w:r w:rsidRPr="00F03A26">
        <w:rPr>
          <w:rFonts w:asciiTheme="majorBidi" w:eastAsia="Calibri" w:hAnsiTheme="majorBidi" w:cstheme="majorBidi"/>
        </w:rPr>
        <w:t xml:space="preserve">, these construction works should have been </w:t>
      </w:r>
      <w:r w:rsidRPr="00F03A26">
        <w:rPr>
          <w:rFonts w:asciiTheme="majorBidi" w:eastAsia="Calibri" w:hAnsiTheme="majorBidi" w:cstheme="majorBidi"/>
        </w:rPr>
        <w:lastRenderedPageBreak/>
        <w:t>done during the reign of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This is suggested by the current archaeological and philological evidence attesting to the emergence of susi</w:t>
      </w:r>
      <w:r w:rsidRPr="00F03A26">
        <w:rPr>
          <w:rFonts w:asciiTheme="majorBidi" w:eastAsia="Calibri" w:hAnsiTheme="majorBidi" w:cstheme="majorBidi"/>
          <w:i/>
          <w:iCs/>
        </w:rPr>
        <w:t xml:space="preserve"> </w:t>
      </w:r>
      <w:r w:rsidRPr="00F03A26">
        <w:rPr>
          <w:rFonts w:asciiTheme="majorBidi" w:eastAsia="Calibri" w:hAnsiTheme="majorBidi" w:cstheme="majorBidi"/>
        </w:rPr>
        <w:t>temples during the Minua period (Genç, 2016: 67-76). Another evidence regarding the construction of this susi</w:t>
      </w:r>
      <w:r w:rsidRPr="00F03A26">
        <w:rPr>
          <w:rFonts w:asciiTheme="majorBidi" w:eastAsia="Calibri" w:hAnsiTheme="majorBidi" w:cstheme="majorBidi"/>
          <w:i/>
          <w:iCs/>
        </w:rPr>
        <w:t xml:space="preserve"> </w:t>
      </w:r>
      <w:r w:rsidRPr="00F03A26">
        <w:rPr>
          <w:rFonts w:asciiTheme="majorBidi" w:eastAsia="Calibri" w:hAnsiTheme="majorBidi" w:cstheme="majorBidi"/>
        </w:rPr>
        <w:t>during the Minua period comes from the inscription carved on the 15 sandstone blocks found in a fragmented or whole state and later used as spolia material for the construction of the high Medieval walls surrounding the İç Kale of Ṭušpa. The content of the inscription is a duplicate of the long susi</w:t>
      </w:r>
      <w:r w:rsidRPr="00F03A26">
        <w:rPr>
          <w:rFonts w:asciiTheme="majorBidi" w:eastAsia="Calibri" w:hAnsiTheme="majorBidi" w:cstheme="majorBidi"/>
          <w:i/>
          <w:iCs/>
        </w:rPr>
        <w:t xml:space="preserve"> </w:t>
      </w:r>
      <w:r w:rsidRPr="00F03A26">
        <w:rPr>
          <w:rFonts w:asciiTheme="majorBidi" w:eastAsia="Calibri" w:hAnsiTheme="majorBidi" w:cstheme="majorBidi"/>
        </w:rPr>
        <w:t>temple inscription on several blocks. The latter also dates to the Minua period and was found in the Pértak</w:t>
      </w:r>
      <w:r w:rsidR="00334E6F" w:rsidRPr="00F03A26">
        <w:rPr>
          <w:rStyle w:val="DipnotBavurusu"/>
          <w:rFonts w:asciiTheme="majorBidi" w:eastAsia="Calibri" w:hAnsiTheme="majorBidi" w:cstheme="majorBidi"/>
        </w:rPr>
        <w:footnoteReference w:id="16"/>
      </w:r>
      <w:r w:rsidRPr="00F03A26">
        <w:rPr>
          <w:rFonts w:asciiTheme="majorBidi" w:eastAsia="Calibri" w:hAnsiTheme="majorBidi" w:cstheme="majorBidi"/>
        </w:rPr>
        <w:t xml:space="preserve"> (Körzüt) Fortress in the Bégri (Muradiye) plain (Salvini, 1973: 281-283). This long inscription discusses Minua’s military </w:t>
      </w:r>
      <w:r w:rsidRPr="007256E1">
        <w:rPr>
          <w:rFonts w:asciiTheme="majorBidi" w:eastAsia="Calibri" w:hAnsiTheme="majorBidi" w:cstheme="majorBidi"/>
        </w:rPr>
        <w:t>campaigns on the Erkua tribe and its royal city Luḫiuni in Iğdır, and the population he brought from there as ‛gurdari’? to the city of Aelia, which have not been localized yet, and to the city of Ṭušpa as a result of this campaign (</w:t>
      </w:r>
      <w:r w:rsidRPr="00F03A26">
        <w:rPr>
          <w:rFonts w:asciiTheme="majorBidi" w:eastAsia="Calibri" w:hAnsiTheme="majorBidi" w:cstheme="majorBidi"/>
        </w:rPr>
        <w:t>CTU I. A 5-2 A-F). Similar to the susi</w:t>
      </w:r>
      <w:r w:rsidRPr="00F03A26">
        <w:rPr>
          <w:rFonts w:asciiTheme="majorBidi" w:eastAsia="Calibri" w:hAnsiTheme="majorBidi" w:cstheme="majorBidi"/>
          <w:i/>
          <w:iCs/>
        </w:rPr>
        <w:t xml:space="preserve"> </w:t>
      </w:r>
      <w:r w:rsidRPr="00F03A26">
        <w:rPr>
          <w:rFonts w:asciiTheme="majorBidi" w:eastAsia="Calibri" w:hAnsiTheme="majorBidi" w:cstheme="majorBidi"/>
        </w:rPr>
        <w:t>temple in Pértak, these blocks should have been used in the entrance of the temple room in Ṭušpa citadel. The only difference is that the Pértak temple examples were made from basalt. At the same time, sandstone, which can be found in adjacent areas, was used for the temple blocks in Ṭušpa citadel. Considering the susi cantered construction concepts in other Urartian fortresses, it is understood that the temples and religious structures focusing on God Ḫaldi in Ṭušpa</w:t>
      </w:r>
      <w:r w:rsidR="00334E6F" w:rsidRPr="00F03A26">
        <w:rPr>
          <w:rFonts w:asciiTheme="majorBidi" w:eastAsia="Calibri" w:hAnsiTheme="majorBidi" w:cstheme="majorBidi"/>
        </w:rPr>
        <w:t xml:space="preserve"> </w:t>
      </w:r>
      <w:r w:rsidRPr="00F03A26">
        <w:rPr>
          <w:rFonts w:asciiTheme="majorBidi" w:eastAsia="Calibri" w:hAnsiTheme="majorBidi" w:cstheme="majorBidi"/>
        </w:rPr>
        <w:t xml:space="preserve">citadel gained importance during the period of Minua. These construction activities should correspond to the end of the co-regency of Minua and his father, Išpuini when Minua held power on his own. As the inscriptions from the </w:t>
      </w:r>
      <w:r w:rsidR="00270549" w:rsidRPr="00270549">
        <w:rPr>
          <w:rFonts w:asciiTheme="majorBidi" w:eastAsia="Calibri" w:hAnsiTheme="majorBidi" w:cstheme="majorBidi"/>
        </w:rPr>
        <w:t>"</w:t>
      </w:r>
      <w:r w:rsidRPr="00F03A26">
        <w:rPr>
          <w:rFonts w:asciiTheme="majorBidi" w:eastAsia="Calibri" w:hAnsiTheme="majorBidi" w:cstheme="majorBidi"/>
        </w:rPr>
        <w:t>susi</w:t>
      </w:r>
      <w:r w:rsidR="00270549" w:rsidRPr="00270549">
        <w:rPr>
          <w:rFonts w:asciiTheme="majorBidi" w:eastAsia="Calibri" w:hAnsiTheme="majorBidi" w:cstheme="majorBidi"/>
        </w:rPr>
        <w:t>"</w:t>
      </w:r>
      <w:r w:rsidRPr="00F03A26">
        <w:rPr>
          <w:rFonts w:asciiTheme="majorBidi" w:eastAsia="Calibri" w:hAnsiTheme="majorBidi" w:cstheme="majorBidi"/>
          <w:i/>
          <w:iCs/>
        </w:rPr>
        <w:t xml:space="preserve"> </w:t>
      </w:r>
      <w:r w:rsidRPr="00F03A26">
        <w:rPr>
          <w:rFonts w:asciiTheme="majorBidi" w:eastAsia="Calibri" w:hAnsiTheme="majorBidi" w:cstheme="majorBidi"/>
        </w:rPr>
        <w:t xml:space="preserve">temples in Pértak and Ṭušpa citadel indicate, it is also striking that population replacements to the city of </w:t>
      </w:r>
      <w:r w:rsidRPr="007256E1">
        <w:rPr>
          <w:rFonts w:asciiTheme="majorBidi" w:eastAsia="Calibri" w:hAnsiTheme="majorBidi" w:cstheme="majorBidi"/>
        </w:rPr>
        <w:t>Ṭušpa as gurdari</w:t>
      </w:r>
      <w:r w:rsidRPr="00F03A26">
        <w:rPr>
          <w:rFonts w:asciiTheme="majorBidi" w:eastAsia="Calibri" w:hAnsiTheme="majorBidi" w:cstheme="majorBidi"/>
        </w:rPr>
        <w:t>?</w:t>
      </w:r>
      <w:r w:rsidRPr="00F03A26">
        <w:rPr>
          <w:rFonts w:asciiTheme="majorBidi" w:eastAsia="Calibri" w:hAnsiTheme="majorBidi" w:cstheme="majorBidi"/>
          <w:i/>
          <w:iCs/>
        </w:rPr>
        <w:t xml:space="preserve"> </w:t>
      </w:r>
      <w:r w:rsidRPr="00F03A26">
        <w:rPr>
          <w:rFonts w:asciiTheme="majorBidi" w:eastAsia="Calibri" w:hAnsiTheme="majorBidi" w:cstheme="majorBidi"/>
        </w:rPr>
        <w:t xml:space="preserve">For its </w:t>
      </w:r>
      <w:r w:rsidR="00270549" w:rsidRPr="00270549">
        <w:rPr>
          <w:rFonts w:asciiTheme="majorBidi" w:eastAsia="Calibri" w:hAnsiTheme="majorBidi" w:cstheme="majorBidi"/>
        </w:rPr>
        <w:t>"</w:t>
      </w:r>
      <w:r w:rsidRPr="007256E1">
        <w:rPr>
          <w:rFonts w:asciiTheme="majorBidi" w:eastAsia="Calibri" w:hAnsiTheme="majorBidi" w:cstheme="majorBidi"/>
        </w:rPr>
        <w:t>ašiniei</w:t>
      </w:r>
      <w:r w:rsidR="00270549" w:rsidRPr="00270549">
        <w:rPr>
          <w:rFonts w:asciiTheme="majorBidi" w:eastAsia="Calibri" w:hAnsiTheme="majorBidi" w:cstheme="majorBidi"/>
        </w:rPr>
        <w:t>"</w:t>
      </w:r>
      <w:r w:rsidRPr="007256E1">
        <w:rPr>
          <w:rFonts w:asciiTheme="majorBidi" w:eastAsia="Calibri" w:hAnsiTheme="majorBidi" w:cstheme="majorBidi"/>
        </w:rPr>
        <w:t>?</w:t>
      </w:r>
      <w:r w:rsidRPr="00F03A26">
        <w:rPr>
          <w:rFonts w:asciiTheme="majorBidi" w:eastAsia="Calibri" w:hAnsiTheme="majorBidi" w:cstheme="majorBidi"/>
        </w:rPr>
        <w:t xml:space="preserve"> that began with Išpuini and Minua had continued (CTU I. A 5-2 A-F). </w:t>
      </w:r>
    </w:p>
    <w:p w14:paraId="6BB1C7D2" w14:textId="3B3B270D"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The inscriptions so far attest that Minua</w:t>
      </w:r>
      <w:r w:rsidR="00C1513A">
        <w:rPr>
          <w:rFonts w:asciiTheme="majorBidi" w:eastAsia="Calibri"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lang w:val="en-GB"/>
        </w:rPr>
        <w:fldChar w:fldCharType="end"/>
      </w:r>
      <w:r w:rsidRPr="00F03A26">
        <w:rPr>
          <w:rFonts w:asciiTheme="majorBidi" w:eastAsia="Calibri" w:hAnsiTheme="majorBidi" w:cstheme="majorBidi"/>
          <w:lang w:val="en-GB"/>
        </w:rPr>
        <w:t> has been the most active king in construction work at the Ṭušpa </w:t>
      </w:r>
      <w:r w:rsidR="007256E1">
        <w:rPr>
          <w:rFonts w:asciiTheme="majorBidi" w:eastAsia="Calibri" w:hAnsiTheme="majorBidi" w:cstheme="majorBidi"/>
          <w:lang w:val="en-GB"/>
        </w:rPr>
        <w:t>Rock</w:t>
      </w:r>
      <w:r w:rsidRPr="00F03A26">
        <w:rPr>
          <w:rFonts w:asciiTheme="majorBidi" w:eastAsia="Calibri" w:hAnsiTheme="majorBidi" w:cstheme="majorBidi"/>
          <w:lang w:val="en-GB"/>
        </w:rPr>
        <w:t>. We know from the inscriptions that during his reign, Minua invested in the northern slopes of the Ṭušpa citadel (Fig. 5).</w:t>
      </w:r>
    </w:p>
    <w:p w14:paraId="1E4BC511"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lastRenderedPageBreak/>
        <w:t xml:space="preserve"> </w:t>
      </w:r>
      <w:r w:rsidRPr="00F03A26">
        <w:rPr>
          <w:rFonts w:asciiTheme="majorBidi" w:eastAsia="Calibri" w:hAnsiTheme="majorBidi" w:cstheme="majorBidi"/>
          <w:noProof/>
        </w:rPr>
        <w:drawing>
          <wp:inline distT="0" distB="0" distL="0" distR="0" wp14:anchorId="3EB2D580" wp14:editId="6DB570E8">
            <wp:extent cx="5732875" cy="1282881"/>
            <wp:effectExtent l="0" t="0" r="0" b="0"/>
            <wp:docPr id="655876855" name="Resim 2" descr="dış mekan, gökyüzü, dağ,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76855" name="Resim 2" descr="dış mekan, gökyüzü, dağ, doğa içeren bir resim&#10;&#10;Açıklama otomatik olarak oluşturuldu"/>
                    <pic:cNvPicPr/>
                  </pic:nvPicPr>
                  <pic:blipFill rotWithShape="1">
                    <a:blip r:embed="rId38" cstate="email">
                      <a:extLst>
                        <a:ext uri="{28A0092B-C50C-407E-A947-70E740481C1C}">
                          <a14:useLocalDpi xmlns:a14="http://schemas.microsoft.com/office/drawing/2010/main"/>
                        </a:ext>
                      </a:extLst>
                    </a:blip>
                    <a:srcRect t="19714"/>
                    <a:stretch/>
                  </pic:blipFill>
                  <pic:spPr bwMode="auto">
                    <a:xfrm>
                      <a:off x="0" y="0"/>
                      <a:ext cx="5735126" cy="1283385"/>
                    </a:xfrm>
                    <a:prstGeom prst="rect">
                      <a:avLst/>
                    </a:prstGeom>
                    <a:ln>
                      <a:noFill/>
                    </a:ln>
                    <a:extLst>
                      <a:ext uri="{53640926-AAD7-44D8-BBD7-CCE9431645EC}">
                        <a14:shadowObscured xmlns:a14="http://schemas.microsoft.com/office/drawing/2010/main"/>
                      </a:ext>
                    </a:extLst>
                  </pic:spPr>
                </pic:pic>
              </a:graphicData>
            </a:graphic>
          </wp:inline>
        </w:drawing>
      </w:r>
    </w:p>
    <w:p w14:paraId="5BD3E7BA" w14:textId="77777777" w:rsidR="00F40E43" w:rsidRPr="00F03A26" w:rsidRDefault="00F40E43"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5 Northern slopes of the Ṭušpa</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w:instrText>
      </w:r>
      <w:r w:rsidRPr="00D008E2">
        <w:rPr>
          <w:rFonts w:asciiTheme="majorBidi" w:eastAsia="Calibri" w:hAnsiTheme="majorBidi" w:cstheme="majorBidi"/>
          <w:color w:val="000000"/>
          <w:lang w:val="en-GB"/>
        </w:rPr>
        <w:instrText>Ṭušpa</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citadel.</w:t>
      </w:r>
    </w:p>
    <w:p w14:paraId="6B6DC081" w14:textId="27DC7E6F" w:rsidR="00F40E43" w:rsidRPr="00F03A26" w:rsidRDefault="00F40E43"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An inscription on a panel nearby the Sardurburç</w:t>
      </w:r>
      <w:r w:rsidR="00647545">
        <w:rPr>
          <w:rFonts w:asciiTheme="majorBidi" w:eastAsia="Calibr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on the northern edge of the citadel indicates that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has stored 23190 kapi</w:t>
      </w:r>
      <w:r w:rsidR="00792E01" w:rsidRPr="00F03A26">
        <w:rPr>
          <w:rStyle w:val="DipnotBavurusu"/>
          <w:rFonts w:asciiTheme="majorBidi" w:eastAsia="Calibri" w:hAnsiTheme="majorBidi" w:cstheme="majorBidi"/>
        </w:rPr>
        <w:footnoteReference w:id="17"/>
      </w:r>
      <w:r w:rsidRPr="00F03A26">
        <w:rPr>
          <w:rFonts w:asciiTheme="majorBidi" w:eastAsia="Calibri" w:hAnsiTheme="majorBidi" w:cstheme="majorBidi"/>
        </w:rPr>
        <w:t xml:space="preserve"> in a silo built here (CTU I. A 5-66). It is also noteworthy that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tradition of silo inscriptions with a specific template began with Minua as well. However, this silo inscription was made on a natural rock surface in an open area and constitutes a unique example among the usual silo texts that were inscribed on small stone blocks. It is also confusing in that sense that this unusual rock inscription used the Urartian demonstrative pronoun '</w:t>
      </w:r>
      <w:r w:rsidRPr="00F03A26">
        <w:rPr>
          <w:rFonts w:asciiTheme="majorBidi" w:eastAsia="Calibri" w:hAnsiTheme="majorBidi" w:cstheme="majorBidi"/>
          <w:i/>
          <w:iCs/>
        </w:rPr>
        <w:t>inǝ</w:t>
      </w:r>
      <w:r w:rsidRPr="00F03A26">
        <w:rPr>
          <w:rFonts w:asciiTheme="majorBidi" w:eastAsia="Calibri" w:hAnsiTheme="majorBidi" w:cstheme="majorBidi"/>
        </w:rPr>
        <w:t>' to express the silo. The use of this pronoun indicates that this silo should have been located in the close vicinity of the inscription. A rectangular structure made from large stone blocks (Erzen, 1976b: 49, Fig. 4) lying parallel to the monumental Sardurburç in the plain right across this inscription could be a candidate for this silo. Its rectangular form resembles the Urartian storage rooms; however, it stands out as an exception with its location away from the citadel adjacent to the outcrop and on the plain level.</w:t>
      </w:r>
    </w:p>
    <w:p w14:paraId="6C7F1151" w14:textId="284B6DC2" w:rsidR="00F40E43" w:rsidRPr="00F03A26" w:rsidRDefault="00F40E43"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Another investment by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xml:space="preserve"> on the northern slope of Ṭušpa citadel is the </w:t>
      </w:r>
      <w:r w:rsidR="00270549" w:rsidRPr="00270549">
        <w:rPr>
          <w:rFonts w:asciiTheme="majorBidi" w:eastAsia="Calibri" w:hAnsiTheme="majorBidi" w:cstheme="majorBidi"/>
        </w:rPr>
        <w:t>"</w:t>
      </w:r>
      <w:r w:rsidRPr="00302238">
        <w:rPr>
          <w:rFonts w:asciiTheme="majorBidi" w:eastAsia="Calibri" w:hAnsiTheme="majorBidi" w:cstheme="majorBidi"/>
        </w:rPr>
        <w:t>siršini</w:t>
      </w:r>
      <w:r w:rsidR="00270549" w:rsidRPr="00270549">
        <w:rPr>
          <w:rFonts w:asciiTheme="majorBidi" w:eastAsia="Calibri" w:hAnsiTheme="majorBidi" w:cstheme="majorBidi"/>
        </w:rPr>
        <w:t>"</w:t>
      </w:r>
      <w:r w:rsidR="00C1513A">
        <w:rPr>
          <w:rFonts w:asciiTheme="majorBidi" w:eastAsia="Calibri" w:hAnsiTheme="majorBidi" w:cstheme="majorBidi"/>
          <w:i/>
          <w:iCs/>
        </w:rPr>
        <w:fldChar w:fldCharType="begin"/>
      </w:r>
      <w:r w:rsidR="00C1513A">
        <w:instrText xml:space="preserve"> XE "</w:instrText>
      </w:r>
      <w:r w:rsidR="00C1513A" w:rsidRPr="00582FC6">
        <w:rPr>
          <w:rFonts w:asciiTheme="majorBidi" w:eastAsia="Times New Roman" w:hAnsiTheme="majorBidi" w:cstheme="majorBidi"/>
          <w:lang w:val="en-GB"/>
        </w:rPr>
        <w:instrText>siršini</w:instrText>
      </w:r>
      <w:r w:rsidR="00C1513A">
        <w:instrText xml:space="preserve">" </w:instrText>
      </w:r>
      <w:r w:rsidR="00C1513A">
        <w:rPr>
          <w:rFonts w:asciiTheme="majorBidi" w:eastAsia="Calibri" w:hAnsiTheme="majorBidi" w:cstheme="majorBidi"/>
          <w:i/>
          <w:iCs/>
        </w:rPr>
        <w:fldChar w:fldCharType="end"/>
      </w:r>
      <w:r w:rsidRPr="00F03A26">
        <w:rPr>
          <w:rFonts w:asciiTheme="majorBidi" w:eastAsia="Calibri" w:hAnsiTheme="majorBidi" w:cstheme="majorBidi"/>
          <w:i/>
          <w:iCs/>
        </w:rPr>
        <w:t xml:space="preserve"> </w:t>
      </w:r>
      <w:r w:rsidRPr="00F03A26">
        <w:rPr>
          <w:rFonts w:asciiTheme="majorBidi" w:eastAsia="Calibri" w:hAnsiTheme="majorBidi" w:cstheme="majorBidi"/>
        </w:rPr>
        <w:t>rock room, also mentioned in the inscription at its entrance (see Chapter 7). This structure is rectangular, about 50 meters high from the ground level, and was carved into the bedrock on the northern slope of</w:t>
      </w:r>
      <w:r w:rsidR="00792E01" w:rsidRPr="00F03A26">
        <w:rPr>
          <w:rFonts w:asciiTheme="majorBidi" w:eastAsia="Calibri" w:hAnsiTheme="majorBidi" w:cstheme="majorBidi"/>
        </w:rPr>
        <w:t xml:space="preserve"> </w:t>
      </w:r>
      <w:r w:rsidRPr="00F03A26">
        <w:rPr>
          <w:rFonts w:asciiTheme="majorBidi" w:eastAsia="Calibri" w:hAnsiTheme="majorBidi" w:cstheme="majorBidi"/>
        </w:rPr>
        <w:t xml:space="preserve">Ṭušpa citadel. Due to the rock inscription on its entrance (CTU I. A 5-68) and the expressions of </w:t>
      </w:r>
      <w:r w:rsidR="00270549" w:rsidRPr="00270549">
        <w:rPr>
          <w:rFonts w:asciiTheme="majorBidi" w:eastAsia="Calibri" w:hAnsiTheme="majorBidi" w:cstheme="majorBidi"/>
        </w:rPr>
        <w:t>"</w:t>
      </w:r>
      <w:r w:rsidRPr="007256E1">
        <w:rPr>
          <w:rFonts w:asciiTheme="majorBidi" w:eastAsia="Calibri" w:hAnsiTheme="majorBidi" w:cstheme="majorBidi"/>
        </w:rPr>
        <w:t>paḫanili</w:t>
      </w:r>
      <w:r w:rsidR="00270549" w:rsidRPr="00270549">
        <w:rPr>
          <w:rFonts w:asciiTheme="majorBidi" w:eastAsia="Calibri" w:hAnsiTheme="majorBidi" w:cstheme="majorBidi"/>
        </w:rPr>
        <w:t>"</w:t>
      </w:r>
      <w:r w:rsidRPr="007256E1">
        <w:rPr>
          <w:rFonts w:asciiTheme="majorBidi" w:eastAsia="Calibri" w:hAnsiTheme="majorBidi" w:cstheme="majorBidi"/>
        </w:rPr>
        <w:t xml:space="preserve">=bulls and </w:t>
      </w:r>
      <w:r w:rsidR="00270549" w:rsidRPr="00270549">
        <w:rPr>
          <w:rFonts w:asciiTheme="majorBidi" w:eastAsia="Calibri" w:hAnsiTheme="majorBidi" w:cstheme="majorBidi"/>
        </w:rPr>
        <w:t>"</w:t>
      </w:r>
      <w:r w:rsidRPr="007256E1">
        <w:rPr>
          <w:rFonts w:asciiTheme="majorBidi" w:eastAsia="Calibri" w:hAnsiTheme="majorBidi" w:cstheme="majorBidi"/>
        </w:rPr>
        <w:t>niribi</w:t>
      </w:r>
      <w:r w:rsidR="00270549" w:rsidRPr="00270549">
        <w:rPr>
          <w:rFonts w:asciiTheme="majorBidi" w:eastAsia="Calibri" w:hAnsiTheme="majorBidi" w:cstheme="majorBidi"/>
        </w:rPr>
        <w:t>"</w:t>
      </w:r>
      <w:r w:rsidRPr="007256E1">
        <w:rPr>
          <w:rFonts w:asciiTheme="majorBidi" w:eastAsia="Calibri" w:hAnsiTheme="majorBidi" w:cstheme="majorBidi"/>
        </w:rPr>
        <w:t>=herd on a stele that is a dupl</w:t>
      </w:r>
      <w:r w:rsidRPr="00F03A26">
        <w:rPr>
          <w:rFonts w:asciiTheme="majorBidi" w:eastAsia="Calibri" w:hAnsiTheme="majorBidi" w:cstheme="majorBidi"/>
        </w:rPr>
        <w:t>icate of this inscription and known to be taken from here (CTU I. A 5-69), it was concluded that this structure was a stable/barn for sacrificial animals (Salvini, 1986: 36; CTU V: 410). Its plan, the inscription on its entrance, location, and function make this rock room unique for Urartu. Building on the interpretation that animals for sacrificial rituals were kept here, one may suggest that this area was the last stop for sacred animals that would be sacrificed in religious ceremonies. Indeed, such an interpretation is plausible for this structure to be built in the sacred outcrop where the temple of God Ḫaldi</w:t>
      </w:r>
      <w:r w:rsidR="00C1513A">
        <w:rPr>
          <w:rFonts w:asciiTheme="majorBidi" w:eastAsia="Calibri" w:hAnsiTheme="majorBidi" w:cstheme="majorBidi"/>
        </w:rPr>
        <w:fldChar w:fldCharType="begin"/>
      </w:r>
      <w:r w:rsidR="00C1513A">
        <w:instrText xml:space="preserve"> XE "</w:instrText>
      </w:r>
      <w:r w:rsidR="00C1513A" w:rsidRPr="009F22E3">
        <w:rPr>
          <w:rFonts w:asciiTheme="majorBidi" w:eastAsia="Times New Roman" w:hAnsiTheme="majorBidi" w:cstheme="majorBidi"/>
          <w:lang w:val="en-GB"/>
        </w:rPr>
        <w:instrText>God Ḫaldi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and royal tombs are also located.</w:t>
      </w:r>
    </w:p>
    <w:p w14:paraId="61C84563" w14:textId="3470E19C" w:rsidR="00F40E43" w:rsidRPr="00F03A26" w:rsidRDefault="00F40E43"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 xml:space="preserve">The </w:t>
      </w:r>
      <w:r w:rsidRPr="00AA1737">
        <w:rPr>
          <w:rFonts w:asciiTheme="majorBidi" w:eastAsia="Calibri" w:hAnsiTheme="majorBidi" w:cstheme="majorBidi"/>
        </w:rPr>
        <w:t>taramanili</w:t>
      </w:r>
      <w:r w:rsidRPr="00F03A26">
        <w:rPr>
          <w:rFonts w:asciiTheme="majorBidi" w:eastAsia="Calibri" w:hAnsiTheme="majorBidi" w:cstheme="majorBidi"/>
        </w:rPr>
        <w:t> on the northern slope constitutes another unique investment of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xml:space="preserve"> in the Ṭušpa citadel. The form </w:t>
      </w:r>
      <w:r w:rsidR="00270549" w:rsidRPr="00270549">
        <w:rPr>
          <w:rFonts w:asciiTheme="majorBidi" w:eastAsia="Calibri" w:hAnsiTheme="majorBidi" w:cstheme="majorBidi"/>
        </w:rPr>
        <w:lastRenderedPageBreak/>
        <w:t>"</w:t>
      </w:r>
      <w:r w:rsidRPr="00AA1737">
        <w:rPr>
          <w:rFonts w:asciiTheme="majorBidi" w:eastAsia="Calibri" w:hAnsiTheme="majorBidi" w:cstheme="majorBidi"/>
        </w:rPr>
        <w:t>tarama</w:t>
      </w:r>
      <w:r w:rsidR="00270549" w:rsidRPr="00270549">
        <w:rPr>
          <w:rFonts w:asciiTheme="majorBidi" w:eastAsia="Calibri" w:hAnsiTheme="majorBidi" w:cstheme="majorBidi"/>
        </w:rPr>
        <w:t>"</w:t>
      </w:r>
      <w:r w:rsidRPr="00F03A26">
        <w:rPr>
          <w:rFonts w:asciiTheme="majorBidi" w:eastAsia="Calibri" w:hAnsiTheme="majorBidi" w:cstheme="majorBidi"/>
        </w:rPr>
        <w:t xml:space="preserve"> (plural </w:t>
      </w:r>
      <w:r w:rsidRPr="00AA1737">
        <w:rPr>
          <w:rFonts w:asciiTheme="majorBidi" w:eastAsia="Calibri" w:hAnsiTheme="majorBidi" w:cstheme="majorBidi"/>
        </w:rPr>
        <w:t>taramanili</w:t>
      </w:r>
      <w:r w:rsidRPr="00F03A26">
        <w:rPr>
          <w:rFonts w:asciiTheme="majorBidi" w:eastAsia="Calibri" w:hAnsiTheme="majorBidi" w:cstheme="majorBidi"/>
        </w:rPr>
        <w:t>), which means 'water spring,'</w:t>
      </w:r>
      <w:r w:rsidRPr="00F03A26">
        <w:rPr>
          <w:rFonts w:asciiTheme="majorBidi" w:eastAsia="Calibri" w:hAnsiTheme="majorBidi" w:cstheme="majorBidi"/>
          <w:i/>
          <w:iCs/>
        </w:rPr>
        <w:t xml:space="preserve"> </w:t>
      </w:r>
      <w:r w:rsidRPr="00F03A26">
        <w:rPr>
          <w:rFonts w:asciiTheme="majorBidi" w:eastAsia="Calibri" w:hAnsiTheme="majorBidi" w:cstheme="majorBidi"/>
        </w:rPr>
        <w:t>is expressed more often in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inscriptions. The three inscriptions that are duplicates of each other and located in different parts of the rock façade opened in an area close to the plain level in the middle zone of the Ṭušpa</w:t>
      </w:r>
      <w:r w:rsidR="00792E01" w:rsidRPr="00F03A26">
        <w:rPr>
          <w:rFonts w:asciiTheme="majorBidi" w:eastAsia="Calibri" w:hAnsiTheme="majorBidi" w:cstheme="majorBidi"/>
        </w:rPr>
        <w:t xml:space="preserve"> </w:t>
      </w:r>
      <w:r w:rsidRPr="00F03A26">
        <w:rPr>
          <w:rFonts w:asciiTheme="majorBidi" w:eastAsia="Calibri" w:hAnsiTheme="majorBidi" w:cstheme="majorBidi"/>
        </w:rPr>
        <w:t>citadel constitute the taramanili</w:t>
      </w:r>
      <w:r w:rsidRPr="00F03A26">
        <w:rPr>
          <w:rFonts w:asciiTheme="majorBidi" w:eastAsia="Calibri" w:hAnsiTheme="majorBidi" w:cstheme="majorBidi"/>
          <w:i/>
          <w:iCs/>
        </w:rPr>
        <w:t xml:space="preserve"> </w:t>
      </w:r>
      <w:r w:rsidRPr="00F03A26">
        <w:rPr>
          <w:rFonts w:asciiTheme="majorBidi" w:eastAsia="Calibri" w:hAnsiTheme="majorBidi" w:cstheme="majorBidi"/>
        </w:rPr>
        <w:t xml:space="preserve">inscriptions. These inscriptions start with the expression of Minua, stating that he '…dug? Moreover, built this spring…' (CTU I. A 5-58 A-C). We do not know how Minua built a water facility in this part of the Van Fortress, which is still rich today with its natural water springs. However, considering the groundwater capacity of the rock outcrop today, it could be suggested that Minua should have built small water pools here to supply water to the fortress and its vicinity rather than an irrigation canal </w:t>
      </w:r>
      <w:r w:rsidRPr="007256E1">
        <w:rPr>
          <w:rFonts w:asciiTheme="majorBidi" w:eastAsia="Calibri" w:hAnsiTheme="majorBidi" w:cstheme="majorBidi"/>
        </w:rPr>
        <w:t>(pili),</w:t>
      </w:r>
      <w:r w:rsidRPr="00F03A26">
        <w:rPr>
          <w:rFonts w:asciiTheme="majorBidi" w:eastAsia="Calibri" w:hAnsiTheme="majorBidi" w:cstheme="majorBidi"/>
        </w:rPr>
        <w:t xml:space="preserve"> which was also commonly built during his reign. A similar water reserve was also found to the south of the Aznavurtepe Fortress, which was also built by Minua (Burney &amp; Lawson, 1960: 194; Genç &amp; Schachner, 2022: 71-88): today, A fountain known as the Horhor</w:t>
      </w:r>
      <w:r w:rsidR="00647545">
        <w:rPr>
          <w:rFonts w:asciiTheme="majorBidi" w:eastAsia="Calibr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fountain was unearthed in 2012. The fountain was built in a niche carved into the bedrock on the southwestern edge of the Ṭušpa</w:t>
      </w:r>
      <w:r w:rsidR="00792E01" w:rsidRPr="00F03A26">
        <w:rPr>
          <w:rFonts w:asciiTheme="majorBidi" w:eastAsia="Calibri" w:hAnsiTheme="majorBidi" w:cstheme="majorBidi"/>
        </w:rPr>
        <w:t xml:space="preserve"> </w:t>
      </w:r>
      <w:r w:rsidRPr="00F03A26">
        <w:rPr>
          <w:rFonts w:asciiTheme="majorBidi" w:eastAsia="Calibri" w:hAnsiTheme="majorBidi" w:cstheme="majorBidi"/>
        </w:rPr>
        <w:t>citadel. Although there are no inscriptions on the niche, the steps connecting it to the citadel and its structural features, such as the small water pool and canal that were carved into the bedrock in front of the niche, reflect Urartian characteristics (Konyar, Genç, Avcı, Akgün &amp; Tan, 2015: 73-81). This fountain is a candidate for the water springs referred to in the plural as the taramanili by Minua. It further demonstrates the sole example of such water springs in the capital Ṭušpa</w:t>
      </w:r>
      <w:r w:rsidR="00792E01" w:rsidRPr="00F03A26">
        <w:rPr>
          <w:rFonts w:asciiTheme="majorBidi" w:eastAsia="Calibri" w:hAnsiTheme="majorBidi" w:cstheme="majorBidi"/>
        </w:rPr>
        <w:t xml:space="preserve"> </w:t>
      </w:r>
      <w:r w:rsidRPr="00F03A26">
        <w:rPr>
          <w:rFonts w:asciiTheme="majorBidi" w:eastAsia="Calibri" w:hAnsiTheme="majorBidi" w:cstheme="majorBidi"/>
        </w:rPr>
        <w:t>that was excavated with its architectural features.</w:t>
      </w:r>
    </w:p>
    <w:p w14:paraId="52A44B3B" w14:textId="6E3639FD" w:rsidR="00792E01" w:rsidRPr="00F03A26" w:rsidRDefault="00F40E43"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Among the water management projects of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xml:space="preserve">, the most prominent is the </w:t>
      </w:r>
      <w:r w:rsidRPr="007256E1">
        <w:rPr>
          <w:rFonts w:asciiTheme="majorBidi" w:eastAsia="Calibri" w:hAnsiTheme="majorBidi" w:cstheme="majorBidi"/>
        </w:rPr>
        <w:t>Minua Canal' Minuai pili,' which</w:t>
      </w:r>
      <w:r w:rsidRPr="00F03A26">
        <w:rPr>
          <w:rFonts w:asciiTheme="majorBidi" w:eastAsia="Calibri" w:hAnsiTheme="majorBidi" w:cstheme="majorBidi"/>
        </w:rPr>
        <w:t xml:space="preserve"> provided water to the capital Ṭušpa. Today, This canal is defined as the Şamran Canal and still provides water. In the seminal work of 'History of the Armenians' the Medieval historian Movses</w:t>
      </w:r>
      <w:r w:rsidR="001F2587">
        <w:rPr>
          <w:rFonts w:asciiTheme="majorBidi" w:eastAsia="Calibri" w:hAnsiTheme="majorBidi" w:cstheme="majorBidi"/>
        </w:rPr>
        <w:fldChar w:fldCharType="begin"/>
      </w:r>
      <w:r w:rsidR="001F2587">
        <w:instrText xml:space="preserve"> XE "</w:instrText>
      </w:r>
      <w:r w:rsidR="001F2587" w:rsidRPr="0062015B">
        <w:rPr>
          <w:rFonts w:asciiTheme="majorBidi" w:hAnsiTheme="majorBidi" w:cstheme="majorBidi"/>
          <w:kern w:val="0"/>
          <w:sz w:val="22"/>
          <w:szCs w:val="22"/>
          <w:lang w:val="en-US"/>
          <w14:ligatures w14:val="none"/>
        </w:rPr>
        <w:instrText>Movses</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Khorenatsi mentions that a city and a fortress, as well as vineyards and gardens, were built in the east of Van Lake</w:t>
      </w:r>
      <w:r w:rsidR="001F2587">
        <w:rPr>
          <w:rFonts w:asciiTheme="majorBidi" w:eastAsia="Calibri" w:hAnsiTheme="majorBidi" w:cstheme="majorBidi"/>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by the Assyrian</w:t>
      </w:r>
      <w:r w:rsidR="001F2587">
        <w:rPr>
          <w:rFonts w:asciiTheme="majorBidi" w:eastAsia="Calibr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queen Semiramis</w:t>
      </w:r>
      <w:r w:rsidR="001F2587">
        <w:rPr>
          <w:rFonts w:asciiTheme="majorBidi" w:eastAsia="Calibri" w:hAnsiTheme="majorBidi" w:cstheme="majorBidi"/>
        </w:rPr>
        <w:fldChar w:fldCharType="begin"/>
      </w:r>
      <w:r w:rsidR="001F2587">
        <w:instrText xml:space="preserve"> XE "</w:instrText>
      </w:r>
      <w:r w:rsidR="001F2587" w:rsidRPr="00276759">
        <w:rPr>
          <w:rFonts w:asciiTheme="majorBidi" w:hAnsiTheme="majorBidi" w:cstheme="majorBidi"/>
          <w:kern w:val="0"/>
          <w:sz w:val="22"/>
          <w:szCs w:val="22"/>
          <w:lang w:val="en-US"/>
          <w14:ligatures w14:val="none"/>
        </w:rPr>
        <w:instrText>Semiramis</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or Šammuramat (Thomson, 2006: 95-97). The definition of 'The Canal of Şamran/Semiramis' is possibly linked to this narration. The Şamran Water emerges from a rocky area in the skirts of the Berpélan Hills about 2 kilometers to the south of the Méjingéra Jor (Yukarı Kaymaz) village in the Hewasor (Gürpınar) district of Van. Starting from its source in the Berpélan Hills</w:t>
      </w:r>
      <w:r w:rsidR="00792E01" w:rsidRPr="00F03A26">
        <w:rPr>
          <w:rStyle w:val="DipnotBavurusu"/>
          <w:rFonts w:asciiTheme="majorBidi" w:eastAsia="Calibri" w:hAnsiTheme="majorBidi" w:cstheme="majorBidi"/>
        </w:rPr>
        <w:footnoteReference w:id="18"/>
      </w:r>
      <w:r w:rsidRPr="00F03A26">
        <w:rPr>
          <w:rFonts w:asciiTheme="majorBidi" w:eastAsia="Calibri" w:hAnsiTheme="majorBidi" w:cstheme="majorBidi"/>
        </w:rPr>
        <w:t xml:space="preserve">, the water flows in a natural creek bed, passing through the Méjingéra Jor, Méjingéra Jér (Aşağı Kaymaz), and Xarnurt (Değirmendüzü) villages to meet the Hoşab Creek. At the meeting point of the Şamran Water and the Hoşab Creek in Méjingéra Jér, the water should have been collected with a dam and transferred to the Minua Canal located right to the northern shore of the </w:t>
      </w:r>
      <w:r w:rsidRPr="00F03A26">
        <w:rPr>
          <w:rFonts w:asciiTheme="majorBidi" w:eastAsia="Calibri" w:hAnsiTheme="majorBidi" w:cstheme="majorBidi"/>
        </w:rPr>
        <w:lastRenderedPageBreak/>
        <w:t>Hoşab Creek</w:t>
      </w:r>
      <w:r w:rsidR="00792E01" w:rsidRPr="00F03A26">
        <w:rPr>
          <w:rStyle w:val="DipnotBavurusu"/>
          <w:rFonts w:asciiTheme="majorBidi" w:eastAsia="Calibri" w:hAnsiTheme="majorBidi" w:cstheme="majorBidi"/>
        </w:rPr>
        <w:footnoteReference w:id="19"/>
      </w:r>
      <w:r w:rsidRPr="00F03A26">
        <w:rPr>
          <w:rFonts w:asciiTheme="majorBidi" w:eastAsia="Calibri" w:hAnsiTheme="majorBidi" w:cstheme="majorBidi"/>
        </w:rPr>
        <w:t xml:space="preserve">. From this point at Méjingéra Jér, the canal continues about 200 m to the west, where the first inscription of the canal is located. The location of this inscription points to the starting point of the canal. The inscription incorporates the expression </w:t>
      </w:r>
      <w:r w:rsidR="00270549">
        <w:rPr>
          <w:rFonts w:asciiTheme="majorBidi" w:eastAsia="Calibri" w:hAnsiTheme="majorBidi" w:cstheme="majorBidi"/>
        </w:rPr>
        <w:t>“</w:t>
      </w:r>
      <w:r w:rsidRPr="00F03A26">
        <w:rPr>
          <w:rFonts w:asciiTheme="majorBidi" w:eastAsia="Calibri" w:hAnsiTheme="majorBidi" w:cstheme="majorBidi"/>
        </w:rPr>
        <w:t>Minua, the son of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built this canal</w:t>
      </w:r>
      <w:r w:rsidR="00270549">
        <w:rPr>
          <w:rFonts w:asciiTheme="majorBidi" w:eastAsia="Calibri" w:hAnsiTheme="majorBidi" w:cstheme="majorBidi"/>
        </w:rPr>
        <w:t>”</w:t>
      </w:r>
      <w:r w:rsidRPr="00F03A26">
        <w:rPr>
          <w:rFonts w:asciiTheme="majorBidi" w:eastAsia="Calibri" w:hAnsiTheme="majorBidi" w:cstheme="majorBidi"/>
        </w:rPr>
        <w:t xml:space="preserve">. This text was inscribed on a stone block that fell from a rocky area located above this location. Its top part is broken, and new breaks are visible on the inscription. This canal is named the </w:t>
      </w:r>
      <w:r w:rsidR="00270549">
        <w:rPr>
          <w:rFonts w:asciiTheme="majorBidi" w:eastAsia="Calibri" w:hAnsiTheme="majorBidi" w:cstheme="majorBidi"/>
        </w:rPr>
        <w:t>‘</w:t>
      </w:r>
      <w:r w:rsidRPr="00F03A26">
        <w:rPr>
          <w:rFonts w:asciiTheme="majorBidi" w:eastAsia="Calibri" w:hAnsiTheme="majorBidi" w:cstheme="majorBidi"/>
        </w:rPr>
        <w:t>Minua Canal</w:t>
      </w:r>
      <w:r w:rsidR="00270549">
        <w:rPr>
          <w:rFonts w:asciiTheme="majorBidi" w:eastAsia="Calibri" w:hAnsiTheme="majorBidi" w:cstheme="majorBidi"/>
        </w:rPr>
        <w:t>’</w:t>
      </w:r>
      <w:r w:rsidRPr="00F03A26">
        <w:rPr>
          <w:rFonts w:asciiTheme="majorBidi" w:eastAsia="Calibri" w:hAnsiTheme="majorBidi" w:cstheme="majorBidi"/>
        </w:rPr>
        <w:t xml:space="preserve"> and the curse part of the inscription (Payne, 2006: 77; CTU I. A 5-12C). After this part, there are 15 inscriptions along the Minua Canal (CTU I. A 5-12 – CTU I. A 5-15). Among these 15 inscriptions, there is only one inscription with content other than canal construction. This rock inscription located around </w:t>
      </w:r>
      <w:r w:rsidRPr="007256E1">
        <w:rPr>
          <w:rFonts w:asciiTheme="majorBidi" w:eastAsia="Calibri" w:hAnsiTheme="majorBidi" w:cstheme="majorBidi"/>
        </w:rPr>
        <w:t xml:space="preserve">Katepants (Kadembas), in particular, mentions that a vineyard named </w:t>
      </w:r>
      <w:r w:rsidR="00270549" w:rsidRPr="00270549">
        <w:rPr>
          <w:rFonts w:asciiTheme="majorBidi" w:eastAsia="Calibri" w:hAnsiTheme="majorBidi" w:cstheme="majorBidi"/>
        </w:rPr>
        <w:t>"</w:t>
      </w:r>
      <w:r w:rsidRPr="007256E1">
        <w:rPr>
          <w:rFonts w:asciiTheme="majorBidi" w:eastAsia="Calibri" w:hAnsiTheme="majorBidi" w:cstheme="majorBidi"/>
        </w:rPr>
        <w:t>Taririaḫinili</w:t>
      </w:r>
      <w:r w:rsidR="00270549" w:rsidRPr="00270549">
        <w:rPr>
          <w:rFonts w:asciiTheme="majorBidi" w:eastAsia="Calibri" w:hAnsiTheme="majorBidi" w:cstheme="majorBidi"/>
        </w:rPr>
        <w:t>"</w:t>
      </w:r>
      <w:r w:rsidRPr="007256E1">
        <w:rPr>
          <w:rFonts w:asciiTheme="majorBidi" w:eastAsia="Calibri" w:hAnsiTheme="majorBidi" w:cstheme="majorBidi"/>
        </w:rPr>
        <w:t xml:space="preserve"> was built for Tariria, the wife of Minua (CTU I. A 5A-1). The first inscription's location near the canal's start makes sense</w:t>
      </w:r>
      <w:r w:rsidR="00792E01" w:rsidRPr="007256E1">
        <w:rPr>
          <w:rStyle w:val="DipnotBavurusu"/>
          <w:rFonts w:asciiTheme="majorBidi" w:eastAsia="Calibri" w:hAnsiTheme="majorBidi" w:cstheme="majorBidi"/>
        </w:rPr>
        <w:footnoteReference w:id="20"/>
      </w:r>
      <w:r w:rsidRPr="007256E1">
        <w:rPr>
          <w:rFonts w:asciiTheme="majorBidi" w:eastAsia="Calibri" w:hAnsiTheme="majorBidi" w:cstheme="majorBidi"/>
        </w:rPr>
        <w:t xml:space="preserve">. From the starting point at Méjingéra Jér until the Navşan (Kurubaş) Creek, the Minua Canal is about 46 km long; however, there are some uncertainties regarding its overall extent. After Edremit, the entire extent of the canal through the Van </w:t>
      </w:r>
      <w:r w:rsidR="00792E01" w:rsidRPr="007256E1">
        <w:rPr>
          <w:rFonts w:asciiTheme="majorBidi" w:eastAsia="Calibri" w:hAnsiTheme="majorBidi" w:cstheme="majorBidi"/>
        </w:rPr>
        <w:t>p</w:t>
      </w:r>
      <w:r w:rsidRPr="007256E1">
        <w:rPr>
          <w:rFonts w:asciiTheme="majorBidi" w:eastAsia="Calibri" w:hAnsiTheme="majorBidi" w:cstheme="majorBidi"/>
        </w:rPr>
        <w:t>lain is unknown. The height of the canal through</w:t>
      </w:r>
      <w:r w:rsidRPr="00F03A26">
        <w:rPr>
          <w:rFonts w:asciiTheme="majorBidi" w:eastAsia="Calibri" w:hAnsiTheme="majorBidi" w:cstheme="majorBidi"/>
        </w:rPr>
        <w:t xml:space="preserve"> the slopes may be an indicator that it reaches further until the Navşan (Kurubaş) Creek (Öğün, 1970: 20, 37). However, the growth of Van </w:t>
      </w:r>
      <w:r w:rsidR="00792E01" w:rsidRPr="00F03A26">
        <w:rPr>
          <w:rFonts w:asciiTheme="majorBidi" w:eastAsia="Calibri" w:hAnsiTheme="majorBidi" w:cstheme="majorBidi"/>
        </w:rPr>
        <w:t>c</w:t>
      </w:r>
      <w:r w:rsidRPr="00F03A26">
        <w:rPr>
          <w:rFonts w:asciiTheme="majorBidi" w:eastAsia="Calibri" w:hAnsiTheme="majorBidi" w:cstheme="majorBidi"/>
        </w:rPr>
        <w:t xml:space="preserve">ity </w:t>
      </w:r>
      <w:r w:rsidR="00792E01" w:rsidRPr="00F03A26">
        <w:rPr>
          <w:rFonts w:asciiTheme="majorBidi" w:eastAsia="Calibri" w:hAnsiTheme="majorBidi" w:cstheme="majorBidi"/>
        </w:rPr>
        <w:t>c</w:t>
      </w:r>
      <w:r w:rsidRPr="00F03A26">
        <w:rPr>
          <w:rFonts w:asciiTheme="majorBidi" w:eastAsia="Calibri" w:hAnsiTheme="majorBidi" w:cstheme="majorBidi"/>
        </w:rPr>
        <w:t>enter removed any possible evidence regarding the destination of this canal. Intensive construction of cities, fortresses, and irrigation projects during the reign of Minua brought significant transformations to the city of Ṭušpa. Inscriptions along the Minua</w:t>
      </w:r>
      <w:r w:rsidR="00792E01" w:rsidRPr="00F03A26">
        <w:rPr>
          <w:rFonts w:asciiTheme="majorBidi" w:eastAsia="Calibri" w:hAnsiTheme="majorBidi" w:cstheme="majorBidi"/>
        </w:rPr>
        <w:t xml:space="preserve"> </w:t>
      </w:r>
      <w:r w:rsidRPr="00F03A26">
        <w:rPr>
          <w:rFonts w:asciiTheme="majorBidi" w:eastAsia="Calibri" w:hAnsiTheme="majorBidi" w:cstheme="majorBidi"/>
        </w:rPr>
        <w:t xml:space="preserve">canal, vineyards, gardens, and this water route that nurtured the capital Ṭušpa all narrate how the kingdom transformed the region they inhabited through time (Fig. 6). </w:t>
      </w:r>
    </w:p>
    <w:p w14:paraId="03E70A80"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lastRenderedPageBreak/>
        <w:drawing>
          <wp:inline distT="0" distB="0" distL="0" distR="0" wp14:anchorId="19E05B21" wp14:editId="4F14D176">
            <wp:extent cx="5733415" cy="3821438"/>
            <wp:effectExtent l="0" t="0" r="635" b="7620"/>
            <wp:docPr id="93" name="Resim 93" descr="E:\Van Surveyi\Van Sulama Sistemleri Surveyi 2021\DRONE FOTOLARI (Rıdvan)\Minua Kanalı\DJI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an Surveyi\Van Sulama Sistemleri Surveyi 2021\DRONE FOTOLARI (Rıdvan)\Minua Kanalı\DJI_0362.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33415" cy="3821438"/>
                    </a:xfrm>
                    <a:prstGeom prst="rect">
                      <a:avLst/>
                    </a:prstGeom>
                    <a:noFill/>
                    <a:ln>
                      <a:noFill/>
                    </a:ln>
                  </pic:spPr>
                </pic:pic>
              </a:graphicData>
            </a:graphic>
          </wp:inline>
        </w:drawing>
      </w:r>
    </w:p>
    <w:p w14:paraId="518A91D6"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6 Minua</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"Minua"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Canal</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"Minua Canal"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from Katepants</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w:instrText>
      </w:r>
      <w:r w:rsidRPr="00F03A26">
        <w:rPr>
          <w:rFonts w:asciiTheme="majorBidi" w:eastAsia="Calibri" w:hAnsiTheme="majorBidi" w:cstheme="majorBidi"/>
          <w:iCs/>
          <w:lang w:val="en-GB"/>
        </w:rPr>
        <w:instrText>Katepants</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Garden locality, canal carries water from approximately 50 km the distance to the Van/</w:t>
      </w:r>
      <w:r w:rsidRPr="00F03A26">
        <w:rPr>
          <w:rFonts w:asciiTheme="majorBidi" w:eastAsia="Calibri" w:hAnsiTheme="majorBidi" w:cstheme="majorBidi"/>
          <w:iCs/>
          <w:lang w:val="en-GB"/>
        </w:rPr>
        <w:t>Ṭušpa</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w:instrText>
      </w:r>
      <w:r w:rsidRPr="00F03A26">
        <w:rPr>
          <w:rFonts w:asciiTheme="majorBidi" w:eastAsia="Calibri" w:hAnsiTheme="majorBidi" w:cstheme="majorBidi"/>
          <w:iCs/>
          <w:color w:val="000000"/>
          <w:lang w:val="en-GB"/>
        </w:rPr>
        <w:instrText>Ṭušpa</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plain.</w:t>
      </w:r>
    </w:p>
    <w:p w14:paraId="4C09A791" w14:textId="594FCF19"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The stele piece belonging to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later used as a solid material at the Medieval Surp Boğos Church</w:t>
      </w:r>
      <w:r w:rsidR="00E652FB">
        <w:rPr>
          <w:rFonts w:asciiTheme="majorBidi" w:eastAsia="Calibri" w:hAnsiTheme="majorBidi" w:cstheme="majorBidi"/>
        </w:rPr>
        <w:fldChar w:fldCharType="begin"/>
      </w:r>
      <w:r w:rsidR="00E652FB">
        <w:instrText xml:space="preserve"> XE "</w:instrText>
      </w:r>
      <w:r w:rsidR="00E652FB" w:rsidRPr="00BA712F">
        <w:rPr>
          <w:rFonts w:asciiTheme="majorBidi" w:hAnsiTheme="majorBidi" w:cstheme="majorBidi"/>
        </w:rPr>
        <w:instrText>Surp Boğos Church</w:instrText>
      </w:r>
      <w:r w:rsidR="00E652FB">
        <w:instrText xml:space="preserve">" </w:instrText>
      </w:r>
      <w:r w:rsidR="00E652FB">
        <w:rPr>
          <w:rFonts w:asciiTheme="majorBidi" w:eastAsia="Calibri" w:hAnsiTheme="majorBidi" w:cstheme="majorBidi"/>
        </w:rPr>
        <w:fldChar w:fldCharType="end"/>
      </w:r>
      <w:r w:rsidRPr="00F03A26">
        <w:rPr>
          <w:rFonts w:asciiTheme="majorBidi" w:eastAsia="Calibri" w:hAnsiTheme="majorBidi" w:cstheme="majorBidi"/>
        </w:rPr>
        <w:t> in the south of the fortress, should have been brought from the Ṭušpa citadel (CTU I. A 5-9). Similarly, another stele chronicle belonging to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king Sarduri II</w:t>
      </w:r>
      <w:r w:rsidR="00C1513A">
        <w:rPr>
          <w:rFonts w:asciiTheme="majorBidi" w:eastAsia="Calibri" w:hAnsiTheme="majorBidi" w:cstheme="majorBidi"/>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(CTU I. A 9-1) used in the same church had been brought from the Analıkız</w:t>
      </w:r>
      <w:r w:rsidR="00647545">
        <w:rPr>
          <w:rFonts w:asciiTheme="majorBidi" w:eastAsia="Calibr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area on the northern slope of the fortress (see Chapter 10). Based on current data, it could be suggested that Minua initiated the tradition of leaving chronicles in the Ṭušpa citadel. The inscriptions found in Ṭušpa citadel and the Medieval city of Van indicate that the chronicle tradition in the capital was maintained after Minua, during the reigns of Argišti I</w:t>
      </w:r>
      <w:r w:rsidR="001F2587">
        <w:rPr>
          <w:rFonts w:asciiTheme="majorBidi" w:eastAsia="Calibr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and Sarduri II. Did Minua dedicate the Analıkız area to place his stelae, or were the stelae placed in the Eastern Niche, which has no inscriptions, to the east of the Western Niche, where we find the inscriptions of Sarduri II? Such questions become even more complex considering the chronicles of Argišti I at the entrance of the Horhor</w:t>
      </w:r>
      <w:r w:rsidR="00647545">
        <w:rPr>
          <w:rFonts w:asciiTheme="majorBidi" w:eastAsia="Calibr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rock-cut grave and the presence of other independent inscribed stelae. Eventually, it was understood that a dedicated area in Ṭušpa citadel was dedicated to Minua’s chronicles. The Analıkız area (Eastern niche?) could be a candidate. The chronicle stelae of Minua were multi-faceted and had a unique form, like the stelae of Sarduri II in the Analıkız area.</w:t>
      </w:r>
    </w:p>
    <w:p w14:paraId="296E43F0" w14:textId="07EE6083"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lastRenderedPageBreak/>
        <w:t>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xml:space="preserve"> had left a significant mark at the Ṭušpa citadel. The </w:t>
      </w:r>
      <w:r w:rsidR="00270549" w:rsidRPr="00270549">
        <w:rPr>
          <w:rFonts w:asciiTheme="majorBidi" w:eastAsia="Calibri" w:hAnsiTheme="majorBidi" w:cstheme="majorBidi"/>
        </w:rPr>
        <w:t>"</w:t>
      </w:r>
      <w:r w:rsidRPr="00F03A26">
        <w:rPr>
          <w:rFonts w:asciiTheme="majorBidi" w:eastAsia="Calibri" w:hAnsiTheme="majorBidi" w:cstheme="majorBidi"/>
        </w:rPr>
        <w:t>susi</w:t>
      </w:r>
      <w:r w:rsidR="00270549" w:rsidRPr="00270549">
        <w:rPr>
          <w:rFonts w:asciiTheme="majorBidi" w:eastAsia="Calibri" w:hAnsiTheme="majorBidi" w:cstheme="majorBidi"/>
        </w:rPr>
        <w:t>"</w:t>
      </w:r>
      <w:r w:rsidR="00C1513A">
        <w:rPr>
          <w:rFonts w:asciiTheme="majorBidi" w:eastAsia="Calibri" w:hAnsiTheme="majorBidi" w:cstheme="majorBidi"/>
        </w:rPr>
        <w:fldChar w:fldCharType="begin"/>
      </w:r>
      <w:r w:rsidR="00C1513A">
        <w:instrText xml:space="preserve"> XE "</w:instrText>
      </w:r>
      <w:r w:rsidR="00C1513A" w:rsidRPr="00C85EFB">
        <w:rPr>
          <w:rFonts w:asciiTheme="majorBidi" w:eastAsia="Times New Roman" w:hAnsiTheme="majorBidi" w:cstheme="majorBidi"/>
          <w:lang w:val="en-GB"/>
        </w:rPr>
        <w:instrText>susi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i/>
          <w:iCs/>
        </w:rPr>
        <w:t> </w:t>
      </w:r>
      <w:r w:rsidRPr="00F03A26">
        <w:rPr>
          <w:rFonts w:asciiTheme="majorBidi" w:eastAsia="Calibri" w:hAnsiTheme="majorBidi" w:cstheme="majorBidi"/>
        </w:rPr>
        <w:t>temple of God Ḫaldi</w:t>
      </w:r>
      <w:r w:rsidR="00C1513A">
        <w:rPr>
          <w:rFonts w:asciiTheme="majorBidi" w:eastAsia="Calibri" w:hAnsiTheme="majorBidi" w:cstheme="majorBidi"/>
        </w:rPr>
        <w:fldChar w:fldCharType="begin"/>
      </w:r>
      <w:r w:rsidR="00C1513A">
        <w:instrText xml:space="preserve"> XE "</w:instrText>
      </w:r>
      <w:r w:rsidR="00C1513A" w:rsidRPr="009F22E3">
        <w:rPr>
          <w:rFonts w:asciiTheme="majorBidi" w:eastAsia="Times New Roman" w:hAnsiTheme="majorBidi" w:cstheme="majorBidi"/>
          <w:lang w:val="en-GB"/>
        </w:rPr>
        <w:instrText>God Ḫaldi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which should be located in the Ṭušpa</w:t>
      </w:r>
      <w:r w:rsidR="00814086" w:rsidRPr="00F03A26">
        <w:rPr>
          <w:rFonts w:asciiTheme="majorBidi" w:eastAsia="Calibri" w:hAnsiTheme="majorBidi" w:cstheme="majorBidi"/>
        </w:rPr>
        <w:t xml:space="preserve"> </w:t>
      </w:r>
      <w:r w:rsidRPr="00F03A26">
        <w:rPr>
          <w:rFonts w:asciiTheme="majorBidi" w:eastAsia="Calibri" w:hAnsiTheme="majorBidi" w:cstheme="majorBidi"/>
        </w:rPr>
        <w:t>citadel, the chronicle area, and also the grain silo (</w:t>
      </w:r>
      <w:r w:rsidR="00270549" w:rsidRPr="00270549">
        <w:rPr>
          <w:rFonts w:asciiTheme="majorBidi" w:eastAsia="Calibri" w:hAnsiTheme="majorBidi" w:cstheme="majorBidi"/>
        </w:rPr>
        <w:t>"</w:t>
      </w:r>
      <w:r w:rsidRPr="00270549">
        <w:rPr>
          <w:rFonts w:asciiTheme="majorBidi" w:eastAsia="Calibri" w:hAnsiTheme="majorBidi" w:cstheme="majorBidi"/>
        </w:rPr>
        <w:t>ari</w:t>
      </w:r>
      <w:r w:rsidR="00270549" w:rsidRPr="00270549">
        <w:rPr>
          <w:rFonts w:asciiTheme="majorBidi" w:eastAsia="Calibri" w:hAnsiTheme="majorBidi" w:cstheme="majorBidi"/>
        </w:rPr>
        <w:t>"</w:t>
      </w:r>
      <w:r w:rsidRPr="00F03A26">
        <w:rPr>
          <w:rFonts w:asciiTheme="majorBidi" w:eastAsia="Calibri" w:hAnsiTheme="majorBidi" w:cstheme="majorBidi"/>
        </w:rPr>
        <w:t>), the animal stable (</w:t>
      </w:r>
      <w:r w:rsidR="00270549" w:rsidRPr="00270549">
        <w:rPr>
          <w:rFonts w:asciiTheme="majorBidi" w:eastAsia="Calibri" w:hAnsiTheme="majorBidi" w:cstheme="majorBidi"/>
        </w:rPr>
        <w:t>"</w:t>
      </w:r>
      <w:r w:rsidRPr="00270549">
        <w:rPr>
          <w:rFonts w:asciiTheme="majorBidi" w:eastAsia="Calibri" w:hAnsiTheme="majorBidi" w:cstheme="majorBidi"/>
        </w:rPr>
        <w:t>siršini</w:t>
      </w:r>
      <w:r w:rsidR="00270549" w:rsidRPr="00270549">
        <w:rPr>
          <w:rFonts w:asciiTheme="majorBidi" w:eastAsia="Calibri" w:hAnsiTheme="majorBidi" w:cstheme="majorBidi"/>
        </w:rPr>
        <w:t>"</w:t>
      </w:r>
      <w:r w:rsidR="00C1513A">
        <w:rPr>
          <w:rFonts w:asciiTheme="majorBidi" w:eastAsia="Calibri" w:hAnsiTheme="majorBidi" w:cstheme="majorBidi"/>
          <w:i/>
          <w:iCs/>
        </w:rPr>
        <w:fldChar w:fldCharType="begin"/>
      </w:r>
      <w:r w:rsidR="00C1513A">
        <w:instrText xml:space="preserve"> XE "</w:instrText>
      </w:r>
      <w:r w:rsidR="00C1513A" w:rsidRPr="00582FC6">
        <w:rPr>
          <w:rFonts w:asciiTheme="majorBidi" w:eastAsia="Times New Roman" w:hAnsiTheme="majorBidi" w:cstheme="majorBidi"/>
          <w:lang w:val="en-GB"/>
        </w:rPr>
        <w:instrText>siršini</w:instrText>
      </w:r>
      <w:r w:rsidR="00C1513A">
        <w:instrText xml:space="preserve">" </w:instrText>
      </w:r>
      <w:r w:rsidR="00C1513A">
        <w:rPr>
          <w:rFonts w:asciiTheme="majorBidi" w:eastAsia="Calibri" w:hAnsiTheme="majorBidi" w:cstheme="majorBidi"/>
          <w:i/>
          <w:iCs/>
        </w:rPr>
        <w:fldChar w:fldCharType="end"/>
      </w:r>
      <w:r w:rsidRPr="00F03A26">
        <w:rPr>
          <w:rFonts w:asciiTheme="majorBidi" w:eastAsia="Calibri" w:hAnsiTheme="majorBidi" w:cstheme="majorBidi"/>
        </w:rPr>
        <w:t>), and the spring water facilities (</w:t>
      </w:r>
      <w:r w:rsidR="00270549" w:rsidRPr="00270549">
        <w:rPr>
          <w:rFonts w:asciiTheme="majorBidi" w:eastAsia="Calibri" w:hAnsiTheme="majorBidi" w:cstheme="majorBidi"/>
        </w:rPr>
        <w:t>"</w:t>
      </w:r>
      <w:r w:rsidRPr="00AA1737">
        <w:rPr>
          <w:rFonts w:asciiTheme="majorBidi" w:eastAsia="Calibri" w:hAnsiTheme="majorBidi" w:cstheme="majorBidi"/>
        </w:rPr>
        <w:t>taramanili</w:t>
      </w:r>
      <w:r w:rsidR="00270549" w:rsidRPr="00270549">
        <w:rPr>
          <w:rFonts w:asciiTheme="majorBidi" w:eastAsia="Calibri" w:hAnsiTheme="majorBidi" w:cstheme="majorBidi"/>
        </w:rPr>
        <w:t>"</w:t>
      </w:r>
      <w:r w:rsidRPr="00F03A26">
        <w:rPr>
          <w:rFonts w:asciiTheme="majorBidi" w:eastAsia="Calibri" w:hAnsiTheme="majorBidi" w:cstheme="majorBidi"/>
        </w:rPr>
        <w:t>) indicate that the significant investments at the fortress were made during the reign of Minua. All these investments had already begun during the reign of his father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however, during the Minua period, the citadel became a characteristic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Fortress from religious, architectural, and political aspects.</w:t>
      </w:r>
    </w:p>
    <w:p w14:paraId="06311500" w14:textId="5EF92448" w:rsidR="00792E01" w:rsidRPr="00F03A26" w:rsidRDefault="00792E01" w:rsidP="00F03A26">
      <w:pPr>
        <w:keepNext/>
        <w:keepLines/>
        <w:spacing w:before="360" w:after="120" w:line="276" w:lineRule="auto"/>
        <w:jc w:val="both"/>
        <w:outlineLvl w:val="1"/>
        <w:rPr>
          <w:rFonts w:asciiTheme="majorBidi" w:eastAsia="Arial" w:hAnsiTheme="majorBidi" w:cstheme="majorBidi"/>
          <w:b/>
          <w:bCs/>
          <w:sz w:val="28"/>
          <w:szCs w:val="28"/>
          <w:lang w:val="en-GB" w:eastAsia="tr-TR" w:bidi="he-IL"/>
        </w:rPr>
      </w:pPr>
      <w:bookmarkStart w:id="22" w:name="_Toc132072509"/>
      <w:bookmarkStart w:id="23" w:name="_Toc173231190"/>
      <w:r w:rsidRPr="00F03A26">
        <w:rPr>
          <w:rFonts w:asciiTheme="majorBidi" w:eastAsia="Arial" w:hAnsiTheme="majorBidi" w:cstheme="majorBidi"/>
          <w:b/>
          <w:bCs/>
          <w:sz w:val="28"/>
          <w:szCs w:val="28"/>
          <w:lang w:val="en-GB" w:eastAsia="tr-TR" w:bidi="he-IL"/>
        </w:rPr>
        <w:t xml:space="preserve">2.6. Grand Monuments at the </w:t>
      </w:r>
      <w:r w:rsidRPr="00F03A26">
        <w:rPr>
          <w:rFonts w:asciiTheme="majorBidi" w:eastAsia="Arial" w:hAnsiTheme="majorBidi" w:cstheme="majorBidi"/>
          <w:b/>
          <w:bCs/>
          <w:iCs/>
          <w:sz w:val="28"/>
          <w:szCs w:val="28"/>
          <w:lang w:val="en-GB" w:eastAsia="tr-TR" w:bidi="he-IL"/>
        </w:rPr>
        <w:t>Ṭušpa</w:t>
      </w:r>
      <w:r w:rsidRPr="00F03A26">
        <w:rPr>
          <w:rFonts w:asciiTheme="majorBidi" w:eastAsia="Arial" w:hAnsiTheme="majorBidi" w:cstheme="majorBidi"/>
          <w:b/>
          <w:bCs/>
          <w:i/>
          <w:iCs/>
          <w:sz w:val="28"/>
          <w:szCs w:val="28"/>
          <w:lang w:val="en-GB" w:eastAsia="tr-TR" w:bidi="he-IL"/>
        </w:rPr>
        <w:t xml:space="preserve"> </w:t>
      </w:r>
      <w:r w:rsidRPr="00F03A26">
        <w:rPr>
          <w:rFonts w:asciiTheme="majorBidi" w:eastAsia="Arial" w:hAnsiTheme="majorBidi" w:cstheme="majorBidi"/>
          <w:b/>
          <w:bCs/>
          <w:sz w:val="28"/>
          <w:szCs w:val="28"/>
          <w:lang w:val="en-GB" w:eastAsia="tr-TR" w:bidi="he-IL"/>
        </w:rPr>
        <w:t xml:space="preserve">Fortress: The Reigns of </w:t>
      </w:r>
      <w:r w:rsidRPr="00F03A26">
        <w:rPr>
          <w:rFonts w:asciiTheme="majorBidi" w:eastAsia="Arial" w:hAnsiTheme="majorBidi" w:cstheme="majorBidi"/>
          <w:b/>
          <w:bCs/>
          <w:iCs/>
          <w:sz w:val="28"/>
          <w:szCs w:val="28"/>
          <w:lang w:val="en-GB" w:eastAsia="tr-TR" w:bidi="he-IL"/>
        </w:rPr>
        <w:t>Argišti</w:t>
      </w:r>
      <w:r w:rsidRPr="00F03A26">
        <w:rPr>
          <w:rFonts w:asciiTheme="majorBidi" w:eastAsia="Arial" w:hAnsiTheme="majorBidi" w:cstheme="majorBidi"/>
          <w:b/>
          <w:bCs/>
          <w:sz w:val="28"/>
          <w:szCs w:val="28"/>
          <w:lang w:val="en-GB" w:eastAsia="tr-TR" w:bidi="he-IL"/>
        </w:rPr>
        <w:t xml:space="preserve"> </w:t>
      </w:r>
      <w:r w:rsidRPr="00573B62">
        <w:rPr>
          <w:rFonts w:asciiTheme="majorBidi" w:eastAsia="Arial" w:hAnsiTheme="majorBidi" w:cstheme="majorBidi"/>
          <w:b/>
          <w:bCs/>
          <w:sz w:val="28"/>
          <w:szCs w:val="28"/>
          <w:lang w:val="en-GB" w:eastAsia="tr-TR" w:bidi="he-IL"/>
        </w:rPr>
        <w:t>I</w:t>
      </w:r>
      <w:r w:rsidRPr="00573B62">
        <w:rPr>
          <w:rFonts w:asciiTheme="majorBidi" w:eastAsia="Arial" w:hAnsiTheme="majorBidi" w:cstheme="majorBidi"/>
          <w:b/>
          <w:bCs/>
          <w:sz w:val="28"/>
          <w:szCs w:val="28"/>
          <w:lang w:val="en-GB" w:eastAsia="tr-TR" w:bidi="he-IL"/>
        </w:rPr>
        <w:fldChar w:fldCharType="begin"/>
      </w:r>
      <w:r w:rsidRPr="00573B62">
        <w:rPr>
          <w:rFonts w:asciiTheme="majorBidi" w:eastAsia="Calibri" w:hAnsiTheme="majorBidi" w:cstheme="majorBidi"/>
          <w:sz w:val="28"/>
          <w:szCs w:val="28"/>
          <w:lang w:val="en-GB"/>
        </w:rPr>
        <w:instrText xml:space="preserve"> XE "Argišti I" </w:instrText>
      </w:r>
      <w:r w:rsidRPr="00573B62">
        <w:rPr>
          <w:rFonts w:asciiTheme="majorBidi" w:eastAsia="Arial" w:hAnsiTheme="majorBidi" w:cstheme="majorBidi"/>
          <w:b/>
          <w:bCs/>
          <w:sz w:val="28"/>
          <w:szCs w:val="28"/>
          <w:lang w:val="en-GB" w:eastAsia="tr-TR" w:bidi="he-IL"/>
        </w:rPr>
        <w:fldChar w:fldCharType="end"/>
      </w:r>
      <w:r w:rsidRPr="00F03A26">
        <w:rPr>
          <w:rFonts w:asciiTheme="majorBidi" w:eastAsia="Arial" w:hAnsiTheme="majorBidi" w:cstheme="majorBidi"/>
          <w:b/>
          <w:bCs/>
          <w:sz w:val="28"/>
          <w:szCs w:val="28"/>
          <w:lang w:val="en-GB" w:eastAsia="tr-TR" w:bidi="he-IL"/>
        </w:rPr>
        <w:t xml:space="preserve"> and his son Sarduri II</w:t>
      </w:r>
      <w:bookmarkEnd w:id="22"/>
      <w:bookmarkEnd w:id="23"/>
      <w:r w:rsidRPr="00F03A26">
        <w:rPr>
          <w:rFonts w:asciiTheme="majorBidi" w:eastAsia="Arial" w:hAnsiTheme="majorBidi" w:cstheme="majorBidi"/>
          <w:b/>
          <w:bCs/>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"Sarduri II" </w:instrText>
      </w:r>
      <w:r w:rsidRPr="00F03A26">
        <w:rPr>
          <w:rFonts w:asciiTheme="majorBidi" w:eastAsia="Arial" w:hAnsiTheme="majorBidi" w:cstheme="majorBidi"/>
          <w:b/>
          <w:bCs/>
          <w:sz w:val="28"/>
          <w:szCs w:val="28"/>
          <w:lang w:val="en-GB" w:eastAsia="tr-TR" w:bidi="he-IL"/>
        </w:rPr>
        <w:fldChar w:fldCharType="end"/>
      </w:r>
    </w:p>
    <w:p w14:paraId="23FF4711" w14:textId="64D72FB4" w:rsidR="00792E01" w:rsidRPr="00F03A26" w:rsidRDefault="00792E01" w:rsidP="00F03A26">
      <w:pPr>
        <w:spacing w:before="100" w:beforeAutospacing="1" w:after="100" w:afterAutospacing="1" w:line="276" w:lineRule="auto"/>
        <w:jc w:val="both"/>
        <w:rPr>
          <w:rFonts w:asciiTheme="majorBidi" w:eastAsia="Calibri" w:hAnsiTheme="majorBidi" w:cstheme="majorBidi"/>
          <w:highlight w:val="yellow"/>
          <w:lang w:val="en-GB"/>
        </w:rPr>
      </w:pPr>
      <w:r w:rsidRPr="00F03A26">
        <w:rPr>
          <w:rFonts w:asciiTheme="majorBidi" w:eastAsia="Calibri" w:hAnsiTheme="majorBidi" w:cstheme="majorBidi"/>
          <w:iCs/>
          <w:lang w:val="en-GB"/>
        </w:rPr>
        <w:t>After the Minua</w:t>
      </w:r>
      <w:r w:rsidR="00C1513A">
        <w:rPr>
          <w:rFonts w:asciiTheme="majorBidi" w:eastAsia="Calibri" w:hAnsiTheme="majorBidi" w:cstheme="majorBidi"/>
          <w:iCs/>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iCs/>
          <w:lang w:val="en-GB"/>
        </w:rPr>
        <w:fldChar w:fldCharType="end"/>
      </w:r>
      <w:r w:rsidRPr="00F03A26">
        <w:rPr>
          <w:rFonts w:asciiTheme="majorBidi" w:eastAsia="Calibri" w:hAnsiTheme="majorBidi" w:cstheme="majorBidi"/>
          <w:iCs/>
          <w:lang w:val="en-GB"/>
        </w:rPr>
        <w:t>’s reign ceased to end, we surprisingly see the name of Argišti I</w:t>
      </w:r>
      <w:r w:rsidR="001F2587">
        <w:rPr>
          <w:rFonts w:asciiTheme="majorBidi" w:eastAsia="Calibri" w:hAnsiTheme="majorBidi" w:cstheme="majorBidi"/>
          <w:iCs/>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Calibri" w:hAnsiTheme="majorBidi" w:cstheme="majorBidi"/>
          <w:iCs/>
          <w:lang w:val="en-GB"/>
        </w:rPr>
        <w:fldChar w:fldCharType="end"/>
      </w:r>
      <w:r w:rsidRPr="00F03A26">
        <w:rPr>
          <w:rFonts w:asciiTheme="majorBidi" w:eastAsia="Calibri" w:hAnsiTheme="majorBidi" w:cstheme="majorBidi"/>
          <w:iCs/>
          <w:lang w:val="en-GB"/>
        </w:rPr>
        <w:t> in the inscriptions. During the reign of Argišti I (780-756 BCE), the Urartian</w:t>
      </w:r>
      <w:r w:rsidR="00EA6C63">
        <w:rPr>
          <w:rFonts w:asciiTheme="majorBidi" w:eastAsia="Calibri" w:hAnsiTheme="majorBidi" w:cstheme="majorBidi"/>
          <w:iCs/>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iCs/>
          <w:lang w:val="en-GB"/>
        </w:rPr>
        <w:fldChar w:fldCharType="end"/>
      </w:r>
      <w:r w:rsidRPr="00F03A26">
        <w:rPr>
          <w:rFonts w:asciiTheme="majorBidi" w:eastAsia="Calibri" w:hAnsiTheme="majorBidi" w:cstheme="majorBidi"/>
          <w:iCs/>
          <w:lang w:val="en-GB"/>
        </w:rPr>
        <w:t> kingdom faced one of its most successful periods. The single investment of Argišti I in Ṭušpa citadel is the monumental multi-chambered grave in the southwest of the citadel (Fig. 7). The grave is reached through a stairway, and the chronicles inscribed in eight different columns on the front of the burial chamber narrate Argišti</w:t>
      </w:r>
      <w:r w:rsidR="00814086" w:rsidRPr="00F03A26">
        <w:rPr>
          <w:rFonts w:asciiTheme="majorBidi" w:eastAsia="Calibri" w:hAnsiTheme="majorBidi" w:cstheme="majorBidi"/>
          <w:iCs/>
          <w:lang w:val="en-GB"/>
        </w:rPr>
        <w:t xml:space="preserve"> </w:t>
      </w:r>
      <w:r w:rsidRPr="00F03A26">
        <w:rPr>
          <w:rFonts w:asciiTheme="majorBidi" w:eastAsia="Calibri" w:hAnsiTheme="majorBidi" w:cstheme="majorBidi"/>
          <w:iCs/>
          <w:lang w:val="en-GB"/>
        </w:rPr>
        <w:t>I’s military campaigns in different regions (CTU I. A 8-3 I-VIII).</w:t>
      </w:r>
    </w:p>
    <w:p w14:paraId="13561525"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highlight w:val="yellow"/>
          <w:lang w:val="en-GB"/>
        </w:rPr>
      </w:pPr>
      <w:r w:rsidRPr="00F03A26">
        <w:rPr>
          <w:rFonts w:asciiTheme="majorBidi" w:eastAsia="Calibri" w:hAnsiTheme="majorBidi" w:cstheme="majorBidi"/>
          <w:noProof/>
        </w:rPr>
        <w:drawing>
          <wp:inline distT="0" distB="0" distL="0" distR="0" wp14:anchorId="6CB478DA" wp14:editId="1640FE7B">
            <wp:extent cx="5035639" cy="3562764"/>
            <wp:effectExtent l="0" t="0" r="0" b="6350"/>
            <wp:docPr id="926653465" name="Resim 4" descr="dış mekan, harabeler, dağ,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53465" name="Resim 4" descr="dış mekan, harabeler, dağ, mağara içeren bir resim&#10;&#10;Açıklama otomatik olarak oluşturuldu"/>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073147" cy="3589301"/>
                    </a:xfrm>
                    <a:prstGeom prst="rect">
                      <a:avLst/>
                    </a:prstGeom>
                    <a:ln>
                      <a:noFill/>
                    </a:ln>
                    <a:extLst>
                      <a:ext uri="{53640926-AAD7-44D8-BBD7-CCE9431645EC}">
                        <a14:shadowObscured xmlns:a14="http://schemas.microsoft.com/office/drawing/2010/main"/>
                      </a:ext>
                    </a:extLst>
                  </pic:spPr>
                </pic:pic>
              </a:graphicData>
            </a:graphic>
          </wp:inline>
        </w:drawing>
      </w:r>
    </w:p>
    <w:p w14:paraId="6875E83B" w14:textId="385269C3"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 xml:space="preserve">Fig. 7 Facade of the </w:t>
      </w:r>
      <w:r w:rsidRPr="00F03A26">
        <w:rPr>
          <w:rFonts w:asciiTheme="majorBidi" w:eastAsia="Calibri" w:hAnsiTheme="majorBidi" w:cstheme="majorBidi"/>
          <w:iCs/>
          <w:lang w:val="en-GB"/>
        </w:rPr>
        <w:t>Argišti</w:t>
      </w:r>
      <w:r w:rsidRPr="00F03A26">
        <w:rPr>
          <w:rFonts w:asciiTheme="majorBidi" w:eastAsia="Calibri" w:hAnsiTheme="majorBidi" w:cstheme="majorBidi"/>
          <w:lang w:val="en-GB"/>
        </w:rPr>
        <w:t xml:space="preserve"> I tomb</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w:instrText>
      </w:r>
      <w:r w:rsidRPr="007256E1">
        <w:rPr>
          <w:rFonts w:asciiTheme="majorBidi" w:eastAsia="Calibri" w:hAnsiTheme="majorBidi" w:cstheme="majorBidi"/>
          <w:lang w:val="en-GB"/>
        </w:rPr>
        <w:instrText xml:space="preserve">Argišti </w:instrText>
      </w:r>
      <w:r w:rsidRPr="00F03A26">
        <w:rPr>
          <w:rFonts w:asciiTheme="majorBidi" w:eastAsia="Calibri" w:hAnsiTheme="majorBidi" w:cstheme="majorBidi"/>
          <w:lang w:val="en-GB"/>
        </w:rPr>
        <w:instrText xml:space="preserve">I </w:instrText>
      </w:r>
      <w:r w:rsidR="00573B62">
        <w:rPr>
          <w:rFonts w:asciiTheme="majorBidi" w:eastAsia="Calibri" w:hAnsiTheme="majorBidi" w:cstheme="majorBidi"/>
          <w:lang w:val="en-GB"/>
        </w:rPr>
        <w:instrText>t</w:instrText>
      </w:r>
      <w:r w:rsidRPr="00F03A26">
        <w:rPr>
          <w:rFonts w:asciiTheme="majorBidi" w:eastAsia="Calibri" w:hAnsiTheme="majorBidi" w:cstheme="majorBidi"/>
          <w:lang w:val="en-GB"/>
        </w:rPr>
        <w:instrText xml:space="preserve">omb"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w:instrText>
      </w:r>
      <w:r w:rsidRPr="007256E1">
        <w:rPr>
          <w:rFonts w:asciiTheme="majorBidi" w:eastAsia="Calibri" w:hAnsiTheme="majorBidi" w:cstheme="majorBidi"/>
          <w:lang w:val="en-GB"/>
        </w:rPr>
        <w:instrText xml:space="preserve">Argišti </w:instrText>
      </w:r>
      <w:r w:rsidRPr="00F03A26">
        <w:rPr>
          <w:rFonts w:asciiTheme="majorBidi" w:eastAsia="Calibri" w:hAnsiTheme="majorBidi" w:cstheme="majorBidi"/>
          <w:lang w:val="en-GB"/>
        </w:rPr>
        <w:instrText xml:space="preserve">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w:t>
      </w:r>
    </w:p>
    <w:p w14:paraId="0E5B1DB1" w14:textId="714E3C1F"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Two stele pieces inscribed with duplicates of this inscription were found in the Surp Sahak Church</w:t>
      </w:r>
      <w:r w:rsidR="00E652FB">
        <w:rPr>
          <w:rFonts w:asciiTheme="majorBidi" w:eastAsia="Calibri" w:hAnsiTheme="majorBidi" w:cstheme="majorBidi"/>
        </w:rPr>
        <w:fldChar w:fldCharType="begin"/>
      </w:r>
      <w:r w:rsidR="00E652FB">
        <w:instrText xml:space="preserve"> XE "</w:instrText>
      </w:r>
      <w:r w:rsidR="00E652FB" w:rsidRPr="00D67A85">
        <w:rPr>
          <w:rFonts w:asciiTheme="majorBidi" w:hAnsiTheme="majorBidi" w:cstheme="majorBidi"/>
        </w:rPr>
        <w:instrText>Surp Sahak Church</w:instrText>
      </w:r>
      <w:r w:rsidR="00E652FB">
        <w:instrText xml:space="preserve">" </w:instrText>
      </w:r>
      <w:r w:rsidR="00E652FB">
        <w:rPr>
          <w:rFonts w:asciiTheme="majorBidi" w:eastAsia="Calibri" w:hAnsiTheme="majorBidi" w:cstheme="majorBidi"/>
        </w:rPr>
        <w:fldChar w:fldCharType="end"/>
      </w:r>
      <w:r w:rsidRPr="00F03A26">
        <w:rPr>
          <w:rFonts w:asciiTheme="majorBidi" w:eastAsia="Calibri" w:hAnsiTheme="majorBidi" w:cstheme="majorBidi"/>
        </w:rPr>
        <w:t xml:space="preserve"> in the Medieval city of Van (CTU I. A 8-1, A 8, 2). The </w:t>
      </w:r>
      <w:r w:rsidRPr="00F03A26">
        <w:rPr>
          <w:rFonts w:asciiTheme="majorBidi" w:eastAsia="Calibri" w:hAnsiTheme="majorBidi" w:cstheme="majorBidi"/>
        </w:rPr>
        <w:lastRenderedPageBreak/>
        <w:t>entrance of the burial chamber of Argišti I</w:t>
      </w:r>
      <w:r w:rsidR="001F2587">
        <w:rPr>
          <w:rFonts w:asciiTheme="majorBidi" w:eastAsia="Calibr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should have been a steep, unsuitable place to put these stelae. Thus, one should consider whether these stelae were placed in the Analıkız</w:t>
      </w:r>
      <w:r w:rsidR="00647545">
        <w:rPr>
          <w:rFonts w:asciiTheme="majorBidi" w:eastAsia="Calibr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xml:space="preserve"> area (Genç, 2019: 237-238) or a similar location. Although the kingdom held great power during his reign, it is of interest that except for some inscriptions that were not found </w:t>
      </w:r>
      <w:r w:rsidRPr="00F03A26">
        <w:rPr>
          <w:rFonts w:asciiTheme="majorBidi" w:eastAsia="Calibri" w:hAnsiTheme="majorBidi" w:cstheme="majorBidi"/>
          <w:i/>
          <w:iCs/>
        </w:rPr>
        <w:t>in situ</w:t>
      </w:r>
      <w:r w:rsidRPr="00F03A26">
        <w:rPr>
          <w:rFonts w:asciiTheme="majorBidi" w:eastAsia="Calibri" w:hAnsiTheme="majorBidi" w:cstheme="majorBidi"/>
        </w:rPr>
        <w:t xml:space="preserve">, there is no evidence of architectural and agricultural investments in the Van </w:t>
      </w:r>
      <w:r w:rsidR="00814086" w:rsidRPr="00F03A26">
        <w:rPr>
          <w:rFonts w:asciiTheme="majorBidi" w:eastAsia="Calibri" w:hAnsiTheme="majorBidi" w:cstheme="majorBidi"/>
        </w:rPr>
        <w:t>p</w:t>
      </w:r>
      <w:r w:rsidRPr="00F03A26">
        <w:rPr>
          <w:rFonts w:asciiTheme="majorBidi" w:eastAsia="Calibri" w:hAnsiTheme="majorBidi" w:cstheme="majorBidi"/>
        </w:rPr>
        <w:t>lain that could be attributable to Argišti I. The Engüsner inscription of this king is more about the filling of a silo with grain than about a construction (CTU I. A 8-27).  When he enthroned after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Argišti</w:t>
      </w:r>
      <w:r w:rsidR="00814086" w:rsidRPr="00F03A26">
        <w:rPr>
          <w:rFonts w:asciiTheme="majorBidi" w:eastAsia="Calibri" w:hAnsiTheme="majorBidi" w:cstheme="majorBidi"/>
        </w:rPr>
        <w:t xml:space="preserve"> </w:t>
      </w:r>
      <w:r w:rsidRPr="00F03A26">
        <w:rPr>
          <w:rFonts w:asciiTheme="majorBidi" w:eastAsia="Calibri" w:hAnsiTheme="majorBidi" w:cstheme="majorBidi"/>
        </w:rPr>
        <w:t>I should have ruled the kingdom from the Ṭušpa citadel built by his antecedent. The Horhor</w:t>
      </w:r>
      <w:r w:rsidR="00647545">
        <w:rPr>
          <w:rFonts w:asciiTheme="majorBidi" w:eastAsia="Calibr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xml:space="preserve"> chronicles mention two </w:t>
      </w:r>
      <w:r w:rsidRPr="007256E1">
        <w:rPr>
          <w:rFonts w:asciiTheme="majorBidi" w:eastAsia="Calibri" w:hAnsiTheme="majorBidi" w:cstheme="majorBidi"/>
        </w:rPr>
        <w:t>instances of construction by Argišti</w:t>
      </w:r>
      <w:r w:rsidR="00814086" w:rsidRPr="007256E1">
        <w:rPr>
          <w:rFonts w:asciiTheme="majorBidi" w:eastAsia="Calibri" w:hAnsiTheme="majorBidi" w:cstheme="majorBidi"/>
        </w:rPr>
        <w:t xml:space="preserve"> </w:t>
      </w:r>
      <w:r w:rsidRPr="007256E1">
        <w:rPr>
          <w:rFonts w:asciiTheme="majorBidi" w:eastAsia="Calibri" w:hAnsiTheme="majorBidi" w:cstheme="majorBidi"/>
        </w:rPr>
        <w:t>I. One is the construction of the city of Arin-berd (in Urartian</w:t>
      </w:r>
      <w:r w:rsidR="00EA6C63" w:rsidRPr="007256E1">
        <w:rPr>
          <w:rFonts w:asciiTheme="majorBidi" w:eastAsia="Calibri" w:hAnsiTheme="majorBidi" w:cstheme="majorBidi"/>
        </w:rPr>
        <w:fldChar w:fldCharType="begin"/>
      </w:r>
      <w:r w:rsidR="00EA6C63" w:rsidRPr="007256E1">
        <w:instrText xml:space="preserve"> XE "</w:instrText>
      </w:r>
      <w:r w:rsidR="00EA6C63" w:rsidRPr="007256E1">
        <w:rPr>
          <w:rFonts w:asciiTheme="majorBidi" w:hAnsiTheme="majorBidi" w:cstheme="majorBidi"/>
        </w:rPr>
        <w:instrText>Urartian</w:instrText>
      </w:r>
      <w:r w:rsidR="00EA6C63" w:rsidRPr="007256E1">
        <w:instrText xml:space="preserve">" </w:instrText>
      </w:r>
      <w:r w:rsidR="00EA6C63" w:rsidRPr="007256E1">
        <w:rPr>
          <w:rFonts w:asciiTheme="majorBidi" w:eastAsia="Calibri" w:hAnsiTheme="majorBidi" w:cstheme="majorBidi"/>
        </w:rPr>
        <w:fldChar w:fldCharType="end"/>
      </w:r>
      <w:r w:rsidRPr="007256E1">
        <w:rPr>
          <w:rFonts w:asciiTheme="majorBidi" w:eastAsia="Calibri" w:hAnsiTheme="majorBidi" w:cstheme="majorBidi"/>
        </w:rPr>
        <w:t> Erebuni) in the Erivan plain (Oganesjan, 1961: 5-14), and the other is the construction of an irrigation</w:t>
      </w:r>
      <w:r w:rsidRPr="00F03A26">
        <w:rPr>
          <w:rFonts w:asciiTheme="majorBidi" w:eastAsia="Calibri" w:hAnsiTheme="majorBidi" w:cstheme="majorBidi"/>
        </w:rPr>
        <w:t xml:space="preserve"> canal in the Deliçay water (in Urartian</w:t>
      </w:r>
      <w:r w:rsidRPr="00F03A26">
        <w:rPr>
          <w:rFonts w:asciiTheme="majorBidi" w:eastAsia="Calibri" w:hAnsiTheme="majorBidi" w:cstheme="majorBidi"/>
          <w:i/>
          <w:iCs/>
        </w:rPr>
        <w:t xml:space="preserve"> </w:t>
      </w:r>
      <w:r w:rsidRPr="007256E1">
        <w:rPr>
          <w:rFonts w:asciiTheme="majorBidi" w:eastAsia="Calibri" w:hAnsiTheme="majorBidi" w:cstheme="majorBidi"/>
        </w:rPr>
        <w:t>Dainalitini</w:t>
      </w:r>
      <w:r w:rsidRPr="00F03A26">
        <w:rPr>
          <w:rFonts w:asciiTheme="majorBidi" w:eastAsia="Calibri" w:hAnsiTheme="majorBidi" w:cstheme="majorBidi"/>
        </w:rPr>
        <w:t>) flowing through the Pay plain in Erciş/Salmanağa (Işık, 2019: 204-213).</w:t>
      </w:r>
    </w:p>
    <w:p w14:paraId="588EC53F" w14:textId="165C8C74"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rPr>
        <w:t>After the reign of Argišti I</w:t>
      </w:r>
      <w:r w:rsidR="001F2587">
        <w:rPr>
          <w:rFonts w:asciiTheme="majorBidi" w:eastAsia="Calibr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kingdom and the city of Ṭušpa should have reached its peak during the period of Sarduri II</w:t>
      </w:r>
      <w:r w:rsidR="00C1513A">
        <w:rPr>
          <w:rFonts w:asciiTheme="majorBidi" w:eastAsia="Calibri" w:hAnsiTheme="majorBidi" w:cstheme="majorBidi"/>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Sarduri II was the last Urartian king to leave inscriptions in Ṭušpa citadel. These inscriptions were found in the Analıkız</w:t>
      </w:r>
      <w:r w:rsidR="00647545">
        <w:rPr>
          <w:rFonts w:asciiTheme="majorBidi" w:eastAsia="Calibr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area on two large niches, inscribed basalt stelae, and a large platform carved into the bedrock (Genç, 2019: 231-240) (Fig. 8). One of the two rock-carved niches in this area and the basalt blocks found scattered around the niche were inscribed with the chronicles of Sarduri II (CTU I. A 9-3).</w:t>
      </w:r>
    </w:p>
    <w:p w14:paraId="7831F9B2"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drawing>
          <wp:inline distT="0" distB="0" distL="0" distR="0" wp14:anchorId="5D03F865" wp14:editId="7C5D18A6">
            <wp:extent cx="5553075" cy="3345745"/>
            <wp:effectExtent l="0" t="0" r="0" b="0"/>
            <wp:docPr id="1784236461" name="Resim 5" descr="dış mekan, dağ, manzara,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236461" name="Resim 5" descr="dış mekan, dağ, manzara, jeoloji içeren bir resim&#10;&#10;Açıklama otomatik olarak oluşturuldu"/>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562363" cy="3351341"/>
                    </a:xfrm>
                    <a:prstGeom prst="rect">
                      <a:avLst/>
                    </a:prstGeom>
                    <a:ln>
                      <a:noFill/>
                    </a:ln>
                    <a:extLst>
                      <a:ext uri="{53640926-AAD7-44D8-BBD7-CCE9431645EC}">
                        <a14:shadowObscured xmlns:a14="http://schemas.microsoft.com/office/drawing/2010/main"/>
                      </a:ext>
                    </a:extLst>
                  </pic:spPr>
                </pic:pic>
              </a:graphicData>
            </a:graphic>
          </wp:inline>
        </w:drawing>
      </w:r>
    </w:p>
    <w:p w14:paraId="30450C83"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8 Analıkız</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"Analıkız"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area.</w:t>
      </w:r>
    </w:p>
    <w:p w14:paraId="63FDD82D" w14:textId="0C20F161"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lastRenderedPageBreak/>
        <w:t>Excavations in this area revealed two inscriptions in the Western Niche (Marr &amp; Orbeli, 1922). The inscriptions on the obelisk in front of this niche consist of the chronicles of Sarduri II</w:t>
      </w:r>
      <w:r w:rsidR="00C1513A">
        <w:rPr>
          <w:rFonts w:asciiTheme="majorBidi" w:eastAsia="Calibri" w:hAnsiTheme="majorBidi" w:cstheme="majorBidi"/>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The fact that the Eastern Niche in the same area had no inscriptions or stelae and was built slightly inwards suggests that this area was dedicated to chronicles well before Sarduri II. Chronicles on stelae belonging to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and Argišti I</w:t>
      </w:r>
      <w:r w:rsidR="001F2587">
        <w:rPr>
          <w:rFonts w:asciiTheme="majorBidi" w:eastAsia="Calibr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found around the Ṭušpa citadel also provide strengthening evidence for this suggestion.</w:t>
      </w:r>
    </w:p>
    <w:p w14:paraId="1C5B2758" w14:textId="20E39878"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It is quite possible that Sarduri II</w:t>
      </w:r>
      <w:r w:rsidR="00C1513A">
        <w:rPr>
          <w:rFonts w:asciiTheme="majorBidi" w:eastAsia="Calibri" w:hAnsiTheme="majorBidi" w:cstheme="majorBidi"/>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just like his father Argišti I</w:t>
      </w:r>
      <w:r w:rsidR="001F2587">
        <w:rPr>
          <w:rFonts w:asciiTheme="majorBidi" w:eastAsia="Calibr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was buried in one of the monumental rock-cut tombs in the southern façade of Ṭušpa citadel. Unlike the grave of Argišti I (the Horhor</w:t>
      </w:r>
      <w:r w:rsidR="00647545">
        <w:rPr>
          <w:rFonts w:asciiTheme="majorBidi" w:eastAsia="Calibri" w:hAnsiTheme="majorBidi" w:cstheme="majorBidi"/>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tomb), These tombs have no inscriptions on their façades. Sarduri II appeared content with two rock inscriptions and a large obelisk with all four faces inscribed in the Analıkız</w:t>
      </w:r>
      <w:r w:rsidR="00647545">
        <w:rPr>
          <w:rFonts w:asciiTheme="majorBidi" w:eastAsia="Calibr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area. Current data indicate that the Analıkız area was a particular space unique to the capital to archive the memory of the kingdom through chronicles.</w:t>
      </w:r>
    </w:p>
    <w:p w14:paraId="70010B25" w14:textId="74B2A706"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The scope and content of the architectural and agricultural investments of Sarduri II</w:t>
      </w:r>
      <w:r w:rsidR="00C1513A">
        <w:rPr>
          <w:rFonts w:asciiTheme="majorBidi" w:eastAsia="Calibri" w:hAnsiTheme="majorBidi" w:cstheme="majorBidi"/>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xml:space="preserve"> in Ṭušpa and its vicinity are yet uncertain. However, it is known that a large fortress named after </w:t>
      </w:r>
      <w:r w:rsidRPr="007256E1">
        <w:rPr>
          <w:rFonts w:asciiTheme="majorBidi" w:eastAsia="Calibri" w:hAnsiTheme="majorBidi" w:cstheme="majorBidi"/>
        </w:rPr>
        <w:t>him ‘Sarduriḫinili’</w:t>
      </w:r>
      <w:r w:rsidRPr="00F03A26">
        <w:rPr>
          <w:rFonts w:asciiTheme="majorBidi" w:eastAsia="Calibri" w:hAnsiTheme="majorBidi" w:cstheme="majorBidi"/>
        </w:rPr>
        <w:t xml:space="preserve"> was built on a sizeable calcareous outcrop range in Çavuştepe/Haikapert in the Hewasor plain (Erzen, 1988). Investments in this area indicate that Sarduri II also actively used this center. Still, the main administrative center during this period should have been the capital Ṭušpa, which represented the legitimacy of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kings. This was reflected in the inscriptions of the contemporaneous Assyrian</w:t>
      </w:r>
      <w:r w:rsidR="001F2587">
        <w:rPr>
          <w:rFonts w:asciiTheme="majorBidi" w:eastAsia="Calibr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king Tiglath-pileser III</w:t>
      </w:r>
      <w:r w:rsidR="0028736C">
        <w:rPr>
          <w:rFonts w:asciiTheme="majorBidi" w:eastAsia="Calibri" w:hAnsiTheme="majorBidi" w:cstheme="majorBidi"/>
        </w:rPr>
        <w:fldChar w:fldCharType="begin"/>
      </w:r>
      <w:r w:rsidR="0028736C">
        <w:instrText xml:space="preserve"> XE "</w:instrText>
      </w:r>
      <w:r w:rsidR="0028736C" w:rsidRPr="007426D5">
        <w:rPr>
          <w:rFonts w:asciiTheme="majorBidi" w:hAnsiTheme="majorBidi" w:cstheme="majorBidi"/>
          <w:color w:val="000000" w:themeColor="text1"/>
          <w:lang w:val="en-GB"/>
        </w:rPr>
        <w:instrText>Tiglath-pileser III</w:instrText>
      </w:r>
      <w:r w:rsidR="0028736C">
        <w:instrText xml:space="preserve">" </w:instrText>
      </w:r>
      <w:r w:rsidR="0028736C">
        <w:rPr>
          <w:rFonts w:asciiTheme="majorBidi" w:eastAsia="Calibri" w:hAnsiTheme="majorBidi" w:cstheme="majorBidi"/>
        </w:rPr>
        <w:fldChar w:fldCharType="end"/>
      </w:r>
      <w:r w:rsidRPr="00F03A26">
        <w:rPr>
          <w:rFonts w:asciiTheme="majorBidi" w:eastAsia="Calibri" w:hAnsiTheme="majorBidi" w:cstheme="majorBidi"/>
        </w:rPr>
        <w:t xml:space="preserve"> (in Akkadian </w:t>
      </w:r>
      <w:r w:rsidRPr="00270549">
        <w:rPr>
          <w:rFonts w:asciiTheme="majorBidi" w:eastAsia="Calibri" w:hAnsiTheme="majorBidi" w:cstheme="majorBidi"/>
        </w:rPr>
        <w:t>Tukultī-apil-Ešarra, 744-</w:t>
      </w:r>
      <w:r w:rsidRPr="00F03A26">
        <w:rPr>
          <w:rFonts w:asciiTheme="majorBidi" w:eastAsia="Calibri" w:hAnsiTheme="majorBidi" w:cstheme="majorBidi"/>
        </w:rPr>
        <w:t>727 BCE). The inscriptions state that Tiglath-pileser</w:t>
      </w:r>
      <w:r w:rsidRPr="00F03A26">
        <w:rPr>
          <w:rFonts w:asciiTheme="majorBidi" w:eastAsia="Calibri" w:hAnsiTheme="majorBidi" w:cstheme="majorBidi"/>
          <w:i/>
          <w:iCs/>
        </w:rPr>
        <w:t xml:space="preserve"> </w:t>
      </w:r>
      <w:r w:rsidRPr="00F03A26">
        <w:rPr>
          <w:rFonts w:asciiTheme="majorBidi" w:eastAsia="Calibri" w:hAnsiTheme="majorBidi" w:cstheme="majorBidi"/>
        </w:rPr>
        <w:t>III besieged Sarduri II in the city of Ṭušpa in 735 BCE, punished him severely in front of the city gates, and returned after building a royal relief of himself right across the city (Tadmor &amp;Yamada, 2011: 39/20b-28a; 41/15b-26; 49/3-10). According to this narrative, instead of the lower city of Ṭušpa, Ṭušpa citadel should have been the ideal place for Sarduri II to shelter and defend the city.</w:t>
      </w:r>
    </w:p>
    <w:p w14:paraId="731582C6" w14:textId="66D8CAE9" w:rsidR="00792E01" w:rsidRPr="00F03A26" w:rsidRDefault="00792E01" w:rsidP="00F03A26">
      <w:pPr>
        <w:keepNext/>
        <w:keepLines/>
        <w:spacing w:before="360" w:after="120" w:line="276" w:lineRule="auto"/>
        <w:jc w:val="both"/>
        <w:outlineLvl w:val="1"/>
        <w:rPr>
          <w:rFonts w:asciiTheme="majorBidi" w:eastAsia="Arial" w:hAnsiTheme="majorBidi" w:cstheme="majorBidi"/>
          <w:b/>
          <w:bCs/>
          <w:sz w:val="28"/>
          <w:szCs w:val="28"/>
          <w:lang w:val="en-GB" w:eastAsia="tr-TR" w:bidi="he-IL"/>
        </w:rPr>
      </w:pPr>
      <w:bookmarkStart w:id="24" w:name="_Toc132072510"/>
      <w:bookmarkStart w:id="25" w:name="_Toc173231191"/>
      <w:r w:rsidRPr="00F03A26">
        <w:rPr>
          <w:rFonts w:asciiTheme="majorBidi" w:eastAsia="Arial" w:hAnsiTheme="majorBidi" w:cstheme="majorBidi"/>
          <w:b/>
          <w:bCs/>
          <w:sz w:val="28"/>
          <w:szCs w:val="28"/>
          <w:lang w:val="en-GB" w:eastAsia="tr-TR" w:bidi="he-IL"/>
        </w:rPr>
        <w:t xml:space="preserve">2.7. Dark periods in </w:t>
      </w:r>
      <w:r w:rsidRPr="00F03A26">
        <w:rPr>
          <w:rFonts w:asciiTheme="majorBidi" w:eastAsia="Arial" w:hAnsiTheme="majorBidi" w:cstheme="majorBidi"/>
          <w:b/>
          <w:bCs/>
          <w:iCs/>
          <w:sz w:val="28"/>
          <w:szCs w:val="28"/>
          <w:lang w:val="en-GB" w:eastAsia="tr-TR" w:bidi="he-IL"/>
        </w:rPr>
        <w:t>Ṭušpa</w:t>
      </w:r>
      <w:r w:rsidRPr="00F03A26">
        <w:rPr>
          <w:rFonts w:asciiTheme="majorBidi" w:eastAsia="Arial" w:hAnsiTheme="majorBidi" w:cstheme="majorBidi"/>
          <w:b/>
          <w:bCs/>
          <w:sz w:val="28"/>
          <w:szCs w:val="28"/>
          <w:lang w:val="en-GB" w:eastAsia="tr-TR" w:bidi="he-IL"/>
        </w:rPr>
        <w:t>: Rusa</w:t>
      </w:r>
      <w:r w:rsidRPr="00F03A26">
        <w:rPr>
          <w:rFonts w:asciiTheme="majorBidi" w:eastAsia="Arial" w:hAnsiTheme="majorBidi" w:cstheme="majorBidi"/>
          <w:b/>
          <w:bCs/>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"Rusa" </w:instrText>
      </w:r>
      <w:r w:rsidRPr="00F03A26">
        <w:rPr>
          <w:rFonts w:asciiTheme="majorBidi" w:eastAsia="Arial" w:hAnsiTheme="majorBidi" w:cstheme="majorBidi"/>
          <w:b/>
          <w:bCs/>
          <w:sz w:val="28"/>
          <w:szCs w:val="28"/>
          <w:lang w:val="en-GB" w:eastAsia="tr-TR" w:bidi="he-IL"/>
        </w:rPr>
        <w:fldChar w:fldCharType="end"/>
      </w:r>
      <w:r w:rsidRPr="00F03A26">
        <w:rPr>
          <w:rFonts w:asciiTheme="majorBidi" w:eastAsia="Arial" w:hAnsiTheme="majorBidi" w:cstheme="majorBidi"/>
          <w:b/>
          <w:bCs/>
          <w:sz w:val="28"/>
          <w:szCs w:val="28"/>
          <w:lang w:val="en-GB" w:eastAsia="tr-TR" w:bidi="he-IL"/>
        </w:rPr>
        <w:t xml:space="preserve"> I</w:t>
      </w:r>
      <w:r w:rsidRPr="00F03A26">
        <w:rPr>
          <w:rFonts w:asciiTheme="majorBidi" w:eastAsia="Arial" w:hAnsiTheme="majorBidi" w:cstheme="majorBidi"/>
          <w:b/>
          <w:bCs/>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"Rusa I" </w:instrText>
      </w:r>
      <w:r w:rsidRPr="00F03A26">
        <w:rPr>
          <w:rFonts w:asciiTheme="majorBidi" w:eastAsia="Arial" w:hAnsiTheme="majorBidi" w:cstheme="majorBidi"/>
          <w:b/>
          <w:bCs/>
          <w:sz w:val="28"/>
          <w:szCs w:val="28"/>
          <w:lang w:val="en-GB" w:eastAsia="tr-TR" w:bidi="he-IL"/>
        </w:rPr>
        <w:fldChar w:fldCharType="end"/>
      </w:r>
      <w:r w:rsidRPr="00F03A26">
        <w:rPr>
          <w:rFonts w:asciiTheme="majorBidi" w:eastAsia="Arial" w:hAnsiTheme="majorBidi" w:cstheme="majorBidi"/>
          <w:b/>
          <w:bCs/>
          <w:sz w:val="28"/>
          <w:szCs w:val="28"/>
          <w:lang w:val="en-GB" w:eastAsia="tr-TR" w:bidi="he-IL"/>
        </w:rPr>
        <w:t xml:space="preserve">, </w:t>
      </w:r>
      <w:r w:rsidRPr="00F03A26">
        <w:rPr>
          <w:rFonts w:asciiTheme="majorBidi" w:eastAsia="Arial" w:hAnsiTheme="majorBidi" w:cstheme="majorBidi"/>
          <w:b/>
          <w:bCs/>
          <w:iCs/>
          <w:sz w:val="28"/>
          <w:szCs w:val="28"/>
          <w:lang w:val="en-GB" w:eastAsia="tr-TR" w:bidi="he-IL"/>
        </w:rPr>
        <w:t>Argišti</w:t>
      </w:r>
      <w:r w:rsidRPr="00F03A26">
        <w:rPr>
          <w:rFonts w:asciiTheme="majorBidi" w:eastAsia="Arial" w:hAnsiTheme="majorBidi" w:cstheme="majorBidi"/>
          <w:b/>
          <w:bCs/>
          <w:sz w:val="28"/>
          <w:szCs w:val="28"/>
          <w:lang w:val="en-GB" w:eastAsia="tr-TR" w:bidi="he-IL"/>
        </w:rPr>
        <w:t xml:space="preserve"> II</w:t>
      </w:r>
      <w:r w:rsidRPr="00F03A26">
        <w:rPr>
          <w:rFonts w:asciiTheme="majorBidi" w:eastAsia="Arial" w:hAnsiTheme="majorBidi" w:cstheme="majorBidi"/>
          <w:b/>
          <w:bCs/>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w:instrText>
      </w:r>
      <w:r w:rsidRPr="00F03A26">
        <w:rPr>
          <w:rFonts w:asciiTheme="majorBidi" w:eastAsia="Calibri" w:hAnsiTheme="majorBidi" w:cstheme="majorBidi"/>
          <w:iCs/>
          <w:sz w:val="28"/>
          <w:szCs w:val="28"/>
          <w:lang w:val="en-GB"/>
        </w:rPr>
        <w:instrText>Argišti</w:instrText>
      </w:r>
      <w:r w:rsidRPr="00F03A26">
        <w:rPr>
          <w:rFonts w:asciiTheme="majorBidi" w:eastAsia="Calibri" w:hAnsiTheme="majorBidi" w:cstheme="majorBidi"/>
          <w:sz w:val="28"/>
          <w:szCs w:val="28"/>
          <w:lang w:val="en-GB"/>
        </w:rPr>
        <w:instrText xml:space="preserve"> II" </w:instrText>
      </w:r>
      <w:r w:rsidRPr="00F03A26">
        <w:rPr>
          <w:rFonts w:asciiTheme="majorBidi" w:eastAsia="Arial" w:hAnsiTheme="majorBidi" w:cstheme="majorBidi"/>
          <w:b/>
          <w:bCs/>
          <w:sz w:val="28"/>
          <w:szCs w:val="28"/>
          <w:lang w:val="en-GB" w:eastAsia="tr-TR" w:bidi="he-IL"/>
        </w:rPr>
        <w:fldChar w:fldCharType="end"/>
      </w:r>
      <w:r w:rsidRPr="00F03A26">
        <w:rPr>
          <w:rFonts w:asciiTheme="majorBidi" w:eastAsia="Arial" w:hAnsiTheme="majorBidi" w:cstheme="majorBidi"/>
          <w:b/>
          <w:bCs/>
          <w:sz w:val="28"/>
          <w:szCs w:val="28"/>
          <w:lang w:val="en-GB" w:eastAsia="tr-TR" w:bidi="he-IL"/>
        </w:rPr>
        <w:t xml:space="preserve">, </w:t>
      </w:r>
      <w:bookmarkStart w:id="26" w:name="_Hlk156763354"/>
      <w:r w:rsidRPr="00F03A26">
        <w:rPr>
          <w:rFonts w:asciiTheme="majorBidi" w:eastAsia="Calibri" w:hAnsiTheme="majorBidi" w:cstheme="majorBidi"/>
          <w:b/>
          <w:bCs/>
          <w:sz w:val="28"/>
          <w:szCs w:val="28"/>
          <w:lang w:val="en-GB"/>
        </w:rPr>
        <w:t>Melarṭua</w:t>
      </w:r>
      <w:r w:rsidRPr="00F03A26">
        <w:rPr>
          <w:rFonts w:asciiTheme="majorBidi" w:eastAsia="Calibri" w:hAnsiTheme="majorBidi" w:cstheme="majorBidi"/>
          <w:b/>
          <w:bCs/>
          <w:iCs/>
          <w:sz w:val="28"/>
          <w:szCs w:val="28"/>
          <w:lang w:val="en-GB"/>
        </w:rPr>
        <w:fldChar w:fldCharType="begin"/>
      </w:r>
      <w:r w:rsidRPr="00F03A26">
        <w:rPr>
          <w:rFonts w:asciiTheme="majorBidi" w:eastAsia="Calibri" w:hAnsiTheme="majorBidi" w:cstheme="majorBidi"/>
          <w:sz w:val="28"/>
          <w:szCs w:val="28"/>
          <w:lang w:val="en-GB"/>
        </w:rPr>
        <w:instrText xml:space="preserve"> XE "Melarṭua" </w:instrText>
      </w:r>
      <w:r w:rsidRPr="00F03A26">
        <w:rPr>
          <w:rFonts w:asciiTheme="majorBidi" w:eastAsia="Calibri" w:hAnsiTheme="majorBidi" w:cstheme="majorBidi"/>
          <w:b/>
          <w:bCs/>
          <w:iCs/>
          <w:sz w:val="28"/>
          <w:szCs w:val="28"/>
          <w:lang w:val="en-GB"/>
        </w:rPr>
        <w:fldChar w:fldCharType="end"/>
      </w:r>
      <w:r w:rsidRPr="00F03A26">
        <w:rPr>
          <w:rFonts w:asciiTheme="majorBidi" w:eastAsia="Arial" w:hAnsiTheme="majorBidi" w:cstheme="majorBidi"/>
          <w:b/>
          <w:bCs/>
          <w:sz w:val="28"/>
          <w:szCs w:val="28"/>
          <w:lang w:val="en-GB" w:eastAsia="tr-TR" w:bidi="he-IL"/>
        </w:rPr>
        <w:t>? Erimena</w:t>
      </w:r>
      <w:bookmarkEnd w:id="26"/>
      <w:r w:rsidRPr="00F03A26">
        <w:rPr>
          <w:rFonts w:asciiTheme="majorBidi" w:eastAsia="Arial" w:hAnsiTheme="majorBidi" w:cstheme="majorBidi"/>
          <w:b/>
          <w:bCs/>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"Erimena" </w:instrText>
      </w:r>
      <w:r w:rsidRPr="00F03A26">
        <w:rPr>
          <w:rFonts w:asciiTheme="majorBidi" w:eastAsia="Arial" w:hAnsiTheme="majorBidi" w:cstheme="majorBidi"/>
          <w:b/>
          <w:bCs/>
          <w:sz w:val="28"/>
          <w:szCs w:val="28"/>
          <w:lang w:val="en-GB" w:eastAsia="tr-TR" w:bidi="he-IL"/>
        </w:rPr>
        <w:fldChar w:fldCharType="end"/>
      </w:r>
      <w:r w:rsidRPr="00F03A26">
        <w:rPr>
          <w:rFonts w:asciiTheme="majorBidi" w:eastAsia="Arial" w:hAnsiTheme="majorBidi" w:cstheme="majorBidi"/>
          <w:b/>
          <w:bCs/>
          <w:sz w:val="28"/>
          <w:szCs w:val="28"/>
          <w:lang w:val="en-GB" w:eastAsia="tr-TR" w:bidi="he-IL"/>
        </w:rPr>
        <w:t xml:space="preserve">? and </w:t>
      </w:r>
      <w:bookmarkStart w:id="27" w:name="_Hlk156763437"/>
      <w:bookmarkEnd w:id="24"/>
      <w:r w:rsidRPr="00F03A26">
        <w:rPr>
          <w:rFonts w:asciiTheme="majorBidi" w:eastAsia="Calibri" w:hAnsiTheme="majorBidi" w:cstheme="majorBidi"/>
          <w:b/>
          <w:bCs/>
          <w:iCs/>
          <w:sz w:val="28"/>
          <w:szCs w:val="28"/>
          <w:lang w:val="en-GB"/>
        </w:rPr>
        <w:t>Rusai Erimenaḫi</w:t>
      </w:r>
      <w:bookmarkEnd w:id="27"/>
      <w:r w:rsidRPr="00F03A26">
        <w:rPr>
          <w:rFonts w:asciiTheme="majorBidi" w:eastAsia="Calibri" w:hAnsiTheme="majorBidi" w:cstheme="majorBidi"/>
          <w:b/>
          <w:bCs/>
          <w:iCs/>
          <w:sz w:val="28"/>
          <w:szCs w:val="28"/>
          <w:lang w:val="en-GB"/>
        </w:rPr>
        <w:fldChar w:fldCharType="begin"/>
      </w:r>
      <w:r w:rsidRPr="00F03A26">
        <w:rPr>
          <w:rFonts w:asciiTheme="majorBidi" w:eastAsia="Calibri" w:hAnsiTheme="majorBidi" w:cstheme="majorBidi"/>
          <w:sz w:val="28"/>
          <w:szCs w:val="28"/>
          <w:lang w:val="en-GB"/>
        </w:rPr>
        <w:instrText xml:space="preserve"> XE "</w:instrText>
      </w:r>
      <w:r w:rsidRPr="00F03A26">
        <w:rPr>
          <w:rFonts w:asciiTheme="majorBidi" w:eastAsia="Calibri" w:hAnsiTheme="majorBidi" w:cstheme="majorBidi"/>
          <w:iCs/>
          <w:sz w:val="28"/>
          <w:szCs w:val="28"/>
          <w:lang w:val="en-GB"/>
        </w:rPr>
        <w:instrText>Rusai Erimenaḫi</w:instrText>
      </w:r>
      <w:r w:rsidRPr="00F03A26">
        <w:rPr>
          <w:rFonts w:asciiTheme="majorBidi" w:eastAsia="Calibri" w:hAnsiTheme="majorBidi" w:cstheme="majorBidi"/>
          <w:sz w:val="28"/>
          <w:szCs w:val="28"/>
          <w:lang w:val="en-GB"/>
        </w:rPr>
        <w:instrText xml:space="preserve">" </w:instrText>
      </w:r>
      <w:r w:rsidRPr="00F03A26">
        <w:rPr>
          <w:rFonts w:asciiTheme="majorBidi" w:eastAsia="Calibri" w:hAnsiTheme="majorBidi" w:cstheme="majorBidi"/>
          <w:b/>
          <w:bCs/>
          <w:iCs/>
          <w:sz w:val="28"/>
          <w:szCs w:val="28"/>
          <w:lang w:val="en-GB"/>
        </w:rPr>
        <w:fldChar w:fldCharType="end"/>
      </w:r>
      <w:r w:rsidRPr="00F03A26">
        <w:rPr>
          <w:rFonts w:asciiTheme="majorBidi" w:eastAsia="Calibri" w:hAnsiTheme="majorBidi" w:cstheme="majorBidi"/>
          <w:b/>
          <w:bCs/>
          <w:sz w:val="28"/>
          <w:szCs w:val="28"/>
          <w:lang w:val="en-GB"/>
        </w:rPr>
        <w:t>?</w:t>
      </w:r>
      <w:bookmarkEnd w:id="25"/>
    </w:p>
    <w:p w14:paraId="1B46DB32" w14:textId="0CCBAF4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iCs/>
        </w:rPr>
        <w:t>The Urartian</w:t>
      </w:r>
      <w:r w:rsidR="00EA6C63">
        <w:rPr>
          <w:rFonts w:asciiTheme="majorBidi" w:eastAsia="Calibri" w:hAnsiTheme="majorBidi" w:cstheme="majorBidi"/>
          <w:iCs/>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iCs/>
        </w:rPr>
        <w:fldChar w:fldCharType="end"/>
      </w:r>
      <w:r w:rsidRPr="00F03A26">
        <w:rPr>
          <w:rFonts w:asciiTheme="majorBidi" w:eastAsia="Calibri" w:hAnsiTheme="majorBidi" w:cstheme="majorBidi"/>
          <w:iCs/>
        </w:rPr>
        <w:t> and Assyrian</w:t>
      </w:r>
      <w:r w:rsidR="001F2587">
        <w:rPr>
          <w:rFonts w:asciiTheme="majorBidi" w:eastAsia="Calibri" w:hAnsiTheme="majorBidi" w:cstheme="majorBidi"/>
          <w:iCs/>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iCs/>
        </w:rPr>
        <w:fldChar w:fldCharType="end"/>
      </w:r>
      <w:r w:rsidRPr="00F03A26">
        <w:rPr>
          <w:rFonts w:asciiTheme="majorBidi" w:eastAsia="Calibri" w:hAnsiTheme="majorBidi" w:cstheme="majorBidi"/>
          <w:iCs/>
        </w:rPr>
        <w:t> inscriptions indicate that Rusa I (730-714 BCE) was enthroned after Sarduri II</w:t>
      </w:r>
      <w:r w:rsidR="00C1513A">
        <w:rPr>
          <w:rFonts w:asciiTheme="majorBidi" w:eastAsia="Calibri" w:hAnsiTheme="majorBidi" w:cstheme="majorBidi"/>
          <w:iCs/>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Calibri" w:hAnsiTheme="majorBidi" w:cstheme="majorBidi"/>
          <w:iCs/>
        </w:rPr>
        <w:fldChar w:fldCharType="end"/>
      </w:r>
      <w:r w:rsidRPr="00F03A26">
        <w:rPr>
          <w:rFonts w:asciiTheme="majorBidi" w:eastAsia="Calibri" w:hAnsiTheme="majorBidi" w:cstheme="majorBidi"/>
          <w:iCs/>
        </w:rPr>
        <w:t>. The Assyrian-Urartian conflict that continued in this period was reflected in the inscriptions of Rusa I in the city of Ardini</w:t>
      </w:r>
      <w:r w:rsidRPr="00F03A26">
        <w:rPr>
          <w:rFonts w:asciiTheme="majorBidi" w:eastAsia="Calibri" w:hAnsiTheme="majorBidi" w:cstheme="majorBidi"/>
          <w:i/>
          <w:iCs/>
        </w:rPr>
        <w:t> </w:t>
      </w:r>
      <w:r w:rsidRPr="00F03A26">
        <w:rPr>
          <w:rFonts w:asciiTheme="majorBidi" w:eastAsia="Calibri" w:hAnsiTheme="majorBidi" w:cstheme="majorBidi"/>
          <w:iCs/>
        </w:rPr>
        <w:t>(in Assyrian Muṣaṣir) that was dedicated to God Ḫaldi</w:t>
      </w:r>
      <w:r w:rsidR="00C1513A">
        <w:rPr>
          <w:rFonts w:asciiTheme="majorBidi" w:eastAsia="Calibri" w:hAnsiTheme="majorBidi" w:cstheme="majorBidi"/>
          <w:iCs/>
        </w:rPr>
        <w:fldChar w:fldCharType="begin"/>
      </w:r>
      <w:r w:rsidR="00C1513A">
        <w:instrText xml:space="preserve"> XE "</w:instrText>
      </w:r>
      <w:r w:rsidR="00C1513A" w:rsidRPr="009F22E3">
        <w:rPr>
          <w:rFonts w:asciiTheme="majorBidi" w:eastAsia="Times New Roman" w:hAnsiTheme="majorBidi" w:cstheme="majorBidi"/>
          <w:lang w:val="en-GB"/>
        </w:rPr>
        <w:instrText>God Ḫaldi</w:instrText>
      </w:r>
      <w:r w:rsidR="00C1513A">
        <w:instrText xml:space="preserve">" </w:instrText>
      </w:r>
      <w:r w:rsidR="00C1513A">
        <w:rPr>
          <w:rFonts w:asciiTheme="majorBidi" w:eastAsia="Calibri" w:hAnsiTheme="majorBidi" w:cstheme="majorBidi"/>
          <w:iCs/>
        </w:rPr>
        <w:fldChar w:fldCharType="end"/>
      </w:r>
      <w:r w:rsidRPr="00F03A26">
        <w:rPr>
          <w:rFonts w:asciiTheme="majorBidi" w:eastAsia="Calibri" w:hAnsiTheme="majorBidi" w:cstheme="majorBidi"/>
          <w:iCs/>
        </w:rPr>
        <w:t>, which should be located to the west of Urmia Lake</w:t>
      </w:r>
      <w:r w:rsidR="006A4F71">
        <w:rPr>
          <w:rFonts w:asciiTheme="majorBidi" w:eastAsia="Calibri" w:hAnsiTheme="majorBidi" w:cstheme="majorBidi"/>
          <w:iCs/>
        </w:rPr>
        <w:fldChar w:fldCharType="begin"/>
      </w:r>
      <w:r w:rsidR="006A4F71">
        <w:instrText xml:space="preserve"> XE "</w:instrText>
      </w:r>
      <w:r w:rsidR="006A4F71" w:rsidRPr="005E3AE4">
        <w:rPr>
          <w:rStyle w:val="y2iqfc"/>
          <w:rFonts w:asciiTheme="majorBidi" w:eastAsia="Arial" w:hAnsiTheme="majorBidi" w:cstheme="majorBidi"/>
          <w:color w:val="202124"/>
          <w:lang w:val="en-GB"/>
        </w:rPr>
        <w:instrText>Urmia Lake</w:instrText>
      </w:r>
      <w:r w:rsidR="006A4F71">
        <w:instrText xml:space="preserve">" </w:instrText>
      </w:r>
      <w:r w:rsidR="006A4F71">
        <w:rPr>
          <w:rFonts w:asciiTheme="majorBidi" w:eastAsia="Calibri" w:hAnsiTheme="majorBidi" w:cstheme="majorBidi"/>
          <w:iCs/>
        </w:rPr>
        <w:fldChar w:fldCharType="end"/>
      </w:r>
      <w:r w:rsidRPr="00F03A26">
        <w:rPr>
          <w:rFonts w:asciiTheme="majorBidi" w:eastAsia="Calibri" w:hAnsiTheme="majorBidi" w:cstheme="majorBidi"/>
          <w:iCs/>
        </w:rPr>
        <w:t> in the Sideqan region. The inscriptions also point to some construction activities and military campaigns of Rusa I around Sevan Lake</w:t>
      </w:r>
      <w:r w:rsidR="006A4F71">
        <w:rPr>
          <w:rFonts w:asciiTheme="majorBidi" w:eastAsia="Calibri" w:hAnsiTheme="majorBidi" w:cstheme="majorBidi"/>
          <w:iCs/>
        </w:rPr>
        <w:fldChar w:fldCharType="begin"/>
      </w:r>
      <w:r w:rsidR="006A4F71">
        <w:instrText xml:space="preserve"> XE "</w:instrText>
      </w:r>
      <w:r w:rsidR="006A4F71" w:rsidRPr="001E581F">
        <w:rPr>
          <w:rStyle w:val="y2iqfc"/>
          <w:rFonts w:asciiTheme="majorBidi" w:eastAsia="Arial" w:hAnsiTheme="majorBidi" w:cstheme="majorBidi"/>
          <w:color w:val="202124"/>
          <w:lang w:val="en-GB"/>
        </w:rPr>
        <w:instrText>Sevan Lake</w:instrText>
      </w:r>
      <w:r w:rsidR="006A4F71">
        <w:instrText xml:space="preserve">" </w:instrText>
      </w:r>
      <w:r w:rsidR="006A4F71">
        <w:rPr>
          <w:rFonts w:asciiTheme="majorBidi" w:eastAsia="Calibri" w:hAnsiTheme="majorBidi" w:cstheme="majorBidi"/>
          <w:iCs/>
        </w:rPr>
        <w:fldChar w:fldCharType="end"/>
      </w:r>
      <w:r w:rsidRPr="00F03A26">
        <w:rPr>
          <w:rFonts w:asciiTheme="majorBidi" w:eastAsia="Calibri" w:hAnsiTheme="majorBidi" w:cstheme="majorBidi"/>
          <w:iCs/>
        </w:rPr>
        <w:t xml:space="preserve">. Apart from these, the only written record left by Rusa I at the city of Ṭušpa or in its vicinity is the stele from Aygestan, in an area located </w:t>
      </w:r>
      <w:r w:rsidRPr="00F03A26">
        <w:rPr>
          <w:rFonts w:asciiTheme="majorBidi" w:eastAsia="Calibri" w:hAnsiTheme="majorBidi" w:cstheme="majorBidi"/>
          <w:iCs/>
        </w:rPr>
        <w:lastRenderedPageBreak/>
        <w:t>to the southeast of the fortress, extending towards east and north (CTU I. A 10-7), (Fig. 9). The stele was placed for the Storm God; however, it is uncertain to whom or what the name ‘Uedipri’ on the inscription referred to (CTU I. 509, r.5). In either case, the location of the stele is proof to the presence of Rusa I in the Van plain, and therefore, in Ṭušpa.</w:t>
      </w:r>
      <w:r w:rsidRPr="00F03A26">
        <w:rPr>
          <w:rFonts w:asciiTheme="majorBidi" w:eastAsia="Calibri" w:hAnsiTheme="majorBidi" w:cstheme="majorBidi"/>
          <w:lang w:val="en-GB"/>
        </w:rPr>
        <w:t xml:space="preserve"> </w:t>
      </w:r>
    </w:p>
    <w:p w14:paraId="0853CAFC"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drawing>
          <wp:inline distT="0" distB="0" distL="0" distR="0" wp14:anchorId="1A878FF8" wp14:editId="5DAAD3B7">
            <wp:extent cx="4155034" cy="3726139"/>
            <wp:effectExtent l="0" t="0" r="0" b="8255"/>
            <wp:docPr id="152516984" name="Resim 1" descr="siyah beyaz içeren bir resim&#10;&#10;Açıklama otomatik olarak orta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6984" name="Resim 1" descr="siyah beyaz içeren bir resim&#10;&#10;Açıklama otomatik olarak orta güvenilirlik düzeyiyle oluşturuldu"/>
                    <pic:cNvPicPr/>
                  </pic:nvPicPr>
                  <pic:blipFill>
                    <a:blip r:embed="rId42" cstate="email">
                      <a:extLst>
                        <a:ext uri="{28A0092B-C50C-407E-A947-70E740481C1C}">
                          <a14:useLocalDpi xmlns:a14="http://schemas.microsoft.com/office/drawing/2010/main"/>
                        </a:ext>
                      </a:extLst>
                    </a:blip>
                    <a:stretch>
                      <a:fillRect/>
                    </a:stretch>
                  </pic:blipFill>
                  <pic:spPr>
                    <a:xfrm>
                      <a:off x="0" y="0"/>
                      <a:ext cx="4155034" cy="3726139"/>
                    </a:xfrm>
                    <a:prstGeom prst="rect">
                      <a:avLst/>
                    </a:prstGeom>
                  </pic:spPr>
                </pic:pic>
              </a:graphicData>
            </a:graphic>
          </wp:inline>
        </w:drawing>
      </w:r>
    </w:p>
    <w:p w14:paraId="119ED368"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9 Aygestan Stele Fragment (UPMG: plate. XX, 22).</w:t>
      </w:r>
    </w:p>
    <w:p w14:paraId="1520F68E" w14:textId="3DAC857E"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It is uncertain whether the city of Ṭušpa was destroyed after the attack of Tiglath-pileser III</w:t>
      </w:r>
      <w:r w:rsidR="0028736C">
        <w:rPr>
          <w:rFonts w:asciiTheme="majorBidi" w:eastAsia="Calibri" w:hAnsiTheme="majorBidi" w:cstheme="majorBidi"/>
          <w:lang w:val="en-GB"/>
        </w:rPr>
        <w:fldChar w:fldCharType="begin"/>
      </w:r>
      <w:r w:rsidR="0028736C">
        <w:instrText xml:space="preserve"> XE "</w:instrText>
      </w:r>
      <w:r w:rsidR="0028736C" w:rsidRPr="007426D5">
        <w:rPr>
          <w:rFonts w:asciiTheme="majorBidi" w:hAnsiTheme="majorBidi" w:cstheme="majorBidi"/>
          <w:color w:val="000000" w:themeColor="text1"/>
          <w:lang w:val="en-GB"/>
        </w:rPr>
        <w:instrText>Tiglath-pileser III</w:instrText>
      </w:r>
      <w:r w:rsidR="0028736C">
        <w:instrText xml:space="preserve">" </w:instrText>
      </w:r>
      <w:r w:rsidR="0028736C">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in 735 BCE. If there was destruction, the city should have been rebuilt and gained back its strength by the time of the enthronement of Rusa I.</w:t>
      </w:r>
    </w:p>
    <w:p w14:paraId="2C9F5AC9" w14:textId="2D1EBDF2"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The Chronology of Rusa I''s successors is still being determined. The kings ' names mentioned in the Assyrian</w:t>
      </w:r>
      <w:r w:rsidR="001F2587">
        <w:rPr>
          <w:rFonts w:asciiTheme="majorBidi" w:eastAsia="Calibri"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spies ' letters to the Assyrian King Sargon II (722-705 BCE) further complicate this issue. The period of these kings, whose enthronement chronologies are debatable, starts with the eighth campaign of Sargon II in 714 BCE. This campaign captured the Urartian</w:t>
      </w:r>
      <w:r w:rsidR="00EA6C63">
        <w:rPr>
          <w:rFonts w:asciiTheme="majorBidi" w:eastAsia="Calibr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lang w:val="en-GB"/>
        </w:rPr>
        <w:fldChar w:fldCharType="end"/>
      </w:r>
      <w:r w:rsidRPr="00F03A26">
        <w:rPr>
          <w:rFonts w:asciiTheme="majorBidi" w:eastAsia="Calibri" w:hAnsiTheme="majorBidi" w:cstheme="majorBidi"/>
          <w:lang w:val="en-GB"/>
        </w:rPr>
        <w:t> sacred city of Muṣaṣir, a significant defeat for the kingdom. The first king mentioned in these texts is Argišti</w:t>
      </w:r>
      <w:r w:rsidR="00814086" w:rsidRPr="00F03A26">
        <w:rPr>
          <w:rFonts w:asciiTheme="majorBidi" w:eastAsia="Calibri" w:hAnsiTheme="majorBidi" w:cstheme="majorBidi"/>
          <w:lang w:val="en-GB"/>
        </w:rPr>
        <w:t xml:space="preserve"> </w:t>
      </w:r>
      <w:r w:rsidRPr="00F03A26">
        <w:rPr>
          <w:rFonts w:asciiTheme="majorBidi" w:eastAsia="Calibri" w:hAnsiTheme="majorBidi" w:cstheme="majorBidi"/>
          <w:lang w:val="en-GB"/>
        </w:rPr>
        <w:t xml:space="preserve">II (son of Rusa). Ṭušpa continued to be the kingdom's center during the reign of Argišti II. In this context, an inscription belonging to Argišti II found between the Haikavank gardens on the Eastern edge of the Van Fortress, is of interest (Fig. 10). The inscription states that the arrow thrown by Argišti from the forest of </w:t>
      </w:r>
      <w:r w:rsidR="001E2ED0">
        <w:rPr>
          <w:rFonts w:asciiTheme="majorBidi" w:eastAsia="Calibri" w:hAnsiTheme="majorBidi" w:cstheme="majorBidi"/>
          <w:lang w:val="en-GB"/>
        </w:rPr>
        <w:t>“</w:t>
      </w:r>
      <w:r w:rsidRPr="00F03A26">
        <w:rPr>
          <w:rFonts w:asciiTheme="majorBidi" w:eastAsia="Calibri" w:hAnsiTheme="majorBidi" w:cstheme="majorBidi"/>
          <w:lang w:val="en-GB"/>
        </w:rPr>
        <w:t>Gilura'' reached 950 KÙŠ ‘950 yards/cubit'' to the garden of ''Išpilini,'' the son of Batu</w:t>
      </w:r>
      <w:r w:rsidR="001E2ED0">
        <w:rPr>
          <w:rFonts w:asciiTheme="majorBidi" w:eastAsia="Calibri" w:hAnsiTheme="majorBidi" w:cstheme="majorBidi"/>
          <w:lang w:val="en-GB"/>
        </w:rPr>
        <w:t>”</w:t>
      </w:r>
      <w:r w:rsidRPr="00F03A26">
        <w:rPr>
          <w:rFonts w:asciiTheme="majorBidi" w:eastAsia="Calibri" w:hAnsiTheme="majorBidi" w:cstheme="majorBidi"/>
          <w:lang w:val="en-GB"/>
        </w:rPr>
        <w:t xml:space="preserve"> (CTU I. A 11-7). The gardens of the possible Urartian royals whose names were mentioned in the inscription should have been located near Ṭušpa in the Van </w:t>
      </w:r>
      <w:r w:rsidR="00814086" w:rsidRPr="00F03A26">
        <w:rPr>
          <w:rFonts w:asciiTheme="majorBidi" w:eastAsia="Calibri" w:hAnsiTheme="majorBidi" w:cstheme="majorBidi"/>
          <w:lang w:val="en-GB"/>
        </w:rPr>
        <w:t>p</w:t>
      </w:r>
      <w:r w:rsidRPr="00F03A26">
        <w:rPr>
          <w:rFonts w:asciiTheme="majorBidi" w:eastAsia="Calibri" w:hAnsiTheme="majorBidi" w:cstheme="majorBidi"/>
          <w:lang w:val="en-GB"/>
        </w:rPr>
        <w:t xml:space="preserve">lain. One of the spy letters </w:t>
      </w:r>
      <w:r w:rsidRPr="00F03A26">
        <w:rPr>
          <w:rFonts w:asciiTheme="majorBidi" w:eastAsia="Calibri" w:hAnsiTheme="majorBidi" w:cstheme="majorBidi"/>
          <w:lang w:val="en-GB"/>
        </w:rPr>
        <w:lastRenderedPageBreak/>
        <w:t>dating to the period of Sargon II (709 BCE) mentions that Argišti II placed military troops in each Urartian city around Ṭušpa</w:t>
      </w:r>
      <w:r w:rsidR="00814086" w:rsidRPr="00F03A26">
        <w:rPr>
          <w:rFonts w:asciiTheme="majorBidi" w:eastAsia="Calibri" w:hAnsiTheme="majorBidi" w:cstheme="majorBidi"/>
          <w:lang w:val="en-GB"/>
        </w:rPr>
        <w:t xml:space="preserve"> </w:t>
      </w:r>
      <w:r w:rsidRPr="00F03A26">
        <w:rPr>
          <w:rFonts w:asciiTheme="majorBidi" w:eastAsia="Calibri" w:hAnsiTheme="majorBidi" w:cstheme="majorBidi"/>
          <w:lang w:val="en-GB"/>
        </w:rPr>
        <w:t>(Lanfranchi &amp; Parpola, 1990: no. 3, 9-13.), suggesting that the Assyrian threat had continued during this period.</w:t>
      </w:r>
    </w:p>
    <w:p w14:paraId="786AA982"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p>
    <w:p w14:paraId="2EF5CDEC"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iCs/>
          <w:lang w:val="en-GB"/>
        </w:rPr>
      </w:pPr>
      <w:r w:rsidRPr="00F03A26">
        <w:rPr>
          <w:rFonts w:asciiTheme="majorBidi" w:eastAsia="Calibri" w:hAnsiTheme="majorBidi" w:cstheme="majorBidi"/>
          <w:noProof/>
        </w:rPr>
        <w:drawing>
          <wp:inline distT="0" distB="0" distL="0" distR="0" wp14:anchorId="7D88FD47" wp14:editId="6E45697E">
            <wp:extent cx="2170998" cy="3965068"/>
            <wp:effectExtent l="0" t="0" r="1270" b="0"/>
            <wp:docPr id="1399897442" name="Resim 1" descr="taş içeren bir resim&#10;&#10;Açıklama otomatik olarak orta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897442" name="Resim 1" descr="taş içeren bir resim&#10;&#10;Açıklama otomatik olarak orta güvenilirlik düzeyiyle oluşturuldu"/>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171566" cy="3966106"/>
                    </a:xfrm>
                    <a:prstGeom prst="rect">
                      <a:avLst/>
                    </a:prstGeom>
                    <a:noFill/>
                    <a:ln>
                      <a:noFill/>
                    </a:ln>
                  </pic:spPr>
                </pic:pic>
              </a:graphicData>
            </a:graphic>
          </wp:inline>
        </w:drawing>
      </w:r>
    </w:p>
    <w:p w14:paraId="26E9AD94" w14:textId="7F40DAE7" w:rsidR="00792E01" w:rsidRPr="00F03A26" w:rsidRDefault="00792E01" w:rsidP="00F03A26">
      <w:pPr>
        <w:spacing w:before="100" w:beforeAutospacing="1" w:after="100" w:afterAutospacing="1" w:line="276" w:lineRule="auto"/>
        <w:jc w:val="both"/>
        <w:rPr>
          <w:rFonts w:asciiTheme="majorBidi" w:eastAsia="Calibri" w:hAnsiTheme="majorBidi" w:cstheme="majorBidi"/>
          <w:iCs/>
          <w:lang w:val="en-GB"/>
        </w:rPr>
      </w:pPr>
      <w:r w:rsidRPr="00F03A26">
        <w:rPr>
          <w:rFonts w:asciiTheme="majorBidi" w:eastAsia="Calibri" w:hAnsiTheme="majorBidi" w:cstheme="majorBidi"/>
          <w:iCs/>
          <w:lang w:val="en-GB"/>
        </w:rPr>
        <w:t>Fig. 10   Haikavank</w:t>
      </w:r>
      <w:r w:rsidRPr="00F03A26">
        <w:rPr>
          <w:rFonts w:asciiTheme="majorBidi" w:eastAsia="Calibri" w:hAnsiTheme="majorBidi" w:cstheme="majorBidi"/>
          <w:iCs/>
          <w:lang w:val="en-GB"/>
        </w:rPr>
        <w:fldChar w:fldCharType="begin"/>
      </w:r>
      <w:r w:rsidRPr="00F03A26">
        <w:rPr>
          <w:rFonts w:asciiTheme="majorBidi" w:eastAsia="Calibri" w:hAnsiTheme="majorBidi" w:cstheme="majorBidi"/>
          <w:lang w:val="en-GB"/>
        </w:rPr>
        <w:instrText xml:space="preserve"> XE "Haikavank" </w:instrText>
      </w:r>
      <w:r w:rsidRPr="00F03A26">
        <w:rPr>
          <w:rFonts w:asciiTheme="majorBidi" w:eastAsia="Calibri" w:hAnsiTheme="majorBidi" w:cstheme="majorBidi"/>
          <w:iCs/>
          <w:lang w:val="en-GB"/>
        </w:rPr>
        <w:fldChar w:fldCharType="end"/>
      </w:r>
      <w:r w:rsidRPr="00F03A26">
        <w:rPr>
          <w:rFonts w:asciiTheme="majorBidi" w:eastAsia="Calibri" w:hAnsiTheme="majorBidi" w:cstheme="majorBidi"/>
          <w:iCs/>
          <w:lang w:val="en-GB"/>
        </w:rPr>
        <w:t xml:space="preserve"> Inscription (</w:t>
      </w:r>
      <w:r w:rsidRPr="00F03A26">
        <w:rPr>
          <w:rFonts w:asciiTheme="majorBidi" w:eastAsia="Calibri" w:hAnsiTheme="majorBidi" w:cstheme="majorBidi"/>
          <w:lang w:val="en-GB"/>
        </w:rPr>
        <w:t>Lehmann-Haupt, 1904: 815).</w:t>
      </w:r>
    </w:p>
    <w:p w14:paraId="6DB4CE3F" w14:textId="781B7640" w:rsidR="00792E01" w:rsidRPr="00F03A26" w:rsidRDefault="00792E01" w:rsidP="00F03A26">
      <w:pPr>
        <w:spacing w:before="100" w:beforeAutospacing="1" w:after="100" w:afterAutospacing="1" w:line="276" w:lineRule="auto"/>
        <w:jc w:val="both"/>
        <w:rPr>
          <w:rFonts w:asciiTheme="majorBidi" w:eastAsia="Calibri" w:hAnsiTheme="majorBidi" w:cstheme="majorBidi"/>
          <w:iCs/>
        </w:rPr>
      </w:pPr>
      <w:r w:rsidRPr="00F03A26">
        <w:rPr>
          <w:rFonts w:asciiTheme="majorBidi" w:eastAsia="Calibri" w:hAnsiTheme="majorBidi" w:cstheme="majorBidi"/>
          <w:iCs/>
        </w:rPr>
        <w:t>Melarṭua was mentioned only in some spy letters dating to the reign of Sargon II (Lanfranchi &amp; Parpola, 1990: no. 90, 114.). There is no available information on his reign, apart from him being enthroned after a severe defeat of the Urartians to the Cimmerians. According to common belief, Melarṭua might have ascended to the Urartian</w:t>
      </w:r>
      <w:r w:rsidR="00EA6C63">
        <w:rPr>
          <w:rFonts w:asciiTheme="majorBidi" w:eastAsia="Calibri" w:hAnsiTheme="majorBidi" w:cstheme="majorBidi"/>
          <w:iCs/>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iCs/>
        </w:rPr>
        <w:fldChar w:fldCharType="end"/>
      </w:r>
      <w:r w:rsidRPr="00F03A26">
        <w:rPr>
          <w:rFonts w:asciiTheme="majorBidi" w:eastAsia="Calibri" w:hAnsiTheme="majorBidi" w:cstheme="majorBidi"/>
          <w:iCs/>
        </w:rPr>
        <w:t> throne for a short period</w:t>
      </w:r>
      <w:r w:rsidR="00814086" w:rsidRPr="00F03A26">
        <w:rPr>
          <w:rStyle w:val="DipnotBavurusu"/>
          <w:rFonts w:asciiTheme="majorBidi" w:eastAsia="Calibri" w:hAnsiTheme="majorBidi" w:cstheme="majorBidi"/>
          <w:iCs/>
        </w:rPr>
        <w:footnoteReference w:id="21"/>
      </w:r>
      <w:r w:rsidRPr="00F03A26">
        <w:rPr>
          <w:rFonts w:asciiTheme="majorBidi" w:eastAsia="Calibri" w:hAnsiTheme="majorBidi" w:cstheme="majorBidi"/>
          <w:iCs/>
        </w:rPr>
        <w:t>. Besides, the Assyrian</w:t>
      </w:r>
      <w:r w:rsidR="001F2587">
        <w:rPr>
          <w:rFonts w:asciiTheme="majorBidi" w:eastAsia="Calibri" w:hAnsiTheme="majorBidi" w:cstheme="majorBidi"/>
          <w:iCs/>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iCs/>
        </w:rPr>
        <w:fldChar w:fldCharType="end"/>
      </w:r>
      <w:r w:rsidRPr="00F03A26">
        <w:rPr>
          <w:rFonts w:asciiTheme="majorBidi" w:eastAsia="Calibri" w:hAnsiTheme="majorBidi" w:cstheme="majorBidi"/>
          <w:iCs/>
        </w:rPr>
        <w:t> spy letters also indicate a failed coup attempt against the king in Ṭušpa during the same period. The letter reports that a tailor chief named ‘Naragē’</w:t>
      </w:r>
      <w:r w:rsidRPr="00F03A26">
        <w:rPr>
          <w:rFonts w:asciiTheme="majorBidi" w:eastAsia="Calibri" w:hAnsiTheme="majorBidi" w:cstheme="majorBidi"/>
          <w:i/>
          <w:iCs/>
        </w:rPr>
        <w:t xml:space="preserve"> </w:t>
      </w:r>
      <w:r w:rsidRPr="00F03A26">
        <w:rPr>
          <w:rFonts w:asciiTheme="majorBidi" w:eastAsia="Calibri" w:hAnsiTheme="majorBidi" w:cstheme="majorBidi"/>
          <w:iCs/>
        </w:rPr>
        <w:t xml:space="preserve">had started a riot with 20 eunuchs, which was quelled by a king whose name is not mentioned—possibly Argišti II or Melarṭua—and resulted with the execution of 100 eunuchs and bearded (which should have been attendants). It is understood from this text that Ṭušpa continued to be the legal throne during this period, where all bureaucratic and palatial classes lived. The spy letters also indicate that during this chaotic period, the Urartian kings continued to rule the state from Ṭušpa and started military campaigns from here (Lanfranchi &amp; Parpola, 1990: no. 86, 87, 92, 113, 179). The arrival of four Urartian governors to serve the temple in </w:t>
      </w:r>
      <w:r w:rsidRPr="00F03A26">
        <w:rPr>
          <w:rFonts w:asciiTheme="majorBidi" w:eastAsia="Calibri" w:hAnsiTheme="majorBidi" w:cstheme="majorBidi"/>
          <w:iCs/>
        </w:rPr>
        <w:lastRenderedPageBreak/>
        <w:t>Ṭušpa is mentioned in one of these letters (Lanfranchi &amp; Parpola, 1990: no. 85), while another letter states that the Urartian king, with the governors, sacrificed animals in Ṭušpa (Lanfranchi &amp; Parpola, 1990: no. 84). Based on this evidence, one can suggest that the Ḫaldi temple in Ṭušpa served as a unifying political and religious medium where the kingdom’s ruler and the governors met and bonded. Loyalty to this temple was significant in Urartian bureaucracy, and the cult of Ḫaldi was a strengthening force of the kingdom’s ideology.</w:t>
      </w:r>
    </w:p>
    <w:p w14:paraId="4C592BAA" w14:textId="1A0DA16F" w:rsidR="00792E01" w:rsidRPr="007256E1"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rPr>
        <w:t>Although the precise date of his reign is uncertain, Rusai Erimenaḫi (Rusa, son of Erimena) was another king who ruled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xml:space="preserve"> kingdom at the end of the 8th century BCE (For further debates on the reign of Rusai Erimenaḫi, see. Kroll, Gruber, Hellwag, Roaf, &amp; Zimansky, 2012). There is no evidence of whether his father Erimena ruled the kingdom or not, nor has there been any evidence of how the son Rusa II? had enthroned. No inscriptions of Erimena or his son Rusa had been found in Ṭušpa or nearby. Instead, the inscribed shields found in </w:t>
      </w:r>
      <w:r w:rsidRPr="007256E1">
        <w:rPr>
          <w:rFonts w:asciiTheme="majorBidi" w:eastAsia="Calibri" w:hAnsiTheme="majorBidi" w:cstheme="majorBidi"/>
        </w:rPr>
        <w:t>Toprakkale (in Urartian Rusaḫinili</w:t>
      </w:r>
      <w:r w:rsidR="00302238">
        <w:rPr>
          <w:rFonts w:asciiTheme="majorBidi" w:eastAsia="Calibri" w:hAnsiTheme="majorBidi" w:cstheme="majorBidi"/>
        </w:rPr>
        <w:fldChar w:fldCharType="begin"/>
      </w:r>
      <w:r w:rsidR="00302238">
        <w:instrText xml:space="preserve"> XE "</w:instrText>
      </w:r>
      <w:r w:rsidR="00302238" w:rsidRPr="00BE26A4">
        <w:rPr>
          <w:rFonts w:asciiTheme="majorBidi" w:eastAsia="Calibri" w:hAnsiTheme="majorBidi" w:cstheme="majorBidi"/>
        </w:rPr>
        <w:instrText>Rusaḫinili</w:instrText>
      </w:r>
      <w:r w:rsidR="00302238">
        <w:instrText xml:space="preserve">" </w:instrText>
      </w:r>
      <w:r w:rsidR="00302238">
        <w:rPr>
          <w:rFonts w:asciiTheme="majorBidi" w:eastAsia="Calibri" w:hAnsiTheme="majorBidi" w:cstheme="majorBidi"/>
        </w:rPr>
        <w:fldChar w:fldCharType="end"/>
      </w:r>
      <w:r w:rsidRPr="007256E1">
        <w:rPr>
          <w:rFonts w:asciiTheme="majorBidi" w:eastAsia="Calibri" w:hAnsiTheme="majorBidi" w:cstheme="majorBidi"/>
        </w:rPr>
        <w:t> Qilbani) to the</w:t>
      </w:r>
      <w:r w:rsidRPr="00F03A26">
        <w:rPr>
          <w:rFonts w:asciiTheme="majorBidi" w:eastAsia="Calibri" w:hAnsiTheme="majorBidi" w:cstheme="majorBidi"/>
        </w:rPr>
        <w:t xml:space="preserve"> east of Ṭušpa and the duplicate stelae of Ermanis (Gövelek) (CTU I. A 14-1) and Hevşisork (Savacık) (CTU I. A 14-2) that were found to the north and east of the Varag/Erek mountain is dated to the period of Rusai Erimenaḫi</w:t>
      </w:r>
      <w:r w:rsidR="00814086" w:rsidRPr="00F03A26">
        <w:rPr>
          <w:rStyle w:val="DipnotBavurusu"/>
          <w:rFonts w:asciiTheme="majorBidi" w:eastAsia="Calibri" w:hAnsiTheme="majorBidi" w:cstheme="majorBidi"/>
        </w:rPr>
        <w:footnoteReference w:id="22"/>
      </w:r>
      <w:r w:rsidRPr="00F03A26">
        <w:rPr>
          <w:rFonts w:asciiTheme="majorBidi" w:eastAsia="Calibri" w:hAnsiTheme="majorBidi" w:cstheme="majorBidi"/>
        </w:rPr>
        <w:t>.  Inscriptions on both stelae indicate that Rusai Erimenaḫi</w:t>
      </w:r>
      <w:r w:rsidR="00814086" w:rsidRPr="00F03A26">
        <w:rPr>
          <w:rFonts w:asciiTheme="majorBidi" w:eastAsia="Calibri" w:hAnsiTheme="majorBidi" w:cstheme="majorBidi"/>
        </w:rPr>
        <w:t xml:space="preserve"> </w:t>
      </w:r>
      <w:r w:rsidRPr="00F03A26">
        <w:rPr>
          <w:rFonts w:asciiTheme="majorBidi" w:eastAsia="Calibri" w:hAnsiTheme="majorBidi" w:cstheme="majorBidi"/>
        </w:rPr>
        <w:t xml:space="preserve">had built a dam named Rusa’s Dam (in Urartian </w:t>
      </w:r>
      <w:r w:rsidR="001E2ED0" w:rsidRPr="00270549">
        <w:rPr>
          <w:rFonts w:asciiTheme="majorBidi" w:eastAsia="Calibri" w:hAnsiTheme="majorBidi" w:cstheme="majorBidi"/>
        </w:rPr>
        <w:t>"</w:t>
      </w:r>
      <w:r w:rsidRPr="001E2ED0">
        <w:rPr>
          <w:rFonts w:asciiTheme="majorBidi" w:eastAsia="Calibri" w:hAnsiTheme="majorBidi" w:cstheme="majorBidi"/>
        </w:rPr>
        <w:t>Rusai ṣue</w:t>
      </w:r>
      <w:r w:rsidR="001E2ED0" w:rsidRPr="00270549">
        <w:rPr>
          <w:rFonts w:asciiTheme="majorBidi" w:eastAsia="Calibri" w:hAnsiTheme="majorBidi" w:cstheme="majorBidi"/>
        </w:rPr>
        <w:t>"</w:t>
      </w:r>
      <w:r w:rsidRPr="00F03A26">
        <w:rPr>
          <w:rFonts w:asciiTheme="majorBidi" w:eastAsia="Calibri" w:hAnsiTheme="majorBidi" w:cstheme="majorBidi"/>
        </w:rPr>
        <w:t xml:space="preserve">) that was named after him and that the water was transported </w:t>
      </w:r>
      <w:r w:rsidRPr="007256E1">
        <w:rPr>
          <w:rFonts w:asciiTheme="majorBidi" w:eastAsia="Calibri" w:hAnsiTheme="majorBidi" w:cstheme="majorBidi"/>
        </w:rPr>
        <w:t>from here to the city of Rusaḫinili/Toprakkale</w:t>
      </w:r>
      <w:r w:rsidR="00814086" w:rsidRPr="007256E1">
        <w:rPr>
          <w:rFonts w:asciiTheme="majorBidi" w:eastAsia="Calibri" w:hAnsiTheme="majorBidi" w:cstheme="majorBidi"/>
        </w:rPr>
        <w:t xml:space="preserve"> </w:t>
      </w:r>
      <w:r w:rsidRPr="007256E1">
        <w:rPr>
          <w:rFonts w:asciiTheme="majorBidi" w:eastAsia="Calibri" w:hAnsiTheme="majorBidi" w:cstheme="majorBidi"/>
        </w:rPr>
        <w:t>through an irrigation canal. In these inscriptions, Rusai Erimenaḫi states that with this irrigation canal, passing through Toprakkale and the Engüsner Creek (in Urartian Alaini), he provided water to the ‘citizens of Ṭušpa’ = ‘LÚDUMU-še URUṭušpaini’ (CTU I. A 14- 1 Ro, 44-66; A 14-2, 44-52; A14-21. d., 1-30), (Fig. 11).</w:t>
      </w:r>
    </w:p>
    <w:p w14:paraId="13ECFE70" w14:textId="77777777" w:rsidR="00792E01" w:rsidRPr="00F03A26" w:rsidRDefault="00792E01" w:rsidP="00F03A26">
      <w:pPr>
        <w:spacing w:line="276" w:lineRule="auto"/>
        <w:jc w:val="both"/>
        <w:rPr>
          <w:rFonts w:asciiTheme="majorBidi" w:eastAsia="Calibri" w:hAnsiTheme="majorBidi" w:cstheme="majorBidi"/>
          <w:lang w:val="en-GB"/>
        </w:rPr>
      </w:pPr>
      <w:r w:rsidRPr="00F03A26">
        <w:rPr>
          <w:rFonts w:asciiTheme="majorBidi" w:eastAsia="Calibri" w:hAnsiTheme="majorBidi" w:cstheme="majorBidi"/>
          <w:noProof/>
        </w:rPr>
        <w:lastRenderedPageBreak/>
        <w:drawing>
          <wp:inline distT="0" distB="0" distL="0" distR="0" wp14:anchorId="6850870A" wp14:editId="74598942">
            <wp:extent cx="5733415" cy="3822065"/>
            <wp:effectExtent l="3175" t="0" r="3810" b="3810"/>
            <wp:docPr id="2021373308" name="Resim 5" descr="dış mekan, bina, heykel,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73308" name="Resim 5" descr="dış mekan, bina, heykel, yer içeren bir resim&#10;&#10;Açıklama otomatik olarak oluşturuldu"/>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733415" cy="3822065"/>
                    </a:xfrm>
                    <a:prstGeom prst="rect">
                      <a:avLst/>
                    </a:prstGeom>
                    <a:noFill/>
                    <a:ln>
                      <a:noFill/>
                    </a:ln>
                  </pic:spPr>
                </pic:pic>
              </a:graphicData>
            </a:graphic>
          </wp:inline>
        </w:drawing>
      </w:r>
    </w:p>
    <w:p w14:paraId="05E9D4D3" w14:textId="77777777" w:rsidR="00792E01" w:rsidRPr="00F03A26" w:rsidRDefault="00792E01" w:rsidP="00F03A26">
      <w:pPr>
        <w:jc w:val="both"/>
        <w:rPr>
          <w:rFonts w:asciiTheme="majorBidi" w:eastAsia="Calibri" w:hAnsiTheme="majorBidi" w:cstheme="majorBidi"/>
          <w:lang w:val="en-GB"/>
        </w:rPr>
      </w:pPr>
      <w:r w:rsidRPr="00F03A26">
        <w:rPr>
          <w:rFonts w:asciiTheme="majorBidi" w:eastAsia="Calibri" w:hAnsiTheme="majorBidi" w:cstheme="majorBidi"/>
          <w:lang w:val="en-GB"/>
        </w:rPr>
        <w:t>Fig. 11 Duplicated Hevşisork</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"Hevşisork"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stele belonging to </w:t>
      </w:r>
      <w:r w:rsidRPr="00F03A26">
        <w:rPr>
          <w:rFonts w:asciiTheme="majorBidi" w:eastAsia="Calibri" w:hAnsiTheme="majorBidi" w:cstheme="majorBidi"/>
          <w:iCs/>
          <w:lang w:val="en-GB"/>
        </w:rPr>
        <w:t>Rusai Erimenaḫi</w:t>
      </w:r>
      <w:r w:rsidRPr="00F03A26">
        <w:rPr>
          <w:rFonts w:asciiTheme="majorBidi" w:eastAsia="Calibri" w:hAnsiTheme="majorBidi" w:cstheme="majorBidi"/>
          <w:iCs/>
          <w:lang w:val="en-GB"/>
        </w:rPr>
        <w:fldChar w:fldCharType="begin"/>
      </w:r>
      <w:r w:rsidRPr="00F03A26">
        <w:rPr>
          <w:rFonts w:asciiTheme="majorBidi" w:eastAsia="Calibri" w:hAnsiTheme="majorBidi" w:cstheme="majorBidi"/>
          <w:lang w:val="en-GB"/>
        </w:rPr>
        <w:instrText xml:space="preserve"> XE "</w:instrText>
      </w:r>
      <w:r w:rsidRPr="00F03A26">
        <w:rPr>
          <w:rFonts w:asciiTheme="majorBidi" w:eastAsia="Calibri" w:hAnsiTheme="majorBidi" w:cstheme="majorBidi"/>
          <w:iCs/>
          <w:lang w:val="en-GB"/>
        </w:rPr>
        <w:instrText>Rusai Erimenaḫi</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iCs/>
          <w:lang w:val="en-GB"/>
        </w:rPr>
        <w:fldChar w:fldCharType="end"/>
      </w:r>
      <w:r w:rsidRPr="00F03A26">
        <w:rPr>
          <w:rFonts w:asciiTheme="majorBidi" w:eastAsia="Calibri" w:hAnsiTheme="majorBidi" w:cstheme="majorBidi"/>
          <w:iCs/>
          <w:lang w:val="en-GB"/>
        </w:rPr>
        <w:t>,</w:t>
      </w:r>
      <w:r w:rsidRPr="00F03A26">
        <w:rPr>
          <w:rFonts w:asciiTheme="majorBidi" w:eastAsia="Calibri" w:hAnsiTheme="majorBidi" w:cstheme="majorBidi"/>
          <w:lang w:val="en-GB"/>
        </w:rPr>
        <w:t xml:space="preserve"> one of the last Urartian</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"Urartian"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kings. In this inscription, the king says that he took water to </w:t>
      </w:r>
      <w:r w:rsidRPr="00F03A26">
        <w:rPr>
          <w:rFonts w:asciiTheme="majorBidi" w:eastAsia="Calibri" w:hAnsiTheme="majorBidi" w:cstheme="majorBidi"/>
          <w:iCs/>
          <w:lang w:val="en-GB"/>
        </w:rPr>
        <w:t>Ṭušpa</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w:instrText>
      </w:r>
      <w:r w:rsidRPr="00F03A26">
        <w:rPr>
          <w:rFonts w:asciiTheme="majorBidi" w:eastAsia="Calibri" w:hAnsiTheme="majorBidi" w:cstheme="majorBidi"/>
          <w:iCs/>
          <w:lang w:val="en-GB"/>
        </w:rPr>
        <w:instrText>Ṭušpa</w:instrText>
      </w:r>
      <w:r w:rsidRPr="00F03A26">
        <w:rPr>
          <w:rFonts w:asciiTheme="majorBidi" w:eastAsia="Calibri" w:hAnsiTheme="majorBidi" w:cstheme="majorBidi"/>
          <w:lang w:val="en-GB"/>
        </w:rPr>
        <w:instrText xml:space="preserve">"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after the city of Rusaḫinili</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"Rusaḫinili"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Toprakkale</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"Toprakkale"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w:t>
      </w:r>
    </w:p>
    <w:p w14:paraId="769656B9" w14:textId="36ECC758"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These expressions confirm the location of the great city of Ṭušpa, extending from the north of the Van Fortress through Kelepost/Altıntepe, where the Engüsner Creek flows nearby. The few examples of stone inscriptions belonging to Rusai Erimenaḫi do not incorporate the expression ‘the lord of the city of Ṭušpa’</w:t>
      </w:r>
      <w:r w:rsidR="001E2ED0">
        <w:rPr>
          <w:rFonts w:asciiTheme="majorBidi" w:eastAsia="Calibri" w:hAnsiTheme="majorBidi" w:cstheme="majorBidi"/>
          <w:lang w:val="en-GB"/>
        </w:rPr>
        <w:t>.</w:t>
      </w:r>
      <w:r w:rsidRPr="00F03A26">
        <w:rPr>
          <w:rFonts w:asciiTheme="majorBidi" w:eastAsia="Calibri" w:hAnsiTheme="majorBidi" w:cstheme="majorBidi"/>
          <w:lang w:val="en-GB"/>
        </w:rPr>
        <w:t xml:space="preserve"> Instead, this denotation was used in the duplicate inscriptions on the bronze shields found in Toprakkale (Fig. 12). </w:t>
      </w:r>
    </w:p>
    <w:p w14:paraId="008A00A1"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lastRenderedPageBreak/>
        <w:drawing>
          <wp:inline distT="0" distB="0" distL="0" distR="0" wp14:anchorId="29F3A822" wp14:editId="0385DD46">
            <wp:extent cx="4703673" cy="3528189"/>
            <wp:effectExtent l="0" t="0" r="1905" b="0"/>
            <wp:docPr id="1" name="Resim 1" descr="C:\Users\lenovo\Desktop\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Figure 6.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715656" cy="3537177"/>
                    </a:xfrm>
                    <a:prstGeom prst="rect">
                      <a:avLst/>
                    </a:prstGeom>
                    <a:noFill/>
                    <a:ln>
                      <a:noFill/>
                    </a:ln>
                  </pic:spPr>
                </pic:pic>
              </a:graphicData>
            </a:graphic>
          </wp:inline>
        </w:drawing>
      </w:r>
    </w:p>
    <w:p w14:paraId="4946D8E9"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12 Toprakkale</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"Toprakkale"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w:t>
      </w:r>
    </w:p>
    <w:p w14:paraId="3DFC33DE" w14:textId="602C4452" w:rsidR="00792E01" w:rsidRPr="00F03A26" w:rsidRDefault="00792E01" w:rsidP="00F03A26">
      <w:pPr>
        <w:spacing w:before="100" w:beforeAutospacing="1" w:after="100" w:afterAutospacing="1" w:line="276" w:lineRule="auto"/>
        <w:jc w:val="both"/>
        <w:rPr>
          <w:rFonts w:asciiTheme="majorBidi" w:eastAsia="Calibri" w:hAnsiTheme="majorBidi" w:cstheme="majorBidi"/>
          <w:b/>
          <w:bCs/>
          <w:sz w:val="28"/>
          <w:szCs w:val="28"/>
          <w:lang w:val="en-GB"/>
        </w:rPr>
      </w:pPr>
      <w:r w:rsidRPr="00F03A26">
        <w:rPr>
          <w:rFonts w:asciiTheme="majorBidi" w:eastAsia="Calibri" w:hAnsiTheme="majorBidi" w:cstheme="majorBidi"/>
          <w:b/>
          <w:bCs/>
          <w:sz w:val="28"/>
          <w:szCs w:val="28"/>
          <w:lang w:val="en-GB"/>
        </w:rPr>
        <w:t xml:space="preserve">2.7. Was the capital </w:t>
      </w:r>
      <w:r w:rsidRPr="00F03A26">
        <w:rPr>
          <w:rFonts w:asciiTheme="majorBidi" w:eastAsia="Calibri" w:hAnsiTheme="majorBidi" w:cstheme="majorBidi"/>
          <w:b/>
          <w:bCs/>
          <w:iCs/>
          <w:sz w:val="28"/>
          <w:szCs w:val="28"/>
          <w:lang w:val="en-GB"/>
        </w:rPr>
        <w:t>Ṭušpa</w:t>
      </w:r>
      <w:r w:rsidRPr="00F03A26">
        <w:rPr>
          <w:rFonts w:asciiTheme="majorBidi" w:eastAsia="Calibri" w:hAnsiTheme="majorBidi" w:cstheme="majorBidi"/>
          <w:b/>
          <w:bCs/>
          <w:sz w:val="28"/>
          <w:szCs w:val="28"/>
          <w:lang w:val="en-GB"/>
        </w:rPr>
        <w:t xml:space="preserve"> moved to Toprakkale</w:t>
      </w:r>
      <w:r w:rsidRPr="00F03A26">
        <w:rPr>
          <w:rFonts w:asciiTheme="majorBidi" w:eastAsia="Calibri" w:hAnsiTheme="majorBidi" w:cstheme="majorBidi"/>
          <w:b/>
          <w:bCs/>
          <w:sz w:val="28"/>
          <w:szCs w:val="28"/>
          <w:lang w:val="en-GB"/>
        </w:rPr>
        <w:fldChar w:fldCharType="begin"/>
      </w:r>
      <w:r w:rsidRPr="00F03A26">
        <w:rPr>
          <w:rFonts w:asciiTheme="majorBidi" w:eastAsia="Calibri" w:hAnsiTheme="majorBidi" w:cstheme="majorBidi"/>
          <w:sz w:val="28"/>
          <w:szCs w:val="28"/>
          <w:lang w:val="en-GB"/>
        </w:rPr>
        <w:instrText xml:space="preserve"> XE "Toprakkale" </w:instrText>
      </w:r>
      <w:r w:rsidRPr="00F03A26">
        <w:rPr>
          <w:rFonts w:asciiTheme="majorBidi" w:eastAsia="Calibri" w:hAnsiTheme="majorBidi" w:cstheme="majorBidi"/>
          <w:b/>
          <w:bCs/>
          <w:sz w:val="28"/>
          <w:szCs w:val="28"/>
          <w:lang w:val="en-GB"/>
        </w:rPr>
        <w:fldChar w:fldCharType="end"/>
      </w:r>
      <w:r w:rsidRPr="00F03A26">
        <w:rPr>
          <w:rFonts w:asciiTheme="majorBidi" w:eastAsia="Calibri" w:hAnsiTheme="majorBidi" w:cstheme="majorBidi"/>
          <w:b/>
          <w:bCs/>
          <w:sz w:val="28"/>
          <w:szCs w:val="28"/>
          <w:lang w:val="en-GB"/>
        </w:rPr>
        <w:t xml:space="preserve"> on the same plain?</w:t>
      </w:r>
    </w:p>
    <w:p w14:paraId="0F5EAD0F" w14:textId="61221AFA" w:rsidR="00792E01" w:rsidRPr="00F03A26" w:rsidRDefault="00792E01" w:rsidP="0042124D">
      <w:pPr>
        <w:jc w:val="both"/>
        <w:rPr>
          <w:rFonts w:asciiTheme="majorBidi" w:eastAsia="Calibri" w:hAnsiTheme="majorBidi" w:cstheme="majorBidi"/>
          <w:shd w:val="clear" w:color="auto" w:fill="FFFFFF"/>
        </w:rPr>
      </w:pPr>
      <w:bookmarkStart w:id="28" w:name="_Toc132072511"/>
      <w:r w:rsidRPr="00F03A26">
        <w:rPr>
          <w:rFonts w:asciiTheme="majorBidi" w:eastAsia="Calibri" w:hAnsiTheme="majorBidi" w:cstheme="majorBidi"/>
          <w:shd w:val="clear" w:color="auto" w:fill="FFFFFF"/>
        </w:rPr>
        <w:t>The claim that Toprakkale was the second capital of Urartu, frequently mentioned during this later period of the Urartian</w:t>
      </w:r>
      <w:r w:rsidR="00EA6C63">
        <w:rPr>
          <w:rFonts w:asciiTheme="majorBidi" w:eastAsia="Calibri" w:hAnsiTheme="majorBidi" w:cstheme="majorBidi"/>
          <w:shd w:val="clear" w:color="auto" w:fill="FFFFFF"/>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shd w:val="clear" w:color="auto" w:fill="FFFFFF"/>
        </w:rPr>
        <w:fldChar w:fldCharType="end"/>
      </w:r>
      <w:r w:rsidRPr="00F03A26">
        <w:rPr>
          <w:rFonts w:asciiTheme="majorBidi" w:eastAsia="Calibri" w:hAnsiTheme="majorBidi" w:cstheme="majorBidi"/>
          <w:shd w:val="clear" w:color="auto" w:fill="FFFFFF"/>
        </w:rPr>
        <w:t> kingdom, was first put forward by Burney. Burney suggested that Urartian king Rusa I</w:t>
      </w:r>
      <w:r w:rsidR="001E2ED0">
        <w:rPr>
          <w:rFonts w:asciiTheme="majorBidi" w:eastAsia="Calibri" w:hAnsiTheme="majorBidi" w:cstheme="majorBidi"/>
          <w:shd w:val="clear" w:color="auto" w:fill="FFFFFF"/>
        </w:rPr>
        <w:t xml:space="preserve">, </w:t>
      </w:r>
      <w:r w:rsidRPr="00F03A26">
        <w:rPr>
          <w:rFonts w:asciiTheme="majorBidi" w:eastAsia="Calibri" w:hAnsiTheme="majorBidi" w:cstheme="majorBidi"/>
          <w:shd w:val="clear" w:color="auto" w:fill="FFFFFF"/>
        </w:rPr>
        <w:t>moved his capital from Ṭušpa to Rusaḫinili</w:t>
      </w:r>
      <w:r w:rsidR="00302238">
        <w:rPr>
          <w:rFonts w:asciiTheme="majorBidi" w:eastAsia="Calibri" w:hAnsiTheme="majorBidi" w:cstheme="majorBidi"/>
          <w:shd w:val="clear" w:color="auto" w:fill="FFFFFF"/>
        </w:rPr>
        <w:fldChar w:fldCharType="begin"/>
      </w:r>
      <w:r w:rsidR="00302238">
        <w:instrText xml:space="preserve"> XE "</w:instrText>
      </w:r>
      <w:r w:rsidR="00302238" w:rsidRPr="00BE26A4">
        <w:rPr>
          <w:rFonts w:asciiTheme="majorBidi" w:eastAsia="Calibri" w:hAnsiTheme="majorBidi" w:cstheme="majorBidi"/>
        </w:rPr>
        <w:instrText>Rusaḫinili</w:instrText>
      </w:r>
      <w:r w:rsidR="00302238">
        <w:instrText xml:space="preserve">" </w:instrText>
      </w:r>
      <w:r w:rsidR="00302238">
        <w:rPr>
          <w:rFonts w:asciiTheme="majorBidi" w:eastAsia="Calibri" w:hAnsiTheme="majorBidi" w:cstheme="majorBidi"/>
          <w:shd w:val="clear" w:color="auto" w:fill="FFFFFF"/>
        </w:rPr>
        <w:fldChar w:fldCharType="end"/>
      </w:r>
      <w:r w:rsidRPr="00F03A26">
        <w:rPr>
          <w:rFonts w:asciiTheme="majorBidi" w:eastAsia="Calibri" w:hAnsiTheme="majorBidi" w:cstheme="majorBidi"/>
          <w:shd w:val="clear" w:color="auto" w:fill="FFFFFF"/>
        </w:rPr>
        <w:t>/Toprakkale around the time of the campaign of King Sargon II of Assyria to the sacred city of Ḫaldi, Muṣaṣir, in 714 BCE (Burney, 1957: 40). This claim has been partially supported (Sevin, 2006: 143-149; Reade, 2019: 450). It is debated whether this relocation occurred after the campaign of Assyrian</w:t>
      </w:r>
      <w:r w:rsidR="001F2587">
        <w:rPr>
          <w:rFonts w:asciiTheme="majorBidi" w:eastAsia="Calibri" w:hAnsiTheme="majorBidi" w:cstheme="majorBidi"/>
          <w:shd w:val="clear" w:color="auto" w:fill="FFFFFF"/>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shd w:val="clear" w:color="auto" w:fill="FFFFFF"/>
        </w:rPr>
        <w:fldChar w:fldCharType="end"/>
      </w:r>
      <w:r w:rsidRPr="00F03A26">
        <w:rPr>
          <w:rFonts w:asciiTheme="majorBidi" w:eastAsia="Calibri" w:hAnsiTheme="majorBidi" w:cstheme="majorBidi"/>
          <w:shd w:val="clear" w:color="auto" w:fill="FFFFFF"/>
        </w:rPr>
        <w:t> king Tiglath-pileser III</w:t>
      </w:r>
      <w:r w:rsidR="0028736C">
        <w:rPr>
          <w:rFonts w:asciiTheme="majorBidi" w:eastAsia="Calibri" w:hAnsiTheme="majorBidi" w:cstheme="majorBidi"/>
          <w:shd w:val="clear" w:color="auto" w:fill="FFFFFF"/>
        </w:rPr>
        <w:fldChar w:fldCharType="begin"/>
      </w:r>
      <w:r w:rsidR="0028736C">
        <w:instrText xml:space="preserve"> XE "</w:instrText>
      </w:r>
      <w:r w:rsidR="0028736C" w:rsidRPr="007426D5">
        <w:rPr>
          <w:rFonts w:asciiTheme="majorBidi" w:hAnsiTheme="majorBidi" w:cstheme="majorBidi"/>
          <w:color w:val="000000" w:themeColor="text1"/>
          <w:lang w:val="en-GB"/>
        </w:rPr>
        <w:instrText>Tiglath-pileser III</w:instrText>
      </w:r>
      <w:r w:rsidR="0028736C">
        <w:instrText xml:space="preserve">" </w:instrText>
      </w:r>
      <w:r w:rsidR="0028736C">
        <w:rPr>
          <w:rFonts w:asciiTheme="majorBidi" w:eastAsia="Calibri" w:hAnsiTheme="majorBidi" w:cstheme="majorBidi"/>
          <w:shd w:val="clear" w:color="auto" w:fill="FFFFFF"/>
        </w:rPr>
        <w:fldChar w:fldCharType="end"/>
      </w:r>
      <w:r w:rsidRPr="00F03A26">
        <w:rPr>
          <w:rFonts w:asciiTheme="majorBidi" w:eastAsia="Calibri" w:hAnsiTheme="majorBidi" w:cstheme="majorBidi"/>
          <w:shd w:val="clear" w:color="auto" w:fill="FFFFFF"/>
        </w:rPr>
        <w:t> to the Urartian capital Ṭuruspâ/Ṭušpa</w:t>
      </w:r>
      <w:r w:rsidR="00814086" w:rsidRPr="00F03A26">
        <w:rPr>
          <w:rFonts w:asciiTheme="majorBidi" w:eastAsia="Calibri" w:hAnsiTheme="majorBidi" w:cstheme="majorBidi"/>
          <w:shd w:val="clear" w:color="auto" w:fill="FFFFFF"/>
        </w:rPr>
        <w:t xml:space="preserve"> </w:t>
      </w:r>
      <w:r w:rsidRPr="00F03A26">
        <w:rPr>
          <w:rFonts w:asciiTheme="majorBidi" w:eastAsia="Calibri" w:hAnsiTheme="majorBidi" w:cstheme="majorBidi"/>
          <w:shd w:val="clear" w:color="auto" w:fill="FFFFFF"/>
        </w:rPr>
        <w:t xml:space="preserve">in 735 BCE or after the plundering of the city of </w:t>
      </w:r>
      <w:r w:rsidRPr="007256E1">
        <w:rPr>
          <w:rFonts w:asciiTheme="majorBidi" w:eastAsia="Calibri" w:hAnsiTheme="majorBidi" w:cstheme="majorBidi"/>
          <w:shd w:val="clear" w:color="auto" w:fill="FFFFFF"/>
        </w:rPr>
        <w:t xml:space="preserve">Muṣaṣir </w:t>
      </w:r>
      <w:r w:rsidRPr="00F03A26">
        <w:rPr>
          <w:rFonts w:asciiTheme="majorBidi" w:eastAsia="Calibri" w:hAnsiTheme="majorBidi" w:cstheme="majorBidi"/>
          <w:shd w:val="clear" w:color="auto" w:fill="FFFFFF"/>
        </w:rPr>
        <w:t>in 714 BCE. Zimansky, on the same subject, mentioned that there is limited evidence regarding a relocation from Ṭušpa to Toprakkale, and he also stated that the significance of Ṭušpa as the royal center in Urartu persisted until the end of the kingdom. However, he also reported that Toprakkale was one of several administrative centers, such as Bastam and Karmir-Blur</w:t>
      </w:r>
      <w:r w:rsidR="0028736C">
        <w:rPr>
          <w:rFonts w:asciiTheme="majorBidi" w:eastAsia="Calibri" w:hAnsiTheme="majorBidi" w:cstheme="majorBidi"/>
          <w:shd w:val="clear" w:color="auto" w:fill="FFFFFF"/>
        </w:rPr>
        <w:fldChar w:fldCharType="begin"/>
      </w:r>
      <w:r w:rsidR="0028736C">
        <w:instrText xml:space="preserve"> XE "</w:instrText>
      </w:r>
      <w:r w:rsidR="0028736C" w:rsidRPr="00311FDF">
        <w:rPr>
          <w:rFonts w:asciiTheme="majorBidi" w:hAnsiTheme="majorBidi" w:cstheme="majorBidi"/>
          <w:color w:val="000000" w:themeColor="text1"/>
          <w:lang w:val="en-GB"/>
        </w:rPr>
        <w:instrText>Karmir-Blur</w:instrText>
      </w:r>
      <w:r w:rsidR="0028736C">
        <w:instrText xml:space="preserve">" </w:instrText>
      </w:r>
      <w:r w:rsidR="0028736C">
        <w:rPr>
          <w:rFonts w:asciiTheme="majorBidi" w:eastAsia="Calibri" w:hAnsiTheme="majorBidi" w:cstheme="majorBidi"/>
          <w:shd w:val="clear" w:color="auto" w:fill="FFFFFF"/>
        </w:rPr>
        <w:fldChar w:fldCharType="end"/>
      </w:r>
      <w:r w:rsidRPr="00F03A26">
        <w:rPr>
          <w:rFonts w:asciiTheme="majorBidi" w:eastAsia="Calibri" w:hAnsiTheme="majorBidi" w:cstheme="majorBidi"/>
          <w:shd w:val="clear" w:color="auto" w:fill="FFFFFF"/>
        </w:rPr>
        <w:t xml:space="preserve"> (Zimansky 1985, 79-80), as evidenced by official documents with royal seals found in these sites, particularly tablets and bullae. The idea that Toprakkale was a secondary capital stems from the expressions found on tablets in Toprakkale and bullae in Bastam. The tablet, one of the two written documents belonging to Rusai Argištiḫi, mentions that the king was entrusted by the god Ḫaldi to become king (to ascend the throne?) </w:t>
      </w:r>
      <w:r w:rsidRPr="007256E1">
        <w:rPr>
          <w:rFonts w:asciiTheme="majorBidi" w:eastAsia="Calibri" w:hAnsiTheme="majorBidi" w:cstheme="majorBidi"/>
          <w:shd w:val="clear" w:color="auto" w:fill="FFFFFF"/>
        </w:rPr>
        <w:t xml:space="preserve">in </w:t>
      </w:r>
      <w:r w:rsidR="001E2ED0" w:rsidRPr="00270549">
        <w:rPr>
          <w:rFonts w:asciiTheme="majorBidi" w:eastAsia="Calibri" w:hAnsiTheme="majorBidi" w:cstheme="majorBidi"/>
        </w:rPr>
        <w:t>"</w:t>
      </w:r>
      <w:r w:rsidRPr="007256E1">
        <w:rPr>
          <w:rFonts w:asciiTheme="majorBidi" w:eastAsia="Calibri" w:hAnsiTheme="majorBidi" w:cstheme="majorBidi"/>
          <w:shd w:val="clear" w:color="auto" w:fill="FFFFFF"/>
        </w:rPr>
        <w:t>Rusaḫinili Qilbani</w:t>
      </w:r>
      <w:r w:rsidR="001E2ED0" w:rsidRPr="00270549">
        <w:rPr>
          <w:rFonts w:asciiTheme="majorBidi" w:eastAsia="Calibri" w:hAnsiTheme="majorBidi" w:cstheme="majorBidi"/>
        </w:rPr>
        <w:t>"</w:t>
      </w:r>
      <w:r w:rsidRPr="007256E1">
        <w:rPr>
          <w:rFonts w:asciiTheme="majorBidi" w:eastAsia="Calibri" w:hAnsiTheme="majorBidi" w:cstheme="majorBidi"/>
          <w:shd w:val="clear" w:color="auto" w:fill="FFFFFF"/>
        </w:rPr>
        <w:t xml:space="preserve">  É.BÁRA (in the temple area) (CTU IV. CT Tk-1 Ro. 4-6). On the Bastam bulla, the expression </w:t>
      </w:r>
      <w:r w:rsidR="001E2ED0">
        <w:rPr>
          <w:rFonts w:asciiTheme="majorBidi" w:eastAsia="Calibri" w:hAnsiTheme="majorBidi" w:cstheme="majorBidi"/>
          <w:shd w:val="clear" w:color="auto" w:fill="FFFFFF"/>
        </w:rPr>
        <w:t>‘</w:t>
      </w:r>
      <w:r w:rsidRPr="007256E1">
        <w:rPr>
          <w:rFonts w:asciiTheme="majorBidi" w:eastAsia="Calibri" w:hAnsiTheme="majorBidi" w:cstheme="majorBidi"/>
          <w:shd w:val="clear" w:color="auto" w:fill="FFFFFF"/>
        </w:rPr>
        <w:t>the year Rusa I Argištiḫi established the throne in Rusaḫinili Qilbani</w:t>
      </w:r>
      <w:r w:rsidR="001E2ED0">
        <w:rPr>
          <w:rFonts w:asciiTheme="majorBidi" w:eastAsia="Calibri" w:hAnsiTheme="majorBidi" w:cstheme="majorBidi"/>
          <w:shd w:val="clear" w:color="auto" w:fill="FFFFFF"/>
        </w:rPr>
        <w:t>’</w:t>
      </w:r>
      <w:r w:rsidRPr="007256E1">
        <w:rPr>
          <w:rFonts w:asciiTheme="majorBidi" w:eastAsia="Calibri" w:hAnsiTheme="majorBidi" w:cstheme="majorBidi"/>
          <w:shd w:val="clear" w:color="auto" w:fill="FFFFFF"/>
        </w:rPr>
        <w:t xml:space="preserve"> is mentioned </w:t>
      </w:r>
      <w:r w:rsidRPr="007256E1">
        <w:rPr>
          <w:rFonts w:asciiTheme="majorBidi" w:eastAsia="Calibri" w:hAnsiTheme="majorBidi" w:cstheme="majorBidi"/>
          <w:shd w:val="clear" w:color="auto" w:fill="FFFFFF"/>
        </w:rPr>
        <w:lastRenderedPageBreak/>
        <w:t>(CTU</w:t>
      </w:r>
      <w:r w:rsidRPr="00F03A26">
        <w:rPr>
          <w:rFonts w:asciiTheme="majorBidi" w:eastAsia="Calibri" w:hAnsiTheme="majorBidi" w:cstheme="majorBidi"/>
          <w:shd w:val="clear" w:color="auto" w:fill="FFFFFF"/>
        </w:rPr>
        <w:t xml:space="preserve"> IV. CB Ba-6.1-3). The information on both written documents complements each other. Most likely, the </w:t>
      </w:r>
      <w:r w:rsidRPr="007256E1">
        <w:rPr>
          <w:rFonts w:asciiTheme="majorBidi" w:eastAsia="Calibri" w:hAnsiTheme="majorBidi" w:cstheme="majorBidi"/>
          <w:shd w:val="clear" w:color="auto" w:fill="FFFFFF"/>
        </w:rPr>
        <w:t>coronation ceremony of Rusai Argištiḫi, one of the last powerful kings of Urartu, took place in Rusaḫinili Qilbani, that</w:t>
      </w:r>
      <w:r w:rsidRPr="00F03A26">
        <w:rPr>
          <w:rFonts w:asciiTheme="majorBidi" w:eastAsia="Calibri" w:hAnsiTheme="majorBidi" w:cstheme="majorBidi"/>
          <w:shd w:val="clear" w:color="auto" w:fill="FFFFFF"/>
        </w:rPr>
        <w:t xml:space="preserve"> is, in Toprakkale (Salvini 2007, 46). Issues such as when this tradition began and who founded Toprakkale remain unanswered. However, it most likely corresponds to a period after the plundering of the sacred city of Muṣaṣir in the Zagros, which was dedicated to the supreme god Ḫaldi because we know from both Urartian inscriptions and an Assyrian tablet that at least the early Urartian kings had their accession or coronation ceremonies in Muṣaṣir. In the Urartian stel inscriptions along the road to Muṣaṣir, rituals performed and offerings made there are predominantly mentioned (CTU I. A 3-11; CTU I. A 10-3; CTU I. A 10-4; CTU I. A 10-5).</w:t>
      </w:r>
    </w:p>
    <w:p w14:paraId="3E21D105" w14:textId="061E8D66" w:rsidR="00792E01" w:rsidRPr="00F03A26" w:rsidRDefault="00792E01" w:rsidP="0042124D">
      <w:pPr>
        <w:jc w:val="both"/>
        <w:rPr>
          <w:rFonts w:asciiTheme="majorBidi" w:eastAsia="Calibri" w:hAnsiTheme="majorBidi" w:cstheme="majorBidi"/>
          <w:shd w:val="clear" w:color="auto" w:fill="FFFFFF"/>
        </w:rPr>
      </w:pPr>
      <w:r w:rsidRPr="00F03A26">
        <w:rPr>
          <w:rFonts w:asciiTheme="majorBidi" w:eastAsia="Calibri" w:hAnsiTheme="majorBidi" w:cstheme="majorBidi"/>
          <w:shd w:val="clear" w:color="auto" w:fill="FFFFFF"/>
        </w:rPr>
        <w:t>On the other hand, the Assyrian</w:t>
      </w:r>
      <w:r w:rsidR="001F2587">
        <w:rPr>
          <w:rFonts w:asciiTheme="majorBidi" w:eastAsia="Calibri" w:hAnsiTheme="majorBidi" w:cstheme="majorBidi"/>
          <w:shd w:val="clear" w:color="auto" w:fill="FFFFFF"/>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shd w:val="clear" w:color="auto" w:fill="FFFFFF"/>
        </w:rPr>
        <w:fldChar w:fldCharType="end"/>
      </w:r>
      <w:r w:rsidRPr="00F03A26">
        <w:rPr>
          <w:rFonts w:asciiTheme="majorBidi" w:eastAsia="Calibri" w:hAnsiTheme="majorBidi" w:cstheme="majorBidi"/>
          <w:shd w:val="clear" w:color="auto" w:fill="FFFFFF"/>
        </w:rPr>
        <w:t xml:space="preserve"> agent letter provides detailed information about the coronation ceremony of an Urartian</w:t>
      </w:r>
      <w:r w:rsidR="00EA6C63">
        <w:rPr>
          <w:rFonts w:asciiTheme="majorBidi" w:eastAsia="Calibri" w:hAnsiTheme="majorBidi" w:cstheme="majorBidi"/>
          <w:shd w:val="clear" w:color="auto" w:fill="FFFFFF"/>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shd w:val="clear" w:color="auto" w:fill="FFFFFF"/>
        </w:rPr>
        <w:fldChar w:fldCharType="end"/>
      </w:r>
      <w:r w:rsidRPr="00F03A26">
        <w:rPr>
          <w:rFonts w:asciiTheme="majorBidi" w:eastAsia="Calibri" w:hAnsiTheme="majorBidi" w:cstheme="majorBidi"/>
          <w:shd w:val="clear" w:color="auto" w:fill="FFFFFF"/>
        </w:rPr>
        <w:t xml:space="preserve"> prince in the presence of the temple of the god Ḫaldi in Muṣaṣir (RINAP II. no. 65). According to this fiction, it can also be argued that after the fall of Muṣaṣir, the mission of this city about the Urartian throne was given to Toprakkale instead of the capital city of Ṭušpa. At this point, whatever was contemplated, it can be said that Ṭušpa maintained its symbolic status as Urartu's capital until the kingdom's end. Indeed, until the kingdom's end, the kings frequently used the title </w:t>
      </w:r>
      <w:r w:rsidR="001E2ED0">
        <w:rPr>
          <w:rFonts w:asciiTheme="majorBidi" w:eastAsia="Calibri" w:hAnsiTheme="majorBidi" w:cstheme="majorBidi"/>
          <w:shd w:val="clear" w:color="auto" w:fill="FFFFFF"/>
        </w:rPr>
        <w:t>“</w:t>
      </w:r>
      <w:r w:rsidRPr="00F03A26">
        <w:rPr>
          <w:rFonts w:asciiTheme="majorBidi" w:eastAsia="Calibri" w:hAnsiTheme="majorBidi" w:cstheme="majorBidi"/>
          <w:shd w:val="clear" w:color="auto" w:fill="FFFFFF"/>
        </w:rPr>
        <w:t>lord of the city of Ṭušpa = alusi URUtušpa URU</w:t>
      </w:r>
      <w:r w:rsidR="001E2ED0">
        <w:rPr>
          <w:rFonts w:asciiTheme="majorBidi" w:eastAsia="Calibri" w:hAnsiTheme="majorBidi" w:cstheme="majorBidi"/>
          <w:shd w:val="clear" w:color="auto" w:fill="FFFFFF"/>
        </w:rPr>
        <w:t>”</w:t>
      </w:r>
      <w:r w:rsidRPr="00F03A26">
        <w:rPr>
          <w:rFonts w:asciiTheme="majorBidi" w:eastAsia="Calibri" w:hAnsiTheme="majorBidi" w:cstheme="majorBidi"/>
          <w:shd w:val="clear" w:color="auto" w:fill="FFFFFF"/>
        </w:rPr>
        <w:t xml:space="preserve"> (Zimansky 1985, 79). </w:t>
      </w:r>
    </w:p>
    <w:p w14:paraId="325C8BFA" w14:textId="1D45E617" w:rsidR="00792E01" w:rsidRPr="00F03A26" w:rsidRDefault="00792E01" w:rsidP="00F03A26">
      <w:pPr>
        <w:keepNext/>
        <w:keepLines/>
        <w:spacing w:before="360" w:after="120" w:line="276" w:lineRule="auto"/>
        <w:jc w:val="both"/>
        <w:outlineLvl w:val="1"/>
        <w:rPr>
          <w:rFonts w:asciiTheme="majorBidi" w:eastAsia="Arial" w:hAnsiTheme="majorBidi" w:cstheme="majorBidi"/>
          <w:b/>
          <w:bCs/>
          <w:sz w:val="28"/>
          <w:szCs w:val="28"/>
          <w:lang w:val="en-GB" w:eastAsia="tr-TR" w:bidi="he-IL"/>
        </w:rPr>
      </w:pPr>
      <w:bookmarkStart w:id="29" w:name="_Toc173231192"/>
      <w:r w:rsidRPr="00F03A26">
        <w:rPr>
          <w:rFonts w:asciiTheme="majorBidi" w:eastAsia="Arial" w:hAnsiTheme="majorBidi" w:cstheme="majorBidi"/>
          <w:b/>
          <w:bCs/>
          <w:sz w:val="28"/>
          <w:szCs w:val="28"/>
          <w:lang w:val="en-GB" w:eastAsia="tr-TR" w:bidi="he-IL"/>
        </w:rPr>
        <w:t xml:space="preserve">2.8. </w:t>
      </w:r>
      <w:r w:rsidRPr="00F03A26">
        <w:rPr>
          <w:rFonts w:asciiTheme="majorBidi" w:eastAsia="Arial" w:hAnsiTheme="majorBidi" w:cstheme="majorBidi"/>
          <w:b/>
          <w:bCs/>
          <w:iCs/>
          <w:sz w:val="28"/>
          <w:szCs w:val="28"/>
          <w:lang w:val="en-GB" w:eastAsia="tr-TR" w:bidi="he-IL"/>
        </w:rPr>
        <w:t>Ṭušpa</w:t>
      </w:r>
      <w:r w:rsidRPr="00F03A26">
        <w:rPr>
          <w:rFonts w:asciiTheme="majorBidi" w:eastAsia="Arial" w:hAnsiTheme="majorBidi" w:cstheme="majorBidi"/>
          <w:b/>
          <w:bCs/>
          <w:sz w:val="28"/>
          <w:szCs w:val="28"/>
          <w:lang w:val="en-GB" w:eastAsia="tr-TR" w:bidi="he-IL"/>
        </w:rPr>
        <w:t xml:space="preserve"> During the Last Bright Era of the Urartian</w:t>
      </w:r>
      <w:r w:rsidRPr="00F03A26">
        <w:rPr>
          <w:rFonts w:asciiTheme="majorBidi" w:eastAsia="Arial" w:hAnsiTheme="majorBidi" w:cstheme="majorBidi"/>
          <w:b/>
          <w:bCs/>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"Urartian" </w:instrText>
      </w:r>
      <w:r w:rsidRPr="00F03A26">
        <w:rPr>
          <w:rFonts w:asciiTheme="majorBidi" w:eastAsia="Arial" w:hAnsiTheme="majorBidi" w:cstheme="majorBidi"/>
          <w:b/>
          <w:bCs/>
          <w:sz w:val="28"/>
          <w:szCs w:val="28"/>
          <w:lang w:val="en-GB" w:eastAsia="tr-TR" w:bidi="he-IL"/>
        </w:rPr>
        <w:fldChar w:fldCharType="end"/>
      </w:r>
      <w:r w:rsidRPr="00F03A26">
        <w:rPr>
          <w:rFonts w:asciiTheme="majorBidi" w:eastAsia="Arial" w:hAnsiTheme="majorBidi" w:cstheme="majorBidi"/>
          <w:b/>
          <w:bCs/>
          <w:sz w:val="28"/>
          <w:szCs w:val="28"/>
          <w:lang w:val="en-GB" w:eastAsia="tr-TR" w:bidi="he-IL"/>
        </w:rPr>
        <w:t xml:space="preserve"> Kingdom</w:t>
      </w:r>
      <w:r w:rsidRPr="00F03A26">
        <w:rPr>
          <w:rFonts w:asciiTheme="majorBidi" w:eastAsia="Arial" w:hAnsiTheme="majorBidi" w:cstheme="majorBidi"/>
          <w:b/>
          <w:bCs/>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"Urartian Kingdom" </w:instrText>
      </w:r>
      <w:r w:rsidRPr="00F03A26">
        <w:rPr>
          <w:rFonts w:asciiTheme="majorBidi" w:eastAsia="Arial" w:hAnsiTheme="majorBidi" w:cstheme="majorBidi"/>
          <w:b/>
          <w:bCs/>
          <w:sz w:val="28"/>
          <w:szCs w:val="28"/>
          <w:lang w:val="en-GB" w:eastAsia="tr-TR" w:bidi="he-IL"/>
        </w:rPr>
        <w:fldChar w:fldCharType="end"/>
      </w:r>
      <w:r w:rsidRPr="00F03A26">
        <w:rPr>
          <w:rFonts w:asciiTheme="majorBidi" w:eastAsia="Arial" w:hAnsiTheme="majorBidi" w:cstheme="majorBidi"/>
          <w:b/>
          <w:bCs/>
          <w:sz w:val="28"/>
          <w:szCs w:val="28"/>
          <w:lang w:val="en-GB" w:eastAsia="tr-TR" w:bidi="he-IL"/>
        </w:rPr>
        <w:t xml:space="preserve">: </w:t>
      </w:r>
      <w:r w:rsidRPr="00F03A26">
        <w:rPr>
          <w:rFonts w:asciiTheme="majorBidi" w:eastAsia="Calibri" w:hAnsiTheme="majorBidi" w:cstheme="majorBidi"/>
          <w:b/>
          <w:bCs/>
          <w:iCs/>
          <w:sz w:val="28"/>
          <w:szCs w:val="28"/>
          <w:lang w:val="en-GB"/>
        </w:rPr>
        <w:t>Rusai Argištiḫi</w:t>
      </w:r>
      <w:r w:rsidRPr="00F03A26">
        <w:rPr>
          <w:rFonts w:asciiTheme="majorBidi" w:eastAsia="Calibri" w:hAnsiTheme="majorBidi" w:cstheme="majorBidi"/>
          <w:b/>
          <w:bCs/>
          <w:iCs/>
          <w:sz w:val="28"/>
          <w:szCs w:val="28"/>
          <w:lang w:val="en-GB"/>
        </w:rPr>
        <w:fldChar w:fldCharType="begin"/>
      </w:r>
      <w:r w:rsidRPr="00F03A26">
        <w:rPr>
          <w:rFonts w:asciiTheme="majorBidi" w:eastAsia="Calibri" w:hAnsiTheme="majorBidi" w:cstheme="majorBidi"/>
          <w:sz w:val="28"/>
          <w:szCs w:val="28"/>
          <w:lang w:val="en-GB"/>
        </w:rPr>
        <w:instrText xml:space="preserve"> XE "</w:instrText>
      </w:r>
      <w:r w:rsidRPr="00F03A26">
        <w:rPr>
          <w:rFonts w:asciiTheme="majorBidi" w:eastAsia="Calibri" w:hAnsiTheme="majorBidi" w:cstheme="majorBidi"/>
          <w:iCs/>
          <w:sz w:val="28"/>
          <w:szCs w:val="28"/>
          <w:lang w:val="en-GB"/>
        </w:rPr>
        <w:instrText>Rusai Argištiḫi</w:instrText>
      </w:r>
      <w:r w:rsidRPr="00F03A26">
        <w:rPr>
          <w:rFonts w:asciiTheme="majorBidi" w:eastAsia="Calibri" w:hAnsiTheme="majorBidi" w:cstheme="majorBidi"/>
          <w:sz w:val="28"/>
          <w:szCs w:val="28"/>
          <w:lang w:val="en-GB"/>
        </w:rPr>
        <w:instrText xml:space="preserve">" </w:instrText>
      </w:r>
      <w:r w:rsidRPr="00F03A26">
        <w:rPr>
          <w:rFonts w:asciiTheme="majorBidi" w:eastAsia="Calibri" w:hAnsiTheme="majorBidi" w:cstheme="majorBidi"/>
          <w:b/>
          <w:bCs/>
          <w:iCs/>
          <w:sz w:val="28"/>
          <w:szCs w:val="28"/>
          <w:lang w:val="en-GB"/>
        </w:rPr>
        <w:fldChar w:fldCharType="end"/>
      </w:r>
      <w:r w:rsidRPr="00F03A26">
        <w:rPr>
          <w:rFonts w:asciiTheme="majorBidi" w:eastAsia="Arial" w:hAnsiTheme="majorBidi" w:cstheme="majorBidi"/>
          <w:b/>
          <w:bCs/>
          <w:sz w:val="28"/>
          <w:szCs w:val="28"/>
          <w:lang w:val="en-GB" w:eastAsia="tr-TR" w:bidi="he-IL"/>
        </w:rPr>
        <w:t xml:space="preserve"> and Sarduri</w:t>
      </w:r>
      <w:r w:rsidRPr="00F03A26">
        <w:rPr>
          <w:rFonts w:asciiTheme="majorBidi" w:eastAsia="Arial" w:hAnsiTheme="majorBidi" w:cstheme="majorBidi"/>
          <w:b/>
          <w:bCs/>
          <w:sz w:val="28"/>
          <w:szCs w:val="28"/>
          <w:lang w:val="en-GB" w:eastAsia="tr-TR" w:bidi="he-IL"/>
        </w:rPr>
        <w:fldChar w:fldCharType="begin"/>
      </w:r>
      <w:r w:rsidRPr="00F03A26">
        <w:rPr>
          <w:rFonts w:asciiTheme="majorBidi" w:eastAsia="Calibri" w:hAnsiTheme="majorBidi" w:cstheme="majorBidi"/>
          <w:sz w:val="28"/>
          <w:szCs w:val="28"/>
          <w:lang w:val="en-GB"/>
        </w:rPr>
        <w:instrText xml:space="preserve"> XE "</w:instrText>
      </w:r>
      <w:r w:rsidRPr="00F03A26">
        <w:rPr>
          <w:rFonts w:asciiTheme="majorBidi" w:eastAsia="Calibri" w:hAnsiTheme="majorBidi" w:cstheme="majorBidi"/>
          <w:iCs/>
          <w:sz w:val="28"/>
          <w:szCs w:val="28"/>
          <w:lang w:val="en-GB"/>
        </w:rPr>
        <w:instrText>Sarduri</w:instrText>
      </w:r>
      <w:r w:rsidRPr="00F03A26">
        <w:rPr>
          <w:rFonts w:asciiTheme="majorBidi" w:eastAsia="Calibri" w:hAnsiTheme="majorBidi" w:cstheme="majorBidi"/>
          <w:sz w:val="28"/>
          <w:szCs w:val="28"/>
          <w:lang w:val="en-GB"/>
        </w:rPr>
        <w:instrText xml:space="preserve">" </w:instrText>
      </w:r>
      <w:r w:rsidRPr="00F03A26">
        <w:rPr>
          <w:rFonts w:asciiTheme="majorBidi" w:eastAsia="Arial" w:hAnsiTheme="majorBidi" w:cstheme="majorBidi"/>
          <w:b/>
          <w:bCs/>
          <w:sz w:val="28"/>
          <w:szCs w:val="28"/>
          <w:lang w:val="en-GB" w:eastAsia="tr-TR" w:bidi="he-IL"/>
        </w:rPr>
        <w:fldChar w:fldCharType="end"/>
      </w:r>
      <w:r w:rsidRPr="00F03A26">
        <w:rPr>
          <w:rFonts w:asciiTheme="majorBidi" w:eastAsia="Arial" w:hAnsiTheme="majorBidi" w:cstheme="majorBidi"/>
          <w:b/>
          <w:bCs/>
          <w:sz w:val="28"/>
          <w:szCs w:val="28"/>
          <w:lang w:val="en-GB" w:eastAsia="tr-TR" w:bidi="he-IL"/>
        </w:rPr>
        <w:t xml:space="preserve"> IV</w:t>
      </w:r>
      <w:bookmarkEnd w:id="28"/>
      <w:bookmarkEnd w:id="29"/>
    </w:p>
    <w:p w14:paraId="2372C386" w14:textId="19DEE956" w:rsidR="00792E01" w:rsidRPr="00C37B16" w:rsidRDefault="00792E01" w:rsidP="00F03A26">
      <w:pPr>
        <w:spacing w:before="100" w:beforeAutospacing="1" w:after="100" w:afterAutospacing="1" w:line="276" w:lineRule="auto"/>
        <w:jc w:val="both"/>
        <w:rPr>
          <w:rFonts w:asciiTheme="majorBidi" w:eastAsia="Calibri" w:hAnsiTheme="majorBidi" w:cstheme="majorBidi"/>
          <w:lang w:val="en-GB"/>
        </w:rPr>
      </w:pPr>
      <w:r w:rsidRPr="00C37B16">
        <w:rPr>
          <w:rFonts w:asciiTheme="majorBidi" w:eastAsia="Calibri" w:hAnsiTheme="majorBidi" w:cstheme="majorBidi"/>
        </w:rPr>
        <w:t>It is also uncertain from whom Rusai Argištiḫi (Rusa, son of Argišti</w:t>
      </w:r>
      <w:r w:rsidR="001E2ED0">
        <w:rPr>
          <w:rFonts w:asciiTheme="majorBidi" w:eastAsia="Calibri" w:hAnsiTheme="majorBidi" w:cstheme="majorBidi"/>
        </w:rPr>
        <w:t>)</w:t>
      </w:r>
      <w:r w:rsidRPr="00C37B16">
        <w:rPr>
          <w:rFonts w:asciiTheme="majorBidi" w:eastAsia="Calibri" w:hAnsiTheme="majorBidi" w:cstheme="majorBidi"/>
        </w:rPr>
        <w:t>, took over the kingdom as one of the last kings of Urartu (probably Rusa III), and thus who his father Argišti</w:t>
      </w:r>
      <w:r w:rsidR="00573B62" w:rsidRPr="00C37B16">
        <w:rPr>
          <w:rFonts w:asciiTheme="majorBidi" w:eastAsia="Calibri" w:hAnsiTheme="majorBidi" w:cstheme="majorBidi"/>
        </w:rPr>
        <w:t xml:space="preserve"> </w:t>
      </w:r>
      <w:r w:rsidRPr="00C37B16">
        <w:rPr>
          <w:rFonts w:asciiTheme="majorBidi" w:eastAsia="Calibri" w:hAnsiTheme="majorBidi" w:cstheme="majorBidi"/>
        </w:rPr>
        <w:t>(II?) was. However, his reign could be dated between 673-652/647 (?) BCE, as the name of Rusa, was mentioned in Assyrian</w:t>
      </w:r>
      <w:r w:rsidR="001F2587" w:rsidRPr="00C37B16">
        <w:rPr>
          <w:rFonts w:asciiTheme="majorBidi" w:eastAsia="Calibri" w:hAnsiTheme="majorBidi" w:cstheme="majorBidi"/>
        </w:rPr>
        <w:fldChar w:fldCharType="begin"/>
      </w:r>
      <w:r w:rsidR="001F2587" w:rsidRPr="00C37B16">
        <w:instrText xml:space="preserve"> XE "</w:instrText>
      </w:r>
      <w:r w:rsidR="001F2587" w:rsidRPr="00C37B16">
        <w:rPr>
          <w:rFonts w:asciiTheme="majorBidi" w:hAnsiTheme="majorBidi" w:cstheme="majorBidi"/>
        </w:rPr>
        <w:instrText>Assyrian</w:instrText>
      </w:r>
      <w:r w:rsidR="001F2587" w:rsidRPr="00C37B16">
        <w:instrText xml:space="preserve">" </w:instrText>
      </w:r>
      <w:r w:rsidR="001F2587" w:rsidRPr="00C37B16">
        <w:rPr>
          <w:rFonts w:asciiTheme="majorBidi" w:eastAsia="Calibri" w:hAnsiTheme="majorBidi" w:cstheme="majorBidi"/>
        </w:rPr>
        <w:fldChar w:fldCharType="end"/>
      </w:r>
      <w:r w:rsidRPr="00C37B16">
        <w:rPr>
          <w:rFonts w:asciiTheme="majorBidi" w:eastAsia="Calibri" w:hAnsiTheme="majorBidi" w:cstheme="majorBidi"/>
        </w:rPr>
        <w:t> written records dating to this period (Fuchs 2012: 158). During the reign of Rusai Argištiḫi, the kingdom was recovering and building up again. Essential centers were established during this period, including Ayanis (in Urartian</w:t>
      </w:r>
      <w:r w:rsidR="00EA6C63" w:rsidRPr="00C37B16">
        <w:rPr>
          <w:rFonts w:asciiTheme="majorBidi" w:eastAsia="Calibri" w:hAnsiTheme="majorBidi" w:cstheme="majorBidi"/>
        </w:rPr>
        <w:fldChar w:fldCharType="begin"/>
      </w:r>
      <w:r w:rsidR="00EA6C63" w:rsidRPr="00C37B16">
        <w:instrText xml:space="preserve"> XE "</w:instrText>
      </w:r>
      <w:r w:rsidR="00EA6C63" w:rsidRPr="00C37B16">
        <w:rPr>
          <w:rFonts w:asciiTheme="majorBidi" w:hAnsiTheme="majorBidi" w:cstheme="majorBidi"/>
        </w:rPr>
        <w:instrText>Urartian</w:instrText>
      </w:r>
      <w:r w:rsidR="00EA6C63" w:rsidRPr="00C37B16">
        <w:instrText xml:space="preserve">" </w:instrText>
      </w:r>
      <w:r w:rsidR="00EA6C63" w:rsidRPr="00C37B16">
        <w:rPr>
          <w:rFonts w:asciiTheme="majorBidi" w:eastAsia="Calibri" w:hAnsiTheme="majorBidi" w:cstheme="majorBidi"/>
        </w:rPr>
        <w:fldChar w:fldCharType="end"/>
      </w:r>
      <w:r w:rsidRPr="00C37B16">
        <w:rPr>
          <w:rFonts w:asciiTheme="majorBidi" w:eastAsia="Calibri" w:hAnsiTheme="majorBidi" w:cstheme="majorBidi"/>
        </w:rPr>
        <w:t> Rusaḫinili</w:t>
      </w:r>
      <w:r w:rsidR="00302238">
        <w:rPr>
          <w:rFonts w:asciiTheme="majorBidi" w:eastAsia="Calibri" w:hAnsiTheme="majorBidi" w:cstheme="majorBidi"/>
        </w:rPr>
        <w:fldChar w:fldCharType="begin"/>
      </w:r>
      <w:r w:rsidR="00302238">
        <w:instrText xml:space="preserve"> XE "</w:instrText>
      </w:r>
      <w:r w:rsidR="00302238" w:rsidRPr="00BE26A4">
        <w:rPr>
          <w:rFonts w:asciiTheme="majorBidi" w:eastAsia="Calibri" w:hAnsiTheme="majorBidi" w:cstheme="majorBidi"/>
        </w:rPr>
        <w:instrText>Rusaḫinili</w:instrText>
      </w:r>
      <w:r w:rsidR="00302238">
        <w:instrText xml:space="preserve">" </w:instrText>
      </w:r>
      <w:r w:rsidR="00302238">
        <w:rPr>
          <w:rFonts w:asciiTheme="majorBidi" w:eastAsia="Calibri" w:hAnsiTheme="majorBidi" w:cstheme="majorBidi"/>
        </w:rPr>
        <w:fldChar w:fldCharType="end"/>
      </w:r>
      <w:r w:rsidRPr="00C37B16">
        <w:rPr>
          <w:rFonts w:asciiTheme="majorBidi" w:eastAsia="Calibri" w:hAnsiTheme="majorBidi" w:cstheme="majorBidi"/>
        </w:rPr>
        <w:t> Eidurukai), the Kef Fortress (in Urartian Ḫaldiei Ziuquni), Bastam (in Urartian Rusai URU.TUR) and Karmir-Blur</w:t>
      </w:r>
      <w:r w:rsidR="0028736C" w:rsidRPr="00C37B16">
        <w:rPr>
          <w:rFonts w:asciiTheme="majorBidi" w:eastAsia="Calibri" w:hAnsiTheme="majorBidi" w:cstheme="majorBidi"/>
        </w:rPr>
        <w:fldChar w:fldCharType="begin"/>
      </w:r>
      <w:r w:rsidR="0028736C" w:rsidRPr="00C37B16">
        <w:instrText xml:space="preserve"> XE "</w:instrText>
      </w:r>
      <w:r w:rsidR="0028736C" w:rsidRPr="00C37B16">
        <w:rPr>
          <w:rFonts w:asciiTheme="majorBidi" w:hAnsiTheme="majorBidi" w:cstheme="majorBidi"/>
          <w:color w:val="000000" w:themeColor="text1"/>
          <w:lang w:val="en-GB"/>
        </w:rPr>
        <w:instrText>Karmir-Blur</w:instrText>
      </w:r>
      <w:r w:rsidR="0028736C" w:rsidRPr="00C37B16">
        <w:instrText xml:space="preserve">" </w:instrText>
      </w:r>
      <w:r w:rsidR="0028736C" w:rsidRPr="00C37B16">
        <w:rPr>
          <w:rFonts w:asciiTheme="majorBidi" w:eastAsia="Calibri" w:hAnsiTheme="majorBidi" w:cstheme="majorBidi"/>
        </w:rPr>
        <w:fldChar w:fldCharType="end"/>
      </w:r>
      <w:r w:rsidRPr="00C37B16">
        <w:rPr>
          <w:rFonts w:asciiTheme="majorBidi" w:eastAsia="Calibri" w:hAnsiTheme="majorBidi" w:cstheme="majorBidi"/>
        </w:rPr>
        <w:t> (in Urartian Teišebai URU). Inscriptions belonging to this king continued the denotation of ‘the lord of the city of Ṭušpa,’ however, the lack of Urartian inscriptions in Ṭušpa citadel and its vicinity continued. Nevertheless, clay inscriptions found in the Van Fortress Mound</w:t>
      </w:r>
      <w:r w:rsidR="00C1513A" w:rsidRPr="00C37B16">
        <w:rPr>
          <w:rFonts w:asciiTheme="majorBidi" w:eastAsia="Calibri" w:hAnsiTheme="majorBidi" w:cstheme="majorBidi"/>
        </w:rPr>
        <w:fldChar w:fldCharType="begin"/>
      </w:r>
      <w:r w:rsidR="00C1513A" w:rsidRPr="00C37B16">
        <w:instrText xml:space="preserve"> XE "</w:instrText>
      </w:r>
      <w:r w:rsidR="00C1513A" w:rsidRPr="00C37B16">
        <w:rPr>
          <w:rFonts w:asciiTheme="majorBidi" w:eastAsia="Times New Roman" w:hAnsiTheme="majorBidi" w:cstheme="majorBidi"/>
          <w:lang w:val="en-GB"/>
        </w:rPr>
        <w:instrText>Van Fortress Mound</w:instrText>
      </w:r>
      <w:r w:rsidR="00C1513A" w:rsidRPr="00C37B16">
        <w:instrText xml:space="preserve">" </w:instrText>
      </w:r>
      <w:r w:rsidR="00C1513A" w:rsidRPr="00C37B16">
        <w:rPr>
          <w:rFonts w:asciiTheme="majorBidi" w:eastAsia="Calibri" w:hAnsiTheme="majorBidi" w:cstheme="majorBidi"/>
        </w:rPr>
        <w:fldChar w:fldCharType="end"/>
      </w:r>
      <w:r w:rsidRPr="00C37B16">
        <w:rPr>
          <w:rFonts w:asciiTheme="majorBidi" w:eastAsia="Calibri" w:hAnsiTheme="majorBidi" w:cstheme="majorBidi"/>
        </w:rPr>
        <w:t xml:space="preserve"> in recent years point to the period of Rusai Argištiḫi</w:t>
      </w:r>
      <w:r w:rsidRPr="00C37B16">
        <w:rPr>
          <w:rFonts w:asciiTheme="majorBidi" w:eastAsia="Calibri" w:hAnsiTheme="majorBidi" w:cstheme="majorBidi"/>
          <w:b/>
          <w:bCs/>
        </w:rPr>
        <w:t xml:space="preserve"> </w:t>
      </w:r>
      <w:r w:rsidRPr="00C37B16">
        <w:rPr>
          <w:rFonts w:asciiTheme="majorBidi" w:eastAsia="Calibri" w:hAnsiTheme="majorBidi" w:cstheme="majorBidi"/>
        </w:rPr>
        <w:t>(Işık, 2014: 178-179). The relationship between Urartian centers during this period was also reflected in the bullae inscriptions found in Ayanis. One of these inscriptions incorporates the expression ‛URU. LUGAL ṭu.mkika = Mr. Kika (from) the royal city of Ṭušpa’ (CTU IV. CB Ay-2), (Fig. 13.).</w:t>
      </w:r>
    </w:p>
    <w:p w14:paraId="04C3AD05"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lastRenderedPageBreak/>
        <w:drawing>
          <wp:inline distT="0" distB="0" distL="0" distR="0" wp14:anchorId="41866D65" wp14:editId="5D1F808D">
            <wp:extent cx="2918564" cy="1641753"/>
            <wp:effectExtent l="0" t="0" r="2540" b="0"/>
            <wp:docPr id="236411267" name="Resim 4" descr="İnsan yapımı, kaya, heykel,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1267" name="Resim 4" descr="İnsan yapımı, kaya, heykel, sanat içeren bir resim&#10;&#10;Açıklama otomatik olarak oluşturuldu"/>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920035" cy="1642580"/>
                    </a:xfrm>
                    <a:prstGeom prst="rect">
                      <a:avLst/>
                    </a:prstGeom>
                    <a:noFill/>
                    <a:ln>
                      <a:noFill/>
                    </a:ln>
                  </pic:spPr>
                </pic:pic>
              </a:graphicData>
            </a:graphic>
          </wp:inline>
        </w:drawing>
      </w:r>
    </w:p>
    <w:p w14:paraId="61D15B47" w14:textId="0B118C2F"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13 Bulla from Ayanis</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"Ayanis"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with inscription ‘Mr. Kika (from) the royal city of </w:t>
      </w:r>
      <w:r w:rsidRPr="00F03A26">
        <w:rPr>
          <w:rFonts w:asciiTheme="majorBidi" w:eastAsia="Calibri" w:hAnsiTheme="majorBidi" w:cstheme="majorBidi"/>
          <w:iCs/>
          <w:lang w:val="en-GB"/>
        </w:rPr>
        <w:t>Ṭušpa</w:t>
      </w:r>
      <w:r w:rsidRPr="00F03A26">
        <w:rPr>
          <w:rFonts w:asciiTheme="majorBidi" w:eastAsia="Calibri" w:hAnsiTheme="majorBidi" w:cstheme="majorBidi"/>
          <w:lang w:val="en-GB"/>
        </w:rPr>
        <w:t xml:space="preserve"> (K. Işık).</w:t>
      </w:r>
    </w:p>
    <w:p w14:paraId="37A7910E" w14:textId="77777777" w:rsidR="00792E01" w:rsidRPr="00C37B16" w:rsidRDefault="00792E01" w:rsidP="00F03A26">
      <w:pPr>
        <w:spacing w:before="100" w:beforeAutospacing="1" w:after="100" w:afterAutospacing="1" w:line="276" w:lineRule="auto"/>
        <w:jc w:val="both"/>
        <w:rPr>
          <w:rFonts w:asciiTheme="majorBidi" w:eastAsia="Calibri" w:hAnsiTheme="majorBidi" w:cstheme="majorBidi"/>
          <w:lang w:val="en-GB"/>
        </w:rPr>
      </w:pPr>
      <w:r w:rsidRPr="00C37B16">
        <w:rPr>
          <w:rFonts w:asciiTheme="majorBidi" w:eastAsia="Calibri" w:hAnsiTheme="majorBidi" w:cstheme="majorBidi"/>
        </w:rPr>
        <w:t>The name of the city of Ṭušpa was inscribed on another bulla that was discovered in Ayanis. On this bulla has been read ‘LUGAL ṭ[u] KASKAL.NUN = Royal (city) Ṭu&lt;špa&gt;, the prince’s road’ (Işık, Aras &amp; Aras, 2021: 184), (Fig. 14).</w:t>
      </w:r>
    </w:p>
    <w:p w14:paraId="32748CE5"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drawing>
          <wp:inline distT="0" distB="0" distL="0" distR="0" wp14:anchorId="1C93784B" wp14:editId="1E078A09">
            <wp:extent cx="3654897" cy="1669923"/>
            <wp:effectExtent l="0" t="0" r="3175" b="0"/>
            <wp:docPr id="1637897871" name="Resim 2" descr="İnsan yapımı, heykel, Oyma, baş, kaf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97871" name="Resim 2" descr="İnsan yapımı, heykel, Oyma, baş, kafa içeren bir resim&#10;&#10;Açıklama otomatik olarak oluşturuldu"/>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t="15720" b="3009"/>
                    <a:stretch/>
                  </pic:blipFill>
                  <pic:spPr bwMode="auto">
                    <a:xfrm>
                      <a:off x="0" y="0"/>
                      <a:ext cx="3656375" cy="1670598"/>
                    </a:xfrm>
                    <a:prstGeom prst="rect">
                      <a:avLst/>
                    </a:prstGeom>
                    <a:noFill/>
                    <a:ln>
                      <a:noFill/>
                    </a:ln>
                    <a:extLst>
                      <a:ext uri="{53640926-AAD7-44D8-BBD7-CCE9431645EC}">
                        <a14:shadowObscured xmlns:a14="http://schemas.microsoft.com/office/drawing/2010/main"/>
                      </a:ext>
                    </a:extLst>
                  </pic:spPr>
                </pic:pic>
              </a:graphicData>
            </a:graphic>
          </wp:inline>
        </w:drawing>
      </w:r>
    </w:p>
    <w:p w14:paraId="3C4DF99E"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14 Bulla from Ayanis</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"Ayanis"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with inscription ‘Royal (city) Ṭu.[špa]…’ (K. Işık) </w:t>
      </w:r>
    </w:p>
    <w:p w14:paraId="166E06BB" w14:textId="77B2A517" w:rsidR="00792E01" w:rsidRPr="00B71342" w:rsidRDefault="00792E01" w:rsidP="00F03A26">
      <w:pPr>
        <w:spacing w:before="100" w:beforeAutospacing="1" w:after="100" w:afterAutospacing="1" w:line="276" w:lineRule="auto"/>
        <w:jc w:val="both"/>
        <w:rPr>
          <w:rFonts w:asciiTheme="majorBidi" w:eastAsia="Calibri" w:hAnsiTheme="majorBidi" w:cstheme="majorBidi"/>
        </w:rPr>
      </w:pPr>
      <w:r w:rsidRPr="00C37B16">
        <w:rPr>
          <w:rFonts w:asciiTheme="majorBidi" w:eastAsia="Calibri" w:hAnsiTheme="majorBidi" w:cstheme="majorBidi"/>
        </w:rPr>
        <w:t>These bullae provide evidence that the city of Ṭušpa continued its capital mission during the period of Rusai Argištiḫi, as well as being economically important and active. However, whether the king resided or ruled the kingdom from here is unclear. At this point, an expression on the introduction text of a tablet found in Toprakkale</w:t>
      </w:r>
      <w:r w:rsidR="008E274F" w:rsidRPr="00C37B16">
        <w:rPr>
          <w:rStyle w:val="DipnotBavurusu"/>
          <w:rFonts w:asciiTheme="majorBidi" w:eastAsia="Calibri" w:hAnsiTheme="majorBidi" w:cstheme="majorBidi"/>
        </w:rPr>
        <w:footnoteReference w:id="23"/>
      </w:r>
      <w:r w:rsidRPr="00C37B16">
        <w:rPr>
          <w:rFonts w:asciiTheme="majorBidi" w:eastAsia="Calibri" w:hAnsiTheme="majorBidi" w:cstheme="majorBidi"/>
        </w:rPr>
        <w:t>, which categorically listed the Urartian</w:t>
      </w:r>
      <w:r w:rsidR="00EA6C63" w:rsidRPr="00C37B16">
        <w:rPr>
          <w:rFonts w:asciiTheme="majorBidi" w:eastAsia="Calibri" w:hAnsiTheme="majorBidi" w:cstheme="majorBidi"/>
        </w:rPr>
        <w:fldChar w:fldCharType="begin"/>
      </w:r>
      <w:r w:rsidR="00EA6C63" w:rsidRPr="00C37B16">
        <w:instrText xml:space="preserve"> XE "</w:instrText>
      </w:r>
      <w:r w:rsidR="00EA6C63" w:rsidRPr="00C37B16">
        <w:rPr>
          <w:rFonts w:asciiTheme="majorBidi" w:hAnsiTheme="majorBidi" w:cstheme="majorBidi"/>
        </w:rPr>
        <w:instrText>Urartian</w:instrText>
      </w:r>
      <w:r w:rsidR="00EA6C63" w:rsidRPr="00C37B16">
        <w:instrText xml:space="preserve">" </w:instrText>
      </w:r>
      <w:r w:rsidR="00EA6C63" w:rsidRPr="00C37B16">
        <w:rPr>
          <w:rFonts w:asciiTheme="majorBidi" w:eastAsia="Calibri" w:hAnsiTheme="majorBidi" w:cstheme="majorBidi"/>
        </w:rPr>
        <w:fldChar w:fldCharType="end"/>
      </w:r>
      <w:r w:rsidRPr="00C37B16">
        <w:rPr>
          <w:rFonts w:asciiTheme="majorBidi" w:eastAsia="Calibri" w:hAnsiTheme="majorBidi" w:cstheme="majorBidi"/>
        </w:rPr>
        <w:t> royal staff, raises further doubts. In this text, the following expression belongs to Rusa III: '… when God Ḫaldi</w:t>
      </w:r>
      <w:r w:rsidR="00C1513A" w:rsidRPr="00C37B16">
        <w:rPr>
          <w:rFonts w:asciiTheme="majorBidi" w:eastAsia="Calibri" w:hAnsiTheme="majorBidi" w:cstheme="majorBidi"/>
        </w:rPr>
        <w:fldChar w:fldCharType="begin"/>
      </w:r>
      <w:r w:rsidR="00C1513A" w:rsidRPr="00C37B16">
        <w:instrText xml:space="preserve"> XE "</w:instrText>
      </w:r>
      <w:r w:rsidR="00C1513A" w:rsidRPr="00C37B16">
        <w:rPr>
          <w:rFonts w:asciiTheme="majorBidi" w:eastAsia="Times New Roman" w:hAnsiTheme="majorBidi" w:cstheme="majorBidi"/>
          <w:lang w:val="en-GB"/>
        </w:rPr>
        <w:instrText>God Ḫaldi</w:instrText>
      </w:r>
      <w:r w:rsidR="00C1513A" w:rsidRPr="00C37B16">
        <w:instrText xml:space="preserve">" </w:instrText>
      </w:r>
      <w:r w:rsidR="00C1513A" w:rsidRPr="00C37B16">
        <w:rPr>
          <w:rFonts w:asciiTheme="majorBidi" w:eastAsia="Calibri" w:hAnsiTheme="majorBidi" w:cstheme="majorBidi"/>
        </w:rPr>
        <w:fldChar w:fldCharType="end"/>
      </w:r>
      <w:r w:rsidRPr="00C37B16">
        <w:rPr>
          <w:rFonts w:asciiTheme="majorBidi" w:eastAsia="Calibri" w:hAnsiTheme="majorBidi" w:cstheme="majorBidi"/>
        </w:rPr>
        <w:t> declared me king in the Rusaḫinili</w:t>
      </w:r>
      <w:r w:rsidR="00302238">
        <w:rPr>
          <w:rFonts w:asciiTheme="majorBidi" w:eastAsia="Calibri" w:hAnsiTheme="majorBidi" w:cstheme="majorBidi"/>
        </w:rPr>
        <w:fldChar w:fldCharType="begin"/>
      </w:r>
      <w:r w:rsidR="00302238">
        <w:instrText xml:space="preserve"> XE "</w:instrText>
      </w:r>
      <w:r w:rsidR="00302238" w:rsidRPr="00BE26A4">
        <w:rPr>
          <w:rFonts w:asciiTheme="majorBidi" w:eastAsia="Calibri" w:hAnsiTheme="majorBidi" w:cstheme="majorBidi"/>
        </w:rPr>
        <w:instrText>Rusaḫinili</w:instrText>
      </w:r>
      <w:r w:rsidR="00302238">
        <w:instrText xml:space="preserve">" </w:instrText>
      </w:r>
      <w:r w:rsidR="00302238">
        <w:rPr>
          <w:rFonts w:asciiTheme="majorBidi" w:eastAsia="Calibri" w:hAnsiTheme="majorBidi" w:cstheme="majorBidi"/>
        </w:rPr>
        <w:fldChar w:fldCharType="end"/>
      </w:r>
      <w:r w:rsidRPr="00C37B16">
        <w:rPr>
          <w:rFonts w:asciiTheme="majorBidi" w:eastAsia="Calibri" w:hAnsiTheme="majorBidi" w:cstheme="majorBidi"/>
        </w:rPr>
        <w:t> Qilbani's É.BÁRA (temple area)…' (CTU I. Tk-1 Ro, 4-6.). It had been suggested that the 5507 people categorized in the text were the palatial staff of Rusaḫinili from different classes and bureaucratic categories (Diakonoff, 1963: no. 12, 80-83; Salvini, 2007a: 37). However, the text does not incorporate any evidence to indicate that these staff belonged to Rusaḫinili. Considering especially that this number of people (total 5507) is quite large for the palace (citadel) of Rusaḫinili, this categorization should</w:t>
      </w:r>
      <w:r w:rsidRPr="00F03A26">
        <w:rPr>
          <w:rFonts w:asciiTheme="majorBidi" w:eastAsia="Calibri" w:hAnsiTheme="majorBidi" w:cstheme="majorBidi"/>
        </w:rPr>
        <w:t xml:space="preserve">, in fact, represent a breakdown of the entire number of attendants of the Urartian kingdom when Rusai Argištiḫi enthroned. Most of these classes and people should have lived in the city of Ṭušpa, extending throughout the Van </w:t>
      </w:r>
      <w:r w:rsidR="008E274F" w:rsidRPr="00F03A26">
        <w:rPr>
          <w:rFonts w:asciiTheme="majorBidi" w:eastAsia="Calibri" w:hAnsiTheme="majorBidi" w:cstheme="majorBidi"/>
        </w:rPr>
        <w:t>p</w:t>
      </w:r>
      <w:r w:rsidRPr="00F03A26">
        <w:rPr>
          <w:rFonts w:asciiTheme="majorBidi" w:eastAsia="Calibri" w:hAnsiTheme="majorBidi" w:cstheme="majorBidi"/>
        </w:rPr>
        <w:t xml:space="preserve">lain. Returning to the main </w:t>
      </w:r>
      <w:r w:rsidRPr="00F03A26">
        <w:rPr>
          <w:rFonts w:asciiTheme="majorBidi" w:eastAsia="Calibri" w:hAnsiTheme="majorBidi" w:cstheme="majorBidi"/>
        </w:rPr>
        <w:lastRenderedPageBreak/>
        <w:t>subject, the administrative role of Ṭušpa during this period, it is plausible to suggest that the cities founded by Rusai Argištiḫi were more dominant in this respect</w:t>
      </w:r>
      <w:r w:rsidRPr="00B71342">
        <w:rPr>
          <w:rFonts w:asciiTheme="majorBidi" w:eastAsia="Calibri" w:hAnsiTheme="majorBidi" w:cstheme="majorBidi"/>
        </w:rPr>
        <w:t>. Various finds from these centers, such as the royal cuneiform decrees of Rusai Argištiḫi, clay documents stamped with royal seals, and some private belongings (i.e., the</w:t>
      </w:r>
      <w:r w:rsidR="00814086" w:rsidRPr="00B71342">
        <w:rPr>
          <w:rFonts w:asciiTheme="majorBidi" w:eastAsia="Calibri" w:hAnsiTheme="majorBidi" w:cstheme="majorBidi"/>
        </w:rPr>
        <w:t xml:space="preserve"> </w:t>
      </w:r>
      <w:r w:rsidRPr="00B71342">
        <w:rPr>
          <w:rFonts w:asciiTheme="majorBidi" w:eastAsia="Calibri" w:hAnsiTheme="majorBidi" w:cstheme="majorBidi"/>
        </w:rPr>
        <w:t>tanaṣi of Queen Qaquli) indicate that the kingdom was more often ruled from these cities. Among these, the Ayanis </w:t>
      </w:r>
      <w:r w:rsidR="008E274F" w:rsidRPr="00B71342">
        <w:rPr>
          <w:rFonts w:asciiTheme="majorBidi" w:eastAsia="Calibri" w:hAnsiTheme="majorBidi" w:cstheme="majorBidi"/>
        </w:rPr>
        <w:t>f</w:t>
      </w:r>
      <w:r w:rsidRPr="00B71342">
        <w:rPr>
          <w:rFonts w:asciiTheme="majorBidi" w:eastAsia="Calibri" w:hAnsiTheme="majorBidi" w:cstheme="majorBidi"/>
        </w:rPr>
        <w:t>ortress (Çilingiroğlu &amp; Salvini, 2011) in the close vicinity (30 km) of the royal city of Ṭušpa should have been one of the main administrative centers during this period. However, Ṭušpa always endured as the sacred capital, representing the kingdom's power, sovereignty, and ancestral memory. The fate of the Urartian kingdom during the reigns of the successors of Rusai Argištiḫi is not entirely clear. However, in an Assyrian</w:t>
      </w:r>
      <w:r w:rsidR="001F2587" w:rsidRPr="00B71342">
        <w:rPr>
          <w:rFonts w:asciiTheme="majorBidi" w:eastAsia="Calibri" w:hAnsiTheme="majorBidi" w:cstheme="majorBidi"/>
        </w:rPr>
        <w:fldChar w:fldCharType="begin"/>
      </w:r>
      <w:r w:rsidR="001F2587" w:rsidRPr="00B71342">
        <w:instrText xml:space="preserve"> XE "</w:instrText>
      </w:r>
      <w:r w:rsidR="001F2587" w:rsidRPr="00B71342">
        <w:rPr>
          <w:rFonts w:asciiTheme="majorBidi" w:hAnsiTheme="majorBidi" w:cstheme="majorBidi"/>
        </w:rPr>
        <w:instrText>Assyrian</w:instrText>
      </w:r>
      <w:r w:rsidR="001F2587" w:rsidRPr="00B71342">
        <w:instrText xml:space="preserve">" </w:instrText>
      </w:r>
      <w:r w:rsidR="001F2587" w:rsidRPr="00B71342">
        <w:rPr>
          <w:rFonts w:asciiTheme="majorBidi" w:eastAsia="Calibri" w:hAnsiTheme="majorBidi" w:cstheme="majorBidi"/>
        </w:rPr>
        <w:fldChar w:fldCharType="end"/>
      </w:r>
      <w:r w:rsidRPr="00B71342">
        <w:rPr>
          <w:rFonts w:asciiTheme="majorBidi" w:eastAsia="Calibri" w:hAnsiTheme="majorBidi" w:cstheme="majorBidi"/>
        </w:rPr>
        <w:t> inscription dating to the period of Ashurbanipal, it is stated that the Urartian king, 'Ištarduri' (probably Sarduri IV), sent tribute to Assur (Borger, 1996: 71-72, 250 A§86). An evaluation of the first and the last recordings in the inscription suggests that this incident should have happened between 646 and 642 BCE (Fuchs, 2012: 138). The LÚaṣuli type stamp seal bullae found in Karmir-Blur</w:t>
      </w:r>
      <w:r w:rsidR="0028736C" w:rsidRPr="00B71342">
        <w:rPr>
          <w:rFonts w:asciiTheme="majorBidi" w:eastAsia="Calibri" w:hAnsiTheme="majorBidi" w:cstheme="majorBidi"/>
        </w:rPr>
        <w:fldChar w:fldCharType="begin"/>
      </w:r>
      <w:r w:rsidR="0028736C" w:rsidRPr="00B71342">
        <w:instrText xml:space="preserve"> XE "</w:instrText>
      </w:r>
      <w:r w:rsidR="0028736C" w:rsidRPr="00B71342">
        <w:rPr>
          <w:rFonts w:asciiTheme="majorBidi" w:hAnsiTheme="majorBidi" w:cstheme="majorBidi"/>
          <w:color w:val="000000" w:themeColor="text1"/>
          <w:lang w:val="en-GB"/>
        </w:rPr>
        <w:instrText>Karmir-Blur</w:instrText>
      </w:r>
      <w:r w:rsidR="0028736C" w:rsidRPr="00B71342">
        <w:instrText xml:space="preserve">" </w:instrText>
      </w:r>
      <w:r w:rsidR="0028736C" w:rsidRPr="00B71342">
        <w:rPr>
          <w:rFonts w:asciiTheme="majorBidi" w:eastAsia="Calibri" w:hAnsiTheme="majorBidi" w:cstheme="majorBidi"/>
        </w:rPr>
        <w:fldChar w:fldCharType="end"/>
      </w:r>
      <w:r w:rsidRPr="00B71342">
        <w:rPr>
          <w:rFonts w:asciiTheme="majorBidi" w:eastAsia="Calibri" w:hAnsiTheme="majorBidi" w:cstheme="majorBidi"/>
        </w:rPr>
        <w:t>, Bastam, and the mound of Ṭušpa</w:t>
      </w:r>
      <w:r w:rsidR="00C3551A" w:rsidRPr="00B71342">
        <w:rPr>
          <w:rFonts w:asciiTheme="majorBidi" w:eastAsia="Calibri" w:hAnsiTheme="majorBidi" w:cstheme="majorBidi"/>
        </w:rPr>
        <w:t xml:space="preserve"> </w:t>
      </w:r>
      <w:r w:rsidRPr="00B71342">
        <w:rPr>
          <w:rFonts w:asciiTheme="majorBidi" w:eastAsia="Calibri" w:hAnsiTheme="majorBidi" w:cstheme="majorBidi"/>
        </w:rPr>
        <w:t>(CTU IV. Sig. 20-5. a-b-c) is evidence of the continuation of a similar relationship between the cities after Rusai Argištiḫi. The expression' the lord of the city of Ṭušpa' on an inscribed bronze shield found in Karmir-Blur, which belonged to Sarduri IV, also indicates the continuation of similar denotations (CTU IV. B 16-1). This should be the last Urartian inscription where the name of Ṭušpa</w:t>
      </w:r>
      <w:r w:rsidR="008E274F" w:rsidRPr="00B71342">
        <w:rPr>
          <w:rFonts w:asciiTheme="majorBidi" w:eastAsia="Calibri" w:hAnsiTheme="majorBidi" w:cstheme="majorBidi"/>
        </w:rPr>
        <w:t xml:space="preserve"> </w:t>
      </w:r>
      <w:r w:rsidRPr="00B71342">
        <w:rPr>
          <w:rFonts w:asciiTheme="majorBidi" w:eastAsia="Calibri" w:hAnsiTheme="majorBidi" w:cstheme="majorBidi"/>
        </w:rPr>
        <w:t xml:space="preserve">was mentioned.  </w:t>
      </w:r>
    </w:p>
    <w:p w14:paraId="1604EFBB" w14:textId="2248EAFF"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The archaeological and epigraphic data chronologically illustrate the changes that the kingdom went through in the capital Ṭušpa</w:t>
      </w:r>
      <w:r w:rsidRPr="00F03A26">
        <w:rPr>
          <w:rFonts w:asciiTheme="majorBidi" w:eastAsia="Calibri" w:hAnsiTheme="majorBidi" w:cstheme="majorBidi"/>
          <w:i/>
          <w:iCs/>
        </w:rPr>
        <w:t> </w:t>
      </w:r>
      <w:r w:rsidRPr="00F03A26">
        <w:rPr>
          <w:rFonts w:asciiTheme="majorBidi" w:eastAsia="Calibri" w:hAnsiTheme="majorBidi" w:cstheme="majorBidi"/>
        </w:rPr>
        <w:t>and the construction activities that took place during the reign of each, as well as the period before the official establishment of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kingdom. The Ṭušpa</w:t>
      </w:r>
      <w:r w:rsidR="008E274F" w:rsidRPr="00F03A26">
        <w:rPr>
          <w:rFonts w:asciiTheme="majorBidi" w:eastAsia="Calibri" w:hAnsiTheme="majorBidi" w:cstheme="majorBidi"/>
        </w:rPr>
        <w:t xml:space="preserve"> </w:t>
      </w:r>
      <w:r w:rsidRPr="00F03A26">
        <w:rPr>
          <w:rFonts w:asciiTheme="majorBidi" w:eastAsia="Calibri" w:hAnsiTheme="majorBidi" w:cstheme="majorBidi"/>
        </w:rPr>
        <w:t>citadel in Ṭušpa had mainly been home to significant monuments of the kingdom, and its importance held until its collapse. Due to its strategically important location, the kingdom's administrative, public, and ritual structures were incorporated within the citadel complex, which, through time, became an outstanding space. The topography of the citadel was a prominent factor in its preference as the capital. Changes in this area can be tracked simultaneously with the changing structure of the Urartian kingdom. The inscriptions on or nearby some structures allow identification of various units in the capital Ṭušpa, including the Sardurburç</w:t>
      </w:r>
      <w:r w:rsidR="00647545">
        <w:rPr>
          <w:rFonts w:asciiTheme="majorBidi" w:eastAsia="Calibr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xml:space="preserve"> (CTU I. A 1-A, B, C, D, E, F), </w:t>
      </w:r>
      <w:r w:rsidRPr="00C37B16">
        <w:rPr>
          <w:rFonts w:asciiTheme="majorBidi" w:eastAsia="Calibri" w:hAnsiTheme="majorBidi" w:cstheme="majorBidi"/>
        </w:rPr>
        <w:t xml:space="preserve">the </w:t>
      </w:r>
      <w:r w:rsidR="001E2ED0" w:rsidRPr="00270549">
        <w:rPr>
          <w:rFonts w:asciiTheme="majorBidi" w:eastAsia="Calibri" w:hAnsiTheme="majorBidi" w:cstheme="majorBidi"/>
        </w:rPr>
        <w:t>"</w:t>
      </w:r>
      <w:r w:rsidRPr="00C37B16">
        <w:rPr>
          <w:rFonts w:asciiTheme="majorBidi" w:eastAsia="Calibri" w:hAnsiTheme="majorBidi" w:cstheme="majorBidi"/>
        </w:rPr>
        <w:t>siršini</w:t>
      </w:r>
      <w:r w:rsidR="001E2ED0" w:rsidRPr="00270549">
        <w:rPr>
          <w:rFonts w:asciiTheme="majorBidi" w:eastAsia="Calibri" w:hAnsiTheme="majorBidi" w:cstheme="majorBidi"/>
        </w:rPr>
        <w:t>"</w:t>
      </w:r>
      <w:r w:rsidR="00C1513A">
        <w:rPr>
          <w:rFonts w:asciiTheme="majorBidi" w:eastAsia="Calibri" w:hAnsiTheme="majorBidi" w:cstheme="majorBidi"/>
          <w:i/>
          <w:iCs/>
        </w:rPr>
        <w:fldChar w:fldCharType="begin"/>
      </w:r>
      <w:r w:rsidR="00C1513A">
        <w:instrText xml:space="preserve"> XE "</w:instrText>
      </w:r>
      <w:r w:rsidR="00C1513A" w:rsidRPr="00582FC6">
        <w:rPr>
          <w:rFonts w:asciiTheme="majorBidi" w:eastAsia="Times New Roman" w:hAnsiTheme="majorBidi" w:cstheme="majorBidi"/>
          <w:lang w:val="en-GB"/>
        </w:rPr>
        <w:instrText>siršini</w:instrText>
      </w:r>
      <w:r w:rsidR="00C1513A">
        <w:instrText xml:space="preserve">" </w:instrText>
      </w:r>
      <w:r w:rsidR="00C1513A">
        <w:rPr>
          <w:rFonts w:asciiTheme="majorBidi" w:eastAsia="Calibri" w:hAnsiTheme="majorBidi" w:cstheme="majorBidi"/>
          <w:i/>
          <w:iCs/>
        </w:rPr>
        <w:fldChar w:fldCharType="end"/>
      </w:r>
      <w:r w:rsidRPr="00F03A26">
        <w:rPr>
          <w:rFonts w:asciiTheme="majorBidi" w:eastAsia="Calibri" w:hAnsiTheme="majorBidi" w:cstheme="majorBidi"/>
        </w:rPr>
        <w:t xml:space="preserve"> (CTU I. A 5-68; CTU A 5-69) a stable for sacrificial animals, the </w:t>
      </w:r>
      <w:r w:rsidRPr="00AA1737">
        <w:rPr>
          <w:rFonts w:asciiTheme="majorBidi" w:eastAsia="Calibri" w:hAnsiTheme="majorBidi" w:cstheme="majorBidi"/>
        </w:rPr>
        <w:t>taramanili</w:t>
      </w:r>
      <w:r w:rsidRPr="00F03A26">
        <w:rPr>
          <w:rFonts w:asciiTheme="majorBidi" w:eastAsia="Calibri" w:hAnsiTheme="majorBidi" w:cstheme="majorBidi"/>
        </w:rPr>
        <w:t xml:space="preserve"> (CTU I. A 5-58 A-C) fountain, </w:t>
      </w:r>
      <w:r w:rsidRPr="00F03A26">
        <w:rPr>
          <w:rFonts w:asciiTheme="majorBidi" w:eastAsia="Calibri" w:hAnsiTheme="majorBidi" w:cstheme="majorBidi"/>
          <w:i/>
          <w:iCs/>
        </w:rPr>
        <w:t>ari</w:t>
      </w:r>
      <w:r w:rsidR="00C3551A" w:rsidRPr="00F03A26">
        <w:rPr>
          <w:rFonts w:asciiTheme="majorBidi" w:eastAsia="Calibri" w:hAnsiTheme="majorBidi" w:cstheme="majorBidi"/>
          <w:i/>
          <w:iCs/>
        </w:rPr>
        <w:t xml:space="preserve"> </w:t>
      </w:r>
      <w:r w:rsidRPr="00F03A26">
        <w:rPr>
          <w:rFonts w:asciiTheme="majorBidi" w:eastAsia="Calibri" w:hAnsiTheme="majorBidi" w:cstheme="majorBidi"/>
        </w:rPr>
        <w:t>(CTU I. A 5-66) the silo, the Argišti</w:t>
      </w:r>
      <w:r w:rsidR="008E274F" w:rsidRPr="00F03A26">
        <w:rPr>
          <w:rFonts w:asciiTheme="majorBidi" w:eastAsia="Calibri" w:hAnsiTheme="majorBidi" w:cstheme="majorBidi"/>
        </w:rPr>
        <w:t xml:space="preserve"> </w:t>
      </w:r>
      <w:r w:rsidRPr="00F03A26">
        <w:rPr>
          <w:rFonts w:asciiTheme="majorBidi" w:eastAsia="Calibri" w:hAnsiTheme="majorBidi" w:cstheme="majorBidi"/>
        </w:rPr>
        <w:t>I</w:t>
      </w:r>
      <w:r w:rsidR="001F2587">
        <w:rPr>
          <w:rFonts w:asciiTheme="majorBidi" w:eastAsia="Calibr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xml:space="preserve"> tomb with his chroniches (CTU I. A 8-3), and the Analıkız</w:t>
      </w:r>
      <w:r w:rsidR="00647545">
        <w:rPr>
          <w:rFonts w:asciiTheme="majorBidi" w:eastAsia="Calibr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Rock-Cut area where the chronicles of Sarduri II</w:t>
      </w:r>
      <w:r w:rsidR="00C1513A">
        <w:rPr>
          <w:rFonts w:asciiTheme="majorBidi" w:eastAsia="Calibri" w:hAnsiTheme="majorBidi" w:cstheme="majorBidi"/>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are located. These construction activities had a somewhat religious and official scope. Apart from these, remains of fortification walls dating to the Urartian period and burial chambers with monumental façades can be found along the southern front of the outcrop.</w:t>
      </w:r>
    </w:p>
    <w:p w14:paraId="566D8A76" w14:textId="6D171965"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The wealth of current data supports the idea that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xml:space="preserve"> capital of Ṭušpa, as it was expressed in the inscriptions, was confined to the Ṭušpa citadel debatable. A consideration of the topography and location of Ṭušpa citadel suggests that it was impossible to house the entire number of inhabitants of the city of Ṭušpa, which could not have been less </w:t>
      </w:r>
      <w:r w:rsidRPr="00F03A26">
        <w:rPr>
          <w:rFonts w:asciiTheme="majorBidi" w:eastAsia="Calibri" w:hAnsiTheme="majorBidi" w:cstheme="majorBidi"/>
        </w:rPr>
        <w:lastRenderedPageBreak/>
        <w:t>than 50.000</w:t>
      </w:r>
      <w:r w:rsidR="008E274F" w:rsidRPr="00F03A26">
        <w:rPr>
          <w:rStyle w:val="DipnotBavurusu"/>
          <w:rFonts w:asciiTheme="majorBidi" w:eastAsia="Calibri" w:hAnsiTheme="majorBidi" w:cstheme="majorBidi"/>
        </w:rPr>
        <w:footnoteReference w:id="24"/>
      </w:r>
      <w:r w:rsidRPr="00F03A26">
        <w:rPr>
          <w:rFonts w:asciiTheme="majorBidi" w:eastAsia="Calibri" w:hAnsiTheme="majorBidi" w:cstheme="majorBidi"/>
        </w:rPr>
        <w:t>. The Ṭušpa</w:t>
      </w:r>
      <w:r w:rsidR="008E274F" w:rsidRPr="00F03A26">
        <w:rPr>
          <w:rFonts w:asciiTheme="majorBidi" w:eastAsia="Calibri" w:hAnsiTheme="majorBidi" w:cstheme="majorBidi"/>
        </w:rPr>
        <w:t xml:space="preserve"> </w:t>
      </w:r>
      <w:r w:rsidRPr="00F03A26">
        <w:rPr>
          <w:rFonts w:asciiTheme="majorBidi" w:eastAsia="Calibri" w:hAnsiTheme="majorBidi" w:cstheme="majorBidi"/>
        </w:rPr>
        <w:t>citadel held a tremendous symbolic significance for the Urartian kingdom. Among its neighbors, this outcrop was identified with the Urartian state. For example, with the trilingual (Ancient Persian), Elamite, and Babylonian) sovereignty inscription on the steep northern slope of Ṭušpa citadel, the Achaemenid king Xerxes</w:t>
      </w:r>
      <w:r w:rsidR="00647545">
        <w:rPr>
          <w:rFonts w:asciiTheme="majorBidi" w:eastAsia="Calibri" w:hAnsiTheme="majorBidi" w:cstheme="majorBidi"/>
        </w:rPr>
        <w:fldChar w:fldCharType="begin"/>
      </w:r>
      <w:r w:rsidR="00647545">
        <w:instrText xml:space="preserve"> XE "</w:instrText>
      </w:r>
      <w:r w:rsidR="00647545" w:rsidRPr="004F53AA">
        <w:rPr>
          <w:rFonts w:asciiTheme="majorBidi" w:hAnsiTheme="majorBidi" w:cstheme="majorBidi"/>
        </w:rPr>
        <w:instrText>Xerxes</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(485-465 BCE) should have aimed to declare his enthronement of the entire Urartian Land. Indeed, the structures and monuments it possessed situate Ṭušpa citadel as a religious and ancestral (Salvini, 2006: 169) sacred place for the capital city of Ṭušpa located in the plain level. At the same time, it was the acropolis used continuously by the Urartian kings (Salvini, 2006: 151; Salvini, 2011: 89). The same situation also endured throughout the Medieval periods</w:t>
      </w:r>
      <w:r w:rsidR="008E274F" w:rsidRPr="00F03A26">
        <w:rPr>
          <w:rStyle w:val="DipnotBavurusu"/>
          <w:rFonts w:asciiTheme="majorBidi" w:eastAsia="Calibri" w:hAnsiTheme="majorBidi" w:cstheme="majorBidi"/>
        </w:rPr>
        <w:footnoteReference w:id="25"/>
      </w:r>
      <w:r w:rsidRPr="00F03A26">
        <w:rPr>
          <w:rFonts w:asciiTheme="majorBidi" w:eastAsia="Calibri" w:hAnsiTheme="majorBidi" w:cstheme="majorBidi"/>
        </w:rPr>
        <w:t xml:space="preserve">. </w:t>
      </w:r>
    </w:p>
    <w:p w14:paraId="4365AD2E" w14:textId="7DF11596"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 xml:space="preserve">Considering this discussion, one can ask about the precise location and extent of the city of Ṭušpa. Studies in the </w:t>
      </w:r>
      <w:r w:rsidR="00C1513A">
        <w:rPr>
          <w:rFonts w:asciiTheme="majorBidi" w:eastAsia="Calibri" w:hAnsiTheme="majorBidi" w:cstheme="majorBidi"/>
        </w:rPr>
        <w:t>Old Van City</w:t>
      </w:r>
      <w:r w:rsidR="00EB71FC">
        <w:rPr>
          <w:rFonts w:asciiTheme="majorBidi" w:eastAsia="Calibri" w:hAnsiTheme="majorBidi" w:cstheme="majorBidi"/>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eastAsia="Calibri" w:hAnsiTheme="majorBidi" w:cstheme="majorBidi"/>
        </w:rPr>
        <w:fldChar w:fldCharType="end"/>
      </w:r>
      <w:r w:rsidRPr="00F03A26">
        <w:rPr>
          <w:rFonts w:asciiTheme="majorBidi" w:eastAsia="Calibri" w:hAnsiTheme="majorBidi" w:cstheme="majorBidi"/>
        </w:rPr>
        <w:t>—the lower settlement—to the south of the citadel, and the red slipped pottery found during the sondage excavations here indicate that the lower settlement extended southwards (Lake &amp; Lake, 1939: 74-80; Lake, 1940: 180; Korfmann, 1977: 173-200, Taf. III/2, IV/2).  Research and sondage excavations conducted by Afif Erzen and his team at the Van Fortress Mound</w:t>
      </w:r>
      <w:r w:rsidR="00C1513A">
        <w:rPr>
          <w:rFonts w:asciiTheme="majorBidi" w:eastAsia="Calibri" w:hAnsiTheme="majorBidi" w:cstheme="majorBidi"/>
        </w:rPr>
        <w:fldChar w:fldCharType="begin"/>
      </w:r>
      <w:r w:rsidR="00C1513A">
        <w:instrText xml:space="preserve"> XE "</w:instrText>
      </w:r>
      <w:r w:rsidR="00C1513A" w:rsidRPr="008D40AB">
        <w:rPr>
          <w:rFonts w:asciiTheme="majorBidi" w:eastAsia="Times New Roman" w:hAnsiTheme="majorBidi" w:cstheme="majorBidi"/>
          <w:lang w:val="en-GB"/>
        </w:rPr>
        <w:instrText>Van Fortress Mound</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located 70 meters to the north of the Ṭušpa citadel, revealed building foundations and pottery dating to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period (Erzen, Bilgiç, Boysal &amp; Öğün, 1960: 20; Erzen, Bilgiç, Boysal &amp; Öğün, 1963: 35).  After an extended period, two distinct building phases (the late and early phases) dating to the Urartian period had been identified during the excavations at the western sector of the Van Fortress Mound between 1989-91 (Tarhan &amp; Sevin, 1990: 433-434; Tarhan, 1994: 39). It is therefore suggested that the lower settlement of Ṭušpa was not confined to the south of the citadel, and with a population increase through time, it extended towards the Van Fortress Mound (Tarhan, 2011: 325, 328). The early phase (IIc) defined in the Van Fortress Mound is dated to the Urartian occupation during the Middle Iron Age and belonged to a sizeable Urartian complex, whereas the later phase (IIb) of the Urartian occupation is represented by scarce architectural remains (Tarhan &amp; Sevin, 1993: 850-853; Sevin, 2012b: 361-362).</w:t>
      </w:r>
    </w:p>
    <w:p w14:paraId="2EB18F29" w14:textId="21CCEF11"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Since 2011, the new period of excavations at the mound has been revealed earlier, and typical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xml:space="preserve"> building phases underneath the previously identified 'Early Building Phase' in the western sector date to the 8th century BCE (Tarhan, 2011: 329). The levels underneath, which is now termed the 'Early Urartian Building Phase,' consisted of typical Urartian finds in their </w:t>
      </w:r>
      <w:r w:rsidRPr="00F03A26">
        <w:rPr>
          <w:rFonts w:asciiTheme="majorBidi" w:eastAsia="Calibri" w:hAnsiTheme="majorBidi" w:cstheme="majorBidi"/>
          <w:i/>
          <w:iCs/>
        </w:rPr>
        <w:t xml:space="preserve">in-situ </w:t>
      </w:r>
      <w:r w:rsidRPr="00F03A26">
        <w:rPr>
          <w:rFonts w:asciiTheme="majorBidi" w:eastAsia="Calibri" w:hAnsiTheme="majorBidi" w:cstheme="majorBidi"/>
        </w:rPr>
        <w:t xml:space="preserve">contexts (Konyar, Ayman, Avcı, Yiğitpaşa, Genç &amp; Akgün, 2012: 224). Continuing excavations in this area suggest that the Urartian architectural remains belonging to the early building phase of IIc, which were defined during earlier excavations, </w:t>
      </w:r>
      <w:r w:rsidRPr="00F03A26">
        <w:rPr>
          <w:rFonts w:asciiTheme="majorBidi" w:eastAsia="Calibri" w:hAnsiTheme="majorBidi" w:cstheme="majorBidi"/>
        </w:rPr>
        <w:lastRenderedPageBreak/>
        <w:t xml:space="preserve">were built on an earlier Urartian occupation represented by the debris of collapsed architectural features (Konyar, Avcı, Genç, Akgün &amp; Tan, 2013: 194-195). </w:t>
      </w:r>
    </w:p>
    <w:p w14:paraId="6CCDDC60" w14:textId="4A381F40"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Indeed, renewed excavations at the Ṭušpa</w:t>
      </w:r>
      <w:r w:rsidRPr="00F03A26">
        <w:rPr>
          <w:rFonts w:asciiTheme="majorBidi" w:eastAsia="Calibri" w:hAnsiTheme="majorBidi" w:cstheme="majorBidi"/>
          <w:i/>
          <w:iCs/>
        </w:rPr>
        <w:t> </w:t>
      </w:r>
      <w:r w:rsidRPr="00F03A26">
        <w:rPr>
          <w:rFonts w:asciiTheme="majorBidi" w:eastAsia="Calibri" w:hAnsiTheme="majorBidi" w:cstheme="majorBidi"/>
        </w:rPr>
        <w:t>Mound allowed a better understanding and a re-evaluation of the settlement chronology in this area (Konyar, Genç, Avcı, &amp; Tan, 2017: 127-142; Konyar, Genç, Konyar, Tan, &amp; Avcı, 2018: 143-153; Konyar, Genç, Avcı, &amp; Tan, 2019: 169-183; Genç, Konyar, &amp; Tan, 2021: 194-209). The notion of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xml:space="preserve"> occupation in the Ṭušpa citadel and the city of Ṭušpa, which lasted more than 200 years, being represented by a single building phase, was quite challenging. The Urartian houses built with mudbrick walls on stone foundations could not have endured so long. The earlier building phase identified by the authors underneath the Urartian building complex provides a chronological framework with contextual evidence from </w:t>
      </w:r>
      <w:r w:rsidRPr="00F03A26">
        <w:rPr>
          <w:rFonts w:asciiTheme="majorBidi" w:eastAsia="Calibri" w:hAnsiTheme="majorBidi" w:cstheme="majorBidi"/>
          <w:i/>
          <w:iCs/>
        </w:rPr>
        <w:t xml:space="preserve">in situ </w:t>
      </w:r>
      <w:r w:rsidRPr="00F03A26">
        <w:rPr>
          <w:rFonts w:asciiTheme="majorBidi" w:eastAsia="Calibri" w:hAnsiTheme="majorBidi" w:cstheme="majorBidi"/>
        </w:rPr>
        <w:t>finds.</w:t>
      </w:r>
    </w:p>
    <w:p w14:paraId="308C4FD4" w14:textId="05DAAAC3" w:rsidR="00792E01" w:rsidRPr="00F03A26" w:rsidRDefault="00792E01" w:rsidP="00F03A26">
      <w:pPr>
        <w:spacing w:before="100" w:beforeAutospacing="1" w:after="100" w:afterAutospacing="1" w:line="276" w:lineRule="auto"/>
        <w:jc w:val="both"/>
        <w:rPr>
          <w:rFonts w:asciiTheme="majorBidi" w:eastAsia="Calibri" w:hAnsiTheme="majorBidi" w:cstheme="majorBidi"/>
        </w:rPr>
      </w:pPr>
      <w:r w:rsidRPr="00F03A26">
        <w:rPr>
          <w:rFonts w:asciiTheme="majorBidi" w:eastAsia="Calibri" w:hAnsiTheme="majorBidi" w:cstheme="majorBidi"/>
        </w:rPr>
        <w:t>An evaluation of the data yielded from earlier and renewed excavations put forth a discussion on the extent of the lower city of Ṭušpa towards the north of the citadel and the identification of the buildings and structures unearthed in this area. The buildings excavated and unearthed entirely, especially during the new period of excavations in the mound since 2010, exhibit administrative characteristics. Among these,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building complex measuring 20 x 20.50 meters, with outer walls of 1.30 cm thickness, and a central hall consisting of four columns and additional ten rooms (Konyar, Genç, Konyar, Tan &amp; Avcı, 2018: 145-148; Konyar, Genç, Avcı, &amp; Tan, 2019: 175-177, Fig. 2, 12; Genç &amp; Konyar, 2023: 142-148) confirms that this area was confined to administrative buildings rather than being a public settlement. Various finds, such as the bulla, the cuneiform inscribed pottery fragments, bronze materials, a tablet (Işık, 2014: 176-179), (Fig. 15), seals (Konyar, Genç, Avcı &amp; Tan, 2017: 131-137, Fig. 9) and good quality pottery sherds further strengthen the administrative and unique state of the building. It is, therefore, understood that the lower settlement of Ṭušpa housed units and complexes related to the citadel as a part of the kingdom's administrative system.</w:t>
      </w:r>
    </w:p>
    <w:p w14:paraId="11DF42B9"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p>
    <w:p w14:paraId="3D0F6A5B" w14:textId="77777777"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noProof/>
        </w:rPr>
        <w:lastRenderedPageBreak/>
        <w:drawing>
          <wp:inline distT="0" distB="0" distL="0" distR="0" wp14:anchorId="583DAE7B" wp14:editId="515B8B69">
            <wp:extent cx="5132934" cy="3420630"/>
            <wp:effectExtent l="0" t="0" r="0" b="0"/>
            <wp:docPr id="1591432363" name="Resim 1" descr="kireç taşı, mineral, taş yontma aleti,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32363" name="Resim 1" descr="kireç taşı, mineral, taş yontma aleti, kaya içeren bir resim&#10;&#10;Açıklama otomatik olarak oluşturuldu"/>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172752" cy="3447165"/>
                    </a:xfrm>
                    <a:prstGeom prst="rect">
                      <a:avLst/>
                    </a:prstGeom>
                    <a:noFill/>
                    <a:ln>
                      <a:noFill/>
                    </a:ln>
                  </pic:spPr>
                </pic:pic>
              </a:graphicData>
            </a:graphic>
          </wp:inline>
        </w:drawing>
      </w:r>
    </w:p>
    <w:p w14:paraId="136FF2EA" w14:textId="7BFD7E5A" w:rsidR="00792E01" w:rsidRPr="00F03A26" w:rsidRDefault="00792E01" w:rsidP="00F03A26">
      <w:pPr>
        <w:spacing w:before="100" w:beforeAutospacing="1" w:after="100" w:afterAutospacing="1" w:line="276" w:lineRule="auto"/>
        <w:jc w:val="both"/>
        <w:rPr>
          <w:rFonts w:asciiTheme="majorBidi" w:eastAsia="Calibri" w:hAnsiTheme="majorBidi" w:cstheme="majorBidi"/>
          <w:lang w:val="en-GB"/>
        </w:rPr>
      </w:pPr>
      <w:r w:rsidRPr="00F03A26">
        <w:rPr>
          <w:rFonts w:asciiTheme="majorBidi" w:eastAsia="Calibri" w:hAnsiTheme="majorBidi" w:cstheme="majorBidi"/>
          <w:lang w:val="en-GB"/>
        </w:rPr>
        <w:t>Fig. 15 Urartian</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"Urartian"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Tablet, found in the </w:t>
      </w:r>
      <w:r w:rsidRPr="00F03A26">
        <w:rPr>
          <w:rFonts w:asciiTheme="majorBidi" w:eastAsia="Calibri" w:hAnsiTheme="majorBidi" w:cstheme="majorBidi"/>
          <w:iCs/>
          <w:lang w:val="en-GB"/>
        </w:rPr>
        <w:t>Ṭušpa</w:t>
      </w:r>
      <w:r w:rsidRPr="00F03A26">
        <w:rPr>
          <w:rFonts w:asciiTheme="majorBidi" w:eastAsia="Calibri" w:hAnsiTheme="majorBidi" w:cstheme="majorBidi"/>
          <w:lang w:val="en-GB"/>
        </w:rPr>
        <w:t>/ Van Fortress Mound</w:t>
      </w:r>
      <w:r w:rsidRPr="00F03A26">
        <w:rPr>
          <w:rFonts w:asciiTheme="majorBidi" w:eastAsia="Calibri" w:hAnsiTheme="majorBidi" w:cstheme="majorBidi"/>
          <w:lang w:val="en-GB"/>
        </w:rPr>
        <w:fldChar w:fldCharType="begin"/>
      </w:r>
      <w:r w:rsidRPr="00F03A26">
        <w:rPr>
          <w:rFonts w:asciiTheme="majorBidi" w:eastAsia="Calibri" w:hAnsiTheme="majorBidi" w:cstheme="majorBidi"/>
          <w:lang w:val="en-GB"/>
        </w:rPr>
        <w:instrText xml:space="preserve"> XE "Van Fortress Mound"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w:t>
      </w:r>
    </w:p>
    <w:p w14:paraId="48C6A3EB" w14:textId="77777777" w:rsidR="00792E01" w:rsidRPr="00F03A26" w:rsidRDefault="00792E01" w:rsidP="00F03A26">
      <w:pPr>
        <w:jc w:val="both"/>
        <w:rPr>
          <w:rFonts w:asciiTheme="majorBidi" w:eastAsia="Calibri" w:hAnsiTheme="majorBidi" w:cstheme="majorBidi"/>
          <w:lang w:val="en-GB"/>
        </w:rPr>
      </w:pPr>
    </w:p>
    <w:p w14:paraId="078B4EF5" w14:textId="77777777" w:rsidR="00792E01" w:rsidRPr="00F03A26" w:rsidRDefault="00792E01" w:rsidP="00F03A26">
      <w:pPr>
        <w:keepNext/>
        <w:keepLines/>
        <w:spacing w:before="40"/>
        <w:jc w:val="both"/>
        <w:outlineLvl w:val="1"/>
        <w:rPr>
          <w:rFonts w:asciiTheme="majorBidi" w:eastAsia="Times New Roman" w:hAnsiTheme="majorBidi" w:cstheme="majorBidi"/>
          <w:b/>
          <w:bCs/>
          <w:sz w:val="28"/>
          <w:szCs w:val="28"/>
          <w:lang w:val="en-GB"/>
        </w:rPr>
      </w:pPr>
      <w:bookmarkStart w:id="30" w:name="_Toc173231193"/>
      <w:r w:rsidRPr="00F03A26">
        <w:rPr>
          <w:rFonts w:asciiTheme="majorBidi" w:eastAsia="Times New Roman" w:hAnsiTheme="majorBidi" w:cstheme="majorBidi"/>
          <w:b/>
          <w:bCs/>
          <w:sz w:val="28"/>
          <w:szCs w:val="28"/>
          <w:lang w:val="en-GB"/>
        </w:rPr>
        <w:t>2.9. Conclusion</w:t>
      </w:r>
      <w:bookmarkEnd w:id="30"/>
    </w:p>
    <w:p w14:paraId="0660C5A7" w14:textId="6DA02BD2" w:rsidR="00792E01" w:rsidRPr="00F03A26" w:rsidRDefault="00792E01" w:rsidP="00F03A26">
      <w:pPr>
        <w:jc w:val="both"/>
        <w:rPr>
          <w:rFonts w:asciiTheme="majorBidi" w:eastAsia="Calibri" w:hAnsiTheme="majorBidi" w:cstheme="majorBidi"/>
        </w:rPr>
      </w:pPr>
      <w:r w:rsidRPr="00F03A26">
        <w:rPr>
          <w:rFonts w:asciiTheme="majorBidi" w:eastAsia="Calibri" w:hAnsiTheme="majorBidi" w:cstheme="majorBidi"/>
        </w:rPr>
        <w:t>The Van or Ṭušpa citadel identified with the capital Ṭušpa</w:t>
      </w:r>
      <w:r w:rsidR="008E274F" w:rsidRPr="00F03A26">
        <w:rPr>
          <w:rFonts w:asciiTheme="majorBidi" w:eastAsia="Calibri" w:hAnsiTheme="majorBidi" w:cstheme="majorBidi"/>
        </w:rPr>
        <w:t xml:space="preserve"> </w:t>
      </w:r>
      <w:r w:rsidRPr="00F03A26">
        <w:rPr>
          <w:rFonts w:asciiTheme="majorBidi" w:eastAsia="Calibri" w:hAnsiTheme="majorBidi" w:cstheme="majorBidi"/>
        </w:rPr>
        <w:t>of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kingdom went through several transformations, starting first before the establishment of the kingdom and later simultaneous with changes in the ideological structure of the Urartian state. This settlement, termed Ṭuruspâ by the Assyrian</w:t>
      </w:r>
      <w:r w:rsidR="001F2587">
        <w:rPr>
          <w:rFonts w:asciiTheme="majorBidi" w:eastAsia="Calibr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king Shalmaneser III, began to be known as Ṭušpa with the establishment of the Urartian state and housed the most prominent administrative and religious structures until the collapse of the Urartian kingdom. Sarduri I</w:t>
      </w:r>
      <w:r w:rsidR="005C68BB">
        <w:rPr>
          <w:rFonts w:asciiTheme="majorBidi" w:eastAsia="Calibri" w:hAnsiTheme="majorBidi" w:cstheme="majorBidi"/>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Calibri" w:hAnsiTheme="majorBidi" w:cstheme="majorBidi"/>
        </w:rPr>
        <w:fldChar w:fldCharType="end"/>
      </w:r>
      <w:r w:rsidRPr="00F03A26">
        <w:rPr>
          <w:rFonts w:asciiTheme="majorBidi" w:eastAsia="Calibri" w:hAnsiTheme="majorBidi" w:cstheme="majorBidi"/>
        </w:rPr>
        <w:t> was the first king in this acropolis, confirmed by the Sardurburç</w:t>
      </w:r>
      <w:r w:rsidR="00647545">
        <w:rPr>
          <w:rFonts w:asciiTheme="majorBidi" w:eastAsia="Calibr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inscriptions. The construction activities in the capital that started with Sarduri I had been continued by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Minua</w:t>
      </w:r>
      <w:r w:rsidR="00C1513A">
        <w:rPr>
          <w:rFonts w:asciiTheme="majorBidi" w:eastAsia="Calibri" w:hAnsiTheme="majorBidi" w:cstheme="majorBidi"/>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and their successors. It is noteworthy that Išpuini was the first Urartian king to mention the name of Ṭušpa; starting from the center of the city of Ṭušpa, he had made several royal investments in northern, southern, and eastern areas. The kingdom's growth is well illustrated in the construction of Aznavurtepe</w:t>
      </w:r>
      <w:r w:rsidR="008E274F" w:rsidRPr="00F03A26">
        <w:rPr>
          <w:rStyle w:val="DipnotBavurusu"/>
          <w:rFonts w:asciiTheme="majorBidi" w:eastAsia="Calibri" w:hAnsiTheme="majorBidi" w:cstheme="majorBidi"/>
        </w:rPr>
        <w:footnoteReference w:id="26"/>
      </w:r>
      <w:r w:rsidRPr="00F03A26">
        <w:rPr>
          <w:rFonts w:asciiTheme="majorBidi" w:eastAsia="Calibri" w:hAnsiTheme="majorBidi" w:cstheme="majorBidi"/>
        </w:rPr>
        <w:t> to the north of Van Lake</w:t>
      </w:r>
      <w:r w:rsidR="001F2587">
        <w:rPr>
          <w:rFonts w:asciiTheme="majorBidi" w:eastAsia="Calibri" w:hAnsiTheme="majorBidi" w:cstheme="majorBidi"/>
        </w:rPr>
        <w:fldChar w:fldCharType="begin"/>
      </w:r>
      <w:r w:rsidR="001F2587">
        <w:instrText xml:space="preserve"> </w:instrText>
      </w:r>
      <w:r w:rsidR="001F2587">
        <w:lastRenderedPageBreak/>
        <w:instrText>XE "</w:instrText>
      </w:r>
      <w:r w:rsidR="001F2587" w:rsidRPr="00510CB9">
        <w:rPr>
          <w:rFonts w:asciiTheme="majorBidi" w:hAnsiTheme="majorBidi" w:cstheme="majorBidi"/>
        </w:rPr>
        <w:instrText>Van Lake</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and Kalecik (Aralesk)</w:t>
      </w:r>
      <w:r w:rsidR="008E274F" w:rsidRPr="00F03A26">
        <w:rPr>
          <w:rStyle w:val="DipnotBavurusu"/>
          <w:rFonts w:asciiTheme="majorBidi" w:eastAsia="Calibri" w:hAnsiTheme="majorBidi" w:cstheme="majorBidi"/>
        </w:rPr>
        <w:footnoteReference w:id="27"/>
      </w:r>
      <w:r w:rsidRPr="00F03A26">
        <w:rPr>
          <w:rFonts w:asciiTheme="majorBidi" w:eastAsia="Calibri" w:hAnsiTheme="majorBidi" w:cstheme="majorBidi"/>
        </w:rPr>
        <w:t>, Zivistan</w:t>
      </w:r>
      <w:r w:rsidR="008E274F" w:rsidRPr="00F03A26">
        <w:rPr>
          <w:rStyle w:val="DipnotBavurusu"/>
          <w:rFonts w:asciiTheme="majorBidi" w:eastAsia="Calibri" w:hAnsiTheme="majorBidi" w:cstheme="majorBidi"/>
        </w:rPr>
        <w:footnoteReference w:id="28"/>
      </w:r>
      <w:r w:rsidRPr="00F03A26">
        <w:rPr>
          <w:rFonts w:asciiTheme="majorBidi" w:eastAsia="Calibri" w:hAnsiTheme="majorBidi" w:cstheme="majorBidi"/>
        </w:rPr>
        <w:t>, and Lower Anzaf</w:t>
      </w:r>
      <w:r w:rsidR="008E274F" w:rsidRPr="00F03A26">
        <w:rPr>
          <w:rStyle w:val="DipnotBavurusu"/>
          <w:rFonts w:asciiTheme="majorBidi" w:eastAsia="Calibri" w:hAnsiTheme="majorBidi" w:cstheme="majorBidi"/>
        </w:rPr>
        <w:footnoteReference w:id="29"/>
      </w:r>
      <w:r w:rsidRPr="00F03A26">
        <w:rPr>
          <w:rFonts w:asciiTheme="majorBidi" w:eastAsia="Calibri" w:hAnsiTheme="majorBidi" w:cstheme="majorBidi"/>
        </w:rPr>
        <w:t> Fortresses during the reign of Išpuini. These fortresses should have also served as garrisons to protect the capital Ṭušpa against the Assyrian threat</w:t>
      </w:r>
      <w:r w:rsidR="003362B1" w:rsidRPr="00F03A26">
        <w:rPr>
          <w:rStyle w:val="DipnotBavurusu"/>
          <w:rFonts w:asciiTheme="majorBidi" w:eastAsia="Calibri" w:hAnsiTheme="majorBidi" w:cstheme="majorBidi"/>
        </w:rPr>
        <w:footnoteReference w:id="30"/>
      </w:r>
      <w:r w:rsidRPr="00F03A26">
        <w:rPr>
          <w:rFonts w:asciiTheme="majorBidi" w:eastAsia="Calibri" w:hAnsiTheme="majorBidi" w:cstheme="majorBidi"/>
        </w:rPr>
        <w:t>.</w:t>
      </w:r>
    </w:p>
    <w:p w14:paraId="53D401F1" w14:textId="77777777" w:rsidR="008E274F" w:rsidRPr="00F03A26" w:rsidRDefault="008E274F" w:rsidP="00F03A26">
      <w:pPr>
        <w:jc w:val="both"/>
        <w:rPr>
          <w:rFonts w:asciiTheme="majorBidi" w:eastAsia="Calibri" w:hAnsiTheme="majorBidi" w:cstheme="majorBidi"/>
        </w:rPr>
      </w:pPr>
    </w:p>
    <w:p w14:paraId="498B576F" w14:textId="2DFE668E" w:rsidR="00792E01" w:rsidRPr="00F03A26" w:rsidRDefault="00792E01" w:rsidP="00F03A26">
      <w:pPr>
        <w:jc w:val="both"/>
        <w:rPr>
          <w:rFonts w:asciiTheme="majorBidi" w:eastAsia="Calibri" w:hAnsiTheme="majorBidi" w:cstheme="majorBidi"/>
        </w:rPr>
      </w:pPr>
      <w:r w:rsidRPr="00F03A26">
        <w:rPr>
          <w:rFonts w:asciiTheme="majorBidi" w:eastAsia="Calibri" w:hAnsiTheme="majorBidi" w:cstheme="majorBidi"/>
        </w:rPr>
        <w:t>Column base found in the modern-day Yalı neighborhood to the north of the Van Fortress Mound</w:t>
      </w:r>
      <w:r w:rsidR="00C1513A">
        <w:rPr>
          <w:rFonts w:asciiTheme="majorBidi" w:eastAsia="Calibri" w:hAnsiTheme="majorBidi" w:cstheme="majorBidi"/>
        </w:rPr>
        <w:fldChar w:fldCharType="begin"/>
      </w:r>
      <w:r w:rsidR="00C1513A">
        <w:instrText xml:space="preserve"> XE "</w:instrText>
      </w:r>
      <w:r w:rsidR="00C1513A" w:rsidRPr="008D40AB">
        <w:rPr>
          <w:rFonts w:asciiTheme="majorBidi" w:eastAsia="Times New Roman" w:hAnsiTheme="majorBidi" w:cstheme="majorBidi"/>
          <w:lang w:val="en-GB"/>
        </w:rPr>
        <w:instrText>Van Fortress Mound</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provides evidence for other construction activities of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xml:space="preserve"> apart from these fortresses and the citadel in the Van plain. An evaluation of the location of </w:t>
      </w:r>
      <w:r w:rsidRPr="00F03A26">
        <w:rPr>
          <w:rFonts w:asciiTheme="majorBidi" w:eastAsia="Calibri" w:hAnsiTheme="majorBidi" w:cstheme="majorBidi"/>
        </w:rPr>
        <w:lastRenderedPageBreak/>
        <w:t>this base and other findings from the same area puts forth the question of this royal structure outside Ṭušpa</w:t>
      </w:r>
      <w:r w:rsidR="003362B1" w:rsidRPr="00F03A26">
        <w:rPr>
          <w:rFonts w:asciiTheme="majorBidi" w:eastAsia="Calibri" w:hAnsiTheme="majorBidi" w:cstheme="majorBidi"/>
        </w:rPr>
        <w:t xml:space="preserve"> </w:t>
      </w:r>
      <w:r w:rsidRPr="00F03A26">
        <w:rPr>
          <w:rFonts w:asciiTheme="majorBidi" w:eastAsia="Calibri" w:hAnsiTheme="majorBidi" w:cstheme="majorBidi"/>
        </w:rPr>
        <w:t>citadel, as well as with the city, which was surrounded by a fortification wall. Why Išpuini preferred to build a royal structure outside the citadel, unlike the Sardurburç</w:t>
      </w:r>
      <w:r w:rsidR="00647545">
        <w:rPr>
          <w:rFonts w:asciiTheme="majorBidi" w:eastAsia="Calibri" w:hAnsiTheme="majorBidi" w:cstheme="majorBidi"/>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/Madırburç</w:t>
      </w:r>
      <w:r w:rsidR="00E652FB">
        <w:rPr>
          <w:rFonts w:asciiTheme="majorBidi" w:eastAsia="Calibri" w:hAnsiTheme="majorBidi" w:cstheme="majorBidi"/>
        </w:rPr>
        <w:fldChar w:fldCharType="begin"/>
      </w:r>
      <w:r w:rsidR="00E652FB">
        <w:instrText xml:space="preserve"> XE "</w:instrText>
      </w:r>
      <w:r w:rsidR="00E652FB" w:rsidRPr="007A1ADD">
        <w:rPr>
          <w:rFonts w:asciiTheme="majorBidi" w:hAnsiTheme="majorBidi" w:cstheme="majorBidi"/>
        </w:rPr>
        <w:instrText>Madırburç</w:instrText>
      </w:r>
      <w:r w:rsidR="00E652FB">
        <w:instrText xml:space="preserve">" </w:instrText>
      </w:r>
      <w:r w:rsidR="00E652FB">
        <w:rPr>
          <w:rFonts w:asciiTheme="majorBidi" w:eastAsia="Calibri" w:hAnsiTheme="majorBidi" w:cstheme="majorBidi"/>
        </w:rPr>
        <w:fldChar w:fldCharType="end"/>
      </w:r>
      <w:r w:rsidRPr="00F03A26">
        <w:rPr>
          <w:rFonts w:asciiTheme="majorBidi" w:eastAsia="Calibri" w:hAnsiTheme="majorBidi" w:cstheme="majorBidi"/>
        </w:rPr>
        <w:t> in the Ṭušpa citadel that his father, Sarduri I</w:t>
      </w:r>
      <w:r w:rsidR="005C68BB">
        <w:rPr>
          <w:rFonts w:asciiTheme="majorBidi" w:eastAsia="Calibri" w:hAnsiTheme="majorBidi" w:cstheme="majorBidi"/>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Calibri" w:hAnsiTheme="majorBidi" w:cstheme="majorBidi"/>
        </w:rPr>
        <w:fldChar w:fldCharType="end"/>
      </w:r>
      <w:r w:rsidRPr="00F03A26">
        <w:rPr>
          <w:rFonts w:asciiTheme="majorBidi" w:eastAsia="Calibri" w:hAnsiTheme="majorBidi" w:cstheme="majorBidi"/>
        </w:rPr>
        <w:t>, built, is also a matter of debate. Was constructing such administrative structures outside the citadel, on the plain level, unique for the capital? Continuing research would provide a new perspective on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studies and settlement patterns.</w:t>
      </w:r>
    </w:p>
    <w:p w14:paraId="2AB66258" w14:textId="77777777" w:rsidR="003362B1" w:rsidRPr="00F03A26" w:rsidRDefault="003362B1" w:rsidP="00F03A26">
      <w:pPr>
        <w:jc w:val="both"/>
        <w:rPr>
          <w:rFonts w:asciiTheme="majorBidi" w:eastAsia="Calibri" w:hAnsiTheme="majorBidi" w:cstheme="majorBidi"/>
        </w:rPr>
      </w:pPr>
    </w:p>
    <w:p w14:paraId="01A606E8" w14:textId="72B05A39" w:rsidR="00792E01" w:rsidRPr="00F03A26" w:rsidRDefault="00792E01" w:rsidP="00F03A26">
      <w:pPr>
        <w:jc w:val="both"/>
        <w:rPr>
          <w:rFonts w:asciiTheme="majorBidi" w:eastAsia="Calibri" w:hAnsiTheme="majorBidi" w:cstheme="majorBidi"/>
        </w:rPr>
      </w:pPr>
      <w:r w:rsidRPr="00F03A26">
        <w:rPr>
          <w:rFonts w:asciiTheme="majorBidi" w:eastAsia="Calibri" w:hAnsiTheme="majorBidi" w:cstheme="majorBidi"/>
        </w:rPr>
        <w:t>Similarly, the building remains unearthed about 1 km northeast of Ṭušpa</w:t>
      </w:r>
      <w:r w:rsidR="003362B1" w:rsidRPr="00F03A26">
        <w:rPr>
          <w:rFonts w:asciiTheme="majorBidi" w:eastAsia="Calibri" w:hAnsiTheme="majorBidi" w:cstheme="majorBidi"/>
        </w:rPr>
        <w:t xml:space="preserve"> </w:t>
      </w:r>
      <w:r w:rsidRPr="00F03A26">
        <w:rPr>
          <w:rFonts w:asciiTheme="majorBidi" w:eastAsia="Calibri" w:hAnsiTheme="majorBidi" w:cstheme="majorBidi"/>
        </w:rPr>
        <w:t>citadel, and the findings from these contexts confirm the presence of royal and administrative units outside the citadel. Current data indicate that no central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xml:space="preserve"> royal structure was built between the Van Kelepost/Altıntepe Urartian necropolis and Ṭušpa citadel. The building, thus, constitutes an essential indicator of the location and extent of the city of Ṭušpa. As we mentioned above, the data obtained show that the Ṭušpa citadel symbolized ancestral power for the Urartian kingdom with official, monumental, cult buildings and tombs rather than a place of daily administration and living. When we look at the king's titles, we can say that they were also symbols of the Urartian kings' power, royal legitimacy, and independence.</w:t>
      </w:r>
    </w:p>
    <w:p w14:paraId="1C8A24A3" w14:textId="77777777" w:rsidR="003362B1" w:rsidRPr="00F03A26" w:rsidRDefault="003362B1" w:rsidP="00F03A26">
      <w:pPr>
        <w:jc w:val="both"/>
        <w:rPr>
          <w:rFonts w:asciiTheme="majorBidi" w:eastAsia="Calibri" w:hAnsiTheme="majorBidi" w:cstheme="majorBidi"/>
        </w:rPr>
      </w:pPr>
    </w:p>
    <w:p w14:paraId="5963B3FE" w14:textId="58D987F6" w:rsidR="00792E01" w:rsidRPr="00F03A26" w:rsidRDefault="00792E01" w:rsidP="00F03A26">
      <w:pPr>
        <w:jc w:val="both"/>
        <w:rPr>
          <w:rFonts w:asciiTheme="majorBidi" w:eastAsia="Calibri" w:hAnsiTheme="majorBidi" w:cstheme="majorBidi"/>
        </w:rPr>
      </w:pPr>
      <w:r w:rsidRPr="00AA1737">
        <w:rPr>
          <w:rFonts w:asciiTheme="majorBidi" w:eastAsia="Calibri" w:hAnsiTheme="majorBidi" w:cstheme="majorBidi"/>
        </w:rPr>
        <w:t>After the reign of Išpuini</w:t>
      </w:r>
      <w:r w:rsidR="00C1513A" w:rsidRPr="00AA1737">
        <w:rPr>
          <w:rFonts w:asciiTheme="majorBidi" w:eastAsia="Calibri" w:hAnsiTheme="majorBidi" w:cstheme="majorBidi"/>
        </w:rPr>
        <w:fldChar w:fldCharType="begin"/>
      </w:r>
      <w:r w:rsidR="00C1513A" w:rsidRPr="00AA1737">
        <w:instrText xml:space="preserve"> XE "</w:instrText>
      </w:r>
      <w:r w:rsidR="00C1513A" w:rsidRPr="00AA1737">
        <w:rPr>
          <w:rFonts w:asciiTheme="majorBidi" w:eastAsia="Times New Roman" w:hAnsiTheme="majorBidi" w:cstheme="majorBidi"/>
        </w:rPr>
        <w:instrText>Išpuini</w:instrText>
      </w:r>
      <w:r w:rsidR="00C1513A" w:rsidRPr="00AA1737">
        <w:instrText xml:space="preserve">" </w:instrText>
      </w:r>
      <w:r w:rsidR="00C1513A" w:rsidRPr="00AA1737">
        <w:rPr>
          <w:rFonts w:asciiTheme="majorBidi" w:eastAsia="Calibri" w:hAnsiTheme="majorBidi" w:cstheme="majorBidi"/>
        </w:rPr>
        <w:fldChar w:fldCharType="end"/>
      </w:r>
      <w:r w:rsidRPr="00AA1737">
        <w:rPr>
          <w:rFonts w:asciiTheme="majorBidi" w:eastAsia="Calibri" w:hAnsiTheme="majorBidi" w:cstheme="majorBidi"/>
        </w:rPr>
        <w:t>, the kingdom went through a transformation in Ṭušpa, which can be tracked through the inscriptions of Minua</w:t>
      </w:r>
      <w:r w:rsidR="00C1513A" w:rsidRPr="00AA1737">
        <w:rPr>
          <w:rFonts w:asciiTheme="majorBidi" w:eastAsia="Calibri" w:hAnsiTheme="majorBidi" w:cstheme="majorBidi"/>
        </w:rPr>
        <w:fldChar w:fldCharType="begin"/>
      </w:r>
      <w:r w:rsidR="00C1513A" w:rsidRPr="00AA1737">
        <w:instrText xml:space="preserve"> XE "</w:instrText>
      </w:r>
      <w:r w:rsidR="00C1513A" w:rsidRPr="00AA1737">
        <w:rPr>
          <w:rFonts w:asciiTheme="majorBidi" w:eastAsia="Times New Roman" w:hAnsiTheme="majorBidi" w:cstheme="majorBidi"/>
        </w:rPr>
        <w:instrText>Minua</w:instrText>
      </w:r>
      <w:r w:rsidR="00C1513A" w:rsidRPr="00AA1737">
        <w:instrText xml:space="preserve">" </w:instrText>
      </w:r>
      <w:r w:rsidR="00C1513A" w:rsidRPr="00AA1737">
        <w:rPr>
          <w:rFonts w:asciiTheme="majorBidi" w:eastAsia="Calibri" w:hAnsiTheme="majorBidi" w:cstheme="majorBidi"/>
        </w:rPr>
        <w:fldChar w:fldCharType="end"/>
      </w:r>
      <w:r w:rsidRPr="00AA1737">
        <w:rPr>
          <w:rFonts w:asciiTheme="majorBidi" w:eastAsia="Calibri" w:hAnsiTheme="majorBidi" w:cstheme="majorBidi"/>
        </w:rPr>
        <w:t xml:space="preserve"> that give information about the construction of various structures such as the </w:t>
      </w:r>
      <w:r w:rsidR="001E2ED0" w:rsidRPr="00270549">
        <w:rPr>
          <w:rFonts w:asciiTheme="majorBidi" w:eastAsia="Calibri" w:hAnsiTheme="majorBidi" w:cstheme="majorBidi"/>
        </w:rPr>
        <w:t>"</w:t>
      </w:r>
      <w:r w:rsidRPr="00AA1737">
        <w:rPr>
          <w:rFonts w:asciiTheme="majorBidi" w:eastAsia="Calibri" w:hAnsiTheme="majorBidi" w:cstheme="majorBidi"/>
        </w:rPr>
        <w:t>siršini</w:t>
      </w:r>
      <w:r w:rsidR="001E2ED0" w:rsidRPr="00270549">
        <w:rPr>
          <w:rFonts w:asciiTheme="majorBidi" w:eastAsia="Calibri" w:hAnsiTheme="majorBidi" w:cstheme="majorBidi"/>
        </w:rPr>
        <w:t>"</w:t>
      </w:r>
      <w:r w:rsidR="00C1513A" w:rsidRPr="00AA1737">
        <w:rPr>
          <w:rFonts w:asciiTheme="majorBidi" w:eastAsia="Calibri" w:hAnsiTheme="majorBidi" w:cstheme="majorBidi"/>
        </w:rPr>
        <w:fldChar w:fldCharType="begin"/>
      </w:r>
      <w:r w:rsidR="00C1513A" w:rsidRPr="00AA1737">
        <w:instrText xml:space="preserve"> XE "</w:instrText>
      </w:r>
      <w:r w:rsidR="00C1513A" w:rsidRPr="00AA1737">
        <w:rPr>
          <w:rFonts w:asciiTheme="majorBidi" w:eastAsia="Times New Roman" w:hAnsiTheme="majorBidi" w:cstheme="majorBidi"/>
          <w:lang w:val="en-GB"/>
        </w:rPr>
        <w:instrText>siršini</w:instrText>
      </w:r>
      <w:r w:rsidR="00C1513A" w:rsidRPr="00AA1737">
        <w:instrText xml:space="preserve">" </w:instrText>
      </w:r>
      <w:r w:rsidR="00C1513A" w:rsidRPr="00AA1737">
        <w:rPr>
          <w:rFonts w:asciiTheme="majorBidi" w:eastAsia="Calibri" w:hAnsiTheme="majorBidi" w:cstheme="majorBidi"/>
        </w:rPr>
        <w:fldChar w:fldCharType="end"/>
      </w:r>
      <w:r w:rsidRPr="00AA1737">
        <w:rPr>
          <w:rFonts w:asciiTheme="majorBidi" w:eastAsia="Calibri" w:hAnsiTheme="majorBidi" w:cstheme="majorBidi"/>
        </w:rPr>
        <w:t xml:space="preserve">= stable for sacrificial animals, the </w:t>
      </w:r>
      <w:r w:rsidR="001E2ED0" w:rsidRPr="00270549">
        <w:rPr>
          <w:rFonts w:asciiTheme="majorBidi" w:eastAsia="Calibri" w:hAnsiTheme="majorBidi" w:cstheme="majorBidi"/>
        </w:rPr>
        <w:t>"</w:t>
      </w:r>
      <w:r w:rsidRPr="00AA1737">
        <w:rPr>
          <w:rFonts w:asciiTheme="majorBidi" w:eastAsia="Calibri" w:hAnsiTheme="majorBidi" w:cstheme="majorBidi"/>
        </w:rPr>
        <w:t>taramanili</w:t>
      </w:r>
      <w:r w:rsidR="001E2ED0" w:rsidRPr="00270549">
        <w:rPr>
          <w:rFonts w:asciiTheme="majorBidi" w:eastAsia="Calibri" w:hAnsiTheme="majorBidi" w:cstheme="majorBidi"/>
        </w:rPr>
        <w:t>"</w:t>
      </w:r>
      <w:r w:rsidRPr="00AA1737">
        <w:rPr>
          <w:rFonts w:asciiTheme="majorBidi" w:eastAsia="Calibri" w:hAnsiTheme="majorBidi" w:cstheme="majorBidi"/>
        </w:rPr>
        <w:t> = fountain, and ʾari = silo. Minua, whose</w:t>
      </w:r>
      <w:r w:rsidRPr="00F03A26">
        <w:rPr>
          <w:rFonts w:asciiTheme="majorBidi" w:eastAsia="Calibri" w:hAnsiTheme="majorBidi" w:cstheme="majorBidi"/>
        </w:rPr>
        <w:t xml:space="preserve"> power influenced the entire geography ruled by the kingdom during this period, built important citadels such as the Upper Anzaf on the routes reaching Ṭušpa. Minua was the main actor in major construction activities in Ṭušpa, such as the rock-cut tombs and the temple in the citadel, and the main transformation in the capital took place during his reign. The growth and transformation in settlement strategies of the kingdom during the period of Minua are illustrated in the large-scale planning of cities and citadels, the construction of irrigation canals for new settlements, as well as the construction of stelae in various regions as a means of propagation, and the emphasis on the Ḫaldi cult in the construction of temples and architectural complexes. His successors endured this grand construction program; the Argišti I</w:t>
      </w:r>
      <w:r w:rsidR="001F2587">
        <w:rPr>
          <w:rFonts w:asciiTheme="majorBidi" w:eastAsia="Calibri" w:hAnsiTheme="majorBidi" w:cstheme="majorBidi"/>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tomb, his chronicles inscribed on the façade of this monument, as well as the Analıkız</w:t>
      </w:r>
      <w:r w:rsidR="00647545">
        <w:rPr>
          <w:rFonts w:asciiTheme="majorBidi" w:eastAsia="Calibri" w:hAnsiTheme="majorBidi" w:cstheme="majorBidi"/>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Calibri" w:hAnsiTheme="majorBidi" w:cstheme="majorBidi"/>
        </w:rPr>
        <w:fldChar w:fldCharType="end"/>
      </w:r>
      <w:r w:rsidRPr="00F03A26">
        <w:rPr>
          <w:rFonts w:asciiTheme="majorBidi" w:eastAsia="Calibri" w:hAnsiTheme="majorBidi" w:cstheme="majorBidi"/>
        </w:rPr>
        <w:t> area incorporating the chronicles of Sarduri II</w:t>
      </w:r>
      <w:r w:rsidR="00C1513A">
        <w:rPr>
          <w:rFonts w:asciiTheme="majorBidi" w:eastAsia="Calibri" w:hAnsiTheme="majorBidi" w:cstheme="majorBidi"/>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which served as the archival memory of the kingdom could be evaluated within the context of this continuation. Apart from these monuments in the citadel, written records provide further insights into the relationships of the kings with Ṭušpa.</w:t>
      </w:r>
    </w:p>
    <w:p w14:paraId="3AD302F5" w14:textId="77777777" w:rsidR="003362B1" w:rsidRPr="00F03A26" w:rsidRDefault="003362B1" w:rsidP="00F03A26">
      <w:pPr>
        <w:jc w:val="both"/>
        <w:rPr>
          <w:rFonts w:asciiTheme="majorBidi" w:eastAsia="Calibri" w:hAnsiTheme="majorBidi" w:cstheme="majorBidi"/>
        </w:rPr>
      </w:pPr>
    </w:p>
    <w:p w14:paraId="60FCFC93" w14:textId="1AA9A6FB" w:rsidR="00792E01" w:rsidRPr="00F03A26" w:rsidRDefault="00792E01" w:rsidP="00F03A26">
      <w:pPr>
        <w:jc w:val="both"/>
        <w:rPr>
          <w:rFonts w:asciiTheme="majorBidi" w:eastAsia="Calibri" w:hAnsiTheme="majorBidi" w:cstheme="majorBidi"/>
        </w:rPr>
      </w:pPr>
      <w:r w:rsidRPr="00F03A26">
        <w:rPr>
          <w:rFonts w:asciiTheme="majorBidi" w:eastAsia="Calibri" w:hAnsiTheme="majorBidi" w:cstheme="majorBidi"/>
        </w:rPr>
        <w:lastRenderedPageBreak/>
        <w:t>Holistic evaluation of the Ṭušpa Rock, which served as the acropolis of capital Ṭušpa and the lower settlement extending towards its south and north, allows some plausible interpretations. The lower settlement to the north and south of the Van Fortress exhibits different characteristics. In particular, the administrative buildings excavated in the Van Fortress Mound</w:t>
      </w:r>
      <w:r w:rsidR="00C1513A">
        <w:rPr>
          <w:rFonts w:asciiTheme="majorBidi" w:eastAsia="Calibri" w:hAnsiTheme="majorBidi" w:cstheme="majorBidi"/>
        </w:rPr>
        <w:fldChar w:fldCharType="begin"/>
      </w:r>
      <w:r w:rsidR="00C1513A">
        <w:instrText xml:space="preserve"> XE "</w:instrText>
      </w:r>
      <w:r w:rsidR="00C1513A" w:rsidRPr="008D40AB">
        <w:rPr>
          <w:rFonts w:asciiTheme="majorBidi" w:eastAsia="Times New Roman" w:hAnsiTheme="majorBidi" w:cstheme="majorBidi"/>
          <w:lang w:val="en-GB"/>
        </w:rPr>
        <w:instrText>Van Fortress Mound</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the area where the column base of Išpuini</w:t>
      </w:r>
      <w:r w:rsidR="00C1513A">
        <w:rPr>
          <w:rFonts w:asciiTheme="majorBidi" w:eastAsia="Calibri" w:hAnsiTheme="majorBidi" w:cstheme="majorBidi"/>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Calibri" w:hAnsiTheme="majorBidi" w:cstheme="majorBidi"/>
        </w:rPr>
        <w:fldChar w:fldCharType="end"/>
      </w:r>
      <w:r w:rsidRPr="00F03A26">
        <w:rPr>
          <w:rFonts w:asciiTheme="majorBidi" w:eastAsia="Calibri" w:hAnsiTheme="majorBidi" w:cstheme="majorBidi"/>
        </w:rPr>
        <w:t> was unearthed, and the possibly royal structures in this area indicate that the north of the citadel was designated for architectural features and complexes in a royal and administrative function. The base of Išpuini</w:t>
      </w:r>
      <w:r w:rsidR="003362B1" w:rsidRPr="00F03A26">
        <w:rPr>
          <w:rFonts w:asciiTheme="majorBidi" w:eastAsia="Calibri" w:hAnsiTheme="majorBidi" w:cstheme="majorBidi"/>
        </w:rPr>
        <w:t xml:space="preserve"> </w:t>
      </w:r>
      <w:r w:rsidRPr="00F03A26">
        <w:rPr>
          <w:rFonts w:asciiTheme="majorBidi" w:eastAsia="Calibri" w:hAnsiTheme="majorBidi" w:cstheme="majorBidi"/>
        </w:rPr>
        <w:t>also suggests that the northern part of the Ṭušpa settlement extended towards the Kelepost/Altıntepe necropolis and that the Engüsner creek formed a natural border between the necropolis and the city.</w:t>
      </w:r>
    </w:p>
    <w:p w14:paraId="4407B3E6" w14:textId="77777777" w:rsidR="003362B1" w:rsidRPr="00F03A26" w:rsidRDefault="003362B1" w:rsidP="00F03A26">
      <w:pPr>
        <w:jc w:val="both"/>
        <w:rPr>
          <w:rFonts w:asciiTheme="majorBidi" w:eastAsia="Calibri" w:hAnsiTheme="majorBidi" w:cstheme="majorBidi"/>
        </w:rPr>
      </w:pPr>
    </w:p>
    <w:p w14:paraId="64728EE2" w14:textId="4D663BE8" w:rsidR="00792E01" w:rsidRPr="00F03A26" w:rsidRDefault="00792E01" w:rsidP="00F03A26">
      <w:pPr>
        <w:jc w:val="both"/>
        <w:rPr>
          <w:rFonts w:asciiTheme="majorBidi" w:eastAsia="Calibri" w:hAnsiTheme="majorBidi" w:cstheme="majorBidi"/>
        </w:rPr>
      </w:pPr>
      <w:r w:rsidRPr="00F03A26">
        <w:rPr>
          <w:rFonts w:asciiTheme="majorBidi" w:eastAsia="Calibri" w:hAnsiTheme="majorBidi" w:cstheme="majorBidi"/>
        </w:rPr>
        <w:t>Ṭušpa, as a city paying tribute to the Assyrian</w:t>
      </w:r>
      <w:r w:rsidR="001F2587">
        <w:rPr>
          <w:rFonts w:asciiTheme="majorBidi" w:eastAsia="Calibri" w:hAnsiTheme="majorBidi" w:cstheme="majorBidi"/>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Calibri" w:hAnsiTheme="majorBidi" w:cstheme="majorBidi"/>
        </w:rPr>
        <w:fldChar w:fldCharType="end"/>
      </w:r>
      <w:r w:rsidRPr="00F03A26">
        <w:rPr>
          <w:rFonts w:asciiTheme="majorBidi" w:eastAsia="Calibri" w:hAnsiTheme="majorBidi" w:cstheme="majorBidi"/>
        </w:rPr>
        <w:t> state before the establishment of the Urartian</w:t>
      </w:r>
      <w:r w:rsidR="00EA6C63">
        <w:rPr>
          <w:rFonts w:asciiTheme="majorBidi" w:eastAsia="Calibri" w:hAnsiTheme="majorBidi" w:cstheme="majorBidi"/>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Calibri" w:hAnsiTheme="majorBidi" w:cstheme="majorBidi"/>
        </w:rPr>
        <w:fldChar w:fldCharType="end"/>
      </w:r>
      <w:r w:rsidRPr="00F03A26">
        <w:rPr>
          <w:rFonts w:asciiTheme="majorBidi" w:eastAsia="Calibri" w:hAnsiTheme="majorBidi" w:cstheme="majorBidi"/>
        </w:rPr>
        <w:t> kingdom, had undergone fundamental transformations in administrative, bureaucratic, religious, and structural realms after the declaration of the kingdom. As the kingdom and its ideology gained power and evolved, the city began to expand towards the plain level, bringing together the parts of the settlement of Ṭušpa—the citadel and the lower settlement—into cohesion. The preference for Ṭušpa as the capital, which was a local center before the Urartian kingdom, was closely related to the settlement history of this area, its participation in regional networks, and its topographical location. The continuous history of settlement in Ṭušpa, from a local center to the never-changing capital of the kingdom that evolved with the needs and transformations of the state, can still be vividly tracked in this area.</w:t>
      </w:r>
    </w:p>
    <w:p w14:paraId="5B64F75D" w14:textId="3B3A7784" w:rsidR="00792E01" w:rsidRPr="00F03A26" w:rsidRDefault="00792E01" w:rsidP="00F03A26">
      <w:pPr>
        <w:spacing w:before="100" w:beforeAutospacing="1" w:after="100" w:afterAutospacing="1" w:line="276" w:lineRule="auto"/>
        <w:jc w:val="both"/>
        <w:rPr>
          <w:rFonts w:asciiTheme="majorBidi" w:hAnsiTheme="majorBidi" w:cstheme="majorBidi"/>
          <w:lang w:val="en-GB"/>
        </w:rPr>
        <w:sectPr w:rsidR="00792E01" w:rsidRPr="00F03A26" w:rsidSect="007F3733">
          <w:pgSz w:w="11909" w:h="16834"/>
          <w:pgMar w:top="1440" w:right="1440" w:bottom="1440" w:left="1440" w:header="720" w:footer="720" w:gutter="0"/>
          <w:cols w:space="708"/>
        </w:sectPr>
      </w:pPr>
    </w:p>
    <w:p w14:paraId="27DFCAB9" w14:textId="6A74EB59" w:rsidR="00FF0A5F" w:rsidRPr="00F03A26" w:rsidRDefault="00FF0A5F" w:rsidP="00F03A26">
      <w:pPr>
        <w:spacing w:before="100" w:beforeAutospacing="1" w:after="100" w:afterAutospacing="1" w:line="276" w:lineRule="auto"/>
        <w:jc w:val="both"/>
        <w:rPr>
          <w:rFonts w:asciiTheme="majorBidi" w:hAnsiTheme="majorBidi" w:cstheme="majorBidi"/>
          <w:lang w:val="en-GB"/>
        </w:rPr>
      </w:pPr>
    </w:p>
    <w:p w14:paraId="65BDE474" w14:textId="7F9FB8C2" w:rsidR="00FF0A5F" w:rsidRPr="00F03A26" w:rsidRDefault="00FF0A5F" w:rsidP="00860408">
      <w:pPr>
        <w:pStyle w:val="Balk1"/>
        <w:rPr>
          <w:rFonts w:eastAsia="Times New Roman"/>
        </w:rPr>
      </w:pPr>
      <w:bookmarkStart w:id="33" w:name="_Toc132072512"/>
      <w:bookmarkStart w:id="34" w:name="_Toc173231194"/>
      <w:r w:rsidRPr="00F03A26">
        <w:rPr>
          <w:rFonts w:eastAsia="Times New Roman"/>
        </w:rPr>
        <w:t xml:space="preserve">CHAPTER </w:t>
      </w:r>
      <w:bookmarkEnd w:id="33"/>
      <w:r w:rsidR="007968FF" w:rsidRPr="00F03A26">
        <w:rPr>
          <w:rFonts w:eastAsia="Times New Roman"/>
        </w:rPr>
        <w:t>III</w:t>
      </w:r>
      <w:bookmarkEnd w:id="34"/>
    </w:p>
    <w:p w14:paraId="40F23286" w14:textId="5463E743" w:rsidR="00FF0A5F" w:rsidRPr="00F03A26" w:rsidRDefault="00FF0A5F" w:rsidP="00F03A26">
      <w:pPr>
        <w:pStyle w:val="KonuBal"/>
        <w:spacing w:line="240" w:lineRule="auto"/>
        <w:jc w:val="both"/>
        <w:outlineLvl w:val="0"/>
        <w:rPr>
          <w:rFonts w:asciiTheme="majorBidi" w:eastAsia="Times New Roman" w:hAnsiTheme="majorBidi" w:cstheme="majorBidi"/>
          <w:b/>
          <w:bCs/>
          <w:sz w:val="32"/>
          <w:szCs w:val="32"/>
          <w:lang w:val="en-GB"/>
        </w:rPr>
      </w:pPr>
      <w:bookmarkStart w:id="35" w:name="_Toc132072513"/>
      <w:bookmarkStart w:id="36" w:name="_Toc173231195"/>
      <w:r w:rsidRPr="00F03A26">
        <w:rPr>
          <w:rFonts w:asciiTheme="majorBidi" w:eastAsia="Times New Roman" w:hAnsiTheme="majorBidi" w:cstheme="majorBidi"/>
          <w:b/>
          <w:bCs/>
          <w:sz w:val="32"/>
          <w:szCs w:val="32"/>
          <w:lang w:val="en-GB"/>
        </w:rPr>
        <w:t xml:space="preserve">3-Historical Topography of </w:t>
      </w:r>
      <w:r w:rsidR="00427476" w:rsidRPr="00F03A26">
        <w:rPr>
          <w:rFonts w:asciiTheme="majorBidi" w:eastAsia="Times New Roman" w:hAnsiTheme="majorBidi" w:cstheme="majorBidi"/>
          <w:b/>
          <w:bCs/>
          <w:sz w:val="32"/>
          <w:szCs w:val="32"/>
          <w:lang w:val="en-GB"/>
        </w:rPr>
        <w:t xml:space="preserve">the </w:t>
      </w:r>
      <w:r w:rsidRPr="00F03A26">
        <w:rPr>
          <w:rFonts w:asciiTheme="majorBidi" w:eastAsia="Times New Roman" w:hAnsiTheme="majorBidi" w:cstheme="majorBidi"/>
          <w:b/>
          <w:bCs/>
          <w:sz w:val="32"/>
          <w:szCs w:val="32"/>
          <w:lang w:val="en-GB"/>
        </w:rPr>
        <w:t>Van Fortress</w:t>
      </w:r>
      <w:bookmarkEnd w:id="35"/>
      <w:bookmarkEnd w:id="36"/>
    </w:p>
    <w:p w14:paraId="2689063D" w14:textId="77777777" w:rsidR="00FF0A5F" w:rsidRPr="00F03A26" w:rsidRDefault="00FF0A5F" w:rsidP="00F03A26">
      <w:pPr>
        <w:jc w:val="both"/>
        <w:rPr>
          <w:rFonts w:asciiTheme="majorBidi" w:eastAsia="Times New Roman" w:hAnsiTheme="majorBidi" w:cstheme="majorBidi"/>
          <w:b/>
          <w:bCs/>
          <w:lang w:val="en-GB"/>
        </w:rPr>
      </w:pPr>
      <w:r w:rsidRPr="00F03A26">
        <w:rPr>
          <w:rFonts w:asciiTheme="majorBidi" w:eastAsia="Times New Roman" w:hAnsiTheme="majorBidi" w:cstheme="majorBidi"/>
          <w:b/>
          <w:bCs/>
          <w:lang w:val="en-GB"/>
        </w:rPr>
        <w:t>Erkan Konyar</w:t>
      </w:r>
    </w:p>
    <w:p w14:paraId="71C1178B" w14:textId="77777777" w:rsidR="00FF0A5F" w:rsidRPr="00F03A26" w:rsidRDefault="00FF0A5F" w:rsidP="00F03A26">
      <w:pPr>
        <w:jc w:val="both"/>
        <w:rPr>
          <w:rFonts w:asciiTheme="majorBidi" w:eastAsia="Times New Roman" w:hAnsiTheme="majorBidi" w:cstheme="majorBidi"/>
          <w:lang w:val="en-GB"/>
        </w:rPr>
      </w:pPr>
    </w:p>
    <w:p w14:paraId="56BA1AE8" w14:textId="17B58964" w:rsidR="006B5F19" w:rsidRPr="00F03A26" w:rsidRDefault="006B5F19" w:rsidP="00F03A26">
      <w:pPr>
        <w:jc w:val="both"/>
        <w:rPr>
          <w:rFonts w:asciiTheme="majorBidi" w:eastAsia="Times New Roman" w:hAnsiTheme="majorBidi" w:cstheme="majorBidi"/>
          <w:iCs/>
        </w:rPr>
      </w:pPr>
      <w:r w:rsidRPr="00F03A26">
        <w:rPr>
          <w:rFonts w:asciiTheme="majorBidi" w:eastAsia="Times New Roman" w:hAnsiTheme="majorBidi" w:cstheme="majorBidi"/>
          <w:b/>
          <w:bCs/>
          <w:iCs/>
        </w:rPr>
        <w:t>Abstract</w:t>
      </w:r>
      <w:r w:rsidRPr="00F03A26">
        <w:rPr>
          <w:rFonts w:asciiTheme="majorBidi" w:eastAsia="Times New Roman" w:hAnsiTheme="majorBidi" w:cstheme="majorBidi"/>
          <w:iCs/>
        </w:rPr>
        <w:t xml:space="preserve">: </w:t>
      </w:r>
      <w:r w:rsidRPr="00EB2684">
        <w:rPr>
          <w:rFonts w:asciiTheme="majorBidi" w:eastAsia="Times New Roman" w:hAnsiTheme="majorBidi" w:cstheme="majorBidi"/>
          <w:i/>
        </w:rPr>
        <w:t>In situ</w:t>
      </w:r>
      <w:r w:rsidRPr="00F03A26">
        <w:rPr>
          <w:rFonts w:asciiTheme="majorBidi" w:eastAsia="Times New Roman" w:hAnsiTheme="majorBidi" w:cstheme="majorBidi"/>
          <w:iCs/>
        </w:rPr>
        <w:t xml:space="preserve"> inscriptions in the Ṭušpa citadel have been dated to Sarduri I</w:t>
      </w:r>
      <w:r w:rsidR="00C1513A">
        <w:rPr>
          <w:rFonts w:asciiTheme="majorBidi" w:eastAsia="Times New Roman" w:hAnsiTheme="majorBidi" w:cstheme="majorBidi"/>
          <w:iCs/>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heme="majorBidi" w:eastAsia="Times New Roman" w:hAnsiTheme="majorBidi" w:cstheme="majorBidi"/>
          <w:iCs/>
        </w:rPr>
        <w:fldChar w:fldCharType="end"/>
      </w:r>
      <w:r w:rsidRPr="00F03A26">
        <w:rPr>
          <w:rFonts w:asciiTheme="majorBidi" w:eastAsia="Times New Roman" w:hAnsiTheme="majorBidi" w:cstheme="majorBidi"/>
          <w:iCs/>
        </w:rPr>
        <w:t>, Išpuini</w:t>
      </w:r>
      <w:r w:rsidR="00C1513A">
        <w:rPr>
          <w:rFonts w:asciiTheme="majorBidi" w:eastAsia="Times New Roman" w:hAnsiTheme="majorBidi" w:cstheme="majorBidi"/>
          <w:iCs/>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Times New Roman" w:hAnsiTheme="majorBidi" w:cstheme="majorBidi"/>
          <w:iCs/>
        </w:rPr>
        <w:fldChar w:fldCharType="end"/>
      </w:r>
      <w:r w:rsidRPr="00F03A26">
        <w:rPr>
          <w:rFonts w:asciiTheme="majorBidi" w:eastAsia="Times New Roman" w:hAnsiTheme="majorBidi" w:cstheme="majorBidi"/>
          <w:iCs/>
        </w:rPr>
        <w:t>, Minua</w:t>
      </w:r>
      <w:r w:rsidR="00C1513A">
        <w:rPr>
          <w:rFonts w:asciiTheme="majorBidi" w:eastAsia="Times New Roman" w:hAnsiTheme="majorBidi" w:cstheme="majorBidi"/>
          <w:iCs/>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iCs/>
        </w:rPr>
        <w:fldChar w:fldCharType="end"/>
      </w:r>
      <w:r w:rsidRPr="00F03A26">
        <w:rPr>
          <w:rFonts w:asciiTheme="majorBidi" w:eastAsia="Times New Roman" w:hAnsiTheme="majorBidi" w:cstheme="majorBidi"/>
          <w:iCs/>
        </w:rPr>
        <w:t>, Argišti I</w:t>
      </w:r>
      <w:r w:rsidR="001F2587">
        <w:rPr>
          <w:rFonts w:asciiTheme="majorBidi" w:eastAsia="Times New Roman" w:hAnsiTheme="majorBidi" w:cstheme="majorBidi"/>
          <w:iCs/>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iCs/>
        </w:rPr>
        <w:fldChar w:fldCharType="end"/>
      </w:r>
      <w:r w:rsidRPr="00F03A26">
        <w:rPr>
          <w:rFonts w:asciiTheme="majorBidi" w:eastAsia="Times New Roman" w:hAnsiTheme="majorBidi" w:cstheme="majorBidi"/>
          <w:iCs/>
        </w:rPr>
        <w:t>, and Sarduri II</w:t>
      </w:r>
      <w:r w:rsidR="00C1513A">
        <w:rPr>
          <w:rFonts w:asciiTheme="majorBidi" w:eastAsia="Times New Roman" w:hAnsiTheme="majorBidi" w:cstheme="majorBidi"/>
          <w:iCs/>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Times New Roman" w:hAnsiTheme="majorBidi" w:cstheme="majorBidi"/>
          <w:iCs/>
        </w:rPr>
        <w:fldChar w:fldCharType="end"/>
      </w:r>
      <w:r w:rsidRPr="00F03A26">
        <w:rPr>
          <w:rFonts w:asciiTheme="majorBidi" w:eastAsia="Times New Roman" w:hAnsiTheme="majorBidi" w:cstheme="majorBidi"/>
          <w:iCs/>
        </w:rPr>
        <w:t>. The timeline of which citadel areas were used at which time remains a matter of conjecture. Sardurburç</w:t>
      </w:r>
      <w:r w:rsidR="00647545">
        <w:rPr>
          <w:rFonts w:asciiTheme="majorBidi" w:eastAsia="Times New Roman" w:hAnsiTheme="majorBidi" w:cstheme="majorBidi"/>
          <w:iCs/>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iCs/>
        </w:rPr>
        <w:fldChar w:fldCharType="end"/>
      </w:r>
      <w:r w:rsidRPr="00F03A26">
        <w:rPr>
          <w:rFonts w:asciiTheme="majorBidi" w:eastAsia="Times New Roman" w:hAnsiTheme="majorBidi" w:cstheme="majorBidi"/>
          <w:iCs/>
        </w:rPr>
        <w:t>, the structure attributed to Sarduri I</w:t>
      </w:r>
      <w:r w:rsidR="005C68BB">
        <w:rPr>
          <w:rFonts w:asciiTheme="majorBidi" w:eastAsia="Times New Roman" w:hAnsiTheme="majorBidi" w:cstheme="majorBidi"/>
          <w:iCs/>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Times New Roman" w:hAnsiTheme="majorBidi" w:cstheme="majorBidi"/>
          <w:iCs/>
        </w:rPr>
        <w:fldChar w:fldCharType="end"/>
      </w:r>
      <w:r w:rsidRPr="00F03A26">
        <w:rPr>
          <w:rFonts w:asciiTheme="majorBidi" w:eastAsia="Times New Roman" w:hAnsiTheme="majorBidi" w:cstheme="majorBidi"/>
          <w:iCs/>
        </w:rPr>
        <w:t xml:space="preserve"> at the western end of the rock, appears to be the earliest royal investment. However, written evidence of construction in the easternmost part of the Rock dates to the Išpuini period. So, it is challenging to suggest periodic usage areas of the Rock.</w:t>
      </w:r>
    </w:p>
    <w:p w14:paraId="3CA72B05" w14:textId="77777777" w:rsidR="006B5F19" w:rsidRPr="00F03A26" w:rsidRDefault="006B5F19" w:rsidP="00F03A26">
      <w:pPr>
        <w:jc w:val="both"/>
        <w:rPr>
          <w:rFonts w:asciiTheme="majorBidi" w:eastAsia="Times New Roman" w:hAnsiTheme="majorBidi" w:cstheme="majorBidi"/>
          <w:iCs/>
        </w:rPr>
      </w:pPr>
    </w:p>
    <w:p w14:paraId="742A3881" w14:textId="65316BB2" w:rsidR="006B5F19" w:rsidRPr="00F03A26" w:rsidRDefault="00DB682A" w:rsidP="00F03A26">
      <w:pPr>
        <w:jc w:val="both"/>
        <w:rPr>
          <w:rFonts w:asciiTheme="majorBidi" w:eastAsia="Times New Roman" w:hAnsiTheme="majorBidi" w:cstheme="majorBidi"/>
          <w:iCs/>
        </w:rPr>
      </w:pPr>
      <w:r w:rsidRPr="00F03A26">
        <w:rPr>
          <w:rFonts w:asciiTheme="majorBidi" w:eastAsia="Times New Roman" w:hAnsiTheme="majorBidi" w:cstheme="majorBidi"/>
          <w:i/>
          <w:noProof/>
        </w:rPr>
        <w:drawing>
          <wp:anchor distT="0" distB="0" distL="114300" distR="114300" simplePos="0" relativeHeight="251854848" behindDoc="0" locked="0" layoutInCell="1" hidden="0" allowOverlap="1" wp14:anchorId="63802963" wp14:editId="4CDF3A67">
            <wp:simplePos x="0" y="0"/>
            <wp:positionH relativeFrom="margin">
              <wp:align>center</wp:align>
            </wp:positionH>
            <wp:positionV relativeFrom="margin">
              <wp:posOffset>4167628</wp:posOffset>
            </wp:positionV>
            <wp:extent cx="5756910" cy="2812415"/>
            <wp:effectExtent l="0" t="0" r="0" b="6985"/>
            <wp:wrapSquare wrapText="bothSides" distT="0" distB="0" distL="114300" distR="114300"/>
            <wp:docPr id="16" name="image3.jpg" descr="su, açık hava, dağ, göl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3.jpg" descr="su, açık hava, dağ, göl içeren bir resim&#10;&#10;Açıklama otomatik olarak oluşturuldu"/>
                    <pic:cNvPicPr preferRelativeResize="0"/>
                  </pic:nvPicPr>
                  <pic:blipFill>
                    <a:blip r:embed="rId49" cstate="email">
                      <a:extLst>
                        <a:ext uri="{28A0092B-C50C-407E-A947-70E740481C1C}">
                          <a14:useLocalDpi xmlns:a14="http://schemas.microsoft.com/office/drawing/2010/main"/>
                        </a:ext>
                      </a:extLst>
                    </a:blip>
                    <a:srcRect/>
                    <a:stretch>
                      <a:fillRect/>
                    </a:stretch>
                  </pic:blipFill>
                  <pic:spPr>
                    <a:xfrm>
                      <a:off x="0" y="0"/>
                      <a:ext cx="5756910" cy="2812415"/>
                    </a:xfrm>
                    <a:prstGeom prst="rect">
                      <a:avLst/>
                    </a:prstGeom>
                    <a:ln/>
                  </pic:spPr>
                </pic:pic>
              </a:graphicData>
            </a:graphic>
          </wp:anchor>
        </w:drawing>
      </w:r>
      <w:r w:rsidR="006B5F19" w:rsidRPr="00F03A26">
        <w:rPr>
          <w:rFonts w:asciiTheme="majorBidi" w:eastAsia="Times New Roman" w:hAnsiTheme="majorBidi" w:cstheme="majorBidi"/>
          <w:iCs/>
        </w:rPr>
        <w:t>On the other hand, Rocky's most active use took place during the Minua</w:t>
      </w:r>
      <w:r w:rsidR="00C1513A">
        <w:rPr>
          <w:rFonts w:asciiTheme="majorBidi" w:eastAsia="Times New Roman" w:hAnsiTheme="majorBidi" w:cstheme="majorBidi"/>
          <w:iCs/>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iCs/>
        </w:rPr>
        <w:fldChar w:fldCharType="end"/>
      </w:r>
      <w:r w:rsidR="006B5F19" w:rsidRPr="00F03A26">
        <w:rPr>
          <w:rFonts w:asciiTheme="majorBidi" w:eastAsia="Times New Roman" w:hAnsiTheme="majorBidi" w:cstheme="majorBidi"/>
          <w:iCs/>
        </w:rPr>
        <w:t xml:space="preserve"> period.  We can see the construction on the northern slopes carried out under Minua (as well as other major royal projects). The construction technique of the walls surrounding the section called İç Kale</w:t>
      </w:r>
      <w:r w:rsidR="00647545">
        <w:rPr>
          <w:rFonts w:asciiTheme="majorBidi" w:eastAsia="Times New Roman" w:hAnsiTheme="majorBidi" w:cstheme="majorBidi"/>
          <w:iCs/>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iCs/>
        </w:rPr>
        <w:fldChar w:fldCharType="end"/>
      </w:r>
      <w:r w:rsidR="006B5F19" w:rsidRPr="00F03A26">
        <w:rPr>
          <w:rFonts w:asciiTheme="majorBidi" w:eastAsia="Times New Roman" w:hAnsiTheme="majorBidi" w:cstheme="majorBidi"/>
          <w:iCs/>
        </w:rPr>
        <w:t>/Inner Citadel</w:t>
      </w:r>
      <w:r w:rsidR="00C1513A">
        <w:rPr>
          <w:rFonts w:asciiTheme="majorBidi" w:eastAsia="Times New Roman" w:hAnsiTheme="majorBidi" w:cstheme="majorBidi"/>
          <w:iCs/>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iCs/>
        </w:rPr>
        <w:fldChar w:fldCharType="end"/>
      </w:r>
      <w:r w:rsidR="006B5F19" w:rsidRPr="00F03A26">
        <w:rPr>
          <w:rFonts w:asciiTheme="majorBidi" w:eastAsia="Times New Roman" w:hAnsiTheme="majorBidi" w:cstheme="majorBidi"/>
          <w:iCs/>
        </w:rPr>
        <w:t> and the wall remains of the Old Palace</w:t>
      </w:r>
      <w:r w:rsidR="00C1513A">
        <w:rPr>
          <w:rFonts w:asciiTheme="majorBidi" w:eastAsia="Times New Roman" w:hAnsiTheme="majorBidi" w:cstheme="majorBidi"/>
          <w:iCs/>
        </w:rPr>
        <w:fldChar w:fldCharType="begin"/>
      </w:r>
      <w:r w:rsidR="00C1513A">
        <w:instrText xml:space="preserve"> XE "</w:instrText>
      </w:r>
      <w:r w:rsidR="00C1513A" w:rsidRPr="009746DD">
        <w:rPr>
          <w:rFonts w:asciiTheme="majorBidi" w:eastAsia="Times New Roman" w:hAnsiTheme="majorBidi" w:cstheme="majorBidi"/>
          <w:iCs/>
        </w:rPr>
        <w:instrText>Old Palace</w:instrText>
      </w:r>
      <w:r w:rsidR="00C1513A">
        <w:instrText xml:space="preserve">" </w:instrText>
      </w:r>
      <w:r w:rsidR="00C1513A">
        <w:rPr>
          <w:rFonts w:asciiTheme="majorBidi" w:eastAsia="Times New Roman" w:hAnsiTheme="majorBidi" w:cstheme="majorBidi"/>
          <w:iCs/>
        </w:rPr>
        <w:fldChar w:fldCharType="end"/>
      </w:r>
      <w:r w:rsidR="006B5F19" w:rsidRPr="00F03A26">
        <w:rPr>
          <w:rFonts w:asciiTheme="majorBidi" w:eastAsia="Times New Roman" w:hAnsiTheme="majorBidi" w:cstheme="majorBidi"/>
          <w:iCs/>
        </w:rPr>
        <w:t> within the citadel show the same period features and reflect the masonry of the Minua period.  When we examine the chronology of the buildings from the inscriptions, it appears that the construction of the monumental structures came to an end at the Sarduri II</w:t>
      </w:r>
      <w:r w:rsidR="00C1513A">
        <w:rPr>
          <w:rFonts w:asciiTheme="majorBidi" w:eastAsia="Times New Roman" w:hAnsiTheme="majorBidi" w:cstheme="majorBidi"/>
          <w:iCs/>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Times New Roman" w:hAnsiTheme="majorBidi" w:cstheme="majorBidi"/>
          <w:iCs/>
        </w:rPr>
        <w:fldChar w:fldCharType="end"/>
      </w:r>
      <w:r w:rsidR="006B5F19" w:rsidRPr="00F03A26">
        <w:rPr>
          <w:rFonts w:asciiTheme="majorBidi" w:eastAsia="Times New Roman" w:hAnsiTheme="majorBidi" w:cstheme="majorBidi"/>
          <w:iCs/>
        </w:rPr>
        <w:t>; however, data obtained from the lower settlement of the capital Ṭušpa show that the settlement was inhabited and active until the eventual collapse of the kingdom.</w:t>
      </w:r>
    </w:p>
    <w:p w14:paraId="12C696F7" w14:textId="3211853E" w:rsidR="006B5F19" w:rsidRPr="00F03A26" w:rsidRDefault="006B5F19" w:rsidP="00F03A26">
      <w:pPr>
        <w:jc w:val="both"/>
        <w:rPr>
          <w:rFonts w:asciiTheme="majorBidi" w:eastAsia="Times New Roman" w:hAnsiTheme="majorBidi" w:cstheme="majorBidi"/>
          <w:iCs/>
          <w:lang w:val="en-GB"/>
        </w:rPr>
      </w:pPr>
    </w:p>
    <w:p w14:paraId="679A3CFF" w14:textId="782A84B1" w:rsidR="006B5F19" w:rsidRPr="00F03A26" w:rsidRDefault="006B5F19" w:rsidP="00F03A26">
      <w:pPr>
        <w:jc w:val="both"/>
        <w:rPr>
          <w:rFonts w:asciiTheme="majorBidi" w:eastAsia="Times New Roman" w:hAnsiTheme="majorBidi" w:cstheme="majorBidi"/>
          <w:i/>
          <w:lang w:val="en-GB"/>
        </w:rPr>
      </w:pPr>
      <w:r w:rsidRPr="00F03A26">
        <w:rPr>
          <w:rFonts w:asciiTheme="majorBidi" w:eastAsia="Times New Roman" w:hAnsiTheme="majorBidi" w:cstheme="majorBidi"/>
          <w:iCs/>
        </w:rPr>
        <w:t>Fig. 1 The capital city of Ṭušpa</w:t>
      </w:r>
      <w:r w:rsidRPr="00F03A26">
        <w:rPr>
          <w:rFonts w:asciiTheme="majorBidi" w:eastAsia="Times New Roman" w:hAnsiTheme="majorBidi" w:cstheme="majorBidi"/>
          <w:i/>
          <w:iCs/>
        </w:rPr>
        <w:t>/</w:t>
      </w:r>
      <w:r w:rsidRPr="00F03A26">
        <w:rPr>
          <w:rFonts w:asciiTheme="majorBidi" w:eastAsia="Times New Roman" w:hAnsiTheme="majorBidi" w:cstheme="majorBidi"/>
          <w:iCs/>
        </w:rPr>
        <w:t>Van Rock</w:t>
      </w:r>
      <w:r w:rsidR="001F2587">
        <w:rPr>
          <w:rFonts w:asciiTheme="majorBidi" w:eastAsia="Times New Roman" w:hAnsiTheme="majorBidi" w:cstheme="majorBidi"/>
          <w:iCs/>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heme="majorBidi" w:eastAsia="Times New Roman" w:hAnsiTheme="majorBidi" w:cstheme="majorBidi"/>
          <w:iCs/>
        </w:rPr>
        <w:fldChar w:fldCharType="end"/>
      </w:r>
      <w:r w:rsidRPr="00F03A26">
        <w:rPr>
          <w:rFonts w:asciiTheme="majorBidi" w:eastAsia="Times New Roman" w:hAnsiTheme="majorBidi" w:cstheme="majorBidi"/>
          <w:iCs/>
        </w:rPr>
        <w:t> has a very steep topography from the south. For this reason, there is no structuring in this area except for the walls/platforms and rock tombs.</w:t>
      </w:r>
    </w:p>
    <w:p w14:paraId="2322F67A" w14:textId="77777777" w:rsidR="006B5F19" w:rsidRPr="00F03A26" w:rsidRDefault="006B5F19" w:rsidP="00F03A26">
      <w:pPr>
        <w:jc w:val="both"/>
        <w:rPr>
          <w:rFonts w:asciiTheme="majorBidi" w:eastAsia="Times New Roman" w:hAnsiTheme="majorBidi" w:cstheme="majorBidi"/>
          <w:lang w:val="en-GB"/>
        </w:rPr>
      </w:pPr>
    </w:p>
    <w:p w14:paraId="0F56791F" w14:textId="77777777" w:rsidR="006B5F19" w:rsidRPr="00F03A26" w:rsidRDefault="006B5F19" w:rsidP="00F03A26">
      <w:pPr>
        <w:keepNext/>
        <w:keepLines/>
        <w:spacing w:before="40"/>
        <w:jc w:val="both"/>
        <w:outlineLvl w:val="1"/>
        <w:rPr>
          <w:rFonts w:asciiTheme="majorBidi" w:eastAsia="Times New Roman" w:hAnsiTheme="majorBidi" w:cstheme="majorBidi"/>
          <w:b/>
          <w:bCs/>
          <w:sz w:val="28"/>
          <w:szCs w:val="28"/>
          <w:lang w:val="en-GB"/>
        </w:rPr>
      </w:pPr>
      <w:bookmarkStart w:id="37" w:name="_Toc173231196"/>
      <w:r w:rsidRPr="00F03A26">
        <w:rPr>
          <w:rFonts w:asciiTheme="majorBidi" w:eastAsia="Times New Roman" w:hAnsiTheme="majorBidi" w:cstheme="majorBidi"/>
          <w:b/>
          <w:bCs/>
          <w:sz w:val="28"/>
          <w:szCs w:val="28"/>
          <w:lang w:val="en-GB"/>
        </w:rPr>
        <w:t>3.1. Introduction</w:t>
      </w:r>
      <w:bookmarkEnd w:id="37"/>
    </w:p>
    <w:p w14:paraId="037142BA" w14:textId="55AE8E1D"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The </w:t>
      </w:r>
      <w:r w:rsidR="00C1513A" w:rsidRPr="00F03A26">
        <w:rPr>
          <w:rFonts w:asciiTheme="majorBidi" w:eastAsia="Times New Roman" w:hAnsiTheme="majorBidi" w:cstheme="majorBidi"/>
          <w:lang w:val="en-GB"/>
        </w:rPr>
        <w:t>Ṭušpa</w:t>
      </w:r>
      <w:r w:rsidR="00C1513A">
        <w:rPr>
          <w:rFonts w:asciiTheme="majorBidi" w:eastAsia="Times New Roman" w:hAnsiTheme="majorBidi" w:cstheme="majorBidi"/>
          <w:lang w:val="en-GB"/>
        </w:rPr>
        <w:t>/</w:t>
      </w:r>
      <w:r w:rsidRPr="00F03A26">
        <w:rPr>
          <w:rFonts w:asciiTheme="majorBidi" w:eastAsia="Times New Roman" w:hAnsiTheme="majorBidi" w:cstheme="majorBidi"/>
          <w:lang w:val="en-GB"/>
        </w:rPr>
        <w:t>Van Rock</w:t>
      </w:r>
      <w:r w:rsidR="00C1513A">
        <w:rPr>
          <w:rFonts w:asciiTheme="majorBidi" w:eastAsia="Times New Roman" w:hAnsiTheme="majorBidi" w:cstheme="majorBidi"/>
          <w:lang w:val="en-GB"/>
        </w:rPr>
        <w:fldChar w:fldCharType="begin"/>
      </w:r>
      <w:r w:rsidR="00C1513A">
        <w:instrText xml:space="preserve"> XE "</w:instrText>
      </w:r>
      <w:r w:rsidR="00C1513A" w:rsidRPr="00E2560E">
        <w:rPr>
          <w:rFonts w:asciiTheme="majorBidi" w:eastAsia="Times New Roman" w:hAnsiTheme="majorBidi" w:cstheme="majorBidi"/>
          <w:lang w:val="en-GB"/>
        </w:rPr>
        <w:instrText>Ṭušpa/Van Rock</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which rises from the middle of a plain on the eastern shore of Van Lake</w:t>
      </w:r>
      <w:r w:rsidR="001F2587">
        <w:rPr>
          <w:rFonts w:asciiTheme="majorBidi" w:eastAsia="Times New Roman" w:hAnsiTheme="majorBidi" w:cstheme="majorBidi"/>
          <w:lang w:val="en-GB"/>
        </w:rPr>
        <w:fldChar w:fldCharType="begin"/>
      </w:r>
      <w:r w:rsidR="001F2587">
        <w:instrText xml:space="preserve"> XE "</w:instrText>
      </w:r>
      <w:r w:rsidR="001F2587" w:rsidRPr="00510CB9">
        <w:rPr>
          <w:rFonts w:asciiTheme="majorBidi" w:hAnsiTheme="majorBidi" w:cstheme="majorBidi"/>
        </w:rPr>
        <w:instrText>Van Lake</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has a majesty visible even from afar. This </w:t>
      </w:r>
      <w:r w:rsidRPr="00F03A26">
        <w:rPr>
          <w:rFonts w:asciiTheme="majorBidi" w:eastAsia="Times New Roman" w:hAnsiTheme="majorBidi" w:cstheme="majorBidi"/>
          <w:lang w:val="en-GB"/>
        </w:rPr>
        <w:lastRenderedPageBreak/>
        <w:t>limestone rock on which Ṭušpa was built spans approximately 1350 m along the east-west axis; in some sections, it can be as comprehensive as 200 m and rise to 100 m. The rock hosts a series of relatively low terraces on its north side and ends in a cliff on its south (Fig. 1-3).</w:t>
      </w:r>
    </w:p>
    <w:p w14:paraId="2B199058" w14:textId="77777777" w:rsidR="006B5F19" w:rsidRPr="00F03A26" w:rsidRDefault="006B5F19" w:rsidP="00F03A26">
      <w:pPr>
        <w:jc w:val="both"/>
        <w:rPr>
          <w:rFonts w:asciiTheme="majorBidi" w:eastAsia="Times New Roman" w:hAnsiTheme="majorBidi" w:cstheme="majorBidi"/>
          <w:lang w:val="en-GB"/>
        </w:rPr>
      </w:pPr>
    </w:p>
    <w:p w14:paraId="0EC35158" w14:textId="6B1B030E"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Although the Ṭušpa</w:t>
      </w:r>
      <w:r w:rsidR="00C1513A">
        <w:rPr>
          <w:rFonts w:asciiTheme="majorBidi" w:eastAsia="Times New Roman" w:hAnsiTheme="majorBidi" w:cstheme="majorBidi"/>
          <w:lang w:val="en-GB"/>
        </w:rPr>
        <w:t>/Van</w:t>
      </w:r>
      <w:r w:rsidRPr="00F03A26">
        <w:rPr>
          <w:rFonts w:asciiTheme="majorBidi" w:eastAsia="Times New Roman" w:hAnsiTheme="majorBidi" w:cstheme="majorBidi"/>
          <w:lang w:val="en-GB"/>
        </w:rPr>
        <w:t xml:space="preserve"> Rock</w:t>
      </w:r>
      <w:r w:rsidR="00C1513A">
        <w:rPr>
          <w:rFonts w:asciiTheme="majorBidi" w:eastAsia="Times New Roman" w:hAnsiTheme="majorBidi" w:cstheme="majorBidi"/>
          <w:lang w:val="en-GB"/>
        </w:rPr>
        <w:fldChar w:fldCharType="begin"/>
      </w:r>
      <w:r w:rsidR="00C1513A">
        <w:instrText xml:space="preserve"> XE "</w:instrText>
      </w:r>
      <w:r w:rsidR="00C1513A" w:rsidRPr="00843109">
        <w:rPr>
          <w:rFonts w:asciiTheme="majorBidi" w:eastAsia="Times New Roman" w:hAnsiTheme="majorBidi" w:cstheme="majorBidi"/>
          <w:lang w:val="en-GB"/>
        </w:rPr>
        <w:instrText>Ṭušpa/Van Rock</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(citadel) can be divided into three distinct sections based on its natural topographic structure (Fig. 2-4), this chapter based on Figure 4,5 categorizes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structures into six in line with the location and characteristics of the man-made structures built on it. Hence, frequent references will be made to this topographical plan presented in Figure 4. However, it is not always easy to evaluate the aptness of this qualitative distinction in a chronological context.</w:t>
      </w:r>
    </w:p>
    <w:p w14:paraId="76145A7B" w14:textId="77777777" w:rsidR="006B5F19" w:rsidRPr="00F03A26" w:rsidRDefault="006B5F19" w:rsidP="00F03A26">
      <w:pPr>
        <w:jc w:val="both"/>
        <w:rPr>
          <w:rFonts w:asciiTheme="majorBidi" w:eastAsia="Times New Roman" w:hAnsiTheme="majorBidi" w:cstheme="majorBidi"/>
          <w:lang w:val="en-GB"/>
        </w:rPr>
      </w:pPr>
    </w:p>
    <w:p w14:paraId="05E025C3" w14:textId="744A1FD9"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We can divide the Ṭušpa/Van Rock</w:t>
      </w:r>
      <w:r w:rsidR="001F2587">
        <w:rPr>
          <w:rFonts w:asciiTheme="majorBidi" w:eastAsia="Times New Roman" w:hAnsiTheme="majorBidi" w:cstheme="majorBidi"/>
          <w:lang w:val="en-GB"/>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into three distinct sections based on its natural topographic structure and the location and characteristics of the man-made structures built on it. That said, it is difficult to evaluate the aptness of this qualitative distinction in a chronological context.</w:t>
      </w:r>
    </w:p>
    <w:p w14:paraId="03154DBC" w14:textId="77777777" w:rsidR="006B5F19" w:rsidRPr="00F03A26" w:rsidRDefault="006B5F19" w:rsidP="00F03A26">
      <w:pPr>
        <w:jc w:val="both"/>
        <w:rPr>
          <w:rFonts w:asciiTheme="majorBidi" w:eastAsia="Times New Roman" w:hAnsiTheme="majorBidi" w:cstheme="majorBidi"/>
          <w:lang w:val="en-GB"/>
        </w:rPr>
      </w:pPr>
    </w:p>
    <w:p w14:paraId="6353D8FF" w14:textId="7899631F"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Inner Citadel</w:t>
      </w:r>
      <w:r w:rsidR="00C1513A">
        <w:rPr>
          <w:rFonts w:asciiTheme="majorBidi" w:eastAsia="Times New Roman" w:hAnsiTheme="majorBidi" w:cstheme="majorBidi"/>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partitioned off by ditches to the east and west, sits atop the center of the rock (Fig. 4-5: area IIIa-d). This designation, İç Kale, is derived from its superior location and a separate wall surrounding it. It is believed that the Old Palace</w:t>
      </w:r>
      <w:r w:rsidR="00C1513A">
        <w:rPr>
          <w:rFonts w:asciiTheme="majorBidi" w:eastAsia="Times New Roman" w:hAnsiTheme="majorBidi" w:cstheme="majorBidi"/>
          <w:lang w:val="en-GB"/>
        </w:rPr>
        <w:fldChar w:fldCharType="begin"/>
      </w:r>
      <w:r w:rsidR="00C1513A">
        <w:instrText xml:space="preserve"> XE "</w:instrText>
      </w:r>
      <w:r w:rsidR="00C1513A" w:rsidRPr="009746DD">
        <w:rPr>
          <w:rFonts w:asciiTheme="majorBidi" w:eastAsia="Times New Roman" w:hAnsiTheme="majorBidi" w:cstheme="majorBidi"/>
          <w:iCs/>
        </w:rPr>
        <w:instrText>Old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Temple, and the first building groups associated with them would have been built in this area during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However, the thick late-period filling and partially excavated areas make it difficult to determine the qualities of these Urartian structures. It appears that the space between the two ditches was used in the early developmental period of the kingdom and that the citadel gradually expanded into them over time. In the area (Fig. 4: Ic, 5, 6) that extends eastward, forming a lower terrace outside the İç Kale/Inner Citadel walls, no Urartian building remains are encountered. This area, surrounded by a ditch and high walls to the north, is one of the citadel's most suitable construction areas. Despite the critical building groups in this area to the north and east of the citadel, no excavations have been carried out yet. The mudbrick building groups found at surface level today date back to the late Ottoman</w:t>
      </w:r>
      <w:r w:rsidR="00647545">
        <w:rPr>
          <w:rFonts w:asciiTheme="majorBidi" w:eastAsia="Times New Roman" w:hAnsiTheme="majorBidi" w:cstheme="majorBidi"/>
          <w:lang w:val="en-GB"/>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w:t>
      </w:r>
    </w:p>
    <w:p w14:paraId="22B89538" w14:textId="77777777" w:rsidR="006B5F19" w:rsidRPr="00F03A26" w:rsidRDefault="006B5F19" w:rsidP="00F03A26">
      <w:pPr>
        <w:jc w:val="both"/>
        <w:rPr>
          <w:rFonts w:asciiTheme="majorBidi" w:eastAsia="Times New Roman" w:hAnsiTheme="majorBidi" w:cstheme="majorBidi"/>
          <w:lang w:val="en-GB"/>
        </w:rPr>
      </w:pPr>
    </w:p>
    <w:p w14:paraId="1E414303" w14:textId="3149CC75"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A lower rocky mass extends east from the Ṭušpa's East Ditch</w:t>
      </w:r>
      <w:r w:rsidR="00647545">
        <w:rPr>
          <w:rFonts w:asciiTheme="majorBidi" w:eastAsia="Times New Roman" w:hAnsiTheme="majorBidi" w:cstheme="majorBidi"/>
          <w:lang w:val="en-GB"/>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(Fig. 4: IV-V, 5). Evliya Çelebi</w:t>
      </w:r>
      <w:r w:rsidR="001F2587">
        <w:rPr>
          <w:rFonts w:asciiTheme="majorBidi" w:eastAsia="Times New Roman" w:hAnsiTheme="majorBidi" w:cstheme="majorBidi"/>
          <w:lang w:val="en-GB"/>
        </w:rPr>
        <w:fldChar w:fldCharType="begin"/>
      </w:r>
      <w:r w:rsidR="001F2587">
        <w:instrText xml:space="preserve"> XE "</w:instrText>
      </w:r>
      <w:r w:rsidR="001F2587" w:rsidRPr="00BA2BDB">
        <w:rPr>
          <w:rFonts w:asciiTheme="majorBidi" w:hAnsiTheme="majorBidi" w:cstheme="majorBidi"/>
          <w:kern w:val="0"/>
          <w:sz w:val="22"/>
          <w:szCs w:val="22"/>
          <w:lang w:val="en-US"/>
          <w14:ligatures w14:val="none"/>
        </w:rPr>
        <w:instrText>Evliya Çelebi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called this area the 'Kesikkale.' The term 'cut' should be describing this East Ditch. Rock</w:t>
      </w:r>
      <w:r w:rsidR="00027DBE">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t>work in the northern area of the ditch, which is approximately 8-15 m wide and 80 m long, is more evident. Here, it extends 8 m wide and, after moving northward for 10-15 m, terminates by turning slightly east.</w:t>
      </w:r>
    </w:p>
    <w:p w14:paraId="48B4905F" w14:textId="77777777" w:rsidR="006B5F19" w:rsidRPr="00F03A26" w:rsidRDefault="006B5F19" w:rsidP="00F03A26">
      <w:pPr>
        <w:jc w:val="both"/>
        <w:rPr>
          <w:rFonts w:asciiTheme="majorBidi" w:eastAsia="Times New Roman" w:hAnsiTheme="majorBidi" w:cstheme="majorBidi"/>
          <w:lang w:val="en-GB"/>
        </w:rPr>
      </w:pPr>
    </w:p>
    <w:p w14:paraId="521374E3" w14:textId="6B3922A9"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low rocky area east of the Ṭušpa East Ditch</w:t>
      </w:r>
      <w:r w:rsidR="00647545">
        <w:rPr>
          <w:rFonts w:asciiTheme="majorBidi" w:eastAsia="Times New Roman" w:hAnsiTheme="majorBidi" w:cstheme="majorBidi"/>
          <w:lang w:val="en-GB"/>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is topographically divided into two parts: north and south. The walls passing through its uppermost part neatly illustrate the distinction between these two sections. Like other rock areas, the southern part is quite steep and unsuitable for construction (Fig. 4: IV, 5). This section is home to the Doğu Odaları</w:t>
      </w:r>
      <w:r w:rsidR="001F2587">
        <w:rPr>
          <w:rFonts w:asciiTheme="majorBidi" w:eastAsia="Times New Roman" w:hAnsiTheme="majorBidi" w:cstheme="majorBidi"/>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and Cremation tomb</w:t>
      </w:r>
      <w:r w:rsidR="00C1513A">
        <w:rPr>
          <w:rFonts w:asciiTheme="majorBidi" w:eastAsia="Times New Roman" w:hAnsiTheme="majorBidi" w:cstheme="majorBidi"/>
          <w:lang w:val="en-GB"/>
        </w:rPr>
        <w:fldChar w:fldCharType="begin"/>
      </w:r>
      <w:r w:rsidR="00C1513A">
        <w:instrText xml:space="preserve"> XE "</w:instrText>
      </w:r>
      <w:r w:rsidR="00C1513A" w:rsidRPr="00041C3F">
        <w:rPr>
          <w:rFonts w:asciiTheme="majorBidi" w:eastAsia="Times New Roman" w:hAnsiTheme="majorBidi" w:cstheme="majorBidi"/>
          <w:lang w:val="en-GB"/>
        </w:rPr>
        <w:instrText>Cremation tomb</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northern part extends further, making more flat terraces. The main wall beds in this area are denser, and there are structures such as Analıkız</w:t>
      </w:r>
      <w:r w:rsidR="00647545">
        <w:rPr>
          <w:rFonts w:asciiTheme="majorBidi" w:eastAsia="Times New Roman" w:hAnsiTheme="majorBidi" w:cstheme="majorBidi"/>
          <w:lang w:val="en-GB"/>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's taramanili</w:t>
      </w:r>
      <w:r w:rsidR="00C1513A">
        <w:rPr>
          <w:rFonts w:asciiTheme="majorBidi" w:eastAsia="Times New Roman" w:hAnsiTheme="majorBidi" w:cstheme="majorBidi"/>
          <w:lang w:val="en-GB"/>
        </w:rPr>
        <w:fldChar w:fldCharType="begin"/>
      </w:r>
      <w:r w:rsidR="00C1513A">
        <w:instrText xml:space="preserve"> XE "</w:instrText>
      </w:r>
      <w:r w:rsidR="00C1513A" w:rsidRPr="001A58C3">
        <w:rPr>
          <w:rFonts w:asciiTheme="majorBidi" w:eastAsia="Times New Roman" w:hAnsiTheme="majorBidi" w:cstheme="majorBidi"/>
          <w:lang w:val="en-GB"/>
        </w:rPr>
        <w:instrText xml:space="preserve">Minua's </w:instrText>
      </w:r>
      <w:r w:rsidR="00C1513A" w:rsidRPr="00573866">
        <w:rPr>
          <w:rFonts w:asciiTheme="majorBidi" w:eastAsia="Times New Roman" w:hAnsiTheme="majorBidi" w:cstheme="majorBidi"/>
          <w:lang w:val="en-GB"/>
        </w:rPr>
        <w:instrText>taramanili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and Minua's </w:t>
      </w:r>
      <w:r w:rsidR="00AE030A" w:rsidRPr="00270549">
        <w:rPr>
          <w:rFonts w:asciiTheme="majorBidi" w:eastAsia="Calibri" w:hAnsiTheme="majorBidi" w:cstheme="majorBidi"/>
        </w:rPr>
        <w:t>"</w:t>
      </w:r>
      <w:r w:rsidRPr="00F03A26">
        <w:rPr>
          <w:rFonts w:asciiTheme="majorBidi" w:eastAsia="Times New Roman" w:hAnsiTheme="majorBidi" w:cstheme="majorBidi"/>
          <w:lang w:val="en-GB"/>
        </w:rPr>
        <w:t>siršini</w:t>
      </w:r>
      <w:r w:rsidR="00AE030A" w:rsidRPr="00270549">
        <w:rPr>
          <w:rFonts w:asciiTheme="majorBidi" w:eastAsia="Calibri" w:hAnsiTheme="majorBidi" w:cstheme="majorBidi"/>
        </w:rPr>
        <w:t>"</w:t>
      </w:r>
      <w:r w:rsidR="00C1513A">
        <w:rPr>
          <w:rFonts w:asciiTheme="majorBidi" w:eastAsia="Times New Roman" w:hAnsiTheme="majorBidi" w:cstheme="majorBidi"/>
          <w:lang w:val="en-GB"/>
        </w:rPr>
        <w:fldChar w:fldCharType="begin"/>
      </w:r>
      <w:r w:rsidR="00C1513A">
        <w:instrText xml:space="preserve"> XE "</w:instrText>
      </w:r>
      <w:r w:rsidR="00C1513A" w:rsidRPr="00A510EB">
        <w:rPr>
          <w:rFonts w:asciiTheme="majorBidi" w:eastAsia="Times New Roman" w:hAnsiTheme="majorBidi" w:cstheme="majorBidi"/>
          <w:lang w:val="en-GB"/>
        </w:rPr>
        <w:instrText>Minua's siršini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(Fig. 4: V, 5).</w:t>
      </w:r>
      <w:r w:rsidRPr="00F03A26">
        <w:rPr>
          <w:rFonts w:asciiTheme="majorBidi" w:eastAsia="Times New Roman" w:hAnsiTheme="majorBidi" w:cstheme="majorBidi"/>
          <w:lang w:val="en-GB"/>
        </w:rPr>
        <w:br w:type="page"/>
      </w:r>
    </w:p>
    <w:p w14:paraId="4F780347" w14:textId="77777777" w:rsidR="006B5F19" w:rsidRPr="00F03A26" w:rsidRDefault="006B5F19" w:rsidP="00F03A26">
      <w:pPr>
        <w:jc w:val="both"/>
        <w:rPr>
          <w:rFonts w:asciiTheme="majorBidi" w:eastAsia="Times New Roman" w:hAnsiTheme="majorBidi" w:cstheme="majorBidi"/>
          <w:lang w:val="en-GB"/>
        </w:rPr>
      </w:pPr>
    </w:p>
    <w:p w14:paraId="4A229A54" w14:textId="77777777" w:rsidR="006B5F19" w:rsidRPr="00F03A26" w:rsidRDefault="006B5F19" w:rsidP="00F03A26">
      <w:pPr>
        <w:jc w:val="both"/>
        <w:rPr>
          <w:rFonts w:asciiTheme="majorBidi" w:eastAsia="Times New Roman" w:hAnsiTheme="majorBidi" w:cstheme="majorBidi"/>
          <w:lang w:val="en-GB"/>
        </w:rPr>
      </w:pPr>
    </w:p>
    <w:p w14:paraId="2C8752B2"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noProof/>
        </w:rPr>
        <w:drawing>
          <wp:inline distT="114300" distB="114300" distL="114300" distR="114300" wp14:anchorId="66AEC245" wp14:editId="595FCB33">
            <wp:extent cx="6100175" cy="2730674"/>
            <wp:effectExtent l="0" t="0" r="0" b="0"/>
            <wp:docPr id="18" name="image9.png" descr="Hava fotoğrafçılığı, dış mekan, kuş bakışı görünüm, su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8" name="image9.png" descr="Hava fotoğrafçılığı, dış mekan, kuş bakışı görünüm, su içeren bir resim&#10;&#10;Açıklama otomatik olarak oluşturuldu"/>
                    <pic:cNvPicPr preferRelativeResize="0"/>
                  </pic:nvPicPr>
                  <pic:blipFill>
                    <a:blip r:embed="rId50"/>
                    <a:srcRect/>
                    <a:stretch>
                      <a:fillRect/>
                    </a:stretch>
                  </pic:blipFill>
                  <pic:spPr>
                    <a:xfrm>
                      <a:off x="0" y="0"/>
                      <a:ext cx="6100175" cy="2730674"/>
                    </a:xfrm>
                    <a:prstGeom prst="rect">
                      <a:avLst/>
                    </a:prstGeom>
                    <a:ln/>
                  </pic:spPr>
                </pic:pic>
              </a:graphicData>
            </a:graphic>
          </wp:inline>
        </w:drawing>
      </w:r>
    </w:p>
    <w:p w14:paraId="5E7C49C2" w14:textId="4ADE1C13"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Fig. 2 Ṭušpa/Van Rock</w:t>
      </w:r>
      <w:r w:rsidR="001F2587">
        <w:rPr>
          <w:rFonts w:asciiTheme="majorBidi" w:eastAsia="Times New Roman" w:hAnsiTheme="majorBidi" w:cstheme="majorBidi"/>
          <w:iCs/>
          <w:lang w:val="en-GB"/>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from the east. The eastern part extends in the shape of a low ridge. To the north, there is land favorable for construction.</w:t>
      </w:r>
    </w:p>
    <w:p w14:paraId="6126822C" w14:textId="77777777" w:rsidR="006B5F19" w:rsidRPr="00F03A26" w:rsidRDefault="006B5F19" w:rsidP="00F03A26">
      <w:pPr>
        <w:jc w:val="both"/>
        <w:rPr>
          <w:rFonts w:asciiTheme="majorBidi" w:eastAsia="Times New Roman" w:hAnsiTheme="majorBidi" w:cstheme="majorBidi"/>
          <w:iCs/>
          <w:lang w:val="en-GB"/>
        </w:rPr>
      </w:pPr>
    </w:p>
    <w:p w14:paraId="1D5CC500" w14:textId="77777777" w:rsidR="006B5F19" w:rsidRPr="00F03A26" w:rsidRDefault="006B5F19" w:rsidP="00F03A26">
      <w:pPr>
        <w:jc w:val="both"/>
        <w:rPr>
          <w:rFonts w:asciiTheme="majorBidi" w:eastAsia="Times New Roman" w:hAnsiTheme="majorBidi" w:cstheme="majorBidi"/>
          <w:i/>
          <w:lang w:val="en-GB"/>
        </w:rPr>
      </w:pPr>
      <w:r w:rsidRPr="00F03A26">
        <w:rPr>
          <w:rFonts w:asciiTheme="majorBidi" w:eastAsia="Times New Roman" w:hAnsiTheme="majorBidi" w:cstheme="majorBidi"/>
          <w:i/>
          <w:noProof/>
        </w:rPr>
        <w:drawing>
          <wp:inline distT="114300" distB="114300" distL="114300" distR="114300" wp14:anchorId="4B034037" wp14:editId="56C34BE8">
            <wp:extent cx="6225436" cy="2630465"/>
            <wp:effectExtent l="0" t="0" r="0" b="0"/>
            <wp:docPr id="11" name="image20.png" descr="dağ, dış mekan, su, gökyüzü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1" name="image20.png" descr="dağ, dış mekan, su, gökyüzü içeren bir resim&#10;&#10;Açıklama otomatik olarak oluşturuldu"/>
                    <pic:cNvPicPr preferRelativeResize="0"/>
                  </pic:nvPicPr>
                  <pic:blipFill>
                    <a:blip r:embed="rId51"/>
                    <a:srcRect/>
                    <a:stretch>
                      <a:fillRect/>
                    </a:stretch>
                  </pic:blipFill>
                  <pic:spPr>
                    <a:xfrm>
                      <a:off x="0" y="0"/>
                      <a:ext cx="6225436" cy="2630465"/>
                    </a:xfrm>
                    <a:prstGeom prst="rect">
                      <a:avLst/>
                    </a:prstGeom>
                    <a:ln/>
                  </pic:spPr>
                </pic:pic>
              </a:graphicData>
            </a:graphic>
          </wp:inline>
        </w:drawing>
      </w:r>
    </w:p>
    <w:p w14:paraId="0AFE63E0" w14:textId="77777777" w:rsidR="006B5F19" w:rsidRPr="00F03A26" w:rsidRDefault="006B5F19" w:rsidP="00F03A26">
      <w:pPr>
        <w:jc w:val="both"/>
        <w:rPr>
          <w:rFonts w:asciiTheme="majorBidi" w:eastAsia="Times New Roman" w:hAnsiTheme="majorBidi" w:cstheme="majorBidi"/>
          <w:i/>
          <w:lang w:val="en-GB"/>
        </w:rPr>
      </w:pPr>
    </w:p>
    <w:p w14:paraId="5C4A37CE" w14:textId="765FD5A4" w:rsidR="006B5F19" w:rsidRPr="00F03A26" w:rsidRDefault="006B5F19" w:rsidP="00F03A26">
      <w:pPr>
        <w:jc w:val="both"/>
        <w:rPr>
          <w:rFonts w:asciiTheme="majorBidi" w:eastAsia="Times New Roman" w:hAnsiTheme="majorBidi" w:cstheme="majorBidi"/>
          <w:i/>
          <w:lang w:val="en-GB"/>
        </w:rPr>
      </w:pPr>
      <w:r w:rsidRPr="00F03A26">
        <w:rPr>
          <w:rFonts w:asciiTheme="majorBidi" w:eastAsia="Times New Roman" w:hAnsiTheme="majorBidi" w:cstheme="majorBidi"/>
          <w:iCs/>
          <w:lang w:val="en-GB"/>
        </w:rPr>
        <w:t>Fig. 3 Ṭušpa/Van Rock</w:t>
      </w:r>
      <w:r w:rsidR="001F2587">
        <w:rPr>
          <w:rFonts w:asciiTheme="majorBidi" w:eastAsia="Times New Roman" w:hAnsiTheme="majorBidi" w:cstheme="majorBidi"/>
          <w:iCs/>
          <w:lang w:val="en-GB"/>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from the north. The northern part extends down to the plain at a shallow incline compared to the south, except for the areas north of the Ottoman</w:t>
      </w:r>
      <w:r w:rsidR="00647545">
        <w:rPr>
          <w:rFonts w:asciiTheme="majorBidi" w:eastAsia="Times New Roman" w:hAnsiTheme="majorBidi" w:cstheme="majorBidi"/>
          <w:iCs/>
          <w:lang w:val="en-GB"/>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Gate. Many Urartian</w:t>
      </w:r>
      <w:r w:rsidR="00EA6C63">
        <w:rPr>
          <w:rFonts w:asciiTheme="majorBidi" w:eastAsia="Times New Roman" w:hAnsiTheme="majorBidi" w:cstheme="majorBidi"/>
          <w:iCs/>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structures rising upwards towards the peak were thought to be in this section.</w:t>
      </w:r>
    </w:p>
    <w:p w14:paraId="264BB2DA" w14:textId="77777777" w:rsidR="006B5F19" w:rsidRPr="00F03A26" w:rsidRDefault="006B5F19" w:rsidP="00F03A26">
      <w:pPr>
        <w:jc w:val="both"/>
        <w:rPr>
          <w:rFonts w:asciiTheme="majorBidi" w:eastAsia="Times New Roman" w:hAnsiTheme="majorBidi" w:cstheme="majorBidi"/>
          <w:i/>
          <w:lang w:val="en-GB"/>
        </w:rPr>
      </w:pPr>
      <w:r w:rsidRPr="00F03A26">
        <w:rPr>
          <w:rFonts w:asciiTheme="majorBidi" w:eastAsia="Times New Roman" w:hAnsiTheme="majorBidi" w:cstheme="majorBidi"/>
          <w:i/>
          <w:noProof/>
        </w:rPr>
        <w:lastRenderedPageBreak/>
        <w:drawing>
          <wp:inline distT="114300" distB="114300" distL="114300" distR="114300" wp14:anchorId="1D43D987" wp14:editId="4EFCC624">
            <wp:extent cx="3845490" cy="7127310"/>
            <wp:effectExtent l="0" t="0" r="3175" b="0"/>
            <wp:docPr id="34" name="image27.png" descr="harita, Hava fotoğrafçılığı, kuş bakışı görünüm, havadan, ante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4" name="image27.png" descr="harita, Hava fotoğrafçılığı, kuş bakışı görünüm, havadan, anten içeren bir resim&#10;&#10;Açıklama otomatik olarak oluşturuldu"/>
                    <pic:cNvPicPr preferRelativeResize="0"/>
                  </pic:nvPicPr>
                  <pic:blipFill>
                    <a:blip r:embed="rId52"/>
                    <a:srcRect/>
                    <a:stretch>
                      <a:fillRect/>
                    </a:stretch>
                  </pic:blipFill>
                  <pic:spPr>
                    <a:xfrm>
                      <a:off x="0" y="0"/>
                      <a:ext cx="3845609" cy="7127531"/>
                    </a:xfrm>
                    <a:prstGeom prst="rect">
                      <a:avLst/>
                    </a:prstGeom>
                    <a:ln/>
                  </pic:spPr>
                </pic:pic>
              </a:graphicData>
            </a:graphic>
          </wp:inline>
        </w:drawing>
      </w:r>
    </w:p>
    <w:p w14:paraId="411926F1" w14:textId="77777777" w:rsidR="006B5F19" w:rsidRPr="00F03A26" w:rsidRDefault="006B5F19" w:rsidP="00F03A26">
      <w:pPr>
        <w:jc w:val="both"/>
        <w:rPr>
          <w:rFonts w:asciiTheme="majorBidi" w:eastAsia="Times New Roman" w:hAnsiTheme="majorBidi" w:cstheme="majorBidi"/>
          <w:i/>
          <w:color w:val="0070C0"/>
          <w:lang w:val="en-GB"/>
        </w:rPr>
      </w:pPr>
    </w:p>
    <w:p w14:paraId="7CF7CBE8" w14:textId="234E78B9"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4 Distinguishable areas of </w:t>
      </w:r>
      <w:r w:rsidRPr="00F03A26">
        <w:rPr>
          <w:rFonts w:asciiTheme="majorBidi" w:eastAsia="Times New Roman" w:hAnsiTheme="majorBidi" w:cstheme="majorBidi"/>
          <w:lang w:val="en-GB"/>
        </w:rPr>
        <w:t>Ṭušpa/Van</w:t>
      </w:r>
      <w:r w:rsidRPr="00F03A26">
        <w:rPr>
          <w:rFonts w:asciiTheme="majorBidi" w:eastAsia="Times New Roman" w:hAnsiTheme="majorBidi" w:cstheme="majorBidi"/>
          <w:iCs/>
          <w:lang w:val="en-GB"/>
        </w:rPr>
        <w:t xml:space="preserve"> Rock</w:t>
      </w:r>
      <w:r w:rsidR="001F2587">
        <w:rPr>
          <w:rFonts w:asciiTheme="majorBidi" w:eastAsia="Times New Roman" w:hAnsiTheme="majorBidi" w:cstheme="majorBidi"/>
          <w:iCs/>
          <w:lang w:val="en-GB"/>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within the context of its structures and topographic features.</w:t>
      </w:r>
    </w:p>
    <w:p w14:paraId="495673C0" w14:textId="77777777" w:rsidR="006B5F19" w:rsidRPr="00F03A26" w:rsidRDefault="006B5F19" w:rsidP="00F03A26">
      <w:pPr>
        <w:jc w:val="both"/>
        <w:rPr>
          <w:rFonts w:asciiTheme="majorBidi" w:eastAsia="Times New Roman" w:hAnsiTheme="majorBidi" w:cstheme="majorBidi"/>
          <w:i/>
          <w:lang w:val="en-GB"/>
        </w:rPr>
      </w:pPr>
    </w:p>
    <w:p w14:paraId="14A358F4" w14:textId="77777777" w:rsidR="006B5F19" w:rsidRPr="00F03A26" w:rsidRDefault="006B5F19" w:rsidP="00F03A26">
      <w:pPr>
        <w:jc w:val="both"/>
        <w:rPr>
          <w:rFonts w:asciiTheme="majorBidi" w:eastAsia="Times New Roman" w:hAnsiTheme="majorBidi" w:cstheme="majorBidi"/>
          <w:i/>
          <w:lang w:val="en-GB"/>
        </w:rPr>
      </w:pPr>
    </w:p>
    <w:p w14:paraId="59985810" w14:textId="77777777"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br w:type="page"/>
      </w:r>
    </w:p>
    <w:p w14:paraId="44774C55" w14:textId="147A26B4"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
          <w:noProof/>
        </w:rPr>
        <w:lastRenderedPageBreak/>
        <w:drawing>
          <wp:anchor distT="0" distB="0" distL="114300" distR="114300" simplePos="0" relativeHeight="251855872" behindDoc="0" locked="0" layoutInCell="1" allowOverlap="1" wp14:anchorId="524A3276" wp14:editId="6362F2E7">
            <wp:simplePos x="0" y="0"/>
            <wp:positionH relativeFrom="margin">
              <wp:posOffset>-746760</wp:posOffset>
            </wp:positionH>
            <wp:positionV relativeFrom="margin">
              <wp:posOffset>1040130</wp:posOffset>
            </wp:positionV>
            <wp:extent cx="5608320" cy="2991485"/>
            <wp:effectExtent l="317" t="0" r="5398" b="5397"/>
            <wp:wrapTopAndBottom/>
            <wp:docPr id="56876295" name="Resim 1" descr="çizim, taslak, çocukların yaptığı resimler,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6295" name="Resim 1" descr="çizim, taslak, çocukların yaptığı resimler, harita içeren bir resim&#10;&#10;Açıklama otomatik olarak oluşturuldu"/>
                    <pic:cNvPicPr/>
                  </pic:nvPicPr>
                  <pic:blipFill>
                    <a:blip r:embed="rId53" cstate="email">
                      <a:extLst>
                        <a:ext uri="{28A0092B-C50C-407E-A947-70E740481C1C}">
                          <a14:useLocalDpi xmlns:a14="http://schemas.microsoft.com/office/drawing/2010/main"/>
                        </a:ext>
                      </a:extLst>
                    </a:blip>
                    <a:stretch>
                      <a:fillRect/>
                    </a:stretch>
                  </pic:blipFill>
                  <pic:spPr>
                    <a:xfrm rot="16200000">
                      <a:off x="0" y="0"/>
                      <a:ext cx="5608320" cy="2991485"/>
                    </a:xfrm>
                    <a:prstGeom prst="rect">
                      <a:avLst/>
                    </a:prstGeom>
                  </pic:spPr>
                </pic:pic>
              </a:graphicData>
            </a:graphic>
            <wp14:sizeRelH relativeFrom="margin">
              <wp14:pctWidth>0</wp14:pctWidth>
            </wp14:sizeRelH>
            <wp14:sizeRelV relativeFrom="margin">
              <wp14:pctHeight>0</wp14:pctHeight>
            </wp14:sizeRelV>
          </wp:anchor>
        </w:drawing>
      </w:r>
      <w:r w:rsidRPr="00F03A26">
        <w:rPr>
          <w:rFonts w:asciiTheme="majorBidi" w:eastAsia="Times New Roman" w:hAnsiTheme="majorBidi" w:cstheme="majorBidi"/>
          <w:iCs/>
          <w:lang w:val="en-GB"/>
        </w:rPr>
        <w:t xml:space="preserve">Fig. 5 Topographical plans and sections of the </w:t>
      </w:r>
      <w:r w:rsidRPr="00F03A26">
        <w:rPr>
          <w:rFonts w:asciiTheme="majorBidi" w:eastAsia="Times New Roman" w:hAnsiTheme="majorBidi" w:cstheme="majorBidi"/>
          <w:lang w:val="en-GB"/>
        </w:rPr>
        <w:t>Ṭušpa/Van</w:t>
      </w:r>
      <w:r w:rsidRPr="00F03A26">
        <w:rPr>
          <w:rFonts w:asciiTheme="majorBidi" w:eastAsia="Times New Roman" w:hAnsiTheme="majorBidi" w:cstheme="majorBidi"/>
          <w:iCs/>
          <w:lang w:val="en-GB"/>
        </w:rPr>
        <w:t xml:space="preserve"> Rock</w:t>
      </w:r>
      <w:r w:rsidR="001F2587">
        <w:rPr>
          <w:rFonts w:asciiTheme="majorBidi" w:eastAsia="Times New Roman" w:hAnsiTheme="majorBidi" w:cstheme="majorBidi"/>
          <w:iCs/>
          <w:lang w:val="en-GB"/>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alongside the location of the Urartian</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"Urartian"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structures.</w:t>
      </w:r>
    </w:p>
    <w:p w14:paraId="2FB82FA6" w14:textId="573B3D75" w:rsidR="006B5F19" w:rsidRPr="00F03A26" w:rsidRDefault="006B5F19" w:rsidP="00F03A26">
      <w:pPr>
        <w:jc w:val="both"/>
        <w:rPr>
          <w:rFonts w:asciiTheme="majorBidi" w:eastAsia="Times New Roman" w:hAnsiTheme="majorBidi" w:cstheme="majorBidi"/>
          <w:i/>
          <w:lang w:val="en-GB"/>
        </w:rPr>
      </w:pPr>
      <w:r w:rsidRPr="00F03A26">
        <w:rPr>
          <w:rFonts w:asciiTheme="majorBidi" w:eastAsia="Times New Roman" w:hAnsiTheme="majorBidi" w:cstheme="majorBidi"/>
          <w:i/>
          <w:noProof/>
        </w:rPr>
        <w:drawing>
          <wp:anchor distT="0" distB="0" distL="114300" distR="114300" simplePos="0" relativeHeight="251856896" behindDoc="0" locked="0" layoutInCell="1" allowOverlap="1" wp14:anchorId="2FEAEC4C" wp14:editId="3D8E48FA">
            <wp:simplePos x="0" y="0"/>
            <wp:positionH relativeFrom="margin">
              <wp:posOffset>-73025</wp:posOffset>
            </wp:positionH>
            <wp:positionV relativeFrom="margin">
              <wp:posOffset>5880735</wp:posOffset>
            </wp:positionV>
            <wp:extent cx="4488815" cy="2188845"/>
            <wp:effectExtent l="0" t="0" r="0" b="0"/>
            <wp:wrapSquare wrapText="bothSides"/>
            <wp:docPr id="457507091" name="Resim 2" descr="dış mekan, gökyüzü, dağ,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07091" name="Resim 2" descr="dış mekan, gökyüzü, dağ, dip kaya içeren bir resim&#10;&#10;Açıklama otomatik olarak oluşturuldu"/>
                    <pic:cNvPicPr/>
                  </pic:nvPicPr>
                  <pic:blipFill>
                    <a:blip r:embed="rId54" cstate="email">
                      <a:extLst>
                        <a:ext uri="{28A0092B-C50C-407E-A947-70E740481C1C}">
                          <a14:useLocalDpi xmlns:a14="http://schemas.microsoft.com/office/drawing/2010/main"/>
                        </a:ext>
                      </a:extLst>
                    </a:blip>
                    <a:stretch>
                      <a:fillRect/>
                    </a:stretch>
                  </pic:blipFill>
                  <pic:spPr>
                    <a:xfrm>
                      <a:off x="0" y="0"/>
                      <a:ext cx="4488815" cy="2188845"/>
                    </a:xfrm>
                    <a:prstGeom prst="rect">
                      <a:avLst/>
                    </a:prstGeom>
                  </pic:spPr>
                </pic:pic>
              </a:graphicData>
            </a:graphic>
            <wp14:sizeRelH relativeFrom="margin">
              <wp14:pctWidth>0</wp14:pctWidth>
            </wp14:sizeRelH>
            <wp14:sizeRelV relativeFrom="margin">
              <wp14:pctHeight>0</wp14:pctHeight>
            </wp14:sizeRelV>
          </wp:anchor>
        </w:drawing>
      </w:r>
    </w:p>
    <w:p w14:paraId="4808B3D1" w14:textId="77777777"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ab/>
      </w:r>
      <w:r w:rsidRPr="00F03A26">
        <w:rPr>
          <w:rFonts w:asciiTheme="majorBidi" w:eastAsia="Times New Roman" w:hAnsiTheme="majorBidi" w:cstheme="majorBidi"/>
          <w:iCs/>
          <w:lang w:val="en-GB"/>
        </w:rPr>
        <w:tab/>
      </w:r>
      <w:r w:rsidRPr="00F03A26">
        <w:rPr>
          <w:rFonts w:asciiTheme="majorBidi" w:eastAsia="Times New Roman" w:hAnsiTheme="majorBidi" w:cstheme="majorBidi"/>
          <w:iCs/>
          <w:lang w:val="en-GB"/>
        </w:rPr>
        <w:tab/>
      </w:r>
    </w:p>
    <w:p w14:paraId="10E741D4" w14:textId="77777777" w:rsidR="006B5F19" w:rsidRPr="00F03A26" w:rsidRDefault="006B5F19" w:rsidP="00F03A26">
      <w:pPr>
        <w:jc w:val="both"/>
        <w:rPr>
          <w:rFonts w:asciiTheme="majorBidi" w:eastAsia="Times New Roman" w:hAnsiTheme="majorBidi" w:cstheme="majorBidi"/>
          <w:iCs/>
          <w:lang w:val="en-GB"/>
        </w:rPr>
      </w:pPr>
    </w:p>
    <w:p w14:paraId="12D520E2" w14:textId="77777777" w:rsidR="006B5F19" w:rsidRPr="00F03A26" w:rsidRDefault="006B5F19" w:rsidP="00F03A26">
      <w:pPr>
        <w:jc w:val="both"/>
        <w:rPr>
          <w:rFonts w:asciiTheme="majorBidi" w:eastAsia="Times New Roman" w:hAnsiTheme="majorBidi" w:cstheme="majorBidi"/>
          <w:iCs/>
          <w:lang w:val="en-GB"/>
        </w:rPr>
      </w:pPr>
    </w:p>
    <w:p w14:paraId="155B40CA" w14:textId="77777777" w:rsidR="006B5F19" w:rsidRPr="00F03A26" w:rsidRDefault="006B5F19" w:rsidP="00F03A26">
      <w:pPr>
        <w:jc w:val="both"/>
        <w:rPr>
          <w:rFonts w:asciiTheme="majorBidi" w:eastAsia="Times New Roman" w:hAnsiTheme="majorBidi" w:cstheme="majorBidi"/>
          <w:iCs/>
          <w:lang w:val="en-GB"/>
        </w:rPr>
      </w:pPr>
    </w:p>
    <w:p w14:paraId="68D1522F" w14:textId="77777777" w:rsidR="006B5F19" w:rsidRPr="00F03A26" w:rsidRDefault="006B5F19" w:rsidP="00F03A26">
      <w:pPr>
        <w:jc w:val="both"/>
        <w:rPr>
          <w:rFonts w:asciiTheme="majorBidi" w:eastAsia="Times New Roman" w:hAnsiTheme="majorBidi" w:cstheme="majorBidi"/>
          <w:iCs/>
          <w:lang w:val="en-GB"/>
        </w:rPr>
      </w:pPr>
    </w:p>
    <w:p w14:paraId="414AB5E2" w14:textId="77777777" w:rsidR="006B5F19" w:rsidRPr="00F03A26" w:rsidRDefault="006B5F19" w:rsidP="00F03A26">
      <w:pPr>
        <w:jc w:val="both"/>
        <w:rPr>
          <w:rFonts w:asciiTheme="majorBidi" w:eastAsia="Times New Roman" w:hAnsiTheme="majorBidi" w:cstheme="majorBidi"/>
          <w:iCs/>
          <w:lang w:val="en-GB"/>
        </w:rPr>
      </w:pPr>
    </w:p>
    <w:p w14:paraId="6A306CA6" w14:textId="3A4F0B32" w:rsidR="006B5F19" w:rsidRPr="00F03A26" w:rsidRDefault="006B5F19" w:rsidP="00F03A26">
      <w:pPr>
        <w:jc w:val="both"/>
        <w:rPr>
          <w:rFonts w:asciiTheme="majorBidi" w:eastAsia="Times New Roman" w:hAnsiTheme="majorBidi" w:cstheme="majorBidi"/>
          <w:iCs/>
          <w:lang w:val="en-GB"/>
        </w:rPr>
      </w:pPr>
    </w:p>
    <w:p w14:paraId="35695310" w14:textId="77777777" w:rsidR="006B5F19" w:rsidRPr="00F03A26" w:rsidRDefault="006B5F19" w:rsidP="00F03A26">
      <w:pPr>
        <w:jc w:val="both"/>
        <w:rPr>
          <w:rFonts w:asciiTheme="majorBidi" w:eastAsia="Times New Roman" w:hAnsiTheme="majorBidi" w:cstheme="majorBidi"/>
          <w:iCs/>
          <w:lang w:val="en-GB"/>
        </w:rPr>
      </w:pPr>
    </w:p>
    <w:p w14:paraId="5056999C" w14:textId="77777777" w:rsidR="006B5F19" w:rsidRPr="00F03A26" w:rsidRDefault="006B5F19" w:rsidP="00F03A26">
      <w:pPr>
        <w:jc w:val="both"/>
        <w:rPr>
          <w:rFonts w:asciiTheme="majorBidi" w:eastAsia="Times New Roman" w:hAnsiTheme="majorBidi" w:cstheme="majorBidi"/>
          <w:iCs/>
          <w:lang w:val="en-GB"/>
        </w:rPr>
      </w:pPr>
    </w:p>
    <w:p w14:paraId="01D006A7" w14:textId="77777777" w:rsidR="006B5F19" w:rsidRPr="00F03A26" w:rsidRDefault="006B5F19" w:rsidP="00F03A26">
      <w:pPr>
        <w:jc w:val="both"/>
        <w:rPr>
          <w:rFonts w:asciiTheme="majorBidi" w:eastAsia="Times New Roman" w:hAnsiTheme="majorBidi" w:cstheme="majorBidi"/>
          <w:iCs/>
          <w:lang w:val="en-GB"/>
        </w:rPr>
      </w:pPr>
    </w:p>
    <w:p w14:paraId="0DEEB08E" w14:textId="77777777" w:rsidR="006B5F19" w:rsidRPr="00F03A26" w:rsidRDefault="006B5F19" w:rsidP="00F03A26">
      <w:pPr>
        <w:jc w:val="both"/>
        <w:rPr>
          <w:rFonts w:asciiTheme="majorBidi" w:eastAsia="Times New Roman" w:hAnsiTheme="majorBidi" w:cstheme="majorBidi"/>
          <w:iCs/>
          <w:lang w:val="en-GB"/>
        </w:rPr>
      </w:pPr>
    </w:p>
    <w:p w14:paraId="7CECF4DB" w14:textId="77777777" w:rsidR="006B5F19" w:rsidRPr="00F03A26" w:rsidRDefault="006B5F19" w:rsidP="00F03A26">
      <w:pPr>
        <w:jc w:val="both"/>
        <w:rPr>
          <w:rFonts w:asciiTheme="majorBidi" w:eastAsia="Times New Roman" w:hAnsiTheme="majorBidi" w:cstheme="majorBidi"/>
          <w:iCs/>
          <w:lang w:val="en-GB"/>
        </w:rPr>
      </w:pPr>
    </w:p>
    <w:p w14:paraId="5EC51C6E" w14:textId="18F7FE8C"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Fig. 6 East Ditch</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"East Ditch"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aerial (a) and north view (b).</w:t>
      </w:r>
    </w:p>
    <w:p w14:paraId="4AE09907" w14:textId="77777777" w:rsidR="006B5F19" w:rsidRPr="00F03A26" w:rsidRDefault="006B5F19" w:rsidP="00F03A26">
      <w:pPr>
        <w:jc w:val="both"/>
        <w:rPr>
          <w:rFonts w:asciiTheme="majorBidi" w:eastAsia="Times New Roman" w:hAnsiTheme="majorBidi" w:cstheme="majorBidi"/>
          <w:i/>
          <w:lang w:val="en-GB"/>
        </w:rPr>
      </w:pPr>
    </w:p>
    <w:p w14:paraId="255B7F0E" w14:textId="77777777"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noProof/>
        </w:rPr>
        <w:drawing>
          <wp:inline distT="0" distB="0" distL="0" distR="0" wp14:anchorId="2C53C8DC" wp14:editId="254D75A4">
            <wp:extent cx="5756910" cy="1986280"/>
            <wp:effectExtent l="0" t="0" r="0" b="0"/>
            <wp:docPr id="1579944961" name="Resim 3" descr="ekran görüntüsü, manzara,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44961" name="Resim 3" descr="ekran görüntüsü, manzara, doğa içeren bir resim&#10;&#10;Açıklama otomatik olarak oluşturuldu"/>
                    <pic:cNvPicPr/>
                  </pic:nvPicPr>
                  <pic:blipFill>
                    <a:blip r:embed="rId55" cstate="email">
                      <a:extLst>
                        <a:ext uri="{28A0092B-C50C-407E-A947-70E740481C1C}">
                          <a14:useLocalDpi xmlns:a14="http://schemas.microsoft.com/office/drawing/2010/main"/>
                        </a:ext>
                      </a:extLst>
                    </a:blip>
                    <a:stretch>
                      <a:fillRect/>
                    </a:stretch>
                  </pic:blipFill>
                  <pic:spPr>
                    <a:xfrm>
                      <a:off x="0" y="0"/>
                      <a:ext cx="5756910" cy="1986280"/>
                    </a:xfrm>
                    <a:prstGeom prst="rect">
                      <a:avLst/>
                    </a:prstGeom>
                  </pic:spPr>
                </pic:pic>
              </a:graphicData>
            </a:graphic>
          </wp:inline>
        </w:drawing>
      </w:r>
    </w:p>
    <w:p w14:paraId="422609F0" w14:textId="05810835" w:rsidR="006B5F19" w:rsidRPr="00F03A26" w:rsidRDefault="006B5F19" w:rsidP="00F03A26">
      <w:pPr>
        <w:jc w:val="both"/>
        <w:rPr>
          <w:rFonts w:asciiTheme="majorBidi" w:eastAsia="Times New Roman" w:hAnsiTheme="majorBidi" w:cstheme="majorBidi"/>
          <w:iCs/>
          <w:color w:val="0070C0"/>
          <w:lang w:val="en-GB"/>
        </w:rPr>
      </w:pPr>
      <w:r w:rsidRPr="00F03A26">
        <w:rPr>
          <w:rFonts w:asciiTheme="majorBidi" w:eastAsia="Times New Roman" w:hAnsiTheme="majorBidi" w:cstheme="majorBidi"/>
          <w:iCs/>
          <w:lang w:val="en-GB"/>
        </w:rPr>
        <w:t xml:space="preserve">Fig. 7 </w:t>
      </w:r>
      <w:r w:rsidRPr="00F03A26">
        <w:rPr>
          <w:rFonts w:asciiTheme="majorBidi" w:eastAsia="Times New Roman" w:hAnsiTheme="majorBidi" w:cstheme="majorBidi"/>
          <w:lang w:val="en-GB"/>
        </w:rPr>
        <w:t>Ṭušpa</w:t>
      </w:r>
      <w:r w:rsidR="00C1513A">
        <w:rPr>
          <w:rFonts w:asciiTheme="majorBidi" w:eastAsia="Times New Roman" w:hAnsiTheme="majorBidi" w:cstheme="majorBidi"/>
          <w:lang w:val="en-GB"/>
        </w:rPr>
        <w:t>/Van</w:t>
      </w:r>
      <w:r w:rsidRPr="00F03A26">
        <w:rPr>
          <w:rFonts w:asciiTheme="majorBidi" w:eastAsia="Times New Roman" w:hAnsiTheme="majorBidi" w:cstheme="majorBidi"/>
          <w:iCs/>
          <w:lang w:val="en-GB"/>
        </w:rPr>
        <w:t xml:space="preserve"> Rock</w:t>
      </w:r>
      <w:r w:rsidR="00C1513A">
        <w:rPr>
          <w:rFonts w:asciiTheme="majorBidi" w:eastAsia="Times New Roman" w:hAnsiTheme="majorBidi" w:cstheme="majorBidi"/>
          <w:iCs/>
          <w:lang w:val="en-GB"/>
        </w:rPr>
        <w:fldChar w:fldCharType="begin"/>
      </w:r>
      <w:r w:rsidR="00C1513A">
        <w:instrText xml:space="preserve"> XE "</w:instrText>
      </w:r>
      <w:r w:rsidR="00C1513A" w:rsidRPr="000B7B66">
        <w:rPr>
          <w:rFonts w:asciiTheme="majorBidi" w:eastAsia="Times New Roman" w:hAnsiTheme="majorBidi" w:cstheme="majorBidi"/>
          <w:lang w:val="en-GB"/>
        </w:rPr>
        <w:instrText>Ṭušpa/Van</w:instrText>
      </w:r>
      <w:r w:rsidR="00C1513A" w:rsidRPr="000B7B66">
        <w:rPr>
          <w:rFonts w:asciiTheme="majorBidi" w:eastAsia="Times New Roman" w:hAnsiTheme="majorBidi" w:cstheme="majorBidi"/>
          <w:iCs/>
          <w:lang w:val="en-GB"/>
        </w:rPr>
        <w:instrText xml:space="preserve"> Rock</w:instrText>
      </w:r>
      <w:r w:rsidR="00C1513A">
        <w:instrText xml:space="preserve">" </w:instrText>
      </w:r>
      <w:r w:rsidR="00C1513A">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West Ditch</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"West Ditch"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a. Aerial view, b. East-west section, c. North side.</w:t>
      </w:r>
    </w:p>
    <w:p w14:paraId="48580B76" w14:textId="77777777" w:rsidR="006B5F19" w:rsidRPr="00F03A26" w:rsidRDefault="006B5F19" w:rsidP="00F03A26">
      <w:pPr>
        <w:jc w:val="both"/>
        <w:rPr>
          <w:rFonts w:asciiTheme="majorBidi" w:eastAsia="Times New Roman" w:hAnsiTheme="majorBidi" w:cstheme="majorBidi"/>
          <w:i/>
          <w:lang w:val="en-GB"/>
        </w:rPr>
      </w:pPr>
    </w:p>
    <w:p w14:paraId="74BC8E72" w14:textId="77777777" w:rsidR="006B5F19" w:rsidRPr="00F03A26" w:rsidRDefault="006B5F19" w:rsidP="00F03A26">
      <w:pPr>
        <w:jc w:val="both"/>
        <w:rPr>
          <w:rFonts w:asciiTheme="majorBidi" w:eastAsia="Times New Roman" w:hAnsiTheme="majorBidi" w:cstheme="majorBidi"/>
          <w:i/>
          <w:lang w:val="en-GB"/>
        </w:rPr>
      </w:pPr>
      <w:r w:rsidRPr="00F03A26">
        <w:rPr>
          <w:rFonts w:asciiTheme="majorBidi" w:eastAsia="Times New Roman" w:hAnsiTheme="majorBidi" w:cstheme="majorBidi"/>
          <w:i/>
          <w:noProof/>
        </w:rPr>
        <w:drawing>
          <wp:inline distT="0" distB="0" distL="0" distR="0" wp14:anchorId="27A6E6A0" wp14:editId="48EA5DFE">
            <wp:extent cx="5756910" cy="1952625"/>
            <wp:effectExtent l="0" t="0" r="0" b="3175"/>
            <wp:docPr id="748996343" name="Resim 4" descr="dış mekan, gökyüzü, panorama,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96343" name="Resim 4" descr="dış mekan, gökyüzü, panorama, manzara içeren bir resim&#10;&#10;Açıklama otomatik olarak oluşturuldu"/>
                    <pic:cNvPicPr/>
                  </pic:nvPicPr>
                  <pic:blipFill>
                    <a:blip r:embed="rId56" cstate="email">
                      <a:extLst>
                        <a:ext uri="{28A0092B-C50C-407E-A947-70E740481C1C}">
                          <a14:useLocalDpi xmlns:a14="http://schemas.microsoft.com/office/drawing/2010/main"/>
                        </a:ext>
                      </a:extLst>
                    </a:blip>
                    <a:stretch>
                      <a:fillRect/>
                    </a:stretch>
                  </pic:blipFill>
                  <pic:spPr>
                    <a:xfrm>
                      <a:off x="0" y="0"/>
                      <a:ext cx="5756910" cy="1952625"/>
                    </a:xfrm>
                    <a:prstGeom prst="rect">
                      <a:avLst/>
                    </a:prstGeom>
                  </pic:spPr>
                </pic:pic>
              </a:graphicData>
            </a:graphic>
          </wp:inline>
        </w:drawing>
      </w:r>
    </w:p>
    <w:p w14:paraId="00B1B0CA" w14:textId="68D61CFB"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Fig. 8 Ṭušpa/Van Rock</w:t>
      </w:r>
      <w:r w:rsidR="001F2587">
        <w:rPr>
          <w:rFonts w:asciiTheme="majorBidi" w:eastAsia="Times New Roman" w:hAnsiTheme="majorBidi" w:cstheme="majorBidi"/>
          <w:iCs/>
          <w:lang w:val="en-GB"/>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West Ditch</w:t>
      </w:r>
      <w:r w:rsidR="00C1513A">
        <w:rPr>
          <w:rFonts w:asciiTheme="majorBidi" w:eastAsia="Times New Roman" w:hAnsiTheme="majorBidi" w:cstheme="majorBidi"/>
          <w:iCs/>
          <w:lang w:val="en-GB"/>
        </w:rPr>
        <w:fldChar w:fldCharType="begin"/>
      </w:r>
      <w:r w:rsidR="00C1513A">
        <w:instrText xml:space="preserve"> XE "</w:instrText>
      </w:r>
      <w:r w:rsidR="00C1513A" w:rsidRPr="004D0475">
        <w:rPr>
          <w:rFonts w:asciiTheme="majorBidi" w:eastAsia="Times New Roman" w:hAnsiTheme="majorBidi" w:cstheme="majorBidi"/>
          <w:lang w:val="en-GB"/>
        </w:rPr>
        <w:instrText>West Ditch</w:instrText>
      </w:r>
      <w:r w:rsidR="00C1513A">
        <w:instrText xml:space="preserve">" </w:instrText>
      </w:r>
      <w:r w:rsidR="00C1513A">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rockwork and structural features in the southern section (a) indicate a later arrangement, such as an add-on, boulder mark/pattern in the southwest corner of the southern section, or cavities dug into the ground (b).</w:t>
      </w:r>
    </w:p>
    <w:p w14:paraId="3BD7F526" w14:textId="77777777" w:rsidR="006B5F19" w:rsidRPr="00F03A26" w:rsidRDefault="006B5F19" w:rsidP="00F03A26">
      <w:pPr>
        <w:jc w:val="both"/>
        <w:rPr>
          <w:rFonts w:asciiTheme="majorBidi" w:eastAsia="Times New Roman" w:hAnsiTheme="majorBidi" w:cstheme="majorBidi"/>
          <w:lang w:val="en-GB"/>
        </w:rPr>
      </w:pPr>
    </w:p>
    <w:p w14:paraId="66E47C62" w14:textId="18B1B7F8"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lastRenderedPageBreak/>
        <w:t>The western section of the rock comprises an area originating in the western ditch and extending westwards. (Fig. 4: area II, 5, 7) The West Ditch</w:t>
      </w:r>
      <w:r w:rsidR="00C1513A">
        <w:rPr>
          <w:rFonts w:asciiTheme="majorBidi" w:eastAsia="Times New Roman" w:hAnsiTheme="majorBidi" w:cstheme="majorBidi"/>
          <w:lang w:val="en-GB"/>
        </w:rPr>
        <w:fldChar w:fldCharType="begin"/>
      </w:r>
      <w:r w:rsidR="00C1513A">
        <w:instrText xml:space="preserve"> XE "</w:instrText>
      </w:r>
      <w:r w:rsidR="00C1513A" w:rsidRPr="004D0475">
        <w:rPr>
          <w:rFonts w:asciiTheme="majorBidi" w:eastAsia="Times New Roman" w:hAnsiTheme="majorBidi" w:cstheme="majorBidi"/>
          <w:lang w:val="en-GB"/>
        </w:rPr>
        <w:instrText>West Ditch</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is structurally quite different from its eastern counterpart. In the southern part, a flat area is under the Ottoman</w:t>
      </w:r>
      <w:r w:rsidR="00647545">
        <w:rPr>
          <w:rFonts w:asciiTheme="majorBidi" w:eastAsia="Times New Roman" w:hAnsiTheme="majorBidi" w:cstheme="majorBidi"/>
          <w:lang w:val="en-GB"/>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towers. This section spans an area approximately 11 m wide and 14 m long carved into the bedrock (Fig. 7). The depth of the trench extends outwards 1.60 m west and 9.50 m east of the natural structure of the bedrock. In this direction, the 6.50 m high adobe Ottoman towers with wooden beams rise from stone foundations approximately 2 m high. At the southwest end of this area, cavities are dug into the bedrock (Fig. 8b). The width of the ditch stretching towards the Ottoman gate is around 4.40-4.60 m. Both sections display differences in structure and craftsmanship quality. In addition to its dimensions, there are clear traces of the use of chisels in a 14 by 11 m area in the south (Fig. 8a), but these traces are not evident in other areas. Only a portion of the northern area was deepened by carving into bedrock. The section, extending north to the Ottoman Gate, forms a flat terrace. It is possible that this section was filled during later periods.</w:t>
      </w:r>
    </w:p>
    <w:p w14:paraId="6684AF24" w14:textId="77777777" w:rsidR="006B5F19" w:rsidRPr="00F03A26" w:rsidRDefault="006B5F19" w:rsidP="00F03A26">
      <w:pPr>
        <w:jc w:val="both"/>
        <w:rPr>
          <w:rFonts w:asciiTheme="majorBidi" w:eastAsia="Times New Roman" w:hAnsiTheme="majorBidi" w:cstheme="majorBidi"/>
          <w:lang w:val="en-GB"/>
        </w:rPr>
      </w:pPr>
    </w:p>
    <w:p w14:paraId="0B3FD55E" w14:textId="26763E1D"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western section descends at a shallow decline toward the plain (Fig 4IIa-b, 5). Due to the favorable topography in this section, the citadel's entrance is probably in this area. There are many building groups from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located here. Traces of a foundation for a building complex termed 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occupying the highest point in this area, suggest that the building was constructed atop large terraces formed by leveling the bedrock. The Horhor</w:t>
      </w:r>
      <w:r w:rsidR="00647545">
        <w:rPr>
          <w:rFonts w:asciiTheme="majorBidi" w:eastAsia="Times New Roman" w:hAnsiTheme="majorBidi" w:cstheme="majorBidi"/>
          <w:lang w:val="en-GB"/>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tombs</w:t>
      </w:r>
      <w:r w:rsidR="00EA6C63">
        <w:rPr>
          <w:rFonts w:asciiTheme="majorBidi" w:eastAsia="Times New Roman" w:hAnsiTheme="majorBidi" w:cstheme="majorBidi"/>
          <w:lang w:val="en-GB"/>
        </w:rPr>
        <w:fldChar w:fldCharType="begin"/>
      </w:r>
      <w:r w:rsidR="00EA6C63">
        <w:instrText xml:space="preserve"> XE "</w:instrText>
      </w:r>
      <w:r w:rsidR="00EA6C63" w:rsidRPr="00F94AA5">
        <w:rPr>
          <w:rFonts w:asciiTheme="majorBidi" w:hAnsiTheme="majorBidi" w:cstheme="majorBidi"/>
        </w:rPr>
        <w:instrText>Horhor tombs</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situated further west and named after a water source located south of Ṭušpa Rock, and the building called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/Madırburç</w:t>
      </w:r>
      <w:r w:rsidR="00E652FB">
        <w:rPr>
          <w:rFonts w:asciiTheme="majorBidi" w:eastAsia="Times New Roman" w:hAnsiTheme="majorBidi" w:cstheme="majorBidi"/>
          <w:lang w:val="en-GB"/>
        </w:rPr>
        <w:fldChar w:fldCharType="begin"/>
      </w:r>
      <w:r w:rsidR="00E652FB">
        <w:instrText xml:space="preserve"> XE "</w:instrText>
      </w:r>
      <w:r w:rsidR="00E652FB" w:rsidRPr="007A1ADD">
        <w:rPr>
          <w:rFonts w:asciiTheme="majorBidi" w:hAnsiTheme="majorBidi" w:cstheme="majorBidi"/>
        </w:rPr>
        <w:instrText>Madırburç</w:instrText>
      </w:r>
      <w:r w:rsidR="00E652FB">
        <w:instrText xml:space="preserve">" </w:instrText>
      </w:r>
      <w:r w:rsidR="00E652FB">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constructed on the plain level, are essential structures in this area. The Horhor section and the western end of the rock are more generally endowed with natural water sources.</w:t>
      </w:r>
    </w:p>
    <w:p w14:paraId="2AE93018" w14:textId="77777777" w:rsidR="006B5F19" w:rsidRPr="00F03A26" w:rsidRDefault="006B5F19" w:rsidP="00F03A26">
      <w:pPr>
        <w:jc w:val="both"/>
        <w:rPr>
          <w:rFonts w:asciiTheme="majorBidi" w:eastAsia="Times New Roman" w:hAnsiTheme="majorBidi" w:cstheme="majorBidi"/>
          <w:lang w:val="en-GB"/>
        </w:rPr>
      </w:pPr>
    </w:p>
    <w:p w14:paraId="4EE6E45B" w14:textId="23DF054C"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late-period wall system of the citadel, which still stands today, rises above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walls at various points (Fig. 3, a-c). Large travertine, limestone, and sandstone blocks on the foundation beds carved into the bedrock provide insight into the fortification system of the Urartian period. Mortared and late-period walls rise above these walls through smaller blocks of stone. Foundation deposits enable us to determine the location and route of the Urartian period walls, and it is evident that the walls cradling the citadel rise to several levels. The presence of constructed stepped terraces corresponding to the topography in the Urartian period would suggest that buildings were built atop or adjacent to defensive walls, contributing to the fortification system in the process. Especially in 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Analıkız</w:t>
      </w:r>
      <w:r w:rsidR="00647545">
        <w:rPr>
          <w:rFonts w:asciiTheme="majorBidi" w:eastAsia="Times New Roman" w:hAnsiTheme="majorBidi" w:cstheme="majorBidi"/>
          <w:lang w:val="en-GB"/>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areas, the foundation beds rising from the rocks just above ground level result from this characteristically Urartian architectural habit. Owing to this, the rocky walls rising as stepped natural terraces in the north were made viable through the employment of artificial terraces built atop the foundation beds of the city walls, and these high walls concurrently served a defensive function. As mentioned, the rock's south side climbs at a very steep incline. Excluding the south section of the New Palace and the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w:t>
      </w:r>
      <w:r w:rsidR="00C1513A">
        <w:rPr>
          <w:rFonts w:asciiTheme="majorBidi" w:eastAsia="Times New Roman" w:hAnsiTheme="majorBidi" w:cstheme="majorBidi"/>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area, which were likely reinforced to be used as foundations on which later structures could be built, no arrangement of the fortification system is visible on the south face of the rock.</w:t>
      </w:r>
    </w:p>
    <w:p w14:paraId="425CDD18" w14:textId="77777777" w:rsidR="006B5F19" w:rsidRPr="00F03A26" w:rsidRDefault="006B5F19" w:rsidP="00F03A26">
      <w:pPr>
        <w:jc w:val="both"/>
        <w:rPr>
          <w:rFonts w:asciiTheme="majorBidi" w:eastAsia="Times New Roman" w:hAnsiTheme="majorBidi" w:cstheme="majorBidi"/>
          <w:lang w:val="en-GB"/>
        </w:rPr>
      </w:pPr>
    </w:p>
    <w:p w14:paraId="0AD35685"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lastRenderedPageBreak/>
        <w:t xml:space="preserve"> </w:t>
      </w:r>
      <w:r w:rsidRPr="00F03A26">
        <w:rPr>
          <w:rFonts w:asciiTheme="majorBidi" w:eastAsia="Times New Roman" w:hAnsiTheme="majorBidi" w:cstheme="majorBidi"/>
          <w:noProof/>
        </w:rPr>
        <w:drawing>
          <wp:inline distT="114300" distB="114300" distL="114300" distR="114300" wp14:anchorId="6224B941" wp14:editId="35E3E69A">
            <wp:extent cx="4276725" cy="3019425"/>
            <wp:effectExtent l="0" t="0" r="0" b="0"/>
            <wp:docPr id="14" name="image13.png" descr="dış mekan, dağ, dip kaya, jeoloji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4" name="image13.png" descr="dış mekan, dağ, dip kaya, jeoloji içeren bir resim&#10;&#10;Açıklama otomatik olarak oluşturuldu"/>
                    <pic:cNvPicPr preferRelativeResize="0"/>
                  </pic:nvPicPr>
                  <pic:blipFill>
                    <a:blip r:embed="rId57"/>
                    <a:srcRect/>
                    <a:stretch>
                      <a:fillRect/>
                    </a:stretch>
                  </pic:blipFill>
                  <pic:spPr>
                    <a:xfrm>
                      <a:off x="0" y="0"/>
                      <a:ext cx="4276725" cy="3019425"/>
                    </a:xfrm>
                    <a:prstGeom prst="rect">
                      <a:avLst/>
                    </a:prstGeom>
                    <a:ln/>
                  </pic:spPr>
                </pic:pic>
              </a:graphicData>
            </a:graphic>
          </wp:inline>
        </w:drawing>
      </w:r>
    </w:p>
    <w:p w14:paraId="68AAEF86" w14:textId="4FB3D67B"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9 View from the south of the foundation deposits concentrated around the </w:t>
      </w:r>
      <w:r w:rsidRPr="00F03A26">
        <w:rPr>
          <w:rFonts w:asciiTheme="majorBidi" w:eastAsia="Times New Roman" w:hAnsiTheme="majorBidi" w:cstheme="majorBidi"/>
          <w:lang w:val="en-GB"/>
        </w:rPr>
        <w:t>Argišti</w:t>
      </w:r>
      <w:r w:rsidRPr="00F03A26">
        <w:rPr>
          <w:rFonts w:asciiTheme="majorBidi" w:eastAsia="Times New Roman" w:hAnsiTheme="majorBidi" w:cstheme="majorBidi"/>
          <w:iCs/>
          <w:lang w:val="en-GB"/>
        </w:rPr>
        <w:t xml:space="preserve"> I</w:t>
      </w:r>
      <w:r w:rsidR="001F2587">
        <w:rPr>
          <w:rFonts w:asciiTheme="majorBidi" w:eastAsia="Times New Roman" w:hAnsiTheme="majorBidi" w:cstheme="majorBidi"/>
          <w:iCs/>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tomb</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w:instrText>
      </w:r>
      <w:r w:rsidRPr="00573B62">
        <w:rPr>
          <w:rFonts w:asciiTheme="majorBidi" w:eastAsia="Calibri" w:hAnsiTheme="majorBidi" w:cstheme="majorBidi"/>
          <w:lang w:val="en-GB"/>
        </w:rPr>
        <w:instrText>Argišti</w:instrText>
      </w:r>
      <w:r w:rsidRPr="00F03A26">
        <w:rPr>
          <w:rFonts w:asciiTheme="majorBidi" w:eastAsia="Calibri" w:hAnsiTheme="majorBidi" w:cstheme="majorBidi"/>
          <w:lang w:val="en-GB"/>
        </w:rPr>
        <w:instrText xml:space="preserve"> I </w:instrText>
      </w:r>
      <w:r w:rsidR="00573B62">
        <w:rPr>
          <w:rFonts w:asciiTheme="majorBidi" w:eastAsia="Calibri" w:hAnsiTheme="majorBidi" w:cstheme="majorBidi"/>
          <w:lang w:val="en-GB"/>
        </w:rPr>
        <w:instrText>t</w:instrText>
      </w:r>
      <w:r w:rsidRPr="00F03A26">
        <w:rPr>
          <w:rFonts w:asciiTheme="majorBidi" w:eastAsia="Calibri" w:hAnsiTheme="majorBidi" w:cstheme="majorBidi"/>
          <w:lang w:val="en-GB"/>
        </w:rPr>
        <w:instrText xml:space="preserve">omb" </w:instrText>
      </w:r>
      <w:r w:rsidRPr="00F03A26">
        <w:rPr>
          <w:rFonts w:asciiTheme="majorBidi" w:eastAsia="Times New Roman" w:hAnsiTheme="majorBidi" w:cstheme="majorBidi"/>
          <w:iCs/>
          <w:lang w:val="en-GB"/>
        </w:rPr>
        <w:fldChar w:fldCharType="end"/>
      </w:r>
    </w:p>
    <w:p w14:paraId="00B3E544" w14:textId="77777777" w:rsidR="006B5F19" w:rsidRPr="00F03A26" w:rsidRDefault="006B5F19" w:rsidP="00F03A26">
      <w:pPr>
        <w:jc w:val="both"/>
        <w:rPr>
          <w:rFonts w:asciiTheme="majorBidi" w:eastAsia="Times New Roman" w:hAnsiTheme="majorBidi" w:cstheme="majorBidi"/>
          <w:iCs/>
          <w:lang w:val="en-GB"/>
        </w:rPr>
      </w:pPr>
    </w:p>
    <w:p w14:paraId="106EFF4E" w14:textId="0FAD207E"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Interestingly, the walls and terraces rising from the foundation beds dug into the rock's very steep, rocky surface comprise the boundaries of the structures extending southward, especially in the sections where 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are located (Fig. 5, 9). </w:t>
      </w:r>
    </w:p>
    <w:p w14:paraId="0D44FD27" w14:textId="77777777" w:rsidR="006B5F19" w:rsidRPr="00F03A26" w:rsidRDefault="006B5F19" w:rsidP="00F03A26">
      <w:pPr>
        <w:jc w:val="both"/>
        <w:rPr>
          <w:rFonts w:asciiTheme="majorBidi" w:eastAsia="Times New Roman" w:hAnsiTheme="majorBidi" w:cstheme="majorBidi"/>
          <w:lang w:val="en-GB"/>
        </w:rPr>
      </w:pPr>
    </w:p>
    <w:p w14:paraId="2AB0676C"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This section is quite steep, and the rocks create a natural defensive line (Fig. 10). Except for sections stooping to the plain at the western and eastern ends of the hill, this inherently protective structure required little additional fortification. The primary purpose of the walls placed atop the foundation beds was to create smooth floors and borders upon which the structures extending to the south could sit.</w:t>
      </w:r>
    </w:p>
    <w:p w14:paraId="4C7C5670"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noProof/>
        </w:rPr>
        <w:drawing>
          <wp:inline distT="114300" distB="114300" distL="114300" distR="114300" wp14:anchorId="031282AF" wp14:editId="782C13CA">
            <wp:extent cx="4314825" cy="2428875"/>
            <wp:effectExtent l="0" t="0" r="0" b="0"/>
            <wp:docPr id="29" name="image22.png" descr="dış mekan, gökyüzü, dağ, bulut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9" name="image22.png" descr="dış mekan, gökyüzü, dağ, bulut içeren bir resim&#10;&#10;Açıklama otomatik olarak oluşturuldu"/>
                    <pic:cNvPicPr preferRelativeResize="0"/>
                  </pic:nvPicPr>
                  <pic:blipFill>
                    <a:blip r:embed="rId58"/>
                    <a:srcRect/>
                    <a:stretch>
                      <a:fillRect/>
                    </a:stretch>
                  </pic:blipFill>
                  <pic:spPr>
                    <a:xfrm>
                      <a:off x="0" y="0"/>
                      <a:ext cx="4314825" cy="2428875"/>
                    </a:xfrm>
                    <a:prstGeom prst="rect">
                      <a:avLst/>
                    </a:prstGeom>
                    <a:ln/>
                  </pic:spPr>
                </pic:pic>
              </a:graphicData>
            </a:graphic>
          </wp:inline>
        </w:drawing>
      </w:r>
    </w:p>
    <w:p w14:paraId="590CF1B9" w14:textId="77777777" w:rsidR="006B5F19" w:rsidRPr="00F03A26" w:rsidRDefault="006B5F19" w:rsidP="00F03A26">
      <w:pPr>
        <w:jc w:val="both"/>
        <w:rPr>
          <w:rFonts w:asciiTheme="majorBidi" w:eastAsia="Times New Roman" w:hAnsiTheme="majorBidi" w:cstheme="majorBidi"/>
          <w:lang w:val="en-GB"/>
        </w:rPr>
      </w:pPr>
    </w:p>
    <w:p w14:paraId="60A21F12" w14:textId="62A3323A"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Fig. 10 Foundation deposits in the Ṭušpa II area (Fig. 4II, 5) are dense. These beds, which start near the plain level in the north of this area, rise in various stages up to the New Palace</w:t>
      </w:r>
      <w:r w:rsidR="00C1513A">
        <w:rPr>
          <w:rFonts w:asciiTheme="majorBidi" w:eastAsia="Times New Roman" w:hAnsiTheme="majorBidi" w:cstheme="majorBidi"/>
          <w:iCs/>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area.</w:t>
      </w:r>
    </w:p>
    <w:p w14:paraId="37D605A8" w14:textId="77777777" w:rsidR="006B5F19" w:rsidRPr="00F03A26" w:rsidRDefault="006B5F19" w:rsidP="00F03A26">
      <w:pPr>
        <w:jc w:val="both"/>
        <w:rPr>
          <w:rFonts w:asciiTheme="majorBidi" w:eastAsia="Times New Roman" w:hAnsiTheme="majorBidi" w:cstheme="majorBidi"/>
          <w:lang w:val="en-GB"/>
        </w:rPr>
      </w:pPr>
    </w:p>
    <w:p w14:paraId="468EDFB6" w14:textId="2AC98AC6"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lastRenderedPageBreak/>
        <w:t>Although the foundation beds of the walls can be observed in many locations across the zone west of the western ditch, it is not easy to trace the lines and structural features of the walls here, excluding the evident building remains. The fact that this territory is closer to the plain has instigated, or at least catalyzed, the dismantling of city walls and the placement of foundations in this area over time. Although the walls spanning from the western ditch to the Tabriz Kapı locality across various heights comprise the main rampart line of the citadel, the purpose these northern walls served in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period is not entirely clear. Large stone blocks, present across the site and characteristic of the Urartian period, can be found in this area, though it is unclear whether these were used as foundations in this period itself or as spolia later on. </w:t>
      </w:r>
    </w:p>
    <w:p w14:paraId="722931B7" w14:textId="77777777" w:rsidR="006B5F19" w:rsidRPr="00F03A26" w:rsidRDefault="006B5F19" w:rsidP="00F03A26">
      <w:pPr>
        <w:jc w:val="both"/>
        <w:rPr>
          <w:rFonts w:asciiTheme="majorBidi" w:eastAsia="Times New Roman" w:hAnsiTheme="majorBidi" w:cstheme="majorBidi"/>
          <w:lang w:val="en-GB"/>
        </w:rPr>
      </w:pPr>
    </w:p>
    <w:p w14:paraId="31652933" w14:textId="216BA588"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On a separate note, the foundation beds of the city walls can be observed in a line creeping from the western ditch of the citadel along the lower levels of the north surrounding walls. This line extends to the upper level of the Analıkız</w:t>
      </w:r>
      <w:r w:rsidR="00647545">
        <w:rPr>
          <w:rFonts w:asciiTheme="majorBidi" w:eastAsia="Times New Roman" w:hAnsiTheme="majorBidi" w:cstheme="majorBidi"/>
          <w:lang w:val="en-GB"/>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area. Likewise, in early excavations to the west of Analıkız, wall remains possibly belonging to this fortification system have been uncovered (Genç, 2019). With this in mind, we can confidently say that the walls of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began at a lower level than initially thought, and the citadel covered a larger area of more enormous terraces than what survives to this day. Since 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Section sits at a lower elevation, the fortification system here crept down to lower levels by the incline of the slope; in other words, a defense system was built in harmony with the topographic structure of the mound. This series of fortifications was reinforced by high walls built at some points, taking advantage of steep elevations in the terrain. This defensive system, built in large part for the defense of the citadel, also served the same purpose as the structures within.</w:t>
      </w:r>
    </w:p>
    <w:p w14:paraId="10EA5CC7" w14:textId="77777777" w:rsidR="006B5F19" w:rsidRPr="00F03A26" w:rsidRDefault="006B5F19" w:rsidP="00F03A26">
      <w:pPr>
        <w:jc w:val="both"/>
        <w:rPr>
          <w:rFonts w:asciiTheme="majorBidi" w:eastAsia="Times New Roman" w:hAnsiTheme="majorBidi" w:cstheme="majorBidi"/>
          <w:lang w:val="en-GB"/>
        </w:rPr>
      </w:pPr>
    </w:p>
    <w:p w14:paraId="09F5EA34" w14:textId="77777777" w:rsidR="006B5F19" w:rsidRPr="00F03A26" w:rsidRDefault="006B5F19" w:rsidP="00F03A26">
      <w:pPr>
        <w:keepNext/>
        <w:keepLines/>
        <w:spacing w:before="40"/>
        <w:jc w:val="both"/>
        <w:outlineLvl w:val="1"/>
        <w:rPr>
          <w:rFonts w:asciiTheme="majorBidi" w:eastAsia="Times New Roman" w:hAnsiTheme="majorBidi" w:cstheme="majorBidi"/>
          <w:b/>
          <w:bCs/>
          <w:sz w:val="28"/>
          <w:szCs w:val="28"/>
          <w:lang w:val="en-GB"/>
        </w:rPr>
      </w:pPr>
      <w:bookmarkStart w:id="38" w:name="_Toc173231197"/>
      <w:r w:rsidRPr="00F03A26">
        <w:rPr>
          <w:rFonts w:asciiTheme="majorBidi" w:eastAsia="Times New Roman" w:hAnsiTheme="majorBidi" w:cstheme="majorBidi"/>
          <w:b/>
          <w:bCs/>
          <w:sz w:val="28"/>
          <w:szCs w:val="28"/>
          <w:lang w:val="en-GB"/>
        </w:rPr>
        <w:t>3.2. Inscriptions and Structures</w:t>
      </w:r>
      <w:bookmarkEnd w:id="38"/>
    </w:p>
    <w:p w14:paraId="3A26914D"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rPr>
        <w:t xml:space="preserve">When we look at the topographic distribution of the citadel structures, which we have summarised above, considering the known chronologies of the citadel structures, it is possible to reach some conclusions regarding the usage process of the citadel. Regarding chronology, the structures we will refer to directly have inscriptions. Considering the inscriptions carved into the bedrock, which we can reliably assume to be </w:t>
      </w:r>
      <w:r w:rsidRPr="00F03A26">
        <w:rPr>
          <w:rFonts w:asciiTheme="majorBidi" w:eastAsia="Times New Roman" w:hAnsiTheme="majorBidi" w:cstheme="majorBidi"/>
          <w:i/>
          <w:iCs/>
        </w:rPr>
        <w:t>in situ</w:t>
      </w:r>
      <w:r w:rsidRPr="00F03A26">
        <w:rPr>
          <w:rFonts w:asciiTheme="majorBidi" w:eastAsia="Times New Roman" w:hAnsiTheme="majorBidi" w:cstheme="majorBidi"/>
        </w:rPr>
        <w:t>, will enable us to attain more apt results. In this respect, the following table appears (see also Chapter 4):</w:t>
      </w:r>
    </w:p>
    <w:p w14:paraId="74A10A97" w14:textId="77777777" w:rsidR="006B5F19" w:rsidRPr="00F03A26" w:rsidRDefault="006B5F19" w:rsidP="00F03A26">
      <w:pPr>
        <w:jc w:val="both"/>
        <w:rPr>
          <w:rFonts w:asciiTheme="majorBidi" w:eastAsia="Calibri" w:hAnsiTheme="majorBidi" w:cstheme="majorBidi"/>
          <w:lang w:val="en-GB"/>
        </w:rPr>
      </w:pPr>
    </w:p>
    <w:tbl>
      <w:tblPr>
        <w:tblStyle w:val="TabloKlavuzu1"/>
        <w:tblW w:w="0" w:type="auto"/>
        <w:tblLook w:val="04A0" w:firstRow="1" w:lastRow="0" w:firstColumn="1" w:lastColumn="0" w:noHBand="0" w:noVBand="1"/>
      </w:tblPr>
      <w:tblGrid>
        <w:gridCol w:w="3101"/>
        <w:gridCol w:w="3102"/>
        <w:gridCol w:w="2816"/>
      </w:tblGrid>
      <w:tr w:rsidR="006B5F19" w:rsidRPr="00F03A26" w14:paraId="6655E49C" w14:textId="77777777" w:rsidTr="00F45667">
        <w:tc>
          <w:tcPr>
            <w:tcW w:w="3114" w:type="dxa"/>
          </w:tcPr>
          <w:p w14:paraId="612037F7" w14:textId="77777777" w:rsidR="006B5F19" w:rsidRPr="00F03A26" w:rsidRDefault="006B5F19" w:rsidP="00F03A26">
            <w:pPr>
              <w:jc w:val="both"/>
              <w:rPr>
                <w:rFonts w:asciiTheme="majorBidi" w:eastAsia="Calibri" w:hAnsiTheme="majorBidi" w:cstheme="majorBidi"/>
                <w:b/>
                <w:sz w:val="24"/>
                <w:szCs w:val="24"/>
              </w:rPr>
            </w:pPr>
            <w:r w:rsidRPr="00F03A26">
              <w:rPr>
                <w:rFonts w:asciiTheme="majorBidi" w:eastAsia="Times New Roman" w:hAnsiTheme="majorBidi" w:cstheme="majorBidi"/>
                <w:b/>
                <w:sz w:val="24"/>
                <w:szCs w:val="24"/>
              </w:rPr>
              <w:t xml:space="preserve">Structure Name </w:t>
            </w:r>
          </w:p>
          <w:p w14:paraId="2C0FFB56" w14:textId="77777777" w:rsidR="006B5F19" w:rsidRPr="00F03A26" w:rsidRDefault="006B5F19" w:rsidP="00F03A26">
            <w:pPr>
              <w:jc w:val="both"/>
              <w:rPr>
                <w:rFonts w:asciiTheme="majorBidi" w:eastAsia="Calibri" w:hAnsiTheme="majorBidi" w:cstheme="majorBidi"/>
                <w:b/>
                <w:sz w:val="24"/>
                <w:szCs w:val="24"/>
              </w:rPr>
            </w:pPr>
          </w:p>
        </w:tc>
        <w:tc>
          <w:tcPr>
            <w:tcW w:w="3118" w:type="dxa"/>
          </w:tcPr>
          <w:p w14:paraId="7C29EEB3" w14:textId="77777777" w:rsidR="006B5F19" w:rsidRPr="00F03A26" w:rsidRDefault="006B5F19" w:rsidP="00F03A26">
            <w:pPr>
              <w:jc w:val="both"/>
              <w:rPr>
                <w:rFonts w:asciiTheme="majorBidi" w:eastAsia="Calibri" w:hAnsiTheme="majorBidi" w:cstheme="majorBidi"/>
                <w:b/>
                <w:sz w:val="24"/>
                <w:szCs w:val="24"/>
              </w:rPr>
            </w:pPr>
            <w:r w:rsidRPr="00F03A26">
              <w:rPr>
                <w:rFonts w:asciiTheme="majorBidi" w:eastAsia="Calibri" w:hAnsiTheme="majorBidi" w:cstheme="majorBidi"/>
                <w:b/>
                <w:sz w:val="24"/>
                <w:szCs w:val="24"/>
              </w:rPr>
              <w:t>King</w:t>
            </w:r>
          </w:p>
        </w:tc>
        <w:tc>
          <w:tcPr>
            <w:tcW w:w="2830" w:type="dxa"/>
          </w:tcPr>
          <w:p w14:paraId="6FB74EC6" w14:textId="77777777" w:rsidR="006B5F19" w:rsidRPr="00F03A26" w:rsidRDefault="006B5F19" w:rsidP="00F03A26">
            <w:pPr>
              <w:jc w:val="both"/>
              <w:rPr>
                <w:rFonts w:asciiTheme="majorBidi" w:eastAsia="Calibri" w:hAnsiTheme="majorBidi" w:cstheme="majorBidi"/>
                <w:b/>
                <w:sz w:val="24"/>
                <w:szCs w:val="24"/>
              </w:rPr>
            </w:pPr>
            <w:r w:rsidRPr="00F03A26">
              <w:rPr>
                <w:rFonts w:asciiTheme="majorBidi" w:eastAsia="Calibri" w:hAnsiTheme="majorBidi" w:cstheme="majorBidi"/>
                <w:b/>
                <w:sz w:val="24"/>
                <w:szCs w:val="24"/>
              </w:rPr>
              <w:t>Text No (CTU)</w:t>
            </w:r>
          </w:p>
        </w:tc>
      </w:tr>
      <w:tr w:rsidR="006B5F19" w:rsidRPr="00F03A26" w14:paraId="1C689347" w14:textId="77777777" w:rsidTr="00F45667">
        <w:tc>
          <w:tcPr>
            <w:tcW w:w="3114" w:type="dxa"/>
          </w:tcPr>
          <w:p w14:paraId="0830170E"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sz w:val="24"/>
                <w:szCs w:val="24"/>
              </w:rPr>
              <w:t>Sardurburç</w:t>
            </w:r>
            <w:r w:rsidRPr="00F03A26">
              <w:rPr>
                <w:rFonts w:asciiTheme="majorBidi" w:eastAsia="Times New Roman" w:hAnsiTheme="majorBidi" w:cstheme="majorBidi"/>
              </w:rPr>
              <w:fldChar w:fldCharType="begin"/>
            </w:r>
            <w:r w:rsidRPr="00F03A26">
              <w:rPr>
                <w:rFonts w:asciiTheme="majorBidi" w:eastAsia="Calibri" w:hAnsiTheme="majorBidi" w:cstheme="majorBidi"/>
              </w:rPr>
              <w:instrText xml:space="preserve"> XE "Sardurburç" </w:instrText>
            </w:r>
            <w:r w:rsidRPr="00F03A26">
              <w:rPr>
                <w:rFonts w:asciiTheme="majorBidi" w:eastAsia="Times New Roman" w:hAnsiTheme="majorBidi" w:cstheme="majorBidi"/>
              </w:rPr>
              <w:fldChar w:fldCharType="end"/>
            </w:r>
            <w:r w:rsidRPr="00F03A26">
              <w:rPr>
                <w:rFonts w:asciiTheme="majorBidi" w:eastAsia="Times New Roman" w:hAnsiTheme="majorBidi" w:cstheme="majorBidi"/>
                <w:sz w:val="24"/>
                <w:szCs w:val="24"/>
                <w:highlight w:val="white"/>
              </w:rPr>
              <w:tab/>
            </w:r>
          </w:p>
        </w:tc>
        <w:tc>
          <w:tcPr>
            <w:tcW w:w="3118" w:type="dxa"/>
          </w:tcPr>
          <w:p w14:paraId="37F13A85"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sz w:val="24"/>
                <w:szCs w:val="24"/>
                <w:highlight w:val="white"/>
              </w:rPr>
              <w:t>Sarduri</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w:instrText>
            </w:r>
            <w:r w:rsidRPr="00F03A26">
              <w:rPr>
                <w:rFonts w:asciiTheme="majorBidi" w:eastAsia="Calibri" w:hAnsiTheme="majorBidi" w:cstheme="majorBidi"/>
                <w:iCs/>
              </w:rPr>
              <w:instrText>Sarduri</w:instrText>
            </w:r>
            <w:r w:rsidRPr="00F03A26">
              <w:rPr>
                <w:rFonts w:asciiTheme="majorBidi" w:eastAsia="Calibri" w:hAnsiTheme="majorBidi" w:cstheme="majorBidi"/>
              </w:rPr>
              <w:instrText xml:space="preserve">" </w:instrText>
            </w:r>
            <w:r w:rsidRPr="00F03A26">
              <w:rPr>
                <w:rFonts w:asciiTheme="majorBidi" w:eastAsia="Times New Roman" w:hAnsiTheme="majorBidi" w:cstheme="majorBidi"/>
                <w:highlight w:val="white"/>
              </w:rPr>
              <w:fldChar w:fldCharType="end"/>
            </w:r>
            <w:r w:rsidRPr="00F03A26">
              <w:rPr>
                <w:rFonts w:asciiTheme="majorBidi" w:eastAsia="Times New Roman" w:hAnsiTheme="majorBidi" w:cstheme="majorBidi"/>
                <w:sz w:val="24"/>
                <w:szCs w:val="24"/>
                <w:highlight w:val="white"/>
              </w:rPr>
              <w:t xml:space="preserve"> I</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"Sarduri I" </w:instrText>
            </w:r>
            <w:r w:rsidRPr="00F03A26">
              <w:rPr>
                <w:rFonts w:asciiTheme="majorBidi" w:eastAsia="Times New Roman" w:hAnsiTheme="majorBidi" w:cstheme="majorBidi"/>
                <w:highlight w:val="white"/>
              </w:rPr>
              <w:fldChar w:fldCharType="end"/>
            </w:r>
          </w:p>
        </w:tc>
        <w:tc>
          <w:tcPr>
            <w:tcW w:w="2830" w:type="dxa"/>
          </w:tcPr>
          <w:p w14:paraId="3C5ED044"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Calibri" w:hAnsiTheme="majorBidi" w:cstheme="majorBidi"/>
                <w:sz w:val="24"/>
                <w:szCs w:val="24"/>
              </w:rPr>
              <w:t>CTU I. A 01-01</w:t>
            </w:r>
          </w:p>
        </w:tc>
      </w:tr>
      <w:tr w:rsidR="006B5F19" w:rsidRPr="00F03A26" w14:paraId="03D6CC64" w14:textId="77777777" w:rsidTr="00F45667">
        <w:tc>
          <w:tcPr>
            <w:tcW w:w="3114" w:type="dxa"/>
          </w:tcPr>
          <w:p w14:paraId="72E6C4B6"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sz w:val="24"/>
                <w:szCs w:val="24"/>
                <w:highlight w:val="white"/>
              </w:rPr>
              <w:t>Tabriz Kapı</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w:instrText>
            </w:r>
            <w:r w:rsidRPr="00F03A26">
              <w:rPr>
                <w:rFonts w:asciiTheme="majorBidi" w:eastAsia="Times New Roman" w:hAnsiTheme="majorBidi" w:cstheme="majorBidi"/>
              </w:rPr>
              <w:instrText>Tabriz Kapı</w:instrText>
            </w:r>
            <w:r w:rsidRPr="00F03A26">
              <w:rPr>
                <w:rFonts w:asciiTheme="majorBidi" w:eastAsia="Calibri" w:hAnsiTheme="majorBidi" w:cstheme="majorBidi"/>
              </w:rPr>
              <w:instrText xml:space="preserve">" </w:instrText>
            </w:r>
            <w:r w:rsidRPr="00F03A26">
              <w:rPr>
                <w:rFonts w:asciiTheme="majorBidi" w:eastAsia="Times New Roman" w:hAnsiTheme="majorBidi" w:cstheme="majorBidi"/>
                <w:highlight w:val="white"/>
              </w:rPr>
              <w:fldChar w:fldCharType="end"/>
            </w:r>
            <w:r w:rsidRPr="00F03A26">
              <w:rPr>
                <w:rFonts w:asciiTheme="majorBidi" w:eastAsia="Times New Roman" w:hAnsiTheme="majorBidi" w:cstheme="majorBidi"/>
                <w:sz w:val="24"/>
                <w:szCs w:val="24"/>
                <w:highlight w:val="white"/>
              </w:rPr>
              <w:t xml:space="preserve"> Inscription</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"Tabriz Kapı Inscription" </w:instrText>
            </w:r>
            <w:r w:rsidRPr="00F03A26">
              <w:rPr>
                <w:rFonts w:asciiTheme="majorBidi" w:eastAsia="Times New Roman" w:hAnsiTheme="majorBidi" w:cstheme="majorBidi"/>
                <w:highlight w:val="white"/>
              </w:rPr>
              <w:fldChar w:fldCharType="end"/>
            </w:r>
          </w:p>
        </w:tc>
        <w:tc>
          <w:tcPr>
            <w:tcW w:w="3118" w:type="dxa"/>
          </w:tcPr>
          <w:p w14:paraId="1A15639E"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iCs/>
                <w:sz w:val="24"/>
                <w:szCs w:val="24"/>
                <w:highlight w:val="white"/>
              </w:rPr>
              <w:t>Išpuini</w:t>
            </w:r>
            <w:r w:rsidRPr="00F03A26">
              <w:rPr>
                <w:rFonts w:asciiTheme="majorBidi" w:eastAsia="Times New Roman" w:hAnsiTheme="majorBidi" w:cstheme="majorBidi"/>
                <w:iCs/>
                <w:highlight w:val="white"/>
              </w:rPr>
              <w:fldChar w:fldCharType="begin"/>
            </w:r>
            <w:r w:rsidRPr="00F03A26">
              <w:rPr>
                <w:rFonts w:asciiTheme="majorBidi" w:eastAsia="Calibri" w:hAnsiTheme="majorBidi" w:cstheme="majorBidi"/>
              </w:rPr>
              <w:instrText xml:space="preserve"> XE "</w:instrText>
            </w:r>
            <w:r w:rsidRPr="00F03A26">
              <w:rPr>
                <w:rFonts w:asciiTheme="majorBidi" w:eastAsia="Calibri" w:hAnsiTheme="majorBidi" w:cstheme="majorBidi"/>
                <w:iCs/>
              </w:rPr>
              <w:instrText>Išpuini</w:instrText>
            </w:r>
            <w:r w:rsidRPr="00F03A26">
              <w:rPr>
                <w:rFonts w:asciiTheme="majorBidi" w:eastAsia="Calibri" w:hAnsiTheme="majorBidi" w:cstheme="majorBidi"/>
              </w:rPr>
              <w:instrText xml:space="preserve">" </w:instrText>
            </w:r>
            <w:r w:rsidRPr="00F03A26">
              <w:rPr>
                <w:rFonts w:asciiTheme="majorBidi" w:eastAsia="Times New Roman" w:hAnsiTheme="majorBidi" w:cstheme="majorBidi"/>
                <w:iCs/>
                <w:highlight w:val="white"/>
              </w:rPr>
              <w:fldChar w:fldCharType="end"/>
            </w:r>
            <w:r w:rsidRPr="00F03A26">
              <w:rPr>
                <w:rFonts w:asciiTheme="majorBidi" w:eastAsia="Times New Roman" w:hAnsiTheme="majorBidi" w:cstheme="majorBidi"/>
                <w:sz w:val="24"/>
                <w:szCs w:val="24"/>
                <w:highlight w:val="white"/>
              </w:rPr>
              <w:t>, Minua</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"Minua" </w:instrText>
            </w:r>
            <w:r w:rsidRPr="00F03A26">
              <w:rPr>
                <w:rFonts w:asciiTheme="majorBidi" w:eastAsia="Times New Roman" w:hAnsiTheme="majorBidi" w:cstheme="majorBidi"/>
                <w:highlight w:val="white"/>
              </w:rPr>
              <w:fldChar w:fldCharType="end"/>
            </w:r>
            <w:r w:rsidRPr="00F03A26">
              <w:rPr>
                <w:rFonts w:asciiTheme="majorBidi" w:eastAsia="Times New Roman" w:hAnsiTheme="majorBidi" w:cstheme="majorBidi"/>
                <w:sz w:val="24"/>
                <w:szCs w:val="24"/>
                <w:highlight w:val="white"/>
              </w:rPr>
              <w:t xml:space="preserve">, </w:t>
            </w:r>
            <w:r w:rsidRPr="00F03A26">
              <w:rPr>
                <w:rFonts w:asciiTheme="majorBidi" w:eastAsia="Times New Roman" w:hAnsiTheme="majorBidi" w:cstheme="majorBidi"/>
                <w:iCs/>
                <w:sz w:val="24"/>
                <w:szCs w:val="24"/>
                <w:highlight w:val="white"/>
              </w:rPr>
              <w:t>In</w:t>
            </w:r>
            <w:r w:rsidRPr="00F03A26">
              <w:rPr>
                <w:rFonts w:asciiTheme="majorBidi" w:eastAsia="Times New Roman" w:hAnsiTheme="majorBidi" w:cstheme="majorBidi"/>
                <w:bCs/>
                <w:iCs/>
                <w:sz w:val="24"/>
                <w:szCs w:val="24"/>
                <w:highlight w:val="white"/>
              </w:rPr>
              <w:t>uš</w:t>
            </w:r>
            <w:r w:rsidRPr="00F03A26">
              <w:rPr>
                <w:rFonts w:asciiTheme="majorBidi" w:eastAsia="Times New Roman" w:hAnsiTheme="majorBidi" w:cstheme="majorBidi"/>
                <w:iCs/>
                <w:sz w:val="24"/>
                <w:szCs w:val="24"/>
                <w:highlight w:val="white"/>
              </w:rPr>
              <w:t>pua</w:t>
            </w:r>
            <w:r w:rsidRPr="00F03A26">
              <w:rPr>
                <w:rFonts w:asciiTheme="majorBidi" w:eastAsia="Times New Roman" w:hAnsiTheme="majorBidi" w:cstheme="majorBidi"/>
                <w:iCs/>
                <w:highlight w:val="white"/>
              </w:rPr>
              <w:fldChar w:fldCharType="begin"/>
            </w:r>
            <w:r w:rsidRPr="00F03A26">
              <w:rPr>
                <w:rFonts w:asciiTheme="majorBidi" w:eastAsia="Calibri" w:hAnsiTheme="majorBidi" w:cstheme="majorBidi"/>
              </w:rPr>
              <w:instrText xml:space="preserve"> XE "Inušpua" </w:instrText>
            </w:r>
            <w:r w:rsidRPr="00F03A26">
              <w:rPr>
                <w:rFonts w:asciiTheme="majorBidi" w:eastAsia="Times New Roman" w:hAnsiTheme="majorBidi" w:cstheme="majorBidi"/>
                <w:iCs/>
                <w:highlight w:val="white"/>
              </w:rPr>
              <w:fldChar w:fldCharType="end"/>
            </w:r>
          </w:p>
        </w:tc>
        <w:tc>
          <w:tcPr>
            <w:tcW w:w="2830" w:type="dxa"/>
          </w:tcPr>
          <w:p w14:paraId="419B74A6"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Calibri" w:hAnsiTheme="majorBidi" w:cstheme="majorBidi"/>
                <w:sz w:val="24"/>
                <w:szCs w:val="24"/>
              </w:rPr>
              <w:t>CTU I. A 04-01</w:t>
            </w:r>
          </w:p>
        </w:tc>
      </w:tr>
      <w:tr w:rsidR="006B5F19" w:rsidRPr="00F03A26" w14:paraId="62592B73" w14:textId="77777777" w:rsidTr="00F45667">
        <w:tc>
          <w:tcPr>
            <w:tcW w:w="3114" w:type="dxa"/>
          </w:tcPr>
          <w:p w14:paraId="626BC1C3" w14:textId="77777777" w:rsidR="006B5F19" w:rsidRPr="00573866" w:rsidRDefault="006B5F19" w:rsidP="00F03A26">
            <w:pPr>
              <w:jc w:val="both"/>
              <w:rPr>
                <w:rFonts w:asciiTheme="majorBidi" w:eastAsia="Calibri" w:hAnsiTheme="majorBidi" w:cstheme="majorBidi"/>
                <w:sz w:val="24"/>
                <w:szCs w:val="24"/>
              </w:rPr>
            </w:pPr>
            <w:r w:rsidRPr="00573866">
              <w:rPr>
                <w:rFonts w:asciiTheme="majorBidi" w:eastAsia="Times New Roman" w:hAnsiTheme="majorBidi" w:cstheme="majorBidi"/>
                <w:sz w:val="24"/>
                <w:szCs w:val="24"/>
                <w:highlight w:val="white"/>
              </w:rPr>
              <w:t>Grain Storage Inscription</w:t>
            </w:r>
          </w:p>
        </w:tc>
        <w:tc>
          <w:tcPr>
            <w:tcW w:w="3118" w:type="dxa"/>
          </w:tcPr>
          <w:p w14:paraId="5AF540D6"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sz w:val="24"/>
                <w:szCs w:val="24"/>
                <w:highlight w:val="white"/>
              </w:rPr>
              <w:t>Minua</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"Minua" </w:instrText>
            </w:r>
            <w:r w:rsidRPr="00F03A26">
              <w:rPr>
                <w:rFonts w:asciiTheme="majorBidi" w:eastAsia="Times New Roman" w:hAnsiTheme="majorBidi" w:cstheme="majorBidi"/>
                <w:highlight w:val="white"/>
              </w:rPr>
              <w:fldChar w:fldCharType="end"/>
            </w:r>
          </w:p>
        </w:tc>
        <w:tc>
          <w:tcPr>
            <w:tcW w:w="2830" w:type="dxa"/>
          </w:tcPr>
          <w:p w14:paraId="0DC53A45"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Calibri" w:hAnsiTheme="majorBidi" w:cstheme="majorBidi"/>
                <w:sz w:val="24"/>
                <w:szCs w:val="24"/>
              </w:rPr>
              <w:t>CTU I. A 5A-1</w:t>
            </w:r>
          </w:p>
        </w:tc>
      </w:tr>
      <w:tr w:rsidR="006B5F19" w:rsidRPr="00F03A26" w14:paraId="4B77F39C" w14:textId="77777777" w:rsidTr="00F45667">
        <w:tc>
          <w:tcPr>
            <w:tcW w:w="3114" w:type="dxa"/>
          </w:tcPr>
          <w:p w14:paraId="11E4D86F" w14:textId="77777777" w:rsidR="006B5F19" w:rsidRPr="00573866" w:rsidRDefault="006B5F19" w:rsidP="00F03A26">
            <w:pPr>
              <w:jc w:val="both"/>
              <w:rPr>
                <w:rFonts w:asciiTheme="majorBidi" w:eastAsia="Calibri" w:hAnsiTheme="majorBidi" w:cstheme="majorBidi"/>
                <w:sz w:val="24"/>
                <w:szCs w:val="24"/>
              </w:rPr>
            </w:pPr>
            <w:r w:rsidRPr="00573866">
              <w:rPr>
                <w:rFonts w:asciiTheme="majorBidi" w:eastAsia="Times New Roman" w:hAnsiTheme="majorBidi" w:cstheme="majorBidi"/>
                <w:sz w:val="24"/>
                <w:szCs w:val="24"/>
                <w:highlight w:val="white"/>
              </w:rPr>
              <w:t>Minua</w:t>
            </w:r>
            <w:r w:rsidRPr="00573866">
              <w:rPr>
                <w:rFonts w:asciiTheme="majorBidi" w:eastAsia="Times New Roman" w:hAnsiTheme="majorBidi" w:cstheme="majorBidi"/>
                <w:highlight w:val="white"/>
              </w:rPr>
              <w:fldChar w:fldCharType="begin"/>
            </w:r>
            <w:r w:rsidRPr="00573866">
              <w:rPr>
                <w:rFonts w:asciiTheme="majorBidi" w:eastAsia="Calibri" w:hAnsiTheme="majorBidi" w:cstheme="majorBidi"/>
              </w:rPr>
              <w:instrText xml:space="preserve"> XE "Minua" </w:instrText>
            </w:r>
            <w:r w:rsidRPr="00573866">
              <w:rPr>
                <w:rFonts w:asciiTheme="majorBidi" w:eastAsia="Times New Roman" w:hAnsiTheme="majorBidi" w:cstheme="majorBidi"/>
                <w:highlight w:val="white"/>
              </w:rPr>
              <w:fldChar w:fldCharType="end"/>
            </w:r>
            <w:r w:rsidRPr="00573866">
              <w:rPr>
                <w:rFonts w:asciiTheme="majorBidi" w:eastAsia="Times New Roman" w:hAnsiTheme="majorBidi" w:cstheme="majorBidi"/>
                <w:sz w:val="24"/>
                <w:szCs w:val="24"/>
                <w:highlight w:val="white"/>
              </w:rPr>
              <w:t>’s Siršini</w:t>
            </w:r>
          </w:p>
        </w:tc>
        <w:tc>
          <w:tcPr>
            <w:tcW w:w="3118" w:type="dxa"/>
          </w:tcPr>
          <w:p w14:paraId="134FE541"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sz w:val="24"/>
                <w:szCs w:val="24"/>
                <w:highlight w:val="white"/>
              </w:rPr>
              <w:t>Minua</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"Minua" </w:instrText>
            </w:r>
            <w:r w:rsidRPr="00F03A26">
              <w:rPr>
                <w:rFonts w:asciiTheme="majorBidi" w:eastAsia="Times New Roman" w:hAnsiTheme="majorBidi" w:cstheme="majorBidi"/>
                <w:highlight w:val="white"/>
              </w:rPr>
              <w:fldChar w:fldCharType="end"/>
            </w:r>
          </w:p>
        </w:tc>
        <w:tc>
          <w:tcPr>
            <w:tcW w:w="2830" w:type="dxa"/>
          </w:tcPr>
          <w:p w14:paraId="7B1ABAAA"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Calibri" w:hAnsiTheme="majorBidi" w:cstheme="majorBidi"/>
                <w:sz w:val="24"/>
                <w:szCs w:val="24"/>
              </w:rPr>
              <w:t>CTU I. A 5-68</w:t>
            </w:r>
          </w:p>
        </w:tc>
      </w:tr>
      <w:tr w:rsidR="006B5F19" w:rsidRPr="00F03A26" w14:paraId="29B4A1B0" w14:textId="77777777" w:rsidTr="00F45667">
        <w:tc>
          <w:tcPr>
            <w:tcW w:w="3114" w:type="dxa"/>
          </w:tcPr>
          <w:p w14:paraId="53C97812" w14:textId="77777777" w:rsidR="006B5F19" w:rsidRPr="00AA1737" w:rsidRDefault="006B5F19" w:rsidP="00F03A26">
            <w:pPr>
              <w:jc w:val="both"/>
              <w:rPr>
                <w:rFonts w:asciiTheme="majorBidi" w:eastAsia="Calibri" w:hAnsiTheme="majorBidi" w:cstheme="majorBidi"/>
                <w:sz w:val="24"/>
                <w:szCs w:val="24"/>
              </w:rPr>
            </w:pPr>
            <w:r w:rsidRPr="00AA1737">
              <w:rPr>
                <w:rFonts w:asciiTheme="majorBidi" w:eastAsia="Times New Roman" w:hAnsiTheme="majorBidi" w:cstheme="majorBidi"/>
                <w:sz w:val="24"/>
                <w:szCs w:val="24"/>
                <w:highlight w:val="white"/>
              </w:rPr>
              <w:t>Minua</w:t>
            </w:r>
            <w:r w:rsidRPr="00AA1737">
              <w:rPr>
                <w:rFonts w:asciiTheme="majorBidi" w:eastAsia="Times New Roman" w:hAnsiTheme="majorBidi" w:cstheme="majorBidi"/>
                <w:highlight w:val="white"/>
              </w:rPr>
              <w:fldChar w:fldCharType="begin"/>
            </w:r>
            <w:r w:rsidRPr="00AA1737">
              <w:rPr>
                <w:rFonts w:asciiTheme="majorBidi" w:eastAsia="Calibri" w:hAnsiTheme="majorBidi" w:cstheme="majorBidi"/>
              </w:rPr>
              <w:instrText xml:space="preserve"> XE "Minua" </w:instrText>
            </w:r>
            <w:r w:rsidRPr="00AA1737">
              <w:rPr>
                <w:rFonts w:asciiTheme="majorBidi" w:eastAsia="Times New Roman" w:hAnsiTheme="majorBidi" w:cstheme="majorBidi"/>
                <w:highlight w:val="white"/>
              </w:rPr>
              <w:fldChar w:fldCharType="end"/>
            </w:r>
            <w:r w:rsidRPr="00AA1737">
              <w:rPr>
                <w:rFonts w:asciiTheme="majorBidi" w:eastAsia="Times New Roman" w:hAnsiTheme="majorBidi" w:cstheme="majorBidi"/>
                <w:sz w:val="24"/>
                <w:szCs w:val="24"/>
                <w:highlight w:val="white"/>
              </w:rPr>
              <w:t>’s taramanili</w:t>
            </w:r>
            <w:r w:rsidRPr="00AA1737">
              <w:rPr>
                <w:rFonts w:asciiTheme="majorBidi" w:eastAsia="Times New Roman" w:hAnsiTheme="majorBidi" w:cstheme="majorBidi"/>
                <w:highlight w:val="white"/>
              </w:rPr>
              <w:fldChar w:fldCharType="begin"/>
            </w:r>
            <w:r w:rsidRPr="00AA1737">
              <w:rPr>
                <w:rFonts w:asciiTheme="majorBidi" w:eastAsia="Calibri" w:hAnsiTheme="majorBidi" w:cstheme="majorBidi"/>
              </w:rPr>
              <w:instrText xml:space="preserve"> XE "taramanili" </w:instrText>
            </w:r>
            <w:r w:rsidRPr="00AA1737">
              <w:rPr>
                <w:rFonts w:asciiTheme="majorBidi" w:eastAsia="Times New Roman" w:hAnsiTheme="majorBidi" w:cstheme="majorBidi"/>
                <w:highlight w:val="white"/>
              </w:rPr>
              <w:fldChar w:fldCharType="end"/>
            </w:r>
            <w:r w:rsidRPr="00AA1737">
              <w:rPr>
                <w:rFonts w:asciiTheme="majorBidi" w:eastAsia="Times New Roman" w:hAnsiTheme="majorBidi" w:cstheme="majorBidi"/>
                <w:sz w:val="24"/>
                <w:szCs w:val="24"/>
                <w:highlight w:val="white"/>
              </w:rPr>
              <w:t xml:space="preserve"> </w:t>
            </w:r>
            <w:r w:rsidRPr="00AA1737">
              <w:rPr>
                <w:rFonts w:asciiTheme="majorBidi" w:eastAsia="Times New Roman" w:hAnsiTheme="majorBidi" w:cstheme="majorBidi"/>
                <w:sz w:val="24"/>
                <w:szCs w:val="24"/>
                <w:highlight w:val="white"/>
              </w:rPr>
              <w:tab/>
            </w:r>
          </w:p>
        </w:tc>
        <w:tc>
          <w:tcPr>
            <w:tcW w:w="3118" w:type="dxa"/>
          </w:tcPr>
          <w:p w14:paraId="7310208E"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sz w:val="24"/>
                <w:szCs w:val="24"/>
                <w:highlight w:val="white"/>
              </w:rPr>
              <w:t>Minua</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"Minua" </w:instrText>
            </w:r>
            <w:r w:rsidRPr="00F03A26">
              <w:rPr>
                <w:rFonts w:asciiTheme="majorBidi" w:eastAsia="Times New Roman" w:hAnsiTheme="majorBidi" w:cstheme="majorBidi"/>
                <w:highlight w:val="white"/>
              </w:rPr>
              <w:fldChar w:fldCharType="end"/>
            </w:r>
          </w:p>
        </w:tc>
        <w:tc>
          <w:tcPr>
            <w:tcW w:w="2830" w:type="dxa"/>
          </w:tcPr>
          <w:p w14:paraId="4CBDD581"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Calibri" w:hAnsiTheme="majorBidi" w:cstheme="majorBidi"/>
                <w:sz w:val="24"/>
                <w:szCs w:val="24"/>
              </w:rPr>
              <w:t>CTU I. 5-58 A-B-C</w:t>
            </w:r>
          </w:p>
        </w:tc>
      </w:tr>
      <w:tr w:rsidR="006B5F19" w:rsidRPr="00F03A26" w14:paraId="39D8F536" w14:textId="77777777" w:rsidTr="00F45667">
        <w:tc>
          <w:tcPr>
            <w:tcW w:w="3114" w:type="dxa"/>
          </w:tcPr>
          <w:p w14:paraId="11AB9F07"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sz w:val="24"/>
                <w:szCs w:val="24"/>
                <w:highlight w:val="white"/>
              </w:rPr>
              <w:t>Horhor</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w:instrText>
            </w:r>
            <w:r w:rsidRPr="00F03A26">
              <w:rPr>
                <w:rFonts w:asciiTheme="majorBidi" w:eastAsia="Calibri" w:hAnsiTheme="majorBidi" w:cstheme="majorBidi"/>
                <w:color w:val="000000"/>
              </w:rPr>
              <w:instrText>Horhor</w:instrText>
            </w:r>
            <w:r w:rsidRPr="00F03A26">
              <w:rPr>
                <w:rFonts w:asciiTheme="majorBidi" w:eastAsia="Calibri" w:hAnsiTheme="majorBidi" w:cstheme="majorBidi"/>
              </w:rPr>
              <w:instrText xml:space="preserve">" </w:instrText>
            </w:r>
            <w:r w:rsidRPr="00F03A26">
              <w:rPr>
                <w:rFonts w:asciiTheme="majorBidi" w:eastAsia="Times New Roman" w:hAnsiTheme="majorBidi" w:cstheme="majorBidi"/>
                <w:highlight w:val="white"/>
              </w:rPr>
              <w:fldChar w:fldCharType="end"/>
            </w:r>
            <w:r w:rsidRPr="00F03A26">
              <w:rPr>
                <w:rFonts w:asciiTheme="majorBidi" w:eastAsia="Times New Roman" w:hAnsiTheme="majorBidi" w:cstheme="majorBidi"/>
                <w:sz w:val="24"/>
                <w:szCs w:val="24"/>
                <w:highlight w:val="white"/>
              </w:rPr>
              <w:t xml:space="preserve"> Caves</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w:instrText>
            </w:r>
            <w:r w:rsidRPr="00F03A26">
              <w:rPr>
                <w:rFonts w:asciiTheme="majorBidi" w:eastAsia="Calibri" w:hAnsiTheme="majorBidi" w:cstheme="majorBidi"/>
                <w:color w:val="000000"/>
              </w:rPr>
              <w:instrText>Horhor Caves</w:instrText>
            </w:r>
            <w:r w:rsidRPr="00F03A26">
              <w:rPr>
                <w:rFonts w:asciiTheme="majorBidi" w:eastAsia="Calibri" w:hAnsiTheme="majorBidi" w:cstheme="majorBidi"/>
              </w:rPr>
              <w:instrText xml:space="preserve">" </w:instrText>
            </w:r>
            <w:r w:rsidRPr="00F03A26">
              <w:rPr>
                <w:rFonts w:asciiTheme="majorBidi" w:eastAsia="Times New Roman" w:hAnsiTheme="majorBidi" w:cstheme="majorBidi"/>
                <w:highlight w:val="white"/>
              </w:rPr>
              <w:fldChar w:fldCharType="end"/>
            </w:r>
            <w:r w:rsidRPr="00F03A26">
              <w:rPr>
                <w:rFonts w:asciiTheme="majorBidi" w:eastAsia="Times New Roman" w:hAnsiTheme="majorBidi" w:cstheme="majorBidi"/>
                <w:sz w:val="24"/>
                <w:szCs w:val="24"/>
                <w:highlight w:val="white"/>
              </w:rPr>
              <w:t xml:space="preserve"> (rock tombs)</w:t>
            </w:r>
            <w:r w:rsidRPr="00F03A26">
              <w:rPr>
                <w:rFonts w:asciiTheme="majorBidi" w:eastAsia="Times New Roman" w:hAnsiTheme="majorBidi" w:cstheme="majorBidi"/>
                <w:sz w:val="24"/>
                <w:szCs w:val="24"/>
                <w:highlight w:val="white"/>
              </w:rPr>
              <w:tab/>
            </w:r>
          </w:p>
        </w:tc>
        <w:tc>
          <w:tcPr>
            <w:tcW w:w="3118" w:type="dxa"/>
          </w:tcPr>
          <w:p w14:paraId="00008AF7"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iCs/>
                <w:sz w:val="24"/>
                <w:szCs w:val="24"/>
                <w:highlight w:val="white"/>
              </w:rPr>
              <w:t>Argišti</w:t>
            </w:r>
            <w:r w:rsidRPr="00F03A26">
              <w:rPr>
                <w:rFonts w:asciiTheme="majorBidi" w:eastAsia="Times New Roman" w:hAnsiTheme="majorBidi" w:cstheme="majorBidi"/>
                <w:sz w:val="24"/>
                <w:szCs w:val="24"/>
                <w:highlight w:val="white"/>
              </w:rPr>
              <w:t xml:space="preserve"> I</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w:instrText>
            </w:r>
            <w:r w:rsidRPr="00573866">
              <w:rPr>
                <w:rFonts w:asciiTheme="majorBidi" w:eastAsia="Calibri" w:hAnsiTheme="majorBidi" w:cstheme="majorBidi"/>
              </w:rPr>
              <w:instrText xml:space="preserve">Argišti </w:instrText>
            </w:r>
            <w:r w:rsidRPr="00F03A26">
              <w:rPr>
                <w:rFonts w:asciiTheme="majorBidi" w:eastAsia="Calibri" w:hAnsiTheme="majorBidi" w:cstheme="majorBidi"/>
              </w:rPr>
              <w:instrText xml:space="preserve">I" </w:instrText>
            </w:r>
            <w:r w:rsidRPr="00F03A26">
              <w:rPr>
                <w:rFonts w:asciiTheme="majorBidi" w:eastAsia="Times New Roman" w:hAnsiTheme="majorBidi" w:cstheme="majorBidi"/>
                <w:highlight w:val="white"/>
              </w:rPr>
              <w:fldChar w:fldCharType="end"/>
            </w:r>
          </w:p>
        </w:tc>
        <w:tc>
          <w:tcPr>
            <w:tcW w:w="2830" w:type="dxa"/>
          </w:tcPr>
          <w:p w14:paraId="2FDFDAC8"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Calibri" w:hAnsiTheme="majorBidi" w:cstheme="majorBidi"/>
                <w:sz w:val="24"/>
                <w:szCs w:val="24"/>
              </w:rPr>
              <w:t>CTU I. A 8-3</w:t>
            </w:r>
          </w:p>
        </w:tc>
      </w:tr>
      <w:tr w:rsidR="006B5F19" w:rsidRPr="00F03A26" w14:paraId="795E196A" w14:textId="77777777" w:rsidTr="00F45667">
        <w:tc>
          <w:tcPr>
            <w:tcW w:w="3114" w:type="dxa"/>
          </w:tcPr>
          <w:p w14:paraId="5343F5FA"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sz w:val="24"/>
                <w:szCs w:val="24"/>
              </w:rPr>
              <w:t>Analıkız</w:t>
            </w:r>
            <w:r w:rsidRPr="00F03A26">
              <w:rPr>
                <w:rFonts w:asciiTheme="majorBidi" w:eastAsia="Times New Roman" w:hAnsiTheme="majorBidi" w:cstheme="majorBidi"/>
              </w:rPr>
              <w:fldChar w:fldCharType="begin"/>
            </w:r>
            <w:r w:rsidRPr="00F03A26">
              <w:rPr>
                <w:rFonts w:asciiTheme="majorBidi" w:eastAsia="Calibri" w:hAnsiTheme="majorBidi" w:cstheme="majorBidi"/>
              </w:rPr>
              <w:instrText xml:space="preserve"> XE "Analıkız" </w:instrText>
            </w:r>
            <w:r w:rsidRPr="00F03A26">
              <w:rPr>
                <w:rFonts w:asciiTheme="majorBidi" w:eastAsia="Times New Roman" w:hAnsiTheme="majorBidi" w:cstheme="majorBidi"/>
              </w:rPr>
              <w:fldChar w:fldCharType="end"/>
            </w:r>
            <w:r w:rsidRPr="00F03A26">
              <w:rPr>
                <w:rFonts w:asciiTheme="majorBidi" w:eastAsia="Times New Roman" w:hAnsiTheme="majorBidi" w:cstheme="majorBidi"/>
                <w:sz w:val="24"/>
                <w:szCs w:val="24"/>
                <w:highlight w:val="white"/>
              </w:rPr>
              <w:tab/>
            </w:r>
          </w:p>
        </w:tc>
        <w:tc>
          <w:tcPr>
            <w:tcW w:w="3118" w:type="dxa"/>
          </w:tcPr>
          <w:p w14:paraId="71405E18"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Times New Roman" w:hAnsiTheme="majorBidi" w:cstheme="majorBidi"/>
                <w:sz w:val="24"/>
                <w:szCs w:val="24"/>
                <w:highlight w:val="white"/>
              </w:rPr>
              <w:t>Sarduri</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w:instrText>
            </w:r>
            <w:r w:rsidRPr="00F03A26">
              <w:rPr>
                <w:rFonts w:asciiTheme="majorBidi" w:eastAsia="Calibri" w:hAnsiTheme="majorBidi" w:cstheme="majorBidi"/>
                <w:iCs/>
              </w:rPr>
              <w:instrText>Sarduri</w:instrText>
            </w:r>
            <w:r w:rsidRPr="00F03A26">
              <w:rPr>
                <w:rFonts w:asciiTheme="majorBidi" w:eastAsia="Calibri" w:hAnsiTheme="majorBidi" w:cstheme="majorBidi"/>
              </w:rPr>
              <w:instrText xml:space="preserve">" </w:instrText>
            </w:r>
            <w:r w:rsidRPr="00F03A26">
              <w:rPr>
                <w:rFonts w:asciiTheme="majorBidi" w:eastAsia="Times New Roman" w:hAnsiTheme="majorBidi" w:cstheme="majorBidi"/>
                <w:highlight w:val="white"/>
              </w:rPr>
              <w:fldChar w:fldCharType="end"/>
            </w:r>
            <w:r w:rsidRPr="00F03A26">
              <w:rPr>
                <w:rFonts w:asciiTheme="majorBidi" w:eastAsia="Times New Roman" w:hAnsiTheme="majorBidi" w:cstheme="majorBidi"/>
                <w:sz w:val="24"/>
                <w:szCs w:val="24"/>
                <w:highlight w:val="white"/>
              </w:rPr>
              <w:t xml:space="preserve"> II</w:t>
            </w:r>
            <w:r w:rsidRPr="00F03A26">
              <w:rPr>
                <w:rFonts w:asciiTheme="majorBidi" w:eastAsia="Times New Roman" w:hAnsiTheme="majorBidi" w:cstheme="majorBidi"/>
                <w:highlight w:val="white"/>
              </w:rPr>
              <w:fldChar w:fldCharType="begin"/>
            </w:r>
            <w:r w:rsidRPr="00F03A26">
              <w:rPr>
                <w:rFonts w:asciiTheme="majorBidi" w:eastAsia="Calibri" w:hAnsiTheme="majorBidi" w:cstheme="majorBidi"/>
              </w:rPr>
              <w:instrText xml:space="preserve"> XE "Sarduri II" </w:instrText>
            </w:r>
            <w:r w:rsidRPr="00F03A26">
              <w:rPr>
                <w:rFonts w:asciiTheme="majorBidi" w:eastAsia="Times New Roman" w:hAnsiTheme="majorBidi" w:cstheme="majorBidi"/>
                <w:highlight w:val="white"/>
              </w:rPr>
              <w:fldChar w:fldCharType="end"/>
            </w:r>
          </w:p>
        </w:tc>
        <w:tc>
          <w:tcPr>
            <w:tcW w:w="2830" w:type="dxa"/>
          </w:tcPr>
          <w:p w14:paraId="4D66BC99" w14:textId="77777777" w:rsidR="006B5F19" w:rsidRPr="00F03A26" w:rsidRDefault="006B5F19" w:rsidP="00F03A26">
            <w:pPr>
              <w:jc w:val="both"/>
              <w:rPr>
                <w:rFonts w:asciiTheme="majorBidi" w:eastAsia="Calibri" w:hAnsiTheme="majorBidi" w:cstheme="majorBidi"/>
                <w:sz w:val="24"/>
                <w:szCs w:val="24"/>
              </w:rPr>
            </w:pPr>
            <w:r w:rsidRPr="00F03A26">
              <w:rPr>
                <w:rFonts w:asciiTheme="majorBidi" w:eastAsia="Calibri" w:hAnsiTheme="majorBidi" w:cstheme="majorBidi"/>
                <w:sz w:val="24"/>
                <w:szCs w:val="24"/>
              </w:rPr>
              <w:t>CTU I. A 9-3</w:t>
            </w:r>
          </w:p>
        </w:tc>
      </w:tr>
    </w:tbl>
    <w:p w14:paraId="2A01DD90" w14:textId="77777777" w:rsidR="006B5F19" w:rsidRPr="00F03A26" w:rsidRDefault="006B5F19" w:rsidP="00F03A26">
      <w:pPr>
        <w:jc w:val="both"/>
        <w:rPr>
          <w:rFonts w:asciiTheme="majorBidi" w:eastAsia="Times New Roman" w:hAnsiTheme="majorBidi" w:cstheme="majorBidi"/>
          <w:lang w:val="en-GB"/>
        </w:rPr>
      </w:pPr>
    </w:p>
    <w:p w14:paraId="249D9FED" w14:textId="09F393FA"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As illustrated by this table, the construction that began under Sarduri I</w:t>
      </w:r>
      <w:r w:rsidR="00C1513A">
        <w:rPr>
          <w:rFonts w:asciiTheme="majorBidi" w:eastAsia="Times New Roman" w:hAnsiTheme="majorBidi" w:cstheme="majorBidi"/>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continued into the reign of Sarduri II</w:t>
      </w:r>
      <w:r w:rsidR="00C1513A">
        <w:rPr>
          <w:rFonts w:asciiTheme="majorBidi" w:eastAsia="Times New Roman" w:hAnsiTheme="majorBidi" w:cstheme="majorBidi"/>
          <w:lang w:val="en-GB"/>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this degree of clarity in dating provides a unique case as the chronology of many buildings in the citadel remains unclear, barring those with inscriptions.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w:t>
      </w:r>
      <w:r w:rsidR="006B23DC">
        <w:rPr>
          <w:rFonts w:asciiTheme="majorBidi" w:eastAsia="Times New Roman" w:hAnsiTheme="majorBidi" w:cstheme="majorBidi"/>
          <w:lang w:val="en-GB"/>
        </w:rPr>
        <w:fldChar w:fldCharType="begin"/>
      </w:r>
      <w:r w:rsidR="006B23DC">
        <w:instrText xml:space="preserve"> XE "</w:instrText>
      </w:r>
      <w:r w:rsidR="006B23DC" w:rsidRPr="0072234F">
        <w:rPr>
          <w:rFonts w:ascii="Times New Roman" w:hAnsi="Times New Roman"/>
          <w:szCs w:val="22"/>
          <w:lang w:val="en-GB"/>
        </w:rPr>
        <w:instrText>İç Kale tomb</w:instrText>
      </w:r>
      <w:r w:rsidR="006B23DC">
        <w:instrText xml:space="preserve">" </w:instrText>
      </w:r>
      <w:r w:rsidR="006B23DC">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Neft Kuyu</w:t>
      </w:r>
      <w:r w:rsidR="001F2587">
        <w:rPr>
          <w:rFonts w:asciiTheme="majorBidi" w:eastAsia="Times New Roman"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Doğu Odaları</w:t>
      </w:r>
      <w:r w:rsidR="001F2587">
        <w:rPr>
          <w:rFonts w:asciiTheme="majorBidi" w:eastAsia="Times New Roman" w:hAnsiTheme="majorBidi" w:cstheme="majorBidi"/>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Small Horhor</w:t>
      </w:r>
      <w:r w:rsidR="00647545">
        <w:rPr>
          <w:rFonts w:asciiTheme="majorBidi" w:eastAsia="Times New Roman" w:hAnsiTheme="majorBidi" w:cstheme="majorBidi"/>
          <w:lang w:val="en-GB"/>
        </w:rPr>
        <w:fldChar w:fldCharType="begin"/>
      </w:r>
      <w:r w:rsidR="00647545">
        <w:instrText xml:space="preserve"> XE "</w:instrText>
      </w:r>
      <w:r w:rsidR="00647545" w:rsidRPr="00791D30">
        <w:rPr>
          <w:rFonts w:asciiTheme="majorBidi" w:hAnsiTheme="majorBidi" w:cstheme="majorBidi"/>
        </w:rPr>
        <w:instrText>Small Horhor</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 Arsenal/BD78 tomb</w:t>
      </w:r>
      <w:r w:rsidR="00573866">
        <w:rPr>
          <w:rFonts w:asciiTheme="majorBidi" w:eastAsia="Times New Roman" w:hAnsiTheme="majorBidi" w:cstheme="majorBidi"/>
          <w:lang w:val="en-GB"/>
        </w:rPr>
        <w:fldChar w:fldCharType="begin"/>
      </w:r>
      <w:r w:rsidR="00573866">
        <w:instrText xml:space="preserve"> XE "</w:instrText>
      </w:r>
      <w:r w:rsidR="00573866" w:rsidRPr="006A1145">
        <w:rPr>
          <w:rFonts w:asciiTheme="majorBidi" w:eastAsia="Times New Roman" w:hAnsiTheme="majorBidi" w:cstheme="majorBidi"/>
          <w:lang w:val="en-GB"/>
        </w:rPr>
        <w:instrText>Arsenal/BD78 tomb</w:instrText>
      </w:r>
      <w:r w:rsidR="00573866">
        <w:instrText xml:space="preserve">" </w:instrText>
      </w:r>
      <w:r w:rsidR="0057386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 under the Great Platform</w:t>
      </w:r>
      <w:r w:rsidR="00C1513A">
        <w:rPr>
          <w:rFonts w:asciiTheme="majorBidi" w:eastAsia="Times New Roman" w:hAnsiTheme="majorBidi" w:cstheme="majorBidi"/>
          <w:lang w:val="en-GB"/>
        </w:rPr>
        <w:fldChar w:fldCharType="begin"/>
      </w:r>
      <w:r w:rsidR="00C1513A">
        <w:instrText xml:space="preserve"> XE "</w:instrText>
      </w:r>
      <w:r w:rsidR="00C1513A" w:rsidRPr="00A445F6">
        <w:rPr>
          <w:rFonts w:asciiTheme="majorBidi" w:eastAsia="Times New Roman" w:hAnsiTheme="majorBidi" w:cstheme="majorBidi"/>
          <w:lang w:val="en-GB"/>
        </w:rPr>
        <w:instrText>Great Platform</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 BD 80), Cremation tomb</w:t>
      </w:r>
      <w:r w:rsidR="00C1513A">
        <w:rPr>
          <w:rFonts w:asciiTheme="majorBidi" w:eastAsia="Times New Roman" w:hAnsiTheme="majorBidi" w:cstheme="majorBidi"/>
          <w:lang w:val="en-GB"/>
        </w:rPr>
        <w:fldChar w:fldCharType="begin"/>
      </w:r>
      <w:r w:rsidR="00C1513A">
        <w:instrText xml:space="preserve"> XE "</w:instrText>
      </w:r>
      <w:r w:rsidR="00C1513A" w:rsidRPr="00041C3F">
        <w:rPr>
          <w:rFonts w:asciiTheme="majorBidi" w:eastAsia="Times New Roman" w:hAnsiTheme="majorBidi" w:cstheme="majorBidi"/>
          <w:lang w:val="en-GB"/>
        </w:rPr>
        <w:instrText>Cremation tomb</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BG 90 underground rock tomb,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Old Palace</w:t>
      </w:r>
      <w:r w:rsidR="00C1513A">
        <w:rPr>
          <w:rFonts w:asciiTheme="majorBidi" w:eastAsia="Times New Roman" w:hAnsiTheme="majorBidi" w:cstheme="majorBidi"/>
          <w:lang w:val="en-GB"/>
        </w:rPr>
        <w:fldChar w:fldCharType="begin"/>
      </w:r>
      <w:r w:rsidR="00C1513A">
        <w:instrText xml:space="preserve"> XE "</w:instrText>
      </w:r>
      <w:r w:rsidR="00C1513A" w:rsidRPr="009746DD">
        <w:rPr>
          <w:rFonts w:asciiTheme="majorBidi" w:eastAsia="Times New Roman" w:hAnsiTheme="majorBidi" w:cstheme="majorBidi"/>
          <w:iCs/>
        </w:rPr>
        <w:instrText>Old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are among the most notable uninscribed structures.</w:t>
      </w:r>
    </w:p>
    <w:p w14:paraId="4E0D0CEE" w14:textId="77777777" w:rsidR="006B5F19" w:rsidRPr="00F03A26" w:rsidRDefault="006B5F19" w:rsidP="00F03A26">
      <w:pPr>
        <w:jc w:val="both"/>
        <w:rPr>
          <w:rFonts w:asciiTheme="majorBidi" w:eastAsia="Times New Roman" w:hAnsiTheme="majorBidi" w:cstheme="majorBidi"/>
          <w:lang w:val="en-GB"/>
        </w:rPr>
      </w:pPr>
    </w:p>
    <w:p w14:paraId="65B5EB63" w14:textId="745674C5"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This is a common assumption in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studies that structures surrounding those with inscriptions were likely constructed around the same time; however, looking at the distribution of the inscribed structures in the Van Fortress, such an assessment would likely be misguided. For example,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earliest known citadel structure, is outside the "Early citadel" area between two ditches defined as the Old Palace</w:t>
      </w:r>
      <w:r w:rsidR="00C1513A">
        <w:rPr>
          <w:rFonts w:asciiTheme="majorBidi" w:eastAsia="Times New Roman" w:hAnsiTheme="majorBidi" w:cstheme="majorBidi"/>
          <w:lang w:val="en-GB"/>
        </w:rPr>
        <w:fldChar w:fldCharType="begin"/>
      </w:r>
      <w:r w:rsidR="00C1513A">
        <w:instrText xml:space="preserve"> XE "</w:instrText>
      </w:r>
      <w:r w:rsidR="00C1513A" w:rsidRPr="009746DD">
        <w:rPr>
          <w:rFonts w:asciiTheme="majorBidi" w:eastAsia="Times New Roman" w:hAnsiTheme="majorBidi" w:cstheme="majorBidi"/>
          <w:iCs/>
        </w:rPr>
        <w:instrText>Old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Similarly, the stele slot and niche containing the sacrificial text (CTU I. A 1-2), thought to belong to the Sarduri I</w:t>
      </w:r>
      <w:r w:rsidR="00C1513A">
        <w:rPr>
          <w:rFonts w:asciiTheme="majorBidi" w:eastAsia="Times New Roman" w:hAnsiTheme="majorBidi" w:cstheme="majorBidi"/>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are located outside this central citadel area.</w:t>
      </w:r>
    </w:p>
    <w:p w14:paraId="0F142882" w14:textId="77777777" w:rsidR="006B5F19" w:rsidRPr="00F03A26" w:rsidRDefault="006B5F19" w:rsidP="00F03A26">
      <w:pPr>
        <w:jc w:val="both"/>
        <w:rPr>
          <w:rFonts w:asciiTheme="majorBidi" w:eastAsia="Times New Roman" w:hAnsiTheme="majorBidi" w:cstheme="majorBidi"/>
          <w:lang w:val="en-GB"/>
        </w:rPr>
      </w:pPr>
    </w:p>
    <w:p w14:paraId="1362BA27" w14:textId="761ADA88"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According to the chronology provided by the inscriptions on the citadel, the earliest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structure is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which extends northward from the western end of the rock and has survived to the present day, averaging a height of 4 m and dimensions of 47 by 13 m. The function of the visible foundation beds of the city walls, built using the superimposition technique involving five rows of large travertine blocks, some weighing between 8 and 10 metric tons, is not known precisely. There have been various suggestions about the function of this building, such as a port structure of quay or wharf (Lehmann-Haupt, 1926: 19–20; Salvini, 2005: 148–149) or even a temple platform (Naumann 1968). However, the fifth Chapter of the book deals with this structure and entertains the idea that this building may have been initially built as a gateway. In the following periods, with the city's growth, it took on new functions and structural changes. It may also interest the reader that the location of the Sardurburç structure invalidates the assumption that early structures of the Ṭušpa citadel were in the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 between the two ditches.</w:t>
      </w:r>
    </w:p>
    <w:p w14:paraId="4D8C231D" w14:textId="77777777" w:rsidR="006B5F19" w:rsidRPr="00F03A26" w:rsidRDefault="006B5F19" w:rsidP="00F03A26">
      <w:pPr>
        <w:jc w:val="both"/>
        <w:rPr>
          <w:rFonts w:asciiTheme="majorBidi" w:eastAsia="Times New Roman" w:hAnsiTheme="majorBidi" w:cstheme="majorBidi"/>
          <w:lang w:val="en-GB"/>
        </w:rPr>
      </w:pPr>
    </w:p>
    <w:p w14:paraId="142BEB2D" w14:textId="49B840B1"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inscription closest to the Sarduri I</w:t>
      </w:r>
      <w:r w:rsidR="00C1513A">
        <w:rPr>
          <w:rFonts w:asciiTheme="majorBidi" w:eastAsia="Times New Roman" w:hAnsiTheme="majorBidi" w:cstheme="majorBidi"/>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inscription – carved in a small niche on the bedrock along the rocky facade just east of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 belongs to a separate king. It is written here that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had a grain warehouse built "by the power of God Ḫaldi</w:t>
      </w:r>
      <w:r w:rsidR="00C1513A">
        <w:rPr>
          <w:rFonts w:asciiTheme="majorBidi" w:eastAsia="Times New Roman" w:hAnsiTheme="majorBidi" w:cstheme="majorBidi"/>
          <w:lang w:val="en-GB"/>
        </w:rPr>
        <w:fldChar w:fldCharType="begin"/>
      </w:r>
      <w:r w:rsidR="00C1513A">
        <w:instrText xml:space="preserve"> XE "</w:instrText>
      </w:r>
      <w:r w:rsidR="00C1513A" w:rsidRPr="009F22E3">
        <w:rPr>
          <w:rFonts w:asciiTheme="majorBidi" w:eastAsia="Times New Roman" w:hAnsiTheme="majorBidi" w:cstheme="majorBidi"/>
          <w:lang w:val="en-GB"/>
        </w:rPr>
        <w:instrText>God Ḫaldi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(CTU I. A 5-66; Salvini, 1973). In the fifth Chapter of the book, it is suggested that some additions may have been </w:t>
      </w:r>
      <w:r w:rsidRPr="00F03A26">
        <w:rPr>
          <w:rFonts w:asciiTheme="majorBidi" w:eastAsia="Times New Roman" w:hAnsiTheme="majorBidi" w:cstheme="majorBidi"/>
          <w:lang w:val="en-GB"/>
        </w:rPr>
        <w:lastRenderedPageBreak/>
        <w:t>built around the Sardurburç structure during the Minua period, a notion supported by the proximity of the inscription. However, it is difficult to conclude that any additions were made to this structure during the Minua period since Sarduri</w:t>
      </w:r>
      <w:r w:rsidR="00C1513A">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t>I</w:t>
      </w:r>
      <w:r w:rsidR="005C68BB">
        <w:rPr>
          <w:rFonts w:asciiTheme="majorBidi" w:eastAsia="Times New Roman" w:hAnsiTheme="majorBidi" w:cstheme="majorBidi"/>
          <w:lang w:val="en-GB"/>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is inscribed on the foundations of all three phases of the Sardurburç structure. However, additions must have been made in the Minua period at the east of Sardurburç, under the areas where the medieval church was located and at the points where the warehouse inscription was found (see Chapter 5). The inscription in the niche may be related to a warehouse structure built in an upper area after Sardurburç, rising towards the site or on the plain below.</w:t>
      </w:r>
    </w:p>
    <w:p w14:paraId="73E9D671" w14:textId="77777777" w:rsidR="006B5F19" w:rsidRPr="00F03A26" w:rsidRDefault="006B5F19" w:rsidP="00F03A26">
      <w:pPr>
        <w:jc w:val="both"/>
        <w:rPr>
          <w:rFonts w:asciiTheme="majorBidi" w:eastAsia="Times New Roman" w:hAnsiTheme="majorBidi" w:cstheme="majorBidi"/>
          <w:lang w:val="en-GB"/>
        </w:rPr>
      </w:pPr>
    </w:p>
    <w:p w14:paraId="6CD4969F" w14:textId="6921D3C0"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Because the inscription is in Assyrian</w:t>
      </w:r>
      <w:r w:rsidR="001F2587">
        <w:rPr>
          <w:rFonts w:asciiTheme="majorBidi" w:eastAsia="Times New Roman"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another structure in the citadel dated to the Sarduri I</w:t>
      </w:r>
      <w:r w:rsidR="00C1513A">
        <w:rPr>
          <w:rFonts w:asciiTheme="majorBidi" w:eastAsia="Times New Roman" w:hAnsiTheme="majorBidi" w:cstheme="majorBidi"/>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period was defined as a </w:t>
      </w:r>
      <w:r w:rsidR="00C20CB0">
        <w:rPr>
          <w:rFonts w:asciiTheme="majorBidi" w:eastAsia="Times New Roman" w:hAnsiTheme="majorBidi" w:cstheme="majorBidi"/>
          <w:lang w:val="en-GB"/>
        </w:rPr>
        <w:t>‘</w:t>
      </w:r>
      <w:r w:rsidRPr="00F03A26">
        <w:rPr>
          <w:rFonts w:asciiTheme="majorBidi" w:eastAsia="Times New Roman" w:hAnsiTheme="majorBidi" w:cstheme="majorBidi"/>
          <w:lang w:val="en-GB"/>
        </w:rPr>
        <w:t>sacred rock niche with the Assyrian inscription</w:t>
      </w:r>
      <w:r w:rsidR="00C20CB0">
        <w:rPr>
          <w:rFonts w:asciiTheme="majorBidi" w:eastAsia="Times New Roman" w:hAnsiTheme="majorBidi" w:cstheme="majorBidi"/>
          <w:lang w:val="en-GB"/>
        </w:rPr>
        <w:t>’</w:t>
      </w:r>
      <w:r w:rsidRPr="00F03A26">
        <w:rPr>
          <w:rFonts w:asciiTheme="majorBidi" w:eastAsia="Times New Roman" w:hAnsiTheme="majorBidi" w:cstheme="majorBidi"/>
          <w:lang w:val="en-GB"/>
        </w:rPr>
        <w:t xml:space="preserve"> (Tarhan, 2020: 224). This niche is carved into the bedrock approximately 25 m east of the East Ditch</w:t>
      </w:r>
      <w:r w:rsidR="00647545">
        <w:rPr>
          <w:rFonts w:asciiTheme="majorBidi" w:eastAsia="Times New Roman" w:hAnsiTheme="majorBidi" w:cstheme="majorBidi"/>
          <w:lang w:val="en-GB"/>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and 35 m north of the BG90 underground rock tomb (Fig. 5, 11). The 20-line inscription on the northern edge of the niche contains a list of sacrificial animals and sacrificial rituals (CTU I. A 1-2); for this reason, it is also called the </w:t>
      </w:r>
      <w:r w:rsidR="00C20CB0">
        <w:rPr>
          <w:rFonts w:asciiTheme="majorBidi" w:eastAsia="Times New Roman" w:hAnsiTheme="majorBidi" w:cstheme="majorBidi"/>
          <w:lang w:val="en-GB"/>
        </w:rPr>
        <w:t>‘</w:t>
      </w:r>
      <w:r w:rsidRPr="00F03A26">
        <w:rPr>
          <w:rFonts w:asciiTheme="majorBidi" w:eastAsia="Times New Roman" w:hAnsiTheme="majorBidi" w:cstheme="majorBidi"/>
          <w:lang w:val="en-GB"/>
        </w:rPr>
        <w:t>offering niche</w:t>
      </w:r>
      <w:r w:rsidR="00C20CB0">
        <w:rPr>
          <w:rFonts w:asciiTheme="majorBidi" w:eastAsia="Times New Roman" w:hAnsiTheme="majorBidi" w:cstheme="majorBidi"/>
          <w:lang w:val="en-GB"/>
        </w:rPr>
        <w:t>’.</w:t>
      </w:r>
      <w:r w:rsidRPr="00F03A26">
        <w:rPr>
          <w:rFonts w:asciiTheme="majorBidi" w:eastAsia="Times New Roman" w:hAnsiTheme="majorBidi" w:cstheme="majorBidi"/>
          <w:lang w:val="en-GB"/>
        </w:rPr>
        <w:t xml:space="preserve"> It was dated to the early Sarduri I</w:t>
      </w:r>
      <w:r w:rsidR="005C68BB">
        <w:rPr>
          <w:rFonts w:asciiTheme="majorBidi" w:eastAsia="Times New Roman" w:hAnsiTheme="majorBidi" w:cstheme="majorBidi"/>
          <w:lang w:val="en-GB"/>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period alongside the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inscriptions due to its incomplete inscription style and use of the Assyrian language. The mouth of the U-shaped niche faces east, and to the west, its rear wall of bedrock is 1.65 m wide and 1.50 m high. Its northern side is 1.30 m wide. At the base of the niche sits a stele slot measuring 57 by 38 cm with a depth of 45 cm. In front of it is a platform oriented along the east-west axis and resting an additional 50 cm lower (Tarhan, 2007a). The presence of sanctuaries with stelae in Urartu has been uncovered in centers such as Yeşilalıç (Sevin &amp; Belli, 1977 Lev. 7), Erzincan/Altıntepe (Özgüç, 1969: Pl. XVI-XVII), Varto/Kayalıdere (Erdoğan et al. 2020: fig. 10-11), and Patnos/Aznavurtepe (Uysal, 2007: Fig. 3-4).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seals and stelae with offering ceremonies are depicted with the Tree of Life (Çevik, 1997; Konyar, 2018: 169; Tarhan, 2020: 223-224).</w:t>
      </w:r>
    </w:p>
    <w:p w14:paraId="32A34F6B" w14:textId="77777777" w:rsidR="006B5F19" w:rsidRPr="00F03A26" w:rsidRDefault="006B5F19" w:rsidP="00F03A26">
      <w:pPr>
        <w:jc w:val="both"/>
        <w:rPr>
          <w:rFonts w:asciiTheme="majorBidi" w:eastAsia="Times New Roman" w:hAnsiTheme="majorBidi" w:cstheme="majorBidi"/>
          <w:lang w:val="en-GB"/>
        </w:rPr>
      </w:pPr>
    </w:p>
    <w:p w14:paraId="3E2A86E0" w14:textId="77777777" w:rsidR="006B5F19" w:rsidRPr="00F03A26" w:rsidRDefault="006B5F19" w:rsidP="00F03A26">
      <w:pPr>
        <w:jc w:val="both"/>
        <w:rPr>
          <w:rFonts w:asciiTheme="majorBidi" w:eastAsia="Times New Roman" w:hAnsiTheme="majorBidi" w:cstheme="majorBidi"/>
          <w:lang w:val="en-GB"/>
        </w:rPr>
      </w:pPr>
    </w:p>
    <w:p w14:paraId="00851266"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noProof/>
        </w:rPr>
        <w:lastRenderedPageBreak/>
        <w:drawing>
          <wp:inline distT="0" distB="0" distL="0" distR="0" wp14:anchorId="4E0030A2" wp14:editId="7856982E">
            <wp:extent cx="5756910" cy="2642870"/>
            <wp:effectExtent l="0" t="0" r="0" b="0"/>
            <wp:docPr id="716656297" name="Resim 5" descr="taslak, sanat, çizim,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56297" name="Resim 5" descr="taslak, sanat, çizim, çocukların yaptığı resimler içeren bir resim&#10;&#10;Açıklama otomatik olarak oluşturuldu"/>
                    <pic:cNvPicPr/>
                  </pic:nvPicPr>
                  <pic:blipFill>
                    <a:blip r:embed="rId59" cstate="email">
                      <a:extLst>
                        <a:ext uri="{28A0092B-C50C-407E-A947-70E740481C1C}">
                          <a14:useLocalDpi xmlns:a14="http://schemas.microsoft.com/office/drawing/2010/main"/>
                        </a:ext>
                      </a:extLst>
                    </a:blip>
                    <a:stretch>
                      <a:fillRect/>
                    </a:stretch>
                  </pic:blipFill>
                  <pic:spPr>
                    <a:xfrm>
                      <a:off x="0" y="0"/>
                      <a:ext cx="5756910" cy="2642870"/>
                    </a:xfrm>
                    <a:prstGeom prst="rect">
                      <a:avLst/>
                    </a:prstGeom>
                  </pic:spPr>
                </pic:pic>
              </a:graphicData>
            </a:graphic>
          </wp:inline>
        </w:drawing>
      </w:r>
    </w:p>
    <w:p w14:paraId="0C1F906D" w14:textId="77777777" w:rsidR="006B5F19" w:rsidRPr="00F03A26" w:rsidRDefault="006B5F19" w:rsidP="00F03A26">
      <w:pPr>
        <w:jc w:val="both"/>
        <w:rPr>
          <w:rFonts w:asciiTheme="majorBidi" w:eastAsia="Times New Roman" w:hAnsiTheme="majorBidi" w:cstheme="majorBidi"/>
          <w:lang w:val="en-GB"/>
        </w:rPr>
      </w:pPr>
    </w:p>
    <w:p w14:paraId="31F45002" w14:textId="68B35F7F"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11 Aerial view (a) and plan and sections (b) of the area defined as </w:t>
      </w:r>
      <w:r w:rsidR="00C20CB0">
        <w:rPr>
          <w:rFonts w:asciiTheme="majorBidi" w:eastAsia="Times New Roman" w:hAnsiTheme="majorBidi" w:cstheme="majorBidi"/>
          <w:iCs/>
          <w:lang w:val="en-GB"/>
        </w:rPr>
        <w:t>‘</w:t>
      </w:r>
      <w:r w:rsidRPr="00F03A26">
        <w:rPr>
          <w:rFonts w:asciiTheme="majorBidi" w:eastAsia="Times New Roman" w:hAnsiTheme="majorBidi" w:cstheme="majorBidi"/>
          <w:iCs/>
          <w:lang w:val="en-GB"/>
        </w:rPr>
        <w:t xml:space="preserve">Stellar niche with the </w:t>
      </w:r>
    </w:p>
    <w:p w14:paraId="04AE3ABA" w14:textId="727076BF"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Assyrian</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"Assyrian"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inscription</w:t>
      </w:r>
      <w:r w:rsidR="00C20CB0">
        <w:rPr>
          <w:rFonts w:asciiTheme="majorBidi" w:eastAsia="Times New Roman" w:hAnsiTheme="majorBidi" w:cstheme="majorBidi"/>
          <w:iCs/>
          <w:lang w:val="en-GB"/>
        </w:rPr>
        <w:t>’</w:t>
      </w:r>
      <w:r w:rsidRPr="00F03A26">
        <w:rPr>
          <w:rFonts w:asciiTheme="majorBidi" w:eastAsia="Times New Roman" w:hAnsiTheme="majorBidi" w:cstheme="majorBidi"/>
          <w:iCs/>
          <w:lang w:val="en-GB"/>
        </w:rPr>
        <w:t xml:space="preserve">, since the legible part of the inscription, located on the plain, rocky area just east of the </w:t>
      </w:r>
      <w:r w:rsidRPr="00F03A26">
        <w:rPr>
          <w:rFonts w:asciiTheme="majorBidi" w:eastAsia="Times New Roman" w:hAnsiTheme="majorBidi" w:cstheme="majorBidi"/>
          <w:lang w:val="en-GB"/>
        </w:rPr>
        <w:t>Ṭušpa</w:t>
      </w:r>
      <w:r w:rsidRPr="00F03A26">
        <w:rPr>
          <w:rFonts w:asciiTheme="majorBidi" w:eastAsia="Times New Roman" w:hAnsiTheme="majorBidi" w:cstheme="majorBidi"/>
          <w:i/>
          <w:lang w:val="en-GB"/>
        </w:rPr>
        <w:t xml:space="preserve"> </w:t>
      </w:r>
      <w:r w:rsidRPr="00F03A26">
        <w:rPr>
          <w:rFonts w:asciiTheme="majorBidi" w:eastAsia="Times New Roman" w:hAnsiTheme="majorBidi" w:cstheme="majorBidi"/>
          <w:iCs/>
          <w:lang w:val="en-GB"/>
        </w:rPr>
        <w:t>East Ditch</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"East Ditch"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is related to sacrificial animals. During the 2016 field studies, a square space carved into the bedrock, which is not very smooth, was unearthed in the north of this area.</w:t>
      </w:r>
    </w:p>
    <w:p w14:paraId="2B0FB32C" w14:textId="77777777" w:rsidR="006B5F19" w:rsidRPr="00F03A26" w:rsidRDefault="006B5F19" w:rsidP="00F03A26">
      <w:pPr>
        <w:jc w:val="both"/>
        <w:rPr>
          <w:rFonts w:asciiTheme="majorBidi" w:eastAsia="Times New Roman" w:hAnsiTheme="majorBidi" w:cstheme="majorBidi"/>
          <w:iCs/>
          <w:lang w:val="en-GB"/>
        </w:rPr>
      </w:pPr>
    </w:p>
    <w:p w14:paraId="145966A8" w14:textId="2C02E498"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Özgüç associated with the stele area in Altıntepe with the chamber tombs right next to it. In this area, closely tied to the cult of the dead, offerings would have been made to the dead at certain times of the year (Özgüç, 1969: 33). Grekyan proposes that the stelae are sanctuaries associated with the cult of the dead (Grekyan, 2019). In recent years, the stele field unearthed in Kayalıdere (Erdoğan et al. 2020: Fig. 10-11) is also connected to the tomb in terms of location, as in Altıntepe. On the other hand, stelae with inscriptions in Urartu and called "pulusi" are primarily associated with God Ḫaldi</w:t>
      </w:r>
      <w:r w:rsidR="00C1513A">
        <w:rPr>
          <w:rFonts w:asciiTheme="majorBidi" w:eastAsia="Times New Roman" w:hAnsiTheme="majorBidi" w:cstheme="majorBidi"/>
          <w:lang w:val="en-GB"/>
        </w:rPr>
        <w:fldChar w:fldCharType="begin"/>
      </w:r>
      <w:r w:rsidR="00C1513A">
        <w:instrText xml:space="preserve"> XE "</w:instrText>
      </w:r>
      <w:r w:rsidR="00C1513A" w:rsidRPr="009F22E3">
        <w:rPr>
          <w:rFonts w:asciiTheme="majorBidi" w:eastAsia="Times New Roman" w:hAnsiTheme="majorBidi" w:cstheme="majorBidi"/>
          <w:lang w:val="en-GB"/>
        </w:rPr>
        <w:instrText>God Ḫaldi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For example, in the Güsak stele and the Ilandag inscriptions, it is understood that wine libation and animal sacrifices were offered to God Ḫaldi and his wife' Arubaini, in front of the stelae or pulusi (Kuvanç, et al. 2022). At this point, some elaboration on the chronology of the BG90 tomb</w:t>
      </w:r>
      <w:r w:rsidR="00EA6C63">
        <w:rPr>
          <w:rFonts w:asciiTheme="majorBidi" w:eastAsia="Times New Roman" w:hAnsiTheme="majorBidi" w:cstheme="majorBidi"/>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the Inscribed Sacrifice Niche is in order (Konyar, 2018). The BG90 tomb, located 35 m south of where the Assyrian</w:t>
      </w:r>
      <w:r w:rsidR="001F2587">
        <w:rPr>
          <w:rFonts w:asciiTheme="majorBidi" w:eastAsia="Times New Roman"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inscription was found, was the first rock tomb unearthed in the Van Fortress during archaeological excavations.</w:t>
      </w:r>
    </w:p>
    <w:p w14:paraId="44C3F7B0" w14:textId="77777777" w:rsidR="006B5F19" w:rsidRPr="00F03A26" w:rsidRDefault="006B5F19" w:rsidP="00F03A26">
      <w:pPr>
        <w:jc w:val="both"/>
        <w:rPr>
          <w:rFonts w:asciiTheme="majorBidi" w:eastAsia="Times New Roman" w:hAnsiTheme="majorBidi" w:cstheme="majorBidi"/>
          <w:lang w:val="en-GB"/>
        </w:rPr>
      </w:pPr>
    </w:p>
    <w:p w14:paraId="2D01E30F" w14:textId="5F88823C"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Regarding features such as underground processing and planning, it has the same composition as the types of tombs understood as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w:t>
      </w:r>
      <w:r w:rsidR="00C1513A">
        <w:rPr>
          <w:rFonts w:asciiTheme="majorBidi" w:eastAsia="Times New Roman" w:hAnsiTheme="majorBidi" w:cstheme="majorBidi"/>
          <w:lang w:val="en-GB"/>
        </w:rPr>
        <w:t>p</w:t>
      </w:r>
      <w:r w:rsidRPr="00F03A26">
        <w:rPr>
          <w:rFonts w:asciiTheme="majorBidi" w:eastAsia="Times New Roman" w:hAnsiTheme="majorBidi" w:cstheme="majorBidi"/>
          <w:lang w:val="en-GB"/>
        </w:rPr>
        <w:t>ublic tombs. In front of it is a well-shaped dromos carved into the bedrock. A niche extends to parts of the burial chamber's south, east, and north walls, and its structure is parallel to the Cremation tomb</w:t>
      </w:r>
      <w:r w:rsidR="00C1513A">
        <w:rPr>
          <w:rFonts w:asciiTheme="majorBidi" w:eastAsia="Times New Roman" w:hAnsiTheme="majorBidi" w:cstheme="majorBidi"/>
          <w:lang w:val="en-GB"/>
        </w:rPr>
        <w:fldChar w:fldCharType="begin"/>
      </w:r>
      <w:r w:rsidR="00C1513A">
        <w:instrText xml:space="preserve"> XE "</w:instrText>
      </w:r>
      <w:r w:rsidR="00C1513A" w:rsidRPr="00041C3F">
        <w:rPr>
          <w:rFonts w:asciiTheme="majorBidi" w:eastAsia="Times New Roman" w:hAnsiTheme="majorBidi" w:cstheme="majorBidi"/>
          <w:lang w:val="en-GB"/>
        </w:rPr>
        <w:instrText>Cremation tomb</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tomb is the product of a different understanding from the multi-roomed Neft Kuyu</w:t>
      </w:r>
      <w:r w:rsidR="001F2587">
        <w:rPr>
          <w:rFonts w:asciiTheme="majorBidi" w:eastAsia="Times New Roman"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w:t>
      </w:r>
      <w:r w:rsidRPr="00F03A26">
        <w:rPr>
          <w:rFonts w:asciiTheme="majorBidi" w:eastAsia="Times New Roman" w:hAnsiTheme="majorBidi" w:cstheme="majorBidi"/>
          <w:lang w:val="en-GB"/>
        </w:rPr>
        <w:lastRenderedPageBreak/>
        <w:t>and Doğu Odaları</w:t>
      </w:r>
      <w:r w:rsidR="001F2587">
        <w:rPr>
          <w:rFonts w:asciiTheme="majorBidi" w:eastAsia="Times New Roman" w:hAnsiTheme="majorBidi" w:cstheme="majorBidi"/>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tombs, which have monumental facades in the citadel. Again, regarding its location and plan, the Arsenal/BD78 tomb</w:t>
      </w:r>
      <w:r w:rsidR="00573866">
        <w:rPr>
          <w:rFonts w:asciiTheme="majorBidi" w:eastAsia="Times New Roman" w:hAnsiTheme="majorBidi" w:cstheme="majorBidi"/>
          <w:lang w:val="en-GB"/>
        </w:rPr>
        <w:fldChar w:fldCharType="begin"/>
      </w:r>
      <w:r w:rsidR="00573866">
        <w:instrText xml:space="preserve"> XE "</w:instrText>
      </w:r>
      <w:r w:rsidR="00573866" w:rsidRPr="006A1145">
        <w:rPr>
          <w:rFonts w:asciiTheme="majorBidi" w:eastAsia="Times New Roman" w:hAnsiTheme="majorBidi" w:cstheme="majorBidi"/>
          <w:lang w:val="en-GB"/>
        </w:rPr>
        <w:instrText>Arsenal/BD78 tomb</w:instrText>
      </w:r>
      <w:r w:rsidR="00573866">
        <w:instrText xml:space="preserve">" </w:instrText>
      </w:r>
      <w:r w:rsidR="0057386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differs from the burial chamber under the Great Platform</w:t>
      </w:r>
      <w:r w:rsidR="00C1513A">
        <w:rPr>
          <w:rFonts w:asciiTheme="majorBidi" w:eastAsia="Times New Roman" w:hAnsiTheme="majorBidi" w:cstheme="majorBidi"/>
          <w:lang w:val="en-GB"/>
        </w:rPr>
        <w:fldChar w:fldCharType="begin"/>
      </w:r>
      <w:r w:rsidR="00C1513A">
        <w:instrText xml:space="preserve"> XE "</w:instrText>
      </w:r>
      <w:r w:rsidR="00C1513A" w:rsidRPr="00A445F6">
        <w:rPr>
          <w:rFonts w:asciiTheme="majorBidi" w:eastAsia="Times New Roman" w:hAnsiTheme="majorBidi" w:cstheme="majorBidi"/>
          <w:lang w:val="en-GB"/>
        </w:rPr>
        <w:instrText>Great Platform</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the Small Horhor</w:t>
      </w:r>
      <w:r w:rsidR="00647545">
        <w:rPr>
          <w:rFonts w:asciiTheme="majorBidi" w:eastAsia="Times New Roman" w:hAnsiTheme="majorBidi" w:cstheme="majorBidi"/>
          <w:lang w:val="en-GB"/>
        </w:rPr>
        <w:fldChar w:fldCharType="begin"/>
      </w:r>
      <w:r w:rsidR="00647545">
        <w:instrText xml:space="preserve"> XE "</w:instrText>
      </w:r>
      <w:r w:rsidR="00647545" w:rsidRPr="00791D30">
        <w:rPr>
          <w:rFonts w:asciiTheme="majorBidi" w:hAnsiTheme="majorBidi" w:cstheme="majorBidi"/>
        </w:rPr>
        <w:instrText>Small Horhor</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w:t>
      </w:r>
    </w:p>
    <w:p w14:paraId="3C707697" w14:textId="77777777" w:rsidR="006B5F19" w:rsidRPr="00F03A26" w:rsidRDefault="006B5F19" w:rsidP="00F03A26">
      <w:pPr>
        <w:jc w:val="both"/>
        <w:rPr>
          <w:rFonts w:asciiTheme="majorBidi" w:eastAsia="Times New Roman" w:hAnsiTheme="majorBidi" w:cstheme="majorBidi"/>
          <w:lang w:val="en-GB"/>
        </w:rPr>
      </w:pPr>
    </w:p>
    <w:p w14:paraId="418244EA" w14:textId="7C4E4796"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Rock and masonry tombs, known as public tombs and originally built underground, are common across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sites. These tombs are related to the tradition of chamber tombs with underground dromos, which are thought to have been used since the Early Iron Age and understood as being used in the Urartian period (Sevin &amp; Kavaklı, 1996). Based on the information at our disposal, we can conclude that the BG90 tomb</w:t>
      </w:r>
      <w:r w:rsidR="00EA6C63">
        <w:rPr>
          <w:rFonts w:asciiTheme="majorBidi" w:eastAsia="Times New Roman" w:hAnsiTheme="majorBidi" w:cstheme="majorBidi"/>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represents the transition between the Urartian king's rock tomb tradition and the underground chamber tomb tradition due to its site selection, among other typological features. There is a feasible argument to be made that the multi-roomed rock tombs with their monumental façades and entrances in the citadel did not suddenly appear and that, over time, underground burial chambers with a doorway, like the BG90 tomb, emerged within the framework of certain developments.</w:t>
      </w:r>
    </w:p>
    <w:p w14:paraId="3D9A987A" w14:textId="77777777" w:rsidR="006B5F19" w:rsidRPr="00F03A26" w:rsidRDefault="006B5F19" w:rsidP="00F03A26">
      <w:pPr>
        <w:jc w:val="both"/>
        <w:rPr>
          <w:rFonts w:asciiTheme="majorBidi" w:eastAsia="Times New Roman" w:hAnsiTheme="majorBidi" w:cstheme="majorBidi"/>
          <w:lang w:val="en-GB"/>
        </w:rPr>
      </w:pPr>
    </w:p>
    <w:p w14:paraId="6ED8677E" w14:textId="47B50100"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To summarise: when we consider both the chronology of the Assyrian</w:t>
      </w:r>
      <w:r w:rsidR="001F2587">
        <w:rPr>
          <w:rFonts w:asciiTheme="majorBidi" w:eastAsia="Times New Roman"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inscribed and stellated niche in the area east of the East Ditch</w:t>
      </w:r>
      <w:r w:rsidR="00647545">
        <w:rPr>
          <w:rFonts w:asciiTheme="majorBidi" w:eastAsia="Times New Roman" w:hAnsiTheme="majorBidi" w:cstheme="majorBidi"/>
          <w:lang w:val="en-GB"/>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the burial chamber just south of it, it seems that it was built under or within a few years of the reign of Sarduri I</w:t>
      </w:r>
      <w:r w:rsidR="00C1513A">
        <w:rPr>
          <w:rFonts w:asciiTheme="majorBidi" w:eastAsia="Times New Roman" w:hAnsiTheme="majorBidi" w:cstheme="majorBidi"/>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If this is the case, it is understood that early building groups can be found in this area to the east and in the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structure, except for the areas where the ditches are bordered and where the early structures are claimed. In addition to all these, it is worth noting that Assyrian inscriptions were used until the final days of Urartu. Again, as we mentioned above, the stelae in the area associated with the tombs are generally without inscriptions. Even though we do not know whether the niche's stele is inscribed, there is an inscription on the walls of the niche associated with the sacrifice. The tomb architecture and the applications, such as the Assyrian inscribed niche in this area, indicate that the BG90 tomb</w:t>
      </w:r>
      <w:r w:rsidR="00EA6C63">
        <w:rPr>
          <w:rFonts w:asciiTheme="majorBidi" w:eastAsia="Times New Roman" w:hAnsiTheme="majorBidi" w:cstheme="majorBidi"/>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underground tomb features archaic elements.</w:t>
      </w:r>
    </w:p>
    <w:p w14:paraId="7F07518B" w14:textId="77777777" w:rsidR="006B5F19" w:rsidRPr="00F03A26" w:rsidRDefault="006B5F19" w:rsidP="00F03A26">
      <w:pPr>
        <w:jc w:val="both"/>
        <w:rPr>
          <w:rFonts w:asciiTheme="majorBidi" w:eastAsia="Times New Roman" w:hAnsiTheme="majorBidi" w:cstheme="majorBidi"/>
          <w:lang w:val="en-GB"/>
        </w:rPr>
      </w:pPr>
    </w:p>
    <w:p w14:paraId="56D03C9A" w14:textId="75EA9D8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If we proceed with the historical topography of the citadel based on written sources, the Tabriz Gate</w:t>
      </w:r>
      <w:r w:rsidR="00647545">
        <w:rPr>
          <w:rFonts w:asciiTheme="majorBidi" w:eastAsia="Times New Roman" w:hAnsiTheme="majorBidi" w:cstheme="majorBidi"/>
          <w:lang w:val="en-GB"/>
        </w:rPr>
        <w:fldChar w:fldCharType="begin"/>
      </w:r>
      <w:r w:rsidR="00647545">
        <w:instrText xml:space="preserve"> XE "</w:instrText>
      </w:r>
      <w:r w:rsidR="00647545" w:rsidRPr="003F67E3">
        <w:rPr>
          <w:rFonts w:asciiTheme="majorBidi" w:hAnsiTheme="majorBidi" w:cstheme="majorBidi"/>
        </w:rPr>
        <w:instrText>Tabriz Gate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niche and inscription, the counterpart of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is located at the eastern end of the Ṭušpa</w:t>
      </w:r>
      <w:r w:rsidR="00C1513A">
        <w:rPr>
          <w:rFonts w:asciiTheme="majorBidi" w:eastAsia="Times New Roman" w:hAnsiTheme="majorBidi" w:cstheme="majorBidi"/>
          <w:lang w:val="en-GB"/>
        </w:rPr>
        <w:t>/Van</w:t>
      </w:r>
      <w:r w:rsidRPr="00F03A26">
        <w:rPr>
          <w:rFonts w:asciiTheme="majorBidi" w:eastAsia="Times New Roman" w:hAnsiTheme="majorBidi" w:cstheme="majorBidi"/>
          <w:lang w:val="en-GB"/>
        </w:rPr>
        <w:t xml:space="preserve"> Rock</w:t>
      </w:r>
      <w:r w:rsidR="00C1513A">
        <w:rPr>
          <w:rFonts w:asciiTheme="majorBidi" w:eastAsia="Times New Roman" w:hAnsiTheme="majorBidi" w:cstheme="majorBidi"/>
          <w:lang w:val="en-GB"/>
        </w:rPr>
        <w:fldChar w:fldCharType="begin"/>
      </w:r>
      <w:r w:rsidR="00C1513A">
        <w:instrText xml:space="preserve"> XE "</w:instrText>
      </w:r>
      <w:r w:rsidR="00C1513A" w:rsidRPr="00F556C3">
        <w:rPr>
          <w:rFonts w:asciiTheme="majorBidi" w:eastAsia="Times New Roman" w:hAnsiTheme="majorBidi" w:cstheme="majorBidi"/>
          <w:lang w:val="en-GB"/>
        </w:rPr>
        <w:instrText>Ṭušpa/Van Rock</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On the lower levels of the rock overlooking the plain, the shallow, niched frame opened on the rock surface below the Tophane tower measures 3.10 by 1.45 m and is approximately 5 to 10 cm deep. There are 34 lines of cuneiform text within its frame, which are extremely important owing to two elements: firstly, it is primarily dated to the Išpuini</w:t>
      </w:r>
      <w:r w:rsidR="00C1513A">
        <w:rPr>
          <w:rFonts w:asciiTheme="majorBidi" w:eastAsia="Times New Roman" w:hAnsiTheme="majorBidi" w:cstheme="majorBidi"/>
          <w:lang w:val="en-GB"/>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Inušpua</w:t>
      </w:r>
      <w:r w:rsidR="004B0374">
        <w:rPr>
          <w:rFonts w:asciiTheme="majorBidi" w:eastAsia="Times New Roman" w:hAnsiTheme="majorBidi" w:cstheme="majorBidi"/>
          <w:lang w:val="en-GB"/>
        </w:rPr>
        <w:fldChar w:fldCharType="begin"/>
      </w:r>
      <w:r w:rsidR="004B0374">
        <w:instrText xml:space="preserve"> XE "</w:instrText>
      </w:r>
      <w:r w:rsidR="004B0374" w:rsidRPr="00AB28D0">
        <w:rPr>
          <w:rFonts w:ascii="Times New Roman" w:hAnsi="Times New Roman"/>
          <w:lang w:val="en-GB"/>
        </w:rPr>
        <w:instrText>Inušpua</w:instrText>
      </w:r>
      <w:r w:rsidR="004B0374">
        <w:instrText xml:space="preserve">" </w:instrText>
      </w:r>
      <w:r w:rsidR="004B0374">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periods, which is called the coregency, and on the other hand, these kings state that they built a susi</w:t>
      </w:r>
      <w:r w:rsidR="00C1513A">
        <w:rPr>
          <w:rFonts w:asciiTheme="majorBidi" w:eastAsia="Times New Roman" w:hAnsiTheme="majorBidi" w:cstheme="majorBidi"/>
          <w:lang w:val="en-GB"/>
        </w:rPr>
        <w:fldChar w:fldCharType="begin"/>
      </w:r>
      <w:r w:rsidR="00C1513A">
        <w:instrText xml:space="preserve"> XE "</w:instrText>
      </w:r>
      <w:r w:rsidR="00C1513A" w:rsidRPr="00C85EFB">
        <w:rPr>
          <w:rFonts w:asciiTheme="majorBidi" w:eastAsia="Times New Roman" w:hAnsiTheme="majorBidi" w:cstheme="majorBidi"/>
          <w:lang w:val="en-GB"/>
        </w:rPr>
        <w:instrText>susi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temple and Ḫaldi gates for God Ḫaldi</w:t>
      </w:r>
      <w:r w:rsidR="00C1513A">
        <w:rPr>
          <w:rFonts w:asciiTheme="majorBidi" w:eastAsia="Times New Roman" w:hAnsiTheme="majorBidi" w:cstheme="majorBidi"/>
          <w:lang w:val="en-GB"/>
        </w:rPr>
        <w:fldChar w:fldCharType="begin"/>
      </w:r>
      <w:r w:rsidR="00C1513A">
        <w:instrText xml:space="preserve"> XE "</w:instrText>
      </w:r>
      <w:r w:rsidR="00C1513A" w:rsidRPr="009F22E3">
        <w:rPr>
          <w:rFonts w:asciiTheme="majorBidi" w:eastAsia="Times New Roman" w:hAnsiTheme="majorBidi" w:cstheme="majorBidi"/>
          <w:lang w:val="en-GB"/>
        </w:rPr>
        <w:instrText>God Ḫaldi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and that sacrifices should be made to him. The susi, in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inscriptions, is the name of a temple with a square plan and tower. These cellas are also referred to as </w:t>
      </w:r>
      <w:r w:rsidR="00E6147F">
        <w:rPr>
          <w:rFonts w:asciiTheme="majorBidi" w:eastAsia="Times New Roman" w:hAnsiTheme="majorBidi" w:cstheme="majorBidi"/>
          <w:lang w:val="en-GB"/>
        </w:rPr>
        <w:t>‘</w:t>
      </w:r>
      <w:r w:rsidRPr="00F03A26">
        <w:rPr>
          <w:rFonts w:asciiTheme="majorBidi" w:eastAsia="Times New Roman" w:hAnsiTheme="majorBidi" w:cstheme="majorBidi"/>
          <w:lang w:val="en-GB"/>
        </w:rPr>
        <w:t>the gates of … god</w:t>
      </w:r>
      <w:r w:rsidR="00E6147F">
        <w:rPr>
          <w:rFonts w:asciiTheme="majorBidi" w:eastAsia="Times New Roman" w:hAnsiTheme="majorBidi" w:cstheme="majorBidi"/>
          <w:lang w:val="en-GB"/>
        </w:rPr>
        <w:t>’</w:t>
      </w:r>
      <w:r w:rsidRPr="00F03A26">
        <w:rPr>
          <w:rFonts w:asciiTheme="majorBidi" w:eastAsia="Times New Roman" w:hAnsiTheme="majorBidi" w:cstheme="majorBidi"/>
          <w:lang w:val="en-GB"/>
        </w:rPr>
        <w:t xml:space="preserve"> (Genç, 2016; Kuvanç et al.2022); examples include Ḫaldinili KÁ, Šebituinili KÁ. This inscription implies that at least one tower temple may exist in Ṭušpa. The primary archaeological data for this structure comes from examining exclusively the traces in the bedrock, located in the highest part of the Fortress at the southeast end of the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w:t>
      </w:r>
    </w:p>
    <w:p w14:paraId="0DB1CA92" w14:textId="77777777" w:rsidR="006B5F19" w:rsidRPr="00F03A26" w:rsidRDefault="006B5F19" w:rsidP="00F03A26">
      <w:pPr>
        <w:jc w:val="both"/>
        <w:rPr>
          <w:rFonts w:asciiTheme="majorBidi" w:eastAsia="Times New Roman" w:hAnsiTheme="majorBidi" w:cstheme="majorBidi"/>
          <w:lang w:val="en-GB"/>
        </w:rPr>
      </w:pPr>
    </w:p>
    <w:p w14:paraId="78B508B8" w14:textId="14B2B4A4"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Inscriptions carved into the bedrock along the northern skirts of Ṭušpa indicate that the majority, or perhaps all of the northern part, was used during the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lastRenderedPageBreak/>
        <w:fldChar w:fldCharType="end"/>
      </w:r>
      <w:r w:rsidRPr="00F03A26">
        <w:rPr>
          <w:rFonts w:asciiTheme="majorBidi" w:eastAsia="Times New Roman" w:hAnsiTheme="majorBidi" w:cstheme="majorBidi"/>
          <w:lang w:val="en-GB"/>
        </w:rPr>
        <w:t> period (Fig. 5). These areas are also where the inclination of the slope is very shallow compared to the south, and therefore preferable land for construction. Again, the section with the foundation beds mentioned above is mainly concentrated in the north. Traces of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foundations show that flat areas and terraces were manually created in these sections to construct buildings. The nature of the surface slope suggests that the foundation beds also changed. As mentioned before, the walls in this area doubled as both the northern and outer walls of structures in the vicinity.</w:t>
      </w:r>
    </w:p>
    <w:p w14:paraId="541C7833" w14:textId="77777777" w:rsidR="006B5F19" w:rsidRPr="00F03A26" w:rsidRDefault="006B5F19" w:rsidP="00F03A26">
      <w:pPr>
        <w:jc w:val="both"/>
        <w:rPr>
          <w:rFonts w:asciiTheme="majorBidi" w:eastAsia="Times New Roman" w:hAnsiTheme="majorBidi" w:cstheme="majorBidi"/>
          <w:lang w:val="en-GB"/>
        </w:rPr>
      </w:pPr>
    </w:p>
    <w:p w14:paraId="633C1205" w14:textId="596A804F"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In the westernmost part of this region, there is a one-room structure carved into the bedrock with an inscription carved into the bedrock to the right of the entrance, termed the </w:t>
      </w:r>
      <w:r w:rsidR="00E6147F" w:rsidRPr="00270549">
        <w:rPr>
          <w:rFonts w:asciiTheme="majorBidi" w:eastAsia="Calibri" w:hAnsiTheme="majorBidi" w:cstheme="majorBidi"/>
        </w:rPr>
        <w:t>"</w:t>
      </w:r>
      <w:r w:rsidRPr="00F03A26">
        <w:rPr>
          <w:rFonts w:asciiTheme="majorBidi" w:eastAsia="Times New Roman" w:hAnsiTheme="majorBidi" w:cstheme="majorBidi"/>
          <w:lang w:val="en-GB"/>
        </w:rPr>
        <w:t>siršini</w:t>
      </w:r>
      <w:r w:rsidR="00E6147F" w:rsidRPr="00270549">
        <w:rPr>
          <w:rFonts w:asciiTheme="majorBidi" w:eastAsia="Calibri" w:hAnsiTheme="majorBidi" w:cstheme="majorBidi"/>
        </w:rPr>
        <w:t>"</w:t>
      </w:r>
      <w:r w:rsidR="00C1513A">
        <w:rPr>
          <w:rFonts w:asciiTheme="majorBidi" w:eastAsia="Times New Roman" w:hAnsiTheme="majorBidi" w:cstheme="majorBidi"/>
          <w:lang w:val="en-GB"/>
        </w:rPr>
        <w:fldChar w:fldCharType="begin"/>
      </w:r>
      <w:r w:rsidR="00C1513A">
        <w:instrText xml:space="preserve"> XE "</w:instrText>
      </w:r>
      <w:r w:rsidR="00C1513A" w:rsidRPr="00582FC6">
        <w:rPr>
          <w:rFonts w:asciiTheme="majorBidi" w:eastAsia="Times New Roman" w:hAnsiTheme="majorBidi" w:cstheme="majorBidi"/>
          <w:lang w:val="en-GB"/>
        </w:rPr>
        <w:instrText>siršini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of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The content of the inscription in question was accepted as the most authoritative source in determining the quality of this building, and it has been suggested that the building served as a </w:t>
      </w:r>
      <w:r w:rsidR="00E6147F">
        <w:rPr>
          <w:rFonts w:asciiTheme="majorBidi" w:eastAsia="Times New Roman" w:hAnsiTheme="majorBidi" w:cstheme="majorBidi"/>
          <w:lang w:val="en-GB"/>
        </w:rPr>
        <w:t>‘</w:t>
      </w:r>
      <w:r w:rsidRPr="00F03A26">
        <w:rPr>
          <w:rFonts w:asciiTheme="majorBidi" w:eastAsia="Times New Roman" w:hAnsiTheme="majorBidi" w:cstheme="majorBidi"/>
          <w:lang w:val="en-GB"/>
        </w:rPr>
        <w:t>royal stable</w:t>
      </w:r>
      <w:r w:rsidR="00E6147F">
        <w:rPr>
          <w:rFonts w:asciiTheme="majorBidi" w:eastAsia="Times New Roman" w:hAnsiTheme="majorBidi" w:cstheme="majorBidi"/>
          <w:lang w:val="en-GB"/>
        </w:rPr>
        <w:t>’.</w:t>
      </w:r>
      <w:r w:rsidRPr="00F03A26">
        <w:rPr>
          <w:rFonts w:asciiTheme="majorBidi" w:eastAsia="Times New Roman" w:hAnsiTheme="majorBidi" w:cstheme="majorBidi"/>
          <w:lang w:val="en-GB"/>
        </w:rPr>
        <w:t xml:space="preserve"> The siršini of Minua shares similarities with the monumental rock tombs on the south façade in terms of construction techniques - this cannot be ignored in any discussion of the chronology of the burial chambers. Based on this structure, it is evident that Minua was the first king to make extensive alterations to the terrain of the Ṭušpa Rock.</w:t>
      </w:r>
    </w:p>
    <w:p w14:paraId="128C2D53" w14:textId="77777777" w:rsidR="006B5F19" w:rsidRPr="00F03A26" w:rsidRDefault="006B5F19" w:rsidP="00F03A26">
      <w:pPr>
        <w:jc w:val="both"/>
        <w:rPr>
          <w:rFonts w:asciiTheme="majorBidi" w:eastAsia="Times New Roman" w:hAnsiTheme="majorBidi" w:cstheme="majorBidi"/>
          <w:lang w:val="en-GB"/>
        </w:rPr>
      </w:pPr>
    </w:p>
    <w:p w14:paraId="26B38506" w14:textId="2280EEC2"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so-called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fountain</w:t>
      </w:r>
      <w:r w:rsidRPr="00F03A26">
        <w:rPr>
          <w:rStyle w:val="DipnotBavurusu"/>
          <w:rFonts w:asciiTheme="majorBidi" w:eastAsia="Times New Roman" w:hAnsiTheme="majorBidi" w:cstheme="majorBidi"/>
          <w:lang w:val="en-GB"/>
        </w:rPr>
        <w:footnoteReference w:id="31"/>
      </w:r>
      <w:r w:rsidRPr="00F03A26">
        <w:rPr>
          <w:rFonts w:asciiTheme="majorBidi" w:eastAsia="Times New Roman" w:hAnsiTheme="majorBidi" w:cstheme="majorBidi"/>
          <w:lang w:val="en-GB"/>
        </w:rPr>
        <w:t xml:space="preserve"> located to the east of </w:t>
      </w:r>
      <w:r w:rsidR="00027DBE" w:rsidRPr="00F03A26">
        <w:rPr>
          <w:rFonts w:asciiTheme="majorBidi" w:eastAsia="Times New Roman" w:hAnsiTheme="majorBidi" w:cstheme="majorBidi"/>
          <w:lang w:val="en-GB"/>
        </w:rPr>
        <w:t>"</w:t>
      </w:r>
      <w:r w:rsidRPr="00F03A26">
        <w:rPr>
          <w:rFonts w:asciiTheme="majorBidi" w:eastAsia="Times New Roman" w:hAnsiTheme="majorBidi" w:cstheme="majorBidi"/>
          <w:lang w:val="en-GB"/>
        </w:rPr>
        <w:t>siršini</w:t>
      </w:r>
      <w:r w:rsidR="00027DBE" w:rsidRPr="00F03A26">
        <w:rPr>
          <w:rFonts w:asciiTheme="majorBidi" w:eastAsia="Times New Roman" w:hAnsiTheme="majorBidi" w:cstheme="majorBidi"/>
          <w:lang w:val="en-GB"/>
        </w:rPr>
        <w:t>"</w:t>
      </w:r>
      <w:r w:rsidR="00C1513A">
        <w:rPr>
          <w:rFonts w:asciiTheme="majorBidi" w:eastAsia="Times New Roman" w:hAnsiTheme="majorBidi" w:cstheme="majorBidi"/>
          <w:lang w:val="en-GB"/>
        </w:rPr>
        <w:fldChar w:fldCharType="begin"/>
      </w:r>
      <w:r w:rsidR="00C1513A">
        <w:instrText xml:space="preserve"> XE "</w:instrText>
      </w:r>
      <w:r w:rsidR="00C1513A" w:rsidRPr="00582FC6">
        <w:rPr>
          <w:rFonts w:asciiTheme="majorBidi" w:eastAsia="Times New Roman" w:hAnsiTheme="majorBidi" w:cstheme="majorBidi"/>
          <w:lang w:val="en-GB"/>
        </w:rPr>
        <w:instrText>siršini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is an area that demands attention owing to the content of inscriptions found here. Its definition and chronology can be gathered through three inscriptions in a natural cavity formed in the rock. In three repeating inscriptions, Minua says, "I dug up? Moreover, built this spring." It is thought that the word "taramani"</w:t>
      </w:r>
      <w:r w:rsidR="00027DBE">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t>found in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inscriptions, translates to </w:t>
      </w:r>
      <w:r w:rsidR="00E6147F">
        <w:rPr>
          <w:rFonts w:asciiTheme="majorBidi" w:eastAsia="Times New Roman" w:hAnsiTheme="majorBidi" w:cstheme="majorBidi"/>
          <w:lang w:val="en-GB"/>
        </w:rPr>
        <w:t>‘</w:t>
      </w:r>
      <w:r w:rsidRPr="00F03A26">
        <w:rPr>
          <w:rFonts w:asciiTheme="majorBidi" w:eastAsia="Times New Roman" w:hAnsiTheme="majorBidi" w:cstheme="majorBidi"/>
          <w:lang w:val="en-GB"/>
        </w:rPr>
        <w:t>fountain</w:t>
      </w:r>
      <w:r w:rsidR="00E6147F">
        <w:rPr>
          <w:rFonts w:asciiTheme="majorBidi" w:eastAsia="Times New Roman" w:hAnsiTheme="majorBidi" w:cstheme="majorBidi"/>
          <w:lang w:val="en-GB"/>
        </w:rPr>
        <w:t>’</w:t>
      </w:r>
      <w:r w:rsidRPr="00F03A26">
        <w:rPr>
          <w:rFonts w:asciiTheme="majorBidi" w:eastAsia="Times New Roman" w:hAnsiTheme="majorBidi" w:cstheme="majorBidi"/>
          <w:lang w:val="en-GB"/>
        </w:rPr>
        <w:t xml:space="preserve"> or </w:t>
      </w:r>
      <w:r w:rsidR="00E6147F">
        <w:rPr>
          <w:rFonts w:asciiTheme="majorBidi" w:eastAsia="Times New Roman" w:hAnsiTheme="majorBidi" w:cstheme="majorBidi"/>
          <w:lang w:val="en-GB"/>
        </w:rPr>
        <w:t>‘</w:t>
      </w:r>
      <w:r w:rsidRPr="00F03A26">
        <w:rPr>
          <w:rFonts w:asciiTheme="majorBidi" w:eastAsia="Times New Roman" w:hAnsiTheme="majorBidi" w:cstheme="majorBidi"/>
          <w:lang w:val="en-GB"/>
        </w:rPr>
        <w:t>water source</w:t>
      </w:r>
      <w:r w:rsidR="00E6147F">
        <w:rPr>
          <w:rFonts w:asciiTheme="majorBidi" w:eastAsia="Times New Roman" w:hAnsiTheme="majorBidi" w:cstheme="majorBidi"/>
          <w:lang w:val="en-GB"/>
        </w:rPr>
        <w:t>’</w:t>
      </w:r>
      <w:r w:rsidRPr="00F03A26">
        <w:rPr>
          <w:rFonts w:asciiTheme="majorBidi" w:eastAsia="Times New Roman" w:hAnsiTheme="majorBidi" w:cstheme="majorBidi"/>
          <w:lang w:val="en-GB"/>
        </w:rPr>
        <w:t xml:space="preserve"> (Çifçi, 2017: 34-37; Çifçi &amp; Greaves, 2013). Based on this data, it is argued that a nearby water structure may have been built during the Minua period. During our excavations in the Horhor</w:t>
      </w:r>
      <w:r w:rsidR="00647545">
        <w:rPr>
          <w:rFonts w:asciiTheme="majorBidi" w:eastAsia="Times New Roman" w:hAnsiTheme="majorBidi" w:cstheme="majorBidi"/>
          <w:lang w:val="en-GB"/>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region of the rock's southwestern portion, a structure similar to the Ain-e Rum</w:t>
      </w:r>
      <w:r w:rsidR="00C1513A">
        <w:rPr>
          <w:rFonts w:asciiTheme="majorBidi" w:eastAsia="Times New Roman" w:hAnsiTheme="majorBidi" w:cstheme="majorBidi"/>
          <w:lang w:val="en-GB"/>
        </w:rPr>
        <w:fldChar w:fldCharType="begin"/>
      </w:r>
      <w:r w:rsidR="00C1513A">
        <w:instrText xml:space="preserve"> XE "</w:instrText>
      </w:r>
      <w:r w:rsidR="00C1513A" w:rsidRPr="00E07046">
        <w:rPr>
          <w:rFonts w:asciiTheme="majorBidi" w:eastAsia="Times New Roman" w:hAnsiTheme="majorBidi" w:cstheme="majorBidi"/>
          <w:lang w:val="en-GB"/>
        </w:rPr>
        <w:instrText>Ain-e Rum</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fountain in Northwest Iran was unearthed (Salvini 1984, 2019).</w:t>
      </w:r>
    </w:p>
    <w:p w14:paraId="5002EFAD" w14:textId="77777777" w:rsidR="006B5F19" w:rsidRPr="00F03A26" w:rsidRDefault="006B5F19" w:rsidP="00F03A26">
      <w:pPr>
        <w:jc w:val="both"/>
        <w:rPr>
          <w:rFonts w:asciiTheme="majorBidi" w:eastAsia="Times New Roman" w:hAnsiTheme="majorBidi" w:cstheme="majorBidi"/>
          <w:lang w:val="en-GB"/>
        </w:rPr>
      </w:pPr>
    </w:p>
    <w:p w14:paraId="1BB1980A" w14:textId="7128E8C5"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Although lacking an inscription, this water structure may be related to the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period due to its structural features. The Ṭušpa</w:t>
      </w:r>
      <w:r w:rsidR="00C1513A">
        <w:rPr>
          <w:rFonts w:asciiTheme="majorBidi" w:eastAsia="Times New Roman" w:hAnsiTheme="majorBidi" w:cstheme="majorBidi"/>
          <w:lang w:val="en-GB"/>
        </w:rPr>
        <w:t xml:space="preserve">/Van </w:t>
      </w:r>
      <w:r w:rsidRPr="00F03A26">
        <w:rPr>
          <w:rFonts w:asciiTheme="majorBidi" w:eastAsia="Times New Roman" w:hAnsiTheme="majorBidi" w:cstheme="majorBidi"/>
          <w:lang w:val="en-GB"/>
        </w:rPr>
        <w:t>Rock</w:t>
      </w:r>
      <w:r w:rsidR="00C1513A">
        <w:rPr>
          <w:rFonts w:asciiTheme="majorBidi" w:eastAsia="Times New Roman" w:hAnsiTheme="majorBidi" w:cstheme="majorBidi"/>
          <w:lang w:val="en-GB"/>
        </w:rPr>
        <w:fldChar w:fldCharType="begin"/>
      </w:r>
      <w:r w:rsidR="00C1513A">
        <w:instrText xml:space="preserve"> XE "</w:instrText>
      </w:r>
      <w:r w:rsidR="00C1513A" w:rsidRPr="0097282E">
        <w:rPr>
          <w:rFonts w:asciiTheme="majorBidi" w:eastAsia="Times New Roman" w:hAnsiTheme="majorBidi" w:cstheme="majorBidi"/>
          <w:lang w:val="en-GB"/>
        </w:rPr>
        <w:instrText>Ṭušpa/Van Rock</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is endowed with desirable underground water resources, especially in the western section of the rock.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Horhor</w:t>
      </w:r>
      <w:r w:rsidR="00647545">
        <w:rPr>
          <w:rFonts w:asciiTheme="majorBidi" w:eastAsia="Times New Roman" w:hAnsiTheme="majorBidi" w:cstheme="majorBidi"/>
          <w:lang w:val="en-GB"/>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gardens, and Minua's </w:t>
      </w:r>
      <w:r w:rsidR="00027DBE" w:rsidRPr="00F03A26">
        <w:rPr>
          <w:rFonts w:asciiTheme="majorBidi" w:eastAsia="Times New Roman" w:hAnsiTheme="majorBidi" w:cstheme="majorBidi"/>
          <w:lang w:val="en-GB"/>
        </w:rPr>
        <w:t>"</w:t>
      </w:r>
      <w:r w:rsidRPr="00F03A26">
        <w:rPr>
          <w:rFonts w:asciiTheme="majorBidi" w:eastAsia="Times New Roman" w:hAnsiTheme="majorBidi" w:cstheme="majorBidi"/>
          <w:lang w:val="en-GB"/>
        </w:rPr>
        <w:t>siršini</w:t>
      </w:r>
      <w:r w:rsidR="00027DBE" w:rsidRPr="00F03A26">
        <w:rPr>
          <w:rFonts w:asciiTheme="majorBidi" w:eastAsia="Times New Roman" w:hAnsiTheme="majorBidi" w:cstheme="majorBidi"/>
          <w:lang w:val="en-GB"/>
        </w:rPr>
        <w:t>"</w:t>
      </w:r>
      <w:r w:rsidR="00C1513A">
        <w:rPr>
          <w:rFonts w:asciiTheme="majorBidi" w:eastAsia="Times New Roman" w:hAnsiTheme="majorBidi" w:cstheme="majorBidi"/>
          <w:lang w:val="en-GB"/>
        </w:rPr>
        <w:fldChar w:fldCharType="begin"/>
      </w:r>
      <w:r w:rsidR="00C1513A">
        <w:instrText xml:space="preserve"> XE "</w:instrText>
      </w:r>
      <w:r w:rsidR="00C1513A" w:rsidRPr="00A510EB">
        <w:rPr>
          <w:rFonts w:asciiTheme="majorBidi" w:eastAsia="Times New Roman" w:hAnsiTheme="majorBidi" w:cstheme="majorBidi"/>
          <w:lang w:val="en-GB"/>
        </w:rPr>
        <w:instrText>Minua's siršini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sections sit atop these water sources. Although the chronology of the thousand stairs is not known precisely, when factors such as the quality of the rock work and the amount of labor spent are considered, dating it to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period is the most realistic option. A thousand stairs, beginning just southwest of the western entrance to the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 lead down to a water reservoir dating to the Ottoman</w:t>
      </w:r>
      <w:r w:rsidR="00647545">
        <w:rPr>
          <w:rFonts w:asciiTheme="majorBidi" w:eastAsia="Times New Roman" w:hAnsiTheme="majorBidi" w:cstheme="majorBidi"/>
          <w:lang w:val="en-GB"/>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Accessing this rich source via rock steps and providing water to the highest point of the citadel is possible. Again, near this area, a narrow channel opened from the İç Kale/Inner Citadel</w:t>
      </w:r>
      <w:r w:rsidR="00C1513A">
        <w:rPr>
          <w:rFonts w:asciiTheme="majorBidi" w:eastAsia="Times New Roman" w:hAnsiTheme="majorBidi" w:cstheme="majorBidi"/>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towards this section may be related to a mechanism built to transport water. The majestic appearance of the rock, the fact that it creates a very safe area on the plain, and, most importantly, the abundance of water resources must have factored into the decision to settle in this location. A chronology of the known water structures of Urartu dates to the Minua period. Both the Minua fountain inscription and the similarity of the Horhor Fountain with the Ain-e Rum</w:t>
      </w:r>
      <w:r w:rsidR="00C1513A">
        <w:rPr>
          <w:rFonts w:asciiTheme="majorBidi" w:eastAsia="Times New Roman" w:hAnsiTheme="majorBidi" w:cstheme="majorBidi"/>
          <w:lang w:val="en-GB"/>
        </w:rPr>
        <w:fldChar w:fldCharType="begin"/>
      </w:r>
      <w:r w:rsidR="00C1513A">
        <w:instrText xml:space="preserve"> XE "</w:instrText>
      </w:r>
      <w:r w:rsidR="00C1513A" w:rsidRPr="00E07046">
        <w:rPr>
          <w:rFonts w:asciiTheme="majorBidi" w:eastAsia="Times New Roman" w:hAnsiTheme="majorBidi" w:cstheme="majorBidi"/>
          <w:lang w:val="en-GB"/>
        </w:rPr>
        <w:instrText>Ain-e Rum</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fountain show that we might feasibly date the installation of the water facilities on the Ṭušpa</w:t>
      </w:r>
      <w:r w:rsidR="007A3891">
        <w:rPr>
          <w:rFonts w:asciiTheme="majorBidi" w:eastAsia="Times New Roman" w:hAnsiTheme="majorBidi" w:cstheme="majorBidi"/>
          <w:lang w:val="en-GB"/>
        </w:rPr>
        <w:t>/Van</w:t>
      </w:r>
      <w:r w:rsidRPr="00F03A26">
        <w:rPr>
          <w:rFonts w:asciiTheme="majorBidi" w:eastAsia="Times New Roman" w:hAnsiTheme="majorBidi" w:cstheme="majorBidi"/>
          <w:lang w:val="en-GB"/>
        </w:rPr>
        <w:t xml:space="preserve"> Rock to the Minua period.</w:t>
      </w:r>
    </w:p>
    <w:p w14:paraId="07228975" w14:textId="77777777" w:rsidR="006B5F19" w:rsidRPr="00F03A26" w:rsidRDefault="006B5F19" w:rsidP="00F03A26">
      <w:pPr>
        <w:jc w:val="both"/>
        <w:rPr>
          <w:rFonts w:asciiTheme="majorBidi" w:eastAsia="Times New Roman" w:hAnsiTheme="majorBidi" w:cstheme="majorBidi"/>
          <w:color w:val="0070C0"/>
          <w:lang w:val="en-GB"/>
        </w:rPr>
      </w:pPr>
      <w:r w:rsidRPr="00F03A26">
        <w:rPr>
          <w:rFonts w:asciiTheme="majorBidi" w:eastAsia="Times New Roman" w:hAnsiTheme="majorBidi" w:cstheme="majorBidi"/>
          <w:noProof/>
          <w:color w:val="0070C0"/>
        </w:rPr>
        <w:lastRenderedPageBreak/>
        <w:drawing>
          <wp:inline distT="114300" distB="114300" distL="114300" distR="114300" wp14:anchorId="2D191B0B" wp14:editId="372F31EA">
            <wp:extent cx="4314825" cy="2428875"/>
            <wp:effectExtent l="0" t="0" r="0" b="0"/>
            <wp:docPr id="10" name="image16.png" descr="dış mekan, gökyüzü, çim, manzar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0" name="image16.png" descr="dış mekan, gökyüzü, çim, manzara içeren bir resim&#10;&#10;Açıklama otomatik olarak oluşturuldu"/>
                    <pic:cNvPicPr preferRelativeResize="0"/>
                  </pic:nvPicPr>
                  <pic:blipFill>
                    <a:blip r:embed="rId60"/>
                    <a:srcRect/>
                    <a:stretch>
                      <a:fillRect/>
                    </a:stretch>
                  </pic:blipFill>
                  <pic:spPr>
                    <a:xfrm>
                      <a:off x="0" y="0"/>
                      <a:ext cx="4314825" cy="2428875"/>
                    </a:xfrm>
                    <a:prstGeom prst="rect">
                      <a:avLst/>
                    </a:prstGeom>
                    <a:ln/>
                  </pic:spPr>
                </pic:pic>
              </a:graphicData>
            </a:graphic>
          </wp:inline>
        </w:drawing>
      </w:r>
    </w:p>
    <w:p w14:paraId="53000E77" w14:textId="1CA71985"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12 View from the northeast of </w:t>
      </w:r>
      <w:r w:rsidRPr="00F03A26">
        <w:rPr>
          <w:rFonts w:asciiTheme="majorBidi" w:eastAsia="Times New Roman" w:hAnsiTheme="majorBidi" w:cstheme="majorBidi"/>
          <w:lang w:val="en-GB"/>
        </w:rPr>
        <w:t>Ṭušpa</w:t>
      </w:r>
      <w:r w:rsidRPr="00F03A26">
        <w:rPr>
          <w:rFonts w:asciiTheme="majorBidi" w:eastAsia="Times New Roman" w:hAnsiTheme="majorBidi" w:cstheme="majorBidi"/>
          <w:iCs/>
          <w:lang w:val="en-GB"/>
        </w:rPr>
        <w:t xml:space="preserve"> İç Kale</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"İç Kale"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/Inner Citadel</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"Inner Citadel"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w:t>
      </w:r>
    </w:p>
    <w:p w14:paraId="4437D794" w14:textId="77777777" w:rsidR="006B5F19" w:rsidRPr="00F03A26" w:rsidRDefault="006B5F19" w:rsidP="00F03A26">
      <w:pPr>
        <w:jc w:val="both"/>
        <w:rPr>
          <w:rFonts w:asciiTheme="majorBidi" w:eastAsia="Times New Roman" w:hAnsiTheme="majorBidi" w:cstheme="majorBidi"/>
          <w:iCs/>
          <w:lang w:val="en-GB"/>
        </w:rPr>
      </w:pPr>
    </w:p>
    <w:p w14:paraId="2D561545" w14:textId="7A732A00"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w:t>
      </w:r>
      <w:r w:rsidR="00C1513A">
        <w:rPr>
          <w:rFonts w:asciiTheme="majorBidi" w:eastAsia="Times New Roman" w:hAnsiTheme="majorBidi" w:cstheme="majorBidi"/>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rising in the middle of the Ṭušpa</w:t>
      </w:r>
      <w:r w:rsidR="00C1513A">
        <w:rPr>
          <w:rFonts w:asciiTheme="majorBidi" w:eastAsia="Times New Roman" w:hAnsiTheme="majorBidi" w:cstheme="majorBidi"/>
          <w:lang w:val="en-GB"/>
        </w:rPr>
        <w:t>/Van</w:t>
      </w:r>
      <w:r w:rsidRPr="00F03A26">
        <w:rPr>
          <w:rFonts w:asciiTheme="majorBidi" w:eastAsia="Times New Roman" w:hAnsiTheme="majorBidi" w:cstheme="majorBidi"/>
          <w:lang w:val="en-GB"/>
        </w:rPr>
        <w:t xml:space="preserve"> Rock</w:t>
      </w:r>
      <w:r w:rsidR="00E2269D">
        <w:rPr>
          <w:rFonts w:asciiTheme="majorBidi" w:eastAsia="Times New Roman" w:hAnsiTheme="majorBidi" w:cstheme="majorBidi"/>
          <w:lang w:val="en-GB"/>
        </w:rPr>
        <w:fldChar w:fldCharType="begin"/>
      </w:r>
      <w:r w:rsidR="00E2269D">
        <w:instrText xml:space="preserve"> XE "</w:instrText>
      </w:r>
      <w:r w:rsidR="00E2269D" w:rsidRPr="007A7330">
        <w:rPr>
          <w:rFonts w:asciiTheme="majorBidi" w:hAnsiTheme="majorBidi"/>
          <w:lang w:val="en-GB"/>
        </w:rPr>
        <w:instrText>Ṭušpa/Van Rock</w:instrText>
      </w:r>
      <w:r w:rsidR="00E2269D">
        <w:instrText xml:space="preserve">" </w:instrText>
      </w:r>
      <w:r w:rsidR="00E2269D">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spreads over an area of approximately 4.21 hectares and is surrounded by a 12 m high wall (Tarhan, 2020) (Fig. 4IIIa, 5,12). The walls built in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were used and periodically repaired and added to until the beginning of the 20th century (Fig. 14). The northern and southern walls of the İç Kale/Inner citadel are the only Urartian structures that have survived to the present day. The walls at the lower levels, constructed using large travertine blocks with the thrust technique, are dated to the foundational phase of the kingdom and, in some studies, to the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based on building materials, construction techniques, and location features. The northern walls are approximately 107 m long, and it is generally understood that the buttresses of these walls around the İç Kale/Inner citadel were enlarged in later periods (Fig. 14-15). The foundation beds in the bedrock indicate that this support buttress was approximately 5 m wide, with the width of the support piers extending towards the west anywhere between 7-8 m. When we look at the texture of the northern walls, we can confidently identify at least four separate construction or repair phases after the Urartian period. In the northern part, the Urartian masonry is evident, with its stone dimensions and knitting technique, but in the late period repairs, the Urartian stone blocks were used as a whole or in smaller sizes. In the middle part of this section, especially between the first and second pier, it is understood that the wall was demolished all the way to the foundation levels.</w:t>
      </w:r>
    </w:p>
    <w:p w14:paraId="5A7ABD00" w14:textId="77777777" w:rsidR="006B5F19" w:rsidRPr="00F03A26" w:rsidRDefault="006B5F19" w:rsidP="00F03A26">
      <w:pPr>
        <w:jc w:val="both"/>
        <w:rPr>
          <w:rFonts w:asciiTheme="majorBidi" w:eastAsia="Times New Roman" w:hAnsiTheme="majorBidi" w:cstheme="majorBidi"/>
          <w:lang w:val="en-GB"/>
        </w:rPr>
      </w:pPr>
    </w:p>
    <w:p w14:paraId="31B18709" w14:textId="68FB5F9D"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original parts of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walls that have survived to the present day are more robust in places, and the wall height here has been preserved up to 4.5-5 m. If we look at the structural features of the masonry, the walls built with flat sandstones on the Urartian walls indicate the earliest intervention and repair after the Urartu. Fifteen of these sandstones have inscriptions.</w:t>
      </w:r>
      <w:r w:rsidR="00DB20BB">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t>The content of the inscriptions relates to the expedition to the</w:t>
      </w:r>
      <w:r w:rsidR="00DB20BB">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t>Erikua/Erkua/Erkuaic/Erikuaḫi tribe in the Iğdır region during the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period (Salvini,</w:t>
      </w:r>
      <w:r w:rsidR="00DB20BB">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t xml:space="preserve">1973). It is understood that the stone with the inscription was broken into pieces and used as spolia. In some areas, walls made of sandstone blocks, believed to have been removed from the Urartian walls and sometimes reduced in size, are observed. Although this characteristic is more evident in the eastern section of the city walls, it pervades the entire northern wall to a lesser degree. The walls above this section are hewn stone cladding on a rubble fill. This forms the highest section of the walls at about 6 feet or 2 m high. In some areas, the cut stone pavement was poured. It is worth noting that incompetent restoration practices </w:t>
      </w:r>
      <w:r w:rsidRPr="00F03A26">
        <w:rPr>
          <w:rFonts w:asciiTheme="majorBidi" w:eastAsia="Times New Roman" w:hAnsiTheme="majorBidi" w:cstheme="majorBidi"/>
          <w:lang w:val="en-GB"/>
        </w:rPr>
        <w:lastRenderedPageBreak/>
        <w:t>used in recent years make it very difficult to determine the chronology of the change in the northern walls.</w:t>
      </w:r>
    </w:p>
    <w:p w14:paraId="02963C8A" w14:textId="77777777" w:rsidR="006B5F19" w:rsidRPr="00F03A26" w:rsidRDefault="006B5F19" w:rsidP="00F03A26">
      <w:pPr>
        <w:jc w:val="both"/>
        <w:rPr>
          <w:rFonts w:asciiTheme="majorBidi" w:eastAsia="Times New Roman" w:hAnsiTheme="majorBidi" w:cstheme="majorBidi"/>
          <w:lang w:val="en-GB"/>
        </w:rPr>
      </w:pPr>
    </w:p>
    <w:p w14:paraId="589D2C8F"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noProof/>
        </w:rPr>
        <w:drawing>
          <wp:inline distT="114300" distB="114300" distL="114300" distR="114300" wp14:anchorId="289AAB56" wp14:editId="50ABC71A">
            <wp:extent cx="4314825" cy="2657475"/>
            <wp:effectExtent l="0" t="0" r="0" b="0"/>
            <wp:docPr id="35" name="image26.png" descr="gökyüzü, harabeler, ekran görüntüsü, tarih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5" name="image26.png" descr="gökyüzü, harabeler, ekran görüntüsü, tarih içeren bir resim&#10;&#10;Açıklama otomatik olarak oluşturuldu"/>
                    <pic:cNvPicPr preferRelativeResize="0"/>
                  </pic:nvPicPr>
                  <pic:blipFill>
                    <a:blip r:embed="rId61"/>
                    <a:srcRect/>
                    <a:stretch>
                      <a:fillRect/>
                    </a:stretch>
                  </pic:blipFill>
                  <pic:spPr>
                    <a:xfrm>
                      <a:off x="0" y="0"/>
                      <a:ext cx="4314825" cy="2657475"/>
                    </a:xfrm>
                    <a:prstGeom prst="rect">
                      <a:avLst/>
                    </a:prstGeom>
                    <a:ln/>
                  </pic:spPr>
                </pic:pic>
              </a:graphicData>
            </a:graphic>
          </wp:inline>
        </w:drawing>
      </w:r>
    </w:p>
    <w:p w14:paraId="20C34D29" w14:textId="59455E21"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13 </w:t>
      </w:r>
      <w:r w:rsidRPr="00F03A26">
        <w:rPr>
          <w:rFonts w:asciiTheme="majorBidi" w:eastAsia="Times New Roman" w:hAnsiTheme="majorBidi" w:cstheme="majorBidi"/>
          <w:lang w:val="en-GB"/>
        </w:rPr>
        <w:t>Ṭušpa</w:t>
      </w:r>
      <w:r w:rsidRPr="00F03A26">
        <w:rPr>
          <w:rFonts w:asciiTheme="majorBidi" w:eastAsia="Times New Roman" w:hAnsiTheme="majorBidi" w:cstheme="majorBidi"/>
          <w:iCs/>
          <w:lang w:val="en-GB"/>
        </w:rPr>
        <w:t>, İç Kale</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"İç Kale"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Inner citadel</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"Inner Citadel"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northern walls, before and after restoration with tissue change.</w:t>
      </w:r>
    </w:p>
    <w:p w14:paraId="7F73D4E3" w14:textId="77777777" w:rsidR="006B5F19" w:rsidRPr="00F03A26" w:rsidRDefault="006B5F19" w:rsidP="00F03A26">
      <w:pPr>
        <w:jc w:val="both"/>
        <w:rPr>
          <w:rFonts w:asciiTheme="majorBidi" w:eastAsia="Times New Roman" w:hAnsiTheme="majorBidi" w:cstheme="majorBidi"/>
          <w:i/>
          <w:lang w:val="en-GB"/>
        </w:rPr>
      </w:pPr>
    </w:p>
    <w:p w14:paraId="19BB151C" w14:textId="77777777" w:rsidR="006B5F19" w:rsidRPr="00F03A26" w:rsidRDefault="006B5F19" w:rsidP="00F03A26">
      <w:pPr>
        <w:jc w:val="both"/>
        <w:rPr>
          <w:rFonts w:asciiTheme="majorBidi" w:eastAsia="Times New Roman" w:hAnsiTheme="majorBidi" w:cstheme="majorBidi"/>
          <w:i/>
          <w:lang w:val="en-GB"/>
        </w:rPr>
      </w:pPr>
      <w:r w:rsidRPr="00F03A26">
        <w:rPr>
          <w:rFonts w:asciiTheme="majorBidi" w:eastAsia="Times New Roman" w:hAnsiTheme="majorBidi" w:cstheme="majorBidi"/>
          <w:i/>
          <w:noProof/>
        </w:rPr>
        <w:drawing>
          <wp:inline distT="114300" distB="114300" distL="114300" distR="114300" wp14:anchorId="69020783" wp14:editId="0DE708FB">
            <wp:extent cx="5745018" cy="2363932"/>
            <wp:effectExtent l="0" t="0" r="0" b="0"/>
            <wp:docPr id="9" name="image19.png" descr="dış mekan, gökyüzü, bulut,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9" name="image19.png" descr="dış mekan, gökyüzü, bulut, dağ içeren bir resim&#10;&#10;Açıklama otomatik olarak oluşturuldu"/>
                    <pic:cNvPicPr preferRelativeResize="0"/>
                  </pic:nvPicPr>
                  <pic:blipFill rotWithShape="1">
                    <a:blip r:embed="rId62" cstate="screen">
                      <a:extLst>
                        <a:ext uri="{28A0092B-C50C-407E-A947-70E740481C1C}">
                          <a14:useLocalDpi xmlns:a14="http://schemas.microsoft.com/office/drawing/2010/main"/>
                        </a:ext>
                      </a:extLst>
                    </a:blip>
                    <a:srcRect/>
                    <a:stretch/>
                  </pic:blipFill>
                  <pic:spPr bwMode="auto">
                    <a:xfrm>
                      <a:off x="0" y="0"/>
                      <a:ext cx="5885987" cy="2421937"/>
                    </a:xfrm>
                    <a:prstGeom prst="rect">
                      <a:avLst/>
                    </a:prstGeom>
                    <a:ln>
                      <a:noFill/>
                    </a:ln>
                    <a:extLst>
                      <a:ext uri="{53640926-AAD7-44D8-BBD7-CCE9431645EC}">
                        <a14:shadowObscured xmlns:a14="http://schemas.microsoft.com/office/drawing/2010/main"/>
                      </a:ext>
                    </a:extLst>
                  </pic:spPr>
                </pic:pic>
              </a:graphicData>
            </a:graphic>
          </wp:inline>
        </w:drawing>
      </w:r>
    </w:p>
    <w:p w14:paraId="39258467" w14:textId="5538FCFE"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14 </w:t>
      </w:r>
      <w:r w:rsidRPr="00F03A26">
        <w:rPr>
          <w:rFonts w:asciiTheme="majorBidi" w:eastAsia="Times New Roman" w:hAnsiTheme="majorBidi" w:cstheme="majorBidi"/>
          <w:lang w:val="en-GB"/>
        </w:rPr>
        <w:t>Ṭušpa</w:t>
      </w:r>
      <w:r w:rsidRPr="00F03A26">
        <w:rPr>
          <w:rFonts w:asciiTheme="majorBidi" w:eastAsia="Times New Roman" w:hAnsiTheme="majorBidi" w:cstheme="majorBidi"/>
          <w:i/>
          <w:lang w:val="en-GB"/>
        </w:rPr>
        <w:t xml:space="preserve"> </w:t>
      </w:r>
      <w:r w:rsidRPr="00F03A26">
        <w:rPr>
          <w:rFonts w:asciiTheme="majorBidi" w:eastAsia="Times New Roman" w:hAnsiTheme="majorBidi" w:cstheme="majorBidi"/>
          <w:iCs/>
          <w:lang w:val="en-GB"/>
        </w:rPr>
        <w:t>İç Kale</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"İç Kale"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/Inner Citadel</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"Inner Citadel"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southern walls. These walls should be considered as platforms where the southern parts of the buildings sit and are limited, rather than the need for defence.</w:t>
      </w:r>
    </w:p>
    <w:p w14:paraId="6F5523DB" w14:textId="77777777" w:rsidR="006B5F19" w:rsidRPr="00F03A26" w:rsidRDefault="006B5F19" w:rsidP="00F03A26">
      <w:pPr>
        <w:jc w:val="both"/>
        <w:rPr>
          <w:rFonts w:asciiTheme="majorBidi" w:eastAsia="Times New Roman" w:hAnsiTheme="majorBidi" w:cstheme="majorBidi"/>
          <w:i/>
          <w:lang w:val="en-GB"/>
        </w:rPr>
      </w:pPr>
      <w:r w:rsidRPr="00F03A26">
        <w:rPr>
          <w:rFonts w:asciiTheme="majorBidi" w:eastAsia="Times New Roman" w:hAnsiTheme="majorBidi" w:cstheme="majorBidi"/>
          <w:i/>
          <w:lang w:val="en-GB"/>
        </w:rPr>
        <w:br w:type="page"/>
      </w:r>
    </w:p>
    <w:p w14:paraId="304D6A7E" w14:textId="77777777" w:rsidR="006B5F19" w:rsidRPr="00F03A26" w:rsidRDefault="006B5F19" w:rsidP="00F03A26">
      <w:pPr>
        <w:jc w:val="both"/>
        <w:rPr>
          <w:rFonts w:asciiTheme="majorBidi" w:eastAsia="Times New Roman" w:hAnsiTheme="majorBidi" w:cstheme="majorBidi"/>
          <w:i/>
          <w:lang w:val="en-GB"/>
        </w:rPr>
      </w:pPr>
      <w:r w:rsidRPr="00F03A26">
        <w:rPr>
          <w:rFonts w:asciiTheme="majorBidi" w:eastAsia="Times New Roman" w:hAnsiTheme="majorBidi" w:cstheme="majorBidi"/>
          <w:i/>
          <w:noProof/>
        </w:rPr>
        <w:lastRenderedPageBreak/>
        <w:drawing>
          <wp:inline distT="0" distB="0" distL="0" distR="0" wp14:anchorId="7350373C" wp14:editId="6763DF86">
            <wp:extent cx="4937799" cy="7772400"/>
            <wp:effectExtent l="0" t="0" r="2540" b="0"/>
            <wp:docPr id="2035247522" name="Resim 6" descr="çizim, taslak,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47522" name="Resim 6" descr="çizim, taslak, metin içeren bir resim&#10;&#10;Açıklama otomatik olarak oluşturuldu"/>
                    <pic:cNvPicPr/>
                  </pic:nvPicPr>
                  <pic:blipFill>
                    <a:blip r:embed="rId63" cstate="email">
                      <a:extLst>
                        <a:ext uri="{28A0092B-C50C-407E-A947-70E740481C1C}">
                          <a14:useLocalDpi xmlns:a14="http://schemas.microsoft.com/office/drawing/2010/main"/>
                        </a:ext>
                      </a:extLst>
                    </a:blip>
                    <a:stretch>
                      <a:fillRect/>
                    </a:stretch>
                  </pic:blipFill>
                  <pic:spPr>
                    <a:xfrm>
                      <a:off x="0" y="0"/>
                      <a:ext cx="4962472" cy="7811237"/>
                    </a:xfrm>
                    <a:prstGeom prst="rect">
                      <a:avLst/>
                    </a:prstGeom>
                  </pic:spPr>
                </pic:pic>
              </a:graphicData>
            </a:graphic>
          </wp:inline>
        </w:drawing>
      </w:r>
    </w:p>
    <w:p w14:paraId="24FB26D6" w14:textId="77777777" w:rsidR="006B5F19" w:rsidRPr="00F03A26" w:rsidRDefault="006B5F19" w:rsidP="00F03A26">
      <w:pPr>
        <w:jc w:val="both"/>
        <w:rPr>
          <w:rFonts w:asciiTheme="majorBidi" w:eastAsia="Times New Roman" w:hAnsiTheme="majorBidi" w:cstheme="majorBidi"/>
          <w:i/>
          <w:color w:val="0070C0"/>
          <w:lang w:val="en-GB"/>
        </w:rPr>
      </w:pPr>
    </w:p>
    <w:p w14:paraId="520DA905" w14:textId="064E706C"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15 </w:t>
      </w:r>
      <w:r w:rsidRPr="00F03A26">
        <w:rPr>
          <w:rFonts w:asciiTheme="majorBidi" w:eastAsia="Times New Roman" w:hAnsiTheme="majorBidi" w:cstheme="majorBidi"/>
          <w:lang w:val="en-GB"/>
        </w:rPr>
        <w:t>Ṭušpa</w:t>
      </w:r>
      <w:r w:rsidRPr="00F03A26">
        <w:rPr>
          <w:rFonts w:asciiTheme="majorBidi" w:eastAsia="Times New Roman" w:hAnsiTheme="majorBidi" w:cstheme="majorBidi"/>
          <w:iCs/>
          <w:lang w:val="en-GB"/>
        </w:rPr>
        <w:t xml:space="preserve"> İç Kale</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"İç Kale"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/Inner Citadel</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"Inner Citadel"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a. north view, b. site plan, c. south view.</w:t>
      </w:r>
    </w:p>
    <w:p w14:paraId="711A1761" w14:textId="77777777" w:rsidR="006B5F19" w:rsidRPr="00F03A26" w:rsidRDefault="006B5F19" w:rsidP="00F03A26">
      <w:pPr>
        <w:jc w:val="both"/>
        <w:rPr>
          <w:rFonts w:asciiTheme="majorBidi" w:eastAsia="Times New Roman" w:hAnsiTheme="majorBidi" w:cstheme="majorBidi"/>
          <w:i/>
          <w:lang w:val="en-GB"/>
        </w:rPr>
      </w:pPr>
    </w:p>
    <w:p w14:paraId="10FFDA07" w14:textId="7D6E861D"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lastRenderedPageBreak/>
        <w:t>Approximately 70 m of the southern wall remains are visible (Fig. 14-15). To the south, the wall that extends and rises by the level of the rock gives the impression of a terrace wall. The rock structure suggests using buttresses at some points; in the southern part of the Ṭušpa</w:t>
      </w:r>
      <w:r w:rsidR="007A3891">
        <w:rPr>
          <w:rFonts w:asciiTheme="majorBidi" w:eastAsia="Times New Roman" w:hAnsiTheme="majorBidi" w:cstheme="majorBidi"/>
          <w:lang w:val="en-GB"/>
        </w:rPr>
        <w:t>/Van</w:t>
      </w:r>
      <w:r w:rsidRPr="00F03A26">
        <w:rPr>
          <w:rFonts w:asciiTheme="majorBidi" w:eastAsia="Times New Roman" w:hAnsiTheme="majorBidi" w:cstheme="majorBidi"/>
          <w:lang w:val="en-GB"/>
        </w:rPr>
        <w:t xml:space="preserve"> Rock, the city wall is not visible except in such areas. The same situation can be observed in the southernmost part of 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here, too, foundation beds were dug to form terraces at the same level. In order to obtain flat areas at the highest point of the rock, terrace walls were built, and these areas were filled, and flat areas were created for the structures to sit on. The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w:t>
      </w:r>
      <w:r w:rsidR="00C1513A">
        <w:rPr>
          <w:rFonts w:asciiTheme="majorBidi" w:eastAsia="Times New Roman" w:hAnsiTheme="majorBidi" w:cstheme="majorBidi"/>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is reached through a door from the west. This is also the highest area of the Ṭušpa</w:t>
      </w:r>
      <w:r w:rsidR="00C1513A">
        <w:rPr>
          <w:rFonts w:asciiTheme="majorBidi" w:eastAsia="Times New Roman" w:hAnsiTheme="majorBidi" w:cstheme="majorBidi"/>
          <w:lang w:val="en-GB"/>
        </w:rPr>
        <w:t>/Van</w:t>
      </w:r>
      <w:r w:rsidRPr="00F03A26">
        <w:rPr>
          <w:rFonts w:asciiTheme="majorBidi" w:eastAsia="Times New Roman" w:hAnsiTheme="majorBidi" w:cstheme="majorBidi"/>
          <w:lang w:val="en-GB"/>
        </w:rPr>
        <w:t xml:space="preserve"> Rock</w:t>
      </w:r>
      <w:r w:rsidR="00E2269D">
        <w:rPr>
          <w:rFonts w:asciiTheme="majorBidi" w:eastAsia="Times New Roman" w:hAnsiTheme="majorBidi" w:cstheme="majorBidi"/>
          <w:lang w:val="en-GB"/>
        </w:rPr>
        <w:fldChar w:fldCharType="begin"/>
      </w:r>
      <w:r w:rsidR="00E2269D">
        <w:instrText xml:space="preserve"> XE "</w:instrText>
      </w:r>
      <w:r w:rsidR="00E2269D" w:rsidRPr="007A7330">
        <w:rPr>
          <w:rFonts w:asciiTheme="majorBidi" w:hAnsiTheme="majorBidi"/>
          <w:lang w:val="en-GB"/>
        </w:rPr>
        <w:instrText>Ṭušpa/Van Rock</w:instrText>
      </w:r>
      <w:r w:rsidR="00E2269D">
        <w:instrText xml:space="preserve">" </w:instrText>
      </w:r>
      <w:r w:rsidR="00E2269D">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and the endpoint of the ramped road. The area extending after the gate forms a comprehensive platform today - in this area, where artillery barracks and even residences were located at the turn of the 20th century, the intense use over time led to a very thick fill over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structures. </w:t>
      </w:r>
    </w:p>
    <w:p w14:paraId="425C06B3" w14:textId="77777777" w:rsidR="006B5F19" w:rsidRPr="00F03A26" w:rsidRDefault="006B5F19" w:rsidP="00F03A26">
      <w:pPr>
        <w:jc w:val="both"/>
        <w:rPr>
          <w:rFonts w:asciiTheme="majorBidi" w:eastAsia="Times New Roman" w:hAnsiTheme="majorBidi" w:cstheme="majorBidi"/>
          <w:lang w:val="en-GB"/>
        </w:rPr>
      </w:pPr>
    </w:p>
    <w:p w14:paraId="5F79D7CB" w14:textId="4D0B5A3E"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lowest-level building foundations are similar to those of the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located at the western end of the citadel, regarding materials and masonry, although no inscriptions can be dated. As a result, it was identified as one of the earlier structures built during the foundation period of the kingdom and deemed the "Old Palace</w:t>
      </w:r>
      <w:r w:rsidR="00C1513A">
        <w:rPr>
          <w:rFonts w:asciiTheme="majorBidi" w:eastAsia="Times New Roman" w:hAnsiTheme="majorBidi" w:cstheme="majorBidi"/>
          <w:lang w:val="en-GB"/>
        </w:rPr>
        <w:fldChar w:fldCharType="begin"/>
      </w:r>
      <w:r w:rsidR="00C1513A">
        <w:instrText xml:space="preserve"> XE "</w:instrText>
      </w:r>
      <w:r w:rsidR="00C1513A" w:rsidRPr="009746DD">
        <w:rPr>
          <w:rFonts w:asciiTheme="majorBidi" w:eastAsia="Times New Roman" w:hAnsiTheme="majorBidi" w:cstheme="majorBidi"/>
          <w:iCs/>
        </w:rPr>
        <w:instrText>Old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(Tarhan &amp; Sevin, 1993). During the new excavation and cleaning undertaken in 2012, the walls of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were found under the 2-phased Ottoman</w:t>
      </w:r>
      <w:r w:rsidR="00647545">
        <w:rPr>
          <w:rFonts w:asciiTheme="majorBidi" w:eastAsia="Times New Roman" w:hAnsiTheme="majorBidi" w:cstheme="majorBidi"/>
          <w:lang w:val="en-GB"/>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building level. The 5.40 m section of the wall, known as the platform and extending towards northeast and southwest, was unearthed.</w:t>
      </w:r>
    </w:p>
    <w:p w14:paraId="60586D9F" w14:textId="77777777" w:rsidR="006B5F19" w:rsidRPr="00F03A26" w:rsidRDefault="006B5F19" w:rsidP="00F03A26">
      <w:pPr>
        <w:jc w:val="both"/>
        <w:rPr>
          <w:rFonts w:asciiTheme="majorBidi" w:eastAsia="Times New Roman" w:hAnsiTheme="majorBidi" w:cstheme="majorBidi"/>
          <w:lang w:val="en-GB"/>
        </w:rPr>
      </w:pPr>
    </w:p>
    <w:p w14:paraId="3B7255A9" w14:textId="4A521C78"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current height of the wall, built with four rows of large stone blocks, is 2.05 m. large stones were used in the lower rows, and the stones shrink as one ascends the wall. Stone dimensions vary between 80 by 60 by 100 to 100 by 70 by 100 centimeters. The exact dimensions also apply to the rocks used in the northern walls. Here, too, we observe that stone blocks in the lower row are more significant, and the upper rows are smaller. The wall most likely progressed on the southwest axis and merged with the fortification-terrace wall on the south façade of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w:t>
      </w:r>
      <w:r w:rsidR="00C1513A">
        <w:rPr>
          <w:rFonts w:asciiTheme="majorBidi" w:eastAsia="Times New Roman" w:hAnsiTheme="majorBidi" w:cstheme="majorBidi"/>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bedrock on which the wall was built descends from north to south and was flattened at its lower level with stones placed in the foundation bed opening into the bedrock.</w:t>
      </w:r>
    </w:p>
    <w:p w14:paraId="2C4D19A0" w14:textId="77777777" w:rsidR="006B5F19" w:rsidRPr="00F03A26" w:rsidRDefault="006B5F19" w:rsidP="00F03A26">
      <w:pPr>
        <w:jc w:val="both"/>
        <w:rPr>
          <w:rFonts w:asciiTheme="majorBidi" w:eastAsia="Times New Roman" w:hAnsiTheme="majorBidi" w:cstheme="majorBidi"/>
          <w:lang w:val="en-GB"/>
        </w:rPr>
      </w:pPr>
    </w:p>
    <w:p w14:paraId="24DCD1D0"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Consequently, 20 cm worth of stone is visible from the top. The publication associated with the 1991 excavation states that the wall is 7.75 m wide in the west direction (Tarhan &amp; Sevin, 1993). Robust platforms were created in the areas formed by the chipping of the bedrock, and the structures were built on these platforms. Another wall perpendicular to this central platform in the north runs along the east-west axis. The wall, built with two rows of polygonal sandstone blocks, is 2 m long. At the upper level of the wall, the löyfer series of sandstone extends in one row in two places, with an adobe wall resting atop. Opposite this wall, there are traces of a wall turning in the same direction. This time, a stone block of the same size and form was placed at </w:t>
      </w:r>
      <w:r w:rsidRPr="00F03A26">
        <w:rPr>
          <w:rFonts w:asciiTheme="majorBidi" w:eastAsia="Times New Roman" w:hAnsiTheme="majorBidi" w:cstheme="majorBidi"/>
          <w:lang w:val="en-GB"/>
        </w:rPr>
        <w:lastRenderedPageBreak/>
        <w:t>the south end of the wall. The southern part of this block consists of bedrock, and another wall extends on the east-west axis. Looking at this plan as a whole, it can be understood that a building was added to the platform in the late period.</w:t>
      </w:r>
    </w:p>
    <w:p w14:paraId="4669E55D" w14:textId="77777777" w:rsidR="006B5F19" w:rsidRPr="00F03A26" w:rsidRDefault="006B5F19" w:rsidP="00F03A26">
      <w:pPr>
        <w:jc w:val="both"/>
        <w:rPr>
          <w:rFonts w:asciiTheme="majorBidi" w:eastAsia="Times New Roman" w:hAnsiTheme="majorBidi" w:cstheme="majorBidi"/>
          <w:lang w:val="en-GB"/>
        </w:rPr>
      </w:pPr>
    </w:p>
    <w:p w14:paraId="67910197" w14:textId="2BB69311"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Taner Tarhan identified the traces on the bedrock southeast of the platform as the site's remains where the first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temple was established (Tarhan &amp; Sevin, 1990; Tarhan, 2020). The building, built corresponding to a north-south axis, consists of two units. According to Tarhan, there are two rooms; one is a cella, which is comprised of the same structure due to the doors and the axes of the spaces. The ground and the rooms' approximately 1.70 m thick foundation were formed entirely by altering the bedrock. The doors are in the north direction, and the toothed frames in the corners reflect the structure of the planned Urartian square temple doors. The doorway leading to this room is 1.20 m deep. The room with a better plan to the north, reached from here, measures 4,80 by 3,80 m. The door shaft is on the right. From here, the second room in the south is accessed by another 0.90 m wide door. Such structures have not yet been identified in other Urartian period sites.</w:t>
      </w:r>
    </w:p>
    <w:p w14:paraId="40F6F1C5" w14:textId="77777777" w:rsidR="006B5F19" w:rsidRPr="00F03A26" w:rsidRDefault="006B5F19" w:rsidP="00F03A26">
      <w:pPr>
        <w:jc w:val="both"/>
        <w:rPr>
          <w:rFonts w:asciiTheme="majorBidi" w:eastAsia="Times New Roman" w:hAnsiTheme="majorBidi" w:cstheme="majorBidi"/>
          <w:lang w:val="en-GB"/>
        </w:rPr>
      </w:pPr>
    </w:p>
    <w:p w14:paraId="5CA5EC54" w14:textId="652F085E"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Rock tombs of Ṭušpa, which show a different character with their plan, location, and other structural features, were opened on the southern surfaces, where the rock rises at almost 90-degree angles. There are a total of 9 burial chambers in Van Fortress. Of these, the Doğu Odaları</w:t>
      </w:r>
      <w:r w:rsidR="001F2587">
        <w:rPr>
          <w:rFonts w:asciiTheme="majorBidi" w:eastAsia="Times New Roman" w:hAnsiTheme="majorBidi" w:cstheme="majorBidi"/>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Neft Kuyu</w:t>
      </w:r>
      <w:r w:rsidR="001F2587">
        <w:rPr>
          <w:rFonts w:asciiTheme="majorBidi" w:eastAsia="Times New Roman"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and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w:t>
      </w:r>
      <w:r w:rsidR="006B23DC">
        <w:rPr>
          <w:rFonts w:asciiTheme="majorBidi" w:eastAsia="Times New Roman" w:hAnsiTheme="majorBidi" w:cstheme="majorBidi"/>
          <w:lang w:val="en-GB"/>
        </w:rPr>
        <w:fldChar w:fldCharType="begin"/>
      </w:r>
      <w:r w:rsidR="006B23DC">
        <w:instrText xml:space="preserve"> XE "</w:instrText>
      </w:r>
      <w:r w:rsidR="006B23DC" w:rsidRPr="0072234F">
        <w:rPr>
          <w:rFonts w:ascii="Times New Roman" w:hAnsi="Times New Roman"/>
          <w:szCs w:val="22"/>
          <w:lang w:val="en-GB"/>
        </w:rPr>
        <w:instrText>İç Kale tomb</w:instrText>
      </w:r>
      <w:r w:rsidR="006B23DC">
        <w:instrText xml:space="preserve">" </w:instrText>
      </w:r>
      <w:r w:rsidR="006B23DC">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share standard features regarding their façade understanding, artistry, and interior arrangements (Konyar, 2020). In our opinion, a primary criterion in the selection of the location of the burial chambers is the desire for natural areas in front of which a platform might be created without requiring much effort. The opening of the facades of the burial chambers to the south is related to the structural characteristics of the rock. Because the Ṭušpa</w:t>
      </w:r>
      <w:r w:rsidR="007A3891">
        <w:rPr>
          <w:rFonts w:asciiTheme="majorBidi" w:eastAsia="Times New Roman" w:hAnsiTheme="majorBidi" w:cstheme="majorBidi"/>
          <w:lang w:val="en-GB"/>
        </w:rPr>
        <w:t>/Van</w:t>
      </w:r>
      <w:r w:rsidRPr="00F03A26">
        <w:rPr>
          <w:rFonts w:asciiTheme="majorBidi" w:eastAsia="Times New Roman" w:hAnsiTheme="majorBidi" w:cstheme="majorBidi"/>
          <w:lang w:val="en-GB"/>
        </w:rPr>
        <w:t xml:space="preserve"> Rock</w:t>
      </w:r>
      <w:r w:rsidR="00B32C1E">
        <w:rPr>
          <w:rFonts w:asciiTheme="majorBidi" w:eastAsia="Times New Roman" w:hAnsiTheme="majorBidi" w:cstheme="majorBidi"/>
          <w:lang w:val="en-GB"/>
        </w:rPr>
        <w:fldChar w:fldCharType="begin"/>
      </w:r>
      <w:r w:rsidR="00B32C1E">
        <w:instrText xml:space="preserve"> XE "</w:instrText>
      </w:r>
      <w:r w:rsidR="00B32C1E" w:rsidRPr="00AE200A">
        <w:rPr>
          <w:rFonts w:asciiTheme="majorBidi" w:hAnsiTheme="majorBidi" w:cstheme="majorBidi"/>
          <w:iCs/>
          <w:lang w:val="en-GB"/>
        </w:rPr>
        <w:instrText>Ṭušpa/Van Rock</w:instrText>
      </w:r>
      <w:r w:rsidR="00B32C1E">
        <w:instrText xml:space="preserve">" </w:instrText>
      </w:r>
      <w:r w:rsidR="00B32C1E">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is very steep in this area, it is easier to carve monumental, smooth facades, which is possible while employing relatively little labor. Opening a monumental façade on the broad northern slopes would have undoubtedly involved more labor and a more extensive excavation. The south face of the rock provided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architects with "consciously" corrected natural surfaces in some areas. The rock-cut tombs built in these largely inaccessible areas would have undoubtedly ensured the security of the grave gifts and the tomb.</w:t>
      </w:r>
    </w:p>
    <w:p w14:paraId="64684395" w14:textId="77777777" w:rsidR="006B5F19" w:rsidRPr="00F03A26" w:rsidRDefault="006B5F19" w:rsidP="00F03A26">
      <w:pPr>
        <w:jc w:val="both"/>
        <w:rPr>
          <w:rFonts w:asciiTheme="majorBidi" w:eastAsia="Times New Roman" w:hAnsiTheme="majorBidi" w:cstheme="majorBidi"/>
          <w:lang w:val="en-GB"/>
        </w:rPr>
      </w:pPr>
    </w:p>
    <w:p w14:paraId="0EF588A5" w14:textId="1D869EE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w:t>
      </w:r>
      <w:r w:rsidR="006B23DC">
        <w:rPr>
          <w:rFonts w:asciiTheme="majorBidi" w:eastAsia="Times New Roman" w:hAnsiTheme="majorBidi" w:cstheme="majorBidi"/>
          <w:lang w:val="en-GB"/>
        </w:rPr>
        <w:fldChar w:fldCharType="begin"/>
      </w:r>
      <w:r w:rsidR="006B23DC">
        <w:instrText xml:space="preserve"> XE "</w:instrText>
      </w:r>
      <w:r w:rsidR="006B23DC" w:rsidRPr="0072234F">
        <w:rPr>
          <w:rFonts w:ascii="Times New Roman" w:hAnsi="Times New Roman"/>
          <w:szCs w:val="22"/>
          <w:lang w:val="en-GB"/>
        </w:rPr>
        <w:instrText>İç Kale tomb</w:instrText>
      </w:r>
      <w:r w:rsidR="006B23DC">
        <w:instrText xml:space="preserve">" </w:instrText>
      </w:r>
      <w:r w:rsidR="006B23DC">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the Neft Kuyu</w:t>
      </w:r>
      <w:r w:rsidR="001F2587">
        <w:rPr>
          <w:rFonts w:asciiTheme="majorBidi" w:eastAsia="Times New Roman"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were attributed to the founding kings based on their location. It is generally accepted that Urartu may have referenced Assyria in the location of the royal tombs since, under the floors of palace-related structures in Assyria and Nimrud</w:t>
      </w:r>
      <w:r w:rsidR="00C1513A">
        <w:rPr>
          <w:rFonts w:asciiTheme="majorBidi" w:eastAsia="Times New Roman" w:hAnsiTheme="majorBidi" w:cstheme="majorBidi"/>
          <w:lang w:val="en-GB"/>
        </w:rPr>
        <w:fldChar w:fldCharType="begin"/>
      </w:r>
      <w:r w:rsidR="00C1513A">
        <w:instrText xml:space="preserve"> XE "</w:instrText>
      </w:r>
      <w:r w:rsidR="00C1513A" w:rsidRPr="00C2043F">
        <w:rPr>
          <w:rFonts w:asciiTheme="majorBidi" w:eastAsia="Times New Roman" w:hAnsiTheme="majorBidi" w:cstheme="majorBidi"/>
          <w:lang w:val="en-GB"/>
        </w:rPr>
        <w:instrText>Nimrud</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there are burial chambers connected by corridors with some resemblance to those found in Urartu (Haller, 1954; Damerji, 1999, 2008). These burial chambers are dated to the periods of Aššur-bēl-kala</w:t>
      </w:r>
      <w:r w:rsidR="00C1513A">
        <w:rPr>
          <w:rFonts w:asciiTheme="majorBidi" w:eastAsia="Times New Roman" w:hAnsiTheme="majorBidi" w:cstheme="majorBidi"/>
          <w:lang w:val="en-GB"/>
        </w:rPr>
        <w:fldChar w:fldCharType="begin"/>
      </w:r>
      <w:r w:rsidR="00C1513A">
        <w:instrText xml:space="preserve"> XE "</w:instrText>
      </w:r>
      <w:r w:rsidR="00C1513A" w:rsidRPr="009B6B7E">
        <w:rPr>
          <w:rFonts w:asciiTheme="majorBidi" w:eastAsia="Times New Roman" w:hAnsiTheme="majorBidi" w:cstheme="majorBidi"/>
          <w:lang w:val="en-GB"/>
        </w:rPr>
        <w:instrText>Aššur-bēl-kala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(1073-1056 BCE), Ashurnasirpal </w:t>
      </w:r>
      <w:r w:rsidR="00C1513A">
        <w:rPr>
          <w:rFonts w:asciiTheme="majorBidi" w:eastAsia="Times New Roman" w:hAnsiTheme="majorBidi" w:cstheme="majorBidi"/>
          <w:lang w:val="en-GB"/>
        </w:rPr>
        <w:t>I</w:t>
      </w:r>
      <w:r w:rsidRPr="00F03A26">
        <w:rPr>
          <w:rFonts w:asciiTheme="majorBidi" w:eastAsia="Times New Roman" w:hAnsiTheme="majorBidi" w:cstheme="majorBidi"/>
          <w:lang w:val="en-GB"/>
        </w:rPr>
        <w:t>II</w:t>
      </w:r>
      <w:r w:rsidR="00C1513A">
        <w:rPr>
          <w:rFonts w:asciiTheme="majorBidi" w:eastAsia="Times New Roman" w:hAnsiTheme="majorBidi" w:cstheme="majorBidi"/>
          <w:lang w:val="en-GB"/>
        </w:rPr>
        <w:fldChar w:fldCharType="begin"/>
      </w:r>
      <w:r w:rsidR="00C1513A">
        <w:instrText xml:space="preserve"> XE "</w:instrText>
      </w:r>
      <w:r w:rsidR="00C1513A" w:rsidRPr="00B7134A">
        <w:rPr>
          <w:rFonts w:asciiTheme="majorBidi" w:eastAsia="Times New Roman" w:hAnsiTheme="majorBidi" w:cstheme="majorBidi"/>
          <w:lang w:val="en-GB"/>
        </w:rPr>
        <w:instrText>Ashurnasirpal III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(883-859 BCE), and Šamši-Adad V</w:t>
      </w:r>
      <w:r w:rsidR="00C1513A">
        <w:rPr>
          <w:rFonts w:asciiTheme="majorBidi" w:eastAsia="Times New Roman" w:hAnsiTheme="majorBidi" w:cstheme="majorBidi"/>
          <w:lang w:val="en-GB"/>
        </w:rPr>
        <w:fldChar w:fldCharType="begin"/>
      </w:r>
      <w:r w:rsidR="00C1513A">
        <w:instrText xml:space="preserve"> XE "</w:instrText>
      </w:r>
      <w:r w:rsidR="00C1513A" w:rsidRPr="00297A1F">
        <w:rPr>
          <w:rFonts w:asciiTheme="majorBidi" w:eastAsia="Times New Roman" w:hAnsiTheme="majorBidi" w:cstheme="majorBidi"/>
          <w:lang w:val="en-GB"/>
        </w:rPr>
        <w:instrText>Šamši-Adad V</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(823-811 BCE), and this dating is derived from written documents. In recent years, the multi-roomed tombs unearthed in Nimrud consist of a front entrance accessible by stairs and a central burial chamber behind it. Again, small niches were made in the rooms to put gifts, and the dead were placed in stone sarcophagi.</w:t>
      </w:r>
    </w:p>
    <w:p w14:paraId="7C87C96D" w14:textId="77777777" w:rsidR="006B5F19" w:rsidRPr="00F03A26" w:rsidRDefault="006B5F19" w:rsidP="00F03A26">
      <w:pPr>
        <w:jc w:val="both"/>
        <w:rPr>
          <w:rFonts w:asciiTheme="majorBidi" w:eastAsia="Times New Roman" w:hAnsiTheme="majorBidi" w:cstheme="majorBidi"/>
          <w:lang w:val="en-GB"/>
        </w:rPr>
      </w:pPr>
    </w:p>
    <w:p w14:paraId="0047503D" w14:textId="1975A3CA"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König was one of the first to make suggestions regarding the dating of rock tombs. He posited that the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w:t>
      </w:r>
      <w:r w:rsidR="006B23DC">
        <w:rPr>
          <w:rFonts w:asciiTheme="majorBidi" w:eastAsia="Times New Roman" w:hAnsiTheme="majorBidi" w:cstheme="majorBidi"/>
          <w:lang w:val="en-GB"/>
        </w:rPr>
        <w:fldChar w:fldCharType="begin"/>
      </w:r>
      <w:r w:rsidR="006B23DC">
        <w:instrText xml:space="preserve"> XE "</w:instrText>
      </w:r>
      <w:r w:rsidR="006B23DC" w:rsidRPr="0072234F">
        <w:rPr>
          <w:rFonts w:ascii="Times New Roman" w:hAnsi="Times New Roman"/>
          <w:szCs w:val="22"/>
          <w:lang w:val="en-GB"/>
        </w:rPr>
        <w:instrText>İç Kale tomb</w:instrText>
      </w:r>
      <w:r w:rsidR="006B23DC">
        <w:instrText xml:space="preserve">" </w:instrText>
      </w:r>
      <w:r w:rsidR="006B23DC">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was constructed under Sarduri I</w:t>
      </w:r>
      <w:r w:rsidR="00C1513A">
        <w:rPr>
          <w:rFonts w:asciiTheme="majorBidi" w:eastAsia="Times New Roman" w:hAnsiTheme="majorBidi" w:cstheme="majorBidi"/>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Neft Kuyu</w:t>
      </w:r>
      <w:r w:rsidR="001F2587">
        <w:rPr>
          <w:rFonts w:asciiTheme="majorBidi" w:eastAsia="Times New Roman"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under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Doğu Odaları</w:t>
      </w:r>
      <w:r w:rsidR="001F2587">
        <w:rPr>
          <w:rFonts w:asciiTheme="majorBidi" w:eastAsia="Times New Roman" w:hAnsiTheme="majorBidi" w:cstheme="majorBidi"/>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under Sarduri II</w:t>
      </w:r>
      <w:r w:rsidR="00C1513A">
        <w:rPr>
          <w:rFonts w:asciiTheme="majorBidi" w:eastAsia="Times New Roman" w:hAnsiTheme="majorBidi" w:cstheme="majorBidi"/>
          <w:lang w:val="en-GB"/>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the Great Horhor</w:t>
      </w:r>
      <w:r w:rsidR="00647545">
        <w:rPr>
          <w:rFonts w:asciiTheme="majorBidi" w:eastAsia="Times New Roman" w:hAnsiTheme="majorBidi" w:cstheme="majorBidi"/>
          <w:lang w:val="en-GB"/>
        </w:rPr>
        <w:fldChar w:fldCharType="begin"/>
      </w:r>
      <w:r w:rsidR="00647545">
        <w:instrText xml:space="preserve"> </w:instrText>
      </w:r>
      <w:r w:rsidR="00647545">
        <w:lastRenderedPageBreak/>
        <w:instrText>XE "</w:instrText>
      </w:r>
      <w:r w:rsidR="00647545" w:rsidRPr="00164852">
        <w:rPr>
          <w:rFonts w:asciiTheme="majorBidi" w:hAnsiTheme="majorBidi" w:cstheme="majorBidi"/>
        </w:rPr>
        <w:instrText>Horhor</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 under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(König, 1955-57: 261-262). A later suggestion was put forward by Sevin (Sevin, 2012a: 102), who dated the Neft Kuyu tomb to the time of Sarduri I</w:t>
      </w:r>
      <w:r w:rsidR="005C68BB">
        <w:rPr>
          <w:rFonts w:asciiTheme="majorBidi" w:eastAsia="Times New Roman" w:hAnsiTheme="majorBidi" w:cstheme="majorBidi"/>
          <w:lang w:val="en-GB"/>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İç Kale tomb</w:t>
      </w:r>
      <w:r w:rsidR="006B23DC">
        <w:rPr>
          <w:rFonts w:asciiTheme="majorBidi" w:eastAsia="Times New Roman" w:hAnsiTheme="majorBidi" w:cstheme="majorBidi"/>
          <w:lang w:val="en-GB"/>
        </w:rPr>
        <w:fldChar w:fldCharType="begin"/>
      </w:r>
      <w:r w:rsidR="006B23DC">
        <w:instrText xml:space="preserve"> XE "</w:instrText>
      </w:r>
      <w:r w:rsidR="006B23DC" w:rsidRPr="0072234F">
        <w:rPr>
          <w:rFonts w:ascii="Times New Roman" w:hAnsi="Times New Roman"/>
          <w:szCs w:val="22"/>
          <w:lang w:val="en-GB"/>
        </w:rPr>
        <w:instrText>İç Kale tomb</w:instrText>
      </w:r>
      <w:r w:rsidR="006B23DC">
        <w:instrText xml:space="preserve">" </w:instrText>
      </w:r>
      <w:r w:rsidR="006B23DC">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 that of Išpuini</w:t>
      </w:r>
      <w:r w:rsidR="00C1513A">
        <w:rPr>
          <w:rFonts w:asciiTheme="majorBidi" w:eastAsia="Times New Roman" w:hAnsiTheme="majorBidi" w:cstheme="majorBidi"/>
          <w:lang w:val="en-GB"/>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Doğu Odaları tomb to that of Minua, and the Great Horhor tomb to the time of Argišti I. Tarhan, in his latest publication on the subject, dated the Neft Kuyu tomb to Sarduri I and the İç Kale tomb to the Išpuini and Minua periods. The main hall and rooms with a barrel vault in the front were attributed to Išpuini, the flat-ceilinged hall and rooms at the back to Minua, and the rearmost room to Inušpua</w:t>
      </w:r>
      <w:r w:rsidR="004B0374">
        <w:rPr>
          <w:rFonts w:asciiTheme="majorBidi" w:eastAsia="Times New Roman" w:hAnsiTheme="majorBidi" w:cstheme="majorBidi"/>
          <w:lang w:val="en-GB"/>
        </w:rPr>
        <w:fldChar w:fldCharType="begin"/>
      </w:r>
      <w:r w:rsidR="004B0374">
        <w:instrText xml:space="preserve"> XE "</w:instrText>
      </w:r>
      <w:r w:rsidR="004B0374" w:rsidRPr="00AB28D0">
        <w:rPr>
          <w:rFonts w:ascii="Times New Roman" w:hAnsi="Times New Roman"/>
          <w:lang w:val="en-GB"/>
        </w:rPr>
        <w:instrText>Inušpua</w:instrText>
      </w:r>
      <w:r w:rsidR="004B0374">
        <w:instrText xml:space="preserve">" </w:instrText>
      </w:r>
      <w:r w:rsidR="004B0374">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(Tarhan, 2020: 229-230). These tombs are located just below İç Kale, which supports the basic approach to determining their chronology. It is thought that Urartu also practiced the tradition of building a burial chamber under the palace, as in Assyrian</w:t>
      </w:r>
      <w:r w:rsidR="001F2587">
        <w:rPr>
          <w:rFonts w:asciiTheme="majorBidi" w:eastAsia="Times New Roman"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cases. The same approach is seen in the definition of 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section. The section called the New Palace due to the Argišti I tomb underneath is dated to the Argišti I period.</w:t>
      </w:r>
    </w:p>
    <w:p w14:paraId="4ADDEE61"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noProof/>
        </w:rPr>
        <w:drawing>
          <wp:inline distT="0" distB="0" distL="0" distR="0" wp14:anchorId="7D82F2B7" wp14:editId="23A64AEC">
            <wp:extent cx="5756910" cy="6053455"/>
            <wp:effectExtent l="0" t="0" r="0" b="4445"/>
            <wp:docPr id="1259418173" name="Resim 1" descr="dış mekan, bulut, gökyüzü,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18173" name="Resim 1" descr="dış mekan, bulut, gökyüzü, harabeler içeren bir resim&#10;&#10;Açıklama otomatik olarak oluşturuldu"/>
                    <pic:cNvPicPr/>
                  </pic:nvPicPr>
                  <pic:blipFill>
                    <a:blip r:embed="rId64" cstate="email">
                      <a:extLst>
                        <a:ext uri="{28A0092B-C50C-407E-A947-70E740481C1C}">
                          <a14:useLocalDpi xmlns:a14="http://schemas.microsoft.com/office/drawing/2010/main"/>
                        </a:ext>
                      </a:extLst>
                    </a:blip>
                    <a:stretch>
                      <a:fillRect/>
                    </a:stretch>
                  </pic:blipFill>
                  <pic:spPr>
                    <a:xfrm>
                      <a:off x="0" y="0"/>
                      <a:ext cx="5756910" cy="6053455"/>
                    </a:xfrm>
                    <a:prstGeom prst="rect">
                      <a:avLst/>
                    </a:prstGeom>
                  </pic:spPr>
                </pic:pic>
              </a:graphicData>
            </a:graphic>
          </wp:inline>
        </w:drawing>
      </w:r>
    </w:p>
    <w:p w14:paraId="3F0EDE40" w14:textId="497941F3"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16 </w:t>
      </w:r>
      <w:r w:rsidRPr="00F03A26">
        <w:rPr>
          <w:rFonts w:asciiTheme="majorBidi" w:eastAsia="Times New Roman" w:hAnsiTheme="majorBidi" w:cstheme="majorBidi"/>
          <w:lang w:val="en-GB"/>
        </w:rPr>
        <w:t>Ṭušpa</w:t>
      </w:r>
      <w:r w:rsidRPr="00F03A26">
        <w:rPr>
          <w:rFonts w:asciiTheme="majorBidi" w:eastAsia="Times New Roman" w:hAnsiTheme="majorBidi" w:cstheme="majorBidi"/>
          <w:iCs/>
          <w:lang w:val="en-GB"/>
        </w:rPr>
        <w:t xml:space="preserve"> Neft Kuyu</w:t>
      </w:r>
      <w:r w:rsidR="001F2587">
        <w:rPr>
          <w:rFonts w:asciiTheme="majorBidi" w:eastAsia="Times New Roman" w:hAnsiTheme="majorBidi" w:cstheme="majorBidi"/>
          <w:iCs/>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tomb. The façade arrangement gives the impression that it was inspired by the Urartian</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"Urartian"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structures.</w:t>
      </w:r>
    </w:p>
    <w:p w14:paraId="38710B67" w14:textId="77777777" w:rsidR="006B5F19" w:rsidRPr="00F03A26" w:rsidRDefault="006B5F19" w:rsidP="00F03A26">
      <w:pPr>
        <w:jc w:val="both"/>
        <w:rPr>
          <w:rFonts w:asciiTheme="majorBidi" w:eastAsia="Times New Roman" w:hAnsiTheme="majorBidi" w:cstheme="majorBidi"/>
          <w:iCs/>
          <w:lang w:val="en-GB"/>
        </w:rPr>
      </w:pPr>
    </w:p>
    <w:p w14:paraId="63CF3333" w14:textId="5AFC77EE"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w:t>
      </w:r>
      <w:r w:rsidR="006B23DC">
        <w:rPr>
          <w:rFonts w:asciiTheme="majorBidi" w:eastAsia="Times New Roman" w:hAnsiTheme="majorBidi" w:cstheme="majorBidi"/>
          <w:lang w:val="en-GB"/>
        </w:rPr>
        <w:fldChar w:fldCharType="begin"/>
      </w:r>
      <w:r w:rsidR="006B23DC">
        <w:instrText xml:space="preserve"> XE "</w:instrText>
      </w:r>
      <w:r w:rsidR="006B23DC" w:rsidRPr="0072234F">
        <w:rPr>
          <w:rFonts w:ascii="Times New Roman" w:hAnsi="Times New Roman"/>
          <w:szCs w:val="22"/>
          <w:lang w:val="en-GB"/>
        </w:rPr>
        <w:instrText>İç Kale tomb</w:instrText>
      </w:r>
      <w:r w:rsidR="006B23DC">
        <w:instrText xml:space="preserve">" </w:instrText>
      </w:r>
      <w:r w:rsidR="006B23DC">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the Neft Kuyu</w:t>
      </w:r>
      <w:r w:rsidR="001F2587">
        <w:rPr>
          <w:rFonts w:asciiTheme="majorBidi" w:eastAsia="Times New Roman"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around the Great Platform</w:t>
      </w:r>
      <w:r w:rsidR="00C1513A">
        <w:rPr>
          <w:rFonts w:asciiTheme="majorBidi" w:eastAsia="Times New Roman" w:hAnsiTheme="majorBidi" w:cstheme="majorBidi"/>
          <w:lang w:val="en-GB"/>
        </w:rPr>
        <w:fldChar w:fldCharType="begin"/>
      </w:r>
      <w:r w:rsidR="00C1513A">
        <w:instrText xml:space="preserve"> XE "</w:instrText>
      </w:r>
      <w:r w:rsidR="00C1513A" w:rsidRPr="00A445F6">
        <w:rPr>
          <w:rFonts w:asciiTheme="majorBidi" w:eastAsia="Times New Roman" w:hAnsiTheme="majorBidi" w:cstheme="majorBidi"/>
          <w:lang w:val="en-GB"/>
        </w:rPr>
        <w:instrText>Great Platform</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reflect a common tradition in plan and interior arrangement (Fig. 5, 16). The fact that the İç Kale is below the Old Palace</w:t>
      </w:r>
      <w:r w:rsidR="00C1513A">
        <w:rPr>
          <w:rFonts w:asciiTheme="majorBidi" w:eastAsia="Times New Roman" w:hAnsiTheme="majorBidi" w:cstheme="majorBidi"/>
          <w:lang w:val="en-GB"/>
        </w:rPr>
        <w:fldChar w:fldCharType="begin"/>
      </w:r>
      <w:r w:rsidR="00C1513A">
        <w:instrText xml:space="preserve"> XE "</w:instrText>
      </w:r>
      <w:r w:rsidR="00C1513A" w:rsidRPr="009746DD">
        <w:rPr>
          <w:rFonts w:asciiTheme="majorBidi" w:eastAsia="Times New Roman" w:hAnsiTheme="majorBidi" w:cstheme="majorBidi"/>
          <w:iCs/>
        </w:rPr>
        <w:instrText>Old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that the entrance hall is carved in the form of a barrel vault provides evidence for its early dating, though the Neft Kuyu burial chamber may date to the king Rusa, son of Argišti period. Analogically, the most striking data appear as cornices with festoon (half-round toothed) moldings, which feature prominently in the hall and north room of the burial chamber. The same arrangement is seen in the Mazgirt/Kaleköy tomb, which dates back to the reign of this king, with the inscription of Rusa to the right of the entrance. Another important datum comes from the façade of the Neft Kuyu tomb, which is divided into horizontal and vertical panels and, in our opinion, was meant to depict an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royal building with towers at its corners. It resembles a structure akin to the depictions on the embossed buttresses in Adilcevaz Kef Fortress, which dates to the reign of Rusa.  </w:t>
      </w:r>
    </w:p>
    <w:p w14:paraId="1EEC21FE" w14:textId="77777777" w:rsidR="006B5F19" w:rsidRPr="00F03A26" w:rsidRDefault="006B5F19" w:rsidP="00F03A26">
      <w:pPr>
        <w:jc w:val="both"/>
        <w:rPr>
          <w:rFonts w:asciiTheme="majorBidi" w:eastAsia="Times New Roman" w:hAnsiTheme="majorBidi" w:cstheme="majorBidi"/>
          <w:lang w:val="en-GB"/>
        </w:rPr>
      </w:pPr>
    </w:p>
    <w:p w14:paraId="63E0C76A" w14:textId="13903584"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East of the East Ditch</w:t>
      </w:r>
      <w:r w:rsidR="00647545">
        <w:rPr>
          <w:rFonts w:asciiTheme="majorBidi" w:eastAsia="Times New Roman" w:hAnsiTheme="majorBidi" w:cstheme="majorBidi"/>
          <w:lang w:val="en-GB"/>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Doğu Odaları</w:t>
      </w:r>
      <w:r w:rsidR="001F2587">
        <w:rPr>
          <w:rFonts w:asciiTheme="majorBidi" w:eastAsia="Times New Roman" w:hAnsiTheme="majorBidi" w:cstheme="majorBidi"/>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is much like the burial chambers around the Great Platform</w:t>
      </w:r>
      <w:r w:rsidR="00C1513A">
        <w:rPr>
          <w:rFonts w:asciiTheme="majorBidi" w:eastAsia="Times New Roman" w:hAnsiTheme="majorBidi" w:cstheme="majorBidi"/>
          <w:lang w:val="en-GB"/>
        </w:rPr>
        <w:fldChar w:fldCharType="begin"/>
      </w:r>
      <w:r w:rsidR="00C1513A">
        <w:instrText xml:space="preserve"> XE "</w:instrText>
      </w:r>
      <w:r w:rsidR="00C1513A" w:rsidRPr="00A445F6">
        <w:rPr>
          <w:rFonts w:asciiTheme="majorBidi" w:eastAsia="Times New Roman" w:hAnsiTheme="majorBidi" w:cstheme="majorBidi"/>
          <w:lang w:val="en-GB"/>
        </w:rPr>
        <w:instrText>Great Platform</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in many ways. Since the main hall's ceiling was flat, it was placed chronologically later. The "Cremation tomb</w:t>
      </w:r>
      <w:r w:rsidR="00C1513A">
        <w:rPr>
          <w:rFonts w:asciiTheme="majorBidi" w:eastAsia="Times New Roman" w:hAnsiTheme="majorBidi" w:cstheme="majorBidi"/>
          <w:lang w:val="en-GB"/>
        </w:rPr>
        <w:fldChar w:fldCharType="begin"/>
      </w:r>
      <w:r w:rsidR="00C1513A">
        <w:instrText xml:space="preserve"> XE "</w:instrText>
      </w:r>
      <w:r w:rsidR="00C1513A" w:rsidRPr="00041C3F">
        <w:rPr>
          <w:rFonts w:asciiTheme="majorBidi" w:eastAsia="Times New Roman" w:hAnsiTheme="majorBidi" w:cstheme="majorBidi"/>
          <w:lang w:val="en-GB"/>
        </w:rPr>
        <w:instrText>Cremation tomb</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planned as a single burial chamber located at the easternmost point of the Ṭušpa</w:t>
      </w:r>
      <w:r w:rsidR="007A3891">
        <w:rPr>
          <w:rFonts w:asciiTheme="majorBidi" w:eastAsia="Times New Roman" w:hAnsiTheme="majorBidi" w:cstheme="majorBidi"/>
          <w:lang w:val="en-GB"/>
        </w:rPr>
        <w:t>/Van</w:t>
      </w:r>
      <w:r w:rsidRPr="00F03A26">
        <w:rPr>
          <w:rFonts w:asciiTheme="majorBidi" w:eastAsia="Times New Roman" w:hAnsiTheme="majorBidi" w:cstheme="majorBidi"/>
          <w:lang w:val="en-GB"/>
        </w:rPr>
        <w:t xml:space="preserve"> Rock</w:t>
      </w:r>
      <w:r w:rsidR="00B32C1E">
        <w:rPr>
          <w:rFonts w:asciiTheme="majorBidi" w:eastAsia="Times New Roman" w:hAnsiTheme="majorBidi" w:cstheme="majorBidi"/>
          <w:lang w:val="en-GB"/>
        </w:rPr>
        <w:fldChar w:fldCharType="begin"/>
      </w:r>
      <w:r w:rsidR="00B32C1E">
        <w:instrText xml:space="preserve"> XE "</w:instrText>
      </w:r>
      <w:r w:rsidR="00B32C1E" w:rsidRPr="00AE200A">
        <w:rPr>
          <w:rFonts w:asciiTheme="majorBidi" w:hAnsiTheme="majorBidi" w:cstheme="majorBidi"/>
          <w:iCs/>
          <w:lang w:val="en-GB"/>
        </w:rPr>
        <w:instrText>Ṭušpa/Van Rock</w:instrText>
      </w:r>
      <w:r w:rsidR="00B32C1E">
        <w:instrText xml:space="preserve">" </w:instrText>
      </w:r>
      <w:r w:rsidR="00B32C1E">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is a unique example in many ways and differs from other graves. The Small Horhor</w:t>
      </w:r>
      <w:r w:rsidR="00647545">
        <w:rPr>
          <w:rFonts w:asciiTheme="majorBidi" w:eastAsia="Times New Roman" w:hAnsiTheme="majorBidi" w:cstheme="majorBidi"/>
          <w:lang w:val="en-GB"/>
        </w:rPr>
        <w:fldChar w:fldCharType="begin"/>
      </w:r>
      <w:r w:rsidR="00647545">
        <w:instrText xml:space="preserve"> XE "</w:instrText>
      </w:r>
      <w:r w:rsidR="00647545" w:rsidRPr="00791D30">
        <w:rPr>
          <w:rFonts w:asciiTheme="majorBidi" w:hAnsiTheme="majorBidi" w:cstheme="majorBidi"/>
        </w:rPr>
        <w:instrText>Small Horhor</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 the Arsenal/BD78 tomb</w:t>
      </w:r>
      <w:r w:rsidR="00573866">
        <w:rPr>
          <w:rFonts w:asciiTheme="majorBidi" w:eastAsia="Times New Roman" w:hAnsiTheme="majorBidi" w:cstheme="majorBidi"/>
          <w:lang w:val="en-GB"/>
        </w:rPr>
        <w:fldChar w:fldCharType="begin"/>
      </w:r>
      <w:r w:rsidR="00573866">
        <w:instrText xml:space="preserve"> XE "</w:instrText>
      </w:r>
      <w:r w:rsidR="00573866" w:rsidRPr="006A1145">
        <w:rPr>
          <w:rFonts w:asciiTheme="majorBidi" w:eastAsia="Times New Roman" w:hAnsiTheme="majorBidi" w:cstheme="majorBidi"/>
          <w:lang w:val="en-GB"/>
        </w:rPr>
        <w:instrText>Arsenal/BD78 tomb</w:instrText>
      </w:r>
      <w:r w:rsidR="00573866">
        <w:instrText xml:space="preserve">" </w:instrText>
      </w:r>
      <w:r w:rsidR="0057386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the BD80 tomb</w:t>
      </w:r>
      <w:r w:rsidR="00573866">
        <w:rPr>
          <w:rFonts w:asciiTheme="majorBidi" w:eastAsia="Times New Roman" w:hAnsiTheme="majorBidi" w:cstheme="majorBidi"/>
          <w:lang w:val="en-GB"/>
        </w:rPr>
        <w:fldChar w:fldCharType="begin"/>
      </w:r>
      <w:r w:rsidR="00573866">
        <w:instrText xml:space="preserve"> XE "</w:instrText>
      </w:r>
      <w:r w:rsidR="00573866" w:rsidRPr="00030462">
        <w:rPr>
          <w:rFonts w:asciiTheme="majorBidi" w:eastAsia="Times New Roman" w:hAnsiTheme="majorBidi" w:cstheme="majorBidi"/>
          <w:lang w:val="en-GB"/>
        </w:rPr>
        <w:instrText>BD80 tomb</w:instrText>
      </w:r>
      <w:r w:rsidR="00573866">
        <w:instrText xml:space="preserve">" </w:instrText>
      </w:r>
      <w:r w:rsidR="0057386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each reflect a unique sense of a plan.</w:t>
      </w:r>
    </w:p>
    <w:p w14:paraId="414F2BE9" w14:textId="77777777" w:rsidR="006B5F19" w:rsidRPr="00F03A26" w:rsidRDefault="006B5F19" w:rsidP="00F03A26">
      <w:pPr>
        <w:jc w:val="both"/>
        <w:rPr>
          <w:rFonts w:asciiTheme="majorBidi" w:eastAsia="Times New Roman" w:hAnsiTheme="majorBidi" w:cstheme="majorBidi"/>
          <w:lang w:val="en-GB"/>
        </w:rPr>
      </w:pPr>
    </w:p>
    <w:p w14:paraId="155473E5" w14:textId="767084D4"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section covers the Ṭušpa citadel area between the West Ditch</w:t>
      </w:r>
      <w:r w:rsidR="00C1513A">
        <w:rPr>
          <w:rFonts w:asciiTheme="majorBidi" w:eastAsia="Times New Roman" w:hAnsiTheme="majorBidi" w:cstheme="majorBidi"/>
          <w:lang w:val="en-GB"/>
        </w:rPr>
        <w:fldChar w:fldCharType="begin"/>
      </w:r>
      <w:r w:rsidR="00C1513A">
        <w:instrText xml:space="preserve"> XE "</w:instrText>
      </w:r>
      <w:r w:rsidR="00C1513A" w:rsidRPr="004D0475">
        <w:rPr>
          <w:rFonts w:asciiTheme="majorBidi" w:eastAsia="Times New Roman" w:hAnsiTheme="majorBidi" w:cstheme="majorBidi"/>
          <w:lang w:val="en-GB"/>
        </w:rPr>
        <w:instrText>West Ditch</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(Fig. 4IIb, 5, 17). In almost this entire area, the flat areas on which the bedrock structures can rise have been leveled to form terraces. Bedrock was processed and shaped to fit the terrace walls, and wall beds extending multiple meters were created as steps.  Today, only the foundation beds carved into the bedrock, the walls sectioning off rooms, the drainage traces, the flattened platforms, and the bases of the buildings remain. It is thought to have been built by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king Argišti I (786-764 BCE) because it extends to the east just above his tomb. This location provides our only hint at its placement in the historical timeline. Some results have emerged regarding the nature of the buildings in the New Palace area and architectural establishment. During the excavations conducted in this area in the 1980s under the direction of Tarhan, it was reported that the lower floors of the building were probably used as storage rooms or service units with bent edges (Tarhan, 1988; Tarhan &amp; Sevin, 1990). The walls of most of the 12 warehouses and service rooms at this level were made from bedrock (Tarhan &amp; Sevin, 1990).</w:t>
      </w:r>
    </w:p>
    <w:p w14:paraId="63EEE165" w14:textId="77777777" w:rsidR="006B5F19" w:rsidRPr="00F03A26" w:rsidRDefault="006B5F19" w:rsidP="00F03A26">
      <w:pPr>
        <w:jc w:val="both"/>
        <w:rPr>
          <w:rFonts w:asciiTheme="majorBidi" w:eastAsia="Times New Roman" w:hAnsiTheme="majorBidi" w:cstheme="majorBidi"/>
          <w:lang w:val="en-GB"/>
        </w:rPr>
      </w:pPr>
    </w:p>
    <w:p w14:paraId="5E49CB49" w14:textId="02F0BFD3"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Above this, upper floors rise on the foundation beds. The widest part of 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lies to the west, formed by once again leveling the bedrock. It is stated that there were likely royal residences and similar units in the structures on the second or higher terraces supported by these walls. The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underneath the New Palace, is the only tomb structure that can be dated in Ṭušpa with the inscription on the façade. Evidence that the New Palace and the Argišti I tomb may have been built as part of a single project can be gathered from the foundation beds on the steep slopes around the rocky façade where the burial chamber was placed. It is obvious that the southern borders of the New Palace, as in the Old Palace</w:t>
      </w:r>
      <w:r w:rsidR="00C1513A">
        <w:rPr>
          <w:rFonts w:asciiTheme="majorBidi" w:eastAsia="Times New Roman" w:hAnsiTheme="majorBidi" w:cstheme="majorBidi"/>
          <w:lang w:val="en-GB"/>
        </w:rPr>
        <w:fldChar w:fldCharType="begin"/>
      </w:r>
      <w:r w:rsidR="00C1513A">
        <w:instrText xml:space="preserve"> XE "</w:instrText>
      </w:r>
      <w:r w:rsidR="00C1513A" w:rsidRPr="009746DD">
        <w:rPr>
          <w:rFonts w:asciiTheme="majorBidi" w:eastAsia="Times New Roman" w:hAnsiTheme="majorBidi" w:cstheme="majorBidi"/>
          <w:iCs/>
        </w:rPr>
        <w:instrText>Old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were formed by the walls rising from these foundations. Thus, it was ensured that the south façade could proceed in a straight line. The lower rocky </w:t>
      </w:r>
      <w:r w:rsidRPr="00F03A26">
        <w:rPr>
          <w:rFonts w:asciiTheme="majorBidi" w:eastAsia="Times New Roman" w:hAnsiTheme="majorBidi" w:cstheme="majorBidi"/>
          <w:lang w:val="en-GB"/>
        </w:rPr>
        <w:lastRenderedPageBreak/>
        <w:t>areas of Ṭušpa citadel extending from the western ditch to the west witnessed intense construction during the Argišti I period.</w:t>
      </w:r>
    </w:p>
    <w:p w14:paraId="5008A96D"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noProof/>
        </w:rPr>
        <w:drawing>
          <wp:inline distT="114300" distB="114300" distL="114300" distR="114300" wp14:anchorId="3D94FD8D" wp14:editId="17CFDE72">
            <wp:extent cx="5830784" cy="4334494"/>
            <wp:effectExtent l="0" t="0" r="0" b="0"/>
            <wp:docPr id="8" name="image10.png" descr="harita, metin, diyagram, pl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8" name="image10.png" descr="harita, metin, diyagram, plan içeren bir resim&#10;&#10;Açıklama otomatik olarak oluşturuldu"/>
                    <pic:cNvPicPr preferRelativeResize="0"/>
                  </pic:nvPicPr>
                  <pic:blipFill>
                    <a:blip r:embed="rId65"/>
                    <a:srcRect/>
                    <a:stretch>
                      <a:fillRect/>
                    </a:stretch>
                  </pic:blipFill>
                  <pic:spPr>
                    <a:xfrm>
                      <a:off x="0" y="0"/>
                      <a:ext cx="5889010" cy="4377778"/>
                    </a:xfrm>
                    <a:prstGeom prst="rect">
                      <a:avLst/>
                    </a:prstGeom>
                    <a:ln/>
                  </pic:spPr>
                </pic:pic>
              </a:graphicData>
            </a:graphic>
          </wp:inline>
        </w:drawing>
      </w:r>
    </w:p>
    <w:p w14:paraId="7758A8BD" w14:textId="45509D6C"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17 </w:t>
      </w:r>
      <w:r w:rsidRPr="00F03A26">
        <w:rPr>
          <w:rFonts w:asciiTheme="majorBidi" w:eastAsia="Times New Roman" w:hAnsiTheme="majorBidi" w:cstheme="majorBidi"/>
          <w:lang w:val="en-GB"/>
        </w:rPr>
        <w:t>Ṭušpa</w:t>
      </w:r>
      <w:r w:rsidRPr="00F03A26">
        <w:rPr>
          <w:rFonts w:asciiTheme="majorBidi" w:eastAsia="Times New Roman" w:hAnsiTheme="majorBidi" w:cstheme="majorBidi"/>
          <w:iCs/>
          <w:lang w:val="en-GB"/>
        </w:rPr>
        <w:t xml:space="preserve"> area IIa (Fig. 4IIa, 5). New Palace</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"New Palace"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and Its Surroundings. The foundation deposits dug into the bedrock observed at various levels provide information about the building stock in this section.</w:t>
      </w:r>
    </w:p>
    <w:p w14:paraId="1F4E5B50" w14:textId="77777777" w:rsidR="006B5F19" w:rsidRPr="00F03A26" w:rsidRDefault="006B5F19" w:rsidP="00F03A26">
      <w:pPr>
        <w:jc w:val="both"/>
        <w:rPr>
          <w:rFonts w:asciiTheme="majorBidi" w:eastAsia="Times New Roman" w:hAnsiTheme="majorBidi" w:cstheme="majorBidi"/>
          <w:i/>
          <w:lang w:val="en-GB"/>
        </w:rPr>
      </w:pPr>
    </w:p>
    <w:p w14:paraId="1C11E142" w14:textId="6F393DC2" w:rsidR="006B5F19" w:rsidRPr="00F03A26" w:rsidRDefault="006B5F19" w:rsidP="00F03A26">
      <w:pPr>
        <w:jc w:val="both"/>
        <w:rPr>
          <w:rFonts w:asciiTheme="majorBidi" w:eastAsia="Times New Roman" w:hAnsiTheme="majorBidi" w:cstheme="majorBidi"/>
          <w:lang w:val="en-GB"/>
        </w:rPr>
      </w:pPr>
      <w:bookmarkStart w:id="39" w:name="_heading=h.30j0zll" w:colFirst="0" w:colLast="0"/>
      <w:bookmarkEnd w:id="39"/>
      <w:r w:rsidRPr="00F03A26">
        <w:rPr>
          <w:rFonts w:asciiTheme="majorBidi" w:eastAsia="Times New Roman" w:hAnsiTheme="majorBidi" w:cstheme="majorBidi"/>
          <w:lang w:val="en-GB"/>
        </w:rPr>
        <w:t>The 51 by 13.50 meter-sized rock platform on the northeast slope of the Van Fortress, together with the two monumental niches on the south façade is designated the Analıkız</w:t>
      </w:r>
      <w:r w:rsidR="00647545">
        <w:rPr>
          <w:rFonts w:asciiTheme="majorBidi" w:eastAsia="Times New Roman" w:hAnsiTheme="majorBidi" w:cstheme="majorBidi"/>
          <w:lang w:val="en-GB"/>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or Hazine Kapısı (Genç, 2019; Tarhan, 2020). Niches were opened to the north face and arranged across two levels by leveling the bedrock. The western niche opened onto the surface and comprised a second level below. To the left of this niche lies its eastern counterpart, which stands 6.15 m high, 2.60 m wide, and 2.15 m deep. A bench spanning the surface where the niches were opened and met the platform was formed again by carving the bedrock into the desired shape.</w:t>
      </w:r>
    </w:p>
    <w:p w14:paraId="74FB689B" w14:textId="77777777" w:rsidR="006B5F19" w:rsidRPr="00F03A26" w:rsidRDefault="006B5F19" w:rsidP="00F03A26">
      <w:pPr>
        <w:jc w:val="both"/>
        <w:rPr>
          <w:rFonts w:asciiTheme="majorBidi" w:eastAsia="Times New Roman" w:hAnsiTheme="majorBidi" w:cstheme="majorBidi"/>
          <w:lang w:val="en-GB"/>
        </w:rPr>
      </w:pPr>
    </w:p>
    <w:p w14:paraId="6BE8F505" w14:textId="57FFE3C1"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In the large western niche, we find one of the longest cuneiform inscriptions associated with Urartu, written on bedrock and blocks. The inscription - comprising 13 lines on one face and 29 lines on a second, east-facing façade, and thought to constitute the opening lines of the chronicles of Sarduri II</w:t>
      </w:r>
      <w:r w:rsidR="00C1513A">
        <w:rPr>
          <w:rFonts w:asciiTheme="majorBidi" w:eastAsia="Times New Roman" w:hAnsiTheme="majorBidi" w:cstheme="majorBidi"/>
          <w:lang w:val="en-GB"/>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 presents a sort of inventory of the military and economic resources at the kingdom's disposal. Today, the </w:t>
      </w:r>
      <w:r w:rsidRPr="00F03A26">
        <w:rPr>
          <w:rFonts w:asciiTheme="majorBidi" w:eastAsia="Times New Roman" w:hAnsiTheme="majorBidi" w:cstheme="majorBidi"/>
          <w:lang w:val="en-GB"/>
        </w:rPr>
        <w:lastRenderedPageBreak/>
        <w:t>pedestal on which the stelae sit in the niche is broken into three pieces. In the middle of the pedestal stands a stele slot measuring 56 by 45 cm and extending 60 cm in the vertical axis. The front of this basalt base hosts yet more inscriptions describes the expeditions and activities of Sarduri II. Some cuneiform stelae and stone blocks credited to Sarduri II were taken from this area and used to construct churches in Old Van City</w:t>
      </w:r>
      <w:r w:rsidR="00647545">
        <w:rPr>
          <w:rFonts w:asciiTheme="majorBidi" w:eastAsia="Times New Roman" w:hAnsiTheme="majorBidi" w:cstheme="majorBidi"/>
          <w:lang w:val="en-GB"/>
        </w:rPr>
        <w:fldChar w:fldCharType="begin"/>
      </w:r>
      <w:r w:rsidR="00647545">
        <w:instrText xml:space="preserve"> XE "</w:instrText>
      </w:r>
      <w:r w:rsidR="00647545" w:rsidRPr="00756E33">
        <w:rPr>
          <w:rFonts w:asciiTheme="majorBidi" w:hAnsiTheme="majorBidi" w:cstheme="majorBidi"/>
        </w:rPr>
        <w:instrText>Old Van City</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others are in the Van Museum.</w:t>
      </w:r>
    </w:p>
    <w:p w14:paraId="630CC49D" w14:textId="77777777" w:rsidR="006B5F19" w:rsidRPr="00F03A26" w:rsidRDefault="006B5F19" w:rsidP="00F03A26">
      <w:pPr>
        <w:jc w:val="both"/>
        <w:rPr>
          <w:rFonts w:asciiTheme="majorBidi" w:eastAsia="Times New Roman" w:hAnsiTheme="majorBidi" w:cstheme="majorBidi"/>
          <w:lang w:val="en-GB"/>
        </w:rPr>
      </w:pPr>
    </w:p>
    <w:p w14:paraId="7BDFA85A" w14:textId="20E65F90"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It is thought that these niches with inscriptions dating to the period of the Sarduri II</w:t>
      </w:r>
      <w:r w:rsidR="00C1513A">
        <w:rPr>
          <w:rFonts w:asciiTheme="majorBidi" w:eastAsia="Times New Roman" w:hAnsiTheme="majorBidi" w:cstheme="majorBidi"/>
          <w:lang w:val="en-GB"/>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(755-730 BCE) as well as the platform in front constitute part of an open-air temple where religious ceremonies were performed during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(Çilingiroğlu, 1998: 233-234, 2011: 320; Erzen, 2011: 7; Kofmann, 1977: 184; Tarhan, 1994: 28-31). When the location of the Analıkız</w:t>
      </w:r>
      <w:r w:rsidR="00647545">
        <w:rPr>
          <w:rFonts w:asciiTheme="majorBidi" w:eastAsia="Times New Roman" w:hAnsiTheme="majorBidi" w:cstheme="majorBidi"/>
          <w:lang w:val="en-GB"/>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area, some of its structural features, and some inscriptions unearthed around the Van Fortress were recently re-evaluated, it became clear that a new approach to contextualizing the construct had to be considered (Genç, 2019; Genç &amp; Konyar, 2019). Given the general structural character of the area, it seems that it was formed through a development process that spanned a series of historical periods. The eastern niche, the area in front of it, and the western niche and the area in front of it present two disparate chronologies in their structural features. The structure's construction may have begun under the reign of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a view supported by inscribed stelae used as spolia in the </w:t>
      </w:r>
      <w:r w:rsidR="00C1513A">
        <w:rPr>
          <w:rFonts w:asciiTheme="majorBidi" w:eastAsia="Times New Roman" w:hAnsiTheme="majorBidi" w:cstheme="majorBidi"/>
          <w:lang w:val="en-GB"/>
        </w:rPr>
        <w:t>Old Van City</w:t>
      </w:r>
      <w:r w:rsidR="00EB71FC">
        <w:rPr>
          <w:rFonts w:asciiTheme="majorBidi" w:eastAsia="Times New Roman" w:hAnsiTheme="majorBidi" w:cstheme="majorBidi"/>
          <w:lang w:val="en-GB"/>
        </w:rPr>
        <w:fldChar w:fldCharType="begin"/>
      </w:r>
      <w:r w:rsidR="00EB71FC">
        <w:instrText xml:space="preserve"> XE "</w:instrText>
      </w:r>
      <w:r w:rsidR="00EB71FC" w:rsidRPr="00613193">
        <w:rPr>
          <w:rFonts w:asciiTheme="majorBidi" w:hAnsiTheme="majorBidi" w:cstheme="majorBidi"/>
        </w:rPr>
        <w:instrText>Old Van City</w:instrText>
      </w:r>
      <w:r w:rsidR="00EB71FC">
        <w:instrText xml:space="preserve">" </w:instrText>
      </w:r>
      <w:r w:rsidR="00EB71FC">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(Genç &amp; Konyar, 2019). Later, during the reign of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especially Sarduri II, the area expanded to the west, and the existing facade was shifted backward with a western niche opened.</w:t>
      </w:r>
    </w:p>
    <w:p w14:paraId="4E4A856C" w14:textId="77777777" w:rsidR="006B5F19" w:rsidRPr="00F03A26" w:rsidRDefault="006B5F19" w:rsidP="00F03A26">
      <w:pPr>
        <w:jc w:val="both"/>
        <w:rPr>
          <w:rFonts w:asciiTheme="majorBidi" w:eastAsia="Times New Roman" w:hAnsiTheme="majorBidi" w:cstheme="majorBidi"/>
          <w:lang w:val="en-GB"/>
        </w:rPr>
      </w:pPr>
    </w:p>
    <w:p w14:paraId="1BED5C53" w14:textId="7F3E94F4"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Located northwest of the Analıkız</w:t>
      </w:r>
      <w:r w:rsidR="00647545">
        <w:rPr>
          <w:rFonts w:asciiTheme="majorBidi" w:eastAsia="Times New Roman" w:hAnsiTheme="majorBidi" w:cstheme="majorBidi"/>
          <w:lang w:val="en-GB"/>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area lies something known as the "sacrifice's blood drainage" in previous literature (Lehmann-Haupt, 1926: 29-30; Tarhan, 2020: 240-242), a structure once again carved into the bedrock and measuring some 30 meters in length. The structure's width is between 20 and 55 cm, and the depth is between 50 and 70 cm. The channel rests outside the walls that may have surrounded the north of the site. If this is the case, the channel might also be understood to have been a drainage channel used for the discharge of wastewater in the citadel, originating above and tangent to the Analıkız structure, or as a drainage channel for the Analıkız area itself.</w:t>
      </w:r>
      <w:r w:rsidRPr="00F03A26">
        <w:rPr>
          <w:rFonts w:asciiTheme="majorBidi" w:eastAsia="Times New Roman" w:hAnsiTheme="majorBidi" w:cstheme="majorBidi"/>
          <w:lang w:val="en-GB"/>
        </w:rPr>
        <w:br w:type="page"/>
      </w:r>
    </w:p>
    <w:p w14:paraId="7BFB98B1" w14:textId="77777777" w:rsidR="006B5F19" w:rsidRPr="00F03A26" w:rsidRDefault="006B5F19" w:rsidP="00F03A26">
      <w:pPr>
        <w:keepNext/>
        <w:keepLines/>
        <w:spacing w:before="40"/>
        <w:jc w:val="both"/>
        <w:outlineLvl w:val="1"/>
        <w:rPr>
          <w:rFonts w:asciiTheme="majorBidi" w:eastAsia="Times New Roman" w:hAnsiTheme="majorBidi" w:cstheme="majorBidi"/>
          <w:b/>
          <w:bCs/>
          <w:sz w:val="28"/>
          <w:szCs w:val="28"/>
          <w:lang w:val="en-GB"/>
        </w:rPr>
      </w:pPr>
      <w:bookmarkStart w:id="40" w:name="_Toc173231198"/>
      <w:r w:rsidRPr="00F03A26">
        <w:rPr>
          <w:rFonts w:asciiTheme="majorBidi" w:eastAsia="Times New Roman" w:hAnsiTheme="majorBidi" w:cstheme="majorBidi"/>
          <w:b/>
          <w:bCs/>
          <w:sz w:val="28"/>
          <w:szCs w:val="28"/>
          <w:lang w:val="en-GB"/>
        </w:rPr>
        <w:lastRenderedPageBreak/>
        <w:t>3.3. Conclusion</w:t>
      </w:r>
      <w:bookmarkEnd w:id="40"/>
    </w:p>
    <w:p w14:paraId="7E1DB582" w14:textId="77777777" w:rsidR="006B5F19" w:rsidRPr="00F03A26" w:rsidRDefault="006B5F19" w:rsidP="00F03A26">
      <w:pPr>
        <w:shd w:val="clear" w:color="auto" w:fill="FFFFFF"/>
        <w:jc w:val="both"/>
        <w:rPr>
          <w:rFonts w:asciiTheme="majorBidi" w:eastAsia="Times New Roman" w:hAnsiTheme="majorBidi" w:cstheme="majorBidi"/>
          <w:color w:val="222222"/>
          <w:lang w:val="en-GB"/>
        </w:rPr>
      </w:pPr>
      <w:r w:rsidRPr="00F03A26">
        <w:rPr>
          <w:rFonts w:asciiTheme="majorBidi" w:eastAsia="Times New Roman" w:hAnsiTheme="majorBidi" w:cstheme="majorBidi"/>
          <w:noProof/>
          <w:color w:val="222222"/>
        </w:rPr>
        <w:drawing>
          <wp:inline distT="0" distB="0" distL="0" distR="0" wp14:anchorId="1C957530" wp14:editId="2CBD67A3">
            <wp:extent cx="5756910" cy="2639060"/>
            <wp:effectExtent l="0" t="0" r="0" b="2540"/>
            <wp:docPr id="508063835" name="Resim 1" descr="harita, Hava fotoğrafçılığı, kuş bakışı görünüm,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63835" name="Resim 1" descr="harita, Hava fotoğrafçılığı, kuş bakışı görünüm, ekran görüntüsü içeren bir resim&#10;&#10;Açıklama otomatik olarak oluşturuldu"/>
                    <pic:cNvPicPr/>
                  </pic:nvPicPr>
                  <pic:blipFill>
                    <a:blip r:embed="rId66" cstate="email">
                      <a:extLst>
                        <a:ext uri="{28A0092B-C50C-407E-A947-70E740481C1C}">
                          <a14:useLocalDpi xmlns:a14="http://schemas.microsoft.com/office/drawing/2010/main"/>
                        </a:ext>
                      </a:extLst>
                    </a:blip>
                    <a:stretch>
                      <a:fillRect/>
                    </a:stretch>
                  </pic:blipFill>
                  <pic:spPr>
                    <a:xfrm>
                      <a:off x="0" y="0"/>
                      <a:ext cx="5756910" cy="2639060"/>
                    </a:xfrm>
                    <a:prstGeom prst="rect">
                      <a:avLst/>
                    </a:prstGeom>
                  </pic:spPr>
                </pic:pic>
              </a:graphicData>
            </a:graphic>
          </wp:inline>
        </w:drawing>
      </w:r>
    </w:p>
    <w:p w14:paraId="54C93C21" w14:textId="67162FDB" w:rsidR="006B5F19" w:rsidRPr="00F03A26" w:rsidRDefault="006B5F19" w:rsidP="00F03A26">
      <w:pPr>
        <w:shd w:val="clear" w:color="auto" w:fill="FFFFFF"/>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Fig. 18 Location of the Urartian</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"Urartian"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structures in </w:t>
      </w:r>
      <w:r w:rsidRPr="00F03A26">
        <w:rPr>
          <w:rFonts w:asciiTheme="majorBidi" w:eastAsia="Times New Roman" w:hAnsiTheme="majorBidi" w:cstheme="majorBidi"/>
          <w:lang w:val="en-GB"/>
        </w:rPr>
        <w:t>Ṭušpa</w:t>
      </w:r>
      <w:r w:rsidRPr="00F03A26">
        <w:rPr>
          <w:rFonts w:asciiTheme="majorBidi" w:eastAsia="Times New Roman" w:hAnsiTheme="majorBidi" w:cstheme="majorBidi"/>
          <w:iCs/>
          <w:lang w:val="en-GB"/>
        </w:rPr>
        <w:t>.</w:t>
      </w:r>
    </w:p>
    <w:p w14:paraId="47149A3A" w14:textId="77777777" w:rsidR="006B5F19" w:rsidRPr="00F03A26" w:rsidRDefault="006B5F19" w:rsidP="00F03A26">
      <w:pPr>
        <w:shd w:val="clear" w:color="auto" w:fill="FFFFFF"/>
        <w:jc w:val="both"/>
        <w:rPr>
          <w:rFonts w:asciiTheme="majorBidi" w:eastAsia="Times New Roman" w:hAnsiTheme="majorBidi" w:cstheme="majorBidi"/>
          <w:color w:val="222222"/>
          <w:lang w:val="en-GB"/>
        </w:rPr>
      </w:pPr>
    </w:p>
    <w:p w14:paraId="7C6D6D8C" w14:textId="5EB47121" w:rsidR="006B5F19" w:rsidRPr="00F03A26" w:rsidRDefault="006B5F19" w:rsidP="00F03A26">
      <w:pPr>
        <w:shd w:val="clear" w:color="auto" w:fill="FFFFFF"/>
        <w:jc w:val="both"/>
        <w:rPr>
          <w:rFonts w:asciiTheme="majorBidi" w:eastAsia="Times New Roman" w:hAnsiTheme="majorBidi" w:cstheme="majorBidi"/>
          <w:iCs/>
          <w:color w:val="222222"/>
          <w:lang w:val="en-GB"/>
        </w:rPr>
      </w:pPr>
      <w:r w:rsidRPr="00F03A26">
        <w:rPr>
          <w:rFonts w:asciiTheme="majorBidi" w:eastAsia="Times New Roman" w:hAnsiTheme="majorBidi" w:cstheme="majorBidi"/>
          <w:iCs/>
          <w:color w:val="222222"/>
          <w:lang w:val="en-GB"/>
        </w:rPr>
        <w:t>Ṭušpa/Van Rock</w:t>
      </w:r>
      <w:r w:rsidR="001F2587">
        <w:rPr>
          <w:rFonts w:asciiTheme="majorBidi" w:eastAsia="Times New Roman" w:hAnsiTheme="majorBidi" w:cstheme="majorBidi"/>
          <w:iCs/>
          <w:color w:val="222222"/>
          <w:lang w:val="en-GB"/>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heme="majorBidi" w:eastAsia="Times New Roman" w:hAnsiTheme="majorBidi" w:cstheme="majorBidi"/>
          <w:iCs/>
          <w:color w:val="222222"/>
          <w:lang w:val="en-GB"/>
        </w:rPr>
        <w:fldChar w:fldCharType="end"/>
      </w:r>
      <w:r w:rsidRPr="00F03A26">
        <w:rPr>
          <w:rFonts w:asciiTheme="majorBidi" w:eastAsia="Times New Roman" w:hAnsiTheme="majorBidi" w:cstheme="majorBidi"/>
          <w:iCs/>
          <w:color w:val="222222"/>
          <w:lang w:val="en-GB"/>
        </w:rPr>
        <w:t xml:space="preserve"> reflects the Urartian</w:t>
      </w:r>
      <w:r w:rsidR="00EA6C63">
        <w:rPr>
          <w:rFonts w:asciiTheme="majorBidi" w:eastAsia="Times New Roman" w:hAnsiTheme="majorBidi" w:cstheme="majorBidi"/>
          <w:iCs/>
          <w:color w:val="222222"/>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iCs/>
          <w:color w:val="222222"/>
          <w:lang w:val="en-GB"/>
        </w:rPr>
        <w:fldChar w:fldCharType="end"/>
      </w:r>
      <w:r w:rsidRPr="00F03A26">
        <w:rPr>
          <w:rFonts w:asciiTheme="majorBidi" w:eastAsia="Times New Roman" w:hAnsiTheme="majorBidi" w:cstheme="majorBidi"/>
          <w:iCs/>
          <w:color w:val="222222"/>
          <w:lang w:val="en-GB"/>
        </w:rPr>
        <w:t> character of its monumental structures. King's tomb monuments, Analıkız</w:t>
      </w:r>
      <w:r w:rsidR="00647545">
        <w:rPr>
          <w:rFonts w:asciiTheme="majorBidi" w:eastAsia="Times New Roman" w:hAnsiTheme="majorBidi" w:cstheme="majorBidi"/>
          <w:iCs/>
          <w:color w:val="222222"/>
          <w:lang w:val="en-GB"/>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Times New Roman" w:hAnsiTheme="majorBidi" w:cstheme="majorBidi"/>
          <w:iCs/>
          <w:color w:val="222222"/>
          <w:lang w:val="en-GB"/>
        </w:rPr>
        <w:fldChar w:fldCharType="end"/>
      </w:r>
      <w:r w:rsidRPr="00F03A26">
        <w:rPr>
          <w:rFonts w:asciiTheme="majorBidi" w:eastAsia="Times New Roman" w:hAnsiTheme="majorBidi" w:cstheme="majorBidi"/>
          <w:iCs/>
          <w:color w:val="222222"/>
          <w:lang w:val="en-GB"/>
        </w:rPr>
        <w:t>, building inscriptions, and annuals emphasize this capital city's historical importance and character. The fact that the royal tombs are only found in Ṭušpa betrays the spirituality and sanctity of the Urartian kings within Urartian religious life. Additionally, a significant portion of known inscriptions are found in Ṭušpa. Even if other royal centers emerged later, it seems undeniable that the status of Ṭušpa as the foremost center and capital persisted until the eventual collapse of the kingdom. Finds in the administrative residence, alongside written works unearthed in the Van Fortress Mound</w:t>
      </w:r>
      <w:r w:rsidR="00C1513A">
        <w:rPr>
          <w:rFonts w:asciiTheme="majorBidi" w:eastAsia="Times New Roman" w:hAnsiTheme="majorBidi" w:cstheme="majorBidi"/>
          <w:iCs/>
          <w:color w:val="222222"/>
          <w:lang w:val="en-GB"/>
        </w:rPr>
        <w:fldChar w:fldCharType="begin"/>
      </w:r>
      <w:r w:rsidR="00C1513A">
        <w:instrText xml:space="preserve"> XE "</w:instrText>
      </w:r>
      <w:r w:rsidR="00C1513A" w:rsidRPr="008D40AB">
        <w:rPr>
          <w:rFonts w:asciiTheme="majorBidi" w:eastAsia="Times New Roman" w:hAnsiTheme="majorBidi" w:cstheme="majorBidi"/>
          <w:lang w:val="en-GB"/>
        </w:rPr>
        <w:instrText>Van Fortress Mound</w:instrText>
      </w:r>
      <w:r w:rsidR="00C1513A">
        <w:instrText xml:space="preserve">" </w:instrText>
      </w:r>
      <w:r w:rsidR="00C1513A">
        <w:rPr>
          <w:rFonts w:asciiTheme="majorBidi" w:eastAsia="Times New Roman" w:hAnsiTheme="majorBidi" w:cstheme="majorBidi"/>
          <w:iCs/>
          <w:color w:val="222222"/>
          <w:lang w:val="en-GB"/>
        </w:rPr>
        <w:fldChar w:fldCharType="end"/>
      </w:r>
      <w:r w:rsidRPr="00F03A26">
        <w:rPr>
          <w:rFonts w:asciiTheme="majorBidi" w:eastAsia="Times New Roman" w:hAnsiTheme="majorBidi" w:cstheme="majorBidi"/>
          <w:iCs/>
          <w:color w:val="222222"/>
          <w:lang w:val="en-GB"/>
        </w:rPr>
        <w:t>, testify to Ṭušpa's uninterrupted habitation throughout the entire kingdom's chronology.</w:t>
      </w:r>
    </w:p>
    <w:p w14:paraId="0D1082D5" w14:textId="77777777" w:rsidR="006B5F19" w:rsidRPr="00F03A26" w:rsidRDefault="006B5F19" w:rsidP="00F03A26">
      <w:pPr>
        <w:shd w:val="clear" w:color="auto" w:fill="FFFFFF"/>
        <w:jc w:val="both"/>
        <w:rPr>
          <w:rFonts w:asciiTheme="majorBidi" w:eastAsia="Times New Roman" w:hAnsiTheme="majorBidi" w:cstheme="majorBidi"/>
          <w:iCs/>
          <w:color w:val="222222"/>
          <w:lang w:val="en-GB"/>
        </w:rPr>
      </w:pPr>
    </w:p>
    <w:p w14:paraId="4D77D94E" w14:textId="30C3E85E" w:rsidR="006B5F19" w:rsidRPr="00F03A26" w:rsidRDefault="006B5F19" w:rsidP="00F03A26">
      <w:pPr>
        <w:shd w:val="clear" w:color="auto" w:fill="FFFFFF"/>
        <w:jc w:val="both"/>
        <w:rPr>
          <w:rFonts w:asciiTheme="majorBidi" w:eastAsia="Times New Roman" w:hAnsiTheme="majorBidi" w:cstheme="majorBidi"/>
          <w:color w:val="222222"/>
          <w:lang w:val="en-GB"/>
        </w:rPr>
      </w:pPr>
      <w:r w:rsidRPr="00F03A26">
        <w:rPr>
          <w:rFonts w:asciiTheme="majorBidi" w:eastAsia="Times New Roman" w:hAnsiTheme="majorBidi" w:cstheme="majorBidi"/>
          <w:iCs/>
          <w:color w:val="222222"/>
          <w:lang w:val="en-GB"/>
        </w:rPr>
        <w:t>The foundation beds dug into the bedrock are a significant element that shapes our understanding of the citadel of Ṭušpa. The regions where these foundation deposits are found, their frequency, dimensions and directions, the dimensions of structures present, the distribution area, and the general character of the settlement constitute the primary data used as historical evidence. As far as the construction of the Urartian</w:t>
      </w:r>
      <w:r w:rsidR="00EA6C63">
        <w:rPr>
          <w:rFonts w:asciiTheme="majorBidi" w:eastAsia="Times New Roman" w:hAnsiTheme="majorBidi" w:cstheme="majorBidi"/>
          <w:iCs/>
          <w:color w:val="222222"/>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iCs/>
          <w:color w:val="222222"/>
          <w:lang w:val="en-GB"/>
        </w:rPr>
        <w:fldChar w:fldCharType="end"/>
      </w:r>
      <w:r w:rsidRPr="00F03A26">
        <w:rPr>
          <w:rFonts w:asciiTheme="majorBidi" w:eastAsia="Times New Roman" w:hAnsiTheme="majorBidi" w:cstheme="majorBidi"/>
          <w:iCs/>
          <w:color w:val="222222"/>
          <w:lang w:val="en-GB"/>
        </w:rPr>
        <w:t> settlements is concerned, it is almost certain that the steep rocky areas were burrowed into to form foundations over which walls could be placed. These walls would then be used to create flat terraces for buildings. In addition to the primary work undertaken, they are cutting the bedrock in such areas, allowing for the gathering of raw materials for subsequent construction.</w:t>
      </w:r>
    </w:p>
    <w:p w14:paraId="09D85A75" w14:textId="77777777" w:rsidR="006B5F19" w:rsidRPr="00F03A26" w:rsidRDefault="006B5F19" w:rsidP="00F03A26">
      <w:pPr>
        <w:jc w:val="both"/>
        <w:rPr>
          <w:rFonts w:asciiTheme="majorBidi" w:eastAsia="Times New Roman" w:hAnsiTheme="majorBidi" w:cstheme="majorBidi"/>
          <w:color w:val="222222"/>
          <w:lang w:val="en-GB"/>
        </w:rPr>
      </w:pPr>
      <w:r w:rsidRPr="00F03A26">
        <w:rPr>
          <w:rFonts w:asciiTheme="majorBidi" w:eastAsia="Times New Roman" w:hAnsiTheme="majorBidi" w:cstheme="majorBidi"/>
          <w:color w:val="222222"/>
          <w:lang w:val="en-GB"/>
        </w:rPr>
        <w:br w:type="page"/>
      </w:r>
    </w:p>
    <w:p w14:paraId="4C12FB2B" w14:textId="77777777" w:rsidR="006B5F19" w:rsidRPr="00F03A26" w:rsidRDefault="006B5F19" w:rsidP="00F03A26">
      <w:pPr>
        <w:shd w:val="clear" w:color="auto" w:fill="FFFFFF"/>
        <w:jc w:val="both"/>
        <w:rPr>
          <w:rFonts w:asciiTheme="majorBidi" w:eastAsia="Times New Roman" w:hAnsiTheme="majorBidi" w:cstheme="majorBidi"/>
          <w:color w:val="222222"/>
          <w:lang w:val="en-GB"/>
        </w:rPr>
      </w:pPr>
    </w:p>
    <w:p w14:paraId="0F3A7119" w14:textId="77777777" w:rsidR="006B5F19" w:rsidRPr="00F03A26" w:rsidRDefault="006B5F19" w:rsidP="00F03A26">
      <w:pPr>
        <w:shd w:val="clear" w:color="auto" w:fill="FFFFFF"/>
        <w:jc w:val="both"/>
        <w:rPr>
          <w:rFonts w:asciiTheme="majorBidi" w:eastAsia="Times New Roman" w:hAnsiTheme="majorBidi" w:cstheme="majorBidi"/>
          <w:color w:val="222222"/>
          <w:lang w:val="en-GB"/>
        </w:rPr>
      </w:pPr>
      <w:r w:rsidRPr="00F03A26">
        <w:rPr>
          <w:rFonts w:asciiTheme="majorBidi" w:eastAsia="Times New Roman" w:hAnsiTheme="majorBidi" w:cstheme="majorBidi"/>
          <w:noProof/>
          <w:color w:val="222222"/>
        </w:rPr>
        <w:drawing>
          <wp:inline distT="114300" distB="114300" distL="114300" distR="114300" wp14:anchorId="793DB0B4" wp14:editId="4EB0D716">
            <wp:extent cx="4381500" cy="1771650"/>
            <wp:effectExtent l="0" t="0" r="0" b="0"/>
            <wp:docPr id="24" name="image12.png" descr="dış mekan, yer, kay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4" name="image12.png" descr="dış mekan, yer, kaya içeren bir resim&#10;&#10;Açıklama otomatik olarak oluşturuldu"/>
                    <pic:cNvPicPr preferRelativeResize="0"/>
                  </pic:nvPicPr>
                  <pic:blipFill>
                    <a:blip r:embed="rId67"/>
                    <a:srcRect/>
                    <a:stretch>
                      <a:fillRect/>
                    </a:stretch>
                  </pic:blipFill>
                  <pic:spPr>
                    <a:xfrm>
                      <a:off x="0" y="0"/>
                      <a:ext cx="4381500" cy="1771650"/>
                    </a:xfrm>
                    <a:prstGeom prst="rect">
                      <a:avLst/>
                    </a:prstGeom>
                    <a:ln/>
                  </pic:spPr>
                </pic:pic>
              </a:graphicData>
            </a:graphic>
          </wp:inline>
        </w:drawing>
      </w:r>
      <w:r w:rsidRPr="00F03A26">
        <w:rPr>
          <w:rFonts w:asciiTheme="majorBidi" w:eastAsia="Times New Roman" w:hAnsiTheme="majorBidi" w:cstheme="majorBidi"/>
          <w:color w:val="222222"/>
          <w:lang w:val="en-GB"/>
        </w:rPr>
        <w:t>a.</w:t>
      </w:r>
    </w:p>
    <w:p w14:paraId="501182B4" w14:textId="77777777" w:rsidR="006B5F19" w:rsidRPr="00F03A26" w:rsidRDefault="006B5F19" w:rsidP="00F03A26">
      <w:pPr>
        <w:shd w:val="clear" w:color="auto" w:fill="FFFFFF"/>
        <w:jc w:val="both"/>
        <w:rPr>
          <w:rFonts w:asciiTheme="majorBidi" w:eastAsia="Times New Roman" w:hAnsiTheme="majorBidi" w:cstheme="majorBidi"/>
          <w:color w:val="222222"/>
          <w:lang w:val="en-GB"/>
        </w:rPr>
      </w:pPr>
      <w:r w:rsidRPr="00F03A26">
        <w:rPr>
          <w:rFonts w:asciiTheme="majorBidi" w:eastAsia="Times New Roman" w:hAnsiTheme="majorBidi" w:cstheme="majorBidi"/>
          <w:noProof/>
          <w:color w:val="222222"/>
        </w:rPr>
        <w:drawing>
          <wp:inline distT="114300" distB="114300" distL="114300" distR="114300" wp14:anchorId="71383DD5" wp14:editId="15A9023A">
            <wp:extent cx="4371975" cy="1676400"/>
            <wp:effectExtent l="0" t="0" r="0" b="0"/>
            <wp:docPr id="12" name="image4.png" descr="harita, yer, dış mekan,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2" name="image4.png" descr="harita, yer, dış mekan, dağ içeren bir resim&#10;&#10;Açıklama otomatik olarak oluşturuldu"/>
                    <pic:cNvPicPr preferRelativeResize="0"/>
                  </pic:nvPicPr>
                  <pic:blipFill>
                    <a:blip r:embed="rId68"/>
                    <a:srcRect/>
                    <a:stretch>
                      <a:fillRect/>
                    </a:stretch>
                  </pic:blipFill>
                  <pic:spPr>
                    <a:xfrm>
                      <a:off x="0" y="0"/>
                      <a:ext cx="4371975" cy="1676400"/>
                    </a:xfrm>
                    <a:prstGeom prst="rect">
                      <a:avLst/>
                    </a:prstGeom>
                    <a:ln/>
                  </pic:spPr>
                </pic:pic>
              </a:graphicData>
            </a:graphic>
          </wp:inline>
        </w:drawing>
      </w:r>
      <w:r w:rsidRPr="00F03A26">
        <w:rPr>
          <w:rFonts w:asciiTheme="majorBidi" w:eastAsia="Times New Roman" w:hAnsiTheme="majorBidi" w:cstheme="majorBidi"/>
          <w:color w:val="222222"/>
          <w:lang w:val="en-GB"/>
        </w:rPr>
        <w:t>b.</w:t>
      </w:r>
    </w:p>
    <w:p w14:paraId="4AD01D30" w14:textId="77777777" w:rsidR="006B5F19" w:rsidRPr="00F03A26" w:rsidRDefault="006B5F19" w:rsidP="00F03A26">
      <w:pPr>
        <w:shd w:val="clear" w:color="auto" w:fill="FFFFFF"/>
        <w:jc w:val="both"/>
        <w:rPr>
          <w:rFonts w:asciiTheme="majorBidi" w:eastAsia="Times New Roman" w:hAnsiTheme="majorBidi" w:cstheme="majorBidi"/>
          <w:color w:val="222222"/>
          <w:lang w:val="en-GB"/>
        </w:rPr>
      </w:pPr>
      <w:r w:rsidRPr="00F03A26">
        <w:rPr>
          <w:rFonts w:asciiTheme="majorBidi" w:eastAsia="Times New Roman" w:hAnsiTheme="majorBidi" w:cstheme="majorBidi"/>
          <w:noProof/>
          <w:color w:val="222222"/>
        </w:rPr>
        <w:drawing>
          <wp:inline distT="114300" distB="114300" distL="114300" distR="114300" wp14:anchorId="0FC7297D" wp14:editId="668F5FA6">
            <wp:extent cx="4371975" cy="2133600"/>
            <wp:effectExtent l="0" t="0" r="0" b="0"/>
            <wp:docPr id="33" name="image25.png" descr="jeoloji, mağara, dış mekan, kay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3" name="image25.png" descr="jeoloji, mağara, dış mekan, kaya içeren bir resim&#10;&#10;Açıklama otomatik olarak oluşturuldu"/>
                    <pic:cNvPicPr preferRelativeResize="0"/>
                  </pic:nvPicPr>
                  <pic:blipFill>
                    <a:blip r:embed="rId69"/>
                    <a:srcRect/>
                    <a:stretch>
                      <a:fillRect/>
                    </a:stretch>
                  </pic:blipFill>
                  <pic:spPr>
                    <a:xfrm>
                      <a:off x="0" y="0"/>
                      <a:ext cx="4371975" cy="2133600"/>
                    </a:xfrm>
                    <a:prstGeom prst="rect">
                      <a:avLst/>
                    </a:prstGeom>
                    <a:ln/>
                  </pic:spPr>
                </pic:pic>
              </a:graphicData>
            </a:graphic>
          </wp:inline>
        </w:drawing>
      </w:r>
      <w:r w:rsidRPr="00F03A26">
        <w:rPr>
          <w:rFonts w:asciiTheme="majorBidi" w:eastAsia="Times New Roman" w:hAnsiTheme="majorBidi" w:cstheme="majorBidi"/>
          <w:color w:val="222222"/>
          <w:lang w:val="en-GB"/>
        </w:rPr>
        <w:t>c.</w:t>
      </w:r>
    </w:p>
    <w:p w14:paraId="2CFCA68F" w14:textId="77777777" w:rsidR="006B5F19" w:rsidRPr="00F03A26" w:rsidRDefault="006B5F19" w:rsidP="00F03A26">
      <w:pPr>
        <w:jc w:val="both"/>
        <w:rPr>
          <w:rFonts w:asciiTheme="majorBidi" w:eastAsia="Times New Roman" w:hAnsiTheme="majorBidi" w:cstheme="majorBidi"/>
          <w:lang w:val="en-GB"/>
        </w:rPr>
      </w:pPr>
    </w:p>
    <w:p w14:paraId="738E99E8" w14:textId="1E61C160" w:rsidR="006B5F19" w:rsidRPr="00F03A26" w:rsidRDefault="006B5F19" w:rsidP="00F03A26">
      <w:pPr>
        <w:jc w:val="both"/>
        <w:rPr>
          <w:rFonts w:asciiTheme="majorBidi" w:eastAsia="Times New Roman" w:hAnsiTheme="majorBidi" w:cstheme="majorBidi"/>
          <w:iCs/>
          <w:lang w:val="en-GB"/>
        </w:rPr>
      </w:pPr>
      <w:r w:rsidRPr="00F03A26">
        <w:rPr>
          <w:rFonts w:asciiTheme="majorBidi" w:eastAsia="Times New Roman" w:hAnsiTheme="majorBidi" w:cstheme="majorBidi"/>
          <w:iCs/>
          <w:lang w:val="en-GB"/>
        </w:rPr>
        <w:t xml:space="preserve">Fig. 19 Foundation deposits/stone extraction areas that were observed in various areas of the </w:t>
      </w:r>
      <w:r w:rsidRPr="00F03A26">
        <w:rPr>
          <w:rFonts w:asciiTheme="majorBidi" w:eastAsia="Times New Roman" w:hAnsiTheme="majorBidi" w:cstheme="majorBidi"/>
          <w:lang w:val="en-GB"/>
        </w:rPr>
        <w:t>Ṭušpa</w:t>
      </w:r>
      <w:r w:rsidR="007A3891">
        <w:rPr>
          <w:rFonts w:asciiTheme="majorBidi" w:eastAsia="Times New Roman" w:hAnsiTheme="majorBidi" w:cstheme="majorBidi"/>
          <w:i/>
          <w:lang w:val="en-GB"/>
        </w:rPr>
        <w:t>/</w:t>
      </w:r>
      <w:r w:rsidRPr="00F03A26">
        <w:rPr>
          <w:rFonts w:asciiTheme="majorBidi" w:eastAsia="Times New Roman" w:hAnsiTheme="majorBidi" w:cstheme="majorBidi"/>
          <w:iCs/>
          <w:lang w:val="en-GB"/>
        </w:rPr>
        <w:t>Van Rock</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"Ṭušpa</w:instrText>
      </w:r>
      <w:r w:rsidR="007A3891">
        <w:rPr>
          <w:rFonts w:asciiTheme="majorBidi" w:eastAsia="Calibri" w:hAnsiTheme="majorBidi" w:cstheme="majorBidi"/>
          <w:lang w:val="en-GB"/>
        </w:rPr>
        <w:instrText>/Van</w:instrText>
      </w:r>
      <w:r w:rsidRPr="00F03A26">
        <w:rPr>
          <w:rFonts w:asciiTheme="majorBidi" w:eastAsia="Calibri" w:hAnsiTheme="majorBidi" w:cstheme="majorBidi"/>
          <w:lang w:val="en-GB"/>
        </w:rPr>
        <w:instrText xml:space="preserve"> Rock"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a. East of the Doğu Odaları</w:t>
      </w:r>
      <w:r w:rsidR="001F2587">
        <w:rPr>
          <w:rFonts w:asciiTheme="majorBidi" w:eastAsia="Times New Roman" w:hAnsiTheme="majorBidi" w:cstheme="majorBidi"/>
          <w:iCs/>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tomb, b. The northeast end of the rocky, c. East of the Analıkız</w:t>
      </w:r>
      <w:r w:rsidRPr="00F03A26">
        <w:rPr>
          <w:rFonts w:asciiTheme="majorBidi" w:eastAsia="Times New Roman" w:hAnsiTheme="majorBidi" w:cstheme="majorBidi"/>
          <w:iCs/>
          <w:lang w:val="en-GB"/>
        </w:rPr>
        <w:fldChar w:fldCharType="begin"/>
      </w:r>
      <w:r w:rsidRPr="00F03A26">
        <w:rPr>
          <w:rFonts w:asciiTheme="majorBidi" w:eastAsia="Calibri" w:hAnsiTheme="majorBidi" w:cstheme="majorBidi"/>
          <w:lang w:val="en-GB"/>
        </w:rPr>
        <w:instrText xml:space="preserve"> XE "Analıkız" </w:instrText>
      </w:r>
      <w:r w:rsidRPr="00F03A26">
        <w:rPr>
          <w:rFonts w:asciiTheme="majorBidi" w:eastAsia="Times New Roman" w:hAnsiTheme="majorBidi" w:cstheme="majorBidi"/>
          <w:iCs/>
          <w:lang w:val="en-GB"/>
        </w:rPr>
        <w:fldChar w:fldCharType="end"/>
      </w:r>
      <w:r w:rsidRPr="00F03A26">
        <w:rPr>
          <w:rFonts w:asciiTheme="majorBidi" w:eastAsia="Times New Roman" w:hAnsiTheme="majorBidi" w:cstheme="majorBidi"/>
          <w:iCs/>
          <w:lang w:val="en-GB"/>
        </w:rPr>
        <w:t xml:space="preserve"> area.</w:t>
      </w:r>
    </w:p>
    <w:p w14:paraId="40B350F1" w14:textId="77777777" w:rsidR="006B5F19" w:rsidRPr="00F03A26" w:rsidRDefault="006B5F19" w:rsidP="00F03A26">
      <w:pPr>
        <w:jc w:val="both"/>
        <w:rPr>
          <w:rFonts w:asciiTheme="majorBidi" w:eastAsia="Times New Roman" w:hAnsiTheme="majorBidi" w:cstheme="majorBidi"/>
          <w:lang w:val="en-GB"/>
        </w:rPr>
      </w:pPr>
    </w:p>
    <w:p w14:paraId="3A350A8A" w14:textId="77777777"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In some parts of the rock, semicircular structures resembling amphitheaters are formed by cutting the bedrock into steps. These areas' location and structural features suggest they were used as quarries to meet the local demand for stone. Once again, we find that creating a particular structure serves a dual purpose as a source of much-needed resources. Undoubtedly, the stones removed while carving the bedrock beds in other areas of the rock were used in construction.</w:t>
      </w:r>
    </w:p>
    <w:p w14:paraId="1FE21392" w14:textId="77777777" w:rsidR="006B5F19" w:rsidRPr="00F03A26" w:rsidRDefault="006B5F19" w:rsidP="00F03A26">
      <w:pPr>
        <w:jc w:val="both"/>
        <w:rPr>
          <w:rFonts w:asciiTheme="majorBidi" w:eastAsia="Times New Roman" w:hAnsiTheme="majorBidi" w:cstheme="majorBidi"/>
          <w:lang w:val="en-GB"/>
        </w:rPr>
      </w:pPr>
    </w:p>
    <w:p w14:paraId="3F158DCC" w14:textId="34265F20"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Continued use of Van Fortress after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period, especially in the Middle Ages and later, means that the stone walls and building remains that would have sat on these foundation beds largely do not survive today. To our dismay, the stones of Urartian walls were reused for the construction or repair of new buildings or fortifications in the Middle Ages </w:t>
      </w:r>
      <w:r w:rsidRPr="00F03A26">
        <w:rPr>
          <w:rFonts w:asciiTheme="majorBidi" w:eastAsia="Times New Roman" w:hAnsiTheme="majorBidi" w:cstheme="majorBidi"/>
          <w:lang w:val="en-GB"/>
        </w:rPr>
        <w:lastRenderedPageBreak/>
        <w:t>and Modern period. It is possible to trace the most striking example of this process on the northern walls of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w:t>
      </w:r>
      <w:r w:rsidR="00C1513A">
        <w:rPr>
          <w:rFonts w:asciiTheme="majorBidi" w:eastAsia="Times New Roman" w:hAnsiTheme="majorBidi" w:cstheme="majorBidi"/>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p>
    <w:p w14:paraId="489AC875" w14:textId="77777777" w:rsidR="006B5F19" w:rsidRPr="00F03A26" w:rsidRDefault="006B5F19" w:rsidP="00F03A26">
      <w:pPr>
        <w:jc w:val="both"/>
        <w:rPr>
          <w:rFonts w:asciiTheme="majorBidi" w:eastAsia="Times New Roman" w:hAnsiTheme="majorBidi" w:cstheme="majorBidi"/>
          <w:lang w:val="en-GB"/>
        </w:rPr>
      </w:pPr>
    </w:p>
    <w:p w14:paraId="38EDA912" w14:textId="4B5A1AEE"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Considering only inscriptions and datable structures, it is difficult to determine which specific areas of Van Fortress were used in which specific period. For example, the first datable structure of the kingdom is the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structure at the westernmost end at the plain level; in contrast, the inscription dating to the Išpuini</w:t>
      </w:r>
      <w:r w:rsidR="00C1513A">
        <w:rPr>
          <w:rFonts w:asciiTheme="majorBidi" w:eastAsia="Times New Roman" w:hAnsiTheme="majorBidi" w:cstheme="majorBidi"/>
          <w:lang w:val="en-GB"/>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Inušpua</w:t>
      </w:r>
      <w:r w:rsidR="004B0374">
        <w:rPr>
          <w:rFonts w:asciiTheme="majorBidi" w:eastAsia="Times New Roman" w:hAnsiTheme="majorBidi" w:cstheme="majorBidi"/>
          <w:lang w:val="en-GB"/>
        </w:rPr>
        <w:fldChar w:fldCharType="begin"/>
      </w:r>
      <w:r w:rsidR="004B0374">
        <w:instrText xml:space="preserve"> XE "</w:instrText>
      </w:r>
      <w:r w:rsidR="004B0374" w:rsidRPr="00AB28D0">
        <w:rPr>
          <w:rFonts w:ascii="Times New Roman" w:hAnsi="Times New Roman"/>
          <w:lang w:val="en-GB"/>
        </w:rPr>
        <w:instrText>Inušpua</w:instrText>
      </w:r>
      <w:r w:rsidR="004B0374">
        <w:instrText xml:space="preserve">" </w:instrText>
      </w:r>
      <w:r w:rsidR="004B0374">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periods is located at the easternmost end of this time. All we can confidently say is that the rock's topography seems to have directly affected the settlement's character and spread. More general settlement areas grew in low and flat areas, whereas monumental structures such as the royal tombs occupied more rugged and steep areas. The eastern section of area number IV (Fig. 4IV) in the north extends in lower and more expansive terraces, area number II (Fig. 4II, 5)  in the west descends to the plain level, and the highest area number Ia-c (Fig. 4Ia-c, 5) stand out as places in which settlement was intense.</w:t>
      </w:r>
    </w:p>
    <w:p w14:paraId="00B667E7" w14:textId="77777777" w:rsidR="006B5F19" w:rsidRPr="00F03A26" w:rsidRDefault="006B5F19" w:rsidP="00F03A26">
      <w:pPr>
        <w:jc w:val="both"/>
        <w:rPr>
          <w:rFonts w:asciiTheme="majorBidi" w:eastAsia="Times New Roman" w:hAnsiTheme="majorBidi" w:cstheme="majorBidi"/>
          <w:lang w:val="en-GB"/>
        </w:rPr>
      </w:pPr>
    </w:p>
    <w:p w14:paraId="107BE8D7" w14:textId="25492312"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If we take a chronological evaluation within the scope of location, masonry techniques, and the content of the inscriptions, we can conclude that the westernmost Sardurburç</w:t>
      </w:r>
      <w:r w:rsidR="00647545">
        <w:rPr>
          <w:rFonts w:asciiTheme="majorBidi" w:eastAsia="Times New Roman" w:hAnsiTheme="majorBidi" w:cstheme="majorBidi"/>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its surroundings (Fig. 4I, 5), the east of the East Ditch</w:t>
      </w:r>
      <w:r w:rsidR="00647545">
        <w:rPr>
          <w:rFonts w:asciiTheme="majorBidi" w:eastAsia="Times New Roman" w:hAnsiTheme="majorBidi" w:cstheme="majorBidi"/>
          <w:lang w:val="en-GB"/>
        </w:rPr>
        <w:fldChar w:fldCharType="begin"/>
      </w:r>
      <w:r w:rsidR="00647545">
        <w:instrText xml:space="preserve"> XE "</w:instrText>
      </w:r>
      <w:r w:rsidR="00647545" w:rsidRPr="00085214">
        <w:rPr>
          <w:rFonts w:asciiTheme="majorBidi" w:hAnsiTheme="majorBidi" w:cstheme="majorBidi"/>
        </w:rPr>
        <w:instrText>East Ditch</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(Fig. 4IV) and the vicinity of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w:t>
      </w:r>
      <w:r w:rsidR="00C1513A">
        <w:rPr>
          <w:rFonts w:asciiTheme="majorBidi" w:eastAsia="Times New Roman" w:hAnsiTheme="majorBidi" w:cstheme="majorBidi"/>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(Fig. 4III a-d, 5) began to be used during the Sarduri I</w:t>
      </w:r>
      <w:r w:rsidR="00C1513A">
        <w:rPr>
          <w:rFonts w:asciiTheme="majorBidi" w:eastAsia="Times New Roman" w:hAnsiTheme="majorBidi" w:cstheme="majorBidi"/>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w:t>
      </w:r>
      <w:r w:rsidR="00C1513A">
        <w:rPr>
          <w:rFonts w:asciiTheme="majorBidi" w:eastAsia="Times New Roman" w:hAnsiTheme="majorBidi" w:cstheme="majorBidi"/>
          <w:lang w:val="en-GB"/>
        </w:rPr>
        <w:t>p</w:t>
      </w:r>
      <w:r w:rsidRPr="00F03A26">
        <w:rPr>
          <w:rFonts w:asciiTheme="majorBidi" w:eastAsia="Times New Roman" w:hAnsiTheme="majorBidi" w:cstheme="majorBidi"/>
          <w:lang w:val="en-GB"/>
        </w:rPr>
        <w:t>eriod. However, in the İç Kale/Inner citadel and its surroundings (Fig. 4III a-d, 5), the construction of the Išpuini</w:t>
      </w:r>
      <w:r w:rsidR="00C1513A">
        <w:rPr>
          <w:rFonts w:asciiTheme="majorBidi" w:eastAsia="Times New Roman" w:hAnsiTheme="majorBidi" w:cstheme="majorBidi"/>
          <w:lang w:val="en-GB"/>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is more distinct. Again, in the eastern part of the area (Fig. 4V, 5), structures such as Minua's siršini</w:t>
      </w:r>
      <w:r w:rsidR="00C1513A">
        <w:rPr>
          <w:rFonts w:asciiTheme="majorBidi" w:eastAsia="Times New Roman" w:hAnsiTheme="majorBidi" w:cstheme="majorBidi"/>
          <w:lang w:val="en-GB"/>
        </w:rPr>
        <w:fldChar w:fldCharType="begin"/>
      </w:r>
      <w:r w:rsidR="00C1513A">
        <w:instrText xml:space="preserve"> XE "</w:instrText>
      </w:r>
      <w:r w:rsidR="00C1513A" w:rsidRPr="00A510EB">
        <w:rPr>
          <w:rFonts w:asciiTheme="majorBidi" w:eastAsia="Times New Roman" w:hAnsiTheme="majorBidi" w:cstheme="majorBidi"/>
          <w:lang w:val="en-GB"/>
        </w:rPr>
        <w:instrText>Minua's siršini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Minua's taramanili</w:t>
      </w:r>
      <w:r w:rsidR="00C1513A">
        <w:rPr>
          <w:rFonts w:asciiTheme="majorBidi" w:eastAsia="Times New Roman" w:hAnsiTheme="majorBidi" w:cstheme="majorBidi"/>
          <w:lang w:val="en-GB"/>
        </w:rPr>
        <w:fldChar w:fldCharType="begin"/>
      </w:r>
      <w:r w:rsidR="00C1513A">
        <w:instrText xml:space="preserve"> XE "</w:instrText>
      </w:r>
      <w:r w:rsidR="00C1513A" w:rsidRPr="001A58C3">
        <w:rPr>
          <w:rFonts w:asciiTheme="majorBidi" w:eastAsia="Times New Roman" w:hAnsiTheme="majorBidi" w:cstheme="majorBidi"/>
          <w:lang w:val="en-GB"/>
        </w:rPr>
        <w:instrText>Minua's taramanili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indicate the settlement understanding of the Minua period with their inscriptions.</w:t>
      </w:r>
    </w:p>
    <w:p w14:paraId="738764C8" w14:textId="77777777" w:rsidR="006B5F19" w:rsidRPr="00F03A26" w:rsidRDefault="006B5F19" w:rsidP="00F03A26">
      <w:pPr>
        <w:jc w:val="both"/>
        <w:rPr>
          <w:rFonts w:asciiTheme="majorBidi" w:eastAsia="Times New Roman" w:hAnsiTheme="majorBidi" w:cstheme="majorBidi"/>
          <w:lang w:val="en-GB"/>
        </w:rPr>
      </w:pPr>
    </w:p>
    <w:p w14:paraId="7CA036A6" w14:textId="039FBF9A"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Major construction projects in Urartu began with the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it was necessary to intervene in the topography to construct the citadels that spread over more expansive areas, shape the bedrock, and create step-shaped foundation beds carved into the bedrock, on which the stone walls would be placed. Building large multi-storied buildings on these rocks and steep areas necessitated the creation of artificial terraces and flat areas. At least the inscriptions show that direct interventions to shape the rock in Ṭušpa started with the Minua period. Therefore, we can suggest that 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its surroundings, dated to the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period, in other words, the areas to the west of the West Ditch</w:t>
      </w:r>
      <w:r w:rsidR="00C1513A">
        <w:rPr>
          <w:rFonts w:asciiTheme="majorBidi" w:eastAsia="Times New Roman" w:hAnsiTheme="majorBidi" w:cstheme="majorBidi"/>
          <w:lang w:val="en-GB"/>
        </w:rPr>
        <w:fldChar w:fldCharType="begin"/>
      </w:r>
      <w:r w:rsidR="00C1513A">
        <w:instrText xml:space="preserve"> XE "</w:instrText>
      </w:r>
      <w:r w:rsidR="00C1513A" w:rsidRPr="004D0475">
        <w:rPr>
          <w:rFonts w:asciiTheme="majorBidi" w:eastAsia="Times New Roman" w:hAnsiTheme="majorBidi" w:cstheme="majorBidi"/>
          <w:lang w:val="en-GB"/>
        </w:rPr>
        <w:instrText>West Ditch</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were opened for development during the Minua period, and the first construction process started in this period. With Argišti I, it seems that the building stock in the region was increased, and a rock tomb was built.</w:t>
      </w:r>
    </w:p>
    <w:p w14:paraId="2F1916B7" w14:textId="77777777" w:rsidR="006B5F19" w:rsidRPr="00F03A26" w:rsidRDefault="006B5F19" w:rsidP="00F03A26">
      <w:pPr>
        <w:jc w:val="both"/>
        <w:rPr>
          <w:rFonts w:asciiTheme="majorBidi" w:eastAsia="Times New Roman" w:hAnsiTheme="majorBidi" w:cstheme="majorBidi"/>
          <w:lang w:val="en-GB"/>
        </w:rPr>
      </w:pPr>
    </w:p>
    <w:p w14:paraId="295D8780" w14:textId="2B15CA0B"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When we look at the foundation beds, the New Palace</w:t>
      </w:r>
      <w:r w:rsidR="00C1513A">
        <w:rPr>
          <w:rFonts w:asciiTheme="majorBidi" w:eastAsia="Times New Roman" w:hAnsiTheme="majorBidi" w:cstheme="majorBidi"/>
          <w:lang w:val="en-GB"/>
        </w:rPr>
        <w:fldChar w:fldCharType="begin"/>
      </w:r>
      <w:r w:rsidR="00C1513A">
        <w:instrText xml:space="preserve"> XE "</w:instrText>
      </w:r>
      <w:r w:rsidR="00C1513A" w:rsidRPr="002C033A">
        <w:rPr>
          <w:rFonts w:asciiTheme="majorBidi" w:eastAsia="Times New Roman" w:hAnsiTheme="majorBidi" w:cstheme="majorBidi"/>
          <w:lang w:val="en-GB"/>
        </w:rPr>
        <w:instrText>New Palace</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area has a holistic character, with the processing density of the bedrock, direction, and workmanship. This area, where structures at various levels are built, rises from north to south and west to east. It is understood that there are multi-story buildings on this stepped pyramidal elevation. When we consider the building descriptions in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descriptive arts, it can be suggested that piers in this area support three-story building groups. The spaces carved from the bedrock form the ground floor of the buildings. Based on archaeological </w:t>
      </w:r>
      <w:r w:rsidR="00C1513A" w:rsidRPr="00F03A26">
        <w:rPr>
          <w:rFonts w:asciiTheme="majorBidi" w:eastAsia="Times New Roman" w:hAnsiTheme="majorBidi" w:cstheme="majorBidi"/>
          <w:lang w:val="en-GB"/>
        </w:rPr>
        <w:t>excavations</w:t>
      </w:r>
      <w:r w:rsidRPr="00F03A26">
        <w:rPr>
          <w:rFonts w:asciiTheme="majorBidi" w:eastAsia="Times New Roman" w:hAnsiTheme="majorBidi" w:cstheme="majorBidi"/>
          <w:lang w:val="en-GB"/>
        </w:rPr>
        <w:t xml:space="preserve"> </w:t>
      </w:r>
      <w:r w:rsidRPr="00EB2684">
        <w:rPr>
          <w:rFonts w:asciiTheme="majorBidi" w:eastAsia="Times New Roman" w:hAnsiTheme="majorBidi" w:cstheme="majorBidi"/>
          <w:i/>
          <w:iCs/>
          <w:lang w:val="en-GB"/>
        </w:rPr>
        <w:t>in situ</w:t>
      </w:r>
      <w:r w:rsidRPr="00F03A26">
        <w:rPr>
          <w:rFonts w:asciiTheme="majorBidi" w:eastAsia="Times New Roman" w:hAnsiTheme="majorBidi" w:cstheme="majorBidi"/>
          <w:lang w:val="en-GB"/>
        </w:rPr>
        <w:t xml:space="preserve"> findings, these sections were used as storage and workshops in the Urartian palaces. The New Palace area is along the entrance route to the Fortress when observed from a topographic point of view, and it is in relative proximity to the plain level. The Van Fortress Mound</w:t>
      </w:r>
      <w:r w:rsidR="00C1513A">
        <w:rPr>
          <w:rFonts w:asciiTheme="majorBidi" w:eastAsia="Times New Roman" w:hAnsiTheme="majorBidi" w:cstheme="majorBidi"/>
          <w:lang w:val="en-GB"/>
        </w:rPr>
        <w:fldChar w:fldCharType="begin"/>
      </w:r>
      <w:r w:rsidR="00C1513A">
        <w:instrText xml:space="preserve"> XE "</w:instrText>
      </w:r>
      <w:r w:rsidR="00C1513A" w:rsidRPr="008D40AB">
        <w:rPr>
          <w:rFonts w:asciiTheme="majorBidi" w:eastAsia="Times New Roman" w:hAnsiTheme="majorBidi" w:cstheme="majorBidi"/>
          <w:lang w:val="en-GB"/>
        </w:rPr>
        <w:instrText>Van Fortress Mound</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especially the finds and residences dating to the 8th century BCE, also occupies a western location in an area with easy access to the palace.</w:t>
      </w:r>
    </w:p>
    <w:p w14:paraId="6CF599A1" w14:textId="77777777" w:rsidR="006B5F19" w:rsidRPr="00F03A26" w:rsidRDefault="006B5F19" w:rsidP="00F03A26">
      <w:pPr>
        <w:jc w:val="both"/>
        <w:rPr>
          <w:rFonts w:asciiTheme="majorBidi" w:eastAsia="Times New Roman" w:hAnsiTheme="majorBidi" w:cstheme="majorBidi"/>
          <w:lang w:val="en-GB"/>
        </w:rPr>
      </w:pPr>
    </w:p>
    <w:p w14:paraId="04240375" w14:textId="61BD2037" w:rsidR="006B5F19"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In our opinion, the location of the royal tombs has much to do with topography and workforce. All tombs are found in the southern section in a rocky area where the mount can descend to the plain level at a 90-degree angle at specific points. This rock structure shows very suitable structural features for creating monumental facades formed by flattening the bedrock. On the other hand, one could argue that the northern part, which offers a more suitable topography for settlement, is used for this purpose, so the southern part, which is quite steep and does not offer suitable areas for settlement, is influential in selecting the tombs. The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İç Kale</w:t>
      </w:r>
      <w:r w:rsidR="00647545">
        <w:rPr>
          <w:rFonts w:asciiTheme="majorBidi" w:eastAsia="Times New Roman" w:hAnsiTheme="majorBidi" w:cstheme="majorBidi"/>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/Inner Citadel</w:t>
      </w:r>
      <w:r w:rsidR="00C1513A">
        <w:rPr>
          <w:rFonts w:asciiTheme="majorBidi" w:eastAsia="Times New Roman" w:hAnsiTheme="majorBidi" w:cstheme="majorBidi"/>
          <w:lang w:val="en-GB"/>
        </w:rPr>
        <w:fldChar w:fldCharType="begin"/>
      </w:r>
      <w:r w:rsidR="00C1513A">
        <w:instrText xml:space="preserve"> XE "</w:instrText>
      </w:r>
      <w:r w:rsidR="00C1513A" w:rsidRPr="00413B1E">
        <w:rPr>
          <w:rFonts w:asciiTheme="majorBidi" w:eastAsia="Times New Roman" w:hAnsiTheme="majorBidi" w:cstheme="majorBidi"/>
          <w:iCs/>
        </w:rPr>
        <w:instrText>Inner Citadel</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Neft Kuyu</w:t>
      </w:r>
      <w:r w:rsidR="001F2587">
        <w:rPr>
          <w:rFonts w:asciiTheme="majorBidi" w:eastAsia="Times New Roman" w:hAnsiTheme="majorBidi" w:cstheme="majorBidi"/>
          <w:lang w:val="en-GB"/>
        </w:rPr>
        <w:fldChar w:fldCharType="begin"/>
      </w:r>
      <w:r w:rsidR="001F2587">
        <w:instrText xml:space="preserve"> XE "</w:instrText>
      </w:r>
      <w:r w:rsidR="001F2587" w:rsidRPr="004E6FEC">
        <w:rPr>
          <w:rFonts w:asciiTheme="majorBidi" w:hAnsiTheme="majorBidi" w:cstheme="majorBidi"/>
        </w:rPr>
        <w:instrText>Neft Kuyu</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and Doğu Odaları</w:t>
      </w:r>
      <w:r w:rsidR="001F2587">
        <w:rPr>
          <w:rFonts w:asciiTheme="majorBidi" w:eastAsia="Times New Roman" w:hAnsiTheme="majorBidi" w:cstheme="majorBidi"/>
          <w:lang w:val="en-GB"/>
        </w:rPr>
        <w:fldChar w:fldCharType="begin"/>
      </w:r>
      <w:r w:rsidR="001F2587">
        <w:instrText xml:space="preserve"> XE "</w:instrText>
      </w:r>
      <w:r w:rsidR="001F2587" w:rsidRPr="002F6EA7">
        <w:rPr>
          <w:rFonts w:asciiTheme="majorBidi" w:hAnsiTheme="majorBidi" w:cstheme="majorBidi"/>
        </w:rPr>
        <w:instrText>Doğu Odaları</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were carved on the south side of the rock with a platform in front of them. Considering the location, some inscribed artifacts, their internal layout, and structural features, we can suggest that the BG90 tomb</w:t>
      </w:r>
      <w:r w:rsidR="00EA6C63">
        <w:rPr>
          <w:rFonts w:asciiTheme="majorBidi" w:eastAsia="Times New Roman" w:hAnsiTheme="majorBidi" w:cstheme="majorBidi"/>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belongs to Sarduri I</w:t>
      </w:r>
      <w:r w:rsidR="00C1513A">
        <w:rPr>
          <w:rFonts w:asciiTheme="majorBidi" w:eastAsia="Times New Roman" w:hAnsiTheme="majorBidi" w:cstheme="majorBidi"/>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İç Kale tomb</w:t>
      </w:r>
      <w:r w:rsidR="006B23DC">
        <w:rPr>
          <w:rFonts w:asciiTheme="majorBidi" w:eastAsia="Times New Roman" w:hAnsiTheme="majorBidi" w:cstheme="majorBidi"/>
          <w:lang w:val="en-GB"/>
        </w:rPr>
        <w:fldChar w:fldCharType="begin"/>
      </w:r>
      <w:r w:rsidR="006B23DC">
        <w:instrText xml:space="preserve"> XE "</w:instrText>
      </w:r>
      <w:r w:rsidR="006B23DC" w:rsidRPr="0072234F">
        <w:rPr>
          <w:rFonts w:ascii="Times New Roman" w:hAnsi="Times New Roman"/>
          <w:szCs w:val="22"/>
          <w:lang w:val="en-GB"/>
        </w:rPr>
        <w:instrText>İç Kale tomb</w:instrText>
      </w:r>
      <w:r w:rsidR="006B23DC">
        <w:instrText xml:space="preserve">" </w:instrText>
      </w:r>
      <w:r w:rsidR="006B23DC">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 Išpuini</w:t>
      </w:r>
      <w:r w:rsidR="00C1513A">
        <w:rPr>
          <w:rFonts w:asciiTheme="majorBidi" w:eastAsia="Times New Roman" w:hAnsiTheme="majorBidi" w:cstheme="majorBidi"/>
          <w:lang w:val="en-GB"/>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the Horhor</w:t>
      </w:r>
      <w:r w:rsidR="00647545">
        <w:rPr>
          <w:rFonts w:asciiTheme="majorBidi" w:eastAsia="Times New Roman" w:hAnsiTheme="majorBidi" w:cstheme="majorBidi"/>
          <w:lang w:val="en-GB"/>
        </w:rPr>
        <w:fldChar w:fldCharType="begin"/>
      </w:r>
      <w:r w:rsidR="00647545">
        <w:instrText xml:space="preserve"> XE "</w:instrText>
      </w:r>
      <w:r w:rsidR="00647545" w:rsidRPr="00164852">
        <w:rPr>
          <w:rFonts w:asciiTheme="majorBidi" w:hAnsiTheme="majorBidi" w:cstheme="majorBidi"/>
        </w:rPr>
        <w:instrText>Horhor</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tomb to Argišti I, and the Neft Kuyu tomb to (Rusa) Rusai Argištiḫi. It seems more appropriate to date the Doğu Odaları tomb to the Sarduri II</w:t>
      </w:r>
      <w:r w:rsidR="00C1513A">
        <w:rPr>
          <w:rFonts w:asciiTheme="majorBidi" w:eastAsia="Times New Roman" w:hAnsiTheme="majorBidi" w:cstheme="majorBidi"/>
          <w:lang w:val="en-GB"/>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period based on their location characteristics (see Chapter 9). However, as we have mentioned before, dating other than the Argišti I tomb is hypothetical. Moreover, in our opinion, the chronology of the Argišti I tomb, which reflects an extraordinary practice with the Annals on the tomb façade, is also open to discussion. However, it should be considered that these burial chambers may have been used for various purposes, especially in the Middle Ages.  </w:t>
      </w:r>
    </w:p>
    <w:p w14:paraId="02E80207" w14:textId="77777777" w:rsidR="00573866" w:rsidRPr="00F03A26" w:rsidRDefault="00573866" w:rsidP="00F03A26">
      <w:pPr>
        <w:jc w:val="both"/>
        <w:rPr>
          <w:rFonts w:asciiTheme="majorBidi" w:eastAsia="Times New Roman" w:hAnsiTheme="majorBidi" w:cstheme="majorBidi"/>
          <w:lang w:val="en-GB"/>
        </w:rPr>
      </w:pPr>
    </w:p>
    <w:p w14:paraId="74A55DB1" w14:textId="62C2BD26" w:rsidR="006B5F19" w:rsidRPr="00F03A26" w:rsidRDefault="006B5F19"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What needs to be discussed here is why the Urartian</w:t>
      </w:r>
      <w:r w:rsidR="00EA6C63">
        <w:rPr>
          <w:rFonts w:asciiTheme="majorBidi" w:eastAsia="Times New Roman"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kings did not have inscriptions written on the facades of their tombs, even though they used the inscriptions as an element of propaganda, especially about the reconstruction, settlement, and military expeditions. In fact, at this point, it is debatable why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had his annals written in the burial chamber. Because this practice is seen only in this tomb, it seems more valid to explain this with the nature of the structures. We can say that what is extraordinary here is the practice of Argišti I. The tombs were not found suitable for inscriptions by the Urartian kings due to their characteristics.</w:t>
      </w:r>
    </w:p>
    <w:p w14:paraId="756513E3" w14:textId="77777777" w:rsidR="006B5F19" w:rsidRPr="00F03A26" w:rsidRDefault="006B5F19" w:rsidP="00F03A26">
      <w:pPr>
        <w:jc w:val="both"/>
        <w:rPr>
          <w:rFonts w:asciiTheme="majorBidi" w:eastAsia="Times New Roman" w:hAnsiTheme="majorBidi" w:cstheme="majorBidi"/>
          <w:lang w:val="en-GB"/>
        </w:rPr>
      </w:pPr>
    </w:p>
    <w:p w14:paraId="0708465E" w14:textId="1C61D34B" w:rsidR="006B5F19" w:rsidRPr="00F03A26" w:rsidRDefault="006B5F19" w:rsidP="00F03A26">
      <w:pPr>
        <w:jc w:val="both"/>
        <w:rPr>
          <w:rFonts w:asciiTheme="majorBidi" w:hAnsiTheme="majorBidi" w:cstheme="majorBidi"/>
        </w:rPr>
      </w:pPr>
      <w:r w:rsidRPr="00F03A26">
        <w:rPr>
          <w:rFonts w:asciiTheme="majorBidi" w:eastAsia="Times New Roman" w:hAnsiTheme="majorBidi" w:cstheme="majorBidi"/>
          <w:lang w:val="en-GB"/>
        </w:rPr>
        <w:t>It shows that Ṭušpa was also a memory center for the kingdom in the historical process, especially the Annals in the Argišti I</w:t>
      </w:r>
      <w:r w:rsidR="001F2587">
        <w:rPr>
          <w:rFonts w:asciiTheme="majorBidi" w:eastAsia="Times New Roman" w:hAnsiTheme="majorBidi" w:cstheme="majorBidi"/>
          <w:lang w:val="en-GB"/>
        </w:rPr>
        <w:fldChar w:fldCharType="begin"/>
      </w:r>
      <w:r w:rsidR="001F2587">
        <w:instrText xml:space="preserve"> XE "</w:instrText>
      </w:r>
      <w:r w:rsidR="001F2587" w:rsidRPr="00EA0CDA">
        <w:rPr>
          <w:rFonts w:asciiTheme="majorBidi" w:hAnsiTheme="majorBidi" w:cstheme="majorBidi"/>
        </w:rPr>
        <w:instrText>Argišti I</w:instrText>
      </w:r>
      <w:r w:rsidR="001F2587">
        <w:instrText xml:space="preserve">" </w:instrText>
      </w:r>
      <w:r w:rsidR="001F2587">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 in the Fortress, the Annals of Sarduri II</w:t>
      </w:r>
      <w:r w:rsidR="00C1513A">
        <w:rPr>
          <w:rFonts w:asciiTheme="majorBidi" w:eastAsia="Times New Roman" w:hAnsiTheme="majorBidi" w:cstheme="majorBidi"/>
          <w:lang w:val="en-GB"/>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in the Analıkız</w:t>
      </w:r>
      <w:r w:rsidR="00647545">
        <w:rPr>
          <w:rFonts w:asciiTheme="majorBidi" w:eastAsia="Times New Roman" w:hAnsiTheme="majorBidi" w:cstheme="majorBidi"/>
          <w:lang w:val="en-GB"/>
        </w:rPr>
        <w:fldChar w:fldCharType="begin"/>
      </w:r>
      <w:r w:rsidR="00647545">
        <w:instrText xml:space="preserve"> XE "</w:instrText>
      </w:r>
      <w:r w:rsidR="00647545" w:rsidRPr="008024EB">
        <w:rPr>
          <w:rFonts w:asciiTheme="majorBidi" w:hAnsiTheme="majorBidi" w:cstheme="majorBidi"/>
        </w:rPr>
        <w:instrText>Analıkız</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 and the Minua</w:t>
      </w:r>
      <w:r w:rsidR="00C1513A">
        <w:rPr>
          <w:rFonts w:asciiTheme="majorBidi" w:eastAsia="Times New Roman" w:hAnsiTheme="majorBidi" w:cstheme="majorBidi"/>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Ann</w:t>
      </w:r>
      <w:r w:rsidR="00E6147F">
        <w:rPr>
          <w:rFonts w:asciiTheme="majorBidi" w:eastAsia="Times New Roman" w:hAnsiTheme="majorBidi" w:cstheme="majorBidi"/>
          <w:lang w:val="en-GB"/>
        </w:rPr>
        <w:t>als</w:t>
      </w:r>
      <w:r w:rsidRPr="00F03A26">
        <w:rPr>
          <w:rFonts w:asciiTheme="majorBidi" w:eastAsia="Times New Roman" w:hAnsiTheme="majorBidi" w:cstheme="majorBidi"/>
          <w:lang w:val="en-GB"/>
        </w:rPr>
        <w:t>, which were found in the Old Van City</w:t>
      </w:r>
      <w:r w:rsidR="00647545">
        <w:rPr>
          <w:rFonts w:asciiTheme="majorBidi" w:eastAsia="Times New Roman" w:hAnsiTheme="majorBidi" w:cstheme="majorBidi"/>
          <w:lang w:val="en-GB"/>
        </w:rPr>
        <w:fldChar w:fldCharType="begin"/>
      </w:r>
      <w:r w:rsidR="00647545">
        <w:instrText xml:space="preserve"> XE "</w:instrText>
      </w:r>
      <w:r w:rsidR="00647545" w:rsidRPr="00756E33">
        <w:rPr>
          <w:rFonts w:asciiTheme="majorBidi" w:hAnsiTheme="majorBidi" w:cstheme="majorBidi"/>
        </w:rPr>
        <w:instrText>Old Van City</w:instrText>
      </w:r>
      <w:r w:rsidR="00647545">
        <w:instrText xml:space="preserve">" </w:instrText>
      </w:r>
      <w:r w:rsidR="00647545">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and seem to have taken from the Fortress. It is understood that this understanding, which started with Sarduri I</w:t>
      </w:r>
      <w:r w:rsidR="005C68BB">
        <w:rPr>
          <w:rFonts w:asciiTheme="majorBidi" w:eastAsia="Times New Roman" w:hAnsiTheme="majorBidi" w:cstheme="majorBidi"/>
          <w:lang w:val="en-GB"/>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continued until the Sarduri II period. At least after these, there is no royal investment in Ṭušpa that we can identify with its inscriptions. We can say that a political and economic change, or a change in the royal policy, is at least reflected in the building. The building in the citadel continued with the expansion of the existing buildings, or the existing buildings were expanded. On the other hand, the data from the Van Fortress Mound</w:t>
      </w:r>
      <w:r w:rsidR="00C1513A">
        <w:rPr>
          <w:rFonts w:asciiTheme="majorBidi" w:eastAsia="Times New Roman" w:hAnsiTheme="majorBidi" w:cstheme="majorBidi"/>
          <w:lang w:val="en-GB"/>
        </w:rPr>
        <w:fldChar w:fldCharType="begin"/>
      </w:r>
      <w:r w:rsidR="00C1513A">
        <w:instrText xml:space="preserve"> XE "</w:instrText>
      </w:r>
      <w:r w:rsidR="00C1513A" w:rsidRPr="008D40AB">
        <w:rPr>
          <w:rFonts w:asciiTheme="majorBidi" w:eastAsia="Times New Roman" w:hAnsiTheme="majorBidi" w:cstheme="majorBidi"/>
          <w:lang w:val="en-GB"/>
        </w:rPr>
        <w:instrText>Van Fortress Mound</w:instrText>
      </w:r>
      <w:r w:rsidR="00C1513A">
        <w:instrText xml:space="preserve">" </w:instrText>
      </w:r>
      <w:r w:rsidR="00C1513A">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show that, at least in the lower city, the royal building continued to be used.</w:t>
      </w:r>
    </w:p>
    <w:p w14:paraId="18F6FC95" w14:textId="266F5C01" w:rsidR="00DF039C" w:rsidRPr="00F03A26" w:rsidRDefault="00DF039C" w:rsidP="00F03A26">
      <w:pPr>
        <w:jc w:val="both"/>
        <w:rPr>
          <w:rFonts w:asciiTheme="majorBidi" w:eastAsia="Times New Roman" w:hAnsiTheme="majorBidi" w:cstheme="majorBidi"/>
          <w:lang w:val="en-GB"/>
        </w:rPr>
        <w:sectPr w:rsidR="00DF039C" w:rsidRPr="00F03A26" w:rsidSect="007F3733">
          <w:pgSz w:w="11909" w:h="16834"/>
          <w:pgMar w:top="1440" w:right="1440" w:bottom="1440" w:left="1440" w:header="720" w:footer="720" w:gutter="0"/>
          <w:cols w:space="708"/>
        </w:sectPr>
      </w:pPr>
    </w:p>
    <w:p w14:paraId="1B38C150" w14:textId="58D2722C" w:rsidR="00FF0A5F" w:rsidRPr="00F03A26" w:rsidRDefault="00FF0A5F" w:rsidP="00F03A26">
      <w:pPr>
        <w:jc w:val="both"/>
        <w:rPr>
          <w:rFonts w:asciiTheme="majorBidi" w:eastAsia="Times New Roman" w:hAnsiTheme="majorBidi" w:cstheme="majorBidi"/>
          <w:lang w:val="en-GB"/>
        </w:rPr>
      </w:pPr>
    </w:p>
    <w:p w14:paraId="557E599F" w14:textId="62058DEF" w:rsidR="00FF0A5F" w:rsidRPr="00F03A26" w:rsidRDefault="00FF0A5F" w:rsidP="00860408">
      <w:pPr>
        <w:pStyle w:val="Balk1"/>
      </w:pPr>
      <w:bookmarkStart w:id="41" w:name="_Toc132072514"/>
      <w:bookmarkStart w:id="42" w:name="_Toc173231199"/>
      <w:r w:rsidRPr="00F03A26">
        <w:t xml:space="preserve">CHAPTER </w:t>
      </w:r>
      <w:bookmarkEnd w:id="41"/>
      <w:r w:rsidR="00DF039C" w:rsidRPr="00F03A26">
        <w:t>IV</w:t>
      </w:r>
      <w:bookmarkEnd w:id="42"/>
    </w:p>
    <w:p w14:paraId="6B410FC0" w14:textId="1E113A72" w:rsidR="00FF0A5F" w:rsidRPr="00F03A26" w:rsidRDefault="006A38F9" w:rsidP="00860408">
      <w:pPr>
        <w:pStyle w:val="Balk1"/>
      </w:pPr>
      <w:bookmarkStart w:id="43" w:name="_Hlk128506962"/>
      <w:bookmarkStart w:id="44" w:name="_Toc173231200"/>
      <w:bookmarkEnd w:id="43"/>
      <w:r>
        <w:rPr>
          <w:rFonts w:eastAsia="Times New Roman"/>
          <w:lang w:eastAsia="it-IT"/>
        </w:rPr>
        <w:t>IV-</w:t>
      </w:r>
      <w:r w:rsidR="00FF0A5F" w:rsidRPr="00F03A26">
        <w:rPr>
          <w:rFonts w:eastAsia="Times New Roman"/>
          <w:lang w:eastAsia="it-IT"/>
        </w:rPr>
        <w:t xml:space="preserve">The written documents of </w:t>
      </w:r>
      <w:r w:rsidR="00FF0A5F" w:rsidRPr="00F03A26">
        <w:rPr>
          <w:rFonts w:eastAsia="Times New Roman"/>
          <w:iCs/>
          <w:lang w:eastAsia="it-IT"/>
        </w:rPr>
        <w:t>Ṭušpa</w:t>
      </w:r>
      <w:r w:rsidR="00FF0A5F" w:rsidRPr="00F03A26">
        <w:rPr>
          <w:rFonts w:eastAsia="Times New Roman"/>
          <w:lang w:eastAsia="it-IT"/>
        </w:rPr>
        <w:t xml:space="preserve">, the capital of </w:t>
      </w:r>
      <w:r w:rsidR="008F3084" w:rsidRPr="00F03A26">
        <w:rPr>
          <w:rFonts w:eastAsia="Times New Roman"/>
          <w:lang w:eastAsia="it-IT"/>
        </w:rPr>
        <w:t>Urartu</w:t>
      </w:r>
      <w:r w:rsidR="00AB510B" w:rsidRPr="00F03A26">
        <w:rPr>
          <w:rFonts w:eastAsia="Times New Roman"/>
          <w:lang w:eastAsia="it-IT"/>
        </w:rPr>
        <w:fldChar w:fldCharType="begin"/>
      </w:r>
      <w:r w:rsidR="00AB510B" w:rsidRPr="00F03A26">
        <w:instrText xml:space="preserve"> XE "</w:instrText>
      </w:r>
      <w:r w:rsidR="008F3084" w:rsidRPr="00F03A26">
        <w:instrText>Urartu</w:instrText>
      </w:r>
      <w:r w:rsidR="00AB510B" w:rsidRPr="00F03A26">
        <w:instrText xml:space="preserve">" </w:instrText>
      </w:r>
      <w:r w:rsidR="00AB510B" w:rsidRPr="00F03A26">
        <w:rPr>
          <w:rFonts w:eastAsia="Times New Roman"/>
          <w:lang w:eastAsia="it-IT"/>
        </w:rPr>
        <w:fldChar w:fldCharType="end"/>
      </w:r>
      <w:r w:rsidR="00FF0A5F" w:rsidRPr="00F03A26">
        <w:rPr>
          <w:rFonts w:eastAsia="Times New Roman"/>
          <w:lang w:eastAsia="it-IT"/>
        </w:rPr>
        <w:t xml:space="preserve"> </w:t>
      </w:r>
      <w:r w:rsidR="00FF0A5F" w:rsidRPr="00F03A26">
        <w:rPr>
          <w:rFonts w:eastAsia="Times New Roman"/>
          <w:vertAlign w:val="superscript"/>
          <w:lang w:eastAsia="it-IT"/>
        </w:rPr>
        <w:t>*</w:t>
      </w:r>
      <w:bookmarkEnd w:id="44"/>
    </w:p>
    <w:p w14:paraId="3A0618F5" w14:textId="77777777" w:rsidR="00FF0A5F" w:rsidRPr="00F03A26" w:rsidRDefault="00FF0A5F" w:rsidP="00F03A2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Bidi" w:eastAsia="Times New Roman" w:hAnsiTheme="majorBidi" w:cstheme="majorBidi"/>
          <w:b/>
          <w:bCs/>
          <w:color w:val="202124"/>
          <w:lang w:val="en-GB" w:eastAsia="it-IT"/>
        </w:rPr>
      </w:pPr>
      <w:r w:rsidRPr="00F03A26">
        <w:rPr>
          <w:rFonts w:asciiTheme="majorBidi" w:eastAsia="Times New Roman" w:hAnsiTheme="majorBidi" w:cstheme="majorBidi"/>
          <w:b/>
          <w:bCs/>
          <w:color w:val="202124"/>
          <w:lang w:val="en-GB" w:eastAsia="it-IT"/>
        </w:rPr>
        <w:t xml:space="preserve">                        </w:t>
      </w:r>
      <w:r w:rsidRPr="00F03A26">
        <w:rPr>
          <w:rFonts w:asciiTheme="majorBidi" w:eastAsia="Times New Roman" w:hAnsiTheme="majorBidi" w:cstheme="majorBidi"/>
          <w:b/>
          <w:bCs/>
          <w:color w:val="202124"/>
          <w:lang w:val="en-GB" w:eastAsia="it-IT"/>
        </w:rPr>
        <w:tab/>
        <w:t>Mirjo Salvini</w:t>
      </w:r>
    </w:p>
    <w:p w14:paraId="61254144"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1"/>
        <w:rPr>
          <w:rFonts w:ascii="Times New Roman" w:hAnsi="Times New Roman"/>
          <w:b/>
          <w:bCs/>
          <w:sz w:val="28"/>
          <w:szCs w:val="28"/>
        </w:rPr>
      </w:pPr>
      <w:bookmarkStart w:id="45" w:name="_Toc173231201"/>
      <w:r w:rsidRPr="00315E88">
        <w:rPr>
          <w:rFonts w:ascii="Times New Roman" w:hAnsi="Times New Roman"/>
          <w:b/>
          <w:bCs/>
          <w:sz w:val="28"/>
          <w:szCs w:val="28"/>
        </w:rPr>
        <w:t>4.1. Introduction</w:t>
      </w:r>
      <w:bookmarkEnd w:id="45"/>
      <w:r w:rsidRPr="00315E88">
        <w:rPr>
          <w:rFonts w:ascii="Times New Roman" w:hAnsi="Times New Roman"/>
          <w:b/>
          <w:bCs/>
          <w:sz w:val="28"/>
          <w:szCs w:val="28"/>
        </w:rPr>
        <w:t xml:space="preserve"> </w:t>
      </w:r>
    </w:p>
    <w:p w14:paraId="6D45B40D"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14:glow w14:rad="0">
            <w14:srgbClr w14:val="FFFFFF"/>
          </w14:glow>
        </w:rPr>
      </w:pPr>
      <w:r w:rsidRPr="00315E88">
        <w:rPr>
          <w:rFonts w:ascii="Times New Roman" w:hAnsi="Times New Roman"/>
          <w:color w:val="202124"/>
          <w:lang w:val="en-GB"/>
        </w:rPr>
        <w:t>The Urartian</w:t>
      </w:r>
      <w:r w:rsidRPr="00315E88">
        <w:rPr>
          <w:rFonts w:ascii="Times New Roman" w:eastAsia="Arial" w:hAnsi="Times New Roman" w:cs="Times New Roman"/>
          <w:color w:val="202124"/>
          <w:lang w:val="en-GB" w:eastAsia="it-IT"/>
        </w:rPr>
        <w:t> </w:t>
      </w:r>
      <w:r w:rsidRPr="00315E88">
        <w:rPr>
          <w:rFonts w:ascii="Times New Roman" w:hAnsi="Times New Roman"/>
          <w:color w:val="202124"/>
          <w:lang w:val="en-GB"/>
        </w:rPr>
        <w:t>cuneiform documents preserved at the Van Fortress</w:t>
      </w:r>
      <w:r w:rsidRPr="00315E88">
        <w:rPr>
          <w:rFonts w:ascii="Times New Roman" w:eastAsia="Arial" w:hAnsi="Times New Roman" w:cs="Times New Roman"/>
          <w:color w:val="202124"/>
          <w:lang w:val="en-GB" w:eastAsia="it-IT"/>
        </w:rPr>
        <w:t> </w:t>
      </w:r>
      <w:r w:rsidRPr="00315E88">
        <w:rPr>
          <w:rFonts w:ascii="Times New Roman" w:hAnsi="Times New Roman"/>
          <w:color w:val="202124"/>
          <w:lang w:val="en-GB"/>
        </w:rPr>
        <w:t>site cover the early part of Urartian history, from about 840 BCE to about 730 BCE. They</w:t>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 xml:space="preserve"> therefore</w:t>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 xml:space="preserve"> range from the reign of the first king, Sarduri</w:t>
      </w:r>
      <w:r w:rsidRPr="00315E88">
        <w:rPr>
          <w:rFonts w:ascii="Times New Roman" w:eastAsia="Arial" w:hAnsi="Times New Roman" w:cs="Times New Roman"/>
          <w:color w:val="202124"/>
          <w:lang w:val="en-GB" w:eastAsia="it-IT"/>
        </w:rPr>
        <w:t> </w:t>
      </w:r>
      <w:r w:rsidRPr="00315E88">
        <w:rPr>
          <w:rFonts w:ascii="Times New Roman" w:hAnsi="Times New Roman"/>
          <w:color w:val="202124"/>
          <w:lang w:val="en-GB"/>
        </w:rPr>
        <w:t>I</w:t>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 xml:space="preserve"> up to Sarduri II</w:t>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 xml:space="preserve"> son of Argišti. From the reign of Rusa</w:t>
      </w:r>
      <w:r w:rsidRPr="00315E88">
        <w:rPr>
          <w:rFonts w:ascii="Times New Roman" w:eastAsia="Arial" w:hAnsi="Times New Roman" w:cs="Times New Roman"/>
          <w:color w:val="202124"/>
          <w:lang w:val="en-GB" w:eastAsia="it-IT"/>
        </w:rPr>
        <w:t> I,</w:t>
      </w:r>
      <w:r w:rsidRPr="00315E88">
        <w:rPr>
          <w:rFonts w:ascii="Times New Roman" w:hAnsi="Times New Roman"/>
          <w:color w:val="202124"/>
          <w:lang w:val="en-GB"/>
        </w:rPr>
        <w:t xml:space="preserve"> son of Sarduri, there are no more Urartian texts in Ṭušpa. Only much later, the rock inscription of Xerxes</w:t>
      </w:r>
      <w:r w:rsidRPr="00315E88">
        <w:rPr>
          <w:rFonts w:ascii="Times New Roman" w:hAnsi="Times New Roman"/>
          <w:color w:val="202124"/>
          <w:lang w:val="en-GB"/>
        </w:rPr>
        <w:fldChar w:fldCharType="begin"/>
      </w:r>
      <w:r w:rsidRPr="00315E88">
        <w:instrText xml:space="preserve"> XE "</w:instrText>
      </w:r>
      <w:r w:rsidRPr="00315E88">
        <w:rPr>
          <w:rFonts w:ascii="Times New Roman" w:eastAsia="Times New Roman" w:hAnsi="Times New Roman" w:cs="Times New Roman"/>
          <w:color w:val="202124"/>
          <w:lang w:val="en-GB" w:eastAsia="it-IT"/>
        </w:rPr>
        <w:instrText>Xerxes</w:instrText>
      </w:r>
      <w:r w:rsidRPr="00315E88">
        <w:instrText xml:space="preserve">" </w:instrText>
      </w:r>
      <w:r w:rsidRPr="00315E88">
        <w:rPr>
          <w:rFonts w:ascii="Times New Roman" w:hAnsi="Times New Roman"/>
          <w:color w:val="202124"/>
          <w:lang w:val="en-GB"/>
        </w:rPr>
        <w:fldChar w:fldCharType="end"/>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 xml:space="preserve"> son of Darius</w:t>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 xml:space="preserve"> testifies to the dominion of the Achaemenid</w:t>
      </w:r>
      <w:r w:rsidRPr="00315E88">
        <w:rPr>
          <w:rFonts w:ascii="Times New Roman" w:eastAsia="Arial" w:hAnsi="Times New Roman" w:cs="Times New Roman"/>
          <w:color w:val="202124"/>
          <w:lang w:val="en-GB" w:eastAsia="it-IT"/>
        </w:rPr>
        <w:t> </w:t>
      </w:r>
      <w:r w:rsidRPr="00315E88">
        <w:rPr>
          <w:rFonts w:ascii="Times New Roman" w:hAnsi="Times New Roman"/>
          <w:color w:val="202124"/>
          <w:lang w:val="en-GB"/>
        </w:rPr>
        <w:t>Empire over the ancient lands of Urartu</w:t>
      </w:r>
      <w:r w:rsidRPr="00315E88">
        <w:rPr>
          <w:rFonts w:ascii="Times New Roman" w:eastAsia="Arial" w:hAnsi="Times New Roman" w:cs="Times New Roman"/>
          <w:color w:val="202124"/>
          <w:lang w:val="en-GB" w:eastAsia="it-IT"/>
        </w:rPr>
        <w:t> </w:t>
      </w:r>
      <w:r w:rsidRPr="00315E88">
        <w:rPr>
          <w:rFonts w:ascii="Times New Roman" w:hAnsi="Times New Roman"/>
          <w:color w:val="202124"/>
          <w:lang w:val="en-GB"/>
        </w:rPr>
        <w:t>(see below) (plan of the Kale, No. 11).</w:t>
      </w:r>
    </w:p>
    <w:p w14:paraId="26195B93"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rPr>
      </w:pPr>
      <w:r w:rsidRPr="00CC135C">
        <w:rPr>
          <w:rFonts w:ascii="Times New Roman" w:hAnsi="Times New Roman"/>
          <w:noProof/>
          <w:lang w:eastAsia="tr-TR"/>
        </w:rPr>
        <w:drawing>
          <wp:inline distT="0" distB="0" distL="0" distR="0" wp14:anchorId="52675BE6" wp14:editId="623D755F">
            <wp:extent cx="5400675" cy="3957320"/>
            <wp:effectExtent l="0" t="0" r="9525" b="5080"/>
            <wp:docPr id="841757355" name="Resim 841757355" descr="doğa, Hava fotoğrafçılığı, dağ, gö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57355" name="Resim 841757355" descr="doğa, Hava fotoğrafçılığı, dağ, göl içeren bir resim&#10;&#10;Açıklama otomatik olarak oluşturuldu"/>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400675" cy="3957320"/>
                    </a:xfrm>
                    <a:prstGeom prst="rect">
                      <a:avLst/>
                    </a:prstGeom>
                    <a:noFill/>
                    <a:ln>
                      <a:noFill/>
                    </a:ln>
                  </pic:spPr>
                </pic:pic>
              </a:graphicData>
            </a:graphic>
          </wp:inline>
        </w:drawing>
      </w:r>
    </w:p>
    <w:p w14:paraId="35DACBD4" w14:textId="77777777" w:rsidR="00B4516E" w:rsidRPr="00CC135C" w:rsidRDefault="00B4516E" w:rsidP="00B4516E">
      <w:pPr>
        <w:spacing w:after="200"/>
        <w:rPr>
          <w:rFonts w:ascii="Times New Roman" w:hAnsi="Times New Roman"/>
        </w:rPr>
      </w:pPr>
      <w:r w:rsidRPr="00CC135C">
        <w:rPr>
          <w:rFonts w:ascii="Times New Roman" w:hAnsi="Times New Roman"/>
          <w:lang w:val="en-GB"/>
        </w:rPr>
        <w:t xml:space="preserve">          Fig. </w:t>
      </w:r>
      <w:r w:rsidRPr="00CC135C">
        <w:rPr>
          <w:rFonts w:ascii="Times New Roman" w:hAnsi="Times New Roman"/>
          <w:lang w:val="en-GB"/>
        </w:rPr>
        <w:fldChar w:fldCharType="begin"/>
      </w:r>
      <w:r w:rsidRPr="00CC135C">
        <w:rPr>
          <w:rFonts w:ascii="Times New Roman" w:hAnsi="Times New Roman"/>
          <w:lang w:val="en-GB"/>
        </w:rPr>
        <w:instrText xml:space="preserve"> SEQ Figure \* ARABIC </w:instrText>
      </w:r>
      <w:r w:rsidRPr="00CC135C">
        <w:rPr>
          <w:rFonts w:ascii="Times New Roman" w:hAnsi="Times New Roman"/>
          <w:lang w:val="en-GB"/>
        </w:rPr>
        <w:fldChar w:fldCharType="separate"/>
      </w:r>
      <w:r w:rsidRPr="00CC135C">
        <w:rPr>
          <w:rFonts w:ascii="Times New Roman" w:hAnsi="Times New Roman"/>
          <w:lang w:val="en-GB"/>
        </w:rPr>
        <w:t>1</w:t>
      </w:r>
      <w:r w:rsidRPr="00CC135C">
        <w:rPr>
          <w:rFonts w:ascii="Times New Roman" w:hAnsi="Times New Roman"/>
          <w:lang w:val="en-GB"/>
        </w:rPr>
        <w:fldChar w:fldCharType="end"/>
      </w:r>
      <w:r w:rsidRPr="00CC135C">
        <w:rPr>
          <w:rFonts w:ascii="Times New Roman" w:hAnsi="Times New Roman"/>
          <w:lang w:val="en-GB"/>
        </w:rPr>
        <w:t xml:space="preserve"> Van Fortress</w:t>
      </w:r>
      <w:r w:rsidRPr="0041322B">
        <w:rPr>
          <w:rFonts w:ascii="Times New Roman" w:eastAsia="Calibri" w:hAnsi="Times New Roman" w:cs="Times New Roman"/>
          <w:lang w:val="en-GB"/>
        </w:rPr>
        <w:fldChar w:fldCharType="begin"/>
      </w:r>
      <w:r w:rsidRPr="0041322B">
        <w:rPr>
          <w:rFonts w:ascii="Times New Roman" w:eastAsia="Calibri" w:hAnsi="Times New Roman" w:cs="Arial"/>
          <w:i/>
          <w:iCs/>
          <w:color w:val="44546A"/>
          <w:sz w:val="18"/>
          <w:szCs w:val="18"/>
          <w:lang w:val="en-GB"/>
        </w:rPr>
        <w:instrText xml:space="preserve"> XE "</w:instrText>
      </w:r>
      <w:r w:rsidRPr="0041322B">
        <w:rPr>
          <w:rFonts w:ascii="Times New Roman" w:eastAsia="Calibri" w:hAnsi="Times New Roman" w:cs="Times New Roman"/>
          <w:lang w:val="en-GB"/>
        </w:rPr>
        <w:instrText>Van Fortress</w:instrText>
      </w:r>
      <w:r w:rsidRPr="0041322B">
        <w:rPr>
          <w:rFonts w:ascii="Times New Roman" w:eastAsia="Calibri" w:hAnsi="Times New Roman" w:cs="Arial"/>
          <w:i/>
          <w:iCs/>
          <w:color w:val="44546A"/>
          <w:sz w:val="18"/>
          <w:szCs w:val="18"/>
          <w:lang w:val="en-GB"/>
        </w:rPr>
        <w:instrText xml:space="preserve">" </w:instrText>
      </w:r>
      <w:r w:rsidRPr="0041322B">
        <w:rPr>
          <w:rFonts w:ascii="Times New Roman" w:eastAsia="Calibri" w:hAnsi="Times New Roman" w:cs="Times New Roman"/>
          <w:lang w:val="en-GB"/>
        </w:rPr>
        <w:fldChar w:fldCharType="end"/>
      </w:r>
      <w:r w:rsidRPr="00CC135C">
        <w:rPr>
          <w:rFonts w:ascii="Times New Roman" w:hAnsi="Times New Roman"/>
          <w:lang w:val="en-GB"/>
        </w:rPr>
        <w:t xml:space="preserve"> from the plane (M. Salvini, 2005).</w:t>
      </w:r>
    </w:p>
    <w:p w14:paraId="25CA4B0D"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Based on the inscriptions on Van Fortress, it is possible to reconstruct the phases of the occupation by the Urartian</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"Urartian"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rulers and identify its topography. </w:t>
      </w:r>
      <w:r w:rsidRPr="00315E88">
        <w:rPr>
          <w:rFonts w:ascii="Times New Roman" w:eastAsia="Arial" w:hAnsi="Times New Roman" w:cs="Times New Roman"/>
          <w:color w:val="202124"/>
          <w:lang w:val="en-GB" w:eastAsia="it-IT"/>
        </w:rPr>
        <w:t>Suppose</w:t>
      </w:r>
      <w:r w:rsidRPr="00315E88">
        <w:rPr>
          <w:rFonts w:ascii="Times New Roman" w:hAnsi="Times New Roman"/>
        </w:rPr>
        <w:t xml:space="preserve"> the oldest datable testimony is found in the western tip at the base of the cliff</w:t>
      </w:r>
      <w:r w:rsidRPr="00315E88">
        <w:rPr>
          <w:rFonts w:ascii="Times New Roman" w:eastAsia="Arial" w:hAnsi="Times New Roman" w:cs="Times New Roman"/>
          <w:color w:val="202124"/>
          <w:lang w:val="en-GB" w:eastAsia="it-IT"/>
        </w:rPr>
        <w:t>. In that case</w:t>
      </w:r>
      <w:r w:rsidRPr="00315E88">
        <w:rPr>
          <w:rFonts w:ascii="Times New Roman" w:hAnsi="Times New Roman"/>
        </w:rPr>
        <w:t>, it is almost obligatory to recognize the oldest phase in the stones of the lower part of the citadel, without which it would not have been possible for Sarduri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lang w:val="en-GB"/>
        </w:rPr>
        <w:instrText>Sarduri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"Sarduri I"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to settle at the base of the cliff. </w:t>
      </w:r>
      <w:r w:rsidRPr="00315E88">
        <w:rPr>
          <w:rFonts w:ascii="Times New Roman" w:hAnsi="Times New Roman"/>
          <w:color w:val="202124"/>
          <w:lang w:val="en-GB"/>
        </w:rPr>
        <w:t>Also, a mutilated Assyrian</w:t>
      </w:r>
      <w:r w:rsidRPr="00315E88">
        <w:rPr>
          <w:rFonts w:ascii="Times New Roman" w:eastAsia="Arial"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"Assyrian"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 xml:space="preserve">sacrificial text CTU I. A 1-2 is found atop the south slope of the Kale, outside the walls of the citadel proper </w:t>
      </w:r>
      <w:r w:rsidRPr="00315E88">
        <w:rPr>
          <w:rFonts w:ascii="Times New Roman" w:hAnsi="Times New Roman"/>
        </w:rPr>
        <w:t>(plan</w:t>
      </w:r>
      <w:r w:rsidRPr="00315E88">
        <w:rPr>
          <w:rStyle w:val="DipnotBavurusu"/>
          <w:rFonts w:asciiTheme="majorBidi" w:eastAsia="Arial" w:hAnsiTheme="majorBidi"/>
          <w:color w:val="202124"/>
          <w:lang w:val="en-GB"/>
        </w:rPr>
        <w:footnoteReference w:id="32"/>
      </w:r>
      <w:r w:rsidRPr="00315E88">
        <w:rPr>
          <w:rFonts w:ascii="Times New Roman" w:hAnsi="Times New Roman"/>
        </w:rPr>
        <w:t xml:space="preserve"> No. 20).</w:t>
      </w:r>
    </w:p>
    <w:p w14:paraId="5CADECB1" w14:textId="6CC15F2C" w:rsidR="00B4516E" w:rsidRPr="00315E88" w:rsidRDefault="00DB20BB"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E02664">
        <w:rPr>
          <w:rFonts w:ascii="Times New Roman" w:hAnsi="Times New Roman"/>
          <w:noProof/>
          <w:lang w:eastAsia="tr-TR"/>
        </w:rPr>
        <w:lastRenderedPageBreak/>
        <w:drawing>
          <wp:anchor distT="0" distB="0" distL="114300" distR="114300" simplePos="0" relativeHeight="251972608" behindDoc="1" locked="0" layoutInCell="1" allowOverlap="1" wp14:anchorId="6ACCB026" wp14:editId="54222358">
            <wp:simplePos x="0" y="0"/>
            <wp:positionH relativeFrom="margin">
              <wp:posOffset>-635</wp:posOffset>
            </wp:positionH>
            <wp:positionV relativeFrom="paragraph">
              <wp:posOffset>2170676</wp:posOffset>
            </wp:positionV>
            <wp:extent cx="3044825" cy="4059555"/>
            <wp:effectExtent l="0" t="0" r="3175" b="4445"/>
            <wp:wrapTopAndBottom/>
            <wp:docPr id="488369560" name="Resim 488369560" descr="giyim, dış mekan, harabeler,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69560" name="Resim 488369560" descr="giyim, dış mekan, harabeler, gökyüzü içeren bir resim&#10;&#10;Açıklama otomatik olarak oluşturuldu"/>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044825" cy="4059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516E" w:rsidRPr="00E02664">
        <w:t xml:space="preserve"> </w:t>
      </w:r>
      <w:r w:rsidR="00B4516E" w:rsidRPr="00E02664">
        <w:rPr>
          <w:rFonts w:ascii="Times New Roman" w:hAnsi="Times New Roman"/>
        </w:rPr>
        <w:t>The entire Van region had long since become the place where the Urartian</w:t>
      </w:r>
      <w:r w:rsidR="00B4516E" w:rsidRPr="00E02664">
        <w:rPr>
          <w:rFonts w:ascii="Times New Roman" w:eastAsia="Times New Roman" w:hAnsi="Times New Roman" w:cs="Times New Roman"/>
          <w:noProof/>
        </w:rPr>
        <w:t> </w:t>
      </w:r>
      <w:r w:rsidR="00B4516E" w:rsidRPr="00E02664">
        <w:rPr>
          <w:rStyle w:val="y2iqfc"/>
          <w:rFonts w:asciiTheme="majorBidi" w:eastAsia="Arial" w:hAnsiTheme="majorBidi" w:cstheme="majorBidi"/>
          <w:color w:val="202124"/>
          <w:lang w:val="en-GB"/>
        </w:rPr>
        <w:fldChar w:fldCharType="begin"/>
      </w:r>
      <w:r w:rsidR="00B4516E" w:rsidRPr="00E02664">
        <w:rPr>
          <w:rFonts w:asciiTheme="majorBidi" w:hAnsiTheme="majorBidi" w:cstheme="majorBidi"/>
          <w:lang w:val="en-GB"/>
        </w:rPr>
        <w:instrText xml:space="preserve"> XE "Urartian" </w:instrText>
      </w:r>
      <w:r w:rsidR="00B4516E" w:rsidRPr="00E02664">
        <w:rPr>
          <w:rStyle w:val="y2iqfc"/>
          <w:rFonts w:asciiTheme="majorBidi" w:eastAsia="Arial" w:hAnsiTheme="majorBidi" w:cstheme="majorBidi"/>
          <w:color w:val="202124"/>
          <w:lang w:val="en-GB"/>
        </w:rPr>
        <w:fldChar w:fldCharType="end"/>
      </w:r>
      <w:r w:rsidR="00B4516E" w:rsidRPr="00E02664">
        <w:rPr>
          <w:rStyle w:val="y2iqfc"/>
          <w:rFonts w:asciiTheme="majorBidi" w:eastAsia="Arial" w:hAnsiTheme="majorBidi" w:cstheme="majorBidi"/>
          <w:color w:val="202124"/>
          <w:lang w:val="en-GB"/>
        </w:rPr>
        <w:t xml:space="preserve"> </w:t>
      </w:r>
      <w:r w:rsidR="00B4516E" w:rsidRPr="00E02664">
        <w:rPr>
          <w:rFonts w:ascii="Times New Roman" w:hAnsi="Times New Roman"/>
        </w:rPr>
        <w:t>state was formed. The Urartian populations were found in that vast mountainous area until the 13th century BCE, as we read in the Assyrian</w:t>
      </w:r>
      <w:r w:rsidR="00B4516E" w:rsidRPr="00E02664">
        <w:rPr>
          <w:rFonts w:ascii="Times New Roman" w:eastAsia="Times New Roman" w:hAnsi="Times New Roman" w:cs="Times New Roman"/>
          <w:noProof/>
        </w:rPr>
        <w:t> </w:t>
      </w:r>
      <w:r w:rsidR="00B4516E" w:rsidRPr="00E02664">
        <w:rPr>
          <w:rStyle w:val="y2iqfc"/>
          <w:rFonts w:asciiTheme="majorBidi" w:eastAsia="Arial" w:hAnsiTheme="majorBidi" w:cstheme="majorBidi"/>
          <w:color w:val="202124"/>
          <w:lang w:val="en-GB"/>
        </w:rPr>
        <w:fldChar w:fldCharType="begin"/>
      </w:r>
      <w:r w:rsidR="00B4516E" w:rsidRPr="00E02664">
        <w:rPr>
          <w:rFonts w:asciiTheme="majorBidi" w:hAnsiTheme="majorBidi" w:cstheme="majorBidi"/>
          <w:lang w:val="en-GB"/>
        </w:rPr>
        <w:instrText xml:space="preserve"> XE "Assyrian" </w:instrText>
      </w:r>
      <w:r w:rsidR="00B4516E" w:rsidRPr="00E02664">
        <w:rPr>
          <w:rStyle w:val="y2iqfc"/>
          <w:rFonts w:asciiTheme="majorBidi" w:eastAsia="Arial" w:hAnsiTheme="majorBidi" w:cstheme="majorBidi"/>
          <w:color w:val="202124"/>
          <w:lang w:val="en-GB"/>
        </w:rPr>
        <w:fldChar w:fldCharType="end"/>
      </w:r>
      <w:r w:rsidR="00B4516E" w:rsidRPr="00E02664">
        <w:rPr>
          <w:rStyle w:val="y2iqfc"/>
          <w:rFonts w:asciiTheme="majorBidi" w:eastAsia="Arial" w:hAnsiTheme="majorBidi" w:cstheme="majorBidi"/>
          <w:color w:val="202124"/>
          <w:lang w:val="en-GB"/>
        </w:rPr>
        <w:t xml:space="preserve"> </w:t>
      </w:r>
      <w:r w:rsidR="00B4516E" w:rsidRPr="00E02664">
        <w:rPr>
          <w:rFonts w:ascii="Times New Roman" w:hAnsi="Times New Roman"/>
        </w:rPr>
        <w:t>texts of the Middle Assyrian</w:t>
      </w:r>
      <w:r w:rsidR="00B4516E" w:rsidRPr="00E02664">
        <w:rPr>
          <w:rFonts w:ascii="Times New Roman" w:eastAsia="Times New Roman" w:hAnsi="Times New Roman" w:cs="Times New Roman"/>
          <w:noProof/>
        </w:rPr>
        <w:t> </w:t>
      </w:r>
      <w:r w:rsidR="00B4516E" w:rsidRPr="00E02664">
        <w:rPr>
          <w:rStyle w:val="y2iqfc"/>
          <w:rFonts w:asciiTheme="majorBidi" w:eastAsia="Arial" w:hAnsiTheme="majorBidi" w:cstheme="majorBidi"/>
          <w:color w:val="202124"/>
          <w:lang w:val="en-GB"/>
        </w:rPr>
        <w:fldChar w:fldCharType="begin"/>
      </w:r>
      <w:r w:rsidR="00B4516E" w:rsidRPr="00E02664">
        <w:rPr>
          <w:rFonts w:asciiTheme="majorBidi" w:hAnsiTheme="majorBidi" w:cstheme="majorBidi"/>
          <w:lang w:val="en-GB"/>
        </w:rPr>
        <w:instrText xml:space="preserve"> XE "</w:instrText>
      </w:r>
      <w:r w:rsidR="00B4516E" w:rsidRPr="00E02664">
        <w:rPr>
          <w:rStyle w:val="y2iqfc"/>
          <w:rFonts w:asciiTheme="majorBidi" w:eastAsia="Arial" w:hAnsiTheme="majorBidi" w:cstheme="majorBidi"/>
          <w:color w:val="202124"/>
          <w:lang w:val="en-GB"/>
        </w:rPr>
        <w:instrText>Middle Assyrian</w:instrText>
      </w:r>
      <w:r w:rsidR="00B4516E" w:rsidRPr="00E02664">
        <w:rPr>
          <w:rFonts w:asciiTheme="majorBidi" w:hAnsiTheme="majorBidi" w:cstheme="majorBidi"/>
          <w:lang w:val="en-GB"/>
        </w:rPr>
        <w:instrText xml:space="preserve">" </w:instrText>
      </w:r>
      <w:r w:rsidR="00B4516E" w:rsidRPr="00E02664">
        <w:rPr>
          <w:rStyle w:val="y2iqfc"/>
          <w:rFonts w:asciiTheme="majorBidi" w:eastAsia="Arial" w:hAnsiTheme="majorBidi" w:cstheme="majorBidi"/>
          <w:color w:val="202124"/>
          <w:lang w:val="en-GB"/>
        </w:rPr>
        <w:fldChar w:fldCharType="end"/>
      </w:r>
      <w:r w:rsidR="00B4516E" w:rsidRPr="00E02664">
        <w:rPr>
          <w:rStyle w:val="y2iqfc"/>
          <w:rFonts w:asciiTheme="majorBidi" w:eastAsia="Arial" w:hAnsiTheme="majorBidi" w:cstheme="majorBidi"/>
          <w:color w:val="202124"/>
          <w:lang w:val="en-GB"/>
        </w:rPr>
        <w:t xml:space="preserve"> </w:t>
      </w:r>
      <w:r w:rsidR="00B4516E" w:rsidRPr="00E02664">
        <w:rPr>
          <w:rFonts w:ascii="Times New Roman" w:hAnsi="Times New Roman"/>
        </w:rPr>
        <w:t xml:space="preserve">era. The tribes of the Plateau </w:t>
      </w:r>
      <w:r w:rsidR="00B4516E" w:rsidRPr="00E02664">
        <w:rPr>
          <w:rFonts w:ascii="Times New Roman" w:eastAsia="Times New Roman" w:hAnsi="Times New Roman" w:cs="Times New Roman"/>
          <w:noProof/>
        </w:rPr>
        <w:t xml:space="preserve">are </w:t>
      </w:r>
      <w:r w:rsidR="00B4516E" w:rsidRPr="00E02664">
        <w:rPr>
          <w:rFonts w:ascii="Times New Roman" w:hAnsi="Times New Roman"/>
        </w:rPr>
        <w:t>grouped under the name of Nairi</w:t>
      </w:r>
      <w:r w:rsidR="00B4516E" w:rsidRPr="00E02664">
        <w:rPr>
          <w:rFonts w:ascii="Times New Roman" w:eastAsia="Times New Roman" w:hAnsi="Times New Roman" w:cs="Times New Roman"/>
          <w:noProof/>
        </w:rPr>
        <w:t> </w:t>
      </w:r>
      <w:r w:rsidR="00B4516E" w:rsidRPr="00E02664">
        <w:rPr>
          <w:rStyle w:val="y2iqfc"/>
          <w:rFonts w:asciiTheme="majorBidi" w:eastAsia="Arial" w:hAnsiTheme="majorBidi" w:cstheme="majorBidi"/>
          <w:color w:val="202124"/>
          <w:lang w:val="en-GB"/>
        </w:rPr>
        <w:fldChar w:fldCharType="begin"/>
      </w:r>
      <w:r w:rsidR="00B4516E" w:rsidRPr="00E02664">
        <w:rPr>
          <w:rFonts w:asciiTheme="majorBidi" w:hAnsiTheme="majorBidi" w:cstheme="majorBidi"/>
          <w:lang w:val="en-GB"/>
        </w:rPr>
        <w:instrText xml:space="preserve"> XE "Nairi" </w:instrText>
      </w:r>
      <w:r w:rsidR="00B4516E" w:rsidRPr="00E02664">
        <w:rPr>
          <w:rStyle w:val="y2iqfc"/>
          <w:rFonts w:asciiTheme="majorBidi" w:eastAsia="Arial" w:hAnsiTheme="majorBidi" w:cstheme="majorBidi"/>
          <w:color w:val="202124"/>
          <w:lang w:val="en-GB"/>
        </w:rPr>
        <w:fldChar w:fldCharType="end"/>
      </w:r>
      <w:r w:rsidR="00B4516E" w:rsidRPr="00E02664">
        <w:rPr>
          <w:rStyle w:val="y2iqfc"/>
          <w:rFonts w:asciiTheme="majorBidi" w:eastAsia="Arial" w:hAnsiTheme="majorBidi" w:cstheme="majorBidi"/>
          <w:color w:val="202124"/>
          <w:lang w:val="en-GB"/>
        </w:rPr>
        <w:t xml:space="preserve"> </w:t>
      </w:r>
      <w:r w:rsidR="00B4516E" w:rsidRPr="00E02664">
        <w:rPr>
          <w:rFonts w:ascii="Times New Roman" w:hAnsi="Times New Roman"/>
        </w:rPr>
        <w:t>or Ur(u)aṭri</w:t>
      </w:r>
      <w:r w:rsidR="00B4516E" w:rsidRPr="00E02664">
        <w:rPr>
          <w:rFonts w:ascii="Times New Roman" w:eastAsia="Times New Roman" w:hAnsi="Times New Roman" w:cs="Times New Roman"/>
          <w:noProof/>
        </w:rPr>
        <w:t> </w:t>
      </w:r>
      <w:r w:rsidR="00B4516E" w:rsidRPr="00E02664">
        <w:rPr>
          <w:rStyle w:val="y2iqfc"/>
          <w:rFonts w:asciiTheme="majorBidi" w:eastAsia="Arial" w:hAnsiTheme="majorBidi" w:cstheme="majorBidi"/>
          <w:color w:val="202124"/>
          <w:lang w:val="en-GB"/>
        </w:rPr>
        <w:fldChar w:fldCharType="begin"/>
      </w:r>
      <w:r w:rsidR="00B4516E" w:rsidRPr="00E02664">
        <w:rPr>
          <w:rFonts w:asciiTheme="majorBidi" w:hAnsiTheme="majorBidi" w:cstheme="majorBidi"/>
          <w:lang w:val="en-GB"/>
        </w:rPr>
        <w:instrText xml:space="preserve"> XE "</w:instrText>
      </w:r>
      <w:r w:rsidR="00B4516E" w:rsidRPr="00E02664">
        <w:rPr>
          <w:rStyle w:val="y2iqfc"/>
          <w:rFonts w:asciiTheme="majorBidi" w:eastAsia="Arial" w:hAnsiTheme="majorBidi" w:cstheme="majorBidi"/>
          <w:color w:val="202124"/>
          <w:lang w:val="en-GB"/>
        </w:rPr>
        <w:instrText>Ur(u)aṭri</w:instrText>
      </w:r>
      <w:r w:rsidR="00B4516E" w:rsidRPr="00E02664">
        <w:rPr>
          <w:rFonts w:asciiTheme="majorBidi" w:hAnsiTheme="majorBidi" w:cstheme="majorBidi"/>
          <w:lang w:val="en-GB"/>
        </w:rPr>
        <w:instrText xml:space="preserve">" </w:instrText>
      </w:r>
      <w:r w:rsidR="00B4516E" w:rsidRPr="00E02664">
        <w:rPr>
          <w:rStyle w:val="y2iqfc"/>
          <w:rFonts w:asciiTheme="majorBidi" w:eastAsia="Arial" w:hAnsiTheme="majorBidi" w:cstheme="majorBidi"/>
          <w:color w:val="202124"/>
          <w:lang w:val="en-GB"/>
        </w:rPr>
        <w:fldChar w:fldCharType="end"/>
      </w:r>
      <w:r w:rsidR="00B4516E" w:rsidRPr="00E02664">
        <w:rPr>
          <w:rStyle w:val="y2iqfc"/>
          <w:rFonts w:asciiTheme="majorBidi" w:eastAsia="Arial" w:hAnsiTheme="majorBidi" w:cstheme="majorBidi"/>
          <w:color w:val="202124"/>
          <w:lang w:val="en-GB"/>
        </w:rPr>
        <w:t xml:space="preserve"> </w:t>
      </w:r>
      <w:r w:rsidR="00B4516E" w:rsidRPr="00E02664">
        <w:rPr>
          <w:rFonts w:ascii="Times New Roman" w:hAnsi="Times New Roman"/>
        </w:rPr>
        <w:t xml:space="preserve">peoples. </w:t>
      </w:r>
      <w:r w:rsidR="00B4516E" w:rsidRPr="00E02664">
        <w:rPr>
          <w:rFonts w:ascii="Times New Roman" w:eastAsia="Times New Roman" w:hAnsi="Times New Roman" w:cs="Times New Roman"/>
          <w:noProof/>
        </w:rPr>
        <w:t>We</w:t>
      </w:r>
      <w:r w:rsidR="00B4516E" w:rsidRPr="00E02664">
        <w:rPr>
          <w:rFonts w:ascii="Times New Roman" w:hAnsi="Times New Roman"/>
        </w:rPr>
        <w:t xml:space="preserve"> find both terms in historical times, that is to say</w:t>
      </w:r>
      <w:r w:rsidR="00B4516E" w:rsidRPr="00E02664">
        <w:rPr>
          <w:rFonts w:ascii="Times New Roman" w:eastAsia="Times New Roman" w:hAnsi="Times New Roman" w:cs="Times New Roman"/>
          <w:noProof/>
        </w:rPr>
        <w:t>,</w:t>
      </w:r>
      <w:r w:rsidR="00B4516E" w:rsidRPr="00E02664">
        <w:rPr>
          <w:rFonts w:ascii="Times New Roman" w:hAnsi="Times New Roman"/>
        </w:rPr>
        <w:t xml:space="preserve"> when the indigenous written documentation begins (Salvin, 1967; Salvini, 1995; Salvini, 2006; also, for new studies and discoveries in that era and that region of the Ancient Near East</w:t>
      </w:r>
      <w:r w:rsidR="00B4516E" w:rsidRPr="00E02664">
        <w:rPr>
          <w:rFonts w:ascii="Times New Roman" w:eastAsia="Times New Roman" w:hAnsi="Times New Roman" w:cs="Times New Roman"/>
          <w:noProof/>
        </w:rPr>
        <w:t> sees</w:t>
      </w:r>
      <w:r w:rsidR="00B4516E" w:rsidRPr="00E02664">
        <w:rPr>
          <w:rFonts w:asciiTheme="majorBidi" w:hAnsiTheme="majorBidi" w:cstheme="majorBidi"/>
          <w:lang w:val="en-GB"/>
        </w:rPr>
        <w:fldChar w:fldCharType="begin"/>
      </w:r>
      <w:r w:rsidR="00B4516E" w:rsidRPr="00E02664">
        <w:rPr>
          <w:rFonts w:asciiTheme="majorBidi" w:hAnsiTheme="majorBidi" w:cstheme="majorBidi"/>
          <w:lang w:val="en-GB"/>
        </w:rPr>
        <w:instrText xml:space="preserve"> XE "Near East" </w:instrText>
      </w:r>
      <w:r w:rsidR="00B4516E" w:rsidRPr="00E02664">
        <w:rPr>
          <w:rFonts w:asciiTheme="majorBidi" w:hAnsiTheme="majorBidi" w:cstheme="majorBidi"/>
          <w:lang w:val="en-GB"/>
        </w:rPr>
        <w:fldChar w:fldCharType="end"/>
      </w:r>
      <w:r w:rsidR="00B4516E" w:rsidRPr="00E02664">
        <w:rPr>
          <w:rStyle w:val="y2iqfc"/>
          <w:rFonts w:asciiTheme="majorBidi" w:eastAsia="Arial" w:hAnsiTheme="majorBidi" w:cstheme="majorBidi"/>
          <w:lang w:val="en-GB"/>
        </w:rPr>
        <w:t>.</w:t>
      </w:r>
      <w:r w:rsidR="00B4516E" w:rsidRPr="00E02664">
        <w:rPr>
          <w:rFonts w:ascii="Times New Roman" w:hAnsi="Times New Roman"/>
        </w:rPr>
        <w:t xml:space="preserve"> Genç &amp;MacGinnis, 2022: 79-95; Genç &amp; MacGinnis, 2023).</w:t>
      </w:r>
      <w:r w:rsidR="00B4516E" w:rsidRPr="00E02664">
        <w:rPr>
          <w:rFonts w:ascii="Times New Roman" w:eastAsia="Times New Roman" w:hAnsi="Times New Roman" w:cs="Times New Roman"/>
          <w:noProof/>
        </w:rPr>
        <w:t> </w:t>
      </w:r>
      <w:r w:rsidR="00B4516E" w:rsidRPr="00E02664">
        <w:rPr>
          <w:rFonts w:ascii="Times New Roman" w:hAnsi="Times New Roman"/>
        </w:rPr>
        <w:t xml:space="preserve"> There is no doubt that the original </w:t>
      </w:r>
      <w:r w:rsidR="00B4516E" w:rsidRPr="00E02664">
        <w:rPr>
          <w:rFonts w:ascii="Times New Roman" w:eastAsia="Times New Roman" w:hAnsi="Times New Roman" w:cs="Times New Roman"/>
          <w:noProof/>
        </w:rPr>
        <w:t>center</w:t>
      </w:r>
      <w:r w:rsidR="00B4516E" w:rsidRPr="00E02664">
        <w:rPr>
          <w:rFonts w:ascii="Times New Roman" w:hAnsi="Times New Roman"/>
        </w:rPr>
        <w:t xml:space="preserve"> of the Urartian capital was Van Fortress</w:t>
      </w:r>
      <w:r w:rsidR="00B4516E" w:rsidRPr="00E02664">
        <w:rPr>
          <w:rFonts w:ascii="Times New Roman" w:eastAsia="Times New Roman" w:hAnsi="Times New Roman" w:cs="Times New Roman"/>
          <w:noProof/>
        </w:rPr>
        <w:t> </w:t>
      </w:r>
      <w:r w:rsidR="00B4516E" w:rsidRPr="00E02664">
        <w:rPr>
          <w:rFonts w:ascii="Times New Roman" w:hAnsi="Times New Roman"/>
        </w:rPr>
        <w:t xml:space="preserve">(Fig. 1). The </w:t>
      </w:r>
      <w:r w:rsidR="00B4516E" w:rsidRPr="00E02664">
        <w:rPr>
          <w:rFonts w:ascii="Times New Roman" w:eastAsia="Times New Roman" w:hAnsi="Times New Roman" w:cs="Times New Roman"/>
          <w:noProof/>
        </w:rPr>
        <w:t>mighty</w:t>
      </w:r>
      <w:r w:rsidR="00B4516E" w:rsidRPr="00E02664">
        <w:rPr>
          <w:rFonts w:ascii="Times New Roman" w:hAnsi="Times New Roman"/>
        </w:rPr>
        <w:t xml:space="preserve"> walls of the highest and inner citadel and the inscriptions of Sarduri</w:t>
      </w:r>
      <w:r w:rsidR="00B4516E" w:rsidRPr="00E02664">
        <w:rPr>
          <w:rFonts w:ascii="Times New Roman" w:eastAsia="Times New Roman" w:hAnsi="Times New Roman" w:cs="Times New Roman"/>
          <w:noProof/>
        </w:rPr>
        <w:t> </w:t>
      </w:r>
      <w:r w:rsidR="00B4516E" w:rsidRPr="00E02664">
        <w:rPr>
          <w:rStyle w:val="y2iqfc"/>
          <w:rFonts w:asciiTheme="majorBidi" w:eastAsia="Arial" w:hAnsiTheme="majorBidi" w:cstheme="majorBidi"/>
          <w:color w:val="202124"/>
          <w:lang w:val="en-GB"/>
        </w:rPr>
        <w:fldChar w:fldCharType="begin"/>
      </w:r>
      <w:r w:rsidR="00B4516E" w:rsidRPr="00E02664">
        <w:rPr>
          <w:rFonts w:asciiTheme="majorBidi" w:hAnsiTheme="majorBidi" w:cstheme="majorBidi"/>
          <w:lang w:val="en-GB"/>
        </w:rPr>
        <w:instrText xml:space="preserve"> XE "</w:instrText>
      </w:r>
      <w:r w:rsidR="00B4516E" w:rsidRPr="00E02664">
        <w:rPr>
          <w:rFonts w:asciiTheme="majorBidi" w:hAnsiTheme="majorBidi" w:cstheme="majorBidi"/>
          <w:iCs/>
          <w:lang w:val="en-GB"/>
        </w:rPr>
        <w:instrText>Sarduri</w:instrText>
      </w:r>
      <w:r w:rsidR="00B4516E" w:rsidRPr="00E02664">
        <w:rPr>
          <w:rFonts w:asciiTheme="majorBidi" w:hAnsiTheme="majorBidi" w:cstheme="majorBidi"/>
          <w:lang w:val="en-GB"/>
        </w:rPr>
        <w:instrText xml:space="preserve">" </w:instrText>
      </w:r>
      <w:r w:rsidR="00B4516E" w:rsidRPr="00E02664">
        <w:rPr>
          <w:rStyle w:val="y2iqfc"/>
          <w:rFonts w:asciiTheme="majorBidi" w:eastAsia="Arial" w:hAnsiTheme="majorBidi" w:cstheme="majorBidi"/>
          <w:color w:val="202124"/>
          <w:lang w:val="en-GB"/>
        </w:rPr>
        <w:fldChar w:fldCharType="end"/>
      </w:r>
      <w:r w:rsidR="00B4516E" w:rsidRPr="00E02664">
        <w:rPr>
          <w:rStyle w:val="y2iqfc"/>
          <w:rFonts w:asciiTheme="majorBidi" w:eastAsia="Arial" w:hAnsiTheme="majorBidi" w:cstheme="majorBidi"/>
          <w:color w:val="202124"/>
          <w:lang w:val="en-GB"/>
        </w:rPr>
        <w:t xml:space="preserve"> </w:t>
      </w:r>
      <w:r w:rsidR="00B4516E" w:rsidRPr="00E02664">
        <w:rPr>
          <w:rFonts w:ascii="Times New Roman" w:hAnsi="Times New Roman"/>
        </w:rPr>
        <w:t>I</w:t>
      </w:r>
      <w:r w:rsidR="00B4516E" w:rsidRPr="00E02664">
        <w:rPr>
          <w:rFonts w:ascii="Times New Roman" w:eastAsia="Times New Roman" w:hAnsi="Times New Roman" w:cs="Times New Roman"/>
          <w:noProof/>
        </w:rPr>
        <w:t> </w:t>
      </w:r>
      <w:r w:rsidR="00B4516E" w:rsidRPr="00E02664">
        <w:rPr>
          <w:rStyle w:val="y2iqfc"/>
          <w:rFonts w:asciiTheme="majorBidi" w:eastAsia="Arial" w:hAnsiTheme="majorBidi" w:cstheme="majorBidi"/>
          <w:color w:val="202124"/>
          <w:lang w:val="en-GB"/>
        </w:rPr>
        <w:fldChar w:fldCharType="begin"/>
      </w:r>
      <w:r w:rsidR="00B4516E" w:rsidRPr="00E02664">
        <w:rPr>
          <w:rFonts w:asciiTheme="majorBidi" w:hAnsiTheme="majorBidi" w:cstheme="majorBidi"/>
          <w:lang w:val="en-GB"/>
        </w:rPr>
        <w:instrText xml:space="preserve"> XE "Sarduri I" </w:instrText>
      </w:r>
      <w:r w:rsidR="00B4516E" w:rsidRPr="00E02664">
        <w:rPr>
          <w:rStyle w:val="y2iqfc"/>
          <w:rFonts w:asciiTheme="majorBidi" w:eastAsia="Arial" w:hAnsiTheme="majorBidi" w:cstheme="majorBidi"/>
          <w:color w:val="202124"/>
          <w:lang w:val="en-GB"/>
        </w:rPr>
        <w:fldChar w:fldCharType="end"/>
      </w:r>
      <w:r w:rsidR="00B4516E" w:rsidRPr="00E02664">
        <w:rPr>
          <w:rStyle w:val="y2iqfc"/>
          <w:rFonts w:asciiTheme="majorBidi" w:eastAsia="Arial" w:hAnsiTheme="majorBidi" w:cstheme="majorBidi"/>
          <w:color w:val="202124"/>
          <w:lang w:val="en-GB"/>
        </w:rPr>
        <w:t xml:space="preserve"> </w:t>
      </w:r>
      <w:r w:rsidR="00B4516E" w:rsidRPr="00E02664">
        <w:rPr>
          <w:rFonts w:ascii="Times New Roman" w:hAnsi="Times New Roman"/>
        </w:rPr>
        <w:t>at the western edge of the cliff bear witness to it. However</w:t>
      </w:r>
      <w:r w:rsidR="00B4516E" w:rsidRPr="00E02664">
        <w:rPr>
          <w:rFonts w:ascii="Times New Roman" w:eastAsia="Times New Roman" w:hAnsi="Times New Roman" w:cs="Times New Roman"/>
          <w:noProof/>
        </w:rPr>
        <w:t>,</w:t>
      </w:r>
      <w:r w:rsidR="00B4516E" w:rsidRPr="00E02664">
        <w:rPr>
          <w:rFonts w:ascii="Times New Roman" w:hAnsi="Times New Roman"/>
        </w:rPr>
        <w:t xml:space="preserve"> outside the cliff of Van, the main seat of the Urartian capital Ṭušpa, at a distance of 5 km inland, we note the imposing rock niche of Meher Kapısı</w:t>
      </w:r>
      <w:r w:rsidR="00B4516E" w:rsidRPr="00E02664">
        <w:rPr>
          <w:rFonts w:ascii="Times New Roman" w:eastAsia="Times New Roman" w:hAnsi="Times New Roman" w:cs="Times New Roman"/>
          <w:noProof/>
        </w:rPr>
        <w:t>,</w:t>
      </w:r>
      <w:r w:rsidR="00B4516E" w:rsidRPr="00E02664">
        <w:rPr>
          <w:rStyle w:val="y2iqfc"/>
          <w:rFonts w:asciiTheme="majorBidi" w:eastAsia="Arial" w:hAnsiTheme="majorBidi" w:cstheme="majorBidi"/>
          <w:color w:val="202124"/>
          <w:lang w:val="en-GB"/>
        </w:rPr>
        <w:fldChar w:fldCharType="begin"/>
      </w:r>
      <w:r w:rsidR="00B4516E" w:rsidRPr="00E02664">
        <w:rPr>
          <w:rFonts w:asciiTheme="majorBidi" w:hAnsiTheme="majorBidi" w:cstheme="majorBidi"/>
          <w:lang w:val="en-GB"/>
        </w:rPr>
        <w:instrText xml:space="preserve"> XE "</w:instrText>
      </w:r>
      <w:r w:rsidR="00B4516E" w:rsidRPr="00E02664">
        <w:rPr>
          <w:rStyle w:val="y2iqfc"/>
          <w:rFonts w:asciiTheme="majorBidi" w:eastAsia="Arial" w:hAnsiTheme="majorBidi" w:cstheme="majorBidi"/>
          <w:color w:val="202124"/>
          <w:lang w:val="en-GB"/>
        </w:rPr>
        <w:instrText>Meher Kapısı</w:instrText>
      </w:r>
      <w:r w:rsidR="00B4516E" w:rsidRPr="00E02664">
        <w:rPr>
          <w:rFonts w:asciiTheme="majorBidi" w:hAnsiTheme="majorBidi" w:cstheme="majorBidi"/>
          <w:lang w:val="en-GB"/>
        </w:rPr>
        <w:instrText xml:space="preserve">" </w:instrText>
      </w:r>
      <w:r w:rsidR="00B4516E" w:rsidRPr="00E02664">
        <w:rPr>
          <w:rStyle w:val="y2iqfc"/>
          <w:rFonts w:asciiTheme="majorBidi" w:eastAsia="Arial" w:hAnsiTheme="majorBidi" w:cstheme="majorBidi"/>
          <w:color w:val="202124"/>
          <w:lang w:val="en-GB"/>
        </w:rPr>
        <w:fldChar w:fldCharType="end"/>
      </w:r>
      <w:r w:rsidR="00B4516E" w:rsidRPr="00E02664">
        <w:rPr>
          <w:rFonts w:ascii="Times New Roman" w:hAnsi="Times New Roman"/>
        </w:rPr>
        <w:t xml:space="preserve"> commissioned by Išpuini</w:t>
      </w:r>
      <w:r w:rsidR="00B4516E" w:rsidRPr="00E02664">
        <w:rPr>
          <w:rFonts w:ascii="Times New Roman" w:eastAsia="Times New Roman" w:hAnsi="Times New Roman" w:cs="Times New Roman"/>
          <w:noProof/>
        </w:rPr>
        <w:t>,</w:t>
      </w:r>
      <w:r w:rsidR="00B4516E" w:rsidRPr="00E02664">
        <w:rPr>
          <w:rStyle w:val="y2iqfc"/>
          <w:rFonts w:asciiTheme="majorBidi" w:eastAsia="Arial" w:hAnsiTheme="majorBidi" w:cstheme="majorBidi"/>
          <w:i/>
          <w:iCs/>
          <w:color w:val="202124"/>
          <w:lang w:val="en-GB"/>
        </w:rPr>
        <w:fldChar w:fldCharType="begin"/>
      </w:r>
      <w:r w:rsidR="00B4516E" w:rsidRPr="00E02664">
        <w:rPr>
          <w:rFonts w:asciiTheme="majorBidi" w:hAnsiTheme="majorBidi" w:cstheme="majorBidi"/>
          <w:lang w:val="en-GB"/>
        </w:rPr>
        <w:instrText xml:space="preserve"> XE "Išpuini" </w:instrText>
      </w:r>
      <w:r w:rsidR="00B4516E" w:rsidRPr="00E02664">
        <w:rPr>
          <w:rStyle w:val="y2iqfc"/>
          <w:rFonts w:asciiTheme="majorBidi" w:eastAsia="Arial" w:hAnsiTheme="majorBidi" w:cstheme="majorBidi"/>
          <w:i/>
          <w:iCs/>
          <w:color w:val="202124"/>
          <w:lang w:val="en-GB"/>
        </w:rPr>
        <w:fldChar w:fldCharType="end"/>
      </w:r>
      <w:r w:rsidR="00B4516E" w:rsidRPr="00E02664">
        <w:rPr>
          <w:rFonts w:ascii="Times New Roman" w:hAnsi="Times New Roman"/>
        </w:rPr>
        <w:t xml:space="preserve"> son of Sarduri, accompanied by his son and heir Minua</w:t>
      </w:r>
      <w:r w:rsidR="00B4516E" w:rsidRPr="00E02664">
        <w:rPr>
          <w:rFonts w:ascii="Times New Roman" w:eastAsia="Times New Roman" w:hAnsi="Times New Roman" w:cs="Times New Roman"/>
          <w:noProof/>
        </w:rPr>
        <w:t> </w:t>
      </w:r>
      <w:r w:rsidR="00B4516E" w:rsidRPr="00E02664">
        <w:rPr>
          <w:rStyle w:val="y2iqfc"/>
          <w:rFonts w:asciiTheme="majorBidi" w:eastAsia="Arial" w:hAnsiTheme="majorBidi" w:cstheme="majorBidi"/>
          <w:color w:val="202124"/>
          <w:lang w:val="en-GB"/>
        </w:rPr>
        <w:fldChar w:fldCharType="begin"/>
      </w:r>
      <w:r w:rsidR="00B4516E" w:rsidRPr="00E02664">
        <w:rPr>
          <w:rFonts w:asciiTheme="majorBidi" w:hAnsiTheme="majorBidi" w:cstheme="majorBidi"/>
          <w:lang w:val="en-GB"/>
        </w:rPr>
        <w:instrText xml:space="preserve"> XE "Minua" </w:instrText>
      </w:r>
      <w:r w:rsidR="00B4516E" w:rsidRPr="00E02664">
        <w:rPr>
          <w:rStyle w:val="y2iqfc"/>
          <w:rFonts w:asciiTheme="majorBidi" w:eastAsia="Arial" w:hAnsiTheme="majorBidi" w:cstheme="majorBidi"/>
          <w:color w:val="202124"/>
          <w:lang w:val="en-GB"/>
        </w:rPr>
        <w:fldChar w:fldCharType="end"/>
      </w:r>
      <w:r w:rsidR="00B4516E" w:rsidRPr="00E02664">
        <w:rPr>
          <w:rStyle w:val="y2iqfc"/>
          <w:rFonts w:asciiTheme="majorBidi" w:eastAsia="Arial" w:hAnsiTheme="majorBidi" w:cstheme="majorBidi"/>
          <w:color w:val="202124"/>
          <w:lang w:val="en-GB"/>
        </w:rPr>
        <w:t xml:space="preserve"> </w:t>
      </w:r>
      <w:r w:rsidR="00B4516E" w:rsidRPr="00E02664">
        <w:rPr>
          <w:rFonts w:ascii="Times New Roman" w:hAnsi="Times New Roman"/>
        </w:rPr>
        <w:t>(Fig. 2).</w:t>
      </w:r>
      <w:r w:rsidR="00B4516E" w:rsidRPr="00315E88">
        <w:rPr>
          <w:rFonts w:ascii="Times New Roman" w:hAnsi="Times New Roman"/>
        </w:rPr>
        <w:t xml:space="preserve"> </w:t>
      </w:r>
    </w:p>
    <w:p w14:paraId="175E1A45" w14:textId="68ED256B" w:rsidR="00B4516E" w:rsidRPr="00CC135C" w:rsidRDefault="00B4516E" w:rsidP="00B4516E">
      <w:pPr>
        <w:spacing w:after="200"/>
        <w:jc w:val="both"/>
        <w:rPr>
          <w:rFonts w:ascii="Times New Roman" w:hAnsi="Times New Roman"/>
          <w:i/>
          <w:iCs/>
          <w:lang w:val="en-GB"/>
        </w:rPr>
      </w:pPr>
      <w:r w:rsidRPr="00CC135C">
        <w:rPr>
          <w:rFonts w:ascii="Times New Roman" w:hAnsi="Times New Roman"/>
          <w:lang w:val="en-GB"/>
        </w:rPr>
        <w:t>Fig. 2 The Rock Niche of Meher Kapısı (M. Salvini, 2003).</w:t>
      </w:r>
    </w:p>
    <w:p w14:paraId="102285FD" w14:textId="694280B6"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 xml:space="preserve">This important epigraphic and historical monument – a </w:t>
      </w:r>
      <w:r w:rsidRPr="006F04E6">
        <w:rPr>
          <w:rFonts w:ascii="Times New Roman" w:eastAsia="Arial" w:hAnsi="Times New Roman" w:cs="Times New Roman"/>
          <w:color w:val="202124"/>
          <w:lang w:val="en-GB" w:eastAsia="it-IT"/>
        </w:rPr>
        <w:t>‘</w:t>
      </w:r>
      <w:r w:rsidRPr="006F04E6">
        <w:rPr>
          <w:rFonts w:ascii="Times New Roman" w:hAnsi="Times New Roman"/>
        </w:rPr>
        <w:t>Ḫaldi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iCs/>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Ḫaldi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iCs/>
          <w:color w:val="202124"/>
          <w:lang w:val="en-GB"/>
        </w:rPr>
        <w:fldChar w:fldCharType="end"/>
      </w:r>
      <w:r w:rsidRPr="006F04E6">
        <w:rPr>
          <w:rStyle w:val="y2iqfc"/>
          <w:rFonts w:asciiTheme="majorBidi" w:eastAsia="Arial" w:hAnsiTheme="majorBidi" w:cstheme="majorBidi"/>
          <w:iCs/>
          <w:color w:val="202124"/>
          <w:lang w:val="en-GB"/>
        </w:rPr>
        <w:t xml:space="preserve"> </w:t>
      </w:r>
      <w:r w:rsidRPr="006F04E6">
        <w:rPr>
          <w:rFonts w:ascii="Times New Roman" w:hAnsi="Times New Roman"/>
        </w:rPr>
        <w:t>gate</w:t>
      </w:r>
      <w:r w:rsidRPr="006F04E6">
        <w:rPr>
          <w:rFonts w:ascii="Times New Roman" w:eastAsia="Arial" w:hAnsi="Times New Roman" w:cs="Times New Roman"/>
          <w:color w:val="202124"/>
          <w:lang w:val="en-GB" w:eastAsia="it-IT"/>
        </w:rPr>
        <w:t>’</w:t>
      </w:r>
      <w:r w:rsidRPr="006F04E6">
        <w:rPr>
          <w:rFonts w:ascii="Times New Roman" w:hAnsi="Times New Roman"/>
        </w:rPr>
        <w:t xml:space="preserve"> dedicated to the Urartian</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"Urartian"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national god – is directly connected to the Urartian presence at Van Fortress. It is a long text of animal sacrifices intended for all the </w:t>
      </w:r>
      <w:r w:rsidRPr="006F04E6">
        <w:rPr>
          <w:rFonts w:ascii="Times New Roman" w:eastAsia="Arial" w:hAnsi="Times New Roman" w:cs="Times New Roman"/>
          <w:color w:val="202124"/>
          <w:lang w:val="en-GB" w:eastAsia="it-IT"/>
        </w:rPr>
        <w:t xml:space="preserve">realm's </w:t>
      </w:r>
      <w:r w:rsidRPr="006F04E6">
        <w:rPr>
          <w:rFonts w:ascii="Times New Roman" w:hAnsi="Times New Roman"/>
        </w:rPr>
        <w:t>gods.</w:t>
      </w:r>
    </w:p>
    <w:p w14:paraId="177AE1E0"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It is part of the presence of the Urartian</w:t>
      </w:r>
      <w:r w:rsidRPr="006F04E6">
        <w:rPr>
          <w:rFonts w:ascii="Times New Roman" w:eastAsia="Arial" w:hAnsi="Times New Roman" w:cs="Times New Roman"/>
          <w:color w:val="202124"/>
          <w:lang w:val="en-GB" w:eastAsia="it-IT"/>
        </w:rPr>
        <w:t> </w:t>
      </w:r>
      <w:r w:rsidRPr="006F04E6">
        <w:rPr>
          <w:rStyle w:val="y2iqfc"/>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"Urartian" </w:instrText>
      </w:r>
      <w:r w:rsidRPr="006F04E6">
        <w:rPr>
          <w:rStyle w:val="y2iqfc"/>
          <w:rFonts w:asciiTheme="majorBidi" w:hAnsiTheme="majorBidi" w:cstheme="majorBidi"/>
          <w:color w:val="202124"/>
          <w:lang w:val="en-GB"/>
        </w:rPr>
        <w:fldChar w:fldCharType="end"/>
      </w:r>
      <w:r w:rsidRPr="006F04E6">
        <w:rPr>
          <w:rStyle w:val="y2iqfc"/>
          <w:rFonts w:asciiTheme="majorBidi" w:hAnsiTheme="majorBidi" w:cstheme="majorBidi"/>
          <w:color w:val="202124"/>
          <w:lang w:val="en-GB"/>
        </w:rPr>
        <w:t xml:space="preserve"> </w:t>
      </w:r>
      <w:r w:rsidRPr="006F04E6">
        <w:rPr>
          <w:rFonts w:ascii="Times New Roman" w:hAnsi="Times New Roman"/>
        </w:rPr>
        <w:t>kings in Ṭušpa</w:t>
      </w:r>
      <w:r w:rsidRPr="006F04E6">
        <w:rPr>
          <w:rFonts w:ascii="Times New Roman" w:eastAsia="Arial" w:hAnsi="Times New Roman" w:cs="Times New Roman"/>
          <w:color w:val="202124"/>
          <w:lang w:val="en-GB" w:eastAsia="it-IT"/>
        </w:rPr>
        <w:t> </w:t>
      </w:r>
      <w:r w:rsidRPr="006F04E6">
        <w:rPr>
          <w:rFonts w:ascii="Times New Roman" w:hAnsi="Times New Roman"/>
        </w:rPr>
        <w:t xml:space="preserve">and reflects not only the religious structure of the state but also the results of the first external conquests, especially east of the </w:t>
      </w:r>
      <w:r w:rsidRPr="006F04E6">
        <w:rPr>
          <w:rFonts w:ascii="Times New Roman" w:hAnsi="Times New Roman"/>
          <w:color w:val="202124"/>
        </w:rPr>
        <w:t>Zagros</w:t>
      </w:r>
      <w:r w:rsidRPr="006F04E6">
        <w:rPr>
          <w:rFonts w:ascii="Times New Roman" w:eastAsia="Arial" w:hAnsi="Times New Roman" w:cs="Times New Roman"/>
          <w:color w:val="202124"/>
          <w:lang w:val="en-GB" w:eastAsia="it-IT"/>
        </w:rPr>
        <w:t> </w:t>
      </w:r>
      <w:r w:rsidRPr="006F04E6">
        <w:rPr>
          <w:rStyle w:val="y2iqfc"/>
          <w:rFonts w:asciiTheme="majorBidi" w:hAnsiTheme="majorBidi" w:cstheme="majorBidi"/>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hAnsiTheme="majorBidi" w:cstheme="majorBidi"/>
          <w:lang w:val="en-GB"/>
        </w:rPr>
        <w:instrText>Zagros</w:instrText>
      </w:r>
      <w:r w:rsidRPr="006F04E6">
        <w:rPr>
          <w:rFonts w:asciiTheme="majorBidi" w:hAnsiTheme="majorBidi" w:cstheme="majorBidi"/>
          <w:lang w:val="en-GB"/>
        </w:rPr>
        <w:instrText xml:space="preserve">" </w:instrText>
      </w:r>
      <w:r w:rsidRPr="006F04E6">
        <w:rPr>
          <w:rStyle w:val="y2iqfc"/>
          <w:rFonts w:asciiTheme="majorBidi" w:hAnsiTheme="majorBidi" w:cstheme="majorBidi"/>
          <w:lang w:val="en-GB"/>
        </w:rPr>
        <w:fldChar w:fldCharType="end"/>
      </w:r>
      <w:r w:rsidRPr="006F04E6">
        <w:rPr>
          <w:rStyle w:val="y2iqfc"/>
          <w:rFonts w:asciiTheme="majorBidi" w:hAnsiTheme="majorBidi" w:cstheme="majorBidi"/>
          <w:lang w:val="en-GB"/>
        </w:rPr>
        <w:t xml:space="preserve"> </w:t>
      </w:r>
      <w:r w:rsidRPr="006F04E6">
        <w:rPr>
          <w:rFonts w:ascii="Times New Roman" w:hAnsi="Times New Roman"/>
          <w:color w:val="202124"/>
        </w:rPr>
        <w:t xml:space="preserve">(Salvini, 1994: </w:t>
      </w:r>
      <w:r w:rsidRPr="006F04E6">
        <w:rPr>
          <w:rFonts w:ascii="Times New Roman" w:hAnsi="Times New Roman"/>
          <w:color w:val="202124"/>
          <w:lang w:val="en-GB"/>
        </w:rPr>
        <w:t>205-210)</w:t>
      </w:r>
      <w:r w:rsidRPr="006F04E6">
        <w:rPr>
          <w:rFonts w:ascii="Times New Roman" w:hAnsi="Times New Roman"/>
          <w:color w:val="202124"/>
        </w:rPr>
        <w:t xml:space="preserve">. </w:t>
      </w:r>
      <w:r w:rsidRPr="006F04E6">
        <w:rPr>
          <w:rFonts w:ascii="Times New Roman" w:hAnsi="Times New Roman"/>
        </w:rPr>
        <w:t xml:space="preserve">The gods of </w:t>
      </w:r>
      <w:r w:rsidRPr="006F04E6">
        <w:rPr>
          <w:rFonts w:ascii="Times New Roman" w:eastAsia="Arial" w:hAnsi="Times New Roman" w:cs="Times New Roman"/>
          <w:color w:val="202124"/>
          <w:lang w:val="en-GB" w:eastAsia="it-IT"/>
        </w:rPr>
        <w:t>Ṭušpa are</w:t>
      </w:r>
      <w:r w:rsidRPr="006F04E6">
        <w:rPr>
          <w:rFonts w:ascii="Times New Roman" w:hAnsi="Times New Roman"/>
        </w:rPr>
        <w:t xml:space="preserve"> the gods of the Urartian state pantheon, i.</w:t>
      </w:r>
      <w:r w:rsidRPr="006F04E6">
        <w:rPr>
          <w:rFonts w:ascii="Times New Roman" w:hAnsi="Times New Roman"/>
          <w:color w:val="202124"/>
          <w:lang w:val="en-GB"/>
        </w:rPr>
        <w:t>e</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w:t>
      </w:r>
      <w:r w:rsidRPr="006F04E6">
        <w:rPr>
          <w:rFonts w:ascii="Times New Roman" w:hAnsi="Times New Roman"/>
        </w:rPr>
        <w:t>the gods of the syncretistic list of Meher Kapısı</w:t>
      </w:r>
      <w:r w:rsidRPr="006F04E6">
        <w:rPr>
          <w:rFonts w:ascii="Times New Roman" w:eastAsia="Arial" w:hAnsi="Times New Roman" w:cs="Times New Roman"/>
          <w:color w:val="202124"/>
          <w:lang w:val="en-GB" w:eastAsia="it-IT"/>
        </w:rPr>
        <w:t xml:space="preserve"> </w:t>
      </w:r>
      <w:r w:rsidRPr="006F04E6">
        <w:rPr>
          <w:rStyle w:val="y2iqfc"/>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Meher Kapısı</w:instrText>
      </w:r>
      <w:r w:rsidRPr="006F04E6">
        <w:rPr>
          <w:rFonts w:asciiTheme="majorBidi" w:hAnsiTheme="majorBidi" w:cstheme="majorBidi"/>
          <w:lang w:val="en-GB"/>
        </w:rPr>
        <w:instrText xml:space="preserve">" </w:instrText>
      </w:r>
      <w:r w:rsidRPr="006F04E6">
        <w:rPr>
          <w:rStyle w:val="y2iqfc"/>
          <w:rFonts w:asciiTheme="majorBidi" w:hAnsiTheme="majorBidi" w:cstheme="majorBidi"/>
          <w:color w:val="202124"/>
          <w:lang w:val="en-GB"/>
        </w:rPr>
        <w:fldChar w:fldCharType="end"/>
      </w:r>
      <w:r w:rsidRPr="006F04E6">
        <w:rPr>
          <w:rStyle w:val="y2iqfc"/>
          <w:rFonts w:asciiTheme="majorBidi" w:hAnsiTheme="majorBidi" w:cstheme="majorBidi"/>
          <w:color w:val="202124"/>
          <w:lang w:val="en-GB"/>
        </w:rPr>
        <w:t>,</w:t>
      </w:r>
      <w:r w:rsidRPr="006F04E6">
        <w:rPr>
          <w:rFonts w:ascii="Times New Roman" w:hAnsi="Times New Roman"/>
        </w:rPr>
        <w:t xml:space="preserve"> which reflects the beginning of the constitution of an empire. Meher Kapısı can be said to be part of the Urartian capital Ṭušpa (Salvini, 2014: </w:t>
      </w:r>
      <w:r w:rsidRPr="006F04E6">
        <w:rPr>
          <w:rFonts w:ascii="Times New Roman" w:hAnsi="Times New Roman"/>
          <w:color w:val="202124"/>
          <w:lang w:val="en-GB"/>
        </w:rPr>
        <w:t>218-222)</w:t>
      </w:r>
      <w:r w:rsidRPr="006F04E6">
        <w:rPr>
          <w:rFonts w:ascii="Times New Roman" w:hAnsi="Times New Roman"/>
        </w:rPr>
        <w:t xml:space="preserve">, which has its </w:t>
      </w:r>
      <w:r w:rsidRPr="006F04E6">
        <w:rPr>
          <w:rFonts w:ascii="Times New Roman" w:eastAsia="Arial" w:hAnsi="Times New Roman" w:cs="Times New Roman"/>
          <w:color w:val="202124"/>
          <w:lang w:val="en-GB" w:eastAsia="it-IT"/>
        </w:rPr>
        <w:t>center</w:t>
      </w:r>
      <w:r w:rsidRPr="006F04E6">
        <w:rPr>
          <w:rFonts w:ascii="Times New Roman" w:hAnsi="Times New Roman"/>
        </w:rPr>
        <w:t xml:space="preserve"> in Van Fortress. </w:t>
      </w:r>
      <w:r w:rsidRPr="006F04E6">
        <w:rPr>
          <w:rFonts w:ascii="Times New Roman" w:eastAsia="Arial" w:hAnsi="Times New Roman" w:cs="Times New Roman"/>
          <w:color w:val="202124"/>
          <w:lang w:val="en-GB" w:eastAsia="it-IT"/>
        </w:rPr>
        <w:t> </w:t>
      </w:r>
      <w:r w:rsidRPr="006F04E6">
        <w:rPr>
          <w:rFonts w:ascii="Times New Roman" w:hAnsi="Times New Roman"/>
        </w:rPr>
        <w:t>One important aspect must be observed. The name of Ṭušpa does not occur in the oldest text, that of Sarduri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Sarduri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I</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"Sarduri 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nor do we find it in the texts signed by Išpuini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iCs/>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Išpuini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iCs/>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alone, nor in the </w:t>
      </w:r>
      <w:r w:rsidRPr="006F04E6">
        <w:rPr>
          <w:rFonts w:ascii="Times New Roman" w:eastAsia="Arial" w:hAnsi="Times New Roman" w:cs="Times New Roman"/>
          <w:color w:val="202124"/>
          <w:lang w:val="en-GB" w:eastAsia="it-IT"/>
        </w:rPr>
        <w:t>excellent</w:t>
      </w:r>
      <w:r w:rsidRPr="006F04E6">
        <w:rPr>
          <w:rFonts w:ascii="Times New Roman" w:hAnsi="Times New Roman"/>
        </w:rPr>
        <w:t xml:space="preserve"> text of Meher Kapısı (CTU I. A 3-1). The oldest attestation in Urartian texts is found in Yeşilalıç</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"Yeşilalıç"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(CTU I. A 3-2), the rock niche of Išpuini and Minua</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"Minua"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about 60 km east of Van, and precisely among the </w:t>
      </w:r>
      <w:r w:rsidRPr="006F04E6">
        <w:rPr>
          <w:rFonts w:ascii="Times New Roman" w:eastAsia="Arial" w:hAnsi="Times New Roman" w:cs="Times New Roman"/>
          <w:color w:val="202124"/>
          <w:lang w:val="en-GB" w:eastAsia="it-IT"/>
        </w:rPr>
        <w:t>actual</w:t>
      </w:r>
      <w:r w:rsidRPr="006F04E6">
        <w:rPr>
          <w:rFonts w:ascii="Times New Roman" w:hAnsi="Times New Roman"/>
        </w:rPr>
        <w:t xml:space="preserve"> titles that belong only to Išpuini: lines 2/3 and 7/8.</w:t>
      </w:r>
    </w:p>
    <w:p w14:paraId="20ADA4A7" w14:textId="77777777" w:rsidR="008F602E" w:rsidRPr="006F04E6"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6038133C" w14:textId="77777777" w:rsidR="00B4516E" w:rsidRDefault="00B4516E" w:rsidP="00B4516E">
      <w:pPr>
        <w:shd w:val="clear" w:color="auto" w:fill="F8F9FA"/>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
        <w:jc w:val="both"/>
        <w:rPr>
          <w:rStyle w:val="y2iqfc"/>
          <w:rFonts w:asciiTheme="majorBidi" w:eastAsia="Arial" w:hAnsiTheme="majorBidi" w:cstheme="majorBidi"/>
          <w:color w:val="202124"/>
          <w:lang w:val="en-GB"/>
        </w:rPr>
      </w:pPr>
      <w:r w:rsidRPr="006F04E6">
        <w:rPr>
          <w:rFonts w:ascii="Times New Roman" w:eastAsia="Arial" w:hAnsi="Times New Roman" w:cs="Times New Roman"/>
          <w:color w:val="202124"/>
          <w:lang w:val="en-GB" w:eastAsia="it-IT"/>
        </w:rPr>
        <w:t>“</w:t>
      </w:r>
      <w:r w:rsidRPr="006F04E6">
        <w:rPr>
          <w:rFonts w:ascii="Times New Roman" w:hAnsi="Times New Roman"/>
          <w:color w:val="202124"/>
          <w:vertAlign w:val="superscript"/>
          <w:lang w:val="en-GB"/>
        </w:rPr>
        <w:t>D</w:t>
      </w:r>
      <w:r w:rsidRPr="006F04E6">
        <w:rPr>
          <w:rFonts w:ascii="Times New Roman" w:hAnsi="Times New Roman"/>
          <w:color w:val="202124"/>
          <w:lang w:val="en-GB"/>
        </w:rPr>
        <w:t xml:space="preserve">ḫal-di-ni-ni uš-ma-ši-ni </w:t>
      </w:r>
      <w:r w:rsidRPr="006F04E6">
        <w:rPr>
          <w:rFonts w:ascii="Times New Roman" w:hAnsi="Times New Roman"/>
          <w:color w:val="202124"/>
          <w:vertAlign w:val="superscript"/>
          <w:lang w:val="en-GB"/>
        </w:rPr>
        <w:t>m</w:t>
      </w:r>
      <w:r w:rsidRPr="006F04E6">
        <w:rPr>
          <w:rFonts w:ascii="Times New Roman" w:hAnsi="Times New Roman"/>
          <w:color w:val="202124"/>
          <w:lang w:val="en-GB"/>
        </w:rPr>
        <w:t xml:space="preserve">iš-pu-ú-i-ni-ni </w:t>
      </w:r>
      <w:r w:rsidRPr="006F04E6">
        <w:rPr>
          <w:rFonts w:ascii="Times New Roman" w:hAnsi="Times New Roman"/>
          <w:color w:val="000000" w:themeColor="text1"/>
          <w:vertAlign w:val="superscript"/>
          <w:lang w:val="en-GB"/>
        </w:rPr>
        <w:t>mD</w:t>
      </w:r>
      <w:r w:rsidRPr="006F04E6">
        <w:rPr>
          <w:rFonts w:ascii="Times New Roman" w:hAnsi="Times New Roman"/>
          <w:color w:val="000000" w:themeColor="text1"/>
          <w:lang w:val="en-GB"/>
        </w:rPr>
        <w:t>sar</w:t>
      </w:r>
      <w:r w:rsidRPr="006F04E6">
        <w:rPr>
          <w:rFonts w:ascii="Times New Roman" w:hAnsi="Times New Roman"/>
          <w:color w:val="000000" w:themeColor="text1"/>
          <w:vertAlign w:val="subscript"/>
          <w:lang w:val="en-GB"/>
        </w:rPr>
        <w:t>5</w:t>
      </w:r>
      <w:r w:rsidRPr="006F04E6">
        <w:rPr>
          <w:rFonts w:ascii="Times New Roman" w:hAnsi="Times New Roman"/>
          <w:color w:val="000000" w:themeColor="text1"/>
          <w:lang w:val="en-GB"/>
        </w:rPr>
        <w:t>-</w:t>
      </w:r>
      <w:r w:rsidRPr="006F04E6">
        <w:rPr>
          <w:rFonts w:ascii="Times New Roman" w:hAnsi="Times New Roman"/>
          <w:color w:val="202124"/>
          <w:lang w:val="en-GB"/>
        </w:rPr>
        <w:t xml:space="preserve">du-ri-e-ḫi MAN </w:t>
      </w:r>
      <w:r w:rsidRPr="006F04E6">
        <w:rPr>
          <w:rFonts w:ascii="Times New Roman" w:hAnsi="Times New Roman"/>
          <w:i/>
          <w:color w:val="000000" w:themeColor="text1"/>
          <w:lang w:val="en-GB"/>
        </w:rPr>
        <w:t>DAN-NU</w:t>
      </w:r>
      <w:r w:rsidRPr="006F04E6">
        <w:rPr>
          <w:rFonts w:ascii="Times New Roman" w:hAnsi="Times New Roman"/>
          <w:color w:val="000000" w:themeColor="text1"/>
          <w:lang w:val="en-GB"/>
        </w:rPr>
        <w:t xml:space="preserve"> </w:t>
      </w:r>
      <w:r w:rsidRPr="006F04E6">
        <w:rPr>
          <w:rFonts w:ascii="Times New Roman" w:hAnsi="Times New Roman"/>
          <w:color w:val="202124"/>
          <w:lang w:val="en-GB"/>
        </w:rPr>
        <w:t xml:space="preserve">MAN al-su-i-ni MAN </w:t>
      </w:r>
      <w:r w:rsidRPr="006F04E6">
        <w:rPr>
          <w:rFonts w:ascii="Times New Roman" w:hAnsi="Times New Roman"/>
          <w:color w:val="202124"/>
          <w:vertAlign w:val="superscript"/>
          <w:lang w:val="en-GB"/>
        </w:rPr>
        <w:t>KUR</w:t>
      </w:r>
      <w:r w:rsidRPr="006F04E6">
        <w:rPr>
          <w:rFonts w:ascii="Times New Roman" w:hAnsi="Times New Roman"/>
          <w:color w:val="202124"/>
          <w:lang w:val="en-GB"/>
        </w:rPr>
        <w:t xml:space="preserve">bi-ia-i-na-ú-e a-lu-si </w:t>
      </w:r>
      <w:r w:rsidRPr="006F04E6">
        <w:rPr>
          <w:rFonts w:ascii="Times New Roman" w:hAnsi="Times New Roman"/>
          <w:color w:val="202124"/>
          <w:vertAlign w:val="superscript"/>
          <w:lang w:val="en-GB"/>
        </w:rPr>
        <w:t>URU</w:t>
      </w:r>
      <w:r w:rsidRPr="006F04E6">
        <w:rPr>
          <w:rFonts w:ascii="Times New Roman" w:hAnsi="Times New Roman"/>
          <w:color w:val="202124"/>
          <w:lang w:val="en-GB"/>
        </w:rPr>
        <w:t>ṭu-uš-pa-a URU</w:t>
      </w:r>
      <w:r w:rsidRPr="006F04E6">
        <w:rPr>
          <w:rFonts w:ascii="Times New Roman" w:eastAsia="Arial" w:hAnsi="Times New Roman" w:cs="Times New Roman"/>
          <w:color w:val="202124"/>
          <w:lang w:val="en-GB" w:eastAsia="it-IT"/>
        </w:rPr>
        <w:t xml:space="preserve"> = </w:t>
      </w:r>
      <w:r w:rsidRPr="006F04E6">
        <w:rPr>
          <w:rFonts w:ascii="Times New Roman" w:hAnsi="Times New Roman"/>
        </w:rPr>
        <w:t>Išpuini</w:t>
      </w:r>
      <w:r w:rsidRPr="006F04E6">
        <w:rPr>
          <w:rStyle w:val="y2iqfc"/>
          <w:rFonts w:asciiTheme="majorBidi" w:eastAsia="Arial" w:hAnsiTheme="majorBidi" w:cstheme="majorBidi"/>
          <w:iCs/>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Išpuini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iCs/>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the son of Sarduri</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Sarduri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the mighty king, the great king, the king of Biainili</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Biainili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the lord of the city of Ṭušpa</w:t>
      </w:r>
      <w:r w:rsidRPr="006F04E6">
        <w:rPr>
          <w:rStyle w:val="y2iqfc"/>
          <w:rFonts w:asciiTheme="majorBidi" w:eastAsia="Arial" w:hAnsiTheme="majorBidi" w:cstheme="majorBidi"/>
          <w:color w:val="202124"/>
          <w:lang w:val="en-GB"/>
        </w:rPr>
        <w:t>”.</w:t>
      </w:r>
    </w:p>
    <w:p w14:paraId="2958B34D" w14:textId="77777777" w:rsidR="008F602E" w:rsidRPr="006F04E6" w:rsidRDefault="008F602E" w:rsidP="00B4516E">
      <w:pPr>
        <w:shd w:val="clear" w:color="auto" w:fill="F8F9FA"/>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
        <w:jc w:val="both"/>
        <w:rPr>
          <w:rFonts w:ascii="Times New Roman" w:hAnsi="Times New Roman"/>
          <w:color w:val="202124"/>
          <w:lang w:val="en-GB"/>
        </w:rPr>
      </w:pPr>
    </w:p>
    <w:p w14:paraId="6246BBDD"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lastRenderedPageBreak/>
        <w:t>Išpuini</w:t>
      </w:r>
      <w:r w:rsidRPr="006F04E6">
        <w:rPr>
          <w:rStyle w:val="y2iqfc"/>
          <w:rFonts w:asciiTheme="majorBidi" w:eastAsia="Arial" w:hAnsiTheme="majorBidi" w:cstheme="majorBidi"/>
          <w:i/>
          <w:iCs/>
          <w:color w:val="202124"/>
          <w:lang w:val="en-GB"/>
        </w:rPr>
        <w:fldChar w:fldCharType="begin"/>
      </w:r>
      <w:r w:rsidRPr="006F04E6">
        <w:rPr>
          <w:rFonts w:asciiTheme="majorBidi" w:hAnsiTheme="majorBidi" w:cstheme="majorBidi"/>
          <w:lang w:val="en-GB"/>
        </w:rPr>
        <w:instrText xml:space="preserve"> XE "Išpuini" </w:instrText>
      </w:r>
      <w:r w:rsidRPr="006F04E6">
        <w:rPr>
          <w:rStyle w:val="y2iqfc"/>
          <w:rFonts w:asciiTheme="majorBidi" w:eastAsia="Arial" w:hAnsiTheme="majorBidi" w:cstheme="majorBidi"/>
          <w:i/>
          <w:iCs/>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like all the kings of Urartu</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"Urartu"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after him, declares himself king of Biainili</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Biainili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which is the indigenous designation in the Urartian</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"Urartian"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language of the nation, which the Assyrians call Urartu (Salvini, 2015: </w:t>
      </w:r>
      <w:r w:rsidRPr="006F04E6">
        <w:rPr>
          <w:rFonts w:ascii="Times New Roman" w:hAnsi="Times New Roman"/>
          <w:color w:val="202124"/>
          <w:lang w:val="en-GB"/>
        </w:rPr>
        <w:t>389-394)</w:t>
      </w:r>
      <w:r w:rsidRPr="006F04E6">
        <w:rPr>
          <w:rFonts w:ascii="Times New Roman" w:hAnsi="Times New Roman"/>
        </w:rPr>
        <w:t xml:space="preserve">. </w:t>
      </w:r>
      <w:r w:rsidRPr="006F04E6">
        <w:rPr>
          <w:rFonts w:ascii="Times New Roman" w:eastAsia="Arial" w:hAnsi="Times New Roman" w:cs="Times New Roman"/>
          <w:color w:val="202124"/>
          <w:lang w:val="en-GB" w:eastAsia="it-IT"/>
        </w:rPr>
        <w:t>Moreover,</w:t>
      </w:r>
      <w:r w:rsidRPr="006F04E6">
        <w:rPr>
          <w:rFonts w:ascii="Times New Roman" w:hAnsi="Times New Roman"/>
        </w:rPr>
        <w:t xml:space="preserve"> he is </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lang w:val="en-GB"/>
        </w:rPr>
        <w:t>lord’</w:t>
      </w:r>
      <w:r w:rsidRPr="006F04E6">
        <w:rPr>
          <w:rFonts w:ascii="Times New Roman" w:hAnsi="Times New Roman"/>
        </w:rPr>
        <w:t xml:space="preserve"> (alusi) of the city of Ṭušpa, EN or GAR. In Urartian</w:t>
      </w:r>
      <w:r w:rsidRPr="006F04E6">
        <w:rPr>
          <w:rFonts w:ascii="Times New Roman" w:eastAsia="Arial" w:hAnsi="Times New Roman" w:cs="Times New Roman"/>
          <w:color w:val="202124"/>
          <w:lang w:val="en-GB" w:eastAsia="it-IT"/>
        </w:rPr>
        <w:t>,</w:t>
      </w:r>
      <w:r w:rsidRPr="006F04E6">
        <w:rPr>
          <w:rFonts w:ascii="Times New Roman" w:hAnsi="Times New Roman"/>
        </w:rPr>
        <w:t xml:space="preserve"> </w:t>
      </w:r>
      <w:r w:rsidRPr="006F04E6">
        <w:rPr>
          <w:rFonts w:ascii="Times New Roman" w:hAnsi="Times New Roman"/>
          <w:color w:val="202124"/>
          <w:lang w:val="en-GB"/>
        </w:rPr>
        <w:t>"</w:t>
      </w:r>
      <w:r w:rsidRPr="006F04E6">
        <w:rPr>
          <w:rFonts w:ascii="Times New Roman" w:hAnsi="Times New Roman"/>
          <w:i/>
        </w:rPr>
        <w:t>alusi</w:t>
      </w:r>
      <w:r w:rsidRPr="006F04E6">
        <w:rPr>
          <w:rFonts w:ascii="Times New Roman" w:hAnsi="Times New Roman"/>
          <w:color w:val="202124"/>
          <w:lang w:val="en-GB"/>
        </w:rPr>
        <w:t>"</w:t>
      </w:r>
      <w:r w:rsidRPr="006F04E6">
        <w:rPr>
          <w:rFonts w:ascii="Times New Roman" w:hAnsi="Times New Roman"/>
        </w:rPr>
        <w:t xml:space="preserve"> means </w:t>
      </w:r>
      <w:r w:rsidRPr="006F04E6">
        <w:rPr>
          <w:rFonts w:ascii="Times New Roman" w:hAnsi="Times New Roman"/>
          <w:color w:val="202124"/>
          <w:lang w:val="en-GB"/>
        </w:rPr>
        <w:t>‘</w:t>
      </w:r>
      <w:r w:rsidRPr="006F04E6">
        <w:rPr>
          <w:rFonts w:ascii="Times New Roman" w:hAnsi="Times New Roman"/>
        </w:rPr>
        <w:t>lord</w:t>
      </w:r>
      <w:r w:rsidRPr="006F04E6">
        <w:rPr>
          <w:rFonts w:ascii="Times New Roman" w:hAnsi="Times New Roman"/>
          <w:color w:val="202124"/>
          <w:lang w:val="en-GB"/>
        </w:rPr>
        <w:t>’</w:t>
      </w:r>
      <w:r w:rsidRPr="006F04E6">
        <w:rPr>
          <w:rFonts w:ascii="Times New Roman" w:hAnsi="Times New Roman"/>
        </w:rPr>
        <w:t xml:space="preserve"> (</w:t>
      </w:r>
      <w:r w:rsidRPr="006F04E6">
        <w:rPr>
          <w:rFonts w:ascii="Times New Roman" w:hAnsi="Times New Roman"/>
          <w:color w:val="202124"/>
          <w:lang w:val="en-GB"/>
        </w:rPr>
        <w:t xml:space="preserve">CTU V. 373). </w:t>
      </w:r>
      <w:r w:rsidRPr="006F04E6">
        <w:rPr>
          <w:rFonts w:ascii="Times New Roman" w:hAnsi="Times New Roman"/>
        </w:rPr>
        <w:t>The God Ḫaldi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"Ḫaldi"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has as epithet </w:t>
      </w:r>
      <w:r w:rsidRPr="006F04E6">
        <w:rPr>
          <w:rFonts w:ascii="Times New Roman" w:hAnsi="Times New Roman"/>
          <w:color w:val="202124"/>
          <w:lang w:val="en-GB"/>
        </w:rPr>
        <w:t>"</w:t>
      </w:r>
      <w:r w:rsidRPr="006F04E6">
        <w:rPr>
          <w:rFonts w:ascii="Times New Roman" w:hAnsi="Times New Roman"/>
          <w:i/>
        </w:rPr>
        <w:t>alusi</w:t>
      </w:r>
      <w:r w:rsidRPr="006F04E6">
        <w:rPr>
          <w:rFonts w:ascii="Times New Roman" w:hAnsi="Times New Roman"/>
          <w:color w:val="202124"/>
          <w:lang w:val="en-GB"/>
        </w:rPr>
        <w:t>"</w:t>
      </w:r>
      <w:r w:rsidRPr="006F04E6">
        <w:rPr>
          <w:rFonts w:ascii="Times New Roman" w:hAnsi="Times New Roman"/>
        </w:rPr>
        <w:t xml:space="preserve"> or EN; in the bilingual of Kelišin</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Kelišin</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(CTU I. A 3-11</w:t>
      </w:r>
      <w:r w:rsidRPr="006F04E6">
        <w:rPr>
          <w:rFonts w:ascii="Times New Roman" w:eastAsia="Arial" w:hAnsi="Times New Roman" w:cs="Times New Roman"/>
          <w:color w:val="202124"/>
          <w:lang w:val="en-GB" w:eastAsia="it-IT"/>
        </w:rPr>
        <w:t>), “</w:t>
      </w:r>
      <w:r w:rsidRPr="006F04E6">
        <w:rPr>
          <w:rFonts w:ascii="Times New Roman" w:hAnsi="Times New Roman"/>
        </w:rPr>
        <w:t>a-lu-si URUṭu-uš-pa-e URU</w:t>
      </w:r>
      <w:r w:rsidRPr="006F04E6">
        <w:rPr>
          <w:rFonts w:ascii="Times New Roman" w:eastAsia="Arial" w:hAnsi="Times New Roman" w:cs="Times New Roman"/>
          <w:color w:val="202124"/>
          <w:lang w:val="en-GB" w:eastAsia="it-IT"/>
        </w:rPr>
        <w:t>”</w:t>
      </w:r>
      <w:r w:rsidRPr="006F04E6">
        <w:rPr>
          <w:rFonts w:ascii="Times New Roman" w:hAnsi="Times New Roman"/>
        </w:rPr>
        <w:t xml:space="preserve"> of the Urartian version corresponds to Assyrian</w:t>
      </w:r>
      <w:r w:rsidRPr="006F04E6">
        <w:rPr>
          <w:rFonts w:ascii="Times New Roman" w:eastAsia="Arial" w:hAnsi="Times New Roman" w:cs="Times New Roman"/>
          <w:color w:val="202124"/>
          <w:lang w:val="en-GB" w:eastAsia="it-IT"/>
        </w:rPr>
        <w:t xml:space="preserve">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"Assyrian"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GAR URU ṭu-uš-pa-an URU</w:t>
      </w:r>
      <w:r w:rsidRPr="006F04E6">
        <w:rPr>
          <w:rFonts w:ascii="Times New Roman" w:hAnsi="Times New Roman"/>
          <w:color w:val="202124"/>
          <w:lang w:val="en-GB"/>
        </w:rPr>
        <w:t>”</w:t>
      </w:r>
      <w:r w:rsidRPr="006F04E6">
        <w:rPr>
          <w:rFonts w:ascii="Times New Roman" w:hAnsi="Times New Roman"/>
        </w:rPr>
        <w:t xml:space="preserve"> i.e. šākin </w:t>
      </w:r>
      <w:r w:rsidRPr="006F04E6">
        <w:rPr>
          <w:rFonts w:ascii="Times New Roman" w:eastAsia="Arial" w:hAnsi="Times New Roman" w:cs="Times New Roman"/>
          <w:color w:val="202124"/>
          <w:lang w:val="en-GB" w:eastAsia="it-IT"/>
        </w:rPr>
        <w:t>‘</w:t>
      </w:r>
      <w:r w:rsidRPr="006F04E6">
        <w:rPr>
          <w:rFonts w:ascii="Times New Roman" w:hAnsi="Times New Roman"/>
        </w:rPr>
        <w:t>governor</w:t>
      </w:r>
      <w:r w:rsidRPr="006F04E6">
        <w:rPr>
          <w:rFonts w:ascii="Times New Roman" w:eastAsia="Arial" w:hAnsi="Times New Roman" w:cs="Times New Roman"/>
          <w:color w:val="202124"/>
          <w:lang w:val="en-GB" w:eastAsia="it-IT"/>
        </w:rPr>
        <w:t>’</w:t>
      </w:r>
      <w:r w:rsidRPr="006F04E6">
        <w:rPr>
          <w:rFonts w:ascii="Times New Roman" w:hAnsi="Times New Roman"/>
        </w:rPr>
        <w:t xml:space="preserve"> (see CAD Š: 180 f.) of the city of Ṭušpa.</w:t>
      </w:r>
    </w:p>
    <w:p w14:paraId="4AF46EC6" w14:textId="77777777" w:rsidR="008F602E" w:rsidRPr="006F04E6"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4EA1E9AC"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From this presentation and succession of titles</w:t>
      </w:r>
      <w:r w:rsidRPr="006F04E6">
        <w:rPr>
          <w:rFonts w:ascii="Times New Roman" w:eastAsia="Arial" w:hAnsi="Times New Roman" w:cs="Times New Roman"/>
          <w:color w:val="202124"/>
          <w:lang w:val="en-GB" w:eastAsia="it-IT"/>
        </w:rPr>
        <w:t>,</w:t>
      </w:r>
      <w:r w:rsidRPr="006F04E6">
        <w:rPr>
          <w:rFonts w:ascii="Times New Roman" w:hAnsi="Times New Roman"/>
        </w:rPr>
        <w:t xml:space="preserve"> I would like to deduce that sovereignty begins over a series of lands and that the conquest and installation at Van Fortress</w:t>
      </w:r>
      <w:r w:rsidRPr="006F04E6">
        <w:rPr>
          <w:rFonts w:ascii="Times New Roman" w:eastAsia="Arial" w:hAnsi="Times New Roman" w:cs="Times New Roman"/>
          <w:color w:val="202124"/>
          <w:lang w:val="en-GB" w:eastAsia="it-IT"/>
        </w:rPr>
        <w:t> </w:t>
      </w:r>
      <w:r w:rsidRPr="006F04E6">
        <w:rPr>
          <w:rFonts w:ascii="Times New Roman" w:hAnsi="Times New Roman"/>
        </w:rPr>
        <w:t>takes place later. Sarduri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Sarduri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"Sarduri 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presents himself with a series of titles of Assyrian</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"Assyrian"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imprint (Wilhelm,1986: 95-113). </w:t>
      </w:r>
      <w:r w:rsidRPr="006F04E6">
        <w:rPr>
          <w:rFonts w:ascii="Times New Roman" w:hAnsi="Times New Roman"/>
          <w:color w:val="202124"/>
          <w:lang w:val="en-GB"/>
        </w:rPr>
        <w:t xml:space="preserve">The model of the royal titulary is mainly identified in the texts of </w:t>
      </w:r>
      <w:r w:rsidRPr="006F04E6">
        <w:rPr>
          <w:rFonts w:ascii="Times New Roman" w:eastAsia="Arial" w:hAnsi="Times New Roman" w:cs="Times New Roman"/>
          <w:color w:val="202124"/>
          <w:lang w:val="en-GB" w:eastAsia="it-IT"/>
        </w:rPr>
        <w:t>Assurnasirpal</w:t>
      </w:r>
      <w:r w:rsidRPr="006F04E6">
        <w:rPr>
          <w:rFonts w:ascii="Times New Roman" w:hAnsi="Times New Roman"/>
          <w:color w:val="202124"/>
          <w:lang w:val="en-GB"/>
        </w:rPr>
        <w:t xml:space="preserve"> II</w:t>
      </w:r>
      <w:r w:rsidRPr="006F04E6">
        <w:rPr>
          <w:rFonts w:ascii="Times New Roman" w:eastAsia="Arial" w:hAnsi="Times New Roman" w:cs="Times New Roman"/>
          <w:color w:val="202124"/>
          <w:lang w:val="en-GB" w:eastAsia="it-IT"/>
        </w:rPr>
        <w:t>,</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Ashurnasirpal II</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 xml:space="preserve">a generation before Sarduri. </w:t>
      </w:r>
      <w:r w:rsidRPr="006F04E6">
        <w:rPr>
          <w:rFonts w:ascii="Times New Roman" w:eastAsia="Arial" w:hAnsi="Times New Roman" w:cs="Times New Roman"/>
          <w:color w:val="202124"/>
          <w:lang w:val="en-GB" w:eastAsia="it-IT"/>
        </w:rPr>
        <w:t>However, he</w:t>
      </w:r>
      <w:r w:rsidRPr="006F04E6">
        <w:rPr>
          <w:rFonts w:ascii="Times New Roman" w:hAnsi="Times New Roman"/>
        </w:rPr>
        <w:t xml:space="preserve"> does not mention the place where he </w:t>
      </w:r>
      <w:r w:rsidRPr="006F04E6">
        <w:rPr>
          <w:rFonts w:ascii="Times New Roman" w:eastAsia="Arial" w:hAnsi="Times New Roman" w:cs="Times New Roman"/>
          <w:color w:val="202124"/>
          <w:lang w:val="en-GB" w:eastAsia="it-IT"/>
        </w:rPr>
        <w:t>built</w:t>
      </w:r>
      <w:r w:rsidRPr="006F04E6">
        <w:rPr>
          <w:rFonts w:ascii="Times New Roman" w:hAnsi="Times New Roman"/>
        </w:rPr>
        <w:t xml:space="preserve"> his masonry and </w:t>
      </w:r>
      <w:r w:rsidRPr="006F04E6">
        <w:rPr>
          <w:rFonts w:ascii="Times New Roman" w:eastAsia="Arial" w:hAnsi="Times New Roman" w:cs="Times New Roman"/>
          <w:color w:val="202124"/>
          <w:lang w:val="en-GB" w:eastAsia="it-IT"/>
        </w:rPr>
        <w:t>drew</w:t>
      </w:r>
      <w:r w:rsidRPr="006F04E6">
        <w:rPr>
          <w:rFonts w:ascii="Times New Roman" w:hAnsi="Times New Roman"/>
        </w:rPr>
        <w:t xml:space="preserve"> up his inscriptions.</w:t>
      </w:r>
      <w:r w:rsidRPr="006F04E6">
        <w:rPr>
          <w:rFonts w:ascii="Times New Roman" w:hAnsi="Times New Roman"/>
          <w:color w:val="202124"/>
          <w:lang w:val="en-GB"/>
        </w:rPr>
        <w:t xml:space="preserve"> </w:t>
      </w:r>
    </w:p>
    <w:p w14:paraId="7C472E00" w14:textId="77777777" w:rsidR="008F602E" w:rsidRPr="006F04E6"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348E43E7" w14:textId="70C829B5"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color w:val="202124"/>
          <w:lang w:val="en-GB"/>
        </w:rPr>
        <w:t xml:space="preserve">The first mention of </w:t>
      </w:r>
      <w:r w:rsidRPr="006F04E6">
        <w:rPr>
          <w:rFonts w:ascii="Times New Roman" w:hAnsi="Times New Roman"/>
        </w:rPr>
        <w:t>Ṭušpa</w:t>
      </w:r>
      <w:r w:rsidRPr="006F04E6">
        <w:rPr>
          <w:rFonts w:ascii="Times New Roman" w:eastAsia="Arial" w:hAnsi="Times New Roman" w:cs="Times New Roman"/>
          <w:color w:val="202124"/>
          <w:lang w:val="en-GB" w:eastAsia="it-IT"/>
        </w:rPr>
        <w:t> </w:t>
      </w:r>
      <w:r w:rsidRPr="006F04E6">
        <w:rPr>
          <w:rFonts w:ascii="Times New Roman" w:hAnsi="Times New Roman"/>
          <w:color w:val="202124"/>
          <w:lang w:val="en-GB"/>
        </w:rPr>
        <w:t>(Ṭuruspâ</w:t>
      </w:r>
      <w:r w:rsidRPr="006F04E6">
        <w:rPr>
          <w:rFonts w:ascii="Times New Roman" w:eastAsia="Arial" w:hAnsi="Times New Roman" w:cs="Times New Roman"/>
          <w:color w:val="202124"/>
          <w:lang w:val="en-GB" w:eastAsia="it-IT"/>
        </w:rPr>
        <w:t xml:space="preserve"> </w:t>
      </w:r>
      <w:r w:rsidRPr="006F04E6">
        <w:rPr>
          <w:rFonts w:asciiTheme="majorBidi" w:eastAsia="Times New Roman" w:hAnsiTheme="majorBidi" w:cstheme="majorBidi"/>
          <w:iCs/>
          <w:lang w:val="en-GB" w:eastAsia="it-IT"/>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Ṭuruspâ</w:instrText>
      </w:r>
      <w:r w:rsidRPr="006F04E6">
        <w:rPr>
          <w:rFonts w:asciiTheme="majorBidi" w:hAnsiTheme="majorBidi" w:cstheme="majorBidi"/>
          <w:lang w:val="en-GB"/>
        </w:rPr>
        <w:instrText xml:space="preserve">" </w:instrText>
      </w:r>
      <w:r w:rsidRPr="006F04E6">
        <w:rPr>
          <w:rFonts w:asciiTheme="majorBidi" w:eastAsia="Times New Roman" w:hAnsiTheme="majorBidi" w:cstheme="majorBidi"/>
          <w:iCs/>
          <w:lang w:val="en-GB" w:eastAsia="it-IT"/>
        </w:rPr>
        <w:fldChar w:fldCharType="end"/>
      </w:r>
      <w:r w:rsidRPr="006F04E6">
        <w:rPr>
          <w:rFonts w:asciiTheme="majorBidi" w:eastAsia="Times New Roman" w:hAnsiTheme="majorBidi" w:cstheme="majorBidi"/>
          <w:lang w:val="en-GB" w:eastAsia="it-IT"/>
        </w:rPr>
        <w:t>)</w:t>
      </w:r>
      <w:r w:rsidRPr="006F04E6">
        <w:rPr>
          <w:rFonts w:ascii="Times New Roman" w:hAnsi="Times New Roman"/>
          <w:color w:val="202124"/>
          <w:lang w:val="en-GB"/>
        </w:rPr>
        <w:t xml:space="preserve"> is found in an Assyrian</w:t>
      </w:r>
      <w:r w:rsidRPr="006F04E6">
        <w:rPr>
          <w:rFonts w:ascii="Times New Roman" w:eastAsia="Arial" w:hAnsi="Times New Roman" w:cs="Times New Roman"/>
          <w:color w:val="202124"/>
          <w:lang w:val="en-GB" w:eastAsia="it-IT"/>
        </w:rPr>
        <w:t> </w:t>
      </w:r>
      <w:r w:rsidRPr="006F04E6">
        <w:rPr>
          <w:rFonts w:asciiTheme="majorBidi" w:eastAsia="Times New Roman" w:hAnsiTheme="majorBidi" w:cstheme="majorBidi"/>
          <w:color w:val="202124"/>
          <w:lang w:val="en-GB" w:eastAsia="it-IT"/>
        </w:rPr>
        <w:fldChar w:fldCharType="begin"/>
      </w:r>
      <w:r w:rsidRPr="006F04E6">
        <w:rPr>
          <w:rFonts w:asciiTheme="majorBidi" w:hAnsiTheme="majorBidi" w:cstheme="majorBidi"/>
          <w:lang w:val="en-GB"/>
        </w:rPr>
        <w:instrText xml:space="preserve"> XE "Assyrian" </w:instrText>
      </w:r>
      <w:r w:rsidRPr="006F04E6">
        <w:rPr>
          <w:rFonts w:asciiTheme="majorBidi" w:eastAsia="Times New Roman" w:hAnsiTheme="majorBidi" w:cstheme="majorBidi"/>
          <w:color w:val="202124"/>
          <w:lang w:val="en-GB" w:eastAsia="it-IT"/>
        </w:rPr>
        <w:fldChar w:fldCharType="end"/>
      </w:r>
      <w:r w:rsidRPr="006F04E6">
        <w:rPr>
          <w:rFonts w:asciiTheme="majorBidi" w:eastAsia="Times New Roman" w:hAnsiTheme="majorBidi" w:cstheme="majorBidi"/>
          <w:color w:val="202124"/>
          <w:lang w:val="en-GB" w:eastAsia="it-IT"/>
        </w:rPr>
        <w:t xml:space="preserve"> </w:t>
      </w:r>
      <w:r w:rsidRPr="006F04E6">
        <w:rPr>
          <w:rFonts w:ascii="Times New Roman" w:hAnsi="Times New Roman"/>
          <w:color w:val="202124"/>
          <w:lang w:val="en-GB"/>
        </w:rPr>
        <w:t>text from Sultantepe</w:t>
      </w:r>
      <w:r w:rsidRPr="006F04E6">
        <w:rPr>
          <w:rFonts w:ascii="Times New Roman" w:eastAsia="Arial" w:hAnsi="Times New Roman" w:cs="Times New Roman"/>
          <w:color w:val="202124"/>
          <w:lang w:val="en-GB" w:eastAsia="it-IT"/>
        </w:rPr>
        <w:t> </w:t>
      </w:r>
      <w:r w:rsidRPr="006F04E6">
        <w:rPr>
          <w:rFonts w:asciiTheme="majorBidi" w:eastAsia="Times New Roman" w:hAnsiTheme="majorBidi" w:cstheme="majorBidi"/>
          <w:color w:val="202124"/>
          <w:lang w:val="en-GB" w:eastAsia="it-IT"/>
        </w:rPr>
        <w:fldChar w:fldCharType="begin"/>
      </w:r>
      <w:r w:rsidRPr="006F04E6">
        <w:rPr>
          <w:rFonts w:asciiTheme="majorBidi" w:hAnsiTheme="majorBidi" w:cstheme="majorBidi"/>
          <w:lang w:val="en-GB"/>
        </w:rPr>
        <w:instrText xml:space="preserve"> XE "</w:instrText>
      </w:r>
      <w:r w:rsidRPr="006F04E6">
        <w:rPr>
          <w:rFonts w:asciiTheme="majorBidi" w:eastAsia="Times New Roman" w:hAnsiTheme="majorBidi" w:cstheme="majorBidi"/>
          <w:color w:val="202124"/>
          <w:lang w:val="en-GB" w:eastAsia="it-IT"/>
        </w:rPr>
        <w:instrText>Sultantepe</w:instrText>
      </w:r>
      <w:r w:rsidRPr="006F04E6">
        <w:rPr>
          <w:rFonts w:asciiTheme="majorBidi" w:hAnsiTheme="majorBidi" w:cstheme="majorBidi"/>
          <w:lang w:val="en-GB"/>
        </w:rPr>
        <w:instrText xml:space="preserve">" </w:instrText>
      </w:r>
      <w:r w:rsidRPr="006F04E6">
        <w:rPr>
          <w:rFonts w:asciiTheme="majorBidi" w:eastAsia="Times New Roman" w:hAnsiTheme="majorBidi" w:cstheme="majorBidi"/>
          <w:color w:val="202124"/>
          <w:lang w:val="en-GB" w:eastAsia="it-IT"/>
        </w:rPr>
        <w:fldChar w:fldCharType="end"/>
      </w:r>
      <w:r w:rsidRPr="006F04E6">
        <w:rPr>
          <w:rFonts w:asciiTheme="majorBidi" w:eastAsia="Times New Roman" w:hAnsiTheme="majorBidi" w:cstheme="majorBidi"/>
          <w:color w:val="202124"/>
          <w:lang w:val="en-GB" w:eastAsia="it-IT"/>
        </w:rPr>
        <w:t xml:space="preserve"> </w:t>
      </w:r>
      <w:r w:rsidRPr="006F04E6">
        <w:rPr>
          <w:rFonts w:ascii="Times New Roman" w:hAnsi="Times New Roman"/>
          <w:color w:val="202124"/>
          <w:lang w:val="en-GB"/>
        </w:rPr>
        <w:t>(Grayson, 1996: 85 f, no. AO 102.17) that is more poetic than historical and is anachronistic, so it cannot be used for a date of 856 BCE or earlier.</w:t>
      </w:r>
      <w:r w:rsidRPr="006F04E6">
        <w:rPr>
          <w:rFonts w:ascii="Times New Roman" w:eastAsia="Arial" w:hAnsi="Times New Roman" w:cs="Times New Roman"/>
          <w:color w:val="202124"/>
          <w:lang w:val="en-GB" w:eastAsia="it-IT"/>
        </w:rPr>
        <w:t> </w:t>
      </w:r>
      <w:r w:rsidRPr="006F04E6">
        <w:rPr>
          <w:rFonts w:ascii="Times New Roman" w:hAnsi="Times New Roman"/>
          <w:color w:val="202124"/>
          <w:lang w:val="en-GB"/>
        </w:rPr>
        <w:t xml:space="preserve"> </w:t>
      </w:r>
      <w:r w:rsidRPr="006F04E6">
        <w:rPr>
          <w:rFonts w:ascii="Times New Roman" w:hAnsi="Times New Roman"/>
        </w:rPr>
        <w:t>Moreover</w:t>
      </w:r>
      <w:r w:rsidRPr="006F04E6">
        <w:rPr>
          <w:rFonts w:ascii="Times New Roman" w:eastAsia="Arial" w:hAnsi="Times New Roman" w:cs="Times New Roman"/>
          <w:color w:val="202124"/>
          <w:lang w:val="en-GB" w:eastAsia="it-IT"/>
        </w:rPr>
        <w:t>, “</w:t>
      </w:r>
      <w:r w:rsidRPr="006F04E6">
        <w:rPr>
          <w:rFonts w:ascii="Times New Roman" w:hAnsi="Times New Roman"/>
        </w:rPr>
        <w:t>Seduri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Seduri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the Urartian</w:t>
      </w:r>
      <w:r w:rsidRPr="006F04E6">
        <w:rPr>
          <w:rFonts w:ascii="Times New Roman" w:eastAsia="Arial" w:hAnsi="Times New Roman" w:cs="Times New Roman"/>
          <w:color w:val="202124"/>
          <w:lang w:val="en-GB" w:eastAsia="it-IT"/>
        </w:rPr>
        <w:t xml:space="preserve">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"Urartian"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is quoted in the year 832 BCE by Shalmeneser III</w:t>
      </w:r>
      <w:r w:rsidRPr="006F04E6">
        <w:rPr>
          <w:rFonts w:ascii="Times New Roman" w:eastAsia="Arial" w:hAnsi="Times New Roman" w:cs="Times New Roman"/>
          <w:color w:val="202124"/>
          <w:lang w:val="en-GB" w:eastAsia="it-IT"/>
        </w:rPr>
        <w:t xml:space="preserve">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Shalmeneser III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and clashes with the turtanu Daiian Aššur</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Daiian Aššur</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in the Kara Su region (</w:t>
      </w:r>
      <w:r w:rsidRPr="006F04E6">
        <w:rPr>
          <w:rFonts w:ascii="Times New Roman" w:hAnsi="Times New Roman"/>
          <w:color w:val="202124"/>
        </w:rPr>
        <w:t xml:space="preserve">RIA.12:39 sq.). </w:t>
      </w:r>
      <w:r w:rsidRPr="006F04E6">
        <w:rPr>
          <w:rFonts w:ascii="Times New Roman" w:hAnsi="Times New Roman"/>
        </w:rPr>
        <w:t>We cannot know if Sarduri</w:t>
      </w:r>
      <w:r w:rsidR="00CD0F5D">
        <w:rPr>
          <w:rFonts w:ascii="Times New Roman" w:eastAsia="Arial" w:hAnsi="Times New Roman" w:cs="Times New Roman"/>
          <w:color w:val="202124"/>
          <w:lang w:val="en-GB" w:eastAsia="it-IT"/>
        </w:rPr>
        <w:t>/</w:t>
      </w:r>
      <w:r w:rsidRPr="006F04E6">
        <w:rPr>
          <w:rFonts w:ascii="Times New Roman" w:hAnsi="Times New Roman"/>
        </w:rPr>
        <w:t>Seduri had already settled in Van Fortress</w:t>
      </w:r>
      <w:r w:rsidRPr="006F04E6">
        <w:rPr>
          <w:rFonts w:ascii="Times New Roman" w:eastAsia="Arial" w:hAnsi="Times New Roman" w:cs="Times New Roman"/>
          <w:color w:val="202124"/>
          <w:lang w:val="en-GB" w:eastAsia="it-IT"/>
        </w:rPr>
        <w:t xml:space="preserve"> at that time. However,</w:t>
      </w:r>
      <w:r w:rsidRPr="006F04E6">
        <w:rPr>
          <w:rFonts w:ascii="Times New Roman" w:hAnsi="Times New Roman"/>
        </w:rPr>
        <w:t xml:space="preserve"> the use of cuneiform and the Assyrian language </w:t>
      </w:r>
      <w:r w:rsidRPr="006F04E6">
        <w:rPr>
          <w:rFonts w:ascii="Times New Roman" w:eastAsia="Arial" w:hAnsi="Times New Roman" w:cs="Times New Roman"/>
          <w:color w:val="202124"/>
          <w:lang w:val="en-GB" w:eastAsia="it-IT"/>
        </w:rPr>
        <w:t>and</w:t>
      </w:r>
      <w:r w:rsidRPr="006F04E6">
        <w:rPr>
          <w:rFonts w:ascii="Times New Roman" w:hAnsi="Times New Roman"/>
        </w:rPr>
        <w:t xml:space="preserve"> a title similar to that of Ashurnasirpal II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Vurgu"/>
          <w:rFonts w:asciiTheme="majorBidi" w:hAnsiTheme="majorBidi" w:cstheme="majorBidi"/>
          <w:i w:val="0"/>
          <w:iCs w:val="0"/>
          <w:shd w:val="clear" w:color="auto" w:fill="FFFFFF"/>
          <w:lang w:val="en-GB"/>
        </w:rPr>
        <w:instrText>Ashurnasirpal</w:instrText>
      </w:r>
      <w:r w:rsidRPr="006F04E6">
        <w:rPr>
          <w:rFonts w:asciiTheme="majorBidi" w:hAnsiTheme="majorBidi" w:cstheme="majorBidi"/>
          <w:i/>
          <w:iCs/>
          <w:shd w:val="clear" w:color="auto" w:fill="FFFFFF"/>
          <w:lang w:val="en-GB"/>
        </w:rPr>
        <w:instrText xml:space="preserve"> </w:instrText>
      </w:r>
      <w:r w:rsidRPr="006F04E6">
        <w:rPr>
          <w:rFonts w:asciiTheme="majorBidi" w:hAnsiTheme="majorBidi" w:cstheme="majorBidi"/>
          <w:lang w:val="en-GB"/>
        </w:rPr>
        <w:instrText xml:space="preserve">II"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shows the relationship of the new kingdom with the powerful Assyrian </w:t>
      </w:r>
      <w:r w:rsidRPr="006F04E6">
        <w:rPr>
          <w:rFonts w:ascii="Times New Roman" w:eastAsia="Arial" w:hAnsi="Times New Roman" w:cs="Times New Roman"/>
          <w:color w:val="202124"/>
          <w:lang w:val="en-GB" w:eastAsia="it-IT"/>
        </w:rPr>
        <w:t>neighbor</w:t>
      </w:r>
      <w:r w:rsidRPr="006F04E6">
        <w:rPr>
          <w:rFonts w:ascii="Times New Roman" w:hAnsi="Times New Roman"/>
        </w:rPr>
        <w:t xml:space="preserve">. </w:t>
      </w:r>
    </w:p>
    <w:p w14:paraId="4C9E9D8E" w14:textId="77777777" w:rsidR="008F602E" w:rsidRPr="006F04E6"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50CFB548"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I now turn to the presentation of the epigraphic documentation of Van Fortress.</w:t>
      </w:r>
      <w:r w:rsidRPr="006F04E6">
        <w:rPr>
          <w:rFonts w:ascii="Times New Roman" w:hAnsi="Times New Roman"/>
          <w:color w:val="202124"/>
          <w:lang w:val="en-GB"/>
        </w:rPr>
        <w:t xml:space="preserve"> I have tried to identify a topographical location of the various surviving inscriptions on Van </w:t>
      </w:r>
      <w:r w:rsidRPr="006F04E6">
        <w:rPr>
          <w:rFonts w:ascii="Times New Roman" w:eastAsia="Arial" w:hAnsi="Times New Roman" w:cs="Times New Roman"/>
          <w:color w:val="202124"/>
          <w:lang w:val="en-GB" w:eastAsia="it-IT"/>
        </w:rPr>
        <w:t>Fortress's</w:t>
      </w:r>
      <w:r w:rsidRPr="006F04E6">
        <w:rPr>
          <w:rFonts w:ascii="Times New Roman" w:hAnsi="Times New Roman"/>
          <w:color w:val="202124"/>
          <w:lang w:val="en-GB"/>
        </w:rPr>
        <w:t xml:space="preserve"> schematic plan (see figures 3-5). It is not possible for scattered stones </w:t>
      </w:r>
      <w:r w:rsidRPr="006F04E6">
        <w:rPr>
          <w:rFonts w:ascii="Times New Roman" w:eastAsia="Arial" w:hAnsi="Times New Roman" w:cs="Times New Roman"/>
          <w:color w:val="202124"/>
          <w:lang w:val="en-GB" w:eastAsia="it-IT"/>
        </w:rPr>
        <w:t xml:space="preserve">to be </w:t>
      </w:r>
      <w:r w:rsidRPr="006F04E6">
        <w:rPr>
          <w:rFonts w:ascii="Times New Roman" w:hAnsi="Times New Roman"/>
          <w:color w:val="202124"/>
          <w:lang w:val="en-GB"/>
        </w:rPr>
        <w:t xml:space="preserve">found out of context. Roughly speaking, the location of the most significant monuments indicates the occupation of a particular area of the </w:t>
      </w:r>
      <w:r w:rsidRPr="006F04E6">
        <w:rPr>
          <w:rFonts w:ascii="Times New Roman" w:eastAsia="Arial" w:hAnsi="Times New Roman" w:cs="Times New Roman"/>
          <w:color w:val="202124"/>
          <w:lang w:val="en-GB" w:eastAsia="it-IT"/>
        </w:rPr>
        <w:t>Kale</w:t>
      </w:r>
      <w:r w:rsidRPr="006F04E6">
        <w:rPr>
          <w:rFonts w:ascii="Times New Roman" w:hAnsi="Times New Roman"/>
          <w:color w:val="202124"/>
          <w:lang w:val="en-GB"/>
        </w:rPr>
        <w:t xml:space="preserve"> by a ruler. Once the occupation of the entire Kale was established, from the west (Sarduri</w:t>
      </w:r>
      <w:r w:rsidRPr="006F04E6">
        <w:rPr>
          <w:rFonts w:ascii="Times New Roman" w:eastAsia="Arial" w:hAnsi="Times New Roman" w:cs="Times New Roman"/>
          <w:color w:val="202124"/>
          <w:lang w:val="en-GB" w:eastAsia="it-IT"/>
        </w:rPr>
        <w:t> I's</w:t>
      </w:r>
      <w:r w:rsidRPr="006F04E6">
        <w:rPr>
          <w:rFonts w:asciiTheme="majorBidi" w:hAnsiTheme="majorBidi" w:cstheme="majorBidi"/>
          <w:color w:val="202124"/>
          <w:lang w:val="en-GB"/>
        </w:rPr>
        <w:t xml:space="preserve">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"Sarduri I" </w:instrText>
      </w:r>
      <w:r w:rsidRPr="006F04E6">
        <w:rPr>
          <w:rFonts w:asciiTheme="majorBidi" w:hAnsiTheme="majorBidi" w:cstheme="majorBidi"/>
          <w:color w:val="202124"/>
          <w:lang w:val="en-GB"/>
        </w:rPr>
        <w:fldChar w:fldCharType="end"/>
      </w:r>
      <w:r w:rsidRPr="006F04E6">
        <w:rPr>
          <w:rFonts w:ascii="Times New Roman" w:hAnsi="Times New Roman"/>
          <w:color w:val="202124"/>
          <w:lang w:val="en-GB"/>
        </w:rPr>
        <w:t xml:space="preserve"> Sardurburç</w:t>
      </w:r>
      <w:r w:rsidRPr="006F04E6">
        <w:rPr>
          <w:rFonts w:ascii="Times New Roman" w:eastAsia="Arial" w:hAnsi="Times New Roman" w:cs="Times New Roman"/>
          <w:color w:val="202124"/>
          <w:lang w:val="en-GB" w:eastAsia="it-IT"/>
        </w:rPr>
        <w:t>)</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bCs/>
          <w:lang w:val="en-GB"/>
        </w:rPr>
        <w:instrText>Sardurburç</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imes New Roman" w:hAnsi="Times New Roman"/>
          <w:color w:val="202124"/>
          <w:lang w:val="en-GB"/>
        </w:rPr>
        <w:t xml:space="preserve"> to the east (Išpuini</w:t>
      </w:r>
      <w:r w:rsidRPr="006F04E6">
        <w:rPr>
          <w:rFonts w:ascii="Times New Roman" w:eastAsia="Arial" w:hAnsi="Times New Roman" w:cs="Times New Roman"/>
          <w:color w:val="202124"/>
          <w:lang w:val="en-GB" w:eastAsia="it-IT"/>
        </w:rPr>
        <w:t> </w:t>
      </w:r>
      <w:r w:rsidRPr="006F04E6">
        <w:rPr>
          <w:rFonts w:asciiTheme="majorBidi" w:hAnsiTheme="majorBidi" w:cstheme="majorBidi"/>
          <w:iCs/>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Išpuini</w:instrText>
      </w:r>
      <w:r w:rsidRPr="006F04E6">
        <w:rPr>
          <w:rFonts w:asciiTheme="majorBidi" w:hAnsiTheme="majorBidi" w:cstheme="majorBidi"/>
          <w:lang w:val="en-GB"/>
        </w:rPr>
        <w:instrText xml:space="preserve">" </w:instrText>
      </w:r>
      <w:r w:rsidRPr="006F04E6">
        <w:rPr>
          <w:rFonts w:asciiTheme="majorBidi" w:hAnsiTheme="majorBidi" w:cstheme="majorBidi"/>
          <w:iCs/>
          <w:color w:val="202124"/>
          <w:lang w:val="en-GB"/>
        </w:rPr>
        <w:fldChar w:fldCharType="end"/>
      </w:r>
      <w:r w:rsidRPr="006F04E6">
        <w:rPr>
          <w:rFonts w:asciiTheme="majorBidi" w:hAnsiTheme="majorBidi" w:cstheme="majorBidi"/>
          <w:i/>
          <w:iCs/>
          <w:color w:val="202124"/>
          <w:lang w:val="en-GB"/>
        </w:rPr>
        <w:t xml:space="preserve"> </w:t>
      </w:r>
      <w:r w:rsidRPr="006F04E6">
        <w:rPr>
          <w:rFonts w:ascii="Times New Roman" w:hAnsi="Times New Roman"/>
          <w:color w:val="202124"/>
          <w:lang w:val="en-GB"/>
        </w:rPr>
        <w:t xml:space="preserve">at Tabriz </w:t>
      </w:r>
      <w:r w:rsidRPr="006F04E6">
        <w:rPr>
          <w:rFonts w:ascii="Times New Roman" w:hAnsi="Times New Roman"/>
        </w:rPr>
        <w:t>Kapısı</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"Tabriz Kapısı" </w:instrText>
      </w:r>
      <w:r w:rsidRPr="006F04E6">
        <w:rPr>
          <w:rStyle w:val="y2iqfc"/>
          <w:rFonts w:asciiTheme="majorBidi" w:eastAsia="Arial" w:hAnsiTheme="majorBidi" w:cstheme="majorBidi"/>
          <w:color w:val="202124"/>
          <w:lang w:val="en-GB"/>
        </w:rPr>
        <w:fldChar w:fldCharType="end"/>
      </w:r>
      <w:r w:rsidRPr="006F04E6">
        <w:rPr>
          <w:rFonts w:asciiTheme="majorBidi" w:hAnsiTheme="majorBidi" w:cstheme="majorBidi"/>
          <w:color w:val="202124"/>
          <w:lang w:val="en-GB"/>
        </w:rPr>
        <w:t>,</w:t>
      </w:r>
      <w:r w:rsidRPr="006F04E6">
        <w:rPr>
          <w:rFonts w:ascii="Times New Roman" w:hAnsi="Times New Roman"/>
          <w:color w:val="202124"/>
          <w:lang w:val="en-GB"/>
        </w:rPr>
        <w:t xml:space="preserve"> (Salvini, 2011: 151-173), it can be seen quite clearly that Minua</w:t>
      </w:r>
      <w:r w:rsidRPr="006F04E6">
        <w:rPr>
          <w:rFonts w:ascii="Times New Roman" w:eastAsia="Arial"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"Minua"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settled with his temple and perhaps a palace of his own at the highest and most central point of the citadel. His son and successor</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Argišti I</w:t>
      </w:r>
      <w:r w:rsidRPr="006F04E6">
        <w:rPr>
          <w:rFonts w:ascii="Times New Roman" w:eastAsia="Arial"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"Argišti I"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 xml:space="preserve">reserved the western sector on the two slopes, the northern for his palace (plan, No. </w:t>
      </w:r>
      <w:r w:rsidRPr="006F04E6">
        <w:rPr>
          <w:rFonts w:ascii="Times New Roman" w:hAnsi="Times New Roman"/>
          <w:color w:val="202124"/>
          <w:lang w:val="en-GB"/>
        </w:rPr>
        <w:lastRenderedPageBreak/>
        <w:t>6), the southern for his mausoleum and its extensive royal inscription (plan, No. 5). His son, Sarduri II</w:t>
      </w:r>
      <w:r w:rsidRPr="006F04E6">
        <w:rPr>
          <w:rFonts w:ascii="Times New Roman" w:eastAsia="Arial" w:hAnsi="Times New Roman" w:cs="Times New Roman"/>
          <w:color w:val="202124"/>
          <w:lang w:val="en-GB" w:eastAsia="it-IT"/>
        </w:rPr>
        <w:t>,</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"Sarduri II" </w:instrText>
      </w:r>
      <w:r w:rsidRPr="006F04E6">
        <w:rPr>
          <w:rFonts w:asciiTheme="majorBidi" w:hAnsiTheme="majorBidi" w:cstheme="majorBidi"/>
          <w:color w:val="202124"/>
          <w:lang w:val="en-GB"/>
        </w:rPr>
        <w:fldChar w:fldCharType="end"/>
      </w:r>
      <w:r w:rsidRPr="006F04E6">
        <w:rPr>
          <w:rFonts w:ascii="Times New Roman" w:hAnsi="Times New Roman"/>
          <w:color w:val="202124"/>
          <w:lang w:val="en-GB"/>
        </w:rPr>
        <w:t xml:space="preserve"> </w:t>
      </w:r>
      <w:r w:rsidRPr="006F04E6">
        <w:rPr>
          <w:rFonts w:ascii="Times New Roman" w:hAnsi="Times New Roman"/>
        </w:rPr>
        <w:t xml:space="preserve">respecting the monuments of his predecessors </w:t>
      </w:r>
      <w:r w:rsidRPr="006F04E6">
        <w:rPr>
          <w:rFonts w:ascii="Times New Roman" w:hAnsi="Times New Roman"/>
          <w:color w:val="202124"/>
          <w:lang w:val="en-GB"/>
        </w:rPr>
        <w:t xml:space="preserve">and most likely using his father's mausoleum for himself and his family, moved to the opposite sector, occupying the north-eastern sector of the Kale, </w:t>
      </w:r>
      <w:r w:rsidRPr="006F04E6">
        <w:rPr>
          <w:rFonts w:ascii="Times New Roman" w:hAnsi="Times New Roman"/>
        </w:rPr>
        <w:t>where the rock and epigraphic monumental complex of Hazine Kapısı</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"Hazine Kapısı"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is located (see in this Chapter 10 and 11)</w:t>
      </w:r>
      <w:r w:rsidRPr="006F04E6">
        <w:rPr>
          <w:rFonts w:ascii="Times New Roman" w:hAnsi="Times New Roman"/>
          <w:color w:val="202124"/>
        </w:rPr>
        <w:t xml:space="preserve">, </w:t>
      </w:r>
      <w:r w:rsidRPr="006F04E6">
        <w:rPr>
          <w:rFonts w:ascii="Times New Roman" w:hAnsi="Times New Roman"/>
        </w:rPr>
        <w:t xml:space="preserve">a place that is illuminated by the first rays of the sun. The sectors chosen by Argišti and Sarduri are located outside the citadel proper, and it does not appear that </w:t>
      </w:r>
      <w:r w:rsidRPr="006F04E6">
        <w:rPr>
          <w:rFonts w:ascii="Times New Roman" w:eastAsia="Arial" w:hAnsi="Times New Roman" w:cs="Times New Roman"/>
          <w:color w:val="202124"/>
          <w:lang w:val="en-GB" w:eastAsia="it-IT"/>
        </w:rPr>
        <w:t>walls</w:t>
      </w:r>
      <w:r w:rsidRPr="006F04E6">
        <w:rPr>
          <w:rFonts w:ascii="Times New Roman" w:hAnsi="Times New Roman"/>
        </w:rPr>
        <w:t xml:space="preserve"> defended </w:t>
      </w:r>
      <w:r w:rsidRPr="006F04E6">
        <w:rPr>
          <w:rFonts w:ascii="Times New Roman" w:eastAsia="Arial" w:hAnsi="Times New Roman" w:cs="Times New Roman"/>
          <w:color w:val="202124"/>
          <w:lang w:val="en-GB" w:eastAsia="it-IT"/>
        </w:rPr>
        <w:t>them</w:t>
      </w:r>
      <w:r w:rsidRPr="006F04E6">
        <w:rPr>
          <w:rFonts w:ascii="Times New Roman" w:hAnsi="Times New Roman"/>
        </w:rPr>
        <w:t xml:space="preserve">. The Sarduri structures with the rock niches of Hazine Kapısı </w:t>
      </w:r>
      <w:r w:rsidRPr="006F04E6">
        <w:rPr>
          <w:rFonts w:ascii="Times New Roman" w:eastAsia="Arial" w:hAnsi="Times New Roman" w:cs="Times New Roman"/>
          <w:color w:val="202124"/>
          <w:lang w:val="en-GB" w:eastAsia="it-IT"/>
        </w:rPr>
        <w:t>were not. Let us</w:t>
      </w:r>
      <w:r w:rsidRPr="006F04E6">
        <w:rPr>
          <w:rFonts w:ascii="Times New Roman" w:hAnsi="Times New Roman"/>
        </w:rPr>
        <w:t xml:space="preserve"> say that this situation corresponds historically to the period of maximum power of the Urartian</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"Urartian"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state, namely to the reigns of these two rulers from the 8th century BCE. </w:t>
      </w:r>
      <w:r w:rsidRPr="006F04E6">
        <w:rPr>
          <w:rFonts w:ascii="Times New Roman" w:eastAsia="Arial" w:hAnsi="Times New Roman" w:cs="Times New Roman"/>
          <w:color w:val="202124"/>
          <w:lang w:val="en-GB" w:eastAsia="it-IT"/>
        </w:rPr>
        <w:t>At that time, the</w:t>
      </w:r>
      <w:r w:rsidRPr="006F04E6">
        <w:rPr>
          <w:rFonts w:ascii="Times New Roman" w:hAnsi="Times New Roman"/>
        </w:rPr>
        <w:t xml:space="preserve"> walls of the Ṭušpa</w:t>
      </w:r>
      <w:r w:rsidRPr="006F04E6">
        <w:rPr>
          <w:rFonts w:ascii="Times New Roman" w:eastAsia="Arial" w:hAnsi="Times New Roman" w:cs="Times New Roman"/>
          <w:color w:val="202124"/>
          <w:lang w:val="en-GB" w:eastAsia="it-IT"/>
        </w:rPr>
        <w:t> </w:t>
      </w:r>
      <w:r w:rsidRPr="006F04E6">
        <w:rPr>
          <w:rFonts w:ascii="Times New Roman" w:hAnsi="Times New Roman"/>
        </w:rPr>
        <w:t xml:space="preserve">capital </w:t>
      </w:r>
      <w:r w:rsidRPr="006F04E6">
        <w:rPr>
          <w:rFonts w:ascii="Times New Roman" w:eastAsia="Arial" w:hAnsi="Times New Roman" w:cs="Times New Roman"/>
          <w:color w:val="202124"/>
          <w:lang w:val="en-GB" w:eastAsia="it-IT"/>
        </w:rPr>
        <w:t>were</w:t>
      </w:r>
      <w:r w:rsidRPr="006F04E6">
        <w:rPr>
          <w:rFonts w:ascii="Times New Roman" w:hAnsi="Times New Roman"/>
        </w:rPr>
        <w:t xml:space="preserve"> the high mountains surrounding the Van area. </w:t>
      </w:r>
      <w:r w:rsidRPr="006F04E6">
        <w:rPr>
          <w:rFonts w:ascii="Times New Roman" w:eastAsia="Arial" w:hAnsi="Times New Roman" w:cs="Times New Roman"/>
          <w:color w:val="202124"/>
          <w:lang w:val="en-GB" w:eastAsia="it-IT"/>
        </w:rPr>
        <w:t>However</w:t>
      </w:r>
      <w:r w:rsidRPr="006F04E6">
        <w:rPr>
          <w:rFonts w:ascii="Times New Roman" w:hAnsi="Times New Roman"/>
        </w:rPr>
        <w:t>, a system of fortresses in the surroundings, already from the reign of Išpuini (Yukarı Anzaf</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"Anzaf"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Zivistan) and augmented from Minua (Aşağı Anzaf, Kevenli), guaranteed the security of the capital.</w:t>
      </w:r>
      <w:r w:rsidRPr="006F04E6">
        <w:rPr>
          <w:rFonts w:ascii="Times New Roman" w:hAnsi="Times New Roman"/>
          <w:color w:val="202124"/>
          <w:lang w:val="en-GB"/>
        </w:rPr>
        <w:t xml:space="preserve"> </w:t>
      </w:r>
      <w:r w:rsidRPr="006F04E6">
        <w:rPr>
          <w:rFonts w:ascii="Times New Roman" w:hAnsi="Times New Roman"/>
        </w:rPr>
        <w:t>We know that after Sarduri II, starting from the reign of Rusa</w:t>
      </w:r>
      <w:r w:rsidRPr="006F04E6">
        <w:rPr>
          <w:rFonts w:ascii="Times New Roman" w:eastAsia="Arial" w:hAnsi="Times New Roman" w:cs="Times New Roman"/>
          <w:color w:val="202124"/>
          <w:lang w:val="en-GB" w:eastAsia="it-IT"/>
        </w:rPr>
        <w:t> I,</w:t>
      </w:r>
      <w:r w:rsidRPr="006F04E6">
        <w:rPr>
          <w:rStyle w:val="y2iqfc"/>
          <w:rFonts w:asciiTheme="majorBidi" w:eastAsia="Arial" w:hAnsiTheme="majorBidi" w:cstheme="majorBidi"/>
          <w:color w:val="202124"/>
          <w:lang w:val="en-GB"/>
        </w:rPr>
        <w:t xml:space="preserve">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"Rusa I"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his son and successor, there is no written record of the Urartian kings in Van Fortress. One reason may be the lack of space </w:t>
      </w:r>
      <w:r w:rsidRPr="006F04E6">
        <w:rPr>
          <w:rFonts w:ascii="Times New Roman" w:eastAsia="Arial" w:hAnsi="Times New Roman" w:cs="Times New Roman"/>
          <w:color w:val="202124"/>
          <w:lang w:val="en-GB" w:eastAsia="it-IT"/>
        </w:rPr>
        <w:t xml:space="preserve">to create </w:t>
      </w:r>
      <w:r w:rsidRPr="006F04E6">
        <w:rPr>
          <w:rFonts w:ascii="Times New Roman" w:hAnsi="Times New Roman"/>
        </w:rPr>
        <w:t xml:space="preserve">massive architectural structures. </w:t>
      </w:r>
      <w:r w:rsidRPr="006F04E6">
        <w:rPr>
          <w:rFonts w:ascii="Times New Roman" w:hAnsi="Times New Roman"/>
          <w:color w:val="202124"/>
          <w:lang w:val="en-GB"/>
        </w:rPr>
        <w:t xml:space="preserve">There must have been a change of use </w:t>
      </w:r>
      <w:r w:rsidRPr="006F04E6">
        <w:rPr>
          <w:rFonts w:ascii="Times New Roman" w:eastAsia="Arial" w:hAnsi="Times New Roman" w:cs="Times New Roman"/>
          <w:color w:val="202124"/>
          <w:lang w:val="en-GB" w:eastAsia="it-IT"/>
        </w:rPr>
        <w:t>in</w:t>
      </w:r>
      <w:r w:rsidRPr="006F04E6">
        <w:rPr>
          <w:rFonts w:ascii="Times New Roman" w:hAnsi="Times New Roman"/>
          <w:color w:val="202124"/>
          <w:lang w:val="en-GB"/>
        </w:rPr>
        <w:t xml:space="preserve"> this sacred place, </w:t>
      </w:r>
      <w:r w:rsidRPr="006F04E6">
        <w:rPr>
          <w:rFonts w:ascii="Times New Roman" w:eastAsia="Arial" w:hAnsi="Times New Roman" w:cs="Times New Roman"/>
          <w:color w:val="202124"/>
          <w:lang w:val="en-GB" w:eastAsia="it-IT"/>
        </w:rPr>
        <w:t>let us</w:t>
      </w:r>
      <w:r w:rsidRPr="006F04E6">
        <w:rPr>
          <w:rFonts w:ascii="Times New Roman" w:hAnsi="Times New Roman"/>
          <w:color w:val="202124"/>
          <w:lang w:val="en-GB"/>
        </w:rPr>
        <w:t xml:space="preserve"> say</w:t>
      </w:r>
      <w:r w:rsidRPr="006F04E6">
        <w:rPr>
          <w:rFonts w:ascii="Times New Roman" w:eastAsia="Arial" w:hAnsi="Times New Roman" w:cs="Times New Roman"/>
          <w:color w:val="202124"/>
          <w:lang w:val="en-GB" w:eastAsia="it-IT"/>
        </w:rPr>
        <w:t>, the "</w:t>
      </w:r>
      <w:r w:rsidRPr="006F04E6">
        <w:rPr>
          <w:rFonts w:ascii="Times New Roman" w:hAnsi="Times New Roman"/>
          <w:color w:val="202124"/>
          <w:lang w:val="en-GB"/>
        </w:rPr>
        <w:t>Acropolis</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which was considered a shrine of the dynasty and a royal necropolis.</w:t>
      </w:r>
      <w:r w:rsidRPr="006F04E6">
        <w:rPr>
          <w:rFonts w:ascii="Times New Roman" w:eastAsia="Arial" w:hAnsi="Times New Roman" w:cs="Times New Roman"/>
          <w:color w:val="202124"/>
          <w:lang w:val="en-GB" w:eastAsia="it-IT"/>
        </w:rPr>
        <w:t> </w:t>
      </w:r>
      <w:r w:rsidRPr="006F04E6">
        <w:rPr>
          <w:rFonts w:ascii="Times New Roman" w:hAnsi="Times New Roman"/>
        </w:rPr>
        <w:t>The old hypothesis of Lehmann-Haupt, that Rusa I moved the capital to the heights of Toprakkale</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"Toprakkale"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is now obsolete since the written documents found there belong to two other 7th century Rusa, namely Rusa II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"Rusa II"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and Rusa III</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"Rusa III"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lang w:val="en-GB"/>
        </w:rPr>
        <w:t xml:space="preserve"> </w:t>
      </w:r>
      <w:r w:rsidRPr="006F04E6">
        <w:rPr>
          <w:rFonts w:ascii="Times New Roman" w:hAnsi="Times New Roman"/>
          <w:color w:val="202124"/>
        </w:rPr>
        <w:t>(</w:t>
      </w:r>
      <w:r w:rsidRPr="006F04E6">
        <w:rPr>
          <w:rFonts w:ascii="Times New Roman" w:hAnsi="Times New Roman"/>
          <w:color w:val="202124"/>
          <w:lang w:val="en-GB"/>
        </w:rPr>
        <w:t xml:space="preserve">Salvini, 2007b: 464-466, 467). </w:t>
      </w:r>
      <w:r w:rsidRPr="006F04E6">
        <w:rPr>
          <w:rFonts w:ascii="Times New Roman" w:eastAsia="Arial" w:hAnsi="Times New Roman" w:cs="Times New Roman"/>
          <w:color w:val="202124"/>
          <w:lang w:val="en-GB" w:eastAsia="it-IT"/>
        </w:rPr>
        <w:t>However,</w:t>
      </w:r>
      <w:r w:rsidRPr="006F04E6">
        <w:rPr>
          <w:rFonts w:ascii="Times New Roman" w:hAnsi="Times New Roman"/>
        </w:rPr>
        <w:t xml:space="preserve"> the hypotheses begin</w:t>
      </w:r>
      <w:r w:rsidRPr="006F04E6">
        <w:rPr>
          <w:rFonts w:ascii="Times New Roman" w:eastAsia="Arial" w:hAnsi="Times New Roman" w:cs="Times New Roman"/>
          <w:color w:val="202124"/>
          <w:lang w:val="en-GB" w:eastAsia="it-IT"/>
        </w:rPr>
        <w:t xml:space="preserve"> here</w:t>
      </w:r>
      <w:r w:rsidRPr="006F04E6">
        <w:rPr>
          <w:rFonts w:ascii="Times New Roman" w:hAnsi="Times New Roman"/>
        </w:rPr>
        <w:t xml:space="preserve">, and they naturally connect with the </w:t>
      </w:r>
      <w:r w:rsidRPr="006F04E6">
        <w:rPr>
          <w:rFonts w:ascii="Times New Roman" w:eastAsia="Arial" w:hAnsi="Times New Roman" w:cs="Times New Roman"/>
          <w:color w:val="202124"/>
          <w:lang w:val="en-GB" w:eastAsia="it-IT"/>
        </w:rPr>
        <w:t>significant</w:t>
      </w:r>
      <w:r w:rsidRPr="006F04E6">
        <w:rPr>
          <w:rFonts w:ascii="Times New Roman" w:hAnsi="Times New Roman"/>
        </w:rPr>
        <w:t xml:space="preserve"> problem of large rock rooms and their dating. We have an approximate </w:t>
      </w:r>
      <w:r w:rsidRPr="006F04E6">
        <w:rPr>
          <w:rFonts w:ascii="Times New Roman" w:eastAsia="Arial" w:hAnsi="Times New Roman" w:cs="Times New Roman"/>
          <w:color w:val="202124"/>
          <w:lang w:val="en-GB" w:eastAsia="it-IT"/>
        </w:rPr>
        <w:t>date</w:t>
      </w:r>
      <w:r w:rsidRPr="006F04E6">
        <w:rPr>
          <w:rFonts w:ascii="Times New Roman" w:hAnsi="Times New Roman"/>
        </w:rPr>
        <w:t xml:space="preserve"> only for the rock</w:t>
      </w:r>
      <w:r w:rsidRPr="006F04E6">
        <w:rPr>
          <w:rFonts w:ascii="Times New Roman" w:eastAsia="Arial" w:hAnsi="Times New Roman" w:cs="Times New Roman"/>
          <w:color w:val="202124"/>
          <w:lang w:val="en-GB" w:eastAsia="it-IT"/>
        </w:rPr>
        <w:t>-</w:t>
      </w:r>
      <w:r w:rsidRPr="006F04E6">
        <w:rPr>
          <w:rFonts w:ascii="Times New Roman" w:hAnsi="Times New Roman"/>
        </w:rPr>
        <w:t>cut mausoleum of Khorkhor</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lang w:val="en-GB"/>
        </w:rPr>
        <w:instrText>Khorkhor</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thanks to Argišti </w:t>
      </w:r>
      <w:r w:rsidRPr="006F04E6">
        <w:rPr>
          <w:rFonts w:ascii="Times New Roman" w:eastAsia="Arial" w:hAnsi="Times New Roman" w:cs="Times New Roman"/>
          <w:color w:val="202124"/>
          <w:lang w:val="en-GB" w:eastAsia="it-IT"/>
        </w:rPr>
        <w:t>I's</w:t>
      </w:r>
      <w:r w:rsidRPr="006F04E6">
        <w:rPr>
          <w:rFonts w:ascii="Times New Roman" w:hAnsi="Times New Roman"/>
        </w:rPr>
        <w:t xml:space="preserve"> inscription (Salvini, 2023 in press). </w:t>
      </w:r>
      <w:r w:rsidRPr="006F04E6">
        <w:rPr>
          <w:rFonts w:ascii="Times New Roman" w:hAnsi="Times New Roman"/>
          <w:color w:val="202124"/>
          <w:lang w:val="en-GB"/>
        </w:rPr>
        <w:t xml:space="preserve">The space to the right of </w:t>
      </w:r>
      <w:r w:rsidRPr="006F04E6">
        <w:rPr>
          <w:rFonts w:ascii="Times New Roman" w:eastAsia="Arial" w:hAnsi="Times New Roman" w:cs="Times New Roman"/>
          <w:color w:val="202124"/>
          <w:lang w:val="en-GB" w:eastAsia="it-IT"/>
        </w:rPr>
        <w:t>Col</w:t>
      </w:r>
      <w:r w:rsidRPr="006F04E6">
        <w:rPr>
          <w:rFonts w:ascii="Times New Roman" w:hAnsi="Times New Roman"/>
          <w:color w:val="202124"/>
          <w:lang w:val="en-GB"/>
        </w:rPr>
        <w:t xml:space="preserve"> VII suggests that there were still many deeds to be recorded and, consequently, the prediction of many years of the </w:t>
      </w:r>
      <w:r w:rsidRPr="006F04E6">
        <w:rPr>
          <w:rFonts w:ascii="Times New Roman" w:eastAsia="Arial" w:hAnsi="Times New Roman" w:cs="Times New Roman"/>
          <w:color w:val="202124"/>
          <w:lang w:val="en-GB" w:eastAsia="it-IT"/>
        </w:rPr>
        <w:t>king's</w:t>
      </w:r>
      <w:r w:rsidRPr="006F04E6">
        <w:rPr>
          <w:rFonts w:ascii="Times New Roman" w:hAnsi="Times New Roman"/>
          <w:color w:val="202124"/>
          <w:lang w:val="en-GB"/>
        </w:rPr>
        <w:t xml:space="preserve"> life. </w:t>
      </w:r>
      <w:r w:rsidRPr="006F04E6">
        <w:rPr>
          <w:rFonts w:ascii="Times New Roman" w:hAnsi="Times New Roman"/>
        </w:rPr>
        <w:t>For the other immense rock-cut chambers on the southern slope, one can imagine that Neft Kuyu</w:t>
      </w:r>
      <w:r w:rsidRPr="006F04E6">
        <w:rPr>
          <w:rStyle w:val="y2iqfc"/>
          <w:rFonts w:asciiTheme="majorBidi" w:eastAsia="Arial" w:hAnsiTheme="majorBidi" w:cstheme="majorBidi"/>
          <w:color w:val="202124"/>
          <w:lang w:val="en-GB"/>
        </w:rPr>
        <w:fldChar w:fldCharType="begin"/>
      </w:r>
      <w:r w:rsidRPr="006F04E6">
        <w:instrText xml:space="preserve"> XE "</w:instrText>
      </w:r>
      <w:r w:rsidRPr="006F04E6">
        <w:rPr>
          <w:rFonts w:asciiTheme="majorBidi" w:hAnsiTheme="majorBidi" w:cstheme="majorBidi"/>
        </w:rPr>
        <w:instrText>Neft Kuyu</w:instrText>
      </w:r>
      <w:r w:rsidRPr="006F04E6">
        <w:instrText xml:space="preserve">"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and İç Kale</w:t>
      </w:r>
      <w:r w:rsidRPr="006F04E6">
        <w:rPr>
          <w:rStyle w:val="y2iqfc"/>
          <w:rFonts w:asciiTheme="majorBidi" w:eastAsia="Arial" w:hAnsiTheme="majorBidi" w:cstheme="majorBidi"/>
          <w:color w:val="202124"/>
          <w:lang w:val="en-GB"/>
        </w:rPr>
        <w:fldChar w:fldCharType="begin"/>
      </w:r>
      <w:r w:rsidRPr="006F04E6">
        <w:instrText xml:space="preserve"> XE "</w:instrText>
      </w:r>
      <w:r w:rsidRPr="006F04E6">
        <w:rPr>
          <w:rFonts w:asciiTheme="majorBidi" w:hAnsiTheme="majorBidi" w:cstheme="majorBidi"/>
        </w:rPr>
        <w:instrText>İç Kale</w:instrText>
      </w:r>
      <w:r w:rsidRPr="006F04E6">
        <w:instrText xml:space="preserve">"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(plan, No. 15, 16) belonged to the first rulers, but to which one? To the same Sarduri I? or to </w:t>
      </w:r>
      <w:r w:rsidRPr="006F04E6">
        <w:rPr>
          <w:rStyle w:val="y2iqfc"/>
          <w:rFonts w:asciiTheme="majorBidi" w:eastAsia="Arial" w:hAnsiTheme="majorBidi" w:cstheme="majorBidi"/>
          <w:iCs/>
          <w:color w:val="202124"/>
          <w:lang w:val="en-GB"/>
        </w:rPr>
        <w:t>Išpuini</w:t>
      </w:r>
      <w:r w:rsidRPr="006F04E6">
        <w:rPr>
          <w:rStyle w:val="y2iqfc"/>
          <w:rFonts w:asciiTheme="majorBidi" w:eastAsia="Arial" w:hAnsiTheme="majorBidi" w:cstheme="majorBidi"/>
          <w:i/>
          <w:iCs/>
          <w:color w:val="202124"/>
          <w:lang w:val="en-GB"/>
        </w:rPr>
        <w:t xml:space="preserve"> </w:t>
      </w:r>
      <w:r w:rsidRPr="006F04E6">
        <w:rPr>
          <w:rStyle w:val="y2iqfc"/>
          <w:rFonts w:asciiTheme="majorBidi" w:eastAsia="Arial" w:hAnsiTheme="majorBidi" w:cstheme="majorBidi"/>
          <w:color w:val="202124"/>
          <w:lang w:val="en-GB"/>
        </w:rPr>
        <w:t>and</w:t>
      </w:r>
      <w:r w:rsidRPr="006F04E6">
        <w:rPr>
          <w:rFonts w:ascii="Times New Roman" w:hAnsi="Times New Roman"/>
        </w:rPr>
        <w:t xml:space="preserve"> Minua? </w:t>
      </w:r>
      <w:r w:rsidRPr="006F04E6">
        <w:rPr>
          <w:rFonts w:ascii="Times New Roman" w:hAnsi="Times New Roman"/>
          <w:color w:val="202124"/>
          <w:lang w:val="en-GB"/>
        </w:rPr>
        <w:t>One might even think that the fact that there are no inscriptions suggests that they were excavated before the introduction of writing under Sarduri I. How to explain the six written documents of Sardurburç and the absence of inscriptions in or next to the great rock works of the citadel?</w:t>
      </w:r>
    </w:p>
    <w:p w14:paraId="6DDB3DC2" w14:textId="77777777" w:rsidR="008F602E" w:rsidRPr="006F04E6"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4B6A661E"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color w:val="202124"/>
          <w:lang w:val="en-GB"/>
        </w:rPr>
        <w:t xml:space="preserve">A detail to </w:t>
      </w:r>
      <w:r w:rsidRPr="006F04E6">
        <w:rPr>
          <w:rFonts w:ascii="Times New Roman" w:eastAsia="Arial" w:hAnsi="Times New Roman" w:cs="Times New Roman"/>
          <w:color w:val="202124"/>
          <w:lang w:val="en-GB" w:eastAsia="it-IT"/>
        </w:rPr>
        <w:t>remember</w:t>
      </w:r>
      <w:r w:rsidRPr="006F04E6">
        <w:rPr>
          <w:rFonts w:ascii="Times New Roman" w:hAnsi="Times New Roman"/>
          <w:color w:val="202124"/>
          <w:lang w:val="en-GB"/>
        </w:rPr>
        <w:t xml:space="preserve"> is the presence of the Assyrian</w:t>
      </w:r>
      <w:r w:rsidRPr="006F04E6">
        <w:rPr>
          <w:rFonts w:ascii="Times New Roman" w:eastAsia="Arial" w:hAnsi="Times New Roman" w:cs="Times New Roman"/>
          <w:color w:val="202124"/>
          <w:lang w:val="en-GB" w:eastAsia="it-IT"/>
        </w:rPr>
        <w:t> </w:t>
      </w:r>
      <w:r w:rsidRPr="006F04E6">
        <w:rPr>
          <w:rFonts w:asciiTheme="majorBidi" w:eastAsia="Times New Roman" w:hAnsiTheme="majorBidi" w:cstheme="majorBidi"/>
          <w:color w:val="202124"/>
          <w:lang w:val="en-GB" w:eastAsia="it-IT"/>
        </w:rPr>
        <w:fldChar w:fldCharType="begin"/>
      </w:r>
      <w:r w:rsidRPr="006F04E6">
        <w:rPr>
          <w:rFonts w:asciiTheme="majorBidi" w:hAnsiTheme="majorBidi" w:cstheme="majorBidi"/>
          <w:lang w:val="en-GB"/>
        </w:rPr>
        <w:instrText xml:space="preserve"> XE "Assyrian" </w:instrText>
      </w:r>
      <w:r w:rsidRPr="006F04E6">
        <w:rPr>
          <w:rFonts w:asciiTheme="majorBidi" w:eastAsia="Times New Roman" w:hAnsiTheme="majorBidi" w:cstheme="majorBidi"/>
          <w:color w:val="202124"/>
          <w:lang w:val="en-GB" w:eastAsia="it-IT"/>
        </w:rPr>
        <w:fldChar w:fldCharType="end"/>
      </w:r>
      <w:r w:rsidRPr="006F04E6">
        <w:rPr>
          <w:rFonts w:asciiTheme="majorBidi" w:eastAsia="Times New Roman" w:hAnsiTheme="majorBidi" w:cstheme="majorBidi"/>
          <w:color w:val="202124"/>
          <w:lang w:val="en-GB" w:eastAsia="it-IT"/>
        </w:rPr>
        <w:t xml:space="preserve"> </w:t>
      </w:r>
      <w:r w:rsidRPr="006F04E6">
        <w:rPr>
          <w:rFonts w:ascii="Times New Roman" w:hAnsi="Times New Roman"/>
          <w:color w:val="202124"/>
          <w:lang w:val="en-GB"/>
        </w:rPr>
        <w:t xml:space="preserve">sacrificial inscription high up on the southern slope. I have conventionally placed </w:t>
      </w:r>
      <w:r w:rsidRPr="006F04E6">
        <w:rPr>
          <w:rFonts w:ascii="Times New Roman" w:eastAsia="Arial" w:hAnsi="Times New Roman" w:cs="Times New Roman"/>
          <w:color w:val="202124"/>
          <w:lang w:val="en-GB" w:eastAsia="it-IT"/>
        </w:rPr>
        <w:t>the corpus</w:t>
      </w:r>
      <w:r w:rsidRPr="006F04E6">
        <w:rPr>
          <w:rFonts w:ascii="Times New Roman" w:hAnsi="Times New Roman"/>
          <w:color w:val="202124"/>
          <w:lang w:val="en-GB"/>
        </w:rPr>
        <w:t xml:space="preserve"> under Sarduri</w:t>
      </w:r>
      <w:r w:rsidRPr="006F04E6">
        <w:rPr>
          <w:rFonts w:ascii="Times New Roman" w:eastAsia="Arial" w:hAnsi="Times New Roman" w:cs="Times New Roman"/>
          <w:color w:val="202124"/>
          <w:lang w:val="en-GB" w:eastAsia="it-IT"/>
        </w:rPr>
        <w:t> </w:t>
      </w:r>
      <w:r w:rsidRPr="006F04E6">
        <w:rPr>
          <w:rFonts w:asciiTheme="majorBidi" w:eastAsia="Times New Roman" w:hAnsiTheme="majorBidi" w:cstheme="majorBidi"/>
          <w:color w:val="202124"/>
          <w:lang w:val="en-GB" w:eastAsia="it-IT"/>
        </w:rPr>
        <w:t xml:space="preserve"> </w:t>
      </w:r>
      <w:r w:rsidRPr="006F04E6">
        <w:rPr>
          <w:rFonts w:ascii="Times New Roman" w:hAnsi="Times New Roman"/>
          <w:color w:val="202124"/>
          <w:lang w:val="en-GB"/>
        </w:rPr>
        <w:t>I</w:t>
      </w:r>
      <w:r w:rsidRPr="006F04E6">
        <w:rPr>
          <w:rFonts w:ascii="Times New Roman" w:eastAsia="Arial" w:hAnsi="Times New Roman" w:cs="Times New Roman"/>
          <w:color w:val="202124"/>
          <w:lang w:val="en-GB" w:eastAsia="it-IT"/>
        </w:rPr>
        <w:t> </w:t>
      </w:r>
      <w:r w:rsidRPr="006F04E6">
        <w:rPr>
          <w:rFonts w:asciiTheme="majorBidi" w:eastAsia="Times New Roman" w:hAnsiTheme="majorBidi" w:cstheme="majorBidi"/>
          <w:color w:val="202124"/>
          <w:lang w:val="en-GB" w:eastAsia="it-IT"/>
        </w:rPr>
        <w:fldChar w:fldCharType="begin"/>
      </w:r>
      <w:r w:rsidRPr="006F04E6">
        <w:rPr>
          <w:rFonts w:asciiTheme="majorBidi" w:hAnsiTheme="majorBidi" w:cstheme="majorBidi"/>
          <w:lang w:val="en-GB"/>
        </w:rPr>
        <w:instrText xml:space="preserve"> XE "Sarduri I" </w:instrText>
      </w:r>
      <w:r w:rsidRPr="006F04E6">
        <w:rPr>
          <w:rFonts w:asciiTheme="majorBidi" w:eastAsia="Times New Roman" w:hAnsiTheme="majorBidi" w:cstheme="majorBidi"/>
          <w:color w:val="202124"/>
          <w:lang w:val="en-GB" w:eastAsia="it-IT"/>
        </w:rPr>
        <w:fldChar w:fldCharType="end"/>
      </w:r>
      <w:r w:rsidRPr="006F04E6">
        <w:rPr>
          <w:rFonts w:asciiTheme="majorBidi" w:eastAsia="Times New Roman" w:hAnsiTheme="majorBidi" w:cstheme="majorBidi"/>
          <w:color w:val="202124"/>
          <w:lang w:val="en-GB" w:eastAsia="it-IT"/>
        </w:rPr>
        <w:t xml:space="preserve"> </w:t>
      </w:r>
      <w:r w:rsidRPr="006F04E6">
        <w:rPr>
          <w:rFonts w:ascii="Times New Roman" w:hAnsi="Times New Roman"/>
          <w:color w:val="202124"/>
          <w:lang w:val="en-GB"/>
        </w:rPr>
        <w:t xml:space="preserve">(CTU I. A 1-2), but it is not </w:t>
      </w:r>
      <w:r w:rsidRPr="006F04E6">
        <w:rPr>
          <w:rFonts w:ascii="Times New Roman" w:eastAsia="Arial" w:hAnsi="Times New Roman" w:cs="Times New Roman"/>
          <w:color w:val="202124"/>
          <w:lang w:val="en-GB" w:eastAsia="it-IT"/>
        </w:rPr>
        <w:t>inevitable</w:t>
      </w:r>
      <w:r w:rsidRPr="006F04E6">
        <w:rPr>
          <w:rFonts w:ascii="Times New Roman" w:hAnsi="Times New Roman"/>
          <w:color w:val="202124"/>
          <w:lang w:val="en-GB"/>
        </w:rPr>
        <w:t xml:space="preserve">. The </w:t>
      </w:r>
      <w:r w:rsidRPr="006F04E6">
        <w:rPr>
          <w:rFonts w:ascii="Times New Roman" w:eastAsia="Arial" w:hAnsi="Times New Roman" w:cs="Times New Roman"/>
          <w:color w:val="202124"/>
          <w:lang w:val="en-GB" w:eastAsia="it-IT"/>
        </w:rPr>
        <w:t>palaeography differs</w:t>
      </w:r>
      <w:r w:rsidRPr="006F04E6">
        <w:rPr>
          <w:rFonts w:ascii="Times New Roman" w:hAnsi="Times New Roman"/>
          <w:color w:val="202124"/>
          <w:lang w:val="en-GB"/>
        </w:rPr>
        <w:t xml:space="preserve"> from that of Sardurburç</w:t>
      </w:r>
      <w:r w:rsidRPr="006F04E6">
        <w:rPr>
          <w:rFonts w:ascii="Times New Roman" w:eastAsia="Arial" w:hAnsi="Times New Roman" w:cs="Times New Roman"/>
          <w:color w:val="202124"/>
          <w:lang w:val="en-GB" w:eastAsia="it-IT"/>
        </w:rPr>
        <w:t> </w:t>
      </w:r>
      <w:r w:rsidRPr="006F04E6">
        <w:rPr>
          <w:rFonts w:asciiTheme="majorBidi" w:eastAsia="Times New Roman" w:hAnsiTheme="majorBidi" w:cstheme="majorBidi"/>
          <w:color w:val="202124"/>
          <w:lang w:val="en-GB" w:eastAsia="it-IT"/>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bCs/>
          <w:lang w:val="en-GB"/>
        </w:rPr>
        <w:instrText>Sardurburç</w:instrText>
      </w:r>
      <w:r w:rsidRPr="006F04E6">
        <w:rPr>
          <w:rFonts w:asciiTheme="majorBidi" w:hAnsiTheme="majorBidi" w:cstheme="majorBidi"/>
          <w:lang w:val="en-GB"/>
        </w:rPr>
        <w:instrText xml:space="preserve">" </w:instrText>
      </w:r>
      <w:r w:rsidRPr="006F04E6">
        <w:rPr>
          <w:rFonts w:asciiTheme="majorBidi" w:eastAsia="Times New Roman" w:hAnsiTheme="majorBidi" w:cstheme="majorBidi"/>
          <w:color w:val="202124"/>
          <w:lang w:val="en-GB" w:eastAsia="it-IT"/>
        </w:rPr>
        <w:fldChar w:fldCharType="end"/>
      </w:r>
      <w:r w:rsidRPr="006F04E6">
        <w:rPr>
          <w:rFonts w:asciiTheme="majorBidi" w:eastAsia="Times New Roman" w:hAnsiTheme="majorBidi" w:cstheme="majorBidi"/>
          <w:color w:val="202124"/>
          <w:lang w:val="en-GB" w:eastAsia="it-IT"/>
        </w:rPr>
        <w:t xml:space="preserve"> </w:t>
      </w:r>
      <w:r w:rsidRPr="006F04E6">
        <w:rPr>
          <w:rFonts w:ascii="Times New Roman" w:hAnsi="Times New Roman"/>
          <w:color w:val="202124"/>
          <w:lang w:val="en-GB"/>
        </w:rPr>
        <w:t xml:space="preserve">and could be the work of some Assyrian ruler, perhaps prior to </w:t>
      </w:r>
      <w:r w:rsidRPr="006F04E6">
        <w:rPr>
          <w:rFonts w:ascii="Times New Roman" w:eastAsia="Arial" w:hAnsi="Times New Roman" w:cs="Times New Roman"/>
          <w:color w:val="202124"/>
          <w:lang w:val="en-GB" w:eastAsia="it-IT"/>
        </w:rPr>
        <w:t>establishing</w:t>
      </w:r>
      <w:r w:rsidRPr="006F04E6">
        <w:rPr>
          <w:rFonts w:ascii="Times New Roman" w:hAnsi="Times New Roman"/>
          <w:color w:val="202124"/>
          <w:lang w:val="en-GB"/>
        </w:rPr>
        <w:t xml:space="preserve"> the Urartian</w:t>
      </w:r>
      <w:r w:rsidRPr="006F04E6">
        <w:rPr>
          <w:rFonts w:ascii="Times New Roman" w:eastAsia="Arial" w:hAnsi="Times New Roman" w:cs="Times New Roman"/>
          <w:color w:val="202124"/>
          <w:lang w:val="en-GB" w:eastAsia="it-IT"/>
        </w:rPr>
        <w:t> </w:t>
      </w:r>
      <w:r w:rsidRPr="006F04E6">
        <w:rPr>
          <w:rFonts w:asciiTheme="majorBidi" w:eastAsia="Times New Roman" w:hAnsiTheme="majorBidi" w:cstheme="majorBidi"/>
          <w:color w:val="202124"/>
          <w:lang w:val="en-GB" w:eastAsia="it-IT"/>
        </w:rPr>
        <w:fldChar w:fldCharType="begin"/>
      </w:r>
      <w:r w:rsidRPr="006F04E6">
        <w:rPr>
          <w:rFonts w:asciiTheme="majorBidi" w:hAnsiTheme="majorBidi" w:cstheme="majorBidi"/>
          <w:lang w:val="en-GB"/>
        </w:rPr>
        <w:instrText xml:space="preserve"> XE "Urartian" </w:instrText>
      </w:r>
      <w:r w:rsidRPr="006F04E6">
        <w:rPr>
          <w:rFonts w:asciiTheme="majorBidi" w:eastAsia="Times New Roman" w:hAnsiTheme="majorBidi" w:cstheme="majorBidi"/>
          <w:color w:val="202124"/>
          <w:lang w:val="en-GB" w:eastAsia="it-IT"/>
        </w:rPr>
        <w:fldChar w:fldCharType="end"/>
      </w:r>
      <w:r w:rsidRPr="006F04E6">
        <w:rPr>
          <w:rFonts w:asciiTheme="majorBidi" w:eastAsia="Times New Roman" w:hAnsiTheme="majorBidi" w:cstheme="majorBidi"/>
          <w:color w:val="202124"/>
          <w:lang w:val="en-GB" w:eastAsia="it-IT"/>
        </w:rPr>
        <w:t xml:space="preserve"> </w:t>
      </w:r>
      <w:r w:rsidRPr="006F04E6">
        <w:rPr>
          <w:rFonts w:ascii="Times New Roman" w:hAnsi="Times New Roman"/>
          <w:color w:val="202124"/>
          <w:lang w:val="en-GB"/>
        </w:rPr>
        <w:t>capital Ṭušpa</w:t>
      </w:r>
      <w:r w:rsidRPr="006F04E6">
        <w:rPr>
          <w:rFonts w:ascii="Times New Roman" w:eastAsia="Arial" w:hAnsi="Times New Roman" w:cs="Times New Roman"/>
          <w:color w:val="202124"/>
          <w:lang w:val="en-GB" w:eastAsia="it-IT"/>
        </w:rPr>
        <w:t> </w:t>
      </w:r>
      <w:r w:rsidRPr="006F04E6">
        <w:rPr>
          <w:rFonts w:ascii="Times New Roman" w:hAnsi="Times New Roman"/>
          <w:color w:val="202124"/>
          <w:lang w:val="en-GB"/>
        </w:rPr>
        <w:t xml:space="preserve">at Van Fortress. </w:t>
      </w:r>
      <w:r w:rsidRPr="006F04E6">
        <w:rPr>
          <w:rFonts w:ascii="Times New Roman" w:eastAsia="Arial" w:hAnsi="Times New Roman" w:cs="Times New Roman"/>
          <w:color w:val="202124"/>
          <w:lang w:val="en-GB" w:eastAsia="it-IT"/>
        </w:rPr>
        <w:t>Given its eastern position, the</w:t>
      </w:r>
      <w:r w:rsidRPr="006F04E6">
        <w:rPr>
          <w:rFonts w:ascii="Times New Roman" w:hAnsi="Times New Roman"/>
        </w:rPr>
        <w:t xml:space="preserve"> so-called </w:t>
      </w:r>
      <w:r w:rsidRPr="006F04E6">
        <w:rPr>
          <w:rFonts w:ascii="Times New Roman" w:eastAsia="Arial" w:hAnsi="Times New Roman" w:cs="Times New Roman"/>
          <w:color w:val="202124"/>
          <w:lang w:val="en-GB" w:eastAsia="it-IT"/>
        </w:rPr>
        <w:t>‘</w:t>
      </w:r>
      <w:r w:rsidRPr="006F04E6">
        <w:rPr>
          <w:rFonts w:ascii="Times New Roman" w:hAnsi="Times New Roman"/>
        </w:rPr>
        <w:t>Ostkammer</w:t>
      </w:r>
      <w:r w:rsidRPr="006F04E6">
        <w:rPr>
          <w:rFonts w:ascii="Times New Roman" w:hAnsi="Times New Roman"/>
          <w:color w:val="202124"/>
          <w:lang w:val="en-GB"/>
        </w:rPr>
        <w:t>’</w:t>
      </w:r>
      <w:r w:rsidRPr="006F04E6">
        <w:rPr>
          <w:rFonts w:ascii="Times New Roman" w:hAnsi="Times New Roman"/>
        </w:rPr>
        <w:t xml:space="preserve"> (plan, No. 2</w:t>
      </w:r>
      <w:r w:rsidRPr="006F04E6">
        <w:rPr>
          <w:rFonts w:ascii="Times New Roman" w:hAnsi="Times New Roman"/>
          <w:color w:val="202124"/>
          <w:lang w:val="en-GB"/>
        </w:rPr>
        <w:t xml:space="preserve">) </w:t>
      </w:r>
      <w:r w:rsidRPr="006F04E6">
        <w:rPr>
          <w:rFonts w:ascii="Times New Roman" w:hAnsi="Times New Roman"/>
        </w:rPr>
        <w:t>could well be attributed to Sarduri II</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"Sarduri II"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but there is no evidence to that effect.</w:t>
      </w:r>
    </w:p>
    <w:p w14:paraId="54FFF9B8" w14:textId="77777777" w:rsidR="008F602E" w:rsidRPr="006F04E6"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4BDC7A5E"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Other minor cave rooms had a funerary purpose, such as the Cremation tomb</w:t>
      </w:r>
      <w:r w:rsidRPr="006F04E6">
        <w:rPr>
          <w:rFonts w:ascii="Times New Roman" w:eastAsia="Arial" w:hAnsi="Times New Roman" w:cs="Times New Roman"/>
          <w:color w:val="202124"/>
          <w:lang w:val="en-GB" w:eastAsia="it-IT"/>
        </w:rPr>
        <w:t xml:space="preserve">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"Cremation Tomb"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(plan, No. 24) and others, </w:t>
      </w:r>
      <w:r w:rsidRPr="006F04E6">
        <w:rPr>
          <w:rFonts w:ascii="Times New Roman" w:hAnsi="Times New Roman"/>
          <w:color w:val="202124"/>
          <w:lang w:val="en-GB"/>
        </w:rPr>
        <w:t>one of which has recently been uncovered and excavated (Konyar, Genç &amp; Tan 2018: 211-220), in</w:t>
      </w:r>
      <w:r w:rsidRPr="006F04E6">
        <w:rPr>
          <w:rFonts w:ascii="Times New Roman" w:hAnsi="Times New Roman"/>
        </w:rPr>
        <w:t xml:space="preserve">cluding the </w:t>
      </w:r>
      <w:r w:rsidRPr="006F04E6">
        <w:rPr>
          <w:rStyle w:val="y2iqfc"/>
          <w:rFonts w:asciiTheme="majorBidi" w:eastAsia="Arial" w:hAnsiTheme="majorBidi" w:cstheme="majorBidi"/>
          <w:color w:val="202124"/>
          <w:lang w:val="en-GB"/>
        </w:rPr>
        <w:t>“</w:t>
      </w:r>
      <w:r w:rsidRPr="006F04E6">
        <w:rPr>
          <w:rStyle w:val="y2iqfc"/>
          <w:rFonts w:asciiTheme="majorBidi" w:eastAsia="Arial" w:hAnsiTheme="majorBidi" w:cstheme="majorBidi"/>
          <w:lang w:val="en-GB"/>
        </w:rPr>
        <w:t>T</w:t>
      </w:r>
      <w:r w:rsidRPr="006F04E6">
        <w:rPr>
          <w:rStyle w:val="y2iqfc"/>
          <w:rFonts w:asciiTheme="majorBidi" w:eastAsia="Arial" w:hAnsiTheme="majorBidi" w:cstheme="majorBidi"/>
          <w:color w:val="202124"/>
          <w:lang w:val="en-GB"/>
        </w:rPr>
        <w:t>”</w:t>
      </w:r>
      <w:r w:rsidRPr="006F04E6">
        <w:rPr>
          <w:rFonts w:ascii="Times New Roman" w:hAnsi="Times New Roman"/>
        </w:rPr>
        <w:t xml:space="preserve"> shaped niches</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"“T” shaped niches"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which are also found in other Urartian</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"Urartian"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sites (</w:t>
      </w:r>
      <w:r w:rsidRPr="006F04E6">
        <w:rPr>
          <w:rFonts w:ascii="Times New Roman" w:hAnsi="Times New Roman"/>
          <w:color w:val="202124"/>
          <w:lang w:val="en-GB"/>
        </w:rPr>
        <w:t>See chapter 13)</w:t>
      </w:r>
      <w:r w:rsidRPr="006F04E6">
        <w:rPr>
          <w:rFonts w:ascii="Times New Roman" w:hAnsi="Times New Roman"/>
        </w:rPr>
        <w:t>.</w:t>
      </w:r>
      <w:r w:rsidRPr="006F04E6">
        <w:rPr>
          <w:rFonts w:ascii="Times New Roman" w:hAnsi="Times New Roman"/>
          <w:color w:val="202124"/>
          <w:lang w:val="en-GB"/>
        </w:rPr>
        <w:t xml:space="preserve"> </w:t>
      </w:r>
    </w:p>
    <w:p w14:paraId="644F5072"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In the latter part of Urartian</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"Urartian"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history</w:t>
      </w:r>
      <w:r w:rsidRPr="006F04E6">
        <w:rPr>
          <w:rFonts w:ascii="Times New Roman" w:eastAsia="Arial" w:hAnsi="Times New Roman" w:cs="Times New Roman"/>
          <w:color w:val="202124"/>
          <w:lang w:val="en-GB" w:eastAsia="it-IT"/>
        </w:rPr>
        <w:t>, the</w:t>
      </w:r>
      <w:r w:rsidRPr="006F04E6">
        <w:rPr>
          <w:rFonts w:ascii="Times New Roman" w:hAnsi="Times New Roman"/>
        </w:rPr>
        <w:t xml:space="preserve"> Van Fortress</w:t>
      </w:r>
      <w:r w:rsidRPr="006F04E6">
        <w:rPr>
          <w:rFonts w:ascii="Times New Roman" w:eastAsia="Arial" w:hAnsi="Times New Roman" w:cs="Times New Roman"/>
          <w:color w:val="202124"/>
          <w:lang w:val="en-GB" w:eastAsia="it-IT"/>
        </w:rPr>
        <w:t> </w:t>
      </w:r>
      <w:r w:rsidRPr="006F04E6">
        <w:rPr>
          <w:rFonts w:ascii="Times New Roman" w:hAnsi="Times New Roman"/>
        </w:rPr>
        <w:t>remained a sacred place dedicated to the memory of royal deeds and burials. Until the end of the written record</w:t>
      </w:r>
      <w:r w:rsidRPr="006F04E6">
        <w:rPr>
          <w:rFonts w:ascii="Times New Roman" w:eastAsia="Arial" w:hAnsi="Times New Roman" w:cs="Times New Roman"/>
          <w:color w:val="202124"/>
          <w:lang w:val="en-GB" w:eastAsia="it-IT"/>
        </w:rPr>
        <w:t>,</w:t>
      </w:r>
      <w:r w:rsidRPr="006F04E6">
        <w:rPr>
          <w:rFonts w:ascii="Times New Roman" w:hAnsi="Times New Roman"/>
        </w:rPr>
        <w:t xml:space="preserve"> the kings styled themselves </w:t>
      </w:r>
      <w:r w:rsidRPr="006F04E6">
        <w:rPr>
          <w:rFonts w:ascii="Times New Roman" w:eastAsia="Arial" w:hAnsi="Times New Roman" w:cs="Times New Roman"/>
          <w:color w:val="202124"/>
          <w:lang w:val="en-GB" w:eastAsia="it-IT"/>
        </w:rPr>
        <w:t>‘</w:t>
      </w:r>
      <w:r w:rsidRPr="006F04E6">
        <w:rPr>
          <w:rFonts w:ascii="Times New Roman" w:hAnsi="Times New Roman"/>
        </w:rPr>
        <w:t>Lord of the city of Ṭušpa</w:t>
      </w:r>
      <w:r w:rsidRPr="006F04E6">
        <w:rPr>
          <w:rFonts w:ascii="Times New Roman" w:eastAsia="Arial" w:hAnsi="Times New Roman" w:cs="Times New Roman"/>
          <w:color w:val="202124"/>
          <w:lang w:val="en-GB" w:eastAsia="it-IT"/>
        </w:rPr>
        <w:t xml:space="preserve">’ </w:t>
      </w:r>
      <w:r w:rsidRPr="006F04E6">
        <w:rPr>
          <w:rFonts w:ascii="Times New Roman" w:hAnsi="Times New Roman"/>
        </w:rPr>
        <w:t>(</w:t>
      </w:r>
      <w:r w:rsidRPr="006F04E6">
        <w:rPr>
          <w:rFonts w:ascii="Times New Roman" w:hAnsi="Times New Roman"/>
          <w:color w:val="000000" w:themeColor="text1"/>
        </w:rPr>
        <w:t xml:space="preserve">alusi </w:t>
      </w:r>
      <w:r w:rsidRPr="006F04E6">
        <w:rPr>
          <w:rFonts w:ascii="Times New Roman" w:hAnsi="Times New Roman"/>
          <w:color w:val="000000" w:themeColor="text1"/>
          <w:vertAlign w:val="superscript"/>
        </w:rPr>
        <w:t>URU</w:t>
      </w:r>
      <w:r w:rsidRPr="006F04E6">
        <w:rPr>
          <w:rFonts w:ascii="Times New Roman" w:hAnsi="Times New Roman"/>
          <w:color w:val="000000" w:themeColor="text1"/>
        </w:rPr>
        <w:t xml:space="preserve">Tušpae </w:t>
      </w:r>
      <w:r w:rsidRPr="006F04E6">
        <w:rPr>
          <w:rFonts w:ascii="Times New Roman" w:hAnsi="Times New Roman"/>
        </w:rPr>
        <w:t xml:space="preserve">URU). For </w:t>
      </w:r>
      <w:r w:rsidRPr="006F04E6">
        <w:rPr>
          <w:rFonts w:ascii="Times New Roman" w:eastAsia="Arial" w:hAnsi="Times New Roman" w:cs="Times New Roman"/>
          <w:color w:val="202124"/>
          <w:lang w:val="en-GB" w:eastAsia="it-IT"/>
        </w:rPr>
        <w:t>example,</w:t>
      </w:r>
      <w:r w:rsidRPr="006F04E6">
        <w:rPr>
          <w:rFonts w:ascii="Times New Roman" w:hAnsi="Times New Roman"/>
        </w:rPr>
        <w:t xml:space="preserve"> an inscription:</w:t>
      </w:r>
    </w:p>
    <w:p w14:paraId="7AC444AE" w14:textId="77777777" w:rsidR="008F602E" w:rsidRPr="006F04E6"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51CE1F9F"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rPr>
      </w:pPr>
      <w:r w:rsidRPr="006F04E6">
        <w:rPr>
          <w:rFonts w:ascii="Times New Roman" w:hAnsi="Times New Roman" w:cs="Times New Roman"/>
        </w:rPr>
        <w:lastRenderedPageBreak/>
        <w:t xml:space="preserve"> …..(</w:t>
      </w:r>
      <w:r w:rsidRPr="006F04E6">
        <w:rPr>
          <w:rFonts w:ascii="Times New Roman" w:hAnsi="Times New Roman" w:cs="Times New Roman"/>
          <w:lang w:val="en-GB"/>
        </w:rPr>
        <w:t xml:space="preserve">8) </w:t>
      </w:r>
      <w:r w:rsidRPr="006F04E6">
        <w:rPr>
          <w:rFonts w:ascii="Times New Roman" w:hAnsi="Times New Roman" w:cs="Times New Roman"/>
          <w:vertAlign w:val="superscript"/>
          <w:lang w:val="en-GB"/>
        </w:rPr>
        <w:t>D</w:t>
      </w:r>
      <w:r w:rsidRPr="006F04E6">
        <w:rPr>
          <w:rFonts w:ascii="Times New Roman" w:hAnsi="Times New Roman" w:cs="Times New Roman"/>
          <w:lang w:val="en-GB"/>
        </w:rPr>
        <w:t xml:space="preserve">ḫal-di-ni-ni al-su-i-ši-i-ni </w:t>
      </w:r>
      <w:r w:rsidRPr="006F04E6">
        <w:rPr>
          <w:rFonts w:ascii="Times New Roman" w:hAnsi="Times New Roman" w:cs="Times New Roman"/>
          <w:vertAlign w:val="superscript"/>
          <w:lang w:val="en-GB"/>
        </w:rPr>
        <w:t>m</w:t>
      </w:r>
      <w:r w:rsidRPr="006F04E6">
        <w:rPr>
          <w:rFonts w:ascii="Times New Roman" w:hAnsi="Times New Roman" w:cs="Times New Roman"/>
          <w:lang w:val="en-GB"/>
        </w:rPr>
        <w:t xml:space="preserve">ru-sa-a-ni </w:t>
      </w:r>
      <w:r w:rsidRPr="006F04E6">
        <w:rPr>
          <w:rFonts w:ascii="Times New Roman" w:hAnsi="Times New Roman" w:cs="Times New Roman"/>
          <w:vertAlign w:val="superscript"/>
          <w:lang w:val="en-GB"/>
        </w:rPr>
        <w:t>m</w:t>
      </w:r>
      <w:r w:rsidRPr="006F04E6">
        <w:rPr>
          <w:rFonts w:ascii="Times New Roman" w:hAnsi="Times New Roman" w:cs="Times New Roman"/>
          <w:lang w:val="en-GB"/>
        </w:rPr>
        <w:t xml:space="preserve">ar-giš-te-ḫi-e (9) MAN </w:t>
      </w:r>
      <w:r w:rsidRPr="006F04E6">
        <w:rPr>
          <w:rFonts w:ascii="Times New Roman" w:hAnsi="Times New Roman" w:cs="Times New Roman"/>
          <w:i/>
          <w:lang w:val="en-GB"/>
        </w:rPr>
        <w:t>DAN-NU</w:t>
      </w:r>
      <w:r w:rsidRPr="006F04E6">
        <w:rPr>
          <w:rFonts w:ascii="Times New Roman" w:hAnsi="Times New Roman" w:cs="Times New Roman"/>
          <w:lang w:val="en-GB"/>
        </w:rPr>
        <w:t xml:space="preserve"> MAN al-su-i-ni-e MAN </w:t>
      </w:r>
      <w:r w:rsidRPr="006F04E6">
        <w:rPr>
          <w:rFonts w:ascii="Times New Roman" w:hAnsi="Times New Roman" w:cs="Times New Roman"/>
          <w:vertAlign w:val="superscript"/>
          <w:lang w:val="en-GB"/>
        </w:rPr>
        <w:t>KUR</w:t>
      </w:r>
      <w:r w:rsidRPr="006F04E6">
        <w:rPr>
          <w:rFonts w:ascii="Times New Roman" w:hAnsi="Times New Roman" w:cs="Times New Roman"/>
          <w:lang w:val="en-GB"/>
        </w:rPr>
        <w:t xml:space="preserve">šú-ú-ra-a-ú-e (10) MAN </w:t>
      </w:r>
      <w:r w:rsidRPr="006F04E6">
        <w:rPr>
          <w:rFonts w:ascii="Times New Roman" w:hAnsi="Times New Roman" w:cs="Times New Roman"/>
          <w:vertAlign w:val="superscript"/>
          <w:lang w:val="en-GB"/>
        </w:rPr>
        <w:t>KUR</w:t>
      </w:r>
      <w:r w:rsidRPr="006F04E6">
        <w:rPr>
          <w:rFonts w:ascii="Times New Roman" w:hAnsi="Times New Roman" w:cs="Times New Roman"/>
          <w:lang w:val="en-GB"/>
        </w:rPr>
        <w:t>bi-a-i-na-ú-e MAN MAN</w:t>
      </w:r>
      <w:r w:rsidRPr="006F04E6">
        <w:rPr>
          <w:rFonts w:ascii="Times New Roman" w:hAnsi="Times New Roman" w:cs="Times New Roman"/>
          <w:vertAlign w:val="superscript"/>
          <w:lang w:val="en-GB"/>
        </w:rPr>
        <w:t>MEŠ</w:t>
      </w:r>
      <w:r w:rsidRPr="006F04E6">
        <w:rPr>
          <w:rFonts w:ascii="Times New Roman" w:hAnsi="Times New Roman" w:cs="Times New Roman"/>
          <w:lang w:val="en-GB"/>
        </w:rPr>
        <w:t xml:space="preserve">-ú-e a-lu-si </w:t>
      </w:r>
      <w:r w:rsidRPr="006F04E6">
        <w:rPr>
          <w:rFonts w:ascii="Times New Roman" w:hAnsi="Times New Roman" w:cs="Times New Roman"/>
          <w:vertAlign w:val="superscript"/>
          <w:lang w:val="en-GB"/>
        </w:rPr>
        <w:t>URU</w:t>
      </w:r>
      <w:r w:rsidRPr="006F04E6">
        <w:rPr>
          <w:rFonts w:ascii="Times New Roman" w:hAnsi="Times New Roman" w:cs="Times New Roman"/>
          <w:lang w:val="en-GB"/>
        </w:rPr>
        <w:t>ṭu-uš-pa-e URU…. “</w:t>
      </w:r>
      <w:r w:rsidRPr="006F04E6">
        <w:rPr>
          <w:rFonts w:ascii="Times New Roman" w:hAnsi="Times New Roman" w:cs="Times New Roman"/>
        </w:rPr>
        <w:t>By virtue of the greatness of Ḫaldi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"Ḫaldi" </w:instrText>
      </w:r>
      <w:r w:rsidRPr="006F04E6">
        <w:rPr>
          <w:rFonts w:ascii="Times New Roman" w:hAnsi="Times New Roman" w:cs="Times New Roman"/>
        </w:rPr>
        <w:fldChar w:fldCharType="end"/>
      </w:r>
      <w:r w:rsidRPr="006F04E6">
        <w:rPr>
          <w:rFonts w:ascii="Times New Roman" w:hAnsi="Times New Roman" w:cs="Times New Roman"/>
        </w:rPr>
        <w:t xml:space="preserve"> (I am) Rusa</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"Rusa" </w:instrText>
      </w:r>
      <w:r w:rsidRPr="006F04E6">
        <w:rPr>
          <w:rFonts w:ascii="Times New Roman" w:hAnsi="Times New Roman" w:cs="Times New Roman"/>
        </w:rPr>
        <w:fldChar w:fldCharType="end"/>
      </w:r>
      <w:r w:rsidRPr="006F04E6">
        <w:rPr>
          <w:rFonts w:ascii="Times New Roman" w:hAnsi="Times New Roman" w:cs="Times New Roman"/>
        </w:rPr>
        <w:t>, the son of Argišti, mighty king, great king, king of countries, king of Biainili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"Biainili" </w:instrText>
      </w:r>
      <w:r w:rsidRPr="006F04E6">
        <w:rPr>
          <w:rFonts w:ascii="Times New Roman" w:hAnsi="Times New Roman" w:cs="Times New Roman"/>
        </w:rPr>
        <w:fldChar w:fldCharType="end"/>
      </w:r>
      <w:r w:rsidRPr="006F04E6">
        <w:rPr>
          <w:rFonts w:ascii="Times New Roman" w:hAnsi="Times New Roman" w:cs="Times New Roman"/>
        </w:rPr>
        <w:t>, king of kings, the lord of the city of Ṭušpa</w:t>
      </w:r>
      <w:r w:rsidRPr="006F04E6">
        <w:rPr>
          <w:rStyle w:val="y2iqfc"/>
          <w:rFonts w:ascii="Times New Roman" w:eastAsia="Arial" w:hAnsi="Times New Roman" w:cs="Times New Roman"/>
          <w:color w:val="202124"/>
          <w:lang w:val="en-GB"/>
        </w:rPr>
        <w:t>”</w:t>
      </w:r>
      <w:r w:rsidRPr="006F04E6">
        <w:rPr>
          <w:rFonts w:ascii="Times New Roman" w:hAnsi="Times New Roman" w:cs="Times New Roman"/>
        </w:rPr>
        <w:t xml:space="preserve"> (CTU I. A 12-1, VII</w:t>
      </w:r>
      <w:r w:rsidRPr="006F04E6">
        <w:rPr>
          <w:rFonts w:ascii="Times New Roman" w:eastAsia="Arial" w:hAnsi="Times New Roman" w:cs="Times New Roman"/>
          <w:color w:val="202124"/>
          <w:lang w:val="en-GB" w:eastAsia="it-IT"/>
        </w:rPr>
        <w:t>)</w:t>
      </w:r>
      <w:r w:rsidRPr="006F04E6">
        <w:rPr>
          <w:rFonts w:ascii="Times New Roman" w:hAnsi="Times New Roman" w:cs="Times New Roman"/>
        </w:rPr>
        <w:t xml:space="preserve"> The affixing URU to Tushpa, in addition to the determinative URU is difficult to interpret. Furthermore, only </w:t>
      </w:r>
      <w:r w:rsidRPr="006F04E6">
        <w:rPr>
          <w:rFonts w:ascii="Times New Roman" w:hAnsi="Times New Roman" w:cs="Times New Roman"/>
          <w:color w:val="000000" w:themeColor="text1"/>
          <w:vertAlign w:val="superscript"/>
        </w:rPr>
        <w:t>URU</w:t>
      </w:r>
      <w:r w:rsidRPr="006F04E6">
        <w:rPr>
          <w:rFonts w:ascii="Times New Roman" w:hAnsi="Times New Roman" w:cs="Times New Roman"/>
        </w:rPr>
        <w:t>Ardini</w:t>
      </w:r>
      <w:r w:rsidRPr="006F04E6">
        <w:rPr>
          <w:rFonts w:ascii="Times New Roman" w:hAnsi="Times New Roman" w:cs="Times New Roman"/>
          <w:iCs/>
        </w:rPr>
        <w:t xml:space="preserve"> </w:t>
      </w:r>
      <w:r w:rsidRPr="006F04E6">
        <w:rPr>
          <w:rFonts w:ascii="Times New Roman" w:hAnsi="Times New Roman" w:cs="Times New Roman"/>
        </w:rPr>
        <w:t>URU is recorded, referring to the city of Muṣaṣir</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"Muṣaṣir" </w:instrText>
      </w:r>
      <w:r w:rsidRPr="006F04E6">
        <w:rPr>
          <w:rFonts w:ascii="Times New Roman" w:hAnsi="Times New Roman" w:cs="Times New Roman"/>
        </w:rPr>
        <w:fldChar w:fldCharType="end"/>
      </w:r>
      <w:r w:rsidRPr="006F04E6">
        <w:rPr>
          <w:rFonts w:ascii="Times New Roman" w:hAnsi="Times New Roman" w:cs="Times New Roman"/>
        </w:rPr>
        <w:t xml:space="preserve"> in the stele of Kelišin</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Kelišin</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CTU I.A 3-11, Obv 33. It should be added that Ardini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"Ardini" </w:instrText>
      </w:r>
      <w:r w:rsidRPr="006F04E6">
        <w:rPr>
          <w:rFonts w:ascii="Times New Roman" w:hAnsi="Times New Roman" w:cs="Times New Roman"/>
        </w:rPr>
        <w:fldChar w:fldCharType="end"/>
      </w:r>
      <w:r w:rsidRPr="006F04E6">
        <w:rPr>
          <w:rFonts w:ascii="Times New Roman" w:hAnsi="Times New Roman" w:cs="Times New Roman"/>
        </w:rPr>
        <w:t xml:space="preserve"> can be interpreted as Hurrian</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Hurrian</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xml:space="preserve"> arte=ni “the city”.</w:t>
      </w:r>
    </w:p>
    <w:p w14:paraId="6B9FFA6A" w14:textId="77777777" w:rsidR="00B4516E" w:rsidRPr="006F04E6" w:rsidRDefault="00B4516E" w:rsidP="00E026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s="Courier New"/>
          <w:lang w:val="it-IT"/>
        </w:rPr>
        <w:t>Although Urartian</w:t>
      </w:r>
      <w:r w:rsidRPr="006F04E6">
        <w:rPr>
          <w:rFonts w:ascii="Times New Roman" w:eastAsia="Arial" w:hAnsi="Times New Roman" w:cs="Times New Roman"/>
          <w:color w:val="202124"/>
          <w:lang w:val="en-GB"/>
        </w:rPr>
        <w:t> </w:t>
      </w:r>
      <w:r w:rsidRPr="006F04E6">
        <w:rPr>
          <w:rStyle w:val="y2iqfc"/>
          <w:rFonts w:asciiTheme="majorBidi" w:eastAsia="Arial" w:hAnsiTheme="majorBidi" w:cstheme="majorBidi"/>
          <w:color w:val="202124"/>
          <w:lang w:val="en-GB" w:eastAsia="it-IT"/>
        </w:rPr>
        <w:fldChar w:fldCharType="begin"/>
      </w:r>
      <w:r w:rsidRPr="006F04E6">
        <w:rPr>
          <w:rFonts w:asciiTheme="majorBidi" w:hAnsiTheme="majorBidi" w:cstheme="majorBidi"/>
          <w:lang w:val="en-GB"/>
        </w:rPr>
        <w:instrText xml:space="preserve"> XE "Urartian" </w:instrText>
      </w:r>
      <w:r w:rsidRPr="006F04E6">
        <w:rPr>
          <w:rStyle w:val="y2iqfc"/>
          <w:rFonts w:asciiTheme="majorBidi" w:eastAsia="Arial" w:hAnsiTheme="majorBidi" w:cstheme="majorBidi"/>
          <w:color w:val="202124"/>
          <w:lang w:val="en-GB" w:eastAsia="it-IT"/>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cs="Courier New"/>
          <w:lang w:val="it-IT"/>
        </w:rPr>
        <w:t>kings probably no longer resided in Van Fortress. The best</w:t>
      </w:r>
      <w:r w:rsidRPr="006F04E6">
        <w:rPr>
          <w:rFonts w:ascii="Times New Roman" w:eastAsia="Arial" w:hAnsi="Times New Roman" w:cs="Times New Roman"/>
          <w:color w:val="202124"/>
          <w:lang w:val="en-GB"/>
        </w:rPr>
        <w:t>-</w:t>
      </w:r>
      <w:r w:rsidRPr="006F04E6">
        <w:rPr>
          <w:rFonts w:ascii="Times New Roman" w:hAnsi="Times New Roman" w:cs="Courier New"/>
          <w:lang w:val="it-IT"/>
        </w:rPr>
        <w:t>known and most striking case is that of Rusa</w:t>
      </w:r>
      <w:r w:rsidRPr="006F04E6">
        <w:rPr>
          <w:rFonts w:ascii="Times New Roman" w:eastAsia="Arial" w:hAnsi="Times New Roman"/>
          <w:color w:val="202124"/>
          <w:lang w:val="en-GB"/>
        </w:rPr>
        <w:t>,</w:t>
      </w:r>
      <w:r w:rsidRPr="006F04E6">
        <w:rPr>
          <w:rStyle w:val="y2iqfc"/>
          <w:rFonts w:asciiTheme="majorBidi" w:eastAsia="Arial" w:hAnsiTheme="majorBidi" w:cstheme="majorBidi"/>
          <w:color w:val="202124"/>
          <w:lang w:val="en-GB"/>
        </w:rPr>
        <w:t xml:space="preserve"> </w:t>
      </w:r>
      <w:r w:rsidRPr="006F04E6">
        <w:rPr>
          <w:rFonts w:ascii="Times New Roman" w:hAnsi="Times New Roman" w:cs="Courier New"/>
          <w:lang w:val="it-IT"/>
        </w:rPr>
        <w:t>II</w:t>
      </w:r>
      <w:r w:rsidRPr="006F04E6">
        <w:rPr>
          <w:rStyle w:val="y2iqfc"/>
          <w:rFonts w:asciiTheme="majorBidi" w:eastAsia="Arial" w:hAnsiTheme="majorBidi" w:cstheme="majorBidi"/>
          <w:color w:val="202124"/>
          <w:lang w:val="en-GB" w:eastAsia="it-IT"/>
        </w:rPr>
        <w:fldChar w:fldCharType="begin"/>
      </w:r>
      <w:r w:rsidRPr="006F04E6">
        <w:rPr>
          <w:rFonts w:asciiTheme="majorBidi" w:hAnsiTheme="majorBidi" w:cstheme="majorBidi"/>
          <w:lang w:val="en-GB"/>
        </w:rPr>
        <w:instrText xml:space="preserve"> XE "Rusa II" </w:instrText>
      </w:r>
      <w:r w:rsidRPr="006F04E6">
        <w:rPr>
          <w:rStyle w:val="y2iqfc"/>
          <w:rFonts w:asciiTheme="majorBidi" w:eastAsia="Arial" w:hAnsiTheme="majorBidi" w:cstheme="majorBidi"/>
          <w:color w:val="202124"/>
          <w:lang w:val="en-GB" w:eastAsia="it-IT"/>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cs="Courier New"/>
          <w:lang w:val="it-IT"/>
        </w:rPr>
        <w:t xml:space="preserve"> who built some fortress</w:t>
      </w:r>
      <w:r w:rsidRPr="006F04E6">
        <w:rPr>
          <w:rFonts w:ascii="Times New Roman" w:eastAsia="Arial" w:hAnsi="Times New Roman" w:cs="Times New Roman"/>
          <w:color w:val="202124"/>
          <w:lang w:val="en-GB"/>
        </w:rPr>
        <w:t xml:space="preserve"> </w:t>
      </w:r>
      <w:r w:rsidRPr="006F04E6">
        <w:rPr>
          <w:rFonts w:ascii="Times New Roman" w:hAnsi="Times New Roman" w:cs="Courier New"/>
          <w:lang w:val="it-IT"/>
        </w:rPr>
        <w:t xml:space="preserve">cities </w:t>
      </w:r>
      <w:r w:rsidRPr="006F04E6">
        <w:rPr>
          <w:rFonts w:ascii="Times New Roman" w:eastAsia="Arial" w:hAnsi="Times New Roman" w:cs="Times New Roman"/>
          <w:color w:val="202124"/>
          <w:lang w:val="en-GB"/>
        </w:rPr>
        <w:t>as</w:t>
      </w:r>
      <w:r w:rsidRPr="006F04E6">
        <w:rPr>
          <w:rFonts w:ascii="Times New Roman" w:hAnsi="Times New Roman" w:cs="Courier New"/>
          <w:lang w:val="it-IT"/>
        </w:rPr>
        <w:t xml:space="preserve"> his residences. A </w:t>
      </w:r>
      <w:r w:rsidRPr="006F04E6">
        <w:rPr>
          <w:rFonts w:ascii="Times New Roman" w:eastAsia="Arial" w:hAnsi="Times New Roman" w:cs="Times New Roman"/>
          <w:color w:val="202124"/>
          <w:lang w:val="en-GB"/>
        </w:rPr>
        <w:t>specific</w:t>
      </w:r>
      <w:r w:rsidRPr="006F04E6">
        <w:rPr>
          <w:rFonts w:ascii="Times New Roman" w:hAnsi="Times New Roman" w:cs="Courier New"/>
          <w:lang w:val="it-IT"/>
        </w:rPr>
        <w:t xml:space="preserve"> analogy suggests the succession of the Assyrian</w:t>
      </w:r>
      <w:r w:rsidRPr="006F04E6">
        <w:rPr>
          <w:rFonts w:ascii="Times New Roman" w:eastAsia="Arial" w:hAnsi="Times New Roman" w:cs="Times New Roman"/>
          <w:color w:val="202124"/>
          <w:lang w:val="en-GB"/>
        </w:rPr>
        <w:t> </w:t>
      </w:r>
      <w:r w:rsidRPr="006F04E6">
        <w:rPr>
          <w:rStyle w:val="y2iqfc"/>
          <w:rFonts w:asciiTheme="majorBidi" w:eastAsia="Arial" w:hAnsiTheme="majorBidi" w:cstheme="majorBidi"/>
          <w:color w:val="202124"/>
          <w:lang w:val="en-GB" w:eastAsia="it-IT"/>
        </w:rPr>
        <w:fldChar w:fldCharType="begin"/>
      </w:r>
      <w:r w:rsidRPr="006F04E6">
        <w:rPr>
          <w:rFonts w:asciiTheme="majorBidi" w:hAnsiTheme="majorBidi" w:cstheme="majorBidi"/>
          <w:lang w:val="en-GB"/>
        </w:rPr>
        <w:instrText xml:space="preserve"> XE "Assyrian" </w:instrText>
      </w:r>
      <w:r w:rsidRPr="006F04E6">
        <w:rPr>
          <w:rStyle w:val="y2iqfc"/>
          <w:rFonts w:asciiTheme="majorBidi" w:eastAsia="Arial" w:hAnsiTheme="majorBidi" w:cstheme="majorBidi"/>
          <w:color w:val="202124"/>
          <w:lang w:val="en-GB" w:eastAsia="it-IT"/>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cs="Courier New"/>
          <w:lang w:val="it-IT"/>
        </w:rPr>
        <w:t>capitals and Nineveh</w:t>
      </w:r>
      <w:r w:rsidRPr="006F04E6">
        <w:rPr>
          <w:rFonts w:ascii="Times New Roman" w:eastAsia="Arial" w:hAnsi="Times New Roman" w:cs="Times New Roman"/>
          <w:color w:val="202124"/>
          <w:lang w:val="en-GB"/>
        </w:rPr>
        <w:t>,</w:t>
      </w:r>
      <w:r w:rsidRPr="006F04E6">
        <w:rPr>
          <w:rStyle w:val="y2iqfc"/>
          <w:rFonts w:asciiTheme="majorBidi" w:eastAsia="Arial" w:hAnsiTheme="majorBidi" w:cstheme="majorBidi"/>
          <w:color w:val="202124"/>
          <w:lang w:val="en-GB" w:eastAsia="it-IT"/>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000000" w:themeColor="text1"/>
          <w:lang w:val="en-GB"/>
        </w:rPr>
        <w:instrText>Nineveh</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eastAsia="it-IT"/>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cs="Courier New"/>
          <w:lang w:val="it-IT"/>
        </w:rPr>
        <w:t xml:space="preserve"> Assur</w:t>
      </w:r>
      <w:r w:rsidRPr="006F04E6">
        <w:rPr>
          <w:rFonts w:ascii="Times New Roman" w:eastAsia="Arial" w:hAnsi="Times New Roman" w:cs="Times New Roman"/>
          <w:color w:val="202124"/>
          <w:lang w:val="en-GB"/>
        </w:rPr>
        <w:t>,</w:t>
      </w:r>
      <w:r w:rsidRPr="006F04E6">
        <w:rPr>
          <w:rStyle w:val="y2iqfc"/>
          <w:rFonts w:asciiTheme="majorBidi" w:eastAsia="Arial" w:hAnsiTheme="majorBidi" w:cstheme="majorBidi"/>
          <w:color w:val="202124"/>
          <w:lang w:val="en-GB" w:eastAsia="it-IT"/>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Assur</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eastAsia="it-IT"/>
        </w:rPr>
        <w:fldChar w:fldCharType="end"/>
      </w:r>
      <w:r w:rsidRPr="006F04E6">
        <w:rPr>
          <w:rFonts w:ascii="Times New Roman" w:hAnsi="Times New Roman" w:cs="Courier New"/>
          <w:lang w:val="it-IT"/>
        </w:rPr>
        <w:t xml:space="preserve"> Kalhu</w:t>
      </w:r>
      <w:r w:rsidRPr="006F04E6">
        <w:rPr>
          <w:rStyle w:val="y2iqfc"/>
          <w:rFonts w:asciiTheme="majorBidi" w:eastAsia="Arial" w:hAnsiTheme="majorBidi" w:cstheme="majorBidi"/>
          <w:color w:val="202124"/>
          <w:lang w:val="en-GB" w:eastAsia="it-IT"/>
        </w:rPr>
        <w:fldChar w:fldCharType="begin"/>
      </w:r>
      <w:r w:rsidRPr="006F04E6">
        <w:rPr>
          <w:rFonts w:asciiTheme="majorBidi" w:hAnsiTheme="majorBidi" w:cstheme="majorBidi"/>
          <w:lang w:val="en-GB"/>
        </w:rPr>
        <w:instrText xml:space="preserve"> XE "Kalhu" </w:instrText>
      </w:r>
      <w:r w:rsidRPr="006F04E6">
        <w:rPr>
          <w:rStyle w:val="y2iqfc"/>
          <w:rFonts w:asciiTheme="majorBidi" w:eastAsia="Arial" w:hAnsiTheme="majorBidi" w:cstheme="majorBidi"/>
          <w:color w:val="202124"/>
          <w:lang w:val="en-GB" w:eastAsia="it-IT"/>
        </w:rPr>
        <w:fldChar w:fldCharType="end"/>
      </w:r>
      <w:r w:rsidRPr="006F04E6">
        <w:rPr>
          <w:rFonts w:ascii="Times New Roman" w:hAnsi="Times New Roman" w:cs="Courier New"/>
          <w:lang w:val="it-IT"/>
        </w:rPr>
        <w:t xml:space="preserve"> and Dur-Sharrukin</w:t>
      </w:r>
      <w:r w:rsidRPr="006F04E6">
        <w:rPr>
          <w:rFonts w:ascii="Times New Roman" w:eastAsia="Arial" w:hAnsi="Times New Roman" w:cs="Times New Roman"/>
          <w:color w:val="202124"/>
          <w:lang w:val="en-GB"/>
        </w:rPr>
        <w:t xml:space="preserve"> residences.</w:t>
      </w:r>
    </w:p>
    <w:p w14:paraId="7356A4AC"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GB"/>
        </w:rPr>
      </w:pPr>
      <w:r w:rsidRPr="00CC135C">
        <w:rPr>
          <w:rFonts w:ascii="Times New Roman" w:hAnsi="Times New Roman"/>
          <w:noProof/>
          <w:lang w:eastAsia="tr-TR"/>
        </w:rPr>
        <w:drawing>
          <wp:inline distT="0" distB="0" distL="0" distR="0" wp14:anchorId="7F65BE6B" wp14:editId="7D471357">
            <wp:extent cx="4916385" cy="2922084"/>
            <wp:effectExtent l="0" t="0" r="0" b="0"/>
            <wp:docPr id="2102002315" name="Resim 2102002315" descr="taslak, çizgi sanatı, beyaz,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02315" name="Resim 2102002315" descr="taslak, çizgi sanatı, beyaz, diyagram içeren bir resim&#10;&#10;Açıklama otomatik olarak oluşturuldu"/>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927893" cy="2928924"/>
                    </a:xfrm>
                    <a:prstGeom prst="rect">
                      <a:avLst/>
                    </a:prstGeom>
                    <a:noFill/>
                    <a:ln>
                      <a:noFill/>
                    </a:ln>
                  </pic:spPr>
                </pic:pic>
              </a:graphicData>
            </a:graphic>
          </wp:inline>
        </w:drawing>
      </w:r>
    </w:p>
    <w:p w14:paraId="5DF8578A"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r w:rsidRPr="006F04E6">
        <w:rPr>
          <w:rFonts w:ascii="Times New Roman" w:hAnsi="Times New Roman"/>
          <w:lang w:val="en-GB"/>
        </w:rPr>
        <w:t xml:space="preserve">Fig. 3 </w:t>
      </w:r>
      <w:r w:rsidRPr="006F04E6">
        <w:rPr>
          <w:rFonts w:ascii="Times New Roman" w:hAnsi="Times New Roman"/>
        </w:rPr>
        <w:t xml:space="preserve">Van </w:t>
      </w:r>
      <w:r w:rsidRPr="006F04E6">
        <w:rPr>
          <w:rStyle w:val="y2iqfc"/>
          <w:rFonts w:asciiTheme="majorBidi" w:eastAsia="Arial" w:hAnsiTheme="majorBidi" w:cstheme="majorBidi"/>
          <w:color w:val="202124"/>
          <w:lang w:val="en-GB"/>
        </w:rPr>
        <w:t>Fortress’s</w:t>
      </w:r>
      <w:r w:rsidRPr="006F04E6">
        <w:rPr>
          <w:rFonts w:ascii="Times New Roman" w:hAnsi="Times New Roman"/>
        </w:rPr>
        <w:t xml:space="preserve"> schematic plan, western sector (RlA 14: 3/4, 218-222).</w:t>
      </w:r>
    </w:p>
    <w:p w14:paraId="390E97A1" w14:textId="77777777" w:rsidR="00E02664" w:rsidRPr="006F04E6" w:rsidRDefault="00E02664"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1B43291E"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1. Sarduri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Sarduri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Sarduri 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’s pier or docks (CTU I. A 1-1). 2. Minua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’s inscription (CTU I. A 5-66). 3. Rock staircase. 4. Ottoman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Ottoman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fortification wall. 5. Mausoleum of Argišti 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Argišti 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(Khorkhor</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Khorkhor</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with royal Annals (CTU I. A 8-3). 6. Remains of the palace of Argišti I. 7. Rock workings and cutting in the rock. 8. Second Urartian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Urartian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citadel. 14. Ottoman building.</w:t>
      </w:r>
    </w:p>
    <w:p w14:paraId="7A8D3185" w14:textId="77777777" w:rsidR="00B4516E" w:rsidRPr="00CC135C" w:rsidRDefault="00B4516E" w:rsidP="00B4516E">
      <w:pPr>
        <w:keepNext/>
        <w:spacing w:after="200"/>
        <w:jc w:val="center"/>
        <w:rPr>
          <w:rFonts w:ascii="Times New Roman" w:hAnsi="Times New Roman"/>
          <w:color w:val="44546A"/>
          <w:lang w:val="en-GB"/>
        </w:rPr>
      </w:pPr>
      <w:r w:rsidRPr="00CC135C">
        <w:rPr>
          <w:rFonts w:ascii="Times New Roman" w:hAnsi="Times New Roman"/>
          <w:i/>
          <w:noProof/>
          <w:color w:val="44546A"/>
          <w:lang w:eastAsia="tr-TR"/>
        </w:rPr>
        <w:lastRenderedPageBreak/>
        <w:drawing>
          <wp:inline distT="0" distB="0" distL="0" distR="0" wp14:anchorId="2ABDF634" wp14:editId="549AFDA2">
            <wp:extent cx="3788229" cy="2466259"/>
            <wp:effectExtent l="0" t="0" r="0" b="0"/>
            <wp:docPr id="530225019" name="Resim 530225019" descr="taslak, çizim, çizgi sanatı, taramalı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25019" name="Resim 530225019" descr="taslak, çizim, çizgi sanatı, taramalı çizim içeren bir resim&#10;&#10;Açıklama otomatik olarak oluşturuldu"/>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3838004" cy="2498664"/>
                    </a:xfrm>
                    <a:prstGeom prst="rect">
                      <a:avLst/>
                    </a:prstGeom>
                    <a:noFill/>
                    <a:ln>
                      <a:noFill/>
                    </a:ln>
                    <a:extLst>
                      <a:ext uri="{53640926-AAD7-44D8-BBD7-CCE9431645EC}">
                        <a14:shadowObscured xmlns:a14="http://schemas.microsoft.com/office/drawing/2010/main"/>
                      </a:ext>
                    </a:extLst>
                  </pic:spPr>
                </pic:pic>
              </a:graphicData>
            </a:graphic>
          </wp:inline>
        </w:drawing>
      </w:r>
    </w:p>
    <w:p w14:paraId="15B1C26A"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lang w:val="en-GB"/>
        </w:rPr>
        <w:t xml:space="preserve">Fig. 4 </w:t>
      </w:r>
      <w:r w:rsidRPr="006F04E6">
        <w:rPr>
          <w:rFonts w:ascii="Times New Roman" w:hAnsi="Times New Roman"/>
        </w:rPr>
        <w:t xml:space="preserve">Van </w:t>
      </w:r>
      <w:r w:rsidRPr="006F04E6">
        <w:rPr>
          <w:rStyle w:val="y2iqfc"/>
          <w:rFonts w:asciiTheme="majorBidi" w:eastAsia="Arial" w:hAnsiTheme="majorBidi" w:cstheme="majorBidi"/>
          <w:color w:val="202124"/>
          <w:lang w:val="en-GB"/>
        </w:rPr>
        <w:t>Fortress’s</w:t>
      </w:r>
      <w:r w:rsidRPr="006F04E6">
        <w:rPr>
          <w:rFonts w:ascii="Times New Roman" w:hAnsi="Times New Roman"/>
        </w:rPr>
        <w:t xml:space="preserve"> schematic plan – central sector (RlA 14, 3/4, 218-222).</w:t>
      </w:r>
    </w:p>
    <w:p w14:paraId="23A5F420" w14:textId="77777777" w:rsidR="00126B7E" w:rsidRPr="006F04E6" w:rsidRDefault="00126B7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5F7C232A"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7. Rock wall 8. Second citadel 9. First citadel 10. Rock staircase 11. Inscription of Xerxes</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color w:val="000000"/>
          <w:lang w:val="en-GB"/>
        </w:rPr>
        <w:instrText>Xerxes</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12-14 Ottoman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Ottoman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structures, minaret of Suleiman the Magnificent 15-16. Rock chambers of Neft Kuyu</w:t>
      </w:r>
      <w:r w:rsidRPr="006F04E6">
        <w:rPr>
          <w:rStyle w:val="y2iqfc"/>
          <w:rFonts w:asciiTheme="majorBidi" w:eastAsia="Arial" w:hAnsiTheme="majorBidi" w:cstheme="majorBidi"/>
          <w:color w:val="202124"/>
          <w:lang w:val="en-GB"/>
        </w:rPr>
        <w:fldChar w:fldCharType="begin"/>
      </w:r>
      <w:r w:rsidRPr="006F04E6">
        <w:instrText xml:space="preserve"> XE "</w:instrText>
      </w:r>
      <w:r w:rsidRPr="006F04E6">
        <w:rPr>
          <w:rFonts w:asciiTheme="majorBidi" w:hAnsiTheme="majorBidi" w:cstheme="majorBidi"/>
        </w:rPr>
        <w:instrText>Neft Kuyu</w:instrText>
      </w:r>
      <w:r w:rsidRPr="006F04E6">
        <w:instrText xml:space="preserve">"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and İç Kale</w:t>
      </w:r>
      <w:r w:rsidRPr="006F04E6">
        <w:rPr>
          <w:rStyle w:val="y2iqfc"/>
          <w:rFonts w:asciiTheme="majorBidi" w:eastAsia="Arial" w:hAnsiTheme="majorBidi" w:cstheme="majorBidi"/>
          <w:color w:val="202124"/>
          <w:lang w:val="en-GB"/>
        </w:rPr>
        <w:fldChar w:fldCharType="begin"/>
      </w:r>
      <w:r w:rsidRPr="006F04E6">
        <w:instrText xml:space="preserve"> XE "</w:instrText>
      </w:r>
      <w:r w:rsidRPr="006F04E6">
        <w:rPr>
          <w:rFonts w:asciiTheme="majorBidi" w:hAnsiTheme="majorBidi" w:cstheme="majorBidi"/>
        </w:rPr>
        <w:instrText>İç Kale</w:instrText>
      </w:r>
      <w:r w:rsidRPr="006F04E6">
        <w:instrText xml:space="preserve">"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20. Niche with Assyrian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Assyrian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inscription CTU I. A 1-2.</w:t>
      </w:r>
    </w:p>
    <w:p w14:paraId="385DE71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057809BF" w14:textId="77777777" w:rsidR="00B4516E" w:rsidRPr="00CC135C" w:rsidRDefault="00B4516E" w:rsidP="00B4516E">
      <w:pPr>
        <w:spacing w:after="200"/>
        <w:jc w:val="both"/>
        <w:rPr>
          <w:rFonts w:ascii="Times New Roman" w:hAnsi="Times New Roman"/>
          <w:b/>
          <w:u w:val="single"/>
          <w:lang w:val="en-GB"/>
        </w:rPr>
      </w:pPr>
    </w:p>
    <w:p w14:paraId="691A9F6E" w14:textId="77777777" w:rsidR="00B4516E" w:rsidRPr="00CC135C" w:rsidRDefault="00B4516E" w:rsidP="00B4516E">
      <w:pPr>
        <w:keepNext/>
        <w:rPr>
          <w:rFonts w:ascii="Times New Roman" w:hAnsi="Times New Roman"/>
          <w:lang w:val="en-GB"/>
        </w:rPr>
      </w:pPr>
      <w:r w:rsidRPr="00CC135C">
        <w:rPr>
          <w:rFonts w:ascii="Times New Roman" w:hAnsi="Times New Roman"/>
          <w:noProof/>
          <w:lang w:eastAsia="tr-TR"/>
        </w:rPr>
        <w:drawing>
          <wp:inline distT="0" distB="0" distL="0" distR="0" wp14:anchorId="59011A66" wp14:editId="1A5EA023">
            <wp:extent cx="5225143" cy="3475990"/>
            <wp:effectExtent l="0" t="0" r="0" b="0"/>
            <wp:docPr id="1854761586" name="Resim 1854761586" descr="taslak, çizgi sanatı, çizim,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61586" name="Resim 1854761586" descr="taslak, çizgi sanatı, çizim, diyagram içeren bir resim&#10;&#10;Açıklama otomatik olarak oluşturuldu"/>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5225143" cy="3475990"/>
                    </a:xfrm>
                    <a:prstGeom prst="rect">
                      <a:avLst/>
                    </a:prstGeom>
                    <a:noFill/>
                    <a:ln>
                      <a:noFill/>
                    </a:ln>
                    <a:extLst>
                      <a:ext uri="{53640926-AAD7-44D8-BBD7-CCE9431645EC}">
                        <a14:shadowObscured xmlns:a14="http://schemas.microsoft.com/office/drawing/2010/main"/>
                      </a:ext>
                    </a:extLst>
                  </pic:spPr>
                </pic:pic>
              </a:graphicData>
            </a:graphic>
          </wp:inline>
        </w:drawing>
      </w:r>
    </w:p>
    <w:p w14:paraId="1E7EB95A" w14:textId="4C2FCF52"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lang w:val="en-GB"/>
        </w:rPr>
        <w:t>Fig. 5</w:t>
      </w:r>
      <w:r w:rsidRPr="006F04E6">
        <w:rPr>
          <w:rFonts w:ascii="Times New Roman" w:hAnsi="Times New Roman"/>
          <w:b/>
          <w:lang w:val="en-GB"/>
        </w:rPr>
        <w:t xml:space="preserve"> </w:t>
      </w:r>
      <w:r w:rsidRPr="006F04E6">
        <w:rPr>
          <w:rFonts w:ascii="Times New Roman" w:hAnsi="Times New Roman"/>
          <w:lang w:val="en-GB"/>
        </w:rPr>
        <w:t>Schematic p</w:t>
      </w:r>
      <w:r w:rsidRPr="006F04E6">
        <w:rPr>
          <w:rFonts w:ascii="Times New Roman" w:hAnsi="Times New Roman"/>
        </w:rPr>
        <w:t xml:space="preserve">lan of Van Fortress Eastern </w:t>
      </w:r>
      <w:r w:rsidRPr="006F04E6">
        <w:rPr>
          <w:rFonts w:ascii="Times New Roman" w:eastAsia="Arial" w:hAnsi="Times New Roman" w:cs="Times New Roman"/>
          <w:color w:val="202124"/>
          <w:lang w:val="en-GB" w:eastAsia="it-IT"/>
        </w:rPr>
        <w:t>Sector</w:t>
      </w:r>
      <w:r w:rsidRPr="006F04E6">
        <w:rPr>
          <w:rFonts w:ascii="Times New Roman" w:hAnsi="Times New Roman"/>
        </w:rPr>
        <w:t>:</w:t>
      </w:r>
      <w:r w:rsidR="000A4BCA">
        <w:rPr>
          <w:rFonts w:ascii="Times New Roman" w:hAnsi="Times New Roman"/>
        </w:rPr>
        <w:t xml:space="preserve"> </w:t>
      </w:r>
      <w:r w:rsidRPr="006F04E6">
        <w:rPr>
          <w:rFonts w:ascii="Times New Roman" w:hAnsi="Times New Roman"/>
        </w:rPr>
        <w:t>4. Ottoman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Ottoman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Wall; 7. Cutting in the rock; 19, Minua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’s fountain inscriptions (CTU I. A 5-58); 20. Niche with Assyrian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Assyrian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sacrificial text (CTU I. A 1-2); 21. East Chamber; 22. Site of the American excavations of Kirsopp and Silwa Lake (1938-1939); 23. Sarduri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Sarduri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II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Sarduri II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’s rock complex with the annals text CTU I. A 9-3; 24. Urartian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Urartian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columbarium; 25. Rock tomb; 26. Niche inscription with text by </w:t>
      </w:r>
      <w:r w:rsidRPr="006F04E6">
        <w:rPr>
          <w:rFonts w:ascii="Times New Roman" w:hAnsi="Times New Roman"/>
        </w:rPr>
        <w:lastRenderedPageBreak/>
        <w:t>Išpuini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Išpuini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Minua and Inušpua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Inušpua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(CTU I. A 4-1); 28. Ruins of the Armenian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color w:val="202124"/>
          <w:lang w:val="en-GB"/>
        </w:rPr>
        <w:instrText>Armenian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Church Surb Vartan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Surb Vartan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29. Ruins of an Armenian church.</w:t>
      </w:r>
    </w:p>
    <w:p w14:paraId="7E997F64" w14:textId="77777777" w:rsidR="00B4516E" w:rsidRPr="00CC135C" w:rsidRDefault="00B4516E" w:rsidP="00B4516E">
      <w:pPr>
        <w:keepNext/>
        <w:spacing w:after="200"/>
        <w:jc w:val="center"/>
        <w:rPr>
          <w:rFonts w:ascii="Times New Roman" w:hAnsi="Times New Roman"/>
          <w:color w:val="44546A"/>
          <w:lang w:val="en-GB"/>
        </w:rPr>
      </w:pPr>
      <w:r w:rsidRPr="00CC135C">
        <w:rPr>
          <w:rFonts w:ascii="Times New Roman" w:hAnsi="Times New Roman"/>
          <w:i/>
          <w:noProof/>
          <w:color w:val="44546A"/>
          <w:lang w:eastAsia="tr-TR"/>
        </w:rPr>
        <w:drawing>
          <wp:inline distT="0" distB="0" distL="0" distR="0" wp14:anchorId="3B321377" wp14:editId="0B219147">
            <wp:extent cx="4080222" cy="3058572"/>
            <wp:effectExtent l="0" t="0" r="0" b="8890"/>
            <wp:docPr id="910447653" name="Resim 910447653" descr="dış mekan, gökyüzü, bitki, ağ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47653" name="Resim 910447653" descr="dış mekan, gökyüzü, bitki, ağaç içeren bir resim&#10;&#10;Açıklama otomatik olarak oluşturuldu"/>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128499" cy="3094761"/>
                    </a:xfrm>
                    <a:prstGeom prst="rect">
                      <a:avLst/>
                    </a:prstGeom>
                    <a:noFill/>
                    <a:ln>
                      <a:noFill/>
                    </a:ln>
                  </pic:spPr>
                </pic:pic>
              </a:graphicData>
            </a:graphic>
          </wp:inline>
        </w:drawing>
      </w:r>
    </w:p>
    <w:p w14:paraId="61B92D64" w14:textId="77777777" w:rsidR="00B4516E" w:rsidRPr="006F04E6" w:rsidRDefault="00B4516E" w:rsidP="00B4516E">
      <w:pPr>
        <w:spacing w:after="200"/>
        <w:rPr>
          <w:rFonts w:ascii="Times New Roman" w:hAnsi="Times New Roman"/>
          <w:b/>
          <w:i/>
          <w:iCs/>
          <w:lang w:val="en-GB"/>
        </w:rPr>
      </w:pPr>
      <w:r w:rsidRPr="006F04E6">
        <w:rPr>
          <w:rFonts w:ascii="Times New Roman" w:hAnsi="Times New Roman"/>
          <w:lang w:val="en-GB"/>
        </w:rPr>
        <w:t>Fig. 6 The “Sardurburç</w:t>
      </w:r>
      <w:r w:rsidRPr="006F04E6">
        <w:rPr>
          <w:rFonts w:ascii="Times New Roman" w:hAnsi="Times New Roman"/>
          <w:lang w:val="en-GB"/>
        </w:rPr>
        <w:fldChar w:fldCharType="begin"/>
      </w:r>
      <w:r w:rsidRPr="006F04E6">
        <w:rPr>
          <w:rFonts w:ascii="Times New Roman" w:hAnsi="Times New Roman"/>
          <w:color w:val="44546A"/>
          <w:lang w:val="en-GB"/>
        </w:rPr>
        <w:instrText xml:space="preserve"> XE "Sardurburç" </w:instrText>
      </w:r>
      <w:r w:rsidRPr="006F04E6">
        <w:rPr>
          <w:rFonts w:ascii="Times New Roman" w:hAnsi="Times New Roman"/>
          <w:lang w:val="en-GB"/>
        </w:rPr>
        <w:fldChar w:fldCharType="end"/>
      </w:r>
      <w:r w:rsidRPr="006F04E6">
        <w:rPr>
          <w:rFonts w:ascii="Times New Roman" w:hAnsi="Times New Roman"/>
          <w:lang w:val="en-GB"/>
        </w:rPr>
        <w:t>” following Lehmann-</w:t>
      </w:r>
      <w:r w:rsidRPr="006F04E6">
        <w:rPr>
          <w:rFonts w:ascii="Times New Roman" w:eastAsia="Calibri" w:hAnsi="Times New Roman" w:cs="Times New Roman"/>
          <w:lang w:val="en-GB"/>
        </w:rPr>
        <w:t>Haupt</w:t>
      </w:r>
      <w:r w:rsidRPr="006F04E6">
        <w:rPr>
          <w:rFonts w:ascii="Times New Roman" w:eastAsia="Calibri" w:hAnsi="Times New Roman" w:cs="Times New Roman"/>
          <w:lang w:val="en-GB"/>
        </w:rPr>
        <w:fldChar w:fldCharType="begin"/>
      </w:r>
      <w:r w:rsidRPr="006F04E6">
        <w:rPr>
          <w:rFonts w:ascii="Times New Roman" w:eastAsia="Calibri" w:hAnsi="Times New Roman" w:cs="Arial"/>
          <w:color w:val="44546A"/>
          <w:lang w:val="en-GB"/>
        </w:rPr>
        <w:instrText xml:space="preserve"> XE "</w:instrText>
      </w:r>
      <w:r w:rsidRPr="006F04E6">
        <w:rPr>
          <w:rFonts w:ascii="Times New Roman" w:eastAsia="Calibri" w:hAnsi="Times New Roman" w:cs="Times New Roman"/>
          <w:color w:val="000000"/>
          <w:lang w:val="en-GB"/>
        </w:rPr>
        <w:instrText>Lehmann-Haupt</w:instrText>
      </w:r>
      <w:r w:rsidRPr="006F04E6">
        <w:rPr>
          <w:rFonts w:ascii="Times New Roman" w:eastAsia="Calibri" w:hAnsi="Times New Roman" w:cs="Arial"/>
          <w:color w:val="44546A"/>
          <w:lang w:val="en-GB"/>
        </w:rPr>
        <w:instrText xml:space="preserve">" </w:instrText>
      </w:r>
      <w:r w:rsidRPr="006F04E6">
        <w:rPr>
          <w:rFonts w:ascii="Times New Roman" w:eastAsia="Calibri" w:hAnsi="Times New Roman" w:cs="Times New Roman"/>
          <w:lang w:val="en-GB"/>
        </w:rPr>
        <w:fldChar w:fldCharType="end"/>
      </w:r>
      <w:r w:rsidRPr="006F04E6">
        <w:rPr>
          <w:rFonts w:ascii="Times New Roman" w:eastAsia="Calibri" w:hAnsi="Times New Roman" w:cs="Times New Roman"/>
          <w:lang w:val="en-GB"/>
        </w:rPr>
        <w:t>’s</w:t>
      </w:r>
      <w:r w:rsidRPr="006F04E6">
        <w:rPr>
          <w:rFonts w:ascii="Times New Roman" w:hAnsi="Times New Roman"/>
          <w:lang w:val="en-GB"/>
        </w:rPr>
        <w:t xml:space="preserve"> definition</w:t>
      </w:r>
      <w:r w:rsidRPr="006F04E6">
        <w:rPr>
          <w:rFonts w:ascii="Times New Roman" w:hAnsi="Times New Roman"/>
          <w:b/>
          <w:lang w:val="en-GB"/>
        </w:rPr>
        <w:t xml:space="preserve">; </w:t>
      </w:r>
      <w:r w:rsidRPr="006F04E6">
        <w:rPr>
          <w:rFonts w:ascii="Times New Roman" w:hAnsi="Times New Roman"/>
          <w:lang w:val="en-GB"/>
        </w:rPr>
        <w:t xml:space="preserve">locally called Madır Burcu </w:t>
      </w:r>
      <w:r w:rsidRPr="006F04E6">
        <w:rPr>
          <w:rFonts w:ascii="Times New Roman" w:hAnsi="Times New Roman"/>
          <w:lang w:val="en-GB"/>
        </w:rPr>
        <w:fldChar w:fldCharType="begin"/>
      </w:r>
      <w:r w:rsidRPr="006F04E6">
        <w:rPr>
          <w:rFonts w:ascii="Times New Roman" w:hAnsi="Times New Roman"/>
          <w:color w:val="44546A"/>
          <w:lang w:val="en-GB"/>
        </w:rPr>
        <w:instrText xml:space="preserve"> XE "</w:instrText>
      </w:r>
      <w:r w:rsidRPr="006F04E6">
        <w:rPr>
          <w:rFonts w:ascii="Times New Roman" w:hAnsi="Times New Roman"/>
          <w:color w:val="202124"/>
          <w:lang w:val="en-GB"/>
        </w:rPr>
        <w:instrText>Madır Burcu</w:instrText>
      </w:r>
      <w:r w:rsidRPr="006F04E6">
        <w:rPr>
          <w:rFonts w:ascii="Times New Roman" w:hAnsi="Times New Roman"/>
          <w:color w:val="44546A"/>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(M. Salvini, 2015).</w:t>
      </w:r>
    </w:p>
    <w:p w14:paraId="180F3E28"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GB"/>
        </w:rPr>
      </w:pPr>
      <w:r w:rsidRPr="00CC135C">
        <w:rPr>
          <w:rFonts w:ascii="Times New Roman" w:hAnsi="Times New Roman"/>
          <w:color w:val="202124"/>
          <w:lang w:val="en-GB"/>
        </w:rPr>
        <w:br w:type="column"/>
      </w:r>
      <w:r w:rsidRPr="00CC135C">
        <w:rPr>
          <w:rFonts w:ascii="Times New Roman" w:hAnsi="Times New Roman"/>
          <w:noProof/>
          <w:color w:val="202124"/>
          <w:lang w:eastAsia="tr-TR"/>
        </w:rPr>
        <w:lastRenderedPageBreak/>
        <w:drawing>
          <wp:inline distT="0" distB="0" distL="0" distR="0" wp14:anchorId="21CF0A7D" wp14:editId="1ED23202">
            <wp:extent cx="3657600" cy="4874895"/>
            <wp:effectExtent l="0" t="0" r="0" b="1905"/>
            <wp:docPr id="1360068003" name="Resim 1360068003" descr="F:\CORPUS URARTEO 2020  III 5\Corpus Urarteo Colori\A1 = Sarduri I\DSCN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RPUS URARTEO 2020  III 5\Corpus Urarteo Colori\A1 = Sarduri I\DSCN1048.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657600" cy="4874895"/>
                    </a:xfrm>
                    <a:prstGeom prst="rect">
                      <a:avLst/>
                    </a:prstGeom>
                    <a:noFill/>
                    <a:ln>
                      <a:noFill/>
                    </a:ln>
                  </pic:spPr>
                </pic:pic>
              </a:graphicData>
            </a:graphic>
          </wp:inline>
        </w:drawing>
      </w:r>
    </w:p>
    <w:p w14:paraId="1BD03C6E" w14:textId="77777777" w:rsidR="00B4516E" w:rsidRPr="00CC135C" w:rsidRDefault="00B4516E" w:rsidP="000A4BC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i/>
          <w:lang w:val="en-GB"/>
        </w:rPr>
      </w:pPr>
      <w:r w:rsidRPr="00CC135C">
        <w:rPr>
          <w:rFonts w:ascii="Times New Roman" w:hAnsi="Times New Roman"/>
          <w:lang w:val="en-GB"/>
        </w:rPr>
        <w:t xml:space="preserve">Fig. 7 </w:t>
      </w:r>
      <w:r w:rsidRPr="00CC135C">
        <w:rPr>
          <w:rFonts w:ascii="Times New Roman" w:hAnsi="Times New Roman"/>
        </w:rPr>
        <w:t>NW corner of the “Sardurburç</w:t>
      </w:r>
      <w:r w:rsidRPr="00CC135C">
        <w:rPr>
          <w:rFonts w:ascii="Times New Roman" w:hAnsi="Times New Roman"/>
        </w:rPr>
        <w:fldChar w:fldCharType="begin"/>
      </w:r>
      <w:r w:rsidRPr="00CC135C">
        <w:rPr>
          <w:rFonts w:ascii="Courier New" w:hAnsi="Courier New"/>
          <w:sz w:val="20"/>
          <w:lang w:val="en-GB"/>
        </w:rPr>
        <w:instrText xml:space="preserve"> XE "</w:instrText>
      </w:r>
      <w:r w:rsidRPr="00CC135C">
        <w:rPr>
          <w:rFonts w:ascii="Times New Roman" w:hAnsi="Times New Roman"/>
          <w:lang w:val="en-GB"/>
        </w:rPr>
        <w:instrText>Sardurburç</w:instrText>
      </w:r>
      <w:r w:rsidRPr="00CC135C">
        <w:rPr>
          <w:rFonts w:ascii="Courier New" w:hAnsi="Courier New"/>
          <w:sz w:val="20"/>
          <w:lang w:val="en-GB"/>
        </w:rPr>
        <w:instrText xml:space="preserve">" </w:instrText>
      </w:r>
      <w:r w:rsidRPr="00CC135C">
        <w:rPr>
          <w:rFonts w:ascii="Times New Roman" w:hAnsi="Times New Roman"/>
        </w:rPr>
        <w:fldChar w:fldCharType="end"/>
      </w:r>
      <w:r w:rsidRPr="00CC135C">
        <w:rPr>
          <w:rFonts w:ascii="Times New Roman" w:hAnsi="Times New Roman"/>
        </w:rPr>
        <w:t>” with Sarduri I</w:t>
      </w:r>
      <w:r w:rsidRPr="00CC135C">
        <w:rPr>
          <w:rFonts w:ascii="Times New Roman" w:hAnsi="Times New Roman"/>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Sarduri I</w:instrText>
      </w:r>
      <w:r w:rsidRPr="00CC135C">
        <w:rPr>
          <w:rFonts w:ascii="Courier New" w:hAnsi="Courier New"/>
          <w:sz w:val="20"/>
          <w:lang w:val="en-GB"/>
        </w:rPr>
        <w:instrText xml:space="preserve">" </w:instrText>
      </w:r>
      <w:r w:rsidRPr="00CC135C">
        <w:rPr>
          <w:rFonts w:ascii="Times New Roman" w:hAnsi="Times New Roman"/>
        </w:rPr>
        <w:fldChar w:fldCharType="end"/>
      </w:r>
      <w:r w:rsidRPr="00CC135C">
        <w:rPr>
          <w:rFonts w:ascii="Times New Roman" w:hAnsi="Times New Roman"/>
        </w:rPr>
        <w:t xml:space="preserve"> text (CTU I. A 1-1A), </w:t>
      </w:r>
      <w:r w:rsidRPr="00CC135C">
        <w:rPr>
          <w:rFonts w:ascii="Times New Roman" w:hAnsi="Times New Roman"/>
          <w:lang w:val="en-GB"/>
        </w:rPr>
        <w:t>(M. Salvini, 2003).</w:t>
      </w:r>
    </w:p>
    <w:p w14:paraId="1EAB0EC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olor w:val="202124"/>
          <w:lang w:val="en-GB"/>
        </w:rPr>
      </w:pPr>
      <w:r w:rsidRPr="00CC135C">
        <w:rPr>
          <w:rFonts w:ascii="Times New Roman" w:hAnsi="Times New Roman"/>
          <w:color w:val="202124"/>
          <w:lang w:val="en-GB"/>
        </w:rPr>
        <w:br w:type="column"/>
      </w:r>
    </w:p>
    <w:p w14:paraId="236267FF"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GB"/>
        </w:rPr>
      </w:pPr>
      <w:r w:rsidRPr="00CC135C">
        <w:rPr>
          <w:rFonts w:ascii="Times New Roman" w:hAnsi="Times New Roman"/>
          <w:noProof/>
          <w:lang w:eastAsia="tr-TR"/>
        </w:rPr>
        <w:drawing>
          <wp:inline distT="0" distB="0" distL="0" distR="0" wp14:anchorId="00D52CFB" wp14:editId="0D2B39C8">
            <wp:extent cx="5400675" cy="4051935"/>
            <wp:effectExtent l="0" t="0" r="9525" b="5715"/>
            <wp:docPr id="1048727868" name="Resim 1048727868" descr="dış mekan, gökyüzü, kaya,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27868" name="Resim 1048727868" descr="dış mekan, gökyüzü, kaya, bina içeren bir resim&#10;&#10;Açıklama otomatik olarak oluşturuldu"/>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400675" cy="4051935"/>
                    </a:xfrm>
                    <a:prstGeom prst="rect">
                      <a:avLst/>
                    </a:prstGeom>
                    <a:noFill/>
                    <a:ln>
                      <a:noFill/>
                    </a:ln>
                  </pic:spPr>
                </pic:pic>
              </a:graphicData>
            </a:graphic>
          </wp:inline>
        </w:drawing>
      </w:r>
    </w:p>
    <w:p w14:paraId="113C5F9B" w14:textId="77777777" w:rsidR="00B4516E" w:rsidRPr="00CC135C" w:rsidRDefault="00B4516E" w:rsidP="00B4516E">
      <w:pPr>
        <w:spacing w:after="200"/>
        <w:jc w:val="center"/>
        <w:rPr>
          <w:rFonts w:ascii="Times New Roman" w:hAnsi="Times New Roman"/>
          <w:b/>
          <w:i/>
          <w:iCs/>
          <w:lang w:val="en-GB"/>
        </w:rPr>
      </w:pPr>
      <w:r w:rsidRPr="00CC135C">
        <w:rPr>
          <w:rFonts w:ascii="Times New Roman" w:hAnsi="Times New Roman"/>
          <w:lang w:val="en-GB"/>
        </w:rPr>
        <w:t>Fig. 8 The “Sardurburç</w:t>
      </w:r>
      <w:r w:rsidRPr="00CC135C">
        <w:rPr>
          <w:rFonts w:ascii="Times New Roman" w:hAnsi="Times New Roman"/>
          <w:lang w:val="en-GB"/>
        </w:rPr>
        <w:fldChar w:fldCharType="begin"/>
      </w:r>
      <w:r w:rsidRPr="00CC135C">
        <w:rPr>
          <w:rFonts w:ascii="Times New Roman" w:hAnsi="Times New Roman"/>
          <w:color w:val="44546A"/>
          <w:sz w:val="18"/>
          <w:lang w:val="en-GB"/>
        </w:rPr>
        <w:instrText xml:space="preserve"> XE "</w:instrText>
      </w:r>
      <w:r w:rsidRPr="00CC135C">
        <w:rPr>
          <w:rFonts w:ascii="Times New Roman" w:hAnsi="Times New Roman"/>
          <w:color w:val="44546A"/>
          <w:lang w:val="en-GB"/>
        </w:rPr>
        <w:instrText>Sardurburç</w:instrText>
      </w:r>
      <w:r w:rsidRPr="00CC135C">
        <w:rPr>
          <w:rFonts w:ascii="Times New Roman" w:hAnsi="Times New Roman"/>
          <w:color w:val="44546A"/>
          <w:sz w:val="18"/>
          <w:lang w:val="en-GB"/>
        </w:rPr>
        <w:instrText xml:space="preserve">" </w:instrText>
      </w:r>
      <w:r w:rsidRPr="00CC135C">
        <w:rPr>
          <w:rFonts w:ascii="Times New Roman" w:hAnsi="Times New Roman"/>
          <w:lang w:val="en-GB"/>
        </w:rPr>
        <w:fldChar w:fldCharType="end"/>
      </w:r>
      <w:r w:rsidRPr="00CC135C">
        <w:rPr>
          <w:rFonts w:ascii="Times New Roman" w:hAnsi="Times New Roman"/>
          <w:lang w:val="en-GB"/>
        </w:rPr>
        <w:t>”, west side (M. Salvini, 2007).</w:t>
      </w:r>
    </w:p>
    <w:p w14:paraId="542C791A"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olor w:val="202124"/>
          <w:lang w:val="en-GB"/>
        </w:rPr>
      </w:pPr>
    </w:p>
    <w:p w14:paraId="492EB25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1"/>
        <w:rPr>
          <w:rFonts w:ascii="Times New Roman" w:hAnsi="Times New Roman"/>
          <w:b/>
          <w:sz w:val="28"/>
          <w:lang w:val="en-GB"/>
        </w:rPr>
      </w:pPr>
      <w:bookmarkStart w:id="47" w:name="_Toc173231202"/>
      <w:r w:rsidRPr="00CC135C">
        <w:rPr>
          <w:rFonts w:ascii="Times New Roman" w:hAnsi="Times New Roman"/>
          <w:b/>
          <w:sz w:val="28"/>
          <w:lang w:val="en-GB"/>
        </w:rPr>
        <w:t xml:space="preserve">4.2. </w:t>
      </w:r>
      <w:r w:rsidRPr="0041322B">
        <w:rPr>
          <w:rFonts w:ascii="Times New Roman" w:eastAsia="Times New Roman" w:hAnsi="Times New Roman" w:cs="Times New Roman"/>
          <w:b/>
          <w:bCs/>
          <w:sz w:val="28"/>
          <w:szCs w:val="28"/>
          <w:lang w:val="en-GB" w:eastAsia="it-IT"/>
        </w:rPr>
        <w:t>Van Fortress’s</w:t>
      </w:r>
      <w:r w:rsidRPr="00CC135C">
        <w:rPr>
          <w:rFonts w:ascii="Times New Roman" w:hAnsi="Times New Roman"/>
          <w:b/>
          <w:sz w:val="28"/>
          <w:lang w:val="en-GB"/>
        </w:rPr>
        <w:t xml:space="preserve"> Royal Inscriptions. A review the Texts</w:t>
      </w:r>
      <w:bookmarkEnd w:id="47"/>
    </w:p>
    <w:p w14:paraId="1F7C698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2"/>
        <w:rPr>
          <w:rFonts w:ascii="Times New Roman" w:hAnsi="Times New Roman"/>
          <w:b/>
          <w:lang w:val="en-GB"/>
        </w:rPr>
      </w:pPr>
      <w:bookmarkStart w:id="48" w:name="_Toc173231203"/>
      <w:r w:rsidRPr="00CC135C">
        <w:rPr>
          <w:rFonts w:ascii="Times New Roman" w:hAnsi="Times New Roman"/>
          <w:b/>
          <w:lang w:val="en-GB"/>
        </w:rPr>
        <w:t>4.2.1. Inscriptions of Sarduri I</w:t>
      </w:r>
      <w:r w:rsidRPr="00CC135C">
        <w:rPr>
          <w:rFonts w:ascii="Times New Roman" w:hAnsi="Times New Roman"/>
          <w:b/>
          <w:lang w:val="en-GB"/>
        </w:rPr>
        <w:fldChar w:fldCharType="begin"/>
      </w:r>
      <w:r w:rsidRPr="00CC135C">
        <w:rPr>
          <w:rFonts w:ascii="Courier New" w:hAnsi="Courier New"/>
          <w:lang w:val="en-GB"/>
        </w:rPr>
        <w:instrText xml:space="preserve"> XE "</w:instrText>
      </w:r>
      <w:r w:rsidRPr="00CC135C">
        <w:rPr>
          <w:rFonts w:ascii="Times New Roman" w:hAnsi="Times New Roman"/>
          <w:lang w:val="en-GB"/>
        </w:rPr>
        <w:instrText>Sarduri I</w:instrText>
      </w:r>
      <w:r w:rsidRPr="00CC135C">
        <w:rPr>
          <w:rFonts w:ascii="Courier New" w:hAnsi="Courier New"/>
          <w:lang w:val="en-GB"/>
        </w:rPr>
        <w:instrText xml:space="preserve">" </w:instrText>
      </w:r>
      <w:r w:rsidRPr="00CC135C">
        <w:rPr>
          <w:rFonts w:ascii="Times New Roman" w:hAnsi="Times New Roman"/>
          <w:b/>
          <w:lang w:val="en-GB"/>
        </w:rPr>
        <w:fldChar w:fldCharType="end"/>
      </w:r>
      <w:r w:rsidRPr="00CC135C">
        <w:rPr>
          <w:rFonts w:ascii="Times New Roman" w:hAnsi="Times New Roman"/>
          <w:b/>
          <w:lang w:val="en-GB"/>
        </w:rPr>
        <w:t>, son of Lutibri</w:t>
      </w:r>
      <w:r w:rsidRPr="00CC135C">
        <w:rPr>
          <w:rFonts w:ascii="Times New Roman" w:hAnsi="Times New Roman"/>
          <w:b/>
          <w:lang w:val="en-GB"/>
        </w:rPr>
        <w:fldChar w:fldCharType="begin"/>
      </w:r>
      <w:r w:rsidRPr="00CC135C">
        <w:rPr>
          <w:rFonts w:ascii="Courier New" w:hAnsi="Courier New"/>
          <w:lang w:val="en-GB"/>
        </w:rPr>
        <w:instrText xml:space="preserve"> XE "</w:instrText>
      </w:r>
      <w:r w:rsidRPr="00CC135C">
        <w:rPr>
          <w:rFonts w:ascii="Times New Roman" w:hAnsi="Times New Roman"/>
          <w:color w:val="202124"/>
          <w:lang w:val="en-GB"/>
        </w:rPr>
        <w:instrText>Lutibri</w:instrText>
      </w:r>
      <w:r w:rsidRPr="00CC135C">
        <w:rPr>
          <w:rFonts w:ascii="Courier New" w:hAnsi="Courier New"/>
          <w:lang w:val="en-GB"/>
        </w:rPr>
        <w:instrText xml:space="preserve">" </w:instrText>
      </w:r>
      <w:r w:rsidRPr="00CC135C">
        <w:rPr>
          <w:rFonts w:ascii="Times New Roman" w:hAnsi="Times New Roman"/>
          <w:b/>
          <w:lang w:val="en-GB"/>
        </w:rPr>
        <w:fldChar w:fldCharType="end"/>
      </w:r>
      <w:r w:rsidRPr="00CC135C">
        <w:rPr>
          <w:rFonts w:ascii="Times New Roman" w:hAnsi="Times New Roman"/>
          <w:b/>
          <w:lang w:val="en-GB"/>
        </w:rPr>
        <w:t>:</w:t>
      </w:r>
      <w:bookmarkEnd w:id="48"/>
      <w:r w:rsidRPr="00CC135C">
        <w:rPr>
          <w:rFonts w:ascii="Times New Roman" w:hAnsi="Times New Roman"/>
          <w:b/>
          <w:lang w:val="en-GB"/>
        </w:rPr>
        <w:t xml:space="preserve"> </w:t>
      </w:r>
    </w:p>
    <w:p w14:paraId="02EA3E09" w14:textId="77777777" w:rsidR="00B4516E" w:rsidRPr="006F04E6" w:rsidRDefault="00B4516E" w:rsidP="00B4516E">
      <w:pPr>
        <w:keepNext/>
        <w:keepLines/>
        <w:spacing w:before="280" w:after="80" w:line="276" w:lineRule="auto"/>
        <w:outlineLvl w:val="3"/>
        <w:rPr>
          <w:rFonts w:ascii="Times New Roman" w:hAnsi="Times New Roman"/>
          <w:b/>
          <w:lang w:val="en-GB"/>
        </w:rPr>
      </w:pPr>
      <w:r w:rsidRPr="006F04E6">
        <w:rPr>
          <w:rFonts w:ascii="Times New Roman" w:hAnsi="Times New Roman"/>
          <w:b/>
          <w:lang w:val="en-GB"/>
        </w:rPr>
        <w:t>4.2.1.1. Sardurburç</w:t>
      </w:r>
      <w:r w:rsidRPr="006F04E6">
        <w:rPr>
          <w:rFonts w:asciiTheme="majorBidi" w:eastAsia="Times New Roman" w:hAnsiTheme="majorBidi" w:cstheme="majorBidi"/>
          <w:b/>
          <w:bCs/>
          <w:lang w:val="en-GB" w:eastAsia="it-IT"/>
        </w:rPr>
        <w:fldChar w:fldCharType="begin"/>
      </w:r>
      <w:r w:rsidRPr="006F04E6">
        <w:instrText xml:space="preserve"> XE "</w:instrText>
      </w:r>
      <w:r w:rsidRPr="006F04E6">
        <w:rPr>
          <w:rFonts w:asciiTheme="majorBidi" w:hAnsiTheme="majorBidi" w:cstheme="majorBidi"/>
        </w:rPr>
        <w:instrText>Sardurburç</w:instrText>
      </w:r>
      <w:r w:rsidRPr="006F04E6">
        <w:instrText xml:space="preserve">" </w:instrText>
      </w:r>
      <w:r w:rsidRPr="006F04E6">
        <w:rPr>
          <w:rFonts w:asciiTheme="majorBidi" w:eastAsia="Times New Roman" w:hAnsiTheme="majorBidi" w:cstheme="majorBidi"/>
          <w:b/>
          <w:bCs/>
          <w:lang w:val="en-GB" w:eastAsia="it-IT"/>
        </w:rPr>
        <w:fldChar w:fldCharType="end"/>
      </w:r>
      <w:r w:rsidRPr="006F04E6">
        <w:rPr>
          <w:rFonts w:ascii="Times New Roman" w:hAnsi="Times New Roman"/>
          <w:b/>
          <w:lang w:val="en-GB"/>
        </w:rPr>
        <w:t xml:space="preserve"> Inscriptions (CTU I. A 1-1A-F) </w:t>
      </w:r>
    </w:p>
    <w:p w14:paraId="6F5AA3C0" w14:textId="77777777" w:rsidR="00B4516E" w:rsidRPr="006F04E6" w:rsidRDefault="00B4516E" w:rsidP="00B4516E">
      <w:pPr>
        <w:jc w:val="both"/>
        <w:rPr>
          <w:rFonts w:ascii="Times New Roman" w:hAnsi="Times New Roman"/>
          <w:color w:val="202124"/>
          <w:lang w:val="en-GB"/>
        </w:rPr>
      </w:pPr>
      <w:r w:rsidRPr="006F04E6">
        <w:rPr>
          <w:rFonts w:ascii="Times New Roman" w:hAnsi="Times New Roman"/>
        </w:rPr>
        <w:t xml:space="preserve">The oldest texts dated with approximation (about 840 BCE) are </w:t>
      </w:r>
      <w:r w:rsidRPr="006F04E6">
        <w:rPr>
          <w:rFonts w:ascii="Times New Roman" w:eastAsia="Arial" w:hAnsi="Times New Roman" w:cs="Times New Roman"/>
          <w:color w:val="202124"/>
          <w:lang w:val="en-GB" w:eastAsia="it-IT"/>
        </w:rPr>
        <w:t>duplicates</w:t>
      </w:r>
      <w:r w:rsidRPr="006F04E6">
        <w:rPr>
          <w:rFonts w:ascii="Times New Roman" w:hAnsi="Times New Roman"/>
        </w:rPr>
        <w:t xml:space="preserve"> </w:t>
      </w:r>
      <w:r w:rsidRPr="006F04E6">
        <w:rPr>
          <w:rFonts w:ascii="Times New Roman" w:hAnsi="Times New Roman"/>
          <w:color w:val="202124"/>
          <w:lang w:val="en-GB"/>
        </w:rPr>
        <w:t xml:space="preserve">(plan, No. 1, Inscriptions are indicated with arrows). (Fig. 6-9). CTU I. A 1-1A, B, C, D, E, F. - Six duplicates of the </w:t>
      </w:r>
      <w:r w:rsidRPr="006F04E6">
        <w:rPr>
          <w:rFonts w:ascii="Times New Roman" w:eastAsia="Arial" w:hAnsi="Times New Roman" w:cs="Times New Roman"/>
          <w:color w:val="202124"/>
          <w:lang w:val="en-GB" w:eastAsia="it-IT"/>
        </w:rPr>
        <w:t>exact</w:t>
      </w:r>
      <w:r w:rsidRPr="006F04E6">
        <w:rPr>
          <w:rFonts w:ascii="Times New Roman" w:hAnsi="Times New Roman"/>
          <w:color w:val="202124"/>
          <w:lang w:val="en-GB"/>
        </w:rPr>
        <w:t xml:space="preserve"> text by Sarduri</w:t>
      </w:r>
      <w:r w:rsidRPr="006F04E6">
        <w:rPr>
          <w:rFonts w:ascii="Times New Roman" w:eastAsia="Arial" w:hAnsi="Times New Roman" w:cs="Times New Roman"/>
          <w:color w:val="202124"/>
          <w:lang w:val="en-GB" w:eastAsia="it-IT"/>
        </w:rPr>
        <w:t> </w:t>
      </w:r>
      <w:r w:rsidRPr="006F04E6">
        <w:rPr>
          <w:rFonts w:ascii="Times New Roman" w:hAnsi="Times New Roman"/>
          <w:color w:val="202124"/>
          <w:lang w:val="en-GB"/>
        </w:rPr>
        <w:t>I</w:t>
      </w:r>
      <w:r w:rsidRPr="006F04E6">
        <w:rPr>
          <w:rFonts w:ascii="Times New Roman" w:eastAsia="Arial"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"Sarduri I"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(RIA: 12, pp.39-42; see. RIA: 7, p.180) in Assyrian</w:t>
      </w:r>
      <w:r w:rsidRPr="006F04E6">
        <w:rPr>
          <w:rFonts w:ascii="Times New Roman" w:eastAsia="Arial"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"Assyrian"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language and script are engraved on the wall of the so-called ‘Sardursburg</w:t>
      </w:r>
      <w:r w:rsidRPr="006F04E6">
        <w:rPr>
          <w:rFonts w:ascii="Times New Roman" w:eastAsia="Arial" w:hAnsi="Times New Roman" w:cs="Times New Roman"/>
          <w:color w:val="202124"/>
          <w:lang w:val="en-GB" w:eastAsia="it-IT"/>
        </w:rPr>
        <w:t>’</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Sardursburg</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w:t>
      </w:r>
      <w:r w:rsidRPr="006F04E6">
        <w:rPr>
          <w:rFonts w:ascii="Times New Roman" w:hAnsi="Times New Roman"/>
          <w:color w:val="202124"/>
          <w:lang w:val="en-GB"/>
        </w:rPr>
        <w:t xml:space="preserve"> or ‘Sardurskastell</w:t>
      </w:r>
      <w:r w:rsidRPr="006F04E6">
        <w:rPr>
          <w:rFonts w:ascii="Times New Roman" w:eastAsia="Arial" w:hAnsi="Times New Roman" w:cs="Times New Roman"/>
          <w:color w:val="202124"/>
          <w:lang w:val="en-GB" w:eastAsia="it-IT"/>
        </w:rPr>
        <w:t xml:space="preserve">’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Sardurskastell</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w:t>
      </w:r>
      <w:r w:rsidRPr="006F04E6">
        <w:rPr>
          <w:rFonts w:ascii="Times New Roman" w:hAnsi="Times New Roman"/>
          <w:color w:val="202124"/>
          <w:lang w:val="en-GB"/>
        </w:rPr>
        <w:t xml:space="preserve"> (Lehmann-Haupt), locally called Madır Burcu</w:t>
      </w:r>
      <w:r w:rsidRPr="006F04E6">
        <w:rPr>
          <w:rFonts w:ascii="Times New Roman" w:eastAsia="Arial"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Madır Burcu</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located at the foot of the Ṭušpa</w:t>
      </w:r>
      <w:r w:rsidRPr="006F04E6">
        <w:rPr>
          <w:rFonts w:asciiTheme="majorBidi" w:hAnsiTheme="majorBidi" w:cstheme="majorBidi"/>
          <w:color w:val="202124"/>
          <w:lang w:val="en-GB"/>
        </w:rPr>
        <w:t>/Tuşpa</w:t>
      </w:r>
      <w:r w:rsidRPr="006F04E6">
        <w:rPr>
          <w:rFonts w:ascii="Times New Roman" w:hAnsi="Times New Roman"/>
          <w:color w:val="202124"/>
          <w:lang w:val="en-GB"/>
        </w:rPr>
        <w:t xml:space="preserve"> Rock</w:t>
      </w:r>
      <w:r w:rsidRPr="006F04E6">
        <w:rPr>
          <w:rFonts w:ascii="Times New Roman" w:eastAsia="Arial" w:hAnsi="Times New Roman" w:cs="Times New Roman"/>
          <w:color w:val="202124"/>
          <w:lang w:val="en-GB" w:eastAsia="it-IT"/>
        </w:rPr>
        <w:t> (Van Fortress),</w:t>
      </w:r>
      <w:r w:rsidRPr="006F04E6">
        <w:rPr>
          <w:rFonts w:asciiTheme="majorBidi" w:hAnsiTheme="majorBidi" w:cstheme="majorBidi"/>
          <w:color w:val="202124"/>
          <w:lang w:val="en-GB"/>
        </w:rPr>
        <w:fldChar w:fldCharType="begin"/>
      </w:r>
      <w:r w:rsidRPr="006F04E6">
        <w:instrText xml:space="preserve"> XE "</w:instrText>
      </w:r>
      <w:r w:rsidRPr="006F04E6">
        <w:rPr>
          <w:rFonts w:asciiTheme="majorBidi" w:hAnsiTheme="majorBidi" w:cstheme="majorBidi"/>
          <w:color w:val="202124"/>
          <w:lang w:val="en-GB"/>
        </w:rPr>
        <w:instrText>Ṭušpa/Van Rock</w:instrText>
      </w:r>
      <w:r w:rsidRPr="006F04E6">
        <w:instrText xml:space="preserve">"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w:t>
      </w:r>
      <w:r w:rsidRPr="006F04E6">
        <w:rPr>
          <w:rFonts w:ascii="Times New Roman" w:hAnsi="Times New Roman"/>
          <w:color w:val="202124"/>
          <w:lang w:val="en-GB"/>
        </w:rPr>
        <w:t xml:space="preserve"> at its extreme western limit. The structure of the cyclopean work, </w:t>
      </w:r>
      <w:r w:rsidRPr="006F04E6">
        <w:rPr>
          <w:rFonts w:ascii="Times New Roman" w:eastAsia="Arial" w:hAnsi="Times New Roman" w:cs="Times New Roman"/>
          <w:color w:val="202124"/>
          <w:lang w:val="en-GB" w:eastAsia="it-IT"/>
        </w:rPr>
        <w:t>consisting</w:t>
      </w:r>
      <w:r w:rsidRPr="006F04E6">
        <w:rPr>
          <w:rFonts w:ascii="Times New Roman" w:hAnsi="Times New Roman"/>
          <w:color w:val="202124"/>
          <w:lang w:val="en-GB"/>
        </w:rPr>
        <w:t xml:space="preserve"> of 4 rows of </w:t>
      </w:r>
      <w:r w:rsidRPr="006F04E6">
        <w:rPr>
          <w:rFonts w:ascii="Times New Roman" w:eastAsia="Arial" w:hAnsi="Times New Roman" w:cs="Times New Roman"/>
          <w:color w:val="202124"/>
          <w:lang w:val="en-GB" w:eastAsia="it-IT"/>
        </w:rPr>
        <w:t>enormous</w:t>
      </w:r>
      <w:r w:rsidRPr="006F04E6">
        <w:rPr>
          <w:rFonts w:ascii="Times New Roman" w:hAnsi="Times New Roman"/>
          <w:color w:val="202124"/>
          <w:lang w:val="en-GB"/>
        </w:rPr>
        <w:t xml:space="preserve"> stone blocks, excludes that it was a fortress. The hypothesis </w:t>
      </w:r>
      <w:r w:rsidRPr="006F04E6">
        <w:rPr>
          <w:rFonts w:ascii="Times New Roman" w:eastAsia="Arial" w:hAnsi="Times New Roman" w:cs="Times New Roman"/>
          <w:color w:val="202124"/>
          <w:lang w:val="en-GB" w:eastAsia="it-IT"/>
        </w:rPr>
        <w:t xml:space="preserve">I </w:t>
      </w:r>
      <w:r w:rsidRPr="006F04E6">
        <w:rPr>
          <w:rFonts w:ascii="Times New Roman" w:hAnsi="Times New Roman"/>
          <w:color w:val="202124"/>
          <w:lang w:val="en-GB"/>
        </w:rPr>
        <w:t xml:space="preserve">expressed </w:t>
      </w:r>
      <w:r w:rsidRPr="006F04E6">
        <w:rPr>
          <w:rFonts w:ascii="Times New Roman" w:eastAsia="Arial" w:hAnsi="Times New Roman" w:cs="Times New Roman"/>
          <w:color w:val="202124"/>
          <w:lang w:val="en-GB" w:eastAsia="it-IT"/>
        </w:rPr>
        <w:t>was</w:t>
      </w:r>
      <w:r w:rsidRPr="006F04E6">
        <w:rPr>
          <w:rFonts w:ascii="Times New Roman" w:hAnsi="Times New Roman"/>
          <w:color w:val="202124"/>
          <w:lang w:val="en-GB"/>
        </w:rPr>
        <w:t xml:space="preserve"> that it was a gigantic pier or dock. It will not be a coincidence that the nearby gate is called Pier </w:t>
      </w:r>
      <w:r w:rsidRPr="006F04E6">
        <w:rPr>
          <w:rFonts w:ascii="Times New Roman" w:eastAsia="Arial" w:hAnsi="Times New Roman" w:cs="Times New Roman"/>
          <w:color w:val="202124"/>
          <w:lang w:val="en-GB" w:eastAsia="it-IT"/>
        </w:rPr>
        <w:t>Gate</w:t>
      </w:r>
      <w:r w:rsidRPr="006F04E6">
        <w:rPr>
          <w:rFonts w:ascii="Times New Roman" w:hAnsi="Times New Roman"/>
          <w:color w:val="202124"/>
          <w:lang w:val="en-GB"/>
        </w:rPr>
        <w:t xml:space="preserve"> (İskele Gate</w:t>
      </w:r>
      <w:r w:rsidRPr="006F04E6">
        <w:rPr>
          <w:rFonts w:ascii="Times New Roman" w:eastAsia="Arial" w:hAnsi="Times New Roman" w:cs="Times New Roman"/>
          <w:color w:val="202124"/>
          <w:lang w:val="en-GB" w:eastAsia="it-IT"/>
        </w:rPr>
        <w:t>),</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000000" w:themeColor="text1"/>
          <w:lang w:val="en-GB"/>
        </w:rPr>
        <w:instrText>İskele Gate</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imes New Roman" w:hAnsi="Times New Roman"/>
          <w:color w:val="202124"/>
          <w:lang w:val="en-GB"/>
        </w:rPr>
        <w:t xml:space="preserve"> and the modern iskele is not far away. </w:t>
      </w:r>
      <w:r w:rsidRPr="006F04E6">
        <w:rPr>
          <w:rFonts w:ascii="Times New Roman" w:eastAsia="Arial" w:hAnsi="Times New Roman" w:cs="Times New Roman"/>
          <w:color w:val="202124"/>
          <w:lang w:val="en-GB" w:eastAsia="it-IT"/>
        </w:rPr>
        <w:t>The</w:t>
      </w:r>
      <w:r w:rsidRPr="006F04E6">
        <w:rPr>
          <w:rFonts w:ascii="Times New Roman" w:hAnsi="Times New Roman"/>
          <w:color w:val="202124"/>
          <w:lang w:val="en-GB"/>
        </w:rPr>
        <w:t xml:space="preserve"> lake </w:t>
      </w:r>
      <w:r w:rsidRPr="006F04E6">
        <w:rPr>
          <w:rFonts w:ascii="Times New Roman" w:eastAsia="Arial" w:hAnsi="Times New Roman" w:cs="Times New Roman"/>
          <w:color w:val="202124"/>
          <w:lang w:val="en-GB" w:eastAsia="it-IT"/>
        </w:rPr>
        <w:t xml:space="preserve">level </w:t>
      </w:r>
      <w:r w:rsidRPr="006F04E6">
        <w:rPr>
          <w:rFonts w:ascii="Times New Roman" w:hAnsi="Times New Roman"/>
          <w:color w:val="202124"/>
          <w:lang w:val="en-GB"/>
        </w:rPr>
        <w:t>was</w:t>
      </w:r>
      <w:r w:rsidRPr="006F04E6">
        <w:rPr>
          <w:rFonts w:ascii="Times New Roman" w:eastAsia="Arial" w:hAnsi="Times New Roman" w:cs="Times New Roman"/>
          <w:color w:val="202124"/>
          <w:lang w:val="en-GB" w:eastAsia="it-IT"/>
        </w:rPr>
        <w:t xml:space="preserve"> probably</w:t>
      </w:r>
      <w:r w:rsidRPr="006F04E6">
        <w:rPr>
          <w:rFonts w:ascii="Times New Roman" w:hAnsi="Times New Roman"/>
          <w:color w:val="202124"/>
          <w:lang w:val="en-GB"/>
        </w:rPr>
        <w:t xml:space="preserve"> higher at the time of Sarduri I, so much </w:t>
      </w:r>
      <w:r w:rsidRPr="006F04E6">
        <w:rPr>
          <w:rFonts w:ascii="Times New Roman" w:hAnsi="Times New Roman"/>
          <w:color w:val="202124"/>
          <w:lang w:val="en-GB"/>
        </w:rPr>
        <w:lastRenderedPageBreak/>
        <w:t xml:space="preserve">so that it touched the base of the cliff. </w:t>
      </w:r>
      <w:r w:rsidRPr="006F04E6">
        <w:rPr>
          <w:rFonts w:ascii="Times New Roman" w:hAnsi="Times New Roman"/>
        </w:rPr>
        <w:t xml:space="preserve">I leave it to the geologists to tell us if </w:t>
      </w:r>
      <w:r w:rsidRPr="006F04E6">
        <w:rPr>
          <w:rFonts w:ascii="Times New Roman" w:eastAsia="Arial" w:hAnsi="Times New Roman" w:cs="Times New Roman"/>
          <w:color w:val="202124"/>
          <w:lang w:val="en-GB" w:eastAsia="it-IT"/>
        </w:rPr>
        <w:t xml:space="preserve">Van Fortress could have been a peninsula </w:t>
      </w:r>
      <w:r w:rsidRPr="006F04E6">
        <w:rPr>
          <w:rFonts w:ascii="Times New Roman" w:hAnsi="Times New Roman"/>
        </w:rPr>
        <w:t>at that time (second half of the 9th century BCE</w:t>
      </w:r>
      <w:r w:rsidRPr="006F04E6">
        <w:rPr>
          <w:rFonts w:ascii="Times New Roman" w:eastAsia="Arial" w:hAnsi="Times New Roman" w:cs="Times New Roman"/>
          <w:color w:val="202124"/>
          <w:lang w:val="en-GB" w:eastAsia="it-IT"/>
        </w:rPr>
        <w:t>).</w:t>
      </w:r>
      <w:r w:rsidRPr="006F04E6">
        <w:rPr>
          <w:rFonts w:ascii="Times New Roman" w:hAnsi="Times New Roman"/>
        </w:rPr>
        <w:t xml:space="preserve"> </w:t>
      </w:r>
      <w:r w:rsidRPr="006F04E6">
        <w:rPr>
          <w:rFonts w:ascii="Times New Roman" w:hAnsi="Times New Roman"/>
          <w:color w:val="202124"/>
          <w:lang w:val="en-GB"/>
        </w:rPr>
        <w:t>During the 19th century, lake level increases of up to 3 m to 35 were recorded several times (Korfmann,1977: 183, n. 27; For different theory</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see. Trémouille &amp; Dan, 2022: 71-95).</w:t>
      </w:r>
      <w:r w:rsidRPr="006F04E6">
        <w:rPr>
          <w:rFonts w:ascii="Times New Roman" w:hAnsi="Times New Roman"/>
        </w:rPr>
        <w:t xml:space="preserve"> </w:t>
      </w:r>
      <w:r w:rsidRPr="006F04E6">
        <w:rPr>
          <w:rFonts w:ascii="Times New Roman" w:hAnsi="Times New Roman"/>
          <w:color w:val="202124"/>
          <w:lang w:val="en-GB"/>
        </w:rPr>
        <w:t xml:space="preserve">In the 90s </w:t>
      </w:r>
      <w:r w:rsidRPr="006F04E6">
        <w:rPr>
          <w:rFonts w:ascii="Times New Roman" w:eastAsia="Arial" w:hAnsi="Times New Roman" w:cs="Times New Roman"/>
          <w:color w:val="202124"/>
          <w:lang w:val="en-GB" w:eastAsia="it-IT"/>
        </w:rPr>
        <w:t>and</w:t>
      </w:r>
      <w:r w:rsidRPr="006F04E6">
        <w:rPr>
          <w:rFonts w:ascii="Times New Roman" w:hAnsi="Times New Roman"/>
          <w:color w:val="202124"/>
          <w:lang w:val="en-GB"/>
        </w:rPr>
        <w:t xml:space="preserve"> the last centuries</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the same phenomenon occurred in Erçek Lake</w:t>
      </w:r>
      <w:r w:rsidRPr="006F04E6">
        <w:rPr>
          <w:rFonts w:ascii="Times New Roman" w:eastAsia="Arial" w:hAnsi="Times New Roman" w:cs="Times New Roman"/>
          <w:color w:val="202124"/>
          <w:lang w:val="en-GB" w:eastAsia="it-IT"/>
        </w:rPr>
        <w:t>,</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Erçek Lake</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imes New Roman" w:hAnsi="Times New Roman"/>
          <w:color w:val="202124"/>
          <w:lang w:val="en-GB"/>
        </w:rPr>
        <w:t xml:space="preserve"> geologically connected to Van Lake</w:t>
      </w:r>
      <w:r w:rsidRPr="006F04E6">
        <w:rPr>
          <w:rFonts w:ascii="Times New Roman" w:eastAsia="Arial" w:hAnsi="Times New Roman" w:cs="Times New Roman"/>
          <w:color w:val="202124"/>
          <w:lang w:val="en-GB" w:eastAsia="it-IT"/>
        </w:rPr>
        <w:t>,</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Van Lake</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so the village of Karagündüz</w:t>
      </w:r>
      <w:r w:rsidRPr="006F04E6">
        <w:rPr>
          <w:rFonts w:ascii="Times New Roman" w:eastAsia="Arial"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"Karagündüz"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 xml:space="preserve">was abandoned. </w:t>
      </w:r>
    </w:p>
    <w:p w14:paraId="0348FDB5" w14:textId="77777777" w:rsidR="00B4516E" w:rsidRPr="006F04E6" w:rsidRDefault="00B4516E" w:rsidP="00B4516E">
      <w:pPr>
        <w:jc w:val="both"/>
        <w:rPr>
          <w:rFonts w:ascii="Times New Roman" w:hAnsi="Times New Roman"/>
          <w:color w:val="202124"/>
          <w:lang w:val="en-GB"/>
        </w:rPr>
      </w:pPr>
    </w:p>
    <w:p w14:paraId="2239C406" w14:textId="77777777" w:rsidR="00B4516E" w:rsidRPr="006F04E6" w:rsidRDefault="00B4516E" w:rsidP="00B4516E">
      <w:pPr>
        <w:jc w:val="both"/>
        <w:rPr>
          <w:rFonts w:ascii="Times New Roman" w:hAnsi="Times New Roman"/>
          <w:color w:val="202124"/>
          <w:lang w:val="en-GB"/>
        </w:rPr>
      </w:pPr>
      <w:r w:rsidRPr="006F04E6">
        <w:rPr>
          <w:rFonts w:ascii="Times New Roman" w:hAnsi="Times New Roman"/>
          <w:color w:val="202124"/>
          <w:lang w:val="en-GB"/>
        </w:rPr>
        <w:t>These phenomena lasted a few years. It is conceivable that Sarduri I</w:t>
      </w:r>
      <w:r w:rsidRPr="006F04E6">
        <w:rPr>
          <w:rFonts w:ascii="Times New Roman" w:eastAsia="Arial" w:hAnsi="Times New Roman" w:cs="Times New Roman"/>
          <w:color w:val="202124"/>
          <w:lang w:val="en-GB" w:eastAsia="it-IT"/>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"Sarduri I"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color w:val="202124"/>
          <w:lang w:val="en-GB"/>
        </w:rPr>
        <w:t xml:space="preserve">built his structure in one of these phases. This could explain the low position of some duplicates and their </w:t>
      </w:r>
      <w:r w:rsidRPr="006F04E6">
        <w:rPr>
          <w:rFonts w:ascii="Times New Roman" w:eastAsia="Arial" w:hAnsi="Times New Roman" w:cs="Times New Roman"/>
          <w:color w:val="202124"/>
          <w:lang w:val="en-GB" w:eastAsia="it-IT"/>
        </w:rPr>
        <w:t>slight</w:t>
      </w:r>
      <w:r w:rsidRPr="006F04E6">
        <w:rPr>
          <w:rFonts w:ascii="Times New Roman" w:hAnsi="Times New Roman"/>
          <w:color w:val="202124"/>
          <w:lang w:val="en-GB"/>
        </w:rPr>
        <w:t xml:space="preserve"> chronological difference (see below), as well as the definitive change of use, i.e</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transformation into a silo. Whatever the interpretation of this massive structure, its position clearly shows the relationship with the nearby waters of the lake. It is possible to imagine the existence of a channel that allowed rafts to carry the immense blocks of limestone from the Edremit</w:t>
      </w:r>
      <w:r w:rsidRPr="006F04E6">
        <w:rPr>
          <w:rFonts w:ascii="Times New Roman" w:eastAsia="Arial" w:hAnsi="Times New Roman" w:cs="Times New Roman"/>
          <w:color w:val="202124"/>
          <w:lang w:val="en-GB" w:eastAsia="it-IT"/>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"Edremit"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color w:val="202124"/>
          <w:lang w:val="en-GB"/>
        </w:rPr>
        <w:t>quarries. Alniunu</w:t>
      </w:r>
      <w:r w:rsidRPr="006F04E6">
        <w:rPr>
          <w:rFonts w:ascii="Times New Roman" w:eastAsia="Arial" w:hAnsi="Times New Roman" w:cs="Times New Roman"/>
          <w:color w:val="202124"/>
          <w:lang w:val="en-GB" w:eastAsia="it-IT"/>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Alniunu</w:instrText>
      </w:r>
      <w:r w:rsidRPr="006F04E6">
        <w:rPr>
          <w:rFonts w:asciiTheme="majorBidi" w:hAnsiTheme="majorBidi" w:cstheme="majorBidi"/>
          <w:lang w:val="en-GB"/>
        </w:rPr>
        <w:instrText xml:space="preserve">"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color w:val="202124"/>
          <w:lang w:val="en-GB"/>
        </w:rPr>
        <w:t xml:space="preserve">is </w:t>
      </w:r>
      <w:r w:rsidRPr="006F04E6">
        <w:rPr>
          <w:rFonts w:ascii="Times New Roman" w:eastAsia="Arial" w:hAnsi="Times New Roman" w:cs="Times New Roman"/>
          <w:color w:val="202124"/>
          <w:lang w:val="en-GB" w:eastAsia="it-IT"/>
        </w:rPr>
        <w:t>considered</w:t>
      </w:r>
      <w:r w:rsidRPr="006F04E6">
        <w:rPr>
          <w:rFonts w:ascii="Times New Roman" w:hAnsi="Times New Roman"/>
          <w:color w:val="202124"/>
          <w:lang w:val="en-GB"/>
        </w:rPr>
        <w:t xml:space="preserve"> in Edremit, 17 km south of Van (Belli, 1982: 115-130). From a nearby quarry</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the blocks could have been brought to the foot of the cliff </w:t>
      </w:r>
      <w:r w:rsidRPr="006F04E6">
        <w:rPr>
          <w:rFonts w:ascii="Times New Roman" w:eastAsia="Arial" w:hAnsi="Times New Roman" w:cs="Times New Roman"/>
          <w:color w:val="202124"/>
          <w:lang w:val="en-GB" w:eastAsia="it-IT"/>
        </w:rPr>
        <w:t>using</w:t>
      </w:r>
      <w:r w:rsidRPr="006F04E6">
        <w:rPr>
          <w:rFonts w:ascii="Times New Roman" w:hAnsi="Times New Roman"/>
          <w:color w:val="202124"/>
          <w:lang w:val="en-GB"/>
        </w:rPr>
        <w:t xml:space="preserve"> huge rafts. A few decades later</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the structure was used as a silo for storing cereals, as shown by the nearby rock inscription of </w:t>
      </w:r>
      <w:r w:rsidRPr="006F04E6">
        <w:rPr>
          <w:rFonts w:ascii="Times New Roman" w:eastAsia="Arial" w:hAnsi="Times New Roman" w:cs="Times New Roman"/>
          <w:color w:val="202124"/>
          <w:lang w:val="en-GB" w:eastAsia="it-IT"/>
        </w:rPr>
        <w:t>King</w:t>
      </w:r>
      <w:r w:rsidRPr="006F04E6">
        <w:rPr>
          <w:rFonts w:ascii="Times New Roman" w:hAnsi="Times New Roman"/>
          <w:color w:val="202124"/>
          <w:lang w:val="en-GB"/>
        </w:rPr>
        <w:t xml:space="preserve"> Minua</w:t>
      </w:r>
      <w:r w:rsidRPr="006F04E6">
        <w:rPr>
          <w:rFonts w:ascii="Times New Roman" w:eastAsia="Arial" w:hAnsi="Times New Roman" w:cs="Times New Roman"/>
          <w:color w:val="202124"/>
          <w:lang w:val="en-GB" w:eastAsia="it-IT"/>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"Minua"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color w:val="202124"/>
          <w:lang w:val="en-GB"/>
        </w:rPr>
        <w:t>(CTU I. A 5-66).</w:t>
      </w:r>
    </w:p>
    <w:p w14:paraId="1D21E7A9" w14:textId="77777777" w:rsidR="00B4516E" w:rsidRPr="00CC135C" w:rsidRDefault="00B4516E" w:rsidP="00B4516E">
      <w:pPr>
        <w:jc w:val="both"/>
        <w:rPr>
          <w:rFonts w:ascii="Times New Roman" w:hAnsi="Times New Roman"/>
          <w:lang w:val="en-GB"/>
        </w:rPr>
      </w:pPr>
    </w:p>
    <w:p w14:paraId="38C101D5" w14:textId="77777777" w:rsidR="00B4516E" w:rsidRPr="00CC135C" w:rsidRDefault="00B4516E" w:rsidP="00B4516E">
      <w:pPr>
        <w:spacing w:line="240" w:lineRule="atLeast"/>
        <w:ind w:left="567" w:right="-1" w:hanging="567"/>
        <w:rPr>
          <w:rFonts w:ascii="Times New Roman" w:hAnsi="Times New Roman"/>
          <w:b/>
          <w:lang w:val="en-GB"/>
        </w:rPr>
      </w:pPr>
      <w:r w:rsidRPr="00CC135C">
        <w:rPr>
          <w:rFonts w:ascii="Times New Roman" w:hAnsi="Times New Roman"/>
          <w:b/>
          <w:lang w:val="en-GB"/>
        </w:rPr>
        <w:t xml:space="preserve">CTU I. A 1-1A   </w:t>
      </w:r>
    </w:p>
    <w:p w14:paraId="5F700E23" w14:textId="77777777" w:rsidR="00B4516E" w:rsidRPr="00CC135C" w:rsidRDefault="00B4516E" w:rsidP="00B4516E">
      <w:pPr>
        <w:spacing w:line="240" w:lineRule="atLeast"/>
        <w:ind w:left="567" w:right="-1" w:hanging="567"/>
        <w:rPr>
          <w:rFonts w:ascii="Times New Roman" w:hAnsi="Times New Roman"/>
          <w:lang w:val="en-GB"/>
        </w:rPr>
      </w:pPr>
      <w:r w:rsidRPr="00CC135C">
        <w:rPr>
          <w:rFonts w:ascii="Times New Roman" w:hAnsi="Times New Roman"/>
          <w:lang w:val="en-GB"/>
        </w:rPr>
        <w:t>1</w:t>
      </w:r>
      <w:r w:rsidRPr="00CC135C">
        <w:rPr>
          <w:rFonts w:ascii="Times New Roman" w:hAnsi="Times New Roman"/>
          <w:lang w:val="en-GB"/>
        </w:rPr>
        <w:tab/>
        <w:t xml:space="preserve">IM </w:t>
      </w:r>
      <w:r w:rsidRPr="00CC135C">
        <w:rPr>
          <w:rFonts w:ascii="Times New Roman" w:hAnsi="Times New Roman"/>
          <w:i/>
          <w:lang w:val="en-GB"/>
        </w:rPr>
        <w:t>šá</w:t>
      </w:r>
      <w:r w:rsidRPr="00CC135C">
        <w:rPr>
          <w:rFonts w:ascii="Times New Roman" w:hAnsi="Times New Roman"/>
          <w:lang w:val="en-GB"/>
        </w:rPr>
        <w:t xml:space="preserve"> </w:t>
      </w:r>
      <w:r w:rsidRPr="00CC135C">
        <w:rPr>
          <w:rFonts w:ascii="Times New Roman" w:hAnsi="Times New Roman"/>
          <w:vertAlign w:val="superscript"/>
          <w:lang w:val="en-GB"/>
        </w:rPr>
        <w:t>mD</w:t>
      </w:r>
      <w:r w:rsidRPr="00CC135C">
        <w:rPr>
          <w:rFonts w:ascii="Times New Roman" w:hAnsi="Times New Roman"/>
          <w:i/>
          <w:lang w:val="en-GB"/>
        </w:rPr>
        <w:t>sar</w:t>
      </w:r>
      <w:r w:rsidRPr="00CC135C">
        <w:rPr>
          <w:rFonts w:ascii="Times New Roman" w:hAnsi="Times New Roman"/>
          <w:i/>
          <w:vertAlign w:val="subscript"/>
          <w:lang w:val="en-GB"/>
        </w:rPr>
        <w:t>5</w:t>
      </w:r>
      <w:r w:rsidRPr="00CC135C">
        <w:rPr>
          <w:rFonts w:ascii="Times New Roman" w:hAnsi="Times New Roman"/>
          <w:i/>
          <w:lang w:val="en-GB"/>
        </w:rPr>
        <w:t>-dūri</w:t>
      </w:r>
      <w:r w:rsidRPr="00CC135C">
        <w:rPr>
          <w:rFonts w:ascii="Times New Roman" w:hAnsi="Times New Roman"/>
          <w:lang w:val="en-GB"/>
        </w:rPr>
        <w:t xml:space="preserve">(BÀD) A </w:t>
      </w:r>
      <w:r w:rsidRPr="00CC135C">
        <w:rPr>
          <w:rFonts w:ascii="Times New Roman" w:hAnsi="Times New Roman"/>
          <w:vertAlign w:val="superscript"/>
          <w:lang w:val="en-GB"/>
        </w:rPr>
        <w:t>m</w:t>
      </w:r>
      <w:r w:rsidRPr="00CC135C">
        <w:rPr>
          <w:rFonts w:ascii="Times New Roman" w:hAnsi="Times New Roman"/>
          <w:i/>
          <w:lang w:val="en-GB"/>
        </w:rPr>
        <w:t>lu-ti-ib-ri</w:t>
      </w:r>
      <w:r w:rsidRPr="00CC135C">
        <w:rPr>
          <w:rFonts w:ascii="Times New Roman" w:hAnsi="Times New Roman"/>
          <w:lang w:val="en-GB"/>
        </w:rPr>
        <w:t xml:space="preserve"> MAN GAL</w:t>
      </w:r>
      <w:r w:rsidRPr="00CC135C">
        <w:rPr>
          <w:rFonts w:ascii="Times New Roman" w:hAnsi="Times New Roman"/>
          <w:i/>
          <w:lang w:val="en-GB"/>
        </w:rPr>
        <w:t>-e</w:t>
      </w:r>
      <w:r w:rsidRPr="00CC135C">
        <w:rPr>
          <w:rFonts w:ascii="Times New Roman" w:hAnsi="Times New Roman"/>
          <w:lang w:val="en-GB"/>
        </w:rPr>
        <w:t xml:space="preserve"> MAN </w:t>
      </w:r>
      <w:r w:rsidRPr="00CC135C">
        <w:rPr>
          <w:rFonts w:ascii="Times New Roman" w:hAnsi="Times New Roman"/>
          <w:i/>
          <w:lang w:val="en-GB"/>
        </w:rPr>
        <w:t>dan-nu</w:t>
      </w:r>
      <w:r w:rsidRPr="00CC135C">
        <w:rPr>
          <w:rFonts w:ascii="Times New Roman" w:hAnsi="Times New Roman"/>
          <w:lang w:val="en-GB"/>
        </w:rPr>
        <w:t xml:space="preserve"> MAN ŠÚ</w:t>
      </w:r>
    </w:p>
    <w:p w14:paraId="68DB32AC" w14:textId="77777777" w:rsidR="00B4516E" w:rsidRPr="00CC135C" w:rsidRDefault="00B4516E" w:rsidP="00B4516E">
      <w:pPr>
        <w:spacing w:line="240" w:lineRule="atLeast"/>
        <w:ind w:left="567" w:right="-1" w:hanging="567"/>
        <w:rPr>
          <w:rFonts w:ascii="Times New Roman" w:hAnsi="Times New Roman"/>
          <w:lang w:val="en-GB"/>
        </w:rPr>
      </w:pPr>
      <w:r w:rsidRPr="00CC135C">
        <w:rPr>
          <w:rFonts w:ascii="Times New Roman" w:hAnsi="Times New Roman"/>
          <w:lang w:val="en-GB"/>
        </w:rPr>
        <w:t>2</w:t>
      </w:r>
      <w:r w:rsidRPr="00CC135C">
        <w:rPr>
          <w:rFonts w:ascii="Times New Roman" w:hAnsi="Times New Roman"/>
          <w:lang w:val="en-GB"/>
        </w:rPr>
        <w:tab/>
        <w:t xml:space="preserve">MAN </w:t>
      </w:r>
      <w:r w:rsidRPr="00CC135C">
        <w:rPr>
          <w:rFonts w:ascii="Times New Roman" w:hAnsi="Times New Roman"/>
          <w:vertAlign w:val="superscript"/>
          <w:lang w:val="en-GB"/>
        </w:rPr>
        <w:t>KUR</w:t>
      </w:r>
      <w:r w:rsidRPr="00CC135C">
        <w:rPr>
          <w:rFonts w:ascii="Times New Roman" w:hAnsi="Times New Roman"/>
          <w:i/>
          <w:lang w:val="en-GB"/>
        </w:rPr>
        <w:t>na-i-ri</w:t>
      </w:r>
      <w:r w:rsidRPr="00CC135C">
        <w:rPr>
          <w:rFonts w:ascii="Times New Roman" w:hAnsi="Times New Roman"/>
          <w:lang w:val="en-GB"/>
        </w:rPr>
        <w:t xml:space="preserve"> MAN </w:t>
      </w:r>
      <w:r w:rsidRPr="00CC135C">
        <w:rPr>
          <w:rFonts w:ascii="Times New Roman" w:hAnsi="Times New Roman"/>
          <w:i/>
          <w:lang w:val="en-GB"/>
        </w:rPr>
        <w:t>šá-nin-šú</w:t>
      </w:r>
      <w:r w:rsidRPr="00CC135C">
        <w:rPr>
          <w:rFonts w:ascii="Times New Roman" w:hAnsi="Times New Roman"/>
          <w:lang w:val="en-GB"/>
        </w:rPr>
        <w:t xml:space="preserve"> NU TUK</w:t>
      </w:r>
      <w:r w:rsidRPr="00CC135C">
        <w:rPr>
          <w:rFonts w:ascii="Times New Roman" w:hAnsi="Times New Roman"/>
          <w:i/>
          <w:lang w:val="en-GB"/>
        </w:rPr>
        <w:t>-ú</w:t>
      </w:r>
      <w:r w:rsidRPr="00CC135C">
        <w:rPr>
          <w:rFonts w:ascii="Times New Roman" w:hAnsi="Times New Roman"/>
          <w:lang w:val="en-GB"/>
        </w:rPr>
        <w:t xml:space="preserve"> </w:t>
      </w:r>
      <w:r w:rsidRPr="00CC135C">
        <w:rPr>
          <w:rFonts w:ascii="Times New Roman" w:hAnsi="Times New Roman"/>
          <w:vertAlign w:val="superscript"/>
          <w:lang w:val="en-GB"/>
        </w:rPr>
        <w:t>LÚ</w:t>
      </w:r>
      <w:r w:rsidRPr="00CC135C">
        <w:rPr>
          <w:rFonts w:ascii="Times New Roman" w:hAnsi="Times New Roman"/>
          <w:lang w:val="en-GB"/>
        </w:rPr>
        <w:t xml:space="preserve">SIPA </w:t>
      </w:r>
      <w:r w:rsidRPr="00CC135C">
        <w:rPr>
          <w:rFonts w:ascii="Times New Roman" w:hAnsi="Times New Roman"/>
          <w:i/>
          <w:lang w:val="en-GB"/>
        </w:rPr>
        <w:t>tab-ra-te</w:t>
      </w:r>
    </w:p>
    <w:p w14:paraId="3C33E825" w14:textId="77777777" w:rsidR="00B4516E" w:rsidRPr="00CC135C" w:rsidRDefault="00B4516E" w:rsidP="00B4516E">
      <w:pPr>
        <w:spacing w:line="240" w:lineRule="atLeast"/>
        <w:ind w:left="567" w:right="-1" w:hanging="567"/>
        <w:rPr>
          <w:rFonts w:ascii="Times New Roman" w:hAnsi="Times New Roman"/>
          <w:lang w:val="en-GB"/>
        </w:rPr>
      </w:pPr>
      <w:r w:rsidRPr="00CC135C">
        <w:rPr>
          <w:rFonts w:ascii="Times New Roman" w:hAnsi="Times New Roman"/>
          <w:lang w:val="en-GB"/>
        </w:rPr>
        <w:t>3</w:t>
      </w:r>
      <w:r w:rsidRPr="00CC135C">
        <w:rPr>
          <w:rFonts w:ascii="Times New Roman" w:hAnsi="Times New Roman"/>
          <w:lang w:val="en-GB"/>
        </w:rPr>
        <w:tab/>
      </w:r>
      <w:r w:rsidRPr="00CC135C">
        <w:rPr>
          <w:rFonts w:ascii="Times New Roman" w:hAnsi="Times New Roman"/>
          <w:i/>
          <w:lang w:val="en-GB"/>
        </w:rPr>
        <w:t>la-di-ru tú-qu-un-te</w:t>
      </w:r>
      <w:r w:rsidRPr="00CC135C">
        <w:rPr>
          <w:rFonts w:ascii="Times New Roman" w:hAnsi="Times New Roman"/>
          <w:lang w:val="en-GB"/>
        </w:rPr>
        <w:t xml:space="preserve"> MAN </w:t>
      </w:r>
      <w:r w:rsidRPr="00CC135C">
        <w:rPr>
          <w:rFonts w:ascii="Times New Roman" w:hAnsi="Times New Roman"/>
          <w:i/>
          <w:lang w:val="en-GB"/>
        </w:rPr>
        <w:t>mu-šak-nis la kan-su-te-šú</w:t>
      </w:r>
    </w:p>
    <w:p w14:paraId="2E5DB05B" w14:textId="77777777" w:rsidR="00B4516E" w:rsidRPr="00CC135C" w:rsidRDefault="00B4516E" w:rsidP="00B4516E">
      <w:pPr>
        <w:spacing w:line="240" w:lineRule="atLeast"/>
        <w:ind w:left="567" w:right="-1" w:hanging="567"/>
        <w:rPr>
          <w:rFonts w:ascii="Times New Roman" w:hAnsi="Times New Roman"/>
          <w:lang w:val="en-GB"/>
        </w:rPr>
      </w:pPr>
      <w:r w:rsidRPr="00CC135C">
        <w:rPr>
          <w:rFonts w:ascii="Times New Roman" w:hAnsi="Times New Roman"/>
          <w:lang w:val="en-GB"/>
        </w:rPr>
        <w:t>4</w:t>
      </w:r>
      <w:r w:rsidRPr="00CC135C">
        <w:rPr>
          <w:rFonts w:ascii="Times New Roman" w:hAnsi="Times New Roman"/>
          <w:lang w:val="en-GB"/>
        </w:rPr>
        <w:tab/>
      </w:r>
      <w:r w:rsidRPr="00CC135C">
        <w:rPr>
          <w:rFonts w:ascii="Times New Roman" w:hAnsi="Times New Roman"/>
          <w:vertAlign w:val="superscript"/>
          <w:lang w:val="en-GB"/>
        </w:rPr>
        <w:t>mD</w:t>
      </w:r>
      <w:r w:rsidRPr="00CC135C">
        <w:rPr>
          <w:rFonts w:ascii="Times New Roman" w:hAnsi="Times New Roman"/>
          <w:i/>
          <w:lang w:val="en-GB"/>
        </w:rPr>
        <w:t>sar</w:t>
      </w:r>
      <w:r w:rsidRPr="00CC135C">
        <w:rPr>
          <w:rFonts w:ascii="Times New Roman" w:hAnsi="Times New Roman"/>
          <w:i/>
          <w:vertAlign w:val="subscript"/>
          <w:lang w:val="en-GB"/>
        </w:rPr>
        <w:t>5</w:t>
      </w:r>
      <w:r w:rsidRPr="00CC135C">
        <w:rPr>
          <w:rFonts w:ascii="Times New Roman" w:hAnsi="Times New Roman"/>
          <w:i/>
          <w:lang w:val="en-GB"/>
        </w:rPr>
        <w:t>-dūri</w:t>
      </w:r>
      <w:r w:rsidRPr="00CC135C">
        <w:rPr>
          <w:rFonts w:ascii="Times New Roman" w:hAnsi="Times New Roman"/>
          <w:lang w:val="en-GB"/>
        </w:rPr>
        <w:t xml:space="preserve">(BÀD) A </w:t>
      </w:r>
      <w:r w:rsidRPr="00CC135C">
        <w:rPr>
          <w:rFonts w:ascii="Times New Roman" w:hAnsi="Times New Roman"/>
          <w:vertAlign w:val="superscript"/>
          <w:lang w:val="en-GB"/>
        </w:rPr>
        <w:t>m</w:t>
      </w:r>
      <w:r w:rsidRPr="00CC135C">
        <w:rPr>
          <w:rFonts w:ascii="Times New Roman" w:hAnsi="Times New Roman"/>
          <w:i/>
          <w:lang w:val="en-GB"/>
        </w:rPr>
        <w:t>lu-ti-ib-ri</w:t>
      </w:r>
      <w:r w:rsidRPr="00CC135C">
        <w:rPr>
          <w:rFonts w:ascii="Times New Roman" w:hAnsi="Times New Roman"/>
          <w:lang w:val="en-GB"/>
        </w:rPr>
        <w:t xml:space="preserve"> MAN MAN</w:t>
      </w:r>
      <w:r w:rsidRPr="00CC135C">
        <w:rPr>
          <w:rFonts w:ascii="Times New Roman" w:hAnsi="Times New Roman"/>
          <w:vertAlign w:val="superscript"/>
          <w:lang w:val="en-GB"/>
        </w:rPr>
        <w:t>MEŠ</w:t>
      </w:r>
      <w:r w:rsidRPr="00CC135C">
        <w:rPr>
          <w:rFonts w:ascii="Times New Roman" w:hAnsi="Times New Roman"/>
          <w:i/>
          <w:lang w:val="en-GB"/>
        </w:rPr>
        <w:t>-ni šá</w:t>
      </w:r>
      <w:r w:rsidRPr="00CC135C">
        <w:rPr>
          <w:rFonts w:ascii="Times New Roman" w:hAnsi="Times New Roman"/>
          <w:lang w:val="en-GB"/>
        </w:rPr>
        <w:t xml:space="preserve"> DÙ</w:t>
      </w:r>
      <w:r w:rsidRPr="00CC135C">
        <w:rPr>
          <w:rFonts w:ascii="Times New Roman" w:hAnsi="Times New Roman"/>
          <w:i/>
          <w:lang w:val="en-GB"/>
        </w:rPr>
        <w:t>-šú-nu</w:t>
      </w:r>
      <w:r w:rsidRPr="00CC135C">
        <w:rPr>
          <w:rFonts w:ascii="Times New Roman" w:hAnsi="Times New Roman"/>
          <w:lang w:val="en-GB"/>
        </w:rPr>
        <w:t xml:space="preserve"> MAN</w:t>
      </w:r>
      <w:r w:rsidRPr="00CC135C">
        <w:rPr>
          <w:rFonts w:ascii="Times New Roman" w:hAnsi="Times New Roman"/>
          <w:vertAlign w:val="superscript"/>
          <w:lang w:val="en-GB"/>
        </w:rPr>
        <w:t>MEŠ</w:t>
      </w:r>
      <w:r w:rsidRPr="00CC135C">
        <w:rPr>
          <w:rFonts w:ascii="Times New Roman" w:hAnsi="Times New Roman"/>
          <w:i/>
          <w:lang w:val="en-GB"/>
        </w:rPr>
        <w:t>-ni</w:t>
      </w:r>
    </w:p>
    <w:p w14:paraId="5B434F86" w14:textId="77777777" w:rsidR="00B4516E" w:rsidRPr="00CC135C" w:rsidRDefault="00B4516E" w:rsidP="00B4516E">
      <w:pPr>
        <w:spacing w:line="240" w:lineRule="atLeast"/>
        <w:ind w:left="567" w:right="-1" w:hanging="567"/>
        <w:rPr>
          <w:rFonts w:ascii="Times New Roman" w:hAnsi="Times New Roman"/>
          <w:lang w:val="en-GB"/>
        </w:rPr>
      </w:pPr>
      <w:r w:rsidRPr="00CC135C">
        <w:rPr>
          <w:rFonts w:ascii="Times New Roman" w:hAnsi="Times New Roman"/>
          <w:lang w:val="en-GB"/>
        </w:rPr>
        <w:t>5</w:t>
      </w:r>
      <w:r w:rsidRPr="00CC135C">
        <w:rPr>
          <w:rFonts w:ascii="Times New Roman" w:hAnsi="Times New Roman"/>
          <w:lang w:val="en-GB"/>
        </w:rPr>
        <w:tab/>
      </w:r>
      <w:r w:rsidRPr="00CC135C">
        <w:rPr>
          <w:rFonts w:ascii="Times New Roman" w:hAnsi="Times New Roman"/>
          <w:i/>
          <w:lang w:val="en-GB"/>
        </w:rPr>
        <w:t>ma-da-tú am-ḫuru</w:t>
      </w:r>
      <w:r w:rsidRPr="00CC135C">
        <w:rPr>
          <w:rFonts w:ascii="Times New Roman" w:hAnsi="Times New Roman"/>
          <w:lang w:val="en-GB"/>
        </w:rPr>
        <w:t xml:space="preserve"> </w:t>
      </w:r>
      <w:r w:rsidRPr="00CC135C">
        <w:rPr>
          <w:rFonts w:ascii="Times New Roman" w:hAnsi="Times New Roman"/>
          <w:vertAlign w:val="superscript"/>
          <w:lang w:val="en-GB"/>
        </w:rPr>
        <w:t>mD</w:t>
      </w:r>
      <w:r w:rsidRPr="00CC135C">
        <w:rPr>
          <w:rFonts w:ascii="Times New Roman" w:hAnsi="Times New Roman"/>
          <w:i/>
          <w:lang w:val="en-GB"/>
        </w:rPr>
        <w:t>sar</w:t>
      </w:r>
      <w:r w:rsidRPr="00CC135C">
        <w:rPr>
          <w:rFonts w:ascii="Times New Roman" w:hAnsi="Times New Roman"/>
          <w:i/>
          <w:vertAlign w:val="subscript"/>
          <w:lang w:val="en-GB"/>
        </w:rPr>
        <w:t>5</w:t>
      </w:r>
      <w:r w:rsidRPr="00CC135C">
        <w:rPr>
          <w:rFonts w:ascii="Times New Roman" w:hAnsi="Times New Roman"/>
          <w:i/>
          <w:lang w:val="en-GB"/>
        </w:rPr>
        <w:t>-dūri</w:t>
      </w:r>
      <w:r w:rsidRPr="00CC135C">
        <w:rPr>
          <w:rFonts w:ascii="Times New Roman" w:hAnsi="Times New Roman"/>
          <w:lang w:val="en-GB"/>
        </w:rPr>
        <w:t xml:space="preserve">(BÀD) A </w:t>
      </w:r>
      <w:r w:rsidRPr="00CC135C">
        <w:rPr>
          <w:rFonts w:ascii="Times New Roman" w:hAnsi="Times New Roman"/>
          <w:vertAlign w:val="superscript"/>
          <w:lang w:val="en-GB"/>
        </w:rPr>
        <w:t>m</w:t>
      </w:r>
      <w:r w:rsidRPr="00CC135C">
        <w:rPr>
          <w:rFonts w:ascii="Times New Roman" w:hAnsi="Times New Roman"/>
          <w:i/>
          <w:lang w:val="en-GB"/>
        </w:rPr>
        <w:t>lu-ti-ib-ri</w:t>
      </w:r>
      <w:r w:rsidRPr="00CC135C">
        <w:rPr>
          <w:rFonts w:ascii="Times New Roman" w:hAnsi="Times New Roman"/>
          <w:lang w:val="en-GB"/>
        </w:rPr>
        <w:t xml:space="preserve"> DU</w:t>
      </w:r>
      <w:r w:rsidRPr="00CC135C">
        <w:rPr>
          <w:rFonts w:ascii="Times New Roman" w:hAnsi="Times New Roman"/>
          <w:vertAlign w:val="subscript"/>
          <w:lang w:val="en-GB"/>
        </w:rPr>
        <w:t>11</w:t>
      </w:r>
      <w:r w:rsidRPr="00CC135C">
        <w:rPr>
          <w:rFonts w:ascii="Times New Roman" w:hAnsi="Times New Roman"/>
          <w:lang w:val="en-GB"/>
        </w:rPr>
        <w:t>.DU</w:t>
      </w:r>
      <w:r w:rsidRPr="00CC135C">
        <w:rPr>
          <w:rFonts w:ascii="Times New Roman" w:hAnsi="Times New Roman"/>
          <w:vertAlign w:val="subscript"/>
          <w:lang w:val="en-GB"/>
        </w:rPr>
        <w:t>11</w:t>
      </w:r>
      <w:r w:rsidRPr="00CC135C">
        <w:rPr>
          <w:rFonts w:ascii="Times New Roman" w:hAnsi="Times New Roman"/>
          <w:i/>
          <w:lang w:val="en-GB"/>
        </w:rPr>
        <w:t>-ub</w:t>
      </w:r>
    </w:p>
    <w:p w14:paraId="404EB7EC" w14:textId="77777777" w:rsidR="00B4516E" w:rsidRPr="00CC135C" w:rsidRDefault="00B4516E" w:rsidP="00B4516E">
      <w:pPr>
        <w:spacing w:line="240" w:lineRule="atLeast"/>
        <w:ind w:left="567" w:right="-1" w:hanging="567"/>
        <w:rPr>
          <w:rFonts w:ascii="Times New Roman" w:hAnsi="Times New Roman"/>
          <w:lang w:val="en-GB"/>
        </w:rPr>
      </w:pPr>
      <w:r w:rsidRPr="00CC135C">
        <w:rPr>
          <w:rFonts w:ascii="Times New Roman" w:hAnsi="Times New Roman"/>
          <w:lang w:val="en-GB"/>
        </w:rPr>
        <w:t>6</w:t>
      </w:r>
      <w:r w:rsidRPr="00CC135C">
        <w:rPr>
          <w:rFonts w:ascii="Times New Roman" w:hAnsi="Times New Roman"/>
          <w:lang w:val="en-GB"/>
        </w:rPr>
        <w:tab/>
      </w:r>
      <w:r w:rsidRPr="00CC135C">
        <w:rPr>
          <w:rFonts w:ascii="Times New Roman" w:hAnsi="Times New Roman"/>
          <w:i/>
          <w:lang w:val="en-GB"/>
        </w:rPr>
        <w:t>ma-a ana-ku pu-la-ni an-nu-te</w:t>
      </w:r>
      <w:r w:rsidRPr="00CC135C">
        <w:rPr>
          <w:rFonts w:ascii="Times New Roman" w:hAnsi="Times New Roman"/>
          <w:lang w:val="en-GB"/>
        </w:rPr>
        <w:t xml:space="preserve"> TA* </w:t>
      </w:r>
      <w:r w:rsidRPr="00CC135C">
        <w:rPr>
          <w:rFonts w:ascii="Times New Roman" w:hAnsi="Times New Roman"/>
          <w:i/>
          <w:lang w:val="en-GB"/>
        </w:rPr>
        <w:t>lìb-bi</w:t>
      </w:r>
      <w:r w:rsidRPr="00CC135C">
        <w:rPr>
          <w:rFonts w:ascii="Times New Roman" w:hAnsi="Times New Roman"/>
          <w:lang w:val="en-GB"/>
        </w:rPr>
        <w:t xml:space="preserve"> </w:t>
      </w:r>
      <w:r w:rsidRPr="00CC135C">
        <w:rPr>
          <w:rFonts w:ascii="Times New Roman" w:hAnsi="Times New Roman"/>
          <w:vertAlign w:val="superscript"/>
          <w:lang w:val="en-GB"/>
        </w:rPr>
        <w:t>URU</w:t>
      </w:r>
      <w:r w:rsidRPr="00CC135C">
        <w:rPr>
          <w:rFonts w:ascii="Times New Roman" w:hAnsi="Times New Roman"/>
          <w:i/>
          <w:lang w:val="en-GB"/>
        </w:rPr>
        <w:t>al-ni-ú-nu</w:t>
      </w:r>
    </w:p>
    <w:p w14:paraId="26F2B652" w14:textId="77777777" w:rsidR="00B4516E" w:rsidRPr="00CC135C" w:rsidRDefault="00B4516E" w:rsidP="00B4516E">
      <w:pPr>
        <w:spacing w:line="240" w:lineRule="atLeast"/>
        <w:ind w:left="567" w:right="-1" w:hanging="567"/>
        <w:rPr>
          <w:rFonts w:ascii="Times New Roman" w:hAnsi="Times New Roman"/>
          <w:i/>
          <w:lang w:val="en-GB"/>
        </w:rPr>
      </w:pPr>
      <w:r w:rsidRPr="00CC135C">
        <w:rPr>
          <w:rFonts w:ascii="Times New Roman" w:hAnsi="Times New Roman"/>
          <w:lang w:val="en-GB"/>
        </w:rPr>
        <w:t>7</w:t>
      </w:r>
      <w:r w:rsidRPr="00CC135C">
        <w:rPr>
          <w:rFonts w:ascii="Times New Roman" w:hAnsi="Times New Roman"/>
          <w:lang w:val="en-GB"/>
        </w:rPr>
        <w:tab/>
      </w:r>
      <w:r w:rsidRPr="00CC135C">
        <w:rPr>
          <w:rFonts w:ascii="Times New Roman" w:hAnsi="Times New Roman"/>
          <w:i/>
          <w:lang w:val="en-GB"/>
        </w:rPr>
        <w:t>na-ṣa-ku ana-ku</w:t>
      </w:r>
      <w:r w:rsidRPr="00CC135C">
        <w:rPr>
          <w:rFonts w:ascii="Times New Roman" w:hAnsi="Times New Roman"/>
          <w:lang w:val="en-GB"/>
        </w:rPr>
        <w:t xml:space="preserve"> BÀD </w:t>
      </w:r>
      <w:r w:rsidRPr="00CC135C">
        <w:rPr>
          <w:rFonts w:ascii="Times New Roman" w:hAnsi="Times New Roman"/>
          <w:i/>
          <w:lang w:val="en-GB"/>
        </w:rPr>
        <w:t>an-ni-ú ar-ti-ṣi-ip</w:t>
      </w:r>
    </w:p>
    <w:p w14:paraId="48493C9C" w14:textId="77777777" w:rsidR="00B4516E" w:rsidRPr="00CC135C" w:rsidRDefault="00B4516E" w:rsidP="00B4516E">
      <w:pPr>
        <w:spacing w:line="240" w:lineRule="atLeast"/>
        <w:ind w:left="567" w:right="-1" w:hanging="567"/>
        <w:rPr>
          <w:rFonts w:ascii="Times New Roman" w:hAnsi="Times New Roman"/>
          <w:lang w:val="en-GB"/>
        </w:rPr>
      </w:pPr>
    </w:p>
    <w:p w14:paraId="3CA6F7D3" w14:textId="77777777" w:rsidR="00B4516E" w:rsidRPr="006F04E6" w:rsidRDefault="00B4516E" w:rsidP="00B4516E">
      <w:pPr>
        <w:ind w:right="4"/>
        <w:jc w:val="both"/>
        <w:rPr>
          <w:rFonts w:ascii="Times New Roman" w:hAnsi="Times New Roman"/>
          <w:lang w:val="en-GB"/>
        </w:rPr>
      </w:pPr>
      <w:r w:rsidRPr="006F04E6">
        <w:rPr>
          <w:rFonts w:ascii="Times New Roman" w:hAnsi="Times New Roman"/>
          <w:lang w:val="en-GB"/>
        </w:rPr>
        <w:t>“Inscription (Sumerian</w:t>
      </w:r>
      <w:r w:rsidRPr="006F04E6">
        <w:rPr>
          <w:rFonts w:ascii="Times New Roman" w:hAnsi="Times New Roman"/>
          <w:lang w:val="en-GB"/>
        </w:rPr>
        <w:fldChar w:fldCharType="begin"/>
      </w:r>
      <w:r w:rsidRPr="006F04E6">
        <w:rPr>
          <w:rFonts w:ascii="Times New Roman" w:hAnsi="Times New Roman"/>
          <w:lang w:val="en-GB"/>
        </w:rPr>
        <w:instrText xml:space="preserve"> XE "Sumerian" </w:instrText>
      </w:r>
      <w:r w:rsidRPr="006F04E6">
        <w:rPr>
          <w:rFonts w:ascii="Times New Roman" w:hAnsi="Times New Roman"/>
          <w:lang w:val="en-GB"/>
        </w:rPr>
        <w:fldChar w:fldCharType="end"/>
      </w:r>
      <w:r w:rsidRPr="006F04E6">
        <w:rPr>
          <w:rFonts w:ascii="Times New Roman" w:hAnsi="Times New Roman"/>
          <w:lang w:val="en-GB"/>
        </w:rPr>
        <w:t xml:space="preserve"> IM, literally ‘tablet’</w:t>
      </w:r>
      <w:r w:rsidRPr="006F04E6">
        <w:rPr>
          <w:rFonts w:asciiTheme="majorBidi" w:hAnsiTheme="majorBidi" w:cstheme="majorBidi"/>
          <w:lang w:val="en-GB"/>
        </w:rPr>
        <w:footnoteReference w:id="33"/>
      </w:r>
      <w:r w:rsidRPr="006F04E6">
        <w:rPr>
          <w:rFonts w:ascii="Times New Roman" w:hAnsi="Times New Roman"/>
          <w:lang w:val="en-GB"/>
        </w:rPr>
        <w:t>) of Sarduri</w:t>
      </w:r>
      <w:r w:rsidRPr="006F04E6">
        <w:rPr>
          <w:rFonts w:ascii="Times New Roman" w:hAnsi="Times New Roman"/>
          <w:lang w:val="en-GB"/>
        </w:rPr>
        <w:fldChar w:fldCharType="begin"/>
      </w:r>
      <w:r w:rsidRPr="006F04E6">
        <w:rPr>
          <w:rFonts w:ascii="Times New Roman" w:hAnsi="Times New Roman"/>
          <w:lang w:val="en-GB"/>
        </w:rPr>
        <w:instrText xml:space="preserve"> XE "Sarduri" </w:instrText>
      </w:r>
      <w:r w:rsidRPr="006F04E6">
        <w:rPr>
          <w:rFonts w:ascii="Times New Roman" w:hAnsi="Times New Roman"/>
          <w:lang w:val="en-GB"/>
        </w:rPr>
        <w:fldChar w:fldCharType="end"/>
      </w:r>
      <w:r w:rsidRPr="006F04E6">
        <w:rPr>
          <w:rFonts w:ascii="Times New Roman" w:hAnsi="Times New Roman"/>
          <w:lang w:val="en-GB"/>
        </w:rPr>
        <w:t>, the son of Lutibri</w:t>
      </w:r>
      <w:r w:rsidRPr="006F04E6">
        <w:rPr>
          <w:rFonts w:ascii="Times New Roman" w:hAnsi="Times New Roman"/>
          <w:lang w:val="en-GB"/>
        </w:rPr>
        <w:fldChar w:fldCharType="begin"/>
      </w:r>
      <w:r w:rsidRPr="006F04E6">
        <w:rPr>
          <w:rFonts w:ascii="Times New Roman" w:hAnsi="Times New Roman"/>
          <w:lang w:val="en-GB"/>
        </w:rPr>
        <w:instrText xml:space="preserve"> XE "Lutibri" </w:instrText>
      </w:r>
      <w:r w:rsidRPr="006F04E6">
        <w:rPr>
          <w:rFonts w:ascii="Times New Roman" w:hAnsi="Times New Roman"/>
          <w:lang w:val="en-GB"/>
        </w:rPr>
        <w:fldChar w:fldCharType="end"/>
      </w:r>
      <w:r w:rsidRPr="006F04E6">
        <w:rPr>
          <w:rFonts w:ascii="Times New Roman" w:hAnsi="Times New Roman"/>
          <w:lang w:val="en-GB"/>
        </w:rPr>
        <w:t>, great king, powerful king, king of all, king of Nairi</w:t>
      </w:r>
      <w:r w:rsidRPr="006F04E6">
        <w:rPr>
          <w:rFonts w:ascii="Times New Roman" w:hAnsi="Times New Roman"/>
          <w:lang w:val="en-GB"/>
        </w:rPr>
        <w:fldChar w:fldCharType="begin"/>
      </w:r>
      <w:r w:rsidRPr="006F04E6">
        <w:rPr>
          <w:rFonts w:ascii="Times New Roman" w:hAnsi="Times New Roman"/>
          <w:lang w:val="en-GB"/>
        </w:rPr>
        <w:instrText xml:space="preserve"> XE "Nairi" </w:instrText>
      </w:r>
      <w:r w:rsidRPr="006F04E6">
        <w:rPr>
          <w:rFonts w:ascii="Times New Roman" w:hAnsi="Times New Roman"/>
          <w:lang w:val="en-GB"/>
        </w:rPr>
        <w:fldChar w:fldCharType="end"/>
      </w:r>
      <w:r w:rsidRPr="006F04E6">
        <w:rPr>
          <w:rFonts w:ascii="Times New Roman" w:hAnsi="Times New Roman"/>
          <w:lang w:val="en-GB"/>
        </w:rPr>
        <w:t>, king who has no equal, admirable shepherd, who does not fear battle, king who subdues the unruly; (I am) Sarduri, the son of Lutibri, king of kings, who received tribute from all kings. Sarduri, the son of Lutibri, speaks I brought these foundation stones from the city of Alniunu</w:t>
      </w:r>
      <w:r w:rsidRPr="006F04E6">
        <w:rPr>
          <w:rFonts w:ascii="Times New Roman" w:hAnsi="Times New Roman"/>
          <w:lang w:val="en-GB"/>
        </w:rPr>
        <w:fldChar w:fldCharType="begin"/>
      </w:r>
      <w:r w:rsidRPr="006F04E6">
        <w:rPr>
          <w:rFonts w:ascii="Times New Roman" w:hAnsi="Times New Roman"/>
          <w:lang w:val="en-GB"/>
        </w:rPr>
        <w:instrText xml:space="preserve"> XE "</w:instrText>
      </w:r>
      <w:r w:rsidRPr="006F04E6">
        <w:rPr>
          <w:rFonts w:ascii="Times New Roman" w:hAnsi="Times New Roman"/>
          <w:iCs/>
          <w:lang w:val="en-GB"/>
        </w:rPr>
        <w:instrText>Alniunu</w:instrText>
      </w:r>
      <w:r w:rsidRPr="006F04E6">
        <w:rPr>
          <w:rFonts w:ascii="Times New Roman" w:hAnsi="Times New Roman"/>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I built this wall”. (See the other five duplicates in CTU V. p. 39-40.)</w:t>
      </w:r>
    </w:p>
    <w:p w14:paraId="6C7E3A9B" w14:textId="27779B72" w:rsidR="00B4516E" w:rsidRDefault="00B4516E" w:rsidP="00B4516E">
      <w:pPr>
        <w:rPr>
          <w:rFonts w:ascii="Times New Roman" w:hAnsi="Times New Roman"/>
          <w:lang w:val="en-GB"/>
        </w:rPr>
      </w:pPr>
      <w:r w:rsidRPr="00CC135C">
        <w:rPr>
          <w:rFonts w:ascii="Times New Roman" w:hAnsi="Times New Roman"/>
          <w:noProof/>
          <w:lang w:eastAsia="tr-TR"/>
        </w:rPr>
        <w:lastRenderedPageBreak/>
        <w:drawing>
          <wp:anchor distT="0" distB="0" distL="114300" distR="114300" simplePos="0" relativeHeight="251970560" behindDoc="1" locked="0" layoutInCell="1" allowOverlap="1" wp14:anchorId="4E5461A8" wp14:editId="1633519F">
            <wp:simplePos x="0" y="0"/>
            <wp:positionH relativeFrom="margin">
              <wp:posOffset>770255</wp:posOffset>
            </wp:positionH>
            <wp:positionV relativeFrom="paragraph">
              <wp:posOffset>125730</wp:posOffset>
            </wp:positionV>
            <wp:extent cx="4318635" cy="3238500"/>
            <wp:effectExtent l="0" t="0" r="5715" b="0"/>
            <wp:wrapTight wrapText="bothSides">
              <wp:wrapPolygon edited="0">
                <wp:start x="0" y="0"/>
                <wp:lineTo x="0" y="21473"/>
                <wp:lineTo x="21533" y="21473"/>
                <wp:lineTo x="21533" y="0"/>
                <wp:lineTo x="0" y="0"/>
              </wp:wrapPolygon>
            </wp:wrapTight>
            <wp:docPr id="1096014342" name="Resim 1096014342" descr="gökyüzü, dış mekan, kireç taşı,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14342" name="Resim 1096014342" descr="gökyüzü, dış mekan, kireç taşı, kaya içeren bir resim&#10;&#10;Açıklama otomatik olarak oluşturuldu"/>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318635"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35C">
        <w:rPr>
          <w:rFonts w:ascii="Times New Roman" w:hAnsi="Times New Roman"/>
          <w:noProof/>
          <w:lang w:eastAsia="tr-TR"/>
        </w:rPr>
        <mc:AlternateContent>
          <mc:Choice Requires="wps">
            <w:drawing>
              <wp:anchor distT="0" distB="0" distL="114300" distR="114300" simplePos="0" relativeHeight="251968512" behindDoc="1" locked="0" layoutInCell="1" allowOverlap="1" wp14:anchorId="49CF0BFD" wp14:editId="270BD0D6">
                <wp:simplePos x="0" y="0"/>
                <wp:positionH relativeFrom="column">
                  <wp:posOffset>224231</wp:posOffset>
                </wp:positionH>
                <wp:positionV relativeFrom="paragraph">
                  <wp:posOffset>3418154</wp:posOffset>
                </wp:positionV>
                <wp:extent cx="5067300" cy="457200"/>
                <wp:effectExtent l="0" t="0" r="0" b="0"/>
                <wp:wrapTight wrapText="bothSides">
                  <wp:wrapPolygon edited="0">
                    <wp:start x="0" y="0"/>
                    <wp:lineTo x="0" y="20700"/>
                    <wp:lineTo x="21519" y="20700"/>
                    <wp:lineTo x="21519" y="0"/>
                    <wp:lineTo x="0" y="0"/>
                  </wp:wrapPolygon>
                </wp:wrapTight>
                <wp:docPr id="496525621" name="Casella di tes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7300" cy="457200"/>
                        </a:xfrm>
                        <a:prstGeom prst="rect">
                          <a:avLst/>
                        </a:prstGeom>
                        <a:solidFill>
                          <a:prstClr val="white"/>
                        </a:solidFill>
                        <a:ln>
                          <a:noFill/>
                        </a:ln>
                      </wps:spPr>
                      <wps:txbx>
                        <w:txbxContent>
                          <w:p w14:paraId="682770FB" w14:textId="77777777" w:rsidR="00B4516E" w:rsidRPr="00CC135C" w:rsidRDefault="00B4516E" w:rsidP="00B4516E">
                            <w:pPr>
                              <w:pStyle w:val="Caption1"/>
                              <w:rPr>
                                <w:i w:val="0"/>
                                <w:color w:val="auto"/>
                                <w:sz w:val="24"/>
                              </w:rPr>
                            </w:pPr>
                            <w:r w:rsidRPr="00CC135C">
                              <w:rPr>
                                <w:rFonts w:ascii="SemiramisUnicode" w:hAnsi="SemiramisUnicode"/>
                                <w:i w:val="0"/>
                                <w:color w:val="auto"/>
                                <w:sz w:val="24"/>
                                <w:lang w:val="en-US"/>
                              </w:rPr>
                              <w:t xml:space="preserve">            </w:t>
                            </w:r>
                            <w:r w:rsidRPr="00CC135C">
                              <w:rPr>
                                <w:i w:val="0"/>
                                <w:color w:val="auto"/>
                                <w:sz w:val="24"/>
                                <w:lang w:val="en-US"/>
                              </w:rPr>
                              <w:t>Fig. 9a Sardurburç, Assyrian Inscription of Sarduri Ist (CTU I. A1-1A).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9CF0BFD" id="_x0000_t202" coordsize="21600,21600" o:spt="202" path="m,l,21600r21600,l21600,xe">
                <v:stroke joinstyle="miter"/>
                <v:path gradientshapeok="t" o:connecttype="rect"/>
              </v:shapetype>
              <v:shape id="Casella di testo 23" o:spid="_x0000_s1026" type="#_x0000_t202" style="position:absolute;margin-left:17.65pt;margin-top:269.15pt;width:399pt;height:36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" stroked="f">
                <v:textbox inset="0,0,0,0">
                  <w:txbxContent>
                    <w:p w14:paraId="682770FB" w14:textId="77777777" w:rsidR="00B4516E" w:rsidRPr="00CC135C" w:rsidRDefault="00B4516E" w:rsidP="00B4516E">
                      <w:pPr>
                        <w:pStyle w:val="Caption1"/>
                        <w:rPr>
                          <w:i w:val="0"/>
                          <w:color w:val="auto"/>
                          <w:sz w:val="24"/>
                        </w:rPr>
                      </w:pPr>
                      <w:r w:rsidRPr="00CC135C">
                        <w:rPr>
                          <w:rFonts w:ascii="SemiramisUnicode" w:hAnsi="SemiramisUnicode"/>
                          <w:i w:val="0"/>
                          <w:color w:val="auto"/>
                          <w:sz w:val="24"/>
                          <w:lang w:val="en-US"/>
                        </w:rPr>
                        <w:t xml:space="preserve">            </w:t>
                      </w:r>
                      <w:r w:rsidRPr="00CC135C">
                        <w:rPr>
                          <w:i w:val="0"/>
                          <w:color w:val="auto"/>
                          <w:sz w:val="24"/>
                          <w:lang w:val="en-US"/>
                        </w:rPr>
                        <w:t>Fig. 9a Sardurburç, Assyrian Inscription of Sarduri Ist (CTU I. A1-1A).</w:t>
                      </w:r>
                    </w:p>
                  </w:txbxContent>
                </v:textbox>
                <w10:wrap type="tight"/>
              </v:shape>
            </w:pict>
          </mc:Fallback>
        </mc:AlternateContent>
      </w:r>
      <w:r w:rsidRPr="00CC135C">
        <w:rPr>
          <w:rFonts w:ascii="Times New Roman" w:hAnsi="Times New Roman"/>
          <w:lang w:val="en-GB"/>
        </w:rPr>
        <w:br w:type="column"/>
      </w:r>
      <w:r w:rsidR="000A4BCA" w:rsidRPr="00CC135C">
        <w:rPr>
          <w:rFonts w:ascii="Times New Roman" w:hAnsi="Times New Roman"/>
          <w:noProof/>
          <w:lang w:eastAsia="tr-TR"/>
        </w:rPr>
        <w:lastRenderedPageBreak/>
        <w:drawing>
          <wp:anchor distT="0" distB="0" distL="114300" distR="114300" simplePos="0" relativeHeight="251980800" behindDoc="1" locked="0" layoutInCell="1" allowOverlap="1" wp14:anchorId="0B57791D" wp14:editId="32933736">
            <wp:simplePos x="0" y="0"/>
            <wp:positionH relativeFrom="margin">
              <wp:align>left</wp:align>
            </wp:positionH>
            <wp:positionV relativeFrom="paragraph">
              <wp:posOffset>184</wp:posOffset>
            </wp:positionV>
            <wp:extent cx="5445760" cy="3197225"/>
            <wp:effectExtent l="0" t="0" r="2540" b="3175"/>
            <wp:wrapTopAndBottom/>
            <wp:docPr id="964261287" name="Immagine 7" descr="mezar, mezarlık, siyah beyaz,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61287" name="Immagine 7" descr="mezar, mezarlık, siyah beyaz, metin içeren bir resim&#10;&#10;Açıklama otomatik olarak oluşturuldu"/>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445760" cy="3197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0A892F" w14:textId="0CE0D42A" w:rsidR="000A4BCA" w:rsidRDefault="00B4516E" w:rsidP="000A4BCA">
      <w:pPr>
        <w:jc w:val="center"/>
        <w:rPr>
          <w:rFonts w:ascii="Times New Roman" w:hAnsi="Times New Roman"/>
          <w:u w:val="single"/>
          <w:lang w:val="en-GB"/>
        </w:rPr>
      </w:pPr>
      <w:r w:rsidRPr="00CC135C">
        <w:rPr>
          <w:rFonts w:ascii="Times New Roman" w:hAnsi="Times New Roman"/>
          <w:lang w:val="en-GB"/>
        </w:rPr>
        <w:t>Fig. 9b Sardurburç</w:t>
      </w:r>
      <w:r w:rsidRPr="00CC135C">
        <w:rPr>
          <w:rFonts w:ascii="Times New Roman" w:hAnsi="Times New Roman"/>
          <w:lang w:val="en-GB"/>
        </w:rPr>
        <w:fldChar w:fldCharType="begin"/>
      </w:r>
      <w:r w:rsidRPr="00CC135C">
        <w:rPr>
          <w:rFonts w:ascii="Times New Roman" w:hAnsi="Times New Roman"/>
          <w:lang w:val="en-GB"/>
        </w:rPr>
        <w:instrText xml:space="preserve"> XE "Sardurburç" </w:instrText>
      </w:r>
      <w:r w:rsidRPr="00CC135C">
        <w:rPr>
          <w:rFonts w:ascii="Times New Roman" w:hAnsi="Times New Roman"/>
          <w:lang w:val="en-GB"/>
        </w:rPr>
        <w:fldChar w:fldCharType="end"/>
      </w:r>
      <w:r w:rsidRPr="00CC135C">
        <w:rPr>
          <w:rFonts w:ascii="Times New Roman" w:hAnsi="Times New Roman"/>
          <w:lang w:val="en-GB"/>
        </w:rPr>
        <w:t>, Assyrian</w:t>
      </w:r>
      <w:r w:rsidRPr="00CC135C">
        <w:rPr>
          <w:rFonts w:ascii="Times New Roman" w:hAnsi="Times New Roman"/>
          <w:lang w:val="en-GB"/>
        </w:rPr>
        <w:fldChar w:fldCharType="begin"/>
      </w:r>
      <w:r w:rsidRPr="00CC135C">
        <w:rPr>
          <w:rFonts w:ascii="Times New Roman" w:hAnsi="Times New Roman"/>
          <w:lang w:val="en-GB"/>
        </w:rPr>
        <w:instrText xml:space="preserve"> XE "Assyrian" </w:instrText>
      </w:r>
      <w:r w:rsidRPr="00CC135C">
        <w:rPr>
          <w:rFonts w:ascii="Times New Roman" w:hAnsi="Times New Roman"/>
          <w:lang w:val="en-GB"/>
        </w:rPr>
        <w:fldChar w:fldCharType="end"/>
      </w:r>
      <w:r w:rsidRPr="00CC135C">
        <w:rPr>
          <w:rFonts w:ascii="Times New Roman" w:hAnsi="Times New Roman"/>
          <w:lang w:val="en-GB"/>
        </w:rPr>
        <w:t xml:space="preserve"> Inscription of Sarduri</w:t>
      </w:r>
      <w:r w:rsidRPr="00CC135C">
        <w:rPr>
          <w:rFonts w:ascii="Times New Roman" w:hAnsi="Times New Roman"/>
          <w:lang w:val="en-GB"/>
        </w:rPr>
        <w:fldChar w:fldCharType="begin"/>
      </w:r>
      <w:r w:rsidRPr="00CC135C">
        <w:rPr>
          <w:rFonts w:ascii="Times New Roman" w:hAnsi="Times New Roman"/>
          <w:lang w:val="en-GB"/>
        </w:rPr>
        <w:instrText xml:space="preserve"> XE "Sarduri" </w:instrText>
      </w:r>
      <w:r w:rsidRPr="00CC135C">
        <w:rPr>
          <w:rFonts w:ascii="Times New Roman" w:hAnsi="Times New Roman"/>
          <w:lang w:val="en-GB"/>
        </w:rPr>
        <w:fldChar w:fldCharType="end"/>
      </w:r>
      <w:r w:rsidRPr="00CC135C">
        <w:rPr>
          <w:rFonts w:ascii="Times New Roman" w:hAnsi="Times New Roman"/>
          <w:lang w:val="en-GB"/>
        </w:rPr>
        <w:t xml:space="preserve"> Ist (CTU I. A 1-1B).</w:t>
      </w:r>
    </w:p>
    <w:p w14:paraId="6E13092B" w14:textId="77777777" w:rsidR="000A4BCA" w:rsidRDefault="000A4BCA" w:rsidP="00B4516E">
      <w:pPr>
        <w:rPr>
          <w:rFonts w:ascii="Times New Roman" w:hAnsi="Times New Roman"/>
          <w:u w:val="single"/>
          <w:lang w:val="en-GB"/>
        </w:rPr>
      </w:pPr>
    </w:p>
    <w:p w14:paraId="419B4E29" w14:textId="54B9E171" w:rsidR="00B4516E" w:rsidRPr="00CC135C" w:rsidRDefault="00B4516E" w:rsidP="00B4516E">
      <w:pPr>
        <w:rPr>
          <w:rFonts w:ascii="Times New Roman" w:hAnsi="Times New Roman"/>
          <w:lang w:val="en-GB"/>
        </w:rPr>
      </w:pPr>
      <w:r w:rsidRPr="00CC135C">
        <w:rPr>
          <w:rFonts w:ascii="Times New Roman" w:hAnsi="Times New Roman"/>
          <w:noProof/>
          <w:u w:val="single"/>
          <w:lang w:eastAsia="tr-TR"/>
        </w:rPr>
        <w:drawing>
          <wp:anchor distT="0" distB="0" distL="114300" distR="114300" simplePos="0" relativeHeight="252006400" behindDoc="0" locked="0" layoutInCell="1" allowOverlap="1" wp14:anchorId="39D8EF79" wp14:editId="7B6FDC17">
            <wp:simplePos x="0" y="0"/>
            <wp:positionH relativeFrom="margin">
              <wp:align>center</wp:align>
            </wp:positionH>
            <wp:positionV relativeFrom="paragraph">
              <wp:posOffset>3175</wp:posOffset>
            </wp:positionV>
            <wp:extent cx="5040000" cy="3780000"/>
            <wp:effectExtent l="0" t="0" r="8255" b="0"/>
            <wp:wrapThrough wrapText="bothSides">
              <wp:wrapPolygon edited="0">
                <wp:start x="0" y="0"/>
                <wp:lineTo x="0" y="21448"/>
                <wp:lineTo x="21554" y="21448"/>
                <wp:lineTo x="21554" y="0"/>
                <wp:lineTo x="0" y="0"/>
              </wp:wrapPolygon>
            </wp:wrapThrough>
            <wp:docPr id="2141603234" name="Immagine 1" descr="dış mekan, kireç taşı, bitki,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03234" name="Immagine 1" descr="dış mekan, kireç taşı, bitki, dip kaya içeren bir resim&#10;&#10;Açıklama otomatik olarak oluşturuldu"/>
                    <pic:cNvPicPr>
                      <a:picLocks noChangeAspect="1" noChangeArrowheads="1"/>
                    </pic:cNvPicPr>
                  </pic:nvPicPr>
                  <pic:blipFill>
                    <a:blip r:embed="rId80" cstate="email">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230439" w14:textId="77777777" w:rsidR="000A4BCA" w:rsidRDefault="000A4BCA" w:rsidP="00B4516E">
      <w:pPr>
        <w:spacing w:after="200"/>
        <w:jc w:val="center"/>
        <w:rPr>
          <w:rFonts w:ascii="Times New Roman" w:hAnsi="Times New Roman"/>
          <w:lang w:val="en-GB"/>
        </w:rPr>
      </w:pPr>
    </w:p>
    <w:p w14:paraId="2CFAFE03" w14:textId="77777777" w:rsidR="000A4BCA" w:rsidRDefault="000A4BCA" w:rsidP="00B4516E">
      <w:pPr>
        <w:spacing w:after="200"/>
        <w:jc w:val="center"/>
        <w:rPr>
          <w:rFonts w:ascii="Times New Roman" w:hAnsi="Times New Roman"/>
          <w:lang w:val="en-GB"/>
        </w:rPr>
      </w:pPr>
    </w:p>
    <w:p w14:paraId="04021E65" w14:textId="77777777" w:rsidR="000A4BCA" w:rsidRDefault="000A4BCA" w:rsidP="00B4516E">
      <w:pPr>
        <w:spacing w:after="200"/>
        <w:jc w:val="center"/>
        <w:rPr>
          <w:rFonts w:ascii="Times New Roman" w:hAnsi="Times New Roman"/>
          <w:lang w:val="en-GB"/>
        </w:rPr>
      </w:pPr>
    </w:p>
    <w:p w14:paraId="2C22C20C" w14:textId="77777777" w:rsidR="000A4BCA" w:rsidRDefault="000A4BCA" w:rsidP="00B4516E">
      <w:pPr>
        <w:spacing w:after="200"/>
        <w:jc w:val="center"/>
        <w:rPr>
          <w:rFonts w:ascii="Times New Roman" w:hAnsi="Times New Roman"/>
          <w:lang w:val="en-GB"/>
        </w:rPr>
      </w:pPr>
    </w:p>
    <w:p w14:paraId="280E130A" w14:textId="77777777" w:rsidR="000A4BCA" w:rsidRDefault="000A4BCA" w:rsidP="00B4516E">
      <w:pPr>
        <w:spacing w:after="200"/>
        <w:jc w:val="center"/>
        <w:rPr>
          <w:rFonts w:ascii="Times New Roman" w:hAnsi="Times New Roman"/>
          <w:lang w:val="en-GB"/>
        </w:rPr>
      </w:pPr>
    </w:p>
    <w:p w14:paraId="144BD762" w14:textId="77777777" w:rsidR="000A4BCA" w:rsidRDefault="000A4BCA" w:rsidP="00B4516E">
      <w:pPr>
        <w:spacing w:after="200"/>
        <w:jc w:val="center"/>
        <w:rPr>
          <w:rFonts w:ascii="Times New Roman" w:hAnsi="Times New Roman"/>
          <w:lang w:val="en-GB"/>
        </w:rPr>
      </w:pPr>
    </w:p>
    <w:p w14:paraId="5B93F015" w14:textId="77777777" w:rsidR="000A4BCA" w:rsidRDefault="000A4BCA" w:rsidP="00B4516E">
      <w:pPr>
        <w:spacing w:after="200"/>
        <w:jc w:val="center"/>
        <w:rPr>
          <w:rFonts w:ascii="Times New Roman" w:hAnsi="Times New Roman"/>
          <w:lang w:val="en-GB"/>
        </w:rPr>
      </w:pPr>
    </w:p>
    <w:p w14:paraId="00D1ECBE" w14:textId="77777777" w:rsidR="000A4BCA" w:rsidRDefault="000A4BCA" w:rsidP="00B4516E">
      <w:pPr>
        <w:spacing w:after="200"/>
        <w:jc w:val="center"/>
        <w:rPr>
          <w:rFonts w:ascii="Times New Roman" w:hAnsi="Times New Roman"/>
          <w:lang w:val="en-GB"/>
        </w:rPr>
      </w:pPr>
    </w:p>
    <w:p w14:paraId="48553790" w14:textId="77777777" w:rsidR="000A4BCA" w:rsidRDefault="000A4BCA" w:rsidP="00B4516E">
      <w:pPr>
        <w:spacing w:after="200"/>
        <w:jc w:val="center"/>
        <w:rPr>
          <w:rFonts w:ascii="Times New Roman" w:hAnsi="Times New Roman"/>
          <w:lang w:val="en-GB"/>
        </w:rPr>
      </w:pPr>
    </w:p>
    <w:p w14:paraId="50D4BA15" w14:textId="77777777" w:rsidR="000A4BCA" w:rsidRDefault="000A4BCA" w:rsidP="00B4516E">
      <w:pPr>
        <w:spacing w:after="200"/>
        <w:jc w:val="center"/>
        <w:rPr>
          <w:rFonts w:ascii="Times New Roman" w:hAnsi="Times New Roman"/>
          <w:lang w:val="en-GB"/>
        </w:rPr>
      </w:pPr>
    </w:p>
    <w:p w14:paraId="19FDFBD2" w14:textId="77777777" w:rsidR="000A4BCA" w:rsidRDefault="000A4BCA" w:rsidP="00B4516E">
      <w:pPr>
        <w:spacing w:after="200"/>
        <w:jc w:val="center"/>
        <w:rPr>
          <w:rFonts w:ascii="Times New Roman" w:hAnsi="Times New Roman"/>
          <w:lang w:val="en-GB"/>
        </w:rPr>
      </w:pPr>
    </w:p>
    <w:p w14:paraId="39E91083" w14:textId="77777777" w:rsidR="000A4BCA" w:rsidRDefault="000A4BCA" w:rsidP="00B4516E">
      <w:pPr>
        <w:spacing w:after="200"/>
        <w:jc w:val="center"/>
        <w:rPr>
          <w:rFonts w:ascii="Times New Roman" w:hAnsi="Times New Roman"/>
          <w:lang w:val="en-GB"/>
        </w:rPr>
      </w:pPr>
    </w:p>
    <w:p w14:paraId="064606A5" w14:textId="77777777" w:rsidR="000A4BCA" w:rsidRDefault="000A4BCA" w:rsidP="000A4BCA">
      <w:pPr>
        <w:spacing w:after="200"/>
        <w:rPr>
          <w:rFonts w:ascii="Times New Roman" w:hAnsi="Times New Roman"/>
          <w:lang w:val="en-GB"/>
        </w:rPr>
      </w:pPr>
    </w:p>
    <w:p w14:paraId="7E124C7D" w14:textId="6B53BB51" w:rsidR="00B4516E" w:rsidRPr="00CC135C" w:rsidRDefault="00B4516E" w:rsidP="000A4BCA">
      <w:pPr>
        <w:spacing w:after="200"/>
        <w:jc w:val="center"/>
        <w:rPr>
          <w:rFonts w:ascii="Times New Roman" w:hAnsi="Times New Roman"/>
          <w:i/>
          <w:iCs/>
          <w:lang w:val="en-GB"/>
        </w:rPr>
      </w:pPr>
      <w:r w:rsidRPr="00CC135C">
        <w:rPr>
          <w:rFonts w:ascii="Times New Roman" w:hAnsi="Times New Roman"/>
          <w:lang w:val="en-GB"/>
        </w:rPr>
        <w:t>Fig. 9c CTU A 1-1C.</w:t>
      </w:r>
    </w:p>
    <w:p w14:paraId="1F0D5032" w14:textId="77777777" w:rsidR="00B4516E" w:rsidRPr="00CC135C" w:rsidRDefault="00B4516E" w:rsidP="00B4516E">
      <w:pPr>
        <w:rPr>
          <w:rFonts w:ascii="Times New Roman" w:hAnsi="Times New Roman"/>
          <w:lang w:val="en-GB"/>
        </w:rPr>
      </w:pPr>
    </w:p>
    <w:p w14:paraId="5CCA6082" w14:textId="77777777" w:rsidR="00B4516E" w:rsidRPr="00CC135C" w:rsidRDefault="00B4516E" w:rsidP="00B4516E">
      <w:pPr>
        <w:rPr>
          <w:rFonts w:ascii="Times New Roman" w:hAnsi="Times New Roman"/>
          <w:lang w:val="en-GB"/>
        </w:rPr>
      </w:pPr>
    </w:p>
    <w:p w14:paraId="5AE54CF7" w14:textId="77777777" w:rsidR="00B4516E" w:rsidRPr="00CC135C" w:rsidRDefault="00B4516E" w:rsidP="00B4516E">
      <w:pPr>
        <w:rPr>
          <w:rFonts w:ascii="Times New Roman" w:hAnsi="Times New Roman"/>
          <w:lang w:val="en-GB"/>
        </w:rPr>
      </w:pPr>
    </w:p>
    <w:p w14:paraId="29C69598" w14:textId="648E7180" w:rsidR="00B4516E" w:rsidRPr="00CC135C" w:rsidRDefault="000A4BCA" w:rsidP="00B4516E">
      <w:pPr>
        <w:rPr>
          <w:rFonts w:ascii="Times New Roman" w:hAnsi="Times New Roman"/>
          <w:lang w:val="en-GB"/>
        </w:rPr>
      </w:pPr>
      <w:r w:rsidRPr="00CC135C">
        <w:rPr>
          <w:rFonts w:ascii="Times New Roman" w:hAnsi="Times New Roman"/>
          <w:noProof/>
          <w:u w:val="single"/>
          <w:lang w:eastAsia="tr-TR"/>
        </w:rPr>
        <w:lastRenderedPageBreak/>
        <w:drawing>
          <wp:anchor distT="0" distB="0" distL="114300" distR="114300" simplePos="0" relativeHeight="251995136" behindDoc="1" locked="0" layoutInCell="1" allowOverlap="1" wp14:anchorId="6E8364C6" wp14:editId="47A52CB7">
            <wp:simplePos x="0" y="0"/>
            <wp:positionH relativeFrom="margin">
              <wp:align>center</wp:align>
            </wp:positionH>
            <wp:positionV relativeFrom="paragraph">
              <wp:posOffset>148692</wp:posOffset>
            </wp:positionV>
            <wp:extent cx="5039995" cy="2447925"/>
            <wp:effectExtent l="0" t="0" r="8255" b="9525"/>
            <wp:wrapTopAndBottom/>
            <wp:docPr id="1635949048" name="Immagine 2" descr="mezar, mezarlık, bin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49048" name="Immagine 2" descr="mezar, mezarlık, bina, dış mekan içeren bir resim&#10;&#10;Açıklama otomatik olarak oluşturuldu"/>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r="-469"/>
                    <a:stretch/>
                  </pic:blipFill>
                  <pic:spPr bwMode="auto">
                    <a:xfrm>
                      <a:off x="0" y="0"/>
                      <a:ext cx="5039995" cy="244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516E" w:rsidRPr="00CC135C">
        <w:rPr>
          <w:rFonts w:ascii="Times New Roman" w:hAnsi="Times New Roman"/>
          <w:noProof/>
          <w:lang w:eastAsia="tr-TR"/>
        </w:rPr>
        <mc:AlternateContent>
          <mc:Choice Requires="wps">
            <w:drawing>
              <wp:anchor distT="0" distB="0" distL="114300" distR="114300" simplePos="0" relativeHeight="251997184" behindDoc="1" locked="0" layoutInCell="1" allowOverlap="1" wp14:anchorId="6FDD632A" wp14:editId="4C7E2E3C">
                <wp:simplePos x="0" y="0"/>
                <wp:positionH relativeFrom="column">
                  <wp:posOffset>99305</wp:posOffset>
                </wp:positionH>
                <wp:positionV relativeFrom="paragraph">
                  <wp:posOffset>2673473</wp:posOffset>
                </wp:positionV>
                <wp:extent cx="5039995" cy="247650"/>
                <wp:effectExtent l="0" t="0" r="8255" b="0"/>
                <wp:wrapTight wrapText="bothSides">
                  <wp:wrapPolygon edited="0">
                    <wp:start x="0" y="0"/>
                    <wp:lineTo x="0" y="19938"/>
                    <wp:lineTo x="21554" y="19938"/>
                    <wp:lineTo x="21554" y="0"/>
                    <wp:lineTo x="0" y="0"/>
                  </wp:wrapPolygon>
                </wp:wrapTight>
                <wp:docPr id="1811227382" name="Casella di testo 1"/>
                <wp:cNvGraphicFramePr/>
                <a:graphic xmlns:a="http://schemas.openxmlformats.org/drawingml/2006/main">
                  <a:graphicData uri="http://schemas.microsoft.com/office/word/2010/wordprocessingShape">
                    <wps:wsp>
                      <wps:cNvSpPr txBox="1"/>
                      <wps:spPr>
                        <a:xfrm>
                          <a:off x="0" y="0"/>
                          <a:ext cx="5039995" cy="247650"/>
                        </a:xfrm>
                        <a:prstGeom prst="rect">
                          <a:avLst/>
                        </a:prstGeom>
                        <a:solidFill>
                          <a:prstClr val="white"/>
                        </a:solidFill>
                        <a:ln>
                          <a:noFill/>
                        </a:ln>
                      </wps:spPr>
                      <wps:txbx>
                        <w:txbxContent>
                          <w:p w14:paraId="4C263A6E" w14:textId="730E7664" w:rsidR="00B4516E" w:rsidRPr="00AE3C56" w:rsidRDefault="00B4516E" w:rsidP="000A4BCA">
                            <w:pPr>
                              <w:pStyle w:val="Caption1"/>
                              <w:jc w:val="center"/>
                              <w:rPr>
                                <w:rFonts w:cs="Times New Roman"/>
                                <w:i w:val="0"/>
                                <w:iCs w:val="0"/>
                                <w:color w:val="auto"/>
                                <w:sz w:val="24"/>
                                <w:szCs w:val="24"/>
                              </w:rPr>
                            </w:pPr>
                            <w:r>
                              <w:rPr>
                                <w:rFonts w:cs="Times New Roman"/>
                                <w:i w:val="0"/>
                                <w:iCs w:val="0"/>
                                <w:color w:val="auto"/>
                                <w:sz w:val="24"/>
                                <w:szCs w:val="24"/>
                              </w:rPr>
                              <w:t>Fig. 9d</w:t>
                            </w:r>
                            <w:r w:rsidRPr="00AE3C56">
                              <w:rPr>
                                <w:rFonts w:cs="Times New Roman"/>
                                <w:i w:val="0"/>
                                <w:iCs w:val="0"/>
                                <w:color w:val="auto"/>
                                <w:sz w:val="24"/>
                                <w:szCs w:val="24"/>
                              </w:rPr>
                              <w:t xml:space="preserve"> CTU</w:t>
                            </w:r>
                            <w:r>
                              <w:rPr>
                                <w:rFonts w:cs="Times New Roman"/>
                                <w:i w:val="0"/>
                                <w:iCs w:val="0"/>
                                <w:color w:val="auto"/>
                                <w:sz w:val="24"/>
                                <w:szCs w:val="24"/>
                              </w:rPr>
                              <w:t xml:space="preserve"> I.</w:t>
                            </w:r>
                            <w:r w:rsidRPr="00AE3C56">
                              <w:rPr>
                                <w:rFonts w:cs="Times New Roman"/>
                                <w:i w:val="0"/>
                                <w:iCs w:val="0"/>
                                <w:color w:val="auto"/>
                                <w:sz w:val="24"/>
                                <w:szCs w:val="24"/>
                              </w:rPr>
                              <w:t xml:space="preserve"> A 1-1D</w:t>
                            </w:r>
                            <w:r>
                              <w:rPr>
                                <w:rFonts w:cs="Times New Roman"/>
                                <w:i w:val="0"/>
                                <w:iCs w:val="0"/>
                                <w:color w:val="auto"/>
                                <w:sz w:val="24"/>
                                <w:szCs w:val="24"/>
                              </w:rPr>
                              <w:t>.</w:t>
                            </w:r>
                          </w:p>
                          <w:p w14:paraId="719C615A" w14:textId="77777777" w:rsidR="00B4516E" w:rsidRPr="00914381" w:rsidRDefault="00B4516E" w:rsidP="00B4516E">
                            <w:pPr>
                              <w:pStyle w:val="Caption1"/>
                              <w:rPr>
                                <w:rFonts w:ascii="SemiramisUnicode" w:eastAsia="Times New Roman" w:hAnsi="SemiramisUnicode" w:cs="SemiramisUnicode"/>
                                <w:color w:val="202124"/>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DD632A" id="Casella di testo 1" o:spid="_x0000_s1027" type="#_x0000_t202" style="position:absolute;margin-left:7.8pt;margin-top:210.5pt;width:396.85pt;height:19.5pt;z-index:-25131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" stroked="f">
                <v:textbox inset="0,0,0,0">
                  <w:txbxContent>
                    <w:p w14:paraId="4C263A6E" w14:textId="730E7664" w:rsidR="00B4516E" w:rsidRPr="00AE3C56" w:rsidRDefault="00B4516E" w:rsidP="000A4BCA">
                      <w:pPr>
                        <w:pStyle w:val="Caption1"/>
                        <w:jc w:val="center"/>
                        <w:rPr>
                          <w:rFonts w:cs="Times New Roman"/>
                          <w:i w:val="0"/>
                          <w:iCs w:val="0"/>
                          <w:color w:val="auto"/>
                          <w:sz w:val="24"/>
                          <w:szCs w:val="24"/>
                        </w:rPr>
                      </w:pPr>
                      <w:r>
                        <w:rPr>
                          <w:rFonts w:cs="Times New Roman"/>
                          <w:i w:val="0"/>
                          <w:iCs w:val="0"/>
                          <w:color w:val="auto"/>
                          <w:sz w:val="24"/>
                          <w:szCs w:val="24"/>
                        </w:rPr>
                        <w:t>Fig. 9d</w:t>
                      </w:r>
                      <w:r w:rsidRPr="00AE3C56">
                        <w:rPr>
                          <w:rFonts w:cs="Times New Roman"/>
                          <w:i w:val="0"/>
                          <w:iCs w:val="0"/>
                          <w:color w:val="auto"/>
                          <w:sz w:val="24"/>
                          <w:szCs w:val="24"/>
                        </w:rPr>
                        <w:t xml:space="preserve"> CTU</w:t>
                      </w:r>
                      <w:r>
                        <w:rPr>
                          <w:rFonts w:cs="Times New Roman"/>
                          <w:i w:val="0"/>
                          <w:iCs w:val="0"/>
                          <w:color w:val="auto"/>
                          <w:sz w:val="24"/>
                          <w:szCs w:val="24"/>
                        </w:rPr>
                        <w:t xml:space="preserve"> I.</w:t>
                      </w:r>
                      <w:r w:rsidRPr="00AE3C56">
                        <w:rPr>
                          <w:rFonts w:cs="Times New Roman"/>
                          <w:i w:val="0"/>
                          <w:iCs w:val="0"/>
                          <w:color w:val="auto"/>
                          <w:sz w:val="24"/>
                          <w:szCs w:val="24"/>
                        </w:rPr>
                        <w:t xml:space="preserve"> A 1-1D</w:t>
                      </w:r>
                      <w:r>
                        <w:rPr>
                          <w:rFonts w:cs="Times New Roman"/>
                          <w:i w:val="0"/>
                          <w:iCs w:val="0"/>
                          <w:color w:val="auto"/>
                          <w:sz w:val="24"/>
                          <w:szCs w:val="24"/>
                        </w:rPr>
                        <w:t>.</w:t>
                      </w:r>
                    </w:p>
                    <w:p w14:paraId="719C615A" w14:textId="77777777" w:rsidR="00B4516E" w:rsidRPr="00914381" w:rsidRDefault="00B4516E" w:rsidP="00B4516E">
                      <w:pPr>
                        <w:pStyle w:val="Caption1"/>
                        <w:rPr>
                          <w:rFonts w:ascii="SemiramisUnicode" w:eastAsia="Times New Roman" w:hAnsi="SemiramisUnicode" w:cs="SemiramisUnicode"/>
                          <w:color w:val="202124"/>
                          <w:sz w:val="24"/>
                          <w:szCs w:val="24"/>
                        </w:rPr>
                      </w:pPr>
                    </w:p>
                  </w:txbxContent>
                </v:textbox>
                <w10:wrap type="tight"/>
              </v:shape>
            </w:pict>
          </mc:Fallback>
        </mc:AlternateContent>
      </w:r>
    </w:p>
    <w:p w14:paraId="4265B758" w14:textId="77777777" w:rsidR="00B4516E" w:rsidRPr="00CC135C" w:rsidRDefault="00B4516E" w:rsidP="00B4516E">
      <w:pPr>
        <w:rPr>
          <w:rFonts w:ascii="Times New Roman" w:hAnsi="Times New Roman"/>
          <w:lang w:val="en-GB"/>
        </w:rPr>
      </w:pPr>
    </w:p>
    <w:p w14:paraId="53377D9D" w14:textId="77777777" w:rsidR="00B4516E" w:rsidRPr="00CC135C" w:rsidRDefault="00B4516E" w:rsidP="00B4516E">
      <w:pPr>
        <w:rPr>
          <w:rFonts w:ascii="Times New Roman" w:hAnsi="Times New Roman"/>
          <w:lang w:val="en-GB"/>
        </w:rPr>
      </w:pPr>
    </w:p>
    <w:p w14:paraId="12DAD74A" w14:textId="77777777" w:rsidR="00B4516E" w:rsidRPr="00CC135C" w:rsidRDefault="00B4516E" w:rsidP="00B4516E">
      <w:pPr>
        <w:rPr>
          <w:rFonts w:ascii="Times New Roman" w:hAnsi="Times New Roman"/>
          <w:lang w:val="en-GB"/>
        </w:rPr>
      </w:pPr>
    </w:p>
    <w:p w14:paraId="7081F0E5" w14:textId="77777777" w:rsidR="00B4516E" w:rsidRPr="00CC135C" w:rsidRDefault="00B4516E" w:rsidP="00B4516E">
      <w:pPr>
        <w:rPr>
          <w:rFonts w:ascii="Times New Roman" w:hAnsi="Times New Roman"/>
          <w:lang w:val="en-GB"/>
        </w:rPr>
      </w:pPr>
    </w:p>
    <w:p w14:paraId="4403782D" w14:textId="77777777" w:rsidR="00B4516E" w:rsidRPr="00CC135C" w:rsidRDefault="00B4516E" w:rsidP="00B4516E">
      <w:pPr>
        <w:rPr>
          <w:rFonts w:ascii="Times New Roman" w:hAnsi="Times New Roman"/>
          <w:lang w:val="en-GB"/>
        </w:rPr>
      </w:pPr>
    </w:p>
    <w:p w14:paraId="54264145"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rPr>
      </w:pPr>
      <w:r w:rsidRPr="00CC135C">
        <w:rPr>
          <w:rFonts w:ascii="Times New Roman" w:hAnsi="Times New Roman"/>
        </w:rPr>
        <w:br w:type="column"/>
      </w:r>
    </w:p>
    <w:p w14:paraId="5AA2D59F"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GB"/>
        </w:rPr>
      </w:pPr>
      <w:r w:rsidRPr="00CC135C">
        <w:rPr>
          <w:rFonts w:ascii="Times New Roman" w:hAnsi="Times New Roman"/>
          <w:noProof/>
          <w:lang w:eastAsia="tr-TR"/>
        </w:rPr>
        <w:drawing>
          <wp:inline distT="0" distB="0" distL="0" distR="0" wp14:anchorId="2C6EFFB2" wp14:editId="395418F2">
            <wp:extent cx="5040000" cy="4075200"/>
            <wp:effectExtent l="0" t="0" r="8255" b="1905"/>
            <wp:docPr id="1291427497" name="Immagine 3" descr="el yazısı, mezar,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27497" name="Immagine 3" descr="el yazısı, mezar, metin içeren bir resim&#10;&#10;Açıklama otomatik olarak oluşturuldu"/>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040000" cy="4075200"/>
                    </a:xfrm>
                    <a:prstGeom prst="rect">
                      <a:avLst/>
                    </a:prstGeom>
                    <a:noFill/>
                    <a:ln>
                      <a:noFill/>
                    </a:ln>
                  </pic:spPr>
                </pic:pic>
              </a:graphicData>
            </a:graphic>
          </wp:inline>
        </w:drawing>
      </w:r>
    </w:p>
    <w:p w14:paraId="33EA21A2" w14:textId="77777777" w:rsidR="00B4516E" w:rsidRPr="00CC135C" w:rsidRDefault="00B4516E" w:rsidP="00B4516E">
      <w:pPr>
        <w:spacing w:after="200"/>
        <w:jc w:val="center"/>
        <w:rPr>
          <w:rFonts w:ascii="Times New Roman" w:hAnsi="Times New Roman"/>
          <w:i/>
          <w:iCs/>
          <w:lang w:val="en-GB"/>
        </w:rPr>
      </w:pPr>
      <w:r w:rsidRPr="00CC135C">
        <w:rPr>
          <w:rFonts w:ascii="Times New Roman" w:hAnsi="Times New Roman"/>
          <w:lang w:val="en-GB"/>
        </w:rPr>
        <w:t>Fig. 9e CTU I. A 1-1E.</w:t>
      </w:r>
    </w:p>
    <w:p w14:paraId="38191AC5"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GB"/>
        </w:rPr>
      </w:pPr>
      <w:r w:rsidRPr="00CC135C">
        <w:rPr>
          <w:rFonts w:ascii="Times New Roman" w:hAnsi="Times New Roman"/>
          <w:noProof/>
          <w:lang w:eastAsia="tr-TR"/>
        </w:rPr>
        <w:drawing>
          <wp:inline distT="0" distB="0" distL="0" distR="0" wp14:anchorId="6A4DC81D" wp14:editId="4502F653">
            <wp:extent cx="5040000" cy="3780000"/>
            <wp:effectExtent l="0" t="0" r="8255" b="0"/>
            <wp:docPr id="3081635" name="Immagine 6" descr="dış mekan, yer,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635" name="Immagine 6" descr="dış mekan, yer, bitki içeren bir resim&#10;&#10;Açıklama otomatik olarak oluşturuldu"/>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040000" cy="3780000"/>
                    </a:xfrm>
                    <a:prstGeom prst="rect">
                      <a:avLst/>
                    </a:prstGeom>
                    <a:noFill/>
                    <a:ln>
                      <a:noFill/>
                    </a:ln>
                  </pic:spPr>
                </pic:pic>
              </a:graphicData>
            </a:graphic>
          </wp:inline>
        </w:drawing>
      </w:r>
    </w:p>
    <w:p w14:paraId="3624C604" w14:textId="77777777" w:rsidR="00B4516E" w:rsidRPr="00CC135C" w:rsidRDefault="00B4516E" w:rsidP="00B4516E">
      <w:pPr>
        <w:spacing w:after="200"/>
        <w:jc w:val="center"/>
        <w:rPr>
          <w:rFonts w:ascii="Times New Roman" w:hAnsi="Times New Roman"/>
          <w:lang w:val="en-GB"/>
        </w:rPr>
      </w:pPr>
      <w:r w:rsidRPr="00CC135C">
        <w:rPr>
          <w:rFonts w:ascii="Times New Roman" w:hAnsi="Times New Roman"/>
          <w:lang w:val="en-GB"/>
        </w:rPr>
        <w:t>Fig. 9f CTU I. A 1-1F.</w:t>
      </w:r>
    </w:p>
    <w:p w14:paraId="3BCD681C"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lastRenderedPageBreak/>
        <w:t>The comparison between the 6 epigraphs, despite being perfect duplicates, shows some slight differences as regards the ductus. Firstly, they do not look like contemporary duplicates. Meanwhile there is a difference in the number of lines, which varies from 7 to 9, furthermore it seems that the epigraphs D, E, F, engraved on the east wall of the Sardurburç</w:t>
      </w:r>
      <w:r w:rsidRPr="006F04E6">
        <w:rPr>
          <w:rFonts w:ascii="Times New Roman" w:hAnsi="Times New Roman"/>
          <w:lang w:val="en-GB"/>
        </w:rPr>
        <w:fldChar w:fldCharType="begin"/>
      </w:r>
      <w:r w:rsidRPr="006F04E6">
        <w:rPr>
          <w:rFonts w:ascii="Times New Roman" w:hAnsi="Times New Roman"/>
          <w:lang w:val="en-GB"/>
        </w:rPr>
        <w:instrText xml:space="preserve"> XE "Sardurburç" </w:instrText>
      </w:r>
      <w:r w:rsidRPr="006F04E6">
        <w:rPr>
          <w:rFonts w:ascii="Times New Roman" w:hAnsi="Times New Roman"/>
          <w:lang w:val="en-GB"/>
        </w:rPr>
        <w:fldChar w:fldCharType="end"/>
      </w:r>
      <w:r w:rsidRPr="006F04E6">
        <w:rPr>
          <w:rFonts w:ascii="Times New Roman" w:hAnsi="Times New Roman"/>
          <w:lang w:val="en-GB"/>
        </w:rPr>
        <w:t xml:space="preserve">, give the impression of having been copied later. There are a few variations in the shape of the signs that I point out here: There are a few variations in the shape of the signs that I point out here: in text E line 3 TUK-ú, the ú sign, unlike the others in the same epigraph and in the other texts, has two horizontal wedges which clearly cut the three vertical ones without interrupting themselves  </w:t>
      </w:r>
      <w:r w:rsidRPr="006F04E6">
        <w:rPr>
          <w:rFonts w:ascii="Times New Roman" w:hAnsi="Times New Roman"/>
          <w:noProof/>
          <w:lang w:eastAsia="tr-TR"/>
        </w:rPr>
        <w:drawing>
          <wp:inline distT="0" distB="0" distL="0" distR="0" wp14:anchorId="1DB09650" wp14:editId="1A832B78">
            <wp:extent cx="489600" cy="298800"/>
            <wp:effectExtent l="0" t="0" r="5715" b="6350"/>
            <wp:docPr id="1318891117" name="Resim 1318891117" descr="F:\CORPUS URARTEO 2020  III 5\Corpus Urarteo Colori\A1 = Sarduri I\A 1-1A\u2 in E 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ORPUS URARTEO 2020  III 5\Corpus Urarteo Colori\A1 = Sarduri I\A 1-1A\u2 in E r. 3.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89600" cy="298800"/>
                    </a:xfrm>
                    <a:prstGeom prst="rect">
                      <a:avLst/>
                    </a:prstGeom>
                    <a:noFill/>
                    <a:ln>
                      <a:noFill/>
                    </a:ln>
                  </pic:spPr>
                </pic:pic>
              </a:graphicData>
            </a:graphic>
          </wp:inline>
        </w:drawing>
      </w:r>
      <w:r w:rsidRPr="006F04E6">
        <w:rPr>
          <w:rFonts w:ascii="Times New Roman" w:hAnsi="Times New Roman"/>
          <w:lang w:val="en-GB"/>
        </w:rPr>
        <w:t>. The</w:t>
      </w:r>
      <w:r w:rsidRPr="006F04E6">
        <w:rPr>
          <w:rFonts w:ascii="Times New Roman" w:hAnsi="Times New Roman"/>
          <w:color w:val="202124"/>
          <w:lang w:val="en-GB"/>
        </w:rPr>
        <w:t xml:space="preserve"> same is noted in the ni sign in the line 5  </w:t>
      </w:r>
      <w:r w:rsidRPr="006F04E6">
        <w:rPr>
          <w:rFonts w:ascii="Times New Roman" w:hAnsi="Times New Roman"/>
          <w:noProof/>
          <w:color w:val="202124"/>
          <w:lang w:eastAsia="tr-TR"/>
        </w:rPr>
        <w:drawing>
          <wp:inline distT="0" distB="0" distL="0" distR="0" wp14:anchorId="35275B1C" wp14:editId="41DF03B5">
            <wp:extent cx="298800" cy="288000"/>
            <wp:effectExtent l="0" t="0" r="6350" b="0"/>
            <wp:docPr id="1052194714" name="Resim 1052194714" descr="F:\CORPUS URARTEO 2020  III 5\Corpus Urarteo Colori\A1 = Sarduri I\A 1-1A\ni in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ORPUS URARTEO 2020  III 5\Corpus Urarteo Colori\A1 = Sarduri I\A 1-1A\ni in E.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98800" cy="288000"/>
                    </a:xfrm>
                    <a:prstGeom prst="rect">
                      <a:avLst/>
                    </a:prstGeom>
                    <a:noFill/>
                    <a:ln>
                      <a:noFill/>
                    </a:ln>
                  </pic:spPr>
                </pic:pic>
              </a:graphicData>
            </a:graphic>
          </wp:inline>
        </w:drawing>
      </w:r>
      <w:r w:rsidRPr="006F04E6">
        <w:rPr>
          <w:rFonts w:ascii="Times New Roman" w:hAnsi="Times New Roman"/>
          <w:color w:val="202124"/>
          <w:lang w:val="en-GB"/>
        </w:rPr>
        <w:t xml:space="preserve"> (</w:t>
      </w:r>
      <w:r w:rsidRPr="006F04E6">
        <w:rPr>
          <w:rFonts w:ascii="Times New Roman" w:hAnsi="Times New Roman"/>
          <w:lang w:val="en-GB"/>
        </w:rPr>
        <w:t>MAN MAN</w:t>
      </w:r>
      <w:r w:rsidRPr="006F04E6">
        <w:rPr>
          <w:rFonts w:ascii="Times New Roman" w:hAnsi="Times New Roman"/>
          <w:vertAlign w:val="superscript"/>
          <w:lang w:val="en-GB"/>
        </w:rPr>
        <w:t>MEŠ</w:t>
      </w:r>
      <w:r w:rsidRPr="006F04E6">
        <w:rPr>
          <w:rFonts w:ascii="Times New Roman" w:hAnsi="Times New Roman"/>
          <w:i/>
          <w:lang w:val="en-GB"/>
        </w:rPr>
        <w:t>-ni</w:t>
      </w:r>
      <w:r w:rsidRPr="006F04E6">
        <w:rPr>
          <w:rFonts w:ascii="Times New Roman" w:hAnsi="Times New Roman"/>
          <w:lang w:val="en-GB"/>
        </w:rPr>
        <w:t xml:space="preserve">). </w:t>
      </w:r>
    </w:p>
    <w:p w14:paraId="521FE026" w14:textId="77777777" w:rsidR="00B4516E" w:rsidRPr="006F04E6" w:rsidRDefault="00B4516E" w:rsidP="00B4516E">
      <w:pPr>
        <w:jc w:val="both"/>
        <w:rPr>
          <w:rFonts w:ascii="Times New Roman" w:hAnsi="Times New Roman"/>
          <w:lang w:val="en-GB"/>
        </w:rPr>
      </w:pPr>
    </w:p>
    <w:p w14:paraId="2BE6F3D0" w14:textId="77777777" w:rsidR="00B4516E" w:rsidRPr="006F04E6" w:rsidRDefault="00B4516E" w:rsidP="00B4516E">
      <w:pPr>
        <w:rPr>
          <w:rFonts w:ascii="Times New Roman" w:hAnsi="Times New Roman"/>
          <w:lang w:val="en-GB"/>
        </w:rPr>
      </w:pPr>
      <w:r w:rsidRPr="006F04E6">
        <w:rPr>
          <w:rFonts w:ascii="Times New Roman" w:hAnsi="Times New Roman"/>
          <w:lang w:val="en-GB"/>
        </w:rPr>
        <w:t>This detail shows that the stonecutter(s) were different on either side of the “Sardurburç</w:t>
      </w:r>
      <w:r w:rsidRPr="006F04E6">
        <w:rPr>
          <w:rFonts w:ascii="Times New Roman" w:hAnsi="Times New Roman"/>
          <w:lang w:val="en-GB"/>
        </w:rPr>
        <w:fldChar w:fldCharType="begin"/>
      </w:r>
      <w:r w:rsidRPr="006F04E6">
        <w:rPr>
          <w:rFonts w:ascii="Times New Roman" w:hAnsi="Times New Roman"/>
          <w:lang w:val="en-GB"/>
        </w:rPr>
        <w:instrText xml:space="preserve"> XE "Sardurburç" </w:instrText>
      </w:r>
      <w:r w:rsidRPr="006F04E6">
        <w:rPr>
          <w:rFonts w:ascii="Times New Roman" w:hAnsi="Times New Roman"/>
          <w:lang w:val="en-GB"/>
        </w:rPr>
        <w:fldChar w:fldCharType="end"/>
      </w:r>
      <w:r w:rsidRPr="006F04E6">
        <w:rPr>
          <w:rFonts w:ascii="Times New Roman" w:hAnsi="Times New Roman"/>
          <w:lang w:val="en-GB"/>
        </w:rPr>
        <w:t>”, although it by itself says nothing about the chronology.</w:t>
      </w:r>
    </w:p>
    <w:p w14:paraId="56243C84" w14:textId="77777777" w:rsidR="00B4516E" w:rsidRPr="006F04E6" w:rsidRDefault="00B4516E" w:rsidP="00B4516E">
      <w:pPr>
        <w:rPr>
          <w:rFonts w:ascii="Times New Roman" w:hAnsi="Times New Roman"/>
          <w:lang w:val="en-GB"/>
        </w:rPr>
      </w:pPr>
    </w:p>
    <w:p w14:paraId="47327882" w14:textId="77777777" w:rsidR="00B4516E" w:rsidRPr="006F04E6" w:rsidRDefault="00B4516E" w:rsidP="00B4516E">
      <w:pPr>
        <w:keepNext/>
        <w:keepLines/>
        <w:spacing w:before="280" w:after="80" w:line="276" w:lineRule="auto"/>
        <w:outlineLvl w:val="3"/>
        <w:rPr>
          <w:rFonts w:ascii="Times New Roman" w:hAnsi="Times New Roman"/>
          <w:b/>
          <w:lang w:val="en-GB"/>
        </w:rPr>
      </w:pPr>
      <w:r w:rsidRPr="006F04E6">
        <w:rPr>
          <w:rFonts w:ascii="Times New Roman" w:hAnsi="Times New Roman"/>
          <w:b/>
          <w:lang w:val="en-GB"/>
        </w:rPr>
        <w:t>4.2.1.2. A Sacrificial Inscription</w:t>
      </w:r>
      <w:r w:rsidRPr="006F04E6">
        <w:rPr>
          <w:rFonts w:ascii="Times New Roman" w:hAnsi="Times New Roman"/>
          <w:b/>
          <w:lang w:val="en-GB"/>
        </w:rPr>
        <w:fldChar w:fldCharType="begin"/>
      </w:r>
      <w:r w:rsidRPr="006F04E6">
        <w:rPr>
          <w:rFonts w:ascii="Times New Roman" w:hAnsi="Times New Roman"/>
          <w:b/>
          <w:lang w:val="en-GB"/>
        </w:rPr>
        <w:instrText xml:space="preserve"> XE "Sacrificial Inscription" </w:instrText>
      </w:r>
      <w:r w:rsidRPr="006F04E6">
        <w:rPr>
          <w:rFonts w:ascii="Times New Roman" w:hAnsi="Times New Roman"/>
          <w:b/>
          <w:lang w:val="en-GB"/>
        </w:rPr>
        <w:fldChar w:fldCharType="end"/>
      </w:r>
      <w:r w:rsidRPr="006F04E6">
        <w:rPr>
          <w:rFonts w:ascii="Times New Roman" w:hAnsi="Times New Roman"/>
          <w:b/>
          <w:lang w:val="en-GB"/>
        </w:rPr>
        <w:t xml:space="preserve"> at the Citadel: CTU I. A 1-2</w:t>
      </w:r>
    </w:p>
    <w:p w14:paraId="7645E3EC"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On the southern slope of the Kale</w:t>
      </w:r>
      <w:r w:rsidRPr="006F04E6">
        <w:rPr>
          <w:rFonts w:ascii="Times New Roman" w:eastAsia="Calibri" w:hAnsi="Times New Roman" w:cs="Times New Roman"/>
          <w:lang w:val="en-GB"/>
        </w:rPr>
        <w:t>,</w:t>
      </w:r>
      <w:r w:rsidRPr="006F04E6">
        <w:rPr>
          <w:rFonts w:ascii="Times New Roman" w:hAnsi="Times New Roman"/>
          <w:lang w:val="en-GB"/>
        </w:rPr>
        <w:t xml:space="preserve"> there are traces of a niche with an inscribed wall (plan, No. 20) (Fig. 10-11).</w:t>
      </w:r>
      <w:r w:rsidRPr="006F04E6">
        <w:rPr>
          <w:rFonts w:ascii="Times New Roman" w:eastAsia="Calibri" w:hAnsi="Times New Roman" w:cs="Times New Roman"/>
          <w:lang w:val="en-GB"/>
        </w:rPr>
        <w:t>  It is an</w:t>
      </w:r>
      <w:r w:rsidRPr="006F04E6">
        <w:rPr>
          <w:rFonts w:ascii="Times New Roman" w:hAnsi="Times New Roman"/>
          <w:lang w:val="en-GB"/>
        </w:rPr>
        <w:t xml:space="preserve"> incomplete Assyrian</w:t>
      </w:r>
      <w:r w:rsidRPr="006F04E6">
        <w:rPr>
          <w:rFonts w:ascii="Times New Roman" w:eastAsia="Calibri" w:hAnsi="Times New Roman" w:cs="Times New Roman"/>
          <w:lang w:val="en-GB"/>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"Assyrian"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text of 20 lines, much damaged</w:t>
      </w:r>
      <w:r w:rsidRPr="006F04E6">
        <w:rPr>
          <w:rFonts w:ascii="Times New Roman" w:eastAsia="Calibri" w:hAnsi="Times New Roman" w:cs="Times New Roman"/>
          <w:lang w:val="en-GB"/>
        </w:rPr>
        <w:t>,</w:t>
      </w:r>
      <w:r w:rsidRPr="006F04E6">
        <w:rPr>
          <w:rFonts w:ascii="Times New Roman" w:hAnsi="Times New Roman"/>
          <w:lang w:val="en-GB"/>
        </w:rPr>
        <w:t xml:space="preserve"> without the beginning, without the author, and the names of the deities. It deals with animal sacrifices</w:t>
      </w:r>
      <w:r w:rsidRPr="006F04E6">
        <w:rPr>
          <w:rFonts w:ascii="Times New Roman" w:eastAsia="Calibri" w:hAnsi="Times New Roman" w:cs="Times New Roman"/>
          <w:lang w:val="en-GB"/>
        </w:rPr>
        <w:t>:</w:t>
      </w:r>
      <w:r w:rsidRPr="006F04E6">
        <w:rPr>
          <w:rFonts w:ascii="Times New Roman" w:hAnsi="Times New Roman"/>
          <w:lang w:val="en-GB"/>
        </w:rPr>
        <w:t xml:space="preserve"> oxen, cows</w:t>
      </w:r>
      <w:r w:rsidRPr="006F04E6">
        <w:rPr>
          <w:rFonts w:ascii="Times New Roman" w:eastAsia="Calibri" w:hAnsi="Times New Roman" w:cs="Times New Roman"/>
          <w:lang w:val="en-GB"/>
        </w:rPr>
        <w:t>,</w:t>
      </w:r>
      <w:r w:rsidRPr="006F04E6">
        <w:rPr>
          <w:rFonts w:ascii="Times New Roman" w:hAnsi="Times New Roman"/>
          <w:lang w:val="en-GB"/>
        </w:rPr>
        <w:t xml:space="preserve"> and sheep. It was probably part of an epigraphic complex that included a stela, which we imagine was embedded in the hole below, in the floor of the niche. The missing stele must be considered the oldest and</w:t>
      </w:r>
      <w:r w:rsidRPr="006F04E6">
        <w:rPr>
          <w:rFonts w:ascii="Times New Roman" w:eastAsia="Calibri" w:hAnsi="Times New Roman" w:cs="Times New Roman"/>
          <w:lang w:val="en-GB"/>
        </w:rPr>
        <w:t>,</w:t>
      </w:r>
      <w:r w:rsidRPr="006F04E6">
        <w:rPr>
          <w:rFonts w:ascii="Times New Roman" w:hAnsi="Times New Roman"/>
          <w:lang w:val="en-GB"/>
        </w:rPr>
        <w:t xml:space="preserve"> thus</w:t>
      </w:r>
      <w:r w:rsidRPr="006F04E6">
        <w:rPr>
          <w:rFonts w:ascii="Times New Roman" w:eastAsia="Calibri" w:hAnsi="Times New Roman" w:cs="Times New Roman"/>
          <w:lang w:val="en-GB"/>
        </w:rPr>
        <w:t>,</w:t>
      </w:r>
      <w:r w:rsidRPr="006F04E6">
        <w:rPr>
          <w:rFonts w:ascii="Times New Roman" w:hAnsi="Times New Roman"/>
          <w:lang w:val="en-GB"/>
        </w:rPr>
        <w:t xml:space="preserve"> the model for later Urartian</w:t>
      </w:r>
      <w:r w:rsidRPr="006F04E6">
        <w:rPr>
          <w:rFonts w:ascii="Times New Roman" w:eastAsia="Calibri" w:hAnsi="Times New Roman" w:cs="Times New Roman"/>
          <w:lang w:val="en-GB"/>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"Urartian"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stelae. Although it is classified this way, the attribution to Sarduri</w:t>
      </w:r>
      <w:r w:rsidRPr="006F04E6">
        <w:rPr>
          <w:rFonts w:ascii="Times New Roman" w:eastAsia="Calibri" w:hAnsi="Times New Roman" w:cs="Times New Roman"/>
          <w:lang w:val="en-GB"/>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"Sarduri"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I</w:t>
      </w:r>
      <w:r w:rsidRPr="006F04E6">
        <w:rPr>
          <w:rFonts w:ascii="Times New Roman" w:eastAsia="Calibri" w:hAnsi="Times New Roman" w:cs="Times New Roman"/>
          <w:lang w:val="en-GB"/>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"Sarduri I"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 xml:space="preserve">is not </w:t>
      </w:r>
      <w:r w:rsidRPr="006F04E6">
        <w:rPr>
          <w:rFonts w:ascii="Times New Roman" w:eastAsia="Calibri" w:hAnsi="Times New Roman" w:cs="Times New Roman"/>
          <w:lang w:val="en-GB"/>
        </w:rPr>
        <w:t>specific</w:t>
      </w:r>
      <w:r w:rsidRPr="006F04E6">
        <w:rPr>
          <w:rFonts w:ascii="Times New Roman" w:hAnsi="Times New Roman"/>
          <w:lang w:val="en-GB"/>
        </w:rPr>
        <w:t xml:space="preserve">. It may not be the work of the first Urartian king but of an Assyrian author before </w:t>
      </w:r>
      <w:r w:rsidRPr="006F04E6">
        <w:rPr>
          <w:rFonts w:ascii="Times New Roman" w:eastAsia="Calibri" w:hAnsi="Times New Roman" w:cs="Times New Roman"/>
          <w:noProof/>
          <w:lang w:eastAsia="tr-TR"/>
        </w:rPr>
        <w:drawing>
          <wp:anchor distT="0" distB="0" distL="114300" distR="114300" simplePos="0" relativeHeight="252004352" behindDoc="0" locked="0" layoutInCell="1" allowOverlap="1" wp14:anchorId="239E1BFC" wp14:editId="03A4553D">
            <wp:simplePos x="0" y="0"/>
            <wp:positionH relativeFrom="column">
              <wp:posOffset>-598805</wp:posOffset>
            </wp:positionH>
            <wp:positionV relativeFrom="paragraph">
              <wp:posOffset>1393825</wp:posOffset>
            </wp:positionV>
            <wp:extent cx="4963795" cy="3719830"/>
            <wp:effectExtent l="0" t="317" r="1587" b="1588"/>
            <wp:wrapTopAndBottom/>
            <wp:docPr id="1618600318" name="Resim 1618600318" descr="dış mekan, dip kaya, jeoloji, kireç taş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52866" name="Resim 376552866" descr="dış mekan, dip kaya, jeoloji, kireç taşı içeren bir resim&#10;&#10;Açıklama otomatik olarak oluşturuldu"/>
                    <pic:cNvPicPr>
                      <a:picLocks noChangeAspect="1" noChangeArrowheads="1"/>
                    </pic:cNvPicPr>
                  </pic:nvPicPr>
                  <pic:blipFill>
                    <a:blip r:embed="rId86" cstate="email">
                      <a:extLst>
                        <a:ext uri="{28A0092B-C50C-407E-A947-70E740481C1C}">
                          <a14:useLocalDpi xmlns:a14="http://schemas.microsoft.com/office/drawing/2010/main" val="0"/>
                        </a:ext>
                      </a:extLst>
                    </a:blip>
                    <a:srcRect/>
                    <a:stretch>
                      <a:fillRect/>
                    </a:stretch>
                  </pic:blipFill>
                  <pic:spPr bwMode="auto">
                    <a:xfrm rot="5400000">
                      <a:off x="0" y="0"/>
                      <a:ext cx="4963795" cy="3719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04E6">
        <w:rPr>
          <w:rFonts w:ascii="Times New Roman" w:hAnsi="Times New Roman"/>
          <w:lang w:val="en-GB"/>
        </w:rPr>
        <w:t>Sarduri.</w:t>
      </w:r>
    </w:p>
    <w:p w14:paraId="7245C69F" w14:textId="77777777" w:rsidR="00B4516E" w:rsidRPr="006F04E6" w:rsidRDefault="00B4516E" w:rsidP="00CD3D5E">
      <w:pPr>
        <w:jc w:val="both"/>
        <w:rPr>
          <w:rFonts w:ascii="Times New Roman" w:hAnsi="Times New Roman"/>
          <w:lang w:val="en-GB"/>
        </w:rPr>
      </w:pPr>
      <w:r w:rsidRPr="006F04E6">
        <w:rPr>
          <w:rFonts w:ascii="Times New Roman" w:hAnsi="Times New Roman"/>
          <w:lang w:val="en-GB"/>
        </w:rPr>
        <w:t>Fig. 10 Van Fortress</w:t>
      </w:r>
      <w:r w:rsidRPr="006F04E6">
        <w:rPr>
          <w:rFonts w:ascii="Times New Roman" w:eastAsia="Calibri" w:hAnsi="Times New Roman" w:cs="Times New Roman"/>
          <w:lang w:val="en-GB"/>
        </w:rPr>
        <w:t>,</w:t>
      </w:r>
      <w:r w:rsidRPr="006F04E6">
        <w:rPr>
          <w:rFonts w:ascii="Times New Roman" w:hAnsi="Times New Roman"/>
          <w:lang w:val="en-GB"/>
        </w:rPr>
        <w:t xml:space="preserve"> south side. Remains of a rock niche with traces of an Assyrian</w:t>
      </w:r>
      <w:r w:rsidRPr="006F04E6">
        <w:rPr>
          <w:rFonts w:ascii="Times New Roman" w:hAnsi="Times New Roman"/>
          <w:lang w:val="en-GB"/>
        </w:rPr>
        <w:fldChar w:fldCharType="begin"/>
      </w:r>
      <w:r w:rsidRPr="006F04E6">
        <w:rPr>
          <w:rFonts w:ascii="Times New Roman" w:hAnsi="Times New Roman"/>
          <w:lang w:val="en-GB"/>
        </w:rPr>
        <w:instrText xml:space="preserve"> XE "Assyrian" </w:instrText>
      </w:r>
      <w:r w:rsidRPr="006F04E6">
        <w:rPr>
          <w:rFonts w:ascii="Times New Roman" w:hAnsi="Times New Roman"/>
          <w:lang w:val="en-GB"/>
        </w:rPr>
        <w:fldChar w:fldCharType="end"/>
      </w:r>
      <w:r w:rsidRPr="006F04E6">
        <w:rPr>
          <w:rFonts w:ascii="Times New Roman" w:hAnsi="Times New Roman"/>
          <w:lang w:val="en-GB"/>
        </w:rPr>
        <w:t xml:space="preserve"> inscription and a hole for an insertion of a stele which has disappeared.</w:t>
      </w:r>
    </w:p>
    <w:p w14:paraId="79E1C58F" w14:textId="77777777" w:rsidR="00B4516E" w:rsidRPr="00CC135C" w:rsidRDefault="00B4516E" w:rsidP="00B4516E">
      <w:pPr>
        <w:spacing w:line="240" w:lineRule="atLeast"/>
        <w:ind w:left="567" w:right="-1" w:hanging="567"/>
        <w:rPr>
          <w:rFonts w:ascii="Times New Roman" w:hAnsi="Times New Roman"/>
          <w:lang w:val="en-GB"/>
        </w:rPr>
      </w:pPr>
    </w:p>
    <w:p w14:paraId="6564EC45" w14:textId="77777777" w:rsidR="00B4516E" w:rsidRPr="00CC135C" w:rsidRDefault="00B4516E" w:rsidP="00B4516E">
      <w:pPr>
        <w:spacing w:line="240" w:lineRule="atLeast"/>
        <w:ind w:left="567" w:right="-1" w:hanging="567"/>
        <w:rPr>
          <w:rFonts w:ascii="Times New Roman" w:hAnsi="Times New Roman"/>
          <w:b/>
          <w:lang w:val="en-GB"/>
        </w:rPr>
      </w:pPr>
      <w:r w:rsidRPr="00CC135C">
        <w:rPr>
          <w:rFonts w:ascii="Times New Roman" w:hAnsi="Times New Roman"/>
          <w:b/>
          <w:lang w:val="en-GB"/>
        </w:rPr>
        <w:t xml:space="preserve">CTU I. A 1-2    </w:t>
      </w:r>
    </w:p>
    <w:p w14:paraId="6BC8ED81"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t>x[</w:t>
      </w:r>
    </w:p>
    <w:p w14:paraId="164C50EC"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t>x[</w:t>
      </w:r>
    </w:p>
    <w:p w14:paraId="08C92629" w14:textId="77777777" w:rsidR="00B4516E" w:rsidRPr="006F04E6" w:rsidRDefault="00B4516E" w:rsidP="00B4516E">
      <w:pPr>
        <w:spacing w:line="240" w:lineRule="atLeast"/>
        <w:ind w:left="567" w:right="-1" w:hanging="567"/>
        <w:rPr>
          <w:rFonts w:ascii="Times New Roman" w:hAnsi="Times New Roman"/>
          <w:i/>
          <w:lang w:val="en-GB"/>
        </w:rPr>
      </w:pPr>
      <w:r w:rsidRPr="006F04E6">
        <w:rPr>
          <w:rFonts w:ascii="Times New Roman" w:hAnsi="Times New Roman"/>
          <w:lang w:val="en-GB"/>
        </w:rPr>
        <w:t>3'</w:t>
      </w:r>
      <w:r w:rsidRPr="006F04E6">
        <w:rPr>
          <w:rFonts w:ascii="Times New Roman" w:hAnsi="Times New Roman"/>
          <w:lang w:val="en-GB"/>
        </w:rPr>
        <w:tab/>
        <w:t xml:space="preserve">x x[ x x x x </w:t>
      </w:r>
      <w:r w:rsidRPr="006F04E6">
        <w:rPr>
          <w:rFonts w:ascii="Times New Roman" w:hAnsi="Times New Roman"/>
          <w:i/>
          <w:lang w:val="en-GB"/>
        </w:rPr>
        <w:t>g</w:t>
      </w:r>
      <w:r w:rsidRPr="006F04E6">
        <w:rPr>
          <w:rFonts w:ascii="Times New Roman" w:hAnsi="Times New Roman"/>
          <w:lang w:val="en-GB"/>
        </w:rPr>
        <w:t>]</w:t>
      </w:r>
      <w:r w:rsidRPr="006F04E6">
        <w:rPr>
          <w:rFonts w:ascii="Times New Roman" w:hAnsi="Times New Roman"/>
          <w:i/>
          <w:lang w:val="en-GB"/>
        </w:rPr>
        <w:t>a?</w:t>
      </w:r>
    </w:p>
    <w:p w14:paraId="27C99DC1"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[x G]U</w:t>
      </w:r>
      <w:r w:rsidRPr="006F04E6">
        <w:rPr>
          <w:rFonts w:ascii="Times New Roman" w:hAnsi="Times New Roman"/>
          <w:vertAlign w:val="subscript"/>
          <w:lang w:val="en-GB"/>
        </w:rPr>
        <w:t xml:space="preserve">4 </w:t>
      </w:r>
      <w:r w:rsidRPr="006F04E6">
        <w:rPr>
          <w:rFonts w:ascii="Times New Roman" w:hAnsi="Times New Roman"/>
          <w:lang w:val="en-GB"/>
        </w:rPr>
        <w:t xml:space="preserve">[ x x x x] </w:t>
      </w:r>
      <w:r w:rsidRPr="006F04E6">
        <w:rPr>
          <w:rFonts w:ascii="Times New Roman" w:hAnsi="Times New Roman"/>
          <w:i/>
          <w:lang w:val="en-GB"/>
        </w:rPr>
        <w:t>za</w:t>
      </w:r>
      <w:r w:rsidRPr="006F04E6">
        <w:rPr>
          <w:rFonts w:ascii="Times New Roman" w:hAnsi="Times New Roman"/>
          <w:lang w:val="en-GB"/>
        </w:rPr>
        <w:t xml:space="preserve"> x[</w:t>
      </w:r>
    </w:p>
    <w:p w14:paraId="7CB5CB0D"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t xml:space="preserve">[x x ] </w:t>
      </w:r>
      <w:r w:rsidRPr="006F04E6">
        <w:rPr>
          <w:rFonts w:ascii="Times New Roman" w:hAnsi="Times New Roman"/>
          <w:i/>
          <w:lang w:val="en-GB"/>
        </w:rPr>
        <w:t>ú da</w:t>
      </w:r>
      <w:r w:rsidRPr="006F04E6">
        <w:rPr>
          <w:rFonts w:ascii="Times New Roman" w:hAnsi="Times New Roman"/>
          <w:lang w:val="en-GB"/>
        </w:rPr>
        <w:t xml:space="preserve"> [x x x ]x x[</w:t>
      </w:r>
    </w:p>
    <w:p w14:paraId="653BBF09"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t xml:space="preserve">[x x ] x </w:t>
      </w:r>
      <w:r w:rsidRPr="006F04E6">
        <w:rPr>
          <w:rFonts w:ascii="Times New Roman" w:hAnsi="Times New Roman"/>
          <w:i/>
          <w:lang w:val="en-GB"/>
        </w:rPr>
        <w:t>ú</w:t>
      </w:r>
      <w:r w:rsidRPr="006F04E6">
        <w:rPr>
          <w:rFonts w:ascii="Times New Roman" w:hAnsi="Times New Roman"/>
          <w:lang w:val="en-GB"/>
        </w:rPr>
        <w:t xml:space="preserve"> [x x x] 3? UG[U?</w:t>
      </w:r>
    </w:p>
    <w:p w14:paraId="401CAC23"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lastRenderedPageBreak/>
        <w:t>7'</w:t>
      </w:r>
      <w:r w:rsidRPr="006F04E6">
        <w:rPr>
          <w:rFonts w:ascii="Times New Roman" w:hAnsi="Times New Roman"/>
          <w:lang w:val="en-GB"/>
        </w:rPr>
        <w:tab/>
        <w:t>SU[M-</w:t>
      </w:r>
      <w:r w:rsidRPr="006F04E6">
        <w:rPr>
          <w:rFonts w:ascii="Times New Roman" w:hAnsi="Times New Roman"/>
          <w:i/>
          <w:lang w:val="en-GB"/>
        </w:rPr>
        <w:t>an</w:t>
      </w:r>
      <w:r w:rsidRPr="006F04E6">
        <w:rPr>
          <w:rFonts w:ascii="Times New Roman" w:hAnsi="Times New Roman"/>
          <w:lang w:val="en-GB"/>
        </w:rPr>
        <w:t xml:space="preserve">? x (x)] </w:t>
      </w:r>
      <w:r w:rsidRPr="006F04E6">
        <w:rPr>
          <w:rFonts w:ascii="Times New Roman" w:hAnsi="Times New Roman"/>
          <w:i/>
          <w:lang w:val="en-GB"/>
        </w:rPr>
        <w:t>ú</w:t>
      </w:r>
      <w:r w:rsidRPr="006F04E6">
        <w:rPr>
          <w:rFonts w:ascii="Times New Roman" w:hAnsi="Times New Roman"/>
          <w:lang w:val="en-GB"/>
        </w:rPr>
        <w:t xml:space="preserve"> [x x x] </w:t>
      </w:r>
      <w:r w:rsidRPr="006F04E6">
        <w:rPr>
          <w:rFonts w:ascii="Times New Roman" w:hAnsi="Times New Roman"/>
          <w:i/>
          <w:lang w:val="en-GB"/>
        </w:rPr>
        <w:t xml:space="preserve">a </w:t>
      </w:r>
      <w:r w:rsidRPr="006F04E6">
        <w:rPr>
          <w:rFonts w:ascii="Times New Roman" w:hAnsi="Times New Roman"/>
          <w:lang w:val="en-GB"/>
        </w:rPr>
        <w:t>x[</w:t>
      </w:r>
    </w:p>
    <w:p w14:paraId="27049BD3"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t>3 [ x x x] MUNUS[</w:t>
      </w:r>
    </w:p>
    <w:p w14:paraId="76DAB0B6"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t>UD[U x x x] x [ x x x x ] x [</w:t>
      </w:r>
    </w:p>
    <w:p w14:paraId="3EBA25C3"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10'</w:t>
      </w:r>
      <w:r w:rsidRPr="006F04E6">
        <w:rPr>
          <w:rFonts w:ascii="Times New Roman" w:hAnsi="Times New Roman"/>
          <w:lang w:val="en-GB"/>
        </w:rPr>
        <w:tab/>
        <w:t>15 GU</w:t>
      </w:r>
      <w:r w:rsidRPr="006F04E6">
        <w:rPr>
          <w:rFonts w:ascii="Times New Roman" w:hAnsi="Times New Roman"/>
          <w:vertAlign w:val="subscript"/>
          <w:lang w:val="en-GB"/>
        </w:rPr>
        <w:t>4</w:t>
      </w:r>
      <w:r w:rsidRPr="006F04E6">
        <w:rPr>
          <w:rFonts w:ascii="Times New Roman" w:hAnsi="Times New Roman"/>
          <w:lang w:val="en-GB"/>
        </w:rPr>
        <w:t>.[(ÁB</w:t>
      </w:r>
      <w:r w:rsidRPr="006F04E6">
        <w:rPr>
          <w:rFonts w:ascii="Times New Roman" w:hAnsi="Times New Roman"/>
          <w:vertAlign w:val="superscript"/>
          <w:lang w:val="en-GB"/>
        </w:rPr>
        <w:t>MEŠ</w:t>
      </w:r>
      <w:r w:rsidRPr="006F04E6">
        <w:rPr>
          <w:rFonts w:ascii="Times New Roman" w:hAnsi="Times New Roman"/>
          <w:lang w:val="en-GB"/>
        </w:rPr>
        <w:t xml:space="preserve"> SUM-</w:t>
      </w:r>
      <w:r w:rsidRPr="006F04E6">
        <w:rPr>
          <w:rFonts w:ascii="Times New Roman" w:hAnsi="Times New Roman"/>
          <w:i/>
          <w:lang w:val="en-GB"/>
        </w:rPr>
        <w:t>an</w:t>
      </w:r>
      <w:r w:rsidRPr="006F04E6">
        <w:rPr>
          <w:rFonts w:ascii="Times New Roman" w:hAnsi="Times New Roman"/>
          <w:lang w:val="en-GB"/>
        </w:rPr>
        <w:t>)] x [x x x x (</w:t>
      </w:r>
      <w:r w:rsidRPr="006F04E6">
        <w:rPr>
          <w:rFonts w:ascii="Times New Roman" w:hAnsi="Times New Roman"/>
          <w:i/>
          <w:lang w:val="en-GB"/>
        </w:rPr>
        <w:t>šu-tu-ma</w:t>
      </w:r>
      <w:r w:rsidRPr="006F04E6">
        <w:rPr>
          <w:rFonts w:ascii="Times New Roman" w:hAnsi="Times New Roman"/>
          <w:lang w:val="en-GB"/>
        </w:rPr>
        <w:t xml:space="preserve"> UDU.TI.LA</w:t>
      </w:r>
      <w:r w:rsidRPr="006F04E6">
        <w:rPr>
          <w:rFonts w:ascii="Times New Roman" w:hAnsi="Times New Roman"/>
          <w:i/>
          <w:lang w:val="en-GB"/>
        </w:rPr>
        <w:t>-su</w:t>
      </w:r>
      <w:r w:rsidRPr="006F04E6">
        <w:rPr>
          <w:rFonts w:ascii="Times New Roman" w:hAnsi="Times New Roman"/>
          <w:lang w:val="en-GB"/>
        </w:rPr>
        <w:t>) (?)]</w:t>
      </w:r>
    </w:p>
    <w:p w14:paraId="0647760C"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11'</w:t>
      </w:r>
      <w:r w:rsidRPr="006F04E6">
        <w:rPr>
          <w:rFonts w:ascii="Times New Roman" w:hAnsi="Times New Roman"/>
          <w:lang w:val="en-GB"/>
        </w:rPr>
        <w:tab/>
        <w:t xml:space="preserve">LÚ </w:t>
      </w:r>
      <w:r w:rsidRPr="006F04E6">
        <w:rPr>
          <w:rFonts w:ascii="Times New Roman" w:hAnsi="Times New Roman"/>
          <w:i/>
          <w:lang w:val="en-GB"/>
        </w:rPr>
        <w:t>ina ku-m</w:t>
      </w:r>
      <w:r w:rsidRPr="006F04E6">
        <w:rPr>
          <w:rFonts w:ascii="Times New Roman" w:hAnsi="Times New Roman"/>
          <w:lang w:val="en-GB"/>
        </w:rPr>
        <w:t>[(</w:t>
      </w:r>
      <w:r w:rsidRPr="006F04E6">
        <w:rPr>
          <w:rFonts w:ascii="Times New Roman" w:hAnsi="Times New Roman"/>
          <w:i/>
          <w:lang w:val="en-GB"/>
        </w:rPr>
        <w:t>u-šu</w:t>
      </w:r>
      <w:r w:rsidRPr="006F04E6">
        <w:rPr>
          <w:rFonts w:ascii="Times New Roman" w:hAnsi="Times New Roman"/>
          <w:lang w:val="en-GB"/>
        </w:rPr>
        <w:t xml:space="preserve"> </w:t>
      </w:r>
      <w:r w:rsidRPr="006F04E6">
        <w:rPr>
          <w:rFonts w:ascii="Times New Roman" w:hAnsi="Times New Roman"/>
          <w:i/>
          <w:lang w:val="en-GB"/>
        </w:rPr>
        <w:t>d</w:t>
      </w:r>
      <w:r w:rsidRPr="006F04E6">
        <w:rPr>
          <w:rFonts w:ascii="Times New Roman" w:hAnsi="Times New Roman"/>
          <w:lang w:val="en-GB"/>
        </w:rPr>
        <w:t>)]</w:t>
      </w:r>
      <w:r w:rsidRPr="006F04E6">
        <w:rPr>
          <w:rFonts w:ascii="Times New Roman" w:hAnsi="Times New Roman"/>
          <w:i/>
          <w:lang w:val="en-GB"/>
        </w:rPr>
        <w:t>u</w:t>
      </w:r>
      <w:r w:rsidRPr="006F04E6">
        <w:rPr>
          <w:rFonts w:ascii="Times New Roman" w:hAnsi="Times New Roman"/>
          <w:lang w:val="en-GB"/>
        </w:rPr>
        <w:t>[(</w:t>
      </w:r>
      <w:r w:rsidRPr="006F04E6">
        <w:rPr>
          <w:rFonts w:ascii="Times New Roman" w:hAnsi="Times New Roman"/>
          <w:i/>
          <w:lang w:val="en-GB"/>
        </w:rPr>
        <w:t>l</w:t>
      </w:r>
      <w:r w:rsidRPr="006F04E6">
        <w:rPr>
          <w:rFonts w:ascii="Times New Roman" w:hAnsi="Times New Roman"/>
          <w:lang w:val="en-GB"/>
        </w:rPr>
        <w:t>-</w:t>
      </w:r>
      <w:r w:rsidRPr="006F04E6">
        <w:rPr>
          <w:rFonts w:ascii="Times New Roman" w:hAnsi="Times New Roman"/>
          <w:i/>
          <w:lang w:val="en-GB"/>
        </w:rPr>
        <w:t>lu</w:t>
      </w:r>
      <w:r w:rsidRPr="006F04E6">
        <w:rPr>
          <w:rFonts w:ascii="Times New Roman" w:hAnsi="Times New Roman"/>
          <w:lang w:val="en-GB"/>
        </w:rPr>
        <w:t xml:space="preserve"> DÙ-</w:t>
      </w:r>
      <w:r w:rsidRPr="006F04E6">
        <w:rPr>
          <w:rFonts w:ascii="Times New Roman" w:hAnsi="Times New Roman"/>
          <w:i/>
          <w:lang w:val="en-GB"/>
        </w:rPr>
        <w:t>áš</w:t>
      </w:r>
      <w:r w:rsidRPr="006F04E6">
        <w:rPr>
          <w:rFonts w:ascii="Times New Roman" w:hAnsi="Times New Roman"/>
          <w:lang w:val="en-GB"/>
        </w:rPr>
        <w:t xml:space="preserve"> EN)] TI.[(LA) x x?]</w:t>
      </w:r>
    </w:p>
    <w:p w14:paraId="7E88536B"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12'</w:t>
      </w:r>
      <w:r w:rsidRPr="006F04E6">
        <w:rPr>
          <w:rFonts w:ascii="Times New Roman" w:hAnsi="Times New Roman"/>
          <w:lang w:val="en-GB"/>
        </w:rPr>
        <w:tab/>
        <w:t>8 GU</w:t>
      </w:r>
      <w:r w:rsidRPr="006F04E6">
        <w:rPr>
          <w:rFonts w:ascii="Times New Roman" w:hAnsi="Times New Roman"/>
          <w:vertAlign w:val="subscript"/>
          <w:lang w:val="en-GB"/>
        </w:rPr>
        <w:t>4</w:t>
      </w:r>
      <w:r w:rsidRPr="006F04E6">
        <w:rPr>
          <w:rFonts w:ascii="Times New Roman" w:hAnsi="Times New Roman"/>
          <w:vertAlign w:val="superscript"/>
          <w:lang w:val="en-GB"/>
        </w:rPr>
        <w:t xml:space="preserve">MEŠ </w:t>
      </w:r>
      <w:r w:rsidRPr="006F04E6">
        <w:rPr>
          <w:rFonts w:ascii="Times New Roman" w:hAnsi="Times New Roman"/>
          <w:lang w:val="en-GB"/>
        </w:rPr>
        <w:t>7 G[(U</w:t>
      </w:r>
      <w:r w:rsidRPr="006F04E6">
        <w:rPr>
          <w:rFonts w:ascii="Times New Roman" w:hAnsi="Times New Roman"/>
          <w:vertAlign w:val="subscript"/>
          <w:lang w:val="en-GB"/>
        </w:rPr>
        <w:t>4</w:t>
      </w:r>
      <w:r w:rsidRPr="006F04E6">
        <w:rPr>
          <w:rFonts w:ascii="Times New Roman" w:hAnsi="Times New Roman"/>
          <w:lang w:val="en-GB"/>
        </w:rPr>
        <w:t>.ÁB</w:t>
      </w:r>
      <w:r w:rsidRPr="006F04E6">
        <w:rPr>
          <w:rFonts w:ascii="Times New Roman" w:hAnsi="Times New Roman"/>
          <w:vertAlign w:val="superscript"/>
          <w:lang w:val="en-GB"/>
        </w:rPr>
        <w:t>ME</w:t>
      </w:r>
      <w:r w:rsidRPr="006F04E6">
        <w:rPr>
          <w:rFonts w:ascii="Times New Roman" w:hAnsi="Times New Roman"/>
          <w:lang w:val="en-GB"/>
        </w:rPr>
        <w:t>)]</w:t>
      </w:r>
      <w:r w:rsidRPr="006F04E6">
        <w:rPr>
          <w:rFonts w:ascii="Times New Roman" w:hAnsi="Times New Roman"/>
          <w:vertAlign w:val="superscript"/>
          <w:lang w:val="en-GB"/>
        </w:rPr>
        <w:t xml:space="preserve">Š </w:t>
      </w:r>
      <w:r w:rsidRPr="006F04E6">
        <w:rPr>
          <w:rFonts w:ascii="Times New Roman" w:hAnsi="Times New Roman"/>
          <w:lang w:val="en-GB"/>
        </w:rPr>
        <w:t>SUM-</w:t>
      </w:r>
      <w:r w:rsidRPr="006F04E6">
        <w:rPr>
          <w:rFonts w:ascii="Times New Roman" w:hAnsi="Times New Roman"/>
          <w:i/>
          <w:lang w:val="en-GB"/>
        </w:rPr>
        <w:t>a</w:t>
      </w:r>
      <w:r w:rsidRPr="006F04E6">
        <w:rPr>
          <w:rFonts w:ascii="Times New Roman" w:hAnsi="Times New Roman"/>
          <w:lang w:val="en-GB"/>
        </w:rPr>
        <w:t>[(</w:t>
      </w:r>
      <w:r w:rsidRPr="006F04E6">
        <w:rPr>
          <w:rFonts w:ascii="Times New Roman" w:hAnsi="Times New Roman"/>
          <w:i/>
          <w:lang w:val="en-GB"/>
        </w:rPr>
        <w:t>n</w:t>
      </w:r>
      <w:r w:rsidRPr="006F04E6">
        <w:rPr>
          <w:rFonts w:ascii="Times New Roman" w:hAnsi="Times New Roman"/>
          <w:lang w:val="en-GB"/>
        </w:rPr>
        <w:t xml:space="preserve">) x] </w:t>
      </w:r>
      <w:r w:rsidRPr="006F04E6">
        <w:rPr>
          <w:rFonts w:ascii="Times New Roman" w:hAnsi="Times New Roman"/>
          <w:i/>
          <w:lang w:val="en-GB"/>
        </w:rPr>
        <w:t>it-</w:t>
      </w:r>
      <w:r w:rsidRPr="006F04E6">
        <w:rPr>
          <w:rFonts w:ascii="Times New Roman" w:hAnsi="Times New Roman"/>
          <w:lang w:val="en-GB"/>
        </w:rPr>
        <w:t>[</w:t>
      </w:r>
    </w:p>
    <w:p w14:paraId="4EF51E64"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13'</w:t>
      </w:r>
      <w:r w:rsidRPr="006F04E6">
        <w:rPr>
          <w:rFonts w:ascii="Times New Roman" w:hAnsi="Times New Roman"/>
          <w:lang w:val="en-GB"/>
        </w:rPr>
        <w:tab/>
      </w:r>
      <w:r w:rsidRPr="006F04E6">
        <w:rPr>
          <w:rFonts w:ascii="Times New Roman" w:hAnsi="Times New Roman"/>
          <w:i/>
          <w:lang w:val="en-GB"/>
        </w:rPr>
        <w:t>šu-tu-ma</w:t>
      </w:r>
      <w:r w:rsidRPr="006F04E6">
        <w:rPr>
          <w:rFonts w:ascii="Times New Roman" w:hAnsi="Times New Roman"/>
          <w:lang w:val="en-GB"/>
        </w:rPr>
        <w:t xml:space="preserve"> UDU.T[I].LA-</w:t>
      </w:r>
      <w:r w:rsidRPr="006F04E6">
        <w:rPr>
          <w:rFonts w:ascii="Times New Roman" w:hAnsi="Times New Roman"/>
          <w:i/>
          <w:lang w:val="en-GB"/>
        </w:rPr>
        <w:t>su</w:t>
      </w:r>
      <w:r w:rsidRPr="006F04E6">
        <w:rPr>
          <w:rFonts w:ascii="Times New Roman" w:hAnsi="Times New Roman"/>
          <w:lang w:val="en-GB"/>
        </w:rPr>
        <w:t xml:space="preserve"> LÚ </w:t>
      </w:r>
      <w:r w:rsidRPr="006F04E6">
        <w:rPr>
          <w:rFonts w:ascii="Times New Roman" w:hAnsi="Times New Roman"/>
          <w:i/>
          <w:lang w:val="en-GB"/>
        </w:rPr>
        <w:t>ina</w:t>
      </w:r>
      <w:r w:rsidRPr="006F04E6">
        <w:rPr>
          <w:rFonts w:ascii="Times New Roman" w:hAnsi="Times New Roman"/>
          <w:lang w:val="en-GB"/>
        </w:rPr>
        <w:t xml:space="preserve"> </w:t>
      </w:r>
      <w:r w:rsidRPr="006F04E6">
        <w:rPr>
          <w:rFonts w:ascii="Times New Roman" w:hAnsi="Times New Roman"/>
          <w:i/>
          <w:lang w:val="en-GB"/>
        </w:rPr>
        <w:t>k</w:t>
      </w:r>
      <w:r w:rsidRPr="006F04E6">
        <w:rPr>
          <w:rFonts w:ascii="Times New Roman" w:hAnsi="Times New Roman"/>
          <w:lang w:val="en-GB"/>
        </w:rPr>
        <w:t>[(</w:t>
      </w:r>
      <w:r w:rsidRPr="006F04E6">
        <w:rPr>
          <w:rFonts w:ascii="Times New Roman" w:hAnsi="Times New Roman"/>
          <w:i/>
          <w:lang w:val="en-GB"/>
        </w:rPr>
        <w:t>u</w:t>
      </w:r>
      <w:r w:rsidRPr="006F04E6">
        <w:rPr>
          <w:rFonts w:ascii="Times New Roman" w:hAnsi="Times New Roman"/>
          <w:lang w:val="en-GB"/>
        </w:rPr>
        <w:t>-</w:t>
      </w:r>
      <w:r w:rsidRPr="006F04E6">
        <w:rPr>
          <w:rFonts w:ascii="Times New Roman" w:hAnsi="Times New Roman"/>
          <w:i/>
          <w:lang w:val="en-GB"/>
        </w:rPr>
        <w:t>m</w:t>
      </w:r>
      <w:r w:rsidRPr="006F04E6">
        <w:rPr>
          <w:rFonts w:ascii="Times New Roman" w:hAnsi="Times New Roman"/>
          <w:lang w:val="en-GB"/>
        </w:rPr>
        <w:t>)]</w:t>
      </w:r>
      <w:r w:rsidRPr="006F04E6">
        <w:rPr>
          <w:rFonts w:ascii="Times New Roman" w:hAnsi="Times New Roman"/>
          <w:i/>
          <w:lang w:val="en-GB"/>
        </w:rPr>
        <w:t>u-šu</w:t>
      </w:r>
      <w:r w:rsidRPr="006F04E6">
        <w:rPr>
          <w:rFonts w:ascii="Times New Roman" w:hAnsi="Times New Roman"/>
          <w:lang w:val="en-GB"/>
        </w:rPr>
        <w:t xml:space="preserve"> </w:t>
      </w:r>
      <w:r w:rsidRPr="006F04E6">
        <w:rPr>
          <w:rFonts w:ascii="Times New Roman" w:hAnsi="Times New Roman"/>
          <w:i/>
          <w:lang w:val="en-GB"/>
        </w:rPr>
        <w:t>du</w:t>
      </w:r>
      <w:r w:rsidRPr="006F04E6">
        <w:rPr>
          <w:rFonts w:ascii="Times New Roman" w:hAnsi="Times New Roman"/>
          <w:lang w:val="en-GB"/>
        </w:rPr>
        <w:t>[(</w:t>
      </w:r>
      <w:r w:rsidRPr="006F04E6">
        <w:rPr>
          <w:rFonts w:ascii="Times New Roman" w:hAnsi="Times New Roman"/>
          <w:i/>
          <w:lang w:val="en-GB"/>
        </w:rPr>
        <w:t>l-lu</w:t>
      </w:r>
      <w:r w:rsidRPr="006F04E6">
        <w:rPr>
          <w:rFonts w:ascii="Times New Roman" w:hAnsi="Times New Roman"/>
          <w:lang w:val="en-GB"/>
        </w:rPr>
        <w:t xml:space="preserve"> DÙ-</w:t>
      </w:r>
      <w:r w:rsidRPr="006F04E6">
        <w:rPr>
          <w:rFonts w:ascii="Times New Roman" w:hAnsi="Times New Roman"/>
          <w:i/>
          <w:lang w:val="en-GB"/>
        </w:rPr>
        <w:t>áš</w:t>
      </w:r>
      <w:r w:rsidRPr="006F04E6">
        <w:rPr>
          <w:rFonts w:ascii="Times New Roman" w:hAnsi="Times New Roman"/>
          <w:lang w:val="en-GB"/>
        </w:rPr>
        <w:t xml:space="preserve"> EN TI.LA) x x?]</w:t>
      </w:r>
    </w:p>
    <w:p w14:paraId="2C9BB92C"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14'</w:t>
      </w:r>
      <w:r w:rsidRPr="006F04E6">
        <w:rPr>
          <w:rFonts w:ascii="Times New Roman" w:hAnsi="Times New Roman"/>
          <w:lang w:val="en-GB"/>
        </w:rPr>
        <w:tab/>
      </w:r>
      <w:r w:rsidRPr="006F04E6">
        <w:rPr>
          <w:rFonts w:ascii="Times New Roman" w:hAnsi="Times New Roman"/>
          <w:i/>
          <w:lang w:val="en-GB"/>
        </w:rPr>
        <w:t>šúm-mu</w:t>
      </w:r>
      <w:r w:rsidRPr="006F04E6">
        <w:rPr>
          <w:rFonts w:ascii="Times New Roman" w:hAnsi="Times New Roman"/>
          <w:lang w:val="en-GB"/>
        </w:rPr>
        <w:t xml:space="preserve"> TI.L[(A-</w:t>
      </w:r>
      <w:r w:rsidRPr="006F04E6">
        <w:rPr>
          <w:rFonts w:ascii="Times New Roman" w:hAnsi="Times New Roman"/>
          <w:i/>
          <w:lang w:val="en-GB"/>
        </w:rPr>
        <w:t>su</w:t>
      </w:r>
      <w:r w:rsidRPr="006F04E6">
        <w:rPr>
          <w:rFonts w:ascii="Times New Roman" w:hAnsi="Times New Roman"/>
          <w:lang w:val="en-GB"/>
        </w:rPr>
        <w:t>? x G)]U</w:t>
      </w:r>
      <w:r w:rsidRPr="006F04E6">
        <w:rPr>
          <w:rFonts w:ascii="Times New Roman" w:hAnsi="Times New Roman"/>
          <w:vertAlign w:val="subscript"/>
          <w:lang w:val="en-GB"/>
        </w:rPr>
        <w:t>4</w:t>
      </w:r>
      <w:r w:rsidRPr="006F04E6">
        <w:rPr>
          <w:rFonts w:ascii="Times New Roman" w:hAnsi="Times New Roman"/>
          <w:vertAlign w:val="superscript"/>
          <w:lang w:val="en-GB"/>
        </w:rPr>
        <w:t xml:space="preserve">MEŠ  </w:t>
      </w:r>
      <w:r w:rsidRPr="006F04E6">
        <w:rPr>
          <w:rFonts w:ascii="Times New Roman" w:hAnsi="Times New Roman"/>
          <w:lang w:val="en-GB"/>
        </w:rPr>
        <w:t>3 GU</w:t>
      </w:r>
      <w:r w:rsidRPr="006F04E6">
        <w:rPr>
          <w:rFonts w:ascii="Times New Roman" w:hAnsi="Times New Roman"/>
          <w:vertAlign w:val="subscript"/>
          <w:lang w:val="en-GB"/>
        </w:rPr>
        <w:t>4</w:t>
      </w:r>
      <w:r w:rsidRPr="006F04E6">
        <w:rPr>
          <w:rFonts w:ascii="Times New Roman" w:hAnsi="Times New Roman"/>
          <w:lang w:val="en-GB"/>
        </w:rPr>
        <w:t>.ÁB</w:t>
      </w:r>
      <w:r w:rsidRPr="006F04E6">
        <w:rPr>
          <w:rFonts w:ascii="Times New Roman" w:hAnsi="Times New Roman"/>
          <w:vertAlign w:val="superscript"/>
          <w:lang w:val="en-GB"/>
        </w:rPr>
        <w:t xml:space="preserve">MEŠ </w:t>
      </w:r>
      <w:r w:rsidRPr="006F04E6">
        <w:rPr>
          <w:rFonts w:ascii="Times New Roman" w:hAnsi="Times New Roman"/>
          <w:lang w:val="en-GB"/>
        </w:rPr>
        <w:t>SUM-</w:t>
      </w:r>
      <w:r w:rsidRPr="006F04E6">
        <w:rPr>
          <w:rFonts w:ascii="Times New Roman" w:hAnsi="Times New Roman"/>
          <w:i/>
          <w:lang w:val="en-GB"/>
        </w:rPr>
        <w:t xml:space="preserve">an </w:t>
      </w:r>
      <w:r w:rsidRPr="006F04E6">
        <w:rPr>
          <w:rFonts w:ascii="Times New Roman" w:hAnsi="Times New Roman"/>
          <w:lang w:val="en-GB"/>
        </w:rPr>
        <w:t>[ x x x x (GU</w:t>
      </w:r>
      <w:r w:rsidRPr="006F04E6">
        <w:rPr>
          <w:rFonts w:ascii="Times New Roman" w:hAnsi="Times New Roman"/>
          <w:vertAlign w:val="subscript"/>
          <w:lang w:val="en-GB"/>
        </w:rPr>
        <w:t>4</w:t>
      </w:r>
      <w:r w:rsidRPr="006F04E6">
        <w:rPr>
          <w:rFonts w:ascii="Times New Roman" w:hAnsi="Times New Roman"/>
          <w:vertAlign w:val="superscript"/>
          <w:lang w:val="en-GB"/>
        </w:rPr>
        <w:t>MEŠ</w:t>
      </w:r>
      <w:r w:rsidRPr="006F04E6">
        <w:rPr>
          <w:rFonts w:ascii="Times New Roman" w:hAnsi="Times New Roman"/>
          <w:lang w:val="en-GB"/>
        </w:rPr>
        <w:t>)]</w:t>
      </w:r>
    </w:p>
    <w:p w14:paraId="6D1B9477"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15'</w:t>
      </w:r>
      <w:r w:rsidRPr="006F04E6">
        <w:rPr>
          <w:rFonts w:ascii="Times New Roman" w:hAnsi="Times New Roman"/>
          <w:lang w:val="en-GB"/>
        </w:rPr>
        <w:tab/>
        <w:t>7 GU</w:t>
      </w:r>
      <w:r w:rsidRPr="006F04E6">
        <w:rPr>
          <w:rFonts w:ascii="Times New Roman" w:hAnsi="Times New Roman"/>
          <w:vertAlign w:val="subscript"/>
          <w:lang w:val="en-GB"/>
        </w:rPr>
        <w:t>4</w:t>
      </w:r>
      <w:r w:rsidRPr="006F04E6">
        <w:rPr>
          <w:rFonts w:ascii="Times New Roman" w:hAnsi="Times New Roman"/>
          <w:lang w:val="en-GB"/>
        </w:rPr>
        <w:t>.ÁB[(</w:t>
      </w:r>
      <w:r w:rsidRPr="006F04E6">
        <w:rPr>
          <w:rFonts w:ascii="Times New Roman" w:hAnsi="Times New Roman"/>
          <w:vertAlign w:val="superscript"/>
          <w:lang w:val="en-GB"/>
        </w:rPr>
        <w:t>MEŠ</w:t>
      </w:r>
      <w:r w:rsidRPr="006F04E6">
        <w:rPr>
          <w:rFonts w:ascii="Times New Roman" w:hAnsi="Times New Roman"/>
          <w:lang w:val="en-GB"/>
        </w:rPr>
        <w:t>)</w:t>
      </w:r>
      <w:r w:rsidRPr="006F04E6">
        <w:rPr>
          <w:rFonts w:ascii="Times New Roman" w:hAnsi="Times New Roman"/>
          <w:vertAlign w:val="superscript"/>
          <w:lang w:val="en-GB"/>
        </w:rPr>
        <w:t xml:space="preserve"> </w:t>
      </w:r>
      <w:r w:rsidRPr="006F04E6">
        <w:rPr>
          <w:rFonts w:ascii="Times New Roman" w:hAnsi="Times New Roman"/>
          <w:lang w:val="en-GB"/>
        </w:rPr>
        <w:t xml:space="preserve">x? ] SUM-an NINDA.x </w:t>
      </w:r>
      <w:r w:rsidRPr="006F04E6">
        <w:rPr>
          <w:rFonts w:ascii="Times New Roman" w:hAnsi="Times New Roman"/>
          <w:i/>
          <w:lang w:val="en-GB"/>
        </w:rPr>
        <w:t>i-ka-sa-pu-ni</w:t>
      </w:r>
      <w:r w:rsidRPr="006F04E6">
        <w:rPr>
          <w:rFonts w:ascii="Times New Roman" w:hAnsi="Times New Roman"/>
          <w:lang w:val="en-GB"/>
        </w:rPr>
        <w:t xml:space="preserve"> </w:t>
      </w:r>
      <w:r w:rsidRPr="006F04E6">
        <w:rPr>
          <w:rFonts w:ascii="Times New Roman" w:hAnsi="Times New Roman"/>
          <w:i/>
          <w:lang w:val="en-GB"/>
        </w:rPr>
        <w:t>šu</w:t>
      </w:r>
      <w:r w:rsidRPr="006F04E6">
        <w:rPr>
          <w:rFonts w:ascii="Times New Roman" w:hAnsi="Times New Roman"/>
          <w:lang w:val="en-GB"/>
        </w:rPr>
        <w:t>-</w:t>
      </w:r>
      <w:r w:rsidRPr="006F04E6">
        <w:rPr>
          <w:rFonts w:ascii="Times New Roman" w:hAnsi="Times New Roman"/>
          <w:i/>
          <w:lang w:val="en-GB"/>
        </w:rPr>
        <w:t>t</w:t>
      </w:r>
      <w:r w:rsidRPr="006F04E6">
        <w:rPr>
          <w:rFonts w:ascii="Times New Roman" w:hAnsi="Times New Roman"/>
          <w:lang w:val="en-GB"/>
        </w:rPr>
        <w:t>[(</w:t>
      </w:r>
      <w:r w:rsidRPr="006F04E6">
        <w:rPr>
          <w:rFonts w:ascii="Times New Roman" w:hAnsi="Times New Roman"/>
          <w:i/>
          <w:lang w:val="en-GB"/>
        </w:rPr>
        <w:t>u</w:t>
      </w:r>
      <w:r w:rsidRPr="006F04E6">
        <w:rPr>
          <w:rFonts w:ascii="Times New Roman" w:hAnsi="Times New Roman"/>
          <w:lang w:val="en-GB"/>
        </w:rPr>
        <w:t>-</w:t>
      </w:r>
      <w:r w:rsidRPr="006F04E6">
        <w:rPr>
          <w:rFonts w:ascii="Times New Roman" w:hAnsi="Times New Roman"/>
          <w:i/>
          <w:lang w:val="en-GB"/>
        </w:rPr>
        <w:t>ma</w:t>
      </w:r>
      <w:r w:rsidRPr="006F04E6">
        <w:rPr>
          <w:rFonts w:ascii="Times New Roman" w:hAnsi="Times New Roman"/>
          <w:lang w:val="en-GB"/>
        </w:rPr>
        <w:t xml:space="preserve"> UDU TI.LA</w:t>
      </w:r>
      <w:r w:rsidRPr="006F04E6">
        <w:rPr>
          <w:rFonts w:ascii="Times New Roman" w:hAnsi="Times New Roman"/>
          <w:i/>
          <w:lang w:val="en-GB"/>
        </w:rPr>
        <w:t>-su</w:t>
      </w:r>
      <w:r w:rsidRPr="006F04E6">
        <w:rPr>
          <w:rFonts w:ascii="Times New Roman" w:hAnsi="Times New Roman"/>
          <w:lang w:val="en-GB"/>
        </w:rPr>
        <w:t>)]</w:t>
      </w:r>
    </w:p>
    <w:p w14:paraId="561B7E02"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16'</w:t>
      </w:r>
      <w:r w:rsidRPr="006F04E6">
        <w:rPr>
          <w:rFonts w:ascii="Times New Roman" w:hAnsi="Times New Roman"/>
          <w:lang w:val="en-GB"/>
        </w:rPr>
        <w:tab/>
        <w:t xml:space="preserve">LÚ </w:t>
      </w:r>
      <w:r w:rsidRPr="006F04E6">
        <w:rPr>
          <w:rFonts w:ascii="Times New Roman" w:hAnsi="Times New Roman"/>
          <w:i/>
          <w:lang w:val="en-GB"/>
        </w:rPr>
        <w:t>ina</w:t>
      </w:r>
      <w:r w:rsidRPr="006F04E6">
        <w:rPr>
          <w:rFonts w:ascii="Times New Roman" w:hAnsi="Times New Roman"/>
          <w:lang w:val="en-GB"/>
        </w:rPr>
        <w:t xml:space="preserve"> [(</w:t>
      </w:r>
      <w:r w:rsidRPr="006F04E6">
        <w:rPr>
          <w:rFonts w:ascii="Times New Roman" w:hAnsi="Times New Roman"/>
          <w:i/>
          <w:lang w:val="en-GB"/>
        </w:rPr>
        <w:t>ku-mu</w:t>
      </w:r>
      <w:r w:rsidRPr="006F04E6">
        <w:rPr>
          <w:rFonts w:ascii="Times New Roman" w:hAnsi="Times New Roman"/>
          <w:lang w:val="en-GB"/>
        </w:rPr>
        <w:t>-</w:t>
      </w:r>
      <w:r w:rsidRPr="006F04E6">
        <w:rPr>
          <w:rFonts w:ascii="Times New Roman" w:hAnsi="Times New Roman"/>
          <w:i/>
          <w:lang w:val="en-GB"/>
        </w:rPr>
        <w:t>u</w:t>
      </w:r>
      <w:r w:rsidRPr="006F04E6">
        <w:rPr>
          <w:rFonts w:ascii="Times New Roman" w:hAnsi="Times New Roman"/>
          <w:lang w:val="en-GB"/>
        </w:rPr>
        <w:t>)]</w:t>
      </w:r>
      <w:r w:rsidRPr="006F04E6">
        <w:rPr>
          <w:rFonts w:ascii="Times New Roman" w:hAnsi="Times New Roman"/>
          <w:i/>
          <w:lang w:val="en-GB"/>
        </w:rPr>
        <w:t>š-šú dul-lu</w:t>
      </w:r>
      <w:r w:rsidRPr="006F04E6">
        <w:rPr>
          <w:rFonts w:ascii="Times New Roman" w:hAnsi="Times New Roman"/>
          <w:lang w:val="en-GB"/>
        </w:rPr>
        <w:t xml:space="preserve"> DÙ-</w:t>
      </w:r>
      <w:r w:rsidRPr="006F04E6">
        <w:rPr>
          <w:rFonts w:ascii="Times New Roman" w:hAnsi="Times New Roman"/>
          <w:i/>
          <w:lang w:val="en-GB"/>
        </w:rPr>
        <w:t>áš</w:t>
      </w:r>
      <w:r w:rsidRPr="006F04E6">
        <w:rPr>
          <w:rFonts w:ascii="Times New Roman" w:hAnsi="Times New Roman"/>
          <w:lang w:val="en-GB"/>
        </w:rPr>
        <w:t xml:space="preserve"> EN TI.LA x[ x x x x x ]</w:t>
      </w:r>
    </w:p>
    <w:p w14:paraId="77BDF867"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17'</w:t>
      </w:r>
      <w:r w:rsidRPr="006F04E6">
        <w:rPr>
          <w:rFonts w:ascii="Times New Roman" w:hAnsi="Times New Roman"/>
          <w:lang w:val="en-GB"/>
        </w:rPr>
        <w:tab/>
        <w:t>SUM [x x] MU LÁ 8 GU</w:t>
      </w:r>
      <w:r w:rsidRPr="006F04E6">
        <w:rPr>
          <w:rFonts w:ascii="Times New Roman" w:hAnsi="Times New Roman"/>
          <w:vertAlign w:val="subscript"/>
          <w:lang w:val="en-GB"/>
        </w:rPr>
        <w:t>4</w:t>
      </w:r>
      <w:r w:rsidRPr="006F04E6">
        <w:rPr>
          <w:rFonts w:ascii="Times New Roman" w:hAnsi="Times New Roman"/>
          <w:vertAlign w:val="superscript"/>
          <w:lang w:val="en-GB"/>
        </w:rPr>
        <w:t xml:space="preserve">MEŠ </w:t>
      </w:r>
      <w:r w:rsidRPr="006F04E6">
        <w:rPr>
          <w:rFonts w:ascii="Times New Roman" w:hAnsi="Times New Roman"/>
          <w:lang w:val="en-GB"/>
        </w:rPr>
        <w:t>[x (GU</w:t>
      </w:r>
      <w:r w:rsidRPr="006F04E6">
        <w:rPr>
          <w:rFonts w:ascii="Times New Roman" w:hAnsi="Times New Roman"/>
          <w:vertAlign w:val="subscript"/>
          <w:lang w:val="en-GB"/>
        </w:rPr>
        <w:t>4</w:t>
      </w:r>
      <w:r w:rsidRPr="006F04E6">
        <w:rPr>
          <w:rFonts w:ascii="Times New Roman" w:hAnsi="Times New Roman"/>
          <w:lang w:val="en-GB"/>
        </w:rPr>
        <w:t>.ÁB</w:t>
      </w:r>
      <w:r w:rsidRPr="006F04E6">
        <w:rPr>
          <w:rFonts w:ascii="Times New Roman" w:hAnsi="Times New Roman"/>
          <w:vertAlign w:val="superscript"/>
          <w:lang w:val="en-GB"/>
        </w:rPr>
        <w:t xml:space="preserve">MEŠ </w:t>
      </w:r>
      <w:r w:rsidRPr="006F04E6">
        <w:rPr>
          <w:rFonts w:ascii="Times New Roman" w:hAnsi="Times New Roman"/>
          <w:lang w:val="en-GB"/>
        </w:rPr>
        <w:t>SUM-</w:t>
      </w:r>
      <w:r w:rsidRPr="006F04E6">
        <w:rPr>
          <w:rFonts w:ascii="Times New Roman" w:hAnsi="Times New Roman"/>
          <w:i/>
          <w:lang w:val="en-GB"/>
        </w:rPr>
        <w:t>an</w:t>
      </w:r>
      <w:r w:rsidRPr="006F04E6">
        <w:rPr>
          <w:rFonts w:ascii="Times New Roman" w:hAnsi="Times New Roman"/>
          <w:lang w:val="en-GB"/>
        </w:rPr>
        <w:t>) x x x x x]</w:t>
      </w:r>
    </w:p>
    <w:p w14:paraId="4DEF73EA"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18'</w:t>
      </w:r>
      <w:r w:rsidRPr="006F04E6">
        <w:rPr>
          <w:rFonts w:ascii="Times New Roman" w:hAnsi="Times New Roman"/>
          <w:lang w:val="en-GB"/>
        </w:rPr>
        <w:tab/>
        <w:t>[(</w:t>
      </w:r>
      <w:r w:rsidRPr="006F04E6">
        <w:rPr>
          <w:rFonts w:ascii="Times New Roman" w:hAnsi="Times New Roman"/>
          <w:i/>
          <w:lang w:val="en-GB"/>
        </w:rPr>
        <w:t>šu-tu-m</w:t>
      </w:r>
      <w:r w:rsidRPr="006F04E6">
        <w:rPr>
          <w:rFonts w:ascii="Times New Roman" w:hAnsi="Times New Roman"/>
          <w:lang w:val="en-GB"/>
        </w:rPr>
        <w:t>)]</w:t>
      </w:r>
      <w:r w:rsidRPr="006F04E6">
        <w:rPr>
          <w:rFonts w:ascii="Times New Roman" w:hAnsi="Times New Roman"/>
          <w:i/>
          <w:lang w:val="en-GB"/>
        </w:rPr>
        <w:t>a</w:t>
      </w:r>
      <w:r w:rsidRPr="006F04E6">
        <w:rPr>
          <w:rFonts w:ascii="Times New Roman" w:hAnsi="Times New Roman"/>
          <w:lang w:val="en-GB"/>
        </w:rPr>
        <w:t xml:space="preserve"> UDU.TI.[(LA</w:t>
      </w:r>
      <w:r w:rsidRPr="006F04E6">
        <w:rPr>
          <w:rFonts w:ascii="Times New Roman" w:hAnsi="Times New Roman"/>
          <w:i/>
          <w:lang w:val="en-GB"/>
        </w:rPr>
        <w:t>-s</w:t>
      </w:r>
      <w:r w:rsidRPr="006F04E6">
        <w:rPr>
          <w:rFonts w:ascii="Times New Roman" w:hAnsi="Times New Roman"/>
          <w:lang w:val="en-GB"/>
        </w:rPr>
        <w:t>)]</w:t>
      </w:r>
      <w:r w:rsidRPr="006F04E6">
        <w:rPr>
          <w:rFonts w:ascii="Times New Roman" w:hAnsi="Times New Roman"/>
          <w:i/>
          <w:lang w:val="en-GB"/>
        </w:rPr>
        <w:t>u</w:t>
      </w:r>
      <w:r w:rsidRPr="006F04E6">
        <w:rPr>
          <w:rFonts w:ascii="Times New Roman" w:hAnsi="Times New Roman"/>
          <w:lang w:val="en-GB"/>
        </w:rPr>
        <w:t xml:space="preserve"> LÚ </w:t>
      </w:r>
      <w:r w:rsidRPr="006F04E6">
        <w:rPr>
          <w:rFonts w:ascii="Times New Roman" w:hAnsi="Times New Roman"/>
          <w:i/>
          <w:lang w:val="en-GB"/>
        </w:rPr>
        <w:t>ina</w:t>
      </w:r>
      <w:r w:rsidRPr="006F04E6">
        <w:rPr>
          <w:rFonts w:ascii="Times New Roman" w:hAnsi="Times New Roman"/>
          <w:lang w:val="en-GB"/>
        </w:rPr>
        <w:t xml:space="preserve"> </w:t>
      </w:r>
      <w:r w:rsidRPr="006F04E6">
        <w:rPr>
          <w:rFonts w:ascii="Times New Roman" w:hAnsi="Times New Roman"/>
          <w:i/>
          <w:lang w:val="en-GB"/>
        </w:rPr>
        <w:t>ku-mu</w:t>
      </w:r>
      <w:r w:rsidRPr="006F04E6">
        <w:rPr>
          <w:rFonts w:ascii="Times New Roman" w:hAnsi="Times New Roman"/>
          <w:lang w:val="en-GB"/>
        </w:rPr>
        <w:t>-</w:t>
      </w:r>
      <w:r w:rsidRPr="006F04E6">
        <w:rPr>
          <w:rFonts w:ascii="Times New Roman" w:hAnsi="Times New Roman"/>
          <w:i/>
          <w:lang w:val="en-GB"/>
        </w:rPr>
        <w:t>š</w:t>
      </w:r>
      <w:r w:rsidRPr="006F04E6">
        <w:rPr>
          <w:rFonts w:ascii="Times New Roman" w:hAnsi="Times New Roman"/>
          <w:lang w:val="en-GB"/>
        </w:rPr>
        <w:t>[(</w:t>
      </w:r>
      <w:r w:rsidRPr="006F04E6">
        <w:rPr>
          <w:rFonts w:ascii="Times New Roman" w:hAnsi="Times New Roman"/>
          <w:i/>
          <w:lang w:val="en-GB"/>
        </w:rPr>
        <w:t>u</w:t>
      </w:r>
      <w:r w:rsidRPr="006F04E6">
        <w:rPr>
          <w:rFonts w:ascii="Times New Roman" w:hAnsi="Times New Roman"/>
          <w:lang w:val="en-GB"/>
        </w:rPr>
        <w:t xml:space="preserve"> </w:t>
      </w:r>
      <w:r w:rsidRPr="006F04E6">
        <w:rPr>
          <w:rFonts w:ascii="Times New Roman" w:hAnsi="Times New Roman"/>
          <w:i/>
          <w:lang w:val="en-GB"/>
        </w:rPr>
        <w:t>dul-lu</w:t>
      </w:r>
      <w:r w:rsidRPr="006F04E6">
        <w:rPr>
          <w:rFonts w:ascii="Times New Roman" w:hAnsi="Times New Roman"/>
          <w:lang w:val="en-GB"/>
        </w:rPr>
        <w:t xml:space="preserve"> DÙ-</w:t>
      </w:r>
      <w:r w:rsidRPr="006F04E6">
        <w:rPr>
          <w:rFonts w:ascii="Times New Roman" w:hAnsi="Times New Roman"/>
          <w:i/>
          <w:lang w:val="en-GB"/>
        </w:rPr>
        <w:t>áš</w:t>
      </w:r>
      <w:r w:rsidRPr="006F04E6">
        <w:rPr>
          <w:rFonts w:ascii="Times New Roman" w:hAnsi="Times New Roman"/>
          <w:lang w:val="en-GB"/>
        </w:rPr>
        <w:t xml:space="preserve"> EN TI.LA) x x?]</w:t>
      </w:r>
    </w:p>
    <w:p w14:paraId="763EB271"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19'</w:t>
      </w:r>
      <w:r w:rsidRPr="006F04E6">
        <w:rPr>
          <w:rFonts w:ascii="Times New Roman" w:hAnsi="Times New Roman"/>
          <w:lang w:val="en-GB"/>
        </w:rPr>
        <w:tab/>
      </w:r>
      <w:r w:rsidRPr="006F04E6">
        <w:rPr>
          <w:rFonts w:ascii="Times New Roman" w:hAnsi="Times New Roman"/>
          <w:i/>
          <w:lang w:val="en-GB"/>
        </w:rPr>
        <w:t>šúm-mu</w:t>
      </w:r>
      <w:r w:rsidRPr="006F04E6">
        <w:rPr>
          <w:rFonts w:ascii="Times New Roman" w:hAnsi="Times New Roman"/>
          <w:lang w:val="en-GB"/>
        </w:rPr>
        <w:t xml:space="preserve"> TI.LA</w:t>
      </w:r>
      <w:r w:rsidRPr="006F04E6">
        <w:rPr>
          <w:rFonts w:ascii="Times New Roman" w:hAnsi="Times New Roman"/>
          <w:i/>
          <w:lang w:val="en-GB"/>
        </w:rPr>
        <w:t>-</w:t>
      </w:r>
      <w:r w:rsidRPr="006F04E6">
        <w:rPr>
          <w:rFonts w:ascii="Times New Roman" w:hAnsi="Times New Roman"/>
          <w:lang w:val="en-GB"/>
        </w:rPr>
        <w:t>[</w:t>
      </w:r>
      <w:r w:rsidRPr="006F04E6">
        <w:rPr>
          <w:rFonts w:ascii="Times New Roman" w:hAnsi="Times New Roman"/>
          <w:i/>
          <w:lang w:val="en-GB"/>
        </w:rPr>
        <w:t>s</w:t>
      </w:r>
      <w:r w:rsidRPr="006F04E6">
        <w:rPr>
          <w:rFonts w:ascii="Times New Roman" w:hAnsi="Times New Roman"/>
          <w:lang w:val="en-GB"/>
        </w:rPr>
        <w:t>]</w:t>
      </w:r>
      <w:r w:rsidRPr="006F04E6">
        <w:rPr>
          <w:rFonts w:ascii="Times New Roman" w:hAnsi="Times New Roman"/>
          <w:i/>
          <w:lang w:val="en-GB"/>
        </w:rPr>
        <w:t>u?</w:t>
      </w:r>
      <w:r w:rsidRPr="006F04E6">
        <w:rPr>
          <w:rFonts w:ascii="Times New Roman" w:hAnsi="Times New Roman"/>
          <w:lang w:val="en-GB"/>
        </w:rPr>
        <w:t xml:space="preserve"> [x (GU</w:t>
      </w:r>
      <w:r w:rsidRPr="006F04E6">
        <w:rPr>
          <w:rFonts w:ascii="Times New Roman" w:hAnsi="Times New Roman"/>
          <w:vertAlign w:val="subscript"/>
          <w:lang w:val="en-GB"/>
        </w:rPr>
        <w:t>4</w:t>
      </w:r>
      <w:r w:rsidRPr="006F04E6">
        <w:rPr>
          <w:rFonts w:ascii="Times New Roman" w:hAnsi="Times New Roman"/>
          <w:vertAlign w:val="superscript"/>
          <w:lang w:val="en-GB"/>
        </w:rPr>
        <w:t>MEŠ</w:t>
      </w:r>
      <w:r w:rsidRPr="006F04E6">
        <w:rPr>
          <w:rFonts w:ascii="Times New Roman" w:hAnsi="Times New Roman"/>
          <w:lang w:val="en-GB"/>
        </w:rPr>
        <w:t>)] 5 GU</w:t>
      </w:r>
      <w:r w:rsidRPr="006F04E6">
        <w:rPr>
          <w:rFonts w:ascii="Times New Roman" w:hAnsi="Times New Roman"/>
          <w:vertAlign w:val="subscript"/>
          <w:lang w:val="en-GB"/>
        </w:rPr>
        <w:t>4</w:t>
      </w:r>
      <w:r w:rsidRPr="006F04E6">
        <w:rPr>
          <w:rFonts w:ascii="Times New Roman" w:hAnsi="Times New Roman"/>
          <w:lang w:val="en-GB"/>
        </w:rPr>
        <w:t>.ÁB</w:t>
      </w:r>
      <w:r w:rsidRPr="006F04E6">
        <w:rPr>
          <w:rFonts w:ascii="Times New Roman" w:hAnsi="Times New Roman"/>
          <w:vertAlign w:val="superscript"/>
          <w:lang w:val="en-GB"/>
        </w:rPr>
        <w:t xml:space="preserve">MEŠ </w:t>
      </w:r>
      <w:r w:rsidRPr="006F04E6">
        <w:rPr>
          <w:rFonts w:ascii="Times New Roman" w:hAnsi="Times New Roman"/>
          <w:lang w:val="en-GB"/>
        </w:rPr>
        <w:t>[(SUM-</w:t>
      </w:r>
      <w:r w:rsidRPr="006F04E6">
        <w:rPr>
          <w:rFonts w:ascii="Times New Roman" w:hAnsi="Times New Roman"/>
          <w:i/>
          <w:lang w:val="en-GB"/>
        </w:rPr>
        <w:t>an</w:t>
      </w:r>
      <w:r w:rsidRPr="006F04E6">
        <w:rPr>
          <w:rFonts w:ascii="Times New Roman" w:hAnsi="Times New Roman"/>
          <w:lang w:val="en-GB"/>
        </w:rPr>
        <w:t>) x x x x ]</w:t>
      </w:r>
      <w:r w:rsidRPr="006F04E6">
        <w:rPr>
          <w:rFonts w:ascii="Times New Roman" w:hAnsi="Times New Roman"/>
          <w:lang w:val="en-GB"/>
        </w:rPr>
        <w:tab/>
      </w:r>
    </w:p>
    <w:p w14:paraId="5E50A278" w14:textId="77777777" w:rsidR="00B4516E" w:rsidRPr="006F04E6" w:rsidRDefault="00B4516E" w:rsidP="00B4516E">
      <w:pPr>
        <w:spacing w:line="240" w:lineRule="atLeast"/>
        <w:ind w:left="567" w:right="-1" w:hanging="567"/>
        <w:rPr>
          <w:rFonts w:ascii="Times New Roman" w:hAnsi="Times New Roman"/>
          <w:lang w:val="en-GB"/>
        </w:rPr>
      </w:pPr>
      <w:r w:rsidRPr="006F04E6">
        <w:rPr>
          <w:rFonts w:ascii="Times New Roman" w:hAnsi="Times New Roman"/>
          <w:lang w:val="en-GB"/>
        </w:rPr>
        <w:t>20'</w:t>
      </w:r>
      <w:r w:rsidRPr="006F04E6">
        <w:rPr>
          <w:rFonts w:ascii="Times New Roman" w:hAnsi="Times New Roman"/>
          <w:lang w:val="en-GB"/>
        </w:rPr>
        <w:tab/>
      </w:r>
      <w:r w:rsidRPr="006F04E6">
        <w:rPr>
          <w:rFonts w:ascii="Times New Roman" w:hAnsi="Times New Roman"/>
          <w:i/>
          <w:lang w:val="en-GB"/>
        </w:rPr>
        <w:t>šu-tu-ma</w:t>
      </w:r>
      <w:r w:rsidRPr="006F04E6">
        <w:rPr>
          <w:rFonts w:ascii="Times New Roman" w:hAnsi="Times New Roman"/>
          <w:lang w:val="en-GB"/>
        </w:rPr>
        <w:t xml:space="preserve"> UDU.TI.LA</w:t>
      </w:r>
      <w:r w:rsidRPr="006F04E6">
        <w:rPr>
          <w:rFonts w:ascii="Times New Roman" w:hAnsi="Times New Roman"/>
          <w:i/>
          <w:lang w:val="en-GB"/>
        </w:rPr>
        <w:t>-</w:t>
      </w:r>
      <w:r w:rsidRPr="006F04E6">
        <w:rPr>
          <w:rFonts w:ascii="Times New Roman" w:hAnsi="Times New Roman"/>
          <w:lang w:val="en-GB"/>
        </w:rPr>
        <w:t>[(</w:t>
      </w:r>
      <w:r w:rsidRPr="006F04E6">
        <w:rPr>
          <w:rFonts w:ascii="Times New Roman" w:hAnsi="Times New Roman"/>
          <w:i/>
          <w:lang w:val="en-GB"/>
        </w:rPr>
        <w:t>su</w:t>
      </w:r>
      <w:r w:rsidRPr="006F04E6">
        <w:rPr>
          <w:rFonts w:ascii="Times New Roman" w:hAnsi="Times New Roman"/>
          <w:lang w:val="en-GB"/>
        </w:rPr>
        <w:t xml:space="preserve"> LÚ </w:t>
      </w:r>
      <w:r w:rsidRPr="006F04E6">
        <w:rPr>
          <w:rFonts w:ascii="Times New Roman" w:hAnsi="Times New Roman"/>
          <w:i/>
          <w:lang w:val="en-GB"/>
        </w:rPr>
        <w:t>i</w:t>
      </w:r>
      <w:r w:rsidRPr="006F04E6">
        <w:rPr>
          <w:rFonts w:ascii="Times New Roman" w:hAnsi="Times New Roman"/>
          <w:lang w:val="en-GB"/>
        </w:rPr>
        <w:t>)]</w:t>
      </w:r>
      <w:r w:rsidRPr="006F04E6">
        <w:rPr>
          <w:rFonts w:ascii="Times New Roman" w:hAnsi="Times New Roman"/>
          <w:i/>
          <w:lang w:val="en-GB"/>
        </w:rPr>
        <w:t>na</w:t>
      </w:r>
      <w:r w:rsidRPr="006F04E6">
        <w:rPr>
          <w:rFonts w:ascii="Times New Roman" w:hAnsi="Times New Roman"/>
          <w:lang w:val="en-GB"/>
        </w:rPr>
        <w:t xml:space="preserve"> </w:t>
      </w:r>
      <w:r w:rsidRPr="006F04E6">
        <w:rPr>
          <w:rFonts w:ascii="Times New Roman" w:hAnsi="Times New Roman"/>
          <w:i/>
          <w:lang w:val="en-GB"/>
        </w:rPr>
        <w:t>ku-mu-šu</w:t>
      </w:r>
      <w:r w:rsidRPr="006F04E6">
        <w:rPr>
          <w:rFonts w:ascii="Times New Roman" w:hAnsi="Times New Roman"/>
          <w:lang w:val="en-GB"/>
        </w:rPr>
        <w:t xml:space="preserve"> </w:t>
      </w:r>
      <w:r w:rsidRPr="006F04E6">
        <w:rPr>
          <w:rFonts w:ascii="Times New Roman" w:hAnsi="Times New Roman"/>
          <w:i/>
          <w:lang w:val="en-GB"/>
        </w:rPr>
        <w:t>dul-lu</w:t>
      </w:r>
      <w:r w:rsidRPr="006F04E6">
        <w:rPr>
          <w:rFonts w:ascii="Times New Roman" w:hAnsi="Times New Roman"/>
          <w:lang w:val="en-GB"/>
        </w:rPr>
        <w:t xml:space="preserve"> DÙ-</w:t>
      </w:r>
      <w:r w:rsidRPr="006F04E6">
        <w:rPr>
          <w:rFonts w:ascii="Times New Roman" w:hAnsi="Times New Roman"/>
          <w:i/>
          <w:lang w:val="en-GB"/>
        </w:rPr>
        <w:t>á</w:t>
      </w:r>
      <w:r w:rsidRPr="006F04E6">
        <w:rPr>
          <w:rFonts w:ascii="Times New Roman" w:hAnsi="Times New Roman"/>
          <w:lang w:val="en-GB"/>
        </w:rPr>
        <w:t>[(</w:t>
      </w:r>
      <w:r w:rsidRPr="006F04E6">
        <w:rPr>
          <w:rFonts w:ascii="Times New Roman" w:hAnsi="Times New Roman"/>
          <w:i/>
          <w:lang w:val="en-GB"/>
        </w:rPr>
        <w:t>š</w:t>
      </w:r>
      <w:r w:rsidRPr="006F04E6">
        <w:rPr>
          <w:rFonts w:ascii="Times New Roman" w:hAnsi="Times New Roman"/>
          <w:lang w:val="en-GB"/>
        </w:rPr>
        <w:t xml:space="preserve"> EN TI.LA) x x?]</w:t>
      </w:r>
    </w:p>
    <w:p w14:paraId="5675B461" w14:textId="77777777" w:rsidR="00B4516E" w:rsidRPr="00CC135C" w:rsidRDefault="00B4516E" w:rsidP="00B4516E">
      <w:pPr>
        <w:spacing w:line="240" w:lineRule="atLeast"/>
        <w:ind w:left="567" w:right="-1" w:hanging="567"/>
        <w:rPr>
          <w:rFonts w:ascii="Times New Roman" w:hAnsi="Times New Roman"/>
          <w:lang w:val="en-GB"/>
        </w:rPr>
      </w:pPr>
    </w:p>
    <w:p w14:paraId="7C95BE75" w14:textId="77777777" w:rsidR="00B4516E" w:rsidRPr="00CC135C" w:rsidRDefault="00B4516E" w:rsidP="00B4516E">
      <w:pPr>
        <w:jc w:val="both"/>
        <w:rPr>
          <w:rFonts w:ascii="Times New Roman" w:hAnsi="Times New Roman"/>
          <w:lang w:val="en-GB"/>
        </w:rPr>
      </w:pPr>
      <w:r w:rsidRPr="00CC135C">
        <w:rPr>
          <w:rFonts w:ascii="Times New Roman" w:hAnsi="Times New Roman"/>
          <w:noProof/>
          <w:lang w:eastAsia="tr-TR"/>
        </w:rPr>
        <w:drawing>
          <wp:inline distT="0" distB="0" distL="0" distR="0" wp14:anchorId="5266AB99" wp14:editId="47D1ED64">
            <wp:extent cx="4415332" cy="3457978"/>
            <wp:effectExtent l="0" t="0" r="4445" b="9525"/>
            <wp:docPr id="866021047" name="Resim 866021047" descr="kireç taşı, dış mekan, jeoloji,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21047" name="Resim 866021047" descr="kireç taşı, dış mekan, jeoloji, dip kaya içeren bir resim&#10;&#10;Açıklama otomatik olarak oluşturuldu"/>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4422283" cy="3463422"/>
                    </a:xfrm>
                    <a:prstGeom prst="rect">
                      <a:avLst/>
                    </a:prstGeom>
                    <a:noFill/>
                    <a:ln>
                      <a:noFill/>
                    </a:ln>
                    <a:extLst>
                      <a:ext uri="{53640926-AAD7-44D8-BBD7-CCE9431645EC}">
                        <a14:shadowObscured xmlns:a14="http://schemas.microsoft.com/office/drawing/2010/main"/>
                      </a:ext>
                    </a:extLst>
                  </pic:spPr>
                </pic:pic>
              </a:graphicData>
            </a:graphic>
          </wp:inline>
        </w:drawing>
      </w:r>
    </w:p>
    <w:p w14:paraId="17B88AD0" w14:textId="77777777" w:rsidR="00B4516E" w:rsidRPr="00CC135C" w:rsidRDefault="00B4516E" w:rsidP="00B4516E">
      <w:pPr>
        <w:jc w:val="both"/>
        <w:rPr>
          <w:rFonts w:ascii="Times New Roman" w:hAnsi="Times New Roman"/>
          <w:lang w:val="en-GB"/>
        </w:rPr>
      </w:pPr>
      <w:r w:rsidRPr="00CC135C">
        <w:rPr>
          <w:rFonts w:ascii="Times New Roman" w:hAnsi="Times New Roman"/>
          <w:lang w:val="en-GB"/>
        </w:rPr>
        <w:t>Fig. 11a Incomplete Assyrian</w:t>
      </w:r>
      <w:r w:rsidRPr="00CC135C">
        <w:rPr>
          <w:rFonts w:ascii="Times New Roman" w:hAnsi="Times New Roman"/>
          <w:lang w:val="en-GB"/>
        </w:rPr>
        <w:fldChar w:fldCharType="begin"/>
      </w:r>
      <w:r w:rsidRPr="00CC135C">
        <w:rPr>
          <w:rFonts w:ascii="Times New Roman" w:hAnsi="Times New Roman"/>
          <w:lang w:val="en-GB"/>
        </w:rPr>
        <w:instrText xml:space="preserve"> XE "Assyrian" </w:instrText>
      </w:r>
      <w:r w:rsidRPr="00CC135C">
        <w:rPr>
          <w:rFonts w:ascii="Times New Roman" w:hAnsi="Times New Roman"/>
          <w:lang w:val="en-GB"/>
        </w:rPr>
        <w:fldChar w:fldCharType="end"/>
      </w:r>
      <w:r w:rsidRPr="00CC135C">
        <w:rPr>
          <w:rFonts w:ascii="Times New Roman" w:hAnsi="Times New Roman"/>
          <w:lang w:val="en-GB"/>
        </w:rPr>
        <w:t xml:space="preserve"> inscription at Van Fortress</w:t>
      </w:r>
      <w:r>
        <w:rPr>
          <w:rFonts w:asciiTheme="majorBidi" w:hAnsiTheme="majorBidi" w:cstheme="majorBidi"/>
          <w:lang w:val="en-GB"/>
        </w:rPr>
        <w:t xml:space="preserve">, </w:t>
      </w:r>
      <w:r w:rsidRPr="00CC135C">
        <w:rPr>
          <w:rFonts w:ascii="Times New Roman" w:hAnsi="Times New Roman"/>
          <w:lang w:val="en-GB"/>
        </w:rPr>
        <w:t>south side (CTU I. A 1-2).</w:t>
      </w:r>
    </w:p>
    <w:p w14:paraId="1DB20E3A" w14:textId="77777777" w:rsidR="00B4516E" w:rsidRPr="00CC135C" w:rsidRDefault="00B4516E" w:rsidP="00B4516E">
      <w:pPr>
        <w:keepNext/>
        <w:spacing w:after="200"/>
        <w:rPr>
          <w:rFonts w:ascii="Times New Roman" w:hAnsi="Times New Roman"/>
          <w:color w:val="44546A"/>
          <w:lang w:val="en-GB"/>
        </w:rPr>
      </w:pPr>
      <w:r w:rsidRPr="00CC135C">
        <w:rPr>
          <w:rFonts w:ascii="Times New Roman" w:hAnsi="Times New Roman"/>
          <w:i/>
          <w:noProof/>
          <w:color w:val="44546A"/>
          <w:lang w:eastAsia="tr-TR"/>
        </w:rPr>
        <w:lastRenderedPageBreak/>
        <w:drawing>
          <wp:inline distT="0" distB="0" distL="0" distR="0" wp14:anchorId="5B8CE2E1" wp14:editId="46E8AB81">
            <wp:extent cx="4431001" cy="3921074"/>
            <wp:effectExtent l="0" t="0" r="8255" b="3810"/>
            <wp:docPr id="1512133480" name="Immagine 1" descr="fild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33480" name="Immagine 1" descr="fildişi içeren bir resim&#10;&#10;Açıklama otomatik olarak oluşturuldu"/>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4455835" cy="3943050"/>
                    </a:xfrm>
                    <a:prstGeom prst="rect">
                      <a:avLst/>
                    </a:prstGeom>
                    <a:noFill/>
                    <a:ln>
                      <a:noFill/>
                    </a:ln>
                    <a:extLst>
                      <a:ext uri="{53640926-AAD7-44D8-BBD7-CCE9431645EC}">
                        <a14:shadowObscured xmlns:a14="http://schemas.microsoft.com/office/drawing/2010/main"/>
                      </a:ext>
                    </a:extLst>
                  </pic:spPr>
                </pic:pic>
              </a:graphicData>
            </a:graphic>
          </wp:inline>
        </w:drawing>
      </w:r>
    </w:p>
    <w:p w14:paraId="52D8978B" w14:textId="77777777" w:rsidR="00B4516E" w:rsidRPr="00CC135C" w:rsidRDefault="00B4516E" w:rsidP="00B4516E">
      <w:pPr>
        <w:jc w:val="both"/>
        <w:rPr>
          <w:rFonts w:ascii="Times New Roman" w:hAnsi="Times New Roman"/>
          <w:lang w:val="en-GB"/>
        </w:rPr>
      </w:pPr>
      <w:r w:rsidRPr="00CC135C">
        <w:rPr>
          <w:rFonts w:ascii="Times New Roman" w:hAnsi="Times New Roman"/>
          <w:lang w:val="en-GB"/>
        </w:rPr>
        <w:t>Fig. 11b Paper cast by Lehmann-Haupt</w:t>
      </w:r>
      <w:r w:rsidRPr="0041322B">
        <w:rPr>
          <w:rFonts w:ascii="Times New Roman" w:eastAsia="Calibri" w:hAnsi="Times New Roman" w:cs="Times New Roman"/>
          <w:lang w:val="en-GB"/>
        </w:rPr>
        <w:fldChar w:fldCharType="begin"/>
      </w:r>
      <w:r w:rsidRPr="0041322B">
        <w:rPr>
          <w:rFonts w:ascii="Times New Roman" w:eastAsia="Calibri" w:hAnsi="Times New Roman" w:cs="Times New Roman"/>
          <w:lang w:val="en-GB"/>
        </w:rPr>
        <w:instrText xml:space="preserve"> XE "Lehmann-Haupt" </w:instrText>
      </w:r>
      <w:r w:rsidRPr="0041322B">
        <w:rPr>
          <w:rFonts w:ascii="Times New Roman" w:eastAsia="Calibri" w:hAnsi="Times New Roman" w:cs="Times New Roman"/>
          <w:lang w:val="en-GB"/>
        </w:rPr>
        <w:fldChar w:fldCharType="end"/>
      </w:r>
      <w:r w:rsidRPr="0041322B">
        <w:rPr>
          <w:rFonts w:ascii="Times New Roman" w:eastAsia="Calibri" w:hAnsi="Times New Roman" w:cs="Times New Roman"/>
          <w:lang w:val="en-GB"/>
        </w:rPr>
        <w:t>,</w:t>
      </w:r>
      <w:r w:rsidRPr="00CC135C">
        <w:rPr>
          <w:rFonts w:ascii="Times New Roman" w:hAnsi="Times New Roman"/>
          <w:lang w:val="en-GB"/>
        </w:rPr>
        <w:t xml:space="preserve"> preserved in the Vorderasiatisches Museum, Berlin. Fragments of inscription could still be seen above and to the right (Courtesy of the Vorderasiatische Museum).</w:t>
      </w:r>
    </w:p>
    <w:p w14:paraId="5A3A8C7B" w14:textId="77777777" w:rsidR="00B4516E" w:rsidRPr="00CC135C" w:rsidRDefault="00B4516E" w:rsidP="00B4516E">
      <w:pPr>
        <w:keepNext/>
        <w:keepLines/>
        <w:spacing w:before="320" w:after="80" w:line="276" w:lineRule="auto"/>
        <w:outlineLvl w:val="2"/>
        <w:rPr>
          <w:rFonts w:ascii="Times New Roman" w:hAnsi="Times New Roman"/>
          <w:b/>
          <w:lang w:val="en-GB"/>
        </w:rPr>
      </w:pPr>
      <w:bookmarkStart w:id="49" w:name="_Toc173231204"/>
      <w:r w:rsidRPr="00CC135C">
        <w:rPr>
          <w:rFonts w:ascii="Times New Roman" w:hAnsi="Times New Roman"/>
          <w:b/>
          <w:lang w:val="en-GB"/>
        </w:rPr>
        <w:t>4.2.2. Texts of Išpuini</w:t>
      </w:r>
      <w:r w:rsidRPr="00CC135C">
        <w:rPr>
          <w:rFonts w:ascii="Times New Roman" w:hAnsi="Times New Roman"/>
          <w:b/>
          <w:i/>
          <w:lang w:val="en-GB"/>
        </w:rPr>
        <w:fldChar w:fldCharType="begin"/>
      </w:r>
      <w:r w:rsidRPr="00CC135C">
        <w:rPr>
          <w:rFonts w:ascii="Arial" w:hAnsi="Arial"/>
          <w:color w:val="434343"/>
          <w:lang w:val="en-GB"/>
        </w:rPr>
        <w:instrText xml:space="preserve"> XE "</w:instrText>
      </w:r>
      <w:r w:rsidRPr="00CC135C">
        <w:rPr>
          <w:rFonts w:ascii="Times New Roman" w:hAnsi="Times New Roman"/>
          <w:iCs/>
          <w:color w:val="434343"/>
          <w:lang w:val="en-GB"/>
        </w:rPr>
        <w:instrText>Išpuini</w:instrText>
      </w:r>
      <w:r w:rsidRPr="00CC135C">
        <w:rPr>
          <w:rFonts w:ascii="Arial" w:hAnsi="Arial"/>
          <w:color w:val="434343"/>
          <w:lang w:val="en-GB"/>
        </w:rPr>
        <w:instrText xml:space="preserve">" </w:instrText>
      </w:r>
      <w:r w:rsidRPr="00CC135C">
        <w:rPr>
          <w:rFonts w:ascii="Times New Roman" w:hAnsi="Times New Roman"/>
          <w:b/>
          <w:i/>
          <w:lang w:val="en-GB"/>
        </w:rPr>
        <w:fldChar w:fldCharType="end"/>
      </w:r>
      <w:r w:rsidRPr="00CC135C">
        <w:rPr>
          <w:rFonts w:ascii="Times New Roman" w:hAnsi="Times New Roman"/>
          <w:b/>
          <w:lang w:val="en-GB"/>
        </w:rPr>
        <w:t>, son of Sarduri</w:t>
      </w:r>
      <w:r w:rsidRPr="00CC135C">
        <w:rPr>
          <w:rFonts w:ascii="Times New Roman" w:hAnsi="Times New Roman"/>
          <w:b/>
          <w:lang w:val="en-GB"/>
        </w:rPr>
        <w:fldChar w:fldCharType="begin"/>
      </w:r>
      <w:r w:rsidRPr="00CC135C">
        <w:rPr>
          <w:rFonts w:ascii="Arial" w:hAnsi="Arial"/>
          <w:color w:val="434343"/>
          <w:lang w:val="en-GB"/>
        </w:rPr>
        <w:instrText xml:space="preserve"> XE "</w:instrText>
      </w:r>
      <w:r w:rsidRPr="00CC135C">
        <w:rPr>
          <w:rFonts w:ascii="Times New Roman" w:hAnsi="Times New Roman"/>
          <w:b/>
          <w:lang w:val="en-GB"/>
        </w:rPr>
        <w:instrText>Sarduri</w:instrText>
      </w:r>
      <w:r w:rsidRPr="00CC135C">
        <w:rPr>
          <w:rFonts w:ascii="Arial" w:hAnsi="Arial"/>
          <w:color w:val="434343"/>
          <w:lang w:val="en-GB"/>
        </w:rPr>
        <w:instrText xml:space="preserve">" </w:instrText>
      </w:r>
      <w:r w:rsidRPr="00CC135C">
        <w:rPr>
          <w:rFonts w:ascii="Times New Roman" w:hAnsi="Times New Roman"/>
          <w:b/>
          <w:lang w:val="en-GB"/>
        </w:rPr>
        <w:fldChar w:fldCharType="end"/>
      </w:r>
      <w:r w:rsidRPr="00CC135C">
        <w:rPr>
          <w:rFonts w:ascii="Times New Roman" w:hAnsi="Times New Roman"/>
          <w:b/>
          <w:lang w:val="en-GB"/>
        </w:rPr>
        <w:t xml:space="preserve"> 4.2.2.1. Cylindrical Inscription (CTU I. A 2-11)</w:t>
      </w:r>
      <w:bookmarkEnd w:id="49"/>
    </w:p>
    <w:p w14:paraId="132C347C"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Three lines inscription on cylindrical sandstone stone, found in 2012 about 800 m north of Van Fortress, and badly damaged (Işık &amp; Genç, 2012: 72-79). It probably comes from a structure at the foot of Ṭušpa</w:t>
      </w:r>
      <w:r w:rsidRPr="006F04E6">
        <w:rPr>
          <w:rFonts w:asciiTheme="majorBidi" w:hAnsiTheme="majorBidi" w:cstheme="majorBidi"/>
          <w:lang w:val="en-GB"/>
        </w:rPr>
        <w:t>/Van</w:t>
      </w:r>
      <w:r w:rsidRPr="006F04E6">
        <w:rPr>
          <w:rFonts w:ascii="Times New Roman" w:hAnsi="Times New Roman"/>
          <w:lang w:val="en-GB"/>
        </w:rPr>
        <w:t xml:space="preserve"> Rock</w:t>
      </w:r>
      <w:r w:rsidRPr="006F04E6">
        <w:rPr>
          <w:rFonts w:ascii="Times New Roman" w:eastAsia="Calibri" w:hAnsi="Times New Roman" w:cs="Times New Roman"/>
          <w:lang w:val="en-GB"/>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"Ṭušpa/Van Rock"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(Dimensions: height. 28 cm, diameter 104 cm). It is the largest epigraph of this type on a cylindrical stone. It seems unlikely to be a column base. The ductus is the archaic one typical of the first Išpuini</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"Išpuini" </w:instrText>
      </w:r>
      <w:r w:rsidRPr="006F04E6">
        <w:rPr>
          <w:rFonts w:asciiTheme="majorBidi" w:hAnsiTheme="majorBidi" w:cstheme="majorBidi"/>
          <w:lang w:val="en-GB"/>
        </w:rPr>
        <w:fldChar w:fldCharType="end"/>
      </w:r>
      <w:r w:rsidRPr="006F04E6">
        <w:rPr>
          <w:rFonts w:asciiTheme="majorBidi" w:hAnsiTheme="majorBidi" w:cstheme="majorBidi"/>
          <w:lang w:val="en-GB"/>
        </w:rPr>
        <w:t>.</w:t>
      </w:r>
      <w:r w:rsidRPr="006F04E6">
        <w:rPr>
          <w:rFonts w:ascii="Times New Roman" w:hAnsi="Times New Roman"/>
          <w:lang w:val="en-GB"/>
        </w:rPr>
        <w:t xml:space="preserve"> The text is repeated three times (Fig. 12). These inscriptions on large-diameter cylindrical stones were not column bases, as is sometimes said. They are limited to the reigns of Išpuini, Minua</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"Minua" </w:instrText>
      </w:r>
      <w:r w:rsidRPr="006F04E6">
        <w:rPr>
          <w:rFonts w:asciiTheme="majorBidi" w:hAnsiTheme="majorBidi" w:cstheme="majorBidi"/>
          <w:lang w:val="en-GB"/>
        </w:rPr>
        <w:fldChar w:fldCharType="end"/>
      </w:r>
      <w:r w:rsidRPr="006F04E6">
        <w:rPr>
          <w:rFonts w:ascii="Times New Roman" w:hAnsi="Times New Roman"/>
          <w:lang w:val="en-GB"/>
        </w:rPr>
        <w:t xml:space="preserve"> and Argišti I</w:t>
      </w:r>
      <w:r w:rsidRPr="006F04E6">
        <w:rPr>
          <w:rFonts w:ascii="Times New Roman" w:eastAsia="Calibri" w:hAnsi="Times New Roman" w:cs="Times New Roman"/>
          <w:noProof/>
          <w:lang w:eastAsia="tr-TR"/>
        </w:rPr>
        <mc:AlternateContent>
          <mc:Choice Requires="wps">
            <w:drawing>
              <wp:anchor distT="0" distB="0" distL="114300" distR="114300" simplePos="0" relativeHeight="252002304" behindDoc="1" locked="0" layoutInCell="1" allowOverlap="1" wp14:anchorId="67083E91" wp14:editId="42551E30">
                <wp:simplePos x="0" y="0"/>
                <wp:positionH relativeFrom="column">
                  <wp:posOffset>1270</wp:posOffset>
                </wp:positionH>
                <wp:positionV relativeFrom="paragraph">
                  <wp:posOffset>2788285</wp:posOffset>
                </wp:positionV>
                <wp:extent cx="5399405" cy="313055"/>
                <wp:effectExtent l="0" t="0" r="0" b="0"/>
                <wp:wrapTight wrapText="bothSides">
                  <wp:wrapPolygon edited="0">
                    <wp:start x="0" y="0"/>
                    <wp:lineTo x="0" y="19716"/>
                    <wp:lineTo x="21491" y="19716"/>
                    <wp:lineTo x="21491" y="0"/>
                    <wp:lineTo x="0" y="0"/>
                  </wp:wrapPolygon>
                </wp:wrapTight>
                <wp:docPr id="1222590447" name="Casella di tes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9405" cy="313055"/>
                        </a:xfrm>
                        <a:prstGeom prst="rect">
                          <a:avLst/>
                        </a:prstGeom>
                        <a:solidFill>
                          <a:prstClr val="white"/>
                        </a:solidFill>
                        <a:ln>
                          <a:noFill/>
                        </a:ln>
                      </wps:spPr>
                      <wps:txbx>
                        <w:txbxContent>
                          <w:p w14:paraId="174FC045" w14:textId="77777777" w:rsidR="00B4516E" w:rsidRPr="000C464F" w:rsidRDefault="00B4516E" w:rsidP="00B4516E">
                            <w:pPr>
                              <w:pStyle w:val="Caption1"/>
                              <w:rPr>
                                <w:b/>
                                <w:bCs/>
                                <w:noProof/>
                                <w:color w:val="auto"/>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7083E91" id="Casella di testo 22" o:spid="_x0000_s1028" type="#_x0000_t202" style="position:absolute;left:0;text-align:left;margin-left:.1pt;margin-top:219.55pt;width:425.15pt;height:24.65pt;z-index:-25131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" stroked="f">
                <v:textbox style="mso-fit-shape-to-text:t" inset="0,0,0,0">
                  <w:txbxContent>
                    <w:p w14:paraId="174FC045" w14:textId="77777777" w:rsidR="00B4516E" w:rsidRPr="000C464F" w:rsidRDefault="00B4516E" w:rsidP="00B4516E">
                      <w:pPr>
                        <w:pStyle w:val="Caption1"/>
                        <w:rPr>
                          <w:b/>
                          <w:bCs/>
                          <w:noProof/>
                          <w:color w:val="auto"/>
                          <w:sz w:val="24"/>
                          <w:szCs w:val="24"/>
                          <w:lang w:val="en-US"/>
                        </w:rPr>
                      </w:pPr>
                    </w:p>
                  </w:txbxContent>
                </v:textbox>
                <w10:wrap type="tight"/>
              </v:shape>
            </w:pict>
          </mc:Fallback>
        </mc:AlternateConten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Argišti</w:instrText>
      </w:r>
      <w:r w:rsidRPr="006F04E6">
        <w:rPr>
          <w:rFonts w:asciiTheme="majorBidi" w:hAnsiTheme="majorBidi" w:cstheme="majorBidi"/>
          <w:lang w:val="en-GB"/>
        </w:rPr>
        <w:instrText xml:space="preserve"> I" </w:instrText>
      </w:r>
      <w:r w:rsidRPr="006F04E6">
        <w:rPr>
          <w:rFonts w:asciiTheme="majorBidi" w:hAnsiTheme="majorBidi" w:cstheme="majorBidi"/>
          <w:lang w:val="en-GB"/>
        </w:rPr>
        <w:fldChar w:fldCharType="end"/>
      </w:r>
      <w:r w:rsidRPr="006F04E6">
        <w:rPr>
          <w:rFonts w:asciiTheme="majorBidi" w:hAnsiTheme="majorBidi" w:cstheme="majorBidi"/>
          <w:lang w:val="en-GB"/>
        </w:rPr>
        <w:t>.</w:t>
      </w:r>
    </w:p>
    <w:p w14:paraId="21E63ECF" w14:textId="77777777" w:rsidR="00B4516E" w:rsidRPr="00CC135C" w:rsidRDefault="00B4516E" w:rsidP="00B4516E">
      <w:pPr>
        <w:jc w:val="both"/>
        <w:rPr>
          <w:rFonts w:ascii="Times New Roman" w:hAnsi="Times New Roman"/>
          <w:lang w:val="en-GB"/>
        </w:rPr>
      </w:pPr>
    </w:p>
    <w:p w14:paraId="190442CC" w14:textId="77777777" w:rsidR="00B4516E" w:rsidRPr="00CC135C" w:rsidRDefault="00B4516E" w:rsidP="00B4516E">
      <w:pPr>
        <w:tabs>
          <w:tab w:val="left" w:pos="9639"/>
        </w:tabs>
        <w:ind w:left="567" w:right="-1" w:hanging="567"/>
        <w:jc w:val="both"/>
        <w:rPr>
          <w:rFonts w:ascii="Times New Roman" w:hAnsi="Times New Roman"/>
          <w:lang w:val="en-GB"/>
        </w:rPr>
      </w:pPr>
    </w:p>
    <w:p w14:paraId="53835D68" w14:textId="77777777" w:rsidR="00B4516E" w:rsidRPr="00CC135C" w:rsidRDefault="00B4516E" w:rsidP="00B4516E">
      <w:pPr>
        <w:tabs>
          <w:tab w:val="left" w:pos="9639"/>
        </w:tabs>
        <w:ind w:left="567" w:right="-1" w:hanging="567"/>
        <w:jc w:val="both"/>
        <w:rPr>
          <w:rFonts w:ascii="Times New Roman" w:hAnsi="Times New Roman"/>
          <w:lang w:val="en-GB"/>
        </w:rPr>
      </w:pPr>
    </w:p>
    <w:p w14:paraId="71A33BB1" w14:textId="77777777" w:rsidR="00B4516E" w:rsidRPr="00CC135C" w:rsidRDefault="00B4516E" w:rsidP="00B4516E">
      <w:pPr>
        <w:tabs>
          <w:tab w:val="left" w:pos="9639"/>
        </w:tabs>
        <w:ind w:left="567" w:right="-1" w:hanging="567"/>
        <w:jc w:val="both"/>
        <w:rPr>
          <w:rFonts w:ascii="Times New Roman" w:hAnsi="Times New Roman"/>
          <w:lang w:val="en-GB"/>
        </w:rPr>
      </w:pPr>
    </w:p>
    <w:p w14:paraId="1E35D822" w14:textId="77777777" w:rsidR="00B4516E" w:rsidRPr="00CC135C" w:rsidRDefault="00B4516E" w:rsidP="00B4516E">
      <w:pPr>
        <w:tabs>
          <w:tab w:val="left" w:pos="9639"/>
        </w:tabs>
        <w:ind w:left="567" w:right="-1" w:hanging="567"/>
        <w:jc w:val="both"/>
        <w:rPr>
          <w:rFonts w:ascii="Times New Roman" w:hAnsi="Times New Roman"/>
          <w:lang w:val="en-GB"/>
        </w:rPr>
      </w:pPr>
    </w:p>
    <w:p w14:paraId="12B15A4F" w14:textId="77777777" w:rsidR="00B4516E" w:rsidRPr="00CC135C" w:rsidRDefault="00B4516E" w:rsidP="00B4516E">
      <w:pPr>
        <w:tabs>
          <w:tab w:val="left" w:pos="9639"/>
        </w:tabs>
        <w:ind w:left="567" w:right="-1" w:hanging="567"/>
        <w:jc w:val="both"/>
        <w:rPr>
          <w:rFonts w:ascii="Times New Roman" w:hAnsi="Times New Roman"/>
          <w:lang w:val="en-GB"/>
        </w:rPr>
      </w:pPr>
    </w:p>
    <w:p w14:paraId="38E246E4" w14:textId="77777777" w:rsidR="00B4516E" w:rsidRPr="006F04E6" w:rsidRDefault="00B4516E" w:rsidP="00B4516E">
      <w:pPr>
        <w:tabs>
          <w:tab w:val="left" w:pos="9639"/>
        </w:tabs>
        <w:ind w:left="567" w:right="-1" w:hanging="567"/>
        <w:jc w:val="both"/>
        <w:rPr>
          <w:rFonts w:ascii="Times New Roman" w:hAnsi="Times New Roman"/>
          <w:lang w:val="en-GB"/>
        </w:rPr>
      </w:pPr>
      <w:r w:rsidRPr="00CC135C">
        <w:rPr>
          <w:rFonts w:ascii="Times New Roman" w:hAnsi="Times New Roman"/>
          <w:noProof/>
          <w:lang w:eastAsia="tr-TR"/>
        </w:rPr>
        <w:lastRenderedPageBreak/>
        <w:drawing>
          <wp:anchor distT="0" distB="0" distL="114300" distR="114300" simplePos="0" relativeHeight="251958272" behindDoc="1" locked="0" layoutInCell="1" allowOverlap="1" wp14:anchorId="5673E549" wp14:editId="37301728">
            <wp:simplePos x="0" y="0"/>
            <wp:positionH relativeFrom="margin">
              <wp:posOffset>66040</wp:posOffset>
            </wp:positionH>
            <wp:positionV relativeFrom="paragraph">
              <wp:posOffset>23495</wp:posOffset>
            </wp:positionV>
            <wp:extent cx="5399405" cy="2437130"/>
            <wp:effectExtent l="0" t="0" r="0" b="1270"/>
            <wp:wrapTopAndBottom/>
            <wp:docPr id="1588282214" name="Resim 1588282214" descr="seramik, taş,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82214" name="Resim 1588282214" descr="seramik, taş, iç mekan içeren bir resim&#10;&#10;Açıklama otomatik olarak oluşturuldu"/>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399405" cy="2437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C66986"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Fig. 12 One of the oldest inscriptions in the Urartian</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Urartian</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language and ductus, by Išpuini</w:t>
      </w:r>
      <w:r w:rsidRPr="006F04E6">
        <w:rPr>
          <w:rFonts w:ascii="Times New Roman" w:hAnsi="Times New Roman"/>
          <w:lang w:val="en-GB"/>
        </w:rPr>
        <w:fldChar w:fldCharType="begin"/>
      </w:r>
      <w:r w:rsidRPr="006F04E6">
        <w:instrText xml:space="preserve"> XE "</w:instrText>
      </w:r>
      <w:r w:rsidRPr="006F04E6">
        <w:rPr>
          <w:rFonts w:ascii="Times New Roman" w:hAnsi="Times New Roman"/>
        </w:rPr>
        <w:instrText>Išpuini</w:instrText>
      </w:r>
      <w:r w:rsidRPr="006F04E6">
        <w:instrText xml:space="preserve">" </w:instrText>
      </w:r>
      <w:r w:rsidRPr="006F04E6">
        <w:rPr>
          <w:rFonts w:ascii="Times New Roman" w:hAnsi="Times New Roman"/>
          <w:lang w:val="en-GB"/>
        </w:rPr>
        <w:fldChar w:fldCharType="end"/>
      </w:r>
      <w:r w:rsidRPr="006F04E6">
        <w:rPr>
          <w:rFonts w:ascii="Times New Roman" w:eastAsia="Calibri" w:hAnsi="Times New Roman" w:cs="Times New Roman"/>
          <w:lang w:val="en-GB"/>
        </w:rPr>
        <w:t>,</w:t>
      </w:r>
      <w:r w:rsidRPr="006F04E6">
        <w:rPr>
          <w:rFonts w:ascii="Times New Roman" w:hAnsi="Times New Roman"/>
          <w:lang w:val="en-GB"/>
        </w:rPr>
        <w:t xml:space="preserve"> son of Sarduri, end of the 9th century BCE (CTU I. A 2-11).</w:t>
      </w:r>
    </w:p>
    <w:p w14:paraId="65CB2B92" w14:textId="77777777" w:rsidR="00B4516E" w:rsidRPr="006F04E6" w:rsidRDefault="00B4516E" w:rsidP="00B4516E">
      <w:pPr>
        <w:tabs>
          <w:tab w:val="left" w:pos="9639"/>
        </w:tabs>
        <w:ind w:left="567" w:right="-1" w:hanging="567"/>
        <w:jc w:val="both"/>
        <w:rPr>
          <w:rFonts w:ascii="Times New Roman" w:hAnsi="Times New Roman"/>
          <w:lang w:val="en-GB"/>
        </w:rPr>
      </w:pPr>
    </w:p>
    <w:p w14:paraId="3E535D7A" w14:textId="77777777" w:rsidR="00B4516E" w:rsidRPr="006F04E6" w:rsidRDefault="00B4516E" w:rsidP="00B4516E">
      <w:pPr>
        <w:tabs>
          <w:tab w:val="left" w:pos="9639"/>
        </w:tabs>
        <w:ind w:left="567" w:right="-1" w:hanging="567"/>
        <w:jc w:val="both"/>
        <w:rPr>
          <w:rFonts w:ascii="Times New Roman" w:hAnsi="Times New Roman"/>
          <w:lang w:val="en-GB"/>
        </w:rPr>
      </w:pPr>
      <w:r w:rsidRPr="006F04E6">
        <w:rPr>
          <w:rFonts w:ascii="Times New Roman" w:hAnsi="Times New Roman"/>
          <w:lang w:val="en-GB"/>
        </w:rPr>
        <w:t xml:space="preserve"> </w:t>
      </w:r>
      <w:r w:rsidRPr="006F04E6">
        <w:rPr>
          <w:rFonts w:ascii="Times New Roman" w:hAnsi="Times New Roman"/>
          <w:b/>
          <w:lang w:val="en-GB"/>
        </w:rPr>
        <w:t>CTU I. A 2-11</w:t>
      </w:r>
    </w:p>
    <w:p w14:paraId="1F35D834" w14:textId="77777777" w:rsidR="00B4516E" w:rsidRPr="006F04E6" w:rsidRDefault="00B4516E" w:rsidP="00B4516E">
      <w:pPr>
        <w:tabs>
          <w:tab w:val="left" w:pos="9639"/>
        </w:tabs>
        <w:ind w:left="567" w:right="-1"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 xml:space="preserve">ḫal-di-ni-ni uš-ma-ši-ni </w:t>
      </w:r>
      <w:r w:rsidRPr="006F04E6">
        <w:rPr>
          <w:rFonts w:ascii="Times New Roman" w:hAnsi="Times New Roman"/>
          <w:vertAlign w:val="superscript"/>
          <w:lang w:val="en-GB"/>
        </w:rPr>
        <w:t>m</w:t>
      </w:r>
      <w:r w:rsidRPr="006F04E6">
        <w:rPr>
          <w:rFonts w:ascii="Times New Roman" w:hAnsi="Times New Roman"/>
          <w:lang w:val="en-GB"/>
        </w:rPr>
        <w:t xml:space="preserve">iš-pu-ú-i-ni-še </w:t>
      </w:r>
      <w:r w:rsidRPr="006F04E6">
        <w:rPr>
          <w:rFonts w:ascii="Times New Roman" w:hAnsi="Times New Roman"/>
          <w:vertAlign w:val="superscript"/>
          <w:lang w:val="en-GB"/>
        </w:rPr>
        <w:t>mD</w:t>
      </w:r>
      <w:r w:rsidRPr="006F04E6">
        <w:rPr>
          <w:rFonts w:ascii="Times New Roman" w:hAnsi="Times New Roman"/>
          <w:lang w:val="en-GB"/>
        </w:rPr>
        <w:t>sar</w:t>
      </w:r>
      <w:r w:rsidRPr="006F04E6">
        <w:rPr>
          <w:rFonts w:ascii="Times New Roman" w:hAnsi="Times New Roman"/>
          <w:vertAlign w:val="subscript"/>
          <w:lang w:val="en-GB"/>
        </w:rPr>
        <w:t>5</w:t>
      </w:r>
      <w:r w:rsidRPr="006F04E6">
        <w:rPr>
          <w:rFonts w:ascii="Times New Roman" w:hAnsi="Times New Roman"/>
          <w:lang w:val="en-GB"/>
        </w:rPr>
        <w:t>-du-ri-ḫi-ni-še i-ni É</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É</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za-du-ni e-’a ba-du-si É-ni-a be-di-e qi-ú-ra-a-ni qu-ul-di-ni ma-a-nu </w:t>
      </w:r>
      <w:r w:rsidRPr="006F04E6">
        <w:rPr>
          <w:rFonts w:ascii="Times New Roman" w:hAnsi="Times New Roman"/>
          <w:vertAlign w:val="superscript"/>
          <w:lang w:val="en-GB"/>
        </w:rPr>
        <w:t>m</w:t>
      </w:r>
      <w:r w:rsidRPr="006F04E6">
        <w:rPr>
          <w:rFonts w:ascii="Times New Roman" w:hAnsi="Times New Roman"/>
          <w:lang w:val="en-GB"/>
        </w:rPr>
        <w:t>iš-pu-ú-i-ni-še [</w:t>
      </w:r>
      <w:r w:rsidRPr="006F04E6">
        <w:rPr>
          <w:rFonts w:ascii="Times New Roman" w:hAnsi="Times New Roman"/>
          <w:vertAlign w:val="superscript"/>
          <w:lang w:val="en-GB"/>
        </w:rPr>
        <w:t>mD</w:t>
      </w:r>
      <w:r w:rsidRPr="006F04E6">
        <w:rPr>
          <w:rFonts w:ascii="Times New Roman" w:hAnsi="Times New Roman"/>
          <w:lang w:val="en-GB"/>
        </w:rPr>
        <w:t>sar</w:t>
      </w:r>
      <w:r w:rsidRPr="006F04E6">
        <w:rPr>
          <w:rFonts w:ascii="Times New Roman" w:hAnsi="Times New Roman"/>
          <w:vertAlign w:val="subscript"/>
          <w:lang w:val="en-GB"/>
        </w:rPr>
        <w:t>5</w:t>
      </w:r>
      <w:r w:rsidRPr="006F04E6">
        <w:rPr>
          <w:rFonts w:ascii="Times New Roman" w:hAnsi="Times New Roman"/>
          <w:lang w:val="en-GB"/>
        </w:rPr>
        <w:t>-du-ri-ḫi-ni-še š]i-di-iš-tú-ni</w:t>
      </w:r>
    </w:p>
    <w:p w14:paraId="6FB41649" w14:textId="77777777" w:rsidR="00B4516E" w:rsidRPr="006F04E6" w:rsidRDefault="00B4516E" w:rsidP="00B4516E">
      <w:pPr>
        <w:tabs>
          <w:tab w:val="left" w:pos="9639"/>
        </w:tabs>
        <w:ind w:left="567" w:right="-1" w:hanging="567"/>
        <w:jc w:val="both"/>
        <w:rPr>
          <w:rFonts w:ascii="Times New Roman" w:hAnsi="Times New Roman"/>
          <w:lang w:val="en-GB"/>
        </w:rPr>
      </w:pPr>
      <w:r w:rsidRPr="006F04E6">
        <w:rPr>
          <w:rFonts w:ascii="Times New Roman" w:hAnsi="Times New Roman"/>
          <w:lang w:val="en-GB"/>
        </w:rPr>
        <w:t xml:space="preserve"> 2</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 xml:space="preserve">ḫal-di-ni-ni uš-ma-ši-ni </w:t>
      </w:r>
      <w:r w:rsidRPr="006F04E6">
        <w:rPr>
          <w:rFonts w:ascii="Times New Roman" w:hAnsi="Times New Roman"/>
          <w:vertAlign w:val="superscript"/>
          <w:lang w:val="en-GB"/>
        </w:rPr>
        <w:t>m</w:t>
      </w:r>
      <w:r w:rsidRPr="006F04E6">
        <w:rPr>
          <w:rFonts w:ascii="Times New Roman" w:hAnsi="Times New Roman"/>
          <w:lang w:val="en-GB"/>
        </w:rPr>
        <w:t xml:space="preserve">iš-pu-ú-i-ni-še </w:t>
      </w:r>
      <w:r w:rsidRPr="006F04E6">
        <w:rPr>
          <w:rFonts w:ascii="Times New Roman" w:hAnsi="Times New Roman"/>
          <w:vertAlign w:val="superscript"/>
          <w:lang w:val="en-GB"/>
        </w:rPr>
        <w:t>mD</w:t>
      </w:r>
      <w:r w:rsidRPr="006F04E6">
        <w:rPr>
          <w:rFonts w:ascii="Times New Roman" w:hAnsi="Times New Roman"/>
          <w:lang w:val="en-GB"/>
        </w:rPr>
        <w:t>sar</w:t>
      </w:r>
      <w:r w:rsidRPr="006F04E6">
        <w:rPr>
          <w:rFonts w:ascii="Times New Roman" w:hAnsi="Times New Roman"/>
          <w:vertAlign w:val="subscript"/>
          <w:lang w:val="en-GB"/>
        </w:rPr>
        <w:t>5</w:t>
      </w:r>
      <w:r w:rsidRPr="006F04E6">
        <w:rPr>
          <w:rFonts w:ascii="Times New Roman" w:hAnsi="Times New Roman"/>
          <w:lang w:val="en-GB"/>
        </w:rPr>
        <w:t>-du-ri-ḫi-ni-še i-ni É</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É</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za-du-ni e-’a ba-du-si É-ni-a be-di-e qi-ú-ra-a-ni qu-ul-di-ni ma-a-nu </w:t>
      </w:r>
      <w:r w:rsidRPr="006F04E6">
        <w:rPr>
          <w:rFonts w:ascii="Times New Roman" w:hAnsi="Times New Roman"/>
          <w:vertAlign w:val="superscript"/>
          <w:lang w:val="en-GB"/>
        </w:rPr>
        <w:t>m</w:t>
      </w:r>
      <w:r w:rsidRPr="006F04E6">
        <w:rPr>
          <w:rFonts w:ascii="Times New Roman" w:hAnsi="Times New Roman"/>
          <w:lang w:val="en-GB"/>
        </w:rPr>
        <w:t xml:space="preserve">iš-pu-ú-i-ni-še </w:t>
      </w:r>
      <w:r w:rsidRPr="006F04E6">
        <w:rPr>
          <w:rFonts w:ascii="Times New Roman" w:hAnsi="Times New Roman"/>
          <w:vertAlign w:val="superscript"/>
          <w:lang w:val="en-GB"/>
        </w:rPr>
        <w:t>mD</w:t>
      </w:r>
      <w:r w:rsidRPr="006F04E6">
        <w:rPr>
          <w:rFonts w:ascii="Times New Roman" w:hAnsi="Times New Roman"/>
          <w:lang w:val="en-GB"/>
        </w:rPr>
        <w:t>sar</w:t>
      </w:r>
      <w:r w:rsidRPr="006F04E6">
        <w:rPr>
          <w:rFonts w:ascii="Times New Roman" w:hAnsi="Times New Roman"/>
          <w:vertAlign w:val="subscript"/>
          <w:lang w:val="en-GB"/>
        </w:rPr>
        <w:t>5</w:t>
      </w:r>
      <w:r w:rsidRPr="006F04E6">
        <w:rPr>
          <w:rFonts w:ascii="Times New Roman" w:hAnsi="Times New Roman"/>
          <w:lang w:val="en-GB"/>
        </w:rPr>
        <w:t>-du-r[i-ḫi-ni-š]e ši-di-iš-tú-ni</w:t>
      </w:r>
    </w:p>
    <w:p w14:paraId="6AC7CEBA" w14:textId="77777777" w:rsidR="00B4516E" w:rsidRPr="006F04E6" w:rsidRDefault="00B4516E" w:rsidP="00B4516E">
      <w:pPr>
        <w:tabs>
          <w:tab w:val="left" w:pos="9639"/>
        </w:tabs>
        <w:ind w:left="567" w:right="-1" w:hanging="567"/>
        <w:jc w:val="both"/>
        <w:rPr>
          <w:rFonts w:ascii="Times New Roman" w:hAnsi="Times New Roman"/>
          <w:lang w:val="en-GB"/>
        </w:rPr>
      </w:pPr>
      <w:r w:rsidRPr="006F04E6">
        <w:rPr>
          <w:rFonts w:ascii="Times New Roman" w:hAnsi="Times New Roman"/>
          <w:lang w:val="en-GB"/>
        </w:rPr>
        <w:t xml:space="preserve"> 3</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 xml:space="preserve">ḫal-di-ni-ni uš-ma-ši-ni </w:t>
      </w:r>
      <w:r w:rsidRPr="006F04E6">
        <w:rPr>
          <w:rFonts w:ascii="Times New Roman" w:hAnsi="Times New Roman"/>
          <w:vertAlign w:val="superscript"/>
          <w:lang w:val="en-GB"/>
        </w:rPr>
        <w:t>m</w:t>
      </w:r>
      <w:r w:rsidRPr="006F04E6">
        <w:rPr>
          <w:rFonts w:ascii="Times New Roman" w:hAnsi="Times New Roman"/>
          <w:lang w:val="en-GB"/>
        </w:rPr>
        <w:t xml:space="preserve">iš-pu-ú-i-ni-še </w:t>
      </w:r>
      <w:r w:rsidRPr="006F04E6">
        <w:rPr>
          <w:rFonts w:ascii="Times New Roman" w:hAnsi="Times New Roman"/>
          <w:vertAlign w:val="superscript"/>
          <w:lang w:val="en-GB"/>
        </w:rPr>
        <w:t>mD</w:t>
      </w:r>
      <w:r w:rsidRPr="006F04E6">
        <w:rPr>
          <w:rFonts w:ascii="Times New Roman" w:hAnsi="Times New Roman"/>
          <w:lang w:val="en-GB"/>
        </w:rPr>
        <w:t>sar</w:t>
      </w:r>
      <w:r w:rsidRPr="006F04E6">
        <w:rPr>
          <w:rFonts w:ascii="Times New Roman" w:hAnsi="Times New Roman"/>
          <w:vertAlign w:val="subscript"/>
          <w:lang w:val="en-GB"/>
        </w:rPr>
        <w:t>5</w:t>
      </w:r>
      <w:r w:rsidRPr="006F04E6">
        <w:rPr>
          <w:rFonts w:ascii="Times New Roman" w:hAnsi="Times New Roman"/>
          <w:lang w:val="en-GB"/>
        </w:rPr>
        <w:t>-du-ri-ḫi-ni-še i-ni É</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É</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za-du-ni e-’a ba-du-si É-ni-a be-di-e qi-ú-ra-a-ni qu-ul-di-ni ma-a-nu </w:t>
      </w:r>
      <w:r w:rsidRPr="006F04E6">
        <w:rPr>
          <w:rFonts w:ascii="Times New Roman" w:hAnsi="Times New Roman"/>
          <w:vertAlign w:val="superscript"/>
          <w:lang w:val="en-GB"/>
        </w:rPr>
        <w:t>m</w:t>
      </w:r>
      <w:r w:rsidRPr="006F04E6">
        <w:rPr>
          <w:rFonts w:ascii="Times New Roman" w:hAnsi="Times New Roman"/>
          <w:lang w:val="en-GB"/>
        </w:rPr>
        <w:t xml:space="preserve">iš-pu-ú-i-ni-še </w:t>
      </w:r>
      <w:r w:rsidRPr="006F04E6">
        <w:rPr>
          <w:rFonts w:ascii="Times New Roman" w:hAnsi="Times New Roman"/>
          <w:vertAlign w:val="superscript"/>
          <w:lang w:val="en-GB"/>
        </w:rPr>
        <w:t>mD</w:t>
      </w:r>
      <w:r w:rsidRPr="006F04E6">
        <w:rPr>
          <w:rFonts w:ascii="Times New Roman" w:hAnsi="Times New Roman"/>
          <w:lang w:val="en-GB"/>
        </w:rPr>
        <w:t>sar</w:t>
      </w:r>
      <w:r w:rsidRPr="006F04E6">
        <w:rPr>
          <w:rFonts w:ascii="Times New Roman" w:hAnsi="Times New Roman"/>
          <w:vertAlign w:val="subscript"/>
          <w:lang w:val="en-GB"/>
        </w:rPr>
        <w:t>5</w:t>
      </w:r>
      <w:r w:rsidRPr="006F04E6">
        <w:rPr>
          <w:rFonts w:ascii="Times New Roman" w:hAnsi="Times New Roman"/>
          <w:lang w:val="en-GB"/>
        </w:rPr>
        <w:t>-du-ri-[ḫi-ni-še] ši-di-iš-tú-ni</w:t>
      </w:r>
    </w:p>
    <w:p w14:paraId="0E52981B" w14:textId="77777777" w:rsidR="00B4516E" w:rsidRPr="006F04E6" w:rsidRDefault="00B4516E" w:rsidP="00B4516E">
      <w:pPr>
        <w:rPr>
          <w:rFonts w:ascii="Times New Roman" w:hAnsi="Times New Roman"/>
          <w:lang w:val="en-GB"/>
        </w:rPr>
      </w:pPr>
    </w:p>
    <w:p w14:paraId="11A1F1E5"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 xml:space="preserve"> CTU I. A 2-11. Translation</w:t>
      </w:r>
    </w:p>
    <w:p w14:paraId="0CC98682"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“Thanks to Ḫaldi</w:t>
      </w:r>
      <w:r w:rsidRPr="006F04E6">
        <w:rPr>
          <w:rFonts w:ascii="Times New Roman" w:hAnsi="Times New Roman"/>
          <w:lang w:val="en-GB"/>
        </w:rPr>
        <w:fldChar w:fldCharType="begin"/>
      </w:r>
      <w:r w:rsidRPr="006F04E6">
        <w:rPr>
          <w:rFonts w:ascii="Times New Roman" w:hAnsi="Times New Roman"/>
          <w:lang w:val="en-GB"/>
        </w:rPr>
        <w:instrText xml:space="preserve"> XE "Ḫaldi" </w:instrText>
      </w:r>
      <w:r w:rsidRPr="006F04E6">
        <w:rPr>
          <w:rFonts w:ascii="Times New Roman" w:hAnsi="Times New Roman"/>
          <w:lang w:val="en-GB"/>
        </w:rPr>
        <w:fldChar w:fldCharType="end"/>
      </w:r>
      <w:r w:rsidRPr="006F04E6">
        <w:rPr>
          <w:rFonts w:ascii="Times New Roman" w:hAnsi="Times New Roman"/>
          <w:lang w:val="en-GB"/>
        </w:rPr>
        <w:t>’s protection, Išpuini</w:t>
      </w:r>
      <w:r w:rsidRPr="006F04E6">
        <w:rPr>
          <w:rFonts w:ascii="Times New Roman" w:hAnsi="Times New Roman"/>
          <w:lang w:val="en-GB"/>
        </w:rPr>
        <w:fldChar w:fldCharType="begin"/>
      </w:r>
      <w:r w:rsidRPr="006F04E6">
        <w:rPr>
          <w:rFonts w:ascii="Times New Roman" w:hAnsi="Times New Roman"/>
          <w:lang w:val="en-GB"/>
        </w:rPr>
        <w:instrText xml:space="preserve"> XE "</w:instrText>
      </w:r>
      <w:r w:rsidRPr="006F04E6">
        <w:rPr>
          <w:rFonts w:ascii="Times New Roman" w:hAnsi="Times New Roman"/>
          <w:i/>
          <w:lang w:val="en-GB"/>
        </w:rPr>
        <w:instrText>Išpuini</w:instrText>
      </w:r>
      <w:r w:rsidRPr="006F04E6">
        <w:rPr>
          <w:rFonts w:ascii="Times New Roman" w:hAnsi="Times New Roman"/>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Sarduri</w:t>
      </w:r>
      <w:r w:rsidRPr="006F04E6">
        <w:rPr>
          <w:rFonts w:ascii="Times New Roman" w:hAnsi="Times New Roman"/>
          <w:lang w:val="en-GB"/>
        </w:rPr>
        <w:fldChar w:fldCharType="begin"/>
      </w:r>
      <w:r w:rsidRPr="006F04E6">
        <w:rPr>
          <w:rFonts w:ascii="Times New Roman" w:hAnsi="Times New Roman"/>
          <w:lang w:val="en-GB"/>
        </w:rPr>
        <w:instrText xml:space="preserve"> XE "Sarduri" </w:instrText>
      </w:r>
      <w:r w:rsidRPr="006F04E6">
        <w:rPr>
          <w:rFonts w:ascii="Times New Roman" w:hAnsi="Times New Roman"/>
          <w:lang w:val="en-GB"/>
        </w:rPr>
        <w:fldChar w:fldCharType="end"/>
      </w:r>
      <w:r w:rsidRPr="006F04E6">
        <w:rPr>
          <w:rFonts w:ascii="Times New Roman" w:hAnsi="Times New Roman"/>
          <w:lang w:val="en-GB"/>
        </w:rPr>
        <w:t>’s son, built this building, and to perfection, and of such perfection in the building. The land was desert, Išpuini, son of Sarduri, built (it)”. Here in Urartian</w:t>
      </w:r>
      <w:r w:rsidRPr="006F04E6">
        <w:rPr>
          <w:rFonts w:ascii="Times New Roman" w:hAnsi="Times New Roman"/>
          <w:lang w:val="en-GB"/>
        </w:rPr>
        <w:fldChar w:fldCharType="begin"/>
      </w:r>
      <w:r w:rsidRPr="006F04E6">
        <w:rPr>
          <w:rFonts w:ascii="Times New Roman" w:hAnsi="Times New Roman"/>
          <w:lang w:val="en-GB"/>
        </w:rPr>
        <w:instrText xml:space="preserve"> XE "Urartian" </w:instrText>
      </w:r>
      <w:r w:rsidRPr="006F04E6">
        <w:rPr>
          <w:rFonts w:ascii="Times New Roman" w:hAnsi="Times New Roman"/>
          <w:lang w:val="en-GB"/>
        </w:rPr>
        <w:fldChar w:fldCharType="end"/>
      </w:r>
      <w:r w:rsidRPr="006F04E6">
        <w:rPr>
          <w:rFonts w:ascii="Times New Roman" w:hAnsi="Times New Roman"/>
          <w:lang w:val="en-GB"/>
        </w:rPr>
        <w:t xml:space="preserve"> ušmaše</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ušmaše</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“(divine) protection” (CTU V. 424; Salvini, 2021: 225-240). É </w:t>
      </w:r>
      <w:r w:rsidRPr="006F04E6">
        <w:rPr>
          <w:rFonts w:ascii="Times New Roman" w:hAnsi="Times New Roman"/>
          <w:lang w:val="en-GB"/>
        </w:rPr>
        <w:fldChar w:fldCharType="begin"/>
      </w:r>
      <w:r w:rsidRPr="006F04E6">
        <w:rPr>
          <w:rFonts w:ascii="Times New Roman" w:hAnsi="Times New Roman"/>
          <w:lang w:val="en-GB"/>
        </w:rPr>
        <w:instrText xml:space="preserve"> XE "É" </w:instrText>
      </w:r>
      <w:r w:rsidRPr="006F04E6">
        <w:rPr>
          <w:rFonts w:ascii="Times New Roman" w:hAnsi="Times New Roman"/>
          <w:lang w:val="en-GB"/>
        </w:rPr>
        <w:fldChar w:fldCharType="end"/>
      </w:r>
      <w:r w:rsidRPr="006F04E6">
        <w:rPr>
          <w:rFonts w:ascii="Times New Roman" w:hAnsi="Times New Roman"/>
          <w:lang w:val="en-GB"/>
        </w:rPr>
        <w:t xml:space="preserve">-ni-a is a spelling with a previously unattested phonetic complement. -a must be the locative suffix. Also, in CTU I. A 2-1 and A 2-10 has statement i-nu-ki ba-du-si-ni be-d[i] as well. </w:t>
      </w:r>
    </w:p>
    <w:p w14:paraId="2A39D210" w14:textId="77777777" w:rsidR="00B4516E" w:rsidRPr="006F04E6" w:rsidRDefault="00B4516E" w:rsidP="00B4516E">
      <w:pPr>
        <w:keepNext/>
        <w:keepLines/>
        <w:spacing w:before="280" w:after="80" w:line="276" w:lineRule="auto"/>
        <w:outlineLvl w:val="3"/>
        <w:rPr>
          <w:rFonts w:ascii="Times New Roman" w:hAnsi="Times New Roman"/>
          <w:b/>
          <w:lang w:val="en-GB"/>
        </w:rPr>
      </w:pPr>
      <w:r w:rsidRPr="006F04E6">
        <w:rPr>
          <w:rFonts w:ascii="Times New Roman" w:hAnsi="Times New Roman"/>
          <w:b/>
          <w:lang w:val="en-GB"/>
        </w:rPr>
        <w:t xml:space="preserve">4.2.2.1. Stele CTU I. A 3-4 by </w:t>
      </w:r>
      <w:r w:rsidRPr="006F04E6">
        <w:rPr>
          <w:rFonts w:ascii="Times New Roman" w:hAnsi="Times New Roman"/>
          <w:b/>
          <w:iCs/>
          <w:lang w:val="en-GB"/>
        </w:rPr>
        <w:t>Išpuini</w:t>
      </w:r>
      <w:r w:rsidRPr="006F04E6">
        <w:rPr>
          <w:rFonts w:ascii="Times New Roman" w:hAnsi="Times New Roman"/>
          <w:b/>
          <w:lang w:val="en-GB"/>
        </w:rPr>
        <w:fldChar w:fldCharType="begin"/>
      </w:r>
      <w:r w:rsidRPr="006F04E6">
        <w:rPr>
          <w:rFonts w:ascii="Arial" w:hAnsi="Arial"/>
          <w:color w:val="666666"/>
          <w:lang w:val="en-GB"/>
        </w:rPr>
        <w:instrText xml:space="preserve"> XE "</w:instrText>
      </w:r>
      <w:r w:rsidRPr="006F04E6">
        <w:rPr>
          <w:rFonts w:ascii="Times New Roman" w:hAnsi="Times New Roman"/>
          <w:iCs/>
          <w:color w:val="666666"/>
          <w:lang w:val="en-GB"/>
        </w:rPr>
        <w:instrText>Išpuini</w:instrText>
      </w:r>
      <w:r w:rsidRPr="006F04E6">
        <w:rPr>
          <w:rFonts w:ascii="Arial" w:hAnsi="Arial"/>
          <w:color w:val="666666"/>
          <w:lang w:val="en-GB"/>
        </w:rPr>
        <w:instrText xml:space="preserve">" </w:instrText>
      </w:r>
      <w:r w:rsidRPr="006F04E6">
        <w:rPr>
          <w:rFonts w:ascii="Times New Roman" w:hAnsi="Times New Roman"/>
          <w:b/>
          <w:lang w:val="en-GB"/>
        </w:rPr>
        <w:fldChar w:fldCharType="end"/>
      </w:r>
      <w:r w:rsidRPr="006F04E6">
        <w:rPr>
          <w:rFonts w:ascii="Times New Roman" w:hAnsi="Times New Roman"/>
          <w:b/>
          <w:lang w:val="en-GB"/>
        </w:rPr>
        <w:t xml:space="preserve"> and Minua</w:t>
      </w:r>
      <w:r w:rsidRPr="006F04E6">
        <w:rPr>
          <w:rFonts w:ascii="Times New Roman" w:hAnsi="Times New Roman"/>
          <w:b/>
          <w:lang w:val="en-GB"/>
        </w:rPr>
        <w:fldChar w:fldCharType="begin"/>
      </w:r>
      <w:r w:rsidRPr="006F04E6">
        <w:rPr>
          <w:rFonts w:ascii="Arial" w:hAnsi="Arial"/>
          <w:color w:val="666666"/>
          <w:lang w:val="en-GB"/>
        </w:rPr>
        <w:instrText xml:space="preserve"> XE "</w:instrText>
      </w:r>
      <w:r w:rsidRPr="006F04E6">
        <w:rPr>
          <w:rFonts w:ascii="Times New Roman" w:hAnsi="Times New Roman"/>
          <w:color w:val="666666"/>
          <w:lang w:val="en-GB"/>
        </w:rPr>
        <w:instrText>Minua</w:instrText>
      </w:r>
      <w:r w:rsidRPr="006F04E6">
        <w:rPr>
          <w:rFonts w:ascii="Arial" w:hAnsi="Arial"/>
          <w:color w:val="666666"/>
          <w:lang w:val="en-GB"/>
        </w:rPr>
        <w:instrText xml:space="preserve">" </w:instrText>
      </w:r>
      <w:r w:rsidRPr="006F04E6">
        <w:rPr>
          <w:rFonts w:ascii="Times New Roman" w:hAnsi="Times New Roman"/>
          <w:b/>
          <w:lang w:val="en-GB"/>
        </w:rPr>
        <w:fldChar w:fldCharType="end"/>
      </w:r>
      <w:r w:rsidRPr="006F04E6">
        <w:rPr>
          <w:rFonts w:ascii="Times New Roman" w:hAnsi="Times New Roman"/>
          <w:b/>
          <w:lang w:val="en-GB"/>
        </w:rPr>
        <w:t xml:space="preserve"> (Figs 13-14)</w:t>
      </w:r>
    </w:p>
    <w:p w14:paraId="073C896E" w14:textId="77777777" w:rsidR="00B4516E" w:rsidRPr="006F04E6" w:rsidRDefault="00B4516E" w:rsidP="00B4516E">
      <w:pPr>
        <w:jc w:val="both"/>
        <w:rPr>
          <w:rFonts w:ascii="Times New Roman" w:hAnsi="Times New Roman"/>
          <w:lang w:val="en-GB"/>
        </w:rPr>
      </w:pPr>
      <w:r w:rsidRPr="006F04E6">
        <w:rPr>
          <w:rFonts w:ascii="Times New Roman" w:eastAsia="Calibri" w:hAnsi="Times New Roman" w:cs="Times New Roman"/>
          <w:lang w:val="en-GB"/>
        </w:rPr>
        <w:t>The stele</w:t>
      </w:r>
      <w:r w:rsidRPr="006F04E6">
        <w:rPr>
          <w:rFonts w:ascii="Times New Roman" w:hAnsi="Times New Roman"/>
          <w:lang w:val="en-GB"/>
        </w:rPr>
        <w:t xml:space="preserve"> has been lost. It was inserted </w:t>
      </w:r>
      <w:r w:rsidRPr="006F04E6">
        <w:rPr>
          <w:rFonts w:ascii="Times New Roman" w:eastAsia="Calibri" w:hAnsi="Times New Roman" w:cs="Times New Roman"/>
          <w:lang w:val="en-GB"/>
        </w:rPr>
        <w:t>into</w:t>
      </w:r>
      <w:r w:rsidRPr="006F04E6">
        <w:rPr>
          <w:rFonts w:ascii="Times New Roman" w:hAnsi="Times New Roman"/>
          <w:lang w:val="en-GB"/>
        </w:rPr>
        <w:t xml:space="preserve"> the ancient wall of the Armenian</w:t>
      </w:r>
      <w:r w:rsidRPr="006F04E6">
        <w:rPr>
          <w:rFonts w:ascii="Times New Roman" w:eastAsia="Calibri" w:hAnsi="Times New Roman" w:cs="Times New Roman"/>
          <w:lang w:val="en-GB"/>
        </w:rPr>
        <w:t xml:space="preserve"> Church</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"Armenian"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church</w:t>
      </w:r>
      <w:r w:rsidRPr="006F04E6">
        <w:rPr>
          <w:rFonts w:ascii="Times New Roman" w:hAnsi="Times New Roman"/>
          <w:lang w:val="en-GB"/>
        </w:rPr>
        <w:t xml:space="preserve"> of Surp Boğos </w:t>
      </w:r>
      <w:r w:rsidRPr="006F04E6">
        <w:rPr>
          <w:rFonts w:asciiTheme="majorBidi" w:hAnsiTheme="majorBidi" w:cstheme="majorBidi"/>
          <w:lang w:val="en-GB"/>
        </w:rPr>
        <w:t>Church</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"Surp Boğos Church"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 xml:space="preserve">in Van. </w:t>
      </w:r>
      <w:r w:rsidRPr="006F04E6">
        <w:rPr>
          <w:rFonts w:ascii="Times New Roman" w:eastAsia="Calibri" w:hAnsi="Times New Roman" w:cs="Times New Roman"/>
          <w:lang w:val="en-GB"/>
        </w:rPr>
        <w:t>There were two exact</w:t>
      </w:r>
      <w:r w:rsidRPr="006F04E6">
        <w:rPr>
          <w:rFonts w:ascii="Times New Roman" w:hAnsi="Times New Roman"/>
          <w:lang w:val="en-GB"/>
        </w:rPr>
        <w:t xml:space="preserve"> duplicates of the text on the two faces of the stele, which had been reused as </w:t>
      </w:r>
      <w:r w:rsidRPr="006F04E6">
        <w:rPr>
          <w:rFonts w:ascii="Times New Roman" w:eastAsia="Calibri" w:hAnsi="Times New Roman" w:cs="Times New Roman"/>
          <w:lang w:val="en-GB"/>
        </w:rPr>
        <w:t xml:space="preserve">a </w:t>
      </w:r>
      <w:r w:rsidRPr="006F04E6">
        <w:rPr>
          <w:rFonts w:ascii="Times New Roman" w:hAnsi="Times New Roman"/>
          <w:lang w:val="en-GB"/>
        </w:rPr>
        <w:t>hačkar</w:t>
      </w:r>
      <w:r w:rsidRPr="006F04E6">
        <w:rPr>
          <w:rFonts w:ascii="Times New Roman" w:eastAsia="Calibri" w:hAnsi="Times New Roman" w:cs="Times New Roman"/>
          <w:lang w:val="en-GB"/>
        </w:rPr>
        <w:t>.</w:t>
      </w:r>
      <w:r w:rsidRPr="006F04E6">
        <w:rPr>
          <w:rFonts w:ascii="Times New Roman" w:hAnsi="Times New Roman"/>
          <w:lang w:val="en-GB"/>
        </w:rPr>
        <w:t xml:space="preserve"> The </w:t>
      </w:r>
      <w:r w:rsidRPr="006F04E6">
        <w:rPr>
          <w:rFonts w:ascii="Times New Roman" w:eastAsia="Calibri" w:hAnsi="Times New Roman" w:cs="Times New Roman"/>
          <w:lang w:val="en-GB"/>
        </w:rPr>
        <w:t>standard</w:t>
      </w:r>
      <w:r w:rsidRPr="006F04E6">
        <w:rPr>
          <w:rFonts w:ascii="Times New Roman" w:hAnsi="Times New Roman"/>
          <w:lang w:val="en-GB"/>
        </w:rPr>
        <w:t xml:space="preserve"> part preserved is Obv. 9'-42 '= Rev. 1'-20'; the final part of the Rev, lines 21'-34 ', also contains a long and complex curse formula. </w:t>
      </w:r>
      <w:r w:rsidRPr="006F04E6">
        <w:rPr>
          <w:rFonts w:ascii="Times New Roman" w:eastAsia="Calibri" w:hAnsi="Times New Roman" w:cs="Times New Roman"/>
          <w:lang w:val="en-GB"/>
        </w:rPr>
        <w:t>The original</w:t>
      </w:r>
      <w:r w:rsidRPr="006F04E6">
        <w:rPr>
          <w:rFonts w:ascii="Times New Roman" w:hAnsi="Times New Roman"/>
          <w:lang w:val="en-GB"/>
        </w:rPr>
        <w:t xml:space="preserve"> disappeared, </w:t>
      </w:r>
      <w:r w:rsidRPr="006F04E6">
        <w:rPr>
          <w:rFonts w:ascii="Times New Roman" w:eastAsia="Calibri" w:hAnsi="Times New Roman" w:cs="Times New Roman"/>
          <w:lang w:val="en-GB"/>
        </w:rPr>
        <w:t xml:space="preserve">and it was </w:t>
      </w:r>
      <w:r w:rsidRPr="006F04E6">
        <w:rPr>
          <w:rFonts w:ascii="Times New Roman" w:hAnsi="Times New Roman"/>
          <w:lang w:val="en-GB"/>
        </w:rPr>
        <w:t>lost with the destruction of the church at the time of World War I. We have Lehmann-</w:t>
      </w:r>
      <w:r w:rsidRPr="006F04E6">
        <w:rPr>
          <w:rFonts w:ascii="Times New Roman" w:eastAsia="Calibri" w:hAnsi="Times New Roman" w:cs="Times New Roman"/>
          <w:lang w:val="en-GB"/>
        </w:rPr>
        <w:t>Haupt's estam pages</w:t>
      </w:r>
      <w:r w:rsidRPr="006F04E6">
        <w:rPr>
          <w:rFonts w:ascii="Times New Roman" w:hAnsi="Times New Roman"/>
          <w:lang w:val="en-GB"/>
        </w:rPr>
        <w:t xml:space="preserve"> published in CICh. They are kept in the Vorderasiatisches Museum, Berlin. It is not clear how much is missing at the beginning.</w:t>
      </w:r>
    </w:p>
    <w:p w14:paraId="3870FDBB" w14:textId="77777777" w:rsidR="00B4516E" w:rsidRPr="00630776" w:rsidRDefault="00B4516E" w:rsidP="00B4516E">
      <w:pPr>
        <w:jc w:val="both"/>
        <w:rPr>
          <w:rFonts w:ascii="Times New Roman" w:hAnsi="Times New Roman"/>
          <w:lang w:val="en-GB"/>
        </w:rPr>
      </w:pPr>
    </w:p>
    <w:p w14:paraId="61C2AE52" w14:textId="77777777" w:rsidR="00B4516E" w:rsidRPr="00CC135C" w:rsidRDefault="00B4516E" w:rsidP="00B4516E">
      <w:pPr>
        <w:jc w:val="both"/>
        <w:rPr>
          <w:rFonts w:ascii="Times New Roman" w:hAnsi="Times New Roman"/>
          <w:lang w:val="en-GB"/>
        </w:rPr>
      </w:pPr>
    </w:p>
    <w:p w14:paraId="04A67342" w14:textId="77777777" w:rsidR="00B4516E" w:rsidRPr="00CC135C" w:rsidRDefault="00B4516E" w:rsidP="00B4516E">
      <w:pPr>
        <w:rPr>
          <w:rFonts w:ascii="Times New Roman" w:hAnsi="Times New Roman"/>
          <w:b/>
          <w:lang w:val="en-GB"/>
        </w:rPr>
      </w:pPr>
      <w:r w:rsidRPr="00CC135C">
        <w:rPr>
          <w:rFonts w:ascii="Times New Roman" w:hAnsi="Times New Roman"/>
          <w:b/>
          <w:lang w:val="en-GB"/>
        </w:rPr>
        <w:lastRenderedPageBreak/>
        <w:t>CTU I. A 3-4 obv.</w:t>
      </w:r>
    </w:p>
    <w:p w14:paraId="00A05AEF"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w:t>
      </w:r>
      <w:r w:rsidRPr="00BB575E">
        <w:rPr>
          <w:rFonts w:ascii="Times New Roman" w:hAnsi="Times New Roman"/>
          <w:lang w:val="en-GB"/>
        </w:rPr>
        <w:tab/>
        <w:t xml:space="preserve">[x x x x] </w:t>
      </w:r>
      <w:r w:rsidRPr="00BB575E">
        <w:rPr>
          <w:rFonts w:ascii="Times New Roman" w:hAnsi="Times New Roman"/>
          <w:vertAlign w:val="superscript"/>
          <w:lang w:val="en-GB"/>
        </w:rPr>
        <w:t>m</w:t>
      </w:r>
      <w:r w:rsidRPr="00BB575E">
        <w:rPr>
          <w:rFonts w:ascii="Times New Roman" w:hAnsi="Times New Roman"/>
          <w:lang w:val="en-GB"/>
        </w:rPr>
        <w:t>iš-pu-ú-i-ni-</w:t>
      </w:r>
      <w:r w:rsidRPr="00BB575E">
        <w:rPr>
          <w:rFonts w:ascii="Cambria Math" w:hAnsi="Cambria Math"/>
          <w:lang w:val="en-GB"/>
        </w:rPr>
        <w:t>⌈</w:t>
      </w:r>
      <w:r w:rsidRPr="00BB575E">
        <w:rPr>
          <w:rFonts w:ascii="Times New Roman" w:hAnsi="Times New Roman"/>
          <w:lang w:val="en-GB"/>
        </w:rPr>
        <w:t>še</w:t>
      </w:r>
      <w:r w:rsidRPr="00BB575E">
        <w:rPr>
          <w:rFonts w:ascii="Cambria Math" w:hAnsi="Cambria Math"/>
          <w:lang w:val="en-GB"/>
        </w:rPr>
        <w:t>⌉</w:t>
      </w:r>
    </w:p>
    <w:p w14:paraId="22CD3FE5"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w:t>
      </w:r>
      <w:r w:rsidRPr="00BB575E">
        <w:rPr>
          <w:rFonts w:ascii="Calibri" w:hAnsi="Calibri"/>
        </w:rPr>
        <w:tab/>
      </w:r>
      <w:r w:rsidRPr="00BB575E">
        <w:rPr>
          <w:rFonts w:ascii="Times New Roman" w:hAnsi="Times New Roman"/>
          <w:lang w:val="en-GB"/>
        </w:rPr>
        <w:t>[</w:t>
      </w:r>
      <w:r w:rsidRPr="00BB575E">
        <w:rPr>
          <w:rFonts w:ascii="Times New Roman" w:hAnsi="Times New Roman"/>
          <w:vertAlign w:val="superscript"/>
          <w:lang w:val="en-GB"/>
        </w:rPr>
        <w:t>mD</w:t>
      </w:r>
      <w:r w:rsidRPr="00BB575E">
        <w:rPr>
          <w:rFonts w:ascii="Times New Roman" w:hAnsi="Times New Roman"/>
          <w:lang w:val="en-GB"/>
        </w:rPr>
        <w:t>]sar</w:t>
      </w:r>
      <w:r w:rsidRPr="00BB575E">
        <w:rPr>
          <w:rFonts w:ascii="Times New Roman" w:hAnsi="Times New Roman"/>
          <w:vertAlign w:val="subscript"/>
          <w:lang w:val="en-GB"/>
        </w:rPr>
        <w:t>5</w:t>
      </w:r>
      <w:r w:rsidRPr="00BB575E">
        <w:rPr>
          <w:rFonts w:ascii="Times New Roman" w:hAnsi="Times New Roman"/>
          <w:lang w:val="en-GB"/>
        </w:rPr>
        <w:t>-du-ri-e-ḫi-ni-</w:t>
      </w:r>
      <w:r w:rsidRPr="00BB575E">
        <w:rPr>
          <w:rFonts w:ascii="Cambria Math" w:hAnsi="Cambria Math"/>
          <w:lang w:val="en-GB"/>
        </w:rPr>
        <w:t>⌈</w:t>
      </w:r>
      <w:r w:rsidRPr="00BB575E">
        <w:rPr>
          <w:rFonts w:ascii="Times New Roman" w:hAnsi="Times New Roman"/>
          <w:lang w:val="en-GB"/>
        </w:rPr>
        <w:t>še</w:t>
      </w:r>
      <w:r w:rsidRPr="00BB575E">
        <w:rPr>
          <w:rFonts w:ascii="Cambria Math" w:hAnsi="Cambria Math"/>
          <w:lang w:val="en-GB"/>
        </w:rPr>
        <w:t>⌉</w:t>
      </w:r>
    </w:p>
    <w:p w14:paraId="3718E918"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w:t>
      </w:r>
      <w:r w:rsidRPr="00BB575E">
        <w:rPr>
          <w:rFonts w:ascii="Times New Roman" w:hAnsi="Times New Roman"/>
          <w:lang w:val="en-GB"/>
        </w:rPr>
        <w:tab/>
        <w:t>[</w:t>
      </w:r>
      <w:r w:rsidRPr="00BB575E">
        <w:rPr>
          <w:rFonts w:ascii="Times New Roman" w:hAnsi="Times New Roman"/>
          <w:vertAlign w:val="superscript"/>
          <w:lang w:val="en-GB"/>
        </w:rPr>
        <w:t>m</w:t>
      </w:r>
      <w:r w:rsidRPr="00BB575E">
        <w:rPr>
          <w:rFonts w:ascii="Times New Roman" w:hAnsi="Times New Roman"/>
          <w:lang w:val="en-GB"/>
        </w:rPr>
        <w:t>]mì-i-nu-ú-[a-še]</w:t>
      </w:r>
    </w:p>
    <w:p w14:paraId="51B305D6"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4'</w:t>
      </w:r>
      <w:r w:rsidRPr="00BB575E">
        <w:rPr>
          <w:rFonts w:ascii="Times New Roman" w:hAnsi="Times New Roman"/>
          <w:lang w:val="en-GB"/>
        </w:rPr>
        <w:tab/>
        <w:t>[</w:t>
      </w:r>
      <w:r w:rsidRPr="00BB575E">
        <w:rPr>
          <w:rFonts w:ascii="Times New Roman" w:hAnsi="Times New Roman"/>
          <w:vertAlign w:val="superscript"/>
          <w:lang w:val="en-GB"/>
        </w:rPr>
        <w:t>m</w:t>
      </w:r>
      <w:r w:rsidRPr="00BB575E">
        <w:rPr>
          <w:rFonts w:ascii="Times New Roman" w:hAnsi="Times New Roman"/>
          <w:lang w:val="en-GB"/>
        </w:rPr>
        <w:t>i]š-pu-ú-i-ni-e-ḫi-ni-[še]</w:t>
      </w:r>
    </w:p>
    <w:p w14:paraId="5BF3C93E"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5'</w:t>
      </w:r>
      <w:r w:rsidRPr="00BB575E">
        <w:rPr>
          <w:rFonts w:ascii="Times New Roman" w:hAnsi="Times New Roman"/>
          <w:lang w:val="en-GB"/>
        </w:rPr>
        <w:tab/>
        <w:t>[ḫa]-</w:t>
      </w:r>
      <w:r w:rsidRPr="00BB575E">
        <w:rPr>
          <w:rFonts w:ascii="Cambria Math" w:hAnsi="Cambria Math"/>
          <w:lang w:val="en-GB"/>
        </w:rPr>
        <w:t>⌈</w:t>
      </w:r>
      <w:r w:rsidRPr="00BB575E">
        <w:rPr>
          <w:rFonts w:ascii="Times New Roman" w:hAnsi="Times New Roman"/>
          <w:lang w:val="en-GB"/>
        </w:rPr>
        <w:t>a-i</w:t>
      </w:r>
      <w:r w:rsidRPr="00BB575E">
        <w:rPr>
          <w:rFonts w:ascii="Cambria Math" w:hAnsi="Cambria Math"/>
          <w:lang w:val="en-GB"/>
        </w:rPr>
        <w:t>⌉</w:t>
      </w:r>
      <w:r w:rsidRPr="00BB575E">
        <w:rPr>
          <w:rFonts w:ascii="Times New Roman" w:hAnsi="Times New Roman"/>
          <w:lang w:val="en-GB"/>
        </w:rPr>
        <w:t xml:space="preserve">-tú </w:t>
      </w:r>
      <w:r w:rsidRPr="00BB575E">
        <w:rPr>
          <w:rFonts w:ascii="Times New Roman" w:hAnsi="Times New Roman"/>
          <w:vertAlign w:val="superscript"/>
          <w:lang w:val="en-GB"/>
        </w:rPr>
        <w:t>m</w:t>
      </w:r>
      <w:r w:rsidRPr="00BB575E">
        <w:rPr>
          <w:rFonts w:ascii="Cambria Math" w:hAnsi="Cambria Math"/>
          <w:lang w:val="en-GB"/>
        </w:rPr>
        <w:t>⌈</w:t>
      </w:r>
      <w:r w:rsidRPr="00BB575E">
        <w:rPr>
          <w:rFonts w:ascii="Times New Roman" w:hAnsi="Times New Roman"/>
          <w:lang w:val="en-GB"/>
        </w:rPr>
        <w:t>lu</w:t>
      </w:r>
      <w:r w:rsidRPr="00BB575E">
        <w:rPr>
          <w:rFonts w:ascii="Cambria Math" w:hAnsi="Cambria Math"/>
          <w:lang w:val="en-GB"/>
        </w:rPr>
        <w:t>⌉</w:t>
      </w:r>
      <w:r w:rsidRPr="00BB575E">
        <w:rPr>
          <w:rFonts w:ascii="Times New Roman" w:hAnsi="Times New Roman"/>
          <w:lang w:val="en-GB"/>
        </w:rPr>
        <w:t>-ú-šá-[a]</w:t>
      </w:r>
    </w:p>
    <w:p w14:paraId="327C3BF2"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6'</w:t>
      </w:r>
      <w:r w:rsidRPr="00BB575E">
        <w:rPr>
          <w:rFonts w:ascii="Times New Roman" w:hAnsi="Times New Roman"/>
          <w:lang w:val="en-GB"/>
        </w:rPr>
        <w:tab/>
      </w:r>
      <w:r w:rsidRPr="00BB575E">
        <w:rPr>
          <w:rFonts w:ascii="Times New Roman" w:hAnsi="Times New Roman"/>
          <w:vertAlign w:val="superscript"/>
          <w:lang w:val="en-GB"/>
        </w:rPr>
        <w:t>m</w:t>
      </w:r>
      <w:r w:rsidRPr="00BB575E">
        <w:rPr>
          <w:rFonts w:ascii="Times New Roman" w:hAnsi="Times New Roman"/>
          <w:lang w:val="en-GB"/>
        </w:rPr>
        <w:t>ka-a-tar-za-a</w:t>
      </w:r>
    </w:p>
    <w:p w14:paraId="63148662"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7'</w:t>
      </w:r>
      <w:r w:rsidRPr="00BB575E">
        <w:rPr>
          <w:rFonts w:ascii="Times New Roman" w:hAnsi="Times New Roman"/>
          <w:lang w:val="en-GB"/>
        </w:rPr>
        <w:tab/>
        <w:t>[ ]x-i[-x x n]i?-l[i]</w:t>
      </w:r>
    </w:p>
    <w:p w14:paraId="257444C8"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8'</w:t>
      </w:r>
      <w:r w:rsidRPr="00BB575E">
        <w:rPr>
          <w:rFonts w:ascii="Times New Roman" w:hAnsi="Times New Roman"/>
          <w:lang w:val="en-GB"/>
        </w:rPr>
        <w:tab/>
        <w:t>[ku]-ṭi</w:t>
      </w:r>
      <w:r w:rsidRPr="00BB575E">
        <w:rPr>
          <w:rFonts w:ascii="Times New Roman" w:hAnsi="Times New Roman"/>
          <w:vertAlign w:val="subscript"/>
          <w:lang w:val="en-GB"/>
        </w:rPr>
        <w:t>5</w:t>
      </w:r>
      <w:r w:rsidRPr="00BB575E">
        <w:rPr>
          <w:rFonts w:ascii="Times New Roman" w:hAnsi="Times New Roman"/>
          <w:lang w:val="en-GB"/>
        </w:rPr>
        <w:t>-</w:t>
      </w:r>
      <w:r w:rsidRPr="00BB575E">
        <w:rPr>
          <w:rFonts w:ascii="Cambria Math" w:hAnsi="Cambria Math"/>
          <w:lang w:val="en-GB"/>
        </w:rPr>
        <w:t>⌈</w:t>
      </w:r>
      <w:r w:rsidRPr="00BB575E">
        <w:rPr>
          <w:rFonts w:ascii="Times New Roman" w:hAnsi="Times New Roman"/>
          <w:lang w:val="en-GB"/>
        </w:rPr>
        <w:t>i</w:t>
      </w:r>
      <w:r w:rsidRPr="00BB575E">
        <w:rPr>
          <w:rFonts w:ascii="Cambria Math" w:hAnsi="Cambria Math"/>
          <w:lang w:val="en-GB"/>
        </w:rPr>
        <w:t>⌉</w:t>
      </w:r>
      <w:r w:rsidRPr="00BB575E">
        <w:rPr>
          <w:rFonts w:ascii="Times New Roman" w:hAnsi="Times New Roman"/>
          <w:lang w:val="en-GB"/>
        </w:rPr>
        <w:t>-[tú] pa-a-ri-[e?]</w:t>
      </w:r>
    </w:p>
    <w:p w14:paraId="787F64B3"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9'</w:t>
      </w:r>
      <w:r w:rsidRPr="00BB575E">
        <w:rPr>
          <w:rFonts w:ascii="Times New Roman" w:hAnsi="Times New Roman"/>
          <w:lang w:val="en-GB"/>
        </w:rPr>
        <w:tab/>
        <w:t>[</w:t>
      </w:r>
      <w:r w:rsidRPr="00BB575E">
        <w:rPr>
          <w:rFonts w:ascii="Times New Roman" w:hAnsi="Times New Roman"/>
          <w:vertAlign w:val="superscript"/>
          <w:lang w:val="en-GB"/>
        </w:rPr>
        <w:t>URU</w:t>
      </w:r>
      <w:r w:rsidRPr="00BB575E">
        <w:rPr>
          <w:rFonts w:ascii="Times New Roman" w:hAnsi="Times New Roman"/>
          <w:lang w:val="en-GB"/>
        </w:rPr>
        <w:t>]a-na-ši-i[-e]</w:t>
      </w:r>
    </w:p>
    <w:p w14:paraId="4A472222"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10'</w:t>
      </w:r>
      <w:r w:rsidRPr="00BB575E">
        <w:rPr>
          <w:rFonts w:ascii="Times New Roman" w:hAnsi="Times New Roman"/>
          <w:lang w:val="en-GB"/>
        </w:rPr>
        <w:tab/>
        <w:t xml:space="preserve">[pa]-ri </w:t>
      </w:r>
      <w:r w:rsidRPr="00BB575E">
        <w:rPr>
          <w:rFonts w:ascii="Times New Roman" w:hAnsi="Times New Roman"/>
          <w:vertAlign w:val="superscript"/>
          <w:lang w:val="en-GB"/>
        </w:rPr>
        <w:t>U[RU]</w:t>
      </w:r>
      <w:r w:rsidRPr="00BB575E">
        <w:rPr>
          <w:rFonts w:ascii="Times New Roman" w:hAnsi="Times New Roman"/>
          <w:lang w:val="en-GB"/>
        </w:rPr>
        <w:t>ma-[(qu-)]ru-tar[-a/za]</w:t>
      </w:r>
    </w:p>
    <w:p w14:paraId="25F55CFA"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11'</w:t>
      </w:r>
      <w:r w:rsidRPr="00BB575E">
        <w:rPr>
          <w:rFonts w:ascii="Times New Roman" w:hAnsi="Times New Roman"/>
          <w:lang w:val="en-GB"/>
        </w:rPr>
        <w:tab/>
        <w:t xml:space="preserve">[ki?-d]a?-nu-bi </w:t>
      </w:r>
      <w:r w:rsidRPr="00BB575E">
        <w:rPr>
          <w:rFonts w:ascii="Times New Roman" w:hAnsi="Times New Roman"/>
          <w:vertAlign w:val="superscript"/>
          <w:lang w:val="en-GB"/>
        </w:rPr>
        <w:t>m</w:t>
      </w:r>
      <w:r w:rsidRPr="00BB575E">
        <w:rPr>
          <w:rFonts w:ascii="Times New Roman" w:hAnsi="Times New Roman"/>
          <w:lang w:val="en-GB"/>
        </w:rPr>
        <w:t>ú-</w:t>
      </w:r>
      <w:r w:rsidRPr="00BB575E">
        <w:rPr>
          <w:rFonts w:ascii="Cambria Math" w:hAnsi="Cambria Math"/>
          <w:lang w:val="en-GB"/>
        </w:rPr>
        <w:t>⌈</w:t>
      </w:r>
      <w:r w:rsidRPr="00BB575E">
        <w:rPr>
          <w:rFonts w:ascii="Times New Roman" w:hAnsi="Times New Roman"/>
          <w:lang w:val="en-GB"/>
        </w:rPr>
        <w:t>i</w:t>
      </w:r>
      <w:r w:rsidRPr="00BB575E">
        <w:rPr>
          <w:rFonts w:ascii="Cambria Math" w:hAnsi="Cambria Math"/>
          <w:lang w:val="en-GB"/>
        </w:rPr>
        <w:t>⌉</w:t>
      </w:r>
      <w:r w:rsidRPr="00BB575E">
        <w:rPr>
          <w:rFonts w:ascii="Times New Roman" w:hAnsi="Times New Roman"/>
          <w:lang w:val="en-GB"/>
        </w:rPr>
        <w:t>-ṭè-ru-[(ḫi)]</w:t>
      </w:r>
    </w:p>
    <w:p w14:paraId="50FCA881"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12'</w:t>
      </w:r>
      <w:r w:rsidRPr="00BB575E">
        <w:rPr>
          <w:rFonts w:ascii="Times New Roman" w:hAnsi="Times New Roman"/>
          <w:lang w:val="en-GB"/>
        </w:rPr>
        <w:tab/>
        <w:t>[</w:t>
      </w:r>
      <w:r w:rsidRPr="00BB575E">
        <w:rPr>
          <w:rFonts w:ascii="Times New Roman" w:hAnsi="Times New Roman"/>
          <w:vertAlign w:val="superscript"/>
          <w:lang w:val="en-GB"/>
        </w:rPr>
        <w:t>m</w:t>
      </w:r>
      <w:r w:rsidRPr="00BB575E">
        <w:rPr>
          <w:rFonts w:ascii="Times New Roman" w:hAnsi="Times New Roman"/>
          <w:lang w:val="en-GB"/>
        </w:rPr>
        <w:t>l]u-šá-a [</w:t>
      </w:r>
      <w:r w:rsidRPr="00BB575E">
        <w:rPr>
          <w:rFonts w:ascii="Times New Roman" w:hAnsi="Times New Roman"/>
          <w:vertAlign w:val="superscript"/>
          <w:lang w:val="en-GB"/>
        </w:rPr>
        <w:t>m</w:t>
      </w:r>
      <w:r w:rsidRPr="00BB575E">
        <w:rPr>
          <w:rFonts w:ascii="Times New Roman" w:hAnsi="Times New Roman"/>
          <w:lang w:val="en-GB"/>
        </w:rPr>
        <w:t>]ka-tar-za-[a]</w:t>
      </w:r>
    </w:p>
    <w:p w14:paraId="07D933DC"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13'</w:t>
      </w:r>
      <w:r w:rsidRPr="00BB575E">
        <w:rPr>
          <w:rFonts w:ascii="Times New Roman" w:hAnsi="Times New Roman"/>
          <w:lang w:val="en-GB"/>
        </w:rPr>
        <w:tab/>
        <w:t>[bur-g(a-la-l)]i [L]UGAL[(</w:t>
      </w:r>
      <w:r w:rsidRPr="00BB575E">
        <w:rPr>
          <w:rFonts w:ascii="Times New Roman" w:hAnsi="Times New Roman"/>
          <w:vertAlign w:val="superscript"/>
          <w:lang w:val="en-GB"/>
        </w:rPr>
        <w:t>MEŠ</w:t>
      </w:r>
      <w:r w:rsidRPr="00BB575E">
        <w:rPr>
          <w:rFonts w:ascii="Times New Roman" w:hAnsi="Times New Roman"/>
          <w:lang w:val="en-GB"/>
        </w:rPr>
        <w:t>)]</w:t>
      </w:r>
    </w:p>
    <w:p w14:paraId="32A72DFA"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14'</w:t>
      </w:r>
      <w:r w:rsidRPr="00BB575E">
        <w:rPr>
          <w:rFonts w:ascii="Times New Roman" w:hAnsi="Times New Roman"/>
          <w:lang w:val="en-GB"/>
        </w:rPr>
        <w:tab/>
        <w:t>[(</w:t>
      </w:r>
      <w:r w:rsidRPr="00BB575E">
        <w:rPr>
          <w:rFonts w:ascii="Times New Roman" w:hAnsi="Times New Roman"/>
          <w:vertAlign w:val="superscript"/>
          <w:lang w:val="en-GB"/>
        </w:rPr>
        <w:t>KUR</w:t>
      </w:r>
      <w:r w:rsidRPr="00BB575E">
        <w:rPr>
          <w:rFonts w:ascii="Times New Roman" w:hAnsi="Times New Roman"/>
          <w:lang w:val="en-GB"/>
        </w:rPr>
        <w:t>)]e-ti-ú-ḫi-[(ni-)]e-</w:t>
      </w:r>
      <w:r w:rsidRPr="00BB575E">
        <w:rPr>
          <w:rFonts w:ascii="Cambria Math" w:hAnsi="Cambria Math"/>
          <w:lang w:val="en-GB"/>
        </w:rPr>
        <w:t>⌈</w:t>
      </w:r>
      <w:r w:rsidRPr="00BB575E">
        <w:rPr>
          <w:rFonts w:ascii="Times New Roman" w:hAnsi="Times New Roman"/>
          <w:lang w:val="en-GB"/>
        </w:rPr>
        <w:t>li</w:t>
      </w:r>
      <w:r w:rsidRPr="00BB575E">
        <w:rPr>
          <w:rFonts w:ascii="Cambria Math" w:hAnsi="Cambria Math"/>
          <w:lang w:val="en-GB"/>
        </w:rPr>
        <w:t>⌉</w:t>
      </w:r>
    </w:p>
    <w:p w14:paraId="529BAC5B"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15'</w:t>
      </w:r>
      <w:r w:rsidRPr="00BB575E">
        <w:rPr>
          <w:rFonts w:ascii="Times New Roman" w:hAnsi="Times New Roman"/>
          <w:lang w:val="en-GB"/>
        </w:rPr>
        <w:tab/>
        <w:t>[a(r-nu-ia-li)] uš-ta-a-[bi]</w:t>
      </w:r>
    </w:p>
    <w:p w14:paraId="39300569"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16'</w:t>
      </w:r>
      <w:r w:rsidRPr="00BB575E">
        <w:rPr>
          <w:rFonts w:ascii="Times New Roman" w:hAnsi="Times New Roman"/>
          <w:lang w:val="en-GB"/>
        </w:rPr>
        <w:tab/>
        <w:t>[</w:t>
      </w:r>
      <w:r w:rsidRPr="00BB575E">
        <w:rPr>
          <w:rFonts w:ascii="Times New Roman" w:hAnsi="Times New Roman"/>
          <w:vertAlign w:val="superscript"/>
          <w:lang w:val="en-GB"/>
        </w:rPr>
        <w:t>D</w:t>
      </w:r>
      <w:r w:rsidRPr="00BB575E">
        <w:rPr>
          <w:rFonts w:ascii="Times New Roman" w:hAnsi="Times New Roman"/>
          <w:lang w:val="en-GB"/>
        </w:rPr>
        <w:t xml:space="preserve">ḫal-(di-ni ma-s)]i-ni </w:t>
      </w:r>
      <w:r w:rsidRPr="00BB575E">
        <w:rPr>
          <w:rFonts w:ascii="Times New Roman" w:hAnsi="Times New Roman"/>
          <w:vertAlign w:val="superscript"/>
          <w:lang w:val="en-GB"/>
        </w:rPr>
        <w:t>GIŠ</w:t>
      </w:r>
      <w:r w:rsidRPr="00BB575E">
        <w:rPr>
          <w:rFonts w:ascii="Times New Roman" w:hAnsi="Times New Roman"/>
          <w:lang w:val="en-GB"/>
        </w:rPr>
        <w:t>šú-ri-e</w:t>
      </w:r>
    </w:p>
    <w:p w14:paraId="024C6BA2"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17'</w:t>
      </w:r>
      <w:r w:rsidRPr="00BB575E">
        <w:rPr>
          <w:rFonts w:ascii="Times New Roman" w:hAnsi="Times New Roman"/>
          <w:lang w:val="en-GB"/>
        </w:rPr>
        <w:tab/>
        <w:t>[(</w:t>
      </w:r>
      <w:r w:rsidRPr="00BB575E">
        <w:rPr>
          <w:rFonts w:ascii="Times New Roman" w:hAnsi="Times New Roman"/>
          <w:vertAlign w:val="superscript"/>
          <w:lang w:val="en-GB"/>
        </w:rPr>
        <w:t>m</w:t>
      </w:r>
      <w:r w:rsidRPr="00BB575E">
        <w:rPr>
          <w:rFonts w:ascii="Times New Roman" w:hAnsi="Times New Roman"/>
          <w:lang w:val="en-GB"/>
        </w:rPr>
        <w:t>ú-i-ṭè-ru-ḫi-ni)]-e-</w:t>
      </w:r>
      <w:r w:rsidRPr="00BB575E">
        <w:rPr>
          <w:rFonts w:ascii="Cambria Math" w:hAnsi="Cambria Math"/>
          <w:lang w:val="en-GB"/>
        </w:rPr>
        <w:t>⌈</w:t>
      </w:r>
      <w:r w:rsidRPr="00BB575E">
        <w:rPr>
          <w:rFonts w:ascii="Times New Roman" w:hAnsi="Times New Roman"/>
          <w:lang w:val="en-GB"/>
        </w:rPr>
        <w:t>di</w:t>
      </w:r>
      <w:r w:rsidRPr="00BB575E">
        <w:rPr>
          <w:rFonts w:ascii="Cambria Math" w:hAnsi="Cambria Math"/>
          <w:lang w:val="en-GB"/>
        </w:rPr>
        <w:t>⌉</w:t>
      </w:r>
    </w:p>
    <w:p w14:paraId="48C9DB33"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18'</w:t>
      </w:r>
      <w:r w:rsidRPr="00BB575E">
        <w:rPr>
          <w:rFonts w:ascii="Times New Roman" w:hAnsi="Times New Roman"/>
          <w:lang w:val="en-GB"/>
        </w:rPr>
        <w:tab/>
        <w:t>[(</w:t>
      </w:r>
      <w:r w:rsidRPr="00BB575E">
        <w:rPr>
          <w:rFonts w:ascii="Times New Roman" w:hAnsi="Times New Roman"/>
          <w:vertAlign w:val="superscript"/>
          <w:lang w:val="en-GB"/>
        </w:rPr>
        <w:t>m</w:t>
      </w:r>
      <w:r w:rsidRPr="00BB575E">
        <w:rPr>
          <w:rFonts w:ascii="Times New Roman" w:hAnsi="Times New Roman"/>
          <w:lang w:val="en-GB"/>
        </w:rPr>
        <w:t>)]lu-šá-i-[(ni-e-di)]</w:t>
      </w:r>
    </w:p>
    <w:p w14:paraId="02EB19F6"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19'</w:t>
      </w:r>
      <w:r w:rsidRPr="00BB575E">
        <w:rPr>
          <w:rFonts w:ascii="Times New Roman" w:hAnsi="Times New Roman"/>
          <w:lang w:val="en-GB"/>
        </w:rPr>
        <w:tab/>
        <w:t>[(</w:t>
      </w:r>
      <w:r w:rsidRPr="00BB575E">
        <w:rPr>
          <w:rFonts w:ascii="Times New Roman" w:hAnsi="Times New Roman"/>
          <w:vertAlign w:val="superscript"/>
          <w:lang w:val="en-GB"/>
        </w:rPr>
        <w:t>m</w:t>
      </w:r>
      <w:r w:rsidRPr="00BB575E">
        <w:rPr>
          <w:rFonts w:ascii="Times New Roman" w:hAnsi="Times New Roman"/>
          <w:lang w:val="en-GB"/>
        </w:rPr>
        <w:t>)]ka-tar-</w:t>
      </w:r>
      <w:r w:rsidRPr="00BB575E">
        <w:rPr>
          <w:rFonts w:ascii="Cambria Math" w:hAnsi="Cambria Math"/>
          <w:lang w:val="en-GB"/>
        </w:rPr>
        <w:t>⌈</w:t>
      </w:r>
      <w:r w:rsidRPr="00BB575E">
        <w:rPr>
          <w:rFonts w:ascii="Times New Roman" w:hAnsi="Times New Roman"/>
          <w:lang w:val="en-GB"/>
        </w:rPr>
        <w:t>za</w:t>
      </w:r>
      <w:r w:rsidRPr="00BB575E">
        <w:rPr>
          <w:rFonts w:ascii="Cambria Math" w:hAnsi="Cambria Math"/>
          <w:lang w:val="en-GB"/>
        </w:rPr>
        <w:t>⌉</w:t>
      </w:r>
      <w:r w:rsidRPr="00BB575E">
        <w:rPr>
          <w:rFonts w:ascii="Times New Roman" w:hAnsi="Times New Roman"/>
          <w:lang w:val="en-GB"/>
        </w:rPr>
        <w:t>-ni-[e-di]</w:t>
      </w:r>
    </w:p>
    <w:p w14:paraId="104FA21A"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20'</w:t>
      </w:r>
      <w:r w:rsidRPr="00BB575E">
        <w:rPr>
          <w:rFonts w:ascii="Times New Roman" w:hAnsi="Times New Roman"/>
          <w:lang w:val="en-GB"/>
        </w:rPr>
        <w:tab/>
        <w:t>[</w:t>
      </w:r>
      <w:r w:rsidRPr="00BB575E">
        <w:rPr>
          <w:rFonts w:ascii="Times New Roman" w:hAnsi="Times New Roman"/>
          <w:vertAlign w:val="superscript"/>
          <w:lang w:val="en-GB"/>
        </w:rPr>
        <w:t>KUR</w:t>
      </w:r>
      <w:r w:rsidRPr="00BB575E">
        <w:rPr>
          <w:rFonts w:ascii="Times New Roman" w:hAnsi="Times New Roman"/>
          <w:lang w:val="en-GB"/>
        </w:rPr>
        <w:t xml:space="preserve">]e-ti-ú-ḫ[(i-na-e)]-di </w:t>
      </w:r>
      <w:r w:rsidRPr="00BB575E">
        <w:rPr>
          <w:rFonts w:ascii="Cambria Math" w:hAnsi="Cambria Math"/>
          <w:lang w:val="en-GB"/>
        </w:rPr>
        <w:t>⌈</w:t>
      </w:r>
      <w:r w:rsidRPr="00BB575E">
        <w:rPr>
          <w:rFonts w:ascii="Times New Roman" w:hAnsi="Times New Roman"/>
          <w:lang w:val="en-GB"/>
        </w:rPr>
        <w:t>LUGAL</w:t>
      </w:r>
      <w:r w:rsidRPr="00BB575E">
        <w:rPr>
          <w:rFonts w:ascii="Cambria Math" w:hAnsi="Cambria Math"/>
          <w:lang w:val="en-GB"/>
        </w:rPr>
        <w:t>⌉</w:t>
      </w:r>
      <w:r w:rsidRPr="00BB575E">
        <w:rPr>
          <w:rFonts w:ascii="Times New Roman" w:hAnsi="Times New Roman"/>
          <w:lang w:val="en-GB"/>
        </w:rPr>
        <w:t>[(</w:t>
      </w:r>
      <w:r w:rsidRPr="00BB575E">
        <w:rPr>
          <w:rFonts w:ascii="Times New Roman" w:hAnsi="Times New Roman"/>
          <w:vertAlign w:val="superscript"/>
          <w:lang w:val="en-GB"/>
        </w:rPr>
        <w:t>MEŠ</w:t>
      </w:r>
      <w:r w:rsidRPr="00BB575E">
        <w:rPr>
          <w:rFonts w:ascii="Times New Roman" w:hAnsi="Times New Roman"/>
          <w:lang w:val="en-GB"/>
        </w:rPr>
        <w:t>-di)]</w:t>
      </w:r>
    </w:p>
    <w:p w14:paraId="5A0A679C"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21'</w:t>
      </w:r>
      <w:r w:rsidRPr="00BB575E">
        <w:rPr>
          <w:rFonts w:ascii="Times New Roman" w:hAnsi="Times New Roman"/>
          <w:lang w:val="en-GB"/>
        </w:rPr>
        <w:tab/>
        <w:t>[(</w:t>
      </w:r>
      <w:r w:rsidRPr="00BB575E">
        <w:rPr>
          <w:rFonts w:ascii="Times New Roman" w:hAnsi="Times New Roman"/>
          <w:vertAlign w:val="superscript"/>
          <w:lang w:val="en-GB"/>
        </w:rPr>
        <w:t>D</w:t>
      </w:r>
      <w:r w:rsidRPr="00BB575E">
        <w:rPr>
          <w:rFonts w:ascii="Times New Roman" w:hAnsi="Times New Roman"/>
          <w:lang w:val="en-GB"/>
        </w:rPr>
        <w:t>)]ḫal-di-</w:t>
      </w:r>
      <w:r w:rsidRPr="00BB575E">
        <w:rPr>
          <w:rFonts w:ascii="Cambria Math" w:hAnsi="Cambria Math"/>
          <w:lang w:val="en-GB"/>
        </w:rPr>
        <w:t>⌈</w:t>
      </w:r>
      <w:r w:rsidRPr="00BB575E">
        <w:rPr>
          <w:rFonts w:ascii="Times New Roman" w:hAnsi="Times New Roman"/>
          <w:lang w:val="en-GB"/>
        </w:rPr>
        <w:t>ni</w:t>
      </w:r>
      <w:r w:rsidRPr="00BB575E">
        <w:rPr>
          <w:rFonts w:ascii="Cambria Math" w:hAnsi="Cambria Math"/>
          <w:lang w:val="en-GB"/>
        </w:rPr>
        <w:t>⌉</w:t>
      </w:r>
      <w:r w:rsidRPr="00BB575E">
        <w:rPr>
          <w:rFonts w:ascii="Times New Roman" w:hAnsi="Times New Roman"/>
          <w:lang w:val="en-GB"/>
        </w:rPr>
        <w:t xml:space="preserve"> ku-ru-ni</w:t>
      </w:r>
    </w:p>
    <w:p w14:paraId="5C35A3F0"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22'</w:t>
      </w:r>
      <w:r w:rsidRPr="00BB575E">
        <w:rPr>
          <w:rFonts w:ascii="Times New Roman" w:hAnsi="Times New Roman"/>
          <w:lang w:val="en-GB"/>
        </w:rPr>
        <w:tab/>
        <w:t>[</w:t>
      </w:r>
      <w:r w:rsidRPr="00BB575E">
        <w:rPr>
          <w:rFonts w:ascii="Times New Roman" w:hAnsi="Times New Roman"/>
          <w:vertAlign w:val="superscript"/>
          <w:lang w:val="en-GB"/>
        </w:rPr>
        <w:t>D</w:t>
      </w:r>
      <w:r w:rsidRPr="00BB575E">
        <w:rPr>
          <w:rFonts w:ascii="Times New Roman" w:hAnsi="Times New Roman"/>
          <w:lang w:val="en-GB"/>
        </w:rPr>
        <w:t xml:space="preserve">]ḫal-di-ni </w:t>
      </w:r>
      <w:r w:rsidRPr="00BB575E">
        <w:rPr>
          <w:rFonts w:ascii="Times New Roman" w:hAnsi="Times New Roman"/>
          <w:vertAlign w:val="superscript"/>
          <w:lang w:val="en-GB"/>
        </w:rPr>
        <w:t>GIŠ</w:t>
      </w:r>
      <w:r w:rsidRPr="00BB575E">
        <w:rPr>
          <w:rFonts w:ascii="Times New Roman" w:hAnsi="Times New Roman"/>
          <w:lang w:val="en-GB"/>
        </w:rPr>
        <w:t>šú-</w:t>
      </w:r>
      <w:r w:rsidRPr="00BB575E">
        <w:rPr>
          <w:rFonts w:ascii="Cambria Math" w:hAnsi="Cambria Math"/>
          <w:lang w:val="en-GB"/>
        </w:rPr>
        <w:t>⌈</w:t>
      </w:r>
      <w:r w:rsidRPr="00BB575E">
        <w:rPr>
          <w:rFonts w:ascii="Times New Roman" w:hAnsi="Times New Roman"/>
          <w:lang w:val="en-GB"/>
        </w:rPr>
        <w:t>ri</w:t>
      </w:r>
      <w:r w:rsidRPr="00BB575E">
        <w:rPr>
          <w:rFonts w:ascii="Cambria Math" w:hAnsi="Cambria Math"/>
          <w:lang w:val="en-GB"/>
        </w:rPr>
        <w:t>⌉</w:t>
      </w:r>
      <w:r w:rsidRPr="00BB575E">
        <w:rPr>
          <w:rFonts w:ascii="Times New Roman" w:hAnsi="Times New Roman"/>
          <w:lang w:val="en-GB"/>
        </w:rPr>
        <w:t>-i ku-ru-ni</w:t>
      </w:r>
    </w:p>
    <w:p w14:paraId="10DF06FB"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23'</w:t>
      </w:r>
      <w:r w:rsidRPr="00BB575E">
        <w:rPr>
          <w:rFonts w:ascii="Times New Roman" w:hAnsi="Times New Roman"/>
          <w:lang w:val="en-GB"/>
        </w:rPr>
        <w:tab/>
        <w:t xml:space="preserve">[u]š-ta-li </w:t>
      </w:r>
      <w:r w:rsidRPr="00BB575E">
        <w:rPr>
          <w:rFonts w:ascii="Times New Roman" w:hAnsi="Times New Roman"/>
          <w:vertAlign w:val="superscript"/>
          <w:lang w:val="en-GB"/>
        </w:rPr>
        <w:t>m</w:t>
      </w:r>
      <w:r w:rsidRPr="00BB575E">
        <w:rPr>
          <w:rFonts w:ascii="Times New Roman" w:hAnsi="Times New Roman"/>
          <w:lang w:val="en-GB"/>
        </w:rPr>
        <w:t>iš-[(pu-)]ú-i-ni-ni</w:t>
      </w:r>
    </w:p>
    <w:p w14:paraId="571B8806"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24'</w:t>
      </w:r>
      <w:r w:rsidRPr="00BB575E">
        <w:rPr>
          <w:rFonts w:ascii="Times New Roman" w:hAnsi="Times New Roman"/>
          <w:lang w:val="en-GB"/>
        </w:rPr>
        <w:tab/>
      </w:r>
      <w:r w:rsidRPr="00BB575E">
        <w:rPr>
          <w:rFonts w:ascii="Times New Roman" w:hAnsi="Times New Roman"/>
          <w:vertAlign w:val="superscript"/>
          <w:lang w:val="en-GB"/>
        </w:rPr>
        <w:t>[m]D</w:t>
      </w:r>
      <w:r w:rsidRPr="00BB575E">
        <w:rPr>
          <w:rFonts w:ascii="Times New Roman" w:hAnsi="Times New Roman"/>
          <w:lang w:val="en-GB"/>
        </w:rPr>
        <w:t>sar</w:t>
      </w:r>
      <w:r w:rsidRPr="00BB575E">
        <w:rPr>
          <w:rFonts w:ascii="Times New Roman" w:hAnsi="Times New Roman"/>
          <w:vertAlign w:val="subscript"/>
          <w:lang w:val="en-GB"/>
        </w:rPr>
        <w:t>5</w:t>
      </w:r>
      <w:r w:rsidRPr="00BB575E">
        <w:rPr>
          <w:rFonts w:ascii="Times New Roman" w:hAnsi="Times New Roman"/>
          <w:lang w:val="en-GB"/>
        </w:rPr>
        <w:t>-du-ri-e-[(ḫi)]</w:t>
      </w:r>
    </w:p>
    <w:p w14:paraId="563E3AE6"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25'</w:t>
      </w:r>
      <w:r w:rsidRPr="00BB575E">
        <w:rPr>
          <w:rFonts w:ascii="Times New Roman" w:hAnsi="Times New Roman"/>
          <w:lang w:val="en-GB"/>
        </w:rPr>
        <w:tab/>
        <w:t>[</w:t>
      </w:r>
      <w:r w:rsidRPr="00BB575E">
        <w:rPr>
          <w:rFonts w:ascii="Times New Roman" w:hAnsi="Times New Roman"/>
          <w:vertAlign w:val="superscript"/>
          <w:lang w:val="en-GB"/>
        </w:rPr>
        <w:t>m</w:t>
      </w:r>
      <w:r w:rsidRPr="00BB575E">
        <w:rPr>
          <w:rFonts w:ascii="Times New Roman" w:hAnsi="Times New Roman"/>
          <w:lang w:val="en-GB"/>
        </w:rPr>
        <w:t>]mì-i-[(nu)]-ú-a-</w:t>
      </w:r>
      <w:r w:rsidRPr="00BB575E">
        <w:rPr>
          <w:rFonts w:ascii="Cambria Math" w:hAnsi="Cambria Math"/>
          <w:lang w:val="en-GB"/>
        </w:rPr>
        <w:t>⌈</w:t>
      </w:r>
      <w:r w:rsidRPr="00BB575E">
        <w:rPr>
          <w:rFonts w:ascii="Times New Roman" w:hAnsi="Times New Roman"/>
          <w:lang w:val="en-GB"/>
        </w:rPr>
        <w:t>ni</w:t>
      </w:r>
      <w:r w:rsidRPr="00BB575E">
        <w:rPr>
          <w:rFonts w:ascii="Cambria Math" w:hAnsi="Cambria Math"/>
          <w:lang w:val="en-GB"/>
        </w:rPr>
        <w:t>⌉</w:t>
      </w:r>
    </w:p>
    <w:p w14:paraId="2C6678E6"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26'</w:t>
      </w:r>
      <w:r w:rsidRPr="00BB575E">
        <w:rPr>
          <w:rFonts w:ascii="Times New Roman" w:hAnsi="Times New Roman"/>
          <w:lang w:val="en-GB"/>
        </w:rPr>
        <w:tab/>
        <w:t>[</w:t>
      </w:r>
      <w:r w:rsidRPr="00BB575E">
        <w:rPr>
          <w:rFonts w:ascii="Times New Roman" w:hAnsi="Times New Roman"/>
          <w:vertAlign w:val="superscript"/>
          <w:lang w:val="en-GB"/>
        </w:rPr>
        <w:t>m</w:t>
      </w:r>
      <w:r w:rsidRPr="00BB575E">
        <w:rPr>
          <w:rFonts w:ascii="Times New Roman" w:hAnsi="Times New Roman"/>
          <w:lang w:val="en-GB"/>
        </w:rPr>
        <w:t>]iš-pu-ú-i-ni-e-[(ḫi)]</w:t>
      </w:r>
    </w:p>
    <w:p w14:paraId="7238E63E"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27'</w:t>
      </w:r>
      <w:r w:rsidRPr="00BB575E">
        <w:rPr>
          <w:rFonts w:ascii="Times New Roman" w:hAnsi="Times New Roman"/>
          <w:lang w:val="en-GB"/>
        </w:rPr>
        <w:tab/>
        <w:t>[(s)]u-</w:t>
      </w:r>
      <w:r w:rsidRPr="00BB575E">
        <w:rPr>
          <w:rFonts w:ascii="Cambria Math" w:hAnsi="Cambria Math"/>
          <w:lang w:val="en-GB"/>
        </w:rPr>
        <w:t>⌈</w:t>
      </w:r>
      <w:r w:rsidRPr="00BB575E">
        <w:rPr>
          <w:rFonts w:ascii="Times New Roman" w:hAnsi="Times New Roman"/>
          <w:lang w:val="en-GB"/>
        </w:rPr>
        <w:t>ú</w:t>
      </w:r>
      <w:r w:rsidRPr="00BB575E">
        <w:rPr>
          <w:rFonts w:ascii="Cambria Math" w:hAnsi="Cambria Math"/>
          <w:lang w:val="en-GB"/>
        </w:rPr>
        <w:t>⌉</w:t>
      </w:r>
      <w:r w:rsidRPr="00BB575E">
        <w:rPr>
          <w:rFonts w:ascii="Times New Roman" w:hAnsi="Times New Roman"/>
          <w:lang w:val="en-GB"/>
        </w:rPr>
        <w:t xml:space="preserve">-i-d[(u)]-tú </w:t>
      </w:r>
      <w:r w:rsidRPr="00BB575E">
        <w:rPr>
          <w:rFonts w:ascii="Times New Roman" w:hAnsi="Times New Roman"/>
          <w:vertAlign w:val="superscript"/>
          <w:lang w:val="en-GB"/>
        </w:rPr>
        <w:t>m</w:t>
      </w:r>
      <w:r w:rsidRPr="00BB575E">
        <w:rPr>
          <w:rFonts w:ascii="Times New Roman" w:hAnsi="Times New Roman"/>
          <w:lang w:val="en-GB"/>
        </w:rPr>
        <w:t>ú-</w:t>
      </w:r>
      <w:r w:rsidRPr="00BB575E">
        <w:rPr>
          <w:rFonts w:ascii="Cambria Math" w:hAnsi="Cambria Math"/>
          <w:lang w:val="en-GB"/>
        </w:rPr>
        <w:t>⌈</w:t>
      </w:r>
      <w:r w:rsidRPr="00BB575E">
        <w:rPr>
          <w:rFonts w:ascii="Times New Roman" w:hAnsi="Times New Roman"/>
          <w:lang w:val="en-GB"/>
        </w:rPr>
        <w:t>ṭè</w:t>
      </w:r>
      <w:r w:rsidRPr="00BB575E">
        <w:rPr>
          <w:rFonts w:ascii="Cambria Math" w:hAnsi="Cambria Math"/>
          <w:lang w:val="en-GB"/>
        </w:rPr>
        <w:t>⌉</w:t>
      </w:r>
      <w:r w:rsidRPr="00BB575E">
        <w:rPr>
          <w:rFonts w:ascii="Times New Roman" w:hAnsi="Times New Roman"/>
          <w:lang w:val="en-GB"/>
        </w:rPr>
        <w:t>-ru-[ḫi]</w:t>
      </w:r>
    </w:p>
    <w:p w14:paraId="0BE5DECC"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28'</w:t>
      </w:r>
      <w:r w:rsidRPr="00BB575E">
        <w:rPr>
          <w:rFonts w:ascii="Times New Roman" w:hAnsi="Times New Roman"/>
          <w:lang w:val="en-GB"/>
        </w:rPr>
        <w:tab/>
        <w:t>[</w:t>
      </w:r>
      <w:r w:rsidRPr="00BB575E">
        <w:rPr>
          <w:rFonts w:ascii="Times New Roman" w:hAnsi="Times New Roman"/>
          <w:vertAlign w:val="superscript"/>
          <w:lang w:val="en-GB"/>
        </w:rPr>
        <w:t>m</w:t>
      </w:r>
      <w:r w:rsidRPr="00BB575E">
        <w:rPr>
          <w:rFonts w:ascii="Times New Roman" w:hAnsi="Times New Roman"/>
          <w:lang w:val="en-GB"/>
        </w:rPr>
        <w:t>]lu-ú-šá-</w:t>
      </w:r>
      <w:r w:rsidRPr="00BB575E">
        <w:rPr>
          <w:rFonts w:ascii="Cambria Math" w:hAnsi="Cambria Math"/>
          <w:lang w:val="en-GB"/>
        </w:rPr>
        <w:t>⌈</w:t>
      </w:r>
      <w:r w:rsidRPr="00BB575E">
        <w:rPr>
          <w:rFonts w:ascii="Times New Roman" w:hAnsi="Times New Roman"/>
          <w:lang w:val="en-GB"/>
        </w:rPr>
        <w:t>a</w:t>
      </w:r>
      <w:r w:rsidRPr="00BB575E">
        <w:rPr>
          <w:rFonts w:ascii="Cambria Math" w:hAnsi="Cambria Math"/>
          <w:lang w:val="en-GB"/>
        </w:rPr>
        <w:t>⌉</w:t>
      </w:r>
      <w:r w:rsidRPr="00BB575E">
        <w:rPr>
          <w:rFonts w:ascii="Times New Roman" w:hAnsi="Times New Roman"/>
          <w:lang w:val="en-GB"/>
        </w:rPr>
        <w:t xml:space="preserve"> </w:t>
      </w:r>
      <w:r w:rsidRPr="00BB575E">
        <w:rPr>
          <w:rFonts w:ascii="Times New Roman" w:hAnsi="Times New Roman"/>
          <w:vertAlign w:val="superscript"/>
          <w:lang w:val="en-GB"/>
        </w:rPr>
        <w:t>m</w:t>
      </w:r>
      <w:r w:rsidRPr="00BB575E">
        <w:rPr>
          <w:rFonts w:ascii="Times New Roman" w:hAnsi="Times New Roman"/>
          <w:lang w:val="en-GB"/>
        </w:rPr>
        <w:t>ka-</w:t>
      </w:r>
      <w:r w:rsidRPr="00BB575E">
        <w:rPr>
          <w:rFonts w:ascii="Cambria Math" w:hAnsi="Cambria Math"/>
          <w:lang w:val="en-GB"/>
        </w:rPr>
        <w:t>⌈</w:t>
      </w:r>
      <w:r w:rsidRPr="00BB575E">
        <w:rPr>
          <w:rFonts w:ascii="Times New Roman" w:hAnsi="Times New Roman"/>
          <w:lang w:val="en-GB"/>
        </w:rPr>
        <w:t>tar</w:t>
      </w:r>
      <w:r w:rsidRPr="00BB575E">
        <w:rPr>
          <w:rFonts w:ascii="Cambria Math" w:hAnsi="Cambria Math"/>
          <w:lang w:val="en-GB"/>
        </w:rPr>
        <w:t>⌉</w:t>
      </w:r>
      <w:r w:rsidRPr="00BB575E">
        <w:rPr>
          <w:rFonts w:ascii="Times New Roman" w:hAnsi="Times New Roman"/>
          <w:lang w:val="en-GB"/>
        </w:rPr>
        <w:t>-za-[(a)]</w:t>
      </w:r>
    </w:p>
    <w:p w14:paraId="0CA0FEC5"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29'</w:t>
      </w:r>
      <w:r w:rsidRPr="00BB575E">
        <w:rPr>
          <w:rFonts w:ascii="Times New Roman" w:hAnsi="Times New Roman"/>
          <w:lang w:val="en-GB"/>
        </w:rPr>
        <w:tab/>
        <w:t>[(bur)]-ga-</w:t>
      </w:r>
      <w:r w:rsidRPr="00BB575E">
        <w:rPr>
          <w:rFonts w:ascii="Cambria Math" w:hAnsi="Cambria Math"/>
          <w:lang w:val="en-GB"/>
        </w:rPr>
        <w:t>⌈</w:t>
      </w:r>
      <w:r w:rsidRPr="00BB575E">
        <w:rPr>
          <w:rFonts w:ascii="Times New Roman" w:hAnsi="Times New Roman"/>
          <w:lang w:val="en-GB"/>
        </w:rPr>
        <w:t>la</w:t>
      </w:r>
      <w:r w:rsidRPr="00BB575E">
        <w:rPr>
          <w:rFonts w:ascii="Cambria Math" w:hAnsi="Cambria Math"/>
          <w:lang w:val="en-GB"/>
        </w:rPr>
        <w:t>⌉</w:t>
      </w:r>
      <w:r w:rsidRPr="00BB575E">
        <w:rPr>
          <w:rFonts w:ascii="Times New Roman" w:hAnsi="Times New Roman"/>
          <w:lang w:val="en-GB"/>
        </w:rPr>
        <w:t>-li LUGAL-</w:t>
      </w:r>
      <w:r w:rsidRPr="00BB575E">
        <w:rPr>
          <w:rFonts w:ascii="Cambria Math" w:hAnsi="Cambria Math"/>
          <w:lang w:val="en-GB"/>
        </w:rPr>
        <w:t>⌈</w:t>
      </w:r>
      <w:r w:rsidRPr="00BB575E">
        <w:rPr>
          <w:rFonts w:ascii="Times New Roman" w:hAnsi="Times New Roman"/>
          <w:lang w:val="en-GB"/>
        </w:rPr>
        <w:t>li-li</w:t>
      </w:r>
      <w:r w:rsidRPr="00BB575E">
        <w:rPr>
          <w:rFonts w:ascii="Cambria Math" w:hAnsi="Cambria Math"/>
          <w:lang w:val="en-GB"/>
        </w:rPr>
        <w:t>⌉</w:t>
      </w:r>
    </w:p>
    <w:p w14:paraId="175A8A0F"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30'</w:t>
      </w:r>
      <w:r w:rsidRPr="00BB575E">
        <w:rPr>
          <w:rFonts w:ascii="Times New Roman" w:hAnsi="Times New Roman"/>
          <w:lang w:val="en-GB"/>
        </w:rPr>
        <w:tab/>
        <w:t>[</w:t>
      </w:r>
      <w:r w:rsidRPr="00BB575E">
        <w:rPr>
          <w:rFonts w:ascii="Times New Roman" w:hAnsi="Times New Roman"/>
          <w:vertAlign w:val="superscript"/>
          <w:lang w:val="en-GB"/>
        </w:rPr>
        <w:t>KUR</w:t>
      </w:r>
      <w:r w:rsidRPr="00BB575E">
        <w:rPr>
          <w:rFonts w:ascii="Times New Roman" w:hAnsi="Times New Roman"/>
          <w:lang w:val="en-GB"/>
        </w:rPr>
        <w:t>]e-[(ti-ú-ḫi)]-ni-l[i]</w:t>
      </w:r>
    </w:p>
    <w:p w14:paraId="076F27A9"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31'</w:t>
      </w:r>
      <w:r w:rsidRPr="00BB575E">
        <w:rPr>
          <w:rFonts w:ascii="Times New Roman" w:hAnsi="Times New Roman"/>
          <w:lang w:val="en-GB"/>
        </w:rPr>
        <w:tab/>
        <w:t>[(za-)]ši-l[(i)] ú-</w:t>
      </w:r>
      <w:r w:rsidRPr="00BB575E">
        <w:rPr>
          <w:rFonts w:ascii="Cambria Math" w:hAnsi="Cambria Math"/>
          <w:lang w:val="en-GB"/>
        </w:rPr>
        <w:t>⌈</w:t>
      </w:r>
      <w:r w:rsidRPr="00BB575E">
        <w:rPr>
          <w:rFonts w:ascii="Times New Roman" w:hAnsi="Times New Roman"/>
          <w:lang w:val="en-GB"/>
        </w:rPr>
        <w:t>i</w:t>
      </w:r>
      <w:r w:rsidRPr="00BB575E">
        <w:rPr>
          <w:rFonts w:ascii="Cambria Math" w:hAnsi="Cambria Math"/>
          <w:lang w:val="en-GB"/>
        </w:rPr>
        <w:t>⌉</w:t>
      </w:r>
      <w:r w:rsidRPr="00BB575E">
        <w:rPr>
          <w:rFonts w:ascii="Times New Roman" w:hAnsi="Times New Roman"/>
          <w:lang w:val="en-GB"/>
        </w:rPr>
        <w:t xml:space="preserve"> x x [(i)]p-ḫa-r[(i)]</w:t>
      </w:r>
    </w:p>
    <w:p w14:paraId="4E513970"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32'</w:t>
      </w:r>
      <w:r w:rsidRPr="00BB575E">
        <w:rPr>
          <w:rFonts w:ascii="Times New Roman" w:hAnsi="Times New Roman"/>
          <w:lang w:val="en-GB"/>
        </w:rPr>
        <w:tab/>
        <w:t xml:space="preserve">[(še)]-er-[(tú?)] DUB-te </w:t>
      </w:r>
      <w:r w:rsidRPr="00BB575E">
        <w:rPr>
          <w:rFonts w:ascii="Times New Roman" w:hAnsi="Times New Roman"/>
          <w:vertAlign w:val="superscript"/>
          <w:lang w:val="en-GB"/>
        </w:rPr>
        <w:t>[UR]U</w:t>
      </w:r>
      <w:r w:rsidRPr="00BB575E">
        <w:rPr>
          <w:rFonts w:ascii="Times New Roman" w:hAnsi="Times New Roman"/>
          <w:lang w:val="en-GB"/>
        </w:rPr>
        <w:t>a-na-ši-i[(-e)]</w:t>
      </w:r>
    </w:p>
    <w:p w14:paraId="1D155CA0"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33'</w:t>
      </w:r>
      <w:r w:rsidRPr="00BB575E">
        <w:rPr>
          <w:rFonts w:ascii="Times New Roman" w:hAnsi="Times New Roman"/>
          <w:lang w:val="en-GB"/>
        </w:rPr>
        <w:tab/>
        <w:t>[(nu-)]na-be i[(š)]-ti-</w:t>
      </w:r>
      <w:r w:rsidRPr="00BB575E">
        <w:rPr>
          <w:rFonts w:ascii="Cambria Math" w:hAnsi="Cambria Math"/>
          <w:lang w:val="en-GB"/>
        </w:rPr>
        <w:t>⌈</w:t>
      </w:r>
      <w:r w:rsidRPr="00BB575E">
        <w:rPr>
          <w:rFonts w:ascii="Times New Roman" w:hAnsi="Times New Roman"/>
          <w:lang w:val="en-GB"/>
        </w:rPr>
        <w:t>ni-ni</w:t>
      </w:r>
      <w:r w:rsidRPr="00BB575E">
        <w:rPr>
          <w:rFonts w:ascii="Cambria Math" w:hAnsi="Cambria Math"/>
          <w:lang w:val="en-GB"/>
        </w:rPr>
        <w:t>⌉</w:t>
      </w:r>
    </w:p>
    <w:p w14:paraId="578F1EEB"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34'</w:t>
      </w:r>
      <w:r w:rsidRPr="00BB575E">
        <w:rPr>
          <w:rFonts w:ascii="Times New Roman" w:hAnsi="Times New Roman"/>
          <w:lang w:val="en-GB"/>
        </w:rPr>
        <w:tab/>
        <w:t>[x ]LIM 7 ME [20]</w:t>
      </w:r>
      <w:r w:rsidRPr="00BB575E">
        <w:rPr>
          <w:rFonts w:ascii="Times New Roman" w:hAnsi="Times New Roman"/>
          <w:i/>
          <w:lang w:val="en-GB"/>
        </w:rPr>
        <w:t xml:space="preserve"> </w:t>
      </w:r>
      <w:r w:rsidRPr="00BB575E">
        <w:rPr>
          <w:rFonts w:ascii="Times New Roman" w:hAnsi="Times New Roman"/>
          <w:lang w:val="en-GB"/>
        </w:rPr>
        <w:t>KU</w:t>
      </w:r>
      <w:r w:rsidRPr="00BB575E">
        <w:rPr>
          <w:rFonts w:ascii="Times New Roman" w:hAnsi="Times New Roman"/>
          <w:i/>
          <w:lang w:val="en-GB"/>
        </w:rPr>
        <w:t>.</w:t>
      </w:r>
      <w:r w:rsidRPr="00BB575E">
        <w:rPr>
          <w:rFonts w:ascii="Times New Roman" w:hAnsi="Times New Roman"/>
          <w:lang w:val="en-GB"/>
        </w:rPr>
        <w:t>[(X)]</w:t>
      </w:r>
      <w:r w:rsidRPr="00BB575E">
        <w:rPr>
          <w:rFonts w:ascii="Times New Roman" w:hAnsi="Times New Roman"/>
          <w:vertAlign w:val="superscript"/>
          <w:lang w:val="en-GB"/>
        </w:rPr>
        <w:t>MEŠ</w:t>
      </w:r>
    </w:p>
    <w:p w14:paraId="28A21170"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35'</w:t>
      </w:r>
      <w:r w:rsidRPr="00BB575E">
        <w:rPr>
          <w:rFonts w:ascii="Times New Roman" w:hAnsi="Times New Roman"/>
          <w:lang w:val="en-GB"/>
        </w:rPr>
        <w:tab/>
        <w:t xml:space="preserve">[x ]LIM 6 ME 70 </w:t>
      </w:r>
      <w:r w:rsidRPr="00BB575E">
        <w:rPr>
          <w:rFonts w:ascii="Cambria Math" w:hAnsi="Cambria Math"/>
          <w:vertAlign w:val="superscript"/>
          <w:lang w:val="en-GB"/>
        </w:rPr>
        <w:t>⌈</w:t>
      </w:r>
      <w:r w:rsidRPr="00BB575E">
        <w:rPr>
          <w:rFonts w:ascii="Times New Roman" w:hAnsi="Times New Roman"/>
          <w:vertAlign w:val="superscript"/>
          <w:lang w:val="en-GB"/>
        </w:rPr>
        <w:t>LÚ</w:t>
      </w:r>
      <w:r w:rsidRPr="00BB575E">
        <w:rPr>
          <w:rFonts w:ascii="Cambria Math" w:hAnsi="Cambria Math"/>
          <w:vertAlign w:val="superscript"/>
          <w:lang w:val="en-GB"/>
        </w:rPr>
        <w:t>⌉</w:t>
      </w:r>
      <w:r w:rsidRPr="00BB575E">
        <w:rPr>
          <w:rFonts w:ascii="Times New Roman" w:hAnsi="Times New Roman"/>
          <w:lang w:val="en-GB"/>
        </w:rPr>
        <w:t>ú-e-di-a-[ni]</w:t>
      </w:r>
    </w:p>
    <w:p w14:paraId="6C83B706"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36'</w:t>
      </w:r>
      <w:r w:rsidRPr="00BB575E">
        <w:rPr>
          <w:rFonts w:ascii="Times New Roman" w:hAnsi="Times New Roman"/>
          <w:lang w:val="en-GB"/>
        </w:rPr>
        <w:tab/>
        <w:t>[x ]ME 26 ANŠE.KUR.RA</w:t>
      </w:r>
      <w:r w:rsidRPr="00BB575E">
        <w:rPr>
          <w:rFonts w:ascii="Times New Roman" w:hAnsi="Times New Roman"/>
          <w:vertAlign w:val="superscript"/>
          <w:lang w:val="en-GB"/>
        </w:rPr>
        <w:t>[MEŠ]</w:t>
      </w:r>
    </w:p>
    <w:p w14:paraId="14114A02"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37'</w:t>
      </w:r>
      <w:r w:rsidRPr="00BB575E">
        <w:rPr>
          <w:rFonts w:ascii="Times New Roman" w:hAnsi="Times New Roman"/>
          <w:lang w:val="en-GB"/>
        </w:rPr>
        <w:tab/>
        <w:t xml:space="preserve">[(10 LIM)] 3 LIM 5 ME 40 </w:t>
      </w:r>
      <w:r w:rsidRPr="00BB575E">
        <w:rPr>
          <w:rFonts w:ascii="Times New Roman" w:hAnsi="Times New Roman"/>
          <w:vertAlign w:val="superscript"/>
          <w:lang w:val="en-GB"/>
        </w:rPr>
        <w:t>GU4</w:t>
      </w:r>
      <w:r w:rsidRPr="00BB575E">
        <w:rPr>
          <w:rFonts w:ascii="Times New Roman" w:hAnsi="Times New Roman"/>
          <w:lang w:val="en-GB"/>
        </w:rPr>
        <w:t>pa-ḫi-[(ni)]</w:t>
      </w:r>
    </w:p>
    <w:p w14:paraId="7650E6B2"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38'</w:t>
      </w:r>
      <w:r w:rsidRPr="00BB575E">
        <w:rPr>
          <w:rFonts w:ascii="Times New Roman" w:hAnsi="Times New Roman"/>
          <w:lang w:val="en-GB"/>
        </w:rPr>
        <w:tab/>
        <w:t>[20] LIM 7 ME 85 UDU</w:t>
      </w:r>
      <w:r w:rsidRPr="00BB575E">
        <w:rPr>
          <w:rFonts w:ascii="Times New Roman" w:hAnsi="Times New Roman"/>
          <w:vertAlign w:val="superscript"/>
          <w:lang w:val="en-GB"/>
        </w:rPr>
        <w:t>ME[Š]</w:t>
      </w:r>
    </w:p>
    <w:p w14:paraId="18AF2ECE" w14:textId="77777777" w:rsidR="00B4516E" w:rsidRPr="00BB575E" w:rsidRDefault="00B4516E" w:rsidP="00B4516E">
      <w:pPr>
        <w:ind w:left="567" w:right="-1" w:hanging="567"/>
        <w:rPr>
          <w:rFonts w:ascii="Times New Roman" w:hAnsi="Times New Roman"/>
          <w:lang w:val="en-GB"/>
        </w:rPr>
      </w:pPr>
      <w:r w:rsidRPr="00BB575E">
        <w:rPr>
          <w:rFonts w:ascii="Times New Roman" w:hAnsi="Times New Roman"/>
          <w:lang w:val="en-GB"/>
        </w:rPr>
        <w:t>39'</w:t>
      </w:r>
      <w:r w:rsidRPr="00BB575E">
        <w:rPr>
          <w:rFonts w:ascii="Times New Roman" w:hAnsi="Times New Roman"/>
          <w:lang w:val="en-GB"/>
        </w:rPr>
        <w:tab/>
        <w:t xml:space="preserve">[ka]-am-ni </w:t>
      </w:r>
      <w:r w:rsidRPr="00BB575E">
        <w:rPr>
          <w:rFonts w:ascii="Cambria Math" w:hAnsi="Cambria Math"/>
          <w:vertAlign w:val="superscript"/>
          <w:lang w:val="en-GB"/>
        </w:rPr>
        <w:t>⌈</w:t>
      </w:r>
      <w:r w:rsidRPr="00BB575E">
        <w:rPr>
          <w:rFonts w:ascii="Times New Roman" w:hAnsi="Times New Roman"/>
          <w:vertAlign w:val="superscript"/>
          <w:lang w:val="en-GB"/>
        </w:rPr>
        <w:t>LÚ</w:t>
      </w:r>
      <w:r w:rsidRPr="00BB575E">
        <w:rPr>
          <w:rFonts w:ascii="Cambria Math" w:hAnsi="Cambria Math"/>
          <w:vertAlign w:val="superscript"/>
          <w:lang w:val="en-GB"/>
        </w:rPr>
        <w:t>⌉</w:t>
      </w:r>
      <w:r w:rsidRPr="00BB575E">
        <w:rPr>
          <w:rFonts w:ascii="Times New Roman" w:hAnsi="Times New Roman"/>
          <w:lang w:val="en-GB"/>
        </w:rPr>
        <w:t>ú-e-di-a-ni</w:t>
      </w:r>
    </w:p>
    <w:p w14:paraId="13A35D25" w14:textId="77777777" w:rsidR="00B4516E" w:rsidRPr="00BB575E" w:rsidRDefault="00B4516E" w:rsidP="00B4516E">
      <w:pPr>
        <w:spacing w:line="276" w:lineRule="auto"/>
        <w:ind w:left="567" w:right="-1" w:hanging="567"/>
        <w:rPr>
          <w:rFonts w:ascii="Times New Roman" w:hAnsi="Times New Roman"/>
          <w:lang w:val="en-GB"/>
        </w:rPr>
      </w:pPr>
      <w:r w:rsidRPr="00BB575E">
        <w:rPr>
          <w:rFonts w:ascii="Times New Roman" w:hAnsi="Times New Roman"/>
          <w:lang w:val="en-GB"/>
        </w:rPr>
        <w:t>40'</w:t>
      </w:r>
      <w:r w:rsidRPr="00BB575E">
        <w:rPr>
          <w:rFonts w:ascii="Times New Roman" w:hAnsi="Times New Roman"/>
          <w:lang w:val="en-GB"/>
        </w:rPr>
        <w:tab/>
        <w:t>[ʾa]-a-ši-ni-e[(-i)]</w:t>
      </w:r>
    </w:p>
    <w:p w14:paraId="7D3912C7" w14:textId="77777777" w:rsidR="00B4516E" w:rsidRPr="00BB575E" w:rsidRDefault="00B4516E" w:rsidP="00B4516E">
      <w:pPr>
        <w:spacing w:line="276" w:lineRule="auto"/>
        <w:ind w:left="567" w:right="-1" w:hanging="567"/>
        <w:rPr>
          <w:rFonts w:ascii="Times New Roman" w:hAnsi="Times New Roman"/>
          <w:lang w:val="en-GB"/>
        </w:rPr>
      </w:pPr>
      <w:r w:rsidRPr="00BB575E">
        <w:rPr>
          <w:rFonts w:ascii="Times New Roman" w:hAnsi="Times New Roman"/>
          <w:lang w:val="en-GB"/>
        </w:rPr>
        <w:t>41'</w:t>
      </w:r>
      <w:r w:rsidRPr="00BB575E">
        <w:rPr>
          <w:rFonts w:ascii="Times New Roman" w:hAnsi="Times New Roman"/>
          <w:lang w:val="en-GB"/>
        </w:rPr>
        <w:tab/>
      </w:r>
      <w:r w:rsidRPr="00BB575E">
        <w:rPr>
          <w:rFonts w:ascii="Times New Roman" w:hAnsi="Times New Roman"/>
          <w:vertAlign w:val="superscript"/>
          <w:lang w:val="en-GB"/>
        </w:rPr>
        <w:t>[URU]</w:t>
      </w:r>
      <w:r w:rsidRPr="00BB575E">
        <w:rPr>
          <w:rFonts w:ascii="Times New Roman" w:hAnsi="Times New Roman"/>
          <w:lang w:val="en-GB"/>
        </w:rPr>
        <w:t>ṭu-uš-pa-</w:t>
      </w:r>
      <w:r w:rsidRPr="00BB575E">
        <w:rPr>
          <w:rFonts w:ascii="Cambria Math" w:hAnsi="Cambria Math"/>
          <w:lang w:val="en-GB"/>
        </w:rPr>
        <w:t>⌈</w:t>
      </w:r>
      <w:r w:rsidRPr="00BB575E">
        <w:rPr>
          <w:rFonts w:ascii="Times New Roman" w:hAnsi="Times New Roman"/>
          <w:lang w:val="en-GB"/>
        </w:rPr>
        <w:t>i</w:t>
      </w:r>
      <w:r w:rsidRPr="00BB575E">
        <w:rPr>
          <w:rFonts w:ascii="Cambria Math" w:hAnsi="Cambria Math"/>
          <w:lang w:val="en-GB"/>
        </w:rPr>
        <w:t>⌉</w:t>
      </w:r>
      <w:r w:rsidRPr="00BB575E">
        <w:rPr>
          <w:rFonts w:ascii="Times New Roman" w:hAnsi="Times New Roman"/>
          <w:lang w:val="en-GB"/>
        </w:rPr>
        <w:t xml:space="preserve"> ma-a-[(nu)]</w:t>
      </w:r>
    </w:p>
    <w:p w14:paraId="1192614B" w14:textId="77777777" w:rsidR="00B4516E" w:rsidRPr="00BB575E" w:rsidRDefault="00B4516E" w:rsidP="00B4516E">
      <w:pPr>
        <w:spacing w:line="276" w:lineRule="auto"/>
        <w:ind w:left="567" w:right="-1" w:hanging="567"/>
        <w:rPr>
          <w:rFonts w:ascii="Times New Roman" w:hAnsi="Times New Roman"/>
          <w:lang w:val="en-GB"/>
        </w:rPr>
      </w:pPr>
      <w:r w:rsidRPr="00BB575E">
        <w:rPr>
          <w:rFonts w:ascii="Times New Roman" w:hAnsi="Times New Roman"/>
          <w:lang w:val="en-GB"/>
        </w:rPr>
        <w:t>42'</w:t>
      </w:r>
      <w:r w:rsidRPr="00BB575E">
        <w:rPr>
          <w:rFonts w:ascii="Times New Roman" w:hAnsi="Times New Roman"/>
          <w:lang w:val="en-GB"/>
        </w:rPr>
        <w:tab/>
        <w:t>[(i)]-ni-ni gu-ur-da-r[i]</w:t>
      </w:r>
    </w:p>
    <w:p w14:paraId="37AB3D9C" w14:textId="77777777" w:rsidR="00B4516E" w:rsidRPr="00CC135C" w:rsidRDefault="00B4516E" w:rsidP="00B4516E">
      <w:pPr>
        <w:spacing w:line="276" w:lineRule="auto"/>
        <w:ind w:left="567" w:right="-1" w:hanging="567"/>
        <w:rPr>
          <w:rFonts w:ascii="Times New Roman" w:hAnsi="Times New Roman"/>
          <w:lang w:val="en-GB"/>
        </w:rPr>
      </w:pPr>
    </w:p>
    <w:p w14:paraId="3F674876"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iCs/>
          <w:color w:val="202124"/>
          <w:lang w:val="en-GB"/>
        </w:rPr>
      </w:pPr>
      <w:r w:rsidRPr="006F04E6">
        <w:rPr>
          <w:rFonts w:ascii="Times New Roman" w:hAnsi="Times New Roman"/>
          <w:lang w:val="en-GB"/>
        </w:rPr>
        <w:t xml:space="preserve">Line 11'.  </w:t>
      </w:r>
      <w:r w:rsidRPr="006F04E6">
        <w:rPr>
          <w:rFonts w:ascii="Times New Roman" w:hAnsi="Times New Roman"/>
          <w:color w:val="202124"/>
          <w:lang w:val="en-GB"/>
        </w:rPr>
        <w:t xml:space="preserve">For the palaeography of the sign DA (see CTU </w:t>
      </w:r>
      <w:r w:rsidRPr="006F04E6">
        <w:rPr>
          <w:rFonts w:ascii="Times New Roman" w:hAnsi="Times New Roman"/>
          <w:lang w:val="en-GB"/>
        </w:rPr>
        <w:t xml:space="preserve">IV. p. 300, n. 335).  </w:t>
      </w:r>
      <w:r w:rsidRPr="006F04E6">
        <w:rPr>
          <w:rFonts w:ascii="Times New Roman" w:hAnsi="Times New Roman"/>
          <w:color w:val="202124"/>
          <w:lang w:val="en-GB"/>
        </w:rPr>
        <w:t xml:space="preserve">The only possible integration seems to be </w:t>
      </w:r>
      <w:r w:rsidRPr="006F04E6">
        <w:rPr>
          <w:rFonts w:ascii="Times New Roman" w:hAnsi="Times New Roman"/>
          <w:lang w:val="en-GB"/>
        </w:rPr>
        <w:t xml:space="preserve">[ki?-d]a?-nu-bi. (see CTU V. p. 398). The verb ked=an=u- </w:t>
      </w:r>
      <w:r w:rsidRPr="006F04E6">
        <w:rPr>
          <w:rFonts w:ascii="Times New Roman" w:hAnsi="Times New Roman"/>
          <w:color w:val="202124"/>
          <w:lang w:val="en-GB"/>
        </w:rPr>
        <w:t xml:space="preserve">“mobilise (troops)”, based on </w:t>
      </w:r>
      <w:r w:rsidRPr="006F04E6">
        <w:rPr>
          <w:rFonts w:ascii="Times New Roman" w:hAnsi="Times New Roman"/>
          <w:vertAlign w:val="superscript"/>
          <w:lang w:val="en-GB"/>
        </w:rPr>
        <w:t>LÚ</w:t>
      </w:r>
      <w:r w:rsidRPr="006F04E6">
        <w:rPr>
          <w:rFonts w:ascii="Times New Roman" w:hAnsi="Times New Roman"/>
          <w:lang w:val="en-GB"/>
        </w:rPr>
        <w:t>ḫu-ra-di-ni-li</w:t>
      </w:r>
      <w:r w:rsidRPr="006F04E6">
        <w:rPr>
          <w:rFonts w:ascii="Times New Roman" w:hAnsi="Times New Roman"/>
          <w:vertAlign w:val="superscript"/>
          <w:lang w:val="en-GB"/>
        </w:rPr>
        <w:t>MEŠ</w:t>
      </w:r>
      <w:r w:rsidRPr="006F04E6">
        <w:rPr>
          <w:rFonts w:ascii="Times New Roman" w:hAnsi="Times New Roman"/>
          <w:lang w:val="en-GB"/>
        </w:rPr>
        <w:t xml:space="preserve"> ki</w:t>
      </w:r>
      <w:r w:rsidRPr="006F04E6">
        <w:rPr>
          <w:rFonts w:ascii="Times New Roman" w:hAnsi="Times New Roman"/>
          <w:vertAlign w:val="subscript"/>
          <w:lang w:val="en-GB"/>
        </w:rPr>
        <w:t>4</w:t>
      </w:r>
      <w:r w:rsidRPr="006F04E6">
        <w:rPr>
          <w:rFonts w:ascii="Times New Roman" w:hAnsi="Times New Roman"/>
          <w:lang w:val="en-GB"/>
        </w:rPr>
        <w:t xml:space="preserve">-da-nu-ú-li “I mobilized the troops”, </w:t>
      </w:r>
      <w:r w:rsidRPr="006F04E6">
        <w:rPr>
          <w:rFonts w:ascii="Times New Roman" w:hAnsi="Times New Roman"/>
          <w:color w:val="202124"/>
          <w:lang w:val="en-GB"/>
        </w:rPr>
        <w:t xml:space="preserve">meaning which I truly do not know how to apply to the tribes of </w:t>
      </w:r>
      <w:r w:rsidRPr="006F04E6">
        <w:rPr>
          <w:rFonts w:ascii="Times New Roman" w:hAnsi="Times New Roman"/>
          <w:iCs/>
          <w:color w:val="202124"/>
          <w:lang w:val="en-GB"/>
        </w:rPr>
        <w:t>Uiṭeruḫi</w:t>
      </w:r>
      <w:r w:rsidRPr="006F04E6">
        <w:rPr>
          <w:rFonts w:ascii="Times New Roman" w:hAnsi="Times New Roman"/>
          <w:iCs/>
          <w:color w:val="202124"/>
          <w:lang w:val="en-GB"/>
        </w:rPr>
        <w:fldChar w:fldCharType="begin"/>
      </w:r>
      <w:r w:rsidRPr="006F04E6">
        <w:rPr>
          <w:rFonts w:ascii="Courier New" w:hAnsi="Courier New"/>
          <w:iCs/>
          <w:lang w:val="en-GB"/>
        </w:rPr>
        <w:instrText xml:space="preserve"> XE "</w:instrText>
      </w:r>
      <w:r w:rsidRPr="006F04E6">
        <w:rPr>
          <w:rFonts w:ascii="Times New Roman" w:hAnsi="Times New Roman"/>
        </w:rPr>
        <w:instrText>Uiṭeruḫi</w:instrText>
      </w:r>
      <w:r w:rsidRPr="006F04E6">
        <w:rPr>
          <w:rFonts w:ascii="Courier New" w:hAnsi="Courier New"/>
          <w:iCs/>
          <w:lang w:val="en-GB"/>
        </w:rPr>
        <w:instrText xml:space="preserve">" </w:instrText>
      </w:r>
      <w:r w:rsidRPr="006F04E6">
        <w:rPr>
          <w:rFonts w:ascii="Times New Roman" w:hAnsi="Times New Roman"/>
          <w:iCs/>
          <w:color w:val="202124"/>
          <w:lang w:val="en-GB"/>
        </w:rPr>
        <w:fldChar w:fldCharType="end"/>
      </w:r>
      <w:r w:rsidRPr="006F04E6">
        <w:rPr>
          <w:rFonts w:ascii="Times New Roman" w:hAnsi="Times New Roman"/>
          <w:iCs/>
          <w:color w:val="202124"/>
          <w:lang w:val="en-GB"/>
        </w:rPr>
        <w:t>, Luša</w:t>
      </w:r>
      <w:r w:rsidRPr="006F04E6">
        <w:rPr>
          <w:rFonts w:ascii="Times New Roman" w:hAnsi="Times New Roman"/>
          <w:iCs/>
          <w:color w:val="202124"/>
          <w:lang w:val="en-GB"/>
        </w:rPr>
        <w:fldChar w:fldCharType="begin"/>
      </w:r>
      <w:r w:rsidRPr="006F04E6">
        <w:rPr>
          <w:rFonts w:ascii="Courier New" w:hAnsi="Courier New"/>
          <w:iCs/>
          <w:lang w:val="en-GB"/>
        </w:rPr>
        <w:instrText xml:space="preserve"> XE "</w:instrText>
      </w:r>
      <w:r w:rsidRPr="006F04E6">
        <w:rPr>
          <w:rFonts w:ascii="Times New Roman" w:hAnsi="Times New Roman"/>
          <w:iCs/>
          <w:lang w:val="en-GB"/>
        </w:rPr>
        <w:instrText>Luša</w:instrText>
      </w:r>
      <w:r w:rsidRPr="006F04E6">
        <w:rPr>
          <w:rFonts w:ascii="Courier New" w:hAnsi="Courier New"/>
          <w:iCs/>
          <w:lang w:val="en-GB"/>
        </w:rPr>
        <w:instrText xml:space="preserve">" </w:instrText>
      </w:r>
      <w:r w:rsidRPr="006F04E6">
        <w:rPr>
          <w:rFonts w:ascii="Times New Roman" w:hAnsi="Times New Roman"/>
          <w:iCs/>
          <w:color w:val="202124"/>
          <w:lang w:val="en-GB"/>
        </w:rPr>
        <w:fldChar w:fldCharType="end"/>
      </w:r>
      <w:r w:rsidRPr="006F04E6">
        <w:rPr>
          <w:rFonts w:ascii="Times New Roman" w:hAnsi="Times New Roman"/>
          <w:iCs/>
          <w:color w:val="202124"/>
          <w:lang w:val="en-GB"/>
        </w:rPr>
        <w:t xml:space="preserve"> and Katarza</w:t>
      </w:r>
      <w:r w:rsidRPr="006F04E6">
        <w:rPr>
          <w:rFonts w:ascii="Times New Roman" w:hAnsi="Times New Roman"/>
          <w:iCs/>
          <w:color w:val="202124"/>
          <w:lang w:val="en-GB"/>
        </w:rPr>
        <w:fldChar w:fldCharType="begin"/>
      </w:r>
      <w:r w:rsidRPr="006F04E6">
        <w:rPr>
          <w:rFonts w:ascii="Courier New" w:hAnsi="Courier New"/>
          <w:iCs/>
          <w:lang w:val="en-GB"/>
        </w:rPr>
        <w:instrText xml:space="preserve"> XE "</w:instrText>
      </w:r>
      <w:r w:rsidRPr="006F04E6">
        <w:rPr>
          <w:rFonts w:ascii="Times New Roman" w:hAnsi="Times New Roman"/>
          <w:iCs/>
          <w:lang w:val="en-GB"/>
        </w:rPr>
        <w:instrText>Katarza</w:instrText>
      </w:r>
      <w:r w:rsidRPr="006F04E6">
        <w:rPr>
          <w:rFonts w:ascii="Courier New" w:hAnsi="Courier New"/>
          <w:iCs/>
          <w:lang w:val="en-GB"/>
        </w:rPr>
        <w:instrText xml:space="preserve">" </w:instrText>
      </w:r>
      <w:r w:rsidRPr="006F04E6">
        <w:rPr>
          <w:rFonts w:ascii="Times New Roman" w:hAnsi="Times New Roman"/>
          <w:iCs/>
          <w:color w:val="202124"/>
          <w:lang w:val="en-GB"/>
        </w:rPr>
        <w:fldChar w:fldCharType="end"/>
      </w:r>
      <w:r w:rsidRPr="006F04E6">
        <w:rPr>
          <w:rFonts w:ascii="Times New Roman" w:hAnsi="Times New Roman"/>
          <w:iCs/>
          <w:color w:val="202124"/>
          <w:lang w:val="en-GB"/>
        </w:rPr>
        <w:t xml:space="preserve"> as in the following passage the weapons of Ḫaldi</w:t>
      </w:r>
      <w:r w:rsidRPr="006F04E6">
        <w:rPr>
          <w:rFonts w:ascii="Times New Roman" w:hAnsi="Times New Roman"/>
          <w:iCs/>
          <w:color w:val="202124"/>
          <w:lang w:val="en-GB"/>
        </w:rPr>
        <w:fldChar w:fldCharType="begin"/>
      </w:r>
      <w:r w:rsidRPr="006F04E6">
        <w:rPr>
          <w:rFonts w:ascii="Courier New" w:hAnsi="Courier New"/>
          <w:iCs/>
          <w:lang w:val="en-GB"/>
        </w:rPr>
        <w:instrText xml:space="preserve"> XE "</w:instrText>
      </w:r>
      <w:r w:rsidRPr="006F04E6">
        <w:rPr>
          <w:rFonts w:ascii="Times New Roman" w:hAnsi="Times New Roman"/>
          <w:iCs/>
          <w:lang w:val="en-GB"/>
        </w:rPr>
        <w:instrText>Ḫaldi</w:instrText>
      </w:r>
      <w:r w:rsidRPr="006F04E6">
        <w:rPr>
          <w:rFonts w:ascii="Courier New" w:hAnsi="Courier New"/>
          <w:iCs/>
          <w:lang w:val="en-GB"/>
        </w:rPr>
        <w:instrText xml:space="preserve">" </w:instrText>
      </w:r>
      <w:r w:rsidRPr="006F04E6">
        <w:rPr>
          <w:rFonts w:ascii="Times New Roman" w:hAnsi="Times New Roman"/>
          <w:iCs/>
          <w:color w:val="202124"/>
          <w:lang w:val="en-GB"/>
        </w:rPr>
        <w:fldChar w:fldCharType="end"/>
      </w:r>
      <w:r w:rsidRPr="006F04E6">
        <w:rPr>
          <w:rFonts w:ascii="Times New Roman" w:hAnsi="Times New Roman"/>
          <w:iCs/>
          <w:color w:val="202124"/>
          <w:lang w:val="en-GB"/>
        </w:rPr>
        <w:t xml:space="preserve"> march against them.</w:t>
      </w:r>
    </w:p>
    <w:p w14:paraId="7853B8F2"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i/>
          <w:iCs/>
          <w:lang w:val="en-GB"/>
        </w:rPr>
      </w:pPr>
      <w:r w:rsidRPr="00F03A26">
        <w:rPr>
          <w:rFonts w:asciiTheme="majorBidi" w:hAnsiTheme="majorBidi" w:cstheme="majorBidi"/>
          <w:noProof/>
          <w:color w:val="202124"/>
          <w:lang w:eastAsia="tr-TR"/>
        </w:rPr>
        <w:drawing>
          <wp:anchor distT="0" distB="0" distL="114300" distR="114300" simplePos="0" relativeHeight="252005376" behindDoc="0" locked="0" layoutInCell="1" allowOverlap="1" wp14:anchorId="4AF53A1D" wp14:editId="3CC3498B">
            <wp:simplePos x="0" y="0"/>
            <wp:positionH relativeFrom="margin">
              <wp:posOffset>0</wp:posOffset>
            </wp:positionH>
            <wp:positionV relativeFrom="margin">
              <wp:posOffset>443230</wp:posOffset>
            </wp:positionV>
            <wp:extent cx="3865245" cy="7332345"/>
            <wp:effectExtent l="0" t="0" r="0" b="0"/>
            <wp:wrapTopAndBottom/>
            <wp:docPr id="568287098" name="Resim 568287098" descr="F:\CORPUS URARTEO 2020  III 5\Corpus Urarteo Colori\A3 = IspuMinua\A 3-4\A 3-4 Ro = CICh 13 Vs Tafel I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ORPUS URARTEO 2020  III 5\Corpus Urarteo Colori\A3 = IspuMinua\A 3-4\A 3-4 Ro = CICh 13 Vs Tafel IV.tif"/>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3865245" cy="7332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EB1333" w14:textId="77777777" w:rsidR="00B4516E" w:rsidRPr="004A48F1" w:rsidRDefault="00B4516E" w:rsidP="00B4516E">
      <w:pPr>
        <w:spacing w:after="200"/>
        <w:rPr>
          <w:rFonts w:ascii="Times New Roman" w:hAnsi="Times New Roman"/>
          <w:i/>
          <w:iCs/>
          <w:color w:val="000000" w:themeColor="text1"/>
          <w:lang w:val="en-GB"/>
        </w:rPr>
      </w:pPr>
      <w:r w:rsidRPr="004A48F1">
        <w:rPr>
          <w:rFonts w:ascii="Times New Roman" w:hAnsi="Times New Roman"/>
          <w:color w:val="000000" w:themeColor="text1"/>
          <w:lang w:val="en-GB"/>
        </w:rPr>
        <w:t>Fig. 13 Cast of paper by C. F. Lehmann-Haupt</w:t>
      </w:r>
      <w:r w:rsidRPr="004A48F1">
        <w:rPr>
          <w:rFonts w:ascii="Times New Roman" w:eastAsia="Calibri" w:hAnsi="Times New Roman" w:cs="Times New Roman"/>
          <w:color w:val="000000" w:themeColor="text1"/>
          <w:lang w:val="en-GB"/>
        </w:rPr>
        <w:fldChar w:fldCharType="begin"/>
      </w:r>
      <w:r w:rsidRPr="004A48F1">
        <w:rPr>
          <w:rFonts w:ascii="Times New Roman" w:eastAsia="Calibri" w:hAnsi="Times New Roman" w:cs="Arial"/>
          <w:i/>
          <w:iCs/>
          <w:color w:val="000000" w:themeColor="text1"/>
          <w:sz w:val="18"/>
          <w:szCs w:val="18"/>
          <w:lang w:val="en-GB"/>
        </w:rPr>
        <w:instrText xml:space="preserve"> </w:instrText>
      </w:r>
      <w:r w:rsidRPr="004A48F1">
        <w:rPr>
          <w:rFonts w:ascii="Times New Roman" w:eastAsia="Calibri" w:hAnsi="Times New Roman" w:cs="Arial"/>
          <w:color w:val="000000" w:themeColor="text1"/>
          <w:sz w:val="18"/>
          <w:szCs w:val="18"/>
          <w:lang w:val="en-GB"/>
        </w:rPr>
        <w:instrText>XE "</w:instrText>
      </w:r>
      <w:r w:rsidRPr="004A48F1">
        <w:rPr>
          <w:rFonts w:ascii="Times New Roman" w:eastAsia="Calibri" w:hAnsi="Times New Roman" w:cs="Times New Roman"/>
          <w:color w:val="000000" w:themeColor="text1"/>
          <w:sz w:val="18"/>
          <w:szCs w:val="18"/>
          <w:lang w:val="en-GB"/>
        </w:rPr>
        <w:instrText>Lehmann-Haupt</w:instrText>
      </w:r>
      <w:r w:rsidRPr="004A48F1">
        <w:rPr>
          <w:rFonts w:ascii="Times New Roman" w:eastAsia="Calibri" w:hAnsi="Times New Roman" w:cs="Arial"/>
          <w:color w:val="000000" w:themeColor="text1"/>
          <w:sz w:val="18"/>
          <w:szCs w:val="18"/>
          <w:lang w:val="en-GB"/>
        </w:rPr>
        <w:instrText>"</w:instrText>
      </w:r>
      <w:r w:rsidRPr="004A48F1">
        <w:rPr>
          <w:rFonts w:ascii="Times New Roman" w:eastAsia="Calibri" w:hAnsi="Times New Roman" w:cs="Arial"/>
          <w:i/>
          <w:iCs/>
          <w:color w:val="000000" w:themeColor="text1"/>
          <w:sz w:val="18"/>
          <w:szCs w:val="18"/>
          <w:lang w:val="en-GB"/>
        </w:rPr>
        <w:instrText xml:space="preserve"> </w:instrText>
      </w:r>
      <w:r w:rsidRPr="004A48F1">
        <w:rPr>
          <w:rFonts w:ascii="Times New Roman" w:eastAsia="Calibri" w:hAnsi="Times New Roman" w:cs="Times New Roman"/>
          <w:color w:val="000000" w:themeColor="text1"/>
          <w:lang w:val="en-GB"/>
        </w:rPr>
        <w:fldChar w:fldCharType="end"/>
      </w:r>
      <w:r w:rsidRPr="004A48F1">
        <w:rPr>
          <w:rFonts w:ascii="Times New Roman" w:hAnsi="Times New Roman"/>
          <w:color w:val="000000" w:themeColor="text1"/>
          <w:lang w:val="en-GB"/>
        </w:rPr>
        <w:t xml:space="preserve"> (CICh. 13 Vs Tafel IV = CTU I. A 3-4 obv).</w:t>
      </w:r>
    </w:p>
    <w:p w14:paraId="5B4C6BF5" w14:textId="77777777" w:rsidR="00B4516E" w:rsidRPr="006F04E6" w:rsidRDefault="00B4516E" w:rsidP="00B4516E">
      <w:pPr>
        <w:keepNext/>
        <w:shd w:val="clear" w:color="auto" w:fill="F8F9FA"/>
        <w:tabs>
          <w:tab w:val="left" w:pos="916"/>
          <w:tab w:val="left" w:pos="1832"/>
          <w:tab w:val="left" w:pos="2748"/>
          <w:tab w:val="left" w:pos="3664"/>
          <w:tab w:val="left" w:pos="390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rPr>
      </w:pPr>
      <w:r w:rsidRPr="006F04E6">
        <w:rPr>
          <w:rFonts w:ascii="Times New Roman" w:hAnsi="Times New Roman"/>
        </w:rPr>
        <w:t>CTU I. A 3-4 obv. Translation</w:t>
      </w:r>
    </w:p>
    <w:p w14:paraId="1DD68D7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r w:rsidRPr="006F04E6">
        <w:rPr>
          <w:rFonts w:ascii="Times New Roman" w:hAnsi="Times New Roman"/>
        </w:rPr>
        <w:t>“(lines 1'-5 ') Išpuini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Išpuini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son of Minua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and Minua, son of Išpuini, conquered Luša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Luša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(6'-10') and Katarza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Katarza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 . . . reached the town of Anašie</w:t>
      </w:r>
      <w:r w:rsidRPr="006F04E6">
        <w:rPr>
          <w:rFonts w:ascii="Times New Roman" w:hAnsi="Times New Roman"/>
        </w:rPr>
        <w:fldChar w:fldCharType="begin"/>
      </w:r>
      <w:r w:rsidRPr="006F04E6">
        <w:instrText xml:space="preserve"> XE "</w:instrText>
      </w:r>
      <w:r w:rsidRPr="006F04E6">
        <w:rPr>
          <w:rFonts w:ascii="Times New Roman" w:hAnsi="Times New Roman"/>
          <w:lang w:val="en-GB"/>
        </w:rPr>
        <w:instrText>Anašie</w:instrText>
      </w:r>
      <w:r w:rsidRPr="006F04E6">
        <w:instrText xml:space="preserve">" </w:instrText>
      </w:r>
      <w:r w:rsidRPr="006F04E6">
        <w:rPr>
          <w:rFonts w:ascii="Times New Roman" w:hAnsi="Times New Roman"/>
        </w:rPr>
        <w:fldChar w:fldCharType="end"/>
      </w:r>
      <w:r w:rsidRPr="006F04E6">
        <w:rPr>
          <w:rFonts w:ascii="Times New Roman" w:hAnsi="Times New Roman"/>
        </w:rPr>
        <w:t xml:space="preserve"> and the town of Maqurutar(z)a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Maqurutar(z)a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(11'-15 '). I [..]ed the Uiṭeruḫi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Uiṭeruḫi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the Luša (and) the Katarza (tribes, populations). Etiu/Etiuḫi/Etiuni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Etiu/Etiuḫi/Etiuni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’s enemy kings (</w:t>
      </w:r>
      <w:r w:rsidRPr="006F04E6">
        <w:rPr>
          <w:rFonts w:ascii="Times New Roman" w:hAnsi="Times New Roman"/>
          <w:lang w:val="en-GB"/>
        </w:rPr>
        <w:t>bur-ga-la-li LUGAL-li-li “the ennemy kings”</w:t>
      </w:r>
      <w:r w:rsidRPr="006F04E6">
        <w:rPr>
          <w:rFonts w:ascii="Times New Roman" w:hAnsi="Times New Roman"/>
        </w:rPr>
        <w:t>) rose up(?); (15'-20 ') Ḫaldi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Ḫaldi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left with his weapon towards Uiṭeruḫi, towards Luša and towards Katarza, against the kings of Etiu/Etiuḫi/Etiuni. (21'-26 ') Ḫaldi is victorious (?), The weapon of </w:t>
      </w:r>
      <w:r w:rsidRPr="006F04E6">
        <w:rPr>
          <w:rFonts w:ascii="Times New Roman" w:hAnsi="Times New Roman"/>
          <w:lang w:val="en-GB"/>
        </w:rPr>
        <w:t>Ḫaldi is victorious (?). Išpuini, son of Minua, and Minua, son of Išpuini left (on an expedition); (27'-30 ') rejected (?) the U(i)ṭeruḫi</w:t>
      </w:r>
      <w:r w:rsidRPr="006F04E6">
        <w:rPr>
          <w:rFonts w:ascii="Times New Roman" w:hAnsi="Times New Roman"/>
          <w:lang w:val="en-GB"/>
        </w:rPr>
        <w:fldChar w:fldCharType="begin"/>
      </w:r>
      <w:r w:rsidRPr="006F04E6">
        <w:rPr>
          <w:rFonts w:ascii="Courier New" w:hAnsi="Courier New"/>
          <w:lang w:val="en-GB"/>
        </w:rPr>
        <w:instrText xml:space="preserve"> XE "</w:instrText>
      </w:r>
      <w:r w:rsidRPr="006F04E6">
        <w:rPr>
          <w:rFonts w:ascii="Times New Roman" w:hAnsi="Times New Roman"/>
          <w:lang w:val="en-GB"/>
        </w:rPr>
        <w:instrText>U(i)ṭeruḫi</w:instrText>
      </w:r>
      <w:r w:rsidRPr="006F04E6">
        <w:rPr>
          <w:rFonts w:ascii="Courier New" w:hAnsi="Courier New"/>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the Luša and the Katarza (and) the enemy kings of Etiu/Etiuḫi/Etiuni. (31'-38 ') </w:t>
      </w:r>
      <w:r w:rsidRPr="006F04E6">
        <w:rPr>
          <w:rFonts w:ascii="Times New Roman" w:hAnsi="Times New Roman"/>
          <w:i/>
          <w:lang w:val="en-GB"/>
        </w:rPr>
        <w:t>zašili ui</w:t>
      </w:r>
      <w:r w:rsidRPr="006F04E6">
        <w:rPr>
          <w:rFonts w:ascii="Times New Roman" w:hAnsi="Times New Roman"/>
          <w:lang w:val="en-GB"/>
        </w:rPr>
        <w:t xml:space="preserve"> x x </w:t>
      </w:r>
      <w:r w:rsidRPr="006F04E6">
        <w:rPr>
          <w:rFonts w:ascii="Times New Roman" w:hAnsi="Times New Roman"/>
          <w:i/>
          <w:lang w:val="en-GB"/>
        </w:rPr>
        <w:t>ipḫari</w:t>
      </w:r>
      <w:r w:rsidRPr="006F04E6">
        <w:rPr>
          <w:rFonts w:ascii="Times New Roman" w:hAnsi="Times New Roman"/>
          <w:lang w:val="en-GB"/>
        </w:rPr>
        <w:t xml:space="preserve"> have placed / written (??) an inscription in the city of Anašie. From there they received: [x] thousands+720 [men],[x] thousands+670 women, [x] hundreds and 26 horses, 13540 oxen, 20785 sheep. (39'-42 ') </w:t>
      </w:r>
      <w:r w:rsidRPr="006F04E6">
        <w:rPr>
          <w:rFonts w:ascii="Times New Roman" w:hAnsi="Times New Roman"/>
          <w:i/>
          <w:lang w:val="en-GB"/>
        </w:rPr>
        <w:t>kamni</w:t>
      </w:r>
      <w:r w:rsidRPr="006F04E6">
        <w:rPr>
          <w:rFonts w:ascii="Times New Roman" w:hAnsi="Times New Roman"/>
          <w:lang w:val="en-GB"/>
        </w:rPr>
        <w:t xml:space="preserve"> of (?) women (and) of men, from the city of Ṭušpa (there?) are </w:t>
      </w:r>
      <w:r w:rsidRPr="006F04E6">
        <w:rPr>
          <w:rFonts w:ascii="Times New Roman" w:hAnsi="Times New Roman"/>
          <w:i/>
          <w:lang w:val="en-GB"/>
        </w:rPr>
        <w:t>inini gurdari</w:t>
      </w:r>
      <w:r w:rsidRPr="006F04E6">
        <w:rPr>
          <w:rFonts w:ascii="Times New Roman" w:hAnsi="Times New Roman"/>
          <w:lang w:val="en-GB"/>
        </w:rPr>
        <w:t>”. The same sentence occurs in the text of Minua CTU I. A 5-2 r. 5/6.</w:t>
      </w:r>
    </w:p>
    <w:p w14:paraId="4AFCF00E" w14:textId="77777777" w:rsidR="00B4516E" w:rsidRPr="006F04E6" w:rsidRDefault="00B4516E" w:rsidP="00B4516E">
      <w:pPr>
        <w:spacing w:line="240" w:lineRule="atLeast"/>
        <w:jc w:val="both"/>
        <w:rPr>
          <w:rFonts w:ascii="Times New Roman" w:hAnsi="Times New Roman"/>
          <w:lang w:val="en-GB"/>
        </w:rPr>
      </w:pPr>
    </w:p>
    <w:p w14:paraId="64923847"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r w:rsidRPr="006F04E6">
        <w:rPr>
          <w:rFonts w:ascii="Times New Roman" w:hAnsi="Times New Roman"/>
          <w:lang w:val="en-GB"/>
        </w:rPr>
        <w:t xml:space="preserve"> (At the beginning of the rev, at least the content corresponding to Ro 1'-8 'is missing)</w:t>
      </w:r>
    </w:p>
    <w:p w14:paraId="5885EAE9" w14:textId="77777777" w:rsidR="00B4516E" w:rsidRPr="006F04E6" w:rsidRDefault="00B4516E" w:rsidP="00B4516E">
      <w:pPr>
        <w:ind w:left="567" w:right="-1" w:hanging="567"/>
        <w:jc w:val="both"/>
        <w:rPr>
          <w:rFonts w:ascii="Times New Roman" w:hAnsi="Times New Roman"/>
          <w:lang w:val="en-GB"/>
        </w:rPr>
      </w:pPr>
    </w:p>
    <w:p w14:paraId="2491D4CC" w14:textId="77777777" w:rsidR="00B4516E" w:rsidRPr="006F04E6" w:rsidRDefault="00B4516E" w:rsidP="00B4516E">
      <w:pPr>
        <w:ind w:left="567" w:hanging="567"/>
        <w:jc w:val="both"/>
        <w:rPr>
          <w:rFonts w:ascii="Times New Roman" w:hAnsi="Times New Roman"/>
          <w:lang w:val="en-GB"/>
        </w:rPr>
      </w:pPr>
      <w:r w:rsidRPr="006F04E6">
        <w:rPr>
          <w:rFonts w:ascii="Times New Roman" w:hAnsi="Times New Roman"/>
          <w:lang w:val="en-GB"/>
        </w:rPr>
        <w:t xml:space="preserve">Note. </w:t>
      </w:r>
      <w:r w:rsidRPr="006F04E6">
        <w:rPr>
          <w:rFonts w:ascii="Times New Roman" w:hAnsi="Times New Roman"/>
          <w:shd w:val="clear" w:color="auto" w:fill="F8F9FA"/>
          <w:lang w:val="en-GB"/>
        </w:rPr>
        <w:t>Line 29, Here it is observed that the rare logogram LUGAL is used to designate foreign or enemy kings (see CTU II p. 444), only exception SAL.LUGAL on the golden item CTU. B12A-1 (CTU IV. p. 68), while the Urartian</w:t>
      </w:r>
      <w:r w:rsidRPr="006F04E6">
        <w:rPr>
          <w:rFonts w:ascii="Times New Roman" w:hAnsi="Times New Roman"/>
          <w:shd w:val="clear" w:color="auto" w:fill="F8F9FA"/>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Urartian</w:instrText>
      </w:r>
      <w:r w:rsidRPr="006F04E6">
        <w:rPr>
          <w:rFonts w:ascii="Calibri" w:hAnsi="Calibri"/>
          <w:lang w:val="en-GB"/>
        </w:rPr>
        <w:instrText xml:space="preserve">" </w:instrText>
      </w:r>
      <w:r w:rsidRPr="006F04E6">
        <w:rPr>
          <w:rFonts w:ascii="Times New Roman" w:hAnsi="Times New Roman"/>
          <w:shd w:val="clear" w:color="auto" w:fill="F8F9FA"/>
          <w:lang w:val="en-GB"/>
        </w:rPr>
        <w:fldChar w:fldCharType="end"/>
      </w:r>
      <w:r w:rsidRPr="006F04E6">
        <w:rPr>
          <w:rFonts w:ascii="Times New Roman" w:hAnsi="Times New Roman"/>
          <w:shd w:val="clear" w:color="auto" w:fill="F8F9FA"/>
          <w:lang w:val="en-GB"/>
        </w:rPr>
        <w:t xml:space="preserve"> king is always expressed with MAN (Labat, 1976: n. 471, someone also writes LUGÁL). The same happens in the texts on bronze objects (see CTU IV. p. 112-114), while on clay, tablets or bullae, the Urartian king is always LUGAL (CTU IV. p. 167 and 206).</w:t>
      </w:r>
    </w:p>
    <w:p w14:paraId="099D5C05" w14:textId="77777777" w:rsidR="00B4516E" w:rsidRPr="006F04E6" w:rsidRDefault="00B4516E" w:rsidP="00B4516E">
      <w:pPr>
        <w:ind w:left="567" w:right="-1" w:hanging="567"/>
        <w:rPr>
          <w:rFonts w:ascii="Times New Roman" w:hAnsi="Times New Roman"/>
          <w:lang w:val="en-GB"/>
        </w:rPr>
      </w:pPr>
    </w:p>
    <w:p w14:paraId="74DFF159" w14:textId="77777777" w:rsidR="00B4516E" w:rsidRPr="006F04E6" w:rsidRDefault="00B4516E" w:rsidP="00B4516E">
      <w:pPr>
        <w:ind w:left="567" w:right="-1" w:hanging="567"/>
        <w:rPr>
          <w:rFonts w:ascii="Times New Roman" w:hAnsi="Times New Roman"/>
          <w:b/>
          <w:lang w:val="en-GB"/>
        </w:rPr>
      </w:pPr>
      <w:r w:rsidRPr="006F04E6">
        <w:rPr>
          <w:rFonts w:ascii="Times New Roman" w:hAnsi="Times New Roman"/>
          <w:b/>
          <w:lang w:val="en-GB"/>
        </w:rPr>
        <w:t xml:space="preserve">CTU I. A 3-4 rev. </w:t>
      </w:r>
    </w:p>
    <w:p w14:paraId="4E3AD2C0"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[URU]</w:t>
      </w:r>
      <w:r w:rsidRPr="006F04E6">
        <w:rPr>
          <w:rFonts w:ascii="Times New Roman" w:hAnsi="Times New Roman"/>
          <w:lang w:val="en-GB"/>
        </w:rPr>
        <w:t>a-na-ši-i-</w:t>
      </w:r>
      <w:r w:rsidRPr="006F04E6">
        <w:rPr>
          <w:rFonts w:ascii="Cambria Math" w:hAnsi="Cambria Math"/>
          <w:lang w:val="en-GB"/>
        </w:rPr>
        <w:t>⌈</w:t>
      </w:r>
      <w:r w:rsidRPr="006F04E6">
        <w:rPr>
          <w:rFonts w:ascii="Times New Roman" w:hAnsi="Times New Roman"/>
          <w:lang w:val="en-GB"/>
        </w:rPr>
        <w:t>e</w:t>
      </w:r>
      <w:r w:rsidRPr="006F04E6">
        <w:rPr>
          <w:rFonts w:ascii="Cambria Math" w:hAnsi="Cambria Math"/>
          <w:lang w:val="en-GB"/>
        </w:rPr>
        <w:t>⌉</w:t>
      </w:r>
      <w:r w:rsidRPr="006F04E6">
        <w:rPr>
          <w:rFonts w:ascii="Times New Roman" w:hAnsi="Times New Roman"/>
          <w:lang w:val="en-GB"/>
        </w:rPr>
        <w:t xml:space="preserve"> [(pa-ri </w:t>
      </w:r>
      <w:r w:rsidRPr="006F04E6">
        <w:rPr>
          <w:rFonts w:ascii="Times New Roman" w:hAnsi="Times New Roman"/>
          <w:vertAlign w:val="superscript"/>
          <w:lang w:val="en-GB"/>
        </w:rPr>
        <w:t>URU</w:t>
      </w:r>
      <w:r w:rsidRPr="006F04E6">
        <w:rPr>
          <w:rFonts w:ascii="Times New Roman" w:hAnsi="Times New Roman"/>
          <w:lang w:val="en-GB"/>
        </w:rPr>
        <w:t>ma-qu-ru-tar)-a/za]</w:t>
      </w:r>
    </w:p>
    <w:p w14:paraId="41B3ED7C"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t xml:space="preserve">[x-x]-nu-bi </w:t>
      </w:r>
      <w:r w:rsidRPr="006F04E6">
        <w:rPr>
          <w:rFonts w:ascii="Times New Roman" w:hAnsi="Times New Roman"/>
          <w:vertAlign w:val="superscript"/>
          <w:lang w:val="en-GB"/>
        </w:rPr>
        <w:t>m</w:t>
      </w:r>
      <w:r w:rsidRPr="006F04E6">
        <w:rPr>
          <w:rFonts w:ascii="Times New Roman" w:hAnsi="Times New Roman"/>
          <w:lang w:val="en-GB"/>
        </w:rPr>
        <w:t xml:space="preserve">ú-ṭè-ru-ú-ḫi </w:t>
      </w:r>
      <w:r w:rsidRPr="006F04E6">
        <w:rPr>
          <w:rFonts w:ascii="Times New Roman" w:hAnsi="Times New Roman"/>
          <w:vertAlign w:val="superscript"/>
          <w:lang w:val="en-GB"/>
        </w:rPr>
        <w:t>m</w:t>
      </w:r>
      <w:r w:rsidRPr="006F04E6">
        <w:rPr>
          <w:rFonts w:ascii="Times New Roman" w:hAnsi="Times New Roman"/>
          <w:lang w:val="en-GB"/>
        </w:rPr>
        <w:t>[lu]-</w:t>
      </w:r>
      <w:r w:rsidRPr="006F04E6">
        <w:rPr>
          <w:rFonts w:ascii="Cambria Math" w:hAnsi="Cambria Math"/>
          <w:lang w:val="en-GB"/>
        </w:rPr>
        <w:t>⌈</w:t>
      </w:r>
      <w:r w:rsidRPr="006F04E6">
        <w:rPr>
          <w:rFonts w:ascii="Times New Roman" w:hAnsi="Times New Roman"/>
          <w:lang w:val="en-GB"/>
        </w:rPr>
        <w:t>ú</w:t>
      </w:r>
      <w:r w:rsidRPr="006F04E6">
        <w:rPr>
          <w:rFonts w:ascii="Cambria Math" w:hAnsi="Cambria Math"/>
          <w:lang w:val="en-GB"/>
        </w:rPr>
        <w:t>⌉</w:t>
      </w:r>
      <w:r w:rsidRPr="006F04E6">
        <w:rPr>
          <w:rFonts w:ascii="Times New Roman" w:hAnsi="Times New Roman"/>
          <w:lang w:val="en-GB"/>
        </w:rPr>
        <w:t xml:space="preserve">-[(šá-a </w:t>
      </w:r>
      <w:r w:rsidRPr="006F04E6">
        <w:rPr>
          <w:rFonts w:ascii="Times New Roman" w:hAnsi="Times New Roman"/>
          <w:vertAlign w:val="superscript"/>
          <w:lang w:val="en-GB"/>
        </w:rPr>
        <w:t>m</w:t>
      </w:r>
      <w:r w:rsidRPr="006F04E6">
        <w:rPr>
          <w:rFonts w:ascii="Times New Roman" w:hAnsi="Times New Roman"/>
          <w:lang w:val="en-GB"/>
        </w:rPr>
        <w:t>ka-tar-za-a)]</w:t>
      </w:r>
    </w:p>
    <w:p w14:paraId="2EAA90CE"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[bur-(g)]a-la-li LUGAL</w:t>
      </w:r>
      <w:r w:rsidRPr="006F04E6">
        <w:rPr>
          <w:rFonts w:ascii="Times New Roman" w:hAnsi="Times New Roman"/>
          <w:vertAlign w:val="superscript"/>
          <w:lang w:val="en-GB"/>
        </w:rPr>
        <w:t>MEŠ KUR</w:t>
      </w:r>
      <w:r w:rsidRPr="006F04E6">
        <w:rPr>
          <w:rFonts w:ascii="Times New Roman" w:hAnsi="Times New Roman"/>
          <w:lang w:val="en-GB"/>
        </w:rPr>
        <w:t>e-ti-ú-ḫi-ni-[(li)]</w:t>
      </w:r>
    </w:p>
    <w:p w14:paraId="6081F1BF"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[a]r-nu-ia-li uš-ta-a-[bi]</w:t>
      </w:r>
    </w:p>
    <w:p w14:paraId="74240E17"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t>[</w:t>
      </w:r>
      <w:r w:rsidRPr="006F04E6">
        <w:rPr>
          <w:rFonts w:ascii="Times New Roman" w:hAnsi="Times New Roman"/>
          <w:vertAlign w:val="superscript"/>
          <w:lang w:val="en-GB"/>
        </w:rPr>
        <w:t>D</w:t>
      </w:r>
      <w:r w:rsidRPr="006F04E6">
        <w:rPr>
          <w:rFonts w:ascii="Times New Roman" w:hAnsi="Times New Roman"/>
          <w:lang w:val="en-GB"/>
        </w:rPr>
        <w:t xml:space="preserve">ḫal]-di-ni ma-si-ni </w:t>
      </w:r>
      <w:r w:rsidRPr="006F04E6">
        <w:rPr>
          <w:rFonts w:ascii="Times New Roman" w:hAnsi="Times New Roman"/>
          <w:vertAlign w:val="superscript"/>
          <w:lang w:val="en-GB"/>
        </w:rPr>
        <w:t>GIŠ</w:t>
      </w:r>
      <w:r w:rsidRPr="006F04E6">
        <w:rPr>
          <w:rFonts w:ascii="Times New Roman" w:hAnsi="Times New Roman"/>
          <w:lang w:val="en-GB"/>
        </w:rPr>
        <w:t>šú-ri-e</w:t>
      </w:r>
      <w:r w:rsidRPr="006F04E6">
        <w:rPr>
          <w:rFonts w:ascii="Times New Roman" w:hAnsi="Times New Roman"/>
          <w:vertAlign w:val="superscript"/>
          <w:lang w:val="en-GB"/>
        </w:rPr>
        <w:t xml:space="preserve"> m</w:t>
      </w:r>
      <w:r w:rsidRPr="006F04E6">
        <w:rPr>
          <w:rFonts w:ascii="Times New Roman" w:hAnsi="Times New Roman"/>
          <w:lang w:val="en-GB"/>
        </w:rPr>
        <w:t>ú-ṭè-ru-ḫi-ni-e-[(di)]</w:t>
      </w:r>
    </w:p>
    <w:p w14:paraId="263D832A"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lu-šá-i-ni-e-di </w:t>
      </w:r>
      <w:r w:rsidRPr="006F04E6">
        <w:rPr>
          <w:rFonts w:ascii="Times New Roman" w:hAnsi="Times New Roman"/>
          <w:vertAlign w:val="superscript"/>
          <w:lang w:val="en-GB"/>
        </w:rPr>
        <w:t>m</w:t>
      </w:r>
      <w:r w:rsidRPr="006F04E6">
        <w:rPr>
          <w:rFonts w:ascii="Times New Roman" w:hAnsi="Times New Roman"/>
          <w:lang w:val="en-GB"/>
        </w:rPr>
        <w:t>ka-tar-za-ni-[e-di]</w:t>
      </w:r>
    </w:p>
    <w:p w14:paraId="20DDB102"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r>
      <w:r w:rsidRPr="006F04E6">
        <w:rPr>
          <w:rFonts w:ascii="Times New Roman" w:hAnsi="Times New Roman"/>
          <w:vertAlign w:val="superscript"/>
          <w:lang w:val="en-GB"/>
        </w:rPr>
        <w:t>[KUR]</w:t>
      </w:r>
      <w:r w:rsidRPr="006F04E6">
        <w:rPr>
          <w:rFonts w:ascii="Times New Roman" w:hAnsi="Times New Roman"/>
          <w:lang w:val="en-GB"/>
        </w:rPr>
        <w:t>e-ti-ú-ḫi-na-e-di MAN</w:t>
      </w:r>
      <w:r w:rsidRPr="006F04E6">
        <w:rPr>
          <w:rFonts w:ascii="Times New Roman" w:hAnsi="Times New Roman"/>
          <w:vertAlign w:val="superscript"/>
          <w:lang w:val="en-GB"/>
        </w:rPr>
        <w:t>MEŠ</w:t>
      </w:r>
      <w:r w:rsidRPr="006F04E6">
        <w:rPr>
          <w:rFonts w:ascii="Times New Roman" w:hAnsi="Times New Roman"/>
          <w:lang w:val="en-GB"/>
        </w:rPr>
        <w:t xml:space="preserve">-di </w:t>
      </w:r>
      <w:r w:rsidRPr="006F04E6">
        <w:rPr>
          <w:rFonts w:ascii="Times New Roman" w:hAnsi="Times New Roman"/>
          <w:vertAlign w:val="superscript"/>
          <w:lang w:val="en-GB"/>
        </w:rPr>
        <w:t>D</w:t>
      </w:r>
      <w:r w:rsidRPr="006F04E6">
        <w:rPr>
          <w:rFonts w:ascii="Times New Roman" w:hAnsi="Times New Roman"/>
          <w:lang w:val="en-GB"/>
        </w:rPr>
        <w:t>ḫal-di-ni ku-ru-[(ni)]</w:t>
      </w:r>
    </w:p>
    <w:p w14:paraId="73DC6FE4"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 xml:space="preserve">ḫal-di-ni </w:t>
      </w:r>
      <w:r w:rsidRPr="006F04E6">
        <w:rPr>
          <w:rFonts w:ascii="Times New Roman" w:hAnsi="Times New Roman"/>
          <w:vertAlign w:val="superscript"/>
          <w:lang w:val="en-GB"/>
        </w:rPr>
        <w:t>GIŠ</w:t>
      </w:r>
      <w:r w:rsidRPr="006F04E6">
        <w:rPr>
          <w:rFonts w:ascii="Times New Roman" w:hAnsi="Times New Roman"/>
          <w:lang w:val="en-GB"/>
        </w:rPr>
        <w:t>šú-ri-i ku-ru-ni uš-ta-[(li)]</w:t>
      </w:r>
    </w:p>
    <w:p w14:paraId="6ABD79AF"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 xml:space="preserve">iš)]-pu-ú-i-ni-ni </w:t>
      </w:r>
      <w:r w:rsidRPr="006F04E6">
        <w:rPr>
          <w:rFonts w:ascii="Times New Roman" w:hAnsi="Times New Roman"/>
          <w:vertAlign w:val="superscript"/>
          <w:lang w:val="en-GB"/>
        </w:rPr>
        <w:t>mD</w:t>
      </w:r>
      <w:r w:rsidRPr="006F04E6">
        <w:rPr>
          <w:rFonts w:ascii="Times New Roman" w:hAnsi="Times New Roman"/>
          <w:lang w:val="en-GB"/>
        </w:rPr>
        <w:t>sar</w:t>
      </w:r>
      <w:r w:rsidRPr="006F04E6">
        <w:rPr>
          <w:rFonts w:ascii="Times New Roman" w:hAnsi="Times New Roman"/>
          <w:vertAlign w:val="subscript"/>
          <w:lang w:val="en-GB"/>
        </w:rPr>
        <w:t>5</w:t>
      </w:r>
      <w:r w:rsidRPr="006F04E6">
        <w:rPr>
          <w:rFonts w:ascii="Times New Roman" w:hAnsi="Times New Roman"/>
          <w:lang w:val="en-GB"/>
        </w:rPr>
        <w:t xml:space="preserve">-du-ri-ḫi </w:t>
      </w:r>
      <w:r w:rsidRPr="006F04E6">
        <w:rPr>
          <w:rFonts w:ascii="Times New Roman" w:hAnsi="Times New Roman"/>
          <w:vertAlign w:val="superscript"/>
          <w:lang w:val="en-GB"/>
        </w:rPr>
        <w:t>m</w:t>
      </w:r>
      <w:r w:rsidRPr="006F04E6">
        <w:rPr>
          <w:rFonts w:ascii="Times New Roman" w:hAnsi="Times New Roman"/>
          <w:lang w:val="en-GB"/>
        </w:rPr>
        <w:t>mì-nu-[(a-ni)]</w:t>
      </w:r>
    </w:p>
    <w:p w14:paraId="01F21228"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10'</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 xml:space="preserve">iš)]-pu-ú-i-ni-ḫi su-ú-i-du-tú </w:t>
      </w:r>
      <w:r w:rsidRPr="006F04E6">
        <w:rPr>
          <w:rFonts w:ascii="Times New Roman" w:hAnsi="Times New Roman"/>
          <w:vertAlign w:val="superscript"/>
          <w:lang w:val="en-GB"/>
        </w:rPr>
        <w:t>m</w:t>
      </w:r>
      <w:r w:rsidRPr="006F04E6">
        <w:rPr>
          <w:rFonts w:ascii="Times New Roman" w:hAnsi="Times New Roman"/>
          <w:lang w:val="en-GB"/>
        </w:rPr>
        <w:t>ú-ṭè-[(ru)-ḫi]</w:t>
      </w:r>
    </w:p>
    <w:p w14:paraId="3EAF4B5E"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11'</w:t>
      </w:r>
      <w:r w:rsidRPr="006F04E6">
        <w:rPr>
          <w:rFonts w:ascii="Calibri" w:hAnsi="Calibri"/>
        </w:rPr>
        <w:tab/>
      </w:r>
      <w:r w:rsidRPr="006F04E6">
        <w:rPr>
          <w:rFonts w:ascii="Times New Roman" w:hAnsi="Times New Roman"/>
          <w:lang w:val="en-GB"/>
        </w:rPr>
        <w:t>[</w:t>
      </w:r>
      <w:r w:rsidRPr="006F04E6">
        <w:rPr>
          <w:rFonts w:ascii="Times New Roman" w:hAnsi="Times New Roman"/>
          <w:vertAlign w:val="superscript"/>
          <w:lang w:val="en-GB"/>
        </w:rPr>
        <w:t>m</w:t>
      </w:r>
      <w:r w:rsidRPr="006F04E6">
        <w:rPr>
          <w:rFonts w:ascii="Times New Roman" w:hAnsi="Times New Roman"/>
          <w:lang w:val="en-GB"/>
        </w:rPr>
        <w:t xml:space="preserve">l]u-ú-šá-a </w:t>
      </w:r>
      <w:r w:rsidRPr="006F04E6">
        <w:rPr>
          <w:rFonts w:ascii="Times New Roman" w:hAnsi="Times New Roman"/>
          <w:vertAlign w:val="superscript"/>
          <w:lang w:val="en-GB"/>
        </w:rPr>
        <w:t>m</w:t>
      </w:r>
      <w:r w:rsidRPr="006F04E6">
        <w:rPr>
          <w:rFonts w:ascii="Times New Roman" w:hAnsi="Times New Roman"/>
          <w:lang w:val="en-GB"/>
        </w:rPr>
        <w:t>ka-tar-za-a bur-ga-la-li MAN</w:t>
      </w:r>
      <w:r w:rsidRPr="006F04E6">
        <w:rPr>
          <w:rFonts w:ascii="Times New Roman" w:hAnsi="Times New Roman"/>
          <w:vertAlign w:val="superscript"/>
          <w:lang w:val="en-GB"/>
        </w:rPr>
        <w:t>[MEŠ]</w:t>
      </w:r>
    </w:p>
    <w:p w14:paraId="65EB2FE3"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12'</w:t>
      </w:r>
      <w:r w:rsidRPr="006F04E6">
        <w:rPr>
          <w:rFonts w:ascii="Calibri" w:hAnsi="Calibri"/>
        </w:rPr>
        <w:tab/>
      </w:r>
      <w:r w:rsidRPr="006F04E6">
        <w:rPr>
          <w:rFonts w:ascii="Times New Roman" w:hAnsi="Times New Roman"/>
          <w:lang w:val="en-GB"/>
        </w:rPr>
        <w:t>[</w:t>
      </w:r>
      <w:r w:rsidRPr="006F04E6">
        <w:rPr>
          <w:rFonts w:ascii="Times New Roman" w:hAnsi="Times New Roman"/>
          <w:vertAlign w:val="superscript"/>
          <w:lang w:val="en-GB"/>
        </w:rPr>
        <w:t>KUR</w:t>
      </w:r>
      <w:r w:rsidRPr="006F04E6">
        <w:rPr>
          <w:rFonts w:ascii="Times New Roman" w:hAnsi="Times New Roman"/>
          <w:lang w:val="en-GB"/>
        </w:rPr>
        <w:t>]e-ti-ú-ḫi-ni-li za-ši-li [(ú-i)]</w:t>
      </w:r>
    </w:p>
    <w:p w14:paraId="0A990709"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13'</w:t>
      </w:r>
      <w:r w:rsidRPr="006F04E6">
        <w:rPr>
          <w:rFonts w:ascii="Calibri" w:hAnsi="Calibri"/>
        </w:rPr>
        <w:tab/>
      </w:r>
      <w:r w:rsidRPr="006F04E6">
        <w:rPr>
          <w:rFonts w:ascii="Times New Roman" w:hAnsi="Times New Roman"/>
          <w:lang w:val="en-GB"/>
        </w:rPr>
        <w:t>[x ]x ip-ḫa-a-ri še-er-</w:t>
      </w:r>
      <w:r w:rsidRPr="006F04E6">
        <w:rPr>
          <w:rFonts w:ascii="Cambria Math" w:hAnsi="Cambria Math"/>
          <w:lang w:val="en-GB"/>
        </w:rPr>
        <w:t>⌈</w:t>
      </w:r>
      <w:r w:rsidRPr="006F04E6">
        <w:rPr>
          <w:rFonts w:ascii="Times New Roman" w:hAnsi="Times New Roman"/>
          <w:lang w:val="en-GB"/>
        </w:rPr>
        <w:t>tu?</w:t>
      </w:r>
      <w:r w:rsidRPr="006F04E6">
        <w:rPr>
          <w:rFonts w:ascii="Cambria Math" w:hAnsi="Cambria Math"/>
          <w:lang w:val="en-GB"/>
        </w:rPr>
        <w:t>⌉</w:t>
      </w:r>
      <w:r w:rsidRPr="006F04E6">
        <w:rPr>
          <w:rFonts w:ascii="Times New Roman" w:hAnsi="Times New Roman"/>
          <w:lang w:val="en-GB"/>
        </w:rPr>
        <w:t xml:space="preserve"> DUB-[(te)]</w:t>
      </w:r>
    </w:p>
    <w:p w14:paraId="2BAFA981"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14'</w:t>
      </w:r>
      <w:r w:rsidRPr="006F04E6">
        <w:rPr>
          <w:rFonts w:ascii="Times New Roman" w:hAnsi="Times New Roman"/>
          <w:lang w:val="en-GB"/>
        </w:rPr>
        <w:tab/>
      </w:r>
      <w:r w:rsidRPr="006F04E6">
        <w:rPr>
          <w:rFonts w:ascii="Times New Roman" w:hAnsi="Times New Roman"/>
          <w:vertAlign w:val="superscript"/>
          <w:lang w:val="en-GB"/>
        </w:rPr>
        <w:t>[UR(U)]</w:t>
      </w:r>
      <w:r w:rsidRPr="006F04E6">
        <w:rPr>
          <w:rFonts w:ascii="Times New Roman" w:hAnsi="Times New Roman"/>
          <w:lang w:val="en-GB"/>
        </w:rPr>
        <w:t>a-na-ši-i-e nu-na-be iš-ti-ni-[(ni) x LIM]</w:t>
      </w:r>
    </w:p>
    <w:p w14:paraId="0D068D69"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15'</w:t>
      </w:r>
      <w:r w:rsidRPr="006F04E6">
        <w:rPr>
          <w:rFonts w:ascii="Times New Roman" w:hAnsi="Times New Roman"/>
          <w:lang w:val="en-GB"/>
        </w:rPr>
        <w:tab/>
        <w:t>[(7)] ME 20 KU</w:t>
      </w:r>
      <w:r w:rsidRPr="006F04E6">
        <w:rPr>
          <w:rFonts w:ascii="Times New Roman" w:hAnsi="Times New Roman"/>
          <w:i/>
          <w:lang w:val="en-GB"/>
        </w:rPr>
        <w:t>.</w:t>
      </w:r>
      <w:r w:rsidRPr="006F04E6">
        <w:rPr>
          <w:rFonts w:ascii="Times New Roman" w:hAnsi="Times New Roman"/>
          <w:lang w:val="en-GB"/>
        </w:rPr>
        <w:t>X</w:t>
      </w:r>
      <w:r w:rsidRPr="006F04E6">
        <w:rPr>
          <w:rFonts w:ascii="Times New Roman" w:hAnsi="Times New Roman"/>
          <w:vertAlign w:val="superscript"/>
          <w:lang w:val="en-GB"/>
        </w:rPr>
        <w:t>MEŠ</w:t>
      </w:r>
      <w:r w:rsidRPr="006F04E6">
        <w:rPr>
          <w:rFonts w:ascii="Times New Roman" w:hAnsi="Times New Roman"/>
          <w:lang w:val="en-GB"/>
        </w:rPr>
        <w:t xml:space="preserve"> [x] LIM 6 ME 70 </w:t>
      </w:r>
      <w:r w:rsidRPr="006F04E6">
        <w:rPr>
          <w:rFonts w:ascii="Times New Roman" w:hAnsi="Times New Roman"/>
          <w:vertAlign w:val="superscript"/>
          <w:lang w:val="en-GB"/>
        </w:rPr>
        <w:t>LÚ!</w:t>
      </w:r>
      <w:r w:rsidRPr="006F04E6">
        <w:rPr>
          <w:rFonts w:ascii="Times New Roman" w:hAnsi="Times New Roman"/>
          <w:lang w:val="en-GB"/>
        </w:rPr>
        <w:t>ú-e-di-[(a)-ni]</w:t>
      </w:r>
    </w:p>
    <w:p w14:paraId="4F6BBCED"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16'</w:t>
      </w:r>
      <w:r w:rsidRPr="006F04E6">
        <w:rPr>
          <w:rFonts w:ascii="Times New Roman" w:hAnsi="Times New Roman"/>
          <w:lang w:val="en-GB"/>
        </w:rPr>
        <w:tab/>
        <w:t>[x (ME)] 26 ANŠE.KUR.RA</w:t>
      </w:r>
      <w:r w:rsidRPr="006F04E6">
        <w:rPr>
          <w:rFonts w:ascii="Times New Roman" w:hAnsi="Times New Roman"/>
          <w:vertAlign w:val="superscript"/>
          <w:lang w:val="en-GB"/>
        </w:rPr>
        <w:t>MEŠ</w:t>
      </w:r>
      <w:r w:rsidRPr="006F04E6">
        <w:rPr>
          <w:rFonts w:ascii="Times New Roman" w:hAnsi="Times New Roman"/>
          <w:lang w:val="en-GB"/>
        </w:rPr>
        <w:t xml:space="preserve"> 10 LIM 3 LIM 5 ME 40</w:t>
      </w:r>
    </w:p>
    <w:p w14:paraId="733BAA62"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17'</w:t>
      </w:r>
      <w:r w:rsidRPr="006F04E6">
        <w:rPr>
          <w:rFonts w:ascii="Times New Roman" w:hAnsi="Times New Roman"/>
          <w:lang w:val="en-GB"/>
        </w:rPr>
        <w:tab/>
        <w:t>[(</w:t>
      </w:r>
      <w:r w:rsidRPr="006F04E6">
        <w:rPr>
          <w:rFonts w:ascii="Times New Roman" w:hAnsi="Times New Roman"/>
          <w:vertAlign w:val="superscript"/>
          <w:lang w:val="en-GB"/>
        </w:rPr>
        <w:t>GU4</w:t>
      </w:r>
      <w:r w:rsidRPr="006F04E6">
        <w:rPr>
          <w:rFonts w:ascii="Times New Roman" w:hAnsi="Times New Roman"/>
          <w:lang w:val="en-GB"/>
        </w:rPr>
        <w:t>pa)]-ḫi-ni 20 LIM 7 ME 85 UD[(U</w:t>
      </w:r>
      <w:r w:rsidRPr="006F04E6">
        <w:rPr>
          <w:rFonts w:ascii="Times New Roman" w:hAnsi="Times New Roman"/>
          <w:vertAlign w:val="superscript"/>
          <w:lang w:val="en-GB"/>
        </w:rPr>
        <w:t>MEŠ</w:t>
      </w:r>
      <w:r w:rsidRPr="006F04E6">
        <w:rPr>
          <w:rFonts w:ascii="Times New Roman" w:hAnsi="Times New Roman"/>
          <w:lang w:val="en-GB"/>
        </w:rPr>
        <w:t>)]</w:t>
      </w:r>
    </w:p>
    <w:p w14:paraId="53046D15"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18'</w:t>
      </w:r>
      <w:r w:rsidRPr="006F04E6">
        <w:rPr>
          <w:rFonts w:ascii="Times New Roman" w:hAnsi="Times New Roman"/>
          <w:lang w:val="en-GB"/>
        </w:rPr>
        <w:tab/>
        <w:t xml:space="preserve">[ka-(am)]-ni </w:t>
      </w:r>
      <w:r w:rsidRPr="006F04E6">
        <w:rPr>
          <w:rFonts w:ascii="Times New Roman" w:hAnsi="Times New Roman"/>
          <w:vertAlign w:val="superscript"/>
          <w:lang w:val="en-GB"/>
        </w:rPr>
        <w:t>LÚ</w:t>
      </w:r>
      <w:r w:rsidRPr="006F04E6">
        <w:rPr>
          <w:rFonts w:ascii="Times New Roman" w:hAnsi="Times New Roman"/>
          <w:lang w:val="en-GB"/>
        </w:rPr>
        <w:t>ú-e-d[(i-a-ni)]</w:t>
      </w:r>
    </w:p>
    <w:p w14:paraId="6BD9A5A7"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19'</w:t>
      </w:r>
      <w:r w:rsidRPr="006F04E6">
        <w:rPr>
          <w:rFonts w:ascii="Times New Roman" w:hAnsi="Times New Roman"/>
          <w:lang w:val="en-GB"/>
        </w:rPr>
        <w:tab/>
        <w:t xml:space="preserve">[ʾa-(a)]-ši-ni-e-i </w:t>
      </w:r>
      <w:r w:rsidRPr="006F04E6">
        <w:rPr>
          <w:rFonts w:ascii="Times New Roman" w:hAnsi="Times New Roman"/>
          <w:vertAlign w:val="superscript"/>
          <w:lang w:val="en-GB"/>
        </w:rPr>
        <w:t>URU</w:t>
      </w:r>
      <w:r w:rsidRPr="006F04E6">
        <w:rPr>
          <w:rFonts w:ascii="Times New Roman" w:hAnsi="Times New Roman"/>
          <w:lang w:val="en-GB"/>
        </w:rPr>
        <w:t>ṭu-uš-pa-</w:t>
      </w:r>
      <w:r w:rsidRPr="006F04E6">
        <w:rPr>
          <w:rFonts w:ascii="Cambria Math" w:hAnsi="Cambria Math"/>
          <w:lang w:val="en-GB"/>
        </w:rPr>
        <w:t>⌈</w:t>
      </w:r>
      <w:r w:rsidRPr="006F04E6">
        <w:rPr>
          <w:rFonts w:ascii="Times New Roman" w:hAnsi="Times New Roman"/>
          <w:lang w:val="en-GB"/>
        </w:rPr>
        <w:t>i</w:t>
      </w:r>
      <w:r w:rsidRPr="006F04E6">
        <w:rPr>
          <w:rFonts w:ascii="Cambria Math" w:hAnsi="Cambria Math"/>
          <w:lang w:val="en-GB"/>
        </w:rPr>
        <w:t>⌉</w:t>
      </w:r>
    </w:p>
    <w:p w14:paraId="17B4EE82"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20'</w:t>
      </w:r>
      <w:r w:rsidRPr="006F04E6">
        <w:rPr>
          <w:rFonts w:ascii="Times New Roman" w:hAnsi="Times New Roman"/>
          <w:lang w:val="en-GB"/>
        </w:rPr>
        <w:tab/>
        <w:t>[(m)]a-a-nu i-ni-ni gu-ur-da-a[(-r)i]</w:t>
      </w:r>
    </w:p>
    <w:p w14:paraId="132EA7DA"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r w:rsidRPr="006F04E6">
        <w:rPr>
          <w:rFonts w:ascii="Times New Roman" w:hAnsi="Times New Roman"/>
          <w:color w:val="202124"/>
          <w:lang w:val="en-GB"/>
        </w:rPr>
        <w:t>(empty space approximately 4 lines wide before the curse formula)</w:t>
      </w:r>
    </w:p>
    <w:p w14:paraId="7FEA19A1"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21'</w:t>
      </w:r>
      <w:r w:rsidRPr="006F04E6">
        <w:rPr>
          <w:rFonts w:ascii="Times New Roman" w:hAnsi="Times New Roman"/>
          <w:lang w:val="en-GB"/>
        </w:rPr>
        <w:tab/>
        <w:t xml:space="preserve">[a]-lu-[še i]-ni </w:t>
      </w:r>
      <w:r w:rsidRPr="006F04E6">
        <w:rPr>
          <w:rFonts w:ascii="Cambria Math" w:hAnsi="Cambria Math"/>
          <w:lang w:val="en-GB"/>
        </w:rPr>
        <w:t>⌈</w:t>
      </w:r>
      <w:r w:rsidRPr="006F04E6">
        <w:rPr>
          <w:rFonts w:ascii="Times New Roman" w:hAnsi="Times New Roman"/>
          <w:lang w:val="en-GB"/>
        </w:rPr>
        <w:t>DUB</w:t>
      </w:r>
      <w:r w:rsidRPr="006F04E6">
        <w:rPr>
          <w:rFonts w:ascii="Cambria Math" w:hAnsi="Cambria Math"/>
          <w:lang w:val="en-GB"/>
        </w:rPr>
        <w:t>⌉</w:t>
      </w:r>
      <w:r w:rsidRPr="006F04E6">
        <w:rPr>
          <w:rFonts w:ascii="Times New Roman" w:hAnsi="Times New Roman"/>
          <w:lang w:val="en-GB"/>
        </w:rPr>
        <w:t>-te pi-i-tu-l[i-e]</w:t>
      </w:r>
    </w:p>
    <w:p w14:paraId="52E6219C"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22'</w:t>
      </w:r>
      <w:r w:rsidRPr="006F04E6">
        <w:rPr>
          <w:rFonts w:ascii="Times New Roman" w:hAnsi="Times New Roman"/>
          <w:lang w:val="en-GB"/>
        </w:rPr>
        <w:tab/>
        <w:t>[a]-lu-[še ip]-ḫu-li-[i?-e]</w:t>
      </w:r>
    </w:p>
    <w:p w14:paraId="61A43BB5"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23'</w:t>
      </w:r>
      <w:r w:rsidRPr="006F04E6">
        <w:rPr>
          <w:rFonts w:ascii="Times New Roman" w:hAnsi="Times New Roman"/>
          <w:lang w:val="en-GB"/>
        </w:rPr>
        <w:tab/>
        <w:t>[a-lu-še qi-ú-ra-a ḫi-pu-li-e]</w:t>
      </w:r>
    </w:p>
    <w:p w14:paraId="74936704"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24'</w:t>
      </w:r>
      <w:r w:rsidRPr="006F04E6">
        <w:rPr>
          <w:rFonts w:ascii="Times New Roman" w:hAnsi="Times New Roman"/>
          <w:lang w:val="en-GB"/>
        </w:rPr>
        <w:tab/>
        <w:t>[a-lu-še] A</w:t>
      </w:r>
      <w:r w:rsidRPr="006F04E6">
        <w:rPr>
          <w:rFonts w:ascii="Times New Roman" w:hAnsi="Times New Roman"/>
          <w:vertAlign w:val="superscript"/>
          <w:lang w:val="en-GB"/>
        </w:rPr>
        <w:t>MEŠ</w:t>
      </w:r>
      <w:r w:rsidRPr="006F04E6">
        <w:rPr>
          <w:rFonts w:ascii="Times New Roman" w:hAnsi="Times New Roman"/>
          <w:lang w:val="en-GB"/>
        </w:rPr>
        <w:t xml:space="preserve"> [ḫu-šú-li-i-e]</w:t>
      </w:r>
    </w:p>
    <w:p w14:paraId="55E4039B"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25'</w:t>
      </w:r>
      <w:r w:rsidRPr="006F04E6">
        <w:rPr>
          <w:rFonts w:ascii="Times New Roman" w:hAnsi="Times New Roman"/>
          <w:lang w:val="en-GB"/>
        </w:rPr>
        <w:tab/>
        <w:t>[a-lu-še] e-si-ni-e-i [x x x]</w:t>
      </w:r>
    </w:p>
    <w:p w14:paraId="276B3497"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26'</w:t>
      </w:r>
      <w:r w:rsidRPr="006F04E6">
        <w:rPr>
          <w:rFonts w:ascii="Times New Roman" w:hAnsi="Times New Roman"/>
          <w:lang w:val="en-GB"/>
        </w:rPr>
        <w:tab/>
        <w:t xml:space="preserve">[a-l]u-še </w:t>
      </w:r>
      <w:r w:rsidRPr="006F04E6">
        <w:rPr>
          <w:rFonts w:ascii="Times New Roman" w:hAnsi="Times New Roman"/>
          <w:vertAlign w:val="superscript"/>
          <w:lang w:val="en-GB"/>
        </w:rPr>
        <w:t>D</w:t>
      </w:r>
      <w:r w:rsidRPr="006F04E6">
        <w:rPr>
          <w:rFonts w:ascii="Times New Roman" w:hAnsi="Times New Roman"/>
          <w:lang w:val="en-GB"/>
        </w:rPr>
        <w:t xml:space="preserve">UTU-ka-i-ni </w:t>
      </w:r>
      <w:r w:rsidRPr="006F04E6">
        <w:rPr>
          <w:rFonts w:ascii="Cambria Math" w:hAnsi="Cambria Math"/>
          <w:lang w:val="en-GB"/>
        </w:rPr>
        <w:t>⌈</w:t>
      </w:r>
      <w:r w:rsidRPr="006F04E6">
        <w:rPr>
          <w:rFonts w:ascii="Times New Roman" w:hAnsi="Times New Roman"/>
          <w:lang w:val="en-GB"/>
        </w:rPr>
        <w:t>še-er-du</w:t>
      </w:r>
      <w:r w:rsidRPr="006F04E6">
        <w:rPr>
          <w:rFonts w:ascii="Cambria Math" w:hAnsi="Cambria Math"/>
          <w:lang w:val="en-GB"/>
        </w:rPr>
        <w:t>⌉</w:t>
      </w:r>
      <w:r w:rsidRPr="006F04E6">
        <w:rPr>
          <w:rFonts w:ascii="Times New Roman" w:hAnsi="Times New Roman"/>
          <w:lang w:val="en-GB"/>
        </w:rPr>
        <w:t>-l[i-e]</w:t>
      </w:r>
    </w:p>
    <w:p w14:paraId="56CD522E"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27'</w:t>
      </w:r>
      <w:r w:rsidRPr="006F04E6">
        <w:rPr>
          <w:rFonts w:ascii="Times New Roman" w:hAnsi="Times New Roman"/>
          <w:lang w:val="en-GB"/>
        </w:rPr>
        <w:tab/>
        <w:t>[a]-lu-še a-i-ni-e-[i i-ni-li du-li-e]</w:t>
      </w:r>
    </w:p>
    <w:p w14:paraId="1DD699F0"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28'</w:t>
      </w:r>
      <w:r w:rsidRPr="006F04E6">
        <w:rPr>
          <w:rFonts w:ascii="Times New Roman" w:hAnsi="Times New Roman"/>
          <w:lang w:val="en-GB"/>
        </w:rPr>
        <w:tab/>
        <w:t xml:space="preserve">[ti]-i-ú-li-e </w:t>
      </w:r>
      <w:r w:rsidRPr="006F04E6">
        <w:rPr>
          <w:rFonts w:ascii="Cambria Math" w:hAnsi="Cambria Math"/>
          <w:lang w:val="en-GB"/>
        </w:rPr>
        <w:t>⌈</w:t>
      </w:r>
      <w:r w:rsidRPr="006F04E6">
        <w:rPr>
          <w:rFonts w:ascii="Times New Roman" w:hAnsi="Times New Roman"/>
          <w:lang w:val="en-GB"/>
        </w:rPr>
        <w:t>tú-ú</w:t>
      </w:r>
      <w:r w:rsidRPr="006F04E6">
        <w:rPr>
          <w:rFonts w:ascii="Cambria Math" w:hAnsi="Cambria Math"/>
          <w:lang w:val="en-GB"/>
        </w:rPr>
        <w:t>⌉</w:t>
      </w:r>
      <w:r w:rsidRPr="006F04E6">
        <w:rPr>
          <w:rFonts w:ascii="Times New Roman" w:hAnsi="Times New Roman"/>
          <w:lang w:val="en-GB"/>
        </w:rPr>
        <w:t>-r[i-e]</w:t>
      </w:r>
    </w:p>
    <w:p w14:paraId="4CDC3CE4"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29'</w:t>
      </w:r>
      <w:r w:rsidRPr="006F04E6">
        <w:rPr>
          <w:rFonts w:ascii="Times New Roman" w:hAnsi="Times New Roman"/>
          <w:lang w:val="en-GB"/>
        </w:rPr>
        <w:tab/>
        <w:t>[a]-lu-še ú-li-e-še ti-i-ú-l[i-e]</w:t>
      </w:r>
    </w:p>
    <w:p w14:paraId="3818D337"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30'</w:t>
      </w:r>
      <w:r w:rsidRPr="006F04E6">
        <w:rPr>
          <w:rFonts w:ascii="Times New Roman" w:hAnsi="Times New Roman"/>
          <w:lang w:val="en-GB"/>
        </w:rPr>
        <w:tab/>
        <w:t xml:space="preserve">[i-e-š]e za-a-du-ú-bi mì-i-ni </w:t>
      </w:r>
      <w:r w:rsidRPr="006F04E6">
        <w:rPr>
          <w:rFonts w:ascii="Times New Roman" w:hAnsi="Times New Roman"/>
          <w:vertAlign w:val="superscript"/>
          <w:lang w:val="en-GB"/>
        </w:rPr>
        <w:t>D</w:t>
      </w:r>
      <w:r w:rsidRPr="006F04E6">
        <w:rPr>
          <w:rFonts w:ascii="Times New Roman" w:hAnsi="Times New Roman"/>
          <w:lang w:val="en-GB"/>
        </w:rPr>
        <w:t>ḫal-[di-še]</w:t>
      </w:r>
    </w:p>
    <w:p w14:paraId="2B6BBD66"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31'</w:t>
      </w:r>
      <w:r w:rsidRPr="006F04E6">
        <w:rPr>
          <w:rFonts w:ascii="Times New Roman" w:hAnsi="Times New Roman"/>
          <w:lang w:val="en-GB"/>
        </w:rPr>
        <w:tab/>
        <w:t>[</w:t>
      </w:r>
      <w:r w:rsidRPr="006F04E6">
        <w:rPr>
          <w:rFonts w:ascii="Times New Roman" w:hAnsi="Times New Roman"/>
          <w:vertAlign w:val="superscript"/>
          <w:lang w:val="en-GB"/>
        </w:rPr>
        <w:t>D</w:t>
      </w:r>
      <w:r w:rsidRPr="006F04E6">
        <w:rPr>
          <w:rFonts w:ascii="Times New Roman" w:hAnsi="Times New Roman"/>
          <w:lang w:val="en-GB"/>
        </w:rPr>
        <w:t xml:space="preserve">I]M </w:t>
      </w:r>
      <w:r w:rsidRPr="006F04E6">
        <w:rPr>
          <w:rFonts w:ascii="Times New Roman" w:hAnsi="Times New Roman"/>
          <w:vertAlign w:val="superscript"/>
          <w:lang w:val="en-GB"/>
        </w:rPr>
        <w:t>D</w:t>
      </w:r>
      <w:r w:rsidRPr="006F04E6">
        <w:rPr>
          <w:rFonts w:ascii="Times New Roman" w:hAnsi="Times New Roman"/>
          <w:lang w:val="en-GB"/>
        </w:rPr>
        <w:t>UTU ku-ú-li-tú-ú-ni</w:t>
      </w:r>
    </w:p>
    <w:p w14:paraId="5F4DB26B"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32'</w:t>
      </w:r>
      <w:r w:rsidRPr="006F04E6">
        <w:rPr>
          <w:rFonts w:ascii="Times New Roman" w:hAnsi="Times New Roman"/>
          <w:lang w:val="en-GB"/>
        </w:rPr>
        <w:tab/>
        <w:t>[mì-i ti-i]-ni mì-i zi-li-b[i]</w:t>
      </w:r>
    </w:p>
    <w:p w14:paraId="42C28DD6"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33'</w:t>
      </w:r>
      <w:r w:rsidRPr="006F04E6">
        <w:rPr>
          <w:rFonts w:ascii="Times New Roman" w:hAnsi="Times New Roman"/>
          <w:lang w:val="en-GB"/>
        </w:rPr>
        <w:tab/>
        <w:t xml:space="preserve">[qi-ú-ra]-i-e-di </w:t>
      </w:r>
      <w:r w:rsidRPr="006F04E6">
        <w:rPr>
          <w:rFonts w:ascii="Times New Roman" w:hAnsi="Times New Roman"/>
          <w:vertAlign w:val="superscript"/>
          <w:lang w:val="en-GB"/>
        </w:rPr>
        <w:t>D</w:t>
      </w:r>
      <w:r w:rsidRPr="006F04E6">
        <w:rPr>
          <w:rFonts w:ascii="Times New Roman" w:hAnsi="Times New Roman"/>
          <w:lang w:val="en-GB"/>
        </w:rPr>
        <w:t>[x x x x ]</w:t>
      </w:r>
    </w:p>
    <w:p w14:paraId="3CC811DA" w14:textId="77777777" w:rsidR="00B4516E" w:rsidRPr="006F04E6" w:rsidRDefault="00B4516E" w:rsidP="00B4516E">
      <w:pPr>
        <w:ind w:left="567" w:right="-1" w:hanging="567"/>
        <w:rPr>
          <w:rFonts w:ascii="Times New Roman" w:hAnsi="Times New Roman"/>
          <w:lang w:val="en-GB"/>
        </w:rPr>
      </w:pPr>
      <w:r w:rsidRPr="006F04E6">
        <w:rPr>
          <w:rFonts w:ascii="Times New Roman" w:hAnsi="Times New Roman"/>
          <w:lang w:val="en-GB"/>
        </w:rPr>
        <w:t>34'</w:t>
      </w:r>
      <w:r w:rsidRPr="006F04E6">
        <w:rPr>
          <w:rFonts w:ascii="Times New Roman" w:hAnsi="Times New Roman"/>
          <w:lang w:val="en-GB"/>
        </w:rPr>
        <w:tab/>
        <w:t>[x x x]-i-e ka-a-r[i(-) x x x]</w:t>
      </w:r>
    </w:p>
    <w:p w14:paraId="62619A21" w14:textId="77777777" w:rsidR="00B4516E" w:rsidRPr="006F04E6" w:rsidRDefault="00B4516E" w:rsidP="00B4516E">
      <w:pPr>
        <w:ind w:left="567" w:right="-1" w:hanging="567"/>
        <w:rPr>
          <w:rFonts w:ascii="Times New Roman" w:hAnsi="Times New Roman"/>
          <w:lang w:val="en-GB"/>
        </w:rPr>
      </w:pPr>
    </w:p>
    <w:p w14:paraId="5562DE32"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(lines rev 1'-20 'are a duplicate of obv 9'-42'; the curse formula follows):</w:t>
      </w:r>
    </w:p>
    <w:p w14:paraId="4CF307D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(21'-24 ') “Who damages this inscription, who ruins it, who throws it on the ground, who throws it into the water, (25'-29') who [moves it] from this place, who hides it from under sunlight, who to another [make these things do], and says ‘destroy’, who else says: (30'-34') ‘I have done (this)’, Ḫaldi</w:t>
      </w:r>
      <w:r w:rsidRPr="006F04E6">
        <w:rPr>
          <w:rFonts w:ascii="Times New Roman" w:hAnsi="Times New Roman"/>
          <w:i/>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Ḫaldi</w:instrText>
      </w:r>
      <w:r w:rsidRPr="006F04E6">
        <w:rPr>
          <w:rFonts w:ascii="Calibri" w:hAnsi="Calibri"/>
          <w:lang w:val="en-GB"/>
        </w:rPr>
        <w:instrText xml:space="preserve">" </w:instrText>
      </w:r>
      <w:r w:rsidRPr="006F04E6">
        <w:rPr>
          <w:rFonts w:ascii="Times New Roman" w:hAnsi="Times New Roman"/>
          <w:i/>
          <w:color w:val="202124"/>
          <w:lang w:val="en-GB"/>
        </w:rPr>
        <w:fldChar w:fldCharType="end"/>
      </w:r>
      <w:r w:rsidRPr="006F04E6">
        <w:rPr>
          <w:rFonts w:ascii="Times New Roman" w:hAnsi="Times New Roman"/>
          <w:color w:val="202124"/>
          <w:lang w:val="en-GB"/>
        </w:rPr>
        <w:t>, the Storm god</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Storm god</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and the Sun god</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Sun god</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may annihilate him, both his name and his lineage on [earth], the god [x. . . ]. . . ” .</w:t>
      </w:r>
    </w:p>
    <w:p w14:paraId="227FCD18"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r w:rsidRPr="00CC135C">
        <w:rPr>
          <w:rFonts w:ascii="Times New Roman" w:hAnsi="Times New Roman"/>
          <w:noProof/>
          <w:color w:val="202124"/>
          <w:lang w:eastAsia="tr-TR"/>
        </w:rPr>
        <w:drawing>
          <wp:anchor distT="0" distB="0" distL="114300" distR="114300" simplePos="0" relativeHeight="251945984" behindDoc="1" locked="0" layoutInCell="1" allowOverlap="1" wp14:anchorId="2AE93FA0" wp14:editId="513AA6B4">
            <wp:simplePos x="0" y="0"/>
            <wp:positionH relativeFrom="margin">
              <wp:posOffset>-31115</wp:posOffset>
            </wp:positionH>
            <wp:positionV relativeFrom="page">
              <wp:posOffset>1298575</wp:posOffset>
            </wp:positionV>
            <wp:extent cx="3591560" cy="6993890"/>
            <wp:effectExtent l="0" t="0" r="2540" b="3810"/>
            <wp:wrapTopAndBottom/>
            <wp:docPr id="966536731" name="Resim 966536731" descr="F:\CORPUS URARTEO 2020  III 5\Corpus Urarteo Colori\A3 = IspuMinua\A 3-4\CICh Tafel V = A 3-4 V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ORPUS URARTEO 2020  III 5\Corpus Urarteo Colori\A3 = IspuMinua\A 3-4\CICh Tafel V = A 3-4 Vo.tif"/>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591560" cy="6993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BE857"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p>
    <w:p w14:paraId="443D042F"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r w:rsidRPr="00CC135C">
        <w:rPr>
          <w:rFonts w:ascii="Times New Roman" w:hAnsi="Times New Roman"/>
          <w:color w:val="202124"/>
          <w:lang w:val="en-GB"/>
        </w:rPr>
        <w:t xml:space="preserve">Fig. 14 </w:t>
      </w:r>
      <w:r w:rsidRPr="00CC135C">
        <w:rPr>
          <w:rFonts w:ascii="Times New Roman" w:hAnsi="Times New Roman"/>
          <w:lang w:val="en-GB"/>
        </w:rPr>
        <w:t>Cast of paper by C.F. Lehmann- Haupt (</w:t>
      </w:r>
      <w:r w:rsidRPr="00CC135C">
        <w:rPr>
          <w:rFonts w:ascii="Times New Roman" w:hAnsi="Times New Roman"/>
          <w:color w:val="202124"/>
          <w:lang w:val="en-GB"/>
        </w:rPr>
        <w:t>CICh 13 Rs Tafel V = CTU I. A 3-4 Vo.)</w:t>
      </w:r>
    </w:p>
    <w:p w14:paraId="73D649DA"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p>
    <w:p w14:paraId="7EDC14AC"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p>
    <w:p w14:paraId="5C11FAA7"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p>
    <w:p w14:paraId="38C9AF5C" w14:textId="77777777" w:rsidR="00B4516E" w:rsidRPr="006F04E6" w:rsidRDefault="00B4516E" w:rsidP="00B4516E">
      <w:pPr>
        <w:keepNext/>
        <w:keepLines/>
        <w:spacing w:before="280" w:after="80" w:line="276" w:lineRule="auto"/>
        <w:outlineLvl w:val="3"/>
        <w:rPr>
          <w:rFonts w:ascii="Times New Roman" w:hAnsi="Times New Roman"/>
          <w:b/>
          <w:lang w:val="en-GB"/>
        </w:rPr>
      </w:pPr>
      <w:r w:rsidRPr="006F04E6">
        <w:rPr>
          <w:rFonts w:ascii="Times New Roman" w:hAnsi="Times New Roman"/>
          <w:b/>
          <w:lang w:val="en-GB"/>
        </w:rPr>
        <w:t>4.2.2.2. The rock inscription of Tabriz Kapısı</w:t>
      </w:r>
      <w:r w:rsidRPr="006F04E6">
        <w:rPr>
          <w:rFonts w:ascii="Times New Roman" w:hAnsi="Times New Roman"/>
          <w:b/>
          <w:lang w:val="en-GB"/>
        </w:rPr>
        <w:fldChar w:fldCharType="begin"/>
      </w:r>
      <w:r w:rsidRPr="006F04E6">
        <w:rPr>
          <w:rFonts w:ascii="Arial" w:hAnsi="Arial"/>
          <w:lang w:val="en-GB"/>
        </w:rPr>
        <w:instrText xml:space="preserve"> XE "</w:instrText>
      </w:r>
      <w:r w:rsidRPr="006F04E6">
        <w:rPr>
          <w:rFonts w:ascii="Times New Roman" w:hAnsi="Times New Roman"/>
          <w:b/>
          <w:lang w:val="en-GB"/>
        </w:rPr>
        <w:instrText>Tabriz Kapısı</w:instrText>
      </w:r>
      <w:r w:rsidRPr="006F04E6">
        <w:rPr>
          <w:rFonts w:ascii="Arial" w:hAnsi="Arial"/>
          <w:lang w:val="en-GB"/>
        </w:rPr>
        <w:instrText xml:space="preserve">" </w:instrText>
      </w:r>
      <w:r w:rsidRPr="006F04E6">
        <w:rPr>
          <w:rFonts w:ascii="Times New Roman" w:hAnsi="Times New Roman"/>
          <w:b/>
          <w:lang w:val="en-GB"/>
        </w:rPr>
        <w:fldChar w:fldCharType="end"/>
      </w:r>
      <w:r w:rsidRPr="006F04E6">
        <w:rPr>
          <w:rFonts w:ascii="Times New Roman" w:hAnsi="Times New Roman"/>
          <w:b/>
          <w:lang w:val="en-GB"/>
        </w:rPr>
        <w:t>: CTU I. A 4-1 (Figs 15-17)</w:t>
      </w:r>
    </w:p>
    <w:p w14:paraId="2C593C55"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Rock inscription in the Tabriz Kapısı</w:t>
      </w:r>
      <w:r w:rsidRPr="006F04E6">
        <w:rPr>
          <w:rFonts w:ascii="Times New Roman" w:eastAsia="Times New Roman"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"Tabriz Kapısı"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niche, on the eastern edge of the Ṭušpa</w:t>
      </w:r>
      <w:r w:rsidRPr="006F04E6">
        <w:rPr>
          <w:rFonts w:asciiTheme="majorBidi" w:hAnsiTheme="majorBidi" w:cstheme="majorBidi"/>
          <w:color w:val="202124"/>
          <w:lang w:val="en-GB"/>
        </w:rPr>
        <w:t>/Van</w:t>
      </w:r>
      <w:r w:rsidRPr="006F04E6">
        <w:rPr>
          <w:rFonts w:ascii="Times New Roman" w:hAnsi="Times New Roman"/>
          <w:color w:val="202124"/>
          <w:lang w:val="en-GB"/>
        </w:rPr>
        <w:t xml:space="preserve"> Rock</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"Ṭušpa/Van Rock"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w:t>
      </w:r>
      <w:r w:rsidRPr="006F04E6">
        <w:rPr>
          <w:rFonts w:ascii="Times New Roman" w:hAnsi="Times New Roman"/>
          <w:color w:val="202124"/>
          <w:lang w:val="en-GB"/>
        </w:rPr>
        <w:t xml:space="preserve"> in situ. The text is repeated </w:t>
      </w:r>
      <w:r w:rsidRPr="006F04E6">
        <w:rPr>
          <w:rFonts w:ascii="Times New Roman" w:eastAsia="Times New Roman" w:hAnsi="Times New Roman" w:cs="Times New Roman"/>
          <w:color w:val="202124"/>
          <w:lang w:val="en-GB" w:eastAsia="it-IT"/>
        </w:rPr>
        <w:t>thrice</w:t>
      </w:r>
      <w:r w:rsidRPr="006F04E6">
        <w:rPr>
          <w:rFonts w:ascii="Times New Roman" w:hAnsi="Times New Roman"/>
          <w:color w:val="202124"/>
          <w:lang w:val="en-GB"/>
        </w:rPr>
        <w:t xml:space="preserve"> (lines 1-16</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17-32</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33-48). I have grouped the text like this, where duplicates of each line are compared to show integrations (CTU V. p. 81 f</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(Van Fortress</w:t>
      </w:r>
      <w:r w:rsidRPr="006F04E6">
        <w:rPr>
          <w:rFonts w:ascii="Times New Roman" w:eastAsia="Times New Roman" w:hAnsi="Times New Roman" w:cs="Times New Roman"/>
          <w:color w:val="202124"/>
          <w:lang w:val="en-GB" w:eastAsia="it-IT"/>
        </w:rPr>
        <w:t> </w:t>
      </w:r>
      <w:r w:rsidRPr="006F04E6">
        <w:rPr>
          <w:rFonts w:ascii="Times New Roman" w:hAnsi="Times New Roman"/>
          <w:color w:val="202124"/>
          <w:lang w:val="en-GB"/>
        </w:rPr>
        <w:t>plan, No. 26).</w:t>
      </w:r>
    </w:p>
    <w:p w14:paraId="766C4F89"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lang w:val="en-GB"/>
        </w:rPr>
      </w:pPr>
      <w:r w:rsidRPr="006F04E6">
        <w:rPr>
          <w:rFonts w:ascii="Times New Roman" w:hAnsi="Times New Roman"/>
          <w:b/>
          <w:lang w:val="en-GB"/>
        </w:rPr>
        <w:t>CTU I. A 4-1</w:t>
      </w:r>
    </w:p>
    <w:p w14:paraId="34341FA0"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1      </w:t>
      </w:r>
      <w:r w:rsidRPr="006F04E6">
        <w:rPr>
          <w:rFonts w:ascii="Times New Roman" w:hAnsi="Times New Roman"/>
          <w:vertAlign w:val="superscript"/>
          <w:lang w:val="en-GB"/>
        </w:rPr>
        <w:t>D</w:t>
      </w:r>
      <w:r w:rsidRPr="006F04E6">
        <w:rPr>
          <w:rFonts w:ascii="Times New Roman" w:hAnsi="Times New Roman"/>
          <w:lang w:val="en-GB"/>
        </w:rPr>
        <w:t>ḫal-di-ni-ni uš-ma-a-ši-ni</w:t>
      </w:r>
    </w:p>
    <w:p w14:paraId="4EAE0355"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2      </w:t>
      </w:r>
      <w:r w:rsidRPr="006F04E6">
        <w:rPr>
          <w:rFonts w:ascii="Times New Roman" w:hAnsi="Times New Roman"/>
          <w:vertAlign w:val="superscript"/>
          <w:lang w:val="en-GB"/>
        </w:rPr>
        <w:t>m</w:t>
      </w:r>
      <w:r w:rsidRPr="006F04E6">
        <w:rPr>
          <w:rFonts w:ascii="Times New Roman" w:hAnsi="Times New Roman"/>
          <w:lang w:val="en-GB"/>
        </w:rPr>
        <w:t>iš-pu-ú-i-ni-še a-li-e</w:t>
      </w:r>
    </w:p>
    <w:p w14:paraId="04C2B54A"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3      </w:t>
      </w:r>
      <w:r w:rsidRPr="006F04E6">
        <w:rPr>
          <w:rFonts w:ascii="Times New Roman" w:hAnsi="Times New Roman"/>
          <w:vertAlign w:val="superscript"/>
          <w:lang w:val="en-GB"/>
        </w:rPr>
        <w:t>mD</w:t>
      </w:r>
      <w:r w:rsidRPr="006F04E6">
        <w:rPr>
          <w:rFonts w:ascii="Times New Roman" w:hAnsi="Times New Roman"/>
          <w:lang w:val="en-GB"/>
        </w:rPr>
        <w:t>sar</w:t>
      </w:r>
      <w:r w:rsidRPr="006F04E6">
        <w:rPr>
          <w:rFonts w:ascii="Times New Roman" w:hAnsi="Times New Roman"/>
          <w:vertAlign w:val="subscript"/>
          <w:lang w:val="en-GB"/>
        </w:rPr>
        <w:t>5</w:t>
      </w:r>
      <w:r w:rsidRPr="006F04E6">
        <w:rPr>
          <w:rFonts w:ascii="Times New Roman" w:hAnsi="Times New Roman"/>
          <w:lang w:val="en-GB"/>
        </w:rPr>
        <w:t>-du-ri-[e]-ḫi-n[i-še]</w:t>
      </w:r>
    </w:p>
    <w:p w14:paraId="3CB19074"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4      </w:t>
      </w:r>
      <w:r w:rsidRPr="006F04E6">
        <w:rPr>
          <w:rFonts w:ascii="Times New Roman" w:hAnsi="Times New Roman"/>
          <w:vertAlign w:val="superscript"/>
          <w:lang w:val="en-GB"/>
        </w:rPr>
        <w:t>m</w:t>
      </w:r>
      <w:r w:rsidRPr="006F04E6">
        <w:rPr>
          <w:rFonts w:ascii="Times New Roman" w:hAnsi="Times New Roman"/>
          <w:lang w:val="en-GB"/>
        </w:rPr>
        <w:t xml:space="preserve">mì-nu-ú-a-še </w:t>
      </w:r>
      <w:r w:rsidRPr="006F04E6">
        <w:rPr>
          <w:rFonts w:ascii="Times New Roman" w:hAnsi="Times New Roman"/>
          <w:vertAlign w:val="superscript"/>
          <w:lang w:val="en-GB"/>
        </w:rPr>
        <w:t>m</w:t>
      </w:r>
      <w:r w:rsidRPr="006F04E6">
        <w:rPr>
          <w:rFonts w:ascii="Times New Roman" w:hAnsi="Times New Roman"/>
          <w:lang w:val="en-GB"/>
        </w:rPr>
        <w:t>iš-pu-[ú-i-ni-(e-ḫi-ni-še)]</w:t>
      </w:r>
    </w:p>
    <w:p w14:paraId="02FF914E"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5      </w:t>
      </w:r>
      <w:r w:rsidRPr="006F04E6">
        <w:rPr>
          <w:rFonts w:ascii="Times New Roman" w:hAnsi="Times New Roman"/>
          <w:vertAlign w:val="superscript"/>
          <w:lang w:val="en-GB"/>
        </w:rPr>
        <w:t>m</w:t>
      </w:r>
      <w:r w:rsidRPr="006F04E6">
        <w:rPr>
          <w:rFonts w:ascii="Times New Roman" w:hAnsi="Times New Roman"/>
          <w:lang w:val="en-GB"/>
        </w:rPr>
        <w:t xml:space="preserve">i-nu-uš-pu-a-še </w:t>
      </w:r>
      <w:r w:rsidRPr="006F04E6">
        <w:rPr>
          <w:rFonts w:ascii="Times New Roman" w:hAnsi="Times New Roman"/>
          <w:vertAlign w:val="superscript"/>
          <w:lang w:val="en-GB"/>
        </w:rPr>
        <w:t>m</w:t>
      </w:r>
      <w:r w:rsidRPr="006F04E6">
        <w:rPr>
          <w:rFonts w:ascii="Times New Roman" w:hAnsi="Times New Roman"/>
          <w:lang w:val="en-GB"/>
        </w:rPr>
        <w:t>mì-n[u-ú-a-(ḫi-ni-še)]</w:t>
      </w:r>
    </w:p>
    <w:p w14:paraId="217604AD"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6      </w:t>
      </w:r>
      <w:r w:rsidRPr="006F04E6">
        <w:rPr>
          <w:rFonts w:ascii="Times New Roman" w:hAnsi="Times New Roman"/>
          <w:vertAlign w:val="superscript"/>
          <w:lang w:val="en-GB"/>
        </w:rPr>
        <w:t>D</w:t>
      </w:r>
      <w:r w:rsidRPr="006F04E6">
        <w:rPr>
          <w:rFonts w:ascii="Times New Roman" w:hAnsi="Times New Roman"/>
          <w:lang w:val="en-GB"/>
        </w:rPr>
        <w:t>ḫal-di-e-i su-si[-e? ši-d(i-iš)-t(ú-še)]</w:t>
      </w:r>
    </w:p>
    <w:p w14:paraId="479E2230"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7      </w:t>
      </w:r>
      <w:r w:rsidRPr="006F04E6">
        <w:rPr>
          <w:rFonts w:ascii="Times New Roman" w:hAnsi="Times New Roman"/>
          <w:vertAlign w:val="superscript"/>
          <w:lang w:val="en-GB"/>
        </w:rPr>
        <w:t>D</w:t>
      </w:r>
      <w:r w:rsidRPr="006F04E6">
        <w:rPr>
          <w:rFonts w:ascii="Times New Roman" w:hAnsi="Times New Roman"/>
          <w:lang w:val="en-GB"/>
        </w:rPr>
        <w:t>ḫal-di-ni-li [KÁ</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KÁ</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za-tú-ú-li(?) ba-(du-si-e)]</w:t>
      </w:r>
    </w:p>
    <w:p w14:paraId="189264E8"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8      ka-[(a-n)]i </w:t>
      </w:r>
      <w:r w:rsidRPr="006F04E6">
        <w:rPr>
          <w:rFonts w:ascii="Times New Roman" w:hAnsi="Times New Roman"/>
          <w:vertAlign w:val="superscript"/>
          <w:lang w:val="en-GB"/>
        </w:rPr>
        <w:t>URU</w:t>
      </w:r>
      <w:r w:rsidRPr="006F04E6">
        <w:rPr>
          <w:rFonts w:ascii="Times New Roman" w:hAnsi="Times New Roman"/>
          <w:lang w:val="en-GB"/>
        </w:rPr>
        <w:t>ṭu-uš-[(pa) pa?-ta?-ri?(-e)]</w:t>
      </w:r>
    </w:p>
    <w:p w14:paraId="4335C71D"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9      ši-d[(i-iš)]-tú-ú-[li ur-pu-li(?) (</w:t>
      </w:r>
      <w:r w:rsidRPr="006F04E6">
        <w:rPr>
          <w:rFonts w:ascii="Times New Roman" w:hAnsi="Times New Roman"/>
          <w:vertAlign w:val="superscript"/>
          <w:lang w:val="en-GB"/>
        </w:rPr>
        <w:t>GU4</w:t>
      </w:r>
      <w:r w:rsidRPr="006F04E6">
        <w:rPr>
          <w:rFonts w:ascii="Times New Roman" w:hAnsi="Times New Roman"/>
          <w:lang w:val="en-GB"/>
        </w:rPr>
        <w:t xml:space="preserve">pa-ḫ)a?-ni </w:t>
      </w:r>
      <w:r w:rsidRPr="006F04E6">
        <w:rPr>
          <w:rFonts w:ascii="Times New Roman" w:hAnsi="Times New Roman"/>
          <w:vertAlign w:val="superscript"/>
          <w:lang w:val="en-GB"/>
        </w:rPr>
        <w:t>UDU</w:t>
      </w:r>
      <w:r w:rsidRPr="006F04E6">
        <w:rPr>
          <w:rFonts w:ascii="Times New Roman" w:hAnsi="Times New Roman"/>
          <w:lang w:val="en-GB"/>
        </w:rPr>
        <w:t>šú-ú-še]</w:t>
      </w:r>
    </w:p>
    <w:p w14:paraId="01246B2C"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10    </w:t>
      </w:r>
      <w:r w:rsidRPr="006F04E6">
        <w:rPr>
          <w:rFonts w:ascii="Times New Roman" w:hAnsi="Times New Roman"/>
          <w:vertAlign w:val="superscript"/>
          <w:lang w:val="en-GB"/>
        </w:rPr>
        <w:t>D</w:t>
      </w:r>
      <w:r w:rsidRPr="006F04E6">
        <w:rPr>
          <w:rFonts w:ascii="Times New Roman" w:hAnsi="Times New Roman"/>
          <w:lang w:val="en-GB"/>
        </w:rPr>
        <w:t>[ḫal-d]i-i-[ni bi-i-(e)-di-i-(ni)]</w:t>
      </w:r>
    </w:p>
    <w:p w14:paraId="6D301CF8"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11    </w:t>
      </w:r>
      <w:r w:rsidRPr="006F04E6">
        <w:rPr>
          <w:rFonts w:ascii="Times New Roman" w:hAnsi="Times New Roman"/>
          <w:vertAlign w:val="superscript"/>
          <w:lang w:val="en-GB"/>
        </w:rPr>
        <w:t>D</w:t>
      </w:r>
      <w:r w:rsidRPr="006F04E6">
        <w:rPr>
          <w:rFonts w:ascii="Times New Roman" w:hAnsi="Times New Roman"/>
          <w:lang w:val="en-GB"/>
        </w:rPr>
        <w:t>ḫa[l-d]i-</w:t>
      </w:r>
      <w:r w:rsidRPr="006F04E6">
        <w:rPr>
          <w:rFonts w:ascii="Cambria Math" w:hAnsi="Cambria Math"/>
          <w:lang w:val="en-GB"/>
        </w:rPr>
        <w:t>⌈</w:t>
      </w:r>
      <w:r w:rsidRPr="006F04E6">
        <w:rPr>
          <w:rFonts w:ascii="Times New Roman" w:hAnsi="Times New Roman"/>
          <w:lang w:val="en-GB"/>
        </w:rPr>
        <w:t>i</w:t>
      </w:r>
      <w:r w:rsidRPr="006F04E6">
        <w:rPr>
          <w:rFonts w:ascii="Cambria Math" w:hAnsi="Cambria Math"/>
          <w:lang w:val="en-GB"/>
        </w:rPr>
        <w:t>⌉</w:t>
      </w:r>
      <w:r w:rsidRPr="006F04E6">
        <w:rPr>
          <w:rFonts w:ascii="Times New Roman" w:hAnsi="Times New Roman"/>
          <w:lang w:val="en-GB"/>
        </w:rPr>
        <w:t>-[na-(a)-ni KÁ</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KÁ</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bi-e-di-(ni)]</w:t>
      </w:r>
    </w:p>
    <w:p w14:paraId="69D459D1"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12    ma-a-[n]i-[ni ul-gu-ú-še]</w:t>
      </w:r>
    </w:p>
    <w:p w14:paraId="128698BF"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13    al-su-[(i)-še-(e </w:t>
      </w:r>
      <w:r w:rsidRPr="006F04E6">
        <w:rPr>
          <w:rFonts w:ascii="Times New Roman" w:hAnsi="Times New Roman"/>
          <w:vertAlign w:val="superscript"/>
          <w:lang w:val="en-GB"/>
        </w:rPr>
        <w:t>m</w:t>
      </w:r>
      <w:r w:rsidRPr="006F04E6">
        <w:rPr>
          <w:rFonts w:ascii="Times New Roman" w:hAnsi="Times New Roman"/>
          <w:lang w:val="en-GB"/>
        </w:rPr>
        <w:t>iš)-pu-ú-i-(ni)-i-(e)]</w:t>
      </w:r>
    </w:p>
    <w:p w14:paraId="509E877D"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14    </w:t>
      </w:r>
      <w:r w:rsidRPr="006F04E6">
        <w:rPr>
          <w:rFonts w:ascii="Times New Roman" w:hAnsi="Times New Roman"/>
          <w:vertAlign w:val="superscript"/>
          <w:lang w:val="en-GB"/>
        </w:rPr>
        <w:t>mD</w:t>
      </w:r>
      <w:r w:rsidRPr="006F04E6">
        <w:rPr>
          <w:rFonts w:ascii="Times New Roman" w:hAnsi="Times New Roman"/>
          <w:lang w:val="en-GB"/>
        </w:rPr>
        <w:t>s[ar</w:t>
      </w:r>
      <w:r w:rsidRPr="006F04E6">
        <w:rPr>
          <w:rFonts w:ascii="Times New Roman" w:hAnsi="Times New Roman"/>
          <w:vertAlign w:val="subscript"/>
          <w:lang w:val="en-GB"/>
        </w:rPr>
        <w:t>5</w:t>
      </w:r>
      <w:r w:rsidRPr="006F04E6">
        <w:rPr>
          <w:rFonts w:ascii="Times New Roman" w:hAnsi="Times New Roman"/>
          <w:lang w:val="en-GB"/>
        </w:rPr>
        <w:t>-du-ú-(ri-e)-ḫi-i-ni-i-(e)]</w:t>
      </w:r>
    </w:p>
    <w:p w14:paraId="6CC0B7C6"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15    </w:t>
      </w:r>
      <w:r w:rsidRPr="006F04E6">
        <w:rPr>
          <w:rFonts w:ascii="Times New Roman" w:hAnsi="Times New Roman"/>
          <w:vertAlign w:val="superscript"/>
          <w:lang w:val="en-GB"/>
        </w:rPr>
        <w:t>m</w:t>
      </w:r>
      <w:r w:rsidRPr="006F04E6">
        <w:rPr>
          <w:rFonts w:ascii="Times New Roman" w:hAnsi="Times New Roman"/>
          <w:lang w:val="en-GB"/>
        </w:rPr>
        <w:t xml:space="preserve">[mì-nu-ú-a </w:t>
      </w:r>
      <w:r w:rsidRPr="006F04E6">
        <w:rPr>
          <w:rFonts w:ascii="Times New Roman" w:hAnsi="Times New Roman"/>
          <w:vertAlign w:val="superscript"/>
          <w:lang w:val="en-GB"/>
        </w:rPr>
        <w:t>m</w:t>
      </w:r>
      <w:r w:rsidRPr="006F04E6">
        <w:rPr>
          <w:rFonts w:ascii="Times New Roman" w:hAnsi="Times New Roman"/>
          <w:lang w:val="en-GB"/>
        </w:rPr>
        <w:t>iš-pu-ú-i-ni-ḫi-(ni-e)]</w:t>
      </w:r>
    </w:p>
    <w:p w14:paraId="38572050" w14:textId="77777777" w:rsidR="00B4516E" w:rsidRPr="006F04E6" w:rsidRDefault="00B4516E" w:rsidP="00B4516E">
      <w:pPr>
        <w:ind w:right="-57"/>
        <w:jc w:val="both"/>
        <w:rPr>
          <w:rFonts w:ascii="Times New Roman" w:hAnsi="Times New Roman"/>
          <w:lang w:val="en-GB"/>
        </w:rPr>
      </w:pPr>
      <w:r w:rsidRPr="006F04E6">
        <w:rPr>
          <w:rFonts w:ascii="Times New Roman" w:hAnsi="Times New Roman"/>
          <w:lang w:val="en-GB"/>
        </w:rPr>
        <w:t xml:space="preserve">16    </w:t>
      </w:r>
      <w:r w:rsidRPr="006F04E6">
        <w:rPr>
          <w:rFonts w:ascii="Times New Roman" w:hAnsi="Times New Roman"/>
          <w:vertAlign w:val="superscript"/>
          <w:lang w:val="en-GB"/>
        </w:rPr>
        <w:t>m</w:t>
      </w:r>
      <w:r w:rsidRPr="006F04E6">
        <w:rPr>
          <w:rFonts w:ascii="Times New Roman" w:hAnsi="Times New Roman"/>
          <w:lang w:val="en-GB"/>
        </w:rPr>
        <w:t>i-nu-u[š-pu-ú-a (</w:t>
      </w:r>
      <w:r w:rsidRPr="006F04E6">
        <w:rPr>
          <w:rFonts w:ascii="Times New Roman" w:hAnsi="Times New Roman"/>
          <w:vertAlign w:val="superscript"/>
          <w:lang w:val="en-GB"/>
        </w:rPr>
        <w:t>m</w:t>
      </w:r>
      <w:r w:rsidRPr="006F04E6">
        <w:rPr>
          <w:rFonts w:ascii="Times New Roman" w:hAnsi="Times New Roman"/>
          <w:lang w:val="en-GB"/>
        </w:rPr>
        <w:t>mì)-nu-ú-a-ḫi-(ni-e)]</w:t>
      </w:r>
    </w:p>
    <w:p w14:paraId="017F80CC" w14:textId="77777777" w:rsidR="00B4516E" w:rsidRPr="006F04E6" w:rsidRDefault="00B4516E" w:rsidP="00B4516E">
      <w:pPr>
        <w:ind w:left="709" w:right="-57"/>
        <w:jc w:val="both"/>
        <w:rPr>
          <w:rFonts w:ascii="Times New Roman" w:hAnsi="Times New Roman"/>
          <w:lang w:val="en-GB"/>
        </w:rPr>
      </w:pPr>
    </w:p>
    <w:p w14:paraId="137CBC86"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r w:rsidRPr="006F04E6">
        <w:rPr>
          <w:rFonts w:ascii="Times New Roman" w:hAnsi="Times New Roman"/>
          <w:lang w:val="en-GB"/>
        </w:rPr>
        <w:t>(The text is repeated three times in the niche, which made it possible to reconstruct it almost completely</w:t>
      </w:r>
      <w:r w:rsidRPr="006F04E6">
        <w:rPr>
          <w:rFonts w:ascii="Times New Roman" w:eastAsia="Times New Roman" w:hAnsi="Times New Roman" w:cs="Times New Roman"/>
          <w:lang w:val="en-GB" w:eastAsia="it-IT"/>
        </w:rPr>
        <w:t>.) The</w:t>
      </w:r>
      <w:r w:rsidRPr="006F04E6">
        <w:rPr>
          <w:rFonts w:ascii="Times New Roman" w:hAnsi="Times New Roman"/>
          <w:lang w:val="en-GB"/>
        </w:rPr>
        <w:t xml:space="preserve"> passages preserved in the other two versions</w:t>
      </w:r>
      <w:r w:rsidRPr="006F04E6">
        <w:rPr>
          <w:rFonts w:ascii="Times New Roman" w:eastAsia="Times New Roman" w:hAnsi="Times New Roman" w:cs="Times New Roman"/>
          <w:lang w:val="en-GB" w:eastAsia="it-IT"/>
        </w:rPr>
        <w:t xml:space="preserve"> are in round brackets.</w:t>
      </w:r>
    </w:p>
    <w:p w14:paraId="33590CD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lang w:val="en-GB"/>
        </w:rPr>
      </w:pPr>
      <w:r w:rsidRPr="006F04E6">
        <w:rPr>
          <w:rFonts w:ascii="Times New Roman" w:hAnsi="Times New Roman"/>
          <w:b/>
          <w:lang w:val="en-GB"/>
        </w:rPr>
        <w:t xml:space="preserve">CTU I. A 4-1. </w:t>
      </w:r>
      <w:r w:rsidRPr="006F04E6">
        <w:rPr>
          <w:rFonts w:ascii="Times New Roman" w:hAnsi="Times New Roman"/>
        </w:rPr>
        <w:t>Translation</w:t>
      </w:r>
    </w:p>
    <w:p w14:paraId="7A4D6C60"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424"/>
        <w:jc w:val="both"/>
        <w:rPr>
          <w:rFonts w:ascii="Times New Roman" w:hAnsi="Times New Roman"/>
          <w:color w:val="202124"/>
          <w:lang w:val="en-GB"/>
        </w:rPr>
      </w:pPr>
      <w:r w:rsidRPr="006F04E6">
        <w:rPr>
          <w:rFonts w:ascii="Times New Roman" w:hAnsi="Times New Roman"/>
          <w:color w:val="202124"/>
          <w:lang w:val="en-GB"/>
        </w:rPr>
        <w:t>“Thanks to the protection of Ḫaldi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Ḫaldi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Išpuini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Išpuini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says (proclaims): The son of Sarduri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Sarduri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 Išpuini), Minua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Minua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son of Išpuini (and) Inušpua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Inušpua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son of Minua in order to build(?) a susi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susi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temple, they [created] a ‘Door of Ḫaldi (?)’ to perfection; in front(?) of [the city of] Ṭušpa</w:t>
      </w:r>
      <w:r w:rsidRPr="006F04E6">
        <w:rPr>
          <w:rFonts w:ascii="Times New Roman" w:eastAsia="Times New Roman" w:hAnsi="Times New Roman" w:cs="Times New Roman"/>
          <w:color w:val="202124"/>
          <w:lang w:val="en-GB" w:eastAsia="it-IT"/>
        </w:rPr>
        <w:fldChar w:fldCharType="begin"/>
      </w:r>
      <w:r w:rsidRPr="006F04E6">
        <w:rPr>
          <w:rFonts w:ascii="Calibri" w:eastAsia="Calibri" w:hAnsi="Calibri" w:cs="Arial"/>
          <w:lang w:val="en-GB"/>
        </w:rPr>
        <w:instrText xml:space="preserve"> XE "</w:instrText>
      </w:r>
      <w:r w:rsidRPr="006F04E6">
        <w:rPr>
          <w:rFonts w:ascii="Times New Roman" w:eastAsia="Calibri" w:hAnsi="Times New Roman" w:cs="Times New Roman"/>
          <w:iCs/>
          <w:color w:val="000000"/>
          <w:lang w:val="en-GB"/>
        </w:rPr>
        <w:instrText>Ṭušpa</w:instrText>
      </w:r>
      <w:r w:rsidRPr="006F04E6">
        <w:rPr>
          <w:rFonts w:ascii="Calibri" w:eastAsia="Calibri" w:hAnsi="Calibri" w:cs="Arial"/>
          <w:lang w:val="en-GB"/>
        </w:rPr>
        <w:instrText xml:space="preserve">" </w:instrText>
      </w:r>
      <w:r w:rsidRPr="006F04E6">
        <w:rPr>
          <w:rFonts w:ascii="Times New Roman" w:eastAsia="Times New Roman" w:hAnsi="Times New Roman" w:cs="Times New Roman"/>
          <w:color w:val="202124"/>
          <w:lang w:val="en-GB" w:eastAsia="it-IT"/>
        </w:rPr>
        <w:fldChar w:fldCharType="end"/>
      </w:r>
      <w:r w:rsidRPr="006F04E6">
        <w:rPr>
          <w:rFonts w:ascii="Times New Roman" w:hAnsi="Times New Roman"/>
          <w:color w:val="202124"/>
          <w:lang w:val="en-GB"/>
        </w:rPr>
        <w:t xml:space="preserve"> they built it, [and sacrificed?] ox[en and sheep]. By the God Ḫaldi</w:t>
      </w:r>
      <w:r w:rsidRPr="006F04E6">
        <w:rPr>
          <w:rFonts w:ascii="Times New Roman" w:eastAsia="Times New Roman" w:hAnsi="Times New Roman" w:cs="Times New Roman"/>
          <w:color w:val="202124"/>
          <w:lang w:val="en-GB" w:eastAsia="it-IT"/>
        </w:rPr>
        <w:t>,</w:t>
      </w:r>
      <w:r w:rsidRPr="006F04E6">
        <w:rPr>
          <w:rFonts w:asciiTheme="majorBidi" w:eastAsia="Times New Roman" w:hAnsiTheme="majorBidi" w:cstheme="majorBidi"/>
          <w:iCs/>
          <w:color w:val="202124"/>
          <w:lang w:val="en-GB" w:eastAsia="it-IT"/>
        </w:rPr>
        <w:fldChar w:fldCharType="begin"/>
      </w:r>
      <w:r w:rsidRPr="006F04E6">
        <w:instrText xml:space="preserve"> XE "</w:instrText>
      </w:r>
      <w:r w:rsidRPr="006F04E6">
        <w:rPr>
          <w:rFonts w:asciiTheme="majorBidi" w:eastAsia="Times New Roman" w:hAnsiTheme="majorBidi" w:cstheme="majorBidi"/>
          <w:lang w:val="en-GB"/>
        </w:rPr>
        <w:instrText>God Ḫaldi</w:instrText>
      </w:r>
      <w:r w:rsidRPr="006F04E6">
        <w:instrText xml:space="preserve">" </w:instrText>
      </w:r>
      <w:r w:rsidRPr="006F04E6">
        <w:rPr>
          <w:rFonts w:asciiTheme="majorBidi" w:eastAsia="Times New Roman" w:hAnsiTheme="majorBidi" w:cstheme="majorBidi"/>
          <w:iCs/>
          <w:color w:val="202124"/>
          <w:lang w:val="en-GB" w:eastAsia="it-IT"/>
        </w:rPr>
        <w:fldChar w:fldCharType="end"/>
      </w:r>
      <w:r w:rsidRPr="006F04E6">
        <w:rPr>
          <w:rFonts w:asciiTheme="majorBidi" w:eastAsia="Times New Roman" w:hAnsiTheme="majorBidi" w:cstheme="majorBidi"/>
          <w:color w:val="202124"/>
          <w:lang w:val="en-GB" w:eastAsia="it-IT"/>
        </w:rPr>
        <w:t>,</w:t>
      </w:r>
      <w:r w:rsidRPr="006F04E6">
        <w:rPr>
          <w:rFonts w:ascii="Times New Roman" w:hAnsi="Times New Roman"/>
          <w:color w:val="202124"/>
          <w:lang w:val="en-GB"/>
        </w:rPr>
        <w:t xml:space="preserve"> by the ‘Door of Ḫaldi’ (“nominative” case Ḫaldi=i=ni=li </w:t>
      </w:r>
      <w:r w:rsidRPr="006F04E6">
        <w:rPr>
          <w:rFonts w:ascii="Times New Roman" w:hAnsi="Times New Roman"/>
          <w:lang w:val="en-GB"/>
        </w:rPr>
        <w:t>KÁ</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KÁ</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ablative-instrumental case Ḫaldi=i=na=ni KÁ)</w:t>
      </w:r>
      <w:r w:rsidRPr="006F04E6">
        <w:rPr>
          <w:rFonts w:ascii="Times New Roman" w:hAnsi="Times New Roman"/>
          <w:color w:val="202124"/>
          <w:lang w:val="en-GB"/>
        </w:rPr>
        <w:t xml:space="preserve"> may exist (subsist) life, greatness, for Išpuini son of Sarduri, for Minua son of Išpuini and for Inušpua son of Minua”.</w:t>
      </w:r>
    </w:p>
    <w:p w14:paraId="07439B26"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424"/>
        <w:jc w:val="both"/>
        <w:rPr>
          <w:rFonts w:ascii="Times New Roman" w:hAnsi="Times New Roman"/>
          <w:color w:val="202124"/>
          <w:lang w:val="en-GB"/>
        </w:rPr>
      </w:pPr>
    </w:p>
    <w:p w14:paraId="47A3AAB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s="Times New Roman"/>
          <w:lang w:val="en-GB" w:eastAsia="it-IT"/>
        </w:rPr>
      </w:pPr>
      <w:r w:rsidRPr="006F04E6">
        <w:rPr>
          <w:rFonts w:ascii="Times New Roman" w:hAnsi="Times New Roman"/>
          <w:lang w:val="en-GB"/>
        </w:rPr>
        <w:t xml:space="preserve">My new interpretation of this ruined and </w:t>
      </w:r>
      <w:r w:rsidRPr="006F04E6">
        <w:rPr>
          <w:rFonts w:ascii="Times New Roman" w:eastAsia="Times New Roman" w:hAnsi="Times New Roman" w:cs="Times New Roman"/>
          <w:lang w:val="en-GB" w:eastAsia="it-IT"/>
        </w:rPr>
        <w:t>complex</w:t>
      </w:r>
      <w:r w:rsidRPr="006F04E6">
        <w:rPr>
          <w:rFonts w:ascii="Times New Roman" w:hAnsi="Times New Roman"/>
          <w:lang w:val="en-GB"/>
        </w:rPr>
        <w:t xml:space="preserve"> text allows us to deduce that the </w:t>
      </w:r>
      <w:r w:rsidRPr="006F04E6">
        <w:rPr>
          <w:rFonts w:asciiTheme="majorBidi" w:hAnsiTheme="majorBidi" w:cstheme="majorBidi"/>
          <w:lang w:val="en-GB"/>
        </w:rPr>
        <w:t>Ḫaldi</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"Ḫaldi" </w:instrText>
      </w:r>
      <w:r w:rsidRPr="006F04E6">
        <w:rPr>
          <w:rFonts w:asciiTheme="majorBidi" w:hAnsiTheme="majorBidi" w:cstheme="majorBidi"/>
          <w:lang w:val="en-GB"/>
        </w:rPr>
        <w:fldChar w:fldCharType="end"/>
      </w:r>
      <w:r w:rsidRPr="006F04E6">
        <w:rPr>
          <w:rFonts w:asciiTheme="majorBidi" w:hAnsiTheme="majorBidi" w:cstheme="majorBidi"/>
          <w:lang w:val="en-GB"/>
        </w:rPr>
        <w:t>’s</w:t>
      </w:r>
      <w:r w:rsidRPr="006F04E6">
        <w:rPr>
          <w:rFonts w:ascii="Times New Roman" w:hAnsi="Times New Roman"/>
          <w:lang w:val="en-GB"/>
        </w:rPr>
        <w:t xml:space="preserve"> Gate was precisely the same niche facing it, outside the city of Ṭušpa, and that the "susi"</w:t>
      </w:r>
      <w:r w:rsidRPr="006F04E6">
        <w:rPr>
          <w:rFonts w:ascii="Times New Roman" w:eastAsia="Times New Roman" w:hAnsi="Times New Roman" w:cs="Times New Roman"/>
          <w:lang w:val="en-GB" w:eastAsia="it-IT"/>
        </w:rPr>
        <w:t> </w:t>
      </w:r>
      <w:r w:rsidRPr="006F04E6">
        <w:rPr>
          <w:rFonts w:asciiTheme="majorBidi" w:hAnsiTheme="majorBidi" w:cstheme="majorBidi"/>
          <w:iCs/>
          <w:lang w:val="en-GB"/>
        </w:rPr>
        <w:fldChar w:fldCharType="begin"/>
      </w:r>
      <w:r w:rsidRPr="006F04E6">
        <w:rPr>
          <w:rFonts w:asciiTheme="majorBidi" w:hAnsiTheme="majorBidi" w:cstheme="majorBidi"/>
          <w:lang w:val="en-GB"/>
        </w:rPr>
        <w:instrText xml:space="preserve"> XE "susi" </w:instrText>
      </w:r>
      <w:r w:rsidRPr="006F04E6">
        <w:rPr>
          <w:rFonts w:asciiTheme="majorBidi" w:hAnsiTheme="majorBidi" w:cstheme="majorBidi"/>
          <w:iCs/>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temple was being erected at the same time on the top of the cliff. The same can be said of the inscription of the rock niche of Yeşilalıç</w:t>
      </w:r>
      <w:r w:rsidRPr="006F04E6">
        <w:rPr>
          <w:rFonts w:ascii="Times New Roman" w:eastAsia="Times New Roman" w:hAnsi="Times New Roman" w:cs="Times New Roman"/>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"Yeşilalıç"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lang w:val="en-GB"/>
        </w:rPr>
        <w:t>(CTU I. A 3-2). As mentioned, a Temple inscription from Minua</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"Minua"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is </w:t>
      </w:r>
      <w:r w:rsidRPr="006F04E6">
        <w:rPr>
          <w:rFonts w:ascii="Times New Roman" w:hAnsi="Times New Roman"/>
          <w:lang w:val="en-GB"/>
        </w:rPr>
        <w:t>reconstructed</w:t>
      </w:r>
      <w:r w:rsidRPr="006F04E6">
        <w:rPr>
          <w:rFonts w:ascii="Times New Roman" w:eastAsia="Times New Roman" w:hAnsi="Times New Roman" w:cs="Times New Roman"/>
          <w:lang w:val="en-GB" w:eastAsia="it-IT"/>
        </w:rPr>
        <w:t xml:space="preserve"> based on the inscription CTU I—a 5-98a and b fragments</w:t>
      </w:r>
      <w:r w:rsidRPr="006F04E6">
        <w:rPr>
          <w:rFonts w:ascii="Times New Roman" w:hAnsi="Times New Roman"/>
          <w:lang w:val="en-GB"/>
        </w:rPr>
        <w:t>. The temple must have been the one whose foundations were excavated by T. Tarhan (</w:t>
      </w:r>
      <w:r w:rsidRPr="006F04E6">
        <w:rPr>
          <w:rFonts w:ascii="Times New Roman" w:hAnsi="Times New Roman"/>
        </w:rPr>
        <w:t>See Can Avcı, Chapter 6 with references to the works and publications of Tarhan)</w:t>
      </w:r>
      <w:r w:rsidRPr="006F04E6">
        <w:rPr>
          <w:rFonts w:ascii="Times New Roman" w:hAnsi="Times New Roman"/>
          <w:lang w:val="en-GB"/>
        </w:rPr>
        <w:t xml:space="preserve">. I propose two alternative solutions: </w:t>
      </w:r>
      <w:r w:rsidRPr="006F04E6">
        <w:rPr>
          <w:rFonts w:ascii="Times New Roman" w:eastAsia="Times New Roman" w:hAnsi="Times New Roman" w:cs="Times New Roman"/>
          <w:lang w:val="en-GB" w:eastAsia="it-IT"/>
        </w:rPr>
        <w:t>One is</w:t>
      </w:r>
      <w:r w:rsidRPr="006F04E6">
        <w:rPr>
          <w:rFonts w:ascii="Times New Roman" w:hAnsi="Times New Roman"/>
          <w:lang w:val="en-GB"/>
        </w:rPr>
        <w:t xml:space="preserve"> that the temple was built at the time of the ‘diarchy’ (Inušpua</w:t>
      </w:r>
      <w:r w:rsidRPr="006F04E6">
        <w:rPr>
          <w:rFonts w:ascii="Times New Roman" w:eastAsia="Times New Roman" w:hAnsi="Times New Roman" w:cs="Times New Roman"/>
          <w:lang w:val="en-GB" w:eastAsia="it-IT"/>
        </w:rPr>
        <w:t> </w:t>
      </w:r>
      <w:r w:rsidRPr="006F04E6">
        <w:rPr>
          <w:rFonts w:asciiTheme="majorBidi" w:hAnsiTheme="majorBidi" w:cstheme="majorBidi"/>
          <w:iCs/>
          <w:lang w:val="en-GB"/>
        </w:rPr>
        <w:fldChar w:fldCharType="begin"/>
      </w:r>
      <w:r w:rsidRPr="006F04E6">
        <w:rPr>
          <w:rFonts w:asciiTheme="majorBidi" w:hAnsiTheme="majorBidi" w:cstheme="majorBidi"/>
          <w:lang w:val="en-GB"/>
        </w:rPr>
        <w:instrText xml:space="preserve"> XE "Inušpua" </w:instrText>
      </w:r>
      <w:r w:rsidRPr="006F04E6">
        <w:rPr>
          <w:rFonts w:asciiTheme="majorBidi" w:hAnsiTheme="majorBidi" w:cstheme="majorBidi"/>
          <w:iCs/>
          <w:lang w:val="en-GB"/>
        </w:rPr>
        <w:fldChar w:fldCharType="end"/>
      </w:r>
      <w:r w:rsidRPr="006F04E6">
        <w:rPr>
          <w:rFonts w:asciiTheme="majorBidi" w:hAnsiTheme="majorBidi" w:cstheme="majorBidi"/>
          <w:iCs/>
          <w:lang w:val="en-GB"/>
        </w:rPr>
        <w:t>)</w:t>
      </w:r>
      <w:r w:rsidRPr="006F04E6">
        <w:rPr>
          <w:rFonts w:asciiTheme="majorBidi" w:hAnsiTheme="majorBidi" w:cstheme="majorBidi"/>
          <w:lang w:val="en-GB"/>
        </w:rPr>
        <w:t xml:space="preserve"> </w:t>
      </w:r>
      <w:r w:rsidRPr="006F04E6">
        <w:rPr>
          <w:rFonts w:ascii="Times New Roman" w:hAnsi="Times New Roman"/>
          <w:lang w:val="en-GB"/>
        </w:rPr>
        <w:t xml:space="preserve">does not play a role, as he was </w:t>
      </w:r>
      <w:r w:rsidRPr="006F04E6">
        <w:rPr>
          <w:rFonts w:ascii="Times New Roman" w:eastAsia="Times New Roman" w:hAnsi="Times New Roman" w:cs="Times New Roman"/>
          <w:lang w:val="en-GB" w:eastAsia="it-IT"/>
        </w:rPr>
        <w:t>undoubtedly</w:t>
      </w:r>
      <w:r w:rsidRPr="006F04E6">
        <w:rPr>
          <w:rFonts w:ascii="Times New Roman" w:hAnsi="Times New Roman"/>
          <w:lang w:val="en-GB"/>
        </w:rPr>
        <w:t xml:space="preserve"> a child) (Salvini</w:t>
      </w:r>
      <w:r w:rsidRPr="006F04E6">
        <w:rPr>
          <w:rFonts w:ascii="Times New Roman" w:eastAsia="Times New Roman" w:hAnsi="Times New Roman" w:cs="Times New Roman"/>
          <w:lang w:val="en-GB" w:eastAsia="it-IT"/>
        </w:rPr>
        <w:t>,</w:t>
      </w:r>
      <w:r w:rsidRPr="006F04E6">
        <w:rPr>
          <w:rFonts w:ascii="Times New Roman" w:hAnsi="Times New Roman"/>
          <w:lang w:val="en-GB"/>
        </w:rPr>
        <w:t xml:space="preserve"> 2011). The other possibility is that the first construction of Išpuini</w:t>
      </w:r>
      <w:r w:rsidRPr="006F04E6">
        <w:rPr>
          <w:rFonts w:ascii="Times New Roman" w:eastAsia="Times New Roman" w:hAnsi="Times New Roman" w:cs="Times New Roman"/>
          <w:lang w:val="en-GB" w:eastAsia="it-IT"/>
        </w:rPr>
        <w:t> </w:t>
      </w:r>
      <w:r w:rsidRPr="006F04E6">
        <w:rPr>
          <w:rFonts w:asciiTheme="majorBidi" w:hAnsiTheme="majorBidi" w:cstheme="majorBidi"/>
          <w:iCs/>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Išpuini</w:instrText>
      </w:r>
      <w:r w:rsidRPr="006F04E6">
        <w:rPr>
          <w:rFonts w:asciiTheme="majorBidi" w:hAnsiTheme="majorBidi" w:cstheme="majorBidi"/>
          <w:lang w:val="en-GB"/>
        </w:rPr>
        <w:instrText xml:space="preserve">" </w:instrText>
      </w:r>
      <w:r w:rsidRPr="006F04E6">
        <w:rPr>
          <w:rFonts w:asciiTheme="majorBidi" w:hAnsiTheme="majorBidi" w:cstheme="majorBidi"/>
          <w:iCs/>
          <w:lang w:val="en-GB"/>
        </w:rPr>
        <w:fldChar w:fldCharType="end"/>
      </w:r>
      <w:r w:rsidRPr="006F04E6">
        <w:rPr>
          <w:rFonts w:asciiTheme="majorBidi" w:hAnsiTheme="majorBidi" w:cstheme="majorBidi"/>
          <w:iCs/>
          <w:lang w:val="en-GB"/>
        </w:rPr>
        <w:t xml:space="preserve"> </w:t>
      </w:r>
      <w:r w:rsidRPr="006F04E6">
        <w:rPr>
          <w:rFonts w:ascii="Times New Roman" w:hAnsi="Times New Roman"/>
          <w:lang w:val="en-GB"/>
        </w:rPr>
        <w:t>and Minua, with Inušpua, was without inscription</w:t>
      </w:r>
      <w:r w:rsidRPr="006F04E6">
        <w:rPr>
          <w:rFonts w:ascii="Times New Roman" w:eastAsia="Times New Roman" w:hAnsi="Times New Roman" w:cs="Times New Roman"/>
          <w:lang w:val="en-GB" w:eastAsia="it-IT"/>
        </w:rPr>
        <w:t>.</w:t>
      </w:r>
      <w:r w:rsidRPr="006F04E6">
        <w:rPr>
          <w:rFonts w:ascii="Times New Roman" w:hAnsi="Times New Roman"/>
          <w:lang w:val="en-GB"/>
        </w:rPr>
        <w:t xml:space="preserve"> Minua later added his inscription celebrating his deeds as a duplicate of other Temple inscriptions in the Muradiye</w:t>
      </w:r>
      <w:r w:rsidRPr="006F04E6">
        <w:rPr>
          <w:rFonts w:ascii="Times New Roman" w:eastAsia="Times New Roman" w:hAnsi="Times New Roman" w:cs="Times New Roman"/>
          <w:lang w:val="en-GB" w:eastAsia="it-IT"/>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"Muradiye"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area</w:t>
      </w:r>
      <w:r w:rsidRPr="006F04E6">
        <w:rPr>
          <w:rFonts w:ascii="Times New Roman" w:eastAsia="Times New Roman" w:hAnsi="Times New Roman" w:cs="Times New Roman"/>
          <w:lang w:val="en-GB" w:eastAsia="it-IT"/>
        </w:rPr>
        <w:t xml:space="preserve">. </w:t>
      </w:r>
    </w:p>
    <w:p w14:paraId="6CD8106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202124"/>
          <w:lang w:val="en-GB"/>
        </w:rPr>
      </w:pPr>
      <w:r w:rsidRPr="006F04E6">
        <w:rPr>
          <w:rFonts w:ascii="Times New Roman" w:hAnsi="Times New Roman"/>
          <w:lang w:val="en-GB"/>
        </w:rPr>
        <w:t>(CTU I. A 5-2A,</w:t>
      </w:r>
      <w:r w:rsidRPr="006F04E6">
        <w:rPr>
          <w:rFonts w:ascii="Times New Roman" w:eastAsia="Times New Roman" w:hAnsi="Times New Roman" w:cs="Times New Roman"/>
          <w:lang w:val="en-GB" w:eastAsia="it-IT"/>
        </w:rPr>
        <w:t xml:space="preserve"> </w:t>
      </w:r>
      <w:r w:rsidRPr="006F04E6">
        <w:rPr>
          <w:rFonts w:ascii="Times New Roman" w:hAnsi="Times New Roman"/>
          <w:lang w:val="en-GB"/>
        </w:rPr>
        <w:t>B,</w:t>
      </w:r>
      <w:r w:rsidRPr="006F04E6">
        <w:rPr>
          <w:rFonts w:ascii="Times New Roman" w:eastAsia="Times New Roman" w:hAnsi="Times New Roman" w:cs="Times New Roman"/>
          <w:lang w:val="en-GB" w:eastAsia="it-IT"/>
        </w:rPr>
        <w:t xml:space="preserve"> </w:t>
      </w:r>
      <w:r w:rsidRPr="006F04E6">
        <w:rPr>
          <w:rFonts w:ascii="Times New Roman" w:hAnsi="Times New Roman"/>
          <w:lang w:val="en-GB"/>
        </w:rPr>
        <w:t>C,</w:t>
      </w:r>
      <w:r w:rsidRPr="006F04E6">
        <w:rPr>
          <w:rFonts w:ascii="Times New Roman" w:eastAsia="Times New Roman" w:hAnsi="Times New Roman" w:cs="Times New Roman"/>
          <w:lang w:val="en-GB" w:eastAsia="it-IT"/>
        </w:rPr>
        <w:t xml:space="preserve"> </w:t>
      </w:r>
      <w:r w:rsidRPr="006F04E6">
        <w:rPr>
          <w:rFonts w:ascii="Times New Roman" w:hAnsi="Times New Roman"/>
          <w:lang w:val="en-GB"/>
        </w:rPr>
        <w:t>D,</w:t>
      </w:r>
      <w:r w:rsidRPr="006F04E6">
        <w:rPr>
          <w:rFonts w:ascii="Times New Roman" w:eastAsia="Times New Roman" w:hAnsi="Times New Roman" w:cs="Times New Roman"/>
          <w:lang w:val="en-GB" w:eastAsia="it-IT"/>
        </w:rPr>
        <w:t xml:space="preserve"> </w:t>
      </w:r>
      <w:r w:rsidRPr="006F04E6">
        <w:rPr>
          <w:rFonts w:ascii="Times New Roman" w:hAnsi="Times New Roman"/>
          <w:lang w:val="en-GB"/>
        </w:rPr>
        <w:t xml:space="preserve">E). </w:t>
      </w:r>
      <w:r w:rsidRPr="006F04E6">
        <w:rPr>
          <w:rFonts w:ascii="Times New Roman" w:hAnsi="Times New Roman"/>
        </w:rPr>
        <w:t xml:space="preserve">I refer to the expression ‘in order to build(?) a susi temple </w:t>
      </w:r>
      <w:r w:rsidRPr="006F04E6">
        <w:rPr>
          <w:rFonts w:ascii="Times New Roman" w:hAnsi="Times New Roman"/>
          <w:lang w:val="en-GB"/>
        </w:rPr>
        <w:t xml:space="preserve">they [created] a Door of Ḫaldi (?)’ to perfection if my </w:t>
      </w:r>
      <w:r w:rsidRPr="006F04E6">
        <w:rPr>
          <w:rFonts w:ascii="Times New Roman" w:hAnsi="Times New Roman"/>
        </w:rPr>
        <w:t xml:space="preserve">interpretation is correct. </w:t>
      </w:r>
      <w:r w:rsidRPr="006F04E6">
        <w:rPr>
          <w:rFonts w:ascii="Times New Roman" w:hAnsi="Times New Roman"/>
          <w:lang w:val="en-GB"/>
        </w:rPr>
        <w:t>In any case, this by Tabriz Kapısı</w:t>
      </w:r>
      <w:r w:rsidRPr="006F04E6">
        <w:rPr>
          <w:rFonts w:ascii="Times New Roman" w:eastAsia="Times New Roman" w:hAnsi="Times New Roman" w:cs="Times New Roman"/>
          <w:lang w:val="en-GB" w:eastAsia="it-IT"/>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"Tabriz Kapısı"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 xml:space="preserve">is the oldest mention of Ṭušpa in the perimeter of the capital and the only one with topographical indication. The following citations are found in the titles of the </w:t>
      </w:r>
      <w:r w:rsidRPr="006F04E6">
        <w:rPr>
          <w:rFonts w:ascii="Times New Roman" w:hAnsi="Times New Roman"/>
          <w:noProof/>
          <w:lang w:eastAsia="tr-TR"/>
        </w:rPr>
        <mc:AlternateContent>
          <mc:Choice Requires="wps">
            <w:drawing>
              <wp:anchor distT="0" distB="0" distL="114300" distR="114300" simplePos="0" relativeHeight="251967488" behindDoc="0" locked="0" layoutInCell="1" allowOverlap="1" wp14:anchorId="521A2F77" wp14:editId="519BCD88">
                <wp:simplePos x="0" y="0"/>
                <wp:positionH relativeFrom="margin">
                  <wp:posOffset>83185</wp:posOffset>
                </wp:positionH>
                <wp:positionV relativeFrom="paragraph">
                  <wp:posOffset>5483860</wp:posOffset>
                </wp:positionV>
                <wp:extent cx="5556250" cy="398780"/>
                <wp:effectExtent l="0" t="0" r="6350" b="1270"/>
                <wp:wrapTight wrapText="bothSides">
                  <wp:wrapPolygon edited="0">
                    <wp:start x="0" y="0"/>
                    <wp:lineTo x="0" y="20637"/>
                    <wp:lineTo x="21551" y="20637"/>
                    <wp:lineTo x="21551" y="0"/>
                    <wp:lineTo x="0" y="0"/>
                  </wp:wrapPolygon>
                </wp:wrapTight>
                <wp:docPr id="1262864538" name="Casella di tes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56250" cy="398780"/>
                        </a:xfrm>
                        <a:prstGeom prst="rect">
                          <a:avLst/>
                        </a:prstGeom>
                        <a:solidFill>
                          <a:prstClr val="white"/>
                        </a:solidFill>
                        <a:ln>
                          <a:noFill/>
                        </a:ln>
                        <a:effectLst/>
                      </wps:spPr>
                      <wps:txbx>
                        <w:txbxContent>
                          <w:p w14:paraId="698FD33B" w14:textId="77777777" w:rsidR="00B4516E" w:rsidRPr="007302DB" w:rsidRDefault="00B4516E" w:rsidP="00B4516E">
                            <w:pPr>
                              <w:pStyle w:val="Caption1"/>
                              <w:rPr>
                                <w:rFonts w:cs="Times New Roman"/>
                                <w:i w:val="0"/>
                                <w:iCs w:val="0"/>
                                <w:color w:val="auto"/>
                                <w:sz w:val="24"/>
                                <w:szCs w:val="24"/>
                              </w:rPr>
                            </w:pPr>
                            <w:r w:rsidRPr="00CC135C">
                              <w:rPr>
                                <w:i w:val="0"/>
                                <w:color w:val="auto"/>
                                <w:sz w:val="24"/>
                                <w:lang w:val="en-US"/>
                              </w:rPr>
                              <w:t>Fig. 15</w:t>
                            </w:r>
                            <w:r w:rsidRPr="00F42F52">
                              <w:rPr>
                                <w:rFonts w:cs="Times New Roman"/>
                                <w:i w:val="0"/>
                                <w:iCs w:val="0"/>
                                <w:color w:val="auto"/>
                                <w:sz w:val="24"/>
                                <w:szCs w:val="24"/>
                                <w:lang w:val="en-US"/>
                              </w:rPr>
                              <w:t xml:space="preserve"> The rock niche of Tabriz Kapısı with the inscription of </w:t>
                            </w:r>
                            <w:r w:rsidRPr="007302DB">
                              <w:rPr>
                                <w:rFonts w:cs="Times New Roman"/>
                                <w:i w:val="0"/>
                                <w:color w:val="auto"/>
                                <w:sz w:val="24"/>
                                <w:szCs w:val="24"/>
                                <w:lang w:val="en-US"/>
                              </w:rPr>
                              <w:t>Išpuini</w:t>
                            </w:r>
                            <w:r w:rsidRPr="007302DB">
                              <w:rPr>
                                <w:rFonts w:cs="Times New Roman"/>
                                <w:i w:val="0"/>
                                <w:iCs w:val="0"/>
                                <w:color w:val="auto"/>
                                <w:sz w:val="24"/>
                                <w:szCs w:val="24"/>
                                <w:lang w:val="en-US"/>
                              </w:rPr>
                              <w:t xml:space="preserve">, Minua and </w:t>
                            </w:r>
                            <w:r w:rsidRPr="007302DB">
                              <w:rPr>
                                <w:rFonts w:cs="Times New Roman"/>
                                <w:i w:val="0"/>
                                <w:color w:val="auto"/>
                                <w:sz w:val="24"/>
                                <w:szCs w:val="24"/>
                                <w:lang w:val="en-US"/>
                              </w:rPr>
                              <w:t>Inušpua</w:t>
                            </w:r>
                            <w:r w:rsidRPr="007302DB">
                              <w:rPr>
                                <w:rFonts w:cs="Times New Roman"/>
                                <w:i w:val="0"/>
                                <w:iCs w:val="0"/>
                                <w:color w:val="auto"/>
                                <w:sz w:val="24"/>
                                <w:szCs w:val="24"/>
                                <w:lang w:val="en-US"/>
                              </w:rPr>
                              <w:t xml:space="preserve"> (CTU I. A 4-1), (M. Salvini, 2003).</w:t>
                            </w:r>
                          </w:p>
                          <w:p w14:paraId="4DA7792A" w14:textId="77777777" w:rsidR="00B4516E" w:rsidRPr="00CC135C" w:rsidRDefault="00B4516E" w:rsidP="00B4516E">
                            <w:pPr>
                              <w:pStyle w:val="Caption1"/>
                              <w:rPr>
                                <w:rFonts w:ascii="SemiramisUnicode" w:hAnsi="SemiramisUnicode"/>
                                <w:i w:val="0"/>
                                <w:color w:val="auto"/>
                                <w:sz w:val="24"/>
                              </w:rPr>
                            </w:pPr>
                          </w:p>
                          <w:p w14:paraId="2CE02E54" w14:textId="77777777" w:rsidR="00B4516E" w:rsidRDefault="00B4516E" w:rsidP="00B4516E">
                            <w:pPr>
                              <w:pStyle w:val="Caption1"/>
                              <w:rPr>
                                <w:rFonts w:ascii="SemiramisUnicode" w:hAnsi="SemiramisUnicode" w:cs="SemiramisUnicode"/>
                                <w:i w:val="0"/>
                                <w:iCs w:val="0"/>
                                <w:color w:val="auto"/>
                                <w:sz w:val="24"/>
                                <w:szCs w:val="24"/>
                              </w:rPr>
                            </w:pPr>
                            <w:r w:rsidRPr="00CC135C">
                              <w:rPr>
                                <w:rFonts w:ascii="SemiramisUnicode" w:hAnsi="SemiramisUnicode"/>
                                <w:i w:val="0"/>
                                <w:color w:val="auto"/>
                                <w:sz w:val="24"/>
                                <w:lang w:val="en-US"/>
                              </w:rPr>
                              <w:t>04)</w:t>
                            </w:r>
                          </w:p>
                          <w:p w14:paraId="2F5E1FD6" w14:textId="77777777" w:rsidR="00B4516E" w:rsidRPr="008B2390" w:rsidRDefault="00B4516E" w:rsidP="00B4516E"/>
                          <w:p w14:paraId="48F82DFB" w14:textId="77777777" w:rsidR="00B4516E" w:rsidRPr="008B2390" w:rsidRDefault="00B4516E" w:rsidP="00B4516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A2F77" id="Casella di testo 21" o:spid="_x0000_s1029" type="#_x0000_t202" style="position:absolute;left:0;text-align:left;margin-left:6.55pt;margin-top:431.8pt;width:437.5pt;height:31.4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" stroked="f">
                <v:textbox inset="0,0,0,0">
                  <w:txbxContent>
                    <w:p w14:paraId="698FD33B" w14:textId="77777777" w:rsidR="00B4516E" w:rsidRPr="007302DB" w:rsidRDefault="00B4516E" w:rsidP="00B4516E">
                      <w:pPr>
                        <w:pStyle w:val="Caption1"/>
                        <w:rPr>
                          <w:rFonts w:cs="Times New Roman"/>
                          <w:i w:val="0"/>
                          <w:iCs w:val="0"/>
                          <w:color w:val="auto"/>
                          <w:sz w:val="24"/>
                          <w:szCs w:val="24"/>
                        </w:rPr>
                      </w:pPr>
                      <w:r w:rsidRPr="00CC135C">
                        <w:rPr>
                          <w:i w:val="0"/>
                          <w:color w:val="auto"/>
                          <w:sz w:val="24"/>
                          <w:lang w:val="en-US"/>
                        </w:rPr>
                        <w:t>Fig. 15</w:t>
                      </w:r>
                      <w:r w:rsidRPr="00F42F52">
                        <w:rPr>
                          <w:rFonts w:cs="Times New Roman"/>
                          <w:i w:val="0"/>
                          <w:iCs w:val="0"/>
                          <w:color w:val="auto"/>
                          <w:sz w:val="24"/>
                          <w:szCs w:val="24"/>
                          <w:lang w:val="en-US"/>
                        </w:rPr>
                        <w:t xml:space="preserve"> The rock niche of Tabriz Kapısı with the inscription of </w:t>
                      </w:r>
                      <w:r w:rsidRPr="007302DB">
                        <w:rPr>
                          <w:rFonts w:cs="Times New Roman"/>
                          <w:i w:val="0"/>
                          <w:color w:val="auto"/>
                          <w:sz w:val="24"/>
                          <w:szCs w:val="24"/>
                          <w:lang w:val="en-US"/>
                        </w:rPr>
                        <w:t>Išpuini</w:t>
                      </w:r>
                      <w:r w:rsidRPr="007302DB">
                        <w:rPr>
                          <w:rFonts w:cs="Times New Roman"/>
                          <w:i w:val="0"/>
                          <w:iCs w:val="0"/>
                          <w:color w:val="auto"/>
                          <w:sz w:val="24"/>
                          <w:szCs w:val="24"/>
                          <w:lang w:val="en-US"/>
                        </w:rPr>
                        <w:t xml:space="preserve">, Minua and </w:t>
                      </w:r>
                      <w:r w:rsidRPr="007302DB">
                        <w:rPr>
                          <w:rFonts w:cs="Times New Roman"/>
                          <w:i w:val="0"/>
                          <w:color w:val="auto"/>
                          <w:sz w:val="24"/>
                          <w:szCs w:val="24"/>
                          <w:lang w:val="en-US"/>
                        </w:rPr>
                        <w:t>Inušpua</w:t>
                      </w:r>
                      <w:r w:rsidRPr="007302DB">
                        <w:rPr>
                          <w:rFonts w:cs="Times New Roman"/>
                          <w:i w:val="0"/>
                          <w:iCs w:val="0"/>
                          <w:color w:val="auto"/>
                          <w:sz w:val="24"/>
                          <w:szCs w:val="24"/>
                          <w:lang w:val="en-US"/>
                        </w:rPr>
                        <w:t xml:space="preserve"> (CTU I. A 4-1), (M. Salvini, 2003).</w:t>
                      </w:r>
                    </w:p>
                    <w:p w14:paraId="4DA7792A" w14:textId="77777777" w:rsidR="00B4516E" w:rsidRPr="00CC135C" w:rsidRDefault="00B4516E" w:rsidP="00B4516E">
                      <w:pPr>
                        <w:pStyle w:val="Caption1"/>
                        <w:rPr>
                          <w:rFonts w:ascii="SemiramisUnicode" w:hAnsi="SemiramisUnicode"/>
                          <w:i w:val="0"/>
                          <w:color w:val="auto"/>
                          <w:sz w:val="24"/>
                        </w:rPr>
                      </w:pPr>
                    </w:p>
                    <w:p w14:paraId="2CE02E54" w14:textId="77777777" w:rsidR="00B4516E" w:rsidRDefault="00B4516E" w:rsidP="00B4516E">
                      <w:pPr>
                        <w:pStyle w:val="Caption1"/>
                        <w:rPr>
                          <w:rFonts w:ascii="SemiramisUnicode" w:hAnsi="SemiramisUnicode" w:cs="SemiramisUnicode"/>
                          <w:i w:val="0"/>
                          <w:iCs w:val="0"/>
                          <w:color w:val="auto"/>
                          <w:sz w:val="24"/>
                          <w:szCs w:val="24"/>
                        </w:rPr>
                      </w:pPr>
                      <w:r w:rsidRPr="00CC135C">
                        <w:rPr>
                          <w:rFonts w:ascii="SemiramisUnicode" w:hAnsi="SemiramisUnicode"/>
                          <w:i w:val="0"/>
                          <w:color w:val="auto"/>
                          <w:sz w:val="24"/>
                          <w:lang w:val="en-US"/>
                        </w:rPr>
                        <w:t>04)</w:t>
                      </w:r>
                    </w:p>
                    <w:p w14:paraId="2F5E1FD6" w14:textId="77777777" w:rsidR="00B4516E" w:rsidRPr="008B2390" w:rsidRDefault="00B4516E" w:rsidP="00B4516E"/>
                    <w:p w14:paraId="48F82DFB" w14:textId="77777777" w:rsidR="00B4516E" w:rsidRPr="008B2390" w:rsidRDefault="00B4516E" w:rsidP="00B4516E"/>
                  </w:txbxContent>
                </v:textbox>
                <w10:wrap type="tight" anchorx="margin"/>
              </v:shape>
            </w:pict>
          </mc:Fallback>
        </mc:AlternateContent>
      </w:r>
      <w:r w:rsidRPr="006F04E6">
        <w:rPr>
          <w:rFonts w:ascii="Times New Roman" w:hAnsi="Times New Roman"/>
          <w:noProof/>
          <w:color w:val="202124"/>
          <w:lang w:eastAsia="tr-TR"/>
        </w:rPr>
        <w:drawing>
          <wp:anchor distT="0" distB="0" distL="114300" distR="114300" simplePos="0" relativeHeight="251977728" behindDoc="1" locked="0" layoutInCell="1" allowOverlap="1" wp14:anchorId="6128CA6C" wp14:editId="74EA8046">
            <wp:simplePos x="0" y="0"/>
            <wp:positionH relativeFrom="margin">
              <wp:posOffset>81280</wp:posOffset>
            </wp:positionH>
            <wp:positionV relativeFrom="paragraph">
              <wp:posOffset>1249680</wp:posOffset>
            </wp:positionV>
            <wp:extent cx="5486400" cy="4114800"/>
            <wp:effectExtent l="0" t="0" r="0" b="0"/>
            <wp:wrapTight wrapText="bothSides">
              <wp:wrapPolygon edited="0">
                <wp:start x="0" y="0"/>
                <wp:lineTo x="0" y="21533"/>
                <wp:lineTo x="21550" y="21533"/>
                <wp:lineTo x="21550" y="0"/>
                <wp:lineTo x="0" y="0"/>
              </wp:wrapPolygon>
            </wp:wrapTight>
            <wp:docPr id="1206348020" name="Resim 1206348020" descr="F:\CORPUS URARTEO 2020  III 5\Corpus Urarteo Colori\A4 = IspMinInu\DSCN7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ORPUS URARTEO 2020  III 5\Corpus Urarteo Colori\A4 = IspMinInu\DSCN7944.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486400"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04E6">
        <w:rPr>
          <w:rFonts w:ascii="Times New Roman" w:hAnsi="Times New Roman"/>
          <w:lang w:val="en-GB"/>
        </w:rPr>
        <w:t>kings (‘Lord of the City of Ṭušpa’).</w:t>
      </w:r>
    </w:p>
    <w:p w14:paraId="37F94F6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p>
    <w:p w14:paraId="7267E72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p>
    <w:p w14:paraId="171AA61F"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p>
    <w:p w14:paraId="7463B18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p>
    <w:p w14:paraId="2F9E5FB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p>
    <w:p w14:paraId="69CA908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GB"/>
        </w:rPr>
      </w:pPr>
      <w:r w:rsidRPr="00CC135C">
        <w:rPr>
          <w:rFonts w:ascii="Times New Roman" w:hAnsi="Times New Roman"/>
          <w:color w:val="202124"/>
          <w:lang w:val="en-GB"/>
        </w:rPr>
        <w:br w:type="column"/>
      </w:r>
      <w:r w:rsidRPr="00CC135C">
        <w:rPr>
          <w:rFonts w:ascii="Times New Roman" w:hAnsi="Times New Roman"/>
          <w:noProof/>
          <w:color w:val="202124"/>
          <w:lang w:eastAsia="tr-TR"/>
        </w:rPr>
        <w:drawing>
          <wp:anchor distT="0" distB="0" distL="114300" distR="114300" simplePos="0" relativeHeight="251950080" behindDoc="1" locked="0" layoutInCell="1" allowOverlap="1" wp14:anchorId="634804F9" wp14:editId="5CF3B4EC">
            <wp:simplePos x="0" y="0"/>
            <wp:positionH relativeFrom="column">
              <wp:posOffset>935990</wp:posOffset>
            </wp:positionH>
            <wp:positionV relativeFrom="paragraph">
              <wp:posOffset>51435</wp:posOffset>
            </wp:positionV>
            <wp:extent cx="3657600" cy="4877435"/>
            <wp:effectExtent l="0" t="0" r="0" b="0"/>
            <wp:wrapTopAndBottom/>
            <wp:docPr id="1321765430" name="Resim 1321765430" descr="F:\CORPUS URARTEO 2020  III 5\Corpus Urarteo Colori\A4 = IspMinInu\DSCN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ORPUS URARTEO 2020  III 5\Corpus Urarteo Colori\A4 = IspMinInu\DSCN1096.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657600" cy="4877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17427E"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GB"/>
        </w:rPr>
      </w:pPr>
      <w:r w:rsidRPr="00CC135C">
        <w:rPr>
          <w:rFonts w:ascii="Times New Roman" w:hAnsi="Times New Roman"/>
          <w:noProof/>
          <w:sz w:val="20"/>
          <w:lang w:eastAsia="tr-TR"/>
        </w:rPr>
        <mc:AlternateContent>
          <mc:Choice Requires="wps">
            <w:drawing>
              <wp:anchor distT="0" distB="0" distL="114300" distR="114300" simplePos="0" relativeHeight="251981824" behindDoc="0" locked="0" layoutInCell="1" allowOverlap="1" wp14:anchorId="0C70B43A" wp14:editId="5ABEDD86">
                <wp:simplePos x="0" y="0"/>
                <wp:positionH relativeFrom="column">
                  <wp:posOffset>552261</wp:posOffset>
                </wp:positionH>
                <wp:positionV relativeFrom="paragraph">
                  <wp:posOffset>289209</wp:posOffset>
                </wp:positionV>
                <wp:extent cx="5233670" cy="781685"/>
                <wp:effectExtent l="0" t="0" r="5080" b="0"/>
                <wp:wrapTight wrapText="bothSides">
                  <wp:wrapPolygon edited="0">
                    <wp:start x="0" y="0"/>
                    <wp:lineTo x="0" y="21056"/>
                    <wp:lineTo x="21542" y="21056"/>
                    <wp:lineTo x="21542" y="0"/>
                    <wp:lineTo x="0" y="0"/>
                  </wp:wrapPolygon>
                </wp:wrapTight>
                <wp:docPr id="231474635" name="Casella di tes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3670" cy="781685"/>
                        </a:xfrm>
                        <a:prstGeom prst="rect">
                          <a:avLst/>
                        </a:prstGeom>
                        <a:solidFill>
                          <a:prstClr val="white"/>
                        </a:solidFill>
                        <a:ln>
                          <a:noFill/>
                        </a:ln>
                        <a:effectLst/>
                      </wps:spPr>
                      <wps:txbx>
                        <w:txbxContent>
                          <w:p w14:paraId="7408DCD5" w14:textId="77777777" w:rsidR="00B4516E" w:rsidRPr="00CC135C" w:rsidRDefault="00B4516E" w:rsidP="00B4516E">
                            <w:pPr>
                              <w:pStyle w:val="Caption1"/>
                              <w:spacing w:after="0"/>
                              <w:rPr>
                                <w:b/>
                                <w:i w:val="0"/>
                                <w:color w:val="auto"/>
                                <w:sz w:val="20"/>
                              </w:rPr>
                            </w:pPr>
                            <w:r w:rsidRPr="00CC135C">
                              <w:rPr>
                                <w:i w:val="0"/>
                                <w:color w:val="auto"/>
                                <w:sz w:val="24"/>
                                <w:lang w:val="en-US"/>
                              </w:rPr>
                              <w:t>Fig. 16</w:t>
                            </w:r>
                            <w:r w:rsidRPr="00CC135C">
                              <w:rPr>
                                <w:i w:val="0"/>
                                <w:color w:val="auto"/>
                                <w:lang w:val="en-US"/>
                              </w:rPr>
                              <w:t xml:space="preserve"> </w:t>
                            </w:r>
                            <w:r w:rsidRPr="00CC135C">
                              <w:rPr>
                                <w:i w:val="0"/>
                                <w:color w:val="auto"/>
                                <w:sz w:val="24"/>
                                <w:lang w:val="en-US"/>
                              </w:rPr>
                              <w:t xml:space="preserve">The inscribed rock niche of Tabriz Kapısı, at the east edge of Van Fortress with the inscription of Išpuini, Minua and Inušpua (CTU I. A 4-1), (M. Salvini, 2003).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0B43A" id="Casella di testo 20" o:spid="_x0000_s1030" type="#_x0000_t202" style="position:absolute;margin-left:43.5pt;margin-top:22.75pt;width:412.1pt;height:61.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" stroked="f">
                <v:textbox inset="0,0,0,0">
                  <w:txbxContent>
                    <w:p w14:paraId="7408DCD5" w14:textId="77777777" w:rsidR="00B4516E" w:rsidRPr="00CC135C" w:rsidRDefault="00B4516E" w:rsidP="00B4516E">
                      <w:pPr>
                        <w:pStyle w:val="Caption1"/>
                        <w:spacing w:after="0"/>
                        <w:rPr>
                          <w:b/>
                          <w:i w:val="0"/>
                          <w:color w:val="auto"/>
                          <w:sz w:val="20"/>
                        </w:rPr>
                      </w:pPr>
                      <w:r w:rsidRPr="00CC135C">
                        <w:rPr>
                          <w:i w:val="0"/>
                          <w:color w:val="auto"/>
                          <w:sz w:val="24"/>
                          <w:lang w:val="en-US"/>
                        </w:rPr>
                        <w:t>Fig. 16</w:t>
                      </w:r>
                      <w:r w:rsidRPr="00CC135C">
                        <w:rPr>
                          <w:i w:val="0"/>
                          <w:color w:val="auto"/>
                          <w:lang w:val="en-US"/>
                        </w:rPr>
                        <w:t xml:space="preserve"> </w:t>
                      </w:r>
                      <w:r w:rsidRPr="00CC135C">
                        <w:rPr>
                          <w:i w:val="0"/>
                          <w:color w:val="auto"/>
                          <w:sz w:val="24"/>
                          <w:lang w:val="en-US"/>
                        </w:rPr>
                        <w:t xml:space="preserve">The inscribed rock niche of Tabriz Kapısı, at the east edge of Van Fortress with the inscription of Išpuini, Minua and Inušpua (CTU I. A 4-1), (M. Salvini, 2003).            </w:t>
                      </w:r>
                    </w:p>
                  </w:txbxContent>
                </v:textbox>
                <w10:wrap type="tight"/>
              </v:shape>
            </w:pict>
          </mc:Fallback>
        </mc:AlternateContent>
      </w:r>
    </w:p>
    <w:p w14:paraId="665E9F22" w14:textId="77777777" w:rsidR="00B4516E" w:rsidRPr="00CC135C" w:rsidRDefault="00B4516E" w:rsidP="00B4516E">
      <w:pPr>
        <w:rPr>
          <w:rFonts w:ascii="Times New Roman" w:hAnsi="Times New Roman"/>
          <w:lang w:val="en-GB"/>
        </w:rPr>
      </w:pPr>
    </w:p>
    <w:p w14:paraId="570BC081"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rFonts w:ascii="Times New Roman" w:hAnsi="Times New Roman"/>
          <w:lang w:val="en-GB"/>
        </w:rPr>
      </w:pPr>
      <w:r w:rsidRPr="00CC135C">
        <w:rPr>
          <w:rFonts w:ascii="Times New Roman" w:hAnsi="Times New Roman"/>
          <w:noProof/>
          <w:lang w:eastAsia="tr-TR"/>
        </w:rPr>
        <w:drawing>
          <wp:inline distT="0" distB="0" distL="0" distR="0" wp14:anchorId="67455051" wp14:editId="6927302E">
            <wp:extent cx="4648835" cy="7215505"/>
            <wp:effectExtent l="0" t="0" r="0" b="4445"/>
            <wp:docPr id="626327037" name="Resim 626327037" descr="F:\CORPUS URARTEO 2020  III 5\Corpus Urarteo Colori\A4 = IspMinInu\CICh 11 Taf. II scansion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ORPUS URARTEO 2020  III 5\Corpus Urarteo Colori\A4 = IspMinInu\CICh 11 Taf. II scansione0009.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648835" cy="7215505"/>
                    </a:xfrm>
                    <a:prstGeom prst="rect">
                      <a:avLst/>
                    </a:prstGeom>
                    <a:noFill/>
                    <a:ln>
                      <a:noFill/>
                    </a:ln>
                  </pic:spPr>
                </pic:pic>
              </a:graphicData>
            </a:graphic>
          </wp:inline>
        </w:drawing>
      </w:r>
    </w:p>
    <w:p w14:paraId="78E4F6F1" w14:textId="77777777" w:rsidR="00B4516E" w:rsidRPr="00CC135C" w:rsidRDefault="00B4516E" w:rsidP="00B4516E">
      <w:pPr>
        <w:spacing w:after="200"/>
        <w:ind w:firstLine="708"/>
        <w:jc w:val="center"/>
        <w:rPr>
          <w:rFonts w:ascii="Times New Roman" w:hAnsi="Times New Roman"/>
          <w:i/>
          <w:iCs/>
          <w:lang w:val="en-GB"/>
        </w:rPr>
      </w:pPr>
      <w:r w:rsidRPr="00CC135C">
        <w:rPr>
          <w:rFonts w:ascii="Times New Roman" w:hAnsi="Times New Roman"/>
          <w:lang w:val="en-GB"/>
        </w:rPr>
        <w:t xml:space="preserve">Fig. </w:t>
      </w:r>
      <w:bookmarkStart w:id="50" w:name="_Hlk124856983"/>
      <w:r w:rsidRPr="00CC135C">
        <w:rPr>
          <w:rFonts w:ascii="Times New Roman" w:hAnsi="Times New Roman"/>
          <w:lang w:val="en-GB"/>
        </w:rPr>
        <w:t>17 Paper cast of the Tabriz Kapısı</w:t>
      </w:r>
      <w:r w:rsidRPr="00CC135C">
        <w:rPr>
          <w:rFonts w:ascii="Times New Roman" w:hAnsi="Times New Roman"/>
          <w:lang w:val="en-GB"/>
        </w:rPr>
        <w:fldChar w:fldCharType="begin"/>
      </w:r>
      <w:r w:rsidRPr="00CC135C">
        <w:rPr>
          <w:rFonts w:ascii="Times New Roman" w:hAnsi="Times New Roman"/>
          <w:color w:val="44546A"/>
          <w:sz w:val="18"/>
          <w:lang w:val="en-GB"/>
        </w:rPr>
        <w:instrText xml:space="preserve"> XE "Tabriz Kapısı" </w:instrText>
      </w:r>
      <w:r w:rsidRPr="00CC135C">
        <w:rPr>
          <w:rFonts w:ascii="Times New Roman" w:hAnsi="Times New Roman"/>
          <w:lang w:val="en-GB"/>
        </w:rPr>
        <w:fldChar w:fldCharType="end"/>
      </w:r>
      <w:r w:rsidRPr="00CC135C">
        <w:rPr>
          <w:rFonts w:ascii="Times New Roman" w:hAnsi="Times New Roman"/>
          <w:lang w:val="en-GB"/>
        </w:rPr>
        <w:t xml:space="preserve"> inscription, by C. F. Lehmann-Haupt</w:t>
      </w:r>
      <w:r w:rsidRPr="00471FA7">
        <w:rPr>
          <w:rFonts w:ascii="Times New Roman" w:eastAsia="Calibri" w:hAnsi="Times New Roman" w:cs="Times New Roman"/>
          <w:lang w:val="en-GB"/>
        </w:rPr>
        <w:fldChar w:fldCharType="begin"/>
      </w:r>
      <w:r w:rsidRPr="00471FA7">
        <w:rPr>
          <w:rFonts w:ascii="Times New Roman" w:eastAsia="Calibri" w:hAnsi="Times New Roman" w:cs="Arial"/>
          <w:color w:val="44546A"/>
          <w:sz w:val="18"/>
          <w:szCs w:val="18"/>
          <w:lang w:val="en-GB"/>
        </w:rPr>
        <w:instrText xml:space="preserve"> XE "</w:instrText>
      </w:r>
      <w:r w:rsidRPr="00471FA7">
        <w:rPr>
          <w:rFonts w:ascii="Times New Roman" w:eastAsia="Calibri" w:hAnsi="Times New Roman" w:cs="Times New Roman"/>
          <w:color w:val="000000"/>
          <w:sz w:val="18"/>
          <w:szCs w:val="18"/>
          <w:lang w:val="en-GB"/>
        </w:rPr>
        <w:instrText>Lehmann-Haupt</w:instrText>
      </w:r>
      <w:r w:rsidRPr="00471FA7">
        <w:rPr>
          <w:rFonts w:ascii="Times New Roman" w:eastAsia="Calibri" w:hAnsi="Times New Roman" w:cs="Arial"/>
          <w:color w:val="44546A"/>
          <w:sz w:val="18"/>
          <w:szCs w:val="18"/>
          <w:lang w:val="en-GB"/>
        </w:rPr>
        <w:instrText xml:space="preserve">" </w:instrText>
      </w:r>
      <w:r w:rsidRPr="00471FA7">
        <w:rPr>
          <w:rFonts w:ascii="Times New Roman" w:eastAsia="Calibri" w:hAnsi="Times New Roman" w:cs="Times New Roman"/>
          <w:lang w:val="en-GB"/>
        </w:rPr>
        <w:fldChar w:fldCharType="end"/>
      </w:r>
      <w:r w:rsidRPr="00CC135C">
        <w:rPr>
          <w:rFonts w:ascii="Times New Roman" w:hAnsi="Times New Roman"/>
          <w:lang w:val="en-GB"/>
        </w:rPr>
        <w:t xml:space="preserve"> (CICh 11, Taf. II = CTU I. A 4-1)</w:t>
      </w:r>
      <w:bookmarkEnd w:id="50"/>
      <w:r w:rsidRPr="00CC135C">
        <w:rPr>
          <w:rFonts w:ascii="Times New Roman" w:hAnsi="Times New Roman"/>
          <w:lang w:val="en-GB"/>
        </w:rPr>
        <w:t>.</w:t>
      </w:r>
    </w:p>
    <w:p w14:paraId="02E272D7"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GB"/>
        </w:rPr>
      </w:pPr>
    </w:p>
    <w:p w14:paraId="70D4674E"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GB"/>
        </w:rPr>
      </w:pPr>
    </w:p>
    <w:p w14:paraId="5BF27B7F" w14:textId="77777777" w:rsidR="00CD3D5E" w:rsidRPr="00CC135C"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GB"/>
        </w:rPr>
      </w:pPr>
    </w:p>
    <w:p w14:paraId="445C5C2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outlineLvl w:val="2"/>
        <w:rPr>
          <w:rFonts w:ascii="Times New Roman" w:hAnsi="Times New Roman"/>
          <w:b/>
          <w:lang w:val="en-GB"/>
        </w:rPr>
      </w:pPr>
      <w:bookmarkStart w:id="51" w:name="_Toc173231205"/>
      <w:r w:rsidRPr="00CC135C">
        <w:rPr>
          <w:rFonts w:ascii="Times New Roman" w:hAnsi="Times New Roman"/>
          <w:b/>
          <w:lang w:val="en-GB"/>
        </w:rPr>
        <w:t>4.2.3. Texts of Minua</w:t>
      </w:r>
      <w:r w:rsidRPr="00CC135C">
        <w:rPr>
          <w:rFonts w:ascii="Times New Roman" w:hAnsi="Times New Roman"/>
          <w:b/>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Minua</w:instrText>
      </w:r>
      <w:r w:rsidRPr="00CC135C">
        <w:rPr>
          <w:rFonts w:ascii="Courier New" w:hAnsi="Courier New"/>
          <w:sz w:val="20"/>
          <w:lang w:val="en-GB"/>
        </w:rPr>
        <w:instrText xml:space="preserve">" </w:instrText>
      </w:r>
      <w:r w:rsidRPr="00CC135C">
        <w:rPr>
          <w:rFonts w:ascii="Times New Roman" w:hAnsi="Times New Roman"/>
          <w:b/>
          <w:lang w:val="en-GB"/>
        </w:rPr>
        <w:fldChar w:fldCharType="end"/>
      </w:r>
      <w:r w:rsidRPr="00CC135C">
        <w:rPr>
          <w:rFonts w:ascii="Times New Roman" w:hAnsi="Times New Roman"/>
          <w:b/>
          <w:lang w:val="en-GB"/>
        </w:rPr>
        <w:t xml:space="preserve">, son of </w:t>
      </w:r>
      <w:r w:rsidRPr="0003653B">
        <w:rPr>
          <w:rFonts w:ascii="Times New Roman" w:hAnsi="Times New Roman"/>
          <w:b/>
          <w:lang w:val="en-GB"/>
        </w:rPr>
        <w:t>Išpuini</w:t>
      </w:r>
      <w:bookmarkEnd w:id="51"/>
      <w:r w:rsidRPr="00CC135C">
        <w:rPr>
          <w:rFonts w:ascii="Times New Roman" w:hAnsi="Times New Roman"/>
          <w:b/>
          <w:i/>
          <w:lang w:val="en-GB"/>
        </w:rPr>
        <w:fldChar w:fldCharType="begin"/>
      </w:r>
      <w:r w:rsidRPr="00CC135C">
        <w:rPr>
          <w:rFonts w:ascii="Courier New" w:hAnsi="Courier New"/>
          <w:sz w:val="20"/>
          <w:lang w:val="en-GB"/>
        </w:rPr>
        <w:instrText xml:space="preserve"> XE "</w:instrText>
      </w:r>
      <w:r w:rsidRPr="00CC135C">
        <w:rPr>
          <w:rFonts w:ascii="Times New Roman" w:hAnsi="Times New Roman"/>
          <w:iCs/>
          <w:sz w:val="20"/>
          <w:lang w:val="en-GB"/>
        </w:rPr>
        <w:instrText>Išpuini</w:instrText>
      </w:r>
      <w:r w:rsidRPr="00CC135C">
        <w:rPr>
          <w:rFonts w:ascii="Courier New" w:hAnsi="Courier New"/>
          <w:sz w:val="20"/>
          <w:lang w:val="en-GB"/>
        </w:rPr>
        <w:instrText xml:space="preserve">" </w:instrText>
      </w:r>
      <w:r w:rsidRPr="00CC135C">
        <w:rPr>
          <w:rFonts w:ascii="Times New Roman" w:hAnsi="Times New Roman"/>
          <w:b/>
          <w:i/>
          <w:lang w:val="en-GB"/>
        </w:rPr>
        <w:fldChar w:fldCharType="end"/>
      </w:r>
    </w:p>
    <w:p w14:paraId="2648FB6D" w14:textId="77777777" w:rsidR="00B4516E" w:rsidRPr="00CC135C" w:rsidRDefault="00B4516E" w:rsidP="00B4516E">
      <w:pPr>
        <w:spacing w:line="360" w:lineRule="auto"/>
        <w:ind w:left="567" w:right="-21" w:hanging="567"/>
        <w:jc w:val="both"/>
        <w:rPr>
          <w:rFonts w:ascii="Times New Roman" w:hAnsi="Times New Roman"/>
          <w:lang w:val="en-GB"/>
        </w:rPr>
      </w:pPr>
      <w:r w:rsidRPr="00CC135C">
        <w:rPr>
          <w:rFonts w:ascii="Times New Roman" w:hAnsi="Times New Roman"/>
          <w:noProof/>
          <w:lang w:eastAsia="tr-TR"/>
        </w:rPr>
        <w:drawing>
          <wp:anchor distT="0" distB="0" distL="114300" distR="114300" simplePos="0" relativeHeight="251961344" behindDoc="1" locked="0" layoutInCell="1" allowOverlap="1" wp14:anchorId="1F703F1D" wp14:editId="3031EC51">
            <wp:simplePos x="0" y="0"/>
            <wp:positionH relativeFrom="margin">
              <wp:posOffset>815975</wp:posOffset>
            </wp:positionH>
            <wp:positionV relativeFrom="paragraph">
              <wp:posOffset>54610</wp:posOffset>
            </wp:positionV>
            <wp:extent cx="4474210" cy="4683125"/>
            <wp:effectExtent l="0" t="0" r="2540" b="3175"/>
            <wp:wrapTight wrapText="bothSides">
              <wp:wrapPolygon edited="0">
                <wp:start x="0" y="0"/>
                <wp:lineTo x="0" y="21527"/>
                <wp:lineTo x="21520" y="21527"/>
                <wp:lineTo x="21520" y="0"/>
                <wp:lineTo x="0" y="0"/>
              </wp:wrapPolygon>
            </wp:wrapTight>
            <wp:docPr id="247527260" name="Resim 247527260" descr="siyah beyaz, gökyüzü, bin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27260" name="Resim 247527260" descr="siyah beyaz, gökyüzü, bina, harabeler içeren bir resim&#10;&#10;Açıklama otomatik olarak oluşturuldu"/>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474210" cy="468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23D3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7A5459A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1100254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4DA1C9F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52CDC7AB"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3B71DB24"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19F0BCC3"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43863FA9"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1045006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422E1AC2"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7DC5510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15C351F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012D30E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3DB9C72A"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1B1A6769"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r w:rsidRPr="00CC135C">
        <w:rPr>
          <w:rFonts w:ascii="Times New Roman" w:hAnsi="Times New Roman"/>
          <w:noProof/>
          <w:lang w:eastAsia="tr-TR"/>
        </w:rPr>
        <mc:AlternateContent>
          <mc:Choice Requires="wps">
            <w:drawing>
              <wp:anchor distT="0" distB="0" distL="114300" distR="114300" simplePos="0" relativeHeight="251978752" behindDoc="1" locked="0" layoutInCell="1" allowOverlap="1" wp14:anchorId="06439C6C" wp14:editId="6AD4892A">
                <wp:simplePos x="0" y="0"/>
                <wp:positionH relativeFrom="margin">
                  <wp:posOffset>816495</wp:posOffset>
                </wp:positionH>
                <wp:positionV relativeFrom="paragraph">
                  <wp:posOffset>59055</wp:posOffset>
                </wp:positionV>
                <wp:extent cx="4474210" cy="427990"/>
                <wp:effectExtent l="0" t="0" r="0" b="0"/>
                <wp:wrapTight wrapText="bothSides">
                  <wp:wrapPolygon edited="0">
                    <wp:start x="0" y="0"/>
                    <wp:lineTo x="0" y="20190"/>
                    <wp:lineTo x="21520" y="20190"/>
                    <wp:lineTo x="21520" y="0"/>
                    <wp:lineTo x="0" y="0"/>
                  </wp:wrapPolygon>
                </wp:wrapTight>
                <wp:docPr id="85093039" name="Casella di tes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4210" cy="427990"/>
                        </a:xfrm>
                        <a:prstGeom prst="rect">
                          <a:avLst/>
                        </a:prstGeom>
                        <a:solidFill>
                          <a:prstClr val="white"/>
                        </a:solidFill>
                        <a:ln>
                          <a:noFill/>
                        </a:ln>
                      </wps:spPr>
                      <wps:txbx>
                        <w:txbxContent>
                          <w:p w14:paraId="130CD1BD" w14:textId="77777777" w:rsidR="00B4516E" w:rsidRDefault="00B4516E" w:rsidP="00B4516E">
                            <w:pPr>
                              <w:pStyle w:val="HTMLncedenBiimlendirilmi"/>
                              <w:shd w:val="clear" w:color="auto" w:fill="F8F9FA"/>
                              <w:spacing w:line="540" w:lineRule="atLeast"/>
                              <w:rPr>
                                <w:rStyle w:val="y2iqfc"/>
                                <w:rFonts w:ascii="Times New Roman" w:eastAsia="Arial" w:hAnsi="Times New Roman" w:cs="Times New Roman"/>
                                <w:color w:val="202124"/>
                                <w:sz w:val="24"/>
                                <w:szCs w:val="24"/>
                                <w:lang w:val="en"/>
                              </w:rPr>
                            </w:pPr>
                            <w:r>
                              <w:rPr>
                                <w:rFonts w:ascii="SemiramisUnicode" w:hAnsi="SemiramisUnicode" w:cs="SemiramisUnicode"/>
                                <w:sz w:val="24"/>
                                <w:szCs w:val="24"/>
                                <w:lang w:val="en-US"/>
                              </w:rPr>
                              <w:t xml:space="preserve">       </w:t>
                            </w:r>
                            <w:r w:rsidRPr="00D31EDC">
                              <w:rPr>
                                <w:rFonts w:ascii="Times New Roman" w:hAnsi="Times New Roman" w:cs="Times New Roman"/>
                                <w:sz w:val="24"/>
                                <w:szCs w:val="24"/>
                                <w:lang w:val="en-US"/>
                              </w:rPr>
                              <w:t>Fig. 18</w:t>
                            </w:r>
                            <w:r>
                              <w:rPr>
                                <w:rFonts w:ascii="Times New Roman" w:hAnsi="Times New Roman" w:cs="Times New Roman"/>
                                <w:b/>
                                <w:bCs/>
                                <w:sz w:val="24"/>
                                <w:szCs w:val="24"/>
                                <w:lang w:val="en-US"/>
                              </w:rPr>
                              <w:t xml:space="preserve"> </w:t>
                            </w:r>
                            <w:r w:rsidRPr="00D31EDC">
                              <w:rPr>
                                <w:rStyle w:val="y2iqfc"/>
                                <w:rFonts w:ascii="Times New Roman" w:eastAsia="Arial" w:hAnsi="Times New Roman" w:cs="Times New Roman"/>
                                <w:color w:val="202124"/>
                                <w:sz w:val="24"/>
                                <w:szCs w:val="24"/>
                                <w:lang w:val="en"/>
                              </w:rPr>
                              <w:t>North wall of the citadel (P.</w:t>
                            </w:r>
                            <w:r>
                              <w:rPr>
                                <w:rStyle w:val="y2iqfc"/>
                                <w:rFonts w:ascii="Times New Roman" w:eastAsia="Arial" w:hAnsi="Times New Roman" w:cs="Times New Roman"/>
                                <w:color w:val="202124"/>
                                <w:sz w:val="24"/>
                                <w:szCs w:val="24"/>
                                <w:lang w:val="en"/>
                              </w:rPr>
                              <w:t xml:space="preserve"> </w:t>
                            </w:r>
                            <w:r w:rsidRPr="00D31EDC">
                              <w:rPr>
                                <w:rStyle w:val="y2iqfc"/>
                                <w:rFonts w:ascii="Times New Roman" w:eastAsia="Arial" w:hAnsi="Times New Roman" w:cs="Times New Roman"/>
                                <w:color w:val="202124"/>
                                <w:sz w:val="24"/>
                                <w:szCs w:val="24"/>
                                <w:lang w:val="en"/>
                              </w:rPr>
                              <w:t>E. Pecorella</w:t>
                            </w:r>
                            <w:r>
                              <w:rPr>
                                <w:rStyle w:val="y2iqfc"/>
                                <w:rFonts w:ascii="Times New Roman" w:eastAsia="Arial" w:hAnsi="Times New Roman" w:cs="Times New Roman"/>
                                <w:color w:val="202124"/>
                                <w:sz w:val="24"/>
                                <w:szCs w:val="24"/>
                                <w:lang w:val="en"/>
                              </w:rPr>
                              <w:t>,</w:t>
                            </w:r>
                            <w:r w:rsidRPr="00D31EDC">
                              <w:rPr>
                                <w:rStyle w:val="y2iqfc"/>
                                <w:rFonts w:ascii="Times New Roman" w:eastAsia="Arial" w:hAnsi="Times New Roman" w:cs="Times New Roman"/>
                                <w:color w:val="202124"/>
                                <w:sz w:val="24"/>
                                <w:szCs w:val="24"/>
                                <w:lang w:val="en"/>
                              </w:rPr>
                              <w:t xml:space="preserve"> 1970).</w:t>
                            </w:r>
                          </w:p>
                          <w:p w14:paraId="4D3CCBBD" w14:textId="77777777" w:rsidR="00CD3D5E" w:rsidRPr="00D31EDC" w:rsidRDefault="00CD3D5E" w:rsidP="00B4516E">
                            <w:pPr>
                              <w:pStyle w:val="HTMLncedenBiimlendirilmi"/>
                              <w:shd w:val="clear" w:color="auto" w:fill="F8F9FA"/>
                              <w:spacing w:line="540" w:lineRule="atLeast"/>
                              <w:rPr>
                                <w:rFonts w:ascii="Times New Roman" w:hAnsi="Times New Roman" w:cs="Times New Roman"/>
                                <w:color w:val="202124"/>
                                <w:sz w:val="42"/>
                                <w:szCs w:val="42"/>
                                <w:lang w:val="en-US"/>
                              </w:rPr>
                            </w:pPr>
                          </w:p>
                          <w:p w14:paraId="6DD70AF6" w14:textId="77777777" w:rsidR="00B4516E" w:rsidRPr="00CC135C" w:rsidRDefault="00B4516E" w:rsidP="00B4516E">
                            <w:pPr>
                              <w:pStyle w:val="Caption1"/>
                              <w:rPr>
                                <w:b/>
                                <w:color w:val="auto"/>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439C6C" id="Casella di testo 19" o:spid="_x0000_s1031" type="#_x0000_t202" style="position:absolute;margin-left:64.3pt;margin-top:4.65pt;width:352.3pt;height:33.7pt;z-index:-25133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" stroked="f">
                <v:textbox inset="0,0,0,0">
                  <w:txbxContent>
                    <w:p w14:paraId="130CD1BD" w14:textId="77777777" w:rsidR="00B4516E" w:rsidRDefault="00B4516E" w:rsidP="00B4516E">
                      <w:pPr>
                        <w:pStyle w:val="HTMLncedenBiimlendirilmi"/>
                        <w:shd w:val="clear" w:color="auto" w:fill="F8F9FA"/>
                        <w:spacing w:line="540" w:lineRule="atLeast"/>
                        <w:rPr>
                          <w:rStyle w:val="y2iqfc"/>
                          <w:rFonts w:ascii="Times New Roman" w:eastAsia="Arial" w:hAnsi="Times New Roman" w:cs="Times New Roman"/>
                          <w:color w:val="202124"/>
                          <w:sz w:val="24"/>
                          <w:szCs w:val="24"/>
                          <w:lang w:val="en"/>
                        </w:rPr>
                      </w:pPr>
                      <w:r>
                        <w:rPr>
                          <w:rFonts w:ascii="SemiramisUnicode" w:hAnsi="SemiramisUnicode" w:cs="SemiramisUnicode"/>
                          <w:sz w:val="24"/>
                          <w:szCs w:val="24"/>
                          <w:lang w:val="en-US"/>
                        </w:rPr>
                        <w:t xml:space="preserve">       </w:t>
                      </w:r>
                      <w:r w:rsidRPr="00D31EDC">
                        <w:rPr>
                          <w:rFonts w:ascii="Times New Roman" w:hAnsi="Times New Roman" w:cs="Times New Roman"/>
                          <w:sz w:val="24"/>
                          <w:szCs w:val="24"/>
                          <w:lang w:val="en-US"/>
                        </w:rPr>
                        <w:t>Fig. 18</w:t>
                      </w:r>
                      <w:r>
                        <w:rPr>
                          <w:rFonts w:ascii="Times New Roman" w:hAnsi="Times New Roman" w:cs="Times New Roman"/>
                          <w:b/>
                          <w:bCs/>
                          <w:sz w:val="24"/>
                          <w:szCs w:val="24"/>
                          <w:lang w:val="en-US"/>
                        </w:rPr>
                        <w:t xml:space="preserve"> </w:t>
                      </w:r>
                      <w:r w:rsidRPr="00D31EDC">
                        <w:rPr>
                          <w:rStyle w:val="y2iqfc"/>
                          <w:rFonts w:ascii="Times New Roman" w:eastAsia="Arial" w:hAnsi="Times New Roman" w:cs="Times New Roman"/>
                          <w:color w:val="202124"/>
                          <w:sz w:val="24"/>
                          <w:szCs w:val="24"/>
                          <w:lang w:val="en"/>
                        </w:rPr>
                        <w:t>North wall of the citadel (P.</w:t>
                      </w:r>
                      <w:r>
                        <w:rPr>
                          <w:rStyle w:val="y2iqfc"/>
                          <w:rFonts w:ascii="Times New Roman" w:eastAsia="Arial" w:hAnsi="Times New Roman" w:cs="Times New Roman"/>
                          <w:color w:val="202124"/>
                          <w:sz w:val="24"/>
                          <w:szCs w:val="24"/>
                          <w:lang w:val="en"/>
                        </w:rPr>
                        <w:t xml:space="preserve"> </w:t>
                      </w:r>
                      <w:r w:rsidRPr="00D31EDC">
                        <w:rPr>
                          <w:rStyle w:val="y2iqfc"/>
                          <w:rFonts w:ascii="Times New Roman" w:eastAsia="Arial" w:hAnsi="Times New Roman" w:cs="Times New Roman"/>
                          <w:color w:val="202124"/>
                          <w:sz w:val="24"/>
                          <w:szCs w:val="24"/>
                          <w:lang w:val="en"/>
                        </w:rPr>
                        <w:t>E. Pecorella</w:t>
                      </w:r>
                      <w:r>
                        <w:rPr>
                          <w:rStyle w:val="y2iqfc"/>
                          <w:rFonts w:ascii="Times New Roman" w:eastAsia="Arial" w:hAnsi="Times New Roman" w:cs="Times New Roman"/>
                          <w:color w:val="202124"/>
                          <w:sz w:val="24"/>
                          <w:szCs w:val="24"/>
                          <w:lang w:val="en"/>
                        </w:rPr>
                        <w:t>,</w:t>
                      </w:r>
                      <w:r w:rsidRPr="00D31EDC">
                        <w:rPr>
                          <w:rStyle w:val="y2iqfc"/>
                          <w:rFonts w:ascii="Times New Roman" w:eastAsia="Arial" w:hAnsi="Times New Roman" w:cs="Times New Roman"/>
                          <w:color w:val="202124"/>
                          <w:sz w:val="24"/>
                          <w:szCs w:val="24"/>
                          <w:lang w:val="en"/>
                        </w:rPr>
                        <w:t xml:space="preserve"> 1970).</w:t>
                      </w:r>
                    </w:p>
                    <w:p w14:paraId="4D3CCBBD" w14:textId="77777777" w:rsidR="00CD3D5E" w:rsidRPr="00D31EDC" w:rsidRDefault="00CD3D5E" w:rsidP="00B4516E">
                      <w:pPr>
                        <w:pStyle w:val="HTMLncedenBiimlendirilmi"/>
                        <w:shd w:val="clear" w:color="auto" w:fill="F8F9FA"/>
                        <w:spacing w:line="540" w:lineRule="atLeast"/>
                        <w:rPr>
                          <w:rFonts w:ascii="Times New Roman" w:hAnsi="Times New Roman" w:cs="Times New Roman"/>
                          <w:color w:val="202124"/>
                          <w:sz w:val="42"/>
                          <w:szCs w:val="42"/>
                          <w:lang w:val="en-US"/>
                        </w:rPr>
                      </w:pPr>
                    </w:p>
                    <w:p w14:paraId="6DD70AF6" w14:textId="77777777" w:rsidR="00B4516E" w:rsidRPr="00CC135C" w:rsidRDefault="00B4516E" w:rsidP="00B4516E">
                      <w:pPr>
                        <w:pStyle w:val="Caption1"/>
                        <w:rPr>
                          <w:b/>
                          <w:color w:val="auto"/>
                          <w:sz w:val="24"/>
                        </w:rPr>
                      </w:pPr>
                    </w:p>
                  </w:txbxContent>
                </v:textbox>
                <w10:wrap type="tight" anchorx="margin"/>
              </v:shape>
            </w:pict>
          </mc:Fallback>
        </mc:AlternateContent>
      </w:r>
    </w:p>
    <w:p w14:paraId="5EFDDB38"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4991D1A6"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6E26C5D7"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44FA4D00"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3F9DDA8F"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30476957"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414400CE"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680A8A0C"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0B66B05D"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7E606229"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46D5077C"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3F384A29"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p>
    <w:p w14:paraId="4BCFD666" w14:textId="758D0CFD"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rPr>
      </w:pPr>
      <w:r w:rsidRPr="006F04E6">
        <w:rPr>
          <w:rFonts w:ascii="Times New Roman" w:hAnsi="Times New Roman"/>
          <w:b/>
          <w:bCs/>
        </w:rPr>
        <w:t xml:space="preserve">4.2.3.1. Texts of </w:t>
      </w:r>
      <w:r w:rsidRPr="006F04E6">
        <w:rPr>
          <w:rFonts w:ascii="Times New Roman" w:hAnsi="Times New Roman"/>
          <w:b/>
          <w:bCs/>
          <w:iCs/>
          <w:lang w:val="en-GB"/>
        </w:rPr>
        <w:t>"</w:t>
      </w:r>
      <w:r w:rsidRPr="006F04E6">
        <w:rPr>
          <w:rFonts w:ascii="Times New Roman" w:hAnsi="Times New Roman"/>
          <w:b/>
          <w:bCs/>
        </w:rPr>
        <w:t>susi</w:t>
      </w:r>
      <w:r w:rsidRPr="006F04E6">
        <w:rPr>
          <w:rFonts w:ascii="Times New Roman" w:hAnsi="Times New Roman"/>
          <w:b/>
          <w:bCs/>
          <w:iCs/>
          <w:lang w:val="en-GB"/>
        </w:rPr>
        <w:t>"</w:t>
      </w:r>
      <w:r w:rsidRPr="006F04E6">
        <w:rPr>
          <w:rFonts w:ascii="Times New Roman" w:hAnsi="Times New Roman"/>
          <w:b/>
          <w:bCs/>
        </w:rPr>
        <w:fldChar w:fldCharType="begin"/>
      </w:r>
      <w:r w:rsidRPr="006F04E6">
        <w:rPr>
          <w:rFonts w:ascii="Courier New" w:hAnsi="Courier New"/>
          <w:b/>
          <w:bCs/>
          <w:lang w:val="en-GB"/>
        </w:rPr>
        <w:instrText xml:space="preserve"> XE "</w:instrText>
      </w:r>
      <w:r w:rsidRPr="006F04E6">
        <w:rPr>
          <w:rFonts w:ascii="Times New Roman" w:hAnsi="Times New Roman"/>
          <w:b/>
          <w:bCs/>
          <w:lang w:val="en-GB"/>
        </w:rPr>
        <w:instrText>susi</w:instrText>
      </w:r>
      <w:r w:rsidRPr="006F04E6">
        <w:rPr>
          <w:rFonts w:ascii="Courier New" w:hAnsi="Courier New"/>
          <w:b/>
          <w:bCs/>
          <w:lang w:val="en-GB"/>
        </w:rPr>
        <w:instrText xml:space="preserve">" </w:instrText>
      </w:r>
      <w:r w:rsidRPr="006F04E6">
        <w:rPr>
          <w:rFonts w:ascii="Times New Roman" w:hAnsi="Times New Roman"/>
          <w:b/>
          <w:bCs/>
        </w:rPr>
        <w:fldChar w:fldCharType="end"/>
      </w:r>
      <w:r w:rsidRPr="006F04E6">
        <w:rPr>
          <w:rFonts w:ascii="Times New Roman" w:hAnsi="Times New Roman"/>
          <w:b/>
          <w:bCs/>
        </w:rPr>
        <w:t xml:space="preserve"> Temple: </w:t>
      </w:r>
      <w:r w:rsidRPr="006F04E6">
        <w:rPr>
          <w:rFonts w:ascii="Times New Roman" w:hAnsi="Times New Roman"/>
          <w:b/>
          <w:bCs/>
          <w:lang w:val="en-GB"/>
        </w:rPr>
        <w:t>CTU I. A 5-2 F = CTU I. A 98a and b</w:t>
      </w:r>
    </w:p>
    <w:p w14:paraId="7F60E5D6"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rPr>
      </w:pPr>
      <w:r w:rsidRPr="006F04E6">
        <w:rPr>
          <w:rFonts w:ascii="Times New Roman" w:hAnsi="Times New Roman"/>
        </w:rPr>
        <w:t xml:space="preserve">The reconstruction of the </w:t>
      </w:r>
      <w:r w:rsidRPr="006F04E6">
        <w:rPr>
          <w:rFonts w:ascii="Times New Roman" w:hAnsi="Times New Roman"/>
          <w:lang w:val="en-GB"/>
        </w:rPr>
        <w:t>"susi"</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"susi"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Temple text</w:t>
      </w:r>
      <w:r w:rsidRPr="006F04E6">
        <w:rPr>
          <w:rFonts w:ascii="Times New Roman" w:eastAsia="Times New Roman" w:hAnsi="Times New Roman" w:cs="Times New Roman"/>
          <w:lang w:val="en-GB" w:eastAsia="it-IT"/>
        </w:rPr>
        <w:t xml:space="preserve"> and inscription</w:t>
      </w:r>
      <w:r w:rsidRPr="006F04E6">
        <w:rPr>
          <w:rFonts w:ascii="Times New Roman" w:hAnsi="Times New Roman"/>
        </w:rPr>
        <w:t xml:space="preserve"> fragments of Minua</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"Minua"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on the Ṭušpa acropolis (Fig. 19a-c). These and other inscribed stones, whole or fragmentary (about 20</w:t>
      </w:r>
      <w:r w:rsidRPr="006F04E6">
        <w:rPr>
          <w:rFonts w:ascii="Times New Roman" w:eastAsia="Times New Roman" w:hAnsi="Times New Roman" w:cs="Times New Roman"/>
          <w:lang w:val="en-GB" w:eastAsia="it-IT"/>
        </w:rPr>
        <w:t>)</w:t>
      </w:r>
      <w:r w:rsidRPr="006F04E6">
        <w:rPr>
          <w:rFonts w:ascii="Times New Roman" w:hAnsi="Times New Roman"/>
        </w:rPr>
        <w:t xml:space="preserve"> are inserted randomly into the north wall of the Van Fortress</w:t>
      </w:r>
      <w:r w:rsidRPr="006F04E6">
        <w:rPr>
          <w:rFonts w:ascii="Times New Roman" w:eastAsia="Times New Roman" w:hAnsi="Times New Roman" w:cs="Times New Roman"/>
          <w:lang w:val="en-GB" w:eastAsia="it-IT"/>
        </w:rPr>
        <w:t> </w:t>
      </w:r>
      <w:r w:rsidRPr="006F04E6">
        <w:rPr>
          <w:rFonts w:ascii="Times New Roman" w:hAnsi="Times New Roman"/>
        </w:rPr>
        <w:t xml:space="preserve">citadel (see plan, </w:t>
      </w:r>
      <w:r w:rsidRPr="006F04E6">
        <w:rPr>
          <w:rFonts w:ascii="Times New Roman" w:hAnsi="Times New Roman"/>
          <w:lang w:val="en-GB"/>
        </w:rPr>
        <w:t>No. 9</w:t>
      </w:r>
      <w:r w:rsidRPr="006F04E6">
        <w:rPr>
          <w:rFonts w:ascii="Times New Roman" w:eastAsia="Times New Roman" w:hAnsi="Times New Roman" w:cs="Times New Roman"/>
          <w:lang w:val="en-GB" w:eastAsia="it-IT"/>
        </w:rPr>
        <w:t>)</w:t>
      </w:r>
      <w:r w:rsidRPr="006F04E6">
        <w:rPr>
          <w:rFonts w:ascii="Times New Roman" w:hAnsi="Times New Roman"/>
          <w:lang w:val="en-GB"/>
        </w:rPr>
        <w:t xml:space="preserve"> </w:t>
      </w:r>
      <w:r w:rsidRPr="006F04E6">
        <w:rPr>
          <w:rFonts w:ascii="Times New Roman" w:hAnsi="Times New Roman"/>
        </w:rPr>
        <w:t>(Salvini, 1973: 280 ff; Salvini, 1980: Table.2; see photos CTU III.115-116).</w:t>
      </w:r>
    </w:p>
    <w:p w14:paraId="435E3A54"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r w:rsidRPr="00CC135C">
        <w:rPr>
          <w:rFonts w:ascii="Times New Roman" w:hAnsi="Times New Roman"/>
          <w:noProof/>
          <w:lang w:eastAsia="tr-TR"/>
        </w:rPr>
        <mc:AlternateContent>
          <mc:Choice Requires="wps">
            <w:drawing>
              <wp:anchor distT="0" distB="0" distL="114300" distR="114300" simplePos="0" relativeHeight="251992064" behindDoc="1" locked="0" layoutInCell="1" allowOverlap="1" wp14:anchorId="769EF75B" wp14:editId="4B845BDD">
                <wp:simplePos x="0" y="0"/>
                <wp:positionH relativeFrom="column">
                  <wp:posOffset>2710180</wp:posOffset>
                </wp:positionH>
                <wp:positionV relativeFrom="paragraph">
                  <wp:posOffset>1720215</wp:posOffset>
                </wp:positionV>
                <wp:extent cx="2760980" cy="313055"/>
                <wp:effectExtent l="0" t="0" r="0" b="0"/>
                <wp:wrapTight wrapText="bothSides">
                  <wp:wrapPolygon edited="0">
                    <wp:start x="0" y="0"/>
                    <wp:lineTo x="0" y="19716"/>
                    <wp:lineTo x="21461" y="19716"/>
                    <wp:lineTo x="21461" y="0"/>
                    <wp:lineTo x="0" y="0"/>
                  </wp:wrapPolygon>
                </wp:wrapTight>
                <wp:docPr id="1267630550" name="Casella di tes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0980" cy="313055"/>
                        </a:xfrm>
                        <a:prstGeom prst="rect">
                          <a:avLst/>
                        </a:prstGeom>
                        <a:solidFill>
                          <a:prstClr val="white"/>
                        </a:solidFill>
                        <a:ln>
                          <a:noFill/>
                        </a:ln>
                      </wps:spPr>
                      <wps:txbx>
                        <w:txbxContent>
                          <w:p w14:paraId="6DCC6E42" w14:textId="77777777" w:rsidR="00B4516E" w:rsidRPr="00CC135C" w:rsidRDefault="00B4516E" w:rsidP="00B4516E">
                            <w:pPr>
                              <w:pStyle w:val="Caption1"/>
                              <w:rPr>
                                <w:rFonts w:ascii="SemiramisUnicode" w:hAnsi="SemiramisUnicode"/>
                                <w:b/>
                                <w:i w:val="0"/>
                                <w:color w:val="auto"/>
                                <w:sz w:val="24"/>
                              </w:rPr>
                            </w:pPr>
                            <w:r w:rsidRPr="00CC135C">
                              <w:rPr>
                                <w:rFonts w:ascii="SemiramisUnicode" w:hAnsi="SemiramisUnicode"/>
                                <w:b/>
                                <w:i w:val="0"/>
                                <w:color w:val="auto"/>
                                <w:sz w:val="24"/>
                              </w:rPr>
                              <w:t>Fig. 19b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69EF75B" id="Casella di testo 18" o:spid="_x0000_s1032" type="#_x0000_t202" style="position:absolute;margin-left:213.4pt;margin-top:135.45pt;width:217.4pt;height:24.65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" stroked="f">
                <v:textbox style="mso-fit-shape-to-text:t" inset="0,0,0,0">
                  <w:txbxContent>
                    <w:p w14:paraId="6DCC6E42" w14:textId="77777777" w:rsidR="00B4516E" w:rsidRPr="00CC135C" w:rsidRDefault="00B4516E" w:rsidP="00B4516E">
                      <w:pPr>
                        <w:pStyle w:val="Caption1"/>
                        <w:rPr>
                          <w:rFonts w:ascii="SemiramisUnicode" w:hAnsi="SemiramisUnicode"/>
                          <w:b/>
                          <w:i w:val="0"/>
                          <w:color w:val="auto"/>
                          <w:sz w:val="24"/>
                        </w:rPr>
                      </w:pPr>
                      <w:r w:rsidRPr="00CC135C">
                        <w:rPr>
                          <w:rFonts w:ascii="SemiramisUnicode" w:hAnsi="SemiramisUnicode"/>
                          <w:b/>
                          <w:i w:val="0"/>
                          <w:color w:val="auto"/>
                          <w:sz w:val="24"/>
                        </w:rPr>
                        <w:t>Fig. 19b</w:t>
                      </w:r>
                    </w:p>
                  </w:txbxContent>
                </v:textbox>
                <w10:wrap type="tight"/>
              </v:shape>
            </w:pict>
          </mc:Fallback>
        </mc:AlternateContent>
      </w:r>
      <w:r w:rsidRPr="00CC135C">
        <w:rPr>
          <w:rFonts w:ascii="Times New Roman" w:hAnsi="Times New Roman"/>
          <w:noProof/>
          <w:lang w:eastAsia="tr-TR"/>
        </w:rPr>
        <w:drawing>
          <wp:anchor distT="0" distB="0" distL="114300" distR="114300" simplePos="0" relativeHeight="251953152" behindDoc="1" locked="0" layoutInCell="1" allowOverlap="1" wp14:anchorId="2FC5063A" wp14:editId="348CA9DA">
            <wp:simplePos x="0" y="0"/>
            <wp:positionH relativeFrom="margin">
              <wp:posOffset>2710614</wp:posOffset>
            </wp:positionH>
            <wp:positionV relativeFrom="paragraph">
              <wp:posOffset>570965</wp:posOffset>
            </wp:positionV>
            <wp:extent cx="2760980" cy="1092200"/>
            <wp:effectExtent l="0" t="0" r="1270" b="0"/>
            <wp:wrapTight wrapText="bothSides">
              <wp:wrapPolygon edited="0">
                <wp:start x="0" y="0"/>
                <wp:lineTo x="0" y="21098"/>
                <wp:lineTo x="21461" y="21098"/>
                <wp:lineTo x="21461" y="0"/>
                <wp:lineTo x="0" y="0"/>
              </wp:wrapPolygon>
            </wp:wrapTight>
            <wp:docPr id="869123047" name="Resim 869123047" descr="C:\Users\Salvini\Pictures\A 5-9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lvini\Pictures\A 5-98b.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760980" cy="109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35C">
        <w:rPr>
          <w:rFonts w:ascii="Times New Roman" w:hAnsi="Times New Roman"/>
          <w:noProof/>
          <w:lang w:eastAsia="tr-TR"/>
        </w:rPr>
        <mc:AlternateContent>
          <mc:Choice Requires="wps">
            <w:drawing>
              <wp:anchor distT="0" distB="0" distL="114300" distR="114300" simplePos="0" relativeHeight="251991040" behindDoc="1" locked="0" layoutInCell="1" allowOverlap="1" wp14:anchorId="135CCE50" wp14:editId="6A639CCA">
                <wp:simplePos x="0" y="0"/>
                <wp:positionH relativeFrom="column">
                  <wp:posOffset>0</wp:posOffset>
                </wp:positionH>
                <wp:positionV relativeFrom="paragraph">
                  <wp:posOffset>1998345</wp:posOffset>
                </wp:positionV>
                <wp:extent cx="2543175" cy="313055"/>
                <wp:effectExtent l="0" t="0" r="0" b="0"/>
                <wp:wrapTight wrapText="bothSides">
                  <wp:wrapPolygon edited="0">
                    <wp:start x="0" y="0"/>
                    <wp:lineTo x="0" y="19716"/>
                    <wp:lineTo x="21519" y="19716"/>
                    <wp:lineTo x="21519" y="0"/>
                    <wp:lineTo x="0" y="0"/>
                  </wp:wrapPolygon>
                </wp:wrapTight>
                <wp:docPr id="1283750104" name="Casella di tes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3175" cy="313055"/>
                        </a:xfrm>
                        <a:prstGeom prst="rect">
                          <a:avLst/>
                        </a:prstGeom>
                        <a:solidFill>
                          <a:prstClr val="white"/>
                        </a:solidFill>
                        <a:ln>
                          <a:noFill/>
                        </a:ln>
                      </wps:spPr>
                      <wps:txbx>
                        <w:txbxContent>
                          <w:p w14:paraId="56AED396" w14:textId="77777777" w:rsidR="00B4516E" w:rsidRPr="00CC135C" w:rsidRDefault="00B4516E" w:rsidP="00B4516E">
                            <w:pPr>
                              <w:pStyle w:val="Caption1"/>
                              <w:rPr>
                                <w:rFonts w:ascii="SemiramisUnicode" w:hAnsi="SemiramisUnicode"/>
                                <w:b/>
                                <w:i w:val="0"/>
                                <w:color w:val="auto"/>
                                <w:sz w:val="24"/>
                              </w:rPr>
                            </w:pPr>
                            <w:r w:rsidRPr="00CC135C">
                              <w:rPr>
                                <w:rFonts w:ascii="SemiramisUnicode" w:hAnsi="SemiramisUnicode"/>
                                <w:b/>
                                <w:i w:val="0"/>
                                <w:color w:val="auto"/>
                                <w:sz w:val="24"/>
                              </w:rPr>
                              <w:t>Fig. 19a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35CCE50" id="Casella di testo 17" o:spid="_x0000_s1033" type="#_x0000_t202" style="position:absolute;margin-left:0;margin-top:157.35pt;width:200.25pt;height:24.65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" stroked="f">
                <v:textbox style="mso-fit-shape-to-text:t" inset="0,0,0,0">
                  <w:txbxContent>
                    <w:p w14:paraId="56AED396" w14:textId="77777777" w:rsidR="00B4516E" w:rsidRPr="00CC135C" w:rsidRDefault="00B4516E" w:rsidP="00B4516E">
                      <w:pPr>
                        <w:pStyle w:val="Caption1"/>
                        <w:rPr>
                          <w:rFonts w:ascii="SemiramisUnicode" w:hAnsi="SemiramisUnicode"/>
                          <w:b/>
                          <w:i w:val="0"/>
                          <w:color w:val="auto"/>
                          <w:sz w:val="24"/>
                        </w:rPr>
                      </w:pPr>
                      <w:r w:rsidRPr="00CC135C">
                        <w:rPr>
                          <w:rFonts w:ascii="SemiramisUnicode" w:hAnsi="SemiramisUnicode"/>
                          <w:b/>
                          <w:i w:val="0"/>
                          <w:color w:val="auto"/>
                          <w:sz w:val="24"/>
                        </w:rPr>
                        <w:t>Fig. 19a</w:t>
                      </w:r>
                    </w:p>
                  </w:txbxContent>
                </v:textbox>
                <w10:wrap type="tight"/>
              </v:shape>
            </w:pict>
          </mc:Fallback>
        </mc:AlternateContent>
      </w:r>
      <w:r w:rsidRPr="00CC135C">
        <w:rPr>
          <w:rFonts w:ascii="Times New Roman" w:hAnsi="Times New Roman"/>
          <w:noProof/>
          <w:color w:val="202124"/>
          <w:lang w:eastAsia="tr-TR"/>
        </w:rPr>
        <w:drawing>
          <wp:anchor distT="0" distB="0" distL="114300" distR="114300" simplePos="0" relativeHeight="251955200" behindDoc="1" locked="0" layoutInCell="1" allowOverlap="1" wp14:anchorId="0A82E766" wp14:editId="5AF3EAC0">
            <wp:simplePos x="0" y="0"/>
            <wp:positionH relativeFrom="column">
              <wp:posOffset>0</wp:posOffset>
            </wp:positionH>
            <wp:positionV relativeFrom="paragraph">
              <wp:posOffset>342265</wp:posOffset>
            </wp:positionV>
            <wp:extent cx="2543175" cy="1598930"/>
            <wp:effectExtent l="0" t="0" r="9525" b="1270"/>
            <wp:wrapTight wrapText="bothSides">
              <wp:wrapPolygon edited="0">
                <wp:start x="0" y="0"/>
                <wp:lineTo x="0" y="21360"/>
                <wp:lineTo x="21519" y="21360"/>
                <wp:lineTo x="21519" y="0"/>
                <wp:lineTo x="0" y="0"/>
              </wp:wrapPolygon>
            </wp:wrapTight>
            <wp:docPr id="319046318" name="Resim 319046318" descr="F:\CORPUS URARTEO 2020  III 5\Corpus Urarteo Colori\A5 = Minua\A 5-2F\BN A 5-2F(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ORPUS URARTEO 2020  III 5\Corpus Urarteo Colori\A5 = Minua\A 5-2F\BN A 5-2F(a).tif"/>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543175"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F07E7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GB"/>
        </w:rPr>
      </w:pPr>
    </w:p>
    <w:p w14:paraId="75303574" w14:textId="77777777" w:rsidR="00B4516E" w:rsidRPr="00CC135C" w:rsidRDefault="00B4516E" w:rsidP="00B4516E">
      <w:pPr>
        <w:jc w:val="center"/>
        <w:rPr>
          <w:rFonts w:ascii="Times New Roman" w:hAnsi="Times New Roman"/>
          <w:lang w:val="en-GB"/>
        </w:rPr>
      </w:pPr>
    </w:p>
    <w:p w14:paraId="557F9302" w14:textId="77777777" w:rsidR="00B4516E" w:rsidRPr="00CC135C" w:rsidRDefault="00B4516E" w:rsidP="00B4516E">
      <w:pPr>
        <w:keepNext/>
        <w:jc w:val="center"/>
        <w:rPr>
          <w:rFonts w:ascii="Times New Roman" w:hAnsi="Times New Roman"/>
          <w:lang w:val="en-GB"/>
        </w:rPr>
      </w:pPr>
      <w:r w:rsidRPr="00CC135C">
        <w:rPr>
          <w:rFonts w:ascii="Times New Roman" w:hAnsi="Times New Roman"/>
          <w:noProof/>
          <w:lang w:eastAsia="tr-TR"/>
        </w:rPr>
        <w:drawing>
          <wp:inline distT="0" distB="0" distL="0" distR="0" wp14:anchorId="5A81B884" wp14:editId="3D9087F4">
            <wp:extent cx="5525360" cy="1459967"/>
            <wp:effectExtent l="0" t="0" r="0" b="6985"/>
            <wp:docPr id="1729673925" name="Resim 1729673925" descr="C:\Users\Salvini\Pictures\A 98 a e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lvini\Pictures\A 98 a e b.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528323" cy="1460750"/>
                    </a:xfrm>
                    <a:prstGeom prst="rect">
                      <a:avLst/>
                    </a:prstGeom>
                    <a:noFill/>
                    <a:ln>
                      <a:noFill/>
                    </a:ln>
                  </pic:spPr>
                </pic:pic>
              </a:graphicData>
            </a:graphic>
          </wp:inline>
        </w:drawing>
      </w:r>
    </w:p>
    <w:p w14:paraId="1A3794E9" w14:textId="77777777" w:rsidR="00B4516E" w:rsidRPr="00CC135C" w:rsidRDefault="00B4516E" w:rsidP="00B4516E">
      <w:pPr>
        <w:spacing w:after="200"/>
        <w:jc w:val="center"/>
        <w:rPr>
          <w:rFonts w:ascii="Times New Roman" w:hAnsi="Times New Roman"/>
          <w:i/>
          <w:iCs/>
          <w:lang w:val="en-GB"/>
        </w:rPr>
      </w:pPr>
      <w:r w:rsidRPr="00CC135C">
        <w:rPr>
          <w:rFonts w:ascii="Times New Roman" w:hAnsi="Times New Roman"/>
          <w:lang w:val="en-GB"/>
        </w:rPr>
        <w:t>Fig. 19c</w:t>
      </w:r>
    </w:p>
    <w:p w14:paraId="615878AC"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GB"/>
        </w:rPr>
      </w:pPr>
    </w:p>
    <w:p w14:paraId="1A1A4A02"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bookmarkStart w:id="52" w:name="_Hlk124867419"/>
      <w:r w:rsidRPr="006F04E6">
        <w:rPr>
          <w:rFonts w:ascii="Times New Roman" w:hAnsi="Times New Roman"/>
          <w:b/>
          <w:color w:val="202124"/>
          <w:lang w:val="en-GB"/>
        </w:rPr>
        <w:t>CTU I. A 5-2F</w:t>
      </w:r>
      <w:r w:rsidRPr="006F04E6">
        <w:rPr>
          <w:rFonts w:ascii="Times New Roman" w:hAnsi="Times New Roman"/>
          <w:color w:val="202124"/>
          <w:lang w:val="en-GB"/>
        </w:rPr>
        <w:t>: Two inscribed stones (a, b)</w:t>
      </w:r>
      <w:r w:rsidRPr="006F04E6">
        <w:rPr>
          <w:rFonts w:ascii="Times New Roman" w:eastAsia="Times New Roman" w:hAnsi="Times New Roman" w:cs="Times New Roman"/>
          <w:color w:val="202124"/>
          <w:lang w:val="en-GB" w:eastAsia="it-IT"/>
        </w:rPr>
        <w:t xml:space="preserve"> were</w:t>
      </w:r>
      <w:r w:rsidRPr="006F04E6">
        <w:rPr>
          <w:rFonts w:ascii="Times New Roman" w:hAnsi="Times New Roman"/>
          <w:color w:val="202124"/>
          <w:lang w:val="en-GB"/>
        </w:rPr>
        <w:t xml:space="preserve"> reused in the north wall of the citadel of Van Fortress. </w:t>
      </w:r>
      <w:r w:rsidRPr="006F04E6">
        <w:rPr>
          <w:rFonts w:ascii="Times New Roman" w:hAnsi="Times New Roman"/>
        </w:rPr>
        <w:t>They are part of the second layer of stones starting from the bottom, made up of smaller limestones than the lowest layer, made up of large stones that also correspond to those that crown the south side. I attribute them to the oldest citadel built at the time of Sarduri</w:t>
      </w:r>
      <w:r w:rsidRPr="006F04E6">
        <w:rPr>
          <w:rStyle w:val="y2iqfc"/>
          <w:rFonts w:asciiTheme="majorBidi" w:eastAsia="Arial" w:hAnsiTheme="majorBidi" w:cstheme="majorBidi"/>
          <w:color w:val="202124"/>
          <w:lang w:val="en-GB"/>
        </w:rPr>
        <w:t xml:space="preserve"> I</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"Sarduri 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p>
    <w:bookmarkEnd w:id="52"/>
    <w:p w14:paraId="7D95FB4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Stones a and b are identified as constituting the duplicate CTU I. A 5-2F, the others are entered in the corpus as CTU I</w:t>
      </w:r>
      <w:r w:rsidRPr="006F04E6">
        <w:rPr>
          <w:rFonts w:ascii="Times New Roman" w:eastAsia="Times New Roman" w:hAnsi="Times New Roman" w:cs="Times New Roman"/>
          <w:color w:val="202124"/>
          <w:lang w:val="en-GB" w:eastAsia="it-IT"/>
        </w:rPr>
        <w:t xml:space="preserve"> a</w:t>
      </w:r>
      <w:r w:rsidRPr="006F04E6">
        <w:rPr>
          <w:rFonts w:ascii="Times New Roman" w:hAnsi="Times New Roman"/>
        </w:rPr>
        <w:t xml:space="preserve"> 5-98c-s (see below).</w:t>
      </w:r>
    </w:p>
    <w:p w14:paraId="7DD6AB3C"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It is evident that this extremely fragmentary duplicate corresponds roughly to the central part of text A, from the last third of line 2 up to the second third of line 4. It can be deduced that the structure of this duplicate was made up of three series of stones</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of which the residual </w:t>
      </w:r>
      <w:r w:rsidRPr="006F04E6">
        <w:rPr>
          <w:rFonts w:ascii="Times New Roman" w:eastAsia="Times New Roman" w:hAnsi="Times New Roman" w:cs="Times New Roman"/>
          <w:color w:val="202124"/>
          <w:lang w:val="en-GB" w:eastAsia="it-IT"/>
        </w:rPr>
        <w:t>stones'  a'</w:t>
      </w:r>
      <w:r w:rsidRPr="006F04E6">
        <w:rPr>
          <w:rFonts w:ascii="Times New Roman" w:hAnsi="Times New Roman"/>
          <w:color w:val="202124"/>
          <w:lang w:val="en-GB"/>
        </w:rPr>
        <w:t xml:space="preserve"> and </w:t>
      </w:r>
      <w:r w:rsidRPr="006F04E6">
        <w:rPr>
          <w:rFonts w:ascii="Times New Roman" w:eastAsia="Times New Roman" w:hAnsi="Times New Roman" w:cs="Times New Roman"/>
          <w:color w:val="202124"/>
          <w:lang w:val="en-GB" w:eastAsia="it-IT"/>
        </w:rPr>
        <w:t>'b'</w:t>
      </w:r>
      <w:r w:rsidRPr="006F04E6">
        <w:rPr>
          <w:rFonts w:ascii="Times New Roman" w:hAnsi="Times New Roman"/>
          <w:color w:val="202124"/>
          <w:lang w:val="en-GB"/>
        </w:rPr>
        <w:t xml:space="preserve"> identify the central series (Salvini, 1980: 146). </w:t>
      </w:r>
      <w:r w:rsidRPr="006F04E6">
        <w:rPr>
          <w:rFonts w:ascii="Times New Roman" w:eastAsia="Times New Roman" w:hAnsi="Times New Roman" w:cs="Times New Roman"/>
          <w:color w:val="202124"/>
          <w:lang w:val="en-GB" w:eastAsia="it-IT"/>
        </w:rPr>
        <w:t>However,</w:t>
      </w:r>
      <w:r w:rsidRPr="006F04E6">
        <w:rPr>
          <w:rFonts w:ascii="Times New Roman" w:hAnsi="Times New Roman"/>
          <w:color w:val="202124"/>
          <w:lang w:val="en-GB"/>
        </w:rPr>
        <w:t xml:space="preserve"> see also the hypothesis expressed below under CTU I. A 5-98.</w:t>
      </w:r>
    </w:p>
    <w:p w14:paraId="2F741D26"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eastAsia="Times New Roman" w:hAnsi="Times New Roman" w:cs="Courier New"/>
          <w:color w:val="202124"/>
          <w:lang w:val="en-GB" w:eastAsia="it-IT"/>
        </w:rPr>
        <w:t xml:space="preserve">In the reconstructed text of the </w:t>
      </w:r>
      <w:r w:rsidRPr="006F04E6">
        <w:rPr>
          <w:rFonts w:ascii="Times New Roman" w:hAnsi="Times New Roman" w:cs="Times New Roman"/>
          <w:color w:val="202124"/>
          <w:lang w:val="en-GB"/>
        </w:rPr>
        <w:t>Citadel</w:t>
      </w:r>
      <w:r w:rsidRPr="006F04E6">
        <w:rPr>
          <w:rFonts w:ascii="Times New Roman" w:eastAsia="Times New Roman" w:hAnsi="Times New Roman" w:cs="Courier New"/>
          <w:color w:val="202124"/>
          <w:lang w:val="en-GB" w:eastAsia="it-IT"/>
        </w:rPr>
        <w:t xml:space="preserve"> of Van, logographic scripts are used instead of syllabics: MAN for </w:t>
      </w:r>
      <w:r w:rsidRPr="006F04E6">
        <w:rPr>
          <w:rFonts w:asciiTheme="majorBidi" w:hAnsiTheme="majorBidi" w:cstheme="majorBidi"/>
          <w:color w:val="202124"/>
          <w:lang w:val="en-GB"/>
        </w:rPr>
        <w:t>ereli,</w:t>
      </w:r>
      <w:r w:rsidRPr="006F04E6">
        <w:rPr>
          <w:rFonts w:ascii="Times New Roman" w:eastAsia="Times New Roman" w:hAnsi="Times New Roman" w:cs="Courier New"/>
          <w:color w:val="202124"/>
          <w:lang w:val="en-GB" w:eastAsia="it-IT"/>
        </w:rPr>
        <w:t xml:space="preserve"> URU for </w:t>
      </w:r>
      <w:r w:rsidRPr="006F04E6">
        <w:rPr>
          <w:rFonts w:asciiTheme="majorBidi" w:hAnsiTheme="majorBidi" w:cstheme="majorBidi"/>
          <w:color w:val="202124"/>
          <w:lang w:val="en-GB"/>
        </w:rPr>
        <w:t>patari</w:t>
      </w:r>
      <w:r w:rsidRPr="006F04E6">
        <w:rPr>
          <w:rFonts w:ascii="Times New Roman" w:eastAsia="Times New Roman" w:hAnsi="Times New Roman" w:cs="Courier New"/>
          <w:color w:val="202124"/>
          <w:lang w:val="en-GB" w:eastAsia="it-IT"/>
        </w:rPr>
        <w:t xml:space="preserve">. </w:t>
      </w:r>
      <w:r w:rsidRPr="006F04E6">
        <w:rPr>
          <w:rFonts w:ascii="Times New Roman" w:hAnsi="Times New Roman" w:cs="Courier New"/>
          <w:lang w:val="it-IT"/>
        </w:rPr>
        <w:t xml:space="preserve">The common parts </w:t>
      </w:r>
      <w:r w:rsidRPr="006F04E6">
        <w:rPr>
          <w:rStyle w:val="y2iqfc"/>
          <w:rFonts w:asciiTheme="majorBidi" w:eastAsia="Arial" w:hAnsiTheme="majorBidi" w:cstheme="majorBidi"/>
          <w:color w:val="202124"/>
          <w:lang w:val="en-GB"/>
        </w:rPr>
        <w:t>to</w:t>
      </w:r>
      <w:r w:rsidRPr="006F04E6">
        <w:rPr>
          <w:rFonts w:ascii="Times New Roman" w:hAnsi="Times New Roman" w:cs="Courier New"/>
          <w:lang w:val="it-IT"/>
        </w:rPr>
        <w:t xml:space="preserve"> the main text are in bold.</w:t>
      </w:r>
    </w:p>
    <w:p w14:paraId="148F1A7E"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 xml:space="preserve">ḫal-di-ni-ni uš-ú?-ma-a-ši-ni </w:t>
      </w:r>
      <w:r w:rsidRPr="006F04E6">
        <w:rPr>
          <w:rFonts w:ascii="Times New Roman" w:hAnsi="Times New Roman"/>
          <w:vertAlign w:val="superscript"/>
          <w:lang w:val="en-GB"/>
        </w:rPr>
        <w:t>m</w:t>
      </w:r>
      <w:r w:rsidRPr="006F04E6">
        <w:rPr>
          <w:rFonts w:ascii="Times New Roman" w:hAnsi="Times New Roman"/>
          <w:lang w:val="en-GB"/>
        </w:rPr>
        <w:t>mì-nu-[</w:t>
      </w:r>
      <w:r w:rsidRPr="006F04E6">
        <w:rPr>
          <w:rFonts w:ascii="Times New Roman" w:hAnsi="Times New Roman"/>
          <w:u w:val="single"/>
          <w:lang w:val="en-GB"/>
        </w:rPr>
        <w:t xml:space="preserve">ú-a-še </w:t>
      </w:r>
      <w:r w:rsidRPr="006F04E6">
        <w:rPr>
          <w:rFonts w:ascii="Times New Roman" w:hAnsi="Times New Roman"/>
          <w:u w:val="single"/>
          <w:vertAlign w:val="superscript"/>
          <w:lang w:val="en-GB"/>
        </w:rPr>
        <w:t>m</w:t>
      </w:r>
      <w:r w:rsidRPr="006F04E6">
        <w:rPr>
          <w:rFonts w:ascii="Times New Roman" w:hAnsi="Times New Roman"/>
          <w:lang w:val="en-GB"/>
        </w:rPr>
        <w:t xml:space="preserve">]iš-pu-ú-i-ni-ḫi-ni-še a-li i-ú </w:t>
      </w:r>
      <w:r w:rsidRPr="006F04E6">
        <w:rPr>
          <w:rFonts w:ascii="Times New Roman" w:hAnsi="Times New Roman"/>
          <w:vertAlign w:val="superscript"/>
          <w:lang w:val="en-GB"/>
        </w:rPr>
        <w:t>D</w:t>
      </w:r>
      <w:r w:rsidRPr="006F04E6">
        <w:rPr>
          <w:rFonts w:ascii="Times New Roman" w:hAnsi="Times New Roman"/>
          <w:lang w:val="en-GB"/>
        </w:rPr>
        <w:t>ḫal-di-i-na-a-ú-e KÁ</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KÁ</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i-e-i-me ʾa-a-ḫu-ú-bi i-ú </w:t>
      </w:r>
      <w:r w:rsidRPr="006F04E6">
        <w:rPr>
          <w:rFonts w:ascii="Times New Roman" w:hAnsi="Times New Roman"/>
          <w:vertAlign w:val="superscript"/>
          <w:lang w:val="en-GB"/>
        </w:rPr>
        <w:t>D</w:t>
      </w:r>
      <w:r w:rsidRPr="006F04E6">
        <w:rPr>
          <w:rFonts w:ascii="Times New Roman" w:hAnsi="Times New Roman"/>
          <w:lang w:val="en-GB"/>
        </w:rPr>
        <w:t xml:space="preserve">ḫal-di-i-ni-li KÁ ši-du-bi su-lu-uš-ti-ia-di </w:t>
      </w:r>
      <w:r w:rsidRPr="006F04E6">
        <w:rPr>
          <w:rFonts w:ascii="Times New Roman" w:hAnsi="Times New Roman"/>
          <w:vertAlign w:val="superscript"/>
          <w:lang w:val="en-GB"/>
        </w:rPr>
        <w:t>D</w:t>
      </w:r>
      <w:r w:rsidRPr="006F04E6">
        <w:rPr>
          <w:rFonts w:ascii="Times New Roman" w:hAnsi="Times New Roman"/>
          <w:lang w:val="en-GB"/>
        </w:rPr>
        <w:t xml:space="preserve">ḫal-di-i-e ḫu-ú-ti-i-a-di </w:t>
      </w:r>
      <w:r w:rsidRPr="006F04E6">
        <w:rPr>
          <w:rFonts w:ascii="Times New Roman" w:hAnsi="Times New Roman"/>
          <w:vertAlign w:val="superscript"/>
          <w:lang w:val="en-GB"/>
        </w:rPr>
        <w:t>D</w:t>
      </w:r>
      <w:r w:rsidRPr="006F04E6">
        <w:rPr>
          <w:rFonts w:ascii="Times New Roman" w:hAnsi="Times New Roman"/>
          <w:lang w:val="en-GB"/>
        </w:rPr>
        <w:t>ḫal-di-e-di nu-ú-[</w:t>
      </w:r>
      <w:r w:rsidRPr="006F04E6">
        <w:rPr>
          <w:rFonts w:ascii="Times New Roman" w:hAnsi="Times New Roman"/>
          <w:u w:val="single"/>
          <w:lang w:val="en-GB"/>
        </w:rPr>
        <w:t xml:space="preserve">na-a-bi </w:t>
      </w:r>
      <w:r w:rsidRPr="006F04E6">
        <w:rPr>
          <w:rFonts w:ascii="Times New Roman" w:hAnsi="Times New Roman"/>
          <w:u w:val="single"/>
          <w:vertAlign w:val="superscript"/>
          <w:lang w:val="en-GB"/>
        </w:rPr>
        <w:t>m</w:t>
      </w:r>
      <w:r w:rsidRPr="006F04E6">
        <w:rPr>
          <w:rFonts w:ascii="Times New Roman" w:hAnsi="Times New Roman"/>
          <w:u w:val="single"/>
          <w:lang w:val="en-GB"/>
        </w:rPr>
        <w:t xml:space="preserve">er-e-ku-ú-a-ḫi </w:t>
      </w:r>
      <w:r w:rsidRPr="006F04E6">
        <w:rPr>
          <w:rFonts w:ascii="Times New Roman" w:hAnsi="Times New Roman"/>
          <w:u w:val="single"/>
          <w:vertAlign w:val="superscript"/>
          <w:lang w:val="en-GB"/>
        </w:rPr>
        <w:t>KUR</w:t>
      </w:r>
      <w:r w:rsidRPr="006F04E6">
        <w:rPr>
          <w:rFonts w:ascii="Times New Roman" w:hAnsi="Times New Roman"/>
          <w:u w:val="single"/>
          <w:lang w:val="en-GB"/>
        </w:rPr>
        <w:t>e-ba</w:t>
      </w:r>
      <w:r w:rsidRPr="006F04E6">
        <w:rPr>
          <w:rFonts w:ascii="Times New Roman" w:hAnsi="Times New Roman"/>
          <w:lang w:val="en-GB"/>
        </w:rPr>
        <w:t>-]a-ni uš-ú-ta-a-di-e</w:t>
      </w:r>
    </w:p>
    <w:p w14:paraId="50F80586" w14:textId="77777777" w:rsidR="00B4516E" w:rsidRPr="006F04E6" w:rsidRDefault="00B4516E" w:rsidP="00B4516E">
      <w:pPr>
        <w:ind w:left="567" w:right="-21" w:hanging="567"/>
        <w:jc w:val="both"/>
        <w:rPr>
          <w:rFonts w:ascii="Times New Roman" w:hAnsi="Times New Roman"/>
          <w:lang w:val="en-GB"/>
        </w:rPr>
      </w:pPr>
    </w:p>
    <w:p w14:paraId="55F8D6E5"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er-e-ku-ú-a-ḫi-i-ni-e-di-i ḫa-a-[</w:t>
      </w:r>
      <w:r w:rsidRPr="006F04E6">
        <w:rPr>
          <w:rFonts w:ascii="Times New Roman" w:hAnsi="Times New Roman"/>
          <w:u w:val="single"/>
          <w:lang w:val="en-GB"/>
        </w:rPr>
        <w:t xml:space="preserve">ú-bi </w:t>
      </w:r>
      <w:r w:rsidRPr="006F04E6">
        <w:rPr>
          <w:rFonts w:ascii="Times New Roman" w:hAnsi="Times New Roman"/>
          <w:u w:val="single"/>
          <w:vertAlign w:val="superscript"/>
          <w:lang w:val="en-GB"/>
        </w:rPr>
        <w:t>URU</w:t>
      </w:r>
      <w:r w:rsidRPr="006F04E6">
        <w:rPr>
          <w:rFonts w:ascii="Times New Roman" w:hAnsi="Times New Roman"/>
          <w:u w:val="single"/>
          <w:lang w:val="en-GB"/>
        </w:rPr>
        <w:t>lu</w:t>
      </w:r>
      <w:r w:rsidRPr="006F04E6">
        <w:rPr>
          <w:rFonts w:ascii="Times New Roman" w:hAnsi="Times New Roman"/>
          <w:lang w:val="en-GB"/>
        </w:rPr>
        <w:t xml:space="preserve">]-ú-ḫi-i-ú-ni-ni </w:t>
      </w:r>
      <w:r w:rsidRPr="006F04E6">
        <w:rPr>
          <w:rFonts w:ascii="Times New Roman" w:hAnsi="Times New Roman"/>
          <w:vertAlign w:val="superscript"/>
          <w:lang w:val="en-GB"/>
        </w:rPr>
        <w:t>m</w:t>
      </w:r>
      <w:r w:rsidRPr="006F04E6">
        <w:rPr>
          <w:rFonts w:ascii="Times New Roman" w:hAnsi="Times New Roman"/>
          <w:lang w:val="en-GB"/>
        </w:rPr>
        <w:t xml:space="preserve">er-e-ku-a-ḫi-i-ni-e-i </w:t>
      </w:r>
      <w:r w:rsidRPr="006F04E6">
        <w:rPr>
          <w:rFonts w:ascii="Times New Roman" w:hAnsi="Times New Roman"/>
          <w:vertAlign w:val="superscript"/>
          <w:lang w:val="en-GB"/>
        </w:rPr>
        <w:t>KUR</w:t>
      </w:r>
      <w:r w:rsidRPr="006F04E6">
        <w:rPr>
          <w:rFonts w:ascii="Times New Roman" w:hAnsi="Times New Roman"/>
          <w:lang w:val="en-GB"/>
        </w:rPr>
        <w:t xml:space="preserve">e-ba-a-ni-i-e </w:t>
      </w:r>
      <w:r w:rsidRPr="006F04E6">
        <w:rPr>
          <w:rFonts w:ascii="Times New Roman" w:hAnsi="Times New Roman"/>
          <w:vertAlign w:val="superscript"/>
          <w:lang w:val="en-GB"/>
        </w:rPr>
        <w:t>KUR</w:t>
      </w:r>
      <w:r w:rsidRPr="006F04E6">
        <w:rPr>
          <w:rFonts w:ascii="Times New Roman" w:hAnsi="Times New Roman"/>
          <w:lang w:val="en-GB"/>
        </w:rPr>
        <w:t xml:space="preserve">e-ti-ú-ni-ni za-a-áš-gu-ú-bi </w:t>
      </w:r>
      <w:r w:rsidRPr="006F04E6">
        <w:rPr>
          <w:rFonts w:ascii="Times New Roman" w:hAnsi="Times New Roman"/>
          <w:vertAlign w:val="superscript"/>
          <w:lang w:val="en-GB"/>
        </w:rPr>
        <w:t>m</w:t>
      </w:r>
      <w:r w:rsidRPr="006F04E6">
        <w:rPr>
          <w:rFonts w:ascii="Times New Roman" w:hAnsi="Times New Roman"/>
          <w:lang w:val="en-GB"/>
        </w:rPr>
        <w:t xml:space="preserve">mì-nu-ú-a-še </w:t>
      </w:r>
      <w:r w:rsidRPr="006F04E6">
        <w:rPr>
          <w:rFonts w:ascii="Times New Roman" w:hAnsi="Times New Roman"/>
          <w:vertAlign w:val="superscript"/>
          <w:lang w:val="en-GB"/>
        </w:rPr>
        <w:t>m</w:t>
      </w:r>
      <w:r w:rsidRPr="006F04E6">
        <w:rPr>
          <w:rFonts w:ascii="Times New Roman" w:hAnsi="Times New Roman"/>
          <w:lang w:val="en-GB"/>
        </w:rPr>
        <w:t xml:space="preserve">iš-pu-ú-i-ni-e-ḫi-ni-e-še a-li-e </w:t>
      </w:r>
      <w:r w:rsidRPr="006F04E6">
        <w:rPr>
          <w:rFonts w:ascii="Times New Roman" w:hAnsi="Times New Roman"/>
          <w:vertAlign w:val="superscript"/>
          <w:lang w:val="en-GB"/>
        </w:rPr>
        <w:t>URU</w:t>
      </w:r>
      <w:r w:rsidRPr="006F04E6">
        <w:rPr>
          <w:rFonts w:ascii="Times New Roman" w:hAnsi="Times New Roman"/>
          <w:lang w:val="en-GB"/>
        </w:rPr>
        <w:t>lu-ú-ḫi-i-ú-</w:t>
      </w:r>
      <w:r w:rsidRPr="006F04E6">
        <w:rPr>
          <w:rFonts w:ascii="Times New Roman" w:hAnsi="Times New Roman"/>
          <w:b/>
          <w:lang w:val="en-GB"/>
        </w:rPr>
        <w:t>ni-ni</w:t>
      </w:r>
      <w:r w:rsidRPr="006F04E6">
        <w:rPr>
          <w:rFonts w:ascii="Times New Roman" w:hAnsi="Times New Roman"/>
          <w:lang w:val="en-GB"/>
        </w:rPr>
        <w:t xml:space="preserve"> </w:t>
      </w:r>
      <w:r w:rsidRPr="006F04E6">
        <w:rPr>
          <w:rFonts w:ascii="Times New Roman" w:hAnsi="Times New Roman"/>
          <w:b/>
          <w:vertAlign w:val="superscript"/>
          <w:lang w:val="en-GB"/>
        </w:rPr>
        <w:t>URU</w:t>
      </w:r>
      <w:r w:rsidRPr="006F04E6">
        <w:rPr>
          <w:rFonts w:ascii="Times New Roman" w:hAnsi="Times New Roman"/>
          <w:b/>
          <w:lang w:val="en-GB"/>
        </w:rPr>
        <w:t xml:space="preserve">pa-a-ta-a-ri-e </w:t>
      </w:r>
      <w:r w:rsidRPr="006F04E6">
        <w:rPr>
          <w:rFonts w:ascii="Times New Roman" w:hAnsi="Times New Roman"/>
          <w:b/>
          <w:vertAlign w:val="superscript"/>
          <w:lang w:val="en-GB"/>
        </w:rPr>
        <w:t>LÚ</w:t>
      </w:r>
      <w:r w:rsidRPr="006F04E6">
        <w:rPr>
          <w:rFonts w:ascii="Times New Roman" w:hAnsi="Times New Roman"/>
          <w:b/>
          <w:lang w:val="en-GB"/>
        </w:rPr>
        <w:t xml:space="preserve">e-ri-e-li-nu-si-e </w:t>
      </w:r>
      <w:r w:rsidRPr="006F04E6">
        <w:rPr>
          <w:rFonts w:ascii="Times New Roman" w:hAnsi="Times New Roman"/>
          <w:lang w:val="en-GB"/>
        </w:rPr>
        <w:t>(</w:t>
      </w:r>
      <w:r w:rsidRPr="006F04E6">
        <w:rPr>
          <w:rFonts w:ascii="Times New Roman" w:hAnsi="Times New Roman"/>
          <w:i/>
          <w:lang w:val="en-GB"/>
        </w:rPr>
        <w:t>a</w:t>
      </w:r>
      <w:r w:rsidRPr="006F04E6">
        <w:rPr>
          <w:rFonts w:ascii="Times New Roman" w:hAnsi="Times New Roman"/>
          <w:i/>
          <w:vertAlign w:val="subscript"/>
          <w:lang w:val="en-GB"/>
        </w:rPr>
        <w:t>1:</w:t>
      </w:r>
      <w:r w:rsidRPr="006F04E6">
        <w:rPr>
          <w:rFonts w:ascii="Times New Roman" w:hAnsi="Times New Roman"/>
          <w:lang w:val="en-GB"/>
        </w:rPr>
        <w:t xml:space="preserve"> URU MAN-si) [</w:t>
      </w:r>
      <w:r w:rsidRPr="006F04E6">
        <w:rPr>
          <w:rFonts w:ascii="Times New Roman" w:hAnsi="Times New Roman"/>
          <w:u w:val="single"/>
          <w:vertAlign w:val="superscript"/>
          <w:lang w:val="en-GB"/>
        </w:rPr>
        <w:t>m</w:t>
      </w:r>
      <w:r w:rsidRPr="006F04E6">
        <w:rPr>
          <w:rFonts w:ascii="Times New Roman" w:hAnsi="Times New Roman"/>
          <w:u w:val="single"/>
          <w:lang w:val="en-GB"/>
        </w:rPr>
        <w:t>er-e-k]</w:t>
      </w:r>
      <w:r w:rsidRPr="006F04E6">
        <w:rPr>
          <w:rFonts w:ascii="Times New Roman" w:hAnsi="Times New Roman"/>
          <w:lang w:val="en-GB"/>
        </w:rPr>
        <w:t>u-ú-a-ḫi-i-ni-e-i</w:t>
      </w:r>
    </w:p>
    <w:p w14:paraId="4658FAA3" w14:textId="77777777" w:rsidR="00B4516E" w:rsidRPr="006F04E6" w:rsidRDefault="00B4516E" w:rsidP="00B4516E">
      <w:pPr>
        <w:widowControl w:val="0"/>
        <w:tabs>
          <w:tab w:val="left" w:pos="570"/>
        </w:tabs>
        <w:autoSpaceDE w:val="0"/>
        <w:autoSpaceDN w:val="0"/>
        <w:ind w:right="-21"/>
        <w:jc w:val="both"/>
        <w:rPr>
          <w:rFonts w:ascii="Times New Roman" w:hAnsi="Times New Roman"/>
          <w:lang w:val="en-GB"/>
        </w:rPr>
      </w:pPr>
    </w:p>
    <w:p w14:paraId="5E942B2F" w14:textId="77777777" w:rsidR="00B4516E" w:rsidRPr="006F04E6" w:rsidRDefault="00B4516E" w:rsidP="00B4516E">
      <w:pPr>
        <w:widowControl w:val="0"/>
        <w:numPr>
          <w:ilvl w:val="0"/>
          <w:numId w:val="11"/>
        </w:numPr>
        <w:tabs>
          <w:tab w:val="left" w:pos="570"/>
        </w:tabs>
        <w:autoSpaceDE w:val="0"/>
        <w:autoSpaceDN w:val="0"/>
        <w:ind w:right="-21"/>
        <w:jc w:val="both"/>
        <w:rPr>
          <w:rFonts w:ascii="Times New Roman" w:hAnsi="Times New Roman"/>
          <w:lang w:val="en-GB"/>
        </w:rPr>
      </w:pPr>
      <w:r w:rsidRPr="006F04E6">
        <w:rPr>
          <w:rFonts w:ascii="Times New Roman" w:hAnsi="Times New Roman"/>
          <w:lang w:val="en-GB"/>
        </w:rPr>
        <w:t>a-li-e ú-i-e a-i-še-e-i a-ni-e-i [</w:t>
      </w:r>
      <w:r w:rsidRPr="006F04E6">
        <w:rPr>
          <w:rFonts w:ascii="Times New Roman" w:hAnsi="Times New Roman"/>
          <w:u w:val="single"/>
          <w:lang w:val="en-GB"/>
        </w:rPr>
        <w:t>qa</w:t>
      </w:r>
      <w:r w:rsidRPr="006F04E6">
        <w:rPr>
          <w:rFonts w:ascii="Times New Roman" w:hAnsi="Times New Roman"/>
          <w:lang w:val="en-GB"/>
        </w:rPr>
        <w:t>]-</w:t>
      </w:r>
      <w:r w:rsidRPr="006F04E6">
        <w:rPr>
          <w:rFonts w:ascii="Times New Roman" w:hAnsi="Times New Roman"/>
          <w:b/>
          <w:lang w:val="en-GB"/>
        </w:rPr>
        <w:t>ab-qa-ar</w:t>
      </w:r>
      <w:r w:rsidRPr="006F04E6">
        <w:rPr>
          <w:rFonts w:ascii="Times New Roman" w:hAnsi="Times New Roman"/>
          <w:lang w:val="en-GB"/>
        </w:rPr>
        <w:t>(</w:t>
      </w:r>
      <w:r w:rsidRPr="006F04E6">
        <w:rPr>
          <w:rFonts w:ascii="Times New Roman" w:hAnsi="Times New Roman"/>
          <w:i/>
          <w:lang w:val="en-GB"/>
        </w:rPr>
        <w:t>b</w:t>
      </w:r>
      <w:r w:rsidRPr="006F04E6">
        <w:rPr>
          <w:rFonts w:ascii="Times New Roman" w:hAnsi="Times New Roman"/>
          <w:i/>
          <w:vertAlign w:val="subscript"/>
          <w:lang w:val="en-GB"/>
        </w:rPr>
        <w:t>1</w:t>
      </w:r>
      <w:r w:rsidRPr="006F04E6">
        <w:rPr>
          <w:rFonts w:ascii="Times New Roman" w:hAnsi="Times New Roman"/>
          <w:vertAlign w:val="subscript"/>
          <w:lang w:val="en-GB"/>
        </w:rPr>
        <w:t>:</w:t>
      </w:r>
      <w:r w:rsidRPr="006F04E6">
        <w:rPr>
          <w:rFonts w:ascii="Times New Roman" w:hAnsi="Times New Roman"/>
          <w:i/>
          <w:vertAlign w:val="subscript"/>
          <w:lang w:val="en-GB"/>
        </w:rPr>
        <w:t xml:space="preserve"> </w:t>
      </w:r>
      <w:r w:rsidRPr="006F04E6">
        <w:rPr>
          <w:rFonts w:ascii="Times New Roman" w:hAnsi="Times New Roman"/>
          <w:i/>
          <w:lang w:val="en-GB"/>
        </w:rPr>
        <w:t>ab-qa-ar</w:t>
      </w:r>
      <w:r w:rsidRPr="006F04E6">
        <w:rPr>
          <w:rFonts w:ascii="Times New Roman" w:hAnsi="Times New Roman"/>
          <w:lang w:val="en-GB"/>
        </w:rPr>
        <w:t xml:space="preserve">)-šú-la-la-a-ni a-ru-ú-ni </w:t>
      </w:r>
      <w:r w:rsidRPr="006F04E6">
        <w:rPr>
          <w:rFonts w:ascii="Times New Roman" w:hAnsi="Times New Roman"/>
          <w:vertAlign w:val="superscript"/>
          <w:lang w:val="en-GB"/>
        </w:rPr>
        <w:t>D</w:t>
      </w:r>
      <w:r w:rsidRPr="006F04E6">
        <w:rPr>
          <w:rFonts w:ascii="Times New Roman" w:hAnsi="Times New Roman"/>
          <w:lang w:val="en-GB"/>
        </w:rPr>
        <w:t xml:space="preserve">ḫal-di-i-še </w:t>
      </w:r>
      <w:r w:rsidRPr="006F04E6">
        <w:rPr>
          <w:rFonts w:ascii="Times New Roman" w:hAnsi="Times New Roman"/>
          <w:vertAlign w:val="superscript"/>
          <w:lang w:val="en-GB"/>
        </w:rPr>
        <w:t>m</w:t>
      </w:r>
      <w:r w:rsidRPr="006F04E6">
        <w:rPr>
          <w:rFonts w:ascii="Times New Roman" w:hAnsi="Times New Roman"/>
          <w:lang w:val="en-GB"/>
        </w:rPr>
        <w:t xml:space="preserve">mì-nu-ú-a </w:t>
      </w:r>
      <w:r w:rsidRPr="006F04E6">
        <w:rPr>
          <w:rFonts w:ascii="Times New Roman" w:hAnsi="Times New Roman"/>
          <w:vertAlign w:val="superscript"/>
          <w:lang w:val="en-GB"/>
        </w:rPr>
        <w:t>m</w:t>
      </w:r>
      <w:r w:rsidRPr="006F04E6">
        <w:rPr>
          <w:rFonts w:ascii="Times New Roman" w:hAnsi="Times New Roman"/>
          <w:lang w:val="en-GB"/>
        </w:rPr>
        <w:t>iš-</w:t>
      </w:r>
      <w:r w:rsidRPr="006F04E6">
        <w:rPr>
          <w:rFonts w:ascii="Times New Roman" w:hAnsi="Times New Roman"/>
          <w:b/>
          <w:lang w:val="en-GB"/>
        </w:rPr>
        <w:t>pu-ú-i-ni-e-ḫi</w:t>
      </w:r>
      <w:r w:rsidRPr="006F04E6">
        <w:rPr>
          <w:rFonts w:ascii="Times New Roman" w:hAnsi="Times New Roman"/>
          <w:lang w:val="en-GB"/>
        </w:rPr>
        <w:t>(</w:t>
      </w:r>
      <w:r w:rsidRPr="006F04E6">
        <w:rPr>
          <w:rFonts w:ascii="Times New Roman" w:hAnsi="Times New Roman"/>
          <w:i/>
          <w:lang w:val="en-GB"/>
        </w:rPr>
        <w:t>a</w:t>
      </w:r>
      <w:r w:rsidRPr="006F04E6">
        <w:rPr>
          <w:rFonts w:ascii="Times New Roman" w:hAnsi="Times New Roman"/>
          <w:i/>
          <w:vertAlign w:val="subscript"/>
          <w:lang w:val="en-GB"/>
        </w:rPr>
        <w:t>2</w:t>
      </w:r>
      <w:r w:rsidRPr="006F04E6">
        <w:rPr>
          <w:rFonts w:ascii="Times New Roman" w:hAnsi="Times New Roman"/>
          <w:lang w:val="en-GB"/>
        </w:rPr>
        <w:t xml:space="preserve">: </w:t>
      </w:r>
      <w:r w:rsidRPr="006F04E6">
        <w:rPr>
          <w:rFonts w:ascii="Times New Roman" w:hAnsi="Times New Roman"/>
          <w:i/>
          <w:lang w:val="en-GB"/>
        </w:rPr>
        <w:t>pu-ú-i-ni-ḫi</w:t>
      </w:r>
      <w:r w:rsidRPr="006F04E6">
        <w:rPr>
          <w:rFonts w:ascii="Times New Roman" w:hAnsi="Times New Roman"/>
          <w:b/>
          <w:lang w:val="en-GB"/>
        </w:rPr>
        <w:t>)</w:t>
      </w:r>
      <w:r w:rsidRPr="006F04E6">
        <w:rPr>
          <w:rFonts w:ascii="Times New Roman" w:hAnsi="Times New Roman"/>
          <w:lang w:val="en-GB"/>
        </w:rPr>
        <w:t xml:space="preserve">-ni-i-e ḫa-a-ú-ni </w:t>
      </w:r>
      <w:r w:rsidRPr="006F04E6">
        <w:rPr>
          <w:rFonts w:ascii="Times New Roman" w:hAnsi="Times New Roman"/>
          <w:vertAlign w:val="superscript"/>
          <w:lang w:val="en-GB"/>
        </w:rPr>
        <w:t>URU</w:t>
      </w:r>
      <w:r w:rsidRPr="006F04E6">
        <w:rPr>
          <w:rFonts w:ascii="Times New Roman" w:hAnsi="Times New Roman"/>
          <w:lang w:val="en-GB"/>
        </w:rPr>
        <w:t>lu-ú-ḫi-ú-ni-i-</w:t>
      </w:r>
      <w:r w:rsidRPr="006F04E6">
        <w:rPr>
          <w:rFonts w:ascii="Times New Roman" w:hAnsi="Times New Roman"/>
          <w:b/>
          <w:lang w:val="en-GB"/>
        </w:rPr>
        <w:t>ni ʾa-a-al</w:t>
      </w:r>
      <w:r w:rsidRPr="006F04E6">
        <w:rPr>
          <w:rFonts w:ascii="Times New Roman" w:hAnsi="Times New Roman"/>
          <w:b/>
          <w:lang w:val="en-GB"/>
        </w:rPr>
        <w:softHyphen/>
      </w:r>
      <w:r w:rsidRPr="006F04E6">
        <w:rPr>
          <w:rFonts w:ascii="Times New Roman" w:hAnsi="Times New Roman"/>
          <w:lang w:val="en-GB"/>
        </w:rPr>
        <w:t>-</w:t>
      </w:r>
      <w:r w:rsidRPr="006F04E6">
        <w:rPr>
          <w:rFonts w:ascii="Times New Roman" w:hAnsi="Times New Roman"/>
          <w:b/>
          <w:lang w:val="en-GB"/>
        </w:rPr>
        <w:t>du</w:t>
      </w:r>
      <w:r w:rsidRPr="006F04E6">
        <w:rPr>
          <w:rFonts w:ascii="Times New Roman" w:hAnsi="Times New Roman"/>
          <w:lang w:val="en-GB"/>
        </w:rPr>
        <w:t>(</w:t>
      </w:r>
      <w:r w:rsidRPr="006F04E6">
        <w:rPr>
          <w:rFonts w:ascii="Times New Roman" w:hAnsi="Times New Roman"/>
          <w:i/>
          <w:lang w:val="en-GB"/>
        </w:rPr>
        <w:t>b</w:t>
      </w:r>
      <w:r w:rsidRPr="006F04E6">
        <w:rPr>
          <w:rFonts w:ascii="Times New Roman" w:hAnsi="Times New Roman"/>
          <w:i/>
          <w:vertAlign w:val="subscript"/>
          <w:lang w:val="en-GB"/>
        </w:rPr>
        <w:t>2</w:t>
      </w:r>
      <w:r w:rsidRPr="006F04E6">
        <w:rPr>
          <w:rFonts w:ascii="Times New Roman" w:hAnsi="Times New Roman"/>
          <w:vertAlign w:val="subscript"/>
          <w:lang w:val="en-GB"/>
        </w:rPr>
        <w:t xml:space="preserve">: </w:t>
      </w:r>
      <w:r w:rsidRPr="006F04E6">
        <w:rPr>
          <w:rFonts w:ascii="Times New Roman" w:hAnsi="Times New Roman"/>
          <w:i/>
          <w:lang w:val="en-GB"/>
        </w:rPr>
        <w:t>ni ʾa-a-al</w:t>
      </w:r>
      <w:r w:rsidRPr="006F04E6">
        <w:rPr>
          <w:rFonts w:ascii="Times New Roman" w:hAnsi="Times New Roman"/>
          <w:lang w:val="en-GB"/>
        </w:rPr>
        <w:t>-</w:t>
      </w:r>
      <w:r w:rsidRPr="006F04E6">
        <w:rPr>
          <w:rFonts w:ascii="Times New Roman" w:hAnsi="Times New Roman"/>
          <w:i/>
          <w:lang w:val="en-GB"/>
        </w:rPr>
        <w:t>d[u</w:t>
      </w:r>
      <w:r w:rsidRPr="006F04E6">
        <w:rPr>
          <w:rFonts w:ascii="Times New Roman" w:hAnsi="Times New Roman"/>
          <w:lang w:val="en-GB"/>
        </w:rPr>
        <w:t xml:space="preserve">)-ú-ni </w:t>
      </w:r>
      <w:r w:rsidRPr="006F04E6">
        <w:rPr>
          <w:rFonts w:ascii="Times New Roman" w:hAnsi="Times New Roman"/>
          <w:vertAlign w:val="superscript"/>
          <w:lang w:val="en-GB"/>
        </w:rPr>
        <w:t>KUR</w:t>
      </w:r>
      <w:r w:rsidRPr="006F04E6">
        <w:rPr>
          <w:rFonts w:ascii="Times New Roman" w:hAnsi="Times New Roman"/>
          <w:lang w:val="en-GB"/>
        </w:rPr>
        <w:t>e-ti-i-ú-ni-i-ni me-e-ši-i-ni pi-e-i 50 a-ti-[</w:t>
      </w:r>
      <w:r w:rsidRPr="006F04E6">
        <w:rPr>
          <w:rFonts w:ascii="Times New Roman" w:hAnsi="Times New Roman"/>
          <w:u w:val="single"/>
          <w:lang w:val="en-GB"/>
        </w:rPr>
        <w:t xml:space="preserve">bi-e x LIM x ME x ʾa-še(?) </w:t>
      </w:r>
      <w:r w:rsidRPr="006F04E6">
        <w:rPr>
          <w:rFonts w:ascii="Times New Roman" w:hAnsi="Times New Roman"/>
          <w:u w:val="single"/>
          <w:vertAlign w:val="superscript"/>
          <w:lang w:val="en-GB"/>
        </w:rPr>
        <w:t>LÚ</w:t>
      </w:r>
      <w:r w:rsidRPr="006F04E6">
        <w:rPr>
          <w:rFonts w:ascii="Times New Roman" w:hAnsi="Times New Roman"/>
          <w:u w:val="single"/>
          <w:lang w:val="en-GB"/>
        </w:rPr>
        <w:t>ú-e-di-a-ni(?)</w:t>
      </w:r>
      <w:r w:rsidRPr="006F04E6">
        <w:rPr>
          <w:rFonts w:ascii="Times New Roman" w:hAnsi="Times New Roman"/>
          <w:lang w:val="en-GB"/>
        </w:rPr>
        <w:t>]</w:t>
      </w:r>
      <w:r w:rsidRPr="006F04E6">
        <w:rPr>
          <w:rFonts w:ascii="Times New Roman" w:hAnsi="Times New Roman"/>
          <w:u w:val="single"/>
          <w:lang w:val="en-GB"/>
        </w:rPr>
        <w:t xml:space="preserve"> </w:t>
      </w:r>
      <w:r w:rsidRPr="006F04E6">
        <w:rPr>
          <w:rFonts w:ascii="Times New Roman" w:hAnsi="Times New Roman"/>
          <w:b/>
          <w:u w:val="single"/>
          <w:vertAlign w:val="superscript"/>
          <w:lang w:val="en-GB"/>
        </w:rPr>
        <w:t>LÚ</w:t>
      </w:r>
      <w:r w:rsidRPr="006F04E6">
        <w:rPr>
          <w:rFonts w:ascii="Times New Roman" w:hAnsi="Times New Roman"/>
          <w:b/>
          <w:lang w:val="en-GB"/>
        </w:rPr>
        <w:t>ta-ar</w:t>
      </w:r>
      <w:r w:rsidRPr="006F04E6">
        <w:rPr>
          <w:rFonts w:ascii="Times New Roman" w:hAnsi="Times New Roman"/>
          <w:lang w:val="en-GB"/>
        </w:rPr>
        <w:t>(</w:t>
      </w:r>
      <w:r w:rsidRPr="006F04E6">
        <w:rPr>
          <w:rFonts w:ascii="Times New Roman" w:hAnsi="Times New Roman"/>
          <w:i/>
          <w:lang w:val="en-GB"/>
        </w:rPr>
        <w:t>a</w:t>
      </w:r>
      <w:r w:rsidRPr="006F04E6">
        <w:rPr>
          <w:rFonts w:ascii="Times New Roman" w:hAnsi="Times New Roman"/>
          <w:i/>
          <w:vertAlign w:val="subscript"/>
          <w:lang w:val="en-GB"/>
        </w:rPr>
        <w:t>3</w:t>
      </w:r>
      <w:r w:rsidRPr="006F04E6">
        <w:rPr>
          <w:rFonts w:ascii="Times New Roman" w:hAnsi="Times New Roman"/>
          <w:vertAlign w:val="subscript"/>
          <w:lang w:val="en-GB"/>
        </w:rPr>
        <w:t xml:space="preserve">: </w:t>
      </w:r>
      <w:r w:rsidRPr="006F04E6">
        <w:rPr>
          <w:rFonts w:ascii="Times New Roman" w:hAnsi="Times New Roman"/>
          <w:i/>
          <w:lang w:val="en-GB"/>
        </w:rPr>
        <w:t>ta-ar</w:t>
      </w:r>
      <w:r w:rsidRPr="006F04E6">
        <w:rPr>
          <w:rFonts w:ascii="Times New Roman" w:hAnsi="Times New Roman"/>
          <w:lang w:val="en-GB"/>
        </w:rPr>
        <w:t>)-šú-ú-ʾa-a-ni-e</w:t>
      </w:r>
    </w:p>
    <w:p w14:paraId="7549A075" w14:textId="77777777" w:rsidR="00B4516E" w:rsidRPr="006F04E6" w:rsidRDefault="00B4516E" w:rsidP="00B4516E">
      <w:pPr>
        <w:tabs>
          <w:tab w:val="left" w:pos="570"/>
        </w:tabs>
        <w:ind w:right="-21"/>
        <w:rPr>
          <w:rFonts w:ascii="Times New Roman" w:hAnsi="Times New Roman"/>
          <w:lang w:val="en-GB"/>
        </w:rPr>
      </w:pPr>
    </w:p>
    <w:p w14:paraId="249DA869"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w:t>
      </w:r>
      <w:r w:rsidRPr="006F04E6">
        <w:rPr>
          <w:rFonts w:ascii="Times New Roman" w:hAnsi="Times New Roman"/>
          <w:u w:val="single"/>
          <w:lang w:val="en-GB"/>
        </w:rPr>
        <w:t>MU</w:t>
      </w:r>
      <w:r w:rsidRPr="006F04E6">
        <w:rPr>
          <w:rFonts w:ascii="Times New Roman" w:hAnsi="Times New Roman"/>
          <w:lang w:val="en-GB"/>
        </w:rPr>
        <w:t>] a-li-e-ki-e za-[</w:t>
      </w:r>
      <w:r w:rsidRPr="006F04E6">
        <w:rPr>
          <w:rFonts w:ascii="Times New Roman" w:hAnsi="Times New Roman"/>
          <w:u w:val="single"/>
          <w:lang w:val="en-GB"/>
        </w:rPr>
        <w:t>a</w:t>
      </w:r>
      <w:r w:rsidRPr="006F04E6">
        <w:rPr>
          <w:rFonts w:ascii="Times New Roman" w:hAnsi="Times New Roman"/>
          <w:lang w:val="en-GB"/>
        </w:rPr>
        <w:t>]-áš-gu-ú-bi a-</w:t>
      </w:r>
      <w:r w:rsidRPr="006F04E6">
        <w:rPr>
          <w:rFonts w:ascii="Times New Roman" w:hAnsi="Times New Roman"/>
          <w:b/>
          <w:lang w:val="en-GB"/>
        </w:rPr>
        <w:t>li-e-ki-e še-ḫi</w:t>
      </w:r>
      <w:r w:rsidRPr="006F04E6">
        <w:rPr>
          <w:rFonts w:ascii="Times New Roman" w:hAnsi="Times New Roman"/>
          <w:lang w:val="en-GB"/>
        </w:rPr>
        <w:t>(</w:t>
      </w:r>
      <w:r w:rsidRPr="006F04E6">
        <w:rPr>
          <w:rFonts w:ascii="Times New Roman" w:hAnsi="Times New Roman"/>
          <w:i/>
          <w:lang w:val="en-GB"/>
        </w:rPr>
        <w:t>b</w:t>
      </w:r>
      <w:r w:rsidRPr="006F04E6">
        <w:rPr>
          <w:rFonts w:ascii="Times New Roman" w:hAnsi="Times New Roman"/>
          <w:i/>
          <w:vertAlign w:val="subscript"/>
          <w:lang w:val="en-GB"/>
        </w:rPr>
        <w:t>3</w:t>
      </w:r>
      <w:r w:rsidRPr="006F04E6">
        <w:rPr>
          <w:rFonts w:ascii="Times New Roman" w:hAnsi="Times New Roman"/>
          <w:i/>
          <w:lang w:val="en-GB"/>
        </w:rPr>
        <w:t>: li-ki še-ḫi</w:t>
      </w:r>
      <w:r w:rsidRPr="006F04E6">
        <w:rPr>
          <w:rFonts w:ascii="Times New Roman" w:hAnsi="Times New Roman"/>
          <w:lang w:val="en-GB"/>
        </w:rPr>
        <w:t>)-e-ri a-gu-ú-bi 1 LIM 7 ME 33 ANŠE.KUR.RA</w:t>
      </w:r>
      <w:r w:rsidRPr="006F04E6">
        <w:rPr>
          <w:rFonts w:ascii="Times New Roman" w:hAnsi="Times New Roman"/>
          <w:vertAlign w:val="superscript"/>
          <w:lang w:val="en-GB"/>
        </w:rPr>
        <w:t xml:space="preserve">MEŠ </w:t>
      </w:r>
      <w:r w:rsidRPr="006F04E6">
        <w:rPr>
          <w:rFonts w:ascii="Times New Roman" w:hAnsi="Times New Roman"/>
          <w:lang w:val="en-GB"/>
        </w:rPr>
        <w:t>7 LIM 6 ME 1</w:t>
      </w:r>
      <w:r w:rsidRPr="006F04E6">
        <w:rPr>
          <w:rFonts w:ascii="Times New Roman" w:hAnsi="Times New Roman"/>
          <w:b/>
          <w:lang w:val="en-GB"/>
        </w:rPr>
        <w:t xml:space="preserve">6 </w:t>
      </w:r>
      <w:r w:rsidRPr="006F04E6">
        <w:rPr>
          <w:rFonts w:ascii="Times New Roman" w:hAnsi="Times New Roman"/>
          <w:b/>
          <w:vertAlign w:val="superscript"/>
          <w:lang w:val="en-GB"/>
        </w:rPr>
        <w:t>GU4</w:t>
      </w:r>
      <w:r w:rsidRPr="006F04E6">
        <w:rPr>
          <w:rFonts w:ascii="Times New Roman" w:hAnsi="Times New Roman"/>
          <w:b/>
          <w:lang w:val="en-GB"/>
        </w:rPr>
        <w:t>pa-a-ḫi-i-ni</w:t>
      </w:r>
      <w:r w:rsidRPr="006F04E6">
        <w:rPr>
          <w:rFonts w:ascii="Times New Roman" w:hAnsi="Times New Roman"/>
          <w:lang w:val="en-GB"/>
        </w:rPr>
        <w:t xml:space="preserve"> (</w:t>
      </w:r>
      <w:r w:rsidRPr="006F04E6">
        <w:rPr>
          <w:rFonts w:ascii="Times New Roman" w:hAnsi="Times New Roman"/>
          <w:i/>
          <w:lang w:val="en-GB"/>
        </w:rPr>
        <w:t xml:space="preserve">a4: 6 </w:t>
      </w:r>
      <w:r w:rsidRPr="006F04E6">
        <w:rPr>
          <w:rFonts w:ascii="Times New Roman" w:hAnsi="Times New Roman"/>
          <w:i/>
          <w:vertAlign w:val="superscript"/>
          <w:lang w:val="en-GB"/>
        </w:rPr>
        <w:t>GU4</w:t>
      </w:r>
      <w:r w:rsidRPr="006F04E6">
        <w:rPr>
          <w:rFonts w:ascii="Times New Roman" w:hAnsi="Times New Roman"/>
          <w:i/>
          <w:lang w:val="en-GB"/>
        </w:rPr>
        <w:t>pa-ḫi-ni</w:t>
      </w:r>
      <w:r w:rsidRPr="006F04E6">
        <w:rPr>
          <w:rFonts w:ascii="Times New Roman" w:hAnsi="Times New Roman"/>
          <w:lang w:val="en-GB"/>
        </w:rPr>
        <w:t xml:space="preserve">) a-ti-i-bi-e 5 LIM 3 ME 20 </w:t>
      </w:r>
      <w:r w:rsidRPr="006F04E6">
        <w:rPr>
          <w:rFonts w:ascii="Times New Roman" w:hAnsi="Times New Roman"/>
          <w:vertAlign w:val="superscript"/>
          <w:lang w:val="en-GB"/>
        </w:rPr>
        <w:t>UDU</w:t>
      </w:r>
      <w:r w:rsidRPr="006F04E6">
        <w:rPr>
          <w:rFonts w:ascii="Times New Roman" w:hAnsi="Times New Roman"/>
          <w:lang w:val="en-GB"/>
        </w:rPr>
        <w:t>šú-ú-še i-na-a-</w:t>
      </w:r>
      <w:r w:rsidRPr="006F04E6">
        <w:rPr>
          <w:rFonts w:ascii="Times New Roman" w:hAnsi="Times New Roman"/>
          <w:b/>
          <w:lang w:val="en-GB"/>
        </w:rPr>
        <w:t>ni</w:t>
      </w:r>
      <w:r w:rsidRPr="006F04E6">
        <w:rPr>
          <w:rFonts w:ascii="Times New Roman" w:hAnsi="Times New Roman"/>
          <w:lang w:val="en-GB"/>
        </w:rPr>
        <w:t xml:space="preserve"> </w:t>
      </w:r>
      <w:r w:rsidRPr="006F04E6">
        <w:rPr>
          <w:rFonts w:ascii="Times New Roman" w:hAnsi="Times New Roman"/>
          <w:b/>
          <w:vertAlign w:val="superscript"/>
          <w:lang w:val="en-GB"/>
        </w:rPr>
        <w:t>LÚ</w:t>
      </w:r>
      <w:r w:rsidRPr="006F04E6">
        <w:rPr>
          <w:rFonts w:ascii="Times New Roman" w:hAnsi="Times New Roman"/>
          <w:b/>
          <w:lang w:val="en-GB"/>
        </w:rPr>
        <w:t>e-ri-e-li-i-e  nu-ú-n</w:t>
      </w:r>
      <w:r w:rsidRPr="006F04E6">
        <w:rPr>
          <w:rFonts w:ascii="Times New Roman" w:hAnsi="Times New Roman"/>
          <w:lang w:val="en-GB"/>
        </w:rPr>
        <w:t>a(</w:t>
      </w:r>
      <w:r w:rsidRPr="006F04E6">
        <w:rPr>
          <w:rFonts w:ascii="Times New Roman" w:hAnsi="Times New Roman"/>
          <w:i/>
          <w:lang w:val="en-GB"/>
        </w:rPr>
        <w:t>b4</w:t>
      </w:r>
      <w:r w:rsidRPr="006F04E6">
        <w:rPr>
          <w:rFonts w:ascii="Times New Roman" w:hAnsi="Times New Roman"/>
          <w:lang w:val="en-GB"/>
        </w:rPr>
        <w:t xml:space="preserve">: </w:t>
      </w:r>
      <w:r w:rsidRPr="006F04E6">
        <w:rPr>
          <w:rFonts w:ascii="Times New Roman" w:hAnsi="Times New Roman"/>
          <w:i/>
          <w:vertAlign w:val="superscript"/>
          <w:lang w:val="en-GB"/>
        </w:rPr>
        <w:t>LÚ</w:t>
      </w:r>
      <w:r w:rsidRPr="006F04E6">
        <w:rPr>
          <w:rFonts w:ascii="Times New Roman" w:hAnsi="Times New Roman"/>
          <w:i/>
          <w:lang w:val="en-GB"/>
        </w:rPr>
        <w:t>MAN-nu-n[a</w:t>
      </w:r>
      <w:r w:rsidRPr="006F04E6">
        <w:rPr>
          <w:rFonts w:ascii="Times New Roman" w:hAnsi="Times New Roman"/>
          <w:lang w:val="en-GB"/>
        </w:rPr>
        <w:t xml:space="preserve">)-a-bi mì-i a-li </w:t>
      </w:r>
      <w:r w:rsidRPr="006F04E6">
        <w:rPr>
          <w:rFonts w:ascii="Times New Roman" w:hAnsi="Times New Roman"/>
          <w:vertAlign w:val="superscript"/>
          <w:lang w:val="en-GB"/>
        </w:rPr>
        <w:t>LÚ</w:t>
      </w:r>
      <w:r w:rsidRPr="006F04E6">
        <w:rPr>
          <w:rFonts w:ascii="Times New Roman" w:hAnsi="Times New Roman"/>
          <w:lang w:val="en-GB"/>
        </w:rPr>
        <w:t>ḫu-ra-a-di-i-na-</w:t>
      </w:r>
      <w:r w:rsidRPr="006F04E6">
        <w:rPr>
          <w:rFonts w:ascii="Times New Roman" w:hAnsi="Times New Roman"/>
          <w:u w:val="single"/>
          <w:lang w:val="en-GB"/>
        </w:rPr>
        <w:t xml:space="preserve">[še ir-bi-tú-ú i-ú KUR-ni áš-ú-la-bi </w:t>
      </w:r>
      <w:r w:rsidRPr="006F04E6">
        <w:rPr>
          <w:rFonts w:ascii="Times New Roman" w:hAnsi="Times New Roman"/>
          <w:u w:val="single"/>
          <w:vertAlign w:val="superscript"/>
          <w:lang w:val="en-GB"/>
        </w:rPr>
        <w:t>D</w:t>
      </w:r>
      <w:r w:rsidRPr="006F04E6">
        <w:rPr>
          <w:rFonts w:ascii="Times New Roman" w:hAnsi="Times New Roman"/>
          <w:u w:val="single"/>
          <w:lang w:val="en-GB"/>
        </w:rPr>
        <w:t>ḫal-di]</w:t>
      </w:r>
      <w:r w:rsidRPr="006F04E6">
        <w:rPr>
          <w:rFonts w:ascii="Times New Roman" w:hAnsi="Times New Roman"/>
          <w:lang w:val="en-GB"/>
        </w:rPr>
        <w:t>-ni-ni uš-ú-ma-ši-ni</w:t>
      </w:r>
    </w:p>
    <w:p w14:paraId="4F527A04" w14:textId="77777777" w:rsidR="00B4516E" w:rsidRPr="006F04E6" w:rsidRDefault="00B4516E" w:rsidP="00B4516E">
      <w:pPr>
        <w:ind w:left="567" w:right="-21" w:hanging="567"/>
        <w:rPr>
          <w:rFonts w:ascii="Times New Roman" w:hAnsi="Times New Roman"/>
          <w:lang w:val="en-GB"/>
        </w:rPr>
      </w:pPr>
    </w:p>
    <w:p w14:paraId="2A1FDC4C"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mì-nu-ú-a-še </w:t>
      </w:r>
      <w:r w:rsidRPr="006F04E6">
        <w:rPr>
          <w:rFonts w:ascii="Times New Roman" w:hAnsi="Times New Roman"/>
          <w:vertAlign w:val="superscript"/>
          <w:lang w:val="en-GB"/>
        </w:rPr>
        <w:t>m</w:t>
      </w:r>
      <w:r w:rsidRPr="006F04E6">
        <w:rPr>
          <w:rFonts w:ascii="Times New Roman" w:hAnsi="Times New Roman"/>
          <w:lang w:val="en-GB"/>
        </w:rPr>
        <w:t>iš-[</w:t>
      </w:r>
      <w:r w:rsidRPr="006F04E6">
        <w:rPr>
          <w:rFonts w:ascii="Times New Roman" w:hAnsi="Times New Roman"/>
          <w:u w:val="single"/>
          <w:lang w:val="en-GB"/>
        </w:rPr>
        <w:t>pu</w:t>
      </w:r>
      <w:r w:rsidRPr="006F04E6">
        <w:rPr>
          <w:rFonts w:ascii="Times New Roman" w:hAnsi="Times New Roman"/>
          <w:lang w:val="en-GB"/>
        </w:rPr>
        <w:t>]-ú-i-ni-e-ḫi-ni-še [</w:t>
      </w:r>
      <w:r w:rsidRPr="006F04E6">
        <w:rPr>
          <w:rFonts w:ascii="Times New Roman" w:hAnsi="Times New Roman"/>
          <w:u w:val="single"/>
          <w:lang w:val="en-GB"/>
        </w:rPr>
        <w:t>a-li x x</w:t>
      </w:r>
      <w:r w:rsidRPr="006F04E6">
        <w:rPr>
          <w:rFonts w:ascii="Times New Roman" w:hAnsi="Times New Roman"/>
          <w:lang w:val="en-GB"/>
        </w:rPr>
        <w:t xml:space="preserve"> -]sa-a-i </w:t>
      </w:r>
      <w:r w:rsidRPr="006F04E6">
        <w:rPr>
          <w:rFonts w:ascii="Times New Roman" w:hAnsi="Times New Roman"/>
          <w:vertAlign w:val="superscript"/>
          <w:lang w:val="en-GB"/>
        </w:rPr>
        <w:t>URU</w:t>
      </w:r>
      <w:r w:rsidRPr="006F04E6">
        <w:rPr>
          <w:rFonts w:ascii="Times New Roman" w:hAnsi="Times New Roman"/>
          <w:lang w:val="en-GB"/>
        </w:rPr>
        <w:t xml:space="preserve">ṭu-ú-uš-pa-a URU ú-te-e a-i-še-e-i </w:t>
      </w:r>
      <w:r w:rsidRPr="006F04E6">
        <w:rPr>
          <w:rFonts w:ascii="Times New Roman" w:hAnsi="Times New Roman"/>
          <w:vertAlign w:val="superscript"/>
          <w:lang w:val="en-GB"/>
        </w:rPr>
        <w:t>LÚ</w:t>
      </w:r>
      <w:r w:rsidRPr="006F04E6">
        <w:rPr>
          <w:rFonts w:ascii="Times New Roman" w:hAnsi="Times New Roman"/>
          <w:lang w:val="en-GB"/>
        </w:rPr>
        <w:t xml:space="preserve">e-ri-li-e-še i-za-a-ni </w:t>
      </w:r>
      <w:r w:rsidRPr="006F04E6">
        <w:rPr>
          <w:rFonts w:ascii="Times New Roman" w:hAnsi="Times New Roman"/>
          <w:vertAlign w:val="superscript"/>
          <w:lang w:val="en-GB"/>
        </w:rPr>
        <w:t>LÚ</w:t>
      </w:r>
      <w:r w:rsidRPr="006F04E6">
        <w:rPr>
          <w:rFonts w:ascii="Times New Roman" w:hAnsi="Times New Roman"/>
          <w:lang w:val="en-GB"/>
        </w:rPr>
        <w:t xml:space="preserve">ú-e-di-a-ni tar-a-i-e pa-a-ra-la-ni gu-ú-ni </w:t>
      </w:r>
      <w:r w:rsidRPr="006F04E6">
        <w:rPr>
          <w:rFonts w:ascii="Times New Roman" w:hAnsi="Times New Roman"/>
          <w:vertAlign w:val="superscript"/>
          <w:lang w:val="en-GB"/>
        </w:rPr>
        <w:t>m</w:t>
      </w:r>
      <w:r w:rsidRPr="006F04E6">
        <w:rPr>
          <w:rFonts w:ascii="Times New Roman" w:hAnsi="Times New Roman"/>
          <w:lang w:val="en-GB"/>
        </w:rPr>
        <w:t xml:space="preserve">mì-nu-a-še </w:t>
      </w:r>
      <w:r w:rsidRPr="006F04E6">
        <w:rPr>
          <w:rFonts w:ascii="Times New Roman" w:hAnsi="Times New Roman"/>
          <w:vertAlign w:val="superscript"/>
          <w:lang w:val="en-GB"/>
        </w:rPr>
        <w:t>m</w:t>
      </w:r>
      <w:r w:rsidRPr="006F04E6">
        <w:rPr>
          <w:rFonts w:ascii="Times New Roman" w:hAnsi="Times New Roman"/>
          <w:lang w:val="en-GB"/>
        </w:rPr>
        <w:t xml:space="preserve">iš-pu-ú-i-ni-ḫi-ni-še </w:t>
      </w:r>
      <w:r w:rsidRPr="006F04E6">
        <w:rPr>
          <w:rFonts w:ascii="Times New Roman" w:hAnsi="Times New Roman"/>
          <w:vertAlign w:val="superscript"/>
          <w:lang w:val="en-GB"/>
        </w:rPr>
        <w:t>URU</w:t>
      </w:r>
      <w:r w:rsidRPr="006F04E6">
        <w:rPr>
          <w:rFonts w:ascii="Times New Roman" w:hAnsi="Times New Roman"/>
          <w:lang w:val="en-GB"/>
        </w:rPr>
        <w:t>lu-ḫi-ú-ni-a-ni [</w:t>
      </w:r>
      <w:r w:rsidRPr="006F04E6">
        <w:rPr>
          <w:rFonts w:ascii="Times New Roman" w:hAnsi="Times New Roman"/>
          <w:u w:val="single"/>
          <w:lang w:val="en-GB"/>
        </w:rPr>
        <w:t>e-di-</w:t>
      </w:r>
      <w:r w:rsidRPr="006F04E6">
        <w:rPr>
          <w:rFonts w:ascii="Times New Roman" w:hAnsi="Times New Roman"/>
          <w:lang w:val="en-GB"/>
        </w:rPr>
        <w:t>]ni ka-[</w:t>
      </w:r>
      <w:r w:rsidRPr="006F04E6">
        <w:rPr>
          <w:rFonts w:ascii="Times New Roman" w:hAnsi="Times New Roman"/>
          <w:u w:val="single"/>
          <w:lang w:val="en-GB"/>
        </w:rPr>
        <w:t xml:space="preserve">am-ni? </w:t>
      </w:r>
      <w:r w:rsidRPr="006F04E6">
        <w:rPr>
          <w:rFonts w:ascii="Times New Roman" w:hAnsi="Times New Roman"/>
          <w:u w:val="single"/>
          <w:vertAlign w:val="superscript"/>
          <w:lang w:val="en-GB"/>
        </w:rPr>
        <w:t>LÚ</w:t>
      </w:r>
      <w:r w:rsidRPr="006F04E6">
        <w:rPr>
          <w:rFonts w:ascii="Times New Roman" w:hAnsi="Times New Roman"/>
          <w:u w:val="single"/>
          <w:lang w:val="en-GB"/>
        </w:rPr>
        <w:t>ú-e-di-a-ni ʾa-a?-ši-ni-e</w:t>
      </w:r>
      <w:r w:rsidRPr="006F04E6">
        <w:rPr>
          <w:rFonts w:ascii="Times New Roman" w:hAnsi="Times New Roman"/>
          <w:lang w:val="en-GB"/>
        </w:rPr>
        <w:t xml:space="preserve">]-i </w:t>
      </w:r>
      <w:r w:rsidRPr="006F04E6">
        <w:rPr>
          <w:rFonts w:ascii="Times New Roman" w:hAnsi="Times New Roman"/>
          <w:vertAlign w:val="superscript"/>
          <w:lang w:val="en-GB"/>
        </w:rPr>
        <w:t>URU</w:t>
      </w:r>
      <w:r w:rsidRPr="006F04E6">
        <w:rPr>
          <w:rFonts w:ascii="Times New Roman" w:hAnsi="Times New Roman"/>
          <w:lang w:val="en-GB"/>
        </w:rPr>
        <w:t>ṭu-uš-pa-ni</w:t>
      </w:r>
    </w:p>
    <w:p w14:paraId="23531838" w14:textId="77777777" w:rsidR="00B4516E" w:rsidRPr="006F04E6" w:rsidRDefault="00B4516E" w:rsidP="00B4516E">
      <w:pPr>
        <w:ind w:left="567" w:right="-21" w:hanging="567"/>
        <w:jc w:val="both"/>
        <w:rPr>
          <w:rFonts w:ascii="Times New Roman" w:hAnsi="Times New Roman"/>
          <w:lang w:val="en-GB"/>
        </w:rPr>
      </w:pPr>
    </w:p>
    <w:p w14:paraId="45D4D032"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lastRenderedPageBreak/>
        <w:t>6</w:t>
      </w:r>
      <w:r w:rsidRPr="006F04E6">
        <w:rPr>
          <w:rFonts w:ascii="Times New Roman" w:hAnsi="Times New Roman"/>
          <w:lang w:val="en-GB"/>
        </w:rPr>
        <w:tab/>
        <w:t xml:space="preserve">ma-nu </w:t>
      </w:r>
      <w:r w:rsidRPr="006F04E6">
        <w:rPr>
          <w:rFonts w:ascii="Times New Roman" w:hAnsi="Times New Roman"/>
          <w:vertAlign w:val="superscript"/>
          <w:lang w:val="en-GB"/>
        </w:rPr>
        <w:t>LÚ</w:t>
      </w:r>
      <w:r w:rsidRPr="006F04E6">
        <w:rPr>
          <w:rFonts w:ascii="Times New Roman" w:hAnsi="Times New Roman"/>
          <w:lang w:val="en-GB"/>
        </w:rPr>
        <w:t>ú-e-di-ia-ni-e-i gu-ur-da-ri-[</w:t>
      </w:r>
      <w:r w:rsidRPr="006F04E6">
        <w:rPr>
          <w:rFonts w:ascii="Times New Roman" w:hAnsi="Times New Roman"/>
          <w:u w:val="single"/>
          <w:lang w:val="en-GB"/>
        </w:rPr>
        <w:t xml:space="preserve">e </w:t>
      </w:r>
      <w:r w:rsidRPr="006F04E6">
        <w:rPr>
          <w:rFonts w:ascii="Times New Roman" w:hAnsi="Times New Roman"/>
          <w:u w:val="single"/>
          <w:vertAlign w:val="superscript"/>
          <w:lang w:val="en-GB"/>
        </w:rPr>
        <w:t>URU</w:t>
      </w:r>
      <w:r w:rsidRPr="006F04E6">
        <w:rPr>
          <w:rFonts w:ascii="Times New Roman" w:hAnsi="Times New Roman"/>
          <w:u w:val="single"/>
          <w:lang w:val="en-GB"/>
        </w:rPr>
        <w:t>a-e</w:t>
      </w:r>
      <w:r w:rsidRPr="006F04E6">
        <w:rPr>
          <w:rFonts w:ascii="Times New Roman" w:hAnsi="Times New Roman"/>
          <w:lang w:val="en-GB"/>
        </w:rPr>
        <w:t xml:space="preserve">]-li-ia </w:t>
      </w:r>
      <w:r w:rsidRPr="006F04E6">
        <w:rPr>
          <w:rFonts w:ascii="Times New Roman" w:hAnsi="Times New Roman"/>
          <w:vertAlign w:val="superscript"/>
          <w:lang w:val="en-GB"/>
        </w:rPr>
        <w:t>KUR!</w:t>
      </w:r>
      <w:r w:rsidRPr="006F04E6">
        <w:rPr>
          <w:rFonts w:ascii="Times New Roman" w:hAnsi="Times New Roman"/>
          <w:lang w:val="en-GB"/>
        </w:rPr>
        <w:t xml:space="preserve">di-ru-ni ú-ni ka-am-ni ʾa-ši-ni-e-i </w:t>
      </w:r>
      <w:r w:rsidRPr="006F04E6">
        <w:rPr>
          <w:rFonts w:ascii="Times New Roman" w:hAnsi="Times New Roman"/>
          <w:vertAlign w:val="superscript"/>
          <w:lang w:val="en-GB"/>
        </w:rPr>
        <w:t>URU</w:t>
      </w:r>
      <w:r w:rsidRPr="006F04E6">
        <w:rPr>
          <w:rFonts w:ascii="Times New Roman" w:hAnsi="Times New Roman"/>
          <w:lang w:val="en-GB"/>
        </w:rPr>
        <w:t xml:space="preserve">a-e-li-ia ma-nu gu-ur-da-ri </w:t>
      </w:r>
      <w:r w:rsidRPr="006F04E6">
        <w:rPr>
          <w:rFonts w:ascii="Times New Roman" w:hAnsi="Times New Roman"/>
          <w:vertAlign w:val="superscript"/>
          <w:lang w:val="en-GB"/>
        </w:rPr>
        <w:t>URU</w:t>
      </w:r>
      <w:r w:rsidRPr="006F04E6">
        <w:rPr>
          <w:rFonts w:ascii="Times New Roman" w:hAnsi="Times New Roman"/>
          <w:lang w:val="en-GB"/>
        </w:rPr>
        <w:t xml:space="preserve">ʾa-al-ṭu-qu-ia </w:t>
      </w:r>
      <w:r w:rsidRPr="006F04E6">
        <w:rPr>
          <w:rFonts w:ascii="Times New Roman" w:hAnsi="Times New Roman"/>
          <w:vertAlign w:val="superscript"/>
          <w:lang w:val="en-GB"/>
        </w:rPr>
        <w:t>KUR</w:t>
      </w:r>
      <w:r w:rsidRPr="006F04E6">
        <w:rPr>
          <w:rFonts w:ascii="Times New Roman" w:hAnsi="Times New Roman"/>
          <w:lang w:val="en-GB"/>
        </w:rPr>
        <w:t xml:space="preserve">ṣi-ia-ad-ḫi-ni </w:t>
      </w:r>
      <w:r w:rsidRPr="006F04E6">
        <w:rPr>
          <w:rFonts w:ascii="Times New Roman" w:hAnsi="Times New Roman"/>
          <w:vertAlign w:val="superscript"/>
          <w:lang w:val="en-GB"/>
        </w:rPr>
        <w:t>D</w:t>
      </w:r>
      <w:r w:rsidRPr="006F04E6">
        <w:rPr>
          <w:rFonts w:ascii="Times New Roman" w:hAnsi="Times New Roman"/>
          <w:lang w:val="en-GB"/>
        </w:rPr>
        <w:t xml:space="preserve">ḫal-di-i-ni-ni al-su-i-ši-ni </w:t>
      </w:r>
      <w:r w:rsidRPr="006F04E6">
        <w:rPr>
          <w:rFonts w:ascii="Times New Roman" w:hAnsi="Times New Roman"/>
          <w:vertAlign w:val="superscript"/>
          <w:lang w:val="en-GB"/>
        </w:rPr>
        <w:t>m</w:t>
      </w:r>
      <w:r w:rsidRPr="006F04E6">
        <w:rPr>
          <w:rFonts w:ascii="Times New Roman" w:hAnsi="Times New Roman"/>
          <w:lang w:val="en-GB"/>
        </w:rPr>
        <w:t xml:space="preserve">mì-nu-a-ni </w:t>
      </w:r>
      <w:r w:rsidRPr="006F04E6">
        <w:rPr>
          <w:rFonts w:ascii="Times New Roman" w:hAnsi="Times New Roman"/>
          <w:vertAlign w:val="superscript"/>
          <w:lang w:val="en-GB"/>
        </w:rPr>
        <w:t>m</w:t>
      </w:r>
      <w:r w:rsidRPr="006F04E6">
        <w:rPr>
          <w:rFonts w:ascii="Times New Roman" w:hAnsi="Times New Roman"/>
          <w:lang w:val="en-GB"/>
        </w:rPr>
        <w:t xml:space="preserve">iš-pu-ú-i-ni-ḫi MAN </w:t>
      </w:r>
      <w:r w:rsidRPr="006F04E6">
        <w:rPr>
          <w:rFonts w:ascii="Times New Roman" w:hAnsi="Times New Roman"/>
          <w:i/>
          <w:lang w:val="en-GB"/>
        </w:rPr>
        <w:t>DAN-NU</w:t>
      </w:r>
      <w:r w:rsidRPr="006F04E6">
        <w:rPr>
          <w:rFonts w:ascii="Times New Roman" w:hAnsi="Times New Roman"/>
          <w:lang w:val="en-GB"/>
        </w:rPr>
        <w:t xml:space="preserve"> MAN al-su-ú-[</w:t>
      </w:r>
      <w:r w:rsidRPr="006F04E6">
        <w:rPr>
          <w:rFonts w:ascii="Times New Roman" w:hAnsi="Times New Roman"/>
          <w:u w:val="single"/>
          <w:lang w:val="en-GB"/>
        </w:rPr>
        <w:t xml:space="preserve">i-ni MAN </w:t>
      </w:r>
      <w:r w:rsidRPr="006F04E6">
        <w:rPr>
          <w:rFonts w:ascii="Times New Roman" w:hAnsi="Times New Roman"/>
          <w:u w:val="single"/>
          <w:vertAlign w:val="superscript"/>
          <w:lang w:val="en-GB"/>
        </w:rPr>
        <w:t>KUR</w:t>
      </w:r>
      <w:r w:rsidRPr="006F04E6">
        <w:rPr>
          <w:rFonts w:ascii="Times New Roman" w:hAnsi="Times New Roman"/>
          <w:u w:val="single"/>
          <w:lang w:val="en-GB"/>
        </w:rPr>
        <w:t>bi-ia-i-na-ú-e</w:t>
      </w:r>
      <w:r w:rsidRPr="006F04E6">
        <w:rPr>
          <w:rFonts w:ascii="Times New Roman" w:hAnsi="Times New Roman"/>
          <w:lang w:val="en-GB"/>
        </w:rPr>
        <w:t xml:space="preserve">] a-lu-si </w:t>
      </w:r>
      <w:r w:rsidRPr="006F04E6">
        <w:rPr>
          <w:rFonts w:ascii="Times New Roman" w:hAnsi="Times New Roman"/>
          <w:vertAlign w:val="superscript"/>
          <w:lang w:val="en-GB"/>
        </w:rPr>
        <w:t>URU</w:t>
      </w:r>
      <w:r w:rsidRPr="006F04E6">
        <w:rPr>
          <w:rFonts w:ascii="Times New Roman" w:hAnsi="Times New Roman"/>
          <w:lang w:val="en-GB"/>
        </w:rPr>
        <w:t>ṭu-uš-pa-a URU</w:t>
      </w:r>
    </w:p>
    <w:p w14:paraId="1043DC51" w14:textId="77777777" w:rsidR="00B4516E" w:rsidRPr="006F04E6" w:rsidRDefault="00B4516E" w:rsidP="00B4516E">
      <w:pPr>
        <w:ind w:left="567" w:right="-21" w:hanging="567"/>
        <w:rPr>
          <w:rFonts w:ascii="Times New Roman" w:hAnsi="Times New Roman"/>
          <w:lang w:val="en-GB"/>
        </w:rPr>
      </w:pPr>
    </w:p>
    <w:p w14:paraId="1667D436"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color w:val="202124"/>
          <w:lang w:val="en-GB"/>
        </w:rPr>
      </w:pPr>
      <w:r w:rsidRPr="006F04E6">
        <w:rPr>
          <w:rFonts w:ascii="Times New Roman" w:hAnsi="Times New Roman"/>
          <w:b/>
          <w:color w:val="202124"/>
          <w:lang w:val="en-GB"/>
        </w:rPr>
        <w:t>CTU I. A 5-2: Translation</w:t>
      </w:r>
    </w:p>
    <w:p w14:paraId="2844EBB8"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“(1) Thanks to the protection of Ḫaldi,</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lang w:val="en-GB"/>
        </w:rPr>
        <w:instrText>Ḫaldi</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Minua</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son of Išpuini</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lang w:val="en-GB"/>
        </w:rPr>
        <w:instrText>Išpuini</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says: when I laid the foundations of the door (ie: of the temple) of Ḫaldi, when I built the door (ie: the temple) of Ḫaldi, I prostra[ted myself] before Ḫaldi, I prayed to the god Ḫaldi. Ca[me (the moment of) the Erkuaic</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color w:val="202124"/>
          <w:lang w:val="en-GB"/>
        </w:rPr>
        <w:instrText>Erkuaic</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country]; I marched (2) towards the Erkuaic (country), conque[red  the city of Lu]ḫiuni of the Erkuaic country, I devastated the country of Etiu/Etiuḫi/Etiuni</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color w:val="202124"/>
          <w:lang w:val="en-GB"/>
        </w:rPr>
        <w:instrText>Etiu/Etiuḫi/Etiuni</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Minua, son of Išpuini, says: the city of Luḫiuni</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lang w:val="en-GB"/>
        </w:rPr>
        <w:instrText>Luḫiuni</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royal city of the [Erk]ua country, (3) which (= city) no one else had (ever) besieged, Ḫaldi gave it to Minua, son of Išpuini. He took Luḫiuni, subjected the land of Etiu/Etiuḫi/Etiuni</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color w:val="202124"/>
          <w:lang w:val="en-GB"/>
        </w:rPr>
        <w:instrText>Etiu/Etiuḫi/Etiuni</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to tribute, 50 myriads [+ x thousands and x hundreds of males and females, per]sons (4) [in the year]; some I killed some alive I deported. 1733 horses, 7616 oxen, 15320 sheep from there came to the king, both what (regardless of how much) the soldiers [raided when I occupied(?) the country]. Thanks to the protection [of Ḫaldi] (5) Minua, son of Išpuini, [says: the har]em(?) of the(?) City of Ṭušpa (where) never any king before(?) had brought so many women, indeed Minua, son of Išpuini (scil. he did it) [from] the city of Luḫiuni; [a group? of women and men] in the? city of Ṭušpa (6) are / are. Gurdari of women in the? [city of Ae]lia in the country of Diruni; gurdari city of  ’Alṭuquia</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color w:val="202124"/>
          <w:lang w:val="en-GB"/>
        </w:rPr>
        <w:instrText>Alṭuquia</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in the town of Ṣiadḫini</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color w:val="202124"/>
          <w:lang w:val="en-GB"/>
        </w:rPr>
        <w:instrText>Ṣiadḫini</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For the greatness of Ḫaldi (I am) Minua, son of Išpuini, the powerful king, the great king, the king of the country of Biainili</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lang w:val="en-GB"/>
        </w:rPr>
        <w:instrText>Biainili</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the lord of the city of Ṭušpa”. gurdari is an unknown term that occurs only here in</w:t>
      </w:r>
    </w:p>
    <w:p w14:paraId="7713ABFC"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lines 5-6 The translation of the final part of the text, before the actual title, is absolutely uncertain. However, it is very likely that there is talk of the destination of the deportees, women and men, in the capital Ṭušpa</w:t>
      </w:r>
      <w:r w:rsidRPr="006F04E6">
        <w:rPr>
          <w:rFonts w:ascii="Times New Roman" w:eastAsia="Times New Roman" w:hAnsi="Times New Roman" w:cs="Times New Roman"/>
          <w:iCs/>
          <w:color w:val="202124"/>
          <w:lang w:val="en-GB" w:eastAsia="it-IT"/>
        </w:rPr>
        <w:fldChar w:fldCharType="begin"/>
      </w:r>
      <w:r w:rsidRPr="006F04E6">
        <w:rPr>
          <w:rFonts w:ascii="Calibri" w:eastAsia="Calibri" w:hAnsi="Calibri" w:cs="Arial"/>
          <w:lang w:val="en-GB"/>
        </w:rPr>
        <w:instrText xml:space="preserve"> XE "</w:instrText>
      </w:r>
      <w:r w:rsidRPr="006F04E6">
        <w:rPr>
          <w:rFonts w:ascii="Times New Roman" w:eastAsia="Calibri" w:hAnsi="Times New Roman" w:cs="Times New Roman"/>
          <w:iCs/>
          <w:color w:val="000000"/>
          <w:lang w:val="en-GB"/>
        </w:rPr>
        <w:instrText>Ṭušpa</w:instrText>
      </w:r>
      <w:r w:rsidRPr="006F04E6">
        <w:rPr>
          <w:rFonts w:ascii="Calibri" w:eastAsia="Calibri" w:hAnsi="Calibri" w:cs="Arial"/>
          <w:lang w:val="en-GB"/>
        </w:rPr>
        <w:instrText xml:space="preserve">" </w:instrText>
      </w:r>
      <w:r w:rsidRPr="006F04E6">
        <w:rPr>
          <w:rFonts w:ascii="Times New Roman" w:eastAsia="Times New Roman" w:hAnsi="Times New Roman" w:cs="Times New Roman"/>
          <w:iCs/>
          <w:color w:val="202124"/>
          <w:lang w:val="en-GB" w:eastAsia="it-IT"/>
        </w:rPr>
        <w:fldChar w:fldCharType="end"/>
      </w:r>
      <w:r w:rsidRPr="006F04E6">
        <w:rPr>
          <w:rFonts w:ascii="Times New Roman" w:hAnsi="Times New Roman"/>
          <w:color w:val="202124"/>
          <w:lang w:val="en-GB"/>
        </w:rPr>
        <w:t xml:space="preserve"> and in other cities of the kingdom.”</w:t>
      </w:r>
    </w:p>
    <w:p w14:paraId="48B9E0F3"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1DF7B49A"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GB" w:eastAsia="it-IT"/>
        </w:rPr>
      </w:pPr>
      <w:r w:rsidRPr="006F04E6">
        <w:rPr>
          <w:rFonts w:ascii="Times New Roman" w:hAnsi="Times New Roman"/>
          <w:color w:val="202124"/>
          <w:lang w:val="en-GB"/>
        </w:rPr>
        <w:t xml:space="preserve">The comparison with the other Templar duplicates led to the reconstruction of the following text, </w:t>
      </w:r>
      <w:r w:rsidRPr="006F04E6">
        <w:rPr>
          <w:rFonts w:ascii="Times New Roman" w:hAnsi="Times New Roman"/>
        </w:rPr>
        <w:t>which turns out to be the duplicate disassembled from a temple building in Van Fortress.</w:t>
      </w:r>
      <w:r w:rsidRPr="006F04E6">
        <w:rPr>
          <w:rFonts w:ascii="Times New Roman" w:eastAsia="Times New Roman" w:hAnsi="Times New Roman" w:cs="Times New Roman"/>
          <w:color w:val="202124"/>
          <w:lang w:val="en-GB" w:eastAsia="it-IT"/>
        </w:rPr>
        <w:t xml:space="preserve"> </w:t>
      </w:r>
    </w:p>
    <w:p w14:paraId="42D8481E"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GB" w:eastAsia="it-IT"/>
        </w:rPr>
      </w:pPr>
    </w:p>
    <w:p w14:paraId="7E538E5F"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GB" w:eastAsia="it-IT"/>
        </w:rPr>
      </w:pPr>
    </w:p>
    <w:p w14:paraId="6689CCCB"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4F82725E"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5A6A6C32"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b/>
          <w:color w:val="202124"/>
          <w:lang w:val="en-GB"/>
        </w:rPr>
      </w:pPr>
      <w:r w:rsidRPr="006F04E6">
        <w:rPr>
          <w:rFonts w:ascii="Times New Roman" w:hAnsi="Times New Roman"/>
          <w:b/>
          <w:lang w:val="en-GB"/>
        </w:rPr>
        <w:t xml:space="preserve">CTU I. A 5-2F   </w:t>
      </w:r>
    </w:p>
    <w:p w14:paraId="3FC59128" w14:textId="77777777" w:rsidR="00B4516E" w:rsidRPr="006F04E6" w:rsidRDefault="00B4516E" w:rsidP="00B4516E">
      <w:pPr>
        <w:ind w:left="567" w:right="-21" w:hanging="567"/>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t xml:space="preserve">[. . . </w:t>
      </w:r>
      <w:r w:rsidRPr="006F04E6">
        <w:rPr>
          <w:rFonts w:ascii="Times New Roman" w:hAnsi="Times New Roman"/>
          <w:vertAlign w:val="superscript"/>
          <w:lang w:val="en-GB"/>
        </w:rPr>
        <w:t>URU</w:t>
      </w:r>
      <w:r w:rsidRPr="006F04E6">
        <w:rPr>
          <w:rFonts w:ascii="Times New Roman" w:hAnsi="Times New Roman"/>
          <w:lang w:val="en-GB"/>
        </w:rPr>
        <w:t>lu-(ú-ḫi-i-ú-n)]</w:t>
      </w:r>
      <w:r w:rsidRPr="006F04E6">
        <w:rPr>
          <w:rFonts w:ascii="Times New Roman" w:hAnsi="Times New Roman"/>
          <w:b/>
          <w:lang w:val="en-GB"/>
        </w:rPr>
        <w:t>i-ni URU MAN-s</w:t>
      </w:r>
      <w:r w:rsidRPr="006F04E6">
        <w:rPr>
          <w:rFonts w:ascii="Times New Roman" w:hAnsi="Times New Roman"/>
          <w:lang w:val="en-GB"/>
        </w:rPr>
        <w:t xml:space="preserve">[i </w:t>
      </w:r>
      <w:r w:rsidRPr="006F04E6">
        <w:rPr>
          <w:rFonts w:ascii="Times New Roman" w:hAnsi="Times New Roman"/>
          <w:vertAlign w:val="superscript"/>
          <w:lang w:val="en-GB"/>
        </w:rPr>
        <w:t>m</w:t>
      </w:r>
      <w:r w:rsidRPr="006F04E6">
        <w:rPr>
          <w:rFonts w:ascii="Times New Roman" w:hAnsi="Times New Roman"/>
          <w:lang w:val="en-GB"/>
        </w:rPr>
        <w:t>er-e-ku-ú-(a-ḫi-i-ni-e-i a-li-e ú-i a-i-še-e-i a-ni-e-i) qa</w:t>
      </w:r>
      <w:r w:rsidRPr="006F04E6">
        <w:rPr>
          <w:rFonts w:ascii="Times New Roman" w:hAnsi="Times New Roman"/>
          <w:b/>
          <w:lang w:val="en-GB"/>
        </w:rPr>
        <w:t>]-ab-qa-</w:t>
      </w:r>
      <w:r w:rsidRPr="006F04E6">
        <w:rPr>
          <w:rFonts w:ascii="Cambria Math" w:hAnsi="Cambria Math"/>
          <w:b/>
          <w:lang w:val="en-GB"/>
        </w:rPr>
        <w:t>⌈</w:t>
      </w:r>
      <w:r w:rsidRPr="006F04E6">
        <w:rPr>
          <w:rFonts w:ascii="Times New Roman" w:hAnsi="Times New Roman"/>
          <w:b/>
          <w:lang w:val="en-GB"/>
        </w:rPr>
        <w:t>ar</w:t>
      </w:r>
      <w:r w:rsidRPr="006F04E6">
        <w:rPr>
          <w:rFonts w:ascii="Cambria Math" w:hAnsi="Cambria Math"/>
          <w:b/>
          <w:lang w:val="en-GB"/>
        </w:rPr>
        <w:t>⌉</w:t>
      </w:r>
      <w:r w:rsidRPr="006F04E6">
        <w:rPr>
          <w:rFonts w:ascii="Times New Roman" w:hAnsi="Times New Roman"/>
          <w:b/>
          <w:lang w:val="en-GB"/>
        </w:rPr>
        <w:t>-[(</w:t>
      </w:r>
      <w:r w:rsidRPr="006F04E6">
        <w:rPr>
          <w:rFonts w:ascii="Times New Roman" w:hAnsi="Times New Roman"/>
          <w:lang w:val="en-GB"/>
        </w:rPr>
        <w:t xml:space="preserve">šú-la-la-ni a-ru-ú-ni </w:t>
      </w:r>
      <w:r w:rsidRPr="006F04E6">
        <w:rPr>
          <w:rFonts w:ascii="Times New Roman" w:hAnsi="Times New Roman"/>
          <w:vertAlign w:val="superscript"/>
          <w:lang w:val="en-GB"/>
        </w:rPr>
        <w:t>D</w:t>
      </w:r>
      <w:r w:rsidRPr="006F04E6">
        <w:rPr>
          <w:rFonts w:ascii="Times New Roman" w:hAnsi="Times New Roman"/>
          <w:lang w:val="en-GB"/>
        </w:rPr>
        <w:t>ḫal-di-i-še)]</w:t>
      </w:r>
    </w:p>
    <w:p w14:paraId="195E80F4" w14:textId="77777777" w:rsidR="00B4516E" w:rsidRPr="006F04E6" w:rsidRDefault="00B4516E" w:rsidP="00B4516E">
      <w:pPr>
        <w:ind w:left="567" w:right="-21" w:hanging="567"/>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 xml:space="preserve">mì-i-nu-ú-a </w:t>
      </w:r>
      <w:r w:rsidRPr="006F04E6">
        <w:rPr>
          <w:rFonts w:ascii="Times New Roman" w:hAnsi="Times New Roman"/>
          <w:vertAlign w:val="superscript"/>
          <w:lang w:val="en-GB"/>
        </w:rPr>
        <w:t>m</w:t>
      </w:r>
      <w:r w:rsidRPr="006F04E6">
        <w:rPr>
          <w:rFonts w:ascii="Times New Roman" w:hAnsi="Times New Roman"/>
          <w:lang w:val="en-GB"/>
        </w:rPr>
        <w:t>iš)]</w:t>
      </w:r>
      <w:r w:rsidRPr="006F04E6">
        <w:rPr>
          <w:rFonts w:ascii="Times New Roman" w:hAnsi="Times New Roman"/>
          <w:b/>
          <w:lang w:val="en-GB"/>
        </w:rPr>
        <w:t>-pu-ú-i-ni-ḫi</w:t>
      </w:r>
      <w:r w:rsidRPr="006F04E6">
        <w:rPr>
          <w:rFonts w:ascii="Times New Roman" w:hAnsi="Times New Roman"/>
          <w:lang w:val="en-GB"/>
        </w:rPr>
        <w:t xml:space="preserve">-[(ni-i-e ḫa-a-ú-ni </w:t>
      </w:r>
      <w:r w:rsidRPr="006F04E6">
        <w:rPr>
          <w:rFonts w:ascii="Times New Roman" w:hAnsi="Times New Roman"/>
          <w:vertAlign w:val="superscript"/>
          <w:lang w:val="en-GB"/>
        </w:rPr>
        <w:t>URU</w:t>
      </w:r>
      <w:r w:rsidRPr="006F04E6">
        <w:rPr>
          <w:rFonts w:ascii="Times New Roman" w:hAnsi="Times New Roman"/>
          <w:lang w:val="en-GB"/>
        </w:rPr>
        <w:t>lu-ú-ḫi-ú-ni-i)]-</w:t>
      </w:r>
      <w:r w:rsidRPr="006F04E6">
        <w:rPr>
          <w:rFonts w:ascii="Times New Roman" w:hAnsi="Times New Roman"/>
          <w:b/>
          <w:lang w:val="en-GB"/>
        </w:rPr>
        <w:t>ni ʾa-a-a</w:t>
      </w:r>
      <w:r w:rsidRPr="006F04E6">
        <w:rPr>
          <w:rFonts w:ascii="Times New Roman" w:hAnsi="Times New Roman"/>
          <w:lang w:val="en-GB"/>
        </w:rPr>
        <w:t xml:space="preserve">[(l-d)]u-[(ú-ni </w:t>
      </w:r>
      <w:r w:rsidRPr="006F04E6">
        <w:rPr>
          <w:rFonts w:ascii="Times New Roman" w:hAnsi="Times New Roman"/>
          <w:vertAlign w:val="superscript"/>
          <w:lang w:val="en-GB"/>
        </w:rPr>
        <w:t>KUR</w:t>
      </w:r>
      <w:r w:rsidRPr="006F04E6">
        <w:rPr>
          <w:rFonts w:ascii="Times New Roman" w:hAnsi="Times New Roman"/>
          <w:lang w:val="en-GB"/>
        </w:rPr>
        <w:t>e-ti-i-ú-ni-i-ni me-e-ši-i-ni pi-e-i)]</w:t>
      </w:r>
    </w:p>
    <w:p w14:paraId="5985C6D0" w14:textId="77777777" w:rsidR="00B4516E" w:rsidRPr="006F04E6" w:rsidRDefault="00B4516E" w:rsidP="00B4516E">
      <w:pPr>
        <w:ind w:left="567" w:right="-21" w:hanging="567"/>
        <w:rPr>
          <w:rFonts w:ascii="Times New Roman" w:hAnsi="Times New Roman"/>
          <w:lang w:val="en-GB"/>
        </w:rPr>
      </w:pPr>
      <w:r w:rsidRPr="006F04E6">
        <w:rPr>
          <w:rFonts w:ascii="Times New Roman" w:hAnsi="Times New Roman"/>
          <w:lang w:val="en-GB"/>
        </w:rPr>
        <w:t xml:space="preserve">3'    </w:t>
      </w:r>
      <w:r w:rsidRPr="006F04E6">
        <w:rPr>
          <w:rFonts w:ascii="Times New Roman" w:hAnsi="Times New Roman"/>
          <w:lang w:val="en-GB"/>
        </w:rPr>
        <w:tab/>
        <w:t xml:space="preserve">[(50 a-ti)-bi-e x LIM x ME x ʾa-še(?) </w:t>
      </w:r>
      <w:r w:rsidRPr="006F04E6">
        <w:rPr>
          <w:rFonts w:ascii="Times New Roman" w:hAnsi="Times New Roman"/>
          <w:vertAlign w:val="superscript"/>
          <w:lang w:val="en-GB"/>
        </w:rPr>
        <w:t>LÚ</w:t>
      </w:r>
      <w:r w:rsidRPr="006F04E6">
        <w:rPr>
          <w:rFonts w:ascii="Times New Roman" w:hAnsi="Times New Roman"/>
          <w:lang w:val="en-GB"/>
        </w:rPr>
        <w:t xml:space="preserve">ú-e-di-a-ni(?)] </w:t>
      </w:r>
      <w:r w:rsidRPr="006F04E6">
        <w:rPr>
          <w:rFonts w:ascii="Times New Roman" w:hAnsi="Times New Roman"/>
          <w:b/>
          <w:vertAlign w:val="superscript"/>
          <w:lang w:val="en-GB"/>
        </w:rPr>
        <w:t>LÚ</w:t>
      </w:r>
      <w:r w:rsidRPr="006F04E6">
        <w:rPr>
          <w:rFonts w:ascii="Times New Roman" w:hAnsi="Times New Roman"/>
          <w:b/>
          <w:lang w:val="en-GB"/>
        </w:rPr>
        <w:t>ta-ar</w:t>
      </w:r>
      <w:r w:rsidRPr="006F04E6">
        <w:rPr>
          <w:rFonts w:ascii="Times New Roman" w:hAnsi="Times New Roman"/>
          <w:lang w:val="en-GB"/>
        </w:rPr>
        <w:t>-[(šú-ú-ʾa-ni) MU (a-li-ki</w:t>
      </w:r>
      <w:r w:rsidRPr="006F04E6">
        <w:rPr>
          <w:rFonts w:ascii="Times New Roman" w:hAnsi="Times New Roman"/>
          <w:vertAlign w:val="subscript"/>
          <w:lang w:val="en-GB"/>
        </w:rPr>
        <w:t>4</w:t>
      </w:r>
      <w:r w:rsidRPr="006F04E6">
        <w:rPr>
          <w:rFonts w:ascii="Times New Roman" w:hAnsi="Times New Roman"/>
          <w:lang w:val="en-GB"/>
        </w:rPr>
        <w:t xml:space="preserve"> za-áš-gu-ú-bi-e a)]-</w:t>
      </w:r>
      <w:r w:rsidRPr="006F04E6">
        <w:rPr>
          <w:rFonts w:ascii="Times New Roman" w:hAnsi="Times New Roman"/>
          <w:b/>
          <w:lang w:val="en-GB"/>
        </w:rPr>
        <w:t>li-ki</w:t>
      </w:r>
      <w:r w:rsidRPr="006F04E6">
        <w:rPr>
          <w:rFonts w:ascii="Times New Roman" w:hAnsi="Times New Roman"/>
          <w:b/>
          <w:vertAlign w:val="subscript"/>
          <w:lang w:val="en-GB"/>
        </w:rPr>
        <w:t xml:space="preserve">4 </w:t>
      </w:r>
      <w:r w:rsidRPr="006F04E6">
        <w:rPr>
          <w:rFonts w:ascii="Times New Roman" w:hAnsi="Times New Roman"/>
          <w:b/>
          <w:lang w:val="en-GB"/>
        </w:rPr>
        <w:t>še-ḫ</w:t>
      </w:r>
      <w:r w:rsidRPr="006F04E6">
        <w:rPr>
          <w:rFonts w:ascii="Times New Roman" w:hAnsi="Times New Roman"/>
          <w:lang w:val="en-GB"/>
        </w:rPr>
        <w:t>[(i-e-ri a-gu-ú-bi 1 LIM 7 ME 33)]</w:t>
      </w:r>
    </w:p>
    <w:p w14:paraId="7C28FFE9" w14:textId="77777777" w:rsidR="00B4516E" w:rsidRPr="006F04E6" w:rsidRDefault="00B4516E" w:rsidP="00B4516E">
      <w:pPr>
        <w:ind w:left="567" w:right="-21" w:hanging="567"/>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[(ANŠE.KUR.RA</w:t>
      </w:r>
      <w:r w:rsidRPr="006F04E6">
        <w:rPr>
          <w:rFonts w:ascii="Times New Roman" w:hAnsi="Times New Roman"/>
          <w:vertAlign w:val="superscript"/>
          <w:lang w:val="en-GB"/>
        </w:rPr>
        <w:t xml:space="preserve">MEŠ </w:t>
      </w:r>
      <w:r w:rsidRPr="006F04E6">
        <w:rPr>
          <w:rFonts w:ascii="Times New Roman" w:hAnsi="Times New Roman"/>
          <w:lang w:val="en-GB"/>
        </w:rPr>
        <w:t xml:space="preserve">7 LIM 6 ME 1)]6 </w:t>
      </w:r>
      <w:r w:rsidRPr="006F04E6">
        <w:rPr>
          <w:rFonts w:ascii="Times New Roman" w:hAnsi="Times New Roman"/>
          <w:b/>
          <w:vertAlign w:val="superscript"/>
          <w:lang w:val="en-GB"/>
        </w:rPr>
        <w:t>GU4</w:t>
      </w:r>
      <w:r w:rsidRPr="006F04E6">
        <w:rPr>
          <w:rFonts w:ascii="Times New Roman" w:hAnsi="Times New Roman"/>
          <w:b/>
          <w:lang w:val="en-GB"/>
        </w:rPr>
        <w:t>pa-ḫi-ni</w:t>
      </w:r>
      <w:r w:rsidRPr="006F04E6">
        <w:rPr>
          <w:rFonts w:ascii="Times New Roman" w:hAnsi="Times New Roman"/>
          <w:lang w:val="en-GB"/>
        </w:rPr>
        <w:t xml:space="preserve"> [(a-ti-i-bi-e 5 LIM 3 ME 20 </w:t>
      </w:r>
      <w:r w:rsidRPr="006F04E6">
        <w:rPr>
          <w:rFonts w:ascii="Times New Roman" w:hAnsi="Times New Roman"/>
          <w:vertAlign w:val="superscript"/>
          <w:lang w:val="en-GB"/>
        </w:rPr>
        <w:t>UDU</w:t>
      </w:r>
      <w:r w:rsidRPr="006F04E6">
        <w:rPr>
          <w:rFonts w:ascii="Times New Roman" w:hAnsi="Times New Roman"/>
          <w:lang w:val="en-GB"/>
        </w:rPr>
        <w:t xml:space="preserve">šú-ú-še i-na-a)]-ni MAN nu-n[(a-a-bi) . . . </w:t>
      </w:r>
    </w:p>
    <w:p w14:paraId="4BEE927E" w14:textId="77777777" w:rsidR="00B4516E" w:rsidRPr="006F04E6" w:rsidRDefault="00B4516E" w:rsidP="00B4516E">
      <w:pPr>
        <w:ind w:left="567" w:right="-21" w:hanging="567"/>
        <w:jc w:val="both"/>
        <w:rPr>
          <w:rFonts w:ascii="Times New Roman" w:hAnsi="Times New Roman"/>
          <w:lang w:val="en-GB"/>
        </w:rPr>
      </w:pPr>
    </w:p>
    <w:p w14:paraId="1A76C790"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In this version</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the text is arranged differently from the other five duplicates that decorated the façade of at least two tower temples in Körzüt</w:t>
      </w:r>
      <w:r w:rsidRPr="006F04E6">
        <w:rPr>
          <w:rFonts w:ascii="Times New Roman" w:eastAsia="Times New Roman"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"Körzüt"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 xml:space="preserve">(Kuvanç, Işık &amp;Genç, 2020: 112-138). The two residual fragments allow </w:t>
      </w:r>
      <w:r w:rsidRPr="006F04E6">
        <w:rPr>
          <w:rFonts w:ascii="Times New Roman" w:eastAsia="Times New Roman" w:hAnsi="Times New Roman" w:cs="Times New Roman"/>
          <w:color w:val="202124"/>
          <w:lang w:val="en-GB" w:eastAsia="it-IT"/>
        </w:rPr>
        <w:t>the reconstruction of</w:t>
      </w:r>
      <w:r w:rsidRPr="006F04E6">
        <w:rPr>
          <w:rFonts w:ascii="Times New Roman" w:hAnsi="Times New Roman"/>
          <w:color w:val="202124"/>
          <w:lang w:val="en-GB"/>
        </w:rPr>
        <w:t xml:space="preserve"> approximately a section of 4 lines of text, which correspond to the content of only two lines and 1/3 of the other duplicates. It is evident that above and below</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the text was engraved on other rows of stones. Above</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the one that can be reconstructed here had to be the contents of a line and 2/3, while the one below covered 3 and 1/3. I guess this text was written equally in 6 lines, engraved on several rows of stones, probably </w:t>
      </w:r>
      <w:r w:rsidRPr="006F04E6">
        <w:rPr>
          <w:rFonts w:ascii="Times New Roman" w:hAnsi="Times New Roman"/>
          <w:color w:val="202124"/>
          <w:lang w:val="en-GB"/>
        </w:rPr>
        <w:lastRenderedPageBreak/>
        <w:t>placed on the facade of a temple, like the duplicates of the Muradiye</w:t>
      </w:r>
      <w:r w:rsidRPr="006F04E6">
        <w:rPr>
          <w:rFonts w:ascii="Times New Roman" w:eastAsia="Times New Roman"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"Muradiye"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 xml:space="preserve">area. </w:t>
      </w:r>
      <w:r w:rsidRPr="006F04E6">
        <w:rPr>
          <w:rFonts w:ascii="Times New Roman" w:hAnsi="Times New Roman"/>
        </w:rPr>
        <w:t xml:space="preserve">We can assume that </w:t>
      </w:r>
      <w:r w:rsidRPr="006F04E6">
        <w:rPr>
          <w:rFonts w:ascii="Times New Roman" w:eastAsia="Times New Roman" w:hAnsi="Times New Roman" w:cs="Times New Roman"/>
          <w:color w:val="202124"/>
          <w:lang w:val="en-GB" w:eastAsia="it-IT"/>
        </w:rPr>
        <w:t>Minua</w:t>
      </w:r>
      <w:r w:rsidRPr="006F04E6">
        <w:rPr>
          <w:rFonts w:ascii="Times New Roman" w:eastAsia="Times New Roman" w:hAnsi="Times New Roman" w:cs="Times New Roman"/>
          <w:color w:val="202124"/>
          <w:lang w:val="en-GB" w:eastAsia="it-IT"/>
        </w:rPr>
        <w:fldChar w:fldCharType="begin"/>
      </w:r>
      <w:r w:rsidRPr="006F04E6">
        <w:instrText xml:space="preserve"> XE "</w:instrText>
      </w:r>
      <w:r w:rsidRPr="006F04E6">
        <w:rPr>
          <w:rFonts w:ascii="Times New Roman" w:eastAsia="Calibri" w:hAnsi="Times New Roman" w:cs="Times New Roman"/>
          <w:lang w:val="en-GB"/>
        </w:rPr>
        <w:instrText>Minua</w:instrText>
      </w:r>
      <w:r w:rsidRPr="006F04E6">
        <w:instrText xml:space="preserve">" </w:instrText>
      </w:r>
      <w:r w:rsidRPr="006F04E6">
        <w:rPr>
          <w:rFonts w:ascii="Times New Roman" w:eastAsia="Times New Roman" w:hAnsi="Times New Roman" w:cs="Times New Roman"/>
          <w:color w:val="202124"/>
          <w:lang w:val="en-GB" w:eastAsia="it-IT"/>
        </w:rPr>
        <w:fldChar w:fldCharType="end"/>
      </w:r>
      <w:r w:rsidRPr="006F04E6">
        <w:rPr>
          <w:rFonts w:ascii="Times New Roman" w:eastAsia="Times New Roman" w:hAnsi="Times New Roman" w:cs="Times New Roman"/>
          <w:color w:val="202124"/>
          <w:lang w:val="en-GB" w:eastAsia="it-IT"/>
        </w:rPr>
        <w:t xml:space="preserve"> built his susi temple </w:t>
      </w:r>
      <w:r w:rsidRPr="006F04E6">
        <w:rPr>
          <w:rFonts w:ascii="Times New Roman" w:hAnsi="Times New Roman"/>
        </w:rPr>
        <w:t>at the highest point of Van Fortress</w:t>
      </w:r>
      <w:r w:rsidRPr="006F04E6">
        <w:rPr>
          <w:rFonts w:ascii="Times New Roman" w:eastAsia="Times New Roman" w:hAnsi="Times New Roman" w:cs="Times New Roman"/>
          <w:color w:val="202124"/>
          <w:lang w:val="en-GB" w:eastAsia="it-IT"/>
        </w:rPr>
        <w:t>. In terms of</w:t>
      </w:r>
      <w:r w:rsidRPr="006F04E6">
        <w:rPr>
          <w:rFonts w:ascii="Times New Roman" w:hAnsi="Times New Roman"/>
        </w:rPr>
        <w:t xml:space="preserve"> proportion, the text that can be reconstructed on the top of Van Fortress could have a length of about 10 meters, but we cannot know how the text was arranged, whether only on the facade or in the corridor. From the comparison of the duplicate F with the others</w:t>
      </w:r>
      <w:r w:rsidRPr="006F04E6">
        <w:rPr>
          <w:rFonts w:ascii="Times New Roman" w:eastAsia="Times New Roman" w:hAnsi="Times New Roman" w:cs="Times New Roman"/>
          <w:color w:val="202124"/>
          <w:lang w:val="en-GB" w:eastAsia="it-IT"/>
        </w:rPr>
        <w:t>,</w:t>
      </w:r>
      <w:r w:rsidRPr="006F04E6">
        <w:rPr>
          <w:rFonts w:ascii="Times New Roman" w:hAnsi="Times New Roman"/>
        </w:rPr>
        <w:t xml:space="preserve"> it can be seen how this is deliberately shorter </w:t>
      </w:r>
      <w:r w:rsidRPr="006F04E6">
        <w:rPr>
          <w:rFonts w:ascii="Times New Roman" w:eastAsia="Times New Roman" w:hAnsi="Times New Roman" w:cs="Times New Roman"/>
          <w:color w:val="202124"/>
          <w:lang w:val="en-GB" w:eastAsia="it-IT"/>
        </w:rPr>
        <w:t>by eliminating</w:t>
      </w:r>
      <w:r w:rsidRPr="006F04E6">
        <w:rPr>
          <w:rFonts w:ascii="Times New Roman" w:hAnsi="Times New Roman"/>
        </w:rPr>
        <w:t xml:space="preserve"> the </w:t>
      </w:r>
      <w:r w:rsidRPr="006F04E6">
        <w:rPr>
          <w:rFonts w:ascii="Times New Roman" w:eastAsia="Times New Roman" w:hAnsi="Times New Roman" w:cs="Times New Roman"/>
          <w:color w:val="202124"/>
          <w:lang w:val="en-GB" w:eastAsia="it-IT"/>
        </w:rPr>
        <w:t>descriptions</w:t>
      </w:r>
      <w:r w:rsidRPr="006F04E6">
        <w:rPr>
          <w:rFonts w:ascii="Times New Roman" w:hAnsi="Times New Roman"/>
        </w:rPr>
        <w:t xml:space="preserve"> plenae and </w:t>
      </w:r>
      <w:r w:rsidRPr="006F04E6">
        <w:rPr>
          <w:rFonts w:ascii="Times New Roman" w:eastAsia="Times New Roman" w:hAnsi="Times New Roman" w:cs="Times New Roman"/>
          <w:color w:val="202124"/>
          <w:lang w:val="en-GB" w:eastAsia="it-IT"/>
        </w:rPr>
        <w:t>using</w:t>
      </w:r>
      <w:r w:rsidRPr="006F04E6">
        <w:rPr>
          <w:rFonts w:ascii="Times New Roman" w:hAnsi="Times New Roman"/>
        </w:rPr>
        <w:t xml:space="preserve"> logograms instead of phonetically written words.</w:t>
      </w:r>
    </w:p>
    <w:p w14:paraId="59D2A658"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both"/>
        <w:outlineLvl w:val="3"/>
        <w:rPr>
          <w:rFonts w:ascii="Times New Roman" w:hAnsi="Times New Roman"/>
        </w:rPr>
      </w:pPr>
      <w:r w:rsidRPr="006F04E6">
        <w:rPr>
          <w:rFonts w:ascii="Times New Roman" w:hAnsi="Times New Roman"/>
          <w:b/>
          <w:bCs/>
        </w:rPr>
        <w:t>4.2.3.2. Annals of Minua</w:t>
      </w:r>
      <w:r w:rsidRPr="006F04E6">
        <w:rPr>
          <w:rFonts w:ascii="Times New Roman" w:hAnsi="Times New Roman"/>
          <w:b/>
          <w:bCs/>
        </w:rPr>
        <w:fldChar w:fldCharType="begin"/>
      </w:r>
      <w:r w:rsidRPr="006F04E6">
        <w:rPr>
          <w:rFonts w:ascii="Courier New" w:hAnsi="Courier New"/>
          <w:b/>
          <w:bCs/>
          <w:lang w:val="en-GB"/>
        </w:rPr>
        <w:instrText xml:space="preserve"> XE "</w:instrText>
      </w:r>
      <w:r w:rsidRPr="006F04E6">
        <w:rPr>
          <w:rFonts w:ascii="Times New Roman" w:hAnsi="Times New Roman"/>
          <w:b/>
          <w:bCs/>
          <w:lang w:val="en-GB"/>
        </w:rPr>
        <w:instrText>Minua</w:instrText>
      </w:r>
      <w:r w:rsidRPr="006F04E6">
        <w:rPr>
          <w:rFonts w:ascii="Courier New" w:hAnsi="Courier New"/>
          <w:b/>
          <w:bCs/>
          <w:lang w:val="en-GB"/>
        </w:rPr>
        <w:instrText xml:space="preserve">" </w:instrText>
      </w:r>
      <w:r w:rsidRPr="006F04E6">
        <w:rPr>
          <w:rFonts w:ascii="Times New Roman" w:hAnsi="Times New Roman"/>
          <w:b/>
          <w:bCs/>
        </w:rPr>
        <w:fldChar w:fldCharType="end"/>
      </w:r>
      <w:r w:rsidRPr="006F04E6">
        <w:rPr>
          <w:rFonts w:ascii="Times New Roman" w:hAnsi="Times New Roman"/>
          <w:b/>
          <w:bCs/>
        </w:rPr>
        <w:t>?</w:t>
      </w:r>
      <w:r w:rsidRPr="006F04E6">
        <w:rPr>
          <w:rFonts w:ascii="Times New Roman" w:hAnsi="Times New Roman"/>
        </w:rPr>
        <w:t xml:space="preserve"> </w:t>
      </w:r>
      <w:r w:rsidRPr="006F04E6">
        <w:rPr>
          <w:rFonts w:ascii="Times New Roman" w:hAnsi="Times New Roman"/>
          <w:b/>
          <w:lang w:val="en-GB"/>
        </w:rPr>
        <w:t xml:space="preserve">CTU I. </w:t>
      </w:r>
      <w:r w:rsidRPr="006F04E6">
        <w:rPr>
          <w:rFonts w:ascii="Times New Roman" w:hAnsi="Times New Roman"/>
        </w:rPr>
        <w:t xml:space="preserve">A 5-9, (Fig. 20-21)     </w:t>
      </w:r>
    </w:p>
    <w:p w14:paraId="01445F4E"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Stone inscribed horizontally on the upper face (u. f.) and the front face (f. f.). It is not a stele</w:t>
      </w:r>
      <w:r w:rsidRPr="006F04E6">
        <w:rPr>
          <w:rFonts w:ascii="Times New Roman" w:eastAsia="Arial" w:hAnsi="Times New Roman" w:cs="Times New Roman"/>
          <w:color w:val="202124"/>
          <w:lang w:val="en-GB" w:eastAsia="it-IT"/>
        </w:rPr>
        <w:t>—dimensions</w:t>
      </w:r>
      <w:r w:rsidRPr="006F04E6">
        <w:rPr>
          <w:rFonts w:ascii="Times New Roman" w:hAnsi="Times New Roman"/>
        </w:rPr>
        <w:t>: height 45 cm, width 143 cm</w:t>
      </w:r>
      <w:r w:rsidRPr="006F04E6">
        <w:rPr>
          <w:rFonts w:ascii="Times New Roman" w:eastAsia="Arial" w:hAnsi="Times New Roman" w:cs="Times New Roman"/>
          <w:color w:val="202124"/>
          <w:lang w:val="en-GB" w:eastAsia="it-IT"/>
        </w:rPr>
        <w:t>, depth</w:t>
      </w:r>
      <w:r w:rsidRPr="006F04E6">
        <w:rPr>
          <w:rFonts w:ascii="Times New Roman" w:hAnsi="Times New Roman"/>
        </w:rPr>
        <w:t xml:space="preserve"> 60 cm.</w:t>
      </w:r>
    </w:p>
    <w:p w14:paraId="3708E4F0"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w:hAnsi="Times New Roman" w:cs="Times New Roman"/>
          <w:color w:val="202124"/>
          <w:lang w:val="en-GB" w:eastAsia="it-IT"/>
        </w:rPr>
      </w:pPr>
      <w:r w:rsidRPr="006F04E6">
        <w:rPr>
          <w:rFonts w:ascii="Times New Roman" w:hAnsi="Times New Roman"/>
        </w:rPr>
        <w:t xml:space="preserve"> The upper face has a cylindrical hollow with a raised edge, probably used for libations (see also CTU I. A 5-70). It was reused in Armenian</w:t>
      </w:r>
      <w:r w:rsidRPr="006F04E6">
        <w:rPr>
          <w:rFonts w:ascii="Times New Roman" w:eastAsia="Arial"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Armenian</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times as hačkar</w:t>
      </w:r>
      <w:r w:rsidRPr="006F04E6">
        <w:rPr>
          <w:rFonts w:ascii="Times New Roman" w:eastAsia="Arial" w:hAnsi="Times New Roman" w:cs="Times New Roman"/>
          <w:color w:val="202124"/>
          <w:lang w:val="en-GB" w:eastAsia="it-IT"/>
        </w:rPr>
        <w:t>.</w:t>
      </w:r>
      <w:r w:rsidRPr="006F04E6">
        <w:rPr>
          <w:rFonts w:ascii="Times New Roman" w:hAnsi="Times New Roman"/>
        </w:rPr>
        <w:t xml:space="preserve"> In the transformation into a tomb stele, the Armenian cross was carved on the opposite side to the upper one, which was equally square and not inscribed, and a reduction in thickness was made on the left side to obtain the “foot” of the hačkar. This resulted in the loss of the initial signs on both inscribed areas. </w:t>
      </w:r>
      <w:r w:rsidRPr="006F04E6">
        <w:rPr>
          <w:rFonts w:ascii="Times New Roman" w:eastAsia="Arial" w:hAnsi="Times New Roman" w:cs="Times New Roman"/>
          <w:color w:val="202124"/>
          <w:lang w:val="en-GB" w:eastAsia="it-IT"/>
        </w:rPr>
        <w:t>However,</w:t>
      </w:r>
      <w:r w:rsidRPr="006F04E6">
        <w:rPr>
          <w:rFonts w:ascii="Times New Roman" w:hAnsi="Times New Roman"/>
        </w:rPr>
        <w:t xml:space="preserve"> the current one does not represent the beginning of the text</w:t>
      </w:r>
      <w:r w:rsidRPr="006F04E6">
        <w:rPr>
          <w:rFonts w:ascii="Times New Roman" w:eastAsia="Arial" w:hAnsi="Times New Roman" w:cs="Times New Roman"/>
          <w:color w:val="202124"/>
          <w:lang w:val="en-GB" w:eastAsia="it-IT"/>
        </w:rPr>
        <w:t xml:space="preserve"> or</w:t>
      </w:r>
      <w:r w:rsidRPr="006F04E6">
        <w:rPr>
          <w:rFonts w:ascii="Times New Roman" w:hAnsi="Times New Roman"/>
        </w:rPr>
        <w:t xml:space="preserve"> its conclusion. It is only an intermediate stone that is part of a complex structure that cannot be reconstructed, which </w:t>
      </w:r>
      <w:r w:rsidRPr="006F04E6">
        <w:rPr>
          <w:rFonts w:ascii="Times New Roman" w:eastAsia="Arial" w:hAnsi="Times New Roman" w:cs="Times New Roman"/>
          <w:color w:val="202124"/>
          <w:lang w:val="en-GB" w:eastAsia="it-IT"/>
        </w:rPr>
        <w:t>contains</w:t>
      </w:r>
      <w:r w:rsidRPr="006F04E6">
        <w:rPr>
          <w:rFonts w:ascii="Times New Roman" w:hAnsi="Times New Roman"/>
        </w:rPr>
        <w:t xml:space="preserve"> a much longer text, which could be defined as the ‘Annals of Minua'</w:t>
      </w:r>
      <w:r w:rsidRPr="006F04E6">
        <w:rPr>
          <w:rFonts w:ascii="Times New Roman" w:eastAsia="Arial" w:hAnsi="Times New Roman" w:cs="Times New Roman"/>
          <w:color w:val="202124"/>
          <w:lang w:val="en-GB" w:eastAsia="it-IT"/>
        </w:rPr>
        <w:t xml:space="preserve">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"Minua"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Some fragments of CTU I. A 5-98, inserted in the north wall of the citadel on the Rock of Van</w:t>
      </w:r>
      <w:r w:rsidRPr="006F04E6">
        <w:rPr>
          <w:rFonts w:ascii="Times New Roman" w:eastAsia="Arial" w:hAnsi="Times New Roman" w:cs="Times New Roman"/>
          <w:color w:val="202124"/>
          <w:lang w:val="en-GB" w:eastAsia="it-IT"/>
        </w:rPr>
        <w:t>,</w:t>
      </w:r>
      <w:r w:rsidRPr="006F04E6">
        <w:rPr>
          <w:rFonts w:ascii="Times New Roman" w:hAnsi="Times New Roman"/>
        </w:rPr>
        <w:t xml:space="preserve"> could belong to a duplicate of these ‘Annals</w:t>
      </w:r>
      <w:r w:rsidRPr="006F04E6">
        <w:rPr>
          <w:rFonts w:ascii="Times New Roman" w:eastAsia="Arial" w:hAnsi="Times New Roman" w:cs="Times New Roman"/>
          <w:color w:val="202124"/>
          <w:lang w:val="en-GB" w:eastAsia="it-IT"/>
        </w:rPr>
        <w:t>’.</w:t>
      </w:r>
      <w:r w:rsidRPr="006F04E6">
        <w:rPr>
          <w:rFonts w:ascii="Times New Roman" w:hAnsi="Times New Roman"/>
        </w:rPr>
        <w:t xml:space="preserve"> CTU I. A 5-9 comes from the double church of Surp Boğos (St Paul</w:t>
      </w:r>
      <w:r w:rsidRPr="006F04E6">
        <w:rPr>
          <w:rFonts w:ascii="Times New Roman" w:eastAsia="Arial" w:hAnsi="Times New Roman" w:cs="Times New Roman"/>
          <w:color w:val="202124"/>
          <w:lang w:val="en-GB" w:eastAsia="it-IT"/>
        </w:rPr>
        <w:t>)</w:t>
      </w:r>
      <w:r w:rsidRPr="006F04E6">
        <w:rPr>
          <w:rFonts w:ascii="Times New Roman" w:hAnsi="Times New Roman"/>
        </w:rPr>
        <w:t xml:space="preserve"> and Surb Petros</w:t>
      </w:r>
      <w:r w:rsidRPr="006F04E6">
        <w:rPr>
          <w:rFonts w:ascii="Times New Roman" w:eastAsia="Arial" w:hAnsi="Times New Roman" w:cs="Times New Roman"/>
          <w:color w:val="202124"/>
          <w:lang w:val="en-GB" w:eastAsia="it-IT"/>
        </w:rPr>
        <w:t> </w:t>
      </w:r>
      <w:r w:rsidRPr="006F04E6">
        <w:rPr>
          <w:rFonts w:ascii="Times New Roman" w:hAnsi="Times New Roman"/>
        </w:rPr>
        <w:t>(St Peter) in Old Van City</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Old Van City</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now destroyed.</w:t>
      </w:r>
      <w:r w:rsidRPr="006F04E6">
        <w:rPr>
          <w:rFonts w:ascii="Times New Roman" w:eastAsia="Arial" w:hAnsi="Times New Roman" w:cs="Times New Roman"/>
          <w:color w:val="202124"/>
          <w:lang w:val="en-GB" w:eastAsia="it-IT"/>
        </w:rPr>
        <w:t> </w:t>
      </w:r>
      <w:r w:rsidRPr="006F04E6">
        <w:rPr>
          <w:rFonts w:ascii="Times New Roman" w:hAnsi="Times New Roman"/>
        </w:rPr>
        <w:t xml:space="preserve"> It is exhibited in the Van Museum</w:t>
      </w:r>
      <w:r w:rsidRPr="006F04E6">
        <w:rPr>
          <w:rFonts w:ascii="Times New Roman" w:eastAsia="Arial"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Van Museum</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Upper face, 140 x 61.5 cm. The original is 165 cm wide. Circular recess similar to a patera: diameter of the outer circle 28 cm, of the inner circle 19 cm, depth 6 cm.</w:t>
      </w:r>
    </w:p>
    <w:p w14:paraId="6B43AE77"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eastAsia="Arial" w:hAnsi="Times New Roman" w:cs="Times New Roman"/>
          <w:color w:val="202124"/>
          <w:lang w:val="en-GB" w:eastAsia="it-IT"/>
        </w:rPr>
        <w:t>This</w:t>
      </w:r>
      <w:r w:rsidRPr="006F04E6">
        <w:rPr>
          <w:rFonts w:ascii="Times New Roman" w:hAnsi="Times New Roman"/>
          <w:color w:val="202124"/>
          <w:lang w:val="en-GB"/>
        </w:rPr>
        <w:t xml:space="preserve"> face was originally a horizontal plane</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and the circular recess was probably used for offerings. We have to imagine an inscription on several stones, with the presence of a stele (a trace on the anepigraphic rear face shows it), now disappeared, which contained the beginning of the text. This stone has the appearance of an altar.</w:t>
      </w:r>
    </w:p>
    <w:p w14:paraId="1E890A63"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This text must be put after CTU I. A 5-2 (in many duplicates</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speaks of expeditions to the north.</w:t>
      </w:r>
    </w:p>
    <w:p w14:paraId="0A6034E3"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 xml:space="preserve">            </w:t>
      </w:r>
    </w:p>
    <w:p w14:paraId="27D98F6E" w14:textId="77777777" w:rsidR="00B4516E" w:rsidRPr="006F04E6" w:rsidRDefault="00B4516E" w:rsidP="00B4516E">
      <w:pPr>
        <w:ind w:left="567" w:right="-21" w:hanging="567"/>
        <w:jc w:val="both"/>
        <w:rPr>
          <w:rFonts w:ascii="Times New Roman" w:hAnsi="Times New Roman"/>
          <w:b/>
          <w:lang w:val="en-GB"/>
        </w:rPr>
      </w:pPr>
      <w:r w:rsidRPr="006F04E6">
        <w:rPr>
          <w:rFonts w:ascii="Times New Roman" w:hAnsi="Times New Roman"/>
          <w:b/>
          <w:lang w:val="en-GB"/>
        </w:rPr>
        <w:t xml:space="preserve">CTU I. A 5-9 Upper Face    </w:t>
      </w:r>
    </w:p>
    <w:p w14:paraId="606033D2"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t>[</w:t>
      </w:r>
      <w:r w:rsidRPr="006F04E6">
        <w:rPr>
          <w:rFonts w:ascii="Times New Roman" w:hAnsi="Times New Roman"/>
          <w:vertAlign w:val="superscript"/>
          <w:lang w:val="en-GB"/>
        </w:rPr>
        <w:t>D</w:t>
      </w:r>
      <w:r w:rsidRPr="006F04E6">
        <w:rPr>
          <w:rFonts w:ascii="Times New Roman" w:hAnsi="Times New Roman"/>
          <w:lang w:val="en-GB"/>
        </w:rPr>
        <w:t xml:space="preserve">ḫal-di-ni uš-ta-b]i ma-[s]i-ni </w:t>
      </w:r>
      <w:r w:rsidRPr="006F04E6">
        <w:rPr>
          <w:rFonts w:ascii="Times New Roman" w:hAnsi="Times New Roman"/>
          <w:vertAlign w:val="superscript"/>
          <w:lang w:val="en-GB"/>
        </w:rPr>
        <w:t>GIŠ</w:t>
      </w:r>
      <w:r w:rsidRPr="006F04E6">
        <w:rPr>
          <w:rFonts w:ascii="Times New Roman" w:hAnsi="Times New Roman"/>
          <w:lang w:val="en-GB"/>
        </w:rPr>
        <w:t xml:space="preserve">šú-ri-e ka-ru-[ni] </w:t>
      </w:r>
      <w:r w:rsidRPr="006F04E6">
        <w:rPr>
          <w:rFonts w:ascii="Times New Roman" w:hAnsi="Times New Roman"/>
          <w:vertAlign w:val="superscript"/>
          <w:lang w:val="en-GB"/>
        </w:rPr>
        <w:t>K</w:t>
      </w:r>
      <w:r w:rsidRPr="006F04E6">
        <w:rPr>
          <w:rFonts w:ascii="Times New Roman" w:hAnsi="Times New Roman"/>
          <w:lang w:val="en-GB"/>
        </w:rPr>
        <w:t>[</w:t>
      </w:r>
      <w:r w:rsidRPr="006F04E6">
        <w:rPr>
          <w:rFonts w:ascii="Times New Roman" w:hAnsi="Times New Roman"/>
          <w:vertAlign w:val="superscript"/>
          <w:lang w:val="en-GB"/>
        </w:rPr>
        <w:t>UR</w:t>
      </w:r>
      <w:r w:rsidRPr="006F04E6">
        <w:rPr>
          <w:rFonts w:ascii="Times New Roman" w:hAnsi="Times New Roman"/>
          <w:lang w:val="en-GB"/>
        </w:rPr>
        <w:t xml:space="preserve">x-x-x </w:t>
      </w:r>
      <w:r w:rsidRPr="006F04E6">
        <w:rPr>
          <w:rFonts w:ascii="Times New Roman" w:hAnsi="Times New Roman"/>
          <w:vertAlign w:val="superscript"/>
          <w:lang w:val="en-GB"/>
        </w:rPr>
        <w:t>D</w:t>
      </w:r>
      <w:r w:rsidRPr="006F04E6">
        <w:rPr>
          <w:rFonts w:ascii="Times New Roman" w:hAnsi="Times New Roman"/>
          <w:lang w:val="en-GB"/>
        </w:rPr>
        <w:t>ḫal-di]</w:t>
      </w:r>
    </w:p>
    <w:p w14:paraId="65B0D65B"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t xml:space="preserve">[ku-ru-ni </w:t>
      </w:r>
      <w:r w:rsidRPr="006F04E6">
        <w:rPr>
          <w:rFonts w:ascii="Times New Roman" w:hAnsi="Times New Roman"/>
          <w:vertAlign w:val="superscript"/>
          <w:lang w:val="en-GB"/>
        </w:rPr>
        <w:t>D</w:t>
      </w:r>
      <w:r w:rsidRPr="006F04E6">
        <w:rPr>
          <w:rFonts w:ascii="Times New Roman" w:hAnsi="Times New Roman"/>
          <w:lang w:val="en-GB"/>
        </w:rPr>
        <w:t xml:space="preserve">ḫal-di]-ni </w:t>
      </w:r>
      <w:r w:rsidRPr="006F04E6">
        <w:rPr>
          <w:rFonts w:ascii="Times New Roman" w:hAnsi="Times New Roman"/>
          <w:vertAlign w:val="superscript"/>
          <w:lang w:val="en-GB"/>
        </w:rPr>
        <w:t>GIŠ</w:t>
      </w:r>
      <w:r w:rsidRPr="006F04E6">
        <w:rPr>
          <w:rFonts w:ascii="Times New Roman" w:hAnsi="Times New Roman"/>
          <w:lang w:val="en-GB"/>
        </w:rPr>
        <w:t xml:space="preserve">šú-ri-i ku-ru-ni </w:t>
      </w:r>
      <w:r w:rsidRPr="006F04E6">
        <w:rPr>
          <w:rFonts w:ascii="Times New Roman" w:hAnsi="Times New Roman"/>
          <w:vertAlign w:val="superscript"/>
          <w:lang w:val="en-GB"/>
        </w:rPr>
        <w:t>D</w:t>
      </w:r>
      <w:r w:rsidRPr="006F04E6">
        <w:rPr>
          <w:rFonts w:ascii="Times New Roman" w:hAnsi="Times New Roman"/>
          <w:lang w:val="en-GB"/>
        </w:rPr>
        <w:t>ḫal-di-ni-ni u[š-ma-ši-ni]</w:t>
      </w:r>
    </w:p>
    <w:p w14:paraId="4C1C3D72"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 xml:space="preserve">[uš-ta-bi] </w:t>
      </w:r>
      <w:r w:rsidRPr="006F04E6">
        <w:rPr>
          <w:rFonts w:ascii="Times New Roman" w:hAnsi="Times New Roman"/>
          <w:vertAlign w:val="superscript"/>
          <w:lang w:val="en-GB"/>
        </w:rPr>
        <w:t>m</w:t>
      </w:r>
      <w:r w:rsidRPr="006F04E6">
        <w:rPr>
          <w:rFonts w:ascii="Times New Roman" w:hAnsi="Times New Roman"/>
          <w:lang w:val="en-GB"/>
        </w:rPr>
        <w:t xml:space="preserve">mì-nu-a-ni </w:t>
      </w:r>
      <w:r w:rsidRPr="006F04E6">
        <w:rPr>
          <w:rFonts w:ascii="Times New Roman" w:hAnsi="Times New Roman"/>
          <w:vertAlign w:val="superscript"/>
          <w:lang w:val="en-GB"/>
        </w:rPr>
        <w:t>m</w:t>
      </w:r>
      <w:r w:rsidRPr="006F04E6">
        <w:rPr>
          <w:rFonts w:ascii="Times New Roman" w:hAnsi="Times New Roman"/>
          <w:lang w:val="en-GB"/>
        </w:rPr>
        <w:t>iš-pu-ú-i-ni-ḫi ú-lu-u[š-ta-bi]</w:t>
      </w:r>
    </w:p>
    <w:p w14:paraId="726E16D4"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w:t>
      </w:r>
      <w:r w:rsidRPr="006F04E6">
        <w:rPr>
          <w:rFonts w:ascii="Times New Roman" w:hAnsi="Times New Roman"/>
          <w:vertAlign w:val="superscript"/>
          <w:lang w:val="en-GB"/>
        </w:rPr>
        <w:t>D</w:t>
      </w:r>
      <w:r w:rsidRPr="006F04E6">
        <w:rPr>
          <w:rFonts w:ascii="Times New Roman" w:hAnsi="Times New Roman"/>
          <w:lang w:val="en-GB"/>
        </w:rPr>
        <w:t xml:space="preserve">ḫal-di]-ni </w:t>
      </w:r>
      <w:r w:rsidRPr="006F04E6">
        <w:rPr>
          <w:rFonts w:ascii="Times New Roman" w:hAnsi="Times New Roman"/>
          <w:vertAlign w:val="superscript"/>
          <w:lang w:val="en-GB"/>
        </w:rPr>
        <w:t>m</w:t>
      </w:r>
      <w:r w:rsidRPr="006F04E6">
        <w:rPr>
          <w:rFonts w:ascii="Times New Roman" w:hAnsi="Times New Roman"/>
          <w:lang w:val="en-GB"/>
        </w:rPr>
        <w:t>mì-nu-a-še a-li-e a-ma-áš-tú-bi KUR-</w:t>
      </w:r>
      <w:r w:rsidRPr="006F04E6">
        <w:rPr>
          <w:rFonts w:ascii="Cambria Math" w:hAnsi="Cambria Math"/>
          <w:lang w:val="en-GB"/>
        </w:rPr>
        <w:t>⌈</w:t>
      </w:r>
      <w:r w:rsidRPr="006F04E6">
        <w:rPr>
          <w:rFonts w:ascii="Times New Roman" w:hAnsi="Times New Roman"/>
          <w:lang w:val="en-GB"/>
        </w:rPr>
        <w:t>ni-e?</w:t>
      </w:r>
      <w:r w:rsidRPr="006F04E6">
        <w:rPr>
          <w:rFonts w:ascii="Cambria Math" w:hAnsi="Cambria Math"/>
          <w:lang w:val="en-GB"/>
        </w:rPr>
        <w:t>⌉</w:t>
      </w:r>
    </w:p>
    <w:p w14:paraId="046EA9BF"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t xml:space="preserve">[x x </w:t>
      </w:r>
      <w:r w:rsidRPr="006F04E6">
        <w:rPr>
          <w:rFonts w:ascii="Times New Roman" w:hAnsi="Times New Roman"/>
          <w:vertAlign w:val="superscript"/>
          <w:lang w:val="en-GB"/>
        </w:rPr>
        <w:t>KUR</w:t>
      </w:r>
      <w:r w:rsidRPr="006F04E6">
        <w:rPr>
          <w:rFonts w:ascii="Times New Roman" w:hAnsi="Times New Roman"/>
          <w:lang w:val="en-GB"/>
        </w:rPr>
        <w:t xml:space="preserve">]ma-na-ni </w:t>
      </w:r>
      <w:r w:rsidRPr="006F04E6">
        <w:rPr>
          <w:rFonts w:ascii="Times New Roman" w:hAnsi="Times New Roman"/>
          <w:vertAlign w:val="superscript"/>
          <w:lang w:val="en-GB"/>
        </w:rPr>
        <w:t>KUR</w:t>
      </w:r>
      <w:r w:rsidRPr="006F04E6">
        <w:rPr>
          <w:rFonts w:ascii="Times New Roman" w:hAnsi="Times New Roman"/>
          <w:lang w:val="en-GB"/>
        </w:rPr>
        <w:t>ba-ba-na-a-ḫi GAR-bi i-ku-ka-ni MU</w:t>
      </w:r>
    </w:p>
    <w:p w14:paraId="2472B910"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t xml:space="preserve">[x x x]-du-bi e-ḫi-ni-ni KUR-ni-ni </w:t>
      </w:r>
      <w:r w:rsidRPr="006F04E6">
        <w:rPr>
          <w:rFonts w:ascii="Times New Roman" w:hAnsi="Times New Roman"/>
          <w:vertAlign w:val="superscript"/>
          <w:lang w:val="en-GB"/>
        </w:rPr>
        <w:t>URU</w:t>
      </w:r>
      <w:r w:rsidRPr="006F04E6">
        <w:rPr>
          <w:rFonts w:ascii="Times New Roman" w:hAnsi="Times New Roman"/>
          <w:lang w:val="en-GB"/>
        </w:rPr>
        <w:t>qa-li-bi-li-a-ni</w:t>
      </w:r>
    </w:p>
    <w:p w14:paraId="603268E3"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 xml:space="preserve">[x x ]x-i ḫu-bi </w:t>
      </w:r>
      <w:r w:rsidRPr="006F04E6">
        <w:rPr>
          <w:rFonts w:ascii="Times New Roman" w:hAnsi="Times New Roman"/>
          <w:vertAlign w:val="superscript"/>
          <w:lang w:val="en-GB"/>
        </w:rPr>
        <w:t>URU</w:t>
      </w:r>
      <w:r w:rsidRPr="006F04E6">
        <w:rPr>
          <w:rFonts w:ascii="Times New Roman" w:hAnsi="Times New Roman"/>
          <w:lang w:val="en-GB"/>
        </w:rPr>
        <w:t xml:space="preserve">ar-pu-i-a-ni </w:t>
      </w:r>
      <w:r w:rsidRPr="006F04E6">
        <w:rPr>
          <w:rFonts w:ascii="Times New Roman" w:hAnsi="Times New Roman"/>
          <w:vertAlign w:val="superscript"/>
          <w:lang w:val="en-GB"/>
        </w:rPr>
        <w:t>KUR</w:t>
      </w:r>
      <w:r w:rsidRPr="006F04E6">
        <w:rPr>
          <w:rFonts w:ascii="Times New Roman" w:hAnsi="Times New Roman"/>
          <w:lang w:val="en-GB"/>
        </w:rPr>
        <w:t>ú-su-su-a-ni-ni</w:t>
      </w:r>
    </w:p>
    <w:p w14:paraId="08EEB0A6"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t>[x x-]</w:t>
      </w:r>
      <w:r w:rsidRPr="006F04E6">
        <w:rPr>
          <w:rFonts w:ascii="Cambria Math" w:hAnsi="Cambria Math"/>
          <w:lang w:val="en-GB"/>
        </w:rPr>
        <w:t>⌈</w:t>
      </w:r>
      <w:r w:rsidRPr="006F04E6">
        <w:rPr>
          <w:rFonts w:ascii="Times New Roman" w:hAnsi="Times New Roman"/>
          <w:lang w:val="en-GB"/>
        </w:rPr>
        <w:t>i</w:t>
      </w:r>
      <w:r w:rsidRPr="006F04E6">
        <w:rPr>
          <w:rFonts w:ascii="Cambria Math" w:hAnsi="Cambria Math"/>
          <w:lang w:val="en-GB"/>
        </w:rPr>
        <w:t>⌉</w:t>
      </w:r>
      <w:r w:rsidRPr="006F04E6">
        <w:rPr>
          <w:rFonts w:ascii="Times New Roman" w:hAnsi="Times New Roman"/>
          <w:lang w:val="en-GB"/>
        </w:rPr>
        <w:t xml:space="preserve">-ni </w:t>
      </w:r>
      <w:r w:rsidRPr="006F04E6">
        <w:rPr>
          <w:rFonts w:ascii="Times New Roman" w:hAnsi="Times New Roman"/>
          <w:vertAlign w:val="superscript"/>
          <w:lang w:val="en-GB"/>
        </w:rPr>
        <w:t>URU</w:t>
      </w:r>
      <w:r w:rsidRPr="006F04E6">
        <w:rPr>
          <w:rFonts w:ascii="Times New Roman" w:hAnsi="Times New Roman"/>
          <w:lang w:val="en-GB"/>
        </w:rPr>
        <w:t xml:space="preserve">ḫu-ul-me-e-ru-ú-ni </w:t>
      </w:r>
      <w:r w:rsidRPr="006F04E6">
        <w:rPr>
          <w:rFonts w:ascii="Times New Roman" w:hAnsi="Times New Roman"/>
          <w:vertAlign w:val="superscript"/>
          <w:lang w:val="en-GB"/>
        </w:rPr>
        <w:t>m</w:t>
      </w:r>
      <w:r w:rsidRPr="006F04E6">
        <w:rPr>
          <w:rFonts w:ascii="Times New Roman" w:hAnsi="Times New Roman"/>
          <w:lang w:val="en-GB"/>
        </w:rPr>
        <w:t>tú-ú-šú-ri-e-ḫi</w:t>
      </w:r>
    </w:p>
    <w:p w14:paraId="47FB7E29"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t xml:space="preserve">[x x ] i-šá-ni ap-ti-ni </w:t>
      </w:r>
      <w:r w:rsidRPr="006F04E6">
        <w:rPr>
          <w:rFonts w:ascii="Times New Roman" w:hAnsi="Times New Roman"/>
          <w:vertAlign w:val="superscript"/>
          <w:lang w:val="en-GB"/>
        </w:rPr>
        <w:t>KUR</w:t>
      </w:r>
      <w:r w:rsidRPr="006F04E6">
        <w:rPr>
          <w:rFonts w:ascii="Times New Roman" w:hAnsi="Times New Roman"/>
          <w:lang w:val="en-GB"/>
        </w:rPr>
        <w:t xml:space="preserve">mar-ma-a-ni </w:t>
      </w:r>
      <w:r w:rsidRPr="006F04E6">
        <w:rPr>
          <w:rFonts w:ascii="Times New Roman" w:hAnsi="Times New Roman"/>
          <w:vertAlign w:val="superscript"/>
          <w:lang w:val="en-GB"/>
        </w:rPr>
        <w:t>URU</w:t>
      </w:r>
      <w:r w:rsidRPr="006F04E6">
        <w:rPr>
          <w:rFonts w:ascii="Times New Roman" w:hAnsi="Times New Roman"/>
          <w:lang w:val="en-GB"/>
        </w:rPr>
        <w:t>e-ru-ú-ni</w:t>
      </w:r>
    </w:p>
    <w:p w14:paraId="1623CB08"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10</w:t>
      </w:r>
      <w:r w:rsidRPr="006F04E6">
        <w:rPr>
          <w:rFonts w:ascii="Times New Roman" w:hAnsi="Times New Roman"/>
          <w:lang w:val="en-GB"/>
        </w:rPr>
        <w:tab/>
        <w:t xml:space="preserve">[x x x-u]l-ḫi </w:t>
      </w:r>
      <w:r w:rsidRPr="006F04E6">
        <w:rPr>
          <w:rFonts w:ascii="Times New Roman" w:hAnsi="Times New Roman"/>
          <w:vertAlign w:val="superscript"/>
          <w:lang w:val="en-GB"/>
        </w:rPr>
        <w:t>URU</w:t>
      </w:r>
      <w:r w:rsidRPr="006F04E6">
        <w:rPr>
          <w:rFonts w:ascii="Times New Roman" w:hAnsi="Times New Roman"/>
          <w:lang w:val="en-GB"/>
        </w:rPr>
        <w:t xml:space="preserve">qi-ir-pu-nu-ni </w:t>
      </w:r>
      <w:r w:rsidRPr="006F04E6">
        <w:rPr>
          <w:rFonts w:ascii="Times New Roman" w:hAnsi="Times New Roman"/>
          <w:vertAlign w:val="superscript"/>
          <w:lang w:val="en-GB"/>
        </w:rPr>
        <w:t>KUR</w:t>
      </w:r>
      <w:r w:rsidRPr="006F04E6">
        <w:rPr>
          <w:rFonts w:ascii="Times New Roman" w:hAnsi="Times New Roman"/>
          <w:lang w:val="en-GB"/>
        </w:rPr>
        <w:t>ú-li-ba-a-ni ḫa-ú-bi</w:t>
      </w:r>
    </w:p>
    <w:p w14:paraId="7630A71A"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11</w:t>
      </w:r>
      <w:r w:rsidRPr="006F04E6">
        <w:rPr>
          <w:rFonts w:ascii="Times New Roman" w:hAnsi="Times New Roman"/>
          <w:lang w:val="en-GB"/>
        </w:rPr>
        <w:tab/>
        <w:t xml:space="preserve">[x x ]x-ú-ni a-ma-áš-tú-bi </w:t>
      </w:r>
      <w:r w:rsidRPr="006F04E6">
        <w:rPr>
          <w:rFonts w:ascii="Times New Roman" w:hAnsi="Times New Roman"/>
          <w:vertAlign w:val="superscript"/>
          <w:lang w:val="en-GB"/>
        </w:rPr>
        <w:t>KUR</w:t>
      </w:r>
      <w:r w:rsidRPr="006F04E6">
        <w:rPr>
          <w:rFonts w:ascii="Times New Roman" w:hAnsi="Times New Roman"/>
          <w:lang w:val="en-GB"/>
        </w:rPr>
        <w:t xml:space="preserve">di-ir-gu-ú-ni </w:t>
      </w:r>
      <w:r w:rsidRPr="006F04E6">
        <w:rPr>
          <w:rFonts w:ascii="Times New Roman" w:hAnsi="Times New Roman"/>
          <w:vertAlign w:val="superscript"/>
          <w:lang w:val="en-GB"/>
        </w:rPr>
        <w:t>URU</w:t>
      </w:r>
      <w:r w:rsidRPr="006F04E6">
        <w:rPr>
          <w:rFonts w:ascii="Times New Roman" w:hAnsi="Times New Roman"/>
          <w:lang w:val="en-GB"/>
        </w:rPr>
        <w:t>i-šá-la-a-ni</w:t>
      </w:r>
    </w:p>
    <w:p w14:paraId="43878F4D"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12</w:t>
      </w:r>
      <w:r w:rsidRPr="006F04E6">
        <w:rPr>
          <w:rFonts w:ascii="Times New Roman" w:hAnsi="Times New Roman"/>
          <w:lang w:val="en-GB"/>
        </w:rPr>
        <w:tab/>
        <w:t>[x x x ]x-ḫi-ni-e-i ḫa-ú-bi KUR-ni-i a-ma-áš-tú-bi ku-ṭu-bi pa-ri</w:t>
      </w:r>
    </w:p>
    <w:p w14:paraId="42914461"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13</w:t>
      </w:r>
      <w:r w:rsidRPr="006F04E6">
        <w:rPr>
          <w:rFonts w:ascii="Times New Roman" w:hAnsi="Times New Roman"/>
          <w:lang w:val="en-GB"/>
        </w:rPr>
        <w:tab/>
        <w:t xml:space="preserve">[x x i-na?]-ni ap-ti-i-ni </w:t>
      </w:r>
      <w:r w:rsidRPr="006F04E6">
        <w:rPr>
          <w:rFonts w:ascii="Times New Roman" w:hAnsi="Times New Roman"/>
          <w:vertAlign w:val="superscript"/>
          <w:lang w:val="en-GB"/>
        </w:rPr>
        <w:t>URU</w:t>
      </w:r>
      <w:r w:rsidRPr="006F04E6">
        <w:rPr>
          <w:rFonts w:ascii="Times New Roman" w:hAnsi="Times New Roman"/>
          <w:lang w:val="en-GB"/>
        </w:rPr>
        <w:t xml:space="preserve">qu-me-nu-ú-ni pa-ri </w:t>
      </w:r>
      <w:r w:rsidRPr="006F04E6">
        <w:rPr>
          <w:rFonts w:ascii="Times New Roman" w:hAnsi="Times New Roman"/>
          <w:vertAlign w:val="superscript"/>
          <w:lang w:val="en-GB"/>
        </w:rPr>
        <w:t>KUR</w:t>
      </w:r>
      <w:r w:rsidRPr="006F04E6">
        <w:rPr>
          <w:rFonts w:ascii="Times New Roman" w:hAnsi="Times New Roman"/>
          <w:lang w:val="en-GB"/>
        </w:rPr>
        <w:t>a-šú-ri-i-ni</w:t>
      </w:r>
    </w:p>
    <w:p w14:paraId="59F91B0C"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14</w:t>
      </w:r>
      <w:r w:rsidRPr="006F04E6">
        <w:rPr>
          <w:rFonts w:ascii="Times New Roman" w:hAnsi="Times New Roman"/>
          <w:lang w:val="en-GB"/>
        </w:rPr>
        <w:tab/>
        <w:t xml:space="preserve">[x LIM x ] ME 55 </w:t>
      </w:r>
      <w:r w:rsidRPr="006F04E6">
        <w:rPr>
          <w:rFonts w:ascii="Times New Roman" w:hAnsi="Times New Roman"/>
          <w:vertAlign w:val="superscript"/>
          <w:lang w:val="en-GB"/>
        </w:rPr>
        <w:t>LÚ</w:t>
      </w:r>
      <w:r w:rsidRPr="006F04E6">
        <w:rPr>
          <w:rFonts w:ascii="Times New Roman" w:hAnsi="Times New Roman"/>
          <w:lang w:val="en-GB"/>
        </w:rPr>
        <w:t>ta-ar-šú-a-ni MU a-li-ki</w:t>
      </w:r>
      <w:r w:rsidRPr="006F04E6">
        <w:rPr>
          <w:rFonts w:ascii="Times New Roman" w:hAnsi="Times New Roman"/>
          <w:vertAlign w:val="subscript"/>
          <w:lang w:val="en-GB"/>
        </w:rPr>
        <w:t>4</w:t>
      </w:r>
      <w:r w:rsidRPr="006F04E6">
        <w:rPr>
          <w:rFonts w:ascii="Times New Roman" w:hAnsi="Times New Roman"/>
          <w:lang w:val="en-GB"/>
        </w:rPr>
        <w:t xml:space="preserve"> za-áš-gu-bi a-li-k[i</w:t>
      </w:r>
      <w:r w:rsidRPr="006F04E6">
        <w:rPr>
          <w:rFonts w:ascii="Times New Roman" w:hAnsi="Times New Roman"/>
          <w:vertAlign w:val="subscript"/>
          <w:lang w:val="en-GB"/>
        </w:rPr>
        <w:t>4</w:t>
      </w:r>
      <w:r w:rsidRPr="006F04E6">
        <w:rPr>
          <w:rFonts w:ascii="Times New Roman" w:hAnsi="Times New Roman"/>
          <w:lang w:val="en-GB"/>
        </w:rPr>
        <w:t>]</w:t>
      </w:r>
    </w:p>
    <w:p w14:paraId="448F8515"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15</w:t>
      </w:r>
      <w:r w:rsidRPr="006F04E6">
        <w:rPr>
          <w:rFonts w:ascii="Times New Roman" w:hAnsi="Times New Roman"/>
          <w:lang w:val="en-GB"/>
        </w:rPr>
        <w:tab/>
        <w:t>[TI</w:t>
      </w:r>
      <w:r w:rsidRPr="006F04E6">
        <w:rPr>
          <w:rFonts w:ascii="Times New Roman" w:hAnsi="Times New Roman"/>
          <w:vertAlign w:val="superscript"/>
          <w:lang w:val="en-GB"/>
        </w:rPr>
        <w:t>MEŠ</w:t>
      </w:r>
      <w:r w:rsidRPr="006F04E6">
        <w:rPr>
          <w:rFonts w:ascii="Times New Roman" w:hAnsi="Times New Roman"/>
          <w:lang w:val="en-GB"/>
        </w:rPr>
        <w:t xml:space="preserve"> a-g]u-bi a-li ʾa-še ma-nu a-ru-bi </w:t>
      </w:r>
      <w:r w:rsidRPr="006F04E6">
        <w:rPr>
          <w:rFonts w:ascii="Times New Roman" w:hAnsi="Times New Roman"/>
          <w:vertAlign w:val="superscript"/>
          <w:lang w:val="en-GB"/>
        </w:rPr>
        <w:t>LÚ</w:t>
      </w:r>
      <w:r w:rsidRPr="006F04E6">
        <w:rPr>
          <w:rFonts w:ascii="Times New Roman" w:hAnsi="Times New Roman"/>
          <w:lang w:val="en-GB"/>
        </w:rPr>
        <w:t>ḫu-ra-di-na-ú-[e</w:t>
      </w:r>
      <w:r w:rsidRPr="006F04E6">
        <w:rPr>
          <w:rFonts w:ascii="Times New Roman" w:hAnsi="Times New Roman"/>
          <w:vertAlign w:val="superscript"/>
          <w:lang w:val="en-GB"/>
        </w:rPr>
        <w:t>MEŠ</w:t>
      </w:r>
      <w:r w:rsidRPr="006F04E6">
        <w:rPr>
          <w:rFonts w:ascii="Times New Roman" w:hAnsi="Times New Roman"/>
          <w:lang w:val="en-GB"/>
        </w:rPr>
        <w:t>]</w:t>
      </w:r>
    </w:p>
    <w:p w14:paraId="50F15BC8" w14:textId="77777777" w:rsidR="00B4516E" w:rsidRPr="006F04E6" w:rsidRDefault="00B4516E" w:rsidP="00B4516E">
      <w:pPr>
        <w:ind w:left="567" w:right="-21" w:hanging="567"/>
        <w:jc w:val="both"/>
        <w:rPr>
          <w:rFonts w:ascii="Times New Roman" w:hAnsi="Times New Roman"/>
          <w:lang w:val="en-GB"/>
        </w:rPr>
      </w:pPr>
    </w:p>
    <w:p w14:paraId="565AE9BD" w14:textId="77777777" w:rsidR="00B4516E" w:rsidRPr="00CC135C" w:rsidRDefault="00B4516E" w:rsidP="00B4516E">
      <w:pPr>
        <w:ind w:left="567" w:right="-21" w:hanging="567"/>
        <w:jc w:val="both"/>
        <w:rPr>
          <w:rFonts w:ascii="Times New Roman" w:hAnsi="Times New Roman"/>
          <w:lang w:val="en-GB"/>
        </w:rPr>
      </w:pPr>
      <w:r w:rsidRPr="00CC135C">
        <w:rPr>
          <w:rFonts w:ascii="Times New Roman" w:hAnsi="Times New Roman"/>
          <w:noProof/>
          <w:lang w:eastAsia="tr-TR"/>
        </w:rPr>
        <w:lastRenderedPageBreak/>
        <w:drawing>
          <wp:inline distT="0" distB="0" distL="0" distR="0" wp14:anchorId="6CBC79F9" wp14:editId="15A03999">
            <wp:extent cx="5307568" cy="2426941"/>
            <wp:effectExtent l="0" t="0" r="1270" b="0"/>
            <wp:docPr id="1696662874" name="Resim 1696662874" descr="dış mekan, bina, doğa,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62874" name="Resim 1696662874" descr="dış mekan, bina, doğa, sanat içeren bir resim&#10;&#10;Açıklama otomatik olarak oluşturuldu"/>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376535" cy="2458477"/>
                    </a:xfrm>
                    <a:prstGeom prst="rect">
                      <a:avLst/>
                    </a:prstGeom>
                    <a:noFill/>
                    <a:ln>
                      <a:noFill/>
                    </a:ln>
                  </pic:spPr>
                </pic:pic>
              </a:graphicData>
            </a:graphic>
          </wp:inline>
        </w:drawing>
      </w:r>
    </w:p>
    <w:p w14:paraId="78C5C894" w14:textId="77777777" w:rsidR="00B4516E" w:rsidRPr="00CC135C" w:rsidRDefault="00B4516E" w:rsidP="00B4516E">
      <w:pPr>
        <w:ind w:left="567" w:right="-21" w:hanging="567"/>
        <w:jc w:val="both"/>
        <w:rPr>
          <w:rFonts w:ascii="Times New Roman" w:hAnsi="Times New Roman"/>
          <w:lang w:val="en-GB"/>
        </w:rPr>
      </w:pPr>
      <w:r w:rsidRPr="00CC135C">
        <w:rPr>
          <w:rFonts w:ascii="Times New Roman" w:hAnsi="Times New Roman"/>
          <w:noProof/>
          <w:lang w:eastAsia="tr-TR"/>
        </w:rPr>
        <w:drawing>
          <wp:anchor distT="0" distB="0" distL="114300" distR="114300" simplePos="0" relativeHeight="251957248" behindDoc="1" locked="0" layoutInCell="1" allowOverlap="1" wp14:anchorId="3ECE6AE3" wp14:editId="0FE76B2C">
            <wp:simplePos x="0" y="0"/>
            <wp:positionH relativeFrom="margin">
              <wp:posOffset>41103</wp:posOffset>
            </wp:positionH>
            <wp:positionV relativeFrom="paragraph">
              <wp:posOffset>262169</wp:posOffset>
            </wp:positionV>
            <wp:extent cx="5543550" cy="1925955"/>
            <wp:effectExtent l="0" t="0" r="0" b="0"/>
            <wp:wrapTight wrapText="bothSides">
              <wp:wrapPolygon edited="0">
                <wp:start x="0" y="0"/>
                <wp:lineTo x="0" y="21365"/>
                <wp:lineTo x="21526" y="21365"/>
                <wp:lineTo x="21526" y="0"/>
                <wp:lineTo x="0" y="0"/>
              </wp:wrapPolygon>
            </wp:wrapTight>
            <wp:docPr id="595495236" name="Resim 595495236" descr="metin, mezar, mezarlık,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95236" name="Resim 595495236" descr="metin, mezar, mezarlık, dış mekan içeren bir resim&#10;&#10;Açıklama otomatik olarak oluşturuldu"/>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543550"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35C">
        <w:rPr>
          <w:rFonts w:ascii="Times New Roman" w:hAnsi="Times New Roman"/>
          <w:lang w:val="en-GB"/>
        </w:rPr>
        <w:t xml:space="preserve">Fig. 20 CTU A 5-9, Upper Side.                              </w:t>
      </w:r>
    </w:p>
    <w:p w14:paraId="56ACDC90" w14:textId="77777777" w:rsidR="00B4516E" w:rsidRDefault="00B4516E" w:rsidP="00B4516E">
      <w:pPr>
        <w:ind w:left="567" w:right="-21" w:hanging="567"/>
        <w:jc w:val="both"/>
        <w:rPr>
          <w:rFonts w:ascii="Times New Roman" w:hAnsi="Times New Roman"/>
          <w:lang w:val="en-GB"/>
        </w:rPr>
      </w:pPr>
      <w:r w:rsidRPr="00CC135C">
        <w:rPr>
          <w:rFonts w:ascii="Times New Roman" w:hAnsi="Times New Roman"/>
          <w:lang w:val="en-GB"/>
        </w:rPr>
        <w:t xml:space="preserve"> </w:t>
      </w:r>
    </w:p>
    <w:p w14:paraId="7321D34D" w14:textId="77777777" w:rsidR="00B4516E" w:rsidRPr="00CC135C" w:rsidRDefault="00B4516E" w:rsidP="00B4516E">
      <w:pPr>
        <w:ind w:left="567" w:right="-21" w:hanging="567"/>
        <w:jc w:val="both"/>
        <w:rPr>
          <w:rFonts w:asciiTheme="majorBidi" w:hAnsiTheme="majorBidi" w:cstheme="majorBidi"/>
          <w:lang w:val="en-GB"/>
        </w:rPr>
      </w:pPr>
      <w:r w:rsidRPr="00CC135C">
        <w:rPr>
          <w:rFonts w:asciiTheme="majorBidi" w:hAnsiTheme="majorBidi" w:cstheme="majorBidi"/>
          <w:lang w:val="en-GB"/>
        </w:rPr>
        <w:t>Fig. 21</w:t>
      </w:r>
      <w:r w:rsidRPr="00CC135C">
        <w:rPr>
          <w:rFonts w:asciiTheme="majorBidi" w:hAnsiTheme="majorBidi" w:cstheme="majorBidi"/>
          <w:b/>
          <w:lang w:val="en-GB"/>
        </w:rPr>
        <w:t xml:space="preserve"> </w:t>
      </w:r>
      <w:r w:rsidRPr="00CC135C">
        <w:rPr>
          <w:rFonts w:asciiTheme="majorBidi" w:hAnsiTheme="majorBidi" w:cstheme="majorBidi"/>
          <w:lang w:val="en-GB"/>
        </w:rPr>
        <w:t>CTU I. A 5-9, Front Face.</w:t>
      </w:r>
    </w:p>
    <w:p w14:paraId="73B42AA7" w14:textId="77777777" w:rsidR="00B4516E" w:rsidRPr="00CC135C" w:rsidRDefault="00B4516E" w:rsidP="00B4516E">
      <w:pPr>
        <w:ind w:left="567" w:right="-21" w:hanging="567"/>
        <w:jc w:val="both"/>
      </w:pPr>
    </w:p>
    <w:p w14:paraId="61D54845" w14:textId="77777777" w:rsidR="00B4516E" w:rsidRPr="00BE49B1"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s="Times New Roman"/>
        </w:rPr>
      </w:pPr>
      <w:r w:rsidRPr="00BE49B1">
        <w:rPr>
          <w:rFonts w:ascii="Times New Roman" w:hAnsi="Times New Roman" w:cs="Times New Roman"/>
        </w:rPr>
        <w:t>CTU I. A 5-9 Upper Face: Translation</w:t>
      </w:r>
    </w:p>
    <w:p w14:paraId="4E4265CB"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F04E6">
        <w:rPr>
          <w:rFonts w:ascii="Times New Roman" w:hAnsi="Times New Roman" w:cs="Times New Roman"/>
        </w:rPr>
        <w:t>“(1) [Ḫaldi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"Ḫaldi" </w:instrText>
      </w:r>
      <w:r w:rsidRPr="006F04E6">
        <w:rPr>
          <w:rFonts w:ascii="Times New Roman" w:hAnsi="Times New Roman" w:cs="Times New Roman"/>
        </w:rPr>
        <w:fldChar w:fldCharType="end"/>
      </w:r>
      <w:r w:rsidRPr="006F04E6">
        <w:rPr>
          <w:rFonts w:ascii="Times New Roman" w:hAnsi="Times New Roman" w:cs="Times New Roman"/>
        </w:rPr>
        <w:t xml:space="preserve"> left (to war)] with his spear (weapon), he won the cou[ntry of X. Ḫaldi (2) is victorious (?)], the spear of [Ḫal]di is victorious(?). Thanks to the power of Ḫaldi (3) [left (to war)] Minua</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"Minua" </w:instrText>
      </w:r>
      <w:r w:rsidRPr="006F04E6">
        <w:rPr>
          <w:rFonts w:ascii="Times New Roman" w:hAnsi="Times New Roman" w:cs="Times New Roman"/>
        </w:rPr>
        <w:fldChar w:fldCharType="end"/>
      </w:r>
      <w:r w:rsidRPr="006F04E6">
        <w:rPr>
          <w:rFonts w:ascii="Times New Roman" w:hAnsi="Times New Roman" w:cs="Times New Roman"/>
        </w:rPr>
        <w:t>, the son of Išpuini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"Išpuini" </w:instrText>
      </w:r>
      <w:r w:rsidRPr="006F04E6">
        <w:rPr>
          <w:rFonts w:ascii="Times New Roman" w:hAnsi="Times New Roman" w:cs="Times New Roman"/>
        </w:rPr>
        <w:fldChar w:fldCharType="end"/>
      </w:r>
      <w:r w:rsidRPr="006F04E6">
        <w:rPr>
          <w:rFonts w:ascii="Times New Roman" w:hAnsi="Times New Roman" w:cs="Times New Roman"/>
        </w:rPr>
        <w:t>, marched (4) [Ḫal]di in front of (the troops). Minua (7) says: I set the territory on fire, (5) [. . . the country] of Mana</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Mana</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a mountainous country, I installed (?). The same year (6) [. . .]to the . . . from the country, from</w:t>
      </w:r>
      <w:r w:rsidRPr="006F04E6">
        <w:t xml:space="preserve"> </w:t>
      </w:r>
      <w:r w:rsidRPr="006F04E6">
        <w:rPr>
          <w:rFonts w:ascii="Times New Roman" w:hAnsi="Times New Roman" w:cs="Times New Roman"/>
        </w:rPr>
        <w:t>the city of Qalibili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Qalibili</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xml:space="preserve"> (7) [. . .] to the valley of [. . .], from the city of Arpuia</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Arpuia</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from the town of Ususuani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Ususuani</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(8) [. . .] from the city of Ḫulmeru</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Ḫulmeru</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xml:space="preserve"> of (the) tribe of Tušuri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Tušuri</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(9) [. . .] from that part of the country of Marmani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Marmani</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the city of Eruni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Eruni</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(10) of [. . .], the city of Qirpunu</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Qirpunu</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(of) the country of Uliba</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Uliba</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xml:space="preserve"> I conquered, (11) [. . .-] I set in fire; the country of Dirguni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Dirguni</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xml:space="preserve"> and the town of Išala</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Išala</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xml:space="preserve"> (12) from [. . .] I conquered, the territory I set in fire, and came up to (13) [. . .] from this part of the city of Qumenu</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"Qumenu" </w:instrText>
      </w:r>
      <w:r w:rsidRPr="006F04E6">
        <w:rPr>
          <w:rFonts w:ascii="Times New Roman" w:hAnsi="Times New Roman" w:cs="Times New Roman"/>
        </w:rPr>
        <w:fldChar w:fldCharType="end"/>
      </w:r>
      <w:r w:rsidRPr="006F04E6">
        <w:rPr>
          <w:rFonts w:ascii="Times New Roman" w:hAnsi="Times New Roman" w:cs="Times New Roman"/>
        </w:rPr>
        <w:t>, to the country of Aššur</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w:instrText>
      </w:r>
      <w:r w:rsidRPr="006F04E6">
        <w:rPr>
          <w:rFonts w:ascii="Times New Roman" w:hAnsi="Times New Roman" w:cs="Times New Roman"/>
        </w:rPr>
        <w:instrText>Aššur</w:instrText>
      </w:r>
      <w:r w:rsidRPr="006F04E6">
        <w:rPr>
          <w:rFonts w:ascii="Times New Roman" w:hAnsi="Times New Roman" w:cs="Times New Roman"/>
          <w:lang w:val="en-GB"/>
        </w:rPr>
        <w:instrText xml:space="preserve">" </w:instrText>
      </w:r>
      <w:r w:rsidRPr="006F04E6">
        <w:rPr>
          <w:rFonts w:ascii="Times New Roman" w:hAnsi="Times New Roman" w:cs="Times New Roman"/>
        </w:rPr>
        <w:fldChar w:fldCharType="end"/>
      </w:r>
      <w:r w:rsidRPr="006F04E6">
        <w:rPr>
          <w:rFonts w:ascii="Times New Roman" w:hAnsi="Times New Roman" w:cs="Times New Roman"/>
        </w:rPr>
        <w:t xml:space="preserve"> (14) [x thousends +x] hundreds of people + 55 people of the year, some of them I killed, others (15) [alive I de]ported, the men who were there I gave (incorporated) in the army”.</w:t>
      </w:r>
      <w:r w:rsidRPr="006F04E6">
        <w:t xml:space="preserve">      </w:t>
      </w:r>
    </w:p>
    <w:p w14:paraId="6447F7B5"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r w:rsidRPr="006F04E6">
        <w:rPr>
          <w:rFonts w:ascii="Times New Roman" w:hAnsi="Times New Roman"/>
        </w:rPr>
        <w:t xml:space="preserve">Front face, 140 x 45.5 cm. </w:t>
      </w:r>
    </w:p>
    <w:p w14:paraId="37F6C83A" w14:textId="77777777" w:rsidR="00B4516E" w:rsidRPr="006F04E6" w:rsidRDefault="00B4516E" w:rsidP="00B4516E">
      <w:pPr>
        <w:ind w:left="567" w:right="-21" w:hanging="567"/>
        <w:jc w:val="both"/>
        <w:rPr>
          <w:rFonts w:ascii="Times New Roman" w:hAnsi="Times New Roman"/>
          <w:b/>
          <w:lang w:val="en-GB"/>
        </w:rPr>
      </w:pPr>
      <w:r w:rsidRPr="006F04E6">
        <w:rPr>
          <w:rFonts w:ascii="Times New Roman" w:hAnsi="Times New Roman"/>
          <w:b/>
          <w:lang w:val="en-GB"/>
        </w:rPr>
        <w:t xml:space="preserve">CTU I. A 5-9 Front Side </w:t>
      </w:r>
    </w:p>
    <w:p w14:paraId="116C1B03" w14:textId="77777777" w:rsidR="00B4516E" w:rsidRPr="006F04E6" w:rsidRDefault="00B4516E" w:rsidP="00B4516E">
      <w:pPr>
        <w:ind w:left="567" w:right="-21" w:hanging="567"/>
        <w:jc w:val="both"/>
        <w:rPr>
          <w:rFonts w:ascii="Times New Roman" w:hAnsi="Times New Roman" w:cs="Times New Roman"/>
          <w:lang w:val="en-GB"/>
        </w:rPr>
      </w:pPr>
      <w:r w:rsidRPr="006F04E6">
        <w:rPr>
          <w:rFonts w:ascii="Times New Roman" w:hAnsi="Times New Roman" w:cs="Times New Roman"/>
          <w:lang w:val="en-GB"/>
        </w:rPr>
        <w:t>1</w:t>
      </w:r>
      <w:r w:rsidRPr="006F04E6">
        <w:rPr>
          <w:rFonts w:ascii="Times New Roman" w:hAnsi="Times New Roman" w:cs="Times New Roman"/>
          <w:lang w:val="en-GB"/>
        </w:rPr>
        <w:tab/>
        <w:t>[</w:t>
      </w:r>
      <w:r w:rsidRPr="006F04E6">
        <w:rPr>
          <w:rFonts w:ascii="Times New Roman" w:hAnsi="Times New Roman" w:cs="Times New Roman"/>
          <w:vertAlign w:val="superscript"/>
          <w:lang w:val="en-GB"/>
        </w:rPr>
        <w:t>D</w:t>
      </w:r>
      <w:r w:rsidRPr="006F04E6">
        <w:rPr>
          <w:rFonts w:ascii="Times New Roman" w:hAnsi="Times New Roman" w:cs="Times New Roman"/>
          <w:lang w:val="en-GB"/>
        </w:rPr>
        <w:t xml:space="preserve">ḫal-di]-ni-ni uš-ma-ši-ni </w:t>
      </w:r>
      <w:r w:rsidRPr="006F04E6">
        <w:rPr>
          <w:rFonts w:ascii="Times New Roman" w:hAnsi="Times New Roman" w:cs="Times New Roman"/>
          <w:vertAlign w:val="superscript"/>
          <w:lang w:val="en-GB"/>
        </w:rPr>
        <w:t>m</w:t>
      </w:r>
      <w:r w:rsidRPr="006F04E6">
        <w:rPr>
          <w:rFonts w:ascii="Times New Roman" w:hAnsi="Times New Roman" w:cs="Times New Roman"/>
          <w:lang w:val="en-GB"/>
        </w:rPr>
        <w:t xml:space="preserve">mì-nu-a-še </w:t>
      </w:r>
      <w:r w:rsidRPr="006F04E6">
        <w:rPr>
          <w:rFonts w:ascii="Times New Roman" w:hAnsi="Times New Roman" w:cs="Times New Roman"/>
          <w:vertAlign w:val="superscript"/>
          <w:lang w:val="en-GB"/>
        </w:rPr>
        <w:t>m</w:t>
      </w:r>
      <w:r w:rsidRPr="006F04E6">
        <w:rPr>
          <w:rFonts w:ascii="Times New Roman" w:hAnsi="Times New Roman" w:cs="Times New Roman"/>
          <w:lang w:val="en-GB"/>
        </w:rPr>
        <w:t>iš-pu-ú-i-ni-[ḫi-ni-še]</w:t>
      </w:r>
    </w:p>
    <w:p w14:paraId="7B54EF91" w14:textId="77777777" w:rsidR="00B4516E" w:rsidRPr="006F04E6" w:rsidRDefault="00B4516E" w:rsidP="00B4516E">
      <w:pPr>
        <w:ind w:left="567" w:right="-21" w:hanging="567"/>
        <w:jc w:val="both"/>
        <w:rPr>
          <w:rFonts w:ascii="Times New Roman" w:hAnsi="Times New Roman" w:cs="Times New Roman"/>
          <w:lang w:val="en-GB"/>
        </w:rPr>
      </w:pPr>
      <w:r w:rsidRPr="006F04E6">
        <w:rPr>
          <w:rFonts w:ascii="Times New Roman" w:hAnsi="Times New Roman" w:cs="Times New Roman"/>
          <w:lang w:val="en-GB"/>
        </w:rPr>
        <w:t>2</w:t>
      </w:r>
      <w:r w:rsidRPr="006F04E6">
        <w:rPr>
          <w:rFonts w:ascii="Times New Roman" w:hAnsi="Times New Roman" w:cs="Times New Roman"/>
          <w:lang w:val="en-GB"/>
        </w:rPr>
        <w:tab/>
        <w:t xml:space="preserve">[a-li-e] i-ú tú-šú-ḫa-a-ni </w:t>
      </w:r>
      <w:r w:rsidRPr="006F04E6">
        <w:rPr>
          <w:rFonts w:ascii="Times New Roman" w:hAnsi="Times New Roman" w:cs="Times New Roman"/>
          <w:vertAlign w:val="superscript"/>
          <w:lang w:val="en-GB"/>
        </w:rPr>
        <w:t>KUR</w:t>
      </w:r>
      <w:r w:rsidRPr="006F04E6">
        <w:rPr>
          <w:rFonts w:ascii="Times New Roman" w:hAnsi="Times New Roman" w:cs="Times New Roman"/>
          <w:lang w:val="en-GB"/>
        </w:rPr>
        <w:t>ma-a-na-a-i-di uš-ta-a-d[i]</w:t>
      </w:r>
    </w:p>
    <w:p w14:paraId="047797B3" w14:textId="77777777" w:rsidR="00B4516E" w:rsidRPr="006F04E6" w:rsidRDefault="00B4516E" w:rsidP="00B4516E">
      <w:pPr>
        <w:ind w:left="567" w:right="-21" w:hanging="567"/>
        <w:jc w:val="both"/>
        <w:rPr>
          <w:rFonts w:ascii="Times New Roman" w:hAnsi="Times New Roman" w:cs="Times New Roman"/>
          <w:lang w:val="en-GB"/>
        </w:rPr>
      </w:pPr>
      <w:r w:rsidRPr="006F04E6">
        <w:rPr>
          <w:rFonts w:ascii="Times New Roman" w:hAnsi="Times New Roman" w:cs="Times New Roman"/>
          <w:lang w:val="en-GB"/>
        </w:rPr>
        <w:t>3</w:t>
      </w:r>
      <w:r w:rsidRPr="006F04E6">
        <w:rPr>
          <w:rFonts w:ascii="Times New Roman" w:hAnsi="Times New Roman" w:cs="Times New Roman"/>
          <w:lang w:val="en-GB"/>
        </w:rPr>
        <w:tab/>
        <w:t>[</w:t>
      </w:r>
      <w:r w:rsidRPr="006F04E6">
        <w:rPr>
          <w:rFonts w:ascii="Times New Roman" w:hAnsi="Times New Roman" w:cs="Times New Roman"/>
          <w:vertAlign w:val="superscript"/>
          <w:lang w:val="en-GB"/>
        </w:rPr>
        <w:t>KUR</w:t>
      </w:r>
      <w:r w:rsidRPr="006F04E6">
        <w:rPr>
          <w:rFonts w:ascii="Times New Roman" w:hAnsi="Times New Roman" w:cs="Times New Roman"/>
          <w:lang w:val="en-GB"/>
        </w:rPr>
        <w:t>e-ba]-a-ni a-tú-ú-bi a-ma-áš-tú-ú-bi i-ku-ú-ka-a-ni</w:t>
      </w:r>
    </w:p>
    <w:p w14:paraId="7B035177" w14:textId="77777777" w:rsidR="00B4516E" w:rsidRPr="006F04E6" w:rsidRDefault="00B4516E" w:rsidP="00B4516E">
      <w:pPr>
        <w:ind w:left="567" w:right="-21" w:hanging="567"/>
        <w:jc w:val="both"/>
        <w:rPr>
          <w:rFonts w:ascii="Times New Roman" w:hAnsi="Times New Roman" w:cs="Times New Roman"/>
          <w:lang w:val="en-GB"/>
        </w:rPr>
      </w:pPr>
      <w:r w:rsidRPr="006F04E6">
        <w:rPr>
          <w:rFonts w:ascii="Times New Roman" w:hAnsi="Times New Roman" w:cs="Times New Roman"/>
          <w:lang w:val="en-GB"/>
        </w:rPr>
        <w:t>4</w:t>
      </w:r>
      <w:r w:rsidRPr="006F04E6">
        <w:rPr>
          <w:rFonts w:ascii="Times New Roman" w:hAnsi="Times New Roman" w:cs="Times New Roman"/>
          <w:lang w:val="en-GB"/>
        </w:rPr>
        <w:tab/>
        <w:t xml:space="preserve">[šá-a-li]-e </w:t>
      </w:r>
      <w:r w:rsidRPr="006F04E6">
        <w:rPr>
          <w:rFonts w:ascii="Times New Roman" w:hAnsi="Times New Roman" w:cs="Times New Roman"/>
          <w:vertAlign w:val="superscript"/>
          <w:lang w:val="en-GB"/>
        </w:rPr>
        <w:t>LÚ</w:t>
      </w:r>
      <w:r w:rsidRPr="006F04E6">
        <w:rPr>
          <w:rFonts w:ascii="Times New Roman" w:hAnsi="Times New Roman" w:cs="Times New Roman"/>
          <w:lang w:val="en-GB"/>
        </w:rPr>
        <w:t>ḫu-ra-di-ni-li</w:t>
      </w:r>
      <w:r w:rsidRPr="006F04E6">
        <w:rPr>
          <w:rFonts w:ascii="Times New Roman" w:hAnsi="Times New Roman" w:cs="Times New Roman"/>
          <w:vertAlign w:val="superscript"/>
          <w:lang w:val="en-GB"/>
        </w:rPr>
        <w:t>MEŠ</w:t>
      </w:r>
      <w:r w:rsidRPr="006F04E6">
        <w:rPr>
          <w:rFonts w:ascii="Times New Roman" w:hAnsi="Times New Roman" w:cs="Times New Roman"/>
          <w:lang w:val="en-GB"/>
        </w:rPr>
        <w:t xml:space="preserve"> ki</w:t>
      </w:r>
      <w:r w:rsidRPr="006F04E6">
        <w:rPr>
          <w:rFonts w:ascii="Times New Roman" w:hAnsi="Times New Roman" w:cs="Times New Roman"/>
          <w:vertAlign w:val="subscript"/>
          <w:lang w:val="en-GB"/>
        </w:rPr>
        <w:t>4</w:t>
      </w:r>
      <w:r w:rsidRPr="006F04E6">
        <w:rPr>
          <w:rFonts w:ascii="Times New Roman" w:hAnsi="Times New Roman" w:cs="Times New Roman"/>
          <w:lang w:val="en-GB"/>
        </w:rPr>
        <w:t>-da-nu-ú-li ḫa-a-i-tú-ú</w:t>
      </w:r>
    </w:p>
    <w:p w14:paraId="49593F36" w14:textId="77777777" w:rsidR="00B4516E" w:rsidRPr="006F04E6" w:rsidRDefault="00B4516E" w:rsidP="00B4516E">
      <w:pPr>
        <w:ind w:left="567" w:right="-21" w:hanging="567"/>
        <w:jc w:val="both"/>
        <w:rPr>
          <w:rFonts w:ascii="Times New Roman" w:hAnsi="Times New Roman" w:cs="Times New Roman"/>
          <w:lang w:val="en-GB"/>
        </w:rPr>
      </w:pPr>
      <w:r w:rsidRPr="006F04E6">
        <w:rPr>
          <w:rFonts w:ascii="Times New Roman" w:hAnsi="Times New Roman" w:cs="Times New Roman"/>
          <w:lang w:val="en-GB"/>
        </w:rPr>
        <w:lastRenderedPageBreak/>
        <w:t>5</w:t>
      </w:r>
      <w:r w:rsidRPr="006F04E6">
        <w:rPr>
          <w:rFonts w:ascii="Times New Roman" w:hAnsi="Times New Roman" w:cs="Times New Roman"/>
          <w:lang w:val="en-GB"/>
        </w:rPr>
        <w:tab/>
        <w:t xml:space="preserve">[x x x] </w:t>
      </w:r>
      <w:r w:rsidRPr="006F04E6">
        <w:rPr>
          <w:rFonts w:ascii="Cambria Math" w:hAnsi="Cambria Math" w:cs="Cambria Math"/>
          <w:lang w:val="en-GB"/>
        </w:rPr>
        <w:t>⌈</w:t>
      </w:r>
      <w:r w:rsidRPr="006F04E6">
        <w:rPr>
          <w:rFonts w:ascii="Times New Roman" w:hAnsi="Times New Roman" w:cs="Times New Roman"/>
          <w:lang w:val="en-GB"/>
        </w:rPr>
        <w:t>e</w:t>
      </w:r>
      <w:r w:rsidRPr="006F04E6">
        <w:rPr>
          <w:rFonts w:ascii="Cambria Math" w:hAnsi="Cambria Math" w:cs="Cambria Math"/>
          <w:lang w:val="en-GB"/>
        </w:rPr>
        <w:t>⌉</w:t>
      </w:r>
      <w:r w:rsidRPr="006F04E6">
        <w:rPr>
          <w:rFonts w:ascii="Times New Roman" w:hAnsi="Times New Roman" w:cs="Times New Roman"/>
          <w:lang w:val="en-GB"/>
        </w:rPr>
        <w:t xml:space="preserve">-ḫi-ni-ni KUR-ni-ni </w:t>
      </w:r>
      <w:r w:rsidRPr="006F04E6">
        <w:rPr>
          <w:rFonts w:ascii="Times New Roman" w:hAnsi="Times New Roman" w:cs="Times New Roman"/>
          <w:vertAlign w:val="superscript"/>
          <w:lang w:val="en-GB"/>
        </w:rPr>
        <w:t>URU</w:t>
      </w:r>
      <w:r w:rsidRPr="006F04E6">
        <w:rPr>
          <w:rFonts w:ascii="Times New Roman" w:hAnsi="Times New Roman" w:cs="Times New Roman"/>
          <w:lang w:val="en-GB"/>
        </w:rPr>
        <w:t xml:space="preserve">šú-ri-ši-li-ni </w:t>
      </w:r>
      <w:r w:rsidRPr="006F04E6">
        <w:rPr>
          <w:rFonts w:ascii="Times New Roman" w:hAnsi="Times New Roman" w:cs="Times New Roman"/>
          <w:vertAlign w:val="superscript"/>
          <w:lang w:val="en-GB"/>
        </w:rPr>
        <w:t>URU</w:t>
      </w:r>
      <w:r w:rsidRPr="006F04E6">
        <w:rPr>
          <w:rFonts w:ascii="Times New Roman" w:hAnsi="Times New Roman" w:cs="Times New Roman"/>
          <w:lang w:val="en-GB"/>
        </w:rPr>
        <w:t>tar-ḫi-ga-ma-a-ni</w:t>
      </w:r>
    </w:p>
    <w:p w14:paraId="7FDAD38E" w14:textId="77777777" w:rsidR="00B4516E" w:rsidRPr="006F04E6" w:rsidRDefault="00B4516E" w:rsidP="00B4516E">
      <w:pPr>
        <w:ind w:left="567" w:right="-21" w:hanging="567"/>
        <w:jc w:val="both"/>
        <w:rPr>
          <w:rFonts w:ascii="Times New Roman" w:hAnsi="Times New Roman" w:cs="Times New Roman"/>
          <w:lang w:val="en-GB"/>
        </w:rPr>
      </w:pPr>
      <w:r w:rsidRPr="006F04E6">
        <w:rPr>
          <w:rFonts w:ascii="Times New Roman" w:hAnsi="Times New Roman" w:cs="Times New Roman"/>
          <w:lang w:val="en-GB"/>
        </w:rPr>
        <w:t>6</w:t>
      </w:r>
      <w:r w:rsidRPr="006F04E6">
        <w:rPr>
          <w:rFonts w:ascii="Times New Roman" w:hAnsi="Times New Roman" w:cs="Times New Roman"/>
          <w:lang w:val="en-GB"/>
        </w:rPr>
        <w:tab/>
        <w:t>[</w:t>
      </w:r>
      <w:r w:rsidRPr="006F04E6">
        <w:rPr>
          <w:rFonts w:ascii="Times New Roman" w:hAnsi="Times New Roman" w:cs="Times New Roman"/>
          <w:vertAlign w:val="superscript"/>
          <w:lang w:val="en-GB"/>
        </w:rPr>
        <w:t>URU?</w:t>
      </w:r>
      <w:r w:rsidRPr="006F04E6">
        <w:rPr>
          <w:rFonts w:ascii="Times New Roman" w:hAnsi="Times New Roman" w:cs="Times New Roman"/>
          <w:lang w:val="en-GB"/>
        </w:rPr>
        <w:t xml:space="preserve">(x-)]ṭu-ra-a-ni </w:t>
      </w:r>
      <w:r w:rsidRPr="006F04E6">
        <w:rPr>
          <w:rFonts w:ascii="Times New Roman" w:hAnsi="Times New Roman" w:cs="Times New Roman"/>
          <w:vertAlign w:val="superscript"/>
          <w:lang w:val="en-GB"/>
        </w:rPr>
        <w:t>m</w:t>
      </w:r>
      <w:r w:rsidRPr="006F04E6">
        <w:rPr>
          <w:rFonts w:ascii="Times New Roman" w:hAnsi="Times New Roman" w:cs="Times New Roman"/>
          <w:lang w:val="en-GB"/>
        </w:rPr>
        <w:t>šá-da-ʾa-li-e-ḫi-ni-da-a-ni ap-ti-i-ni</w:t>
      </w:r>
    </w:p>
    <w:p w14:paraId="08F2DFBB" w14:textId="77777777" w:rsidR="00B4516E" w:rsidRPr="006F04E6" w:rsidRDefault="00B4516E" w:rsidP="00B4516E">
      <w:pPr>
        <w:ind w:left="567" w:right="-21" w:hanging="567"/>
        <w:jc w:val="both"/>
        <w:rPr>
          <w:rFonts w:ascii="Times New Roman" w:hAnsi="Times New Roman" w:cs="Times New Roman"/>
          <w:lang w:val="en-GB"/>
        </w:rPr>
      </w:pPr>
      <w:r w:rsidRPr="006F04E6">
        <w:rPr>
          <w:rFonts w:ascii="Times New Roman" w:hAnsi="Times New Roman" w:cs="Times New Roman"/>
          <w:lang w:val="en-GB"/>
        </w:rPr>
        <w:t>7</w:t>
      </w:r>
      <w:r w:rsidRPr="006F04E6">
        <w:rPr>
          <w:rFonts w:ascii="Times New Roman" w:hAnsi="Times New Roman" w:cs="Times New Roman"/>
          <w:lang w:val="en-GB"/>
        </w:rPr>
        <w:tab/>
        <w:t xml:space="preserve">[x x x]-li-e-i </w:t>
      </w:r>
      <w:r w:rsidRPr="006F04E6">
        <w:rPr>
          <w:rFonts w:ascii="Times New Roman" w:hAnsi="Times New Roman" w:cs="Times New Roman"/>
          <w:vertAlign w:val="superscript"/>
          <w:lang w:val="en-GB"/>
        </w:rPr>
        <w:t>NA4</w:t>
      </w:r>
      <w:r w:rsidRPr="006F04E6">
        <w:rPr>
          <w:rFonts w:ascii="Times New Roman" w:hAnsi="Times New Roman" w:cs="Times New Roman"/>
          <w:lang w:val="en-GB"/>
        </w:rPr>
        <w:t xml:space="preserve">qar-bi-e </w:t>
      </w:r>
      <w:r w:rsidRPr="006F04E6">
        <w:rPr>
          <w:rFonts w:ascii="Times New Roman" w:hAnsi="Times New Roman" w:cs="Times New Roman"/>
          <w:vertAlign w:val="superscript"/>
          <w:lang w:val="en-GB"/>
        </w:rPr>
        <w:t>KUR</w:t>
      </w:r>
      <w:r w:rsidRPr="006F04E6">
        <w:rPr>
          <w:rFonts w:ascii="Times New Roman" w:hAnsi="Times New Roman" w:cs="Times New Roman"/>
          <w:lang w:val="en-GB"/>
        </w:rPr>
        <w:t>ḫa-ti-na-áš-ta-a-ni ap-ti-ni</w:t>
      </w:r>
    </w:p>
    <w:p w14:paraId="687DC70C" w14:textId="77777777" w:rsidR="00B4516E" w:rsidRPr="006F04E6" w:rsidRDefault="00B4516E" w:rsidP="00B4516E">
      <w:pPr>
        <w:ind w:left="567" w:right="-21" w:hanging="567"/>
        <w:jc w:val="both"/>
        <w:rPr>
          <w:rFonts w:ascii="Times New Roman" w:hAnsi="Times New Roman" w:cs="Times New Roman"/>
          <w:lang w:val="en-GB"/>
        </w:rPr>
      </w:pPr>
      <w:r w:rsidRPr="006F04E6">
        <w:rPr>
          <w:rFonts w:ascii="Times New Roman" w:hAnsi="Times New Roman" w:cs="Times New Roman"/>
          <w:lang w:val="en-GB"/>
        </w:rPr>
        <w:t>8</w:t>
      </w:r>
      <w:r w:rsidRPr="006F04E6">
        <w:rPr>
          <w:rFonts w:ascii="Times New Roman" w:hAnsi="Times New Roman" w:cs="Times New Roman"/>
          <w:lang w:val="en-GB"/>
        </w:rPr>
        <w:tab/>
        <w:t xml:space="preserve">[x x x]-ú-e </w:t>
      </w:r>
      <w:r w:rsidRPr="006F04E6">
        <w:rPr>
          <w:rFonts w:ascii="Times New Roman" w:hAnsi="Times New Roman" w:cs="Times New Roman"/>
          <w:vertAlign w:val="superscript"/>
          <w:lang w:val="en-GB"/>
        </w:rPr>
        <w:t>KUR</w:t>
      </w:r>
      <w:r w:rsidRPr="006F04E6">
        <w:rPr>
          <w:rFonts w:ascii="Times New Roman" w:hAnsi="Times New Roman" w:cs="Times New Roman"/>
          <w:lang w:val="en-GB"/>
        </w:rPr>
        <w:t xml:space="preserve">al-zi-i-ni-ni 2 LIM 1 ME 13 </w:t>
      </w:r>
      <w:r w:rsidRPr="006F04E6">
        <w:rPr>
          <w:rFonts w:ascii="Times New Roman" w:hAnsi="Times New Roman" w:cs="Times New Roman"/>
          <w:vertAlign w:val="superscript"/>
          <w:lang w:val="en-GB"/>
        </w:rPr>
        <w:t>LÚ</w:t>
      </w:r>
      <w:r w:rsidRPr="006F04E6">
        <w:rPr>
          <w:rFonts w:ascii="Times New Roman" w:hAnsi="Times New Roman" w:cs="Times New Roman"/>
          <w:lang w:val="en-GB"/>
        </w:rPr>
        <w:t>ta-ar-šú-a-ni</w:t>
      </w:r>
    </w:p>
    <w:p w14:paraId="3C4A0774" w14:textId="77777777" w:rsidR="00B4516E" w:rsidRPr="006F04E6" w:rsidRDefault="00B4516E" w:rsidP="00B4516E">
      <w:pPr>
        <w:ind w:left="567" w:right="-21" w:hanging="567"/>
        <w:jc w:val="both"/>
        <w:rPr>
          <w:rFonts w:ascii="Times New Roman" w:hAnsi="Times New Roman" w:cs="Times New Roman"/>
          <w:lang w:val="en-GB"/>
        </w:rPr>
      </w:pPr>
      <w:r w:rsidRPr="006F04E6">
        <w:rPr>
          <w:rFonts w:ascii="Times New Roman" w:hAnsi="Times New Roman" w:cs="Times New Roman"/>
          <w:lang w:val="en-GB"/>
        </w:rPr>
        <w:t>9</w:t>
      </w:r>
      <w:r w:rsidRPr="006F04E6">
        <w:rPr>
          <w:rFonts w:ascii="Times New Roman" w:hAnsi="Times New Roman" w:cs="Times New Roman"/>
          <w:lang w:val="en-GB"/>
        </w:rPr>
        <w:tab/>
        <w:t>[šá-a-li]-e a-li-ki</w:t>
      </w:r>
      <w:r w:rsidRPr="006F04E6">
        <w:rPr>
          <w:rFonts w:ascii="Times New Roman" w:hAnsi="Times New Roman" w:cs="Times New Roman"/>
          <w:vertAlign w:val="subscript"/>
          <w:lang w:val="en-GB"/>
        </w:rPr>
        <w:t>4</w:t>
      </w:r>
      <w:r w:rsidRPr="006F04E6">
        <w:rPr>
          <w:rFonts w:ascii="Times New Roman" w:hAnsi="Times New Roman" w:cs="Times New Roman"/>
          <w:lang w:val="en-GB"/>
        </w:rPr>
        <w:t xml:space="preserve"> za-áš-gu-ú-bi a-li-ki</w:t>
      </w:r>
      <w:r w:rsidRPr="006F04E6">
        <w:rPr>
          <w:rFonts w:ascii="Times New Roman" w:hAnsi="Times New Roman" w:cs="Times New Roman"/>
          <w:vertAlign w:val="subscript"/>
          <w:lang w:val="en-GB"/>
        </w:rPr>
        <w:t>4</w:t>
      </w:r>
      <w:r w:rsidRPr="006F04E6">
        <w:rPr>
          <w:rFonts w:ascii="Times New Roman" w:hAnsi="Times New Roman" w:cs="Times New Roman"/>
          <w:lang w:val="en-GB"/>
        </w:rPr>
        <w:t xml:space="preserve"> TI</w:t>
      </w:r>
      <w:r w:rsidRPr="006F04E6">
        <w:rPr>
          <w:rFonts w:ascii="Times New Roman" w:hAnsi="Times New Roman" w:cs="Times New Roman"/>
          <w:vertAlign w:val="superscript"/>
          <w:lang w:val="en-GB"/>
        </w:rPr>
        <w:t>MEŠ</w:t>
      </w:r>
      <w:r w:rsidRPr="006F04E6">
        <w:rPr>
          <w:rFonts w:ascii="Times New Roman" w:hAnsi="Times New Roman" w:cs="Times New Roman"/>
          <w:lang w:val="en-GB"/>
        </w:rPr>
        <w:t xml:space="preserve"> a-gu-ú-bi</w:t>
      </w:r>
    </w:p>
    <w:p w14:paraId="7F0CBCC9" w14:textId="77777777" w:rsidR="00B4516E" w:rsidRPr="006F04E6" w:rsidRDefault="00B4516E" w:rsidP="00B4516E">
      <w:pPr>
        <w:ind w:left="567" w:right="-21" w:hanging="567"/>
        <w:jc w:val="both"/>
        <w:rPr>
          <w:rFonts w:ascii="Times New Roman" w:hAnsi="Times New Roman" w:cs="Times New Roman"/>
          <w:vertAlign w:val="superscript"/>
          <w:lang w:val="en-GB"/>
        </w:rPr>
      </w:pPr>
      <w:r w:rsidRPr="006F04E6">
        <w:rPr>
          <w:rFonts w:ascii="Times New Roman" w:hAnsi="Times New Roman" w:cs="Times New Roman"/>
          <w:lang w:val="en-GB"/>
        </w:rPr>
        <w:t>10</w:t>
      </w:r>
      <w:r w:rsidRPr="006F04E6">
        <w:rPr>
          <w:rFonts w:ascii="Times New Roman" w:hAnsi="Times New Roman" w:cs="Times New Roman"/>
          <w:lang w:val="en-GB"/>
        </w:rPr>
        <w:tab/>
        <w:t xml:space="preserve">[ʾa-še]-e a-li ma-a-nu a-ru-ú-bi </w:t>
      </w:r>
      <w:r w:rsidRPr="006F04E6">
        <w:rPr>
          <w:rFonts w:ascii="Times New Roman" w:hAnsi="Times New Roman" w:cs="Times New Roman"/>
          <w:vertAlign w:val="superscript"/>
          <w:lang w:val="en-GB"/>
        </w:rPr>
        <w:t>LÚ</w:t>
      </w:r>
      <w:r w:rsidRPr="006F04E6">
        <w:rPr>
          <w:rFonts w:ascii="Times New Roman" w:hAnsi="Times New Roman" w:cs="Times New Roman"/>
          <w:lang w:val="en-GB"/>
        </w:rPr>
        <w:t>ḫu-ra-di-na-ú-e</w:t>
      </w:r>
      <w:r w:rsidRPr="006F04E6">
        <w:rPr>
          <w:rFonts w:ascii="Times New Roman" w:hAnsi="Times New Roman" w:cs="Times New Roman"/>
          <w:vertAlign w:val="superscript"/>
          <w:lang w:val="en-GB"/>
        </w:rPr>
        <w:t>MEŠ</w:t>
      </w:r>
    </w:p>
    <w:p w14:paraId="26B36E72"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202124"/>
          <w:lang w:val="en-GB"/>
        </w:rPr>
      </w:pPr>
    </w:p>
    <w:p w14:paraId="4CA0D5D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rPr>
      </w:pPr>
      <w:r w:rsidRPr="006F04E6">
        <w:rPr>
          <w:rFonts w:ascii="Times New Roman" w:hAnsi="Times New Roman"/>
        </w:rPr>
        <w:t>CTU I. A 5-9 Front Side: Translation</w:t>
      </w:r>
    </w:p>
    <w:p w14:paraId="51379AE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“(1) Thanks to the protection of Ḫaldi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Ḫaldi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Minua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the son of Išpuini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Išpuini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(2) [speaks]: When. . . moved to war against the land of Mana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Mana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(3) invaded [the country] itself and set it to the flames. That same (4) [yea]r I mobilized the troops. (These) conquered (5) [. . .]. . . from the country; the city of Šurišili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Šurišili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the city of Tarḫigama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Tarḫigama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(6) the city (?) of [.]ṭura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ṭura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on the other (?) part of the Šada’ali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Šada’ali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tribe, (7) of. . . of the (?) rock, on the other (?) part of the town of Ḫatti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Ḫatti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(8). [. . .]. . from the country of Alzi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Alzi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2113 people (9) of [the year], some killed, some alive I took them away (10), those (of them) who were men I gave (incorporated) them to the army”.</w:t>
      </w:r>
    </w:p>
    <w:p w14:paraId="5D3F546E"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Under Minua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we therefore have a moment of great expansion of the kingdom of Urartu</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Urartu</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Many toponyms indicate the direction of Minua’s war exploits, starting with Mana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Mana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which is mentioned in the rock inscription of Taštepe</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Taštepe</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(CTU A 5-10) and refers to north-western Iran. Some places such as Uliba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Uliba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Dirguni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Dirguni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Išala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Išala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and Qumenu</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Qumenu</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also appear in Assyrian</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Assyrian</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texts as Ulluba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Ulluba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/Ulliba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Ulliba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Dirria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Dirria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Izalla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Izalla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and Kumme</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Kumme</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and refer to the area of Karaca Dağ</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Karaca Dağ</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and Zaho</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Zaho</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region on the Turkish-Iraqi border (Salvini, 1995: 52; Salvini: 2006: 62; CTU V. 430 ff). But even the country of Ashur</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Ashur</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is reached. Also, towards the west Minua can reach countries such as Alzi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Alzi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and Hatina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Hatina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(Hittites</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Hittites</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It can be said that this heavily mutilated text was part of a much larger inscription and represented the first version of an Annalistic text. But consider also the following fragments.</w:t>
      </w:r>
    </w:p>
    <w:p w14:paraId="6196F419"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771F51C0"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3"/>
        <w:rPr>
          <w:rFonts w:ascii="Times New Roman" w:hAnsi="Times New Roman"/>
          <w:b/>
          <w:lang w:val="en-GB"/>
        </w:rPr>
      </w:pPr>
      <w:r w:rsidRPr="006F04E6">
        <w:rPr>
          <w:rFonts w:ascii="Times New Roman" w:hAnsi="Times New Roman"/>
          <w:b/>
          <w:bCs/>
        </w:rPr>
        <w:t xml:space="preserve">4.2.3.3. Some Inscribed Stones at the </w:t>
      </w:r>
      <w:r w:rsidRPr="006F04E6">
        <w:rPr>
          <w:rFonts w:ascii="Times New Roman" w:hAnsi="Times New Roman"/>
          <w:b/>
          <w:bCs/>
          <w:lang w:val="en-GB"/>
        </w:rPr>
        <w:t>Citadel of Van Fortress</w:t>
      </w:r>
      <w:r w:rsidRPr="006F04E6">
        <w:rPr>
          <w:rFonts w:ascii="Times New Roman" w:hAnsi="Times New Roman"/>
          <w:b/>
          <w:lang w:val="en-GB"/>
        </w:rPr>
        <w:t xml:space="preserve"> (Fig. 22)</w:t>
      </w:r>
    </w:p>
    <w:p w14:paraId="07901775"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Some stones inserted in the north wall of the Van Fortress</w:t>
      </w:r>
      <w:r w:rsidRPr="006F04E6">
        <w:rPr>
          <w:rFonts w:ascii="Times New Roman" w:eastAsia="Times New Roman" w:hAnsi="Times New Roman" w:cs="Times New Roman"/>
          <w:color w:val="202124"/>
          <w:lang w:val="en-GB" w:eastAsia="it-IT"/>
        </w:rPr>
        <w:t> </w:t>
      </w:r>
      <w:r w:rsidRPr="006F04E6">
        <w:rPr>
          <w:rFonts w:ascii="Times New Roman" w:hAnsi="Times New Roman"/>
          <w:color w:val="202124"/>
          <w:lang w:val="en-GB"/>
        </w:rPr>
        <w:t>citadel (Salvini, 1973: 280 f) may turn out to be duplicates of CTU I. A 5-9 and</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more generally</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part of a shattered annalistic text. For example, the stone CTU I. A 5-98i (CTU V. p. 184), which I quote here with comparisons.</w:t>
      </w:r>
    </w:p>
    <w:p w14:paraId="3DE09BC7"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GB"/>
        </w:rPr>
      </w:pPr>
      <w:r w:rsidRPr="006F04E6">
        <w:rPr>
          <w:rFonts w:ascii="Times New Roman" w:hAnsi="Times New Roman"/>
          <w:noProof/>
          <w:lang w:eastAsia="tr-TR"/>
        </w:rPr>
        <w:drawing>
          <wp:inline distT="0" distB="0" distL="0" distR="0" wp14:anchorId="3C072F42" wp14:editId="7AACBA42">
            <wp:extent cx="1050434" cy="576000"/>
            <wp:effectExtent l="0" t="0" r="0" b="0"/>
            <wp:docPr id="523235182" name="Resim 523235182" descr="metin, yazı tipi, el yazısı, simge, semb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35182" name="Resim 523235182" descr="metin, yazı tipi, el yazısı, simge, sembol içeren bir resim&#10;&#10;Açıklama otomatik olarak oluşturuldu"/>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1052642" cy="577211"/>
                    </a:xfrm>
                    <a:prstGeom prst="rect">
                      <a:avLst/>
                    </a:prstGeom>
                    <a:noFill/>
                    <a:ln>
                      <a:noFill/>
                    </a:ln>
                    <a:extLst>
                      <a:ext uri="{53640926-AAD7-44D8-BBD7-CCE9431645EC}">
                        <a14:shadowObscured xmlns:a14="http://schemas.microsoft.com/office/drawing/2010/main"/>
                      </a:ext>
                    </a:extLst>
                  </pic:spPr>
                </pic:pic>
              </a:graphicData>
            </a:graphic>
          </wp:inline>
        </w:drawing>
      </w:r>
    </w:p>
    <w:p w14:paraId="6CC4E493" w14:textId="77777777" w:rsidR="00B4516E" w:rsidRPr="006F04E6" w:rsidRDefault="00B4516E" w:rsidP="00B4516E">
      <w:pPr>
        <w:rPr>
          <w:rFonts w:ascii="Times New Roman" w:hAnsi="Times New Roman"/>
          <w:b/>
          <w:lang w:val="en-GB"/>
        </w:rPr>
      </w:pPr>
      <w:r w:rsidRPr="006F04E6">
        <w:rPr>
          <w:rFonts w:ascii="Times New Roman" w:hAnsi="Times New Roman"/>
          <w:b/>
          <w:color w:val="202124"/>
          <w:lang w:val="en-GB"/>
        </w:rPr>
        <w:t xml:space="preserve">CTU I. </w:t>
      </w:r>
      <w:r w:rsidRPr="006F04E6">
        <w:rPr>
          <w:rFonts w:ascii="Times New Roman" w:hAnsi="Times New Roman"/>
          <w:b/>
          <w:lang w:val="en-GB"/>
        </w:rPr>
        <w:t>A 5-98i</w:t>
      </w:r>
    </w:p>
    <w:p w14:paraId="5881DFF3" w14:textId="77777777" w:rsidR="00B4516E" w:rsidRPr="006F04E6" w:rsidRDefault="00B4516E" w:rsidP="00B4516E">
      <w:pPr>
        <w:rPr>
          <w:rFonts w:ascii="Times New Roman" w:hAnsi="Times New Roman"/>
          <w:b/>
          <w:i/>
          <w:lang w:val="en-GB"/>
        </w:rPr>
      </w:pPr>
    </w:p>
    <w:p w14:paraId="0979538F"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lang w:val="en-GB"/>
        </w:rPr>
        <w:t>1 [           ]</w:t>
      </w:r>
      <w:r w:rsidRPr="006F04E6">
        <w:rPr>
          <w:rFonts w:ascii="Times New Roman" w:hAnsi="Times New Roman"/>
          <w:vertAlign w:val="superscript"/>
          <w:lang w:val="en-GB"/>
        </w:rPr>
        <w:t>URU</w:t>
      </w:r>
      <w:r w:rsidRPr="006F04E6">
        <w:rPr>
          <w:rFonts w:ascii="Times New Roman" w:hAnsi="Times New Roman"/>
          <w:lang w:val="en-GB"/>
        </w:rPr>
        <w:t xml:space="preserve">šú-ri[(-)          </w:t>
      </w:r>
    </w:p>
    <w:p w14:paraId="0E87461B"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lang w:val="en-GB"/>
        </w:rPr>
        <w:t xml:space="preserve">2 [               </w:t>
      </w:r>
      <w:r w:rsidRPr="006F04E6">
        <w:rPr>
          <w:rFonts w:ascii="Times New Roman" w:hAnsi="Times New Roman"/>
          <w:vertAlign w:val="superscript"/>
          <w:lang w:val="en-GB"/>
        </w:rPr>
        <w:t>KUR?</w:t>
      </w:r>
      <w:r w:rsidRPr="006F04E6">
        <w:rPr>
          <w:rFonts w:ascii="Times New Roman" w:hAnsi="Times New Roman"/>
          <w:lang w:val="en-GB"/>
        </w:rPr>
        <w:t>]ḫa-ti[-</w:t>
      </w:r>
    </w:p>
    <w:p w14:paraId="76993347" w14:textId="77777777" w:rsidR="00B4516E" w:rsidRPr="006F04E6" w:rsidRDefault="00B4516E" w:rsidP="00B4516E">
      <w:pPr>
        <w:ind w:left="567" w:right="-21" w:hanging="567"/>
        <w:jc w:val="both"/>
        <w:rPr>
          <w:rFonts w:ascii="Times New Roman" w:hAnsi="Times New Roman"/>
          <w:lang w:val="en-GB"/>
        </w:rPr>
      </w:pPr>
      <w:r w:rsidRPr="006F04E6">
        <w:rPr>
          <w:rFonts w:ascii="Times New Roman" w:hAnsi="Times New Roman"/>
          <w:lang w:val="en-GB"/>
        </w:rPr>
        <w:t xml:space="preserve">Cf. above </w:t>
      </w:r>
      <w:r w:rsidRPr="006F04E6">
        <w:rPr>
          <w:rFonts w:ascii="Times New Roman" w:hAnsi="Times New Roman"/>
          <w:color w:val="202124"/>
          <w:lang w:val="en-GB"/>
        </w:rPr>
        <w:t xml:space="preserve">CTU </w:t>
      </w:r>
      <w:r w:rsidRPr="006F04E6">
        <w:rPr>
          <w:rFonts w:ascii="Times New Roman" w:hAnsi="Times New Roman"/>
          <w:lang w:val="en-GB"/>
        </w:rPr>
        <w:t xml:space="preserve">A 5-9 f. f.  </w:t>
      </w:r>
    </w:p>
    <w:p w14:paraId="6E5110D8" w14:textId="77777777" w:rsidR="00B4516E" w:rsidRPr="006F04E6" w:rsidRDefault="00B4516E" w:rsidP="00B4516E">
      <w:pPr>
        <w:spacing w:line="276" w:lineRule="auto"/>
        <w:ind w:left="567" w:right="-21" w:hanging="567"/>
        <w:jc w:val="both"/>
        <w:rPr>
          <w:rFonts w:ascii="Times New Roman" w:hAnsi="Times New Roman"/>
          <w:lang w:val="en-GB"/>
        </w:rPr>
      </w:pPr>
      <w:r w:rsidRPr="006F04E6">
        <w:rPr>
          <w:rFonts w:ascii="Times New Roman" w:hAnsi="Times New Roman"/>
          <w:lang w:val="en-GB"/>
        </w:rPr>
        <w:t xml:space="preserve">line 5 [x x x] </w:t>
      </w:r>
      <w:r w:rsidRPr="006F04E6">
        <w:rPr>
          <w:rFonts w:ascii="Cambria Math" w:hAnsi="Cambria Math"/>
          <w:lang w:val="en-GB"/>
        </w:rPr>
        <w:t>⌈</w:t>
      </w:r>
      <w:r w:rsidRPr="006F04E6">
        <w:rPr>
          <w:rFonts w:ascii="Times New Roman" w:hAnsi="Times New Roman"/>
          <w:lang w:val="en-GB"/>
        </w:rPr>
        <w:t>e</w:t>
      </w:r>
      <w:r w:rsidRPr="006F04E6">
        <w:rPr>
          <w:rFonts w:ascii="Cambria Math" w:hAnsi="Cambria Math"/>
          <w:lang w:val="en-GB"/>
        </w:rPr>
        <w:t>⌉</w:t>
      </w:r>
      <w:r w:rsidRPr="006F04E6">
        <w:rPr>
          <w:rFonts w:ascii="Times New Roman" w:hAnsi="Times New Roman"/>
          <w:lang w:val="en-GB"/>
        </w:rPr>
        <w:t xml:space="preserve">-ḫi-ni-ni KUR-ni-ni </w:t>
      </w:r>
      <w:r w:rsidRPr="006F04E6">
        <w:rPr>
          <w:rFonts w:ascii="Times New Roman" w:hAnsi="Times New Roman"/>
          <w:b/>
          <w:vertAlign w:val="superscript"/>
          <w:lang w:val="en-GB"/>
        </w:rPr>
        <w:t>URU</w:t>
      </w:r>
      <w:r w:rsidRPr="006F04E6">
        <w:rPr>
          <w:rFonts w:ascii="Times New Roman" w:hAnsi="Times New Roman"/>
          <w:b/>
          <w:lang w:val="en-GB"/>
        </w:rPr>
        <w:t>šú-ri</w:t>
      </w:r>
      <w:r w:rsidRPr="006F04E6">
        <w:rPr>
          <w:rFonts w:ascii="Times New Roman" w:hAnsi="Times New Roman"/>
          <w:lang w:val="en-GB"/>
        </w:rPr>
        <w:t xml:space="preserve">-ši-li-ni </w:t>
      </w:r>
      <w:r w:rsidRPr="006F04E6">
        <w:rPr>
          <w:rFonts w:ascii="Times New Roman" w:hAnsi="Times New Roman"/>
          <w:vertAlign w:val="superscript"/>
          <w:lang w:val="en-GB"/>
        </w:rPr>
        <w:t>URU</w:t>
      </w:r>
      <w:r w:rsidRPr="006F04E6">
        <w:rPr>
          <w:rFonts w:ascii="Times New Roman" w:hAnsi="Times New Roman"/>
          <w:lang w:val="en-GB"/>
        </w:rPr>
        <w:t>tar-ḫi-ga-ma-a-ni</w:t>
      </w:r>
    </w:p>
    <w:p w14:paraId="37001772" w14:textId="77777777" w:rsidR="00B4516E" w:rsidRPr="006F04E6" w:rsidRDefault="00B4516E" w:rsidP="00B4516E">
      <w:pPr>
        <w:spacing w:line="276" w:lineRule="auto"/>
        <w:ind w:left="567" w:right="-21" w:hanging="567"/>
        <w:jc w:val="both"/>
        <w:rPr>
          <w:rFonts w:ascii="Times New Roman" w:hAnsi="Times New Roman"/>
          <w:lang w:val="en-GB"/>
        </w:rPr>
      </w:pPr>
      <w:r w:rsidRPr="006F04E6">
        <w:rPr>
          <w:rFonts w:ascii="Times New Roman" w:hAnsi="Times New Roman"/>
          <w:lang w:val="en-GB"/>
        </w:rPr>
        <w:t xml:space="preserve">and </w:t>
      </w:r>
    </w:p>
    <w:p w14:paraId="19903653" w14:textId="77777777" w:rsidR="00B4516E" w:rsidRPr="006F04E6" w:rsidRDefault="00B4516E" w:rsidP="00B4516E">
      <w:pPr>
        <w:spacing w:line="276" w:lineRule="auto"/>
        <w:ind w:left="567" w:right="-21" w:hanging="567"/>
        <w:jc w:val="both"/>
        <w:rPr>
          <w:rFonts w:ascii="Times New Roman" w:hAnsi="Times New Roman"/>
          <w:lang w:val="en-GB"/>
        </w:rPr>
      </w:pPr>
      <w:r w:rsidRPr="006F04E6">
        <w:rPr>
          <w:rFonts w:ascii="Times New Roman" w:hAnsi="Times New Roman"/>
          <w:lang w:val="en-GB"/>
        </w:rPr>
        <w:t xml:space="preserve">line 7 [x x x]-li-e-i </w:t>
      </w:r>
      <w:r w:rsidRPr="006F04E6">
        <w:rPr>
          <w:rFonts w:ascii="Times New Roman" w:hAnsi="Times New Roman"/>
          <w:vertAlign w:val="superscript"/>
          <w:lang w:val="en-GB"/>
        </w:rPr>
        <w:t>NA4</w:t>
      </w:r>
      <w:r w:rsidRPr="006F04E6">
        <w:rPr>
          <w:rFonts w:ascii="Times New Roman" w:hAnsi="Times New Roman"/>
          <w:lang w:val="en-GB"/>
        </w:rPr>
        <w:t xml:space="preserve">qar-bi-e </w:t>
      </w:r>
      <w:r w:rsidRPr="006F04E6">
        <w:rPr>
          <w:rFonts w:ascii="Times New Roman" w:hAnsi="Times New Roman"/>
          <w:vertAlign w:val="superscript"/>
          <w:lang w:val="en-GB"/>
        </w:rPr>
        <w:t>KUR</w:t>
      </w:r>
      <w:r w:rsidRPr="006F04E6">
        <w:rPr>
          <w:rFonts w:ascii="Times New Roman" w:hAnsi="Times New Roman"/>
          <w:b/>
          <w:lang w:val="en-GB"/>
        </w:rPr>
        <w:t>ḫa-ti</w:t>
      </w:r>
      <w:r w:rsidRPr="006F04E6">
        <w:rPr>
          <w:rFonts w:ascii="Times New Roman" w:hAnsi="Times New Roman"/>
          <w:lang w:val="en-GB"/>
        </w:rPr>
        <w:t>-na-áš-ta-a-ni ap-ti-ni</w:t>
      </w:r>
    </w:p>
    <w:p w14:paraId="4C80D3AF"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lang w:val="en-GB"/>
        </w:rPr>
        <w:t xml:space="preserve">The other stones also contain signs referable to texts of the same type. Two stones allowed me to duplicate an </w:t>
      </w:r>
      <w:r w:rsidRPr="006F04E6">
        <w:rPr>
          <w:rFonts w:ascii="Times New Roman" w:eastAsia="Times New Roman" w:hAnsi="Times New Roman" w:cs="Times New Roman"/>
          <w:lang w:val="en-GB" w:eastAsia="it-IT"/>
        </w:rPr>
        <w:t>essential</w:t>
      </w:r>
      <w:r w:rsidRPr="006F04E6">
        <w:rPr>
          <w:rFonts w:ascii="Times New Roman" w:hAnsi="Times New Roman"/>
          <w:lang w:val="en-GB"/>
        </w:rPr>
        <w:t xml:space="preserve"> text by Minua</w:t>
      </w:r>
      <w:r w:rsidRPr="006F04E6">
        <w:rPr>
          <w:rFonts w:ascii="Times New Roman" w:eastAsia="Times New Roman" w:hAnsi="Times New Roman" w:cs="Times New Roman"/>
          <w:lang w:val="en-GB" w:eastAsia="it-IT"/>
        </w:rPr>
        <w:t>,</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"Minua" </w:instrText>
      </w:r>
      <w:r w:rsidRPr="006F04E6">
        <w:rPr>
          <w:rFonts w:asciiTheme="majorBidi" w:hAnsiTheme="majorBidi" w:cstheme="majorBidi"/>
          <w:lang w:val="en-GB"/>
        </w:rPr>
        <w:fldChar w:fldCharType="end"/>
      </w:r>
      <w:r w:rsidRPr="006F04E6">
        <w:rPr>
          <w:rFonts w:asciiTheme="majorBidi" w:hAnsiTheme="majorBidi" w:cstheme="majorBidi"/>
          <w:lang w:val="en-GB"/>
        </w:rPr>
        <w:t>,</w:t>
      </w:r>
      <w:r w:rsidRPr="006F04E6">
        <w:rPr>
          <w:rFonts w:ascii="Times New Roman" w:hAnsi="Times New Roman"/>
          <w:lang w:val="en-GB"/>
        </w:rPr>
        <w:t xml:space="preserve"> reconstructed from several examples scattered in the countries </w:t>
      </w:r>
      <w:r w:rsidRPr="006F04E6">
        <w:rPr>
          <w:rFonts w:ascii="Times New Roman" w:eastAsia="Times New Roman" w:hAnsi="Times New Roman" w:cs="Times New Roman"/>
          <w:lang w:val="en-GB" w:eastAsia="it-IT"/>
        </w:rPr>
        <w:t>northeast</w:t>
      </w:r>
      <w:r w:rsidRPr="006F04E6">
        <w:rPr>
          <w:rFonts w:ascii="Times New Roman" w:hAnsi="Times New Roman"/>
          <w:lang w:val="en-GB"/>
        </w:rPr>
        <w:t xml:space="preserve"> of Van Lake</w:t>
      </w:r>
      <w:r w:rsidRPr="006F04E6">
        <w:rPr>
          <w:rFonts w:ascii="Times New Roman" w:eastAsia="Times New Roman" w:hAnsi="Times New Roman" w:cs="Times New Roman"/>
          <w:lang w:val="en-GB" w:eastAsia="it-IT"/>
        </w:rPr>
        <w:t> </w:t>
      </w:r>
      <w:r w:rsidRPr="006F04E6">
        <w:rPr>
          <w:rFonts w:ascii="Times New Roman" w:hAnsi="Times New Roman"/>
          <w:lang w:val="en-GB"/>
        </w:rPr>
        <w:t xml:space="preserve">(CTU I. A 5-2), </w:t>
      </w:r>
      <w:r w:rsidRPr="006F04E6">
        <w:rPr>
          <w:rFonts w:ascii="Times New Roman" w:hAnsi="Times New Roman"/>
        </w:rPr>
        <w:t>especially from the Körzüt</w:t>
      </w:r>
      <w:r w:rsidRPr="006F04E6">
        <w:rPr>
          <w:rFonts w:ascii="Times New Roman" w:eastAsia="Times New Roman" w:hAnsi="Times New Roman" w:cs="Times New Roman"/>
          <w:lang w:val="en-GB" w:eastAsia="it-IT"/>
        </w:rPr>
        <w:t> </w:t>
      </w:r>
      <w:r w:rsidRPr="006F04E6">
        <w:rPr>
          <w:rStyle w:val="y2iqfc"/>
          <w:rFonts w:asciiTheme="majorBidi" w:hAnsiTheme="majorBidi" w:cstheme="majorBidi"/>
          <w:lang w:val="en-GB"/>
        </w:rPr>
        <w:fldChar w:fldCharType="begin"/>
      </w:r>
      <w:r w:rsidRPr="006F04E6">
        <w:rPr>
          <w:rFonts w:asciiTheme="majorBidi" w:hAnsiTheme="majorBidi" w:cstheme="majorBidi"/>
          <w:lang w:val="en-GB"/>
        </w:rPr>
        <w:instrText xml:space="preserve"> XE "Körzüt" </w:instrText>
      </w:r>
      <w:r w:rsidRPr="006F04E6">
        <w:rPr>
          <w:rStyle w:val="y2iqfc"/>
          <w:rFonts w:asciiTheme="majorBidi" w:hAnsiTheme="majorBidi" w:cstheme="majorBidi"/>
          <w:lang w:val="en-GB"/>
        </w:rPr>
        <w:fldChar w:fldCharType="end"/>
      </w:r>
      <w:r w:rsidRPr="006F04E6">
        <w:rPr>
          <w:rStyle w:val="y2iqfc"/>
          <w:rFonts w:asciiTheme="majorBidi" w:hAnsiTheme="majorBidi" w:cstheme="majorBidi"/>
          <w:lang w:val="en-GB"/>
        </w:rPr>
        <w:t xml:space="preserve"> </w:t>
      </w:r>
      <w:r w:rsidRPr="006F04E6">
        <w:rPr>
          <w:rFonts w:ascii="Times New Roman" w:hAnsi="Times New Roman"/>
        </w:rPr>
        <w:t>fortress temple. See above.</w:t>
      </w:r>
    </w:p>
    <w:p w14:paraId="0545CFFF"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2847389D"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54D4F580" w14:textId="77777777" w:rsidR="00CD3D5E" w:rsidRPr="006F04E6"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624920EF"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b/>
          <w:lang w:val="en-GB"/>
        </w:rPr>
        <w:lastRenderedPageBreak/>
        <w:t xml:space="preserve">CTU I. </w:t>
      </w:r>
      <w:r w:rsidRPr="006F04E6">
        <w:rPr>
          <w:rFonts w:ascii="Times New Roman" w:hAnsi="Times New Roman"/>
          <w:b/>
          <w:color w:val="202124"/>
          <w:lang w:val="en-GB"/>
        </w:rPr>
        <w:t>A 5-98a-s</w:t>
      </w:r>
      <w:r w:rsidRPr="006F04E6">
        <w:rPr>
          <w:rFonts w:ascii="Times New Roman" w:hAnsi="Times New Roman"/>
          <w:color w:val="202124"/>
          <w:lang w:val="en-GB"/>
        </w:rPr>
        <w:t xml:space="preserve"> </w:t>
      </w:r>
    </w:p>
    <w:p w14:paraId="2A814C9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Fragments of an inscription found on stones reused in the Middle Ages</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lang w:val="en-GB"/>
        </w:rPr>
        <w:instrText>Middle Ages</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in the northern wall of the citadel of Van Fortress (plan, No. 9). Stone ‘n’ has been found on 8.8.90 in the drainage opening to the right of the first tower. The stones could all belong to a summary text of the military enterprises of Minua</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of an annalistic type, a “Sammeltext” which included the expedition against Erikua/Erkua/Erkuaic/Erikuaḫi</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color w:val="202124"/>
          <w:lang w:val="en-GB"/>
        </w:rPr>
        <w:instrText>Erikua/Erkua/Erkuaic/Erikuaḫi</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and Luḫiuni</w:t>
      </w:r>
      <w:r w:rsidRPr="006F04E6">
        <w:rPr>
          <w:rFonts w:ascii="Times New Roman" w:hAnsi="Times New Roman"/>
          <w:color w:val="202124"/>
          <w:lang w:val="en-GB"/>
        </w:rPr>
        <w:fldChar w:fldCharType="begin"/>
      </w:r>
      <w:r w:rsidRPr="006F04E6">
        <w:rPr>
          <w:rFonts w:ascii="Courier New" w:hAnsi="Courier New"/>
          <w:lang w:val="en-GB"/>
        </w:rPr>
        <w:instrText xml:space="preserve"> XE "</w:instrText>
      </w:r>
      <w:r w:rsidRPr="006F04E6">
        <w:rPr>
          <w:rFonts w:ascii="Times New Roman" w:hAnsi="Times New Roman"/>
          <w:lang w:val="en-GB"/>
        </w:rPr>
        <w:instrText>Luḫiuni</w:instrText>
      </w:r>
      <w:r w:rsidRPr="006F04E6">
        <w:rPr>
          <w:rFonts w:ascii="Courier New" w:hAnsi="Courier New"/>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and others (Salvini,1973: 282-285).</w:t>
      </w:r>
    </w:p>
    <w:p w14:paraId="3D64EA1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63746F8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r w:rsidRPr="00CC135C">
        <w:rPr>
          <w:rFonts w:ascii="Times New Roman" w:hAnsi="Times New Roman"/>
          <w:noProof/>
          <w:lang w:eastAsia="tr-TR"/>
        </w:rPr>
        <w:drawing>
          <wp:inline distT="0" distB="0" distL="0" distR="0" wp14:anchorId="4F727A86" wp14:editId="75D34CF4">
            <wp:extent cx="4476712" cy="6468982"/>
            <wp:effectExtent l="0" t="0" r="635" b="8255"/>
            <wp:docPr id="1907298805" name="Resim 1907298805" descr="metin, çizim, diyagram, tasl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98805" name="Resim 1907298805" descr="metin, çizim, diyagram, taslak içeren bir resim&#10;&#10;Açıklama otomatik olarak oluşturuldu"/>
                    <pic:cNvPicPr>
                      <a:picLocks noChangeAspect="1" noChangeArrowheads="1"/>
                    </pic:cNvPicPr>
                  </pic:nvPicPr>
                  <pic:blipFill rotWithShape="1">
                    <a:blip r:embed="rId102" cstate="screen">
                      <a:extLst>
                        <a:ext uri="{28A0092B-C50C-407E-A947-70E740481C1C}">
                          <a14:useLocalDpi xmlns:a14="http://schemas.microsoft.com/office/drawing/2010/main"/>
                        </a:ext>
                      </a:extLst>
                    </a:blip>
                    <a:srcRect/>
                    <a:stretch/>
                  </pic:blipFill>
                  <pic:spPr bwMode="auto">
                    <a:xfrm>
                      <a:off x="0" y="0"/>
                      <a:ext cx="4476750" cy="6469037"/>
                    </a:xfrm>
                    <a:prstGeom prst="rect">
                      <a:avLst/>
                    </a:prstGeom>
                    <a:noFill/>
                    <a:ln>
                      <a:noFill/>
                    </a:ln>
                    <a:extLst>
                      <a:ext uri="{53640926-AAD7-44D8-BBD7-CCE9431645EC}">
                        <a14:shadowObscured xmlns:a14="http://schemas.microsoft.com/office/drawing/2010/main"/>
                      </a:ext>
                    </a:extLst>
                  </pic:spPr>
                </pic:pic>
              </a:graphicData>
            </a:graphic>
          </wp:inline>
        </w:drawing>
      </w:r>
    </w:p>
    <w:p w14:paraId="04E6A632"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bookmarkStart w:id="53" w:name="_Hlk128343799"/>
      <w:r w:rsidRPr="00CC135C">
        <w:rPr>
          <w:rFonts w:ascii="Times New Roman" w:hAnsi="Times New Roman"/>
          <w:color w:val="202124"/>
          <w:lang w:val="en-GB"/>
        </w:rPr>
        <w:t xml:space="preserve">Fig. 22 </w:t>
      </w:r>
      <w:r w:rsidRPr="00CC135C">
        <w:rPr>
          <w:rFonts w:ascii="Times New Roman" w:hAnsi="Times New Roman"/>
        </w:rPr>
        <w:t xml:space="preserve">Autograph copy of the inscribed stones on the north wall of the Van Fortress citadel (Salvini, 1973: </w:t>
      </w:r>
      <w:r w:rsidRPr="00CC135C">
        <w:rPr>
          <w:rFonts w:ascii="Times New Roman" w:hAnsi="Times New Roman"/>
          <w:color w:val="202124"/>
          <w:lang w:val="en-GB"/>
        </w:rPr>
        <w:t>Fig. 5)</w:t>
      </w:r>
      <w:bookmarkEnd w:id="53"/>
      <w:r w:rsidRPr="00CC135C">
        <w:rPr>
          <w:rFonts w:ascii="Times New Roman" w:hAnsi="Times New Roman"/>
          <w:color w:val="202124"/>
          <w:lang w:val="en-GB"/>
        </w:rPr>
        <w:t>.</w:t>
      </w:r>
    </w:p>
    <w:p w14:paraId="1F82891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p>
    <w:p w14:paraId="6DD1B7F4" w14:textId="77777777" w:rsidR="00B4516E" w:rsidRPr="00CC135C" w:rsidRDefault="00B4516E" w:rsidP="00B4516E">
      <w:pPr>
        <w:rPr>
          <w:rFonts w:ascii="Times New Roman" w:hAnsi="Times New Roman"/>
        </w:rPr>
      </w:pPr>
      <w:r w:rsidRPr="00CC135C">
        <w:rPr>
          <w:rFonts w:ascii="Times New Roman" w:hAnsi="Times New Roman"/>
        </w:rPr>
        <w:br w:type="page"/>
      </w:r>
    </w:p>
    <w:p w14:paraId="218AF6D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outlineLvl w:val="3"/>
        <w:rPr>
          <w:rFonts w:ascii="Times New Roman" w:hAnsi="Times New Roman"/>
          <w:b/>
          <w:lang w:val="en-GB"/>
        </w:rPr>
      </w:pPr>
      <w:r w:rsidRPr="006F04E6">
        <w:rPr>
          <w:rFonts w:ascii="Times New Roman" w:hAnsi="Times New Roman"/>
          <w:b/>
          <w:bCs/>
          <w:color w:val="000000" w:themeColor="text1"/>
        </w:rPr>
        <w:lastRenderedPageBreak/>
        <w:t>4.2.3.4. The Fountain of Minua</w:t>
      </w:r>
      <w:r w:rsidRPr="006F04E6">
        <w:rPr>
          <w:rFonts w:ascii="Times New Roman" w:hAnsi="Times New Roman"/>
          <w:b/>
          <w:bCs/>
          <w:color w:val="000000" w:themeColor="text1"/>
        </w:rPr>
        <w:fldChar w:fldCharType="begin"/>
      </w:r>
      <w:r w:rsidRPr="006F04E6">
        <w:rPr>
          <w:rFonts w:ascii="Courier New" w:hAnsi="Courier New"/>
          <w:b/>
          <w:bCs/>
          <w:color w:val="000000" w:themeColor="text1"/>
          <w:lang w:val="en-GB"/>
        </w:rPr>
        <w:instrText xml:space="preserve"> XE "</w:instrText>
      </w:r>
      <w:r w:rsidRPr="006F04E6">
        <w:rPr>
          <w:rFonts w:ascii="Times New Roman" w:hAnsi="Times New Roman"/>
          <w:b/>
          <w:bCs/>
          <w:color w:val="000000" w:themeColor="text1"/>
          <w:lang w:val="en-GB"/>
        </w:rPr>
        <w:instrText>Minua</w:instrText>
      </w:r>
      <w:r w:rsidRPr="006F04E6">
        <w:rPr>
          <w:rFonts w:ascii="Courier New" w:hAnsi="Courier New"/>
          <w:b/>
          <w:bCs/>
          <w:color w:val="000000" w:themeColor="text1"/>
          <w:lang w:val="en-GB"/>
        </w:rPr>
        <w:instrText xml:space="preserve">" </w:instrText>
      </w:r>
      <w:r w:rsidRPr="006F04E6">
        <w:rPr>
          <w:rFonts w:ascii="Times New Roman" w:hAnsi="Times New Roman"/>
          <w:b/>
          <w:bCs/>
          <w:color w:val="000000" w:themeColor="text1"/>
        </w:rPr>
        <w:fldChar w:fldCharType="end"/>
      </w:r>
      <w:r w:rsidRPr="006F04E6">
        <w:rPr>
          <w:rFonts w:ascii="Times New Roman" w:hAnsi="Times New Roman"/>
          <w:b/>
          <w:bCs/>
          <w:color w:val="000000" w:themeColor="text1"/>
        </w:rPr>
        <w:t>: CTU I. A 5-58A-C</w:t>
      </w:r>
      <w:r w:rsidRPr="006F04E6">
        <w:rPr>
          <w:rFonts w:ascii="Times New Roman" w:hAnsi="Times New Roman"/>
        </w:rPr>
        <w:t>, (Fig. 23-26)</w:t>
      </w:r>
    </w:p>
    <w:p w14:paraId="6B2D536D" w14:textId="77777777" w:rsidR="00B4516E" w:rsidRPr="006F04E6" w:rsidRDefault="00B4516E" w:rsidP="00B4516E">
      <w:pPr>
        <w:jc w:val="both"/>
        <w:rPr>
          <w:rFonts w:ascii="Times New Roman" w:eastAsia="Arial" w:hAnsi="Times New Roman" w:cs="Times New Roman"/>
          <w:color w:val="202124"/>
          <w:lang w:val="en-GB" w:eastAsia="it-IT"/>
        </w:rPr>
      </w:pPr>
      <w:r w:rsidRPr="006F04E6">
        <w:rPr>
          <w:rFonts w:ascii="Times New Roman" w:hAnsi="Times New Roman"/>
        </w:rPr>
        <w:t xml:space="preserve">On the north side of the Van </w:t>
      </w:r>
      <w:r w:rsidRPr="006F04E6">
        <w:rPr>
          <w:rFonts w:ascii="Times New Roman" w:eastAsia="Arial" w:hAnsi="Times New Roman" w:cs="Times New Roman"/>
          <w:color w:val="202124"/>
          <w:lang w:val="en-GB" w:eastAsia="it-IT"/>
        </w:rPr>
        <w:t>Rock</w:t>
      </w:r>
      <w:r w:rsidRPr="006F04E6">
        <w:rPr>
          <w:rFonts w:ascii="Times New Roman" w:hAnsi="Times New Roman"/>
        </w:rPr>
        <w:t xml:space="preserve"> is a natural cave with three duplicate inscriptions, two of which are in good conservation</w:t>
      </w:r>
      <w:r w:rsidRPr="006F04E6">
        <w:rPr>
          <w:rFonts w:ascii="Times New Roman" w:eastAsia="Arial" w:hAnsi="Times New Roman" w:cs="Times New Roman"/>
          <w:color w:val="202124"/>
          <w:lang w:val="en-GB" w:eastAsia="it-IT"/>
        </w:rPr>
        <w:t xml:space="preserve"> condition</w:t>
      </w:r>
      <w:r w:rsidRPr="006F04E6">
        <w:rPr>
          <w:rFonts w:ascii="Times New Roman" w:hAnsi="Times New Roman"/>
        </w:rPr>
        <w:t>. It is the fountain (</w:t>
      </w:r>
      <w:r w:rsidRPr="006F04E6">
        <w:rPr>
          <w:rFonts w:ascii="Times New Roman" w:hAnsi="Times New Roman"/>
          <w:lang w:val="en-GB"/>
        </w:rPr>
        <w:t>"</w:t>
      </w:r>
      <w:r w:rsidRPr="006F04E6">
        <w:rPr>
          <w:rFonts w:ascii="Times New Roman" w:hAnsi="Times New Roman"/>
        </w:rPr>
        <w:t>taramanili</w:t>
      </w:r>
      <w:r w:rsidRPr="006F04E6">
        <w:rPr>
          <w:rFonts w:ascii="Times New Roman" w:hAnsi="Times New Roman"/>
          <w:lang w:val="en-GB"/>
        </w:rPr>
        <w:t>"</w:t>
      </w:r>
      <w:r w:rsidRPr="006F04E6">
        <w:rPr>
          <w:rFonts w:ascii="Times New Roman" w:eastAsia="Arial" w:hAnsi="Times New Roman" w:cs="Times New Roman"/>
          <w:color w:val="202124"/>
          <w:lang w:val="en-GB" w:eastAsia="it-IT"/>
        </w:rPr>
        <w:t>)</w:t>
      </w:r>
      <w:r w:rsidRPr="006F04E6">
        <w:rPr>
          <w:rFonts w:ascii="Times New Roman" w:hAnsi="Times New Roman"/>
        </w:rPr>
        <w:t xml:space="preserve"> of Minua</w:t>
      </w:r>
      <w:r w:rsidRPr="006F04E6">
        <w:rPr>
          <w:rFonts w:ascii="Times New Roman" w:eastAsia="Arial" w:hAnsi="Times New Roman" w:cs="Times New Roman"/>
          <w:color w:val="202124"/>
          <w:lang w:val="en-GB" w:eastAsia="it-IT"/>
        </w:rPr>
        <w:t>.</w:t>
      </w:r>
    </w:p>
    <w:p w14:paraId="44E65FF4" w14:textId="77777777" w:rsidR="00B4516E" w:rsidRPr="006F04E6" w:rsidRDefault="00B4516E" w:rsidP="00B4516E">
      <w:pPr>
        <w:jc w:val="both"/>
        <w:rPr>
          <w:rFonts w:ascii="Times New Roman" w:hAnsi="Times New Roman"/>
          <w:color w:val="202124"/>
          <w:lang w:val="en-GB"/>
        </w:rPr>
      </w:pP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"Minua" </w:instrText>
      </w:r>
      <w:r w:rsidRPr="006F04E6">
        <w:rPr>
          <w:rStyle w:val="y2iqfc"/>
          <w:rFonts w:asciiTheme="majorBidi" w:eastAsia="Arial" w:hAnsiTheme="majorBidi" w:cstheme="majorBidi"/>
          <w:color w:val="202124"/>
          <w:lang w:val="en-GB"/>
        </w:rPr>
        <w:fldChar w:fldCharType="end"/>
      </w:r>
    </w:p>
    <w:p w14:paraId="54FBE7EF" w14:textId="77777777" w:rsidR="00B4516E" w:rsidRPr="006F04E6" w:rsidRDefault="00B4516E" w:rsidP="00B4516E">
      <w:pPr>
        <w:rPr>
          <w:rFonts w:ascii="Times New Roman" w:hAnsi="Times New Roman"/>
          <w:b/>
          <w:i/>
          <w:lang w:val="en-GB"/>
        </w:rPr>
      </w:pPr>
      <w:r w:rsidRPr="006F04E6">
        <w:rPr>
          <w:rFonts w:ascii="Times New Roman" w:hAnsi="Times New Roman"/>
          <w:b/>
          <w:lang w:val="en-GB"/>
        </w:rPr>
        <w:t xml:space="preserve">CTU I. A 5-58A  </w:t>
      </w:r>
    </w:p>
    <w:p w14:paraId="5EFDA2ED"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 xml:space="preserve">ḫal-di-ni-ni uš-ma-ši-ni </w:t>
      </w:r>
      <w:r w:rsidRPr="006F04E6">
        <w:rPr>
          <w:rFonts w:ascii="Times New Roman" w:hAnsi="Times New Roman"/>
          <w:vertAlign w:val="superscript"/>
          <w:lang w:val="en-GB"/>
        </w:rPr>
        <w:t>m</w:t>
      </w:r>
      <w:r w:rsidRPr="006F04E6">
        <w:rPr>
          <w:rFonts w:ascii="Times New Roman" w:hAnsi="Times New Roman"/>
          <w:lang w:val="en-GB"/>
        </w:rPr>
        <w:t>mì-nu-a-še</w:t>
      </w:r>
    </w:p>
    <w:p w14:paraId="4360358A"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iš-pu-u-ni-ḫi-ni-še i-ni-li</w:t>
      </w:r>
    </w:p>
    <w:p w14:paraId="5CF2C7FF"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ta-ar-ma-ni-li at-ḫu-a-li</w:t>
      </w:r>
    </w:p>
    <w:p w14:paraId="68EF6BCF"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 xml:space="preserve">ši-di-iš-tú-a-li </w:t>
      </w:r>
      <w:r w:rsidRPr="006F04E6">
        <w:rPr>
          <w:rFonts w:ascii="Times New Roman" w:hAnsi="Times New Roman"/>
          <w:vertAlign w:val="superscript"/>
          <w:lang w:val="en-GB"/>
        </w:rPr>
        <w:t>D</w:t>
      </w:r>
      <w:r w:rsidRPr="006F04E6">
        <w:rPr>
          <w:rFonts w:ascii="Times New Roman" w:hAnsi="Times New Roman"/>
          <w:lang w:val="en-GB"/>
        </w:rPr>
        <w:t>ḫal-di-ni-ni</w:t>
      </w:r>
    </w:p>
    <w:p w14:paraId="4407CCCD"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t xml:space="preserve">al-su-ši-ni </w:t>
      </w:r>
      <w:r w:rsidRPr="006F04E6">
        <w:rPr>
          <w:rFonts w:ascii="Times New Roman" w:hAnsi="Times New Roman"/>
          <w:vertAlign w:val="superscript"/>
          <w:lang w:val="en-GB"/>
        </w:rPr>
        <w:t>m</w:t>
      </w:r>
      <w:r w:rsidRPr="006F04E6">
        <w:rPr>
          <w:rFonts w:ascii="Times New Roman" w:hAnsi="Times New Roman"/>
          <w:lang w:val="en-GB"/>
        </w:rPr>
        <w:t>mì-un-u-a-ni</w:t>
      </w:r>
    </w:p>
    <w:p w14:paraId="7A489DD3"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iš-pu-u-ni-e-ḫi MAN tar-a-i-e</w:t>
      </w:r>
    </w:p>
    <w:p w14:paraId="4EDBA12F"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 xml:space="preserve">MAN al-su-ni MAN </w:t>
      </w:r>
      <w:r w:rsidRPr="006F04E6">
        <w:rPr>
          <w:rFonts w:ascii="Times New Roman" w:hAnsi="Times New Roman"/>
          <w:vertAlign w:val="superscript"/>
          <w:lang w:val="en-GB"/>
        </w:rPr>
        <w:t>KUR</w:t>
      </w:r>
      <w:r w:rsidRPr="006F04E6">
        <w:rPr>
          <w:rFonts w:ascii="Times New Roman" w:hAnsi="Times New Roman"/>
          <w:lang w:val="en-GB"/>
        </w:rPr>
        <w:t>bi-a-i-na-e</w:t>
      </w:r>
    </w:p>
    <w:p w14:paraId="5AC379BD"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t xml:space="preserve">a-lu-si </w:t>
      </w:r>
      <w:r w:rsidRPr="006F04E6">
        <w:rPr>
          <w:rFonts w:ascii="Times New Roman" w:hAnsi="Times New Roman"/>
          <w:vertAlign w:val="superscript"/>
          <w:lang w:val="en-GB"/>
        </w:rPr>
        <w:t>URU</w:t>
      </w:r>
      <w:r w:rsidRPr="006F04E6">
        <w:rPr>
          <w:rFonts w:ascii="Times New Roman" w:hAnsi="Times New Roman"/>
          <w:lang w:val="en-GB"/>
        </w:rPr>
        <w:t>ṭu-uš-pa-e URU</w:t>
      </w:r>
    </w:p>
    <w:p w14:paraId="1822368F"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mì-nu-a-še </w:t>
      </w:r>
      <w:r w:rsidRPr="006F04E6">
        <w:rPr>
          <w:rFonts w:ascii="Times New Roman" w:hAnsi="Times New Roman"/>
          <w:vertAlign w:val="superscript"/>
          <w:lang w:val="en-GB"/>
        </w:rPr>
        <w:t>m</w:t>
      </w:r>
      <w:r w:rsidRPr="006F04E6">
        <w:rPr>
          <w:rFonts w:ascii="Times New Roman" w:hAnsi="Times New Roman"/>
          <w:lang w:val="en-GB"/>
        </w:rPr>
        <w:t>iš-pu-u-ni-ḫi-ni-še</w:t>
      </w:r>
    </w:p>
    <w:p w14:paraId="7393B8D4"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10</w:t>
      </w:r>
      <w:r w:rsidRPr="006F04E6">
        <w:rPr>
          <w:rFonts w:ascii="Times New Roman" w:hAnsi="Times New Roman"/>
          <w:lang w:val="en-GB"/>
        </w:rPr>
        <w:tab/>
        <w:t>a-li a-lu-še i-ni DUB-te tú-li-e</w:t>
      </w:r>
    </w:p>
    <w:p w14:paraId="052695A7"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11</w:t>
      </w:r>
      <w:r w:rsidRPr="006F04E6">
        <w:rPr>
          <w:rFonts w:ascii="Times New Roman" w:hAnsi="Times New Roman"/>
          <w:lang w:val="en-GB"/>
        </w:rPr>
        <w:tab/>
        <w:t>a-lu-še pi-tú-li-e a-lu-še</w:t>
      </w:r>
    </w:p>
    <w:p w14:paraId="3447EC14"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12</w:t>
      </w:r>
      <w:r w:rsidRPr="006F04E6">
        <w:rPr>
          <w:rFonts w:ascii="Times New Roman" w:hAnsi="Times New Roman"/>
          <w:lang w:val="en-GB"/>
        </w:rPr>
        <w:tab/>
        <w:t>a-i-ni-e-i i-ni-li du-li-e</w:t>
      </w:r>
    </w:p>
    <w:p w14:paraId="46388EE3"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13</w:t>
      </w:r>
      <w:r w:rsidRPr="006F04E6">
        <w:rPr>
          <w:rFonts w:ascii="Times New Roman" w:hAnsi="Times New Roman"/>
          <w:lang w:val="en-GB"/>
        </w:rPr>
        <w:tab/>
        <w:t>a-lu-še ú-li-še ti-ú-li-e</w:t>
      </w:r>
    </w:p>
    <w:p w14:paraId="02CE6938"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14</w:t>
      </w:r>
      <w:r w:rsidRPr="006F04E6">
        <w:rPr>
          <w:rFonts w:ascii="Times New Roman" w:hAnsi="Times New Roman"/>
          <w:lang w:val="en-GB"/>
        </w:rPr>
        <w:tab/>
        <w:t>i-e-še za-du-bi tú-ri-ni-ni</w:t>
      </w:r>
    </w:p>
    <w:p w14:paraId="43A73926"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15</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 xml:space="preserve">ḫal-di-še </w:t>
      </w:r>
      <w:r w:rsidRPr="006F04E6">
        <w:rPr>
          <w:rFonts w:ascii="Times New Roman" w:hAnsi="Times New Roman"/>
          <w:vertAlign w:val="superscript"/>
          <w:lang w:val="en-GB"/>
        </w:rPr>
        <w:t>D</w:t>
      </w:r>
      <w:r w:rsidRPr="006F04E6">
        <w:rPr>
          <w:rFonts w:ascii="Times New Roman" w:hAnsi="Times New Roman"/>
          <w:lang w:val="en-GB"/>
        </w:rPr>
        <w:t>IM-a-še</w:t>
      </w:r>
    </w:p>
    <w:p w14:paraId="01483C4E" w14:textId="77777777" w:rsidR="00B4516E" w:rsidRPr="00CC135C" w:rsidRDefault="00B4516E" w:rsidP="00B4516E">
      <w:pPr>
        <w:numPr>
          <w:ilvl w:val="12"/>
          <w:numId w:val="0"/>
        </w:numPr>
        <w:ind w:left="567" w:right="-855" w:hanging="567"/>
        <w:jc w:val="both"/>
        <w:rPr>
          <w:rFonts w:ascii="Times New Roman" w:hAnsi="Times New Roman"/>
          <w:lang w:val="en-GB"/>
        </w:rPr>
      </w:pPr>
      <w:r w:rsidRPr="00CC135C">
        <w:rPr>
          <w:rFonts w:ascii="Times New Roman" w:hAnsi="Times New Roman"/>
          <w:noProof/>
          <w:sz w:val="20"/>
          <w:lang w:eastAsia="tr-TR"/>
        </w:rPr>
        <w:drawing>
          <wp:anchor distT="0" distB="0" distL="114300" distR="114300" simplePos="0" relativeHeight="251951104" behindDoc="1" locked="0" layoutInCell="1" allowOverlap="1" wp14:anchorId="463C2A85" wp14:editId="0D381027">
            <wp:simplePos x="0" y="0"/>
            <wp:positionH relativeFrom="margin">
              <wp:posOffset>8255</wp:posOffset>
            </wp:positionH>
            <wp:positionV relativeFrom="margin">
              <wp:posOffset>3862495</wp:posOffset>
            </wp:positionV>
            <wp:extent cx="4422140" cy="3318510"/>
            <wp:effectExtent l="0" t="0" r="0" b="0"/>
            <wp:wrapTopAndBottom/>
            <wp:docPr id="1098579350" name="Resim 1098579350" descr="doğa, dış mekan, formasyon, eroz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79350" name="Resim 1098579350" descr="doğa, dış mekan, formasyon, erozyon içeren bir resim&#10;&#10;Açıklama otomatik olarak oluşturuldu"/>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4422140" cy="3318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3E2A1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lang w:val="en-GB"/>
        </w:rPr>
      </w:pPr>
      <w:r w:rsidRPr="00ED44B9">
        <w:rPr>
          <w:rFonts w:ascii="Times New Roman" w:hAnsi="Times New Roman"/>
          <w:lang w:val="en-GB"/>
        </w:rPr>
        <w:t>Fig. 23</w:t>
      </w:r>
      <w:r w:rsidRPr="00ED44B9">
        <w:rPr>
          <w:rFonts w:ascii="Times New Roman" w:hAnsi="Times New Roman"/>
          <w:b/>
          <w:lang w:val="en-GB"/>
        </w:rPr>
        <w:t xml:space="preserve"> </w:t>
      </w:r>
      <w:r w:rsidRPr="00ED44B9">
        <w:rPr>
          <w:rFonts w:ascii="Times New Roman" w:hAnsi="Times New Roman"/>
        </w:rPr>
        <w:t>North flank of the cliff of Van. The fountain (</w:t>
      </w:r>
      <w:r w:rsidRPr="00ED44B9">
        <w:rPr>
          <w:rFonts w:ascii="Times New Roman" w:hAnsi="Times New Roman"/>
          <w:lang w:val="en-GB"/>
        </w:rPr>
        <w:t>"</w:t>
      </w:r>
      <w:r w:rsidRPr="00ED44B9">
        <w:rPr>
          <w:rFonts w:ascii="Times New Roman" w:hAnsi="Times New Roman"/>
          <w:iCs/>
        </w:rPr>
        <w:t>taramanili</w:t>
      </w:r>
      <w:r w:rsidRPr="00ED44B9">
        <w:rPr>
          <w:rFonts w:ascii="Times New Roman" w:hAnsi="Times New Roman"/>
          <w:lang w:val="en-GB"/>
        </w:rPr>
        <w:t>"</w:t>
      </w:r>
      <w:r w:rsidRPr="00ED44B9">
        <w:rPr>
          <w:rFonts w:ascii="Times New Roman" w:eastAsia="Arial" w:hAnsi="Times New Roman" w:cs="Times New Roman"/>
          <w:iCs/>
          <w:lang w:val="en-GB" w:eastAsia="it-IT"/>
        </w:rPr>
        <w:fldChar w:fldCharType="begin"/>
      </w:r>
      <w:r w:rsidRPr="00ED44B9">
        <w:rPr>
          <w:rFonts w:ascii="Courier New" w:eastAsia="Times New Roman" w:hAnsi="Courier New" w:cs="Courier New"/>
          <w:iCs/>
          <w:lang w:val="en-GB" w:eastAsia="it-IT"/>
        </w:rPr>
        <w:instrText xml:space="preserve"> XE "</w:instrText>
      </w:r>
      <w:r w:rsidRPr="00ED44B9">
        <w:rPr>
          <w:rFonts w:ascii="Times New Roman" w:eastAsia="Arial" w:hAnsi="Times New Roman" w:cs="Times New Roman"/>
          <w:iCs/>
          <w:lang w:val="en-GB" w:eastAsia="it-IT"/>
        </w:rPr>
        <w:instrText>taramanili</w:instrText>
      </w:r>
      <w:r w:rsidRPr="00ED44B9">
        <w:rPr>
          <w:rFonts w:ascii="Courier New" w:eastAsia="Times New Roman" w:hAnsi="Courier New" w:cs="Courier New"/>
          <w:iCs/>
          <w:lang w:val="en-GB" w:eastAsia="it-IT"/>
        </w:rPr>
        <w:instrText xml:space="preserve">" </w:instrText>
      </w:r>
      <w:r w:rsidRPr="00ED44B9">
        <w:rPr>
          <w:rFonts w:ascii="Times New Roman" w:eastAsia="Arial" w:hAnsi="Times New Roman" w:cs="Times New Roman"/>
          <w:iCs/>
          <w:lang w:val="en-GB" w:eastAsia="it-IT"/>
        </w:rPr>
        <w:fldChar w:fldCharType="end"/>
      </w:r>
      <w:r w:rsidRPr="00ED44B9">
        <w:rPr>
          <w:rFonts w:ascii="Times New Roman" w:eastAsia="Arial" w:hAnsi="Times New Roman" w:cs="Times New Roman"/>
          <w:lang w:val="en-GB" w:eastAsia="it-IT"/>
        </w:rPr>
        <w:t>)</w:t>
      </w:r>
      <w:r w:rsidRPr="00ED44B9">
        <w:rPr>
          <w:rFonts w:ascii="Times New Roman" w:hAnsi="Times New Roman"/>
        </w:rPr>
        <w:t xml:space="preserve"> of Minua</w:t>
      </w:r>
      <w:r w:rsidRPr="00ED44B9">
        <w:rPr>
          <w:rFonts w:ascii="Times New Roman" w:hAnsi="Times New Roman"/>
        </w:rPr>
        <w:fldChar w:fldCharType="begin"/>
      </w:r>
      <w:r w:rsidRPr="00ED44B9">
        <w:rPr>
          <w:rFonts w:ascii="Courier New" w:hAnsi="Courier New"/>
          <w:lang w:val="en-GB"/>
        </w:rPr>
        <w:instrText xml:space="preserve"> XE "</w:instrText>
      </w:r>
      <w:r w:rsidRPr="00ED44B9">
        <w:rPr>
          <w:rFonts w:ascii="Times New Roman" w:hAnsi="Times New Roman"/>
        </w:rPr>
        <w:instrText>Minua</w:instrText>
      </w:r>
      <w:r w:rsidRPr="00ED44B9">
        <w:rPr>
          <w:rFonts w:ascii="Courier New" w:hAnsi="Courier New"/>
          <w:lang w:val="en-GB"/>
        </w:rPr>
        <w:instrText xml:space="preserve">" </w:instrText>
      </w:r>
      <w:r w:rsidRPr="00ED44B9">
        <w:rPr>
          <w:rFonts w:ascii="Times New Roman" w:hAnsi="Times New Roman"/>
        </w:rPr>
        <w:fldChar w:fldCharType="end"/>
      </w:r>
      <w:r w:rsidRPr="00ED44B9">
        <w:rPr>
          <w:rFonts w:ascii="Times New Roman" w:hAnsi="Times New Roman"/>
        </w:rPr>
        <w:t xml:space="preserve"> with the three duplicate </w:t>
      </w:r>
      <w:r w:rsidRPr="00CC135C">
        <w:rPr>
          <w:rFonts w:ascii="Times New Roman" w:hAnsi="Times New Roman"/>
        </w:rPr>
        <w:t>inscriptions (CTU I. A 5-58A-C).</w:t>
      </w:r>
    </w:p>
    <w:p w14:paraId="2AE29A11" w14:textId="77777777" w:rsidR="00B4516E" w:rsidRPr="00CC135C" w:rsidRDefault="00B4516E" w:rsidP="00B4516E">
      <w:pPr>
        <w:numPr>
          <w:ilvl w:val="12"/>
          <w:numId w:val="0"/>
        </w:numPr>
        <w:ind w:right="-855"/>
        <w:jc w:val="both"/>
        <w:rPr>
          <w:rFonts w:ascii="Times New Roman" w:hAnsi="Times New Roman"/>
          <w:lang w:val="en-GB"/>
        </w:rPr>
      </w:pPr>
    </w:p>
    <w:p w14:paraId="523D42F6" w14:textId="77777777" w:rsidR="00B4516E" w:rsidRPr="00ED44B9" w:rsidRDefault="00B4516E" w:rsidP="00B4516E">
      <w:pPr>
        <w:numPr>
          <w:ilvl w:val="12"/>
          <w:numId w:val="0"/>
        </w:numPr>
        <w:ind w:left="567" w:right="-855" w:hanging="567"/>
        <w:jc w:val="both"/>
        <w:rPr>
          <w:rFonts w:ascii="Times New Roman" w:hAnsi="Times New Roman"/>
          <w:lang w:val="en-GB"/>
        </w:rPr>
      </w:pPr>
      <w:r w:rsidRPr="00ED44B9">
        <w:rPr>
          <w:rFonts w:ascii="Times New Roman" w:hAnsi="Times New Roman"/>
          <w:lang w:val="en-GB"/>
        </w:rPr>
        <w:t>16</w:t>
      </w:r>
      <w:r w:rsidRPr="00ED44B9">
        <w:rPr>
          <w:rFonts w:ascii="Times New Roman" w:hAnsi="Times New Roman"/>
          <w:lang w:val="en-GB"/>
        </w:rPr>
        <w:tab/>
      </w:r>
      <w:r w:rsidRPr="00ED44B9">
        <w:rPr>
          <w:rFonts w:ascii="Times New Roman" w:hAnsi="Times New Roman"/>
          <w:vertAlign w:val="superscript"/>
          <w:lang w:val="en-GB"/>
        </w:rPr>
        <w:t>D</w:t>
      </w:r>
      <w:r w:rsidRPr="00ED44B9">
        <w:rPr>
          <w:rFonts w:ascii="Times New Roman" w:hAnsi="Times New Roman"/>
          <w:lang w:val="en-GB"/>
        </w:rPr>
        <w:t>UTU-še DINGIR</w:t>
      </w:r>
      <w:r w:rsidRPr="00ED44B9">
        <w:rPr>
          <w:rFonts w:ascii="Times New Roman" w:hAnsi="Times New Roman"/>
          <w:vertAlign w:val="superscript"/>
          <w:lang w:val="en-GB"/>
        </w:rPr>
        <w:t>MEŠ</w:t>
      </w:r>
      <w:r w:rsidRPr="00ED44B9">
        <w:rPr>
          <w:rFonts w:ascii="Times New Roman" w:hAnsi="Times New Roman"/>
          <w:lang w:val="en-GB"/>
        </w:rPr>
        <w:t xml:space="preserve">-še ma-a-ni </w:t>
      </w:r>
      <w:r w:rsidRPr="00ED44B9">
        <w:rPr>
          <w:rFonts w:ascii="Times New Roman" w:hAnsi="Times New Roman"/>
          <w:vertAlign w:val="superscript"/>
          <w:lang w:val="en-GB"/>
        </w:rPr>
        <w:t>D</w:t>
      </w:r>
      <w:r w:rsidRPr="00ED44B9">
        <w:rPr>
          <w:rFonts w:ascii="Times New Roman" w:hAnsi="Times New Roman"/>
          <w:lang w:val="en-GB"/>
        </w:rPr>
        <w:t>UTU-ni</w:t>
      </w:r>
    </w:p>
    <w:p w14:paraId="133EA778"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17</w:t>
      </w:r>
      <w:r w:rsidRPr="006F04E6">
        <w:rPr>
          <w:rFonts w:ascii="Times New Roman" w:hAnsi="Times New Roman"/>
          <w:lang w:val="en-GB"/>
        </w:rPr>
        <w:tab/>
        <w:t>pi-i-ni mì-i ar-ḫi ú-ru-li-a-ni</w:t>
      </w:r>
    </w:p>
    <w:p w14:paraId="65AB60BC"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18</w:t>
      </w:r>
      <w:r w:rsidRPr="006F04E6">
        <w:rPr>
          <w:rFonts w:ascii="Times New Roman" w:hAnsi="Times New Roman"/>
          <w:lang w:val="en-GB"/>
        </w:rPr>
        <w:tab/>
        <w:t>mì-i i-na-ni mì-i na-ra-a</w:t>
      </w:r>
    </w:p>
    <w:p w14:paraId="7AAB0AB3" w14:textId="77777777" w:rsidR="00B4516E" w:rsidRPr="006F04E6" w:rsidRDefault="00B4516E" w:rsidP="00B4516E">
      <w:pPr>
        <w:numPr>
          <w:ilvl w:val="12"/>
          <w:numId w:val="0"/>
        </w:numPr>
        <w:ind w:left="567" w:right="-855" w:hanging="567"/>
        <w:jc w:val="both"/>
        <w:rPr>
          <w:rFonts w:ascii="Times New Roman" w:hAnsi="Times New Roman"/>
          <w:lang w:val="en-GB"/>
        </w:rPr>
      </w:pPr>
      <w:r w:rsidRPr="006F04E6">
        <w:rPr>
          <w:rFonts w:ascii="Times New Roman" w:hAnsi="Times New Roman"/>
          <w:lang w:val="en-GB"/>
        </w:rPr>
        <w:t>19</w:t>
      </w:r>
      <w:r w:rsidRPr="006F04E6">
        <w:rPr>
          <w:rFonts w:ascii="Times New Roman" w:hAnsi="Times New Roman"/>
          <w:lang w:val="en-GB"/>
        </w:rPr>
        <w:tab/>
        <w:t>a-ú-e ú-lu-li-e</w:t>
      </w:r>
    </w:p>
    <w:p w14:paraId="0EC65F47" w14:textId="77777777" w:rsidR="00B4516E" w:rsidRPr="006F04E6" w:rsidRDefault="00B4516E" w:rsidP="00B4516E">
      <w:pPr>
        <w:numPr>
          <w:ilvl w:val="12"/>
          <w:numId w:val="0"/>
        </w:numPr>
        <w:ind w:left="567" w:right="-855" w:hanging="567"/>
        <w:jc w:val="both"/>
        <w:rPr>
          <w:rFonts w:ascii="Times New Roman" w:hAnsi="Times New Roman"/>
          <w:lang w:val="en-GB"/>
        </w:rPr>
      </w:pPr>
    </w:p>
    <w:p w14:paraId="6B41EFFF"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eastAsia="Times New Roman" w:hAnsi="Times New Roman" w:cs="Courier New"/>
          <w:color w:val="202124"/>
          <w:lang w:val="en-GB" w:eastAsia="it-IT"/>
        </w:rPr>
        <w:lastRenderedPageBreak/>
        <w:t>Duplicates B and C also have 19 lines of text.</w:t>
      </w:r>
      <w:r w:rsidRPr="006F04E6">
        <w:rPr>
          <w:rFonts w:ascii="Times New Roman" w:eastAsia="Arial" w:hAnsi="Times New Roman" w:cs="Times New Roman"/>
          <w:color w:val="202124"/>
          <w:lang w:val="en-GB"/>
        </w:rPr>
        <w:t> </w:t>
      </w:r>
      <w:r w:rsidRPr="006F04E6">
        <w:rPr>
          <w:rFonts w:ascii="Times New Roman" w:eastAsia="Times New Roman" w:hAnsi="Times New Roman" w:cs="Courier New"/>
          <w:color w:val="202124"/>
          <w:lang w:val="en-GB" w:eastAsia="it-IT"/>
        </w:rPr>
        <w:t xml:space="preserve">Duplicate C is </w:t>
      </w:r>
      <w:r w:rsidRPr="006F04E6">
        <w:rPr>
          <w:rFonts w:ascii="Times New Roman" w:hAnsi="Times New Roman" w:cs="Courier New"/>
          <w:lang w:val="it-IT"/>
        </w:rPr>
        <w:t xml:space="preserve">almost destroyed but shows remains of the spring of water that flowed from the rock. This epigraphic monument and its context allowed me to decipher the quadruple text of </w:t>
      </w:r>
      <w:r w:rsidRPr="006F04E6">
        <w:rPr>
          <w:rFonts w:ascii="Times New Roman" w:eastAsia="Arial" w:hAnsi="Times New Roman" w:cs="Times New Roman"/>
          <w:color w:val="202124"/>
          <w:lang w:val="en-GB"/>
        </w:rPr>
        <w:t>King</w:t>
      </w:r>
      <w:r w:rsidRPr="006F04E6">
        <w:rPr>
          <w:rFonts w:ascii="Times New Roman" w:hAnsi="Times New Roman" w:cs="Courier New"/>
          <w:lang w:val="it-IT"/>
        </w:rPr>
        <w:t xml:space="preserve"> Minua</w:t>
      </w:r>
      <w:r w:rsidRPr="006F04E6">
        <w:rPr>
          <w:rFonts w:ascii="Times New Roman" w:eastAsia="Arial" w:hAnsi="Times New Roman" w:cs="Times New Roman"/>
          <w:color w:val="202124"/>
          <w:lang w:val="en-GB"/>
        </w:rPr>
        <w:t> </w:t>
      </w:r>
      <w:r w:rsidRPr="006F04E6">
        <w:rPr>
          <w:rStyle w:val="y2iqfc"/>
          <w:rFonts w:asciiTheme="majorBidi" w:eastAsia="Arial" w:hAnsiTheme="majorBidi" w:cstheme="majorBidi"/>
          <w:color w:val="202124"/>
          <w:lang w:val="en-GB" w:eastAsia="it-IT"/>
        </w:rPr>
        <w:fldChar w:fldCharType="begin"/>
      </w:r>
      <w:r w:rsidRPr="006F04E6">
        <w:rPr>
          <w:rFonts w:asciiTheme="majorBidi" w:hAnsiTheme="majorBidi" w:cstheme="majorBidi"/>
          <w:lang w:val="en-GB"/>
        </w:rPr>
        <w:instrText xml:space="preserve"> XE "Minua" </w:instrText>
      </w:r>
      <w:r w:rsidRPr="006F04E6">
        <w:rPr>
          <w:rStyle w:val="y2iqfc"/>
          <w:rFonts w:asciiTheme="majorBidi" w:eastAsia="Arial" w:hAnsiTheme="majorBidi" w:cstheme="majorBidi"/>
          <w:color w:val="202124"/>
          <w:lang w:val="en-GB" w:eastAsia="it-IT"/>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cs="Courier New"/>
          <w:lang w:val="it-IT"/>
        </w:rPr>
        <w:t>himself in Iranian Azerbaijan</w:t>
      </w:r>
      <w:r w:rsidRPr="006F04E6">
        <w:rPr>
          <w:rFonts w:ascii="Times New Roman" w:eastAsia="Arial" w:hAnsi="Times New Roman" w:cs="Times New Roman"/>
          <w:color w:val="202124"/>
          <w:lang w:val="en-GB"/>
        </w:rPr>
        <w:t> </w:t>
      </w:r>
      <w:r w:rsidRPr="006F04E6">
        <w:rPr>
          <w:rStyle w:val="y2iqfc"/>
          <w:rFonts w:asciiTheme="majorBidi" w:eastAsia="Arial" w:hAnsiTheme="majorBidi" w:cstheme="majorBidi"/>
          <w:color w:val="202124"/>
          <w:lang w:val="en-GB" w:eastAsia="it-IT"/>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Iranian Azerbaijan</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eastAsia="it-IT"/>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cs="Courier New"/>
          <w:lang w:val="it-IT"/>
        </w:rPr>
        <w:t>(CTU I. A 5-59A-D</w:t>
      </w:r>
      <w:r w:rsidRPr="006F04E6">
        <w:rPr>
          <w:rFonts w:ascii="Times New Roman" w:eastAsia="Arial" w:hAnsi="Times New Roman" w:cs="Times New Roman"/>
          <w:color w:val="202124"/>
          <w:lang w:val="en-GB"/>
        </w:rPr>
        <w:t>)</w:t>
      </w:r>
      <w:r w:rsidRPr="006F04E6">
        <w:rPr>
          <w:rFonts w:ascii="Times New Roman" w:hAnsi="Times New Roman" w:cs="Courier New"/>
          <w:lang w:val="it-IT"/>
        </w:rPr>
        <w:t xml:space="preserve"> (Salvini, 2019: 80-93).</w:t>
      </w:r>
    </w:p>
    <w:p w14:paraId="5BA0F53B"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rPr>
      </w:pPr>
      <w:r w:rsidRPr="006F04E6">
        <w:rPr>
          <w:rFonts w:ascii="Times New Roman" w:hAnsi="Times New Roman"/>
        </w:rPr>
        <w:t>Translation of One of the Three Duplicates (CTU I. A 5-58A)</w:t>
      </w:r>
    </w:p>
    <w:p w14:paraId="48ECD257"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“Thanks to Ḫaldi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Ḫaldi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’s protection, Minua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son of Išpuini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Išpuini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dug and built</w:t>
      </w:r>
      <w:r w:rsidRPr="006F04E6">
        <w:rPr>
          <w:rStyle w:val="DipnotBavurusu"/>
          <w:rFonts w:asciiTheme="majorBidi" w:eastAsia="Arial" w:hAnsiTheme="majorBidi"/>
          <w:color w:val="202124"/>
          <w:lang w:val="en-GB"/>
        </w:rPr>
        <w:footnoteReference w:id="34"/>
      </w:r>
      <w:r w:rsidRPr="006F04E6">
        <w:rPr>
          <w:rFonts w:ascii="Times New Roman" w:hAnsi="Times New Roman"/>
        </w:rPr>
        <w:t xml:space="preserve"> this fountain. Thanks to the greatness of Ḫaldi (I am) Minua, the son of Išpuini, mighty king, great king, king of Biainili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Biainili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lord of the city of Ṭušpa</w:t>
      </w:r>
      <w:r w:rsidRPr="006F04E6">
        <w:rPr>
          <w:rFonts w:ascii="Times New Roman" w:eastAsia="Arial" w:hAnsi="Times New Roman" w:cs="Times New Roman"/>
          <w:iCs/>
          <w:color w:val="202124"/>
          <w:lang w:val="en-GB" w:eastAsia="it-IT"/>
        </w:rPr>
        <w:fldChar w:fldCharType="begin"/>
      </w:r>
      <w:r w:rsidRPr="006F04E6">
        <w:rPr>
          <w:rFonts w:ascii="Courier New" w:eastAsia="Times New Roman" w:hAnsi="Courier New" w:cs="Courier New"/>
          <w:lang w:val="en-GB" w:eastAsia="it-IT"/>
        </w:rPr>
        <w:instrText xml:space="preserve"> XE "</w:instrText>
      </w:r>
      <w:r w:rsidRPr="006F04E6">
        <w:rPr>
          <w:rFonts w:ascii="Times New Roman" w:eastAsia="Times New Roman" w:hAnsi="Times New Roman" w:cs="Times New Roman"/>
          <w:iCs/>
          <w:color w:val="000000"/>
          <w:lang w:val="en-GB" w:eastAsia="it-IT"/>
        </w:rPr>
        <w:instrText>Ṭušpa</w:instrText>
      </w:r>
      <w:r w:rsidRPr="006F04E6">
        <w:rPr>
          <w:rFonts w:ascii="Courier New" w:eastAsia="Times New Roman" w:hAnsi="Courier New" w:cs="Courier New"/>
          <w:lang w:val="en-GB" w:eastAsia="it-IT"/>
        </w:rPr>
        <w:instrText xml:space="preserve">" </w:instrText>
      </w:r>
      <w:r w:rsidRPr="006F04E6">
        <w:rPr>
          <w:rFonts w:ascii="Times New Roman" w:eastAsia="Arial" w:hAnsi="Times New Roman" w:cs="Times New Roman"/>
          <w:iCs/>
          <w:color w:val="202124"/>
          <w:lang w:val="en-GB" w:eastAsia="it-IT"/>
        </w:rPr>
        <w:fldChar w:fldCharType="end"/>
      </w:r>
      <w:r w:rsidRPr="006F04E6">
        <w:rPr>
          <w:rFonts w:ascii="Times New Roman" w:eastAsia="Arial" w:hAnsi="Times New Roman" w:cs="Times New Roman"/>
          <w:color w:val="202124"/>
          <w:lang w:val="en-GB" w:eastAsia="it-IT"/>
        </w:rPr>
        <w:t>.</w:t>
      </w:r>
      <w:r w:rsidRPr="006F04E6">
        <w:rPr>
          <w:rFonts w:ascii="Times New Roman" w:hAnsi="Times New Roman"/>
        </w:rPr>
        <w:t xml:space="preserve"> Minua, son of Išpuini, says: whoever destroys this inscription, whoever damages it, whoever else causes these things to be done, whoever else says: 'I have done (this)', Ḫaldi, the god of the storm, the sun god, destroy him, him under (the light) of the sun (17-19: untranslatable formula)”.</w:t>
      </w:r>
    </w:p>
    <w:p w14:paraId="404E41C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r w:rsidRPr="00CC135C">
        <w:rPr>
          <w:rFonts w:ascii="Times New Roman" w:hAnsi="Times New Roman"/>
          <w:noProof/>
          <w:lang w:eastAsia="tr-TR"/>
        </w:rPr>
        <w:drawing>
          <wp:anchor distT="0" distB="0" distL="114300" distR="114300" simplePos="0" relativeHeight="251949056" behindDoc="1" locked="0" layoutInCell="1" allowOverlap="1" wp14:anchorId="3AD067DC" wp14:editId="682D2588">
            <wp:simplePos x="0" y="0"/>
            <wp:positionH relativeFrom="margin">
              <wp:posOffset>921534</wp:posOffset>
            </wp:positionH>
            <wp:positionV relativeFrom="paragraph">
              <wp:posOffset>162299</wp:posOffset>
            </wp:positionV>
            <wp:extent cx="3448050" cy="2587625"/>
            <wp:effectExtent l="0" t="0" r="0" b="3175"/>
            <wp:wrapTight wrapText="bothSides">
              <wp:wrapPolygon edited="0">
                <wp:start x="0" y="0"/>
                <wp:lineTo x="0" y="21467"/>
                <wp:lineTo x="21481" y="21467"/>
                <wp:lineTo x="21481" y="0"/>
                <wp:lineTo x="0" y="0"/>
              </wp:wrapPolygon>
            </wp:wrapTight>
            <wp:docPr id="792387335" name="Resim 792387335" descr="doğa, mağara, kireç taşı,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87335" name="Resim 792387335" descr="doğa, mağara, kireç taşı, dış mekan içeren bir resim&#10;&#10;Açıklama otomatik olarak oluşturuldu"/>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44805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3D3D0B"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95B7DC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75F415C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2FF443C4"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48D8933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3793823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30F823EB"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3A86CC5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059AA2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59213C53"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7D547AAA"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7A33E65A"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3E2E9D9D"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3A44C949"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77CEC8DC"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AE25D42" w14:textId="7BEABFD8" w:rsidR="00B4516E" w:rsidRPr="00315E88" w:rsidRDefault="00B4516E" w:rsidP="00CD3D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lang w:val="en-GB"/>
        </w:rPr>
        <w:t xml:space="preserve">Fig. </w:t>
      </w:r>
      <w:r w:rsidRPr="00315E88">
        <w:rPr>
          <w:rFonts w:ascii="Times New Roman" w:hAnsi="Times New Roman"/>
          <w:lang w:val="en-GB"/>
        </w:rPr>
        <w:fldChar w:fldCharType="begin"/>
      </w:r>
      <w:r w:rsidRPr="00315E88">
        <w:rPr>
          <w:rFonts w:ascii="Times New Roman" w:hAnsi="Times New Roman"/>
          <w:lang w:val="en-GB"/>
        </w:rPr>
        <w:instrText xml:space="preserve"> SEQ Figure \* ARABIC </w:instrText>
      </w:r>
      <w:r w:rsidRPr="00315E88">
        <w:rPr>
          <w:rFonts w:ascii="Times New Roman" w:hAnsi="Times New Roman"/>
          <w:lang w:val="en-GB"/>
        </w:rPr>
        <w:fldChar w:fldCharType="separate"/>
      </w:r>
      <w:r w:rsidRPr="00315E88">
        <w:rPr>
          <w:rFonts w:ascii="Times New Roman" w:hAnsi="Times New Roman"/>
          <w:lang w:val="en-GB"/>
        </w:rPr>
        <w:t>2</w:t>
      </w:r>
      <w:r w:rsidRPr="00315E88">
        <w:rPr>
          <w:rFonts w:ascii="Times New Roman" w:hAnsi="Times New Roman"/>
          <w:lang w:val="en-GB"/>
        </w:rPr>
        <w:fldChar w:fldCharType="end"/>
      </w:r>
      <w:r w:rsidRPr="00315E88">
        <w:rPr>
          <w:rFonts w:ascii="Times New Roman" w:hAnsi="Times New Roman"/>
          <w:lang w:val="en-GB"/>
        </w:rPr>
        <w:t>4</w:t>
      </w:r>
      <w:r w:rsidRPr="00315E88">
        <w:rPr>
          <w:rFonts w:ascii="Times New Roman" w:hAnsi="Times New Roman"/>
          <w:b/>
          <w:lang w:val="en-GB"/>
        </w:rPr>
        <w:t xml:space="preserve"> </w:t>
      </w:r>
      <w:r w:rsidRPr="00315E88">
        <w:rPr>
          <w:rFonts w:ascii="Times New Roman" w:hAnsi="Times New Roman"/>
        </w:rPr>
        <w:t>Van Fortress</w:t>
      </w:r>
      <w:r w:rsidRPr="00315E88">
        <w:rPr>
          <w:rFonts w:ascii="Times New Roman" w:eastAsia="Arial" w:hAnsi="Times New Roman" w:cs="Times New Roman"/>
          <w:color w:val="202124"/>
          <w:lang w:val="en-GB" w:eastAsia="it-IT"/>
        </w:rPr>
        <w:t>.</w:t>
      </w:r>
      <w:r w:rsidRPr="00315E88">
        <w:rPr>
          <w:rFonts w:ascii="Times New Roman" w:hAnsi="Times New Roman"/>
        </w:rPr>
        <w:t xml:space="preserve"> North side, Minua</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rPr>
        <w:instrText>Minua</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’s inscription relating to the foundation of a fountain (</w:t>
      </w:r>
      <w:r w:rsidRPr="00315E88">
        <w:rPr>
          <w:rFonts w:ascii="Times New Roman" w:hAnsi="Times New Roman"/>
          <w:lang w:val="en-GB"/>
        </w:rPr>
        <w:t>"</w:t>
      </w:r>
      <w:r w:rsidRPr="00315E88">
        <w:rPr>
          <w:rFonts w:ascii="Times New Roman" w:hAnsi="Times New Roman"/>
        </w:rPr>
        <w:t>taramanili</w:t>
      </w:r>
      <w:r w:rsidRPr="00315E88">
        <w:rPr>
          <w:rFonts w:ascii="Times New Roman" w:hAnsi="Times New Roman"/>
          <w:lang w:val="en-GB"/>
        </w:rPr>
        <w:t>"</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rPr>
        <w:instrText>taramanili</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 Duplicate A (CTU I. A 5-58A).</w:t>
      </w:r>
    </w:p>
    <w:p w14:paraId="09208FD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r w:rsidRPr="00CC135C">
        <w:rPr>
          <w:rFonts w:ascii="Times New Roman" w:hAnsi="Times New Roman"/>
          <w:lang w:val="en-GB"/>
        </w:rPr>
        <w:br w:type="column"/>
      </w:r>
      <w:r w:rsidRPr="00CC135C">
        <w:rPr>
          <w:rFonts w:ascii="Times New Roman" w:hAnsi="Times New Roman"/>
          <w:noProof/>
          <w:lang w:eastAsia="tr-TR"/>
        </w:rPr>
        <w:lastRenderedPageBreak/>
        <w:drawing>
          <wp:anchor distT="0" distB="0" distL="114300" distR="114300" simplePos="0" relativeHeight="251952128" behindDoc="1" locked="0" layoutInCell="1" allowOverlap="1" wp14:anchorId="2705BE9B" wp14:editId="226DFEE0">
            <wp:simplePos x="0" y="0"/>
            <wp:positionH relativeFrom="page">
              <wp:posOffset>1709457</wp:posOffset>
            </wp:positionH>
            <wp:positionV relativeFrom="paragraph">
              <wp:posOffset>101302</wp:posOffset>
            </wp:positionV>
            <wp:extent cx="3815715" cy="2863850"/>
            <wp:effectExtent l="0" t="0" r="0" b="0"/>
            <wp:wrapTight wrapText="bothSides">
              <wp:wrapPolygon edited="0">
                <wp:start x="0" y="0"/>
                <wp:lineTo x="0" y="21408"/>
                <wp:lineTo x="21460" y="21408"/>
                <wp:lineTo x="21460" y="0"/>
                <wp:lineTo x="0" y="0"/>
              </wp:wrapPolygon>
            </wp:wrapTight>
            <wp:docPr id="1130175523" name="Resim 1130175523" descr="mağara, harabeler, kireç taşı,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75523" name="Resim 1130175523" descr="mağara, harabeler, kireç taşı, dış mekan içeren bir resim&#10;&#10;Açıklama otomatik olarak oluşturuldu"/>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815715" cy="286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35C">
        <w:rPr>
          <w:rFonts w:ascii="Times New Roman" w:hAnsi="Times New Roman"/>
          <w:lang w:val="en-GB"/>
        </w:rPr>
        <w:t xml:space="preserve"> </w:t>
      </w:r>
    </w:p>
    <w:p w14:paraId="4139C22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5FDA36B8"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517227E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2371BAD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5D1874A2"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0E3F581A"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2F238A7B"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01844A88"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4B2BFF93"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71F87EC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41E52E5F"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39701DA3"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018ADB26"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4C424B44"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2598DD76"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3E5378CF"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5244519" w14:textId="7474C26B" w:rsidR="00B4516E" w:rsidRPr="00315E88" w:rsidRDefault="00B4516E" w:rsidP="00CD3D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lang w:val="en-GB"/>
        </w:rPr>
        <w:t>Fig. 25</w:t>
      </w:r>
      <w:r w:rsidRPr="00315E88">
        <w:rPr>
          <w:rFonts w:ascii="Times New Roman" w:hAnsi="Times New Roman"/>
          <w:b/>
          <w:lang w:val="en-GB"/>
        </w:rPr>
        <w:t xml:space="preserve"> </w:t>
      </w:r>
      <w:r w:rsidRPr="00315E88">
        <w:rPr>
          <w:rFonts w:ascii="Times New Roman" w:hAnsi="Times New Roman"/>
        </w:rPr>
        <w:t>Van Fortress. North side, Minua</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lang w:val="en-GB"/>
        </w:rPr>
        <w:instrText>Minua</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’s inscription relating to the foundation of a fountain (</w:t>
      </w:r>
      <w:r w:rsidRPr="00315E88">
        <w:rPr>
          <w:rFonts w:ascii="Times New Roman" w:hAnsi="Times New Roman"/>
          <w:lang w:val="en-GB"/>
        </w:rPr>
        <w:t>"</w:t>
      </w:r>
      <w:r w:rsidRPr="00315E88">
        <w:rPr>
          <w:rFonts w:ascii="Times New Roman" w:hAnsi="Times New Roman"/>
        </w:rPr>
        <w:t>taramanili</w:t>
      </w:r>
      <w:r w:rsidRPr="00315E88">
        <w:rPr>
          <w:rFonts w:ascii="Times New Roman" w:hAnsi="Times New Roman"/>
          <w:lang w:val="en-GB"/>
        </w:rPr>
        <w:t>"</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rPr>
        <w:instrText>taramanili</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 Duplicate B (CTU I. A 5-58B).</w:t>
      </w:r>
    </w:p>
    <w:p w14:paraId="3B7BC1C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15C4AB49"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noProof/>
          <w:lang w:eastAsia="tr-TR"/>
        </w:rPr>
        <w:drawing>
          <wp:anchor distT="0" distB="0" distL="114300" distR="114300" simplePos="0" relativeHeight="251959296" behindDoc="1" locked="0" layoutInCell="1" allowOverlap="1" wp14:anchorId="70D7A48C" wp14:editId="1BD09283">
            <wp:simplePos x="0" y="0"/>
            <wp:positionH relativeFrom="margin">
              <wp:posOffset>565300</wp:posOffset>
            </wp:positionH>
            <wp:positionV relativeFrom="paragraph">
              <wp:posOffset>92037</wp:posOffset>
            </wp:positionV>
            <wp:extent cx="3886200" cy="2914650"/>
            <wp:effectExtent l="0" t="0" r="0" b="0"/>
            <wp:wrapTight wrapText="bothSides">
              <wp:wrapPolygon edited="0">
                <wp:start x="0" y="0"/>
                <wp:lineTo x="0" y="21459"/>
                <wp:lineTo x="21494" y="21459"/>
                <wp:lineTo x="21494" y="0"/>
                <wp:lineTo x="0" y="0"/>
              </wp:wrapPolygon>
            </wp:wrapTight>
            <wp:docPr id="1664078215" name="Resim 1664078215" descr="doğa, su, dış mekan,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078215" name="Resim 1664078215" descr="doğa, su, dış mekan, kaya içeren bir resim&#10;&#10;Açıklama otomatik olarak oluşturuldu"/>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886200"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EBBC6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52A78DB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00F383B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1910B0B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3059116A"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3FDCAD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1A5A71B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1AC8EA59"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28D317A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453F017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1D27002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13AF9284"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4AA45510"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0C0AF5C2"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022B9AEC"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7D40DBD"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0125EDD"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7C3CAEAD" w14:textId="4D2002A5" w:rsidR="00B4516E" w:rsidRPr="00315E88" w:rsidRDefault="00B4516E" w:rsidP="00CD3D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lang w:val="en-GB"/>
        </w:rPr>
        <w:t>Fig. 26</w:t>
      </w:r>
      <w:r w:rsidRPr="00315E88">
        <w:rPr>
          <w:rFonts w:ascii="Times New Roman" w:hAnsi="Times New Roman"/>
          <w:b/>
          <w:lang w:val="en-GB"/>
        </w:rPr>
        <w:t xml:space="preserve"> </w:t>
      </w:r>
      <w:r w:rsidRPr="00315E88">
        <w:rPr>
          <w:rFonts w:ascii="Times New Roman" w:hAnsi="Times New Roman"/>
        </w:rPr>
        <w:t>Van Fortress. North side, Minua</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lang w:val="en-GB"/>
        </w:rPr>
        <w:instrText>Minua</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’s inscription relating to the foundation of a fountain (</w:t>
      </w:r>
      <w:r w:rsidRPr="00315E88">
        <w:rPr>
          <w:rFonts w:ascii="Times New Roman" w:hAnsi="Times New Roman"/>
          <w:lang w:val="en-GB"/>
        </w:rPr>
        <w:t>"</w:t>
      </w:r>
      <w:r w:rsidRPr="00315E88">
        <w:rPr>
          <w:rFonts w:ascii="Times New Roman" w:hAnsi="Times New Roman"/>
        </w:rPr>
        <w:t>taramanili</w:t>
      </w:r>
      <w:r w:rsidRPr="00315E88">
        <w:rPr>
          <w:rFonts w:ascii="Times New Roman" w:hAnsi="Times New Roman"/>
          <w:lang w:val="en-GB"/>
        </w:rPr>
        <w:t>"</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rPr>
        <w:instrText>taramanili</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 Duplicate C (CTU I. A 5-58C). You see the remnant of an old spring water pool.</w:t>
      </w:r>
    </w:p>
    <w:p w14:paraId="3F0627FF"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rPr>
      </w:pPr>
      <w:r w:rsidRPr="00CC135C">
        <w:rPr>
          <w:rFonts w:ascii="Times New Roman" w:hAnsi="Times New Roman"/>
        </w:rPr>
        <w:br w:type="column"/>
      </w:r>
      <w:r w:rsidRPr="00315E88">
        <w:rPr>
          <w:rFonts w:ascii="Times New Roman" w:hAnsi="Times New Roman"/>
          <w:b/>
          <w:bCs/>
        </w:rPr>
        <w:lastRenderedPageBreak/>
        <w:t>4.2.3.5. Construction of a Stable (</w:t>
      </w:r>
      <w:r w:rsidRPr="00315E88">
        <w:rPr>
          <w:rFonts w:ascii="Times New Roman" w:hAnsi="Times New Roman"/>
          <w:b/>
          <w:bCs/>
          <w:lang w:val="en-GB"/>
        </w:rPr>
        <w:t>"</w:t>
      </w:r>
      <w:r w:rsidRPr="00315E88">
        <w:rPr>
          <w:rFonts w:ascii="Times New Roman" w:hAnsi="Times New Roman"/>
          <w:b/>
          <w:bCs/>
        </w:rPr>
        <w:t>siršini</w:t>
      </w:r>
      <w:r w:rsidRPr="00315E88">
        <w:rPr>
          <w:rFonts w:ascii="Times New Roman" w:hAnsi="Times New Roman"/>
          <w:b/>
          <w:bCs/>
          <w:lang w:val="en-GB"/>
        </w:rPr>
        <w:t>"</w:t>
      </w:r>
      <w:r w:rsidRPr="00315E88">
        <w:rPr>
          <w:rFonts w:ascii="Times New Roman" w:hAnsi="Times New Roman"/>
          <w:b/>
          <w:bCs/>
        </w:rPr>
        <w:fldChar w:fldCharType="begin"/>
      </w:r>
      <w:r w:rsidRPr="00315E88">
        <w:rPr>
          <w:rFonts w:ascii="Courier New" w:hAnsi="Courier New"/>
          <w:b/>
          <w:bCs/>
          <w:lang w:val="en-GB"/>
        </w:rPr>
        <w:instrText xml:space="preserve"> XE "</w:instrText>
      </w:r>
      <w:r w:rsidRPr="00315E88">
        <w:rPr>
          <w:rFonts w:ascii="Times New Roman" w:hAnsi="Times New Roman"/>
          <w:b/>
          <w:bCs/>
          <w:lang w:val="en-GB"/>
        </w:rPr>
        <w:instrText>siršini</w:instrText>
      </w:r>
      <w:r w:rsidRPr="00315E88">
        <w:rPr>
          <w:rFonts w:ascii="Courier New" w:hAnsi="Courier New"/>
          <w:b/>
          <w:bCs/>
          <w:lang w:val="en-GB"/>
        </w:rPr>
        <w:instrText xml:space="preserve">" </w:instrText>
      </w:r>
      <w:r w:rsidRPr="00315E88">
        <w:rPr>
          <w:rFonts w:ascii="Times New Roman" w:hAnsi="Times New Roman"/>
          <w:b/>
          <w:bCs/>
        </w:rPr>
        <w:fldChar w:fldCharType="end"/>
      </w:r>
      <w:r w:rsidRPr="00315E88">
        <w:rPr>
          <w:rFonts w:ascii="Times New Roman" w:hAnsi="Times New Roman"/>
          <w:b/>
          <w:bCs/>
        </w:rPr>
        <w:t>) by Minua</w:t>
      </w:r>
      <w:r w:rsidRPr="00315E88">
        <w:rPr>
          <w:rFonts w:ascii="Times New Roman" w:hAnsi="Times New Roman"/>
          <w:b/>
          <w:bCs/>
        </w:rPr>
        <w:fldChar w:fldCharType="begin"/>
      </w:r>
      <w:r w:rsidRPr="00315E88">
        <w:rPr>
          <w:rFonts w:ascii="Courier New" w:hAnsi="Courier New"/>
          <w:b/>
          <w:bCs/>
          <w:lang w:val="en-GB"/>
        </w:rPr>
        <w:instrText xml:space="preserve"> XE "</w:instrText>
      </w:r>
      <w:r w:rsidRPr="00315E88">
        <w:rPr>
          <w:rFonts w:ascii="Times New Roman" w:hAnsi="Times New Roman"/>
          <w:b/>
          <w:bCs/>
          <w:lang w:val="en-GB"/>
        </w:rPr>
        <w:instrText>Minua</w:instrText>
      </w:r>
      <w:r w:rsidRPr="00315E88">
        <w:rPr>
          <w:rFonts w:ascii="Courier New" w:hAnsi="Courier New"/>
          <w:b/>
          <w:bCs/>
          <w:lang w:val="en-GB"/>
        </w:rPr>
        <w:instrText xml:space="preserve">" </w:instrText>
      </w:r>
      <w:r w:rsidRPr="00315E88">
        <w:rPr>
          <w:rFonts w:ascii="Times New Roman" w:hAnsi="Times New Roman"/>
          <w:b/>
          <w:bCs/>
        </w:rPr>
        <w:fldChar w:fldCharType="end"/>
      </w:r>
      <w:r w:rsidRPr="00315E88">
        <w:rPr>
          <w:rFonts w:ascii="Times New Roman" w:hAnsi="Times New Roman"/>
          <w:b/>
          <w:bCs/>
        </w:rPr>
        <w:t>: CTU I. A 5-68 and 69</w:t>
      </w:r>
      <w:r w:rsidRPr="00432EBF">
        <w:rPr>
          <w:rStyle w:val="DipnotBavurusu"/>
          <w:rFonts w:asciiTheme="majorBidi" w:eastAsia="Arial" w:hAnsiTheme="majorBidi"/>
          <w:lang w:val="en-GB"/>
        </w:rPr>
        <w:footnoteReference w:id="35"/>
      </w:r>
      <w:r w:rsidRPr="00CC135C">
        <w:rPr>
          <w:rFonts w:ascii="Times New Roman" w:hAnsi="Times New Roman"/>
        </w:rPr>
        <w:t xml:space="preserve"> </w:t>
      </w:r>
    </w:p>
    <w:p w14:paraId="6A3932EF"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2F63D7BD"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rPr>
      </w:pPr>
      <w:r w:rsidRPr="00CC135C">
        <w:rPr>
          <w:rFonts w:ascii="Times New Roman" w:hAnsi="Times New Roman"/>
          <w:noProof/>
          <w:lang w:eastAsia="tr-TR"/>
        </w:rPr>
        <w:drawing>
          <wp:inline distT="0" distB="0" distL="0" distR="0" wp14:anchorId="2B91649D" wp14:editId="03CD9748">
            <wp:extent cx="5400675" cy="3630403"/>
            <wp:effectExtent l="0" t="0" r="0" b="8255"/>
            <wp:docPr id="1190688272" name="Resim 1190688272" descr="el yazısı,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688272" name="Resim 1190688272" descr="el yazısı, mağara içeren bir resim&#10;&#10;Açıklama otomatik olarak oluşturuldu"/>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a:stretch/>
                  </pic:blipFill>
                  <pic:spPr bwMode="auto">
                    <a:xfrm>
                      <a:off x="0" y="0"/>
                      <a:ext cx="5400675" cy="3630403"/>
                    </a:xfrm>
                    <a:prstGeom prst="rect">
                      <a:avLst/>
                    </a:prstGeom>
                    <a:noFill/>
                    <a:ln>
                      <a:noFill/>
                    </a:ln>
                    <a:extLst>
                      <a:ext uri="{53640926-AAD7-44D8-BBD7-CCE9431645EC}">
                        <a14:shadowObscured xmlns:a14="http://schemas.microsoft.com/office/drawing/2010/main"/>
                      </a:ext>
                    </a:extLst>
                  </pic:spPr>
                </pic:pic>
              </a:graphicData>
            </a:graphic>
          </wp:inline>
        </w:drawing>
      </w:r>
    </w:p>
    <w:p w14:paraId="24582A2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rPr>
      </w:pPr>
      <w:r w:rsidRPr="006F04E6">
        <w:rPr>
          <w:rFonts w:ascii="Times New Roman" w:hAnsi="Times New Roman" w:cs="Times New Roman"/>
        </w:rPr>
        <w:t xml:space="preserve">Fig. 27 </w:t>
      </w:r>
      <w:bookmarkStart w:id="54" w:name="_Hlk124875018"/>
      <w:r w:rsidRPr="006F04E6">
        <w:rPr>
          <w:rFonts w:ascii="Times New Roman" w:hAnsi="Times New Roman" w:cs="Times New Roman"/>
        </w:rPr>
        <w:t>Rock inscription at the entrance to the stable (siršini</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"siršini" </w:instrText>
      </w:r>
      <w:r w:rsidRPr="006F04E6">
        <w:rPr>
          <w:rFonts w:ascii="Times New Roman" w:hAnsi="Times New Roman" w:cs="Times New Roman"/>
        </w:rPr>
        <w:fldChar w:fldCharType="end"/>
      </w:r>
      <w:r w:rsidRPr="006F04E6">
        <w:rPr>
          <w:rFonts w:ascii="Times New Roman" w:hAnsi="Times New Roman" w:cs="Times New Roman"/>
        </w:rPr>
        <w:t>) of Minua</w:t>
      </w:r>
      <w:r w:rsidRPr="006F04E6">
        <w:rPr>
          <w:rFonts w:ascii="Times New Roman" w:hAnsi="Times New Roman" w:cs="Times New Roman"/>
        </w:rPr>
        <w:fldChar w:fldCharType="begin"/>
      </w:r>
      <w:r w:rsidRPr="006F04E6">
        <w:rPr>
          <w:rFonts w:ascii="Times New Roman" w:hAnsi="Times New Roman" w:cs="Times New Roman"/>
          <w:lang w:val="en-GB"/>
        </w:rPr>
        <w:instrText xml:space="preserve"> XE "Minua" </w:instrText>
      </w:r>
      <w:r w:rsidRPr="006F04E6">
        <w:rPr>
          <w:rFonts w:ascii="Times New Roman" w:hAnsi="Times New Roman" w:cs="Times New Roman"/>
        </w:rPr>
        <w:fldChar w:fldCharType="end"/>
      </w:r>
      <w:r w:rsidRPr="006F04E6">
        <w:rPr>
          <w:rFonts w:ascii="Times New Roman" w:hAnsi="Times New Roman" w:cs="Times New Roman"/>
        </w:rPr>
        <w:t xml:space="preserve"> </w:t>
      </w:r>
      <w:bookmarkEnd w:id="54"/>
    </w:p>
    <w:p w14:paraId="6554FDDE"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rPr>
      </w:pPr>
      <w:r w:rsidRPr="006F04E6">
        <w:rPr>
          <w:rFonts w:ascii="Times New Roman" w:hAnsi="Times New Roman"/>
        </w:rPr>
        <w:t>CTU I. A 5-68</w:t>
      </w:r>
    </w:p>
    <w:p w14:paraId="089C0B3D" w14:textId="77777777" w:rsidR="00B4516E" w:rsidRPr="006F04E6" w:rsidRDefault="00B4516E" w:rsidP="00B4516E">
      <w:pPr>
        <w:numPr>
          <w:ilvl w:val="12"/>
          <w:numId w:val="0"/>
        </w:numPr>
        <w:ind w:right="-782"/>
        <w:jc w:val="both"/>
        <w:rPr>
          <w:rFonts w:ascii="Times New Roman" w:hAnsi="Times New Roman"/>
        </w:rPr>
      </w:pPr>
      <w:r w:rsidRPr="006F04E6">
        <w:rPr>
          <w:rFonts w:ascii="Times New Roman" w:eastAsia="Arial" w:hAnsi="Times New Roman" w:cs="Times New Roman"/>
          <w:color w:val="202124"/>
          <w:lang w:val="en-GB" w:eastAsia="it-IT"/>
        </w:rPr>
        <w:t>The inscription is</w:t>
      </w:r>
      <w:r w:rsidRPr="006F04E6">
        <w:rPr>
          <w:rFonts w:ascii="Times New Roman" w:hAnsi="Times New Roman"/>
        </w:rPr>
        <w:t xml:space="preserve"> engraved on the right wall of the entrance to the cave room on the northern side of the Rock of Van. </w:t>
      </w:r>
      <w:r w:rsidRPr="006F04E6">
        <w:rPr>
          <w:rFonts w:ascii="Times New Roman" w:eastAsia="Arial" w:hAnsi="Times New Roman" w:cs="Times New Roman"/>
          <w:color w:val="202124"/>
          <w:lang w:val="en-GB" w:eastAsia="it-IT"/>
        </w:rPr>
        <w:t>The dimensions are</w:t>
      </w:r>
      <w:r w:rsidRPr="006F04E6" w:rsidDel="00E069EA">
        <w:rPr>
          <w:rFonts w:ascii="Times New Roman" w:hAnsi="Times New Roman"/>
        </w:rPr>
        <w:t xml:space="preserve"> height 77 cm</w:t>
      </w:r>
      <w:r w:rsidRPr="006F04E6">
        <w:rPr>
          <w:rFonts w:ascii="Times New Roman" w:eastAsia="Arial" w:hAnsi="Times New Roman" w:cs="Times New Roman"/>
          <w:color w:val="202124"/>
          <w:lang w:val="en-GB" w:eastAsia="it-IT"/>
        </w:rPr>
        <w:t xml:space="preserve"> and</w:t>
      </w:r>
      <w:r w:rsidRPr="006F04E6" w:rsidDel="00E069EA">
        <w:rPr>
          <w:rFonts w:ascii="Times New Roman" w:hAnsi="Times New Roman"/>
        </w:rPr>
        <w:t xml:space="preserve"> width 125 cm (plan, No. 18).</w:t>
      </w:r>
    </w:p>
    <w:p w14:paraId="6567D19D" w14:textId="77777777" w:rsidR="00B4516E" w:rsidRPr="006F04E6" w:rsidRDefault="00B4516E" w:rsidP="00B4516E">
      <w:pPr>
        <w:numPr>
          <w:ilvl w:val="12"/>
          <w:numId w:val="0"/>
        </w:numPr>
        <w:ind w:left="567" w:right="-782" w:hanging="567"/>
        <w:jc w:val="both"/>
        <w:rPr>
          <w:rFonts w:ascii="Times New Roman" w:eastAsia="Arial" w:hAnsi="Times New Roman" w:cs="Times New Roman"/>
          <w:color w:val="202124"/>
          <w:lang w:val="en-GB" w:eastAsia="it-IT"/>
        </w:rPr>
      </w:pPr>
    </w:p>
    <w:p w14:paraId="5AE1658D"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mì-nu-a-še </w:t>
      </w:r>
      <w:r w:rsidRPr="006F04E6">
        <w:rPr>
          <w:rFonts w:ascii="Times New Roman" w:hAnsi="Times New Roman"/>
          <w:vertAlign w:val="superscript"/>
          <w:lang w:val="en-GB"/>
        </w:rPr>
        <w:t>m</w:t>
      </w:r>
      <w:r w:rsidRPr="006F04E6">
        <w:rPr>
          <w:rFonts w:ascii="Times New Roman" w:hAnsi="Times New Roman"/>
          <w:lang w:val="en-GB"/>
        </w:rPr>
        <w:t>iš-pu-ú-i-ni-ḫi-ni-še</w:t>
      </w:r>
    </w:p>
    <w:p w14:paraId="1401B32F"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t>i-ni e-si za-du-ni si-ir-ši-ni-e</w:t>
      </w:r>
    </w:p>
    <w:p w14:paraId="2043C733"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mì-nu-a-še a-li-e a-li i-nu-si-i-ni</w:t>
      </w:r>
    </w:p>
    <w:p w14:paraId="633DC10C"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ḫa-ar-n[i-z]i-ni-e-i si-ir-ši-ni-ni</w:t>
      </w:r>
    </w:p>
    <w:p w14:paraId="5323DB2D"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t>te-er-du-[l]i-ni i-nu-ka-a-ni e-si-ni</w:t>
      </w:r>
    </w:p>
    <w:p w14:paraId="219C23D1"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mì-nu-ú-</w:t>
      </w:r>
      <w:r w:rsidRPr="006F04E6">
        <w:rPr>
          <w:rFonts w:ascii="Cambria Math" w:hAnsi="Cambria Math"/>
          <w:lang w:val="en-GB"/>
        </w:rPr>
        <w:t>⌈</w:t>
      </w:r>
      <w:r w:rsidRPr="006F04E6">
        <w:rPr>
          <w:rFonts w:ascii="Times New Roman" w:hAnsi="Times New Roman"/>
          <w:lang w:val="en-GB"/>
        </w:rPr>
        <w:t>a</w:t>
      </w:r>
      <w:r w:rsidRPr="006F04E6">
        <w:rPr>
          <w:rFonts w:ascii="Cambria Math" w:hAnsi="Cambria Math"/>
          <w:lang w:val="en-GB"/>
        </w:rPr>
        <w:t>⌉</w:t>
      </w:r>
      <w:r w:rsidRPr="006F04E6">
        <w:rPr>
          <w:rFonts w:ascii="Times New Roman" w:hAnsi="Times New Roman"/>
          <w:lang w:val="en-GB"/>
        </w:rPr>
        <w:t>-[še a]-li-e a-lu-še</w:t>
      </w:r>
    </w:p>
    <w:p w14:paraId="7E16D3ED"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pa-ḫa-n[i-li] iš-ti-ni-ni ši-ú-li-a-li</w:t>
      </w:r>
    </w:p>
    <w:p w14:paraId="4CCD247B"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t>a-lu-[še za?-d]u?-a-li a-ú-i-e-i</w:t>
      </w:r>
    </w:p>
    <w:p w14:paraId="74FD6669"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t>a-lu-š[e] ni-ri-bi iš-ti-i-ni-ni</w:t>
      </w:r>
    </w:p>
    <w:p w14:paraId="384EC148"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10</w:t>
      </w:r>
      <w:r w:rsidRPr="006F04E6">
        <w:rPr>
          <w:rFonts w:ascii="Times New Roman" w:hAnsi="Times New Roman"/>
          <w:lang w:val="en-GB"/>
        </w:rPr>
        <w:tab/>
        <w:t>ḫa-a-ú-li-i-e a-lu-ú-še i-ni</w:t>
      </w:r>
    </w:p>
    <w:p w14:paraId="4059B9A7"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11</w:t>
      </w:r>
      <w:r w:rsidRPr="006F04E6">
        <w:rPr>
          <w:rFonts w:ascii="Times New Roman" w:hAnsi="Times New Roman"/>
          <w:lang w:val="en-GB"/>
        </w:rPr>
        <w:tab/>
        <w:t>DUB-te pi-i-tú-ú-li-i-e</w:t>
      </w:r>
    </w:p>
    <w:p w14:paraId="4D3414FB"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12</w:t>
      </w:r>
      <w:r w:rsidRPr="006F04E6">
        <w:rPr>
          <w:rFonts w:ascii="Times New Roman" w:hAnsi="Times New Roman"/>
          <w:lang w:val="en-GB"/>
        </w:rPr>
        <w:tab/>
        <w:t>a-lu-še ú-li-e i-ni-li du-li-i-e</w:t>
      </w:r>
    </w:p>
    <w:p w14:paraId="6215CECD"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13</w:t>
      </w:r>
      <w:r w:rsidRPr="006F04E6">
        <w:rPr>
          <w:rFonts w:ascii="Times New Roman" w:hAnsi="Times New Roman"/>
          <w:lang w:val="en-GB"/>
        </w:rPr>
        <w:tab/>
        <w:t xml:space="preserve">tú-ri-ni-ni </w:t>
      </w:r>
      <w:r w:rsidRPr="006F04E6">
        <w:rPr>
          <w:rFonts w:ascii="Times New Roman" w:hAnsi="Times New Roman"/>
          <w:vertAlign w:val="superscript"/>
          <w:lang w:val="en-GB"/>
        </w:rPr>
        <w:t>D</w:t>
      </w:r>
      <w:r w:rsidRPr="006F04E6">
        <w:rPr>
          <w:rFonts w:ascii="Times New Roman" w:hAnsi="Times New Roman"/>
          <w:lang w:val="en-GB"/>
        </w:rPr>
        <w:t xml:space="preserve">ḫal-di-še </w:t>
      </w:r>
      <w:r w:rsidRPr="006F04E6">
        <w:rPr>
          <w:rFonts w:ascii="Times New Roman" w:hAnsi="Times New Roman"/>
          <w:vertAlign w:val="superscript"/>
          <w:lang w:val="en-GB"/>
        </w:rPr>
        <w:t>D</w:t>
      </w:r>
      <w:r w:rsidRPr="006F04E6">
        <w:rPr>
          <w:rFonts w:ascii="Times New Roman" w:hAnsi="Times New Roman"/>
          <w:lang w:val="en-GB"/>
        </w:rPr>
        <w:t xml:space="preserve">IM </w:t>
      </w:r>
      <w:r w:rsidRPr="006F04E6">
        <w:rPr>
          <w:rFonts w:ascii="Times New Roman" w:hAnsi="Times New Roman"/>
          <w:vertAlign w:val="superscript"/>
          <w:lang w:val="en-GB"/>
        </w:rPr>
        <w:t>D</w:t>
      </w:r>
      <w:r w:rsidRPr="006F04E6">
        <w:rPr>
          <w:rFonts w:ascii="Times New Roman" w:hAnsi="Times New Roman"/>
          <w:lang w:val="en-GB"/>
        </w:rPr>
        <w:t>UTU ma-a-ni</w:t>
      </w:r>
    </w:p>
    <w:p w14:paraId="79AB84B5"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14</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UTU-ni pi-e-i-ni mì-i ar-ḫi-e</w:t>
      </w:r>
    </w:p>
    <w:p w14:paraId="440F05B8"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15</w:t>
      </w:r>
      <w:r w:rsidRPr="006F04E6">
        <w:rPr>
          <w:rFonts w:ascii="Times New Roman" w:hAnsi="Times New Roman"/>
          <w:lang w:val="en-GB"/>
        </w:rPr>
        <w:tab/>
        <w:t>ú-ru-li-a-ni mì-i i-na-i-ni-e</w:t>
      </w:r>
    </w:p>
    <w:p w14:paraId="0F5B4853"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16</w:t>
      </w:r>
      <w:r w:rsidRPr="006F04E6">
        <w:rPr>
          <w:rFonts w:ascii="Times New Roman" w:hAnsi="Times New Roman"/>
          <w:lang w:val="en-GB"/>
        </w:rPr>
        <w:tab/>
        <w:t>mì-i na-ra-a a-ú-i-e</w:t>
      </w:r>
    </w:p>
    <w:p w14:paraId="3BF261E2"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17</w:t>
      </w:r>
      <w:r w:rsidRPr="006F04E6">
        <w:rPr>
          <w:rFonts w:ascii="Times New Roman" w:hAnsi="Times New Roman"/>
          <w:lang w:val="en-GB"/>
        </w:rPr>
        <w:tab/>
        <w:t>ú-lu-ú-li-e</w:t>
      </w:r>
    </w:p>
    <w:p w14:paraId="5CA1EAC0" w14:textId="77777777" w:rsidR="00B4516E" w:rsidRPr="006F04E6" w:rsidRDefault="00B4516E" w:rsidP="00B4516E">
      <w:pPr>
        <w:numPr>
          <w:ilvl w:val="12"/>
          <w:numId w:val="0"/>
        </w:numPr>
        <w:ind w:left="567" w:right="-782" w:hanging="567"/>
        <w:jc w:val="both"/>
        <w:rPr>
          <w:rFonts w:ascii="Times New Roman" w:hAnsi="Times New Roman"/>
          <w:lang w:val="en-GB"/>
        </w:rPr>
      </w:pPr>
    </w:p>
    <w:p w14:paraId="4AB7A4D0"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r w:rsidRPr="006F04E6">
        <w:rPr>
          <w:rFonts w:ascii="Times New Roman" w:hAnsi="Times New Roman"/>
        </w:rPr>
        <w:t>CTU I. A 5-68: Translation</w:t>
      </w:r>
    </w:p>
    <w:p w14:paraId="023A89F8"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“(1-5) Minua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the son of Išpuini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Išpuini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made this place a stable (</w:t>
      </w:r>
      <w:r w:rsidRPr="006F04E6">
        <w:rPr>
          <w:rFonts w:ascii="Times New Roman" w:hAnsi="Times New Roman"/>
          <w:lang w:val="en-GB"/>
        </w:rPr>
        <w:t>"</w:t>
      </w:r>
      <w:r w:rsidRPr="006F04E6">
        <w:rPr>
          <w:rFonts w:ascii="Times New Roman" w:hAnsi="Times New Roman"/>
        </w:rPr>
        <w:t>siršini</w:t>
      </w:r>
      <w:r w:rsidRPr="006F04E6">
        <w:rPr>
          <w:rFonts w:ascii="Times New Roman" w:hAnsi="Times New Roman"/>
          <w:lang w:val="en-GB"/>
        </w:rPr>
        <w:t>"</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siršini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Minua says: . . . from the Stable . . . from this place. (6-14) Minua says: who leads the oxen from here, who . . . whoever takes cattle from here, who destroys this inscription, who else does these things do, may Ḫaldi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Ḫaldi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the god of the Storm and the Sun god</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color w:val="202124"/>
          <w:lang w:val="en-GB"/>
        </w:rPr>
        <w:instrText>Sun god</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annihilate him from under (the light of) the sun. . . ” (14-17: the rest of the curse formula is untranslatable).</w:t>
      </w:r>
    </w:p>
    <w:p w14:paraId="1ACBB0BC" w14:textId="77777777" w:rsidR="00B4516E" w:rsidRPr="006F04E6" w:rsidRDefault="00B4516E" w:rsidP="00B4516E">
      <w:pPr>
        <w:jc w:val="center"/>
        <w:rPr>
          <w:rFonts w:ascii="Times New Roman" w:hAnsi="Times New Roman"/>
          <w:lang w:val="en-GB"/>
        </w:rPr>
      </w:pPr>
    </w:p>
    <w:p w14:paraId="1347D446" w14:textId="77777777" w:rsidR="00B4516E" w:rsidRPr="006F04E6" w:rsidRDefault="00B4516E" w:rsidP="00B4516E">
      <w:pPr>
        <w:numPr>
          <w:ilvl w:val="12"/>
          <w:numId w:val="0"/>
        </w:numPr>
        <w:ind w:left="567" w:right="-782" w:hanging="567"/>
        <w:rPr>
          <w:rFonts w:ascii="Times New Roman" w:hAnsi="Times New Roman"/>
        </w:rPr>
      </w:pPr>
      <w:r w:rsidRPr="006F04E6">
        <w:rPr>
          <w:rFonts w:ascii="Times New Roman" w:hAnsi="Times New Roman"/>
          <w:b/>
          <w:lang w:val="en-GB"/>
        </w:rPr>
        <w:t>CTU I. A 5-69</w:t>
      </w:r>
    </w:p>
    <w:p w14:paraId="45A73FD8"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3C492712"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eastAsia="Arial" w:hAnsi="Times New Roman" w:cs="Times New Roman"/>
          <w:color w:val="202124"/>
          <w:lang w:val="en-GB" w:eastAsia="it-IT"/>
        </w:rPr>
        <w:t>This is a duplicate</w:t>
      </w:r>
      <w:r w:rsidRPr="006F04E6">
        <w:rPr>
          <w:rFonts w:ascii="Times New Roman" w:hAnsi="Times New Roman"/>
        </w:rPr>
        <w:t xml:space="preserve"> of the previous one. </w:t>
      </w:r>
      <w:r w:rsidRPr="006F04E6">
        <w:rPr>
          <w:rFonts w:ascii="Times New Roman" w:eastAsia="Arial" w:hAnsi="Times New Roman" w:cs="Times New Roman"/>
          <w:color w:val="202124"/>
          <w:lang w:val="en-GB" w:eastAsia="it-IT"/>
        </w:rPr>
        <w:t>The inscribed</w:t>
      </w:r>
      <w:r w:rsidRPr="006F04E6">
        <w:rPr>
          <w:rFonts w:ascii="Times New Roman" w:hAnsi="Times New Roman"/>
        </w:rPr>
        <w:t xml:space="preserve"> stone, amputated from the lower part, contains the curse formula against anyone who steals the herds or destroys the inscription.</w:t>
      </w:r>
    </w:p>
    <w:p w14:paraId="5D6CC31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In 1899</w:t>
      </w:r>
      <w:r w:rsidRPr="006F04E6">
        <w:rPr>
          <w:rFonts w:ascii="Times New Roman" w:eastAsia="Arial" w:hAnsi="Times New Roman" w:cs="Times New Roman"/>
          <w:color w:val="202124"/>
          <w:lang w:val="en-GB" w:eastAsia="it-IT"/>
        </w:rPr>
        <w:t>,</w:t>
      </w:r>
      <w:r w:rsidRPr="006F04E6">
        <w:rPr>
          <w:rFonts w:ascii="Times New Roman" w:hAnsi="Times New Roman"/>
        </w:rPr>
        <w:t xml:space="preserve"> it was inserted into the inner wall of the citadel of Van and later transported from Kaznakov to the Tbilisi Museum</w:t>
      </w:r>
      <w:r w:rsidRPr="006F04E6">
        <w:rPr>
          <w:rFonts w:ascii="Times New Roman" w:eastAsia="Arial" w:hAnsi="Times New Roman" w:cs="Times New Roman"/>
          <w:color w:val="202124"/>
          <w:lang w:val="en-GB" w:eastAsia="it-IT"/>
        </w:rPr>
        <w:t> </w:t>
      </w:r>
      <w:r w:rsidRPr="006F04E6">
        <w:rPr>
          <w:rFonts w:ascii="Times New Roman" w:hAnsi="Times New Roman"/>
        </w:rPr>
        <w:t>(inv. N ° 86) (</w:t>
      </w:r>
      <w:r w:rsidRPr="006F04E6" w:rsidDel="00E069EA">
        <w:rPr>
          <w:rFonts w:ascii="Times New Roman" w:hAnsi="Times New Roman"/>
        </w:rPr>
        <w:t>Dimensions: height 51 cm, width 84 cm, max. thickness 50 cm</w:t>
      </w:r>
      <w:r w:rsidRPr="006F04E6">
        <w:rPr>
          <w:rFonts w:ascii="Times New Roman" w:hAnsi="Times New Roman"/>
        </w:rPr>
        <w:t>).</w:t>
      </w:r>
      <w:r w:rsidRPr="006F04E6" w:rsidDel="00E069EA">
        <w:rPr>
          <w:rFonts w:ascii="Times New Roman" w:hAnsi="Times New Roman"/>
        </w:rPr>
        <w:t xml:space="preserve"> </w:t>
      </w:r>
      <w:r w:rsidRPr="006F04E6">
        <w:rPr>
          <w:rFonts w:ascii="Times New Roman" w:eastAsia="Arial" w:hAnsi="Times New Roman" w:cs="Times New Roman"/>
          <w:color w:val="202124"/>
          <w:lang w:val="en-GB" w:eastAsia="it-IT"/>
        </w:rPr>
        <w:t>The text</w:t>
      </w:r>
      <w:r w:rsidRPr="006F04E6">
        <w:rPr>
          <w:rFonts w:ascii="Times New Roman" w:hAnsi="Times New Roman"/>
        </w:rPr>
        <w:t xml:space="preserve"> and translation correspond to CTU A 5-68 lines 1-5.</w:t>
      </w:r>
    </w:p>
    <w:p w14:paraId="308441B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5CDAABFA"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mì-i-nu-ú-a-še</w:t>
      </w:r>
    </w:p>
    <w:p w14:paraId="4C047820"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iš-pu-ú-i-ni-ḫi-ni-še</w:t>
      </w:r>
    </w:p>
    <w:p w14:paraId="62814973"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i-ni e-si za-a-du-ni</w:t>
      </w:r>
    </w:p>
    <w:p w14:paraId="14EBBB37"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si-e-ir-ši-ni-i-e</w:t>
      </w:r>
    </w:p>
    <w:p w14:paraId="3279D8D1"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mì-nu-a-še a-li-e</w:t>
      </w:r>
    </w:p>
    <w:p w14:paraId="077F875F"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t>a-li i-nu-si-i-ni</w:t>
      </w:r>
    </w:p>
    <w:p w14:paraId="4278F8E4"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ḫa-ar-ni-zi-ni-i</w:t>
      </w:r>
    </w:p>
    <w:p w14:paraId="35F11134"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t>si-ir-ši-ni-ni te-er-du-li-ni</w:t>
      </w:r>
    </w:p>
    <w:p w14:paraId="7C2DD194"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t>i-nu-ka-ni e-si-ni</w:t>
      </w:r>
    </w:p>
    <w:p w14:paraId="04CE04DE" w14:textId="77777777" w:rsidR="00B4516E" w:rsidRPr="00CC135C" w:rsidRDefault="00B4516E" w:rsidP="00B4516E">
      <w:pPr>
        <w:spacing w:after="200"/>
        <w:ind w:left="2829" w:firstLine="709"/>
        <w:rPr>
          <w:rFonts w:ascii="Times New Roman" w:hAnsi="Times New Roman"/>
          <w:i/>
          <w:iCs/>
          <w:lang w:val="en-GB"/>
        </w:rPr>
      </w:pPr>
    </w:p>
    <w:p w14:paraId="6E9D73EA" w14:textId="77777777" w:rsidR="00B4516E" w:rsidRPr="00CC135C" w:rsidRDefault="00B4516E" w:rsidP="00B4516E">
      <w:pPr>
        <w:spacing w:after="200"/>
        <w:ind w:left="2829" w:firstLine="709"/>
        <w:rPr>
          <w:rFonts w:ascii="Times New Roman" w:hAnsi="Times New Roman"/>
          <w:i/>
          <w:iCs/>
          <w:lang w:val="en-GB"/>
        </w:rPr>
      </w:pPr>
      <w:r w:rsidRPr="00CC135C">
        <w:rPr>
          <w:rFonts w:ascii="Times New Roman" w:hAnsi="Times New Roman"/>
          <w:i/>
          <w:noProof/>
          <w:color w:val="44546A"/>
          <w:lang w:eastAsia="tr-TR"/>
        </w:rPr>
        <w:drawing>
          <wp:anchor distT="0" distB="0" distL="114300" distR="114300" simplePos="0" relativeHeight="251956224" behindDoc="1" locked="0" layoutInCell="1" allowOverlap="1" wp14:anchorId="01315A22" wp14:editId="5D5B8DEF">
            <wp:simplePos x="0" y="0"/>
            <wp:positionH relativeFrom="margin">
              <wp:posOffset>1081405</wp:posOffset>
            </wp:positionH>
            <wp:positionV relativeFrom="paragraph">
              <wp:posOffset>225425</wp:posOffset>
            </wp:positionV>
            <wp:extent cx="3959860" cy="2393950"/>
            <wp:effectExtent l="0" t="0" r="2540" b="6350"/>
            <wp:wrapTight wrapText="bothSides">
              <wp:wrapPolygon edited="0">
                <wp:start x="0" y="0"/>
                <wp:lineTo x="0" y="21485"/>
                <wp:lineTo x="21510" y="21485"/>
                <wp:lineTo x="21510" y="0"/>
                <wp:lineTo x="0" y="0"/>
              </wp:wrapPolygon>
            </wp:wrapTight>
            <wp:docPr id="649053856" name="Resim 649053856" descr="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53856" name="Resim 649053856" descr="el yazısı içeren bir resim&#10;&#10;Açıklama otomatik olarak oluşturuldu"/>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3959860" cy="2393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74CBD9" w14:textId="77777777" w:rsidR="00B4516E" w:rsidRPr="00CC135C" w:rsidRDefault="00B4516E" w:rsidP="00B4516E">
      <w:pPr>
        <w:spacing w:after="200"/>
        <w:ind w:left="2829" w:firstLine="709"/>
        <w:rPr>
          <w:rFonts w:ascii="Times New Roman" w:hAnsi="Times New Roman"/>
          <w:i/>
          <w:iCs/>
          <w:lang w:val="en-GB"/>
        </w:rPr>
      </w:pPr>
    </w:p>
    <w:p w14:paraId="00BD16A2" w14:textId="77777777" w:rsidR="00B4516E" w:rsidRPr="00CC135C" w:rsidRDefault="00B4516E" w:rsidP="00B4516E">
      <w:pPr>
        <w:spacing w:after="200"/>
        <w:ind w:left="2829" w:firstLine="709"/>
        <w:rPr>
          <w:rFonts w:ascii="Times New Roman" w:hAnsi="Times New Roman"/>
          <w:i/>
          <w:iCs/>
          <w:lang w:val="en-GB"/>
        </w:rPr>
      </w:pPr>
    </w:p>
    <w:p w14:paraId="7119ED4F" w14:textId="77777777" w:rsidR="00B4516E" w:rsidRPr="00CC135C" w:rsidRDefault="00B4516E" w:rsidP="00B4516E">
      <w:pPr>
        <w:spacing w:after="200"/>
        <w:ind w:left="2829" w:firstLine="709"/>
        <w:rPr>
          <w:rFonts w:ascii="Times New Roman" w:hAnsi="Times New Roman"/>
          <w:i/>
          <w:iCs/>
          <w:lang w:val="en-GB"/>
        </w:rPr>
      </w:pPr>
    </w:p>
    <w:p w14:paraId="0AB1F334" w14:textId="77777777" w:rsidR="00B4516E" w:rsidRPr="00CC135C" w:rsidRDefault="00B4516E" w:rsidP="00B4516E">
      <w:pPr>
        <w:spacing w:after="200"/>
        <w:ind w:left="2829" w:firstLine="709"/>
        <w:rPr>
          <w:rFonts w:ascii="Times New Roman" w:hAnsi="Times New Roman"/>
          <w:i/>
          <w:iCs/>
          <w:lang w:val="en-GB"/>
        </w:rPr>
      </w:pPr>
    </w:p>
    <w:p w14:paraId="67CBC85D" w14:textId="77777777" w:rsidR="00B4516E" w:rsidRPr="00CC135C" w:rsidRDefault="00B4516E" w:rsidP="00B4516E">
      <w:pPr>
        <w:spacing w:after="200"/>
        <w:ind w:left="2829" w:firstLine="709"/>
        <w:rPr>
          <w:rFonts w:ascii="Times New Roman" w:hAnsi="Times New Roman"/>
          <w:i/>
          <w:iCs/>
          <w:lang w:val="en-GB"/>
        </w:rPr>
      </w:pPr>
    </w:p>
    <w:p w14:paraId="0FD273A7" w14:textId="77777777" w:rsidR="00B4516E" w:rsidRPr="00CC135C" w:rsidRDefault="00B4516E" w:rsidP="00B4516E">
      <w:pPr>
        <w:spacing w:after="200"/>
        <w:ind w:left="2829" w:firstLine="709"/>
        <w:rPr>
          <w:rFonts w:ascii="Times New Roman" w:hAnsi="Times New Roman"/>
          <w:i/>
          <w:iCs/>
          <w:lang w:val="en-GB"/>
        </w:rPr>
      </w:pPr>
    </w:p>
    <w:p w14:paraId="17AB754F" w14:textId="77777777" w:rsidR="00B4516E" w:rsidRPr="00CC135C" w:rsidRDefault="00B4516E" w:rsidP="00B4516E">
      <w:pPr>
        <w:spacing w:after="200"/>
        <w:ind w:left="2829" w:firstLine="709"/>
        <w:rPr>
          <w:rFonts w:ascii="Times New Roman" w:hAnsi="Times New Roman"/>
          <w:i/>
          <w:iCs/>
          <w:lang w:val="en-GB"/>
        </w:rPr>
      </w:pPr>
    </w:p>
    <w:p w14:paraId="27C00E8C" w14:textId="77777777" w:rsidR="00B4516E" w:rsidRPr="00CC135C" w:rsidRDefault="00B4516E" w:rsidP="00B4516E">
      <w:pPr>
        <w:spacing w:after="200"/>
        <w:rPr>
          <w:rFonts w:ascii="Times New Roman" w:hAnsi="Times New Roman"/>
          <w:i/>
          <w:iCs/>
          <w:lang w:val="en-GB"/>
        </w:rPr>
      </w:pPr>
    </w:p>
    <w:p w14:paraId="0DFAE934" w14:textId="77777777" w:rsidR="00B4516E" w:rsidRPr="00CC135C" w:rsidRDefault="00B4516E" w:rsidP="00B4516E">
      <w:pPr>
        <w:spacing w:after="200"/>
        <w:jc w:val="both"/>
        <w:rPr>
          <w:rFonts w:ascii="Times New Roman" w:hAnsi="Times New Roman"/>
          <w:b/>
          <w:i/>
          <w:iCs/>
          <w:lang w:val="en-GB"/>
        </w:rPr>
      </w:pPr>
      <w:r w:rsidRPr="00CC135C">
        <w:rPr>
          <w:rFonts w:ascii="Times New Roman" w:hAnsi="Times New Roman"/>
          <w:b/>
          <w:lang w:val="en-GB"/>
        </w:rPr>
        <w:t xml:space="preserve">               </w:t>
      </w:r>
      <w:r w:rsidRPr="00CC135C">
        <w:rPr>
          <w:rFonts w:ascii="Times New Roman" w:hAnsi="Times New Roman"/>
          <w:lang w:val="en-GB"/>
        </w:rPr>
        <w:t>Fig. 28 Partial duplicate of the previous one. Slab preserved in the Tbilisi Museum.</w:t>
      </w:r>
    </w:p>
    <w:p w14:paraId="6DD12949"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lang w:val="en-GB"/>
        </w:rPr>
      </w:pPr>
    </w:p>
    <w:p w14:paraId="0C29B49B" w14:textId="77777777" w:rsidR="00B4516E" w:rsidRPr="006F04E6" w:rsidRDefault="00B4516E" w:rsidP="00B4516E">
      <w:pPr>
        <w:keepNext/>
        <w:keepLines/>
        <w:spacing w:before="280" w:after="80" w:line="276" w:lineRule="auto"/>
        <w:outlineLvl w:val="3"/>
        <w:rPr>
          <w:rFonts w:ascii="Times New Roman" w:hAnsi="Times New Roman"/>
          <w:b/>
          <w:lang w:val="en-GB"/>
        </w:rPr>
      </w:pPr>
      <w:r w:rsidRPr="00CC135C">
        <w:rPr>
          <w:rFonts w:ascii="Times New Roman" w:hAnsi="Times New Roman"/>
          <w:color w:val="666666"/>
          <w:lang w:val="en-GB"/>
        </w:rPr>
        <w:br w:type="column"/>
      </w:r>
      <w:r w:rsidRPr="006F04E6">
        <w:rPr>
          <w:rFonts w:ascii="Times New Roman" w:hAnsi="Times New Roman"/>
          <w:b/>
          <w:lang w:val="en-GB"/>
        </w:rPr>
        <w:lastRenderedPageBreak/>
        <w:t>4.2.3.6. Foundation a silo: CTU I. A 5-66</w:t>
      </w:r>
    </w:p>
    <w:p w14:paraId="3702651E" w14:textId="77777777" w:rsidR="00B4516E" w:rsidRPr="006F04E6" w:rsidRDefault="00B4516E" w:rsidP="00B4516E">
      <w:pPr>
        <w:rPr>
          <w:rFonts w:ascii="Times New Roman" w:hAnsi="Times New Roman"/>
          <w:lang w:val="en-GB"/>
        </w:rPr>
      </w:pPr>
      <w:r w:rsidRPr="006F04E6">
        <w:rPr>
          <w:rFonts w:ascii="Times New Roman" w:hAnsi="Times New Roman"/>
          <w:lang w:val="en-GB"/>
        </w:rPr>
        <w:t>Little rock niche on the northwestern slope of Van Fortress, approx. 3-4 m from the base of the rock and approx. 20 m E of the ‘Sardurburç’</w:t>
      </w:r>
      <w:r w:rsidRPr="006F04E6">
        <w:rPr>
          <w:rFonts w:ascii="Times New Roman" w:eastAsia="Calibri" w:hAnsi="Times New Roman" w:cs="Times New Roman"/>
          <w:lang w:val="en-GB"/>
        </w:rPr>
        <w:t>,</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"Sardurburç" </w:instrText>
      </w:r>
      <w:r w:rsidRPr="006F04E6">
        <w:rPr>
          <w:rFonts w:asciiTheme="majorBidi" w:hAnsiTheme="majorBidi" w:cstheme="majorBidi"/>
          <w:lang w:val="en-GB"/>
        </w:rPr>
        <w:fldChar w:fldCharType="end"/>
      </w:r>
      <w:r w:rsidRPr="006F04E6">
        <w:rPr>
          <w:rFonts w:asciiTheme="majorBidi" w:hAnsiTheme="majorBidi" w:cstheme="majorBidi"/>
          <w:lang w:val="en-GB"/>
        </w:rPr>
        <w:t>”,</w:t>
      </w:r>
      <w:r w:rsidRPr="006F04E6">
        <w:rPr>
          <w:rFonts w:ascii="Times New Roman" w:hAnsi="Times New Roman"/>
          <w:lang w:val="en-GB"/>
        </w:rPr>
        <w:t xml:space="preserve"> locally known as Madır Burcu (plan, No. 2) (Salvini, 1973: 279).</w:t>
      </w:r>
    </w:p>
    <w:p w14:paraId="71EDFC53" w14:textId="77777777" w:rsidR="00B4516E" w:rsidRPr="006F04E6" w:rsidRDefault="00B4516E" w:rsidP="00B4516E">
      <w:pPr>
        <w:rPr>
          <w:rFonts w:ascii="Times New Roman" w:hAnsi="Times New Roman"/>
          <w:lang w:val="en-GB"/>
        </w:rPr>
      </w:pPr>
    </w:p>
    <w:p w14:paraId="51F5E07B" w14:textId="77777777" w:rsidR="00B4516E" w:rsidRPr="006F04E6" w:rsidRDefault="00B4516E" w:rsidP="00B4516E">
      <w:pPr>
        <w:rPr>
          <w:rFonts w:ascii="Times New Roman" w:hAnsi="Times New Roman"/>
          <w:lang w:val="en-GB"/>
        </w:rPr>
      </w:pPr>
      <w:r w:rsidRPr="006F04E6">
        <w:rPr>
          <w:rFonts w:ascii="Times New Roman" w:eastAsia="Calibri" w:hAnsi="Times New Roman" w:cs="Times New Roman"/>
          <w:noProof/>
          <w:lang w:eastAsia="tr-TR"/>
        </w:rPr>
        <w:drawing>
          <wp:anchor distT="0" distB="0" distL="114300" distR="114300" simplePos="0" relativeHeight="252003328" behindDoc="1" locked="0" layoutInCell="1" allowOverlap="1" wp14:anchorId="1C6103E3" wp14:editId="50DED648">
            <wp:simplePos x="0" y="0"/>
            <wp:positionH relativeFrom="column">
              <wp:posOffset>-14605</wp:posOffset>
            </wp:positionH>
            <wp:positionV relativeFrom="paragraph">
              <wp:posOffset>421005</wp:posOffset>
            </wp:positionV>
            <wp:extent cx="5529580" cy="3606165"/>
            <wp:effectExtent l="0" t="0" r="0" b="635"/>
            <wp:wrapTight wrapText="bothSides">
              <wp:wrapPolygon edited="0">
                <wp:start x="0" y="0"/>
                <wp:lineTo x="0" y="21528"/>
                <wp:lineTo x="21531" y="21528"/>
                <wp:lineTo x="21531" y="0"/>
                <wp:lineTo x="0" y="0"/>
              </wp:wrapPolygon>
            </wp:wrapTight>
            <wp:docPr id="372946972" name="Resim 372946972" descr="doğa, yer,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7194" name="Resim 109827194" descr="doğa, yer, dış mekan içeren bir resim&#10;&#10;Açıklama otomatik olarak oluşturuldu"/>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5529580" cy="3606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04E6">
        <w:rPr>
          <w:rFonts w:ascii="Times New Roman" w:eastAsia="Calibri" w:hAnsi="Times New Roman" w:cs="Times New Roman"/>
          <w:noProof/>
        </w:rPr>
        <w:t xml:space="preserve">The </w:t>
      </w:r>
      <w:r w:rsidRPr="006F04E6">
        <w:rPr>
          <w:rFonts w:ascii="Times New Roman" w:hAnsi="Times New Roman"/>
        </w:rPr>
        <w:t xml:space="preserve">silo was </w:t>
      </w:r>
      <w:r w:rsidRPr="006F04E6">
        <w:rPr>
          <w:rFonts w:ascii="Times New Roman" w:eastAsia="Calibri" w:hAnsi="Times New Roman" w:cs="Times New Roman"/>
          <w:noProof/>
        </w:rPr>
        <w:t xml:space="preserve">likely </w:t>
      </w:r>
      <w:r w:rsidRPr="006F04E6">
        <w:rPr>
          <w:rFonts w:ascii="Times New Roman" w:hAnsi="Times New Roman"/>
        </w:rPr>
        <w:t>in the Sardurburç</w:t>
      </w:r>
      <w:r w:rsidRPr="006F04E6">
        <w:rPr>
          <w:rFonts w:ascii="Times New Roman" w:eastAsia="Calibri" w:hAnsi="Times New Roman" w:cs="Times New Roman"/>
          <w:noProof/>
        </w:rPr>
        <w:t>,</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"Sardurburç" </w:instrText>
      </w:r>
      <w:r w:rsidRPr="006F04E6">
        <w:rPr>
          <w:rFonts w:asciiTheme="majorBidi" w:hAnsiTheme="majorBidi" w:cstheme="majorBidi"/>
          <w:lang w:val="en-GB"/>
        </w:rPr>
        <w:fldChar w:fldCharType="end"/>
      </w:r>
      <w:r w:rsidRPr="006F04E6">
        <w:rPr>
          <w:rFonts w:asciiTheme="majorBidi" w:hAnsiTheme="majorBidi" w:cstheme="majorBidi"/>
          <w:lang w:val="en-GB"/>
        </w:rPr>
        <w:t>,</w:t>
      </w:r>
      <w:r w:rsidRPr="006F04E6">
        <w:rPr>
          <w:rFonts w:ascii="Times New Roman" w:hAnsi="Times New Roman"/>
        </w:rPr>
        <w:t xml:space="preserve"> which had lost its former function, built inside the cyclopic structure</w:t>
      </w:r>
      <w:r w:rsidRPr="006F04E6">
        <w:rPr>
          <w:rFonts w:ascii="Times New Roman" w:hAnsi="Times New Roman"/>
          <w:lang w:val="en-GB"/>
        </w:rPr>
        <w:t>.</w:t>
      </w:r>
    </w:p>
    <w:p w14:paraId="60B1B0EA" w14:textId="77777777" w:rsidR="00B4516E" w:rsidRPr="006F04E6" w:rsidRDefault="00B4516E" w:rsidP="00B4516E">
      <w:pPr>
        <w:rPr>
          <w:rFonts w:ascii="Times New Roman" w:eastAsia="Calibri" w:hAnsi="Times New Roman" w:cs="Times New Roman"/>
          <w:lang w:val="en-GB"/>
        </w:rPr>
      </w:pPr>
    </w:p>
    <w:p w14:paraId="1BDCDFDF" w14:textId="77777777" w:rsidR="00B4516E" w:rsidRPr="006F04E6" w:rsidRDefault="00B4516E" w:rsidP="00B4516E">
      <w:pPr>
        <w:rPr>
          <w:rFonts w:ascii="Times New Roman" w:hAnsi="Times New Roman"/>
          <w:lang w:val="en-GB"/>
        </w:rPr>
      </w:pPr>
    </w:p>
    <w:p w14:paraId="03851FD8" w14:textId="77777777" w:rsidR="00B4516E" w:rsidRPr="006F04E6" w:rsidRDefault="00B4516E" w:rsidP="00B4516E">
      <w:pPr>
        <w:rPr>
          <w:rFonts w:ascii="Times New Roman" w:hAnsi="Times New Roman"/>
          <w:lang w:val="en-GB"/>
        </w:rPr>
      </w:pPr>
    </w:p>
    <w:p w14:paraId="25234CEE" w14:textId="77777777" w:rsidR="00B4516E" w:rsidRPr="006F04E6" w:rsidRDefault="00B4516E" w:rsidP="00B4516E">
      <w:pPr>
        <w:rPr>
          <w:rFonts w:ascii="Times New Roman" w:hAnsi="Times New Roman"/>
          <w:lang w:val="en-GB"/>
        </w:rPr>
      </w:pPr>
    </w:p>
    <w:p w14:paraId="564B076C" w14:textId="77777777" w:rsidR="00B4516E" w:rsidRPr="006F04E6" w:rsidRDefault="00B4516E" w:rsidP="00B4516E">
      <w:pPr>
        <w:rPr>
          <w:rFonts w:ascii="Times New Roman" w:hAnsi="Times New Roman"/>
          <w:lang w:val="en-GB"/>
        </w:rPr>
      </w:pPr>
    </w:p>
    <w:p w14:paraId="1768A695" w14:textId="77777777" w:rsidR="00B4516E" w:rsidRPr="006F04E6" w:rsidRDefault="00B4516E" w:rsidP="00B4516E">
      <w:pPr>
        <w:rPr>
          <w:rFonts w:ascii="Times New Roman" w:hAnsi="Times New Roman"/>
          <w:lang w:val="en-GB"/>
        </w:rPr>
      </w:pPr>
    </w:p>
    <w:p w14:paraId="24CB6EA2" w14:textId="77777777" w:rsidR="00B4516E" w:rsidRPr="006F04E6" w:rsidRDefault="00B4516E" w:rsidP="00B4516E">
      <w:pPr>
        <w:rPr>
          <w:rFonts w:ascii="Times New Roman" w:hAnsi="Times New Roman"/>
          <w:lang w:val="en-GB"/>
        </w:rPr>
      </w:pPr>
    </w:p>
    <w:p w14:paraId="2B6001CA" w14:textId="77777777" w:rsidR="00B4516E" w:rsidRPr="006F04E6" w:rsidRDefault="00B4516E" w:rsidP="00B4516E">
      <w:pPr>
        <w:rPr>
          <w:rFonts w:ascii="Times New Roman" w:hAnsi="Times New Roman"/>
          <w:lang w:val="en-GB"/>
        </w:rPr>
      </w:pPr>
    </w:p>
    <w:p w14:paraId="1D315A0F" w14:textId="77777777" w:rsidR="00B4516E" w:rsidRPr="006F04E6" w:rsidRDefault="00B4516E" w:rsidP="00B4516E">
      <w:pPr>
        <w:rPr>
          <w:rFonts w:ascii="Times New Roman" w:hAnsi="Times New Roman"/>
          <w:lang w:val="en-GB"/>
        </w:rPr>
      </w:pPr>
    </w:p>
    <w:p w14:paraId="0958A35B" w14:textId="77777777" w:rsidR="00B4516E" w:rsidRPr="006F04E6" w:rsidRDefault="00B4516E" w:rsidP="00B4516E">
      <w:pPr>
        <w:rPr>
          <w:rFonts w:ascii="Times New Roman" w:hAnsi="Times New Roman"/>
          <w:lang w:val="en-GB"/>
        </w:rPr>
      </w:pPr>
    </w:p>
    <w:p w14:paraId="287F8C7D" w14:textId="77777777" w:rsidR="00B4516E" w:rsidRPr="006F04E6" w:rsidRDefault="00B4516E" w:rsidP="00B4516E">
      <w:pPr>
        <w:rPr>
          <w:rFonts w:ascii="Times New Roman" w:hAnsi="Times New Roman"/>
          <w:lang w:val="en-GB"/>
        </w:rPr>
      </w:pPr>
    </w:p>
    <w:p w14:paraId="403D5441" w14:textId="77777777" w:rsidR="00B4516E" w:rsidRPr="006F04E6" w:rsidRDefault="00B4516E" w:rsidP="00B4516E">
      <w:pPr>
        <w:rPr>
          <w:rFonts w:ascii="Times New Roman" w:hAnsi="Times New Roman"/>
          <w:lang w:val="en-GB"/>
        </w:rPr>
      </w:pPr>
    </w:p>
    <w:p w14:paraId="0BD607F9" w14:textId="77777777" w:rsidR="00B4516E" w:rsidRPr="006F04E6" w:rsidRDefault="00B4516E" w:rsidP="00B4516E">
      <w:pPr>
        <w:rPr>
          <w:rFonts w:ascii="Times New Roman" w:hAnsi="Times New Roman"/>
          <w:lang w:val="en-GB"/>
        </w:rPr>
      </w:pPr>
    </w:p>
    <w:p w14:paraId="2CFCA470" w14:textId="77777777" w:rsidR="00B4516E" w:rsidRPr="006F04E6" w:rsidRDefault="00B4516E" w:rsidP="00B4516E">
      <w:pPr>
        <w:rPr>
          <w:rFonts w:ascii="Times New Roman" w:hAnsi="Times New Roman"/>
          <w:lang w:val="en-GB"/>
        </w:rPr>
      </w:pPr>
    </w:p>
    <w:p w14:paraId="733D3360" w14:textId="77777777" w:rsidR="00B4516E" w:rsidRPr="006F04E6" w:rsidRDefault="00B4516E" w:rsidP="00B4516E">
      <w:pPr>
        <w:rPr>
          <w:rFonts w:ascii="Times New Roman" w:hAnsi="Times New Roman"/>
          <w:lang w:val="en-GB"/>
        </w:rPr>
      </w:pPr>
    </w:p>
    <w:p w14:paraId="0DE8F026" w14:textId="77777777" w:rsidR="00B4516E" w:rsidRPr="006F04E6" w:rsidRDefault="00B4516E" w:rsidP="00B4516E">
      <w:pPr>
        <w:rPr>
          <w:rFonts w:ascii="Times New Roman" w:hAnsi="Times New Roman"/>
          <w:lang w:val="en-GB"/>
        </w:rPr>
      </w:pPr>
    </w:p>
    <w:p w14:paraId="3C51A876" w14:textId="77777777" w:rsidR="00B4516E" w:rsidRPr="006F04E6" w:rsidRDefault="00B4516E" w:rsidP="00B4516E">
      <w:pPr>
        <w:rPr>
          <w:rFonts w:ascii="Times New Roman" w:hAnsi="Times New Roman"/>
          <w:lang w:val="en-GB"/>
        </w:rPr>
      </w:pPr>
    </w:p>
    <w:p w14:paraId="23B89BB9" w14:textId="77777777" w:rsidR="00B4516E" w:rsidRPr="006F04E6" w:rsidRDefault="00B4516E" w:rsidP="00B4516E">
      <w:pPr>
        <w:rPr>
          <w:rFonts w:ascii="Times New Roman" w:hAnsi="Times New Roman"/>
          <w:lang w:val="en-GB"/>
        </w:rPr>
      </w:pPr>
    </w:p>
    <w:p w14:paraId="7C3ACE69" w14:textId="77777777" w:rsidR="00B4516E" w:rsidRPr="006F04E6" w:rsidRDefault="00B4516E" w:rsidP="00B4516E">
      <w:pPr>
        <w:rPr>
          <w:rFonts w:ascii="Times New Roman" w:hAnsi="Times New Roman"/>
          <w:lang w:val="en-GB"/>
        </w:rPr>
      </w:pPr>
    </w:p>
    <w:p w14:paraId="770D99E9" w14:textId="77777777" w:rsidR="00B4516E" w:rsidRPr="006F04E6" w:rsidRDefault="00B4516E" w:rsidP="00B4516E">
      <w:pPr>
        <w:rPr>
          <w:rFonts w:ascii="Times New Roman" w:hAnsi="Times New Roman"/>
          <w:lang w:val="en-GB"/>
        </w:rPr>
      </w:pPr>
    </w:p>
    <w:p w14:paraId="5FD684F1" w14:textId="77777777" w:rsidR="00B4516E" w:rsidRPr="006F04E6" w:rsidRDefault="00B4516E" w:rsidP="00B4516E">
      <w:pPr>
        <w:rPr>
          <w:rFonts w:ascii="Times New Roman" w:hAnsi="Times New Roman"/>
          <w:lang w:val="en-GB"/>
        </w:rPr>
      </w:pPr>
    </w:p>
    <w:p w14:paraId="43B6F0C9" w14:textId="77777777" w:rsidR="00B4516E" w:rsidRPr="006F04E6" w:rsidRDefault="00B4516E" w:rsidP="00B4516E">
      <w:pPr>
        <w:rPr>
          <w:rFonts w:ascii="Times New Roman" w:hAnsi="Times New Roman"/>
          <w:lang w:val="en-GB"/>
        </w:rPr>
      </w:pPr>
    </w:p>
    <w:p w14:paraId="5C4023B0" w14:textId="77777777" w:rsidR="00B4516E" w:rsidRPr="006F04E6" w:rsidRDefault="00B4516E" w:rsidP="00B4516E">
      <w:pPr>
        <w:rPr>
          <w:rFonts w:ascii="Times New Roman" w:hAnsi="Times New Roman"/>
          <w:lang w:val="en-GB"/>
        </w:rPr>
      </w:pPr>
      <w:r w:rsidRPr="006F04E6">
        <w:rPr>
          <w:rFonts w:ascii="Times New Roman" w:hAnsi="Times New Roman"/>
          <w:lang w:val="en-GB"/>
        </w:rPr>
        <w:lastRenderedPageBreak/>
        <w:t>Fig. 2</w:t>
      </w:r>
      <w:bookmarkStart w:id="55" w:name="_Hlk124875414"/>
      <w:r w:rsidRPr="006F04E6">
        <w:rPr>
          <w:rFonts w:ascii="Times New Roman" w:hAnsi="Times New Roman"/>
          <w:lang w:val="en-GB"/>
        </w:rPr>
        <w:t>9 Rock niche with king Minua</w:t>
      </w:r>
      <w:r w:rsidRPr="006F04E6">
        <w:rPr>
          <w:rFonts w:ascii="Times New Roman" w:hAnsi="Times New Roman"/>
          <w:lang w:val="en-GB"/>
        </w:rPr>
        <w:fldChar w:fldCharType="begin"/>
      </w:r>
      <w:r w:rsidRPr="006F04E6">
        <w:rPr>
          <w:rFonts w:ascii="Times New Roman" w:hAnsi="Times New Roman"/>
          <w:lang w:val="en-GB"/>
        </w:rPr>
        <w:instrText xml:space="preserve"> XE "Minua" </w:instrText>
      </w:r>
      <w:r w:rsidRPr="006F04E6">
        <w:rPr>
          <w:rFonts w:ascii="Times New Roman" w:hAnsi="Times New Roman"/>
          <w:lang w:val="en-GB"/>
        </w:rPr>
        <w:fldChar w:fldCharType="end"/>
      </w:r>
      <w:r w:rsidRPr="006F04E6">
        <w:rPr>
          <w:rFonts w:ascii="Times New Roman" w:hAnsi="Times New Roman"/>
          <w:lang w:val="en-GB"/>
        </w:rPr>
        <w:t>’s inscription on the foundation of a silo, near Madır Burcu</w:t>
      </w:r>
      <w:r w:rsidRPr="006F04E6">
        <w:rPr>
          <w:rFonts w:ascii="Times New Roman" w:hAnsi="Times New Roman"/>
          <w:lang w:val="en-GB"/>
        </w:rPr>
        <w:fldChar w:fldCharType="begin"/>
      </w:r>
      <w:r w:rsidRPr="006F04E6">
        <w:rPr>
          <w:rFonts w:ascii="Times New Roman" w:hAnsi="Times New Roman"/>
          <w:lang w:val="en-GB"/>
        </w:rPr>
        <w:instrText xml:space="preserve"> XE "Madır Burcu" </w:instrText>
      </w:r>
      <w:r w:rsidRPr="006F04E6">
        <w:rPr>
          <w:rFonts w:ascii="Times New Roman" w:hAnsi="Times New Roman"/>
          <w:lang w:val="en-GB"/>
        </w:rPr>
        <w:fldChar w:fldCharType="end"/>
      </w:r>
      <w:r w:rsidRPr="006F04E6">
        <w:rPr>
          <w:rFonts w:ascii="Times New Roman" w:hAnsi="Times New Roman"/>
          <w:lang w:val="en-GB"/>
        </w:rPr>
        <w:t xml:space="preserve"> (Sardurburç</w:t>
      </w:r>
      <w:r w:rsidRPr="006F04E6">
        <w:rPr>
          <w:rFonts w:ascii="Times New Roman" w:hAnsi="Times New Roman"/>
          <w:lang w:val="en-GB"/>
        </w:rPr>
        <w:fldChar w:fldCharType="begin"/>
      </w:r>
      <w:r w:rsidRPr="006F04E6">
        <w:rPr>
          <w:rFonts w:ascii="Times New Roman" w:hAnsi="Times New Roman"/>
          <w:lang w:val="en-GB"/>
        </w:rPr>
        <w:instrText xml:space="preserve"> XE "Sardurburç" </w:instrText>
      </w:r>
      <w:r w:rsidRPr="006F04E6">
        <w:rPr>
          <w:rFonts w:ascii="Times New Roman" w:hAnsi="Times New Roman"/>
          <w:lang w:val="en-GB"/>
        </w:rPr>
        <w:fldChar w:fldCharType="end"/>
      </w:r>
      <w:r w:rsidRPr="006F04E6">
        <w:rPr>
          <w:rFonts w:ascii="Times New Roman" w:hAnsi="Times New Roman"/>
          <w:lang w:val="en-GB"/>
        </w:rPr>
        <w:t>) (M. Salvini, 1969</w:t>
      </w:r>
      <w:bookmarkEnd w:id="55"/>
      <w:r w:rsidRPr="006F04E6">
        <w:rPr>
          <w:rFonts w:ascii="Times New Roman" w:hAnsi="Times New Roman"/>
          <w:lang w:val="en-GB"/>
        </w:rPr>
        <w:t>).</w:t>
      </w:r>
    </w:p>
    <w:p w14:paraId="23A5FA85" w14:textId="77777777" w:rsidR="00B4516E" w:rsidRPr="006F04E6" w:rsidRDefault="00B4516E" w:rsidP="00B4516E">
      <w:pPr>
        <w:rPr>
          <w:rFonts w:ascii="Times New Roman" w:hAnsi="Times New Roman"/>
          <w:lang w:val="en-GB"/>
        </w:rPr>
      </w:pPr>
    </w:p>
    <w:p w14:paraId="31888327"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ḫal-di-ni-ni uš-ma-ši-ni</w:t>
      </w:r>
    </w:p>
    <w:p w14:paraId="5D1C49E8"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mì-nu-a-še </w:t>
      </w:r>
      <w:r w:rsidRPr="006F04E6">
        <w:rPr>
          <w:rFonts w:ascii="Times New Roman" w:hAnsi="Times New Roman"/>
          <w:vertAlign w:val="superscript"/>
          <w:lang w:val="en-GB"/>
        </w:rPr>
        <w:t>m</w:t>
      </w:r>
      <w:r w:rsidRPr="006F04E6">
        <w:rPr>
          <w:rFonts w:ascii="Times New Roman" w:hAnsi="Times New Roman"/>
          <w:lang w:val="en-GB"/>
        </w:rPr>
        <w:t>iš-pu-u-i-ni-ḫi-ni-še</w:t>
      </w:r>
    </w:p>
    <w:p w14:paraId="214C21D9"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i-ni ʾa-a-ri-e šú-ú-ni</w:t>
      </w:r>
    </w:p>
    <w:p w14:paraId="00BB5023"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20 LIM 3 LIM 1 ME 90 ka-pi iš-ti-ni</w:t>
      </w:r>
    </w:p>
    <w:p w14:paraId="2CFDFB13" w14:textId="77777777" w:rsidR="00B4516E" w:rsidRPr="006F04E6" w:rsidRDefault="00B4516E" w:rsidP="00B4516E">
      <w:pPr>
        <w:numPr>
          <w:ilvl w:val="12"/>
          <w:numId w:val="0"/>
        </w:numPr>
        <w:ind w:left="567" w:right="-782" w:hanging="567"/>
        <w:jc w:val="both"/>
        <w:rPr>
          <w:rFonts w:ascii="Times New Roman" w:hAnsi="Times New Roman"/>
          <w:lang w:val="en-GB"/>
        </w:rPr>
      </w:pPr>
    </w:p>
    <w:p w14:paraId="2695CFC3" w14:textId="77777777" w:rsidR="00B4516E" w:rsidRPr="006F04E6" w:rsidRDefault="00B4516E" w:rsidP="00B4516E">
      <w:pPr>
        <w:numPr>
          <w:ilvl w:val="12"/>
          <w:numId w:val="0"/>
        </w:numPr>
        <w:ind w:left="567" w:right="-782" w:hanging="567"/>
        <w:jc w:val="both"/>
        <w:rPr>
          <w:rFonts w:ascii="Times New Roman" w:hAnsi="Times New Roman"/>
          <w:lang w:val="en-GB"/>
        </w:rPr>
      </w:pPr>
    </w:p>
    <w:p w14:paraId="5C50323C"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CTU I. A 5-66: Translation</w:t>
      </w:r>
    </w:p>
    <w:p w14:paraId="0BA40772"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“Thanks to Ḫaldi</w:t>
      </w:r>
      <w:r w:rsidRPr="006F04E6">
        <w:rPr>
          <w:rFonts w:ascii="Times New Roman" w:hAnsi="Times New Roman"/>
          <w:lang w:val="en-GB"/>
        </w:rPr>
        <w:fldChar w:fldCharType="begin"/>
      </w:r>
      <w:r w:rsidRPr="006F04E6">
        <w:rPr>
          <w:rFonts w:ascii="Times New Roman" w:hAnsi="Times New Roman"/>
          <w:lang w:val="en-GB"/>
        </w:rPr>
        <w:instrText xml:space="preserve"> XE "Ḫaldi" </w:instrText>
      </w:r>
      <w:r w:rsidRPr="006F04E6">
        <w:rPr>
          <w:rFonts w:ascii="Times New Roman" w:hAnsi="Times New Roman"/>
          <w:lang w:val="en-GB"/>
        </w:rPr>
        <w:fldChar w:fldCharType="end"/>
      </w:r>
      <w:r w:rsidRPr="006F04E6">
        <w:rPr>
          <w:rFonts w:ascii="Times New Roman" w:hAnsi="Times New Roman"/>
          <w:lang w:val="en-GB"/>
        </w:rPr>
        <w:t>’s protection, Minua</w:t>
      </w:r>
      <w:r w:rsidRPr="006F04E6">
        <w:rPr>
          <w:rFonts w:ascii="Times New Roman" w:hAnsi="Times New Roman"/>
          <w:lang w:val="en-GB"/>
        </w:rPr>
        <w:fldChar w:fldCharType="begin"/>
      </w:r>
      <w:r w:rsidRPr="006F04E6">
        <w:rPr>
          <w:rFonts w:ascii="Times New Roman" w:hAnsi="Times New Roman"/>
          <w:lang w:val="en-GB"/>
        </w:rPr>
        <w:instrText xml:space="preserve"> XE "Minua" </w:instrText>
      </w:r>
      <w:r w:rsidRPr="006F04E6">
        <w:rPr>
          <w:rFonts w:ascii="Times New Roman" w:hAnsi="Times New Roman"/>
          <w:lang w:val="en-GB"/>
        </w:rPr>
        <w:fldChar w:fldCharType="end"/>
      </w:r>
      <w:r w:rsidRPr="006F04E6">
        <w:rPr>
          <w:rFonts w:ascii="Times New Roman" w:hAnsi="Times New Roman"/>
          <w:lang w:val="en-GB"/>
        </w:rPr>
        <w:t>, the son of Išpuini</w:t>
      </w:r>
      <w:r w:rsidRPr="006F04E6">
        <w:rPr>
          <w:rFonts w:ascii="Times New Roman" w:hAnsi="Times New Roman"/>
          <w:lang w:val="en-GB"/>
        </w:rPr>
        <w:fldChar w:fldCharType="begin"/>
      </w:r>
      <w:r w:rsidRPr="006F04E6">
        <w:rPr>
          <w:rFonts w:ascii="Times New Roman" w:hAnsi="Times New Roman"/>
          <w:lang w:val="en-GB"/>
        </w:rPr>
        <w:instrText xml:space="preserve"> XE "Išpuini" </w:instrText>
      </w:r>
      <w:r w:rsidRPr="006F04E6">
        <w:rPr>
          <w:rFonts w:ascii="Times New Roman" w:hAnsi="Times New Roman"/>
          <w:lang w:val="en-GB"/>
        </w:rPr>
        <w:fldChar w:fldCharType="end"/>
      </w:r>
      <w:r w:rsidRPr="006F04E6">
        <w:rPr>
          <w:rFonts w:ascii="Times New Roman" w:hAnsi="Times New Roman"/>
          <w:lang w:val="en-GB"/>
        </w:rPr>
        <w:t>, filled (?) this granary / silo: 23190 (measures) "kapi" (are) here (contained)”.</w:t>
      </w:r>
    </w:p>
    <w:p w14:paraId="2EBE61E7" w14:textId="77777777" w:rsidR="00B4516E" w:rsidRPr="006F04E6" w:rsidRDefault="00B4516E" w:rsidP="00B4516E">
      <w:pPr>
        <w:jc w:val="both"/>
        <w:rPr>
          <w:rFonts w:ascii="Times New Roman" w:hAnsi="Times New Roman"/>
          <w:lang w:val="en-GB"/>
        </w:rPr>
      </w:pPr>
    </w:p>
    <w:p w14:paraId="58BEAB51"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It was a very large silo, twice as large as another known silo. Compare with the many silo foundation tablets among the texts of Sarduri</w:t>
      </w:r>
      <w:r w:rsidRPr="006F04E6">
        <w:rPr>
          <w:rFonts w:ascii="Times New Roman" w:hAnsi="Times New Roman"/>
          <w:lang w:val="en-GB"/>
        </w:rPr>
        <w:fldChar w:fldCharType="begin"/>
      </w:r>
      <w:r w:rsidRPr="006F04E6">
        <w:rPr>
          <w:rFonts w:ascii="Times New Roman" w:hAnsi="Times New Roman"/>
          <w:lang w:val="en-GB"/>
        </w:rPr>
        <w:instrText xml:space="preserve"> XE "Sarduri" </w:instrText>
      </w:r>
      <w:r w:rsidRPr="006F04E6">
        <w:rPr>
          <w:rFonts w:ascii="Times New Roman" w:hAnsi="Times New Roman"/>
          <w:lang w:val="en-GB"/>
        </w:rPr>
        <w:fldChar w:fldCharType="end"/>
      </w:r>
      <w:r w:rsidRPr="006F04E6">
        <w:rPr>
          <w:rFonts w:ascii="Times New Roman" w:hAnsi="Times New Roman"/>
          <w:lang w:val="en-GB"/>
        </w:rPr>
        <w:t xml:space="preserve"> II</w:t>
      </w:r>
      <w:r w:rsidRPr="006F04E6">
        <w:rPr>
          <w:rFonts w:ascii="Times New Roman" w:hAnsi="Times New Roman"/>
          <w:lang w:val="en-GB"/>
        </w:rPr>
        <w:fldChar w:fldCharType="begin"/>
      </w:r>
      <w:r w:rsidRPr="006F04E6">
        <w:rPr>
          <w:rFonts w:ascii="Times New Roman" w:hAnsi="Times New Roman"/>
          <w:lang w:val="en-GB"/>
        </w:rPr>
        <w:instrText xml:space="preserve"> XE "Sarduri II" </w:instrText>
      </w:r>
      <w:r w:rsidRPr="006F04E6">
        <w:rPr>
          <w:rFonts w:ascii="Times New Roman" w:hAnsi="Times New Roman"/>
          <w:lang w:val="en-GB"/>
        </w:rPr>
        <w:fldChar w:fldCharType="end"/>
      </w:r>
      <w:r w:rsidRPr="006F04E6">
        <w:rPr>
          <w:rFonts w:ascii="Times New Roman" w:hAnsi="Times New Roman"/>
          <w:lang w:val="en-GB"/>
        </w:rPr>
        <w:t xml:space="preserve"> (CTU I. A 9-21 - A 9-24), which do not exceed 15,000 "kapi".</w:t>
      </w:r>
    </w:p>
    <w:p w14:paraId="25BF1872" w14:textId="77777777" w:rsidR="00B4516E" w:rsidRPr="00CC135C" w:rsidRDefault="00B4516E" w:rsidP="00B4516E">
      <w:pPr>
        <w:rPr>
          <w:rFonts w:ascii="Times New Roman" w:hAnsi="Times New Roman"/>
          <w:lang w:val="en-GB"/>
        </w:rPr>
      </w:pPr>
    </w:p>
    <w:p w14:paraId="2F1994F9" w14:textId="77777777" w:rsidR="00B4516E" w:rsidRPr="006F04E6" w:rsidRDefault="00B4516E" w:rsidP="00B4516E">
      <w:pPr>
        <w:keepNext/>
        <w:keepLines/>
        <w:spacing w:before="280" w:after="80" w:line="276" w:lineRule="auto"/>
        <w:outlineLvl w:val="3"/>
        <w:rPr>
          <w:rFonts w:ascii="Times New Roman" w:hAnsi="Times New Roman"/>
          <w:b/>
          <w:color w:val="0D0D0D"/>
          <w:lang w:val="en-GB"/>
        </w:rPr>
      </w:pPr>
      <w:r w:rsidRPr="006F04E6">
        <w:rPr>
          <w:rFonts w:ascii="Times New Roman" w:hAnsi="Times New Roman"/>
          <w:b/>
          <w:color w:val="0D0D0D"/>
          <w:lang w:val="en-GB"/>
        </w:rPr>
        <w:t xml:space="preserve">4.2.3.7. Construction of an </w:t>
      </w:r>
      <w:r w:rsidRPr="006F04E6">
        <w:rPr>
          <w:rFonts w:ascii="Times New Roman" w:hAnsi="Times New Roman"/>
          <w:b/>
          <w:i/>
          <w:color w:val="0D0D0D"/>
          <w:lang w:val="en-GB"/>
        </w:rPr>
        <w:t>Ašiḫusi</w:t>
      </w:r>
      <w:r w:rsidRPr="006F04E6">
        <w:rPr>
          <w:rFonts w:ascii="Times New Roman" w:hAnsi="Times New Roman"/>
          <w:b/>
          <w:color w:val="0D0D0D"/>
          <w:lang w:val="en-GB"/>
        </w:rPr>
        <w:t xml:space="preserve"> Building: Circular Stones with three Identical Lines</w:t>
      </w:r>
    </w:p>
    <w:p w14:paraId="0374D9D8" w14:textId="77777777" w:rsidR="00B4516E" w:rsidRPr="006F04E6" w:rsidRDefault="00B4516E" w:rsidP="00B4516E">
      <w:pPr>
        <w:rPr>
          <w:rFonts w:ascii="Times New Roman" w:hAnsi="Times New Roman" w:cs="Times New Roman"/>
          <w:lang w:val="en-GB"/>
        </w:rPr>
      </w:pPr>
      <w:r w:rsidRPr="006F04E6">
        <w:rPr>
          <w:rFonts w:ascii="Times New Roman" w:eastAsia="Calibri" w:hAnsi="Times New Roman" w:cs="Times New Roman"/>
          <w:lang w:val="en-GB"/>
        </w:rPr>
        <w:t>Some</w:t>
      </w:r>
      <w:r w:rsidRPr="006F04E6">
        <w:rPr>
          <w:rFonts w:ascii="Times New Roman" w:hAnsi="Times New Roman" w:cs="Times New Roman"/>
          <w:lang w:val="en-GB"/>
        </w:rPr>
        <w:t xml:space="preserve"> of </w:t>
      </w:r>
      <w:r w:rsidRPr="006F04E6">
        <w:rPr>
          <w:rFonts w:ascii="Times New Roman" w:eastAsia="Calibri" w:hAnsi="Times New Roman" w:cs="Times New Roman"/>
          <w:lang w:val="en-GB"/>
        </w:rPr>
        <w:t>Minua</w:t>
      </w:r>
      <w:r w:rsidRPr="006F04E6">
        <w:rPr>
          <w:rFonts w:ascii="Times New Roman" w:eastAsia="Calibri" w:hAnsi="Times New Roman" w:cs="Times New Roman"/>
          <w:lang w:val="en-GB"/>
        </w:rPr>
        <w:fldChar w:fldCharType="begin"/>
      </w:r>
      <w:r w:rsidRPr="006F04E6">
        <w:rPr>
          <w:rFonts w:ascii="Times New Roman" w:hAnsi="Times New Roman" w:cs="Times New Roman"/>
        </w:rPr>
        <w:instrText xml:space="preserve"> XE "</w:instrText>
      </w:r>
      <w:r w:rsidRPr="006F04E6">
        <w:rPr>
          <w:rFonts w:ascii="Times New Roman" w:eastAsia="Calibri" w:hAnsi="Times New Roman" w:cs="Times New Roman"/>
          <w:lang w:val="en-GB"/>
        </w:rPr>
        <w:instrText>Minua</w:instrText>
      </w:r>
      <w:r w:rsidRPr="006F04E6">
        <w:rPr>
          <w:rFonts w:ascii="Times New Roman" w:hAnsi="Times New Roman" w:cs="Times New Roman"/>
        </w:rPr>
        <w:instrText xml:space="preserve">" </w:instrText>
      </w:r>
      <w:r w:rsidRPr="006F04E6">
        <w:rPr>
          <w:rFonts w:ascii="Times New Roman" w:eastAsia="Calibri" w:hAnsi="Times New Roman" w:cs="Times New Roman"/>
          <w:lang w:val="en-GB"/>
        </w:rPr>
        <w:fldChar w:fldCharType="end"/>
      </w:r>
      <w:r w:rsidRPr="006F04E6">
        <w:rPr>
          <w:rFonts w:ascii="Times New Roman" w:eastAsia="Calibri" w:hAnsi="Times New Roman" w:cs="Times New Roman"/>
          <w:lang w:val="en-GB"/>
        </w:rPr>
        <w:t>'s</w:t>
      </w:r>
      <w:r w:rsidRPr="006F04E6">
        <w:rPr>
          <w:rFonts w:ascii="Times New Roman" w:hAnsi="Times New Roman" w:cs="Times New Roman"/>
          <w:lang w:val="en-GB"/>
        </w:rPr>
        <w:t xml:space="preserve"> cuneiform inscriptions from the Van Fortress</w:t>
      </w:r>
      <w:r w:rsidRPr="006F04E6">
        <w:rPr>
          <w:rFonts w:ascii="Times New Roman" w:eastAsia="Calibri" w:hAnsi="Times New Roman" w:cs="Times New Roman"/>
          <w:lang w:val="en-GB"/>
        </w:rPr>
        <w:t> </w:t>
      </w:r>
      <w:r w:rsidRPr="006F04E6">
        <w:rPr>
          <w:rFonts w:ascii="Times New Roman" w:hAnsi="Times New Roman" w:cs="Times New Roman"/>
          <w:lang w:val="en-GB"/>
        </w:rPr>
        <w:t xml:space="preserve">are lost or </w:t>
      </w:r>
      <w:r w:rsidRPr="006F04E6">
        <w:rPr>
          <w:rFonts w:ascii="Times New Roman" w:eastAsia="Calibri" w:hAnsi="Times New Roman" w:cs="Times New Roman"/>
          <w:lang w:val="en-GB"/>
        </w:rPr>
        <w:t>have been moved</w:t>
      </w:r>
      <w:r w:rsidRPr="006F04E6">
        <w:rPr>
          <w:rFonts w:ascii="Times New Roman" w:hAnsi="Times New Roman" w:cs="Times New Roman"/>
          <w:lang w:val="en-GB"/>
        </w:rPr>
        <w:t xml:space="preserve"> to different places today. The first of these is a cylindrical sandstone with a cuneiform inscription.</w:t>
      </w:r>
    </w:p>
    <w:p w14:paraId="34D5EE97" w14:textId="77777777" w:rsidR="00B4516E" w:rsidRPr="006F04E6" w:rsidRDefault="00B4516E" w:rsidP="00B4516E">
      <w:pPr>
        <w:rPr>
          <w:rFonts w:ascii="Times New Roman" w:eastAsia="Calibri" w:hAnsi="Times New Roman" w:cs="Times New Roman"/>
          <w:lang w:val="en-GB"/>
        </w:rPr>
      </w:pPr>
    </w:p>
    <w:p w14:paraId="0E2ED666" w14:textId="77777777" w:rsidR="00B4516E" w:rsidRPr="006F04E6" w:rsidRDefault="00B4516E" w:rsidP="00B4516E">
      <w:pPr>
        <w:rPr>
          <w:rFonts w:ascii="Times New Roman" w:hAnsi="Times New Roman"/>
          <w:b/>
          <w:lang w:val="en-GB"/>
        </w:rPr>
      </w:pPr>
      <w:r w:rsidRPr="006F04E6">
        <w:rPr>
          <w:rFonts w:ascii="Times New Roman" w:hAnsi="Times New Roman"/>
          <w:b/>
          <w:lang w:val="en-GB"/>
        </w:rPr>
        <w:t>CTU I. A 5-65A</w:t>
      </w:r>
    </w:p>
    <w:p w14:paraId="35E3BBBB" w14:textId="77777777" w:rsidR="00B4516E" w:rsidRPr="006F04E6" w:rsidRDefault="00B4516E" w:rsidP="00B4516E">
      <w:pPr>
        <w:rPr>
          <w:rFonts w:asciiTheme="majorBidi" w:hAnsiTheme="majorBidi" w:cstheme="majorBidi"/>
          <w:lang w:val="en-GB"/>
        </w:rPr>
      </w:pPr>
      <w:r w:rsidRPr="006F04E6">
        <w:rPr>
          <w:rFonts w:asciiTheme="majorBidi" w:hAnsiTheme="majorBidi" w:cstheme="majorBidi"/>
          <w:lang w:val="en-GB"/>
        </w:rPr>
        <w:t>Cylindrical stone from a private house in the Old Van City</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"Old Van City" </w:instrText>
      </w:r>
      <w:r w:rsidRPr="006F04E6">
        <w:rPr>
          <w:rFonts w:asciiTheme="majorBidi" w:hAnsiTheme="majorBidi" w:cstheme="majorBidi"/>
          <w:lang w:val="en-GB"/>
        </w:rPr>
        <w:fldChar w:fldCharType="end"/>
      </w:r>
      <w:r w:rsidRPr="006F04E6">
        <w:rPr>
          <w:rFonts w:asciiTheme="majorBidi" w:hAnsiTheme="majorBidi" w:cstheme="majorBidi"/>
          <w:lang w:val="en-GB"/>
        </w:rPr>
        <w:t>. Tbilisi Museum</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"Tbilisi Museum"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Inv. 93. </w:t>
      </w:r>
      <w:r w:rsidRPr="006F04E6" w:rsidDel="00E069EA">
        <w:rPr>
          <w:rFonts w:asciiTheme="majorBidi" w:hAnsiTheme="majorBidi" w:cstheme="majorBidi"/>
          <w:lang w:val="en-GB"/>
        </w:rPr>
        <w:t>Dimensions: diameter 73.5 cm, height 29 cm.</w:t>
      </w:r>
    </w:p>
    <w:p w14:paraId="7CA5C301" w14:textId="77777777" w:rsidR="00B4516E" w:rsidRPr="006F04E6" w:rsidRDefault="00B4516E" w:rsidP="00B4516E">
      <w:pPr>
        <w:rPr>
          <w:rFonts w:ascii="Calibri" w:hAnsi="Calibri"/>
          <w:lang w:val="en-GB"/>
        </w:rPr>
      </w:pPr>
    </w:p>
    <w:p w14:paraId="7E3707E7" w14:textId="77777777" w:rsidR="00B4516E" w:rsidRPr="006F04E6" w:rsidRDefault="00B4516E" w:rsidP="00B4516E">
      <w:pPr>
        <w:jc w:val="center"/>
        <w:rPr>
          <w:rFonts w:ascii="Times New Roman" w:hAnsi="Times New Roman"/>
          <w:lang w:val="en-GB"/>
        </w:rPr>
      </w:pPr>
      <w:r w:rsidRPr="006F04E6">
        <w:rPr>
          <w:rFonts w:ascii="Times New Roman" w:hAnsi="Times New Roman"/>
          <w:noProof/>
          <w:lang w:eastAsia="tr-TR"/>
        </w:rPr>
        <w:drawing>
          <wp:inline distT="0" distB="0" distL="0" distR="0" wp14:anchorId="0FCF788D" wp14:editId="25507E62">
            <wp:extent cx="5400675" cy="2505075"/>
            <wp:effectExtent l="0" t="0" r="9525" b="9525"/>
            <wp:docPr id="957882506" name="Resim 957882506" descr="İnsan yapımı, iç mekan, duvar,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82506" name="Resim 957882506" descr="İnsan yapımı, iç mekan, duvar, taş içeren bir resim&#10;&#10;Açıklama otomatik olarak oluşturuldu"/>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5400675"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20372394" w14:textId="77777777" w:rsidR="00B4516E" w:rsidRPr="006F04E6" w:rsidRDefault="00B4516E" w:rsidP="00B4516E">
      <w:pPr>
        <w:jc w:val="both"/>
        <w:rPr>
          <w:rFonts w:ascii="Times New Roman" w:hAnsi="Times New Roman"/>
        </w:rPr>
      </w:pPr>
      <w:r w:rsidRPr="006F04E6">
        <w:rPr>
          <w:rFonts w:ascii="Times New Roman" w:hAnsi="Times New Roman"/>
          <w:lang w:val="en-GB"/>
        </w:rPr>
        <w:t xml:space="preserve">    Fig. 30 Construction of an "</w:t>
      </w:r>
      <w:r w:rsidRPr="006F04E6">
        <w:rPr>
          <w:rFonts w:ascii="Times New Roman" w:hAnsi="Times New Roman"/>
          <w:iCs/>
          <w:lang w:val="en-GB"/>
        </w:rPr>
        <w:t>ašihusi</w:t>
      </w:r>
      <w:r w:rsidRPr="006F04E6">
        <w:rPr>
          <w:rFonts w:ascii="Times New Roman" w:hAnsi="Times New Roman"/>
          <w:lang w:val="en-GB"/>
        </w:rPr>
        <w:t>"</w:t>
      </w:r>
      <w:r w:rsidRPr="006F04E6">
        <w:rPr>
          <w:rFonts w:ascii="Times New Roman" w:hAnsi="Times New Roman"/>
          <w:iCs/>
          <w:lang w:val="en-GB"/>
        </w:rPr>
        <w:t xml:space="preserve"> </w:t>
      </w:r>
      <w:r w:rsidRPr="006F04E6">
        <w:rPr>
          <w:rFonts w:ascii="Times New Roman" w:hAnsi="Times New Roman"/>
          <w:lang w:val="en-GB"/>
        </w:rPr>
        <w:t xml:space="preserve">building, from somewhere in Van. </w:t>
      </w:r>
      <w:r w:rsidRPr="006F04E6">
        <w:rPr>
          <w:rFonts w:ascii="Times New Roman" w:hAnsi="Times New Roman"/>
        </w:rPr>
        <w:t>Tbilisi Museum.</w:t>
      </w:r>
    </w:p>
    <w:p w14:paraId="7E5CA593" w14:textId="77777777" w:rsidR="00B4516E" w:rsidRPr="006F04E6" w:rsidRDefault="00B4516E" w:rsidP="00B4516E">
      <w:pPr>
        <w:jc w:val="both"/>
        <w:rPr>
          <w:rFonts w:ascii="Times New Roman" w:hAnsi="Times New Roman"/>
          <w:lang w:val="en-GB"/>
        </w:rPr>
      </w:pPr>
    </w:p>
    <w:p w14:paraId="4348FD2D" w14:textId="77777777" w:rsidR="00B4516E" w:rsidRPr="006F04E6" w:rsidRDefault="00B4516E" w:rsidP="00B4516E">
      <w:pPr>
        <w:rPr>
          <w:rFonts w:ascii="Times New Roman" w:hAnsi="Times New Roman"/>
          <w:b/>
          <w:i/>
          <w:lang w:val="en-GB"/>
        </w:rPr>
      </w:pPr>
      <w:r w:rsidRPr="006F04E6">
        <w:rPr>
          <w:rFonts w:ascii="Times New Roman" w:hAnsi="Times New Roman"/>
          <w:b/>
          <w:lang w:val="en-GB"/>
        </w:rPr>
        <w:t>CTU I. A 5-65A</w:t>
      </w:r>
    </w:p>
    <w:p w14:paraId="62257C17"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r w:rsidRPr="006F04E6">
        <w:rPr>
          <w:rFonts w:ascii="Times New Roman" w:hAnsi="Times New Roman"/>
        </w:rPr>
        <w:t>Cylindrical stone diameter 73.5 cm, height 23 cm. (Fig. 25)</w:t>
      </w:r>
    </w:p>
    <w:p w14:paraId="531668E7" w14:textId="77777777" w:rsidR="00B4516E" w:rsidRPr="006F04E6" w:rsidRDefault="00B4516E" w:rsidP="00B4516E">
      <w:pPr>
        <w:rPr>
          <w:rFonts w:ascii="Times New Roman" w:hAnsi="Times New Roman"/>
          <w:lang w:val="en-GB"/>
        </w:rPr>
      </w:pPr>
    </w:p>
    <w:p w14:paraId="1DC34B00"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1,2,3 Line= “</w:t>
      </w:r>
      <w:r w:rsidRPr="006F04E6">
        <w:rPr>
          <w:rFonts w:ascii="Times New Roman" w:hAnsi="Times New Roman"/>
          <w:vertAlign w:val="superscript"/>
          <w:lang w:val="en-GB"/>
        </w:rPr>
        <w:t>m</w:t>
      </w:r>
      <w:r w:rsidRPr="006F04E6">
        <w:rPr>
          <w:rFonts w:ascii="Times New Roman" w:hAnsi="Times New Roman"/>
          <w:lang w:val="en-GB"/>
        </w:rPr>
        <w:t xml:space="preserve">mì-nu-a-še </w:t>
      </w:r>
      <w:r w:rsidRPr="006F04E6">
        <w:rPr>
          <w:rFonts w:ascii="Times New Roman" w:hAnsi="Times New Roman"/>
          <w:vertAlign w:val="superscript"/>
          <w:lang w:val="en-GB"/>
        </w:rPr>
        <w:t>m</w:t>
      </w:r>
      <w:r w:rsidRPr="006F04E6">
        <w:rPr>
          <w:rFonts w:ascii="Times New Roman" w:hAnsi="Times New Roman"/>
          <w:lang w:val="en-GB"/>
        </w:rPr>
        <w:t xml:space="preserve">iš-pu-ú-i-ni-ḫi-ni-še i-ni </w:t>
      </w:r>
      <w:r w:rsidRPr="006F04E6">
        <w:rPr>
          <w:rFonts w:ascii="Times New Roman" w:hAnsi="Times New Roman"/>
          <w:vertAlign w:val="superscript"/>
          <w:lang w:val="en-GB"/>
        </w:rPr>
        <w:t>É</w:t>
      </w:r>
      <w:r w:rsidRPr="006F04E6">
        <w:rPr>
          <w:rFonts w:ascii="Times New Roman" w:hAnsi="Times New Roman"/>
          <w:lang w:val="en-GB"/>
        </w:rPr>
        <w:t>a-ši-ḫu-ú-si-e za-a-du-ú-ni”</w:t>
      </w:r>
    </w:p>
    <w:p w14:paraId="6820F3BF" w14:textId="77777777" w:rsidR="00B4516E" w:rsidRPr="006F04E6" w:rsidRDefault="00B4516E" w:rsidP="00B4516E">
      <w:pPr>
        <w:numPr>
          <w:ilvl w:val="12"/>
          <w:numId w:val="0"/>
        </w:numPr>
        <w:ind w:left="567" w:right="-782" w:hanging="567"/>
        <w:jc w:val="center"/>
        <w:rPr>
          <w:rFonts w:ascii="Times New Roman" w:hAnsi="Times New Roman"/>
          <w:lang w:val="en-GB"/>
        </w:rPr>
      </w:pPr>
      <w:r w:rsidRPr="006F04E6">
        <w:rPr>
          <w:rFonts w:ascii="Times New Roman" w:hAnsi="Times New Roman"/>
          <w:lang w:val="en-GB"/>
        </w:rPr>
        <w:t>(Three identical lines)</w:t>
      </w:r>
    </w:p>
    <w:p w14:paraId="5333E1CB" w14:textId="77777777" w:rsidR="00B4516E" w:rsidRPr="006F04E6" w:rsidRDefault="00B4516E" w:rsidP="00B4516E">
      <w:pPr>
        <w:numPr>
          <w:ilvl w:val="12"/>
          <w:numId w:val="0"/>
        </w:numPr>
        <w:ind w:left="567" w:right="-782" w:hanging="567"/>
        <w:jc w:val="both"/>
        <w:rPr>
          <w:rFonts w:ascii="Times New Roman" w:hAnsi="Times New Roman"/>
          <w:lang w:val="en-GB"/>
        </w:rPr>
      </w:pPr>
    </w:p>
    <w:p w14:paraId="086A08CF"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r w:rsidRPr="006F04E6">
        <w:rPr>
          <w:rFonts w:ascii="Times New Roman" w:hAnsi="Times New Roman"/>
        </w:rPr>
        <w:t>“Minua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the son of Išpuini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Išpuini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built this </w:t>
      </w:r>
      <w:r w:rsidRPr="006F04E6">
        <w:rPr>
          <w:rFonts w:ascii="Times New Roman" w:hAnsi="Times New Roman"/>
          <w:lang w:val="en-GB"/>
        </w:rPr>
        <w:t>"</w:t>
      </w:r>
      <w:r w:rsidRPr="006F04E6">
        <w:rPr>
          <w:rFonts w:ascii="Times New Roman" w:hAnsi="Times New Roman"/>
        </w:rPr>
        <w:t>ašiḫusi</w:t>
      </w:r>
      <w:r w:rsidRPr="006F04E6">
        <w:rPr>
          <w:rFonts w:ascii="Times New Roman" w:hAnsi="Times New Roman"/>
          <w:lang w:val="en-GB"/>
        </w:rPr>
        <w:t>"</w:t>
      </w:r>
      <w:r w:rsidRPr="006F04E6">
        <w:rPr>
          <w:rFonts w:ascii="Times New Roman" w:hAnsi="Times New Roman"/>
        </w:rPr>
        <w:fldChar w:fldCharType="begin"/>
      </w:r>
      <w:r w:rsidRPr="006F04E6">
        <w:rPr>
          <w:rFonts w:ascii="Courier New" w:hAnsi="Courier New"/>
          <w:lang w:val="en-GB"/>
        </w:rPr>
        <w:instrText xml:space="preserve"> XE "ašiḫusi" </w:instrText>
      </w:r>
      <w:r w:rsidRPr="006F04E6">
        <w:rPr>
          <w:rFonts w:ascii="Times New Roman" w:hAnsi="Times New Roman"/>
        </w:rPr>
        <w:fldChar w:fldCharType="end"/>
      </w:r>
      <w:r w:rsidRPr="006F04E6">
        <w:rPr>
          <w:rFonts w:ascii="Times New Roman" w:hAnsi="Times New Roman"/>
        </w:rPr>
        <w:t xml:space="preserve"> building (banquet house?)” </w:t>
      </w:r>
    </w:p>
    <w:p w14:paraId="66E09B6E" w14:textId="77777777" w:rsidR="00B4516E" w:rsidRPr="006F04E6" w:rsidRDefault="00B4516E" w:rsidP="00B4516E">
      <w:pPr>
        <w:numPr>
          <w:ilvl w:val="12"/>
          <w:numId w:val="0"/>
        </w:numPr>
        <w:ind w:left="567" w:right="-782" w:hanging="567"/>
        <w:jc w:val="both"/>
        <w:rPr>
          <w:rFonts w:ascii="Times New Roman" w:hAnsi="Times New Roman"/>
          <w:lang w:val="en-GB"/>
        </w:rPr>
      </w:pPr>
    </w:p>
    <w:p w14:paraId="51B7A792"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The interpretation of Wilhelm</w:t>
      </w:r>
      <w:r w:rsidRPr="006F04E6">
        <w:rPr>
          <w:rFonts w:ascii="Times New Roman" w:hAnsi="Times New Roman"/>
          <w:color w:val="202124"/>
          <w:lang w:val="en-GB"/>
        </w:rPr>
        <w:t xml:space="preserve"> </w:t>
      </w:r>
      <w:r w:rsidRPr="006F04E6">
        <w:rPr>
          <w:rFonts w:ascii="Times New Roman" w:hAnsi="Times New Roman"/>
        </w:rPr>
        <w:t xml:space="preserve">as a banquet hall is not </w:t>
      </w:r>
      <w:r w:rsidRPr="006F04E6">
        <w:rPr>
          <w:rFonts w:ascii="Times New Roman" w:eastAsia="Arial" w:hAnsi="Times New Roman" w:cs="Times New Roman"/>
          <w:color w:val="202124"/>
          <w:lang w:val="en-GB" w:eastAsia="it-IT"/>
        </w:rPr>
        <w:t>specific</w:t>
      </w:r>
      <w:r w:rsidRPr="006F04E6">
        <w:rPr>
          <w:rFonts w:ascii="Times New Roman" w:hAnsi="Times New Roman"/>
        </w:rPr>
        <w:t xml:space="preserve"> (Wilhelm&amp;Akdoğan, 2011: 219-227; also see. </w:t>
      </w:r>
      <w:r w:rsidRPr="006F04E6">
        <w:rPr>
          <w:rFonts w:ascii="Times New Roman" w:hAnsi="Times New Roman"/>
          <w:color w:val="202124"/>
          <w:lang w:val="en-GB"/>
        </w:rPr>
        <w:t>CTU V. p. 379)</w:t>
      </w:r>
      <w:r w:rsidRPr="006F04E6">
        <w:rPr>
          <w:rFonts w:ascii="Times New Roman" w:hAnsi="Times New Roman"/>
        </w:rPr>
        <w:t xml:space="preserve">. </w:t>
      </w:r>
      <w:r w:rsidRPr="006F04E6">
        <w:rPr>
          <w:rFonts w:ascii="Times New Roman" w:eastAsia="Arial" w:hAnsi="Times New Roman" w:cs="Times New Roman"/>
          <w:color w:val="202124"/>
          <w:lang w:val="en-GB" w:eastAsia="it-IT"/>
        </w:rPr>
        <w:t>Above</w:t>
      </w:r>
      <w:r w:rsidRPr="006F04E6">
        <w:rPr>
          <w:rFonts w:ascii="Times New Roman" w:hAnsi="Times New Roman"/>
        </w:rPr>
        <w:t xml:space="preserve"> all</w:t>
      </w:r>
      <w:r w:rsidRPr="006F04E6">
        <w:rPr>
          <w:rFonts w:ascii="Times New Roman" w:eastAsia="Arial" w:hAnsi="Times New Roman" w:cs="Times New Roman"/>
          <w:color w:val="202124"/>
          <w:lang w:val="en-GB" w:eastAsia="it-IT"/>
        </w:rPr>
        <w:t>,</w:t>
      </w:r>
      <w:r w:rsidRPr="006F04E6">
        <w:rPr>
          <w:rFonts w:ascii="Times New Roman" w:hAnsi="Times New Roman"/>
        </w:rPr>
        <w:t xml:space="preserve"> it is difficult to understand the architecture of the building, given the shape of this inscribed stone</w:t>
      </w:r>
      <w:r w:rsidRPr="006F04E6">
        <w:rPr>
          <w:rFonts w:ascii="Times New Roman" w:eastAsia="Arial" w:hAnsi="Times New Roman" w:cs="Times New Roman"/>
          <w:color w:val="202124"/>
          <w:lang w:val="en-GB" w:eastAsia="it-IT"/>
        </w:rPr>
        <w:t>,</w:t>
      </w:r>
      <w:r w:rsidRPr="006F04E6">
        <w:rPr>
          <w:rFonts w:ascii="Times New Roman" w:hAnsi="Times New Roman"/>
        </w:rPr>
        <w:t xml:space="preserve"> compared with the cubic blocks of</w:t>
      </w:r>
      <w:r w:rsidRPr="006F04E6">
        <w:rPr>
          <w:rFonts w:ascii="Times New Roman" w:eastAsia="Arial" w:hAnsi="Times New Roman" w:cs="Times New Roman"/>
          <w:color w:val="202124"/>
          <w:lang w:val="en-GB" w:eastAsia="it-IT"/>
        </w:rPr>
        <w:t xml:space="preserve"> the</w:t>
      </w:r>
      <w:r w:rsidRPr="006F04E6">
        <w:rPr>
          <w:rFonts w:ascii="Times New Roman" w:hAnsi="Times New Roman"/>
        </w:rPr>
        <w:t xml:space="preserve"> Kef Fortress (see CTU I. A 12-10). </w:t>
      </w:r>
    </w:p>
    <w:p w14:paraId="0DA4795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79D098C8"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color w:val="202124"/>
          <w:lang w:val="en-GB"/>
        </w:rPr>
      </w:pPr>
      <w:r w:rsidRPr="006F04E6">
        <w:rPr>
          <w:rFonts w:ascii="Times New Roman" w:hAnsi="Times New Roman"/>
          <w:b/>
          <w:color w:val="202124"/>
          <w:lang w:val="en-GB"/>
        </w:rPr>
        <w:t>CTU I. A 5-53A</w:t>
      </w:r>
    </w:p>
    <w:p w14:paraId="5282331B" w14:textId="77777777" w:rsidR="00B4516E" w:rsidRPr="006F04E6" w:rsidRDefault="00B4516E" w:rsidP="00B4516E">
      <w:pPr>
        <w:numPr>
          <w:ilvl w:val="12"/>
          <w:numId w:val="0"/>
        </w:numPr>
        <w:ind w:right="-735"/>
        <w:jc w:val="both"/>
        <w:rPr>
          <w:rFonts w:ascii="Times New Roman" w:hAnsi="Times New Roman"/>
          <w:color w:val="202124"/>
          <w:lang w:val="en-GB"/>
        </w:rPr>
      </w:pPr>
      <w:r w:rsidRPr="006F04E6">
        <w:rPr>
          <w:rFonts w:ascii="Times New Roman" w:hAnsi="Times New Roman"/>
          <w:color w:val="202124"/>
          <w:lang w:val="en-GB"/>
        </w:rPr>
        <w:t xml:space="preserve">Cylindrical stone from a house in Van (late 19th century). </w:t>
      </w:r>
      <w:r w:rsidRPr="006F04E6">
        <w:rPr>
          <w:rFonts w:ascii="Times New Roman" w:eastAsia="Times New Roman" w:hAnsi="Times New Roman" w:cs="Times New Roman"/>
          <w:color w:val="202124"/>
          <w:lang w:val="en-GB" w:eastAsia="it-IT"/>
        </w:rPr>
        <w:t xml:space="preserve">The </w:t>
      </w:r>
      <w:r w:rsidRPr="006F04E6">
        <w:rPr>
          <w:rFonts w:ascii="Times New Roman" w:hAnsi="Times New Roman"/>
          <w:color w:val="202124"/>
          <w:lang w:val="en-GB"/>
        </w:rPr>
        <w:t xml:space="preserve">lines </w:t>
      </w:r>
      <w:r w:rsidRPr="006F04E6">
        <w:rPr>
          <w:rFonts w:ascii="Times New Roman" w:eastAsia="Times New Roman" w:hAnsi="Times New Roman" w:cs="Times New Roman"/>
          <w:color w:val="202124"/>
          <w:lang w:val="en-GB" w:eastAsia="it-IT"/>
        </w:rPr>
        <w:t xml:space="preserve">are </w:t>
      </w:r>
      <w:r w:rsidRPr="006F04E6">
        <w:rPr>
          <w:rFonts w:ascii="Times New Roman" w:hAnsi="Times New Roman"/>
          <w:color w:val="202124"/>
          <w:lang w:val="en-GB"/>
        </w:rPr>
        <w:t>2.8 cm</w:t>
      </w:r>
      <w:r w:rsidRPr="006F04E6">
        <w:rPr>
          <w:rFonts w:ascii="Times New Roman" w:eastAsia="Times New Roman" w:hAnsi="Times New Roman" w:cs="Times New Roman"/>
          <w:color w:val="202124"/>
          <w:lang w:val="en-GB" w:eastAsia="it-IT"/>
        </w:rPr>
        <w:t xml:space="preserve"> high, and</w:t>
      </w:r>
      <w:r w:rsidRPr="006F04E6">
        <w:rPr>
          <w:rFonts w:ascii="Times New Roman" w:hAnsi="Times New Roman"/>
          <w:color w:val="202124"/>
          <w:lang w:val="en-GB"/>
        </w:rPr>
        <w:t xml:space="preserve"> the interlinear space </w:t>
      </w:r>
      <w:r w:rsidRPr="006F04E6">
        <w:rPr>
          <w:rFonts w:ascii="Times New Roman" w:eastAsia="Times New Roman" w:hAnsi="Times New Roman" w:cs="Times New Roman"/>
          <w:color w:val="202124"/>
          <w:lang w:val="en-GB" w:eastAsia="it-IT"/>
        </w:rPr>
        <w:t xml:space="preserve">is </w:t>
      </w:r>
      <w:r w:rsidRPr="006F04E6">
        <w:rPr>
          <w:rFonts w:ascii="Times New Roman" w:hAnsi="Times New Roman"/>
          <w:color w:val="202124"/>
          <w:lang w:val="en-GB"/>
        </w:rPr>
        <w:t xml:space="preserve">2.8 cm. </w:t>
      </w:r>
      <w:r w:rsidRPr="006F04E6">
        <w:rPr>
          <w:rFonts w:ascii="Times New Roman" w:eastAsia="Times New Roman" w:hAnsi="Times New Roman" w:cs="Times New Roman"/>
          <w:color w:val="202124"/>
          <w:lang w:val="en-GB" w:eastAsia="it-IT"/>
        </w:rPr>
        <w:t>It was lost</w:t>
      </w:r>
      <w:r w:rsidRPr="006F04E6">
        <w:rPr>
          <w:rFonts w:ascii="Times New Roman" w:hAnsi="Times New Roman"/>
          <w:color w:val="202124"/>
          <w:lang w:val="en-GB"/>
        </w:rPr>
        <w:t>.</w:t>
      </w:r>
    </w:p>
    <w:p w14:paraId="67EF75C9" w14:textId="77777777" w:rsidR="00B4516E" w:rsidRPr="006F04E6" w:rsidRDefault="00B4516E" w:rsidP="00B4516E">
      <w:pPr>
        <w:numPr>
          <w:ilvl w:val="12"/>
          <w:numId w:val="0"/>
        </w:numPr>
        <w:ind w:left="567" w:right="-735" w:hanging="567"/>
        <w:jc w:val="both"/>
        <w:rPr>
          <w:rFonts w:ascii="Times New Roman" w:hAnsi="Times New Roman"/>
          <w:lang w:val="en-GB"/>
        </w:rPr>
      </w:pPr>
    </w:p>
    <w:p w14:paraId="68869E32" w14:textId="77777777" w:rsidR="00B4516E" w:rsidRPr="006F04E6" w:rsidRDefault="00B4516E" w:rsidP="00B4516E">
      <w:pPr>
        <w:numPr>
          <w:ilvl w:val="12"/>
          <w:numId w:val="0"/>
        </w:numPr>
        <w:ind w:left="567" w:right="-735"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ḫal-d[i-ni-ni uš-ma-ši]-ni</w:t>
      </w:r>
    </w:p>
    <w:p w14:paraId="0F6FDFE0" w14:textId="77777777" w:rsidR="00B4516E" w:rsidRPr="006F04E6" w:rsidRDefault="00B4516E" w:rsidP="00B4516E">
      <w:pPr>
        <w:numPr>
          <w:ilvl w:val="12"/>
          <w:numId w:val="0"/>
        </w:numPr>
        <w:ind w:left="567" w:right="-735"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mì-nu-</w:t>
      </w:r>
      <w:r w:rsidRPr="006F04E6">
        <w:rPr>
          <w:rFonts w:ascii="Cambria Math" w:hAnsi="Cambria Math"/>
          <w:lang w:val="en-GB"/>
        </w:rPr>
        <w:t>⌈</w:t>
      </w:r>
      <w:r w:rsidRPr="006F04E6">
        <w:rPr>
          <w:rFonts w:ascii="Times New Roman" w:hAnsi="Times New Roman"/>
          <w:lang w:val="en-GB"/>
        </w:rPr>
        <w:t>a</w:t>
      </w:r>
      <w:r w:rsidRPr="006F04E6">
        <w:rPr>
          <w:rFonts w:ascii="Cambria Math" w:hAnsi="Cambria Math"/>
          <w:lang w:val="en-GB"/>
        </w:rPr>
        <w:t>⌉</w:t>
      </w:r>
      <w:r w:rsidRPr="006F04E6">
        <w:rPr>
          <w:rFonts w:ascii="Times New Roman" w:hAnsi="Times New Roman"/>
          <w:lang w:val="en-GB"/>
        </w:rPr>
        <w:t xml:space="preserve">-[še </w:t>
      </w:r>
      <w:r w:rsidRPr="006F04E6">
        <w:rPr>
          <w:rFonts w:ascii="Times New Roman" w:hAnsi="Times New Roman"/>
          <w:vertAlign w:val="superscript"/>
          <w:lang w:val="en-GB"/>
        </w:rPr>
        <w:t>m</w:t>
      </w:r>
      <w:r w:rsidRPr="006F04E6">
        <w:rPr>
          <w:rFonts w:ascii="Times New Roman" w:hAnsi="Times New Roman"/>
          <w:lang w:val="en-GB"/>
        </w:rPr>
        <w:t>iš-pu-ú-i]-ni-ḫi-ni-še</w:t>
      </w:r>
    </w:p>
    <w:p w14:paraId="51EC4394" w14:textId="77777777" w:rsidR="00B4516E" w:rsidRPr="006F04E6" w:rsidRDefault="00B4516E" w:rsidP="00B4516E">
      <w:pPr>
        <w:numPr>
          <w:ilvl w:val="12"/>
          <w:numId w:val="0"/>
        </w:numPr>
        <w:ind w:left="567" w:right="-735"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i-ni-i É</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É</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[za-a-du]-</w:t>
      </w:r>
      <w:r w:rsidRPr="006F04E6">
        <w:rPr>
          <w:rFonts w:ascii="Cambria Math" w:hAnsi="Cambria Math"/>
          <w:lang w:val="en-GB"/>
        </w:rPr>
        <w:t>⌈</w:t>
      </w:r>
      <w:r w:rsidRPr="006F04E6">
        <w:rPr>
          <w:rFonts w:ascii="Times New Roman" w:hAnsi="Times New Roman"/>
          <w:lang w:val="en-GB"/>
        </w:rPr>
        <w:t>ú</w:t>
      </w:r>
      <w:r w:rsidRPr="006F04E6">
        <w:rPr>
          <w:rFonts w:ascii="Cambria Math" w:hAnsi="Cambria Math"/>
          <w:lang w:val="en-GB"/>
        </w:rPr>
        <w:t>⌉</w:t>
      </w:r>
      <w:r w:rsidRPr="006F04E6">
        <w:rPr>
          <w:rFonts w:ascii="Times New Roman" w:hAnsi="Times New Roman"/>
          <w:lang w:val="en-GB"/>
        </w:rPr>
        <w:t>-ni</w:t>
      </w:r>
    </w:p>
    <w:p w14:paraId="6FE96F3C"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GB"/>
        </w:rPr>
      </w:pPr>
      <w:r w:rsidRPr="006F04E6">
        <w:rPr>
          <w:rFonts w:ascii="Times New Roman" w:hAnsi="Times New Roman"/>
          <w:color w:val="202124"/>
          <w:lang w:val="en-GB"/>
        </w:rPr>
        <w:t>“Thanks to Ḫaldi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Ḫaldi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’s protection, Minua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Minua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the son of Išpuini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Išpuini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built this building”.</w:t>
      </w:r>
    </w:p>
    <w:p w14:paraId="695D5545" w14:textId="77777777" w:rsidR="00B4516E" w:rsidRPr="006F04E6" w:rsidRDefault="00B4516E" w:rsidP="00B4516E">
      <w:pPr>
        <w:keepNext/>
        <w:keepLines/>
        <w:spacing w:before="280" w:after="80" w:line="276" w:lineRule="auto"/>
        <w:outlineLvl w:val="3"/>
        <w:rPr>
          <w:rFonts w:ascii="Times New Roman" w:hAnsi="Times New Roman"/>
          <w:b/>
          <w:bCs/>
          <w:color w:val="0D0D0D"/>
          <w:lang w:val="en-GB"/>
        </w:rPr>
      </w:pPr>
      <w:r w:rsidRPr="006F04E6">
        <w:rPr>
          <w:rFonts w:ascii="Times New Roman" w:hAnsi="Times New Roman"/>
          <w:b/>
          <w:bCs/>
          <w:color w:val="0D0D0D"/>
        </w:rPr>
        <w:t>4.2.3.8. The Stelae dedicated to God Ḫaldi</w:t>
      </w:r>
      <w:r w:rsidRPr="006F04E6">
        <w:rPr>
          <w:rFonts w:ascii="Times New Roman" w:hAnsi="Times New Roman"/>
          <w:b/>
          <w:bCs/>
          <w:color w:val="0D0D0D"/>
        </w:rPr>
        <w:fldChar w:fldCharType="begin"/>
      </w:r>
      <w:r w:rsidRPr="006F04E6">
        <w:rPr>
          <w:rFonts w:ascii="Arial" w:hAnsi="Arial"/>
          <w:b/>
          <w:bCs/>
          <w:color w:val="0D0D0D"/>
          <w:lang w:val="en-GB"/>
        </w:rPr>
        <w:instrText xml:space="preserve"> XE "</w:instrText>
      </w:r>
      <w:r w:rsidRPr="006F04E6">
        <w:rPr>
          <w:rFonts w:ascii="Times New Roman" w:hAnsi="Times New Roman"/>
          <w:b/>
          <w:bCs/>
          <w:color w:val="0D0D0D"/>
          <w:lang w:val="en-GB"/>
        </w:rPr>
        <w:instrText>Ḫaldi</w:instrText>
      </w:r>
      <w:r w:rsidRPr="006F04E6">
        <w:rPr>
          <w:rFonts w:ascii="Arial" w:hAnsi="Arial"/>
          <w:b/>
          <w:bCs/>
          <w:color w:val="0D0D0D"/>
          <w:lang w:val="en-GB"/>
        </w:rPr>
        <w:instrText xml:space="preserve">" </w:instrText>
      </w:r>
      <w:r w:rsidRPr="006F04E6">
        <w:rPr>
          <w:rFonts w:ascii="Times New Roman" w:hAnsi="Times New Roman"/>
          <w:b/>
          <w:bCs/>
          <w:color w:val="0D0D0D"/>
        </w:rPr>
        <w:fldChar w:fldCharType="end"/>
      </w:r>
      <w:r w:rsidRPr="006F04E6">
        <w:rPr>
          <w:rFonts w:ascii="Times New Roman" w:hAnsi="Times New Roman"/>
          <w:b/>
          <w:bCs/>
          <w:color w:val="0D0D0D"/>
        </w:rPr>
        <w:t xml:space="preserve"> and God Ḫutuini:</w:t>
      </w:r>
      <w:r w:rsidRPr="006F04E6">
        <w:rPr>
          <w:rFonts w:ascii="Times New Roman" w:hAnsi="Times New Roman"/>
          <w:b/>
          <w:bCs/>
          <w:color w:val="0D0D0D"/>
          <w:lang w:val="en-GB"/>
        </w:rPr>
        <w:t xml:space="preserve"> CTU I. A 5-71; CTU I. A 5-72; CTU I. A 5-79     </w:t>
      </w:r>
    </w:p>
    <w:p w14:paraId="3C9D174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Stele</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formerly inserted in the floor of the Korşun Mosque in the </w:t>
      </w:r>
      <w:r w:rsidRPr="006F04E6">
        <w:rPr>
          <w:rFonts w:asciiTheme="majorBidi" w:eastAsia="Times New Roman" w:hAnsiTheme="majorBidi" w:cstheme="majorBidi"/>
          <w:color w:val="202124"/>
          <w:lang w:val="en-GB" w:eastAsia="it-IT"/>
        </w:rPr>
        <w:t>Old</w:t>
      </w:r>
      <w:r w:rsidRPr="006F04E6">
        <w:rPr>
          <w:rFonts w:ascii="Times New Roman" w:hAnsi="Times New Roman"/>
          <w:color w:val="202124"/>
          <w:lang w:val="en-GB"/>
        </w:rPr>
        <w:t xml:space="preserve"> Van</w:t>
      </w:r>
      <w:r w:rsidRPr="006F04E6">
        <w:rPr>
          <w:rFonts w:asciiTheme="majorBidi" w:eastAsia="Times New Roman" w:hAnsiTheme="majorBidi" w:cstheme="majorBidi"/>
          <w:color w:val="202124"/>
          <w:lang w:val="en-GB" w:eastAsia="it-IT"/>
        </w:rPr>
        <w:t xml:space="preserve"> City</w:t>
      </w:r>
      <w:r w:rsidRPr="006F04E6">
        <w:rPr>
          <w:rFonts w:asciiTheme="majorBidi" w:eastAsia="Times New Roman" w:hAnsiTheme="majorBidi" w:cstheme="majorBidi"/>
          <w:color w:val="202124"/>
          <w:lang w:val="en-GB" w:eastAsia="it-IT"/>
        </w:rPr>
        <w:fldChar w:fldCharType="begin"/>
      </w:r>
      <w:r w:rsidRPr="006F04E6">
        <w:instrText xml:space="preserve"> XE "</w:instrText>
      </w:r>
      <w:r w:rsidRPr="006F04E6">
        <w:rPr>
          <w:rFonts w:asciiTheme="majorBidi" w:hAnsiTheme="majorBidi" w:cstheme="majorBidi"/>
        </w:rPr>
        <w:instrText>Old Van City</w:instrText>
      </w:r>
      <w:r w:rsidRPr="006F04E6">
        <w:instrText xml:space="preserve">" </w:instrText>
      </w:r>
      <w:r w:rsidRPr="006F04E6">
        <w:rPr>
          <w:rFonts w:asciiTheme="majorBidi" w:eastAsia="Times New Roman" w:hAnsiTheme="majorBidi" w:cstheme="majorBidi"/>
          <w:color w:val="202124"/>
          <w:lang w:val="en-GB" w:eastAsia="it-IT"/>
        </w:rPr>
        <w:fldChar w:fldCharType="end"/>
      </w:r>
      <w:r w:rsidRPr="006F04E6">
        <w:rPr>
          <w:rFonts w:asciiTheme="majorBidi" w:eastAsia="Times New Roman" w:hAnsiTheme="majorBidi" w:cstheme="majorBidi"/>
          <w:color w:val="202124"/>
          <w:lang w:val="en-GB" w:eastAsia="it-IT"/>
        </w:rPr>
        <w:t>,</w:t>
      </w:r>
      <w:r w:rsidRPr="006F04E6">
        <w:rPr>
          <w:rFonts w:ascii="Times New Roman" w:hAnsi="Times New Roman"/>
          <w:color w:val="202124"/>
          <w:lang w:val="en-GB"/>
        </w:rPr>
        <w:t xml:space="preserve"> now disappeared. We have only the photo of the Lehmann-Haupt</w:t>
      </w:r>
      <w:r w:rsidRPr="006F04E6">
        <w:rPr>
          <w:rFonts w:ascii="Times New Roman" w:eastAsia="Times New Roman" w:hAnsi="Times New Roman" w:cs="Times New Roman"/>
          <w:color w:val="202124"/>
          <w:lang w:val="en-GB" w:eastAsia="it-IT"/>
        </w:rPr>
        <w:t> </w:t>
      </w:r>
      <w:r w:rsidRPr="006F04E6">
        <w:rPr>
          <w:rFonts w:ascii="Times New Roman" w:hAnsi="Times New Roman"/>
          <w:color w:val="202124"/>
          <w:lang w:val="en-GB"/>
        </w:rPr>
        <w:t>cast</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which clearly shows the typical palaeographic characteristics of the archaic texts; this text belongs to group I</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“Very ancient texts” in CTU V. p. 96. It is clear that at the time this stele was engraved, Inušpua</w:t>
      </w:r>
      <w:r w:rsidRPr="006F04E6">
        <w:rPr>
          <w:rFonts w:ascii="Times New Roman" w:eastAsia="Times New Roman" w:hAnsi="Times New Roman" w:cs="Times New Roman"/>
          <w:color w:val="202124"/>
          <w:lang w:val="en-GB" w:eastAsia="it-IT"/>
        </w:rPr>
        <w:t> </w:t>
      </w:r>
      <w:r w:rsidRPr="006F04E6">
        <w:rPr>
          <w:rFonts w:asciiTheme="majorBidi" w:eastAsia="Times New Roman" w:hAnsiTheme="majorBidi" w:cstheme="majorBidi"/>
          <w:iCs/>
          <w:color w:val="202124"/>
          <w:lang w:val="en-GB" w:eastAsia="it-IT"/>
        </w:rPr>
        <w:fldChar w:fldCharType="begin"/>
      </w:r>
      <w:r w:rsidRPr="006F04E6">
        <w:rPr>
          <w:rFonts w:asciiTheme="majorBidi" w:hAnsiTheme="majorBidi" w:cstheme="majorBidi"/>
          <w:lang w:val="en-GB"/>
        </w:rPr>
        <w:instrText xml:space="preserve"> XE "Inušpua" </w:instrText>
      </w:r>
      <w:r w:rsidRPr="006F04E6">
        <w:rPr>
          <w:rFonts w:asciiTheme="majorBidi" w:eastAsia="Times New Roman" w:hAnsiTheme="majorBidi" w:cstheme="majorBidi"/>
          <w:iCs/>
          <w:color w:val="202124"/>
          <w:lang w:val="en-GB" w:eastAsia="it-IT"/>
        </w:rPr>
        <w:fldChar w:fldCharType="end"/>
      </w:r>
      <w:r w:rsidRPr="006F04E6">
        <w:rPr>
          <w:rFonts w:asciiTheme="majorBidi" w:eastAsia="Times New Roman" w:hAnsiTheme="majorBidi" w:cstheme="majorBidi"/>
          <w:iCs/>
          <w:color w:val="202124"/>
          <w:lang w:val="en-GB" w:eastAsia="it-IT"/>
        </w:rPr>
        <w:t xml:space="preserve"> </w:t>
      </w:r>
      <w:r w:rsidRPr="006F04E6">
        <w:rPr>
          <w:rFonts w:ascii="Times New Roman" w:hAnsi="Times New Roman"/>
          <w:color w:val="202124"/>
          <w:lang w:val="en-GB"/>
        </w:rPr>
        <w:t>was the designated heir of Minua</w:t>
      </w:r>
      <w:r w:rsidRPr="006F04E6">
        <w:rPr>
          <w:rFonts w:ascii="Times New Roman" w:eastAsia="Times New Roman" w:hAnsi="Times New Roman" w:cs="Times New Roman"/>
          <w:color w:val="202124"/>
          <w:lang w:val="en-GB" w:eastAsia="it-IT"/>
        </w:rPr>
        <w:t>.</w:t>
      </w:r>
      <w:r w:rsidRPr="006F04E6">
        <w:rPr>
          <w:rFonts w:asciiTheme="majorBidi" w:eastAsia="Times New Roman" w:hAnsiTheme="majorBidi" w:cstheme="majorBidi"/>
          <w:color w:val="202124"/>
          <w:lang w:val="en-GB" w:eastAsia="it-IT"/>
        </w:rPr>
        <w:fldChar w:fldCharType="begin"/>
      </w:r>
      <w:r w:rsidRPr="006F04E6">
        <w:rPr>
          <w:rFonts w:asciiTheme="majorBidi" w:hAnsiTheme="majorBidi" w:cstheme="majorBidi"/>
          <w:lang w:val="en-GB"/>
        </w:rPr>
        <w:instrText xml:space="preserve"> XE "Minua" </w:instrText>
      </w:r>
      <w:r w:rsidRPr="006F04E6">
        <w:rPr>
          <w:rFonts w:asciiTheme="majorBidi" w:eastAsia="Times New Roman" w:hAnsiTheme="majorBidi" w:cstheme="majorBidi"/>
          <w:color w:val="202124"/>
          <w:lang w:val="en-GB" w:eastAsia="it-IT"/>
        </w:rPr>
        <w:fldChar w:fldCharType="end"/>
      </w:r>
      <w:r w:rsidRPr="006F04E6">
        <w:rPr>
          <w:rFonts w:asciiTheme="majorBidi" w:eastAsia="Times New Roman" w:hAnsiTheme="majorBidi" w:cstheme="majorBidi"/>
          <w:color w:val="202124"/>
          <w:lang w:val="en-GB" w:eastAsia="it-IT"/>
        </w:rPr>
        <w:t>.</w:t>
      </w:r>
      <w:r w:rsidRPr="006F04E6">
        <w:rPr>
          <w:rFonts w:ascii="Times New Roman" w:hAnsi="Times New Roman"/>
          <w:color w:val="202124"/>
          <w:lang w:val="en-GB"/>
        </w:rPr>
        <w:t xml:space="preserve"> He was</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therefore</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the elder brother of Išpuini</w:t>
      </w:r>
      <w:r w:rsidRPr="006F04E6">
        <w:rPr>
          <w:rFonts w:ascii="Times New Roman" w:eastAsia="Times New Roman" w:hAnsi="Times New Roman" w:cs="Times New Roman"/>
          <w:color w:val="202124"/>
          <w:lang w:val="en-GB" w:eastAsia="it-IT"/>
        </w:rPr>
        <w:t>.</w:t>
      </w:r>
      <w:r w:rsidRPr="006F04E6">
        <w:rPr>
          <w:rFonts w:asciiTheme="majorBidi" w:eastAsia="Times New Roman" w:hAnsiTheme="majorBidi" w:cstheme="majorBidi"/>
          <w:iCs/>
          <w:color w:val="202124"/>
          <w:lang w:val="en-GB" w:eastAsia="it-IT"/>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Išpuini</w:instrText>
      </w:r>
      <w:r w:rsidRPr="006F04E6">
        <w:rPr>
          <w:rFonts w:asciiTheme="majorBidi" w:hAnsiTheme="majorBidi" w:cstheme="majorBidi"/>
          <w:lang w:val="en-GB"/>
        </w:rPr>
        <w:instrText xml:space="preserve">" </w:instrText>
      </w:r>
      <w:r w:rsidRPr="006F04E6">
        <w:rPr>
          <w:rFonts w:asciiTheme="majorBidi" w:eastAsia="Times New Roman" w:hAnsiTheme="majorBidi" w:cstheme="majorBidi"/>
          <w:iCs/>
          <w:color w:val="202124"/>
          <w:lang w:val="en-GB" w:eastAsia="it-IT"/>
        </w:rPr>
        <w:fldChar w:fldCharType="end"/>
      </w:r>
      <w:r w:rsidRPr="006F04E6">
        <w:rPr>
          <w:rFonts w:asciiTheme="majorBidi" w:eastAsia="Times New Roman" w:hAnsiTheme="majorBidi" w:cstheme="majorBidi"/>
          <w:color w:val="202124"/>
          <w:lang w:val="en-GB" w:eastAsia="it-IT"/>
        </w:rPr>
        <w:t>.</w:t>
      </w:r>
      <w:r w:rsidRPr="006F04E6">
        <w:rPr>
          <w:rFonts w:ascii="Times New Roman" w:hAnsi="Times New Roman"/>
          <w:color w:val="202124"/>
          <w:lang w:val="en-GB"/>
        </w:rPr>
        <w:t xml:space="preserve"> The same also applies to the stelae CTU I. A 5-79 and CTU I. A 5-80, which also </w:t>
      </w:r>
      <w:r w:rsidRPr="006F04E6">
        <w:rPr>
          <w:rFonts w:ascii="Times New Roman" w:eastAsia="Times New Roman" w:hAnsi="Times New Roman" w:cs="Times New Roman"/>
          <w:color w:val="202124"/>
          <w:lang w:val="en-GB" w:eastAsia="it-IT"/>
        </w:rPr>
        <w:t>associates Inušpua with</w:t>
      </w:r>
      <w:r w:rsidRPr="006F04E6">
        <w:rPr>
          <w:rFonts w:ascii="Times New Roman" w:hAnsi="Times New Roman"/>
          <w:color w:val="202124"/>
          <w:lang w:val="en-GB"/>
        </w:rPr>
        <w:t xml:space="preserve"> with the divine blessing. They must also be added to group I. These three texts, while naming Inušpua, have only Minua as their author.</w:t>
      </w:r>
    </w:p>
    <w:p w14:paraId="7193B9A4"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noProof/>
          <w:lang w:eastAsia="tr-TR"/>
        </w:rPr>
        <w:drawing>
          <wp:anchor distT="0" distB="0" distL="114300" distR="114300" simplePos="0" relativeHeight="251960320" behindDoc="1" locked="0" layoutInCell="1" allowOverlap="1" wp14:anchorId="1C0D422E" wp14:editId="43B0AA9D">
            <wp:simplePos x="0" y="0"/>
            <wp:positionH relativeFrom="margin">
              <wp:align>center</wp:align>
            </wp:positionH>
            <wp:positionV relativeFrom="paragraph">
              <wp:posOffset>273591</wp:posOffset>
            </wp:positionV>
            <wp:extent cx="5400000" cy="2779200"/>
            <wp:effectExtent l="0" t="0" r="0" b="2540"/>
            <wp:wrapTight wrapText="bothSides">
              <wp:wrapPolygon edited="0">
                <wp:start x="0" y="0"/>
                <wp:lineTo x="0" y="21472"/>
                <wp:lineTo x="21491" y="21472"/>
                <wp:lineTo x="21491" y="0"/>
                <wp:lineTo x="0" y="0"/>
              </wp:wrapPolygon>
            </wp:wrapTight>
            <wp:docPr id="1215023992" name="Resim 1215023992" descr="el yazısı, gri, siyah beyaz,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23992" name="Resim 1215023992" descr="el yazısı, gri, siyah beyaz, metin içeren bir resim&#10;&#10;Açıklama otomatik olarak oluşturuldu"/>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400000" cy="277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45AC28" w14:textId="77777777" w:rsidR="00B4516E" w:rsidRPr="006F04E6" w:rsidRDefault="00B4516E" w:rsidP="00B4516E">
      <w:pPr>
        <w:rPr>
          <w:rFonts w:ascii="Times New Roman" w:hAnsi="Times New Roman"/>
          <w:lang w:val="en-GB"/>
        </w:rPr>
      </w:pPr>
      <w:r w:rsidRPr="006F04E6">
        <w:rPr>
          <w:rFonts w:ascii="Times New Roman" w:hAnsi="Times New Roman"/>
          <w:lang w:val="en-GB"/>
        </w:rPr>
        <w:t xml:space="preserve"> Fig. 31 CTU I. A 5-71, from the Korşun Mosque in Van. Lost. Paper cast by Lehmann-Haupt (CICh 83, Taf. LX).</w:t>
      </w:r>
    </w:p>
    <w:p w14:paraId="4AEA63CE" w14:textId="77777777" w:rsidR="00B4516E" w:rsidRPr="006F04E6" w:rsidRDefault="00B4516E" w:rsidP="00B4516E">
      <w:pPr>
        <w:rPr>
          <w:rFonts w:ascii="Times New Roman" w:hAnsi="Times New Roman"/>
          <w:lang w:val="en-GB"/>
        </w:rPr>
      </w:pPr>
    </w:p>
    <w:p w14:paraId="1D03B78B"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lastRenderedPageBreak/>
        <w:t>CTU I. A 5-71</w:t>
      </w:r>
    </w:p>
    <w:p w14:paraId="32A523F1"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ḫal-di-i-e e-ú-ri-i-e</w:t>
      </w:r>
    </w:p>
    <w:p w14:paraId="0460A33B"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mì-nu-a-še </w:t>
      </w:r>
      <w:r w:rsidRPr="006F04E6">
        <w:rPr>
          <w:rFonts w:ascii="Times New Roman" w:hAnsi="Times New Roman"/>
          <w:vertAlign w:val="superscript"/>
          <w:lang w:val="en-GB"/>
        </w:rPr>
        <w:t>m</w:t>
      </w:r>
      <w:r w:rsidRPr="006F04E6">
        <w:rPr>
          <w:rFonts w:ascii="Times New Roman" w:hAnsi="Times New Roman"/>
          <w:lang w:val="en-GB"/>
        </w:rPr>
        <w:t>iš-pu-ú-i-ni-ḫi-ni-še</w:t>
      </w:r>
    </w:p>
    <w:p w14:paraId="0A62B746"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 xml:space="preserve">i-ni </w:t>
      </w:r>
      <w:r w:rsidRPr="006F04E6">
        <w:rPr>
          <w:rFonts w:ascii="Times New Roman" w:hAnsi="Times New Roman"/>
          <w:vertAlign w:val="superscript"/>
          <w:lang w:val="en-GB"/>
        </w:rPr>
        <w:t>NA4</w:t>
      </w:r>
      <w:r w:rsidRPr="006F04E6">
        <w:rPr>
          <w:rFonts w:ascii="Times New Roman" w:hAnsi="Times New Roman"/>
          <w:lang w:val="en-GB"/>
        </w:rPr>
        <w:t>pu-lu-si ku-gu-ú-ni</w:t>
      </w:r>
    </w:p>
    <w:p w14:paraId="081DABAF"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 xml:space="preserve">ma-a-ni-ni </w:t>
      </w:r>
      <w:r w:rsidRPr="006F04E6">
        <w:rPr>
          <w:rFonts w:ascii="Times New Roman" w:hAnsi="Times New Roman"/>
          <w:vertAlign w:val="superscript"/>
          <w:lang w:val="en-GB"/>
        </w:rPr>
        <w:t>D</w:t>
      </w:r>
      <w:r w:rsidRPr="006F04E6">
        <w:rPr>
          <w:rFonts w:ascii="Times New Roman" w:hAnsi="Times New Roman"/>
          <w:lang w:val="en-GB"/>
        </w:rPr>
        <w:t>ḫal-di-ni bi-e-di-ni</w:t>
      </w:r>
    </w:p>
    <w:p w14:paraId="75501557"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mì-nu-a </w:t>
      </w:r>
      <w:r w:rsidRPr="006F04E6">
        <w:rPr>
          <w:rFonts w:ascii="Times New Roman" w:hAnsi="Times New Roman"/>
          <w:vertAlign w:val="superscript"/>
          <w:lang w:val="en-GB"/>
        </w:rPr>
        <w:t>m</w:t>
      </w:r>
      <w:r w:rsidRPr="006F04E6">
        <w:rPr>
          <w:rFonts w:ascii="Times New Roman" w:hAnsi="Times New Roman"/>
          <w:lang w:val="en-GB"/>
        </w:rPr>
        <w:t>iš-pu-ú-i-ni-e-ḫi-ni-e</w:t>
      </w:r>
    </w:p>
    <w:p w14:paraId="1C4F905C"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i-nu-uš-pu-ú-a </w:t>
      </w:r>
      <w:r w:rsidRPr="006F04E6">
        <w:rPr>
          <w:rFonts w:ascii="Times New Roman" w:hAnsi="Times New Roman"/>
          <w:vertAlign w:val="superscript"/>
          <w:lang w:val="en-GB"/>
        </w:rPr>
        <w:t>m</w:t>
      </w:r>
      <w:r w:rsidRPr="006F04E6">
        <w:rPr>
          <w:rFonts w:ascii="Times New Roman" w:hAnsi="Times New Roman"/>
          <w:lang w:val="en-GB"/>
        </w:rPr>
        <w:t>mì-nu-a-ḫi-ni-e</w:t>
      </w:r>
    </w:p>
    <w:p w14:paraId="3361E686"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ul-gu-ú-še pi-ṣu-ú-še al-su-i-še-e</w:t>
      </w:r>
    </w:p>
    <w:p w14:paraId="4DD578FF"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 xml:space="preserve">ḫal-di-e e-ú-ri-e </w:t>
      </w:r>
      <w:r w:rsidRPr="006F04E6">
        <w:rPr>
          <w:rFonts w:ascii="Times New Roman" w:hAnsi="Times New Roman"/>
          <w:vertAlign w:val="superscript"/>
          <w:lang w:val="en-GB"/>
        </w:rPr>
        <w:t>m</w:t>
      </w:r>
      <w:r w:rsidRPr="006F04E6">
        <w:rPr>
          <w:rFonts w:ascii="Times New Roman" w:hAnsi="Times New Roman"/>
          <w:lang w:val="en-GB"/>
        </w:rPr>
        <w:t>mì-nu-a-še</w:t>
      </w:r>
    </w:p>
    <w:p w14:paraId="118FB212"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iš-pu-ú-i-ni-e-ḫi-ni-e-še</w:t>
      </w:r>
    </w:p>
    <w:p w14:paraId="50AF1170"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10</w:t>
      </w:r>
      <w:r w:rsidRPr="006F04E6">
        <w:rPr>
          <w:rFonts w:ascii="Times New Roman" w:hAnsi="Times New Roman"/>
          <w:lang w:val="en-GB"/>
        </w:rPr>
        <w:tab/>
        <w:t xml:space="preserve">i-ni </w:t>
      </w:r>
      <w:r w:rsidRPr="006F04E6">
        <w:rPr>
          <w:rFonts w:ascii="Times New Roman" w:hAnsi="Times New Roman"/>
          <w:vertAlign w:val="superscript"/>
          <w:lang w:val="en-GB"/>
        </w:rPr>
        <w:t>NA4</w:t>
      </w:r>
      <w:r w:rsidRPr="006F04E6">
        <w:rPr>
          <w:rFonts w:ascii="Times New Roman" w:hAnsi="Times New Roman"/>
          <w:lang w:val="en-GB"/>
        </w:rPr>
        <w:t>pu-lu-si ku-gu-ú-ni</w:t>
      </w:r>
    </w:p>
    <w:p w14:paraId="673CD8AA" w14:textId="77777777" w:rsidR="00B4516E" w:rsidRPr="006F04E6" w:rsidRDefault="00B4516E" w:rsidP="00B4516E">
      <w:pPr>
        <w:numPr>
          <w:ilvl w:val="12"/>
          <w:numId w:val="0"/>
        </w:numPr>
        <w:ind w:left="567" w:right="-782" w:hanging="567"/>
        <w:jc w:val="both"/>
        <w:rPr>
          <w:rFonts w:ascii="Times New Roman" w:hAnsi="Times New Roman"/>
          <w:lang w:val="en-GB"/>
        </w:rPr>
      </w:pPr>
    </w:p>
    <w:p w14:paraId="2450EFF0" w14:textId="77777777" w:rsidR="00B4516E" w:rsidRPr="006F04E6" w:rsidRDefault="00B4516E" w:rsidP="00B4516E">
      <w:pPr>
        <w:jc w:val="both"/>
        <w:rPr>
          <w:rFonts w:ascii="Times New Roman" w:hAnsi="Times New Roman"/>
          <w:lang w:val="en-GB"/>
        </w:rPr>
      </w:pPr>
      <w:r w:rsidRPr="006F04E6">
        <w:rPr>
          <w:rFonts w:ascii="Times New Roman" w:hAnsi="Times New Roman"/>
          <w:noProof/>
          <w:lang w:eastAsia="tr-TR"/>
        </w:rPr>
        <w:drawing>
          <wp:anchor distT="0" distB="0" distL="114300" distR="114300" simplePos="0" relativeHeight="251996160" behindDoc="1" locked="0" layoutInCell="1" allowOverlap="1" wp14:anchorId="6B8E22F2" wp14:editId="46DF9CEB">
            <wp:simplePos x="0" y="0"/>
            <wp:positionH relativeFrom="margin">
              <wp:posOffset>4211701</wp:posOffset>
            </wp:positionH>
            <wp:positionV relativeFrom="margin">
              <wp:posOffset>-460248</wp:posOffset>
            </wp:positionV>
            <wp:extent cx="1493520" cy="5396230"/>
            <wp:effectExtent l="0" t="0" r="5080" b="1270"/>
            <wp:wrapSquare wrapText="bothSides"/>
            <wp:docPr id="2068868386" name="Resim 2068868386" descr="taslak, çizim, vazo,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868386" name="Resim 2068868386" descr="taslak, çizim, vazo, sanat içeren bir resim&#10;&#10;Açıklama otomatik olarak oluşturuldu"/>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493520" cy="539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04E6">
        <w:rPr>
          <w:rFonts w:ascii="Times New Roman" w:hAnsi="Times New Roman"/>
          <w:lang w:val="en-GB"/>
        </w:rPr>
        <w:t>“To Ḫaldi</w:t>
      </w:r>
      <w:r w:rsidRPr="006F04E6">
        <w:rPr>
          <w:rFonts w:ascii="Times New Roman" w:hAnsi="Times New Roman"/>
          <w:lang w:val="en-GB"/>
        </w:rPr>
        <w:fldChar w:fldCharType="begin"/>
      </w:r>
      <w:r w:rsidRPr="006F04E6">
        <w:rPr>
          <w:rFonts w:ascii="Times New Roman" w:hAnsi="Times New Roman"/>
          <w:lang w:val="en-GB"/>
        </w:rPr>
        <w:instrText xml:space="preserve"> XE "Ḫaldi" </w:instrText>
      </w:r>
      <w:r w:rsidRPr="006F04E6">
        <w:rPr>
          <w:rFonts w:ascii="Times New Roman" w:hAnsi="Times New Roman"/>
          <w:lang w:val="en-GB"/>
        </w:rPr>
        <w:fldChar w:fldCharType="end"/>
      </w:r>
      <w:r w:rsidRPr="006F04E6">
        <w:rPr>
          <w:rFonts w:ascii="Times New Roman" w:hAnsi="Times New Roman"/>
          <w:lang w:val="en-GB"/>
        </w:rPr>
        <w:t>, the Lord, Minua</w:t>
      </w:r>
      <w:r w:rsidRPr="006F04E6">
        <w:rPr>
          <w:rFonts w:ascii="Times New Roman" w:hAnsi="Times New Roman"/>
          <w:lang w:val="en-GB"/>
        </w:rPr>
        <w:fldChar w:fldCharType="begin"/>
      </w:r>
      <w:r w:rsidRPr="006F04E6">
        <w:rPr>
          <w:rFonts w:ascii="Times New Roman" w:hAnsi="Times New Roman"/>
          <w:lang w:val="en-GB"/>
        </w:rPr>
        <w:instrText xml:space="preserve"> XE "Minua" </w:instrText>
      </w:r>
      <w:r w:rsidRPr="006F04E6">
        <w:rPr>
          <w:rFonts w:ascii="Times New Roman" w:hAnsi="Times New Roman"/>
          <w:lang w:val="en-GB"/>
        </w:rPr>
        <w:fldChar w:fldCharType="end"/>
      </w:r>
      <w:r w:rsidRPr="006F04E6">
        <w:rPr>
          <w:rFonts w:ascii="Times New Roman" w:hAnsi="Times New Roman"/>
          <w:lang w:val="en-GB"/>
        </w:rPr>
        <w:t>, the son of Išpuini</w:t>
      </w:r>
      <w:r w:rsidRPr="006F04E6">
        <w:rPr>
          <w:rFonts w:ascii="Times New Roman" w:hAnsi="Times New Roman"/>
          <w:lang w:val="en-GB"/>
        </w:rPr>
        <w:fldChar w:fldCharType="begin"/>
      </w:r>
      <w:r w:rsidRPr="006F04E6">
        <w:rPr>
          <w:rFonts w:ascii="Times New Roman" w:hAnsi="Times New Roman"/>
          <w:lang w:val="en-GB"/>
        </w:rPr>
        <w:instrText xml:space="preserve"> XE "Išpuini" </w:instrText>
      </w:r>
      <w:r w:rsidRPr="006F04E6">
        <w:rPr>
          <w:rFonts w:ascii="Times New Roman" w:hAnsi="Times New Roman"/>
          <w:lang w:val="en-GB"/>
        </w:rPr>
        <w:fldChar w:fldCharType="end"/>
      </w:r>
      <w:r w:rsidRPr="006F04E6">
        <w:rPr>
          <w:rFonts w:ascii="Times New Roman" w:hAnsi="Times New Roman"/>
          <w:lang w:val="en-GB"/>
        </w:rPr>
        <w:t>, has erected this stele. May it be from Ḫaldi for Minua, the son of Išpuini and for Inušpua</w:t>
      </w:r>
      <w:r w:rsidRPr="006F04E6">
        <w:rPr>
          <w:rFonts w:ascii="Times New Roman" w:hAnsi="Times New Roman"/>
          <w:lang w:val="en-GB"/>
        </w:rPr>
        <w:fldChar w:fldCharType="begin"/>
      </w:r>
      <w:r w:rsidRPr="006F04E6">
        <w:rPr>
          <w:rFonts w:ascii="Times New Roman" w:hAnsi="Times New Roman"/>
          <w:lang w:val="en-GB"/>
        </w:rPr>
        <w:instrText xml:space="preserve"> XE "Inušpua" </w:instrText>
      </w:r>
      <w:r w:rsidRPr="006F04E6">
        <w:rPr>
          <w:rFonts w:ascii="Times New Roman" w:hAnsi="Times New Roman"/>
          <w:lang w:val="en-GB"/>
        </w:rPr>
        <w:fldChar w:fldCharType="end"/>
      </w:r>
      <w:r w:rsidRPr="006F04E6">
        <w:rPr>
          <w:rFonts w:ascii="Times New Roman" w:hAnsi="Times New Roman"/>
          <w:lang w:val="en-GB"/>
        </w:rPr>
        <w:t>, the son of Minua, life (and) joyfulness. To God Ḫaldi</w:t>
      </w:r>
      <w:r w:rsidRPr="006F04E6">
        <w:rPr>
          <w:rFonts w:ascii="Times New Roman" w:eastAsia="Calibri" w:hAnsi="Times New Roman" w:cs="Times New Roman"/>
          <w:lang w:val="en-GB"/>
        </w:rPr>
        <w:t xml:space="preserve">, </w:t>
      </w:r>
      <w:r w:rsidRPr="006F04E6">
        <w:rPr>
          <w:rFonts w:ascii="Times New Roman" w:hAnsi="Times New Roman"/>
          <w:lang w:val="en-GB"/>
        </w:rPr>
        <w:t>the Lord, Minua, the son of Išpuini, erected this stele”.</w:t>
      </w:r>
    </w:p>
    <w:p w14:paraId="50119F88" w14:textId="77777777" w:rsidR="00B4516E" w:rsidRPr="006F04E6" w:rsidRDefault="00B4516E" w:rsidP="00B4516E">
      <w:pPr>
        <w:rPr>
          <w:rFonts w:ascii="Times New Roman" w:hAnsi="Times New Roman"/>
          <w:lang w:val="en-GB"/>
        </w:rPr>
      </w:pPr>
    </w:p>
    <w:p w14:paraId="4F21F9F9" w14:textId="77777777" w:rsidR="00B4516E" w:rsidRPr="006F04E6" w:rsidRDefault="00B4516E" w:rsidP="00B4516E">
      <w:pPr>
        <w:rPr>
          <w:rFonts w:ascii="Times New Roman" w:hAnsi="Times New Roman"/>
          <w:lang w:val="en-GB"/>
        </w:rPr>
      </w:pPr>
      <w:r w:rsidRPr="006F04E6">
        <w:rPr>
          <w:rFonts w:ascii="Times New Roman" w:hAnsi="Times New Roman"/>
          <w:lang w:val="en-GB"/>
        </w:rPr>
        <w:t>CTU I. A 5-72 (CICh 89 Taf. LXV)</w:t>
      </w:r>
    </w:p>
    <w:p w14:paraId="657FAFEE" w14:textId="77777777" w:rsidR="00B4516E" w:rsidRPr="006F04E6" w:rsidRDefault="00B4516E" w:rsidP="00B4516E">
      <w:pPr>
        <w:jc w:val="both"/>
        <w:rPr>
          <w:rFonts w:ascii="Times New Roman" w:hAnsi="Times New Roman"/>
          <w:lang w:val="en-GB"/>
        </w:rPr>
      </w:pPr>
      <w:r w:rsidRPr="006F04E6">
        <w:rPr>
          <w:rFonts w:ascii="Times New Roman" w:eastAsia="Calibri" w:hAnsi="Times New Roman" w:cs="Times New Roman"/>
          <w:lang w:val="en-GB"/>
        </w:rPr>
        <w:t>The incomplete</w:t>
      </w:r>
      <w:r w:rsidRPr="006F04E6">
        <w:rPr>
          <w:rFonts w:ascii="Times New Roman" w:hAnsi="Times New Roman"/>
          <w:lang w:val="en-GB"/>
        </w:rPr>
        <w:t xml:space="preserve"> stele</w:t>
      </w:r>
      <w:r w:rsidRPr="006F04E6">
        <w:rPr>
          <w:rFonts w:ascii="Times New Roman" w:eastAsia="Calibri" w:hAnsi="Times New Roman" w:cs="Times New Roman"/>
          <w:lang w:val="en-GB"/>
        </w:rPr>
        <w:t xml:space="preserve"> was</w:t>
      </w:r>
      <w:r w:rsidRPr="006F04E6">
        <w:rPr>
          <w:rFonts w:ascii="Times New Roman" w:hAnsi="Times New Roman"/>
          <w:lang w:val="en-GB"/>
        </w:rPr>
        <w:t xml:space="preserve"> once reused as a threshold in the church of Surb Vartan</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"Surb Vartan" </w:instrText>
      </w:r>
      <w:r w:rsidRPr="006F04E6">
        <w:rPr>
          <w:rFonts w:asciiTheme="majorBidi" w:hAnsiTheme="majorBidi" w:cstheme="majorBidi"/>
          <w:lang w:val="en-GB"/>
        </w:rPr>
        <w:fldChar w:fldCharType="end"/>
      </w:r>
      <w:r w:rsidRPr="006F04E6">
        <w:rPr>
          <w:rFonts w:asciiTheme="majorBidi" w:hAnsiTheme="majorBidi" w:cstheme="majorBidi"/>
          <w:lang w:val="en-GB"/>
        </w:rPr>
        <w:t>,</w:t>
      </w:r>
      <w:r w:rsidRPr="006F04E6">
        <w:rPr>
          <w:rFonts w:ascii="Times New Roman" w:hAnsi="Times New Roman"/>
          <w:lang w:val="en-GB"/>
        </w:rPr>
        <w:t xml:space="preserve"> in Old Van City</w:t>
      </w:r>
      <w:r w:rsidRPr="006F04E6">
        <w:rPr>
          <w:rFonts w:ascii="Times New Roman" w:eastAsia="Calibri" w:hAnsi="Times New Roman" w:cs="Times New Roman"/>
          <w:lang w:val="en-GB"/>
        </w:rPr>
        <w:t>.</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"Old Van City" </w:instrText>
      </w:r>
      <w:r w:rsidRPr="006F04E6">
        <w:rPr>
          <w:rFonts w:asciiTheme="majorBidi" w:hAnsiTheme="majorBidi" w:cstheme="majorBidi"/>
          <w:lang w:val="en-GB"/>
        </w:rPr>
        <w:fldChar w:fldCharType="end"/>
      </w:r>
      <w:r w:rsidRPr="006F04E6">
        <w:rPr>
          <w:rFonts w:asciiTheme="majorBidi" w:hAnsiTheme="majorBidi" w:cstheme="majorBidi"/>
          <w:lang w:val="en-GB"/>
        </w:rPr>
        <w:t>.</w:t>
      </w:r>
      <w:r w:rsidRPr="006F04E6">
        <w:rPr>
          <w:rFonts w:ascii="Times New Roman" w:hAnsi="Times New Roman"/>
          <w:lang w:val="en-GB"/>
        </w:rPr>
        <w:t xml:space="preserve"> Disappeared along with the church, on which see Paolo Cuneo, Armenian</w:t>
      </w:r>
      <w:r w:rsidRPr="006F04E6">
        <w:rPr>
          <w:rFonts w:ascii="Times New Roman" w:eastAsia="Calibri" w:hAnsi="Times New Roman" w:cs="Times New Roman"/>
          <w:lang w:val="en-GB"/>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w:instrText>
      </w:r>
      <w:r w:rsidRPr="006F04E6">
        <w:rPr>
          <w:rFonts w:asciiTheme="majorBidi" w:eastAsia="Times New Roman" w:hAnsiTheme="majorBidi" w:cstheme="majorBidi"/>
          <w:color w:val="202124"/>
          <w:lang w:val="en-GB" w:eastAsia="it-IT"/>
        </w:rPr>
        <w:instrText>Armenian</w:instrText>
      </w:r>
      <w:r w:rsidRPr="006F04E6">
        <w:rPr>
          <w:rFonts w:asciiTheme="majorBidi" w:hAnsiTheme="majorBidi" w:cstheme="majorBidi"/>
          <w:lang w:val="en-GB"/>
        </w:rPr>
        <w:instrText xml:space="preserve">"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Architecture, Rome 1988, Volume I, p. 549, No. 326. The text is a duplicate of the Karahan stele</w:t>
      </w:r>
      <w:r w:rsidRPr="006F04E6">
        <w:rPr>
          <w:rFonts w:ascii="Times New Roman" w:eastAsia="Calibri" w:hAnsi="Times New Roman" w:cs="Times New Roman"/>
          <w:lang w:val="en-GB"/>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"Karahan stele"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A 5-74.</w:t>
      </w:r>
    </w:p>
    <w:p w14:paraId="6E8D1B91" w14:textId="77777777" w:rsidR="00B4516E" w:rsidRPr="006F04E6" w:rsidRDefault="00B4516E" w:rsidP="00B4516E">
      <w:pPr>
        <w:numPr>
          <w:ilvl w:val="12"/>
          <w:numId w:val="0"/>
        </w:numPr>
        <w:tabs>
          <w:tab w:val="left" w:pos="708"/>
          <w:tab w:val="left" w:pos="1416"/>
          <w:tab w:val="left" w:pos="6403"/>
        </w:tabs>
        <w:ind w:left="567" w:right="-782" w:hanging="567"/>
        <w:jc w:val="both"/>
        <w:rPr>
          <w:rFonts w:ascii="Times New Roman" w:hAnsi="Times New Roman"/>
          <w:lang w:val="en-GB"/>
        </w:rPr>
      </w:pPr>
    </w:p>
    <w:p w14:paraId="36678F46" w14:textId="77777777" w:rsidR="00B4516E" w:rsidRPr="006F04E6" w:rsidRDefault="00B4516E" w:rsidP="00B4516E">
      <w:pPr>
        <w:numPr>
          <w:ilvl w:val="12"/>
          <w:numId w:val="0"/>
        </w:numPr>
        <w:tabs>
          <w:tab w:val="left" w:pos="708"/>
          <w:tab w:val="left" w:pos="1416"/>
          <w:tab w:val="left" w:pos="6403"/>
        </w:tabs>
        <w:ind w:left="567" w:right="-782"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t>[</w:t>
      </w:r>
      <w:r w:rsidRPr="006F04E6">
        <w:rPr>
          <w:rFonts w:ascii="Times New Roman" w:hAnsi="Times New Roman"/>
          <w:vertAlign w:val="superscript"/>
          <w:lang w:val="en-GB"/>
        </w:rPr>
        <w:t>D</w:t>
      </w:r>
      <w:r w:rsidRPr="006F04E6">
        <w:rPr>
          <w:rFonts w:ascii="Times New Roman" w:hAnsi="Times New Roman"/>
          <w:lang w:val="en-GB"/>
        </w:rPr>
        <w:t>ḫal-di-ni-ni]</w:t>
      </w:r>
      <w:r w:rsidRPr="006F04E6">
        <w:rPr>
          <w:rFonts w:ascii="Times New Roman" w:hAnsi="Times New Roman"/>
          <w:lang w:val="en-GB"/>
        </w:rPr>
        <w:tab/>
      </w:r>
    </w:p>
    <w:p w14:paraId="3DF0452D"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t>[uš-ma-a-ši-ni]</w:t>
      </w:r>
    </w:p>
    <w:p w14:paraId="459A9388"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w:t>
      </w:r>
      <w:r w:rsidRPr="006F04E6">
        <w:rPr>
          <w:rFonts w:ascii="Times New Roman" w:hAnsi="Times New Roman"/>
          <w:vertAlign w:val="superscript"/>
          <w:lang w:val="en-GB"/>
        </w:rPr>
        <w:t>D</w:t>
      </w:r>
      <w:r w:rsidRPr="006F04E6">
        <w:rPr>
          <w:rFonts w:ascii="Times New Roman" w:hAnsi="Times New Roman"/>
          <w:lang w:val="en-GB"/>
        </w:rPr>
        <w:t>ḫal-di-i-e]</w:t>
      </w:r>
    </w:p>
    <w:p w14:paraId="561AAD7C"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e-ú-[ri-i-e]</w:t>
      </w:r>
    </w:p>
    <w:p w14:paraId="587E4929"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mì-i-n[u-ú-a-še]</w:t>
      </w:r>
    </w:p>
    <w:p w14:paraId="7FC97EEF"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iš-pu-[ú-i-ni-ḫi-ni-še]</w:t>
      </w:r>
    </w:p>
    <w:p w14:paraId="70179D3E"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i-ni pu-[lu-si]</w:t>
      </w:r>
    </w:p>
    <w:p w14:paraId="54F84E7B"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t>ku-ú-[gu-ú-ni]</w:t>
      </w:r>
    </w:p>
    <w:p w14:paraId="54E7A15E"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ḫal-d[i-ni-ni]</w:t>
      </w:r>
    </w:p>
    <w:p w14:paraId="55268770"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10</w:t>
      </w:r>
      <w:r w:rsidRPr="006F04E6">
        <w:rPr>
          <w:rFonts w:ascii="Times New Roman" w:hAnsi="Times New Roman"/>
          <w:lang w:val="en-GB"/>
        </w:rPr>
        <w:tab/>
        <w:t>al-su-[ú-i-ši-ni]</w:t>
      </w:r>
    </w:p>
    <w:p w14:paraId="4226A9EE"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11</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mì-i-n[u-ú-a-ni]</w:t>
      </w:r>
    </w:p>
    <w:p w14:paraId="6051EBEC"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12</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iš-pu-[ú-i-ni-e-ḫi]</w:t>
      </w:r>
      <w:r w:rsidRPr="006F04E6">
        <w:rPr>
          <w:rFonts w:ascii="Times New Roman" w:hAnsi="Times New Roman"/>
          <w:i/>
          <w:lang w:val="en-GB"/>
        </w:rPr>
        <w:t xml:space="preserve"> </w:t>
      </w:r>
    </w:p>
    <w:p w14:paraId="41D49C1E"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13</w:t>
      </w:r>
      <w:r w:rsidRPr="006F04E6">
        <w:rPr>
          <w:rFonts w:ascii="Times New Roman" w:hAnsi="Times New Roman"/>
          <w:lang w:val="en-GB"/>
        </w:rPr>
        <w:tab/>
        <w:t xml:space="preserve">MAN </w:t>
      </w:r>
      <w:r w:rsidRPr="006F04E6">
        <w:rPr>
          <w:rFonts w:ascii="Times New Roman" w:hAnsi="Times New Roman"/>
          <w:i/>
          <w:lang w:val="en-GB"/>
        </w:rPr>
        <w:t>DAN-NU</w:t>
      </w:r>
      <w:r w:rsidRPr="006F04E6">
        <w:rPr>
          <w:rFonts w:ascii="Times New Roman" w:hAnsi="Times New Roman"/>
          <w:lang w:val="en-GB"/>
        </w:rPr>
        <w:t xml:space="preserve"> [MAN al-su-i-ni]</w:t>
      </w:r>
    </w:p>
    <w:p w14:paraId="14760D82"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14</w:t>
      </w:r>
      <w:r w:rsidRPr="006F04E6">
        <w:rPr>
          <w:rFonts w:ascii="Times New Roman" w:hAnsi="Times New Roman"/>
          <w:lang w:val="en-GB"/>
        </w:rPr>
        <w:tab/>
        <w:t xml:space="preserve">MAN </w:t>
      </w:r>
      <w:r w:rsidRPr="006F04E6">
        <w:rPr>
          <w:rFonts w:ascii="Times New Roman" w:hAnsi="Times New Roman"/>
          <w:vertAlign w:val="superscript"/>
          <w:lang w:val="en-GB"/>
        </w:rPr>
        <w:t>KUR</w:t>
      </w:r>
      <w:r w:rsidRPr="006F04E6">
        <w:rPr>
          <w:rFonts w:ascii="Times New Roman" w:hAnsi="Times New Roman"/>
          <w:lang w:val="en-GB"/>
        </w:rPr>
        <w:t>bi-a-[i-na-ú-e]</w:t>
      </w:r>
    </w:p>
    <w:p w14:paraId="0FF0E934"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15</w:t>
      </w:r>
      <w:r w:rsidRPr="006F04E6">
        <w:rPr>
          <w:rFonts w:ascii="Times New Roman" w:hAnsi="Times New Roman"/>
          <w:lang w:val="en-GB"/>
        </w:rPr>
        <w:tab/>
        <w:t>a-lu-si [</w:t>
      </w:r>
      <w:r w:rsidRPr="006F04E6">
        <w:rPr>
          <w:rFonts w:ascii="Times New Roman" w:hAnsi="Times New Roman"/>
          <w:vertAlign w:val="superscript"/>
          <w:lang w:val="en-GB"/>
        </w:rPr>
        <w:t>URU</w:t>
      </w:r>
      <w:r w:rsidRPr="006F04E6">
        <w:rPr>
          <w:rFonts w:ascii="Times New Roman" w:hAnsi="Times New Roman"/>
          <w:lang w:val="en-GB"/>
        </w:rPr>
        <w:t xml:space="preserve">ṭu-uš-pa-a URU] </w:t>
      </w:r>
    </w:p>
    <w:p w14:paraId="282F337A"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16</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ḫal-[di-i-e]</w:t>
      </w:r>
    </w:p>
    <w:p w14:paraId="35D6A304"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17</w:t>
      </w:r>
      <w:r w:rsidRPr="006F04E6">
        <w:rPr>
          <w:rFonts w:ascii="Times New Roman" w:hAnsi="Times New Roman"/>
          <w:lang w:val="en-GB"/>
        </w:rPr>
        <w:tab/>
        <w:t>e-ú-[ri-i-e]</w:t>
      </w:r>
    </w:p>
    <w:p w14:paraId="0638A62D"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18</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mì-i-[nu-ú-a-še]</w:t>
      </w:r>
    </w:p>
    <w:p w14:paraId="464BB808"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19</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iš-pu-[i-ni-ḫi-ni-še]</w:t>
      </w:r>
    </w:p>
    <w:p w14:paraId="61DFE0C6"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20</w:t>
      </w:r>
      <w:r w:rsidRPr="006F04E6">
        <w:rPr>
          <w:rFonts w:ascii="Times New Roman" w:hAnsi="Times New Roman"/>
          <w:lang w:val="en-GB"/>
        </w:rPr>
        <w:tab/>
        <w:t>i-ni [pu-lu-si]</w:t>
      </w:r>
    </w:p>
    <w:p w14:paraId="64BEEBE9"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noProof/>
          <w:lang w:eastAsia="tr-TR"/>
        </w:rPr>
        <mc:AlternateContent>
          <mc:Choice Requires="wps">
            <w:drawing>
              <wp:anchor distT="0" distB="0" distL="114300" distR="114300" simplePos="0" relativeHeight="251976704" behindDoc="1" locked="0" layoutInCell="1" allowOverlap="1" wp14:anchorId="0B93B8B8" wp14:editId="3D221A0D">
                <wp:simplePos x="0" y="0"/>
                <wp:positionH relativeFrom="column">
                  <wp:posOffset>3900297</wp:posOffset>
                </wp:positionH>
                <wp:positionV relativeFrom="paragraph">
                  <wp:posOffset>5207</wp:posOffset>
                </wp:positionV>
                <wp:extent cx="2540000" cy="393700"/>
                <wp:effectExtent l="0" t="0" r="0" b="6350"/>
                <wp:wrapTight wrapText="bothSides">
                  <wp:wrapPolygon edited="0">
                    <wp:start x="0" y="0"/>
                    <wp:lineTo x="0" y="20903"/>
                    <wp:lineTo x="21384" y="20903"/>
                    <wp:lineTo x="21384" y="0"/>
                    <wp:lineTo x="0" y="0"/>
                  </wp:wrapPolygon>
                </wp:wrapTight>
                <wp:docPr id="1396590466" name="Casella di tes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00" cy="393700"/>
                        </a:xfrm>
                        <a:prstGeom prst="rect">
                          <a:avLst/>
                        </a:prstGeom>
                        <a:solidFill>
                          <a:prstClr val="white"/>
                        </a:solidFill>
                        <a:ln>
                          <a:noFill/>
                        </a:ln>
                      </wps:spPr>
                      <wps:txbx>
                        <w:txbxContent>
                          <w:p w14:paraId="0BF7F3D8" w14:textId="77777777" w:rsidR="00B4516E" w:rsidRPr="00A051C0"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 w:eastAsia="it-IT"/>
                              </w:rPr>
                            </w:pPr>
                            <w:r w:rsidRPr="00A051C0">
                              <w:rPr>
                                <w:rFonts w:ascii="Times New Roman" w:hAnsi="Times New Roman" w:cs="Times New Roman"/>
                              </w:rPr>
                              <w:t>Fig. 32 Paper cast by Lehmann-Haupt, (CICh 89, Taf. LXV = CTU I. A 5-72).</w:t>
                            </w:r>
                          </w:p>
                          <w:p w14:paraId="42524A7C" w14:textId="77777777" w:rsidR="00B4516E" w:rsidRPr="00A70AE9" w:rsidRDefault="00B4516E" w:rsidP="00B4516E">
                            <w:pPr>
                              <w:pStyle w:val="Caption1"/>
                              <w:rPr>
                                <w:rFonts w:ascii="Courier New" w:eastAsia="Times New Roman" w:hAnsi="Courier New" w:cs="Ghisa New"/>
                                <w:noProof/>
                                <w:sz w:val="20"/>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3B8B8" id="Casella di testo 12" o:spid="_x0000_s1034" type="#_x0000_t202" style="position:absolute;left:0;text-align:left;margin-left:307.1pt;margin-top:.4pt;width:200pt;height:31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" stroked="f">
                <v:textbox inset="0,0,0,0">
                  <w:txbxContent>
                    <w:p w14:paraId="0BF7F3D8" w14:textId="77777777" w:rsidR="00B4516E" w:rsidRPr="00A051C0"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 w:eastAsia="it-IT"/>
                        </w:rPr>
                      </w:pPr>
                      <w:r w:rsidRPr="00A051C0">
                        <w:rPr>
                          <w:rFonts w:ascii="Times New Roman" w:hAnsi="Times New Roman" w:cs="Times New Roman"/>
                        </w:rPr>
                        <w:t>Fig. 32 Paper cast by Lehmann-Haupt, (CICh 89, Taf. LXV = CTU I. A 5-72).</w:t>
                      </w:r>
                    </w:p>
                    <w:p w14:paraId="42524A7C" w14:textId="77777777" w:rsidR="00B4516E" w:rsidRPr="00A70AE9" w:rsidRDefault="00B4516E" w:rsidP="00B4516E">
                      <w:pPr>
                        <w:pStyle w:val="Caption1"/>
                        <w:rPr>
                          <w:rFonts w:ascii="Courier New" w:eastAsia="Times New Roman" w:hAnsi="Courier New" w:cs="Ghisa New"/>
                          <w:noProof/>
                          <w:sz w:val="20"/>
                          <w:szCs w:val="24"/>
                        </w:rPr>
                      </w:pPr>
                    </w:p>
                  </w:txbxContent>
                </v:textbox>
                <w10:wrap type="tight"/>
              </v:shape>
            </w:pict>
          </mc:Fallback>
        </mc:AlternateContent>
      </w:r>
      <w:r w:rsidRPr="006F04E6">
        <w:rPr>
          <w:rFonts w:ascii="Times New Roman" w:hAnsi="Times New Roman"/>
          <w:lang w:val="en-GB"/>
        </w:rPr>
        <w:t>21</w:t>
      </w:r>
      <w:r w:rsidRPr="006F04E6">
        <w:rPr>
          <w:rFonts w:ascii="Times New Roman" w:hAnsi="Times New Roman"/>
          <w:lang w:val="en-GB"/>
        </w:rPr>
        <w:tab/>
        <w:t>ku-ú-[gu-ú-ni]</w:t>
      </w:r>
    </w:p>
    <w:p w14:paraId="0B6D3DA3"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22</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ḫal-d[i-i-ni-ni]</w:t>
      </w:r>
    </w:p>
    <w:p w14:paraId="78E25095"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23</w:t>
      </w:r>
      <w:r w:rsidRPr="006F04E6">
        <w:rPr>
          <w:rFonts w:ascii="Times New Roman" w:hAnsi="Times New Roman"/>
          <w:lang w:val="en-GB"/>
        </w:rPr>
        <w:tab/>
        <w:t>al-su-[ú-i-ši-ni]</w:t>
      </w:r>
    </w:p>
    <w:p w14:paraId="1D3A5114"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24</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mì-i-[nu-ú-a-ni]</w:t>
      </w:r>
    </w:p>
    <w:p w14:paraId="614523C9"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25</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iš-pu-[ú-i-ni-e-ḫi]</w:t>
      </w:r>
    </w:p>
    <w:p w14:paraId="347AC6B6"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26</w:t>
      </w:r>
      <w:r w:rsidRPr="006F04E6">
        <w:rPr>
          <w:rFonts w:ascii="Times New Roman" w:hAnsi="Times New Roman"/>
          <w:lang w:val="en-GB"/>
        </w:rPr>
        <w:tab/>
        <w:t xml:space="preserve">MAN </w:t>
      </w:r>
      <w:r w:rsidRPr="006F04E6">
        <w:rPr>
          <w:rFonts w:ascii="Times New Roman" w:hAnsi="Times New Roman"/>
          <w:i/>
          <w:lang w:val="en-GB"/>
        </w:rPr>
        <w:t>DAN-[NU</w:t>
      </w:r>
      <w:r w:rsidRPr="006F04E6">
        <w:rPr>
          <w:rFonts w:ascii="Times New Roman" w:hAnsi="Times New Roman"/>
          <w:lang w:val="en-GB"/>
        </w:rPr>
        <w:t xml:space="preserve"> MAN al-su-i-ni]</w:t>
      </w:r>
    </w:p>
    <w:p w14:paraId="65261526"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lastRenderedPageBreak/>
        <w:t>27</w:t>
      </w:r>
      <w:r w:rsidRPr="006F04E6">
        <w:rPr>
          <w:rFonts w:ascii="Times New Roman" w:hAnsi="Times New Roman"/>
          <w:lang w:val="en-GB"/>
        </w:rPr>
        <w:tab/>
        <w:t xml:space="preserve">MAN </w:t>
      </w:r>
      <w:r w:rsidRPr="006F04E6">
        <w:rPr>
          <w:rFonts w:ascii="Times New Roman" w:hAnsi="Times New Roman"/>
          <w:vertAlign w:val="superscript"/>
          <w:lang w:val="en-GB"/>
        </w:rPr>
        <w:t>KUR</w:t>
      </w:r>
      <w:r w:rsidRPr="006F04E6">
        <w:rPr>
          <w:rFonts w:ascii="Times New Roman" w:hAnsi="Times New Roman"/>
          <w:lang w:val="en-GB"/>
        </w:rPr>
        <w:t>[bi-a-i-na-ú-e]</w:t>
      </w:r>
    </w:p>
    <w:p w14:paraId="01063544"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28</w:t>
      </w:r>
      <w:r w:rsidRPr="006F04E6">
        <w:rPr>
          <w:rFonts w:ascii="Times New Roman" w:hAnsi="Times New Roman"/>
          <w:lang w:val="en-GB"/>
        </w:rPr>
        <w:tab/>
        <w:t>[a-lu-ú-si-e]</w:t>
      </w:r>
    </w:p>
    <w:p w14:paraId="663618BD"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29</w:t>
      </w:r>
      <w:r w:rsidRPr="006F04E6">
        <w:rPr>
          <w:rFonts w:ascii="Times New Roman" w:hAnsi="Times New Roman"/>
          <w:lang w:val="en-GB"/>
        </w:rPr>
        <w:tab/>
        <w:t>[</w:t>
      </w:r>
      <w:r w:rsidRPr="006F04E6">
        <w:rPr>
          <w:rFonts w:ascii="Times New Roman" w:hAnsi="Times New Roman"/>
          <w:vertAlign w:val="superscript"/>
          <w:lang w:val="en-GB"/>
        </w:rPr>
        <w:t>URU</w:t>
      </w:r>
      <w:r w:rsidRPr="006F04E6">
        <w:rPr>
          <w:rFonts w:ascii="Times New Roman" w:hAnsi="Times New Roman"/>
          <w:lang w:val="en-GB"/>
        </w:rPr>
        <w:t>ṭu-uš-pa-a URU]</w:t>
      </w:r>
    </w:p>
    <w:p w14:paraId="445FFCDA" w14:textId="77777777" w:rsidR="00B4516E" w:rsidRPr="006F04E6" w:rsidRDefault="00B4516E" w:rsidP="00B4516E">
      <w:pPr>
        <w:rPr>
          <w:rFonts w:ascii="Times New Roman" w:hAnsi="Times New Roman"/>
          <w:lang w:val="en-GB"/>
        </w:rPr>
      </w:pPr>
    </w:p>
    <w:p w14:paraId="3174159B" w14:textId="77777777" w:rsidR="00B4516E" w:rsidRPr="006F04E6" w:rsidRDefault="00B4516E" w:rsidP="00B4516E">
      <w:pPr>
        <w:rPr>
          <w:rFonts w:ascii="Times New Roman" w:hAnsi="Times New Roman"/>
          <w:lang w:val="en-GB"/>
        </w:rPr>
      </w:pPr>
      <w:r w:rsidRPr="006F04E6">
        <w:rPr>
          <w:rFonts w:ascii="Times New Roman" w:hAnsi="Times New Roman"/>
          <w:lang w:val="en-GB"/>
        </w:rPr>
        <w:t>“Thanks to Ḫaldi</w:t>
      </w:r>
      <w:r w:rsidRPr="006F04E6">
        <w:rPr>
          <w:rFonts w:ascii="Times New Roman" w:hAnsi="Times New Roman"/>
          <w:lang w:val="en-GB"/>
        </w:rPr>
        <w:fldChar w:fldCharType="begin"/>
      </w:r>
      <w:r w:rsidRPr="006F04E6">
        <w:rPr>
          <w:rFonts w:ascii="Times New Roman" w:hAnsi="Times New Roman"/>
          <w:lang w:val="en-GB"/>
        </w:rPr>
        <w:instrText xml:space="preserve"> XE "Ḫaldi" </w:instrText>
      </w:r>
      <w:r w:rsidRPr="006F04E6">
        <w:rPr>
          <w:rFonts w:ascii="Times New Roman" w:hAnsi="Times New Roman"/>
          <w:lang w:val="en-GB"/>
        </w:rPr>
        <w:fldChar w:fldCharType="end"/>
      </w:r>
      <w:r w:rsidRPr="006F04E6">
        <w:rPr>
          <w:rFonts w:ascii="Times New Roman" w:hAnsi="Times New Roman"/>
          <w:lang w:val="en-GB"/>
        </w:rPr>
        <w:t>’s protection for Ḫaldi, the Lord, Minua</w:t>
      </w:r>
      <w:r w:rsidRPr="006F04E6">
        <w:rPr>
          <w:rFonts w:ascii="Times New Roman" w:hAnsi="Times New Roman"/>
          <w:lang w:val="en-GB"/>
        </w:rPr>
        <w:fldChar w:fldCharType="begin"/>
      </w:r>
      <w:r w:rsidRPr="006F04E6">
        <w:rPr>
          <w:rFonts w:ascii="Times New Roman" w:hAnsi="Times New Roman"/>
          <w:lang w:val="en-GB"/>
        </w:rPr>
        <w:instrText xml:space="preserve"> XE "Minua" </w:instrText>
      </w:r>
      <w:r w:rsidRPr="006F04E6">
        <w:rPr>
          <w:rFonts w:ascii="Times New Roman" w:hAnsi="Times New Roman"/>
          <w:lang w:val="en-GB"/>
        </w:rPr>
        <w:fldChar w:fldCharType="end"/>
      </w:r>
      <w:r w:rsidRPr="006F04E6">
        <w:rPr>
          <w:rFonts w:ascii="Times New Roman" w:hAnsi="Times New Roman"/>
          <w:lang w:val="en-GB"/>
        </w:rPr>
        <w:t>, the son of Išpuini</w:t>
      </w:r>
      <w:r w:rsidRPr="006F04E6">
        <w:rPr>
          <w:rFonts w:ascii="Times New Roman" w:hAnsi="Times New Roman"/>
          <w:lang w:val="en-GB"/>
        </w:rPr>
        <w:fldChar w:fldCharType="begin"/>
      </w:r>
      <w:r w:rsidRPr="006F04E6">
        <w:rPr>
          <w:rFonts w:ascii="Times New Roman" w:hAnsi="Times New Roman"/>
          <w:lang w:val="en-GB"/>
        </w:rPr>
        <w:instrText xml:space="preserve"> XE "Išpuini" </w:instrText>
      </w:r>
      <w:r w:rsidRPr="006F04E6">
        <w:rPr>
          <w:rFonts w:ascii="Times New Roman" w:hAnsi="Times New Roman"/>
          <w:lang w:val="en-GB"/>
        </w:rPr>
        <w:fldChar w:fldCharType="end"/>
      </w:r>
      <w:r w:rsidRPr="006F04E6">
        <w:rPr>
          <w:rFonts w:ascii="Times New Roman" w:hAnsi="Times New Roman"/>
          <w:lang w:val="en-GB"/>
        </w:rPr>
        <w:t>, erected this stele. Thanks to the greatness of Ḫaldi (I am) Minua, the son of Išpuini”.</w:t>
      </w:r>
    </w:p>
    <w:p w14:paraId="4D6DB00D" w14:textId="77777777" w:rsidR="00B4516E" w:rsidRPr="006F04E6" w:rsidRDefault="00B4516E" w:rsidP="00B4516E">
      <w:pPr>
        <w:rPr>
          <w:rFonts w:ascii="Times New Roman" w:hAnsi="Times New Roman"/>
          <w:b/>
          <w:lang w:val="en-GB"/>
        </w:rPr>
      </w:pPr>
    </w:p>
    <w:p w14:paraId="0407CD46" w14:textId="77777777" w:rsidR="00B4516E" w:rsidRPr="006F04E6" w:rsidRDefault="00B4516E" w:rsidP="00B4516E">
      <w:pPr>
        <w:keepNext/>
        <w:rPr>
          <w:rFonts w:ascii="Times New Roman" w:hAnsi="Times New Roman"/>
          <w:b/>
          <w:lang w:val="en-GB"/>
        </w:rPr>
      </w:pPr>
      <w:r w:rsidRPr="006F04E6">
        <w:rPr>
          <w:rFonts w:ascii="Times New Roman" w:hAnsi="Times New Roman"/>
          <w:b/>
          <w:lang w:val="en-GB"/>
        </w:rPr>
        <w:t>CTU I. A 5-79</w:t>
      </w:r>
    </w:p>
    <w:p w14:paraId="3A5AB525" w14:textId="77777777" w:rsidR="00B4516E" w:rsidRPr="006F04E6" w:rsidRDefault="00B4516E" w:rsidP="00B4516E">
      <w:pPr>
        <w:keepNext/>
        <w:rPr>
          <w:rFonts w:ascii="Times New Roman" w:hAnsi="Times New Roman"/>
          <w:lang w:val="en-GB"/>
        </w:rPr>
      </w:pPr>
      <w:r w:rsidRPr="006F04E6">
        <w:rPr>
          <w:rFonts w:asciiTheme="majorBidi" w:hAnsiTheme="majorBidi" w:cstheme="majorBidi"/>
          <w:lang w:val="en-GB"/>
        </w:rPr>
        <w:t>Stele</w:t>
      </w:r>
      <w:r w:rsidRPr="006F04E6">
        <w:rPr>
          <w:rFonts w:ascii="Times New Roman" w:hAnsi="Times New Roman"/>
          <w:lang w:val="en-GB"/>
        </w:rPr>
        <w:t xml:space="preserve"> found in 1898-99 in the Korşun Mosque</w:t>
      </w:r>
      <w:r w:rsidRPr="006F04E6">
        <w:rPr>
          <w:rFonts w:ascii="Times New Roman" w:eastAsia="Calibri" w:hAnsi="Times New Roman" w:cs="Times New Roman"/>
          <w:lang w:val="en-GB"/>
        </w:rPr>
        <w:t> </w:t>
      </w:r>
      <w:r w:rsidRPr="006F04E6">
        <w:rPr>
          <w:rFonts w:ascii="Times New Roman" w:hAnsi="Times New Roman"/>
          <w:lang w:val="en-GB"/>
        </w:rPr>
        <w:t>in Old Van City</w:t>
      </w:r>
      <w:r w:rsidRPr="006F04E6">
        <w:rPr>
          <w:rFonts w:ascii="Times New Roman" w:eastAsia="Calibri" w:hAnsi="Times New Roman" w:cs="Times New Roman"/>
          <w:lang w:val="en-GB"/>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"Old Van City"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(cf. CICh, Textband, col. 109, Nr. 84). Georgian Museum</w:t>
      </w:r>
      <w:r w:rsidRPr="006F04E6">
        <w:rPr>
          <w:rFonts w:ascii="Times New Roman" w:eastAsia="Calibri" w:hAnsi="Times New Roman" w:cs="Times New Roman"/>
          <w:lang w:val="en-GB"/>
        </w:rPr>
        <w:t>,</w:t>
      </w:r>
      <w:r w:rsidRPr="006F04E6">
        <w:rPr>
          <w:rFonts w:ascii="Times New Roman" w:hAnsi="Times New Roman"/>
          <w:lang w:val="en-GB"/>
        </w:rPr>
        <w:t xml:space="preserve"> Tbilisi. </w:t>
      </w:r>
      <w:r w:rsidRPr="006F04E6">
        <w:rPr>
          <w:rFonts w:ascii="Times New Roman" w:eastAsia="Calibri" w:hAnsi="Times New Roman" w:cs="Times New Roman"/>
          <w:lang w:val="en-GB"/>
        </w:rPr>
        <w:t>Its dimensions are height</w:t>
      </w:r>
      <w:r w:rsidRPr="006F04E6" w:rsidDel="00E069EA">
        <w:rPr>
          <w:rFonts w:ascii="Times New Roman" w:hAnsi="Times New Roman"/>
          <w:lang w:val="en-GB"/>
        </w:rPr>
        <w:t xml:space="preserve"> 98/105 cm, width 68 cm, </w:t>
      </w:r>
      <w:r w:rsidRPr="006F04E6">
        <w:rPr>
          <w:rFonts w:ascii="Times New Roman" w:eastAsia="Calibri" w:hAnsi="Times New Roman" w:cs="Times New Roman"/>
          <w:lang w:val="en-GB"/>
        </w:rPr>
        <w:t xml:space="preserve">and </w:t>
      </w:r>
      <w:r w:rsidRPr="006F04E6" w:rsidDel="00E069EA">
        <w:rPr>
          <w:rFonts w:ascii="Times New Roman" w:hAnsi="Times New Roman"/>
          <w:lang w:val="en-GB"/>
        </w:rPr>
        <w:t>thickness 31 cm.</w:t>
      </w:r>
    </w:p>
    <w:p w14:paraId="44E4278E" w14:textId="77777777" w:rsidR="00B4516E" w:rsidRPr="006F04E6" w:rsidRDefault="00B4516E" w:rsidP="00B4516E">
      <w:pPr>
        <w:keepNext/>
        <w:rPr>
          <w:rFonts w:ascii="Times New Roman" w:hAnsi="Times New Roman"/>
          <w:lang w:val="en-GB"/>
        </w:rPr>
      </w:pPr>
      <w:r w:rsidRPr="006F04E6">
        <w:rPr>
          <w:rFonts w:ascii="Times New Roman" w:hAnsi="Times New Roman"/>
          <w:noProof/>
          <w:lang w:eastAsia="tr-TR"/>
        </w:rPr>
        <w:drawing>
          <wp:inline distT="0" distB="0" distL="0" distR="0" wp14:anchorId="604E28D5" wp14:editId="3181517D">
            <wp:extent cx="5400675" cy="4051300"/>
            <wp:effectExtent l="0" t="0" r="9525" b="6350"/>
            <wp:docPr id="132469824" name="Resim 132469824" descr="mezar, mezarlık, dikili taş, İnsan yap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9824" name="Resim 132469824" descr="mezar, mezarlık, dikili taş, İnsan yapımı içeren bir resim&#10;&#10;Açıklama otomatik olarak oluşturuldu"/>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400675" cy="4051300"/>
                    </a:xfrm>
                    <a:prstGeom prst="rect">
                      <a:avLst/>
                    </a:prstGeom>
                    <a:noFill/>
                    <a:ln>
                      <a:noFill/>
                    </a:ln>
                  </pic:spPr>
                </pic:pic>
              </a:graphicData>
            </a:graphic>
          </wp:inline>
        </w:drawing>
      </w:r>
    </w:p>
    <w:p w14:paraId="7FCE47A0" w14:textId="77777777" w:rsidR="00B4516E" w:rsidRPr="006F04E6" w:rsidRDefault="00B4516E" w:rsidP="00B4516E">
      <w:pPr>
        <w:rPr>
          <w:rFonts w:ascii="Times New Roman" w:hAnsi="Times New Roman"/>
          <w:lang w:val="en-GB"/>
        </w:rPr>
      </w:pPr>
      <w:r w:rsidRPr="006F04E6">
        <w:rPr>
          <w:rFonts w:ascii="Times New Roman" w:hAnsi="Times New Roman"/>
          <w:lang w:val="en-GB"/>
        </w:rPr>
        <w:t xml:space="preserve">Fig. 33 Stele CTU I. A 5-79, Georgian Museum, Tbilisi. </w:t>
      </w:r>
    </w:p>
    <w:p w14:paraId="279ECB8C" w14:textId="77777777" w:rsidR="00B4516E" w:rsidRPr="006F04E6" w:rsidRDefault="00B4516E" w:rsidP="00B4516E">
      <w:pPr>
        <w:numPr>
          <w:ilvl w:val="12"/>
          <w:numId w:val="0"/>
        </w:numPr>
        <w:ind w:left="567" w:right="-782" w:hanging="567"/>
        <w:jc w:val="both"/>
        <w:rPr>
          <w:rFonts w:ascii="Times New Roman" w:hAnsi="Times New Roman"/>
          <w:lang w:val="en-GB"/>
        </w:rPr>
      </w:pPr>
    </w:p>
    <w:p w14:paraId="11F38E75"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Cambria Math" w:hAnsi="Cambria Math"/>
          <w:vertAlign w:val="superscript"/>
          <w:lang w:val="en-GB"/>
        </w:rPr>
        <w:t>⌈</w:t>
      </w:r>
      <w:r w:rsidRPr="006F04E6">
        <w:rPr>
          <w:rFonts w:ascii="Times New Roman" w:hAnsi="Times New Roman"/>
          <w:vertAlign w:val="superscript"/>
          <w:lang w:val="en-GB"/>
        </w:rPr>
        <w:t>D</w:t>
      </w:r>
      <w:r w:rsidRPr="006F04E6">
        <w:rPr>
          <w:rFonts w:ascii="Cambria Math" w:hAnsi="Cambria Math"/>
          <w:vertAlign w:val="superscript"/>
          <w:lang w:val="en-GB"/>
        </w:rPr>
        <w:t>⌉</w:t>
      </w:r>
      <w:r w:rsidRPr="006F04E6">
        <w:rPr>
          <w:rFonts w:ascii="Times New Roman" w:hAnsi="Times New Roman"/>
          <w:lang w:val="en-GB"/>
        </w:rPr>
        <w:t xml:space="preserve">ḫu-ṭu-i-ni-e </w:t>
      </w:r>
      <w:r w:rsidRPr="006F04E6">
        <w:rPr>
          <w:rFonts w:ascii="Times New Roman" w:hAnsi="Times New Roman"/>
          <w:vertAlign w:val="superscript"/>
          <w:lang w:val="en-GB"/>
        </w:rPr>
        <w:t>m</w:t>
      </w:r>
      <w:r w:rsidRPr="006F04E6">
        <w:rPr>
          <w:rFonts w:ascii="Times New Roman" w:hAnsi="Times New Roman"/>
          <w:lang w:val="en-GB"/>
        </w:rPr>
        <w:t>mì-nu-a-še</w:t>
      </w:r>
    </w:p>
    <w:p w14:paraId="47ACD4C0"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iš-pu-ú-i-ni-e-ḫi-ni-e-še</w:t>
      </w:r>
    </w:p>
    <w:p w14:paraId="4C6AB712"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 xml:space="preserve">i-ni </w:t>
      </w:r>
      <w:r w:rsidRPr="006F04E6">
        <w:rPr>
          <w:rFonts w:ascii="Times New Roman" w:hAnsi="Times New Roman"/>
          <w:vertAlign w:val="superscript"/>
          <w:lang w:val="en-GB"/>
        </w:rPr>
        <w:t>NA4</w:t>
      </w:r>
      <w:r w:rsidRPr="006F04E6">
        <w:rPr>
          <w:rFonts w:ascii="Times New Roman" w:hAnsi="Times New Roman"/>
          <w:lang w:val="en-GB"/>
        </w:rPr>
        <w:t>pu-lu-si ku-gu-ú-ni</w:t>
      </w:r>
    </w:p>
    <w:p w14:paraId="34FE07E7"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 xml:space="preserve">ma-a-ni-ni </w:t>
      </w:r>
      <w:r w:rsidRPr="006F04E6">
        <w:rPr>
          <w:rFonts w:ascii="Times New Roman" w:hAnsi="Times New Roman"/>
          <w:vertAlign w:val="superscript"/>
          <w:lang w:val="en-GB"/>
        </w:rPr>
        <w:t>D</w:t>
      </w:r>
      <w:r w:rsidRPr="006F04E6">
        <w:rPr>
          <w:rFonts w:ascii="Times New Roman" w:hAnsi="Times New Roman"/>
          <w:lang w:val="en-GB"/>
        </w:rPr>
        <w:t>ḫu-ṭu-i-ni-ni bi-di-ni</w:t>
      </w:r>
    </w:p>
    <w:p w14:paraId="10820502"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mì-nu-a </w:t>
      </w:r>
      <w:r w:rsidRPr="006F04E6">
        <w:rPr>
          <w:rFonts w:ascii="Times New Roman" w:hAnsi="Times New Roman"/>
          <w:vertAlign w:val="superscript"/>
          <w:lang w:val="en-GB"/>
        </w:rPr>
        <w:t>m</w:t>
      </w:r>
      <w:r w:rsidRPr="006F04E6">
        <w:rPr>
          <w:rFonts w:ascii="Times New Roman" w:hAnsi="Times New Roman"/>
          <w:lang w:val="en-GB"/>
        </w:rPr>
        <w:t>iš-pu-ú-i-ni-e-ḫi-ni-e</w:t>
      </w:r>
    </w:p>
    <w:p w14:paraId="6706DA44"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 xml:space="preserve">i-nu-uš-pu-ú-a </w:t>
      </w:r>
      <w:r w:rsidRPr="006F04E6">
        <w:rPr>
          <w:rFonts w:ascii="Times New Roman" w:hAnsi="Times New Roman"/>
          <w:vertAlign w:val="superscript"/>
          <w:lang w:val="en-GB"/>
        </w:rPr>
        <w:t>m</w:t>
      </w:r>
      <w:r w:rsidRPr="006F04E6">
        <w:rPr>
          <w:rFonts w:ascii="Times New Roman" w:hAnsi="Times New Roman"/>
          <w:lang w:val="en-GB"/>
        </w:rPr>
        <w:t>mì-nu-a-ḫi-ni-e</w:t>
      </w:r>
    </w:p>
    <w:p w14:paraId="0CF059EB"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ul-gu-ú-še pi-ṣ[u]-ú-še al-su-i-še-e</w:t>
      </w:r>
    </w:p>
    <w:p w14:paraId="7BB63F78" w14:textId="77777777" w:rsidR="00B4516E" w:rsidRPr="006F04E6" w:rsidRDefault="00B4516E" w:rsidP="00B4516E">
      <w:pPr>
        <w:numPr>
          <w:ilvl w:val="12"/>
          <w:numId w:val="0"/>
        </w:numPr>
        <w:ind w:left="567" w:right="-782" w:hanging="567"/>
        <w:jc w:val="both"/>
        <w:rPr>
          <w:rFonts w:ascii="Times New Roman" w:hAnsi="Times New Roman"/>
          <w:lang w:val="en-GB"/>
        </w:rPr>
      </w:pPr>
    </w:p>
    <w:p w14:paraId="19ADDA27"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“To God Ḫuṭuini</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Ḫuṭuini</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Minua</w:t>
      </w:r>
      <w:r w:rsidRPr="006F04E6">
        <w:rPr>
          <w:rFonts w:ascii="Times New Roman" w:hAnsi="Times New Roman"/>
          <w:lang w:val="en-GB"/>
        </w:rPr>
        <w:fldChar w:fldCharType="begin"/>
      </w:r>
      <w:r w:rsidRPr="006F04E6">
        <w:rPr>
          <w:rFonts w:ascii="Times New Roman" w:hAnsi="Times New Roman"/>
          <w:lang w:val="en-GB"/>
        </w:rPr>
        <w:instrText xml:space="preserve"> XE "Minua" </w:instrText>
      </w:r>
      <w:r w:rsidRPr="006F04E6">
        <w:rPr>
          <w:rFonts w:ascii="Times New Roman" w:hAnsi="Times New Roman"/>
          <w:lang w:val="en-GB"/>
        </w:rPr>
        <w:fldChar w:fldCharType="end"/>
      </w:r>
      <w:r w:rsidRPr="006F04E6">
        <w:rPr>
          <w:rFonts w:ascii="Times New Roman" w:hAnsi="Times New Roman"/>
          <w:lang w:val="en-GB"/>
        </w:rPr>
        <w:t>, the son of Išpuini</w:t>
      </w:r>
      <w:r w:rsidRPr="006F04E6">
        <w:rPr>
          <w:rFonts w:ascii="Times New Roman" w:hAnsi="Times New Roman"/>
          <w:lang w:val="en-GB"/>
        </w:rPr>
        <w:fldChar w:fldCharType="begin"/>
      </w:r>
      <w:r w:rsidRPr="006F04E6">
        <w:rPr>
          <w:rFonts w:ascii="Times New Roman" w:hAnsi="Times New Roman"/>
          <w:lang w:val="en-GB"/>
        </w:rPr>
        <w:instrText xml:space="preserve"> XE "Išpuini" </w:instrText>
      </w:r>
      <w:r w:rsidRPr="006F04E6">
        <w:rPr>
          <w:rFonts w:ascii="Times New Roman" w:hAnsi="Times New Roman"/>
          <w:lang w:val="en-GB"/>
        </w:rPr>
        <w:fldChar w:fldCharType="end"/>
      </w:r>
      <w:r w:rsidRPr="006F04E6">
        <w:rPr>
          <w:rFonts w:ascii="Times New Roman" w:hAnsi="Times New Roman"/>
          <w:lang w:val="en-GB"/>
        </w:rPr>
        <w:t>, this stele has erected. May it be (fiat) by the god Ḫuṭuini for Minua, the son of Išpuini, and for Inušpua</w:t>
      </w:r>
      <w:r w:rsidRPr="006F04E6">
        <w:rPr>
          <w:rFonts w:ascii="Times New Roman" w:hAnsi="Times New Roman"/>
          <w:lang w:val="en-GB"/>
        </w:rPr>
        <w:fldChar w:fldCharType="begin"/>
      </w:r>
      <w:r w:rsidRPr="006F04E6">
        <w:rPr>
          <w:rFonts w:ascii="Times New Roman" w:hAnsi="Times New Roman"/>
          <w:lang w:val="en-GB"/>
        </w:rPr>
        <w:instrText xml:space="preserve"> XE "Inušpua" </w:instrText>
      </w:r>
      <w:r w:rsidRPr="006F04E6">
        <w:rPr>
          <w:rFonts w:ascii="Times New Roman" w:hAnsi="Times New Roman"/>
          <w:lang w:val="en-GB"/>
        </w:rPr>
        <w:fldChar w:fldCharType="end"/>
      </w:r>
      <w:r w:rsidRPr="006F04E6">
        <w:rPr>
          <w:rFonts w:ascii="Times New Roman" w:hAnsi="Times New Roman"/>
          <w:lang w:val="en-GB"/>
        </w:rPr>
        <w:t>, the son of Minua, life, joy and greatness”.</w:t>
      </w:r>
    </w:p>
    <w:p w14:paraId="3D96D1E0" w14:textId="77777777" w:rsidR="00B4516E" w:rsidRPr="006F04E6" w:rsidRDefault="00B4516E" w:rsidP="00B4516E">
      <w:pPr>
        <w:jc w:val="both"/>
        <w:rPr>
          <w:rFonts w:ascii="Times New Roman" w:hAnsi="Times New Roman"/>
          <w:lang w:val="en-GB"/>
        </w:rPr>
      </w:pPr>
    </w:p>
    <w:p w14:paraId="5DFE51B2" w14:textId="55311AC1" w:rsidR="00B4516E" w:rsidRPr="006F04E6" w:rsidRDefault="00B4516E" w:rsidP="00B4516E">
      <w:pPr>
        <w:jc w:val="both"/>
        <w:rPr>
          <w:rFonts w:ascii="Times New Roman" w:hAnsi="Times New Roman"/>
          <w:lang w:val="en-GB"/>
        </w:rPr>
      </w:pPr>
      <w:r w:rsidRPr="006F04E6">
        <w:rPr>
          <w:rFonts w:ascii="Times New Roman" w:hAnsi="Times New Roman"/>
          <w:lang w:val="en-GB"/>
        </w:rPr>
        <w:t>This stele is interesting for several reasons. It is dedicated to Ḫuṭuini</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Ḫuṭuini</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a deity who occurs only in the divine list of Meher Kapısı</w:t>
      </w:r>
      <w:r w:rsidRPr="006F04E6">
        <w:rPr>
          <w:rFonts w:ascii="Times New Roman" w:hAnsi="Times New Roman"/>
          <w:lang w:val="en-GB"/>
        </w:rPr>
        <w:fldChar w:fldCharType="begin"/>
      </w:r>
      <w:r w:rsidRPr="006F04E6">
        <w:rPr>
          <w:rFonts w:ascii="Times New Roman" w:hAnsi="Times New Roman"/>
          <w:lang w:val="en-GB"/>
        </w:rPr>
        <w:instrText xml:space="preserve"> XE "Meher Kapısı" </w:instrText>
      </w:r>
      <w:r w:rsidRPr="006F04E6">
        <w:rPr>
          <w:rFonts w:ascii="Times New Roman" w:hAnsi="Times New Roman"/>
          <w:lang w:val="en-GB"/>
        </w:rPr>
        <w:fldChar w:fldCharType="end"/>
      </w:r>
      <w:r w:rsidRPr="006F04E6">
        <w:rPr>
          <w:rFonts w:ascii="Times New Roman" w:hAnsi="Times New Roman"/>
          <w:lang w:val="en-GB"/>
        </w:rPr>
        <w:t xml:space="preserve"> (CTU I.A 3-1, 5</w:t>
      </w:r>
      <w:r w:rsidR="00CD0F5D">
        <w:rPr>
          <w:rFonts w:ascii="Times New Roman" w:hAnsi="Times New Roman"/>
          <w:lang w:val="en-GB"/>
        </w:rPr>
        <w:t>/</w:t>
      </w:r>
      <w:r w:rsidRPr="006F04E6">
        <w:rPr>
          <w:rFonts w:ascii="Times New Roman" w:hAnsi="Times New Roman"/>
          <w:lang w:val="en-GB"/>
        </w:rPr>
        <w:t>37) in first place after the divine triad Ḫaldi</w:t>
      </w:r>
      <w:r w:rsidRPr="006F04E6">
        <w:rPr>
          <w:rFonts w:ascii="Times New Roman" w:hAnsi="Times New Roman"/>
          <w:lang w:val="en-GB"/>
        </w:rPr>
        <w:fldChar w:fldCharType="begin"/>
      </w:r>
      <w:r w:rsidRPr="006F04E6">
        <w:rPr>
          <w:rFonts w:ascii="Times New Roman" w:hAnsi="Times New Roman"/>
          <w:lang w:val="en-GB"/>
        </w:rPr>
        <w:instrText xml:space="preserve"> XE "Ḫaldi" </w:instrText>
      </w:r>
      <w:r w:rsidRPr="006F04E6">
        <w:rPr>
          <w:rFonts w:ascii="Times New Roman" w:hAnsi="Times New Roman"/>
          <w:lang w:val="en-GB"/>
        </w:rPr>
        <w:fldChar w:fldCharType="end"/>
      </w:r>
      <w:r w:rsidRPr="006F04E6">
        <w:rPr>
          <w:rFonts w:ascii="Times New Roman" w:hAnsi="Times New Roman"/>
          <w:lang w:val="en-GB"/>
        </w:rPr>
        <w:t xml:space="preserve">, </w:t>
      </w:r>
      <w:r w:rsidRPr="006F04E6">
        <w:rPr>
          <w:rFonts w:ascii="Times New Roman" w:hAnsi="Times New Roman"/>
          <w:lang w:val="en-GB"/>
        </w:rPr>
        <w:lastRenderedPageBreak/>
        <w:t>Teišeba</w:t>
      </w:r>
      <w:r w:rsidRPr="006F04E6">
        <w:rPr>
          <w:rFonts w:ascii="Times New Roman" w:hAnsi="Times New Roman"/>
          <w:lang w:val="en-GB"/>
        </w:rPr>
        <w:fldChar w:fldCharType="begin"/>
      </w:r>
      <w:r w:rsidRPr="006F04E6">
        <w:rPr>
          <w:rFonts w:ascii="Times New Roman" w:hAnsi="Times New Roman"/>
          <w:lang w:val="en-GB"/>
        </w:rPr>
        <w:instrText xml:space="preserve"> XE "Teišeba" </w:instrText>
      </w:r>
      <w:r w:rsidRPr="006F04E6">
        <w:rPr>
          <w:rFonts w:ascii="Times New Roman" w:hAnsi="Times New Roman"/>
          <w:lang w:val="en-GB"/>
        </w:rPr>
        <w:fldChar w:fldCharType="end"/>
      </w:r>
      <w:r w:rsidRPr="006F04E6">
        <w:rPr>
          <w:rFonts w:ascii="Times New Roman" w:hAnsi="Times New Roman"/>
          <w:lang w:val="en-GB"/>
        </w:rPr>
        <w:t xml:space="preserve"> and Šiwini, like Turani. The sacrifice of two oxen and 4 sheep is attributed to him, while Ṭurani is entitled to two oxen and two sheep. We are dealing, so to speak, with “ancient gods” and this corresponds to the archaic nature of the stele, in fact because of his ductus I placed it among the archaic texts of Minua</w:t>
      </w:r>
      <w:r w:rsidRPr="006F04E6">
        <w:rPr>
          <w:rFonts w:ascii="Times New Roman" w:hAnsi="Times New Roman"/>
          <w:lang w:val="en-GB"/>
        </w:rPr>
        <w:fldChar w:fldCharType="begin"/>
      </w:r>
      <w:r w:rsidRPr="006F04E6">
        <w:rPr>
          <w:rFonts w:ascii="Times New Roman" w:hAnsi="Times New Roman"/>
          <w:lang w:val="en-GB"/>
        </w:rPr>
        <w:instrText xml:space="preserve"> XE "Minua" </w:instrText>
      </w:r>
      <w:r w:rsidRPr="006F04E6">
        <w:rPr>
          <w:rFonts w:ascii="Times New Roman" w:hAnsi="Times New Roman"/>
          <w:lang w:val="en-GB"/>
        </w:rPr>
        <w:fldChar w:fldCharType="end"/>
      </w:r>
      <w:r w:rsidRPr="006F04E6">
        <w:rPr>
          <w:rFonts w:ascii="Times New Roman" w:hAnsi="Times New Roman"/>
          <w:lang w:val="en-GB"/>
        </w:rPr>
        <w:t xml:space="preserve"> (see CTU V p. 96). The third element is the association of his son Inušpua</w:t>
      </w:r>
      <w:r w:rsidRPr="006F04E6">
        <w:rPr>
          <w:rFonts w:ascii="Times New Roman" w:hAnsi="Times New Roman"/>
          <w:lang w:val="en-GB"/>
        </w:rPr>
        <w:fldChar w:fldCharType="begin"/>
      </w:r>
      <w:r w:rsidRPr="006F04E6">
        <w:rPr>
          <w:rFonts w:ascii="Times New Roman" w:hAnsi="Times New Roman"/>
          <w:lang w:val="en-GB"/>
        </w:rPr>
        <w:instrText xml:space="preserve"> XE "Inušpua" </w:instrText>
      </w:r>
      <w:r w:rsidRPr="006F04E6">
        <w:rPr>
          <w:rFonts w:ascii="Times New Roman" w:hAnsi="Times New Roman"/>
          <w:lang w:val="en-GB"/>
        </w:rPr>
        <w:fldChar w:fldCharType="end"/>
      </w:r>
      <w:r w:rsidRPr="006F04E6">
        <w:rPr>
          <w:rFonts w:ascii="Times New Roman" w:hAnsi="Times New Roman"/>
          <w:lang w:val="en-GB"/>
        </w:rPr>
        <w:t xml:space="preserve"> in the blessing formula. This leads us to deduce that Minua’s father, Išpuini</w:t>
      </w:r>
      <w:r w:rsidRPr="006F04E6">
        <w:rPr>
          <w:rFonts w:ascii="Times New Roman" w:hAnsi="Times New Roman"/>
          <w:lang w:val="en-GB"/>
        </w:rPr>
        <w:fldChar w:fldCharType="begin"/>
      </w:r>
      <w:r w:rsidRPr="006F04E6">
        <w:rPr>
          <w:rFonts w:ascii="Times New Roman" w:hAnsi="Times New Roman"/>
          <w:lang w:val="en-GB"/>
        </w:rPr>
        <w:instrText xml:space="preserve"> XE "Išpuini" </w:instrText>
      </w:r>
      <w:r w:rsidRPr="006F04E6">
        <w:rPr>
          <w:rFonts w:ascii="Times New Roman" w:hAnsi="Times New Roman"/>
          <w:lang w:val="en-GB"/>
        </w:rPr>
        <w:fldChar w:fldCharType="end"/>
      </w:r>
      <w:r w:rsidRPr="006F04E6">
        <w:rPr>
          <w:rFonts w:ascii="Times New Roman" w:hAnsi="Times New Roman"/>
          <w:lang w:val="en-GB"/>
        </w:rPr>
        <w:t xml:space="preserve">, was dead, and that Inušpua was the heir to the throne. We know nothing of the </w:t>
      </w:r>
      <w:r w:rsidRPr="006F04E6">
        <w:rPr>
          <w:rFonts w:ascii="Times New Roman" w:hAnsi="Times New Roman"/>
          <w:noProof/>
          <w:lang w:eastAsia="tr-TR"/>
        </w:rPr>
        <w:drawing>
          <wp:anchor distT="0" distB="0" distL="114300" distR="114300" simplePos="0" relativeHeight="251973632" behindDoc="1" locked="0" layoutInCell="1" allowOverlap="1" wp14:anchorId="492007A5" wp14:editId="6CD2199C">
            <wp:simplePos x="0" y="0"/>
            <wp:positionH relativeFrom="column">
              <wp:posOffset>4061490</wp:posOffset>
            </wp:positionH>
            <wp:positionV relativeFrom="paragraph">
              <wp:posOffset>1222775</wp:posOffset>
            </wp:positionV>
            <wp:extent cx="1652400" cy="4320000"/>
            <wp:effectExtent l="0" t="0" r="5080" b="4445"/>
            <wp:wrapTight wrapText="bothSides">
              <wp:wrapPolygon edited="0">
                <wp:start x="0" y="0"/>
                <wp:lineTo x="0" y="21527"/>
                <wp:lineTo x="21417" y="21527"/>
                <wp:lineTo x="21417" y="0"/>
                <wp:lineTo x="0" y="0"/>
              </wp:wrapPolygon>
            </wp:wrapTight>
            <wp:docPr id="2141148826" name="Resim 2141148826" descr="metin, el yazısı,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148826" name="Resim 2141148826" descr="metin, el yazısı, beyaz içeren bir resim&#10;&#10;Açıklama otomatik olarak oluşturuldu"/>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652400" cy="43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04E6">
        <w:rPr>
          <w:rFonts w:ascii="Times New Roman" w:hAnsi="Times New Roman"/>
          <w:lang w:val="en-GB"/>
        </w:rPr>
        <w:t>fate of Inušpua and following what events Minua’s successor was actually Argišti I</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Argišti I</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w:t>
      </w:r>
    </w:p>
    <w:p w14:paraId="0090F2E8"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p>
    <w:p w14:paraId="53C36E92" w14:textId="77777777" w:rsidR="00B4516E" w:rsidRPr="006F04E6" w:rsidRDefault="00B4516E" w:rsidP="00B4516E">
      <w:pPr>
        <w:keepNext/>
        <w:keepLines/>
        <w:spacing w:before="280" w:after="80" w:line="276" w:lineRule="auto"/>
        <w:outlineLvl w:val="3"/>
        <w:rPr>
          <w:rFonts w:ascii="Times New Roman" w:hAnsi="Times New Roman"/>
          <w:b/>
          <w:bCs/>
          <w:color w:val="0D0D0D"/>
          <w:lang w:val="en-GB"/>
        </w:rPr>
      </w:pPr>
      <w:r w:rsidRPr="006F04E6">
        <w:rPr>
          <w:rFonts w:ascii="Times New Roman" w:hAnsi="Times New Roman"/>
          <w:b/>
          <w:bCs/>
          <w:color w:val="0D0D0D"/>
        </w:rPr>
        <w:t xml:space="preserve">4.2.3.9. </w:t>
      </w:r>
      <w:r w:rsidRPr="006F04E6">
        <w:rPr>
          <w:rFonts w:ascii="Times New Roman" w:hAnsi="Times New Roman"/>
          <w:b/>
          <w:bCs/>
          <w:color w:val="0D0D0D"/>
          <w:lang w:val="en-GB"/>
        </w:rPr>
        <w:t>Erection of Generic Stele; CTU I. A 5-85 and a lost    inscription fragment; CTU I. A 5-99</w:t>
      </w:r>
    </w:p>
    <w:p w14:paraId="0B75AB0A" w14:textId="77777777" w:rsidR="00B4516E" w:rsidRPr="006F04E6" w:rsidRDefault="00B4516E" w:rsidP="00B4516E">
      <w:pPr>
        <w:rPr>
          <w:rFonts w:ascii="Times New Roman" w:hAnsi="Times New Roman"/>
          <w:lang w:val="en-GB"/>
        </w:rPr>
      </w:pPr>
    </w:p>
    <w:p w14:paraId="3C2F4EF6"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Stele from Van. Lost. Only the copy of Schulz</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Schulz</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XXXVII (Fig. 34) remains with the indication “Inscription prise sur une pierre au dessus d’une porte du bazar de Van”.</w:t>
      </w:r>
    </w:p>
    <w:p w14:paraId="7DF51346" w14:textId="77777777" w:rsidR="00B4516E" w:rsidRPr="006F04E6" w:rsidRDefault="00B4516E" w:rsidP="00B4516E">
      <w:pPr>
        <w:rPr>
          <w:rFonts w:ascii="Times New Roman" w:hAnsi="Times New Roman"/>
          <w:lang w:val="en-GB"/>
        </w:rPr>
      </w:pPr>
    </w:p>
    <w:p w14:paraId="3DF15173" w14:textId="77777777" w:rsidR="00B4516E" w:rsidRPr="006F04E6" w:rsidRDefault="00B4516E" w:rsidP="00B4516E">
      <w:pPr>
        <w:ind w:left="567" w:right="-782" w:hanging="567"/>
        <w:jc w:val="both"/>
        <w:rPr>
          <w:rFonts w:ascii="Times New Roman" w:hAnsi="Times New Roman"/>
          <w:lang w:val="en-GB"/>
        </w:rPr>
      </w:pPr>
      <w:r w:rsidRPr="006F04E6">
        <w:rPr>
          <w:rFonts w:ascii="Times New Roman" w:hAnsi="Times New Roman"/>
          <w:lang w:val="en-GB"/>
        </w:rPr>
        <w:t>1</w:t>
      </w:r>
      <w:r w:rsidRPr="006F04E6">
        <w:rPr>
          <w:rFonts w:ascii="Calibri" w:hAnsi="Calibri"/>
        </w:rPr>
        <w:tab/>
      </w:r>
      <w:r w:rsidRPr="006F04E6">
        <w:rPr>
          <w:rFonts w:ascii="Times New Roman" w:hAnsi="Times New Roman"/>
          <w:lang w:val="en-GB"/>
        </w:rPr>
        <w:t>[</w:t>
      </w:r>
      <w:r w:rsidRPr="006F04E6">
        <w:rPr>
          <w:rFonts w:ascii="Times New Roman" w:hAnsi="Times New Roman"/>
          <w:vertAlign w:val="superscript"/>
          <w:lang w:val="en-GB"/>
        </w:rPr>
        <w:t>D</w:t>
      </w:r>
      <w:r w:rsidRPr="006F04E6">
        <w:rPr>
          <w:rFonts w:ascii="Times New Roman" w:hAnsi="Times New Roman"/>
          <w:lang w:val="en-GB"/>
        </w:rPr>
        <w:t>ḫal-di-ni-ni uš-ma-ši-ni]</w:t>
      </w:r>
    </w:p>
    <w:p w14:paraId="6DCE8DB4"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t xml:space="preserve">[i-ni </w:t>
      </w:r>
      <w:r w:rsidRPr="006F04E6">
        <w:rPr>
          <w:rFonts w:ascii="Times New Roman" w:hAnsi="Times New Roman"/>
          <w:vertAlign w:val="superscript"/>
          <w:lang w:val="en-GB"/>
        </w:rPr>
        <w:t>NA4</w:t>
      </w:r>
      <w:r w:rsidRPr="006F04E6">
        <w:rPr>
          <w:rFonts w:ascii="Times New Roman" w:hAnsi="Times New Roman"/>
          <w:lang w:val="en-GB"/>
        </w:rPr>
        <w:t xml:space="preserve">pu-lu-si] </w:t>
      </w:r>
      <w:r w:rsidRPr="006F04E6">
        <w:rPr>
          <w:rFonts w:ascii="Times New Roman" w:hAnsi="Times New Roman"/>
          <w:vertAlign w:val="superscript"/>
          <w:lang w:val="en-GB"/>
        </w:rPr>
        <w:t>m</w:t>
      </w:r>
      <w:r w:rsidRPr="006F04E6">
        <w:rPr>
          <w:rFonts w:ascii="Times New Roman" w:hAnsi="Times New Roman"/>
          <w:lang w:val="en-GB"/>
        </w:rPr>
        <w:t>mì-nu-[a-še]</w:t>
      </w:r>
    </w:p>
    <w:p w14:paraId="281F25EF"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iš-pu-ú-i-ni]-ḫi-ni-[še]</w:t>
      </w:r>
    </w:p>
    <w:p w14:paraId="4DFEF8BF"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[ku-ú-i]-gu-[ni]</w:t>
      </w:r>
    </w:p>
    <w:p w14:paraId="499996B2"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t>[</w:t>
      </w:r>
      <w:r w:rsidRPr="006F04E6">
        <w:rPr>
          <w:rFonts w:ascii="Times New Roman" w:hAnsi="Times New Roman"/>
          <w:vertAlign w:val="superscript"/>
          <w:lang w:val="en-GB"/>
        </w:rPr>
        <w:t>D</w:t>
      </w:r>
      <w:r w:rsidRPr="006F04E6">
        <w:rPr>
          <w:rFonts w:ascii="Times New Roman" w:hAnsi="Times New Roman"/>
          <w:lang w:val="en-GB"/>
        </w:rPr>
        <w:t>ḫal-di-i]-ni-[ni]</w:t>
      </w:r>
    </w:p>
    <w:p w14:paraId="2437064E"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t>[al-su-ú-i-ši]-i-n[i]</w:t>
      </w:r>
    </w:p>
    <w:p w14:paraId="6DF9976E"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mì-i-nu-ú]-a-n[i]</w:t>
      </w:r>
    </w:p>
    <w:p w14:paraId="1B33408A"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iš-pu-ú-i-ni]-e-[ḫi]</w:t>
      </w:r>
    </w:p>
    <w:p w14:paraId="183F9F10"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t xml:space="preserve">[MAN </w:t>
      </w:r>
      <w:r w:rsidRPr="006F04E6">
        <w:rPr>
          <w:rFonts w:ascii="Times New Roman" w:hAnsi="Times New Roman"/>
          <w:i/>
          <w:lang w:val="en-GB"/>
        </w:rPr>
        <w:t>DAN-NU</w:t>
      </w:r>
      <w:r w:rsidRPr="006F04E6">
        <w:rPr>
          <w:rFonts w:ascii="Times New Roman" w:hAnsi="Times New Roman"/>
          <w:lang w:val="en-GB"/>
        </w:rPr>
        <w:t xml:space="preserve"> MAN al]-su-n[i]</w:t>
      </w:r>
    </w:p>
    <w:p w14:paraId="5BC5F3BD"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10</w:t>
      </w:r>
      <w:r w:rsidRPr="006F04E6">
        <w:rPr>
          <w:rFonts w:ascii="Times New Roman" w:hAnsi="Times New Roman"/>
          <w:lang w:val="en-GB"/>
        </w:rPr>
        <w:tab/>
        <w:t xml:space="preserve">[MAN </w:t>
      </w:r>
      <w:r w:rsidRPr="006F04E6">
        <w:rPr>
          <w:rFonts w:ascii="Times New Roman" w:hAnsi="Times New Roman"/>
          <w:vertAlign w:val="superscript"/>
          <w:lang w:val="en-GB"/>
        </w:rPr>
        <w:t>KUR</w:t>
      </w:r>
      <w:r w:rsidRPr="006F04E6">
        <w:rPr>
          <w:rFonts w:ascii="Times New Roman" w:hAnsi="Times New Roman"/>
          <w:lang w:val="en-GB"/>
        </w:rPr>
        <w:t>bi-a-i-n]a-e</w:t>
      </w:r>
    </w:p>
    <w:p w14:paraId="54248C13"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Calibri" w:hAnsi="Calibri"/>
          <w:noProof/>
          <w:lang w:eastAsia="tr-TR"/>
        </w:rPr>
        <mc:AlternateContent>
          <mc:Choice Requires="wps">
            <w:drawing>
              <wp:anchor distT="0" distB="0" distL="114300" distR="114300" simplePos="0" relativeHeight="252000256" behindDoc="1" locked="0" layoutInCell="1" allowOverlap="1" wp14:anchorId="532D5940" wp14:editId="0DC5D587">
                <wp:simplePos x="0" y="0"/>
                <wp:positionH relativeFrom="column">
                  <wp:posOffset>4355224</wp:posOffset>
                </wp:positionH>
                <wp:positionV relativeFrom="paragraph">
                  <wp:posOffset>100680</wp:posOffset>
                </wp:positionV>
                <wp:extent cx="1652270" cy="635"/>
                <wp:effectExtent l="0" t="0" r="0" b="12065"/>
                <wp:wrapTight wrapText="bothSides">
                  <wp:wrapPolygon edited="0">
                    <wp:start x="0" y="0"/>
                    <wp:lineTo x="0" y="0"/>
                    <wp:lineTo x="21417" y="0"/>
                    <wp:lineTo x="21417" y="0"/>
                    <wp:lineTo x="0" y="0"/>
                  </wp:wrapPolygon>
                </wp:wrapTight>
                <wp:docPr id="1753833080" name="Metin Kutusu 1"/>
                <wp:cNvGraphicFramePr/>
                <a:graphic xmlns:a="http://schemas.openxmlformats.org/drawingml/2006/main">
                  <a:graphicData uri="http://schemas.microsoft.com/office/word/2010/wordprocessingShape">
                    <wps:wsp>
                      <wps:cNvSpPr txBox="1"/>
                      <wps:spPr>
                        <a:xfrm>
                          <a:off x="0" y="0"/>
                          <a:ext cx="1652270" cy="635"/>
                        </a:xfrm>
                        <a:prstGeom prst="rect">
                          <a:avLst/>
                        </a:prstGeom>
                        <a:solidFill>
                          <a:prstClr val="white"/>
                        </a:solidFill>
                        <a:ln>
                          <a:noFill/>
                        </a:ln>
                      </wps:spPr>
                      <wps:txbx>
                        <w:txbxContent>
                          <w:p w14:paraId="6A00468B" w14:textId="77777777" w:rsidR="00B4516E" w:rsidRPr="00CC135C" w:rsidRDefault="00B4516E" w:rsidP="00B4516E">
                            <w:pPr>
                              <w:pStyle w:val="Caption1"/>
                              <w:rPr>
                                <w:i w:val="0"/>
                                <w:sz w:val="24"/>
                              </w:rPr>
                            </w:pPr>
                            <w:r w:rsidRPr="00E82198">
                              <w:rPr>
                                <w:i w:val="0"/>
                                <w:iCs w:val="0"/>
                                <w:sz w:val="24"/>
                                <w:szCs w:val="24"/>
                              </w:rPr>
                              <w:t xml:space="preserve">Fig.  </w:t>
                            </w:r>
                            <w:r w:rsidRPr="00E82198">
                              <w:rPr>
                                <w:i w:val="0"/>
                                <w:iCs w:val="0"/>
                                <w:sz w:val="24"/>
                                <w:szCs w:val="24"/>
                              </w:rPr>
                              <w:fldChar w:fldCharType="begin"/>
                            </w:r>
                            <w:r w:rsidRPr="00E82198">
                              <w:rPr>
                                <w:i w:val="0"/>
                                <w:iCs w:val="0"/>
                                <w:sz w:val="24"/>
                                <w:szCs w:val="24"/>
                              </w:rPr>
                              <w:instrText xml:space="preserve"> SEQ Figure \* ARABIC </w:instrText>
                            </w:r>
                            <w:r w:rsidRPr="00E82198">
                              <w:rPr>
                                <w:i w:val="0"/>
                                <w:iCs w:val="0"/>
                                <w:sz w:val="24"/>
                                <w:szCs w:val="24"/>
                              </w:rPr>
                              <w:fldChar w:fldCharType="separate"/>
                            </w:r>
                            <w:r w:rsidRPr="00E82198">
                              <w:rPr>
                                <w:i w:val="0"/>
                                <w:iCs w:val="0"/>
                                <w:noProof/>
                                <w:sz w:val="24"/>
                                <w:szCs w:val="24"/>
                              </w:rPr>
                              <w:t>3</w:t>
                            </w:r>
                            <w:r w:rsidRPr="00E82198">
                              <w:rPr>
                                <w:i w:val="0"/>
                                <w:iCs w:val="0"/>
                                <w:sz w:val="24"/>
                                <w:szCs w:val="24"/>
                              </w:rPr>
                              <w:fldChar w:fldCharType="end"/>
                            </w:r>
                            <w:r w:rsidRPr="00E82198">
                              <w:rPr>
                                <w:i w:val="0"/>
                                <w:iCs w:val="0"/>
                                <w:sz w:val="24"/>
                                <w:szCs w:val="24"/>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2D5940" id="Metin Kutusu 1" o:spid="_x0000_s1035" type="#_x0000_t202" style="position:absolute;left:0;text-align:left;margin-left:342.95pt;margin-top:7.95pt;width:130.1pt;height:.05pt;z-index:-25131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" stroked="f">
                <v:textbox style="mso-fit-shape-to-text:t" inset="0,0,0,0">
                  <w:txbxContent>
                    <w:p w14:paraId="6A00468B" w14:textId="77777777" w:rsidR="00B4516E" w:rsidRPr="00CC135C" w:rsidRDefault="00B4516E" w:rsidP="00B4516E">
                      <w:pPr>
                        <w:pStyle w:val="Caption1"/>
                        <w:rPr>
                          <w:i w:val="0"/>
                          <w:sz w:val="24"/>
                        </w:rPr>
                      </w:pPr>
                      <w:r w:rsidRPr="00E82198">
                        <w:rPr>
                          <w:i w:val="0"/>
                          <w:iCs w:val="0"/>
                          <w:sz w:val="24"/>
                          <w:szCs w:val="24"/>
                        </w:rPr>
                        <w:t xml:space="preserve">Fig.  </w:t>
                      </w:r>
                      <w:r w:rsidRPr="00E82198">
                        <w:rPr>
                          <w:i w:val="0"/>
                          <w:iCs w:val="0"/>
                          <w:sz w:val="24"/>
                          <w:szCs w:val="24"/>
                        </w:rPr>
                        <w:fldChar w:fldCharType="begin"/>
                      </w:r>
                      <w:r w:rsidRPr="00E82198">
                        <w:rPr>
                          <w:i w:val="0"/>
                          <w:iCs w:val="0"/>
                          <w:sz w:val="24"/>
                          <w:szCs w:val="24"/>
                        </w:rPr>
                        <w:instrText xml:space="preserve"> SEQ Figure \* ARABIC </w:instrText>
                      </w:r>
                      <w:r w:rsidRPr="00E82198">
                        <w:rPr>
                          <w:i w:val="0"/>
                          <w:iCs w:val="0"/>
                          <w:sz w:val="24"/>
                          <w:szCs w:val="24"/>
                        </w:rPr>
                        <w:fldChar w:fldCharType="separate"/>
                      </w:r>
                      <w:r w:rsidRPr="00E82198">
                        <w:rPr>
                          <w:i w:val="0"/>
                          <w:iCs w:val="0"/>
                          <w:noProof/>
                          <w:sz w:val="24"/>
                          <w:szCs w:val="24"/>
                        </w:rPr>
                        <w:t>3</w:t>
                      </w:r>
                      <w:r w:rsidRPr="00E82198">
                        <w:rPr>
                          <w:i w:val="0"/>
                          <w:iCs w:val="0"/>
                          <w:sz w:val="24"/>
                          <w:szCs w:val="24"/>
                        </w:rPr>
                        <w:fldChar w:fldCharType="end"/>
                      </w:r>
                      <w:r w:rsidRPr="00E82198">
                        <w:rPr>
                          <w:i w:val="0"/>
                          <w:iCs w:val="0"/>
                          <w:sz w:val="24"/>
                          <w:szCs w:val="24"/>
                        </w:rPr>
                        <w:t>4</w:t>
                      </w:r>
                    </w:p>
                  </w:txbxContent>
                </v:textbox>
                <w10:wrap type="tight"/>
              </v:shape>
            </w:pict>
          </mc:Fallback>
        </mc:AlternateContent>
      </w:r>
      <w:r w:rsidRPr="006F04E6">
        <w:rPr>
          <w:rFonts w:ascii="Times New Roman" w:hAnsi="Times New Roman"/>
          <w:lang w:val="en-GB"/>
        </w:rPr>
        <w:t>11</w:t>
      </w:r>
      <w:r w:rsidRPr="006F04E6">
        <w:rPr>
          <w:rFonts w:ascii="Times New Roman" w:hAnsi="Times New Roman"/>
          <w:lang w:val="en-GB"/>
        </w:rPr>
        <w:tab/>
        <w:t xml:space="preserve">[a-lu-si </w:t>
      </w:r>
      <w:r w:rsidRPr="006F04E6">
        <w:rPr>
          <w:rFonts w:ascii="Times New Roman" w:hAnsi="Times New Roman"/>
          <w:vertAlign w:val="superscript"/>
          <w:lang w:val="en-GB"/>
        </w:rPr>
        <w:t>URU</w:t>
      </w:r>
      <w:r w:rsidRPr="006F04E6">
        <w:rPr>
          <w:rFonts w:ascii="Times New Roman" w:hAnsi="Times New Roman"/>
          <w:lang w:val="en-GB"/>
        </w:rPr>
        <w:t>ṭu-uš]-pa U[RU]</w:t>
      </w:r>
    </w:p>
    <w:p w14:paraId="191E9CC1" w14:textId="77777777" w:rsidR="00B4516E" w:rsidRPr="006F04E6" w:rsidRDefault="00B4516E" w:rsidP="00B4516E">
      <w:pPr>
        <w:ind w:left="567" w:right="-782" w:hanging="567"/>
        <w:jc w:val="both"/>
        <w:rPr>
          <w:rFonts w:ascii="Times New Roman" w:hAnsi="Times New Roman"/>
          <w:lang w:val="en-GB"/>
        </w:rPr>
      </w:pPr>
      <w:r w:rsidRPr="006F04E6">
        <w:rPr>
          <w:rFonts w:ascii="Times New Roman" w:hAnsi="Times New Roman"/>
          <w:lang w:val="en-GB"/>
        </w:rPr>
        <w:t>12</w:t>
      </w:r>
      <w:r w:rsidRPr="006F04E6">
        <w:rPr>
          <w:rFonts w:ascii="Calibri" w:hAnsi="Calibri"/>
        </w:rPr>
        <w:tab/>
      </w:r>
      <w:r w:rsidRPr="006F04E6">
        <w:rPr>
          <w:rFonts w:ascii="Times New Roman" w:hAnsi="Times New Roman"/>
          <w:lang w:val="en-GB"/>
        </w:rPr>
        <w:t>[</w:t>
      </w:r>
      <w:r w:rsidRPr="006F04E6">
        <w:rPr>
          <w:rFonts w:ascii="Times New Roman" w:hAnsi="Times New Roman"/>
          <w:vertAlign w:val="superscript"/>
          <w:lang w:val="en-GB"/>
        </w:rPr>
        <w:t>D</w:t>
      </w:r>
      <w:r w:rsidRPr="006F04E6">
        <w:rPr>
          <w:rFonts w:ascii="Times New Roman" w:hAnsi="Times New Roman"/>
          <w:lang w:val="en-GB"/>
        </w:rPr>
        <w:t>ḫal-di-ni-ni u]š-ma-ši-n[i]</w:t>
      </w:r>
    </w:p>
    <w:p w14:paraId="46706883"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13</w:t>
      </w:r>
      <w:r w:rsidRPr="006F04E6">
        <w:rPr>
          <w:rFonts w:ascii="Times New Roman" w:hAnsi="Times New Roman"/>
          <w:lang w:val="en-GB"/>
        </w:rPr>
        <w:tab/>
        <w:t xml:space="preserve">[i-ni </w:t>
      </w:r>
      <w:r w:rsidRPr="006F04E6">
        <w:rPr>
          <w:rFonts w:ascii="Times New Roman" w:hAnsi="Times New Roman"/>
          <w:vertAlign w:val="superscript"/>
          <w:lang w:val="en-GB"/>
        </w:rPr>
        <w:t>NA4</w:t>
      </w:r>
      <w:r w:rsidRPr="006F04E6">
        <w:rPr>
          <w:rFonts w:ascii="Times New Roman" w:hAnsi="Times New Roman"/>
          <w:lang w:val="en-GB"/>
        </w:rPr>
        <w:t xml:space="preserve">pu-lu-si] </w:t>
      </w:r>
      <w:r w:rsidRPr="006F04E6">
        <w:rPr>
          <w:rFonts w:ascii="Times New Roman" w:hAnsi="Times New Roman"/>
          <w:vertAlign w:val="superscript"/>
          <w:lang w:val="en-GB"/>
        </w:rPr>
        <w:t>m</w:t>
      </w:r>
      <w:r w:rsidRPr="006F04E6">
        <w:rPr>
          <w:rFonts w:ascii="Times New Roman" w:hAnsi="Times New Roman"/>
          <w:lang w:val="en-GB"/>
        </w:rPr>
        <w:t>mì-nu-[a-še]</w:t>
      </w:r>
    </w:p>
    <w:p w14:paraId="61663F9B"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14</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iš-pu-ú-i-ni-ḫi-ni-še]</w:t>
      </w:r>
    </w:p>
    <w:p w14:paraId="2AA30B3B"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15</w:t>
      </w:r>
      <w:r w:rsidRPr="006F04E6">
        <w:rPr>
          <w:rFonts w:ascii="Times New Roman" w:hAnsi="Times New Roman"/>
          <w:lang w:val="en-GB"/>
        </w:rPr>
        <w:tab/>
        <w:t>[ku-ú-i]-gu-ni</w:t>
      </w:r>
    </w:p>
    <w:p w14:paraId="4BF29BD1"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16</w:t>
      </w:r>
      <w:r w:rsidRPr="006F04E6">
        <w:rPr>
          <w:rFonts w:ascii="Times New Roman" w:hAnsi="Times New Roman"/>
          <w:lang w:val="en-GB"/>
        </w:rPr>
        <w:tab/>
        <w:t>[</w:t>
      </w:r>
      <w:r w:rsidRPr="006F04E6">
        <w:rPr>
          <w:rFonts w:ascii="Times New Roman" w:hAnsi="Times New Roman"/>
          <w:vertAlign w:val="superscript"/>
          <w:lang w:val="en-GB"/>
        </w:rPr>
        <w:t>D</w:t>
      </w:r>
      <w:r w:rsidRPr="006F04E6">
        <w:rPr>
          <w:rFonts w:ascii="Times New Roman" w:hAnsi="Times New Roman"/>
          <w:lang w:val="en-GB"/>
        </w:rPr>
        <w:t>ḫal-di-i]-ni-n[i]</w:t>
      </w:r>
    </w:p>
    <w:p w14:paraId="35508269"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17</w:t>
      </w:r>
      <w:r w:rsidRPr="006F04E6">
        <w:rPr>
          <w:rFonts w:ascii="Times New Roman" w:hAnsi="Times New Roman"/>
          <w:lang w:val="en-GB"/>
        </w:rPr>
        <w:tab/>
        <w:t>[al-su-ú-i-š]i-i-n[i]</w:t>
      </w:r>
    </w:p>
    <w:p w14:paraId="6CA7B5AE"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18</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mì-i-nu]-ú-a-n[i]</w:t>
      </w:r>
    </w:p>
    <w:p w14:paraId="78F1D59C"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19</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iš-pu-ú-i-n]i-e-[ḫi]</w:t>
      </w:r>
    </w:p>
    <w:p w14:paraId="709CB62F"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20</w:t>
      </w:r>
      <w:r w:rsidRPr="006F04E6">
        <w:rPr>
          <w:rFonts w:ascii="Times New Roman" w:hAnsi="Times New Roman"/>
          <w:lang w:val="en-GB"/>
        </w:rPr>
        <w:tab/>
        <w:t xml:space="preserve">[MAN </w:t>
      </w:r>
      <w:r w:rsidRPr="006F04E6">
        <w:rPr>
          <w:rFonts w:ascii="Times New Roman" w:hAnsi="Times New Roman"/>
          <w:i/>
          <w:lang w:val="en-GB"/>
        </w:rPr>
        <w:t>DAN-NU</w:t>
      </w:r>
      <w:r w:rsidRPr="006F04E6">
        <w:rPr>
          <w:rFonts w:ascii="Times New Roman" w:hAnsi="Times New Roman"/>
          <w:lang w:val="en-GB"/>
        </w:rPr>
        <w:t xml:space="preserve"> MAN al]-su-ni</w:t>
      </w:r>
    </w:p>
    <w:p w14:paraId="4706144C"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21</w:t>
      </w:r>
      <w:r w:rsidRPr="006F04E6">
        <w:rPr>
          <w:rFonts w:ascii="Times New Roman" w:hAnsi="Times New Roman"/>
          <w:lang w:val="en-GB"/>
        </w:rPr>
        <w:tab/>
        <w:t xml:space="preserve">[MAN </w:t>
      </w:r>
      <w:r w:rsidRPr="006F04E6">
        <w:rPr>
          <w:rFonts w:ascii="Times New Roman" w:hAnsi="Times New Roman"/>
          <w:vertAlign w:val="superscript"/>
          <w:lang w:val="en-GB"/>
        </w:rPr>
        <w:t>KUR</w:t>
      </w:r>
      <w:r w:rsidRPr="006F04E6">
        <w:rPr>
          <w:rFonts w:ascii="Times New Roman" w:hAnsi="Times New Roman"/>
          <w:lang w:val="en-GB"/>
        </w:rPr>
        <w:t>bi-a]-</w:t>
      </w:r>
      <w:r w:rsidRPr="006F04E6">
        <w:rPr>
          <w:rFonts w:ascii="Cambria Math" w:hAnsi="Cambria Math"/>
          <w:lang w:val="en-GB"/>
        </w:rPr>
        <w:t>⌈</w:t>
      </w:r>
      <w:r w:rsidRPr="006F04E6">
        <w:rPr>
          <w:rFonts w:ascii="Times New Roman" w:hAnsi="Times New Roman"/>
          <w:lang w:val="en-GB"/>
        </w:rPr>
        <w:t>i</w:t>
      </w:r>
      <w:r w:rsidRPr="006F04E6">
        <w:rPr>
          <w:rFonts w:ascii="Cambria Math" w:hAnsi="Cambria Math"/>
          <w:lang w:val="en-GB"/>
        </w:rPr>
        <w:t>⌉</w:t>
      </w:r>
      <w:r w:rsidRPr="006F04E6">
        <w:rPr>
          <w:rFonts w:ascii="Times New Roman" w:hAnsi="Times New Roman"/>
          <w:lang w:val="en-GB"/>
        </w:rPr>
        <w:t>-na-e</w:t>
      </w:r>
    </w:p>
    <w:p w14:paraId="4F457EC0" w14:textId="77777777" w:rsidR="00B4516E" w:rsidRPr="006F04E6" w:rsidRDefault="00B4516E" w:rsidP="00B4516E">
      <w:pPr>
        <w:numPr>
          <w:ilvl w:val="12"/>
          <w:numId w:val="0"/>
        </w:numPr>
        <w:ind w:left="567" w:right="-782" w:hanging="567"/>
        <w:jc w:val="both"/>
        <w:rPr>
          <w:rFonts w:ascii="Times New Roman" w:hAnsi="Times New Roman"/>
          <w:lang w:val="en-GB"/>
        </w:rPr>
      </w:pPr>
      <w:r w:rsidRPr="006F04E6">
        <w:rPr>
          <w:rFonts w:ascii="Times New Roman" w:hAnsi="Times New Roman"/>
          <w:lang w:val="en-GB"/>
        </w:rPr>
        <w:t>22</w:t>
      </w:r>
      <w:r w:rsidRPr="006F04E6">
        <w:rPr>
          <w:rFonts w:ascii="Times New Roman" w:hAnsi="Times New Roman"/>
          <w:lang w:val="en-GB"/>
        </w:rPr>
        <w:tab/>
        <w:t xml:space="preserve">[a-lu-si </w:t>
      </w:r>
      <w:r w:rsidRPr="006F04E6">
        <w:rPr>
          <w:rFonts w:ascii="Times New Roman" w:hAnsi="Times New Roman"/>
          <w:vertAlign w:val="superscript"/>
          <w:lang w:val="en-GB"/>
        </w:rPr>
        <w:t>URU</w:t>
      </w:r>
      <w:r w:rsidRPr="006F04E6">
        <w:rPr>
          <w:rFonts w:ascii="Times New Roman" w:hAnsi="Times New Roman"/>
          <w:lang w:val="en-GB"/>
        </w:rPr>
        <w:t>ṭu]-uš-pa U[RU]</w:t>
      </w:r>
    </w:p>
    <w:p w14:paraId="381C6F1B" w14:textId="77777777" w:rsidR="00B4516E" w:rsidRPr="006F04E6" w:rsidRDefault="00B4516E" w:rsidP="00B4516E">
      <w:pPr>
        <w:rPr>
          <w:rFonts w:ascii="Calibri" w:hAnsi="Calibri"/>
          <w:lang w:val="en-GB"/>
        </w:rPr>
      </w:pPr>
    </w:p>
    <w:p w14:paraId="35DF331B"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“Thanks to the protection of Ḫaldi</w:t>
      </w:r>
      <w:r w:rsidRPr="006F04E6">
        <w:rPr>
          <w:rFonts w:ascii="Times New Roman" w:hAnsi="Times New Roman"/>
          <w:lang w:val="en-GB"/>
        </w:rPr>
        <w:fldChar w:fldCharType="begin"/>
      </w:r>
      <w:r w:rsidRPr="006F04E6">
        <w:rPr>
          <w:rFonts w:ascii="Times New Roman" w:hAnsi="Times New Roman"/>
          <w:lang w:val="en-GB"/>
        </w:rPr>
        <w:instrText xml:space="preserve"> XE "Ḫaldi" </w:instrText>
      </w:r>
      <w:r w:rsidRPr="006F04E6">
        <w:rPr>
          <w:rFonts w:ascii="Times New Roman" w:hAnsi="Times New Roman"/>
          <w:lang w:val="en-GB"/>
        </w:rPr>
        <w:fldChar w:fldCharType="end"/>
      </w:r>
      <w:r w:rsidRPr="006F04E6">
        <w:rPr>
          <w:rFonts w:ascii="Times New Roman" w:hAnsi="Times New Roman"/>
          <w:lang w:val="en-GB"/>
        </w:rPr>
        <w:t xml:space="preserve"> Minua</w:t>
      </w:r>
      <w:r w:rsidRPr="006F04E6">
        <w:rPr>
          <w:rFonts w:ascii="Times New Roman" w:hAnsi="Times New Roman"/>
          <w:lang w:val="en-GB"/>
        </w:rPr>
        <w:fldChar w:fldCharType="begin"/>
      </w:r>
      <w:r w:rsidRPr="006F04E6">
        <w:rPr>
          <w:rFonts w:ascii="Times New Roman" w:hAnsi="Times New Roman"/>
          <w:lang w:val="en-GB"/>
        </w:rPr>
        <w:instrText xml:space="preserve"> XE "Minua" </w:instrText>
      </w:r>
      <w:r w:rsidRPr="006F04E6">
        <w:rPr>
          <w:rFonts w:ascii="Times New Roman" w:hAnsi="Times New Roman"/>
          <w:lang w:val="en-GB"/>
        </w:rPr>
        <w:fldChar w:fldCharType="end"/>
      </w:r>
      <w:r w:rsidRPr="006F04E6">
        <w:rPr>
          <w:rFonts w:ascii="Times New Roman" w:hAnsi="Times New Roman"/>
          <w:lang w:val="en-GB"/>
        </w:rPr>
        <w:t>, the son of Išpuini</w:t>
      </w:r>
      <w:r w:rsidRPr="006F04E6">
        <w:rPr>
          <w:rFonts w:ascii="Times New Roman" w:hAnsi="Times New Roman"/>
          <w:lang w:val="en-GB"/>
        </w:rPr>
        <w:fldChar w:fldCharType="begin"/>
      </w:r>
      <w:r w:rsidRPr="006F04E6">
        <w:rPr>
          <w:rFonts w:ascii="Times New Roman" w:hAnsi="Times New Roman"/>
          <w:lang w:val="en-GB"/>
        </w:rPr>
        <w:instrText xml:space="preserve"> XE "Išpuini" </w:instrText>
      </w:r>
      <w:r w:rsidRPr="006F04E6">
        <w:rPr>
          <w:rFonts w:ascii="Times New Roman" w:hAnsi="Times New Roman"/>
          <w:lang w:val="en-GB"/>
        </w:rPr>
        <w:fldChar w:fldCharType="end"/>
      </w:r>
      <w:r w:rsidRPr="006F04E6">
        <w:rPr>
          <w:rFonts w:ascii="Times New Roman" w:hAnsi="Times New Roman"/>
          <w:lang w:val="en-GB"/>
        </w:rPr>
        <w:t>, erected this stele. Thanks to the greatness of Ḫaldi (I am) Minua, the son of Išpuini, powerful king, great king, king of Biainili</w:t>
      </w:r>
      <w:r w:rsidRPr="006F04E6">
        <w:rPr>
          <w:rFonts w:ascii="Times New Roman" w:hAnsi="Times New Roman"/>
          <w:lang w:val="en-GB"/>
        </w:rPr>
        <w:fldChar w:fldCharType="begin"/>
      </w:r>
      <w:r w:rsidRPr="006F04E6">
        <w:rPr>
          <w:rFonts w:ascii="Times New Roman" w:hAnsi="Times New Roman"/>
          <w:lang w:val="en-GB"/>
        </w:rPr>
        <w:instrText xml:space="preserve"> XE "Biainili" </w:instrText>
      </w:r>
      <w:r w:rsidRPr="006F04E6">
        <w:rPr>
          <w:rFonts w:ascii="Times New Roman" w:hAnsi="Times New Roman"/>
          <w:lang w:val="en-GB"/>
        </w:rPr>
        <w:fldChar w:fldCharType="end"/>
      </w:r>
      <w:r w:rsidRPr="006F04E6">
        <w:rPr>
          <w:rFonts w:ascii="Times New Roman" w:hAnsi="Times New Roman"/>
          <w:lang w:val="en-GB"/>
        </w:rPr>
        <w:t>, lord of the city of Ṭušpa (the text is repeated twice).</w:t>
      </w:r>
    </w:p>
    <w:p w14:paraId="4EB8538C" w14:textId="77777777" w:rsidR="00B4516E" w:rsidRPr="006F04E6" w:rsidRDefault="00B4516E" w:rsidP="00B4516E">
      <w:pPr>
        <w:rPr>
          <w:rFonts w:ascii="Calibri" w:hAnsi="Calibri"/>
          <w:lang w:val="en-GB"/>
        </w:rPr>
      </w:pPr>
    </w:p>
    <w:p w14:paraId="1069F94E" w14:textId="77777777" w:rsidR="00B4516E" w:rsidRPr="006F04E6" w:rsidRDefault="00B4516E" w:rsidP="00B4516E">
      <w:pPr>
        <w:rPr>
          <w:rFonts w:ascii="Times New Roman" w:hAnsi="Times New Roman"/>
          <w:b/>
          <w:lang w:val="en-GB"/>
        </w:rPr>
      </w:pPr>
      <w:r w:rsidRPr="006F04E6">
        <w:rPr>
          <w:rFonts w:ascii="Times New Roman" w:hAnsi="Times New Roman"/>
          <w:b/>
          <w:lang w:val="en-GB"/>
        </w:rPr>
        <w:t>CTU I. A 5-99</w:t>
      </w:r>
    </w:p>
    <w:p w14:paraId="4C8DD7D6" w14:textId="77777777" w:rsidR="00B4516E" w:rsidRPr="006F04E6" w:rsidRDefault="00B4516E" w:rsidP="00B4516E">
      <w:pPr>
        <w:rPr>
          <w:rFonts w:ascii="Times New Roman" w:hAnsi="Times New Roman"/>
          <w:lang w:val="en-GB"/>
        </w:rPr>
      </w:pPr>
      <w:r w:rsidRPr="006F04E6">
        <w:rPr>
          <w:rFonts w:ascii="Times New Roman" w:hAnsi="Times New Roman"/>
          <w:lang w:val="en-GB"/>
        </w:rPr>
        <w:t>Fragment probably found in the Old Van City</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Old Van City</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’s bazaar. Lost.</w:t>
      </w:r>
    </w:p>
    <w:p w14:paraId="789E16EA" w14:textId="77777777" w:rsidR="00B4516E" w:rsidRPr="006F04E6" w:rsidRDefault="00B4516E" w:rsidP="00B4516E">
      <w:pPr>
        <w:rPr>
          <w:rFonts w:ascii="Calibri" w:hAnsi="Calibri"/>
          <w:lang w:val="en-GB"/>
        </w:rPr>
      </w:pPr>
    </w:p>
    <w:p w14:paraId="63E1F79B" w14:textId="77777777" w:rsidR="00B4516E" w:rsidRPr="006F04E6" w:rsidRDefault="00B4516E" w:rsidP="00B4516E">
      <w:pPr>
        <w:ind w:right="-261"/>
        <w:rPr>
          <w:rFonts w:ascii="Times New Roman" w:hAnsi="Times New Roman"/>
          <w:lang w:val="en-GB"/>
        </w:rPr>
      </w:pPr>
      <w:r w:rsidRPr="006F04E6">
        <w:rPr>
          <w:rFonts w:ascii="Times New Roman" w:hAnsi="Times New Roman"/>
          <w:lang w:val="en-GB"/>
        </w:rPr>
        <w:t>1</w:t>
      </w:r>
      <w:r w:rsidRPr="006F04E6">
        <w:rPr>
          <w:rFonts w:ascii="Calibri" w:hAnsi="Calibri"/>
        </w:rPr>
        <w:tab/>
      </w:r>
      <w:r w:rsidRPr="006F04E6">
        <w:rPr>
          <w:rFonts w:ascii="Times New Roman" w:hAnsi="Times New Roman"/>
          <w:lang w:val="en-GB"/>
        </w:rPr>
        <w:t>. . . ] MAN [ . . . .   “King” is part of the titles of Minua</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Minua</w:instrText>
      </w:r>
      <w:r w:rsidRPr="006F04E6">
        <w:rPr>
          <w:rFonts w:ascii="Calibri" w:hAnsi="Calibri"/>
          <w:lang w:val="en-GB"/>
        </w:rPr>
        <w:instrText xml:space="preserve">" </w:instrText>
      </w:r>
      <w:r w:rsidRPr="006F04E6">
        <w:rPr>
          <w:rFonts w:ascii="Times New Roman" w:hAnsi="Times New Roman"/>
          <w:lang w:val="en-GB"/>
        </w:rPr>
        <w:fldChar w:fldCharType="end"/>
      </w:r>
    </w:p>
    <w:p w14:paraId="6EE4E506" w14:textId="77777777" w:rsidR="00B4516E" w:rsidRPr="006F04E6" w:rsidRDefault="00B4516E" w:rsidP="00B4516E">
      <w:pPr>
        <w:ind w:right="-261"/>
        <w:rPr>
          <w:rFonts w:ascii="Times New Roman" w:hAnsi="Times New Roman"/>
        </w:rPr>
      </w:pPr>
      <w:r w:rsidRPr="006F04E6">
        <w:rPr>
          <w:rFonts w:ascii="Times New Roman" w:hAnsi="Times New Roman"/>
        </w:rPr>
        <w:t>2</w:t>
      </w:r>
      <w:r w:rsidRPr="006F04E6">
        <w:rPr>
          <w:rFonts w:ascii="Calibri" w:hAnsi="Calibri"/>
        </w:rPr>
        <w:tab/>
      </w:r>
      <w:r w:rsidRPr="006F04E6">
        <w:rPr>
          <w:rFonts w:ascii="Times New Roman" w:hAnsi="Times New Roman"/>
        </w:rPr>
        <w:t>. . . . . . . . . . . . .</w:t>
      </w:r>
    </w:p>
    <w:p w14:paraId="5E3310B6" w14:textId="77777777" w:rsidR="00B4516E" w:rsidRPr="006F04E6" w:rsidRDefault="00B4516E" w:rsidP="00B4516E">
      <w:pPr>
        <w:ind w:right="-261"/>
        <w:rPr>
          <w:rFonts w:ascii="Times New Roman" w:hAnsi="Times New Roman"/>
          <w:lang w:val="en-GB"/>
        </w:rPr>
      </w:pPr>
      <w:r w:rsidRPr="006F04E6">
        <w:rPr>
          <w:rFonts w:ascii="Times New Roman" w:hAnsi="Times New Roman"/>
          <w:lang w:val="en-GB"/>
        </w:rPr>
        <w:lastRenderedPageBreak/>
        <w:t>3           . . . ]-ni-ni [ . . . . .</w:t>
      </w:r>
    </w:p>
    <w:p w14:paraId="681507C8" w14:textId="77777777" w:rsidR="00B4516E" w:rsidRPr="006F04E6" w:rsidRDefault="00B4516E" w:rsidP="00B4516E">
      <w:pPr>
        <w:ind w:right="-261"/>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mì]-nu-a-še  (Minua</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Minua</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 in the ergative case)</w:t>
      </w:r>
    </w:p>
    <w:p w14:paraId="09D8728E" w14:textId="77777777" w:rsidR="00B4516E" w:rsidRPr="006F04E6" w:rsidRDefault="00B4516E" w:rsidP="00B4516E">
      <w:pPr>
        <w:rPr>
          <w:rFonts w:ascii="Times New Roman" w:hAnsi="Times New Roman"/>
          <w:lang w:val="en-GB"/>
        </w:rPr>
      </w:pPr>
      <w:r w:rsidRPr="006F04E6">
        <w:rPr>
          <w:rFonts w:ascii="Times New Roman" w:hAnsi="Times New Roman"/>
          <w:lang w:val="en-GB"/>
        </w:rPr>
        <w:br w:type="page"/>
      </w:r>
    </w:p>
    <w:p w14:paraId="4FAF5E78" w14:textId="77777777" w:rsidR="00B4516E" w:rsidRPr="006F04E6" w:rsidRDefault="00B4516E" w:rsidP="00B4516E">
      <w:pPr>
        <w:ind w:right="-261"/>
        <w:rPr>
          <w:rFonts w:ascii="Times New Roman" w:hAnsi="Times New Roman"/>
          <w:lang w:val="en-GB"/>
        </w:rPr>
      </w:pPr>
    </w:p>
    <w:p w14:paraId="15C7F3DE" w14:textId="77777777" w:rsidR="00B4516E" w:rsidRPr="006F04E6" w:rsidRDefault="00B4516E" w:rsidP="00B4516E">
      <w:pPr>
        <w:keepNext/>
        <w:keepLines/>
        <w:spacing w:before="280" w:after="80" w:line="276" w:lineRule="auto"/>
        <w:outlineLvl w:val="3"/>
        <w:rPr>
          <w:rFonts w:ascii="Times New Roman" w:hAnsi="Times New Roman"/>
          <w:b/>
          <w:color w:val="0D0D0D"/>
          <w:lang w:val="en-GB"/>
        </w:rPr>
      </w:pPr>
      <w:r w:rsidRPr="006F04E6">
        <w:rPr>
          <w:rFonts w:ascii="Times New Roman" w:hAnsi="Times New Roman"/>
          <w:b/>
          <w:color w:val="0D0D0D"/>
          <w:lang w:val="en-GB"/>
        </w:rPr>
        <w:t>4.2.3.10. The construction inscription of the Van Fortress</w:t>
      </w:r>
      <w:r w:rsidRPr="006F04E6">
        <w:rPr>
          <w:rFonts w:ascii="Times New Roman" w:eastAsia="Arial" w:hAnsi="Times New Roman" w:cs="Times New Roman"/>
          <w:b/>
          <w:bCs/>
          <w:color w:val="0D0D0D"/>
          <w:lang w:val="en-GB" w:eastAsia="tr-TR" w:bidi="he-IL"/>
        </w:rPr>
        <w:t>?</w:t>
      </w:r>
      <w:r w:rsidRPr="006F04E6">
        <w:rPr>
          <w:rFonts w:ascii="Times New Roman" w:hAnsi="Times New Roman"/>
          <w:b/>
          <w:color w:val="0D0D0D"/>
          <w:lang w:val="en-GB"/>
        </w:rPr>
        <w:t xml:space="preserve"> = CTU A 5-103</w:t>
      </w:r>
    </w:p>
    <w:p w14:paraId="32E3500F" w14:textId="77777777" w:rsidR="00B4516E" w:rsidRPr="006F04E6" w:rsidRDefault="00B4516E" w:rsidP="00B4516E">
      <w:pPr>
        <w:jc w:val="both"/>
        <w:rPr>
          <w:rFonts w:ascii="Times New Roman" w:hAnsi="Times New Roman"/>
          <w:lang w:val="en-GB"/>
        </w:rPr>
      </w:pPr>
      <w:r w:rsidRPr="006F04E6">
        <w:rPr>
          <w:rFonts w:ascii="Times New Roman" w:eastAsia="Calibri" w:hAnsi="Times New Roman" w:cs="Times New Roman"/>
          <w:lang w:val="en-GB"/>
        </w:rPr>
        <w:t>The stone</w:t>
      </w:r>
      <w:r w:rsidRPr="006F04E6">
        <w:rPr>
          <w:rFonts w:ascii="Times New Roman" w:hAnsi="Times New Roman"/>
          <w:lang w:val="en-GB"/>
        </w:rPr>
        <w:t xml:space="preserve"> slab </w:t>
      </w:r>
      <w:r w:rsidRPr="006F04E6">
        <w:rPr>
          <w:rFonts w:ascii="Times New Roman" w:eastAsia="Calibri" w:hAnsi="Times New Roman" w:cs="Times New Roman"/>
          <w:lang w:val="en-GB"/>
        </w:rPr>
        <w:t xml:space="preserve">is </w:t>
      </w:r>
      <w:r w:rsidRPr="006F04E6">
        <w:rPr>
          <w:rFonts w:ascii="Times New Roman" w:hAnsi="Times New Roman"/>
          <w:lang w:val="en-GB"/>
        </w:rPr>
        <w:t xml:space="preserve">broken into two sections containing </w:t>
      </w:r>
      <w:r w:rsidRPr="006F04E6">
        <w:rPr>
          <w:rFonts w:ascii="Times New Roman" w:eastAsia="Calibri" w:hAnsi="Times New Roman" w:cs="Times New Roman"/>
          <w:lang w:val="en-GB"/>
        </w:rPr>
        <w:t xml:space="preserve">a </w:t>
      </w:r>
      <w:r w:rsidRPr="006F04E6">
        <w:rPr>
          <w:rFonts w:ascii="Times New Roman" w:hAnsi="Times New Roman"/>
          <w:lang w:val="en-GB"/>
        </w:rPr>
        <w:t xml:space="preserve">title and curse formula, with mature handwriting. </w:t>
      </w:r>
      <w:r w:rsidRPr="006F04E6">
        <w:rPr>
          <w:rFonts w:ascii="Times New Roman" w:eastAsia="Calibri" w:hAnsi="Times New Roman" w:cs="Times New Roman"/>
          <w:lang w:val="en-GB"/>
        </w:rPr>
        <w:t>It was coming</w:t>
      </w:r>
      <w:r w:rsidRPr="006F04E6">
        <w:rPr>
          <w:rFonts w:ascii="Times New Roman" w:hAnsi="Times New Roman"/>
          <w:lang w:val="en-GB"/>
        </w:rPr>
        <w:t xml:space="preserve"> from the Van area (Kenan Işık 21.4.2014). It is not clear where this inscription comes from. It would be the first to report the construction of a fortress in Van itself. If one checks the places where Minua</w:t>
      </w:r>
      <w:r w:rsidRPr="006F04E6">
        <w:rPr>
          <w:rFonts w:ascii="Times New Roman" w:eastAsia="Calibri" w:hAnsi="Times New Roman" w:cs="Times New Roman"/>
          <w:lang w:val="en-GB"/>
        </w:rPr>
        <w:t> </w:t>
      </w:r>
      <w:r w:rsidRPr="006F04E6">
        <w:rPr>
          <w:rFonts w:asciiTheme="majorBidi" w:hAnsiTheme="majorBidi" w:cstheme="majorBidi"/>
          <w:lang w:val="en-GB"/>
        </w:rPr>
        <w:fldChar w:fldCharType="begin"/>
      </w:r>
      <w:r w:rsidRPr="006F04E6">
        <w:rPr>
          <w:rFonts w:asciiTheme="majorBidi" w:hAnsiTheme="majorBidi" w:cstheme="majorBidi"/>
          <w:lang w:val="en-GB"/>
        </w:rPr>
        <w:instrText xml:space="preserve"> XE "Minua" </w:instrText>
      </w:r>
      <w:r w:rsidRPr="006F04E6">
        <w:rPr>
          <w:rFonts w:asciiTheme="majorBidi" w:hAnsiTheme="majorBidi" w:cstheme="majorBidi"/>
          <w:lang w:val="en-GB"/>
        </w:rPr>
        <w:fldChar w:fldCharType="end"/>
      </w:r>
      <w:r w:rsidRPr="006F04E6">
        <w:rPr>
          <w:rFonts w:asciiTheme="majorBidi" w:hAnsiTheme="majorBidi" w:cstheme="majorBidi"/>
          <w:lang w:val="en-GB"/>
        </w:rPr>
        <w:t xml:space="preserve"> </w:t>
      </w:r>
      <w:r w:rsidRPr="006F04E6">
        <w:rPr>
          <w:rFonts w:ascii="Times New Roman" w:hAnsi="Times New Roman"/>
          <w:lang w:val="en-GB"/>
        </w:rPr>
        <w:t>texts were found that celebrate the construction of fortresses (CTU II p. 410 s.v. É</w:t>
      </w:r>
      <w:r w:rsidRPr="006F04E6">
        <w:rPr>
          <w:rFonts w:asciiTheme="majorBidi" w:hAnsiTheme="majorBidi" w:cstheme="majorBidi"/>
          <w:lang w:val="en-GB"/>
        </w:rPr>
        <w:t>.</w:t>
      </w:r>
      <w:r w:rsidRPr="006F04E6">
        <w:rPr>
          <w:rFonts w:ascii="Times New Roman" w:hAnsi="Times New Roman"/>
          <w:lang w:val="en-GB"/>
        </w:rPr>
        <w:t>GAL</w:t>
      </w:r>
      <w:r w:rsidRPr="006F04E6">
        <w:rPr>
          <w:rFonts w:ascii="Times New Roman" w:eastAsia="Calibri" w:hAnsi="Times New Roman" w:cs="Times New Roman"/>
          <w:lang w:val="en-GB"/>
        </w:rPr>
        <w:t>)</w:t>
      </w:r>
      <w:r w:rsidRPr="006F04E6">
        <w:rPr>
          <w:rFonts w:ascii="Times New Roman" w:hAnsi="Times New Roman"/>
          <w:lang w:val="en-GB"/>
        </w:rPr>
        <w:t>one finds that they come from other places, near or far, but not from the Van area. It is</w:t>
      </w:r>
      <w:r w:rsidRPr="006F04E6">
        <w:rPr>
          <w:rFonts w:ascii="Times New Roman" w:eastAsia="Calibri" w:hAnsi="Times New Roman" w:cs="Times New Roman"/>
          <w:lang w:val="en-GB"/>
        </w:rPr>
        <w:t>,</w:t>
      </w:r>
      <w:r w:rsidRPr="006F04E6">
        <w:rPr>
          <w:rFonts w:ascii="Times New Roman" w:hAnsi="Times New Roman"/>
          <w:lang w:val="en-GB"/>
        </w:rPr>
        <w:t xml:space="preserve"> therefore</w:t>
      </w:r>
      <w:r w:rsidRPr="006F04E6">
        <w:rPr>
          <w:rFonts w:ascii="Times New Roman" w:eastAsia="Calibri" w:hAnsi="Times New Roman" w:cs="Times New Roman"/>
          <w:lang w:val="en-GB"/>
        </w:rPr>
        <w:t>,</w:t>
      </w:r>
      <w:r w:rsidRPr="006F04E6">
        <w:rPr>
          <w:rFonts w:ascii="Times New Roman" w:hAnsi="Times New Roman"/>
          <w:lang w:val="en-GB"/>
        </w:rPr>
        <w:t xml:space="preserve"> doubtful whether he refers to Van Fortress.</w:t>
      </w:r>
    </w:p>
    <w:p w14:paraId="55832311" w14:textId="77777777" w:rsidR="00B4516E" w:rsidRPr="006F04E6" w:rsidRDefault="00B4516E" w:rsidP="00B4516E">
      <w:pPr>
        <w:jc w:val="both"/>
        <w:rPr>
          <w:rFonts w:ascii="Times New Roman" w:hAnsi="Times New Roman"/>
          <w:lang w:val="en-GB"/>
        </w:rPr>
      </w:pPr>
    </w:p>
    <w:p w14:paraId="22E5384A" w14:textId="77777777" w:rsidR="00B4516E" w:rsidRPr="006F04E6" w:rsidRDefault="00B4516E" w:rsidP="00B4516E">
      <w:pPr>
        <w:jc w:val="both"/>
        <w:rPr>
          <w:rFonts w:ascii="Times New Roman" w:hAnsi="Times New Roman"/>
          <w:b/>
          <w:lang w:val="en-GB"/>
        </w:rPr>
      </w:pPr>
      <w:r w:rsidRPr="006F04E6">
        <w:rPr>
          <w:rFonts w:ascii="Times New Roman" w:hAnsi="Times New Roman"/>
          <w:b/>
          <w:lang w:val="en-GB"/>
        </w:rPr>
        <w:t>CTU A 5-103</w:t>
      </w:r>
    </w:p>
    <w:p w14:paraId="4EAD450D"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ḫal-di-ni-ni uš-ma-š[i-ni]</w:t>
      </w:r>
    </w:p>
    <w:p w14:paraId="683ED937"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mì-nu-ú-</w:t>
      </w:r>
      <w:r w:rsidRPr="006F04E6">
        <w:rPr>
          <w:rFonts w:ascii="Cambria Math" w:hAnsi="Cambria Math"/>
          <w:lang w:val="en-GB"/>
        </w:rPr>
        <w:t>⌈</w:t>
      </w:r>
      <w:r w:rsidRPr="006F04E6">
        <w:rPr>
          <w:rFonts w:ascii="Times New Roman" w:hAnsi="Times New Roman"/>
          <w:lang w:val="en-GB"/>
        </w:rPr>
        <w:t>a</w:t>
      </w:r>
      <w:r w:rsidRPr="006F04E6">
        <w:rPr>
          <w:rFonts w:ascii="Cambria Math" w:hAnsi="Cambria Math"/>
          <w:lang w:val="en-GB"/>
        </w:rPr>
        <w:t>⌉</w:t>
      </w:r>
      <w:r w:rsidRPr="006F04E6">
        <w:rPr>
          <w:rFonts w:ascii="Times New Roman" w:hAnsi="Times New Roman"/>
          <w:lang w:val="en-GB"/>
        </w:rPr>
        <w:t xml:space="preserve">-[še] </w:t>
      </w:r>
    </w:p>
    <w:p w14:paraId="4E1FF67C"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r>
      <w:r w:rsidRPr="006F04E6">
        <w:rPr>
          <w:rFonts w:ascii="Times New Roman" w:hAnsi="Times New Roman"/>
          <w:vertAlign w:val="superscript"/>
          <w:lang w:val="en-GB"/>
        </w:rPr>
        <w:t>m</w:t>
      </w:r>
      <w:r w:rsidRPr="006F04E6">
        <w:rPr>
          <w:rFonts w:ascii="Times New Roman" w:hAnsi="Times New Roman"/>
          <w:lang w:val="en-GB"/>
        </w:rPr>
        <w:t>iš-pu-ú-i-ni-ḫi-n[i-še]</w:t>
      </w:r>
    </w:p>
    <w:p w14:paraId="3B3FD547"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i-ni É</w:t>
      </w:r>
      <w:r w:rsidRPr="006F04E6">
        <w:rPr>
          <w:rFonts w:ascii="Times New Roman" w:hAnsi="Times New Roman"/>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É</w:instrText>
      </w:r>
      <w:r w:rsidRPr="006F04E6">
        <w:rPr>
          <w:rFonts w:ascii="Calibri" w:hAnsi="Calibri"/>
          <w:lang w:val="en-GB"/>
        </w:rPr>
        <w:instrText xml:space="preserve">" </w:instrText>
      </w:r>
      <w:r w:rsidRPr="006F04E6">
        <w:rPr>
          <w:rFonts w:ascii="Times New Roman" w:hAnsi="Times New Roman"/>
          <w:lang w:val="en-GB"/>
        </w:rPr>
        <w:fldChar w:fldCharType="end"/>
      </w:r>
      <w:r w:rsidRPr="006F04E6">
        <w:rPr>
          <w:rFonts w:ascii="Times New Roman" w:hAnsi="Times New Roman"/>
          <w:lang w:val="en-GB"/>
        </w:rPr>
        <w:t xml:space="preserve">.GAL ši-di-i[š-tú-ni] </w:t>
      </w:r>
    </w:p>
    <w:p w14:paraId="1AE5E3A8"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ba-du-ú-si-e MAN [</w:t>
      </w:r>
      <w:r w:rsidRPr="006F04E6">
        <w:rPr>
          <w:rFonts w:ascii="Times New Roman" w:hAnsi="Times New Roman"/>
          <w:i/>
          <w:lang w:val="en-GB"/>
        </w:rPr>
        <w:t>DAN-NU</w:t>
      </w:r>
      <w:r w:rsidRPr="006F04E6">
        <w:rPr>
          <w:rFonts w:ascii="Times New Roman" w:hAnsi="Times New Roman"/>
          <w:lang w:val="en-GB"/>
        </w:rPr>
        <w:t>]</w:t>
      </w:r>
    </w:p>
    <w:p w14:paraId="005B55DD"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t xml:space="preserve">MAN </w:t>
      </w:r>
      <w:r w:rsidRPr="006F04E6">
        <w:rPr>
          <w:rFonts w:ascii="Times New Roman" w:hAnsi="Times New Roman"/>
          <w:vertAlign w:val="superscript"/>
          <w:lang w:val="en-GB"/>
        </w:rPr>
        <w:t>KUR</w:t>
      </w:r>
      <w:r w:rsidRPr="006F04E6">
        <w:rPr>
          <w:rFonts w:ascii="Times New Roman" w:hAnsi="Times New Roman"/>
          <w:lang w:val="en-GB"/>
        </w:rPr>
        <w:t>bi-i-a-i-na-a-</w:t>
      </w:r>
      <w:r w:rsidRPr="006F04E6">
        <w:rPr>
          <w:rFonts w:ascii="Cambria Math" w:hAnsi="Cambria Math"/>
          <w:lang w:val="en-GB"/>
        </w:rPr>
        <w:t>⌈</w:t>
      </w:r>
      <w:r w:rsidRPr="006F04E6">
        <w:rPr>
          <w:rFonts w:ascii="Times New Roman" w:hAnsi="Times New Roman"/>
          <w:lang w:val="en-GB"/>
        </w:rPr>
        <w:t>ú</w:t>
      </w:r>
      <w:r w:rsidRPr="006F04E6">
        <w:rPr>
          <w:rFonts w:ascii="Cambria Math" w:hAnsi="Cambria Math"/>
          <w:lang w:val="en-GB"/>
        </w:rPr>
        <w:t>⌉</w:t>
      </w:r>
      <w:r w:rsidRPr="006F04E6">
        <w:rPr>
          <w:rFonts w:ascii="Times New Roman" w:hAnsi="Times New Roman"/>
          <w:lang w:val="en-GB"/>
        </w:rPr>
        <w:t>-[e]</w:t>
      </w:r>
    </w:p>
    <w:p w14:paraId="4AF9AABE"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r>
      <w:r w:rsidRPr="006F04E6">
        <w:rPr>
          <w:rFonts w:ascii="Cambria Math" w:hAnsi="Cambria Math"/>
          <w:lang w:val="en-GB"/>
        </w:rPr>
        <w:t>⌈</w:t>
      </w:r>
      <w:r w:rsidRPr="006F04E6">
        <w:rPr>
          <w:rFonts w:ascii="Times New Roman" w:hAnsi="Times New Roman"/>
          <w:lang w:val="en-GB"/>
        </w:rPr>
        <w:t xml:space="preserve">a-lu-si </w:t>
      </w:r>
      <w:r w:rsidRPr="006F04E6">
        <w:rPr>
          <w:rFonts w:ascii="Times New Roman" w:hAnsi="Times New Roman"/>
          <w:vertAlign w:val="superscript"/>
          <w:lang w:val="en-GB"/>
        </w:rPr>
        <w:t>URU</w:t>
      </w:r>
      <w:r w:rsidRPr="006F04E6">
        <w:rPr>
          <w:rFonts w:ascii="Times New Roman" w:hAnsi="Times New Roman"/>
          <w:lang w:val="en-GB"/>
        </w:rPr>
        <w:t>ṭu-uš</w:t>
      </w:r>
      <w:r w:rsidRPr="006F04E6">
        <w:rPr>
          <w:rFonts w:ascii="Cambria Math" w:hAnsi="Cambria Math"/>
          <w:lang w:val="en-GB"/>
        </w:rPr>
        <w:t>⌉</w:t>
      </w:r>
      <w:r w:rsidRPr="006F04E6">
        <w:rPr>
          <w:rFonts w:ascii="Times New Roman" w:hAnsi="Times New Roman"/>
          <w:lang w:val="en-GB"/>
        </w:rPr>
        <w:t>-[pa-a URU]</w:t>
      </w:r>
    </w:p>
    <w:p w14:paraId="67182259" w14:textId="77777777" w:rsidR="00B4516E" w:rsidRPr="006F04E6" w:rsidRDefault="00B4516E" w:rsidP="00B4516E">
      <w:pPr>
        <w:ind w:left="567" w:right="-261" w:hanging="567"/>
        <w:jc w:val="both"/>
        <w:rPr>
          <w:rFonts w:ascii="Times New Roman" w:hAnsi="Times New Roman"/>
          <w:lang w:val="en-GB"/>
        </w:rPr>
      </w:pPr>
      <w:r w:rsidRPr="006F04E6">
        <w:rPr>
          <w:rFonts w:ascii="Times New Roman" w:hAnsi="Times New Roman"/>
          <w:noProof/>
          <w:color w:val="202124"/>
          <w:lang w:eastAsia="tr-TR"/>
        </w:rPr>
        <w:drawing>
          <wp:anchor distT="0" distB="0" distL="114300" distR="114300" simplePos="0" relativeHeight="251998208" behindDoc="1" locked="0" layoutInCell="1" allowOverlap="1" wp14:anchorId="799D5762" wp14:editId="242E4569">
            <wp:simplePos x="0" y="0"/>
            <wp:positionH relativeFrom="margin">
              <wp:posOffset>3003677</wp:posOffset>
            </wp:positionH>
            <wp:positionV relativeFrom="margin">
              <wp:posOffset>3159125</wp:posOffset>
            </wp:positionV>
            <wp:extent cx="3242945" cy="1727200"/>
            <wp:effectExtent l="0" t="0" r="0" b="6350"/>
            <wp:wrapTight wrapText="bothSides">
              <wp:wrapPolygon edited="0">
                <wp:start x="0" y="0"/>
                <wp:lineTo x="0" y="21441"/>
                <wp:lineTo x="21444" y="21441"/>
                <wp:lineTo x="21444" y="0"/>
                <wp:lineTo x="0" y="0"/>
              </wp:wrapPolygon>
            </wp:wrapTight>
            <wp:docPr id="1313347207" name="Resim 1313347207" descr="A 5-103 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5-103 o 4"/>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3242945"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04E6">
        <w:rPr>
          <w:rFonts w:ascii="Times New Roman" w:hAnsi="Times New Roman"/>
          <w:lang w:val="en-GB"/>
        </w:rPr>
        <w:t>8</w:t>
      </w:r>
      <w:r w:rsidRPr="006F04E6">
        <w:rPr>
          <w:rFonts w:ascii="Times New Roman" w:hAnsi="Times New Roman"/>
          <w:lang w:val="en-GB"/>
        </w:rPr>
        <w:tab/>
        <w:t>[</w:t>
      </w:r>
      <w:r w:rsidRPr="006F04E6">
        <w:rPr>
          <w:rFonts w:ascii="Times New Roman" w:hAnsi="Times New Roman"/>
          <w:vertAlign w:val="superscript"/>
          <w:lang w:val="en-GB"/>
        </w:rPr>
        <w:t>m</w:t>
      </w:r>
      <w:r w:rsidRPr="006F04E6">
        <w:rPr>
          <w:rFonts w:ascii="Times New Roman" w:hAnsi="Times New Roman"/>
          <w:lang w:val="en-GB"/>
        </w:rPr>
        <w:t>m]ì-nu-[a]-še [a-l]i [a-lu-š]e</w:t>
      </w:r>
    </w:p>
    <w:p w14:paraId="23EAAB11" w14:textId="77777777" w:rsidR="00B4516E" w:rsidRPr="006F04E6" w:rsidRDefault="00B4516E" w:rsidP="00B4516E">
      <w:pPr>
        <w:ind w:right="-261"/>
        <w:jc w:val="both"/>
        <w:rPr>
          <w:rFonts w:ascii="Times New Roman" w:hAnsi="Times New Roman"/>
          <w:lang w:val="en-GB"/>
        </w:rPr>
      </w:pPr>
      <w:r w:rsidRPr="006F04E6">
        <w:rPr>
          <w:rFonts w:ascii="Times New Roman" w:hAnsi="Times New Roman"/>
          <w:lang w:val="en-GB"/>
        </w:rPr>
        <w:t>9        [i]-ni DUB-te tú-l[i]-e</w:t>
      </w:r>
    </w:p>
    <w:p w14:paraId="7CB172E1" w14:textId="77777777" w:rsidR="00B4516E" w:rsidRPr="006F04E6" w:rsidRDefault="00B4516E" w:rsidP="00B4516E">
      <w:pPr>
        <w:ind w:right="-261"/>
        <w:jc w:val="both"/>
        <w:rPr>
          <w:rFonts w:ascii="Times New Roman" w:hAnsi="Times New Roman"/>
          <w:lang w:val="en-GB"/>
        </w:rPr>
      </w:pPr>
      <w:r w:rsidRPr="006F04E6">
        <w:rPr>
          <w:rFonts w:ascii="Times New Roman" w:hAnsi="Times New Roman"/>
          <w:lang w:val="en-GB"/>
        </w:rPr>
        <w:t>10      a-lu-še pi-tú-li-i-e</w:t>
      </w:r>
    </w:p>
    <w:p w14:paraId="3E911B6C" w14:textId="77777777" w:rsidR="00B4516E" w:rsidRPr="006F04E6" w:rsidRDefault="00B4516E" w:rsidP="00B4516E">
      <w:pPr>
        <w:ind w:right="-261"/>
        <w:jc w:val="both"/>
        <w:rPr>
          <w:rFonts w:ascii="Times New Roman" w:hAnsi="Times New Roman"/>
          <w:lang w:val="en-GB"/>
        </w:rPr>
      </w:pPr>
      <w:r w:rsidRPr="006F04E6">
        <w:rPr>
          <w:rFonts w:ascii="Times New Roman" w:hAnsi="Times New Roman"/>
          <w:lang w:val="en-GB"/>
        </w:rPr>
        <w:t xml:space="preserve">11      tú-ri-ni-ni </w:t>
      </w:r>
      <w:r w:rsidRPr="006F04E6">
        <w:rPr>
          <w:rFonts w:ascii="Times New Roman" w:hAnsi="Times New Roman"/>
          <w:vertAlign w:val="superscript"/>
          <w:lang w:val="en-GB"/>
        </w:rPr>
        <w:t>D</w:t>
      </w:r>
      <w:r w:rsidRPr="006F04E6">
        <w:rPr>
          <w:rFonts w:ascii="Times New Roman" w:hAnsi="Times New Roman"/>
          <w:lang w:val="en-GB"/>
        </w:rPr>
        <w:t>ḫal-di-še</w:t>
      </w:r>
    </w:p>
    <w:p w14:paraId="5FD5D779" w14:textId="77777777" w:rsidR="00B4516E" w:rsidRPr="006F04E6" w:rsidRDefault="00B4516E" w:rsidP="00B4516E">
      <w:pPr>
        <w:ind w:right="-261"/>
        <w:jc w:val="both"/>
        <w:rPr>
          <w:rFonts w:ascii="Times New Roman" w:hAnsi="Times New Roman"/>
          <w:lang w:val="en-GB"/>
        </w:rPr>
      </w:pPr>
      <w:r w:rsidRPr="006F04E6">
        <w:rPr>
          <w:rFonts w:ascii="Times New Roman" w:hAnsi="Times New Roman"/>
          <w:lang w:val="en-GB"/>
        </w:rPr>
        <w:t xml:space="preserve">12      </w:t>
      </w:r>
      <w:r w:rsidRPr="006F04E6">
        <w:rPr>
          <w:rFonts w:ascii="Times New Roman" w:hAnsi="Times New Roman"/>
          <w:vertAlign w:val="superscript"/>
          <w:lang w:val="en-GB"/>
        </w:rPr>
        <w:t>D</w:t>
      </w:r>
      <w:r w:rsidRPr="006F04E6">
        <w:rPr>
          <w:rFonts w:ascii="Times New Roman" w:hAnsi="Times New Roman"/>
          <w:lang w:val="en-GB"/>
        </w:rPr>
        <w:t xml:space="preserve">IM-še </w:t>
      </w:r>
      <w:r w:rsidRPr="006F04E6">
        <w:rPr>
          <w:rFonts w:ascii="Times New Roman" w:hAnsi="Times New Roman"/>
          <w:vertAlign w:val="superscript"/>
          <w:lang w:val="en-GB"/>
        </w:rPr>
        <w:t>D</w:t>
      </w:r>
      <w:r w:rsidRPr="006F04E6">
        <w:rPr>
          <w:rFonts w:ascii="Times New Roman" w:hAnsi="Times New Roman"/>
          <w:lang w:val="en-GB"/>
        </w:rPr>
        <w:t>UTU-še DINGIR</w:t>
      </w:r>
      <w:r w:rsidRPr="006F04E6">
        <w:rPr>
          <w:rFonts w:ascii="Times New Roman" w:hAnsi="Times New Roman"/>
          <w:vertAlign w:val="superscript"/>
          <w:lang w:val="en-GB"/>
        </w:rPr>
        <w:t>MEŠ</w:t>
      </w:r>
      <w:r w:rsidRPr="006F04E6">
        <w:rPr>
          <w:rFonts w:ascii="Times New Roman" w:hAnsi="Times New Roman"/>
          <w:lang w:val="en-GB"/>
        </w:rPr>
        <w:t>-še</w:t>
      </w:r>
    </w:p>
    <w:p w14:paraId="29B8239C" w14:textId="77777777" w:rsidR="00B4516E" w:rsidRPr="006F04E6" w:rsidRDefault="00B4516E" w:rsidP="00B4516E">
      <w:pPr>
        <w:ind w:right="-261"/>
        <w:jc w:val="both"/>
        <w:rPr>
          <w:rFonts w:ascii="Times New Roman" w:hAnsi="Times New Roman"/>
          <w:lang w:val="en-GB"/>
        </w:rPr>
      </w:pPr>
      <w:r w:rsidRPr="006F04E6">
        <w:rPr>
          <w:rFonts w:ascii="Times New Roman" w:hAnsi="Times New Roman"/>
          <w:lang w:val="en-GB"/>
        </w:rPr>
        <w:t xml:space="preserve">13      ma-a-ni </w:t>
      </w:r>
      <w:r w:rsidRPr="006F04E6">
        <w:rPr>
          <w:rFonts w:ascii="Times New Roman" w:hAnsi="Times New Roman"/>
          <w:vertAlign w:val="superscript"/>
          <w:lang w:val="en-GB"/>
        </w:rPr>
        <w:t>D</w:t>
      </w:r>
      <w:r w:rsidRPr="006F04E6">
        <w:rPr>
          <w:rFonts w:ascii="Times New Roman" w:hAnsi="Times New Roman"/>
          <w:lang w:val="en-GB"/>
        </w:rPr>
        <w:t>UTU-ni pi-e-ni</w:t>
      </w:r>
    </w:p>
    <w:p w14:paraId="183AEBAB" w14:textId="77777777" w:rsidR="00B4516E" w:rsidRPr="006F04E6" w:rsidRDefault="00B4516E" w:rsidP="00B4516E">
      <w:pPr>
        <w:ind w:right="-261"/>
        <w:jc w:val="both"/>
        <w:rPr>
          <w:rFonts w:ascii="Times New Roman" w:hAnsi="Times New Roman"/>
          <w:lang w:val="en-GB"/>
        </w:rPr>
      </w:pPr>
    </w:p>
    <w:p w14:paraId="276FCA5A" w14:textId="77777777" w:rsidR="00B4516E" w:rsidRPr="006F04E6" w:rsidRDefault="00B4516E" w:rsidP="00B4516E">
      <w:pPr>
        <w:rPr>
          <w:rFonts w:ascii="Times New Roman" w:hAnsi="Times New Roman"/>
          <w:lang w:val="en-GB"/>
        </w:rPr>
      </w:pPr>
    </w:p>
    <w:p w14:paraId="06B2A043" w14:textId="77777777" w:rsidR="00B4516E" w:rsidRPr="006F04E6" w:rsidRDefault="00B4516E" w:rsidP="00B4516E">
      <w:pPr>
        <w:rPr>
          <w:rFonts w:ascii="Times New Roman" w:hAnsi="Times New Roman"/>
          <w:lang w:val="en-GB"/>
        </w:rPr>
      </w:pPr>
    </w:p>
    <w:p w14:paraId="0DBADB59" w14:textId="77777777" w:rsidR="00B4516E" w:rsidRPr="006F04E6" w:rsidRDefault="00B4516E" w:rsidP="00B4516E">
      <w:pPr>
        <w:rPr>
          <w:rFonts w:ascii="Times New Roman" w:hAnsi="Times New Roman"/>
          <w:lang w:val="en-GB"/>
        </w:rPr>
      </w:pPr>
    </w:p>
    <w:p w14:paraId="547D90DD" w14:textId="77777777" w:rsidR="00B4516E" w:rsidRPr="006F04E6" w:rsidRDefault="00B4516E" w:rsidP="00B4516E">
      <w:pPr>
        <w:rPr>
          <w:rFonts w:ascii="Times New Roman" w:hAnsi="Times New Roman"/>
          <w:lang w:val="en-GB"/>
        </w:rPr>
      </w:pPr>
    </w:p>
    <w:p w14:paraId="702B5C94" w14:textId="77777777" w:rsidR="00B4516E" w:rsidRPr="006F04E6" w:rsidRDefault="00B4516E" w:rsidP="00B4516E">
      <w:pPr>
        <w:jc w:val="both"/>
        <w:rPr>
          <w:rFonts w:ascii="Times New Roman" w:hAnsi="Times New Roman"/>
          <w:lang w:val="en-GB"/>
        </w:rPr>
      </w:pPr>
      <w:r w:rsidRPr="006F04E6">
        <w:rPr>
          <w:rFonts w:ascii="Times New Roman" w:hAnsi="Times New Roman"/>
          <w:noProof/>
          <w:lang w:eastAsia="tr-TR"/>
        </w:rPr>
        <mc:AlternateContent>
          <mc:Choice Requires="wps">
            <w:drawing>
              <wp:anchor distT="0" distB="0" distL="114300" distR="114300" simplePos="0" relativeHeight="251986944" behindDoc="0" locked="0" layoutInCell="1" allowOverlap="1" wp14:anchorId="1E299BE6" wp14:editId="3D4E765C">
                <wp:simplePos x="0" y="0"/>
                <wp:positionH relativeFrom="column">
                  <wp:posOffset>2943641</wp:posOffset>
                </wp:positionH>
                <wp:positionV relativeFrom="paragraph">
                  <wp:posOffset>10385</wp:posOffset>
                </wp:positionV>
                <wp:extent cx="2383155" cy="258445"/>
                <wp:effectExtent l="0" t="0" r="0" b="0"/>
                <wp:wrapTight wrapText="bothSides">
                  <wp:wrapPolygon edited="0">
                    <wp:start x="0" y="0"/>
                    <wp:lineTo x="0" y="20698"/>
                    <wp:lineTo x="21410" y="20698"/>
                    <wp:lineTo x="21410" y="0"/>
                    <wp:lineTo x="0" y="0"/>
                  </wp:wrapPolygon>
                </wp:wrapTight>
                <wp:docPr id="1573421943" name="Casella di tes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3155" cy="258445"/>
                        </a:xfrm>
                        <a:prstGeom prst="rect">
                          <a:avLst/>
                        </a:prstGeom>
                        <a:solidFill>
                          <a:prstClr val="white"/>
                        </a:solidFill>
                        <a:ln>
                          <a:noFill/>
                        </a:ln>
                        <a:effectLst/>
                      </wps:spPr>
                      <wps:txbx>
                        <w:txbxContent>
                          <w:p w14:paraId="279F37FC" w14:textId="77777777" w:rsidR="00B4516E" w:rsidRPr="00CC135C" w:rsidRDefault="00B4516E" w:rsidP="00B4516E">
                            <w:pPr>
                              <w:pStyle w:val="Caption1"/>
                              <w:rPr>
                                <w:b/>
                                <w:i w:val="0"/>
                                <w:color w:val="auto"/>
                                <w:sz w:val="24"/>
                              </w:rPr>
                            </w:pPr>
                            <w:r w:rsidRPr="00CC135C">
                              <w:rPr>
                                <w:rFonts w:ascii="SemiramisUnicode" w:hAnsi="SemiramisUnicode"/>
                                <w:color w:val="auto"/>
                                <w:sz w:val="24"/>
                              </w:rPr>
                              <w:t xml:space="preserve"> </w:t>
                            </w:r>
                            <w:r w:rsidRPr="00CC135C">
                              <w:rPr>
                                <w:i w:val="0"/>
                                <w:color w:val="auto"/>
                                <w:sz w:val="24"/>
                              </w:rPr>
                              <w:t>Fig. 35 CTU I. A 5-103, upper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99BE6" id="Casella di testo 11" o:spid="_x0000_s1036" type="#_x0000_t202" style="position:absolute;left:0;text-align:left;margin-left:231.8pt;margin-top:.8pt;width:187.65pt;height:20.3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" stroked="f">
                <v:textbox inset="0,0,0,0">
                  <w:txbxContent>
                    <w:p w14:paraId="279F37FC" w14:textId="77777777" w:rsidR="00B4516E" w:rsidRPr="00CC135C" w:rsidRDefault="00B4516E" w:rsidP="00B4516E">
                      <w:pPr>
                        <w:pStyle w:val="Caption1"/>
                        <w:rPr>
                          <w:b/>
                          <w:i w:val="0"/>
                          <w:color w:val="auto"/>
                          <w:sz w:val="24"/>
                        </w:rPr>
                      </w:pPr>
                      <w:r w:rsidRPr="00CC135C">
                        <w:rPr>
                          <w:rFonts w:ascii="SemiramisUnicode" w:hAnsi="SemiramisUnicode"/>
                          <w:color w:val="auto"/>
                          <w:sz w:val="24"/>
                        </w:rPr>
                        <w:t xml:space="preserve"> </w:t>
                      </w:r>
                      <w:r w:rsidRPr="00CC135C">
                        <w:rPr>
                          <w:i w:val="0"/>
                          <w:color w:val="auto"/>
                          <w:sz w:val="24"/>
                        </w:rPr>
                        <w:t>Fig. 35 CTU I. A 5-103, upper part.</w:t>
                      </w:r>
                    </w:p>
                  </w:txbxContent>
                </v:textbox>
                <w10:wrap type="tight"/>
              </v:shape>
            </w:pict>
          </mc:Fallback>
        </mc:AlternateContent>
      </w:r>
    </w:p>
    <w:p w14:paraId="4A8B81FE" w14:textId="77777777" w:rsidR="00B4516E" w:rsidRPr="006F04E6" w:rsidRDefault="00B4516E" w:rsidP="00B4516E">
      <w:pPr>
        <w:jc w:val="both"/>
        <w:rPr>
          <w:rFonts w:ascii="Times New Roman" w:hAnsi="Times New Roman"/>
          <w:lang w:val="en-GB"/>
        </w:rPr>
      </w:pPr>
    </w:p>
    <w:p w14:paraId="6506BA39" w14:textId="77777777" w:rsidR="00B4516E" w:rsidRPr="006F04E6" w:rsidRDefault="00B4516E" w:rsidP="00B4516E">
      <w:pPr>
        <w:jc w:val="both"/>
        <w:rPr>
          <w:rFonts w:ascii="Times New Roman" w:hAnsi="Times New Roman"/>
          <w:lang w:val="en-GB"/>
        </w:rPr>
      </w:pPr>
      <w:r w:rsidRPr="006F04E6">
        <w:rPr>
          <w:rFonts w:ascii="Times New Roman" w:hAnsi="Times New Roman"/>
          <w:noProof/>
          <w:lang w:eastAsia="tr-TR"/>
        </w:rPr>
        <w:drawing>
          <wp:anchor distT="0" distB="0" distL="114300" distR="114300" simplePos="0" relativeHeight="251966464" behindDoc="1" locked="0" layoutInCell="1" allowOverlap="1" wp14:anchorId="061F7CEB" wp14:editId="01080084">
            <wp:simplePos x="0" y="0"/>
            <wp:positionH relativeFrom="margin">
              <wp:posOffset>-1016</wp:posOffset>
            </wp:positionH>
            <wp:positionV relativeFrom="paragraph">
              <wp:posOffset>53467</wp:posOffset>
            </wp:positionV>
            <wp:extent cx="3302000" cy="1687830"/>
            <wp:effectExtent l="0" t="0" r="0" b="7620"/>
            <wp:wrapTight wrapText="bothSides">
              <wp:wrapPolygon edited="0">
                <wp:start x="0" y="0"/>
                <wp:lineTo x="0" y="21454"/>
                <wp:lineTo x="21434" y="21454"/>
                <wp:lineTo x="21434" y="0"/>
                <wp:lineTo x="0" y="0"/>
              </wp:wrapPolygon>
            </wp:wrapTight>
            <wp:docPr id="832306211" name="Resim 832306211" descr="A 5-103 o 4 parte s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5-103 o 4 parte sup"/>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3302000" cy="168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230B73" w14:textId="77777777" w:rsidR="00B4516E" w:rsidRPr="006F04E6" w:rsidRDefault="00B4516E" w:rsidP="00B4516E">
      <w:pPr>
        <w:jc w:val="both"/>
        <w:rPr>
          <w:rFonts w:ascii="Times New Roman" w:hAnsi="Times New Roman"/>
          <w:lang w:val="en-GB"/>
        </w:rPr>
      </w:pPr>
    </w:p>
    <w:p w14:paraId="317B2673" w14:textId="77777777" w:rsidR="00B4516E" w:rsidRPr="006F04E6" w:rsidRDefault="00B4516E" w:rsidP="00B4516E">
      <w:pPr>
        <w:jc w:val="both"/>
        <w:rPr>
          <w:rFonts w:ascii="Times New Roman" w:hAnsi="Times New Roman"/>
          <w:lang w:val="en-GB"/>
        </w:rPr>
      </w:pPr>
    </w:p>
    <w:p w14:paraId="5C7EE44A" w14:textId="77777777" w:rsidR="00B4516E" w:rsidRPr="006F04E6" w:rsidRDefault="00B4516E" w:rsidP="00B4516E">
      <w:pPr>
        <w:jc w:val="both"/>
        <w:rPr>
          <w:rFonts w:ascii="Times New Roman" w:hAnsi="Times New Roman"/>
          <w:lang w:val="en-GB"/>
        </w:rPr>
      </w:pPr>
    </w:p>
    <w:p w14:paraId="0B08D4E9" w14:textId="77777777" w:rsidR="00B4516E" w:rsidRPr="006F04E6" w:rsidRDefault="00B4516E" w:rsidP="00B4516E">
      <w:pPr>
        <w:jc w:val="both"/>
        <w:rPr>
          <w:rFonts w:ascii="Times New Roman" w:hAnsi="Times New Roman"/>
          <w:lang w:val="en-GB"/>
        </w:rPr>
      </w:pPr>
    </w:p>
    <w:p w14:paraId="6CDCA2F1" w14:textId="77777777" w:rsidR="00B4516E" w:rsidRPr="006F04E6" w:rsidRDefault="00B4516E" w:rsidP="00B4516E">
      <w:pPr>
        <w:jc w:val="both"/>
        <w:rPr>
          <w:rFonts w:ascii="Times New Roman" w:hAnsi="Times New Roman"/>
          <w:lang w:val="en-GB"/>
        </w:rPr>
      </w:pPr>
    </w:p>
    <w:p w14:paraId="6763EF82"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 xml:space="preserve">                                             </w:t>
      </w:r>
    </w:p>
    <w:p w14:paraId="7FE84715" w14:textId="77777777" w:rsidR="00B4516E" w:rsidRPr="006F04E6" w:rsidRDefault="00B4516E" w:rsidP="00B4516E">
      <w:pPr>
        <w:jc w:val="both"/>
        <w:rPr>
          <w:rFonts w:ascii="Times New Roman" w:hAnsi="Times New Roman"/>
          <w:lang w:val="en-GB"/>
        </w:rPr>
      </w:pPr>
    </w:p>
    <w:p w14:paraId="0CFBF04F" w14:textId="77777777" w:rsidR="00B4516E" w:rsidRPr="006F04E6" w:rsidRDefault="00B4516E" w:rsidP="00B4516E">
      <w:pPr>
        <w:jc w:val="both"/>
        <w:rPr>
          <w:rFonts w:ascii="Times New Roman" w:hAnsi="Times New Roman"/>
          <w:lang w:val="en-GB"/>
        </w:rPr>
      </w:pPr>
    </w:p>
    <w:p w14:paraId="383ECDF5" w14:textId="77777777" w:rsidR="00B4516E" w:rsidRPr="006F04E6" w:rsidRDefault="00B4516E" w:rsidP="00B4516E">
      <w:pPr>
        <w:jc w:val="both"/>
        <w:rPr>
          <w:rFonts w:ascii="Times New Roman" w:hAnsi="Times New Roman"/>
          <w:lang w:val="en-GB"/>
        </w:rPr>
      </w:pPr>
    </w:p>
    <w:p w14:paraId="5C6FFFE0"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 xml:space="preserve"> Fig. 36 CTU I. A 5-103, lower part.</w:t>
      </w:r>
    </w:p>
    <w:p w14:paraId="4FB82657" w14:textId="77777777" w:rsidR="00B4516E" w:rsidRPr="006F04E6" w:rsidRDefault="00B4516E" w:rsidP="00B4516E">
      <w:pPr>
        <w:jc w:val="both"/>
        <w:rPr>
          <w:rFonts w:ascii="Times New Roman" w:hAnsi="Times New Roman"/>
          <w:lang w:val="en-GB"/>
        </w:rPr>
      </w:pPr>
    </w:p>
    <w:p w14:paraId="66A3BC02" w14:textId="77777777" w:rsidR="00B4516E" w:rsidRPr="006F04E6" w:rsidRDefault="00B4516E" w:rsidP="00B4516E">
      <w:pPr>
        <w:jc w:val="both"/>
        <w:rPr>
          <w:rFonts w:ascii="Times New Roman" w:hAnsi="Times New Roman"/>
          <w:lang w:val="en-GB"/>
        </w:rPr>
      </w:pPr>
      <w:r w:rsidRPr="006F04E6">
        <w:rPr>
          <w:rFonts w:ascii="Times New Roman" w:hAnsi="Times New Roman"/>
          <w:b/>
          <w:lang w:val="en-GB"/>
        </w:rPr>
        <w:t>CTU A 5-103</w:t>
      </w:r>
      <w:r w:rsidRPr="006F04E6">
        <w:rPr>
          <w:rFonts w:ascii="Times New Roman" w:hAnsi="Times New Roman"/>
          <w:lang w:val="en-GB"/>
        </w:rPr>
        <w:t>, Translation</w:t>
      </w:r>
    </w:p>
    <w:p w14:paraId="327081DA" w14:textId="77777777" w:rsidR="00B4516E" w:rsidRPr="006F04E6" w:rsidRDefault="00B4516E" w:rsidP="00B4516E">
      <w:pPr>
        <w:jc w:val="both"/>
        <w:rPr>
          <w:rFonts w:ascii="Times New Roman" w:hAnsi="Times New Roman"/>
          <w:lang w:val="en-GB"/>
        </w:rPr>
      </w:pPr>
      <w:r w:rsidRPr="006F04E6">
        <w:rPr>
          <w:rFonts w:ascii="Times New Roman" w:hAnsi="Times New Roman"/>
          <w:lang w:val="en-GB"/>
        </w:rPr>
        <w:t>“Thanks to Ḫaldi</w:t>
      </w:r>
      <w:r w:rsidRPr="006F04E6">
        <w:rPr>
          <w:rFonts w:ascii="Times New Roman" w:hAnsi="Times New Roman"/>
          <w:lang w:val="en-GB"/>
        </w:rPr>
        <w:fldChar w:fldCharType="begin"/>
      </w:r>
      <w:r w:rsidRPr="006F04E6">
        <w:rPr>
          <w:rFonts w:ascii="Times New Roman" w:hAnsi="Times New Roman"/>
          <w:lang w:val="en-GB"/>
        </w:rPr>
        <w:instrText xml:space="preserve"> XE "Ḫaldi" </w:instrText>
      </w:r>
      <w:r w:rsidRPr="006F04E6">
        <w:rPr>
          <w:rFonts w:ascii="Times New Roman" w:hAnsi="Times New Roman"/>
          <w:lang w:val="en-GB"/>
        </w:rPr>
        <w:fldChar w:fldCharType="end"/>
      </w:r>
      <w:r w:rsidRPr="006F04E6">
        <w:rPr>
          <w:rFonts w:ascii="Times New Roman" w:hAnsi="Times New Roman"/>
          <w:lang w:val="en-GB"/>
        </w:rPr>
        <w:t>’s protection, Minua</w:t>
      </w:r>
      <w:r w:rsidRPr="006F04E6">
        <w:rPr>
          <w:rFonts w:ascii="Times New Roman" w:hAnsi="Times New Roman"/>
          <w:lang w:val="en-GB"/>
        </w:rPr>
        <w:fldChar w:fldCharType="begin"/>
      </w:r>
      <w:r w:rsidRPr="006F04E6">
        <w:rPr>
          <w:rFonts w:ascii="Times New Roman" w:hAnsi="Times New Roman"/>
          <w:lang w:val="en-GB"/>
        </w:rPr>
        <w:instrText xml:space="preserve"> XE "Minua" </w:instrText>
      </w:r>
      <w:r w:rsidRPr="006F04E6">
        <w:rPr>
          <w:rFonts w:ascii="Times New Roman" w:hAnsi="Times New Roman"/>
          <w:lang w:val="en-GB"/>
        </w:rPr>
        <w:fldChar w:fldCharType="end"/>
      </w:r>
      <w:r w:rsidRPr="006F04E6">
        <w:rPr>
          <w:rFonts w:ascii="Times New Roman" w:hAnsi="Times New Roman"/>
          <w:lang w:val="en-GB"/>
        </w:rPr>
        <w:t>, son of Išpuini</w:t>
      </w:r>
      <w:r w:rsidRPr="006F04E6">
        <w:rPr>
          <w:rFonts w:ascii="Times New Roman" w:hAnsi="Times New Roman"/>
          <w:lang w:val="en-GB"/>
        </w:rPr>
        <w:fldChar w:fldCharType="begin"/>
      </w:r>
      <w:r w:rsidRPr="006F04E6">
        <w:rPr>
          <w:rFonts w:ascii="Times New Roman" w:hAnsi="Times New Roman"/>
          <w:lang w:val="en-GB"/>
        </w:rPr>
        <w:instrText xml:space="preserve"> XE "Išpuini" </w:instrText>
      </w:r>
      <w:r w:rsidRPr="006F04E6">
        <w:rPr>
          <w:rFonts w:ascii="Times New Roman" w:hAnsi="Times New Roman"/>
          <w:lang w:val="en-GB"/>
        </w:rPr>
        <w:fldChar w:fldCharType="end"/>
      </w:r>
      <w:r w:rsidRPr="006F04E6">
        <w:rPr>
          <w:rFonts w:ascii="Times New Roman" w:hAnsi="Times New Roman"/>
          <w:lang w:val="en-GB"/>
        </w:rPr>
        <w:t>, built this fortress to perfection. Powerful king, of the country of Biainili</w:t>
      </w:r>
      <w:r w:rsidRPr="006F04E6">
        <w:rPr>
          <w:rFonts w:ascii="Times New Roman" w:hAnsi="Times New Roman"/>
          <w:lang w:val="en-GB"/>
        </w:rPr>
        <w:fldChar w:fldCharType="begin"/>
      </w:r>
      <w:r w:rsidRPr="006F04E6">
        <w:rPr>
          <w:rFonts w:ascii="Times New Roman" w:hAnsi="Times New Roman"/>
          <w:lang w:val="en-GB"/>
        </w:rPr>
        <w:instrText xml:space="preserve"> XE "Biainili" </w:instrText>
      </w:r>
      <w:r w:rsidRPr="006F04E6">
        <w:rPr>
          <w:rFonts w:ascii="Times New Roman" w:hAnsi="Times New Roman"/>
          <w:lang w:val="en-GB"/>
        </w:rPr>
        <w:fldChar w:fldCharType="end"/>
      </w:r>
      <w:r w:rsidRPr="006F04E6">
        <w:rPr>
          <w:rFonts w:ascii="Times New Roman" w:hAnsi="Times New Roman"/>
          <w:lang w:val="en-GB"/>
        </w:rPr>
        <w:t>, lord of the city of Ṭušpa</w:t>
      </w:r>
      <w:r w:rsidRPr="006F04E6">
        <w:rPr>
          <w:rFonts w:ascii="Times New Roman" w:eastAsia="Calibri" w:hAnsi="Times New Roman" w:cs="Times New Roman"/>
          <w:lang w:val="en-GB"/>
        </w:rPr>
        <w:t>.</w:t>
      </w:r>
      <w:r w:rsidRPr="006F04E6">
        <w:rPr>
          <w:rFonts w:ascii="Times New Roman" w:hAnsi="Times New Roman"/>
          <w:lang w:val="en-GB"/>
        </w:rPr>
        <w:t xml:space="preserve"> Minua says: whoever destroys this inscription, whoever damages it, annihilate him Ḫaldi, the God of the storm, the God of the Sun, (all) the gods, him under (the light of) the sun”.</w:t>
      </w:r>
    </w:p>
    <w:p w14:paraId="21325BF8" w14:textId="77777777" w:rsidR="00B4516E" w:rsidRPr="006F04E6" w:rsidRDefault="00B4516E" w:rsidP="00B4516E">
      <w:pPr>
        <w:rPr>
          <w:rFonts w:ascii="Times New Roman" w:hAnsi="Times New Roman"/>
          <w:lang w:val="en-GB"/>
        </w:rPr>
      </w:pPr>
    </w:p>
    <w:p w14:paraId="23FEEF6B" w14:textId="77777777" w:rsidR="00B4516E" w:rsidRPr="006F04E6" w:rsidRDefault="00B4516E" w:rsidP="00B4516E">
      <w:pPr>
        <w:rPr>
          <w:rFonts w:ascii="Times New Roman" w:hAnsi="Times New Roman"/>
          <w:lang w:val="en-GB"/>
        </w:rPr>
      </w:pPr>
    </w:p>
    <w:p w14:paraId="0633A9C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rPr>
      </w:pPr>
      <w:r w:rsidRPr="006F04E6">
        <w:rPr>
          <w:rFonts w:ascii="Times New Roman" w:hAnsi="Times New Roman"/>
          <w:b/>
          <w:bCs/>
          <w:color w:val="0D0D0D"/>
        </w:rPr>
        <w:lastRenderedPageBreak/>
        <w:t xml:space="preserve">4.2.3.11. </w:t>
      </w:r>
      <w:r w:rsidRPr="006F04E6">
        <w:rPr>
          <w:rFonts w:ascii="Times New Roman" w:hAnsi="Times New Roman"/>
          <w:b/>
          <w:bCs/>
          <w:color w:val="0D0D0D"/>
          <w:lang w:val="en-GB"/>
        </w:rPr>
        <w:t>Fragment of the Chronicle of Minua</w:t>
      </w:r>
      <w:r w:rsidRPr="006F04E6">
        <w:rPr>
          <w:rFonts w:ascii="Times New Roman" w:hAnsi="Times New Roman"/>
          <w:b/>
          <w:color w:val="0D0D0D"/>
          <w:lang w:val="en-GB"/>
        </w:rPr>
        <w:fldChar w:fldCharType="begin"/>
      </w:r>
      <w:r w:rsidRPr="006F04E6">
        <w:rPr>
          <w:rFonts w:ascii="Courier New" w:hAnsi="Courier New"/>
          <w:color w:val="0D0D0D"/>
          <w:lang w:val="en-GB"/>
        </w:rPr>
        <w:instrText xml:space="preserve"> XE "</w:instrText>
      </w:r>
      <w:r w:rsidRPr="006F04E6">
        <w:rPr>
          <w:rFonts w:ascii="Times New Roman" w:hAnsi="Times New Roman"/>
          <w:color w:val="0D0D0D"/>
          <w:lang w:val="en-GB"/>
        </w:rPr>
        <w:instrText>Minua</w:instrText>
      </w:r>
      <w:r w:rsidRPr="006F04E6">
        <w:rPr>
          <w:rFonts w:ascii="Courier New" w:hAnsi="Courier New"/>
          <w:color w:val="0D0D0D"/>
          <w:lang w:val="en-GB"/>
        </w:rPr>
        <w:instrText xml:space="preserve">" </w:instrText>
      </w:r>
      <w:r w:rsidRPr="006F04E6">
        <w:rPr>
          <w:rFonts w:ascii="Times New Roman" w:hAnsi="Times New Roman"/>
          <w:b/>
          <w:color w:val="0D0D0D"/>
          <w:lang w:val="en-GB"/>
        </w:rPr>
        <w:fldChar w:fldCharType="end"/>
      </w:r>
      <w:r w:rsidRPr="006F04E6">
        <w:rPr>
          <w:rFonts w:ascii="Times New Roman" w:hAnsi="Times New Roman"/>
          <w:b/>
          <w:color w:val="0D0D0D"/>
          <w:lang w:val="en-GB"/>
        </w:rPr>
        <w:t>?: CTU I. A 5-102</w:t>
      </w:r>
      <w:r w:rsidRPr="006F04E6">
        <w:rPr>
          <w:rFonts w:ascii="Times New Roman" w:hAnsi="Times New Roman"/>
          <w:color w:val="0D0D0D"/>
        </w:rPr>
        <w:t xml:space="preserve"> </w:t>
      </w:r>
    </w:p>
    <w:p w14:paraId="0705CD5B" w14:textId="77777777" w:rsidR="00B4516E" w:rsidRPr="006F04E6" w:rsidRDefault="00B4516E" w:rsidP="00B4516E">
      <w:pPr>
        <w:jc w:val="both"/>
        <w:rPr>
          <w:rFonts w:ascii="Times New Roman" w:hAnsi="Times New Roman"/>
        </w:rPr>
      </w:pPr>
      <w:r w:rsidRPr="006F04E6">
        <w:rPr>
          <w:rFonts w:ascii="Times New Roman" w:hAnsi="Times New Roman"/>
        </w:rPr>
        <w:t xml:space="preserve">This </w:t>
      </w:r>
      <w:r w:rsidRPr="006F04E6">
        <w:rPr>
          <w:rFonts w:ascii="Times New Roman" w:eastAsia="Calibri" w:hAnsi="Times New Roman" w:cs="Times New Roman"/>
          <w:lang w:val="en-GB"/>
        </w:rPr>
        <w:t>fragment</w:t>
      </w:r>
      <w:r w:rsidRPr="006F04E6">
        <w:rPr>
          <w:rFonts w:ascii="Times New Roman" w:hAnsi="Times New Roman"/>
        </w:rPr>
        <w:t xml:space="preserve"> is most likely an archaic text of Minua</w:t>
      </w:r>
      <w:r w:rsidRPr="006F04E6">
        <w:rPr>
          <w:rFonts w:ascii="Times New Roman" w:eastAsia="Calibri" w:hAnsi="Times New Roman" w:cs="Times New Roman"/>
          <w:lang w:val="en-GB"/>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"Minua"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whose name </w:t>
      </w:r>
      <w:r w:rsidRPr="006F04E6">
        <w:rPr>
          <w:rFonts w:ascii="Times New Roman" w:eastAsia="Calibri" w:hAnsi="Times New Roman" w:cs="Times New Roman"/>
          <w:lang w:val="en-GB"/>
        </w:rPr>
        <w:t>has</w:t>
      </w:r>
      <w:r w:rsidRPr="006F04E6">
        <w:rPr>
          <w:rFonts w:ascii="Times New Roman" w:hAnsi="Times New Roman"/>
        </w:rPr>
        <w:t xml:space="preserve"> not </w:t>
      </w:r>
      <w:r w:rsidRPr="006F04E6">
        <w:rPr>
          <w:rFonts w:ascii="Times New Roman" w:eastAsia="Calibri" w:hAnsi="Times New Roman" w:cs="Times New Roman"/>
          <w:lang w:val="en-GB"/>
        </w:rPr>
        <w:t xml:space="preserve">been </w:t>
      </w:r>
      <w:r w:rsidRPr="006F04E6">
        <w:rPr>
          <w:rFonts w:ascii="Times New Roman" w:hAnsi="Times New Roman"/>
        </w:rPr>
        <w:t xml:space="preserve">preserved. </w:t>
      </w:r>
      <w:r w:rsidRPr="006F04E6">
        <w:rPr>
          <w:rFonts w:ascii="Times New Roman" w:eastAsia="Calibri" w:hAnsi="Times New Roman" w:cs="Times New Roman"/>
          <w:lang w:val="en-GB"/>
        </w:rPr>
        <w:t>It is a fragment</w:t>
      </w:r>
      <w:r w:rsidRPr="006F04E6">
        <w:rPr>
          <w:rFonts w:ascii="Times New Roman" w:hAnsi="Times New Roman"/>
          <w:lang w:val="en-GB"/>
        </w:rPr>
        <w:t xml:space="preserve"> of an annalistic stele, coming from Bitlis but probably originally from Van. </w:t>
      </w:r>
      <w:r w:rsidRPr="006F04E6">
        <w:rPr>
          <w:rFonts w:ascii="Times New Roman" w:eastAsia="Calibri" w:hAnsi="Times New Roman" w:cs="Times New Roman"/>
          <w:lang w:val="en-GB"/>
        </w:rPr>
        <w:t>It was kept</w:t>
      </w:r>
      <w:r w:rsidRPr="006F04E6">
        <w:rPr>
          <w:rFonts w:ascii="Times New Roman" w:hAnsi="Times New Roman"/>
          <w:lang w:val="en-GB"/>
        </w:rPr>
        <w:t xml:space="preserve"> in the deposit of the Van Museum. Dime</w:t>
      </w:r>
      <w:r w:rsidRPr="006F04E6">
        <w:rPr>
          <w:rFonts w:ascii="Times New Roman" w:hAnsi="Times New Roman"/>
        </w:rPr>
        <w:t>nsions</w:t>
      </w:r>
      <w:r w:rsidRPr="006F04E6">
        <w:rPr>
          <w:rFonts w:ascii="Times New Roman" w:hAnsi="Times New Roman"/>
          <w:lang w:val="en-GB"/>
        </w:rPr>
        <w:t xml:space="preserve">: max. </w:t>
      </w:r>
      <w:r w:rsidRPr="006F04E6">
        <w:rPr>
          <w:rFonts w:ascii="Times New Roman" w:eastAsia="Calibri" w:hAnsi="Times New Roman" w:cs="Times New Roman"/>
          <w:lang w:val="en-GB"/>
        </w:rPr>
        <w:t>Height</w:t>
      </w:r>
      <w:r w:rsidRPr="006F04E6">
        <w:rPr>
          <w:rFonts w:ascii="Times New Roman" w:hAnsi="Times New Roman"/>
          <w:lang w:val="en-GB"/>
        </w:rPr>
        <w:t xml:space="preserve"> 41 cm, width 36 cm, thickness 24 cm. </w:t>
      </w:r>
      <w:r w:rsidRPr="006F04E6">
        <w:rPr>
          <w:rFonts w:ascii="Times New Roman" w:hAnsi="Times New Roman"/>
        </w:rPr>
        <w:t xml:space="preserve">It can be seen that it is the lower part of a stele inscribed on the obverse and reverse, </w:t>
      </w:r>
      <w:r w:rsidRPr="006F04E6">
        <w:rPr>
          <w:rFonts w:ascii="Times New Roman" w:eastAsia="Calibri" w:hAnsi="Times New Roman" w:cs="Times New Roman"/>
          <w:lang w:val="en-GB"/>
        </w:rPr>
        <w:t xml:space="preserve">which is </w:t>
      </w:r>
      <w:r w:rsidRPr="006F04E6">
        <w:rPr>
          <w:rFonts w:ascii="Times New Roman" w:hAnsi="Times New Roman"/>
        </w:rPr>
        <w:t>unfortunately mutilated.</w:t>
      </w:r>
    </w:p>
    <w:p w14:paraId="04A3D229" w14:textId="77777777" w:rsidR="00B4516E" w:rsidRPr="006F04E6" w:rsidRDefault="00B4516E" w:rsidP="00B4516E">
      <w:pPr>
        <w:jc w:val="both"/>
        <w:rPr>
          <w:rFonts w:ascii="Times New Roman" w:hAnsi="Times New Roman"/>
          <w:lang w:val="en-GB"/>
        </w:rPr>
      </w:pPr>
    </w:p>
    <w:p w14:paraId="1BC227EB" w14:textId="77777777" w:rsidR="00B4516E" w:rsidRPr="006F04E6" w:rsidRDefault="00B4516E" w:rsidP="00B4516E">
      <w:pPr>
        <w:jc w:val="both"/>
        <w:rPr>
          <w:rFonts w:ascii="Times New Roman" w:hAnsi="Times New Roman"/>
          <w:lang w:val="en-GB"/>
        </w:rPr>
      </w:pPr>
      <w:r w:rsidRPr="006F04E6">
        <w:rPr>
          <w:rFonts w:ascii="Times New Roman" w:eastAsia="Calibri" w:hAnsi="Times New Roman" w:cs="Times New Roman"/>
          <w:lang w:val="en-GB"/>
        </w:rPr>
        <w:t>An</w:t>
      </w:r>
      <w:r w:rsidRPr="006F04E6">
        <w:rPr>
          <w:rFonts w:ascii="Times New Roman" w:hAnsi="Times New Roman"/>
          <w:lang w:val="en-GB"/>
        </w:rPr>
        <w:t xml:space="preserve"> 18-4</w:t>
      </w:r>
      <w:r w:rsidRPr="006F04E6">
        <w:rPr>
          <w:rFonts w:ascii="Times New Roman" w:hAnsi="Times New Roman"/>
        </w:rPr>
        <w:t xml:space="preserve"> is the first cataloging proposed in CTU I. p. 645 among the inscriptions of uncertain attribution. Due to the annalistic style, I hypothesized an attribution to Argišti I</w:t>
      </w:r>
      <w:r w:rsidRPr="006F04E6">
        <w:rPr>
          <w:rFonts w:ascii="Times New Roman" w:eastAsia="Calibri" w:hAnsi="Times New Roman" w:cs="Times New Roman"/>
          <w:lang w:val="en-GB"/>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Argišti</w:instrText>
      </w:r>
      <w:r w:rsidRPr="006F04E6">
        <w:rPr>
          <w:rFonts w:asciiTheme="majorBidi" w:hAnsiTheme="majorBidi" w:cstheme="majorBidi"/>
          <w:lang w:val="en-GB"/>
        </w:rPr>
        <w:instrText xml:space="preserve"> 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or Sarduri</w:t>
      </w:r>
      <w:r w:rsidRPr="006F04E6">
        <w:rPr>
          <w:rStyle w:val="y2iqfc"/>
          <w:rFonts w:asciiTheme="majorBidi" w:eastAsia="Arial" w:hAnsiTheme="majorBidi" w:cstheme="majorBidi"/>
          <w:color w:val="202124"/>
          <w:lang w:val="en-GB"/>
        </w:rPr>
        <w:t xml:space="preserve"> </w:t>
      </w:r>
      <w:r w:rsidRPr="006F04E6">
        <w:rPr>
          <w:rFonts w:ascii="Times New Roman" w:hAnsi="Times New Roman"/>
        </w:rPr>
        <w:t>II</w:t>
      </w:r>
      <w:r w:rsidRPr="006F04E6">
        <w:rPr>
          <w:rFonts w:ascii="Times New Roman" w:eastAsia="Calibri" w:hAnsi="Times New Roman" w:cs="Times New Roman"/>
          <w:lang w:val="en-GB"/>
        </w:rPr>
        <w:t xml:space="preserve">,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"Sarduri II"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but the archaic ductus makes me lean towards Minua</w:t>
      </w:r>
      <w:r w:rsidRPr="006F04E6">
        <w:rPr>
          <w:rFonts w:ascii="Times New Roman" w:eastAsia="Calibri" w:hAnsi="Times New Roman" w:cs="Times New Roman"/>
          <w:lang w:val="en-GB"/>
        </w:rPr>
        <w:t xml:space="preserve">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"Minua"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It is the LI sign of archaic form present in texts by Išpuini</w:t>
      </w:r>
      <w:r w:rsidRPr="006F04E6">
        <w:rPr>
          <w:rFonts w:ascii="Times New Roman" w:eastAsia="Calibri" w:hAnsi="Times New Roman" w:cs="Times New Roman"/>
          <w:lang w:val="en-GB"/>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Išpuini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and also Minua; furthermore</w:t>
      </w:r>
      <w:r w:rsidRPr="006F04E6">
        <w:rPr>
          <w:rFonts w:ascii="Times New Roman" w:eastAsia="Calibri" w:hAnsi="Times New Roman" w:cs="Times New Roman"/>
          <w:lang w:val="en-GB"/>
        </w:rPr>
        <w:t>,</w:t>
      </w:r>
      <w:r w:rsidRPr="006F04E6">
        <w:rPr>
          <w:rFonts w:ascii="Times New Roman" w:hAnsi="Times New Roman"/>
        </w:rPr>
        <w:t xml:space="preserve"> </w:t>
      </w:r>
      <w:r w:rsidRPr="006F04E6">
        <w:rPr>
          <w:rFonts w:ascii="Times New Roman" w:hAnsi="Times New Roman"/>
          <w:lang w:val="en-GB"/>
        </w:rPr>
        <w:t>a-li-ki</w:t>
      </w:r>
      <w:r w:rsidRPr="006F04E6">
        <w:rPr>
          <w:rFonts w:ascii="Times New Roman" w:hAnsi="Times New Roman"/>
          <w:vertAlign w:val="subscript"/>
          <w:lang w:val="en-GB"/>
        </w:rPr>
        <w:t>4</w:t>
      </w:r>
      <w:r w:rsidRPr="006F04E6">
        <w:rPr>
          <w:rFonts w:ascii="Times New Roman" w:hAnsi="Times New Roman"/>
          <w:lang w:val="en-GB"/>
        </w:rPr>
        <w:t xml:space="preserve"> (KID) </w:t>
      </w:r>
      <w:r w:rsidRPr="006F04E6">
        <w:rPr>
          <w:rFonts w:ascii="Times New Roman" w:hAnsi="Times New Roman"/>
        </w:rPr>
        <w:t>and the syllabic values še</w:t>
      </w:r>
      <w:r w:rsidRPr="006F04E6">
        <w:rPr>
          <w:rFonts w:ascii="Times New Roman" w:hAnsi="Times New Roman"/>
          <w:vertAlign w:val="subscript"/>
        </w:rPr>
        <w:t>20</w:t>
      </w:r>
      <w:r w:rsidRPr="006F04E6">
        <w:rPr>
          <w:rFonts w:ascii="Times New Roman" w:hAnsi="Times New Roman"/>
        </w:rPr>
        <w:t xml:space="preserve"> for ši and bi</w:t>
      </w:r>
      <w:r w:rsidRPr="006F04E6">
        <w:rPr>
          <w:rFonts w:ascii="Times New Roman" w:hAnsi="Times New Roman"/>
          <w:vertAlign w:val="subscript"/>
        </w:rPr>
        <w:t>4</w:t>
      </w:r>
      <w:r w:rsidRPr="006F04E6">
        <w:rPr>
          <w:rFonts w:ascii="Times New Roman" w:hAnsi="Times New Roman"/>
        </w:rPr>
        <w:t xml:space="preserve"> for be, to which is added the archaic form of tú</w:t>
      </w:r>
      <w:r w:rsidRPr="006F04E6">
        <w:rPr>
          <w:rStyle w:val="DipnotBavurusu"/>
          <w:rFonts w:asciiTheme="majorBidi" w:eastAsia="Arial" w:hAnsiTheme="majorBidi"/>
          <w:bCs/>
          <w:lang w:val="en-GB"/>
        </w:rPr>
        <w:footnoteReference w:id="36"/>
      </w:r>
      <w:r w:rsidRPr="006F04E6">
        <w:rPr>
          <w:rFonts w:ascii="Times New Roman" w:hAnsi="Times New Roman"/>
        </w:rPr>
        <w:t>. Typically, the trend of horizontal wedges in the signs DINGIR and ni</w:t>
      </w:r>
      <w:r w:rsidRPr="006F04E6">
        <w:rPr>
          <w:rFonts w:ascii="Times New Roman" w:eastAsia="Calibri" w:hAnsi="Times New Roman" w:cs="Times New Roman"/>
          <w:lang w:val="en-GB"/>
        </w:rPr>
        <w:t xml:space="preserve"> is archaic</w:t>
      </w:r>
      <w:r w:rsidRPr="006F04E6">
        <w:rPr>
          <w:rFonts w:ascii="Times New Roman" w:hAnsi="Times New Roman"/>
        </w:rPr>
        <w:t>. Also</w:t>
      </w:r>
      <w:r w:rsidRPr="006F04E6">
        <w:rPr>
          <w:rFonts w:ascii="Times New Roman" w:eastAsia="Calibri" w:hAnsi="Times New Roman" w:cs="Times New Roman"/>
          <w:lang w:val="en-GB"/>
        </w:rPr>
        <w:t>,</w:t>
      </w:r>
      <w:r w:rsidRPr="006F04E6">
        <w:rPr>
          <w:rFonts w:ascii="Times New Roman" w:hAnsi="Times New Roman"/>
        </w:rPr>
        <w:t xml:space="preserve"> note the sign shape of 5 in </w:t>
      </w:r>
      <w:r w:rsidRPr="006F04E6">
        <w:rPr>
          <w:rFonts w:ascii="Times New Roman" w:eastAsia="Calibri" w:hAnsi="Times New Roman" w:cs="Times New Roman"/>
          <w:lang w:val="en-GB"/>
        </w:rPr>
        <w:t>Obv</w:t>
      </w:r>
      <w:r w:rsidRPr="006F04E6">
        <w:rPr>
          <w:rFonts w:ascii="Times New Roman" w:hAnsi="Times New Roman"/>
        </w:rPr>
        <w:t xml:space="preserve"> line 3'.</w:t>
      </w:r>
    </w:p>
    <w:p w14:paraId="02821E9E" w14:textId="77777777" w:rsidR="00B4516E" w:rsidRPr="006F04E6" w:rsidRDefault="00B4516E" w:rsidP="00B4516E">
      <w:pPr>
        <w:ind w:firstLine="708"/>
        <w:rPr>
          <w:rFonts w:ascii="Times New Roman" w:hAnsi="Times New Roman"/>
          <w:lang w:val="en-GB"/>
        </w:rPr>
      </w:pPr>
    </w:p>
    <w:p w14:paraId="54DD485F" w14:textId="77777777" w:rsidR="00B4516E" w:rsidRPr="006F04E6" w:rsidRDefault="00B4516E" w:rsidP="00B4516E">
      <w:pPr>
        <w:ind w:left="567" w:hanging="567"/>
        <w:rPr>
          <w:rFonts w:ascii="Times New Roman" w:hAnsi="Times New Roman"/>
          <w:b/>
          <w:lang w:val="en-GB"/>
        </w:rPr>
      </w:pPr>
      <w:r w:rsidRPr="006F04E6">
        <w:rPr>
          <w:rFonts w:ascii="Times New Roman" w:hAnsi="Times New Roman"/>
          <w:b/>
          <w:lang w:val="en-GB"/>
        </w:rPr>
        <w:t xml:space="preserve">CTU I. A 5-102 (ex A 18-4) , Obv. </w:t>
      </w:r>
    </w:p>
    <w:p w14:paraId="482E4E76"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t xml:space="preserve">[x] </w:t>
      </w:r>
      <w:r w:rsidRPr="006F04E6">
        <w:rPr>
          <w:rFonts w:ascii="Cambria Math" w:hAnsi="Cambria Math"/>
          <w:lang w:val="en-GB"/>
        </w:rPr>
        <w:t>⌈</w:t>
      </w:r>
      <w:r w:rsidRPr="006F04E6">
        <w:rPr>
          <w:rFonts w:ascii="Times New Roman" w:hAnsi="Times New Roman"/>
          <w:lang w:val="en-GB"/>
        </w:rPr>
        <w:t>ni</w:t>
      </w:r>
      <w:r w:rsidRPr="006F04E6">
        <w:rPr>
          <w:rFonts w:ascii="Cambria Math" w:hAnsi="Cambria Math"/>
          <w:lang w:val="en-GB"/>
        </w:rPr>
        <w:t>⌉</w:t>
      </w:r>
      <w:r w:rsidRPr="006F04E6">
        <w:rPr>
          <w:rFonts w:ascii="Times New Roman" w:hAnsi="Times New Roman"/>
          <w:lang w:val="en-GB"/>
        </w:rPr>
        <w:t>? x x [</w:t>
      </w:r>
    </w:p>
    <w:p w14:paraId="3384EF91"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t>[x-x]-du-bi x-x[</w:t>
      </w:r>
    </w:p>
    <w:p w14:paraId="0DE75A55"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[x] LIM 5 ME 50[+1 or 2?]</w:t>
      </w:r>
    </w:p>
    <w:p w14:paraId="7F811B62"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w:t>
      </w:r>
      <w:r w:rsidRPr="006F04E6">
        <w:rPr>
          <w:rFonts w:ascii="Times New Roman" w:hAnsi="Times New Roman"/>
          <w:vertAlign w:val="superscript"/>
          <w:lang w:val="en-GB"/>
        </w:rPr>
        <w:t>L</w:t>
      </w:r>
      <w:r w:rsidRPr="006F04E6">
        <w:rPr>
          <w:rFonts w:ascii="Times New Roman" w:hAnsi="Times New Roman"/>
          <w:lang w:val="en-GB"/>
        </w:rPr>
        <w:t>]</w:t>
      </w:r>
      <w:r w:rsidRPr="006F04E6">
        <w:rPr>
          <w:rFonts w:ascii="Times New Roman" w:hAnsi="Times New Roman"/>
          <w:vertAlign w:val="superscript"/>
          <w:lang w:val="en-GB"/>
        </w:rPr>
        <w:t>Ú</w:t>
      </w:r>
      <w:r w:rsidRPr="006F04E6">
        <w:rPr>
          <w:rFonts w:ascii="Times New Roman" w:hAnsi="Times New Roman"/>
          <w:lang w:val="en-GB"/>
        </w:rPr>
        <w:t>ta-ar-šú-a-n[i]</w:t>
      </w:r>
    </w:p>
    <w:p w14:paraId="17047AC3"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t>a-li-ki</w:t>
      </w:r>
      <w:r w:rsidRPr="006F04E6">
        <w:rPr>
          <w:rFonts w:ascii="Times New Roman" w:hAnsi="Times New Roman"/>
          <w:vertAlign w:val="subscript"/>
          <w:lang w:val="en-GB"/>
        </w:rPr>
        <w:t>4</w:t>
      </w:r>
      <w:r w:rsidRPr="006F04E6">
        <w:rPr>
          <w:rFonts w:ascii="Times New Roman" w:hAnsi="Times New Roman"/>
          <w:lang w:val="en-GB"/>
        </w:rPr>
        <w:t xml:space="preserve"> za-áš-gu-[bi]</w:t>
      </w:r>
    </w:p>
    <w:p w14:paraId="21E63D92"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t>a-li-ki</w:t>
      </w:r>
      <w:r w:rsidRPr="006F04E6">
        <w:rPr>
          <w:rFonts w:ascii="Times New Roman" w:hAnsi="Times New Roman"/>
          <w:vertAlign w:val="subscript"/>
          <w:lang w:val="en-GB"/>
        </w:rPr>
        <w:t>4</w:t>
      </w:r>
      <w:r w:rsidRPr="006F04E6">
        <w:rPr>
          <w:rFonts w:ascii="Times New Roman" w:hAnsi="Times New Roman"/>
          <w:lang w:val="en-GB"/>
        </w:rPr>
        <w:t xml:space="preserve"> še-ḫi-ri a-g[u-bi]</w:t>
      </w:r>
    </w:p>
    <w:p w14:paraId="18D4BC65"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a-li ʾa-a-še</w:t>
      </w:r>
      <w:r w:rsidRPr="006F04E6">
        <w:rPr>
          <w:rFonts w:ascii="Times New Roman" w:hAnsi="Times New Roman"/>
          <w:vertAlign w:val="subscript"/>
          <w:lang w:val="en-GB"/>
        </w:rPr>
        <w:t>20</w:t>
      </w:r>
      <w:r w:rsidRPr="006F04E6">
        <w:rPr>
          <w:rFonts w:ascii="Times New Roman" w:hAnsi="Times New Roman"/>
          <w:lang w:val="en-GB"/>
        </w:rPr>
        <w:t xml:space="preserve"> ma-[nu]</w:t>
      </w:r>
    </w:p>
    <w:p w14:paraId="344C2491"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8'</w:t>
      </w:r>
      <w:r w:rsidRPr="006F04E6">
        <w:rPr>
          <w:rFonts w:ascii="Times New Roman" w:hAnsi="Times New Roman"/>
          <w:lang w:val="en-GB"/>
        </w:rPr>
        <w:tab/>
        <w:t>[a]-ru-bi</w:t>
      </w:r>
      <w:r w:rsidRPr="006F04E6">
        <w:rPr>
          <w:rFonts w:ascii="Times New Roman" w:hAnsi="Times New Roman"/>
          <w:vertAlign w:val="subscript"/>
          <w:lang w:val="en-GB"/>
        </w:rPr>
        <w:t>4</w:t>
      </w:r>
      <w:r w:rsidRPr="006F04E6">
        <w:rPr>
          <w:rFonts w:ascii="Times New Roman" w:hAnsi="Times New Roman"/>
          <w:lang w:val="en-GB"/>
        </w:rPr>
        <w:t xml:space="preserve"> </w:t>
      </w:r>
      <w:r w:rsidRPr="006F04E6">
        <w:rPr>
          <w:rFonts w:ascii="Times New Roman" w:hAnsi="Times New Roman"/>
          <w:vertAlign w:val="superscript"/>
          <w:lang w:val="en-GB"/>
        </w:rPr>
        <w:t>LÚ</w:t>
      </w:r>
      <w:r w:rsidRPr="006F04E6">
        <w:rPr>
          <w:rFonts w:ascii="Times New Roman" w:hAnsi="Times New Roman"/>
          <w:lang w:val="en-GB"/>
        </w:rPr>
        <w:t>A.S[I</w:t>
      </w:r>
      <w:r w:rsidRPr="006F04E6">
        <w:rPr>
          <w:rFonts w:ascii="Times New Roman" w:hAnsi="Times New Roman"/>
          <w:vertAlign w:val="superscript"/>
          <w:lang w:val="en-GB"/>
        </w:rPr>
        <w:t>MEŠ</w:t>
      </w:r>
      <w:r w:rsidRPr="006F04E6">
        <w:rPr>
          <w:rFonts w:ascii="Times New Roman" w:hAnsi="Times New Roman"/>
          <w:lang w:val="en-GB"/>
        </w:rPr>
        <w:t>-ú-e]</w:t>
      </w:r>
    </w:p>
    <w:p w14:paraId="68239927"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9'</w:t>
      </w:r>
      <w:r w:rsidRPr="006F04E6">
        <w:rPr>
          <w:rFonts w:ascii="Times New Roman" w:hAnsi="Times New Roman"/>
          <w:lang w:val="en-GB"/>
        </w:rPr>
        <w:tab/>
        <w:t>[x]</w:t>
      </w:r>
      <w:r w:rsidRPr="006F04E6">
        <w:rPr>
          <w:rFonts w:ascii="Times New Roman" w:hAnsi="Times New Roman"/>
          <w:vertAlign w:val="superscript"/>
          <w:lang w:val="en-GB"/>
        </w:rPr>
        <w:t>MEŠ?</w:t>
      </w:r>
      <w:r w:rsidRPr="006F04E6">
        <w:rPr>
          <w:rFonts w:ascii="Times New Roman" w:hAnsi="Times New Roman"/>
          <w:lang w:val="en-GB"/>
        </w:rPr>
        <w:t xml:space="preserve"> ḫa?-ú?-[bi?</w:t>
      </w:r>
    </w:p>
    <w:p w14:paraId="38B75C23"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10'</w:t>
      </w:r>
      <w:r w:rsidRPr="006F04E6">
        <w:rPr>
          <w:rFonts w:ascii="Times New Roman" w:hAnsi="Times New Roman"/>
          <w:lang w:val="en-GB"/>
        </w:rPr>
        <w:tab/>
        <w:t>[             ] x [        ]</w:t>
      </w:r>
    </w:p>
    <w:p w14:paraId="6D5684ED" w14:textId="77777777" w:rsidR="00B4516E" w:rsidRPr="006F04E6" w:rsidRDefault="00B4516E" w:rsidP="00B4516E">
      <w:pPr>
        <w:ind w:left="567" w:hanging="567"/>
        <w:rPr>
          <w:rFonts w:ascii="Times New Roman" w:hAnsi="Times New Roman"/>
          <w:lang w:val="en-GB"/>
        </w:rPr>
      </w:pPr>
    </w:p>
    <w:p w14:paraId="2B366C9D" w14:textId="77777777" w:rsidR="00B4516E" w:rsidRPr="006F04E6" w:rsidRDefault="00B4516E" w:rsidP="00B4516E">
      <w:pPr>
        <w:ind w:left="567" w:hanging="567"/>
        <w:rPr>
          <w:rFonts w:ascii="Times New Roman" w:hAnsi="Times New Roman"/>
          <w:b/>
          <w:lang w:val="en-GB"/>
        </w:rPr>
      </w:pPr>
      <w:r w:rsidRPr="006F04E6">
        <w:rPr>
          <w:rFonts w:ascii="Times New Roman" w:hAnsi="Times New Roman"/>
          <w:b/>
          <w:lang w:val="en-GB"/>
        </w:rPr>
        <w:t xml:space="preserve">CTU I. A 5-102 (ex A 18-4), Rev. </w:t>
      </w:r>
    </w:p>
    <w:p w14:paraId="61F187E4"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1'</w:t>
      </w:r>
      <w:r w:rsidRPr="006F04E6">
        <w:rPr>
          <w:rFonts w:ascii="Times New Roman" w:hAnsi="Times New Roman"/>
          <w:lang w:val="en-GB"/>
        </w:rPr>
        <w:tab/>
        <w:t>[a-l]u-še i-ni DUB-t[e]</w:t>
      </w:r>
    </w:p>
    <w:p w14:paraId="09F73343"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2'</w:t>
      </w:r>
      <w:r w:rsidRPr="006F04E6">
        <w:rPr>
          <w:rFonts w:ascii="Times New Roman" w:hAnsi="Times New Roman"/>
          <w:lang w:val="en-GB"/>
        </w:rPr>
        <w:tab/>
        <w:t>[tú]-ú-li-i-e</w:t>
      </w:r>
    </w:p>
    <w:p w14:paraId="6B76475C"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3'</w:t>
      </w:r>
      <w:r w:rsidRPr="006F04E6">
        <w:rPr>
          <w:rFonts w:ascii="Times New Roman" w:hAnsi="Times New Roman"/>
          <w:lang w:val="en-GB"/>
        </w:rPr>
        <w:tab/>
        <w:t>[a]-lu-še pi-i-tú-li-e</w:t>
      </w:r>
    </w:p>
    <w:p w14:paraId="339C9334"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4'</w:t>
      </w:r>
      <w:r w:rsidRPr="006F04E6">
        <w:rPr>
          <w:rFonts w:ascii="Times New Roman" w:hAnsi="Times New Roman"/>
          <w:lang w:val="en-GB"/>
        </w:rPr>
        <w:tab/>
        <w:t xml:space="preserve">[tú]-ri-ni-ni </w:t>
      </w:r>
      <w:r w:rsidRPr="006F04E6">
        <w:rPr>
          <w:rFonts w:ascii="Times New Roman" w:hAnsi="Times New Roman"/>
          <w:vertAlign w:val="superscript"/>
          <w:lang w:val="en-GB"/>
        </w:rPr>
        <w:t>D</w:t>
      </w:r>
      <w:r w:rsidRPr="006F04E6">
        <w:rPr>
          <w:rFonts w:ascii="Times New Roman" w:hAnsi="Times New Roman"/>
          <w:lang w:val="en-GB"/>
        </w:rPr>
        <w:t>ḫal-di-š[e]</w:t>
      </w:r>
    </w:p>
    <w:p w14:paraId="18C7F242"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5'</w:t>
      </w:r>
      <w:r w:rsidRPr="006F04E6">
        <w:rPr>
          <w:rFonts w:ascii="Times New Roman" w:hAnsi="Times New Roman"/>
          <w:lang w:val="en-GB"/>
        </w:rPr>
        <w:tab/>
        <w:t>DINGIR</w:t>
      </w:r>
      <w:r w:rsidRPr="006F04E6">
        <w:rPr>
          <w:rFonts w:ascii="Times New Roman" w:hAnsi="Times New Roman"/>
          <w:vertAlign w:val="superscript"/>
          <w:lang w:val="en-GB"/>
        </w:rPr>
        <w:t>MEŠ</w:t>
      </w:r>
      <w:r w:rsidRPr="006F04E6">
        <w:rPr>
          <w:rFonts w:ascii="Times New Roman" w:hAnsi="Times New Roman"/>
          <w:lang w:val="en-GB"/>
        </w:rPr>
        <w:t>-še ma-a-ni</w:t>
      </w:r>
    </w:p>
    <w:p w14:paraId="49A58293"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6'</w:t>
      </w:r>
      <w:r w:rsidRPr="006F04E6">
        <w:rPr>
          <w:rFonts w:ascii="Times New Roman" w:hAnsi="Times New Roman"/>
          <w:lang w:val="en-GB"/>
        </w:rPr>
        <w:tab/>
      </w:r>
      <w:r w:rsidRPr="006F04E6">
        <w:rPr>
          <w:rFonts w:ascii="Times New Roman" w:hAnsi="Times New Roman"/>
          <w:vertAlign w:val="superscript"/>
          <w:lang w:val="en-GB"/>
        </w:rPr>
        <w:t>D</w:t>
      </w:r>
      <w:r w:rsidRPr="006F04E6">
        <w:rPr>
          <w:rFonts w:ascii="Times New Roman" w:hAnsi="Times New Roman"/>
          <w:lang w:val="en-GB"/>
        </w:rPr>
        <w:t>UTU pi-e-i-ni</w:t>
      </w:r>
    </w:p>
    <w:p w14:paraId="6D8F2EDF" w14:textId="77777777" w:rsidR="00B4516E" w:rsidRPr="006F04E6" w:rsidRDefault="00B4516E" w:rsidP="00B4516E">
      <w:pPr>
        <w:ind w:left="567" w:hanging="567"/>
        <w:rPr>
          <w:rFonts w:ascii="Times New Roman" w:hAnsi="Times New Roman"/>
          <w:lang w:val="en-GB"/>
        </w:rPr>
      </w:pPr>
      <w:r w:rsidRPr="006F04E6">
        <w:rPr>
          <w:rFonts w:ascii="Times New Roman" w:hAnsi="Times New Roman"/>
          <w:lang w:val="en-GB"/>
        </w:rPr>
        <w:t>7'</w:t>
      </w:r>
      <w:r w:rsidRPr="006F04E6">
        <w:rPr>
          <w:rFonts w:ascii="Times New Roman" w:hAnsi="Times New Roman"/>
          <w:lang w:val="en-GB"/>
        </w:rPr>
        <w:tab/>
        <w:t>mì-i ar-ḫi u-ru-li-a-ni</w:t>
      </w:r>
    </w:p>
    <w:p w14:paraId="29060950" w14:textId="77777777" w:rsidR="00B4516E" w:rsidRPr="006F04E6" w:rsidRDefault="00B4516E" w:rsidP="00B4516E">
      <w:pPr>
        <w:tabs>
          <w:tab w:val="left" w:pos="1843"/>
        </w:tabs>
        <w:ind w:firstLine="708"/>
        <w:rPr>
          <w:rFonts w:ascii="Times New Roman" w:hAnsi="Times New Roman"/>
          <w:lang w:val="en-GB"/>
        </w:rPr>
      </w:pPr>
    </w:p>
    <w:p w14:paraId="67A015E8"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lang w:val="en-GB"/>
        </w:rPr>
        <w:t xml:space="preserve">(Obv) “. . . I made.. x thousends+550[+1 or 2] persons, </w:t>
      </w:r>
      <w:r w:rsidRPr="006F04E6">
        <w:rPr>
          <w:rFonts w:ascii="Times New Roman" w:hAnsi="Times New Roman"/>
        </w:rPr>
        <w:t>some of them I killed, others alive I depo[rted].</w:t>
      </w:r>
      <w:r w:rsidRPr="006F04E6">
        <w:rPr>
          <w:rFonts w:ascii="Times New Roman" w:hAnsi="Times New Roman"/>
          <w:lang w:val="en-GB"/>
        </w:rPr>
        <w:t xml:space="preserve"> </w:t>
      </w:r>
      <w:r w:rsidRPr="006F04E6">
        <w:rPr>
          <w:rFonts w:ascii="Times New Roman" w:hAnsi="Times New Roman"/>
        </w:rPr>
        <w:t>The men who were there I gave them to the army.[  . . . ] I took. . . (Rev) Whoever destroys this inscription, who damages it, may Ḫaldi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Ḫaldi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(and all) the Gods  annihilate him under (the light) of the Sun mi arhi uruliani (</w:t>
      </w:r>
      <w:r w:rsidRPr="006F04E6">
        <w:rPr>
          <w:rFonts w:ascii="Times New Roman" w:hAnsi="Times New Roman"/>
          <w:color w:val="202124"/>
          <w:lang w:val="en-GB"/>
        </w:rPr>
        <w:t xml:space="preserve">curse formula that evokes the Latin </w:t>
      </w:r>
      <w:r w:rsidRPr="006F04E6">
        <w:rPr>
          <w:rFonts w:ascii="Times New Roman" w:hAnsi="Times New Roman"/>
          <w:lang w:val="en-GB"/>
        </w:rPr>
        <w:t xml:space="preserve"> </w:t>
      </w:r>
      <w:r w:rsidRPr="006F04E6">
        <w:rPr>
          <w:rFonts w:ascii="Times New Roman" w:hAnsi="Times New Roman"/>
        </w:rPr>
        <w:t>sacer esto)”.</w:t>
      </w:r>
    </w:p>
    <w:p w14:paraId="037548F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202124"/>
          <w:lang w:val="en-GB"/>
        </w:rPr>
      </w:pPr>
      <w:r w:rsidRPr="00CC135C">
        <w:rPr>
          <w:rFonts w:ascii="Times New Roman" w:hAnsi="Times New Roman"/>
          <w:noProof/>
          <w:lang w:eastAsia="tr-TR"/>
        </w:rPr>
        <w:lastRenderedPageBreak/>
        <mc:AlternateContent>
          <mc:Choice Requires="wps">
            <w:drawing>
              <wp:anchor distT="0" distB="0" distL="114300" distR="114300" simplePos="0" relativeHeight="251990016" behindDoc="0" locked="0" layoutInCell="1" allowOverlap="1" wp14:anchorId="2B0883D3" wp14:editId="00B5EE27">
                <wp:simplePos x="0" y="0"/>
                <wp:positionH relativeFrom="margin">
                  <wp:posOffset>3648710</wp:posOffset>
                </wp:positionH>
                <wp:positionV relativeFrom="paragraph">
                  <wp:posOffset>3258185</wp:posOffset>
                </wp:positionV>
                <wp:extent cx="2272665" cy="302260"/>
                <wp:effectExtent l="0" t="0" r="0" b="0"/>
                <wp:wrapTight wrapText="bothSides">
                  <wp:wrapPolygon edited="0">
                    <wp:start x="0" y="0"/>
                    <wp:lineTo x="0" y="20208"/>
                    <wp:lineTo x="21365" y="20208"/>
                    <wp:lineTo x="21365" y="0"/>
                    <wp:lineTo x="0" y="0"/>
                  </wp:wrapPolygon>
                </wp:wrapTight>
                <wp:docPr id="1580273948" name="Casella di tes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665" cy="302260"/>
                        </a:xfrm>
                        <a:prstGeom prst="rect">
                          <a:avLst/>
                        </a:prstGeom>
                        <a:solidFill>
                          <a:prstClr val="white"/>
                        </a:solidFill>
                        <a:ln>
                          <a:noFill/>
                        </a:ln>
                        <a:effectLst/>
                      </wps:spPr>
                      <wps:txbx>
                        <w:txbxContent>
                          <w:p w14:paraId="22339132" w14:textId="77777777" w:rsidR="00B4516E" w:rsidRPr="00805A08" w:rsidRDefault="00B4516E" w:rsidP="00B4516E">
                            <w:pPr>
                              <w:pStyle w:val="Caption1"/>
                              <w:rPr>
                                <w:rFonts w:cs="Times New Roman"/>
                                <w:noProof/>
                                <w:sz w:val="24"/>
                                <w:szCs w:val="20"/>
                              </w:rPr>
                            </w:pPr>
                            <w:r w:rsidRPr="00CC135C">
                              <w:rPr>
                                <w:i w:val="0"/>
                                <w:color w:val="auto"/>
                                <w:sz w:val="24"/>
                              </w:rPr>
                              <w:t>Fig. 38 CTU I. A 5-102 Rev</w:t>
                            </w:r>
                            <w:r w:rsidRPr="00805A08">
                              <w:rPr>
                                <w:rFonts w:cs="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B0883D3" id="Casella di testo 9" o:spid="_x0000_s1037" type="#_x0000_t202" style="position:absolute;left:0;text-align:left;margin-left:287.3pt;margin-top:256.55pt;width:178.95pt;height:23.8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" stroked="f">
                <v:textbox style="mso-fit-shape-to-text:t" inset="0,0,0,0">
                  <w:txbxContent>
                    <w:p w14:paraId="22339132" w14:textId="77777777" w:rsidR="00B4516E" w:rsidRPr="00805A08" w:rsidRDefault="00B4516E" w:rsidP="00B4516E">
                      <w:pPr>
                        <w:pStyle w:val="Caption1"/>
                        <w:rPr>
                          <w:rFonts w:cs="Times New Roman"/>
                          <w:noProof/>
                          <w:sz w:val="24"/>
                          <w:szCs w:val="20"/>
                        </w:rPr>
                      </w:pPr>
                      <w:r w:rsidRPr="00CC135C">
                        <w:rPr>
                          <w:i w:val="0"/>
                          <w:color w:val="auto"/>
                          <w:sz w:val="24"/>
                        </w:rPr>
                        <w:t>Fig. 38 CTU I. A 5-102 Rev</w:t>
                      </w:r>
                      <w:r w:rsidRPr="00805A08">
                        <w:rPr>
                          <w:rFonts w:cs="Times New Roman"/>
                        </w:rPr>
                        <w:t>.</w:t>
                      </w:r>
                    </w:p>
                  </w:txbxContent>
                </v:textbox>
                <w10:wrap type="tight" anchorx="margin"/>
              </v:shape>
            </w:pict>
          </mc:Fallback>
        </mc:AlternateContent>
      </w:r>
      <w:r w:rsidRPr="00CC135C">
        <w:rPr>
          <w:rFonts w:ascii="Times New Roman" w:hAnsi="Times New Roman"/>
          <w:noProof/>
          <w:lang w:eastAsia="tr-TR"/>
        </w:rPr>
        <w:drawing>
          <wp:anchor distT="0" distB="0" distL="114300" distR="114300" simplePos="0" relativeHeight="251947008" behindDoc="1" locked="0" layoutInCell="1" allowOverlap="1" wp14:anchorId="5E7E0B7F" wp14:editId="248BE79C">
            <wp:simplePos x="0" y="0"/>
            <wp:positionH relativeFrom="column">
              <wp:posOffset>3199130</wp:posOffset>
            </wp:positionH>
            <wp:positionV relativeFrom="paragraph">
              <wp:posOffset>186231</wp:posOffset>
            </wp:positionV>
            <wp:extent cx="2819400" cy="2886075"/>
            <wp:effectExtent l="0" t="0" r="0" b="9525"/>
            <wp:wrapTight wrapText="bothSides">
              <wp:wrapPolygon edited="0">
                <wp:start x="0" y="0"/>
                <wp:lineTo x="0" y="21529"/>
                <wp:lineTo x="21454" y="21529"/>
                <wp:lineTo x="21454" y="0"/>
                <wp:lineTo x="0" y="0"/>
              </wp:wrapPolygon>
            </wp:wrapTight>
            <wp:docPr id="901233420" name="Resim 901233420" descr="A 18-4 Vo 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18-4 Vo bis"/>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819400"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135C">
        <w:rPr>
          <w:rFonts w:ascii="Times New Roman" w:hAnsi="Times New Roman"/>
          <w:noProof/>
          <w:lang w:eastAsia="tr-TR"/>
        </w:rPr>
        <w:drawing>
          <wp:anchor distT="0" distB="0" distL="114300" distR="114300" simplePos="0" relativeHeight="251948032" behindDoc="1" locked="0" layoutInCell="1" allowOverlap="1" wp14:anchorId="2641188D" wp14:editId="2A579AA3">
            <wp:simplePos x="0" y="0"/>
            <wp:positionH relativeFrom="margin">
              <wp:align>left</wp:align>
            </wp:positionH>
            <wp:positionV relativeFrom="paragraph">
              <wp:posOffset>185096</wp:posOffset>
            </wp:positionV>
            <wp:extent cx="2912110" cy="2883535"/>
            <wp:effectExtent l="0" t="0" r="2540" b="0"/>
            <wp:wrapTight wrapText="bothSides">
              <wp:wrapPolygon edited="0">
                <wp:start x="0" y="0"/>
                <wp:lineTo x="0" y="21405"/>
                <wp:lineTo x="21478" y="21405"/>
                <wp:lineTo x="21478" y="0"/>
                <wp:lineTo x="0" y="0"/>
              </wp:wrapPolygon>
            </wp:wrapTight>
            <wp:docPr id="861097188" name="Resim 861097188" descr="A 18-4 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18-4 Ro"/>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912110" cy="2883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35C">
        <w:rPr>
          <w:rFonts w:ascii="Times New Roman" w:hAnsi="Times New Roman"/>
          <w:noProof/>
          <w:lang w:eastAsia="tr-TR"/>
        </w:rPr>
        <mc:AlternateContent>
          <mc:Choice Requires="wps">
            <w:drawing>
              <wp:anchor distT="0" distB="0" distL="114300" distR="114300" simplePos="0" relativeHeight="251988992" behindDoc="0" locked="0" layoutInCell="1" allowOverlap="1" wp14:anchorId="7DD428A4" wp14:editId="4F281C14">
                <wp:simplePos x="0" y="0"/>
                <wp:positionH relativeFrom="column">
                  <wp:posOffset>739775</wp:posOffset>
                </wp:positionH>
                <wp:positionV relativeFrom="paragraph">
                  <wp:posOffset>3288030</wp:posOffset>
                </wp:positionV>
                <wp:extent cx="2174240" cy="302260"/>
                <wp:effectExtent l="0" t="0" r="0" b="0"/>
                <wp:wrapTight wrapText="bothSides">
                  <wp:wrapPolygon edited="0">
                    <wp:start x="0" y="0"/>
                    <wp:lineTo x="0" y="20420"/>
                    <wp:lineTo x="21386" y="20420"/>
                    <wp:lineTo x="21386" y="0"/>
                    <wp:lineTo x="0" y="0"/>
                  </wp:wrapPolygon>
                </wp:wrapTight>
                <wp:docPr id="1528469320" name="Casella di tes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4240" cy="302260"/>
                        </a:xfrm>
                        <a:prstGeom prst="rect">
                          <a:avLst/>
                        </a:prstGeom>
                        <a:solidFill>
                          <a:prstClr val="white"/>
                        </a:solidFill>
                        <a:ln>
                          <a:noFill/>
                        </a:ln>
                        <a:effectLst/>
                      </wps:spPr>
                      <wps:txbx>
                        <w:txbxContent>
                          <w:p w14:paraId="2F55EC0E" w14:textId="77777777" w:rsidR="00B4516E" w:rsidRPr="00CC135C" w:rsidRDefault="00B4516E" w:rsidP="00B4516E">
                            <w:pPr>
                              <w:pStyle w:val="Caption1"/>
                              <w:rPr>
                                <w:b/>
                                <w:i w:val="0"/>
                                <w:color w:val="auto"/>
                                <w:sz w:val="24"/>
                              </w:rPr>
                            </w:pPr>
                            <w:r w:rsidRPr="00CC135C">
                              <w:rPr>
                                <w:i w:val="0"/>
                                <w:color w:val="auto"/>
                                <w:sz w:val="24"/>
                              </w:rPr>
                              <w:t xml:space="preserve">Fig. 37 CTU I. A 5-102 Obv.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7DD428A4" id="Casella di testo 8" o:spid="_x0000_s1038" type="#_x0000_t202" style="position:absolute;left:0;text-align:left;margin-left:58.25pt;margin-top:258.9pt;width:171.2pt;height:23.8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" stroked="f">
                <v:textbox style="mso-fit-shape-to-text:t" inset="0,0,0,0">
                  <w:txbxContent>
                    <w:p w14:paraId="2F55EC0E" w14:textId="77777777" w:rsidR="00B4516E" w:rsidRPr="00CC135C" w:rsidRDefault="00B4516E" w:rsidP="00B4516E">
                      <w:pPr>
                        <w:pStyle w:val="Caption1"/>
                        <w:rPr>
                          <w:b/>
                          <w:i w:val="0"/>
                          <w:color w:val="auto"/>
                          <w:sz w:val="24"/>
                        </w:rPr>
                      </w:pPr>
                      <w:r w:rsidRPr="00CC135C">
                        <w:rPr>
                          <w:i w:val="0"/>
                          <w:color w:val="auto"/>
                          <w:sz w:val="24"/>
                        </w:rPr>
                        <w:t xml:space="preserve">Fig. 37 CTU I. A 5-102 Obv. </w:t>
                      </w:r>
                    </w:p>
                  </w:txbxContent>
                </v:textbox>
                <w10:wrap type="tight"/>
              </v:shape>
            </w:pict>
          </mc:Fallback>
        </mc:AlternateContent>
      </w:r>
    </w:p>
    <w:p w14:paraId="457BE8FE" w14:textId="77777777" w:rsidR="00B4516E" w:rsidRPr="00CC135C" w:rsidRDefault="00B4516E" w:rsidP="00B4516E">
      <w:pPr>
        <w:rPr>
          <w:rFonts w:ascii="Calibri" w:hAnsi="Calibri"/>
          <w:lang w:val="en-GB"/>
        </w:rPr>
      </w:pPr>
    </w:p>
    <w:p w14:paraId="3DA62EE4" w14:textId="77777777" w:rsidR="00B4516E" w:rsidRPr="00CC135C" w:rsidRDefault="00B4516E" w:rsidP="00B4516E">
      <w:pPr>
        <w:rPr>
          <w:rFonts w:ascii="Calibri" w:hAnsi="Calibri"/>
          <w:lang w:val="en-GB"/>
        </w:rPr>
      </w:pPr>
    </w:p>
    <w:p w14:paraId="2B61B9C5" w14:textId="77777777" w:rsidR="00B4516E" w:rsidRPr="00CC135C" w:rsidRDefault="00B4516E" w:rsidP="00B4516E">
      <w:pPr>
        <w:rPr>
          <w:rFonts w:ascii="Calibri" w:hAnsi="Calibri"/>
          <w:lang w:val="en-GB"/>
        </w:rPr>
      </w:pPr>
      <w:r w:rsidRPr="00CC135C">
        <w:rPr>
          <w:rFonts w:ascii="Times New Roman" w:hAnsi="Times New Roman"/>
          <w:noProof/>
          <w:color w:val="202124"/>
          <w:lang w:eastAsia="tr-TR"/>
        </w:rPr>
        <w:drawing>
          <wp:anchor distT="0" distB="0" distL="114300" distR="114300" simplePos="0" relativeHeight="252001280" behindDoc="0" locked="0" layoutInCell="1" allowOverlap="1" wp14:anchorId="50CA18E3" wp14:editId="74298C56">
            <wp:simplePos x="0" y="0"/>
            <wp:positionH relativeFrom="margin">
              <wp:posOffset>1367790</wp:posOffset>
            </wp:positionH>
            <wp:positionV relativeFrom="margin">
              <wp:posOffset>3938905</wp:posOffset>
            </wp:positionV>
            <wp:extent cx="2536190" cy="3657600"/>
            <wp:effectExtent l="0" t="0" r="3810" b="0"/>
            <wp:wrapSquare wrapText="bothSides"/>
            <wp:docPr id="614168722" name="Resim 1" descr="metin, çizim, taslak,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68722" name="Resim 1" descr="metin, çizim, taslak, diyagram içeren bir resim&#10;&#10;Açıklama otomatik olarak oluşturuldu"/>
                    <pic:cNvPicPr/>
                  </pic:nvPicPr>
                  <pic:blipFill>
                    <a:blip r:embed="rId119" cstate="email">
                      <a:extLst>
                        <a:ext uri="{28A0092B-C50C-407E-A947-70E740481C1C}">
                          <a14:useLocalDpi xmlns:a14="http://schemas.microsoft.com/office/drawing/2010/main"/>
                        </a:ext>
                      </a:extLst>
                    </a:blip>
                    <a:stretch>
                      <a:fillRect/>
                    </a:stretch>
                  </pic:blipFill>
                  <pic:spPr>
                    <a:xfrm>
                      <a:off x="0" y="0"/>
                      <a:ext cx="2536190" cy="3657600"/>
                    </a:xfrm>
                    <a:prstGeom prst="rect">
                      <a:avLst/>
                    </a:prstGeom>
                  </pic:spPr>
                </pic:pic>
              </a:graphicData>
            </a:graphic>
            <wp14:sizeRelH relativeFrom="margin">
              <wp14:pctWidth>0</wp14:pctWidth>
            </wp14:sizeRelH>
            <wp14:sizeRelV relativeFrom="margin">
              <wp14:pctHeight>0</wp14:pctHeight>
            </wp14:sizeRelV>
          </wp:anchor>
        </w:drawing>
      </w:r>
    </w:p>
    <w:p w14:paraId="5F208558" w14:textId="77777777" w:rsidR="00B4516E" w:rsidRPr="00CC135C" w:rsidRDefault="00B4516E" w:rsidP="00B4516E">
      <w:pPr>
        <w:rPr>
          <w:rFonts w:ascii="Calibri" w:hAnsi="Calibri"/>
          <w:lang w:val="en-GB"/>
        </w:rPr>
      </w:pPr>
    </w:p>
    <w:p w14:paraId="7DA86572" w14:textId="77777777" w:rsidR="00B4516E" w:rsidRPr="00CC135C" w:rsidRDefault="00B4516E" w:rsidP="00B4516E">
      <w:pPr>
        <w:rPr>
          <w:rFonts w:ascii="Calibri" w:hAnsi="Calibri"/>
          <w:lang w:val="en-GB"/>
        </w:rPr>
      </w:pPr>
    </w:p>
    <w:p w14:paraId="4048B682" w14:textId="77777777" w:rsidR="00B4516E" w:rsidRPr="00CC135C" w:rsidRDefault="00B4516E" w:rsidP="00B4516E">
      <w:pPr>
        <w:rPr>
          <w:rFonts w:ascii="Calibri" w:hAnsi="Calibri"/>
          <w:lang w:val="en-GB"/>
        </w:rPr>
      </w:pPr>
    </w:p>
    <w:p w14:paraId="408E68E0" w14:textId="77777777" w:rsidR="00B4516E" w:rsidRPr="00CC135C" w:rsidRDefault="00B4516E" w:rsidP="00B4516E">
      <w:pPr>
        <w:rPr>
          <w:rFonts w:ascii="Calibri" w:hAnsi="Calibri"/>
          <w:lang w:val="en-GB"/>
        </w:rPr>
      </w:pPr>
    </w:p>
    <w:p w14:paraId="325A3670" w14:textId="77777777" w:rsidR="00B4516E" w:rsidRPr="00CC135C" w:rsidRDefault="00B4516E" w:rsidP="00B4516E">
      <w:pPr>
        <w:rPr>
          <w:rFonts w:ascii="Calibri" w:hAnsi="Calibri"/>
          <w:lang w:val="en-GB"/>
        </w:rPr>
      </w:pPr>
    </w:p>
    <w:p w14:paraId="49E73117" w14:textId="77777777" w:rsidR="00B4516E" w:rsidRPr="00CC135C" w:rsidRDefault="00B4516E" w:rsidP="00B4516E">
      <w:pPr>
        <w:rPr>
          <w:rFonts w:ascii="Calibri" w:hAnsi="Calibri"/>
          <w:lang w:val="en-GB"/>
        </w:rPr>
      </w:pPr>
    </w:p>
    <w:p w14:paraId="4553275B" w14:textId="77777777" w:rsidR="00B4516E" w:rsidRPr="00CC135C" w:rsidRDefault="00B4516E" w:rsidP="00B4516E">
      <w:pPr>
        <w:rPr>
          <w:rFonts w:ascii="Calibri" w:hAnsi="Calibri"/>
          <w:lang w:val="en-GB"/>
        </w:rPr>
      </w:pPr>
    </w:p>
    <w:p w14:paraId="2219AC65" w14:textId="77777777" w:rsidR="00B4516E" w:rsidRPr="00CC135C" w:rsidRDefault="00B4516E" w:rsidP="00B4516E">
      <w:pPr>
        <w:rPr>
          <w:rFonts w:ascii="Calibri" w:hAnsi="Calibri"/>
          <w:lang w:val="en-GB"/>
        </w:rPr>
      </w:pPr>
    </w:p>
    <w:p w14:paraId="4DF76C77" w14:textId="77777777" w:rsidR="00B4516E" w:rsidRPr="00CC135C" w:rsidRDefault="00B4516E" w:rsidP="00B4516E">
      <w:pPr>
        <w:rPr>
          <w:rFonts w:ascii="Calibri" w:hAnsi="Calibri"/>
          <w:lang w:val="en-GB"/>
        </w:rPr>
      </w:pPr>
    </w:p>
    <w:p w14:paraId="2808FFE7" w14:textId="77777777" w:rsidR="00B4516E" w:rsidRPr="00CC135C" w:rsidRDefault="00B4516E" w:rsidP="00B4516E">
      <w:pPr>
        <w:rPr>
          <w:rFonts w:ascii="Calibri" w:hAnsi="Calibri"/>
          <w:lang w:val="en-GB"/>
        </w:rPr>
      </w:pPr>
    </w:p>
    <w:p w14:paraId="7C4DFF41" w14:textId="77777777" w:rsidR="00B4516E" w:rsidRPr="00CC135C" w:rsidRDefault="00B4516E" w:rsidP="00B4516E">
      <w:pPr>
        <w:rPr>
          <w:rFonts w:ascii="Calibri" w:hAnsi="Calibri"/>
          <w:lang w:val="en-GB"/>
        </w:rPr>
      </w:pPr>
    </w:p>
    <w:p w14:paraId="5746659C" w14:textId="77777777" w:rsidR="00B4516E" w:rsidRPr="00CC135C" w:rsidRDefault="00B4516E" w:rsidP="00B4516E">
      <w:pPr>
        <w:rPr>
          <w:rFonts w:ascii="Calibri" w:hAnsi="Calibri"/>
          <w:lang w:val="en-GB"/>
        </w:rPr>
      </w:pPr>
    </w:p>
    <w:p w14:paraId="42B4FB65" w14:textId="77777777" w:rsidR="00B4516E" w:rsidRPr="00CC135C" w:rsidRDefault="00B4516E" w:rsidP="00B4516E">
      <w:pPr>
        <w:rPr>
          <w:rFonts w:ascii="Calibri" w:hAnsi="Calibri"/>
          <w:lang w:val="en-GB"/>
        </w:rPr>
      </w:pPr>
    </w:p>
    <w:p w14:paraId="341D36D8" w14:textId="77777777" w:rsidR="00B4516E" w:rsidRPr="00CC135C" w:rsidRDefault="00B4516E" w:rsidP="00B4516E">
      <w:pPr>
        <w:rPr>
          <w:rFonts w:ascii="Calibri" w:hAnsi="Calibri"/>
          <w:lang w:val="en-GB"/>
        </w:rPr>
      </w:pPr>
    </w:p>
    <w:p w14:paraId="5FCDDE8C" w14:textId="77777777" w:rsidR="00B4516E" w:rsidRPr="00CC135C" w:rsidRDefault="00B4516E" w:rsidP="00B4516E">
      <w:pPr>
        <w:rPr>
          <w:rFonts w:ascii="Calibri" w:hAnsi="Calibri"/>
          <w:lang w:val="en-GB"/>
        </w:rPr>
      </w:pPr>
    </w:p>
    <w:p w14:paraId="77DF9824" w14:textId="77777777" w:rsidR="00B4516E" w:rsidRPr="00CC135C" w:rsidRDefault="00B4516E" w:rsidP="00B4516E">
      <w:pPr>
        <w:rPr>
          <w:rFonts w:ascii="Calibri" w:hAnsi="Calibri"/>
          <w:lang w:val="en-GB"/>
        </w:rPr>
      </w:pPr>
    </w:p>
    <w:p w14:paraId="57DCA3DF" w14:textId="77777777" w:rsidR="00B4516E" w:rsidRPr="00CC135C" w:rsidRDefault="00B4516E" w:rsidP="00B4516E">
      <w:pPr>
        <w:rPr>
          <w:rFonts w:ascii="Calibri" w:hAnsi="Calibri"/>
          <w:lang w:val="en-GB"/>
        </w:rPr>
      </w:pPr>
    </w:p>
    <w:p w14:paraId="46879986" w14:textId="77777777" w:rsidR="00B4516E" w:rsidRPr="00CC135C" w:rsidRDefault="00B4516E" w:rsidP="00B4516E">
      <w:pPr>
        <w:rPr>
          <w:rFonts w:ascii="Calibri" w:hAnsi="Calibri"/>
          <w:lang w:val="en-GB"/>
        </w:rPr>
      </w:pPr>
    </w:p>
    <w:p w14:paraId="5B1978A7" w14:textId="77777777" w:rsidR="00B4516E" w:rsidRPr="00CC135C" w:rsidRDefault="00B4516E" w:rsidP="00B4516E">
      <w:pPr>
        <w:rPr>
          <w:rFonts w:ascii="Calibri" w:hAnsi="Calibri"/>
          <w:lang w:val="en-GB"/>
        </w:rPr>
      </w:pPr>
    </w:p>
    <w:p w14:paraId="7B3689BD" w14:textId="77777777" w:rsidR="00B4516E" w:rsidRPr="0003537C" w:rsidRDefault="00B4516E" w:rsidP="00B4516E">
      <w:pPr>
        <w:tabs>
          <w:tab w:val="left" w:pos="3165"/>
        </w:tabs>
        <w:rPr>
          <w:rFonts w:ascii="Times New Roman" w:hAnsi="Times New Roman" w:cs="Times New Roman"/>
          <w:lang w:val="en-GB"/>
        </w:rPr>
      </w:pPr>
      <w:r w:rsidRPr="00CC135C">
        <w:rPr>
          <w:rFonts w:ascii="Calibri" w:hAnsi="Calibri"/>
          <w:lang w:val="en-GB"/>
        </w:rPr>
        <w:tab/>
      </w:r>
      <w:r w:rsidRPr="0003537C">
        <w:rPr>
          <w:rFonts w:ascii="Times New Roman" w:hAnsi="Times New Roman" w:cs="Times New Roman"/>
          <w:lang w:val="en-GB"/>
        </w:rPr>
        <w:t>Fig. 39</w:t>
      </w:r>
    </w:p>
    <w:p w14:paraId="764F0727" w14:textId="77777777" w:rsidR="00B4516E" w:rsidRPr="00CC135C" w:rsidRDefault="00B4516E" w:rsidP="00B4516E">
      <w:pPr>
        <w:rPr>
          <w:rFonts w:ascii="Calibri" w:hAnsi="Calibri"/>
          <w:lang w:val="en-GB"/>
        </w:rPr>
      </w:pPr>
    </w:p>
    <w:p w14:paraId="50D247CC" w14:textId="77777777" w:rsidR="00B4516E" w:rsidRPr="006F04E6" w:rsidRDefault="00B4516E" w:rsidP="00B4516E">
      <w:pPr>
        <w:keepNext/>
        <w:keepLines/>
        <w:spacing w:before="320" w:after="80" w:line="276" w:lineRule="auto"/>
        <w:outlineLvl w:val="2"/>
        <w:rPr>
          <w:rFonts w:ascii="Times New Roman" w:hAnsi="Times New Roman"/>
          <w:b/>
          <w:lang w:val="en-GB"/>
        </w:rPr>
      </w:pPr>
      <w:r w:rsidRPr="00CC135C">
        <w:rPr>
          <w:rFonts w:ascii="Arial" w:hAnsi="Arial"/>
          <w:color w:val="434343"/>
          <w:sz w:val="28"/>
          <w:lang w:val="en-GB"/>
        </w:rPr>
        <w:br w:type="column"/>
      </w:r>
      <w:bookmarkStart w:id="56" w:name="_Toc173231206"/>
      <w:r w:rsidRPr="006F04E6">
        <w:rPr>
          <w:rFonts w:ascii="Times New Roman" w:hAnsi="Times New Roman"/>
          <w:b/>
          <w:color w:val="0D0D0D"/>
          <w:lang w:val="en-GB"/>
        </w:rPr>
        <w:lastRenderedPageBreak/>
        <w:t>4.2.4. Texts of Argišti I</w:t>
      </w:r>
      <w:r w:rsidRPr="006F04E6">
        <w:rPr>
          <w:rFonts w:ascii="Times New Roman" w:hAnsi="Times New Roman"/>
          <w:b/>
          <w:color w:val="0D0D0D"/>
          <w:lang w:val="en-GB"/>
        </w:rPr>
        <w:fldChar w:fldCharType="begin"/>
      </w:r>
      <w:r w:rsidRPr="006F04E6">
        <w:rPr>
          <w:rFonts w:ascii="Arial" w:hAnsi="Arial"/>
          <w:color w:val="0D0D0D"/>
          <w:lang w:val="en-GB"/>
        </w:rPr>
        <w:instrText xml:space="preserve"> XE "</w:instrText>
      </w:r>
      <w:r w:rsidRPr="006F04E6">
        <w:rPr>
          <w:rFonts w:ascii="Times New Roman" w:hAnsi="Times New Roman"/>
          <w:color w:val="0D0D0D"/>
          <w:lang w:val="en-GB"/>
        </w:rPr>
        <w:instrText>Argišti I</w:instrText>
      </w:r>
      <w:r w:rsidRPr="006F04E6">
        <w:rPr>
          <w:rFonts w:ascii="Arial" w:hAnsi="Arial"/>
          <w:color w:val="0D0D0D"/>
          <w:lang w:val="en-GB"/>
        </w:rPr>
        <w:instrText xml:space="preserve">" </w:instrText>
      </w:r>
      <w:r w:rsidRPr="006F04E6">
        <w:rPr>
          <w:rFonts w:ascii="Times New Roman" w:hAnsi="Times New Roman"/>
          <w:b/>
          <w:color w:val="0D0D0D"/>
          <w:lang w:val="en-GB"/>
        </w:rPr>
        <w:fldChar w:fldCharType="end"/>
      </w:r>
      <w:r w:rsidRPr="006F04E6">
        <w:rPr>
          <w:rFonts w:ascii="Times New Roman" w:hAnsi="Times New Roman"/>
          <w:b/>
          <w:color w:val="0D0D0D"/>
          <w:lang w:val="en-GB"/>
        </w:rPr>
        <w:t>, son of Minua</w:t>
      </w:r>
      <w:bookmarkEnd w:id="56"/>
      <w:r w:rsidRPr="006F04E6">
        <w:rPr>
          <w:rFonts w:ascii="Times New Roman" w:hAnsi="Times New Roman"/>
          <w:b/>
          <w:color w:val="0D0D0D"/>
          <w:lang w:val="en-GB"/>
        </w:rPr>
        <w:fldChar w:fldCharType="begin"/>
      </w:r>
      <w:r w:rsidRPr="006F04E6">
        <w:rPr>
          <w:rFonts w:ascii="Arial" w:hAnsi="Arial"/>
          <w:color w:val="0D0D0D"/>
          <w:lang w:val="en-GB"/>
        </w:rPr>
        <w:instrText xml:space="preserve"> XE "</w:instrText>
      </w:r>
      <w:r w:rsidRPr="006F04E6">
        <w:rPr>
          <w:rFonts w:ascii="Times New Roman" w:hAnsi="Times New Roman"/>
          <w:color w:val="0D0D0D"/>
          <w:lang w:val="en-GB"/>
        </w:rPr>
        <w:instrText>Minua</w:instrText>
      </w:r>
      <w:r w:rsidRPr="006F04E6">
        <w:rPr>
          <w:rFonts w:ascii="Arial" w:hAnsi="Arial"/>
          <w:color w:val="0D0D0D"/>
          <w:lang w:val="en-GB"/>
        </w:rPr>
        <w:instrText xml:space="preserve">" </w:instrText>
      </w:r>
      <w:r w:rsidRPr="006F04E6">
        <w:rPr>
          <w:rFonts w:ascii="Times New Roman" w:hAnsi="Times New Roman"/>
          <w:b/>
          <w:color w:val="0D0D0D"/>
          <w:lang w:val="en-GB"/>
        </w:rPr>
        <w:fldChar w:fldCharType="end"/>
      </w:r>
    </w:p>
    <w:p w14:paraId="2E1934DA"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 xml:space="preserve">The Annals of </w:t>
      </w:r>
      <w:r w:rsidRPr="006F04E6">
        <w:rPr>
          <w:rFonts w:ascii="Times New Roman" w:eastAsia="Arial" w:hAnsi="Times New Roman" w:cs="Times New Roman"/>
          <w:color w:val="202124"/>
          <w:lang w:val="en-GB" w:eastAsia="it-IT"/>
        </w:rPr>
        <w:t>Minua</w:t>
      </w:r>
      <w:r w:rsidRPr="006F04E6">
        <w:rPr>
          <w:rFonts w:ascii="Times New Roman" w:eastAsia="Arial" w:hAnsi="Times New Roman" w:cs="Times New Roman"/>
          <w:color w:val="202124"/>
          <w:lang w:val="en-GB" w:eastAsia="it-IT"/>
        </w:rPr>
        <w:fldChar w:fldCharType="begin"/>
      </w:r>
      <w:r w:rsidRPr="006F04E6">
        <w:instrText xml:space="preserve"> XE "</w:instrText>
      </w:r>
      <w:r w:rsidRPr="006F04E6">
        <w:rPr>
          <w:rFonts w:ascii="Times New Roman" w:eastAsia="Arial" w:hAnsi="Times New Roman" w:cs="Times New Roman"/>
          <w:color w:val="202124"/>
          <w:lang w:val="en-GB" w:eastAsia="it-IT"/>
        </w:rPr>
        <w:instrText>Minua</w:instrText>
      </w:r>
      <w:r w:rsidRPr="006F04E6">
        <w:instrText xml:space="preserve">" </w:instrText>
      </w:r>
      <w:r w:rsidRPr="006F04E6">
        <w:rPr>
          <w:rFonts w:ascii="Times New Roman" w:eastAsia="Arial" w:hAnsi="Times New Roman" w:cs="Times New Roman"/>
          <w:color w:val="202124"/>
          <w:lang w:val="en-GB" w:eastAsia="it-IT"/>
        </w:rPr>
        <w:fldChar w:fldCharType="end"/>
      </w:r>
      <w:r w:rsidRPr="006F04E6">
        <w:rPr>
          <w:rFonts w:ascii="Times New Roman" w:eastAsia="Arial" w:hAnsi="Times New Roman" w:cs="Times New Roman"/>
          <w:color w:val="202124"/>
          <w:lang w:val="en-GB" w:eastAsia="it-IT"/>
        </w:rPr>
        <w:t>’s</w:t>
      </w:r>
      <w:r w:rsidRPr="006F04E6">
        <w:rPr>
          <w:rFonts w:ascii="Times New Roman" w:hAnsi="Times New Roman"/>
        </w:rPr>
        <w:t xml:space="preserve"> successors, Argišti I</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iCs/>
          <w:lang w:val="en-GB"/>
        </w:rPr>
        <w:instrText>Argišti</w:instrText>
      </w:r>
      <w:r w:rsidRPr="006F04E6">
        <w:rPr>
          <w:rFonts w:asciiTheme="majorBidi" w:hAnsiTheme="majorBidi" w:cstheme="majorBidi"/>
          <w:lang w:val="en-GB"/>
        </w:rPr>
        <w:instrText xml:space="preserve"> 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son of Minua</w:t>
      </w:r>
      <w:r w:rsidRPr="006F04E6">
        <w:rPr>
          <w:rFonts w:ascii="Times New Roman" w:eastAsia="Arial" w:hAnsi="Times New Roman" w:cs="Times New Roman"/>
          <w:color w:val="202124"/>
          <w:lang w:val="en-GB" w:eastAsia="it-IT"/>
        </w:rPr>
        <w:t>,</w:t>
      </w:r>
      <w:r w:rsidRPr="006F04E6">
        <w:rPr>
          <w:rFonts w:ascii="Times New Roman" w:hAnsi="Times New Roman"/>
        </w:rPr>
        <w:t xml:space="preserve"> and Sarduri</w:t>
      </w:r>
      <w:r w:rsidRPr="006F04E6">
        <w:rPr>
          <w:rFonts w:ascii="Times New Roman" w:eastAsia="Arial" w:hAnsi="Times New Roman" w:cs="Times New Roman"/>
          <w:color w:val="202124"/>
          <w:lang w:val="en-GB" w:eastAsia="it-IT"/>
        </w:rPr>
        <w:t> </w:t>
      </w:r>
      <w:r w:rsidRPr="006F04E6">
        <w:rPr>
          <w:rFonts w:ascii="Times New Roman" w:hAnsi="Times New Roman"/>
        </w:rPr>
        <w:t>II</w:t>
      </w:r>
      <w:r w:rsidRPr="006F04E6">
        <w:rPr>
          <w:rFonts w:ascii="Times New Roman" w:eastAsia="Arial" w:hAnsi="Times New Roman" w:cs="Times New Roman"/>
          <w:color w:val="202124"/>
          <w:lang w:val="en-GB" w:eastAsia="it-IT"/>
        </w:rPr>
        <w:t xml:space="preserve">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"Sarduri II"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son of Argišti, are the </w:t>
      </w:r>
      <w:r w:rsidRPr="006F04E6">
        <w:rPr>
          <w:rFonts w:ascii="Times New Roman" w:eastAsia="Arial" w:hAnsi="Times New Roman" w:cs="Times New Roman"/>
          <w:color w:val="202124"/>
          <w:lang w:val="en-GB" w:eastAsia="it-IT"/>
        </w:rPr>
        <w:t>most extended</w:t>
      </w:r>
      <w:r w:rsidRPr="006F04E6">
        <w:rPr>
          <w:rFonts w:ascii="Times New Roman" w:hAnsi="Times New Roman"/>
        </w:rPr>
        <w:t xml:space="preserve"> texts preserved in Van Fortress. Since they consist above all </w:t>
      </w:r>
      <w:r w:rsidRPr="006F04E6">
        <w:rPr>
          <w:rFonts w:ascii="Times New Roman" w:eastAsia="Arial" w:hAnsi="Times New Roman" w:cs="Times New Roman"/>
          <w:color w:val="202124"/>
          <w:lang w:val="en-GB" w:eastAsia="it-IT"/>
        </w:rPr>
        <w:t>the</w:t>
      </w:r>
      <w:r w:rsidRPr="006F04E6">
        <w:rPr>
          <w:rFonts w:ascii="Times New Roman" w:hAnsi="Times New Roman"/>
        </w:rPr>
        <w:t xml:space="preserve"> long lists of war achievements and the repetition of formulas, I think it is useless to reproduce them here in full and that it is enough to refer to the Corpora. Here</w:t>
      </w:r>
      <w:r w:rsidRPr="006F04E6">
        <w:rPr>
          <w:rFonts w:ascii="Times New Roman" w:eastAsia="Arial" w:hAnsi="Times New Roman" w:cs="Times New Roman"/>
          <w:color w:val="202124"/>
          <w:lang w:val="en-GB" w:eastAsia="it-IT"/>
        </w:rPr>
        <w:t>,</w:t>
      </w:r>
      <w:r w:rsidRPr="006F04E6">
        <w:rPr>
          <w:rFonts w:ascii="Times New Roman" w:hAnsi="Times New Roman"/>
        </w:rPr>
        <w:t xml:space="preserve"> it will suffice to describe its content and narration</w:t>
      </w:r>
      <w:r w:rsidRPr="006F04E6">
        <w:rPr>
          <w:rFonts w:ascii="Times New Roman" w:eastAsia="Arial" w:hAnsi="Times New Roman" w:cs="Times New Roman"/>
          <w:color w:val="202124"/>
          <w:lang w:val="en-GB" w:eastAsia="it-IT"/>
        </w:rPr>
        <w:t xml:space="preserve"> style</w:t>
      </w:r>
      <w:r w:rsidRPr="006F04E6">
        <w:rPr>
          <w:rFonts w:ascii="Times New Roman" w:hAnsi="Times New Roman"/>
        </w:rPr>
        <w:t>.</w:t>
      </w:r>
      <w:r w:rsidRPr="006F04E6">
        <w:rPr>
          <w:rFonts w:ascii="Times New Roman" w:hAnsi="Times New Roman"/>
          <w:color w:val="202124"/>
          <w:lang w:val="en-GB"/>
        </w:rPr>
        <w:t xml:space="preserve"> </w:t>
      </w:r>
      <w:r w:rsidRPr="006F04E6">
        <w:rPr>
          <w:rFonts w:ascii="Times New Roman" w:hAnsi="Times New Roman"/>
        </w:rPr>
        <w:t>I begin with the stelae of Argišti I</w:t>
      </w:r>
      <w:r w:rsidRPr="006F04E6">
        <w:rPr>
          <w:rFonts w:ascii="Times New Roman" w:eastAsia="Arial" w:hAnsi="Times New Roman" w:cs="Times New Roman"/>
          <w:color w:val="202124"/>
          <w:lang w:val="en-GB" w:eastAsia="it-IT"/>
        </w:rPr>
        <w:t>,</w:t>
      </w:r>
      <w:r w:rsidRPr="006F04E6">
        <w:rPr>
          <w:rFonts w:ascii="Times New Roman" w:hAnsi="Times New Roman"/>
        </w:rPr>
        <w:t xml:space="preserve"> which are closely connected with the Annals.</w:t>
      </w:r>
      <w:r w:rsidRPr="006F04E6">
        <w:rPr>
          <w:rFonts w:ascii="Times New Roman" w:hAnsi="Times New Roman"/>
          <w:color w:val="202124"/>
          <w:lang w:val="en-GB"/>
        </w:rPr>
        <w:t xml:space="preserve"> The two fragmentary stelae that disappeared from the Surb Sahak Church</w:t>
      </w:r>
      <w:r w:rsidRPr="006F04E6">
        <w:rPr>
          <w:rFonts w:ascii="Times New Roman" w:eastAsia="Arial"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Surb Sahak Church</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in Old Van City</w:t>
      </w:r>
      <w:r w:rsidRPr="006F04E6">
        <w:rPr>
          <w:rFonts w:ascii="Times New Roman" w:eastAsia="Arial" w:hAnsi="Times New Roman" w:cs="Times New Roman"/>
          <w:color w:val="202124"/>
          <w:lang w:val="en-GB" w:eastAsia="it-IT"/>
        </w:rPr>
        <w:t> </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Old Van City</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heme="majorBidi" w:hAnsiTheme="majorBidi" w:cstheme="majorBidi"/>
          <w:color w:val="202124"/>
          <w:lang w:val="en-GB"/>
        </w:rPr>
        <w:t xml:space="preserve"> </w:t>
      </w:r>
      <w:r w:rsidRPr="006F04E6">
        <w:rPr>
          <w:rFonts w:ascii="Times New Roman" w:hAnsi="Times New Roman"/>
          <w:color w:val="202124"/>
          <w:lang w:val="en-GB"/>
        </w:rPr>
        <w:t>belong to the annals of the king (CTU I. A 8-1 and CTU I. A 8-2). The reconstruction of the monument proposed by G.A. Melikišvili, UKN.128 (see p. 245) hypothesizes a single stele in two parts (UKN.128 A and B), following the presentation of Lehmann-Haupt</w:t>
      </w:r>
      <w:r w:rsidRPr="006F04E6">
        <w:rPr>
          <w:rFonts w:ascii="Times New Roman" w:eastAsia="Arial" w:hAnsi="Times New Roman" w:cs="Times New Roman"/>
          <w:color w:val="202124"/>
          <w:lang w:val="en-GB" w:eastAsia="it-IT"/>
        </w:rPr>
        <w:t> </w:t>
      </w:r>
      <w:r w:rsidRPr="006F04E6">
        <w:rPr>
          <w:rFonts w:ascii="Times New Roman" w:hAnsi="Times New Roman"/>
          <w:color w:val="202124"/>
          <w:lang w:val="en-GB"/>
        </w:rPr>
        <w:t>(CICh.112 A and B). Here</w:t>
      </w:r>
      <w:r w:rsidRPr="006F04E6">
        <w:rPr>
          <w:rFonts w:ascii="Times New Roman" w:eastAsia="Arial" w:hAnsi="Times New Roman" w:cs="Times New Roman"/>
          <w:color w:val="202124"/>
          <w:lang w:val="en-GB" w:eastAsia="it-IT"/>
        </w:rPr>
        <w:t>,</w:t>
      </w:r>
      <w:r w:rsidRPr="006F04E6">
        <w:rPr>
          <w:rFonts w:ascii="Times New Roman" w:hAnsi="Times New Roman"/>
          <w:color w:val="202124"/>
          <w:lang w:val="en-GB"/>
        </w:rPr>
        <w:t xml:space="preserve"> a different solution is adopted, which presents two distinct stelae, of which only the upper (CTU I. A 8-1) or middle (CTU I. A 8-2) part is preserved (HchI.81 and 82; see Salvini, 1995: 58 sg.; Salvini, 2006: 68).</w:t>
      </w:r>
    </w:p>
    <w:p w14:paraId="180D5D93"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53CB83BA" w14:textId="77777777" w:rsidR="00B4516E" w:rsidRPr="006F04E6" w:rsidRDefault="00B4516E" w:rsidP="00B4516E">
      <w:pPr>
        <w:keepNext/>
        <w:keepLines/>
        <w:spacing w:before="280" w:after="80" w:line="276" w:lineRule="auto"/>
        <w:outlineLvl w:val="3"/>
        <w:rPr>
          <w:rFonts w:ascii="Times New Roman" w:hAnsi="Times New Roman"/>
          <w:b/>
          <w:color w:val="0D0D0D"/>
          <w:lang w:val="en-GB"/>
        </w:rPr>
      </w:pPr>
      <w:r w:rsidRPr="006F04E6">
        <w:rPr>
          <w:rFonts w:ascii="Times New Roman" w:hAnsi="Times New Roman"/>
          <w:b/>
          <w:color w:val="0D0D0D"/>
          <w:lang w:val="en-GB"/>
        </w:rPr>
        <w:t>4.2.4.1. Two fragmentary stelae of the Surp Sahak Church</w:t>
      </w:r>
      <w:r w:rsidRPr="006F04E6">
        <w:rPr>
          <w:rFonts w:ascii="Times New Roman" w:hAnsi="Times New Roman"/>
          <w:b/>
          <w:color w:val="0D0D0D"/>
          <w:lang w:val="en-GB"/>
        </w:rPr>
        <w:fldChar w:fldCharType="begin"/>
      </w:r>
      <w:r w:rsidRPr="006F04E6">
        <w:rPr>
          <w:rFonts w:ascii="Arial" w:hAnsi="Arial"/>
          <w:color w:val="0D0D0D"/>
          <w:lang w:val="en-GB"/>
        </w:rPr>
        <w:instrText xml:space="preserve"> XE "</w:instrText>
      </w:r>
      <w:r w:rsidRPr="006F04E6">
        <w:rPr>
          <w:rFonts w:ascii="Times New Roman" w:hAnsi="Times New Roman"/>
          <w:color w:val="0D0D0D"/>
          <w:lang w:val="en-GB"/>
        </w:rPr>
        <w:instrText>Surp Sahak Church</w:instrText>
      </w:r>
      <w:r w:rsidRPr="006F04E6">
        <w:rPr>
          <w:rFonts w:ascii="Arial" w:hAnsi="Arial"/>
          <w:color w:val="0D0D0D"/>
          <w:lang w:val="en-GB"/>
        </w:rPr>
        <w:instrText xml:space="preserve">" </w:instrText>
      </w:r>
      <w:r w:rsidRPr="006F04E6">
        <w:rPr>
          <w:rFonts w:ascii="Times New Roman" w:hAnsi="Times New Roman"/>
          <w:b/>
          <w:color w:val="0D0D0D"/>
          <w:lang w:val="en-GB"/>
        </w:rPr>
        <w:fldChar w:fldCharType="end"/>
      </w:r>
      <w:r w:rsidRPr="006F04E6">
        <w:rPr>
          <w:rFonts w:ascii="Times New Roman" w:hAnsi="Times New Roman"/>
          <w:b/>
          <w:color w:val="0D0D0D"/>
          <w:lang w:val="en-GB"/>
        </w:rPr>
        <w:t>: CTU I. A 8-1 and 2</w:t>
      </w:r>
    </w:p>
    <w:p w14:paraId="418960AB"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color w:val="202124"/>
          <w:lang w:val="en-GB"/>
        </w:rPr>
        <w:t xml:space="preserve">[Text content: </w:t>
      </w:r>
      <w:r w:rsidRPr="006F04E6">
        <w:rPr>
          <w:rFonts w:ascii="Times New Roman" w:hAnsi="Times New Roman"/>
        </w:rPr>
        <w:t>At the beginning</w:t>
      </w:r>
      <w:r w:rsidRPr="006F04E6">
        <w:rPr>
          <w:rFonts w:ascii="Times New Roman" w:eastAsia="Times New Roman" w:hAnsi="Times New Roman" w:cs="Times New Roman"/>
          <w:color w:val="202124"/>
          <w:lang w:val="en-GB" w:eastAsia="it-IT"/>
        </w:rPr>
        <w:t>,</w:t>
      </w:r>
      <w:r w:rsidRPr="006F04E6">
        <w:rPr>
          <w:rFonts w:ascii="Times New Roman" w:hAnsi="Times New Roman"/>
        </w:rPr>
        <w:t xml:space="preserve"> there is the dedication to the national god Ḫaldi</w:t>
      </w:r>
      <w:r w:rsidRPr="006F04E6">
        <w:rPr>
          <w:rFonts w:ascii="Times New Roman" w:eastAsia="Times New Roman"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"Ḫaldi"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followed by the royal titles. The curse formula follows for anyone who dares to damage or destroy the inscription. Then begins the list of achievements, accompanied by the exaltation of the god </w:t>
      </w:r>
      <w:r w:rsidRPr="006F04E6">
        <w:rPr>
          <w:rFonts w:ascii="Times New Roman" w:eastAsia="Times New Roman" w:hAnsi="Times New Roman" w:cs="Times New Roman"/>
          <w:color w:val="202124"/>
          <w:lang w:val="en-GB" w:eastAsia="it-IT"/>
        </w:rPr>
        <w:t>Ḫaldi and</w:t>
      </w:r>
      <w:r w:rsidRPr="006F04E6">
        <w:rPr>
          <w:rFonts w:ascii="Times New Roman" w:hAnsi="Times New Roman"/>
        </w:rPr>
        <w:t xml:space="preserve"> his weapon. Before each undertaking, </w:t>
      </w:r>
      <w:r w:rsidRPr="006F04E6">
        <w:rPr>
          <w:rFonts w:ascii="Times New Roman" w:eastAsia="Times New Roman" w:hAnsi="Times New Roman" w:cs="Times New Roman"/>
          <w:color w:val="202124"/>
          <w:lang w:val="en-GB" w:eastAsia="it-IT"/>
        </w:rPr>
        <w:t>Ḫaldi and</w:t>
      </w:r>
      <w:r w:rsidRPr="006F04E6">
        <w:rPr>
          <w:rFonts w:ascii="Times New Roman" w:hAnsi="Times New Roman"/>
        </w:rPr>
        <w:t xml:space="preserve"> the other gods of the pantheon are invoked. The names of the subjugated cities and peoples and the list of deportees, men and women, follow.</w:t>
      </w:r>
    </w:p>
    <w:p w14:paraId="4E4E61C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It is Ḫaldi</w:t>
      </w:r>
      <w:r w:rsidRPr="006F04E6">
        <w:rPr>
          <w:rFonts w:ascii="Times New Roman" w:eastAsia="Times New Roman"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"Ḫaldi"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who marches at the head of the army, and the first enemy to defeat is Utuburšini</w:t>
      </w:r>
      <w:r w:rsidRPr="006F04E6">
        <w:rPr>
          <w:rFonts w:ascii="Times New Roman" w:eastAsia="Times New Roman"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Utuburšini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of Diaueḫi</w:t>
      </w:r>
      <w:r w:rsidRPr="006F04E6">
        <w:rPr>
          <w:rFonts w:ascii="Times New Roman" w:eastAsia="Times New Roman" w:hAnsi="Times New Roman" w:cs="Times New Roman"/>
          <w:color w:val="202124"/>
          <w:lang w:val="en-GB" w:eastAsia="it-IT"/>
        </w:rPr>
        <w:t>, a</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Diaueḫi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northern country, possibly bordering present-day Georgia, </w:t>
      </w:r>
      <w:r w:rsidRPr="006F04E6">
        <w:rPr>
          <w:rFonts w:ascii="Times New Roman" w:eastAsia="Times New Roman" w:hAnsi="Times New Roman" w:cs="Times New Roman"/>
          <w:color w:val="202124"/>
          <w:lang w:val="en-GB" w:eastAsia="it-IT"/>
        </w:rPr>
        <w:t>whom Minua</w:t>
      </w:r>
      <w:r w:rsidRPr="006F04E6">
        <w:rPr>
          <w:rFonts w:ascii="Times New Roman" w:hAnsi="Times New Roman"/>
        </w:rPr>
        <w:t xml:space="preserve"> had already defeated </w:t>
      </w:r>
      <w:r w:rsidRPr="006F04E6">
        <w:rPr>
          <w:rStyle w:val="y2iqfc"/>
          <w:rFonts w:asciiTheme="majorBidi" w:eastAsia="Arial" w:hAnsiTheme="majorBidi" w:cstheme="majorBidi"/>
          <w:color w:val="202124"/>
          <w:lang w:val="en-GB"/>
        </w:rPr>
        <w:t>by Minua</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"Minua"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but who had rebelled. Stele A 8-2 reports an enormous tribute from the king of Diaueḫi</w:t>
      </w:r>
      <w:r w:rsidRPr="006F04E6">
        <w:rPr>
          <w:rFonts w:ascii="Times New Roman" w:eastAsia="Times New Roman" w:hAnsi="Times New Roman" w:cs="Times New Roman"/>
          <w:color w:val="202124"/>
          <w:lang w:val="en-GB" w:eastAsia="it-IT"/>
        </w:rPr>
        <w:t>:</w:t>
      </w:r>
      <w:r w:rsidRPr="006F04E6">
        <w:rPr>
          <w:rFonts w:ascii="Times New Roman" w:hAnsi="Times New Roman"/>
        </w:rPr>
        <w:t xml:space="preserve"> gold, silver, copper, horses, </w:t>
      </w:r>
      <w:r w:rsidRPr="006F04E6">
        <w:rPr>
          <w:rFonts w:ascii="Times New Roman" w:eastAsia="Times New Roman" w:hAnsi="Times New Roman" w:cs="Times New Roman"/>
          <w:color w:val="202124"/>
          <w:lang w:val="en-GB" w:eastAsia="it-IT"/>
        </w:rPr>
        <w:t xml:space="preserve">and </w:t>
      </w:r>
      <w:r w:rsidRPr="006F04E6">
        <w:rPr>
          <w:rFonts w:ascii="Times New Roman" w:hAnsi="Times New Roman"/>
        </w:rPr>
        <w:t>cattle. Argišti penetrates Transcaucasia</w:t>
      </w:r>
      <w:r w:rsidRPr="006F04E6">
        <w:rPr>
          <w:rFonts w:ascii="Times New Roman" w:eastAsia="Times New Roman" w:hAnsi="Times New Roman" w:cs="Times New Roman"/>
          <w:color w:val="202124"/>
          <w:lang w:val="en-GB" w:eastAsia="it-IT"/>
        </w:rPr>
        <w:t>,</w:t>
      </w:r>
      <w:r w:rsidRPr="006F04E6">
        <w:rPr>
          <w:rFonts w:ascii="Times New Roman" w:hAnsi="Times New Roman"/>
        </w:rPr>
        <w:t xml:space="preserve"> occupying the countries of </w:t>
      </w:r>
      <w:r w:rsidRPr="006F04E6">
        <w:rPr>
          <w:rFonts w:ascii="Times New Roman" w:hAnsi="Times New Roman"/>
          <w:color w:val="202124"/>
          <w:lang w:val="en-GB"/>
        </w:rPr>
        <w:t>Etiu/Etiuḫi/Etiuni</w:t>
      </w:r>
      <w:r w:rsidRPr="006F04E6">
        <w:rPr>
          <w:rFonts w:ascii="Times New Roman" w:eastAsia="Times New Roman" w:hAnsi="Times New Roman" w:cs="Times New Roman"/>
          <w:color w:val="202124"/>
          <w:lang w:val="en-GB" w:eastAsia="it-IT"/>
        </w:rPr>
        <w:t>,</w:t>
      </w:r>
      <w:r w:rsidRPr="006F04E6">
        <w:rPr>
          <w:rFonts w:asciiTheme="majorBidi"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202124"/>
          <w:lang w:val="en-GB"/>
        </w:rPr>
        <w:instrText>Etiu/Etiuḫi/Etiuni</w:instrText>
      </w:r>
      <w:r w:rsidRPr="006F04E6">
        <w:rPr>
          <w:rFonts w:asciiTheme="majorBidi" w:hAnsiTheme="majorBidi" w:cstheme="majorBidi"/>
          <w:lang w:val="en-GB"/>
        </w:rPr>
        <w:instrText xml:space="preserve">" </w:instrText>
      </w:r>
      <w:r w:rsidRPr="006F04E6">
        <w:rPr>
          <w:rFonts w:asciiTheme="majorBidi" w:hAnsiTheme="majorBidi" w:cstheme="majorBidi"/>
          <w:color w:val="202124"/>
          <w:lang w:val="en-GB"/>
        </w:rPr>
        <w:fldChar w:fldCharType="end"/>
      </w:r>
      <w:r w:rsidRPr="006F04E6">
        <w:rPr>
          <w:rFonts w:ascii="Times New Roman" w:hAnsi="Times New Roman"/>
        </w:rPr>
        <w:t xml:space="preserve"> Luša</w:t>
      </w:r>
      <w:r w:rsidRPr="006F04E6">
        <w:rPr>
          <w:rFonts w:ascii="Times New Roman" w:eastAsia="Times New Roman"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"Luša"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Katarza</w:t>
      </w:r>
      <w:r w:rsidRPr="006F04E6">
        <w:rPr>
          <w:rFonts w:ascii="Times New Roman" w:eastAsia="Times New Roman" w:hAnsi="Times New Roman" w:cs="Times New Roman"/>
          <w:color w:val="202124"/>
          <w:lang w:val="en-GB" w:eastAsia="it-IT"/>
        </w:rPr>
        <w:t xml:space="preserve"> and</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"Katarza"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Uiteruhi</w:t>
      </w:r>
      <w:r w:rsidRPr="006F04E6">
        <w:rPr>
          <w:rFonts w:ascii="Times New Roman" w:hAnsi="Times New Roman"/>
        </w:rPr>
        <w:fldChar w:fldCharType="begin"/>
      </w:r>
      <w:r w:rsidRPr="006F04E6">
        <w:instrText xml:space="preserve"> XE "</w:instrText>
      </w:r>
      <w:r w:rsidRPr="006F04E6">
        <w:rPr>
          <w:rFonts w:ascii="Times New Roman" w:hAnsi="Times New Roman"/>
        </w:rPr>
        <w:instrText>Uiteruhi</w:instrText>
      </w:r>
      <w:r w:rsidRPr="006F04E6">
        <w:instrText xml:space="preserve">" </w:instrText>
      </w:r>
      <w:r w:rsidRPr="006F04E6">
        <w:rPr>
          <w:rFonts w:ascii="Times New Roman" w:hAnsi="Times New Roman"/>
        </w:rPr>
        <w:fldChar w:fldCharType="end"/>
      </w:r>
      <w:r w:rsidRPr="006F04E6">
        <w:rPr>
          <w:rFonts w:ascii="Times New Roman" w:hAnsi="Times New Roman"/>
        </w:rPr>
        <w:t>.</w:t>
      </w:r>
    </w:p>
    <w:p w14:paraId="3008F697"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hAnsi="Times New Roman"/>
          <w:color w:val="202124"/>
          <w:kern w:val="0"/>
          <w:lang w:val="en-GB"/>
          <w14:ligatures w14:val="none"/>
        </w:rPr>
      </w:pPr>
      <w:r w:rsidRPr="006F04E6">
        <w:rPr>
          <w:rFonts w:ascii="Times New Roman" w:hAnsi="Times New Roman"/>
        </w:rPr>
        <w:t>With the country of Urme</w:t>
      </w:r>
      <w:r w:rsidRPr="006F04E6">
        <w:rPr>
          <w:rFonts w:ascii="Times New Roman" w:eastAsia="Times New Roman"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Urme</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 xml:space="preserve">he </w:t>
      </w:r>
      <w:r w:rsidRPr="006F04E6">
        <w:rPr>
          <w:rFonts w:ascii="Times New Roman" w:eastAsia="Times New Roman" w:hAnsi="Times New Roman" w:cs="Times New Roman"/>
          <w:color w:val="202124"/>
          <w:lang w:val="en-GB" w:eastAsia="it-IT"/>
        </w:rPr>
        <w:t>penetrated</w:t>
      </w:r>
      <w:r w:rsidRPr="006F04E6">
        <w:rPr>
          <w:rFonts w:ascii="Times New Roman" w:hAnsi="Times New Roman"/>
        </w:rPr>
        <w:t xml:space="preserve"> to the southwest, while Mana</w:t>
      </w:r>
      <w:r w:rsidRPr="006F04E6">
        <w:rPr>
          <w:rFonts w:ascii="Times New Roman" w:eastAsia="Times New Roman"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Mana</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and Buštu</w:t>
      </w:r>
      <w:r w:rsidRPr="006F04E6">
        <w:rPr>
          <w:rFonts w:ascii="Times New Roman" w:eastAsia="Times New Roman" w:hAnsi="Times New Roman" w:cs="Times New Roman"/>
          <w:color w:val="202124"/>
          <w:lang w:val="en-GB" w:eastAsia="it-IT"/>
        </w:rPr>
        <w:t> led</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Buštu</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lead</w:t>
      </w:r>
      <w:r w:rsidRPr="006F04E6">
        <w:rPr>
          <w:rFonts w:ascii="Times New Roman" w:hAnsi="Times New Roman"/>
        </w:rPr>
        <w:t xml:space="preserve"> to contact with Assyria</w:t>
      </w:r>
      <w:r w:rsidRPr="006F04E6">
        <w:rPr>
          <w:rFonts w:ascii="Times New Roman" w:eastAsia="Times New Roman" w:hAnsi="Times New Roman" w:cs="Times New Roman"/>
          <w:color w:val="202124"/>
          <w:lang w:val="en-GB" w:eastAsia="it-IT"/>
        </w:rPr>
        <w:t>. However,</w:t>
      </w:r>
      <w:r w:rsidRPr="006F04E6">
        <w:rPr>
          <w:rFonts w:ascii="Times New Roman" w:hAnsi="Times New Roman"/>
        </w:rPr>
        <w:t xml:space="preserve"> there is space to celebrate the foundation of two important cities and metropolises in the plain of Ararat</w:t>
      </w:r>
      <w:r w:rsidRPr="006F04E6">
        <w:rPr>
          <w:rFonts w:ascii="Times New Roman" w:eastAsia="Times New Roman"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Fonts w:asciiTheme="majorBidi" w:hAnsiTheme="majorBidi" w:cstheme="majorBidi"/>
          <w:color w:val="000000"/>
          <w:lang w:val="en-GB"/>
        </w:rPr>
        <w:instrText>Ararat</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Fonts w:ascii="Times New Roman" w:hAnsi="Times New Roman"/>
        </w:rPr>
        <w:t xml:space="preserve"> in today’s Armenia</w:t>
      </w:r>
      <w:r w:rsidRPr="006F04E6">
        <w:rPr>
          <w:rFonts w:ascii="Times New Roman" w:eastAsia="Times New Roman"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Armenia</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Erebuni</w:t>
      </w:r>
      <w:r w:rsidRPr="006F04E6">
        <w:rPr>
          <w:rFonts w:ascii="Times New Roman" w:eastAsia="Times New Roman"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Erebuni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and Argištiḫinili</w:t>
      </w:r>
      <w:r w:rsidRPr="006F04E6">
        <w:rPr>
          <w:rFonts w:ascii="Times New Roman" w:hAnsi="Times New Roman"/>
        </w:rPr>
        <w:fldChar w:fldCharType="begin"/>
      </w:r>
      <w:r w:rsidRPr="006F04E6">
        <w:instrText xml:space="preserve"> XE "</w:instrText>
      </w:r>
      <w:r w:rsidRPr="006F04E6">
        <w:rPr>
          <w:rFonts w:ascii="Times New Roman" w:hAnsi="Times New Roman"/>
        </w:rPr>
        <w:instrText>Argištiḫinili</w:instrText>
      </w:r>
      <w:r w:rsidRPr="006F04E6">
        <w:instrText xml:space="preserve">" </w:instrText>
      </w:r>
      <w:r w:rsidRPr="006F04E6">
        <w:rPr>
          <w:rFonts w:ascii="Times New Roman" w:hAnsi="Times New Roman"/>
        </w:rPr>
        <w:fldChar w:fldCharType="end"/>
      </w:r>
      <w:r w:rsidRPr="006F04E6">
        <w:rPr>
          <w:rFonts w:ascii="Times New Roman" w:eastAsia="Times New Roman" w:hAnsi="Times New Roman" w:cs="Times New Roman"/>
          <w:color w:val="202124"/>
          <w:lang w:val="en-GB" w:eastAsia="it-IT"/>
        </w:rPr>
        <w:t>. Men</w:t>
      </w:r>
      <w:r w:rsidRPr="006F04E6">
        <w:rPr>
          <w:rFonts w:ascii="Times New Roman" w:hAnsi="Times New Roman"/>
        </w:rPr>
        <w:t xml:space="preserve"> deported from the western countries of Ḫatti</w:t>
      </w:r>
      <w:r w:rsidRPr="006F04E6">
        <w:rPr>
          <w:rFonts w:ascii="Times New Roman" w:eastAsia="Times New Roman"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Ḫatti</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(the Neo-Hittites</w:t>
      </w:r>
      <w:r w:rsidRPr="006F04E6">
        <w:rPr>
          <w:rFonts w:ascii="Times New Roman" w:eastAsia="Times New Roman"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Hittites</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and Ṣupa</w:t>
      </w:r>
      <w:r w:rsidRPr="006F04E6">
        <w:rPr>
          <w:rFonts w:ascii="Times New Roman" w:eastAsia="Times New Roman" w:hAnsi="Times New Roman" w:cs="Times New Roman"/>
          <w:color w:val="202124"/>
          <w:lang w:val="en-GB" w:eastAsia="it-IT"/>
        </w:rPr>
        <w:t> </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Ṣupa</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 xml:space="preserve"> </w:t>
      </w:r>
      <w:r w:rsidRPr="006F04E6">
        <w:rPr>
          <w:rFonts w:ascii="Times New Roman" w:hAnsi="Times New Roman"/>
        </w:rPr>
        <w:t>(Classical Sophene</w:t>
      </w:r>
      <w:r w:rsidRPr="006F04E6">
        <w:rPr>
          <w:rFonts w:ascii="Times New Roman" w:eastAsia="Times New Roman"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Sophene</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were employed</w:t>
      </w:r>
      <w:r w:rsidRPr="006F04E6">
        <w:rPr>
          <w:rFonts w:ascii="Times New Roman" w:eastAsia="Times New Roman" w:hAnsi="Times New Roman" w:cs="Times New Roman"/>
          <w:color w:val="202124"/>
          <w:lang w:val="en-GB" w:eastAsia="it-IT"/>
        </w:rPr>
        <w:t xml:space="preserve"> to construct Erebuni.</w:t>
      </w:r>
      <w:r w:rsidRPr="006F04E6">
        <w:rPr>
          <w:rFonts w:ascii="Times New Roman" w:hAnsi="Times New Roman"/>
        </w:rPr>
        <w:t xml:space="preserve"> For the city of Argištiḫinili</w:t>
      </w:r>
      <w:r w:rsidRPr="006F04E6">
        <w:rPr>
          <w:rFonts w:ascii="Times New Roman" w:eastAsia="Times New Roman" w:hAnsi="Times New Roman" w:cs="Times New Roman"/>
          <w:color w:val="202124"/>
          <w:lang w:val="en-GB" w:eastAsia="it-IT"/>
        </w:rPr>
        <w:t>,</w:t>
      </w:r>
      <w:r w:rsidRPr="006F04E6">
        <w:rPr>
          <w:rFonts w:ascii="Times New Roman" w:hAnsi="Times New Roman"/>
        </w:rPr>
        <w:t xml:space="preserve"> the king also deduced a canal from the Araxes</w:t>
      </w:r>
      <w:r w:rsidRPr="006F04E6">
        <w:rPr>
          <w:rFonts w:ascii="Times New Roman" w:eastAsia="Times New Roman" w:hAnsi="Times New Roman" w:cs="Times New Roman"/>
          <w:color w:val="202124"/>
          <w:lang w:val="en-GB" w:eastAsia="it-IT"/>
        </w:rPr>
        <w:t>.</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w:instrText>
      </w:r>
      <w:r w:rsidRPr="006F04E6">
        <w:rPr>
          <w:rStyle w:val="y2iqfc"/>
          <w:rFonts w:asciiTheme="majorBidi" w:eastAsia="Arial" w:hAnsiTheme="majorBidi" w:cstheme="majorBidi"/>
          <w:color w:val="202124"/>
          <w:lang w:val="en-GB"/>
        </w:rPr>
        <w:instrText>Araxes</w:instrText>
      </w:r>
      <w:r w:rsidRPr="006F04E6">
        <w:rPr>
          <w:rFonts w:asciiTheme="majorBidi" w:hAnsiTheme="majorBidi" w:cstheme="majorBidi"/>
          <w:lang w:val="en-GB"/>
        </w:rPr>
        <w:instrText xml:space="preserve">" </w:instrText>
      </w:r>
      <w:r w:rsidRPr="006F04E6">
        <w:rPr>
          <w:rStyle w:val="y2iqfc"/>
          <w:rFonts w:asciiTheme="majorBidi" w:eastAsia="Arial" w:hAnsiTheme="majorBidi" w:cstheme="majorBidi"/>
          <w:color w:val="202124"/>
          <w:lang w:val="en-GB"/>
        </w:rPr>
        <w:fldChar w:fldCharType="end"/>
      </w:r>
    </w:p>
    <w:p w14:paraId="62E8D1A6"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GB"/>
        </w:rPr>
      </w:pPr>
      <w:r w:rsidRPr="006F04E6">
        <w:rPr>
          <w:rFonts w:ascii="Times New Roman" w:hAnsi="Times New Roman"/>
          <w:b/>
          <w:color w:val="202124"/>
          <w:lang w:val="en-GB"/>
        </w:rPr>
        <w:t>Obv: Translation</w:t>
      </w:r>
    </w:p>
    <w:p w14:paraId="18BFC27F"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“(1-3) To Ḫaldi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Ḫaldi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Lord, this stele Argišti, the son of Minua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Minua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has raised. (4-7) By virtue of the greatness of Ḫaldi (I am) Argišti, son of Minua, mighty king, great king, king of Biainili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Biainili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king of kings, lord of the city of Ṭušpa</w:t>
      </w:r>
      <w:r w:rsidRPr="006F04E6">
        <w:rPr>
          <w:rFonts w:ascii="Times New Roman" w:eastAsia="Times New Roman" w:hAnsi="Times New Roman" w:cs="Times New Roman"/>
          <w:color w:val="202124"/>
          <w:lang w:val="en-GB" w:eastAsia="it-IT"/>
        </w:rPr>
        <w:t>.</w:t>
      </w:r>
      <w:r w:rsidRPr="006F04E6">
        <w:rPr>
          <w:rFonts w:ascii="Times New Roman" w:hAnsi="Times New Roman"/>
          <w:color w:val="202124"/>
          <w:lang w:val="en-GB"/>
        </w:rPr>
        <w:t xml:space="preserve"> (8-10) Argišti speaks: whoever destroys this inscription, who damages it, whoever tells others to do these things (and) says (11-13) ‘go, destroy’, whoever else says  ‘I have done (all this )’, annihilate him Ḫaldi, the god of the Storm, the god of the Sun, (all) the gods, he (eum) (and) his (his) offspring (14-16) from under (the light of) the sun. . . (untranslatable curse formula). Thanks to the protection of Ḫaldi (17-19) by order of Ḫaldi, when Ḫaldi gave the kingship to Argišti, son of Minua, he ascended the paternal throne. (20-22) By virtue of the greatness of Ḫaldi (I am) Argišti, son of Minua, powerful king, king of Biainili, lord of the city of Ṭušpa. Argišti (23-28) says: The town of [. . . ] one was rebellious. Ḫaldi [left (in war) with his] weapon (or spear), [conquered the country of . . .uni], threw the country [in the presence of Argišti. Ḫald]i is victorious (?) [Ḫaldi’s weapon/spear is victorious (?)], Thanks to the [greatness] of Ḫaldi. . . [”.</w:t>
      </w:r>
    </w:p>
    <w:p w14:paraId="0F9538EA"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GB"/>
        </w:rPr>
      </w:pPr>
      <w:r w:rsidRPr="006F04E6">
        <w:rPr>
          <w:rFonts w:ascii="Times New Roman" w:hAnsi="Times New Roman"/>
          <w:color w:val="202124"/>
          <w:lang w:val="en-GB"/>
        </w:rPr>
        <w:t xml:space="preserve">. . . . . </w:t>
      </w:r>
    </w:p>
    <w:p w14:paraId="6AB51404"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GB"/>
        </w:rPr>
      </w:pPr>
      <w:r w:rsidRPr="006F04E6">
        <w:rPr>
          <w:rFonts w:ascii="Times New Roman" w:hAnsi="Times New Roman"/>
          <w:b/>
          <w:color w:val="202124"/>
          <w:lang w:val="en-GB"/>
        </w:rPr>
        <w:lastRenderedPageBreak/>
        <w:t>CTU I. A 8-1 right side: Translation</w:t>
      </w:r>
    </w:p>
    <w:p w14:paraId="3FCDC155"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“(1-7) [Ḫaldi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Ḫaldi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left (to war) with [his] spear, did Uṭuburšini of the country of Diauḫi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Diauḫi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win, did the country of </w:t>
      </w:r>
      <w:r w:rsidRPr="006F04E6">
        <w:rPr>
          <w:rFonts w:ascii="Times New Roman" w:hAnsi="Times New Roman"/>
          <w:color w:val="000000"/>
          <w:lang w:val="en-GB"/>
        </w:rPr>
        <w:t xml:space="preserve">x-nula </w:t>
      </w:r>
      <w:r w:rsidRPr="006F04E6">
        <w:rPr>
          <w:rFonts w:ascii="Times New Roman" w:hAnsi="Times New Roman"/>
          <w:color w:val="202124"/>
          <w:lang w:val="en-GB"/>
        </w:rPr>
        <w:t>(?) win (and) threw it in front of Argišti. (8-12) Ḫaldi is victorious, Ḫaldi’s spear is victorious, for the greatness of Ḫaldi departed (in war) Argišti, son of Minua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Minua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Argišti (13-14) says: the Diauḫi rebelled for the second time. (15-17) I mobilized the troops, went to (the country of) Diauḫi. (18-19) He stood before me in / for the battle in the valley of the country of Igara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Igara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and in front of…. (22-27) Argišti says: I invoked Ḫaldi, (my) Lord, the god of Storm, the god of the Sun, (all) the gods of Biainili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Biainili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For the greatness of the Lord [”.</w:t>
      </w:r>
    </w:p>
    <w:p w14:paraId="537EB896"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GB"/>
        </w:rPr>
      </w:pPr>
    </w:p>
    <w:p w14:paraId="3F7C431C"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GB"/>
        </w:rPr>
      </w:pPr>
      <w:r w:rsidRPr="006F04E6">
        <w:rPr>
          <w:rFonts w:ascii="Times New Roman" w:hAnsi="Times New Roman"/>
          <w:b/>
          <w:color w:val="202124"/>
          <w:lang w:val="en-GB"/>
        </w:rPr>
        <w:t>CTU I.A 8-1 Rev: Translation</w:t>
      </w:r>
    </w:p>
    <w:p w14:paraId="1D27633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rPr>
      </w:pPr>
      <w:r w:rsidRPr="006F04E6">
        <w:rPr>
          <w:rFonts w:ascii="Times New Roman" w:hAnsi="Times New Roman"/>
          <w:color w:val="202124"/>
        </w:rPr>
        <w:t>“(1-6) [Ḫaldi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Ḫaldi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left (in war) with [his] spear, [vin] if the land of Etiu/Etiuḫi/Etiuni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Etiu/Etiuḫi/Etiuni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conquered the territory of the city of Qiḫu</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Qiḫu</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submitted it to Argišti. Ḫaldi is victorious, Ḫaldi’s spear is victorious, (7-9) for the greatness of Ḫaldi departed (in war) Argišti, son of Minua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Minua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Ḫaldi marched forward (to the troops). (10-12) Argišti says: I conquered the city of Qiḫu of the country of Siluni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Siluni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on the shore (?) of the lake (or: near the lake), (and) I reached the city of Alištu</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Alištu</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(13-14) Men and women I took away (deported); by order of Ḫaldi Argišti, son of Minua, he says: (15-17) I built the city of Erebuni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Erebuni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for the protection of the town of Biainili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Biainili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(and) for the humiliation of the enemy / foreign country. (18-20) The land was intact / virgin, nothing was built on it. Great achievements I made you. (21-22) 6600 warriors (lit. “men of battle”) I transplanted (?) Here from the countries of Ḫatti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rPr>
        <w:instrText>Ḫatti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and Ṣupa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rPr>
        <w:instrText>Ṣupa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(ni) ’. (23-26) By virtue of the greatness of Ḫaldi Argišti, son of Minua, he says: I invoked Ḫaldi, (my) Lord, the god of Storm, the god of the Sun, (all) the gods of Biainili. (27-30) For the greatness of the L[ord what I begged] the gods listened to me. [The same year I marched] around(?) the town of Uburda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Uburda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x-lubura, king of Uburda, I captured. The country [ ... ”.</w:t>
      </w:r>
    </w:p>
    <w:p w14:paraId="0B16DB61"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GB"/>
        </w:rPr>
      </w:pPr>
    </w:p>
    <w:p w14:paraId="06EABEE8"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GB"/>
        </w:rPr>
      </w:pPr>
      <w:r w:rsidRPr="006F04E6">
        <w:rPr>
          <w:rFonts w:ascii="Times New Roman" w:hAnsi="Times New Roman"/>
          <w:b/>
          <w:color w:val="202124"/>
          <w:lang w:val="en-GB"/>
        </w:rPr>
        <w:t>CTU A 8-1 left side: Translation</w:t>
      </w:r>
    </w:p>
    <w:p w14:paraId="76AA7344"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Lines 1-12 are mostly untranslatable. “(1) When Ḫaldi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Ḫaldi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to his divinity (?) dedicated (?), When the </w:t>
      </w:r>
      <w:r w:rsidRPr="006F04E6">
        <w:rPr>
          <w:rFonts w:ascii="Times New Roman" w:hAnsi="Times New Roman"/>
          <w:lang w:val="en-GB"/>
        </w:rPr>
        <w:t>"</w:t>
      </w:r>
      <w:r w:rsidRPr="006F04E6">
        <w:rPr>
          <w:rFonts w:ascii="Times New Roman" w:hAnsi="Times New Roman"/>
          <w:i/>
          <w:color w:val="202124"/>
          <w:lang w:val="en-GB"/>
        </w:rPr>
        <w:t>taramu</w:t>
      </w:r>
      <w:r w:rsidRPr="006F04E6">
        <w:rPr>
          <w:rFonts w:ascii="Times New Roman" w:hAnsi="Times New Roman"/>
          <w:lang w:val="en-GB"/>
        </w:rPr>
        <w:t>"</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taramu</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of the gods strengthened the countries, to Ḫaldi. . . r. 11 </w:t>
      </w:r>
      <w:r w:rsidRPr="006F04E6">
        <w:rPr>
          <w:rFonts w:ascii="Times New Roman" w:hAnsi="Times New Roman"/>
          <w:i/>
          <w:color w:val="202124"/>
          <w:lang w:val="en-GB"/>
        </w:rPr>
        <w:t>iniriaši</w:t>
      </w:r>
      <w:r w:rsidRPr="006F04E6">
        <w:rPr>
          <w:rFonts w:ascii="Times New Roman" w:hAnsi="Times New Roman"/>
          <w:color w:val="202124"/>
          <w:lang w:val="en-GB"/>
        </w:rPr>
        <w:t xml:space="preserve"> (“divinity”?). . . (13-15) An inscription I have placed here, men and women from here I deported. (16-18) Argišti says: in the same year again (?) I mobilized the troops; (19-21) I invoked the god Ḫaldi, (my) Lord, the god of Storm, the god of the Sun and all the gods of Biainili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Biainili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(21-22) Thanks to the greatness of the Lord what I bagged (23-26) the gods listened to me, moved to war against / towards the land of Urme</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rPr>
        <w:instrText>Urme</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I conquered the land of Urme, [encompassed] the land, sent up to [. . . (...) ”.</w:t>
      </w:r>
    </w:p>
    <w:p w14:paraId="0414DF42"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p>
    <w:p w14:paraId="2FC59B81" w14:textId="77777777" w:rsidR="00B4516E" w:rsidRPr="00CC135C" w:rsidRDefault="00B4516E" w:rsidP="00B4516E">
      <w:pPr>
        <w:rPr>
          <w:rFonts w:ascii="Times New Roman" w:hAnsi="Times New Roman"/>
          <w:lang w:val="en-GB"/>
        </w:rPr>
      </w:pPr>
      <w:r w:rsidRPr="00CC135C">
        <w:rPr>
          <w:rFonts w:ascii="Times New Roman" w:hAnsi="Times New Roman"/>
          <w:noProof/>
          <w:lang w:eastAsia="tr-TR"/>
        </w:rPr>
        <w:lastRenderedPageBreak/>
        <w:drawing>
          <wp:inline distT="0" distB="0" distL="0" distR="0" wp14:anchorId="78F9B134" wp14:editId="1E1022BC">
            <wp:extent cx="3987113" cy="3264229"/>
            <wp:effectExtent l="0" t="0" r="0" b="0"/>
            <wp:docPr id="1796740262" name="Resim 1796740262" descr="sanat içeren bir resim&#10;&#10;Açıklama otomatik olarak düşük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740262" name="Resim 1796740262" descr="sanat içeren bir resim&#10;&#10;Açıklama otomatik olarak düşük güvenilirlik düzeyiyle oluşturuldu"/>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998263" cy="3273357"/>
                    </a:xfrm>
                    <a:prstGeom prst="rect">
                      <a:avLst/>
                    </a:prstGeom>
                    <a:noFill/>
                    <a:ln>
                      <a:noFill/>
                    </a:ln>
                  </pic:spPr>
                </pic:pic>
              </a:graphicData>
            </a:graphic>
          </wp:inline>
        </w:drawing>
      </w:r>
    </w:p>
    <w:p w14:paraId="4AEB6400" w14:textId="77777777" w:rsidR="00B4516E" w:rsidRPr="00CC135C" w:rsidRDefault="00B4516E" w:rsidP="00B4516E">
      <w:pPr>
        <w:spacing w:after="200"/>
        <w:rPr>
          <w:rFonts w:ascii="Times New Roman" w:hAnsi="Times New Roman"/>
          <w:b/>
          <w:i/>
          <w:iCs/>
          <w:lang w:val="en-GB"/>
        </w:rPr>
      </w:pPr>
      <w:r w:rsidRPr="00CC135C">
        <w:rPr>
          <w:rFonts w:ascii="Times New Roman" w:hAnsi="Times New Roman"/>
          <w:lang w:val="en-GB"/>
        </w:rPr>
        <w:t>Fig. 40 CTU A 8-1 obv, Upper Part. CICh 112 A3 Vs Tafel XXIX = CTU I.A 8-1 Ro.</w:t>
      </w:r>
    </w:p>
    <w:p w14:paraId="4368406C" w14:textId="77777777" w:rsidR="00B4516E" w:rsidRPr="00CC135C" w:rsidRDefault="00B4516E" w:rsidP="00B4516E">
      <w:pPr>
        <w:rPr>
          <w:rFonts w:ascii="Times New Roman" w:hAnsi="Times New Roman"/>
          <w:lang w:val="en-GB"/>
        </w:rPr>
      </w:pPr>
    </w:p>
    <w:p w14:paraId="117C42B5" w14:textId="77777777" w:rsidR="00B4516E" w:rsidRPr="00CC135C" w:rsidRDefault="00B4516E" w:rsidP="00B4516E">
      <w:pPr>
        <w:rPr>
          <w:rFonts w:ascii="Times New Roman" w:hAnsi="Times New Roman"/>
          <w:lang w:val="en-GB"/>
        </w:rPr>
      </w:pPr>
    </w:p>
    <w:p w14:paraId="6717DA9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p>
    <w:p w14:paraId="1928CB17"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noProof/>
          <w:lang w:eastAsia="tr-TR"/>
        </w:rPr>
        <w:drawing>
          <wp:inline distT="0" distB="0" distL="0" distR="0" wp14:anchorId="6C115019" wp14:editId="6F3ACC0F">
            <wp:extent cx="1820159" cy="3196281"/>
            <wp:effectExtent l="0" t="0" r="8890" b="4445"/>
            <wp:docPr id="1113161734" name="Resim 1113161734" descr="taslak, çizim,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61734" name="Resim 1113161734" descr="taslak, çizim, sanat, siyah beyaz içeren bir resim&#10;&#10;Açıklama otomatik olarak oluşturuldu"/>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826799" cy="3207941"/>
                    </a:xfrm>
                    <a:prstGeom prst="rect">
                      <a:avLst/>
                    </a:prstGeom>
                    <a:noFill/>
                    <a:ln>
                      <a:noFill/>
                    </a:ln>
                  </pic:spPr>
                </pic:pic>
              </a:graphicData>
            </a:graphic>
          </wp:inline>
        </w:drawing>
      </w:r>
    </w:p>
    <w:p w14:paraId="4D03DFBC" w14:textId="77777777" w:rsidR="00B4516E" w:rsidRPr="00CC135C" w:rsidRDefault="00B4516E" w:rsidP="00B4516E">
      <w:pPr>
        <w:spacing w:after="200"/>
        <w:rPr>
          <w:rFonts w:ascii="Times New Roman" w:hAnsi="Times New Roman"/>
          <w:b/>
          <w:i/>
          <w:iCs/>
          <w:lang w:val="en-GB"/>
        </w:rPr>
      </w:pPr>
      <w:bookmarkStart w:id="57" w:name="_Hlk129085247"/>
      <w:r w:rsidRPr="00CC135C">
        <w:rPr>
          <w:rFonts w:ascii="Times New Roman" w:hAnsi="Times New Roman"/>
          <w:lang w:val="en-GB"/>
        </w:rPr>
        <w:t>Fig. 41 Stele CTU I.A 8-1 right side. CICh Tafel XXVI 112 A1 = CTU A 8-1 l. d.</w:t>
      </w:r>
      <w:bookmarkEnd w:id="57"/>
    </w:p>
    <w:p w14:paraId="28AB19D9" w14:textId="77777777" w:rsidR="00B4516E" w:rsidRPr="00CC135C" w:rsidRDefault="00B4516E" w:rsidP="00B4516E">
      <w:pPr>
        <w:rPr>
          <w:rFonts w:ascii="Times New Roman" w:hAnsi="Times New Roman"/>
          <w:lang w:val="en-GB"/>
        </w:rPr>
      </w:pPr>
    </w:p>
    <w:p w14:paraId="470B588C"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lang w:val="en-GB"/>
        </w:rPr>
        <w:lastRenderedPageBreak/>
        <w:t xml:space="preserve"> </w:t>
      </w:r>
      <w:r w:rsidRPr="00CC135C">
        <w:rPr>
          <w:rFonts w:ascii="Times New Roman" w:hAnsi="Times New Roman"/>
          <w:noProof/>
          <w:lang w:eastAsia="tr-TR"/>
        </w:rPr>
        <w:drawing>
          <wp:inline distT="0" distB="0" distL="0" distR="0" wp14:anchorId="3DB35AC1" wp14:editId="24AD68F8">
            <wp:extent cx="3402227" cy="3180612"/>
            <wp:effectExtent l="0" t="0" r="8255" b="1270"/>
            <wp:docPr id="280149450" name="Resim 280149450" descr="çizim, taslak,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9450" name="Resim 280149450" descr="çizim, taslak, sanat, siyah beyaz içeren bir resim&#10;&#10;Açıklama otomatik olarak oluşturuldu"/>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3405525" cy="3183696"/>
                    </a:xfrm>
                    <a:prstGeom prst="rect">
                      <a:avLst/>
                    </a:prstGeom>
                    <a:noFill/>
                    <a:ln>
                      <a:noFill/>
                    </a:ln>
                  </pic:spPr>
                </pic:pic>
              </a:graphicData>
            </a:graphic>
          </wp:inline>
        </w:drawing>
      </w:r>
    </w:p>
    <w:p w14:paraId="1950CDFA" w14:textId="77777777" w:rsidR="00B4516E" w:rsidRPr="00CC135C" w:rsidRDefault="00B4516E" w:rsidP="00B4516E">
      <w:pPr>
        <w:spacing w:after="200"/>
        <w:rPr>
          <w:rFonts w:ascii="Times New Roman" w:hAnsi="Times New Roman"/>
          <w:b/>
          <w:i/>
          <w:iCs/>
          <w:lang w:val="en-GB"/>
        </w:rPr>
      </w:pPr>
      <w:r w:rsidRPr="00CC135C">
        <w:rPr>
          <w:rFonts w:ascii="Times New Roman" w:hAnsi="Times New Roman"/>
          <w:lang w:val="en-GB"/>
        </w:rPr>
        <w:t>Fig. 42 Stele CTU I. A 8-1, Reverse. CICh Tafel XXVII 112 A2 Rs = A 8-1 Vo.</w:t>
      </w:r>
    </w:p>
    <w:p w14:paraId="4BFA9E80" w14:textId="77777777" w:rsidR="00B4516E" w:rsidRPr="00CC135C" w:rsidRDefault="00B4516E" w:rsidP="00B4516E">
      <w:pPr>
        <w:rPr>
          <w:rFonts w:ascii="Times New Roman" w:hAnsi="Times New Roman"/>
          <w:lang w:val="en-GB"/>
        </w:rPr>
      </w:pPr>
    </w:p>
    <w:p w14:paraId="689F748E" w14:textId="77777777" w:rsidR="00B4516E" w:rsidRPr="00CC135C" w:rsidRDefault="00B4516E" w:rsidP="00B4516E">
      <w:pPr>
        <w:rPr>
          <w:rFonts w:ascii="Times New Roman" w:hAnsi="Times New Roman"/>
          <w:lang w:val="en-GB"/>
        </w:rPr>
      </w:pPr>
    </w:p>
    <w:p w14:paraId="4847668B"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noProof/>
          <w:lang w:eastAsia="tr-TR"/>
        </w:rPr>
        <w:drawing>
          <wp:inline distT="0" distB="0" distL="0" distR="0" wp14:anchorId="2BA0B72E" wp14:editId="4FA02552">
            <wp:extent cx="2174789" cy="3663417"/>
            <wp:effectExtent l="0" t="0" r="0" b="0"/>
            <wp:docPr id="159660378" name="Resim 159660378" descr="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0378" name="Resim 159660378" descr="el yazısı içeren bir resim&#10;&#10;Açıklama otomatik olarak oluşturuldu"/>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179454" cy="3671275"/>
                    </a:xfrm>
                    <a:prstGeom prst="rect">
                      <a:avLst/>
                    </a:prstGeom>
                    <a:noFill/>
                    <a:ln>
                      <a:noFill/>
                    </a:ln>
                  </pic:spPr>
                </pic:pic>
              </a:graphicData>
            </a:graphic>
          </wp:inline>
        </w:drawing>
      </w:r>
    </w:p>
    <w:p w14:paraId="7635BF1B"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bookmarkStart w:id="58" w:name="_Hlk129085332"/>
      <w:r w:rsidRPr="00CC135C">
        <w:rPr>
          <w:rFonts w:ascii="Times New Roman" w:hAnsi="Times New Roman"/>
          <w:lang w:val="en-GB"/>
        </w:rPr>
        <w:t>Fig. 43 Stele CTU I.A 8-1, Left Side. CICh. Tafel XXVII 112, A4 = CTU I.A 8-1 l.s.</w:t>
      </w:r>
      <w:bookmarkEnd w:id="58"/>
      <w:r w:rsidRPr="00CC135C">
        <w:rPr>
          <w:rFonts w:ascii="Times New Roman" w:hAnsi="Times New Roman"/>
          <w:lang w:val="en-GB"/>
        </w:rPr>
        <w:br w:type="column"/>
      </w:r>
      <w:r w:rsidRPr="006F04E6">
        <w:rPr>
          <w:rFonts w:ascii="Times New Roman" w:hAnsi="Times New Roman"/>
          <w:b/>
          <w:color w:val="202124"/>
          <w:lang w:val="en-GB"/>
        </w:rPr>
        <w:lastRenderedPageBreak/>
        <w:t>CTU I.A 8-2 Obv: Translation</w:t>
      </w:r>
    </w:p>
    <w:p w14:paraId="06F15C22"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color w:val="202124"/>
          <w:lang w:val="en-GB"/>
        </w:rPr>
        <w:t>“(1-3) I invoked the god Ḫaldi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Ḫaldi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(my) Lord, the god of Storm, the god of the Sun and all the gods of Biainili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Biainili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Thanks to the greatness of (my) Lord what I begged the gods listened to me. (4-5) Argišti, son of Minua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Minua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says: Ḫaldi is victorious, Ḫaldi’s weapon is victorious. (6-8) Thanks to the greatness of Ḫaldi, I went to war towards the land of Mana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rPr>
        <w:instrText>Mana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I conquered the country of Irkiuni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Irkiuni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I reached the plains (or better: the mountain passes) of the land of Aššur</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rPr>
        <w:instrText>Aššur</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(9-11) 6481 people of the year (?), Some I killed, others alive I took them away. 286 horses, 2251 oxen, 8205 sheep. (12-13) Argišti says: for (love of?) Ḫaldi, these deeds I accomplished in a year. (14-16) Ḫaldi went to war with his weapon, conquered the country of Mana, conquered the country of Buštu</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rPr>
        <w:instrText>Buštu</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threw them at the foot of Argišti. (17-20) Thanks to the greatness of Ḫaldi Argišti says: I invoked the god Ḫaldi, (my) Lord, the god of Storm, the god of the Sun and all the gods of Biainili. Thanks to the greatness of the Lord what I begged the gods gave me heed. (21-22) Argišti, son of Minua, says: Ḫaldi is victorious, Ḫaldi’s weapon is victorious. (23-28) Thanks to Ḫaldi’s greatness, I went to war towards the town of Buštu. I conquered the valley (?) of the country of Aškaia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Aškaia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to the right (?) of the country of Šatiraraga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Šatiraraga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submitting the country of Ugišti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Ugišti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xml:space="preserve"> to the left (?) of the country of Ušini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Ušini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I reached the country of Alaṭi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Alaṭi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a mountain country; (29-32) the region said to the flames, inhabited areas destroyed, men and women deported from there. 7873 people of the year (in one year) some killed, others alive I took them away. (33-34) 290 raided horses, 101 dromedaries, 4909 cattle and 19,550 sheep. (35-36) Argišti says: for Ḫaldi these enterprises in one year I completed. (37-42) Ḫaldi left (to war) with his weapon, conquered the country of Mana, threw the army at the foot of Argišti. For the greatness of Ḫaldi Argišti, son of Minua, he says: when I built the city of Argištiḫinili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rPr>
        <w:instrText>Argištiḫinili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I deduced a canal from the river (= Arasse) in the country of ʾAza. (43) [I. . .] (</w:t>
      </w:r>
      <w:r w:rsidRPr="006F04E6">
        <w:rPr>
          <w:rFonts w:ascii="Times New Roman" w:hAnsi="Times New Roman"/>
          <w:i/>
          <w:color w:val="202124"/>
          <w:lang w:val="en-GB"/>
        </w:rPr>
        <w:t>ḫašubi</w:t>
      </w:r>
      <w:r w:rsidRPr="006F04E6">
        <w:rPr>
          <w:rFonts w:ascii="Times New Roman" w:hAnsi="Times New Roman"/>
          <w:color w:val="202124"/>
          <w:lang w:val="en-GB"/>
        </w:rPr>
        <w:t>) the country of Manaše</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Manaše</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lang w:val="en-GB"/>
        </w:rPr>
        <w:t>, the city of Sira had been (?) conquered [”. . .</w:t>
      </w:r>
    </w:p>
    <w:p w14:paraId="7468386D" w14:textId="77777777" w:rsidR="00B4516E" w:rsidRPr="006F04E6" w:rsidRDefault="00B4516E" w:rsidP="00B4516E">
      <w:pPr>
        <w:ind w:right="-4253"/>
        <w:rPr>
          <w:rFonts w:ascii="Times New Roman" w:hAnsi="Times New Roman"/>
          <w:lang w:val="en-GB"/>
        </w:rPr>
      </w:pPr>
    </w:p>
    <w:p w14:paraId="5D4990A7"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GB"/>
        </w:rPr>
      </w:pPr>
      <w:r w:rsidRPr="006F04E6">
        <w:rPr>
          <w:rFonts w:ascii="Times New Roman" w:hAnsi="Times New Roman"/>
          <w:b/>
          <w:color w:val="202124"/>
          <w:lang w:val="en-GB"/>
        </w:rPr>
        <w:t xml:space="preserve">CTU I. A 8-2 Rev: Translation </w:t>
      </w:r>
    </w:p>
    <w:p w14:paraId="6A3F3573"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rPr>
      </w:pPr>
      <w:r w:rsidRPr="006F04E6">
        <w:rPr>
          <w:rFonts w:ascii="Times New Roman" w:hAnsi="Times New Roman"/>
          <w:color w:val="202124"/>
        </w:rPr>
        <w:t>“(1'-4') from there (?) I reached the town of Bia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Bia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I left for the town of Uldini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Uldini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towards the city of Zua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Zua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to the city of Zua, royal city of Diaueḫi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Diaueḫi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I set fire; (5'-7') I placed an inscription on it; I came to the town of KÁ</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KÁ</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and to the town of Ašqalaši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Ašqalaši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105 fortresses I destroyed, [X] +3 settlements I set to fire, (8'-11') three countries I also subdued (?) (</w:t>
      </w:r>
      <w:r w:rsidRPr="006F04E6">
        <w:rPr>
          <w:rFonts w:ascii="Times New Roman" w:hAnsi="Times New Roman"/>
          <w:i/>
          <w:color w:val="202124"/>
        </w:rPr>
        <w:t>suṭuqubi</w:t>
      </w:r>
      <w:r w:rsidRPr="006F04E6">
        <w:rPr>
          <w:rFonts w:ascii="Times New Roman" w:hAnsi="Times New Roman"/>
          <w:color w:val="202124"/>
        </w:rPr>
        <w:t>) (and) with its inhabitants I annexed to my country: the country of Qada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Qada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the country of Ašqalaši, the country of Šašilu</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Šašilu</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(12'-14') 15181 children (?), 2734 men, 16004 women, 4426 horses, 14478 cattle, 73770 sheep. (15'-16') 4 kings I castrated(?) (</w:t>
      </w:r>
      <w:r w:rsidRPr="006F04E6">
        <w:rPr>
          <w:rFonts w:ascii="Times New Roman" w:hAnsi="Times New Roman"/>
          <w:i/>
          <w:color w:val="202124"/>
        </w:rPr>
        <w:t>uediadu</w:t>
      </w:r>
      <w:r w:rsidRPr="006F04E6">
        <w:rPr>
          <w:rFonts w:ascii="Times New Roman" w:hAnsi="Times New Roman"/>
          <w:color w:val="202124"/>
        </w:rPr>
        <w:t>=</w:t>
      </w:r>
      <w:r w:rsidRPr="006F04E6">
        <w:rPr>
          <w:rFonts w:ascii="Times New Roman" w:hAnsi="Times New Roman"/>
          <w:i/>
          <w:color w:val="202124"/>
        </w:rPr>
        <w:t>bi</w:t>
      </w:r>
      <w:r w:rsidRPr="006F04E6">
        <w:rPr>
          <w:rFonts w:ascii="Times New Roman" w:hAnsi="Times New Roman"/>
          <w:color w:val="202124"/>
        </w:rPr>
        <w:t>): The Šaškian</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Šaškian</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the Ardarakian</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Ardarakian</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the Baltian</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Baltian</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the Qabilian</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Qabilian</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(17'-18') Governors installed on site. The king of Diau</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Diau</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I enslaved (better: I made to vassal), I subjected him to tribute. (19'-22') That tribute that the Diau (king) paid to Argišti (was this): 41 mines of pure gold (?), 37 mines of silver, X tens of thousands of copper mines, 1000 horses, 300 cattle, X tens of thousands of sheep. (22'-25') That tribute. . . that to the Diau country I imposed annually to give (was): x mines of pure gold (?) 10,000 copper mines, X hundreds of fat oxen, 100 fat cows, 500 sheep, 3 horses. (26') Uše</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Uše</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soldiers from his military camp (?) Ašzie</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Ašzie</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(27'-30') Ḫaldi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Ḫaldi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went to war with his weapon, conquered the town of Etiu/Etiuḫi/Etiuni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Etiu/Etiuḫi/Etiuni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shot it down in front of Argišti; Ḫaldi is victorious, Ḫaldi’s weapon is victorious. (30'-32') Thanks to the protection of Ḫaldi, Argišti, son of Minua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Minua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left; Ḫaldi marched before (the army). (33 ') Argišti says: those kings (34') who rose up (?) at the Diau, in one year (35'-37 ') I conquered: (i.e.) the country of Luša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Luša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xml:space="preserve"> , the land of Katarza</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lang w:val="en-GB"/>
        </w:rPr>
        <w:instrText>Katarza</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the land of Eriaḫi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Eriaḫi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the land of Gulutaḫi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Gulutaḫi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and the land of Uiṭeru</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Uiṭeru</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(hi) (of the tribe of Uiṭeru), (38'-40') I reached the land of Apuni</w:t>
      </w:r>
      <w:r w:rsidRPr="006F04E6">
        <w:rPr>
          <w:rFonts w:ascii="Times New Roman" w:hAnsi="Times New Roman"/>
          <w:color w:val="202124"/>
          <w:lang w:val="en-GB"/>
        </w:rPr>
        <w:fldChar w:fldCharType="begin"/>
      </w:r>
      <w:r w:rsidRPr="006F04E6">
        <w:rPr>
          <w:rFonts w:ascii="Calibri" w:hAnsi="Calibri"/>
          <w:lang w:val="en-GB"/>
        </w:rPr>
        <w:instrText xml:space="preserve"> XE "</w:instrText>
      </w:r>
      <w:r w:rsidRPr="006F04E6">
        <w:rPr>
          <w:rFonts w:ascii="Times New Roman" w:hAnsi="Times New Roman"/>
          <w:color w:val="202124"/>
          <w:lang w:val="en-GB"/>
        </w:rPr>
        <w:instrText>Apuni</w:instrText>
      </w:r>
      <w:r w:rsidRPr="006F04E6">
        <w:rPr>
          <w:rFonts w:ascii="Calibri" w:hAnsi="Calibri"/>
          <w:lang w:val="en-GB"/>
        </w:rPr>
        <w:instrText xml:space="preserve">" </w:instrText>
      </w:r>
      <w:r w:rsidRPr="006F04E6">
        <w:rPr>
          <w:rFonts w:ascii="Times New Roman" w:hAnsi="Times New Roman"/>
          <w:color w:val="202124"/>
          <w:lang w:val="en-GB"/>
        </w:rPr>
        <w:fldChar w:fldCharType="end"/>
      </w:r>
      <w:r w:rsidRPr="006F04E6">
        <w:rPr>
          <w:rFonts w:ascii="Times New Roman" w:hAnsi="Times New Roman"/>
          <w:color w:val="202124"/>
        </w:rPr>
        <w:t>, the king of Luša I castrated(?), the land of Igae I enslaved and annexed (?). (That) place (it means Igae) paid tribute to Argišti [. . . ”</w:t>
      </w:r>
    </w:p>
    <w:p w14:paraId="15F2745E"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rPr>
      </w:pPr>
    </w:p>
    <w:p w14:paraId="1166E9BB"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6F04E6">
        <w:rPr>
          <w:rFonts w:ascii="Times New Roman" w:hAnsi="Times New Roman"/>
        </w:rPr>
        <w:t>First of all it must be underlined that the presence of the mausoleum of Argišti 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Argišti 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identified by the text of the Annals, identifies the overlying New Palace</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Yeni Saray</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as the palace of Argišti I himself. </w:t>
      </w:r>
      <w:r w:rsidRPr="006F04E6">
        <w:rPr>
          <w:rFonts w:ascii="Times New Roman" w:hAnsi="Times New Roman"/>
        </w:rPr>
        <w:lastRenderedPageBreak/>
        <w:t>On the other hand, the text itself contains no mention of the construction of a royal palace. The same is observed in the Annals of Sarduri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Sarduri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II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Sarduri II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Both texts instead speak only of the construction of cities or fortresses abroad. Moreover, not even the places where the texts of the two Annals were inscribed are mentioned or described in any way. This, for example, unlike Minua</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Minua</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’s texts on </w:t>
      </w:r>
      <w:r w:rsidRPr="006F04E6">
        <w:rPr>
          <w:rFonts w:ascii="Times New Roman" w:hAnsi="Times New Roman"/>
          <w:lang w:val="en-GB"/>
        </w:rPr>
        <w:t>"</w:t>
      </w:r>
      <w:r w:rsidRPr="006F04E6">
        <w:rPr>
          <w:rFonts w:ascii="Times New Roman" w:hAnsi="Times New Roman"/>
        </w:rPr>
        <w:t>taramanili</w:t>
      </w:r>
      <w:r w:rsidRPr="006F04E6">
        <w:rPr>
          <w:rFonts w:ascii="Times New Roman" w:hAnsi="Times New Roman"/>
          <w:lang w:val="en-GB"/>
        </w:rPr>
        <w:t>"</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taramanili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(CTU I. A 5-58) and </w:t>
      </w:r>
      <w:r w:rsidRPr="006F04E6">
        <w:rPr>
          <w:rFonts w:ascii="Times New Roman" w:hAnsi="Times New Roman"/>
          <w:lang w:val="en-GB"/>
        </w:rPr>
        <w:t>"</w:t>
      </w:r>
      <w:r w:rsidRPr="006F04E6">
        <w:rPr>
          <w:rFonts w:ascii="Times New Roman" w:hAnsi="Times New Roman"/>
        </w:rPr>
        <w:t>siršini</w:t>
      </w:r>
      <w:r w:rsidRPr="006F04E6">
        <w:rPr>
          <w:rFonts w:ascii="Times New Roman" w:hAnsi="Times New Roman"/>
          <w:lang w:val="en-GB"/>
        </w:rPr>
        <w:t>"</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siršini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(CTU I. A 5-68), and ’ari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lang w:val="en-GB"/>
        </w:rPr>
        <w:instrText>ari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(CTU I. A 5-66), to remain in Van Fortress</w:t>
      </w:r>
      <w:r w:rsidRPr="006F04E6">
        <w:rPr>
          <w:rFonts w:ascii="Times New Roman" w:eastAsia="Arial" w:hAnsi="Times New Roman" w:cs="Times New Roman"/>
          <w:color w:val="202124"/>
          <w:lang w:val="en-GB" w:eastAsia="it-IT"/>
        </w:rPr>
        <w:t>.</w:t>
      </w:r>
      <w:r w:rsidRPr="006F04E6">
        <w:rPr>
          <w:rFonts w:ascii="Times New Roman" w:hAnsi="Times New Roman"/>
        </w:rPr>
        <w:t xml:space="preserve"> The situation at Argišti I is also quite different if one thinks of the foundation inscriptions of the cities of Argištiḫinili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Argištiḫinili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(CTU A 8-16 and Erebuni</w:t>
      </w:r>
      <w:r w:rsidRPr="006F04E6">
        <w:rPr>
          <w:rFonts w:ascii="Times New Roman" w:hAnsi="Times New Roman"/>
        </w:rPr>
        <w:fldChar w:fldCharType="begin"/>
      </w:r>
      <w:r w:rsidRPr="006F04E6">
        <w:rPr>
          <w:rFonts w:ascii="Courier New" w:hAnsi="Courier New"/>
          <w:lang w:val="en-GB"/>
        </w:rPr>
        <w:instrText xml:space="preserve"> XE "</w:instrText>
      </w:r>
      <w:r w:rsidRPr="006F04E6">
        <w:rPr>
          <w:rFonts w:ascii="Times New Roman" w:hAnsi="Times New Roman"/>
        </w:rPr>
        <w:instrText>Erebuni</w:instrText>
      </w:r>
      <w:r w:rsidRPr="006F04E6">
        <w:rPr>
          <w:rFonts w:ascii="Courier New" w:hAnsi="Courier New"/>
          <w:lang w:val="en-GB"/>
        </w:rPr>
        <w:instrText xml:space="preserve">" </w:instrText>
      </w:r>
      <w:r w:rsidRPr="006F04E6">
        <w:rPr>
          <w:rFonts w:ascii="Times New Roman" w:hAnsi="Times New Roman"/>
        </w:rPr>
        <w:fldChar w:fldCharType="end"/>
      </w:r>
      <w:r w:rsidRPr="006F04E6">
        <w:rPr>
          <w:rFonts w:ascii="Times New Roman" w:hAnsi="Times New Roman"/>
        </w:rPr>
        <w:t xml:space="preserve"> (CTU I. A 8-17-20), whose names are declared.</w:t>
      </w:r>
    </w:p>
    <w:p w14:paraId="34216B86"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noProof/>
          <w:lang w:eastAsia="tr-TR"/>
        </w:rPr>
        <w:drawing>
          <wp:inline distT="0" distB="0" distL="0" distR="0" wp14:anchorId="4DC48AD0" wp14:editId="080E271B">
            <wp:extent cx="3468718" cy="4316627"/>
            <wp:effectExtent l="0" t="0" r="0" b="8255"/>
            <wp:docPr id="905794095" name="Resim 905794095" descr="el yazısı,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94095" name="Resim 905794095" descr="el yazısı, sanat, siyah beyaz içeren bir resim&#10;&#10;Açıklama otomatik olarak oluşturuldu"/>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473499" cy="4322577"/>
                    </a:xfrm>
                    <a:prstGeom prst="rect">
                      <a:avLst/>
                    </a:prstGeom>
                    <a:noFill/>
                    <a:ln>
                      <a:noFill/>
                    </a:ln>
                  </pic:spPr>
                </pic:pic>
              </a:graphicData>
            </a:graphic>
          </wp:inline>
        </w:drawing>
      </w:r>
    </w:p>
    <w:p w14:paraId="0126BD30" w14:textId="77777777" w:rsidR="00B4516E" w:rsidRPr="00CC135C" w:rsidRDefault="00B4516E" w:rsidP="00B4516E">
      <w:pPr>
        <w:spacing w:after="200"/>
        <w:rPr>
          <w:rFonts w:ascii="Times New Roman" w:hAnsi="Times New Roman"/>
          <w:b/>
          <w:i/>
          <w:iCs/>
          <w:lang w:val="en-GB"/>
        </w:rPr>
      </w:pPr>
      <w:bookmarkStart w:id="59" w:name="_Hlk129085357"/>
      <w:r w:rsidRPr="00CC135C">
        <w:rPr>
          <w:rFonts w:ascii="Times New Roman" w:hAnsi="Times New Roman"/>
          <w:lang w:val="en-GB"/>
        </w:rPr>
        <w:t>Fig. 44 CICh. 112 B2 Tafel XXVIII = CTU I. A 8-2 Ro.</w:t>
      </w:r>
    </w:p>
    <w:bookmarkEnd w:id="59"/>
    <w:p w14:paraId="4634952E" w14:textId="77777777" w:rsidR="00B4516E" w:rsidRPr="00CC135C" w:rsidRDefault="00B4516E" w:rsidP="00B4516E">
      <w:pPr>
        <w:keepNext/>
        <w:spacing w:after="200"/>
        <w:rPr>
          <w:rFonts w:ascii="Times New Roman" w:hAnsi="Times New Roman"/>
          <w:color w:val="44546A"/>
          <w:lang w:val="en-GB"/>
        </w:rPr>
      </w:pPr>
      <w:r w:rsidRPr="00CC135C">
        <w:rPr>
          <w:rFonts w:ascii="Times New Roman" w:hAnsi="Times New Roman"/>
          <w:i/>
          <w:lang w:val="en-GB"/>
        </w:rPr>
        <w:br w:type="column"/>
      </w:r>
      <w:r w:rsidRPr="00CC135C">
        <w:rPr>
          <w:rFonts w:ascii="Times New Roman" w:hAnsi="Times New Roman"/>
          <w:i/>
          <w:noProof/>
          <w:color w:val="44546A"/>
          <w:lang w:eastAsia="tr-TR"/>
        </w:rPr>
        <w:lastRenderedPageBreak/>
        <w:drawing>
          <wp:inline distT="0" distB="0" distL="0" distR="0" wp14:anchorId="21FEEC9C" wp14:editId="4BC7E02F">
            <wp:extent cx="3805881" cy="4859267"/>
            <wp:effectExtent l="0" t="0" r="4445" b="0"/>
            <wp:docPr id="748329057" name="Resim 748329057" descr="el yazısı, kitap, taslak,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329057" name="Resim 748329057" descr="el yazısı, kitap, taslak, siyah beyaz içeren bir resim&#10;&#10;Açıklama otomatik olarak oluşturuldu"/>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3807132" cy="4860864"/>
                    </a:xfrm>
                    <a:prstGeom prst="rect">
                      <a:avLst/>
                    </a:prstGeom>
                    <a:noFill/>
                    <a:ln>
                      <a:noFill/>
                    </a:ln>
                  </pic:spPr>
                </pic:pic>
              </a:graphicData>
            </a:graphic>
          </wp:inline>
        </w:drawing>
      </w:r>
    </w:p>
    <w:p w14:paraId="6A4BEF22" w14:textId="77777777" w:rsidR="00B4516E" w:rsidRPr="00CC135C" w:rsidRDefault="00B4516E" w:rsidP="00B4516E">
      <w:pPr>
        <w:spacing w:after="200"/>
        <w:rPr>
          <w:rFonts w:ascii="Times New Roman" w:hAnsi="Times New Roman"/>
          <w:b/>
          <w:i/>
          <w:iCs/>
          <w:lang w:val="en-GB"/>
        </w:rPr>
      </w:pPr>
      <w:bookmarkStart w:id="60" w:name="_Hlk129085386"/>
      <w:r w:rsidRPr="00CC135C">
        <w:rPr>
          <w:rFonts w:ascii="Times New Roman" w:hAnsi="Times New Roman"/>
          <w:lang w:val="en-GB"/>
        </w:rPr>
        <w:t>Fig. 45 CICh 112 B1 Tafel XXVI = CTU I.A 8-2 Vo.</w:t>
      </w:r>
    </w:p>
    <w:bookmarkEnd w:id="60"/>
    <w:p w14:paraId="7E21E67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color w:val="0070C0"/>
          <w:lang w:val="en-GB"/>
        </w:rPr>
      </w:pPr>
    </w:p>
    <w:p w14:paraId="7593010D"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3"/>
        <w:rPr>
          <w:rFonts w:ascii="Times New Roman" w:hAnsi="Times New Roman"/>
          <w:b/>
          <w:lang w:val="en-GB"/>
        </w:rPr>
      </w:pPr>
      <w:r w:rsidRPr="006F04E6">
        <w:rPr>
          <w:rFonts w:ascii="Times New Roman" w:hAnsi="Times New Roman"/>
          <w:b/>
          <w:lang w:val="en-GB"/>
        </w:rPr>
        <w:t xml:space="preserve">4.2.4.2. </w:t>
      </w:r>
      <w:r w:rsidRPr="006F04E6">
        <w:rPr>
          <w:rFonts w:ascii="Times New Roman" w:hAnsi="Times New Roman"/>
          <w:b/>
        </w:rPr>
        <w:t>Khorkhor/Horhor</w:t>
      </w:r>
      <w:r w:rsidRPr="006F04E6">
        <w:rPr>
          <w:rFonts w:ascii="Times New Roman" w:hAnsi="Times New Roman"/>
          <w:b/>
        </w:rPr>
        <w:fldChar w:fldCharType="begin"/>
      </w:r>
      <w:r w:rsidRPr="006F04E6">
        <w:rPr>
          <w:rFonts w:ascii="Courier New" w:hAnsi="Courier New"/>
          <w:b/>
          <w:lang w:val="en-GB"/>
        </w:rPr>
        <w:instrText xml:space="preserve"> XE "</w:instrText>
      </w:r>
      <w:r w:rsidRPr="006F04E6">
        <w:rPr>
          <w:rFonts w:ascii="Times New Roman" w:hAnsi="Times New Roman"/>
          <w:b/>
        </w:rPr>
        <w:instrText>Khorkhor</w:instrText>
      </w:r>
      <w:r w:rsidRPr="006F04E6">
        <w:rPr>
          <w:rFonts w:ascii="Courier New" w:hAnsi="Courier New"/>
          <w:b/>
          <w:lang w:val="en-GB"/>
        </w:rPr>
        <w:instrText xml:space="preserve">" </w:instrText>
      </w:r>
      <w:r w:rsidRPr="006F04E6">
        <w:rPr>
          <w:rFonts w:ascii="Times New Roman" w:hAnsi="Times New Roman"/>
          <w:b/>
        </w:rPr>
        <w:fldChar w:fldCharType="end"/>
      </w:r>
      <w:r w:rsidRPr="006F04E6">
        <w:rPr>
          <w:rFonts w:ascii="Times New Roman" w:hAnsi="Times New Roman"/>
          <w:b/>
        </w:rPr>
        <w:t xml:space="preserve"> Annals</w:t>
      </w:r>
      <w:r w:rsidRPr="006F04E6">
        <w:rPr>
          <w:rFonts w:ascii="Times New Roman" w:hAnsi="Times New Roman"/>
          <w:b/>
          <w:lang w:val="en-GB"/>
        </w:rPr>
        <w:t>: CTU A 8-3</w:t>
      </w:r>
    </w:p>
    <w:p w14:paraId="239C34CE" w14:textId="77777777" w:rsidR="00B4516E" w:rsidRPr="006F04E6"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6F04E6">
        <w:rPr>
          <w:rFonts w:ascii="Times New Roman" w:hAnsi="Times New Roman"/>
        </w:rPr>
        <w:t>Annals of Argišti I</w:t>
      </w:r>
      <w:r w:rsidRPr="006F04E6">
        <w:rPr>
          <w:rStyle w:val="y2iqfc"/>
          <w:rFonts w:asciiTheme="majorBidi" w:eastAsia="Arial" w:hAnsiTheme="majorBidi" w:cstheme="majorBidi"/>
          <w:color w:val="202124"/>
          <w:lang w:val="en-GB"/>
        </w:rPr>
        <w:fldChar w:fldCharType="begin"/>
      </w:r>
      <w:r w:rsidRPr="006F04E6">
        <w:rPr>
          <w:rFonts w:asciiTheme="majorBidi" w:hAnsiTheme="majorBidi" w:cstheme="majorBidi"/>
          <w:lang w:val="en-GB"/>
        </w:rPr>
        <w:instrText xml:space="preserve"> XE "Argišti I" </w:instrText>
      </w:r>
      <w:r w:rsidRPr="006F04E6">
        <w:rPr>
          <w:rStyle w:val="y2iqfc"/>
          <w:rFonts w:asciiTheme="majorBidi" w:eastAsia="Arial" w:hAnsiTheme="majorBidi" w:cstheme="majorBidi"/>
          <w:color w:val="202124"/>
          <w:lang w:val="en-GB"/>
        </w:rPr>
        <w:fldChar w:fldCharType="end"/>
      </w:r>
      <w:r w:rsidRPr="006F04E6">
        <w:rPr>
          <w:rStyle w:val="y2iqfc"/>
          <w:rFonts w:asciiTheme="majorBidi" w:eastAsia="Arial" w:hAnsiTheme="majorBidi" w:cstheme="majorBidi"/>
          <w:color w:val="202124"/>
          <w:lang w:val="en-GB"/>
        </w:rPr>
        <w:t>,</w:t>
      </w:r>
      <w:r w:rsidRPr="006F04E6">
        <w:rPr>
          <w:rFonts w:ascii="Times New Roman" w:hAnsi="Times New Roman"/>
        </w:rPr>
        <w:t xml:space="preserve"> called Khorkhor</w:t>
      </w:r>
      <w:r w:rsidRPr="006F04E6">
        <w:rPr>
          <w:rFonts w:ascii="Times New Roman" w:eastAsia="Arial" w:hAnsi="Times New Roman" w:cs="Times New Roman"/>
          <w:color w:val="202124"/>
          <w:lang w:val="en-GB" w:eastAsia="it-IT"/>
        </w:rPr>
        <w:t> </w:t>
      </w:r>
      <w:r w:rsidRPr="006F04E6">
        <w:rPr>
          <w:rFonts w:ascii="Times New Roman" w:hAnsi="Times New Roman"/>
        </w:rPr>
        <w:t xml:space="preserve">Annals, </w:t>
      </w:r>
      <w:r w:rsidRPr="006F04E6">
        <w:rPr>
          <w:rFonts w:ascii="Times New Roman" w:eastAsia="Arial" w:hAnsi="Times New Roman" w:cs="Times New Roman"/>
          <w:color w:val="202124"/>
          <w:lang w:val="en-GB" w:eastAsia="it-IT"/>
        </w:rPr>
        <w:t xml:space="preserve">were </w:t>
      </w:r>
      <w:r w:rsidRPr="006F04E6">
        <w:rPr>
          <w:rFonts w:ascii="Times New Roman" w:hAnsi="Times New Roman"/>
        </w:rPr>
        <w:t xml:space="preserve">Engraved on the south wall of Van Fortress at the entrance to the </w:t>
      </w:r>
      <w:r w:rsidRPr="006F04E6">
        <w:rPr>
          <w:rFonts w:ascii="Times New Roman" w:eastAsia="Arial" w:hAnsi="Times New Roman" w:cs="Times New Roman"/>
          <w:color w:val="202124"/>
          <w:lang w:val="en-GB" w:eastAsia="it-IT"/>
        </w:rPr>
        <w:t xml:space="preserve">king's </w:t>
      </w:r>
      <w:r w:rsidRPr="006F04E6">
        <w:rPr>
          <w:rFonts w:ascii="Times New Roman" w:hAnsi="Times New Roman"/>
        </w:rPr>
        <w:t>Mausoleum. (Konyar, 2021: 206-260)</w:t>
      </w:r>
      <w:r w:rsidRPr="006F04E6">
        <w:rPr>
          <w:rFonts w:ascii="Times New Roman" w:hAnsi="Times New Roman"/>
          <w:color w:val="202124"/>
          <w:lang w:val="en-GB"/>
        </w:rPr>
        <w:t>,</w:t>
      </w:r>
      <w:r w:rsidRPr="006F04E6">
        <w:rPr>
          <w:rFonts w:ascii="Times New Roman" w:hAnsi="Times New Roman"/>
        </w:rPr>
        <w:t xml:space="preserve"> (plan, No. 5).</w:t>
      </w:r>
      <w:r w:rsidRPr="006F04E6">
        <w:rPr>
          <w:rFonts w:ascii="Times New Roman" w:hAnsi="Times New Roman"/>
          <w:color w:val="202124"/>
          <w:lang w:val="en-GB"/>
        </w:rPr>
        <w:t xml:space="preserve"> </w:t>
      </w:r>
      <w:r w:rsidRPr="006F04E6">
        <w:rPr>
          <w:rFonts w:ascii="Times New Roman" w:hAnsi="Times New Roman"/>
          <w:color w:val="202124"/>
        </w:rPr>
        <w:t>Text collated in August 1991 (see. Salvini B. A. and Salvini M, 1992: 9-23, 4 tables). New collations</w:t>
      </w:r>
      <w:r w:rsidRPr="006F04E6">
        <w:rPr>
          <w:rFonts w:ascii="Times New Roman" w:eastAsia="Arial" w:hAnsi="Times New Roman" w:cs="Times New Roman"/>
          <w:color w:val="202124"/>
          <w:lang w:val="en-GB" w:eastAsia="it-IT"/>
        </w:rPr>
        <w:t xml:space="preserve"> were</w:t>
      </w:r>
      <w:r w:rsidRPr="006F04E6">
        <w:rPr>
          <w:rFonts w:ascii="Times New Roman" w:hAnsi="Times New Roman"/>
          <w:color w:val="202124"/>
        </w:rPr>
        <w:t xml:space="preserve"> carried out in July 1999 and August 2004 (see. </w:t>
      </w:r>
      <w:r w:rsidRPr="006F04E6">
        <w:rPr>
          <w:rFonts w:ascii="Times New Roman" w:hAnsi="Times New Roman"/>
          <w:color w:val="202124"/>
          <w:lang w:val="en-GB"/>
        </w:rPr>
        <w:t>Salvini, in press).</w:t>
      </w:r>
    </w:p>
    <w:p w14:paraId="3AA277A9" w14:textId="77777777" w:rsidR="00B4516E" w:rsidRPr="00CC135C" w:rsidRDefault="00B4516E" w:rsidP="00B4516E">
      <w:pPr>
        <w:keepNext/>
        <w:rPr>
          <w:rFonts w:ascii="Times New Roman" w:hAnsi="Times New Roman"/>
          <w:lang w:val="en-GB"/>
        </w:rPr>
      </w:pPr>
      <w:r w:rsidRPr="00CC135C">
        <w:rPr>
          <w:rFonts w:ascii="Times New Roman" w:hAnsi="Times New Roman"/>
          <w:noProof/>
          <w:lang w:eastAsia="tr-TR"/>
        </w:rPr>
        <w:lastRenderedPageBreak/>
        <w:drawing>
          <wp:anchor distT="0" distB="0" distL="114300" distR="114300" simplePos="0" relativeHeight="251954176" behindDoc="1" locked="0" layoutInCell="1" allowOverlap="1" wp14:anchorId="4DF037CD" wp14:editId="13998D51">
            <wp:simplePos x="0" y="0"/>
            <wp:positionH relativeFrom="column">
              <wp:posOffset>1054073</wp:posOffset>
            </wp:positionH>
            <wp:positionV relativeFrom="paragraph">
              <wp:posOffset>-2796</wp:posOffset>
            </wp:positionV>
            <wp:extent cx="3652520" cy="4871720"/>
            <wp:effectExtent l="0" t="0" r="5080" b="5080"/>
            <wp:wrapTight wrapText="bothSides">
              <wp:wrapPolygon edited="0">
                <wp:start x="0" y="0"/>
                <wp:lineTo x="0" y="21538"/>
                <wp:lineTo x="21517" y="21538"/>
                <wp:lineTo x="21517" y="0"/>
                <wp:lineTo x="0" y="0"/>
              </wp:wrapPolygon>
            </wp:wrapTight>
            <wp:docPr id="89" name="Immagine 89" descr="dış mekan, gökyüzü, harabeler,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magine 89" descr="dış mekan, gökyüzü, harabeler, dip kaya içeren bir resim&#10;&#10;Açıklama otomatik olarak oluşturuldu"/>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652520" cy="4871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D56A69" w14:textId="77777777" w:rsidR="00B4516E" w:rsidRPr="00CC135C" w:rsidRDefault="00B4516E" w:rsidP="00B4516E">
      <w:pPr>
        <w:spacing w:after="200"/>
        <w:rPr>
          <w:rFonts w:ascii="Times New Roman" w:hAnsi="Times New Roman"/>
          <w:i/>
          <w:iCs/>
          <w:lang w:val="en-GB"/>
        </w:rPr>
      </w:pPr>
    </w:p>
    <w:p w14:paraId="675FF3B7" w14:textId="77777777" w:rsidR="00B4516E" w:rsidRPr="00CC135C" w:rsidRDefault="00B4516E" w:rsidP="00B4516E">
      <w:pPr>
        <w:spacing w:after="200"/>
        <w:rPr>
          <w:rFonts w:ascii="Times New Roman" w:hAnsi="Times New Roman"/>
          <w:i/>
          <w:iCs/>
          <w:lang w:val="en-GB"/>
        </w:rPr>
      </w:pPr>
    </w:p>
    <w:p w14:paraId="6715AECF" w14:textId="77777777" w:rsidR="00B4516E" w:rsidRPr="00CC135C" w:rsidRDefault="00B4516E" w:rsidP="00B4516E">
      <w:pPr>
        <w:spacing w:after="200"/>
        <w:rPr>
          <w:rFonts w:ascii="Times New Roman" w:hAnsi="Times New Roman"/>
          <w:i/>
          <w:iCs/>
          <w:lang w:val="en-GB"/>
        </w:rPr>
      </w:pPr>
    </w:p>
    <w:p w14:paraId="45E03AA7" w14:textId="77777777" w:rsidR="00B4516E" w:rsidRPr="00CC135C" w:rsidRDefault="00B4516E" w:rsidP="00B4516E">
      <w:pPr>
        <w:spacing w:after="200"/>
        <w:rPr>
          <w:rFonts w:ascii="Times New Roman" w:hAnsi="Times New Roman"/>
          <w:i/>
          <w:iCs/>
          <w:lang w:val="en-GB"/>
        </w:rPr>
      </w:pPr>
    </w:p>
    <w:p w14:paraId="4636F162" w14:textId="77777777" w:rsidR="00B4516E" w:rsidRPr="00CC135C" w:rsidRDefault="00B4516E" w:rsidP="00B4516E">
      <w:pPr>
        <w:spacing w:after="200"/>
        <w:rPr>
          <w:rFonts w:ascii="Times New Roman" w:hAnsi="Times New Roman"/>
          <w:i/>
          <w:iCs/>
          <w:lang w:val="en-GB"/>
        </w:rPr>
      </w:pPr>
    </w:p>
    <w:p w14:paraId="44D718D7" w14:textId="77777777" w:rsidR="00B4516E" w:rsidRPr="00CC135C" w:rsidRDefault="00B4516E" w:rsidP="00B4516E">
      <w:pPr>
        <w:spacing w:after="200"/>
        <w:rPr>
          <w:rFonts w:ascii="Times New Roman" w:hAnsi="Times New Roman"/>
          <w:i/>
          <w:iCs/>
          <w:lang w:val="en-GB"/>
        </w:rPr>
      </w:pPr>
    </w:p>
    <w:p w14:paraId="0AE0BA96" w14:textId="77777777" w:rsidR="00B4516E" w:rsidRPr="00CC135C" w:rsidRDefault="00B4516E" w:rsidP="00B4516E">
      <w:pPr>
        <w:spacing w:after="200"/>
        <w:rPr>
          <w:rFonts w:ascii="Times New Roman" w:hAnsi="Times New Roman"/>
          <w:i/>
          <w:iCs/>
          <w:lang w:val="en-GB"/>
        </w:rPr>
      </w:pPr>
    </w:p>
    <w:p w14:paraId="6A62D518" w14:textId="77777777" w:rsidR="00B4516E" w:rsidRPr="00CC135C" w:rsidRDefault="00B4516E" w:rsidP="00B4516E">
      <w:pPr>
        <w:spacing w:after="200"/>
        <w:rPr>
          <w:rFonts w:ascii="Times New Roman" w:hAnsi="Times New Roman"/>
          <w:i/>
          <w:iCs/>
          <w:lang w:val="en-GB"/>
        </w:rPr>
      </w:pPr>
    </w:p>
    <w:p w14:paraId="6C95FA4B" w14:textId="77777777" w:rsidR="00B4516E" w:rsidRPr="00CC135C" w:rsidRDefault="00B4516E" w:rsidP="00B4516E">
      <w:pPr>
        <w:spacing w:after="200"/>
        <w:rPr>
          <w:rFonts w:ascii="Times New Roman" w:hAnsi="Times New Roman"/>
          <w:i/>
          <w:iCs/>
          <w:lang w:val="en-GB"/>
        </w:rPr>
      </w:pPr>
    </w:p>
    <w:p w14:paraId="50B003C2" w14:textId="77777777" w:rsidR="00B4516E" w:rsidRPr="00CC135C" w:rsidRDefault="00B4516E" w:rsidP="00B4516E">
      <w:pPr>
        <w:spacing w:after="200"/>
        <w:rPr>
          <w:rFonts w:ascii="Times New Roman" w:hAnsi="Times New Roman"/>
          <w:i/>
          <w:iCs/>
          <w:lang w:val="en-GB"/>
        </w:rPr>
      </w:pPr>
    </w:p>
    <w:p w14:paraId="0B8D14B4" w14:textId="77777777" w:rsidR="00B4516E" w:rsidRPr="00CC135C" w:rsidRDefault="00B4516E" w:rsidP="00B4516E">
      <w:pPr>
        <w:spacing w:after="200"/>
        <w:rPr>
          <w:rFonts w:ascii="Times New Roman" w:hAnsi="Times New Roman"/>
          <w:i/>
          <w:iCs/>
          <w:lang w:val="en-GB"/>
        </w:rPr>
      </w:pPr>
    </w:p>
    <w:p w14:paraId="3E5FEE18" w14:textId="77777777" w:rsidR="00B4516E" w:rsidRPr="00CC135C" w:rsidRDefault="00B4516E" w:rsidP="00B4516E">
      <w:pPr>
        <w:spacing w:after="200"/>
        <w:rPr>
          <w:rFonts w:ascii="Times New Roman" w:hAnsi="Times New Roman"/>
          <w:i/>
          <w:iCs/>
          <w:lang w:val="en-GB"/>
        </w:rPr>
      </w:pPr>
    </w:p>
    <w:p w14:paraId="013DEB1C" w14:textId="77777777" w:rsidR="00B4516E" w:rsidRPr="00CC135C" w:rsidRDefault="00B4516E" w:rsidP="00B4516E">
      <w:pPr>
        <w:spacing w:after="200"/>
        <w:rPr>
          <w:rFonts w:ascii="Times New Roman" w:hAnsi="Times New Roman"/>
          <w:i/>
          <w:iCs/>
          <w:lang w:val="en-GB"/>
        </w:rPr>
      </w:pPr>
    </w:p>
    <w:p w14:paraId="3F714339" w14:textId="77777777" w:rsidR="00B4516E" w:rsidRPr="00CC135C" w:rsidRDefault="00B4516E" w:rsidP="00B4516E">
      <w:pPr>
        <w:rPr>
          <w:rFonts w:ascii="Times New Roman" w:hAnsi="Times New Roman"/>
          <w:i/>
          <w:iCs/>
          <w:lang w:val="en-GB"/>
        </w:rPr>
      </w:pPr>
    </w:p>
    <w:p w14:paraId="772CC86F" w14:textId="77777777" w:rsidR="00B4516E" w:rsidRPr="00CC135C" w:rsidRDefault="00B4516E" w:rsidP="00B4516E">
      <w:pPr>
        <w:rPr>
          <w:rFonts w:ascii="Times New Roman" w:hAnsi="Times New Roman"/>
          <w:i/>
          <w:iCs/>
          <w:lang w:val="en-GB"/>
        </w:rPr>
      </w:pPr>
    </w:p>
    <w:p w14:paraId="0C1230C1" w14:textId="77777777" w:rsidR="00B4516E" w:rsidRPr="00CC135C" w:rsidRDefault="00B4516E" w:rsidP="00B4516E">
      <w:pPr>
        <w:rPr>
          <w:rFonts w:ascii="Times New Roman" w:hAnsi="Times New Roman"/>
          <w:lang w:val="en-GB"/>
        </w:rPr>
      </w:pPr>
    </w:p>
    <w:p w14:paraId="30E51B47" w14:textId="77777777" w:rsidR="00B4516E" w:rsidRPr="00CC135C" w:rsidRDefault="00B4516E" w:rsidP="00B4516E">
      <w:pPr>
        <w:ind w:left="708" w:firstLine="708"/>
        <w:rPr>
          <w:rFonts w:ascii="Times New Roman" w:hAnsi="Times New Roman"/>
          <w:i/>
          <w:iCs/>
          <w:lang w:val="en-GB"/>
        </w:rPr>
      </w:pPr>
    </w:p>
    <w:p w14:paraId="6054515A" w14:textId="77777777" w:rsidR="00B4516E" w:rsidRPr="00CC135C" w:rsidRDefault="00B4516E" w:rsidP="00B4516E">
      <w:pPr>
        <w:ind w:left="708" w:firstLine="708"/>
        <w:rPr>
          <w:rFonts w:ascii="Times New Roman" w:hAnsi="Times New Roman"/>
          <w:i/>
          <w:iCs/>
          <w:lang w:val="en-GB"/>
        </w:rPr>
      </w:pPr>
    </w:p>
    <w:p w14:paraId="1DC1CC61" w14:textId="77777777" w:rsidR="00B4516E" w:rsidRPr="00CC135C" w:rsidRDefault="00B4516E" w:rsidP="00CD3D5E">
      <w:pPr>
        <w:ind w:left="708"/>
        <w:jc w:val="center"/>
        <w:rPr>
          <w:rFonts w:ascii="Times New Roman" w:hAnsi="Times New Roman"/>
          <w:iCs/>
        </w:rPr>
      </w:pPr>
      <w:r w:rsidRPr="00CC135C">
        <w:rPr>
          <w:rFonts w:ascii="Times New Roman" w:hAnsi="Times New Roman"/>
          <w:iCs/>
          <w:lang w:val="en-GB"/>
        </w:rPr>
        <w:t xml:space="preserve">Fig. </w:t>
      </w:r>
      <w:bookmarkStart w:id="61" w:name="_Hlk129166278"/>
      <w:r w:rsidRPr="00CC135C">
        <w:rPr>
          <w:rFonts w:ascii="Times New Roman" w:hAnsi="Times New Roman"/>
          <w:iCs/>
          <w:lang w:val="en-GB"/>
        </w:rPr>
        <w:t>46 Van Fortress</w:t>
      </w:r>
      <w:r w:rsidRPr="00DF1954">
        <w:rPr>
          <w:rFonts w:ascii="Times New Roman" w:eastAsia="Calibri" w:hAnsi="Times New Roman" w:cs="Times New Roman"/>
          <w:iCs/>
          <w:lang w:val="en-GB"/>
        </w:rPr>
        <w:t xml:space="preserve">, </w:t>
      </w:r>
      <w:r w:rsidRPr="00CC135C">
        <w:rPr>
          <w:rFonts w:ascii="Times New Roman" w:hAnsi="Times New Roman"/>
          <w:iCs/>
          <w:lang w:val="en-GB"/>
        </w:rPr>
        <w:t>Horhor</w:t>
      </w:r>
      <w:r w:rsidRPr="00CC135C">
        <w:rPr>
          <w:rFonts w:ascii="Times New Roman" w:hAnsi="Times New Roman"/>
          <w:iCs/>
          <w:lang w:val="en-GB"/>
        </w:rPr>
        <w:fldChar w:fldCharType="begin"/>
      </w:r>
      <w:r w:rsidRPr="00CC135C">
        <w:rPr>
          <w:rFonts w:ascii="Times New Roman" w:hAnsi="Times New Roman"/>
          <w:iCs/>
          <w:color w:val="44546A"/>
          <w:sz w:val="18"/>
          <w:lang w:val="en-GB"/>
        </w:rPr>
        <w:instrText xml:space="preserve"> XE "</w:instrText>
      </w:r>
      <w:r w:rsidRPr="00CC135C">
        <w:rPr>
          <w:rFonts w:ascii="Times New Roman" w:hAnsi="Times New Roman"/>
          <w:iCs/>
          <w:color w:val="000000"/>
          <w:sz w:val="18"/>
          <w:lang w:val="en-GB"/>
        </w:rPr>
        <w:instrText>Horhor</w:instrText>
      </w:r>
      <w:r w:rsidRPr="00CC135C">
        <w:rPr>
          <w:rFonts w:ascii="Times New Roman" w:hAnsi="Times New Roman"/>
          <w:iCs/>
          <w:color w:val="44546A"/>
          <w:sz w:val="18"/>
          <w:lang w:val="en-GB"/>
        </w:rPr>
        <w:instrText xml:space="preserve">" </w:instrText>
      </w:r>
      <w:r w:rsidRPr="00CC135C">
        <w:rPr>
          <w:rFonts w:ascii="Times New Roman" w:hAnsi="Times New Roman"/>
          <w:iCs/>
          <w:lang w:val="en-GB"/>
        </w:rPr>
        <w:fldChar w:fldCharType="end"/>
      </w:r>
      <w:r w:rsidRPr="00CC135C">
        <w:rPr>
          <w:rFonts w:ascii="Times New Roman" w:hAnsi="Times New Roman"/>
          <w:iCs/>
          <w:lang w:val="en-GB"/>
        </w:rPr>
        <w:t>, the Mausoleum of Argišti I</w:t>
      </w:r>
      <w:r w:rsidRPr="00CC135C">
        <w:rPr>
          <w:rFonts w:ascii="Times New Roman" w:hAnsi="Times New Roman"/>
          <w:iCs/>
          <w:lang w:val="en-GB"/>
        </w:rPr>
        <w:fldChar w:fldCharType="begin"/>
      </w:r>
      <w:r w:rsidRPr="00CC135C">
        <w:rPr>
          <w:rFonts w:ascii="Times New Roman" w:hAnsi="Times New Roman"/>
          <w:iCs/>
          <w:color w:val="44546A"/>
          <w:sz w:val="18"/>
          <w:lang w:val="en-GB"/>
        </w:rPr>
        <w:instrText xml:space="preserve"> XE "Argišti I" </w:instrText>
      </w:r>
      <w:r w:rsidRPr="00CC135C">
        <w:rPr>
          <w:rFonts w:ascii="Times New Roman" w:hAnsi="Times New Roman"/>
          <w:iCs/>
          <w:lang w:val="en-GB"/>
        </w:rPr>
        <w:fldChar w:fldCharType="end"/>
      </w:r>
      <w:r w:rsidRPr="00CC135C">
        <w:rPr>
          <w:rFonts w:ascii="Times New Roman" w:hAnsi="Times New Roman"/>
          <w:iCs/>
          <w:lang w:val="en-GB"/>
        </w:rPr>
        <w:t xml:space="preserve"> with his Annals (M. Salvini, 2004).</w:t>
      </w:r>
    </w:p>
    <w:bookmarkEnd w:id="61"/>
    <w:p w14:paraId="2ECA612F" w14:textId="77777777" w:rsidR="00B4516E" w:rsidRPr="00CC135C" w:rsidRDefault="00B4516E" w:rsidP="00B4516E">
      <w:pPr>
        <w:rPr>
          <w:rFonts w:ascii="Times New Roman" w:hAnsi="Times New Roman"/>
          <w:lang w:val="en-GB"/>
        </w:rPr>
      </w:pPr>
    </w:p>
    <w:p w14:paraId="24FF078A"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noProof/>
          <w:lang w:eastAsia="tr-TR"/>
        </w:rPr>
        <w:lastRenderedPageBreak/>
        <w:drawing>
          <wp:inline distT="0" distB="0" distL="0" distR="0" wp14:anchorId="04CF07BD" wp14:editId="156890B0">
            <wp:extent cx="5731200" cy="4298400"/>
            <wp:effectExtent l="0" t="0" r="0" b="0"/>
            <wp:docPr id="1792400277" name="Resim 1792400277" descr="dış mekan, gökyüzü, bin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00277" name="Resim 1792400277" descr="dış mekan, gökyüzü, bina, harabeler içeren bir resim&#10;&#10;Açıklama otomatik olarak oluşturuldu"/>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780384" cy="4335288"/>
                    </a:xfrm>
                    <a:prstGeom prst="rect">
                      <a:avLst/>
                    </a:prstGeom>
                    <a:noFill/>
                    <a:ln>
                      <a:noFill/>
                    </a:ln>
                  </pic:spPr>
                </pic:pic>
              </a:graphicData>
            </a:graphic>
          </wp:inline>
        </w:drawing>
      </w:r>
    </w:p>
    <w:p w14:paraId="66D10D33"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r w:rsidRPr="00CC135C">
        <w:rPr>
          <w:rFonts w:ascii="Times New Roman" w:hAnsi="Times New Roman"/>
          <w:lang w:val="en-GB"/>
        </w:rPr>
        <w:t xml:space="preserve">Fig. 47 </w:t>
      </w:r>
      <w:r w:rsidRPr="00CC135C">
        <w:rPr>
          <w:rFonts w:ascii="Times New Roman" w:hAnsi="Times New Roman"/>
          <w:color w:val="202124"/>
          <w:lang w:val="en-GB"/>
        </w:rPr>
        <w:t>Van Fortress</w:t>
      </w:r>
      <w:r w:rsidRPr="00DF1954">
        <w:rPr>
          <w:rFonts w:ascii="Times New Roman" w:eastAsia="Times New Roman" w:hAnsi="Times New Roman" w:cs="Times New Roman"/>
          <w:color w:val="202124"/>
          <w:lang w:val="en-GB" w:eastAsia="it-IT"/>
        </w:rPr>
        <w:t xml:space="preserve">, </w:t>
      </w:r>
      <w:r w:rsidRPr="00CC135C">
        <w:rPr>
          <w:rFonts w:ascii="Times New Roman" w:hAnsi="Times New Roman"/>
          <w:color w:val="202124"/>
          <w:lang w:val="en-GB"/>
        </w:rPr>
        <w:t>Horhor</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color w:val="000000"/>
          <w:sz w:val="20"/>
          <w:lang w:val="en-GB"/>
        </w:rPr>
        <w:instrText>Horhor</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Annals of Argišti 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Argišti 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xml:space="preserve"> (CTU I. A 8-3). Partial view of columns I to III (M. </w:t>
      </w:r>
      <w:r w:rsidRPr="00CC135C">
        <w:rPr>
          <w:rFonts w:ascii="Times New Roman" w:hAnsi="Times New Roman"/>
          <w:lang w:val="en-GB"/>
        </w:rPr>
        <w:t>Salvini, 2003).</w:t>
      </w:r>
    </w:p>
    <w:p w14:paraId="7CF45615"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noProof/>
          <w:lang w:eastAsia="tr-TR"/>
        </w:rPr>
        <w:lastRenderedPageBreak/>
        <w:drawing>
          <wp:anchor distT="0" distB="0" distL="114300" distR="114300" simplePos="0" relativeHeight="251964416" behindDoc="1" locked="0" layoutInCell="1" allowOverlap="1" wp14:anchorId="67837E29" wp14:editId="3A8BDD03">
            <wp:simplePos x="0" y="0"/>
            <wp:positionH relativeFrom="column">
              <wp:posOffset>-3175</wp:posOffset>
            </wp:positionH>
            <wp:positionV relativeFrom="paragraph">
              <wp:posOffset>941842</wp:posOffset>
            </wp:positionV>
            <wp:extent cx="6120000" cy="5090400"/>
            <wp:effectExtent l="0" t="0" r="0" b="0"/>
            <wp:wrapTight wrapText="bothSides">
              <wp:wrapPolygon edited="0">
                <wp:start x="0" y="0"/>
                <wp:lineTo x="0" y="21503"/>
                <wp:lineTo x="21517" y="21503"/>
                <wp:lineTo x="21517" y="0"/>
                <wp:lineTo x="0" y="0"/>
              </wp:wrapPolygon>
            </wp:wrapTight>
            <wp:docPr id="91" name="Immagine 91" descr="metin, kağıt, harita, fild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magine 91" descr="metin, kağıt, harita, fildişi içeren bir resim&#10;&#10;Açıklama otomatik olarak oluşturuldu"/>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6120000" cy="509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976DCC"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005C02DB"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4E63392" w14:textId="77777777" w:rsidR="00B4516E" w:rsidRPr="00CC135C" w:rsidRDefault="00B4516E" w:rsidP="00B4516E">
      <w:pPr>
        <w:spacing w:after="200"/>
        <w:rPr>
          <w:rFonts w:ascii="Times New Roman" w:hAnsi="Times New Roman"/>
          <w:i/>
          <w:iCs/>
          <w:lang w:val="en-GB"/>
        </w:rPr>
      </w:pPr>
      <w:bookmarkStart w:id="62" w:name="_Hlk129166373"/>
      <w:bookmarkStart w:id="63" w:name="_Hlk129166374"/>
      <w:r w:rsidRPr="00CC135C">
        <w:rPr>
          <w:rFonts w:ascii="Times New Roman" w:hAnsi="Times New Roman"/>
          <w:lang w:val="en-GB"/>
        </w:rPr>
        <w:t>Fig. 48 F</w:t>
      </w:r>
      <w:r w:rsidRPr="00315E88">
        <w:rPr>
          <w:rFonts w:ascii="Times New Roman" w:hAnsi="Times New Roman"/>
          <w:lang w:val="en-GB"/>
        </w:rPr>
        <w:t>. E. Schulz</w:t>
      </w:r>
      <w:r w:rsidRPr="00315E88">
        <w:rPr>
          <w:rFonts w:ascii="Times New Roman" w:hAnsi="Times New Roman"/>
          <w:lang w:val="en-GB"/>
        </w:rPr>
        <w:fldChar w:fldCharType="begin"/>
      </w:r>
      <w:r w:rsidRPr="00315E88">
        <w:rPr>
          <w:rFonts w:ascii="Times New Roman" w:hAnsi="Times New Roman"/>
          <w:color w:val="44546A"/>
          <w:sz w:val="18"/>
          <w:lang w:val="en-GB"/>
        </w:rPr>
        <w:instrText xml:space="preserve"> XE "Schulz" </w:instrText>
      </w:r>
      <w:r w:rsidRPr="00315E88">
        <w:rPr>
          <w:rFonts w:ascii="Times New Roman" w:hAnsi="Times New Roman"/>
          <w:lang w:val="en-GB"/>
        </w:rPr>
        <w:fldChar w:fldCharType="end"/>
      </w:r>
      <w:r w:rsidRPr="00315E88">
        <w:rPr>
          <w:rFonts w:ascii="Times New Roman" w:hAnsi="Times New Roman"/>
          <w:lang w:val="en-GB"/>
        </w:rPr>
        <w:t>, Copy of Horhor</w:t>
      </w:r>
      <w:r w:rsidRPr="00315E88">
        <w:rPr>
          <w:rFonts w:ascii="Times New Roman" w:hAnsi="Times New Roman"/>
          <w:lang w:val="en-GB"/>
        </w:rPr>
        <w:fldChar w:fldCharType="begin"/>
      </w:r>
      <w:r w:rsidRPr="00315E88">
        <w:rPr>
          <w:rFonts w:ascii="Times New Roman" w:hAnsi="Times New Roman"/>
          <w:color w:val="44546A"/>
          <w:sz w:val="18"/>
          <w:lang w:val="en-GB"/>
        </w:rPr>
        <w:instrText xml:space="preserve"> XE "</w:instrText>
      </w:r>
      <w:r w:rsidRPr="00315E88">
        <w:rPr>
          <w:rFonts w:ascii="Times New Roman" w:hAnsi="Times New Roman"/>
          <w:color w:val="000000"/>
          <w:sz w:val="18"/>
          <w:lang w:val="en-GB"/>
        </w:rPr>
        <w:instrText>Horhor</w:instrText>
      </w:r>
      <w:r w:rsidRPr="00315E88">
        <w:rPr>
          <w:rFonts w:ascii="Times New Roman" w:hAnsi="Times New Roman"/>
          <w:color w:val="44546A"/>
          <w:sz w:val="18"/>
          <w:lang w:val="en-GB"/>
        </w:rPr>
        <w:instrText xml:space="preserve">" </w:instrText>
      </w:r>
      <w:r w:rsidRPr="00315E88">
        <w:rPr>
          <w:rFonts w:ascii="Times New Roman" w:hAnsi="Times New Roman"/>
          <w:lang w:val="en-GB"/>
        </w:rPr>
        <w:fldChar w:fldCharType="end"/>
      </w:r>
      <w:r w:rsidRPr="00315E88">
        <w:rPr>
          <w:rFonts w:ascii="Times New Roman" w:hAnsi="Times New Roman"/>
          <w:lang w:val="en-GB"/>
        </w:rPr>
        <w:t xml:space="preserve"> Annals in Van Fortress</w:t>
      </w:r>
      <w:r w:rsidRPr="00315E88">
        <w:rPr>
          <w:rFonts w:ascii="Times New Roman" w:eastAsia="Times New Roman" w:hAnsi="Times New Roman" w:cs="Times New Roman"/>
          <w:lang w:val="en-GB"/>
        </w:rPr>
        <w:t xml:space="preserve">, </w:t>
      </w:r>
      <w:r w:rsidRPr="00315E88">
        <w:rPr>
          <w:rFonts w:ascii="Times New Roman" w:hAnsi="Times New Roman"/>
          <w:lang w:val="en-GB"/>
        </w:rPr>
        <w:t>col. I-III. Journal Asiatique 1840.</w:t>
      </w:r>
      <w:bookmarkEnd w:id="62"/>
      <w:bookmarkEnd w:id="63"/>
    </w:p>
    <w:p w14:paraId="6E5541BA" w14:textId="77777777" w:rsidR="00B4516E" w:rsidRPr="00CC135C" w:rsidRDefault="00B4516E" w:rsidP="00B4516E">
      <w:pPr>
        <w:jc w:val="center"/>
        <w:rPr>
          <w:rFonts w:ascii="Times New Roman" w:hAnsi="Times New Roman"/>
          <w:lang w:val="en-GB"/>
        </w:rPr>
      </w:pPr>
    </w:p>
    <w:p w14:paraId="57C7750E" w14:textId="77777777" w:rsidR="00B4516E" w:rsidRPr="00CC135C" w:rsidRDefault="00B4516E" w:rsidP="00B4516E">
      <w:pPr>
        <w:rPr>
          <w:rFonts w:ascii="Times New Roman" w:hAnsi="Times New Roman"/>
          <w:lang w:val="en-GB"/>
        </w:rPr>
      </w:pPr>
    </w:p>
    <w:p w14:paraId="19E276ED" w14:textId="77777777" w:rsidR="00B4516E" w:rsidRPr="00CC135C" w:rsidRDefault="00B4516E" w:rsidP="00B4516E">
      <w:pPr>
        <w:rPr>
          <w:rFonts w:ascii="Times New Roman" w:hAnsi="Times New Roman"/>
          <w:lang w:val="en-GB"/>
        </w:rPr>
      </w:pPr>
    </w:p>
    <w:p w14:paraId="1FF91799" w14:textId="77777777" w:rsidR="00B4516E" w:rsidRPr="00CC135C" w:rsidRDefault="00B4516E" w:rsidP="00B4516E">
      <w:pPr>
        <w:rPr>
          <w:rFonts w:ascii="Times New Roman" w:hAnsi="Times New Roman"/>
          <w:lang w:val="en-GB"/>
        </w:rPr>
      </w:pPr>
    </w:p>
    <w:p w14:paraId="320B1695" w14:textId="77777777" w:rsidR="00B4516E" w:rsidRPr="00CC135C" w:rsidRDefault="00B4516E" w:rsidP="00B4516E">
      <w:pPr>
        <w:rPr>
          <w:rFonts w:ascii="Times New Roman" w:hAnsi="Times New Roman"/>
          <w:lang w:val="en-GB"/>
        </w:rPr>
      </w:pPr>
    </w:p>
    <w:p w14:paraId="6E6E2F56" w14:textId="77777777" w:rsidR="00B4516E" w:rsidRPr="00CC135C" w:rsidRDefault="00B4516E" w:rsidP="00B4516E">
      <w:pPr>
        <w:rPr>
          <w:rFonts w:ascii="Times New Roman" w:hAnsi="Times New Roman"/>
          <w:lang w:val="en-GB"/>
        </w:rPr>
      </w:pPr>
    </w:p>
    <w:p w14:paraId="141AF4F3" w14:textId="77777777" w:rsidR="00B4516E" w:rsidRPr="00CC135C" w:rsidRDefault="00B4516E" w:rsidP="00B4516E">
      <w:pPr>
        <w:keepNext/>
        <w:numPr>
          <w:ilvl w:val="0"/>
          <w:numId w:val="14"/>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lang w:val="en-GB"/>
        </w:rPr>
        <w:br w:type="column"/>
      </w:r>
      <w:r w:rsidRPr="00CC135C">
        <w:rPr>
          <w:rFonts w:ascii="Times New Roman" w:hAnsi="Times New Roman"/>
          <w:noProof/>
          <w:lang w:eastAsia="tr-TR"/>
        </w:rPr>
        <w:lastRenderedPageBreak/>
        <mc:AlternateContent>
          <mc:Choice Requires="wps">
            <w:drawing>
              <wp:anchor distT="0" distB="0" distL="114300" distR="114300" simplePos="0" relativeHeight="251982848" behindDoc="1" locked="0" layoutInCell="1" allowOverlap="1" wp14:anchorId="22AA8812" wp14:editId="0332D510">
                <wp:simplePos x="0" y="0"/>
                <wp:positionH relativeFrom="column">
                  <wp:posOffset>229870</wp:posOffset>
                </wp:positionH>
                <wp:positionV relativeFrom="paragraph">
                  <wp:posOffset>7468883</wp:posOffset>
                </wp:positionV>
                <wp:extent cx="5666740" cy="477520"/>
                <wp:effectExtent l="0" t="0" r="0" b="0"/>
                <wp:wrapTight wrapText="bothSides">
                  <wp:wrapPolygon edited="0">
                    <wp:start x="0" y="0"/>
                    <wp:lineTo x="0" y="20681"/>
                    <wp:lineTo x="21494" y="20681"/>
                    <wp:lineTo x="21494" y="0"/>
                    <wp:lineTo x="0" y="0"/>
                  </wp:wrapPolygon>
                </wp:wrapTight>
                <wp:docPr id="85530807" name="Casella di tes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6740" cy="477520"/>
                        </a:xfrm>
                        <a:prstGeom prst="rect">
                          <a:avLst/>
                        </a:prstGeom>
                        <a:solidFill>
                          <a:prstClr val="white"/>
                        </a:solidFill>
                        <a:ln>
                          <a:noFill/>
                        </a:ln>
                      </wps:spPr>
                      <wps:txbx>
                        <w:txbxContent>
                          <w:p w14:paraId="0E4D941B" w14:textId="77777777" w:rsidR="00B4516E" w:rsidRPr="00E37343" w:rsidRDefault="00B4516E" w:rsidP="00B4516E">
                            <w:pPr>
                              <w:pStyle w:val="HTMLncedenBiimlendirilmi"/>
                              <w:shd w:val="clear" w:color="auto" w:fill="F8F9FA"/>
                              <w:spacing w:line="240" w:lineRule="auto"/>
                              <w:rPr>
                                <w:rFonts w:ascii="Times New Roman" w:hAnsi="Times New Roman" w:cs="Times New Roman"/>
                                <w:sz w:val="24"/>
                                <w:szCs w:val="24"/>
                                <w:lang w:val="en-US"/>
                              </w:rPr>
                            </w:pPr>
                            <w:r w:rsidRPr="00E37343">
                              <w:rPr>
                                <w:rFonts w:ascii="Times New Roman" w:hAnsi="Times New Roman" w:cs="Times New Roman"/>
                                <w:sz w:val="24"/>
                                <w:szCs w:val="24"/>
                                <w:lang w:val="en-US"/>
                              </w:rPr>
                              <w:t>Fig</w:t>
                            </w:r>
                            <w:r>
                              <w:rPr>
                                <w:rFonts w:ascii="Times New Roman" w:hAnsi="Times New Roman" w:cs="Times New Roman"/>
                                <w:sz w:val="24"/>
                                <w:szCs w:val="24"/>
                                <w:lang w:val="en-US"/>
                              </w:rPr>
                              <w:t>.</w:t>
                            </w:r>
                            <w:r w:rsidRPr="00E37343">
                              <w:rPr>
                                <w:rFonts w:ascii="Times New Roman" w:hAnsi="Times New Roman" w:cs="Times New Roman"/>
                                <w:sz w:val="24"/>
                                <w:szCs w:val="24"/>
                                <w:lang w:val="en-US"/>
                              </w:rPr>
                              <w:t xml:space="preserve"> 49 </w:t>
                            </w:r>
                            <w:r w:rsidRPr="008E74CD">
                              <w:rPr>
                                <w:rFonts w:ascii="Times New Roman" w:hAnsi="Times New Roman" w:cs="Times New Roman"/>
                                <w:sz w:val="24"/>
                                <w:szCs w:val="24"/>
                                <w:lang w:val="en-US"/>
                              </w:rPr>
                              <w:t>Van Fortress</w:t>
                            </w:r>
                            <w:r w:rsidRPr="00E37343">
                              <w:rPr>
                                <w:rFonts w:ascii="Times New Roman" w:hAnsi="Times New Roman" w:cs="Times New Roman"/>
                                <w:sz w:val="24"/>
                                <w:szCs w:val="24"/>
                                <w:lang w:val="en"/>
                              </w:rPr>
                              <w:t xml:space="preserve">, Horhor, </w:t>
                            </w:r>
                            <w:r w:rsidRPr="00432888">
                              <w:rPr>
                                <w:rFonts w:ascii="Times New Roman" w:hAnsi="Times New Roman" w:cs="Times New Roman"/>
                                <w:sz w:val="24"/>
                                <w:szCs w:val="24"/>
                                <w:lang w:val="en"/>
                              </w:rPr>
                              <w:t>Annals</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of </w:t>
                            </w:r>
                            <w:r w:rsidRPr="007302DB">
                              <w:rPr>
                                <w:rFonts w:ascii="Times New Roman" w:hAnsi="Times New Roman" w:cs="Times New Roman"/>
                                <w:iCs/>
                                <w:sz w:val="24"/>
                                <w:szCs w:val="24"/>
                                <w:lang w:val="en"/>
                              </w:rPr>
                              <w:t>Argišti</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I (CTU </w:t>
                            </w:r>
                            <w:r>
                              <w:rPr>
                                <w:rFonts w:ascii="Times New Roman" w:hAnsi="Times New Roman" w:cs="Times New Roman"/>
                                <w:sz w:val="24"/>
                                <w:szCs w:val="24"/>
                                <w:lang w:val="en"/>
                              </w:rPr>
                              <w:t xml:space="preserve">I. </w:t>
                            </w:r>
                            <w:r w:rsidRPr="00E37343">
                              <w:rPr>
                                <w:rFonts w:ascii="Times New Roman" w:hAnsi="Times New Roman" w:cs="Times New Roman"/>
                                <w:sz w:val="24"/>
                                <w:szCs w:val="24"/>
                                <w:lang w:val="en"/>
                              </w:rPr>
                              <w:t xml:space="preserve">A 8-3). Column I </w:t>
                            </w:r>
                            <w:r>
                              <w:rPr>
                                <w:rFonts w:ascii="Times New Roman" w:hAnsi="Times New Roman" w:cs="Times New Roman"/>
                                <w:sz w:val="24"/>
                                <w:szCs w:val="24"/>
                                <w:lang w:val="en"/>
                              </w:rPr>
                              <w:t>(M. Salvini, 2003).</w:t>
                            </w:r>
                          </w:p>
                          <w:p w14:paraId="51377A11" w14:textId="77777777" w:rsidR="00B4516E" w:rsidRPr="00CC135C" w:rsidRDefault="00B4516E" w:rsidP="00B4516E">
                            <w:pPr>
                              <w:pStyle w:val="Caption1"/>
                              <w:rPr>
                                <w:rFonts w:ascii="SemiramisUnicode" w:hAnsi="SemiramisUnicode"/>
                                <w:i w:val="0"/>
                                <w:color w:val="auto"/>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2AA8812" id="Casella di testo 7" o:spid="_x0000_s1039" type="#_x0000_t202" style="position:absolute;left:0;text-align:left;margin-left:18.1pt;margin-top:588.1pt;width:446.2pt;height:37.6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" stroked="f">
                <v:textbox style="mso-fit-shape-to-text:t" inset="0,0,0,0">
                  <w:txbxContent>
                    <w:p w14:paraId="0E4D941B" w14:textId="77777777" w:rsidR="00B4516E" w:rsidRPr="00E37343" w:rsidRDefault="00B4516E" w:rsidP="00B4516E">
                      <w:pPr>
                        <w:pStyle w:val="HTMLncedenBiimlendirilmi"/>
                        <w:shd w:val="clear" w:color="auto" w:fill="F8F9FA"/>
                        <w:spacing w:line="240" w:lineRule="auto"/>
                        <w:rPr>
                          <w:rFonts w:ascii="Times New Roman" w:hAnsi="Times New Roman" w:cs="Times New Roman"/>
                          <w:sz w:val="24"/>
                          <w:szCs w:val="24"/>
                          <w:lang w:val="en-US"/>
                        </w:rPr>
                      </w:pPr>
                      <w:r w:rsidRPr="00E37343">
                        <w:rPr>
                          <w:rFonts w:ascii="Times New Roman" w:hAnsi="Times New Roman" w:cs="Times New Roman"/>
                          <w:sz w:val="24"/>
                          <w:szCs w:val="24"/>
                          <w:lang w:val="en-US"/>
                        </w:rPr>
                        <w:t>Fig</w:t>
                      </w:r>
                      <w:r>
                        <w:rPr>
                          <w:rFonts w:ascii="Times New Roman" w:hAnsi="Times New Roman" w:cs="Times New Roman"/>
                          <w:sz w:val="24"/>
                          <w:szCs w:val="24"/>
                          <w:lang w:val="en-US"/>
                        </w:rPr>
                        <w:t>.</w:t>
                      </w:r>
                      <w:r w:rsidRPr="00E37343">
                        <w:rPr>
                          <w:rFonts w:ascii="Times New Roman" w:hAnsi="Times New Roman" w:cs="Times New Roman"/>
                          <w:sz w:val="24"/>
                          <w:szCs w:val="24"/>
                          <w:lang w:val="en-US"/>
                        </w:rPr>
                        <w:t xml:space="preserve"> 49 </w:t>
                      </w:r>
                      <w:r w:rsidRPr="008E74CD">
                        <w:rPr>
                          <w:rFonts w:ascii="Times New Roman" w:hAnsi="Times New Roman" w:cs="Times New Roman"/>
                          <w:sz w:val="24"/>
                          <w:szCs w:val="24"/>
                          <w:lang w:val="en-US"/>
                        </w:rPr>
                        <w:t>Van Fortress</w:t>
                      </w:r>
                      <w:r w:rsidRPr="00E37343">
                        <w:rPr>
                          <w:rFonts w:ascii="Times New Roman" w:hAnsi="Times New Roman" w:cs="Times New Roman"/>
                          <w:sz w:val="24"/>
                          <w:szCs w:val="24"/>
                          <w:lang w:val="en"/>
                        </w:rPr>
                        <w:t xml:space="preserve">, Horhor, </w:t>
                      </w:r>
                      <w:r w:rsidRPr="00432888">
                        <w:rPr>
                          <w:rFonts w:ascii="Times New Roman" w:hAnsi="Times New Roman" w:cs="Times New Roman"/>
                          <w:sz w:val="24"/>
                          <w:szCs w:val="24"/>
                          <w:lang w:val="en"/>
                        </w:rPr>
                        <w:t>Annals</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of </w:t>
                      </w:r>
                      <w:r w:rsidRPr="007302DB">
                        <w:rPr>
                          <w:rFonts w:ascii="Times New Roman" w:hAnsi="Times New Roman" w:cs="Times New Roman"/>
                          <w:iCs/>
                          <w:sz w:val="24"/>
                          <w:szCs w:val="24"/>
                          <w:lang w:val="en"/>
                        </w:rPr>
                        <w:t>Argišti</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I (CTU </w:t>
                      </w:r>
                      <w:r>
                        <w:rPr>
                          <w:rFonts w:ascii="Times New Roman" w:hAnsi="Times New Roman" w:cs="Times New Roman"/>
                          <w:sz w:val="24"/>
                          <w:szCs w:val="24"/>
                          <w:lang w:val="en"/>
                        </w:rPr>
                        <w:t xml:space="preserve">I. </w:t>
                      </w:r>
                      <w:r w:rsidRPr="00E37343">
                        <w:rPr>
                          <w:rFonts w:ascii="Times New Roman" w:hAnsi="Times New Roman" w:cs="Times New Roman"/>
                          <w:sz w:val="24"/>
                          <w:szCs w:val="24"/>
                          <w:lang w:val="en"/>
                        </w:rPr>
                        <w:t xml:space="preserve">A 8-3). Column I </w:t>
                      </w:r>
                      <w:r>
                        <w:rPr>
                          <w:rFonts w:ascii="Times New Roman" w:hAnsi="Times New Roman" w:cs="Times New Roman"/>
                          <w:sz w:val="24"/>
                          <w:szCs w:val="24"/>
                          <w:lang w:val="en"/>
                        </w:rPr>
                        <w:t>(M. Salvini, 2003).</w:t>
                      </w:r>
                    </w:p>
                    <w:p w14:paraId="51377A11" w14:textId="77777777" w:rsidR="00B4516E" w:rsidRPr="00CC135C" w:rsidRDefault="00B4516E" w:rsidP="00B4516E">
                      <w:pPr>
                        <w:pStyle w:val="Caption1"/>
                        <w:rPr>
                          <w:rFonts w:ascii="SemiramisUnicode" w:hAnsi="SemiramisUnicode"/>
                          <w:i w:val="0"/>
                          <w:color w:val="auto"/>
                          <w:sz w:val="24"/>
                        </w:rPr>
                      </w:pPr>
                    </w:p>
                  </w:txbxContent>
                </v:textbox>
                <w10:wrap type="tight"/>
              </v:shape>
            </w:pict>
          </mc:Fallback>
        </mc:AlternateContent>
      </w:r>
      <w:r w:rsidRPr="00CC135C">
        <w:rPr>
          <w:rFonts w:ascii="Times New Roman" w:hAnsi="Times New Roman"/>
          <w:noProof/>
          <w:lang w:eastAsia="tr-TR"/>
        </w:rPr>
        <w:drawing>
          <wp:anchor distT="0" distB="0" distL="114300" distR="114300" simplePos="0" relativeHeight="251965440" behindDoc="1" locked="0" layoutInCell="1" allowOverlap="1" wp14:anchorId="502474F8" wp14:editId="21A823BE">
            <wp:simplePos x="0" y="0"/>
            <wp:positionH relativeFrom="column">
              <wp:posOffset>307340</wp:posOffset>
            </wp:positionH>
            <wp:positionV relativeFrom="paragraph">
              <wp:posOffset>0</wp:posOffset>
            </wp:positionV>
            <wp:extent cx="5198745" cy="7967980"/>
            <wp:effectExtent l="0" t="0" r="0" b="0"/>
            <wp:wrapTight wrapText="bothSides">
              <wp:wrapPolygon edited="0">
                <wp:start x="0" y="0"/>
                <wp:lineTo x="0" y="21552"/>
                <wp:lineTo x="21529" y="21552"/>
                <wp:lineTo x="21529" y="0"/>
                <wp:lineTo x="0" y="0"/>
              </wp:wrapPolygon>
            </wp:wrapTight>
            <wp:docPr id="95" name="Immagine 95" descr="kaya, dış mekan, bin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magine 95" descr="kaya, dış mekan, bina, dağ içeren bir resim&#10;&#10;Açıklama otomatik olarak oluşturuldu"/>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5198745" cy="7967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C135C">
        <w:rPr>
          <w:rFonts w:ascii="Times New Roman" w:hAnsi="Times New Roman"/>
          <w:lang w:val="en-GB"/>
        </w:rPr>
        <w:br w:type="column"/>
      </w:r>
      <w:r w:rsidRPr="00CC135C">
        <w:rPr>
          <w:rFonts w:ascii="Times New Roman" w:hAnsi="Times New Roman"/>
          <w:noProof/>
          <w:lang w:eastAsia="tr-TR"/>
        </w:rPr>
        <w:lastRenderedPageBreak/>
        <w:drawing>
          <wp:inline distT="0" distB="0" distL="0" distR="0" wp14:anchorId="4A6FEBBE" wp14:editId="42B3A8F2">
            <wp:extent cx="4359499" cy="5810395"/>
            <wp:effectExtent l="0" t="0" r="3175" b="0"/>
            <wp:docPr id="88556338" name="Immagine 2" descr="dış mekan, bina, çit,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6338" name="Immagine 2" descr="dış mekan, bina, çit, yer içeren bir resim&#10;&#10;Açıklama otomatik olarak oluşturuldu"/>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4362295" cy="5814122"/>
                    </a:xfrm>
                    <a:prstGeom prst="rect">
                      <a:avLst/>
                    </a:prstGeom>
                    <a:noFill/>
                    <a:ln>
                      <a:noFill/>
                    </a:ln>
                  </pic:spPr>
                </pic:pic>
              </a:graphicData>
            </a:graphic>
          </wp:inline>
        </w:drawing>
      </w:r>
    </w:p>
    <w:p w14:paraId="6933C7BF"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80"/>
        <w:rPr>
          <w:rFonts w:ascii="Times New Roman" w:hAnsi="Times New Roman"/>
          <w:lang w:val="en-GB"/>
        </w:rPr>
      </w:pPr>
      <w:r w:rsidRPr="00CC135C">
        <w:rPr>
          <w:rFonts w:ascii="Times New Roman" w:hAnsi="Times New Roman"/>
          <w:lang w:val="en-GB"/>
        </w:rPr>
        <w:t>Fig. 50</w:t>
      </w:r>
      <w:r w:rsidRPr="00CC135C">
        <w:rPr>
          <w:rFonts w:ascii="Times New Roman" w:hAnsi="Times New Roman"/>
          <w:color w:val="202124"/>
          <w:lang w:val="en-GB"/>
        </w:rPr>
        <w:t xml:space="preserve"> Horhor</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color w:val="000000"/>
          <w:sz w:val="20"/>
          <w:lang w:val="en-GB"/>
        </w:rPr>
        <w:instrText>Horhor</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the inscribed wall and the stairway leading to the mausoleum (</w:t>
      </w:r>
      <w:r w:rsidRPr="00CC135C">
        <w:rPr>
          <w:rFonts w:ascii="Times New Roman" w:hAnsi="Times New Roman"/>
          <w:lang w:val="en-GB"/>
        </w:rPr>
        <w:t>M. Salvini, 2003).</w:t>
      </w:r>
    </w:p>
    <w:p w14:paraId="0282D071" w14:textId="77777777" w:rsidR="00B4516E" w:rsidRPr="00CC135C" w:rsidRDefault="00B4516E" w:rsidP="00B4516E">
      <w:pPr>
        <w:keepNext/>
        <w:numPr>
          <w:ilvl w:val="0"/>
          <w:numId w:val="14"/>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lang w:val="en-GB"/>
        </w:rPr>
        <w:br w:type="column"/>
      </w:r>
    </w:p>
    <w:p w14:paraId="6F8341A9" w14:textId="77777777" w:rsidR="00B4516E" w:rsidRPr="00CC135C" w:rsidRDefault="00B4516E" w:rsidP="00B4516E">
      <w:pPr>
        <w:keepNext/>
        <w:numPr>
          <w:ilvl w:val="0"/>
          <w:numId w:val="14"/>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253"/>
        <w:rPr>
          <w:rFonts w:ascii="Times New Roman" w:hAnsi="Times New Roman"/>
          <w:lang w:val="en-GB"/>
        </w:rPr>
      </w:pPr>
      <w:r w:rsidRPr="00CC135C">
        <w:rPr>
          <w:rFonts w:ascii="Times New Roman" w:hAnsi="Times New Roman"/>
          <w:noProof/>
          <w:lang w:eastAsia="tr-TR"/>
        </w:rPr>
        <mc:AlternateContent>
          <mc:Choice Requires="wps">
            <w:drawing>
              <wp:anchor distT="0" distB="0" distL="114300" distR="114300" simplePos="0" relativeHeight="251975680" behindDoc="1" locked="0" layoutInCell="1" allowOverlap="1" wp14:anchorId="01652C5A" wp14:editId="21632368">
                <wp:simplePos x="0" y="0"/>
                <wp:positionH relativeFrom="column">
                  <wp:posOffset>3810</wp:posOffset>
                </wp:positionH>
                <wp:positionV relativeFrom="paragraph">
                  <wp:posOffset>7776210</wp:posOffset>
                </wp:positionV>
                <wp:extent cx="6124575" cy="302260"/>
                <wp:effectExtent l="0" t="0" r="0" b="0"/>
                <wp:wrapTight wrapText="bothSides">
                  <wp:wrapPolygon edited="0">
                    <wp:start x="0" y="0"/>
                    <wp:lineTo x="0" y="20420"/>
                    <wp:lineTo x="21566" y="20420"/>
                    <wp:lineTo x="21566" y="0"/>
                    <wp:lineTo x="0" y="0"/>
                  </wp:wrapPolygon>
                </wp:wrapTight>
                <wp:docPr id="1314256271" name="Casella di tes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4575" cy="302260"/>
                        </a:xfrm>
                        <a:prstGeom prst="rect">
                          <a:avLst/>
                        </a:prstGeom>
                        <a:solidFill>
                          <a:prstClr val="white"/>
                        </a:solidFill>
                        <a:ln>
                          <a:noFill/>
                        </a:ln>
                      </wps:spPr>
                      <wps:txbx>
                        <w:txbxContent>
                          <w:p w14:paraId="5852C919" w14:textId="77777777" w:rsidR="00B4516E" w:rsidRPr="00283BF1" w:rsidRDefault="00B4516E" w:rsidP="00B4516E">
                            <w:pPr>
                              <w:pStyle w:val="Caption1"/>
                              <w:rPr>
                                <w:rFonts w:ascii="SemiramisUnicode" w:eastAsia="Times New Roman" w:hAnsi="SemiramisUnicode" w:cs="SemiramisUnicode"/>
                                <w:i w:val="0"/>
                                <w:iCs w:val="0"/>
                                <w:sz w:val="24"/>
                                <w:szCs w:val="24"/>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1652C5A" id="Casella di testo 5" o:spid="_x0000_s1040" type="#_x0000_t202" style="position:absolute;left:0;text-align:left;margin-left:.3pt;margin-top:612.3pt;width:482.25pt;height:23.8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" stroked="f">
                <v:textbox style="mso-fit-shape-to-text:t" inset="0,0,0,0">
                  <w:txbxContent>
                    <w:p w14:paraId="5852C919" w14:textId="77777777" w:rsidR="00B4516E" w:rsidRPr="00283BF1" w:rsidRDefault="00B4516E" w:rsidP="00B4516E">
                      <w:pPr>
                        <w:pStyle w:val="Caption1"/>
                        <w:rPr>
                          <w:rFonts w:ascii="SemiramisUnicode" w:eastAsia="Times New Roman" w:hAnsi="SemiramisUnicode" w:cs="SemiramisUnicode"/>
                          <w:i w:val="0"/>
                          <w:iCs w:val="0"/>
                          <w:sz w:val="24"/>
                          <w:szCs w:val="24"/>
                          <w:lang w:val="de-DE"/>
                        </w:rPr>
                      </w:pPr>
                    </w:p>
                  </w:txbxContent>
                </v:textbox>
                <w10:wrap type="tight"/>
              </v:shape>
            </w:pict>
          </mc:Fallback>
        </mc:AlternateContent>
      </w:r>
      <w:r w:rsidRPr="00CC135C">
        <w:rPr>
          <w:rFonts w:ascii="Times New Roman" w:hAnsi="Times New Roman"/>
          <w:noProof/>
          <w:lang w:eastAsia="tr-TR"/>
        </w:rPr>
        <w:drawing>
          <wp:anchor distT="0" distB="0" distL="114300" distR="114300" simplePos="0" relativeHeight="251963392" behindDoc="1" locked="0" layoutInCell="1" allowOverlap="1" wp14:anchorId="735214C9" wp14:editId="2EF45DB7">
            <wp:simplePos x="0" y="0"/>
            <wp:positionH relativeFrom="column">
              <wp:posOffset>163942</wp:posOffset>
            </wp:positionH>
            <wp:positionV relativeFrom="paragraph">
              <wp:posOffset>63849</wp:posOffset>
            </wp:positionV>
            <wp:extent cx="5760000" cy="6390000"/>
            <wp:effectExtent l="0" t="0" r="0" b="0"/>
            <wp:wrapTight wrapText="bothSides">
              <wp:wrapPolygon edited="0">
                <wp:start x="0" y="0"/>
                <wp:lineTo x="0" y="21510"/>
                <wp:lineTo x="21505" y="21510"/>
                <wp:lineTo x="21505" y="0"/>
                <wp:lineTo x="0" y="0"/>
              </wp:wrapPolygon>
            </wp:wrapTight>
            <wp:docPr id="90" name="Immagine 90" descr="metin, kağıt, siyah beyaz,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magine 90" descr="metin, kağıt, siyah beyaz, mektup, harf içeren bir resim&#10;&#10;Açıklama otomatik olarak oluşturuldu"/>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5760000" cy="639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7ADC99" w14:textId="77777777" w:rsidR="00B4516E" w:rsidRPr="00CC135C" w:rsidRDefault="00B4516E" w:rsidP="00B4516E">
      <w:pPr>
        <w:rPr>
          <w:rFonts w:ascii="Times New Roman" w:hAnsi="Times New Roman"/>
          <w:i/>
          <w:iCs/>
          <w:color w:val="202124"/>
          <w:lang w:val="en-GB"/>
        </w:rPr>
      </w:pPr>
      <w:r w:rsidRPr="00CC135C">
        <w:rPr>
          <w:rFonts w:ascii="Times New Roman" w:hAnsi="Times New Roman"/>
          <w:lang w:val="en-GB"/>
        </w:rPr>
        <w:t xml:space="preserve"> Fig. 51 </w:t>
      </w:r>
      <w:r w:rsidRPr="00CC135C">
        <w:rPr>
          <w:rFonts w:ascii="Times New Roman" w:hAnsi="Times New Roman"/>
          <w:color w:val="202124"/>
          <w:lang w:val="en-GB"/>
        </w:rPr>
        <w:t>Schulz</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"Schulz" </w:instrText>
      </w:r>
      <w:r w:rsidRPr="00CC135C">
        <w:rPr>
          <w:rFonts w:ascii="Times New Roman" w:hAnsi="Times New Roman"/>
          <w:color w:val="202124"/>
          <w:lang w:val="en-GB"/>
        </w:rPr>
        <w:fldChar w:fldCharType="end"/>
      </w:r>
      <w:r w:rsidRPr="00CC135C">
        <w:rPr>
          <w:rFonts w:ascii="Times New Roman" w:hAnsi="Times New Roman"/>
          <w:color w:val="202124"/>
          <w:lang w:val="en-GB"/>
        </w:rPr>
        <w:t xml:space="preserve"> copy of col. II of the Annals of Argišti I</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sz w:val="18"/>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published posthumously in the Journal Asiatique 1840 as Schulz</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"Schulz" </w:instrText>
      </w:r>
      <w:r w:rsidRPr="00CC135C">
        <w:rPr>
          <w:rFonts w:ascii="Times New Roman" w:hAnsi="Times New Roman"/>
          <w:color w:val="202124"/>
          <w:lang w:val="en-GB"/>
        </w:rPr>
        <w:fldChar w:fldCharType="end"/>
      </w:r>
      <w:r w:rsidRPr="00CC135C">
        <w:rPr>
          <w:rFonts w:ascii="Times New Roman" w:hAnsi="Times New Roman"/>
          <w:color w:val="202124"/>
          <w:lang w:val="en-GB"/>
        </w:rPr>
        <w:t xml:space="preserve"> III. Upper part.</w:t>
      </w:r>
    </w:p>
    <w:p w14:paraId="196D88B7" w14:textId="77777777" w:rsidR="00B4516E" w:rsidRPr="00CC135C" w:rsidRDefault="00B4516E" w:rsidP="00B4516E">
      <w:pPr>
        <w:tabs>
          <w:tab w:val="left" w:pos="1851"/>
        </w:tabs>
        <w:rPr>
          <w:rFonts w:ascii="Times New Roman" w:hAnsi="Times New Roman"/>
          <w:lang w:val="en-GB"/>
        </w:rPr>
      </w:pPr>
    </w:p>
    <w:p w14:paraId="1A2291A0" w14:textId="77777777" w:rsidR="00B4516E" w:rsidRPr="00CC135C" w:rsidRDefault="00B4516E" w:rsidP="00B4516E">
      <w:pPr>
        <w:ind w:right="-4253"/>
        <w:rPr>
          <w:rFonts w:ascii="Times New Roman" w:hAnsi="Times New Roman"/>
          <w:lang w:val="en-GB"/>
        </w:rPr>
      </w:pPr>
      <w:r w:rsidRPr="00CC135C">
        <w:rPr>
          <w:rFonts w:ascii="Times New Roman" w:hAnsi="Times New Roman"/>
          <w:noProof/>
          <w:lang w:eastAsia="tr-TR"/>
        </w:rPr>
        <mc:AlternateContent>
          <mc:Choice Requires="wps">
            <w:drawing>
              <wp:anchor distT="0" distB="0" distL="114300" distR="114300" simplePos="0" relativeHeight="251994112" behindDoc="1" locked="0" layoutInCell="1" allowOverlap="1" wp14:anchorId="6FBC0CEB" wp14:editId="1C48929A">
                <wp:simplePos x="0" y="0"/>
                <wp:positionH relativeFrom="column">
                  <wp:posOffset>173990</wp:posOffset>
                </wp:positionH>
                <wp:positionV relativeFrom="paragraph">
                  <wp:posOffset>6826885</wp:posOffset>
                </wp:positionV>
                <wp:extent cx="5759450" cy="331470"/>
                <wp:effectExtent l="0" t="0" r="0" b="0"/>
                <wp:wrapTight wrapText="bothSides">
                  <wp:wrapPolygon edited="0">
                    <wp:start x="0" y="0"/>
                    <wp:lineTo x="0" y="19862"/>
                    <wp:lineTo x="21505" y="19862"/>
                    <wp:lineTo x="21505" y="0"/>
                    <wp:lineTo x="0" y="0"/>
                  </wp:wrapPolygon>
                </wp:wrapTight>
                <wp:docPr id="2133638342" name="Casella di tes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331470"/>
                        </a:xfrm>
                        <a:prstGeom prst="rect">
                          <a:avLst/>
                        </a:prstGeom>
                        <a:solidFill>
                          <a:prstClr val="white"/>
                        </a:solidFill>
                        <a:ln>
                          <a:noFill/>
                        </a:ln>
                      </wps:spPr>
                      <wps:txbx>
                        <w:txbxContent>
                          <w:p w14:paraId="7AF9A5A3" w14:textId="77777777" w:rsidR="00B4516E" w:rsidRPr="002F1105" w:rsidRDefault="00B4516E" w:rsidP="00B4516E">
                            <w:pPr>
                              <w:pStyle w:val="Caption1"/>
                              <w:rPr>
                                <w:rFonts w:ascii="SemiramisUnicode" w:hAnsi="SemiramisUnicode" w:cs="SemiramisUnicode"/>
                                <w:i w:val="0"/>
                                <w:iCs w:val="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BC0CEB" id="Casella di testo 4" o:spid="_x0000_s1041" type="#_x0000_t202" style="position:absolute;margin-left:13.7pt;margin-top:537.55pt;width:453.5pt;height:26.1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" stroked="f">
                <v:textbox inset="0,0,0,0">
                  <w:txbxContent>
                    <w:p w14:paraId="7AF9A5A3" w14:textId="77777777" w:rsidR="00B4516E" w:rsidRPr="002F1105" w:rsidRDefault="00B4516E" w:rsidP="00B4516E">
                      <w:pPr>
                        <w:pStyle w:val="Caption1"/>
                        <w:rPr>
                          <w:rFonts w:ascii="SemiramisUnicode" w:hAnsi="SemiramisUnicode" w:cs="SemiramisUnicode"/>
                          <w:i w:val="0"/>
                          <w:iCs w:val="0"/>
                          <w:sz w:val="24"/>
                          <w:szCs w:val="24"/>
                        </w:rPr>
                      </w:pPr>
                    </w:p>
                  </w:txbxContent>
                </v:textbox>
                <w10:wrap type="tight"/>
              </v:shape>
            </w:pict>
          </mc:Fallback>
        </mc:AlternateContent>
      </w:r>
      <w:r w:rsidRPr="00CC135C">
        <w:rPr>
          <w:rFonts w:ascii="Times New Roman" w:hAnsi="Times New Roman"/>
          <w:noProof/>
          <w:lang w:eastAsia="tr-TR"/>
        </w:rPr>
        <mc:AlternateContent>
          <mc:Choice Requires="wps">
            <w:drawing>
              <wp:anchor distT="0" distB="0" distL="114300" distR="114300" simplePos="0" relativeHeight="251993088" behindDoc="1" locked="0" layoutInCell="1" allowOverlap="1" wp14:anchorId="272CE1C2" wp14:editId="7FDD91B6">
                <wp:simplePos x="0" y="0"/>
                <wp:positionH relativeFrom="column">
                  <wp:posOffset>670560</wp:posOffset>
                </wp:positionH>
                <wp:positionV relativeFrom="paragraph">
                  <wp:posOffset>9124315</wp:posOffset>
                </wp:positionV>
                <wp:extent cx="4928235" cy="285750"/>
                <wp:effectExtent l="0" t="0" r="0" b="0"/>
                <wp:wrapTight wrapText="bothSides">
                  <wp:wrapPolygon edited="0">
                    <wp:start x="0" y="0"/>
                    <wp:lineTo x="0" y="20160"/>
                    <wp:lineTo x="21542" y="20160"/>
                    <wp:lineTo x="21542" y="0"/>
                    <wp:lineTo x="0" y="0"/>
                  </wp:wrapPolygon>
                </wp:wrapTight>
                <wp:docPr id="436910713" name="Casella di tes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8235" cy="285750"/>
                        </a:xfrm>
                        <a:prstGeom prst="rect">
                          <a:avLst/>
                        </a:prstGeom>
                        <a:solidFill>
                          <a:prstClr val="white"/>
                        </a:solidFill>
                        <a:ln>
                          <a:noFill/>
                        </a:ln>
                      </wps:spPr>
                      <wps:txbx>
                        <w:txbxContent>
                          <w:p w14:paraId="56544B16" w14:textId="77777777" w:rsidR="00B4516E" w:rsidRDefault="00B4516E" w:rsidP="00B4516E"/>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72CE1C2" id="Casella di testo 3" o:spid="_x0000_s1042" type="#_x0000_t202" style="position:absolute;margin-left:52.8pt;margin-top:718.45pt;width:388.05pt;height:22.5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" stroked="f">
                <v:textbox style="mso-fit-shape-to-text:t" inset="0,0,0,0">
                  <w:txbxContent>
                    <w:p w14:paraId="56544B16" w14:textId="77777777" w:rsidR="00B4516E" w:rsidRDefault="00B4516E" w:rsidP="00B4516E"/>
                  </w:txbxContent>
                </v:textbox>
                <w10:wrap type="tight"/>
              </v:shape>
            </w:pict>
          </mc:Fallback>
        </mc:AlternateContent>
      </w:r>
      <w:r w:rsidRPr="00CC135C">
        <w:rPr>
          <w:rFonts w:ascii="Times New Roman" w:hAnsi="Times New Roman"/>
          <w:lang w:val="en-GB"/>
        </w:rPr>
        <w:tab/>
      </w:r>
    </w:p>
    <w:p w14:paraId="3B3962FE" w14:textId="77777777" w:rsidR="00B4516E" w:rsidRPr="00CC135C" w:rsidRDefault="00B4516E" w:rsidP="00B4516E">
      <w:pPr>
        <w:tabs>
          <w:tab w:val="left" w:pos="2579"/>
        </w:tabs>
        <w:rPr>
          <w:rFonts w:ascii="Times New Roman" w:hAnsi="Times New Roman"/>
          <w:i/>
          <w:iCs/>
          <w:lang w:val="en-GB"/>
        </w:rPr>
      </w:pPr>
      <w:r w:rsidRPr="00CC135C">
        <w:rPr>
          <w:rFonts w:ascii="Times New Roman" w:hAnsi="Times New Roman"/>
          <w:lang w:val="en-GB"/>
        </w:rPr>
        <w:br w:type="column"/>
      </w:r>
      <w:r w:rsidRPr="00CC135C">
        <w:rPr>
          <w:rFonts w:ascii="Times New Roman" w:hAnsi="Times New Roman"/>
          <w:noProof/>
          <w:lang w:eastAsia="tr-TR"/>
        </w:rPr>
        <w:lastRenderedPageBreak/>
        <w:drawing>
          <wp:anchor distT="0" distB="0" distL="114300" distR="114300" simplePos="0" relativeHeight="251971584" behindDoc="1" locked="0" layoutInCell="1" allowOverlap="1" wp14:anchorId="722BE2D5" wp14:editId="18A9FEFE">
            <wp:simplePos x="0" y="0"/>
            <wp:positionH relativeFrom="column">
              <wp:posOffset>0</wp:posOffset>
            </wp:positionH>
            <wp:positionV relativeFrom="paragraph">
              <wp:posOffset>8890</wp:posOffset>
            </wp:positionV>
            <wp:extent cx="5306060" cy="5840095"/>
            <wp:effectExtent l="0" t="0" r="2540" b="1905"/>
            <wp:wrapTopAndBottom/>
            <wp:docPr id="98" name="Immagine 98" descr="metin, harita,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magine 98" descr="metin, harita, kağıt içeren bir resim&#10;&#10;Açıklama otomatik olarak oluşturuldu"/>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5306060" cy="5840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978922" w14:textId="77777777" w:rsidR="00B4516E" w:rsidRPr="00CC135C" w:rsidRDefault="00B4516E" w:rsidP="00B4516E">
      <w:pPr>
        <w:spacing w:after="200"/>
        <w:rPr>
          <w:rFonts w:ascii="Times New Roman" w:hAnsi="Times New Roman"/>
          <w:i/>
          <w:iCs/>
          <w:color w:val="44546A"/>
          <w:lang w:val="en-GB"/>
        </w:rPr>
      </w:pPr>
      <w:r w:rsidRPr="00CC135C">
        <w:rPr>
          <w:rFonts w:ascii="Times New Roman" w:hAnsi="Times New Roman"/>
          <w:lang w:val="en-GB"/>
        </w:rPr>
        <w:t xml:space="preserve">Fig. 52 </w:t>
      </w:r>
      <w:r w:rsidRPr="00CC135C">
        <w:rPr>
          <w:rFonts w:ascii="Times New Roman" w:hAnsi="Times New Roman"/>
          <w:color w:val="202124"/>
          <w:lang w:val="en-GB"/>
        </w:rPr>
        <w:t>Schulz</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"Schulz" </w:instrText>
      </w:r>
      <w:r w:rsidRPr="00CC135C">
        <w:rPr>
          <w:rFonts w:ascii="Times New Roman" w:hAnsi="Times New Roman"/>
          <w:color w:val="202124"/>
          <w:lang w:val="en-GB"/>
        </w:rPr>
        <w:fldChar w:fldCharType="end"/>
      </w:r>
      <w:r w:rsidRPr="00CC135C">
        <w:rPr>
          <w:rFonts w:ascii="Times New Roman" w:hAnsi="Times New Roman"/>
          <w:color w:val="202124"/>
          <w:lang w:val="en-GB"/>
        </w:rPr>
        <w:t xml:space="preserve"> copy of col. II of the Annals of Argišti I</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sz w:val="18"/>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published posthumously in the Journal Asiatique 1840 as Schulz III. Lower part.</w:t>
      </w:r>
    </w:p>
    <w:p w14:paraId="0774B58C" w14:textId="77777777" w:rsidR="00B4516E" w:rsidRPr="00CC135C" w:rsidRDefault="00B4516E" w:rsidP="00B4516E">
      <w:pPr>
        <w:ind w:right="-4253" w:firstLine="708"/>
        <w:rPr>
          <w:rFonts w:ascii="Times New Roman" w:hAnsi="Times New Roman"/>
          <w:lang w:val="en-GB"/>
        </w:rPr>
      </w:pPr>
    </w:p>
    <w:p w14:paraId="23656752" w14:textId="77777777" w:rsidR="00B4516E" w:rsidRPr="00CC135C" w:rsidRDefault="00B4516E" w:rsidP="00B4516E">
      <w:pPr>
        <w:ind w:right="-4253"/>
        <w:rPr>
          <w:rFonts w:ascii="Times New Roman" w:hAnsi="Times New Roman"/>
          <w:lang w:val="en-GB"/>
        </w:rPr>
      </w:pPr>
      <w:r w:rsidRPr="00CC135C">
        <w:rPr>
          <w:rFonts w:ascii="Times New Roman" w:hAnsi="Times New Roman"/>
          <w:lang w:val="en-GB"/>
        </w:rPr>
        <w:br w:type="column"/>
      </w:r>
    </w:p>
    <w:p w14:paraId="043975C2" w14:textId="77777777" w:rsidR="00B4516E" w:rsidRPr="00CC135C" w:rsidRDefault="00B4516E" w:rsidP="00B4516E">
      <w:pPr>
        <w:keepNext/>
        <w:ind w:right="-4253"/>
        <w:rPr>
          <w:rFonts w:ascii="Times New Roman" w:hAnsi="Times New Roman"/>
          <w:lang w:val="en-GB"/>
        </w:rPr>
      </w:pPr>
      <w:r w:rsidRPr="00CC135C">
        <w:rPr>
          <w:rFonts w:ascii="Times New Roman" w:hAnsi="Times New Roman"/>
          <w:noProof/>
          <w:lang w:eastAsia="tr-TR"/>
        </w:rPr>
        <w:drawing>
          <wp:inline distT="0" distB="0" distL="0" distR="0" wp14:anchorId="4CA80242" wp14:editId="646B695A">
            <wp:extent cx="6048000" cy="4536000"/>
            <wp:effectExtent l="0" t="0" r="0" b="0"/>
            <wp:docPr id="1883979300" name="Resim 1883979300" descr="Eskiçağ tarihi, tarih, kireç taşı,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79300" name="Resim 1883979300" descr="Eskiçağ tarihi, tarih, kireç taşı, harabeler içeren bir resim&#10;&#10;Açıklama otomatik olarak oluşturuldu"/>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6048000" cy="4536000"/>
                    </a:xfrm>
                    <a:prstGeom prst="rect">
                      <a:avLst/>
                    </a:prstGeom>
                    <a:noFill/>
                    <a:ln>
                      <a:noFill/>
                    </a:ln>
                  </pic:spPr>
                </pic:pic>
              </a:graphicData>
            </a:graphic>
          </wp:inline>
        </w:drawing>
      </w:r>
    </w:p>
    <w:p w14:paraId="2B673319"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000000"/>
          <w:lang w:val="en-GB"/>
        </w:rPr>
      </w:pPr>
      <w:bookmarkStart w:id="64" w:name="_Hlk129171065"/>
      <w:r w:rsidRPr="00CC135C">
        <w:rPr>
          <w:rFonts w:ascii="Times New Roman" w:hAnsi="Times New Roman"/>
          <w:color w:val="000000"/>
          <w:lang w:val="en-GB"/>
        </w:rPr>
        <w:t xml:space="preserve">Fig. 53 Annals of </w:t>
      </w:r>
      <w:r w:rsidRPr="00CC135C">
        <w:rPr>
          <w:rFonts w:ascii="Times New Roman" w:hAnsi="Times New Roman"/>
          <w:color w:val="202124"/>
          <w:lang w:val="en-GB"/>
        </w:rPr>
        <w:t>Argišti 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color w:val="202124"/>
          <w:lang w:val="en-GB"/>
        </w:rPr>
        <w:instrText>Argišti 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000000"/>
          <w:lang w:val="en-GB"/>
        </w:rPr>
        <w:t>, Detail of col. III (M. Salvini, 2003).</w:t>
      </w:r>
    </w:p>
    <w:p w14:paraId="31201296" w14:textId="77777777" w:rsidR="00B4516E" w:rsidRPr="00CC135C" w:rsidRDefault="00B4516E" w:rsidP="00B4516E">
      <w:pPr>
        <w:keepNext/>
        <w:spacing w:after="200"/>
        <w:rPr>
          <w:rFonts w:ascii="Times New Roman" w:hAnsi="Times New Roman"/>
          <w:color w:val="44546A"/>
          <w:lang w:val="en-GB"/>
        </w:rPr>
      </w:pPr>
      <w:r w:rsidRPr="00CC135C">
        <w:rPr>
          <w:rFonts w:ascii="Times New Roman" w:hAnsi="Times New Roman"/>
          <w:lang w:val="en-GB"/>
        </w:rPr>
        <w:br w:type="column"/>
      </w:r>
      <w:bookmarkEnd w:id="64"/>
      <w:r w:rsidRPr="00CC135C">
        <w:rPr>
          <w:rFonts w:ascii="Times New Roman" w:hAnsi="Times New Roman"/>
          <w:i/>
          <w:noProof/>
          <w:color w:val="44546A"/>
          <w:lang w:eastAsia="tr-TR"/>
        </w:rPr>
        <w:lastRenderedPageBreak/>
        <w:drawing>
          <wp:inline distT="0" distB="0" distL="0" distR="0" wp14:anchorId="07B59790" wp14:editId="5C841812">
            <wp:extent cx="6021705" cy="4980305"/>
            <wp:effectExtent l="0" t="0" r="0" b="0"/>
            <wp:docPr id="87" name="Immagine 87" descr="metin, kağıt, siyah beyaz, 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magine 87" descr="metin, kağıt, siyah beyaz, el yazısı içeren bir resim&#10;&#10;Açıklama otomatik olarak oluşturuldu"/>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6021705" cy="4980305"/>
                    </a:xfrm>
                    <a:prstGeom prst="rect">
                      <a:avLst/>
                    </a:prstGeom>
                    <a:noFill/>
                    <a:ln>
                      <a:noFill/>
                    </a:ln>
                  </pic:spPr>
                </pic:pic>
              </a:graphicData>
            </a:graphic>
          </wp:inline>
        </w:drawing>
      </w:r>
    </w:p>
    <w:p w14:paraId="3675C96D" w14:textId="77777777" w:rsidR="00B4516E" w:rsidRPr="00CC135C" w:rsidRDefault="00B4516E" w:rsidP="00B4516E">
      <w:pPr>
        <w:spacing w:after="200"/>
        <w:rPr>
          <w:rFonts w:ascii="Times New Roman" w:hAnsi="Times New Roman"/>
          <w:i/>
          <w:iCs/>
          <w:lang w:val="en-GB"/>
        </w:rPr>
      </w:pPr>
      <w:r w:rsidRPr="00CC135C">
        <w:rPr>
          <w:rFonts w:ascii="Times New Roman" w:hAnsi="Times New Roman"/>
          <w:lang w:val="en-GB"/>
        </w:rPr>
        <w:t xml:space="preserve">Fig. 54 </w:t>
      </w:r>
      <w:bookmarkStart w:id="65" w:name="_Hlk129171157"/>
      <w:r w:rsidRPr="00CC135C">
        <w:rPr>
          <w:rFonts w:ascii="Times New Roman" w:hAnsi="Times New Roman"/>
          <w:lang w:val="en-GB"/>
        </w:rPr>
        <w:t>Schulz</w:t>
      </w:r>
      <w:r w:rsidRPr="00CC135C">
        <w:rPr>
          <w:rFonts w:ascii="Times New Roman" w:hAnsi="Times New Roman"/>
          <w:lang w:val="en-GB"/>
        </w:rPr>
        <w:fldChar w:fldCharType="begin"/>
      </w:r>
      <w:r w:rsidRPr="00CC135C">
        <w:rPr>
          <w:rFonts w:ascii="Times New Roman" w:hAnsi="Times New Roman"/>
          <w:color w:val="44546A"/>
          <w:lang w:val="en-GB"/>
        </w:rPr>
        <w:instrText xml:space="preserve"> XE "Schulz" </w:instrText>
      </w:r>
      <w:r w:rsidRPr="00CC135C">
        <w:rPr>
          <w:rFonts w:ascii="Times New Roman" w:hAnsi="Times New Roman"/>
          <w:lang w:val="en-GB"/>
        </w:rPr>
        <w:fldChar w:fldCharType="end"/>
      </w:r>
      <w:r w:rsidRPr="00CC135C">
        <w:rPr>
          <w:rFonts w:ascii="Times New Roman" w:hAnsi="Times New Roman"/>
          <w:lang w:val="en-GB"/>
        </w:rPr>
        <w:t xml:space="preserve"> </w:t>
      </w:r>
      <w:r w:rsidRPr="00CC135C">
        <w:rPr>
          <w:rFonts w:ascii="Times New Roman" w:hAnsi="Times New Roman"/>
          <w:color w:val="202124"/>
          <w:lang w:val="en-GB"/>
        </w:rPr>
        <w:t>copy of col. III of the Annals of Argišti I</w:t>
      </w:r>
      <w:r w:rsidRPr="00CC135C">
        <w:rPr>
          <w:rFonts w:ascii="Times New Roman" w:hAnsi="Times New Roman"/>
          <w:color w:val="202124"/>
          <w:lang w:val="en-GB"/>
        </w:rPr>
        <w:fldChar w:fldCharType="begin"/>
      </w:r>
      <w:r w:rsidRPr="00CC135C">
        <w:rPr>
          <w:rFonts w:ascii="Times New Roman" w:hAnsi="Times New Roman"/>
          <w:color w:val="44546A"/>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published as Schulz IV (upper part).</w:t>
      </w:r>
      <w:bookmarkEnd w:id="65"/>
    </w:p>
    <w:p w14:paraId="5FBD38A2" w14:textId="77777777" w:rsidR="00B4516E" w:rsidRPr="00CC135C" w:rsidRDefault="00B4516E" w:rsidP="00B4516E">
      <w:pPr>
        <w:ind w:right="-4253"/>
        <w:rPr>
          <w:rFonts w:ascii="Times New Roman" w:hAnsi="Times New Roman"/>
          <w:lang w:val="en-GB"/>
        </w:rPr>
      </w:pPr>
    </w:p>
    <w:p w14:paraId="7932771D" w14:textId="77777777" w:rsidR="00B4516E" w:rsidRPr="00CC135C" w:rsidRDefault="00B4516E" w:rsidP="00B4516E">
      <w:pPr>
        <w:keepNext/>
        <w:ind w:right="-4253"/>
        <w:rPr>
          <w:rFonts w:ascii="Times New Roman" w:hAnsi="Times New Roman"/>
          <w:lang w:val="en-GB"/>
        </w:rPr>
      </w:pPr>
      <w:r w:rsidRPr="00CC135C">
        <w:rPr>
          <w:rFonts w:ascii="Times New Roman" w:hAnsi="Times New Roman"/>
          <w:lang w:val="en-GB"/>
        </w:rPr>
        <w:br w:type="column"/>
      </w:r>
      <w:r w:rsidRPr="00CC135C">
        <w:rPr>
          <w:rFonts w:ascii="Times New Roman" w:hAnsi="Times New Roman"/>
          <w:noProof/>
          <w:lang w:eastAsia="tr-TR"/>
        </w:rPr>
        <w:lastRenderedPageBreak/>
        <w:drawing>
          <wp:inline distT="0" distB="0" distL="0" distR="0" wp14:anchorId="529C638C" wp14:editId="54A3D91C">
            <wp:extent cx="5923915" cy="5311140"/>
            <wp:effectExtent l="0" t="0" r="635" b="3810"/>
            <wp:docPr id="88" name="Immagine 88" descr="metin, siyah beyaz, harita,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magine 88" descr="metin, siyah beyaz, harita, kağıt içeren bir resim&#10;&#10;Açıklama otomatik olarak oluşturuldu"/>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923915" cy="5311140"/>
                    </a:xfrm>
                    <a:prstGeom prst="rect">
                      <a:avLst/>
                    </a:prstGeom>
                    <a:noFill/>
                    <a:ln>
                      <a:noFill/>
                    </a:ln>
                  </pic:spPr>
                </pic:pic>
              </a:graphicData>
            </a:graphic>
          </wp:inline>
        </w:drawing>
      </w:r>
    </w:p>
    <w:p w14:paraId="201092B1" w14:textId="77777777" w:rsidR="00B4516E" w:rsidRPr="00CC135C" w:rsidRDefault="00B4516E" w:rsidP="00B4516E">
      <w:pPr>
        <w:spacing w:after="200"/>
        <w:rPr>
          <w:rFonts w:ascii="Times New Roman" w:hAnsi="Times New Roman"/>
          <w:i/>
          <w:iCs/>
          <w:lang w:val="en-GB"/>
        </w:rPr>
      </w:pPr>
      <w:r w:rsidRPr="00CC135C">
        <w:rPr>
          <w:rFonts w:ascii="Times New Roman" w:hAnsi="Times New Roman"/>
          <w:lang w:val="en-GB"/>
        </w:rPr>
        <w:t xml:space="preserve">Fig. 55 </w:t>
      </w:r>
      <w:bookmarkStart w:id="66" w:name="_Hlk129171210"/>
      <w:r w:rsidRPr="00CC135C">
        <w:rPr>
          <w:rFonts w:ascii="Times New Roman" w:hAnsi="Times New Roman"/>
          <w:lang w:val="en-GB"/>
        </w:rPr>
        <w:t>Schulz</w:t>
      </w:r>
      <w:r w:rsidRPr="00CC135C">
        <w:rPr>
          <w:rFonts w:ascii="Times New Roman" w:hAnsi="Times New Roman"/>
          <w:lang w:val="en-GB"/>
        </w:rPr>
        <w:fldChar w:fldCharType="begin"/>
      </w:r>
      <w:r w:rsidRPr="00CC135C">
        <w:rPr>
          <w:rFonts w:ascii="Times New Roman" w:hAnsi="Times New Roman"/>
          <w:color w:val="44546A"/>
          <w:lang w:val="en-GB"/>
        </w:rPr>
        <w:instrText xml:space="preserve"> XE "Schulz" </w:instrText>
      </w:r>
      <w:r w:rsidRPr="00CC135C">
        <w:rPr>
          <w:rFonts w:ascii="Times New Roman" w:hAnsi="Times New Roman"/>
          <w:lang w:val="en-GB"/>
        </w:rPr>
        <w:fldChar w:fldCharType="end"/>
      </w:r>
      <w:r w:rsidRPr="00CC135C">
        <w:rPr>
          <w:rFonts w:ascii="Times New Roman" w:hAnsi="Times New Roman"/>
          <w:lang w:val="en-GB"/>
        </w:rPr>
        <w:t xml:space="preserve"> </w:t>
      </w:r>
      <w:r w:rsidRPr="00CC135C">
        <w:rPr>
          <w:rFonts w:ascii="Times New Roman" w:hAnsi="Times New Roman"/>
          <w:color w:val="202124"/>
          <w:lang w:val="en-GB"/>
        </w:rPr>
        <w:t>copy of col. III of the Annals of Argišti I</w:t>
      </w:r>
      <w:r w:rsidRPr="00CC135C">
        <w:rPr>
          <w:rFonts w:ascii="Times New Roman" w:hAnsi="Times New Roman"/>
          <w:color w:val="202124"/>
          <w:lang w:val="en-GB"/>
        </w:rPr>
        <w:fldChar w:fldCharType="begin"/>
      </w:r>
      <w:r w:rsidRPr="00CC135C">
        <w:rPr>
          <w:rFonts w:ascii="Times New Roman" w:hAnsi="Times New Roman"/>
          <w:color w:val="44546A"/>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published as Schulz IV (lower part).</w:t>
      </w:r>
      <w:bookmarkEnd w:id="66"/>
    </w:p>
    <w:p w14:paraId="36D84D38" w14:textId="77777777" w:rsidR="00B4516E" w:rsidRPr="00CC135C" w:rsidRDefault="00B4516E" w:rsidP="00B4516E">
      <w:pPr>
        <w:spacing w:after="200"/>
        <w:rPr>
          <w:rFonts w:ascii="Times New Roman" w:hAnsi="Times New Roman"/>
          <w:color w:val="44546A"/>
          <w:lang w:val="en-GB"/>
        </w:rPr>
      </w:pPr>
    </w:p>
    <w:p w14:paraId="23172AAC" w14:textId="77777777" w:rsidR="00B4516E" w:rsidRPr="00CC135C" w:rsidRDefault="00B4516E" w:rsidP="00B4516E">
      <w:pPr>
        <w:keepNext/>
        <w:ind w:right="-4253"/>
        <w:rPr>
          <w:rFonts w:ascii="Times New Roman" w:hAnsi="Times New Roman"/>
          <w:lang w:val="en-GB"/>
        </w:rPr>
      </w:pPr>
      <w:r w:rsidRPr="00CC135C">
        <w:rPr>
          <w:rFonts w:ascii="Times New Roman" w:hAnsi="Times New Roman"/>
          <w:lang w:val="en-GB"/>
        </w:rPr>
        <w:br w:type="column"/>
      </w:r>
      <w:r w:rsidRPr="00CC135C">
        <w:rPr>
          <w:rFonts w:ascii="Times New Roman" w:hAnsi="Times New Roman"/>
          <w:noProof/>
          <w:lang w:eastAsia="tr-TR"/>
        </w:rPr>
        <w:lastRenderedPageBreak/>
        <w:drawing>
          <wp:inline distT="0" distB="0" distL="0" distR="0" wp14:anchorId="2CCCEC8D" wp14:editId="4C9BADD8">
            <wp:extent cx="5063110" cy="7756358"/>
            <wp:effectExtent l="0" t="0" r="4445" b="3810"/>
            <wp:docPr id="460734684" name="Resim 460734684" descr="harabeler, Eskiçağ tarihi, kireç taşı, tarih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34684" name="Resim 460734684" descr="harabeler, Eskiçağ tarihi, kireç taşı, tarih içeren bir resim&#10;&#10;Açıklama otomatik olarak oluşturuldu"/>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089576" cy="7796901"/>
                    </a:xfrm>
                    <a:prstGeom prst="rect">
                      <a:avLst/>
                    </a:prstGeom>
                    <a:noFill/>
                    <a:ln>
                      <a:noFill/>
                    </a:ln>
                    <a:extLst>
                      <a:ext uri="{53640926-AAD7-44D8-BBD7-CCE9431645EC}">
                        <a14:shadowObscured xmlns:a14="http://schemas.microsoft.com/office/drawing/2010/main"/>
                      </a:ext>
                    </a:extLst>
                  </pic:spPr>
                </pic:pic>
              </a:graphicData>
            </a:graphic>
          </wp:inline>
        </w:drawing>
      </w:r>
    </w:p>
    <w:p w14:paraId="4ACCCD58"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GB"/>
        </w:rPr>
      </w:pPr>
      <w:bookmarkStart w:id="67" w:name="_Hlk129086674"/>
      <w:r w:rsidRPr="00CC135C">
        <w:rPr>
          <w:rFonts w:ascii="Times New Roman" w:hAnsi="Times New Roman"/>
          <w:lang w:val="en-GB"/>
        </w:rPr>
        <w:t xml:space="preserve">Fig. 56 </w:t>
      </w:r>
      <w:r w:rsidRPr="00CC135C">
        <w:rPr>
          <w:rFonts w:ascii="Times New Roman" w:hAnsi="Times New Roman"/>
          <w:color w:val="202124"/>
          <w:lang w:val="en-GB"/>
        </w:rPr>
        <w:t>Annals of Argišti I</w:t>
      </w:r>
      <w:r w:rsidRPr="00CC135C">
        <w:rPr>
          <w:rFonts w:ascii="Times New Roman" w:hAnsi="Times New Roman"/>
          <w:color w:val="202124"/>
          <w:lang w:val="en-GB"/>
        </w:rPr>
        <w:fldChar w:fldCharType="begin"/>
      </w:r>
      <w:r w:rsidRPr="00CC135C">
        <w:rPr>
          <w:rFonts w:ascii="Courier New" w:hAnsi="Courier New"/>
          <w:lang w:val="en-GB"/>
        </w:rPr>
        <w:instrText xml:space="preserve"> XE "</w:instrText>
      </w:r>
      <w:r w:rsidRPr="00CC135C">
        <w:rPr>
          <w:rFonts w:ascii="Times New Roman" w:hAnsi="Times New Roman"/>
          <w:color w:val="202124"/>
          <w:lang w:val="en-GB"/>
        </w:rPr>
        <w:instrText>Argišti I</w:instrText>
      </w:r>
      <w:r w:rsidRPr="00CC135C">
        <w:rPr>
          <w:rFonts w:ascii="Courier New" w:hAnsi="Courier New"/>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lang w:val="en-GB"/>
        </w:rPr>
        <w:t>, top of col. IV (M. Salvini, 2003).</w:t>
      </w:r>
    </w:p>
    <w:bookmarkEnd w:id="67"/>
    <w:p w14:paraId="2DEE8009" w14:textId="77777777" w:rsidR="00B4516E" w:rsidRPr="00CC135C" w:rsidRDefault="00B4516E" w:rsidP="00B4516E">
      <w:pPr>
        <w:keepNext/>
        <w:spacing w:after="200"/>
        <w:rPr>
          <w:rFonts w:ascii="Times New Roman" w:hAnsi="Times New Roman"/>
          <w:color w:val="44546A"/>
          <w:lang w:val="en-GB"/>
        </w:rPr>
      </w:pPr>
      <w:r w:rsidRPr="00CC135C">
        <w:rPr>
          <w:rFonts w:ascii="Times New Roman" w:hAnsi="Times New Roman"/>
          <w:i/>
          <w:noProof/>
          <w:color w:val="44546A"/>
          <w:lang w:eastAsia="tr-TR"/>
        </w:rPr>
        <w:lastRenderedPageBreak/>
        <w:drawing>
          <wp:inline distT="0" distB="0" distL="0" distR="0" wp14:anchorId="0B692265" wp14:editId="5B5937E2">
            <wp:extent cx="5856688" cy="3871784"/>
            <wp:effectExtent l="0" t="0" r="0" b="0"/>
            <wp:docPr id="80568204" name="Resim 80568204" descr="tuğla, inşaat malzemesi, bin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8204" name="Resim 80568204" descr="tuğla, inşaat malzemesi, bina, dış mekan içeren bir resim&#10;&#10;Açıklama otomatik olarak oluşturuldu"/>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5879524" cy="3886881"/>
                    </a:xfrm>
                    <a:prstGeom prst="rect">
                      <a:avLst/>
                    </a:prstGeom>
                    <a:noFill/>
                    <a:ln>
                      <a:noFill/>
                    </a:ln>
                    <a:extLst>
                      <a:ext uri="{53640926-AAD7-44D8-BBD7-CCE9431645EC}">
                        <a14:shadowObscured xmlns:a14="http://schemas.microsoft.com/office/drawing/2010/main"/>
                      </a:ext>
                    </a:extLst>
                  </pic:spPr>
                </pic:pic>
              </a:graphicData>
            </a:graphic>
          </wp:inline>
        </w:drawing>
      </w:r>
    </w:p>
    <w:p w14:paraId="31B2B5A8"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GB"/>
        </w:rPr>
      </w:pPr>
      <w:r w:rsidRPr="00CC135C">
        <w:rPr>
          <w:rFonts w:ascii="Times New Roman" w:hAnsi="Times New Roman"/>
          <w:lang w:val="en-GB"/>
        </w:rPr>
        <w:t>Fig. 57</w:t>
      </w:r>
      <w:r w:rsidRPr="00CC135C">
        <w:rPr>
          <w:rFonts w:ascii="Times New Roman" w:hAnsi="Times New Roman"/>
          <w:b/>
          <w:lang w:val="en-GB"/>
        </w:rPr>
        <w:t xml:space="preserve"> </w:t>
      </w:r>
      <w:r w:rsidRPr="00CC135C">
        <w:rPr>
          <w:rFonts w:ascii="Times New Roman" w:hAnsi="Times New Roman"/>
          <w:color w:val="202124"/>
          <w:lang w:val="en-GB"/>
        </w:rPr>
        <w:t>Annals</w:t>
      </w:r>
      <w:r w:rsidRPr="00CC135C">
        <w:rPr>
          <w:rFonts w:ascii="Times New Roman" w:hAnsi="Times New Roman"/>
          <w:i/>
          <w:color w:val="202124"/>
          <w:lang w:val="en-GB"/>
        </w:rPr>
        <w:t xml:space="preserve"> </w:t>
      </w:r>
      <w:r w:rsidRPr="00CC135C">
        <w:rPr>
          <w:rFonts w:ascii="Times New Roman" w:hAnsi="Times New Roman"/>
          <w:color w:val="202124"/>
          <w:lang w:val="en-GB"/>
        </w:rPr>
        <w:t>of Argišti 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color w:val="202124"/>
          <w:lang w:val="en-GB"/>
        </w:rPr>
        <w:instrText>Argišti 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lang w:val="en-GB"/>
        </w:rPr>
        <w:t>, central part of col. IV (M. Salvini, 2007).</w:t>
      </w:r>
    </w:p>
    <w:p w14:paraId="2FEFC673" w14:textId="77777777" w:rsidR="00B4516E" w:rsidRPr="00CC135C" w:rsidRDefault="00B4516E" w:rsidP="00B4516E">
      <w:pPr>
        <w:spacing w:after="200"/>
        <w:rPr>
          <w:rFonts w:ascii="Times New Roman" w:hAnsi="Times New Roman"/>
          <w:i/>
          <w:iCs/>
          <w:lang w:val="en-GB"/>
        </w:rPr>
      </w:pPr>
    </w:p>
    <w:p w14:paraId="1C9CEA25" w14:textId="77777777" w:rsidR="00B4516E" w:rsidRPr="00CC135C" w:rsidRDefault="00B4516E" w:rsidP="00B4516E">
      <w:pPr>
        <w:ind w:right="-4253"/>
        <w:rPr>
          <w:rFonts w:ascii="Times New Roman" w:hAnsi="Times New Roman"/>
          <w:lang w:val="en-GB"/>
        </w:rPr>
      </w:pPr>
    </w:p>
    <w:p w14:paraId="4ACF420A" w14:textId="77777777" w:rsidR="00B4516E" w:rsidRPr="00CC135C" w:rsidRDefault="00B4516E" w:rsidP="00B4516E">
      <w:pPr>
        <w:keepNext/>
        <w:ind w:right="-4253"/>
        <w:rPr>
          <w:rFonts w:ascii="Times New Roman" w:hAnsi="Times New Roman"/>
          <w:lang w:val="en-GB"/>
        </w:rPr>
      </w:pPr>
      <w:r w:rsidRPr="00CC135C">
        <w:rPr>
          <w:rFonts w:ascii="Times New Roman" w:hAnsi="Times New Roman"/>
          <w:noProof/>
          <w:lang w:eastAsia="tr-TR"/>
        </w:rPr>
        <w:lastRenderedPageBreak/>
        <w:drawing>
          <wp:inline distT="0" distB="0" distL="0" distR="0" wp14:anchorId="08C1C5FA" wp14:editId="0CD4B861">
            <wp:extent cx="5189855" cy="6927850"/>
            <wp:effectExtent l="0" t="0" r="0" b="6350"/>
            <wp:docPr id="396959978" name="Resim 396959978" descr="yer, kireç taşı, dış mekan, Bej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59978" name="Resim 396959978" descr="yer, kireç taşı, dış mekan, Bej içeren bir resim&#10;&#10;Açıklama otomatik olarak oluşturuldu"/>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189855" cy="6927850"/>
                    </a:xfrm>
                    <a:prstGeom prst="rect">
                      <a:avLst/>
                    </a:prstGeom>
                    <a:noFill/>
                    <a:ln>
                      <a:noFill/>
                    </a:ln>
                  </pic:spPr>
                </pic:pic>
              </a:graphicData>
            </a:graphic>
          </wp:inline>
        </w:drawing>
      </w:r>
    </w:p>
    <w:p w14:paraId="0C25671B" w14:textId="77777777" w:rsidR="00B4516E" w:rsidRPr="00CC135C" w:rsidRDefault="00B4516E" w:rsidP="00B4516E">
      <w:pPr>
        <w:spacing w:after="200"/>
        <w:rPr>
          <w:rFonts w:ascii="Times New Roman" w:hAnsi="Times New Roman"/>
          <w:i/>
          <w:iCs/>
          <w:lang w:val="en-GB"/>
        </w:rPr>
      </w:pPr>
      <w:r w:rsidRPr="00CC135C">
        <w:rPr>
          <w:rFonts w:ascii="Times New Roman" w:hAnsi="Times New Roman"/>
          <w:lang w:val="en-GB"/>
        </w:rPr>
        <w:t xml:space="preserve">Fig. 58 </w:t>
      </w:r>
      <w:r w:rsidRPr="00CC135C">
        <w:rPr>
          <w:rFonts w:ascii="Times New Roman" w:hAnsi="Times New Roman"/>
          <w:color w:val="202124"/>
          <w:lang w:val="en-GB"/>
        </w:rPr>
        <w:t>Annals of Argišti I</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sz w:val="18"/>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w:t>
      </w:r>
      <w:r w:rsidRPr="00CC135C">
        <w:rPr>
          <w:rFonts w:ascii="Times New Roman" w:hAnsi="Times New Roman"/>
          <w:lang w:val="en-GB"/>
        </w:rPr>
        <w:t xml:space="preserve"> lower part of col. IV (M. Salvini, 2007).</w:t>
      </w:r>
    </w:p>
    <w:p w14:paraId="11F138C0" w14:textId="77777777" w:rsidR="00B4516E" w:rsidRPr="00CC135C" w:rsidRDefault="00B4516E" w:rsidP="00B4516E">
      <w:pPr>
        <w:ind w:right="-4253"/>
        <w:rPr>
          <w:rFonts w:ascii="Times New Roman" w:hAnsi="Times New Roman"/>
          <w:lang w:val="en-GB"/>
        </w:rPr>
      </w:pPr>
    </w:p>
    <w:p w14:paraId="6E1ACB3B" w14:textId="77777777" w:rsidR="00B4516E" w:rsidRPr="00CC135C" w:rsidRDefault="00B4516E" w:rsidP="00B4516E">
      <w:pPr>
        <w:keepNext/>
        <w:ind w:right="-4253"/>
        <w:rPr>
          <w:rFonts w:ascii="Times New Roman" w:hAnsi="Times New Roman"/>
          <w:lang w:val="en-GB"/>
        </w:rPr>
      </w:pPr>
      <w:r w:rsidRPr="00CC135C">
        <w:rPr>
          <w:rFonts w:ascii="Times New Roman" w:hAnsi="Times New Roman"/>
          <w:noProof/>
          <w:lang w:eastAsia="tr-TR"/>
        </w:rPr>
        <w:lastRenderedPageBreak/>
        <w:drawing>
          <wp:inline distT="0" distB="0" distL="0" distR="0" wp14:anchorId="57B20953" wp14:editId="641C95CF">
            <wp:extent cx="6120130" cy="4584700"/>
            <wp:effectExtent l="0" t="0" r="0" b="6350"/>
            <wp:docPr id="204156628" name="Resim 204156628" descr="inşaat malzemesi, kireç taşı, jeoloji,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6628" name="Resim 204156628" descr="inşaat malzemesi, kireç taşı, jeoloji, bina içeren bir resim&#10;&#10;Açıklama otomatik olarak oluşturuldu"/>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6120130" cy="4584700"/>
                    </a:xfrm>
                    <a:prstGeom prst="rect">
                      <a:avLst/>
                    </a:prstGeom>
                    <a:noFill/>
                    <a:ln>
                      <a:noFill/>
                    </a:ln>
                  </pic:spPr>
                </pic:pic>
              </a:graphicData>
            </a:graphic>
          </wp:inline>
        </w:drawing>
      </w:r>
    </w:p>
    <w:p w14:paraId="14F37A17" w14:textId="77777777" w:rsidR="00B4516E" w:rsidRPr="00CC135C" w:rsidRDefault="00B4516E" w:rsidP="00B4516E">
      <w:pPr>
        <w:spacing w:after="200"/>
        <w:rPr>
          <w:rFonts w:ascii="Times New Roman" w:hAnsi="Times New Roman"/>
          <w:i/>
          <w:iCs/>
          <w:lang w:val="en-GB"/>
        </w:rPr>
      </w:pPr>
      <w:r w:rsidRPr="00CC135C">
        <w:rPr>
          <w:rFonts w:ascii="Times New Roman" w:hAnsi="Times New Roman"/>
          <w:lang w:val="en-GB"/>
        </w:rPr>
        <w:t xml:space="preserve">Fig. 59 </w:t>
      </w:r>
      <w:r w:rsidRPr="00CC135C">
        <w:rPr>
          <w:rFonts w:ascii="Times New Roman" w:hAnsi="Times New Roman"/>
          <w:color w:val="202124"/>
          <w:lang w:val="en-GB"/>
        </w:rPr>
        <w:t>Annals of Argišti I</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sz w:val="18"/>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lang w:val="en-GB"/>
        </w:rPr>
        <w:t>, upper part of col. V (M. Salvini, 2007).</w:t>
      </w:r>
    </w:p>
    <w:p w14:paraId="5B9F8E29" w14:textId="77777777" w:rsidR="00B4516E" w:rsidRPr="00CC135C" w:rsidRDefault="00B4516E" w:rsidP="00B4516E">
      <w:pPr>
        <w:rPr>
          <w:rFonts w:ascii="Times New Roman" w:hAnsi="Times New Roman"/>
          <w:lang w:val="en-GB"/>
        </w:rPr>
      </w:pPr>
    </w:p>
    <w:p w14:paraId="131D9184" w14:textId="77777777" w:rsidR="00B4516E" w:rsidRPr="00CC135C" w:rsidRDefault="00B4516E" w:rsidP="00B4516E">
      <w:pPr>
        <w:keepNext/>
        <w:rPr>
          <w:rFonts w:ascii="Times New Roman" w:hAnsi="Times New Roman"/>
          <w:lang w:val="en-GB"/>
        </w:rPr>
      </w:pPr>
      <w:r w:rsidRPr="00CC135C">
        <w:rPr>
          <w:rFonts w:ascii="Times New Roman" w:hAnsi="Times New Roman"/>
          <w:noProof/>
          <w:lang w:eastAsia="tr-TR"/>
        </w:rPr>
        <w:lastRenderedPageBreak/>
        <w:drawing>
          <wp:inline distT="0" distB="0" distL="0" distR="0" wp14:anchorId="37AC0C2D" wp14:editId="5E5BFC5A">
            <wp:extent cx="6071286" cy="4553465"/>
            <wp:effectExtent l="0" t="0" r="5715" b="0"/>
            <wp:docPr id="312507970" name="Resim 312507970" descr="Eskiçağ tarihi, tuğla,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07970" name="Resim 312507970" descr="Eskiçağ tarihi, tuğla, bina içeren bir resim&#10;&#10;Açıklama otomatik olarak oluşturuldu"/>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6086421" cy="4564816"/>
                    </a:xfrm>
                    <a:prstGeom prst="rect">
                      <a:avLst/>
                    </a:prstGeom>
                    <a:noFill/>
                    <a:ln>
                      <a:noFill/>
                    </a:ln>
                  </pic:spPr>
                </pic:pic>
              </a:graphicData>
            </a:graphic>
          </wp:inline>
        </w:drawing>
      </w:r>
    </w:p>
    <w:p w14:paraId="70642787" w14:textId="77777777" w:rsidR="00B4516E" w:rsidRPr="00CC135C" w:rsidRDefault="00B4516E" w:rsidP="00B4516E">
      <w:pPr>
        <w:spacing w:after="200"/>
        <w:rPr>
          <w:rFonts w:ascii="Times New Roman" w:hAnsi="Times New Roman"/>
          <w:i/>
          <w:iCs/>
          <w:lang w:val="en-GB"/>
        </w:rPr>
      </w:pPr>
      <w:r w:rsidRPr="00CC135C">
        <w:rPr>
          <w:rFonts w:ascii="Times New Roman" w:hAnsi="Times New Roman"/>
          <w:lang w:val="en-GB"/>
        </w:rPr>
        <w:t>Fig. 60</w:t>
      </w:r>
      <w:r w:rsidRPr="00CC135C">
        <w:rPr>
          <w:rFonts w:ascii="Times New Roman" w:hAnsi="Times New Roman"/>
          <w:b/>
          <w:lang w:val="en-GB"/>
        </w:rPr>
        <w:t xml:space="preserve"> </w:t>
      </w:r>
      <w:r w:rsidRPr="00CC135C">
        <w:rPr>
          <w:rFonts w:ascii="Times New Roman" w:hAnsi="Times New Roman"/>
          <w:color w:val="202124"/>
          <w:lang w:val="en-GB"/>
        </w:rPr>
        <w:t>Annals of Argišti I</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sz w:val="18"/>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w:t>
      </w:r>
      <w:r w:rsidRPr="00CC135C">
        <w:rPr>
          <w:rFonts w:ascii="Times New Roman" w:hAnsi="Times New Roman"/>
          <w:lang w:val="en-GB"/>
        </w:rPr>
        <w:t xml:space="preserve"> central part (1) of col. V (M. Salvini, 2007).</w:t>
      </w:r>
    </w:p>
    <w:p w14:paraId="4D4D572F" w14:textId="77777777" w:rsidR="00B4516E" w:rsidRPr="00CC135C" w:rsidRDefault="00B4516E" w:rsidP="00B4516E">
      <w:pPr>
        <w:keepNext/>
        <w:ind w:right="-4253"/>
        <w:rPr>
          <w:rFonts w:ascii="Times New Roman" w:hAnsi="Times New Roman"/>
          <w:lang w:val="en-GB"/>
        </w:rPr>
      </w:pPr>
      <w:r w:rsidRPr="00CC135C">
        <w:rPr>
          <w:rFonts w:ascii="Times New Roman" w:hAnsi="Times New Roman"/>
          <w:noProof/>
          <w:lang w:eastAsia="tr-TR"/>
        </w:rPr>
        <w:lastRenderedPageBreak/>
        <w:drawing>
          <wp:inline distT="0" distB="0" distL="0" distR="0" wp14:anchorId="09ECF904" wp14:editId="6319CCA4">
            <wp:extent cx="6120130" cy="4584700"/>
            <wp:effectExtent l="0" t="0" r="0" b="6350"/>
            <wp:docPr id="1423127560" name="Resim 1423127560" descr="tarih, Eskiçağ tarihi, kireç taşı,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27560" name="Resim 1423127560" descr="tarih, Eskiçağ tarihi, kireç taşı, bina içeren bir resim&#10;&#10;Açıklama otomatik olarak oluşturuldu"/>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6120130" cy="4584700"/>
                    </a:xfrm>
                    <a:prstGeom prst="rect">
                      <a:avLst/>
                    </a:prstGeom>
                    <a:noFill/>
                    <a:ln>
                      <a:noFill/>
                    </a:ln>
                  </pic:spPr>
                </pic:pic>
              </a:graphicData>
            </a:graphic>
          </wp:inline>
        </w:drawing>
      </w:r>
    </w:p>
    <w:p w14:paraId="2B168A8E" w14:textId="77777777" w:rsidR="00B4516E" w:rsidRPr="00CC135C" w:rsidRDefault="00B4516E" w:rsidP="00B4516E">
      <w:pPr>
        <w:spacing w:after="200"/>
        <w:rPr>
          <w:rFonts w:ascii="Times New Roman" w:hAnsi="Times New Roman"/>
          <w:i/>
          <w:iCs/>
          <w:lang w:val="en-GB"/>
        </w:rPr>
      </w:pPr>
      <w:r w:rsidRPr="00CC135C">
        <w:rPr>
          <w:rFonts w:ascii="Times New Roman" w:hAnsi="Times New Roman"/>
          <w:lang w:val="en-GB"/>
        </w:rPr>
        <w:t xml:space="preserve">Fig. 61 </w:t>
      </w:r>
      <w:r w:rsidRPr="00CC135C">
        <w:rPr>
          <w:rFonts w:ascii="Times New Roman" w:hAnsi="Times New Roman"/>
          <w:color w:val="202124"/>
          <w:lang w:val="en-GB"/>
        </w:rPr>
        <w:t>Annals of Argišti I</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sz w:val="18"/>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w:t>
      </w:r>
      <w:r w:rsidRPr="00CC135C">
        <w:rPr>
          <w:rFonts w:ascii="Times New Roman" w:hAnsi="Times New Roman"/>
          <w:lang w:val="en-GB"/>
        </w:rPr>
        <w:t xml:space="preserve"> central part (2) of col. V (M. Salvini, 2007).</w:t>
      </w:r>
    </w:p>
    <w:p w14:paraId="1ACE3351" w14:textId="77777777" w:rsidR="00B4516E" w:rsidRPr="00CC135C" w:rsidRDefault="00B4516E" w:rsidP="00B4516E">
      <w:pPr>
        <w:keepNext/>
        <w:rPr>
          <w:rFonts w:ascii="Times New Roman" w:hAnsi="Times New Roman"/>
          <w:lang w:val="en-GB"/>
        </w:rPr>
      </w:pPr>
      <w:r w:rsidRPr="00CC135C">
        <w:rPr>
          <w:rFonts w:ascii="Times New Roman" w:hAnsi="Times New Roman"/>
          <w:noProof/>
          <w:lang w:eastAsia="tr-TR"/>
        </w:rPr>
        <w:lastRenderedPageBreak/>
        <w:drawing>
          <wp:inline distT="0" distB="0" distL="0" distR="0" wp14:anchorId="6FCCA6A3" wp14:editId="1921AD1C">
            <wp:extent cx="5766487" cy="4324865"/>
            <wp:effectExtent l="0" t="0" r="5715" b="0"/>
            <wp:docPr id="586768250" name="Resim 586768250" descr="inşaat malzemesi, jeoloji, kireç taşı,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68250" name="Resim 586768250" descr="inşaat malzemesi, jeoloji, kireç taşı, bina içeren bir resim&#10;&#10;Açıklama otomatik olarak oluşturuldu"/>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773028" cy="4329771"/>
                    </a:xfrm>
                    <a:prstGeom prst="rect">
                      <a:avLst/>
                    </a:prstGeom>
                    <a:noFill/>
                    <a:ln>
                      <a:noFill/>
                    </a:ln>
                  </pic:spPr>
                </pic:pic>
              </a:graphicData>
            </a:graphic>
          </wp:inline>
        </w:drawing>
      </w:r>
    </w:p>
    <w:p w14:paraId="73937A12" w14:textId="77777777" w:rsidR="00B4516E" w:rsidRPr="00CC135C" w:rsidRDefault="00B4516E" w:rsidP="00B4516E">
      <w:pPr>
        <w:rPr>
          <w:rFonts w:ascii="Times New Roman" w:hAnsi="Times New Roman"/>
          <w:i/>
          <w:iCs/>
          <w:lang w:val="en-GB"/>
        </w:rPr>
      </w:pPr>
      <w:r w:rsidRPr="00CC135C">
        <w:rPr>
          <w:rFonts w:ascii="Times New Roman" w:hAnsi="Times New Roman"/>
          <w:lang w:val="en-GB"/>
        </w:rPr>
        <w:t xml:space="preserve">Fig. 62 </w:t>
      </w:r>
      <w:r w:rsidRPr="00CC135C">
        <w:rPr>
          <w:rFonts w:ascii="Times New Roman" w:hAnsi="Times New Roman"/>
          <w:color w:val="202124"/>
          <w:lang w:val="en-GB"/>
        </w:rPr>
        <w:t>Annals of Argišti I</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sz w:val="18"/>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lang w:val="en-GB"/>
        </w:rPr>
        <w:t>, central part (2) of col. V (M. Salvini, 2004).</w:t>
      </w:r>
    </w:p>
    <w:p w14:paraId="7BBF07F6" w14:textId="77777777" w:rsidR="00B4516E" w:rsidRPr="00CC135C" w:rsidRDefault="00B4516E" w:rsidP="00B4516E">
      <w:pPr>
        <w:keepNext/>
        <w:spacing w:after="200"/>
        <w:rPr>
          <w:rFonts w:ascii="Times New Roman" w:hAnsi="Times New Roman"/>
          <w:color w:val="44546A"/>
          <w:lang w:val="en-GB"/>
        </w:rPr>
      </w:pPr>
      <w:r w:rsidRPr="00CC135C">
        <w:rPr>
          <w:rFonts w:ascii="Times New Roman" w:hAnsi="Times New Roman"/>
          <w:i/>
          <w:noProof/>
          <w:color w:val="44546A"/>
          <w:lang w:eastAsia="tr-TR"/>
        </w:rPr>
        <w:lastRenderedPageBreak/>
        <w:drawing>
          <wp:inline distT="0" distB="0" distL="0" distR="0" wp14:anchorId="3BFAC23F" wp14:editId="1DFAB1C5">
            <wp:extent cx="5755503" cy="4316627"/>
            <wp:effectExtent l="0" t="0" r="0" b="8255"/>
            <wp:docPr id="659690062" name="Resim 659690062" descr="kireç taşı, jeoloji, dip kaya,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90062" name="Resim 659690062" descr="kireç taşı, jeoloji, dip kaya, formasyon içeren bir resim&#10;&#10;Açıklama otomatik olarak oluşturuldu"/>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5764464" cy="4323348"/>
                    </a:xfrm>
                    <a:prstGeom prst="rect">
                      <a:avLst/>
                    </a:prstGeom>
                    <a:noFill/>
                    <a:ln>
                      <a:noFill/>
                    </a:ln>
                  </pic:spPr>
                </pic:pic>
              </a:graphicData>
            </a:graphic>
          </wp:inline>
        </w:drawing>
      </w:r>
    </w:p>
    <w:p w14:paraId="6AA15922" w14:textId="77777777" w:rsidR="00B4516E" w:rsidRPr="00CC135C" w:rsidRDefault="00B4516E" w:rsidP="00B4516E">
      <w:pPr>
        <w:spacing w:after="200"/>
        <w:rPr>
          <w:rFonts w:ascii="Times New Roman" w:hAnsi="Times New Roman"/>
          <w:i/>
          <w:iCs/>
          <w:lang w:val="en-GB"/>
        </w:rPr>
      </w:pPr>
      <w:r w:rsidRPr="00CC135C">
        <w:rPr>
          <w:rFonts w:ascii="Times New Roman" w:hAnsi="Times New Roman"/>
          <w:lang w:val="en-GB"/>
        </w:rPr>
        <w:t xml:space="preserve">Fig. 63 </w:t>
      </w:r>
      <w:r w:rsidRPr="00CC135C">
        <w:rPr>
          <w:rFonts w:ascii="Times New Roman" w:hAnsi="Times New Roman"/>
          <w:color w:val="202124"/>
          <w:lang w:val="en-GB"/>
        </w:rPr>
        <w:t>Annals of Argišti I</w:t>
      </w:r>
      <w:r w:rsidRPr="00CC135C">
        <w:rPr>
          <w:rFonts w:ascii="Times New Roman" w:hAnsi="Times New Roman"/>
          <w:color w:val="202124"/>
          <w:lang w:val="en-GB"/>
        </w:rPr>
        <w:fldChar w:fldCharType="begin"/>
      </w:r>
      <w:r w:rsidRPr="00CC135C">
        <w:rPr>
          <w:rFonts w:ascii="Times New Roman" w:hAnsi="Times New Roman"/>
          <w:color w:val="44546A"/>
          <w:sz w:val="18"/>
          <w:lang w:val="en-GB"/>
        </w:rPr>
        <w:instrText xml:space="preserve"> XE "</w:instrText>
      </w:r>
      <w:r w:rsidRPr="00CC135C">
        <w:rPr>
          <w:rFonts w:ascii="Times New Roman" w:hAnsi="Times New Roman"/>
          <w:color w:val="202124"/>
          <w:lang w:val="en-GB"/>
        </w:rPr>
        <w:instrText>Argišti I</w:instrText>
      </w:r>
      <w:r w:rsidRPr="00CC135C">
        <w:rPr>
          <w:rFonts w:ascii="Times New Roman" w:hAnsi="Times New Roman"/>
          <w:color w:val="44546A"/>
          <w:sz w:val="18"/>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lang w:val="en-GB"/>
        </w:rPr>
        <w:t>, col. VI (M. Salvini, 2004).</w:t>
      </w:r>
    </w:p>
    <w:p w14:paraId="4AE5556D" w14:textId="77777777" w:rsidR="00B4516E" w:rsidRPr="00CC135C" w:rsidRDefault="00B4516E" w:rsidP="00B4516E">
      <w:pPr>
        <w:spacing w:after="200"/>
        <w:rPr>
          <w:rFonts w:ascii="Times New Roman" w:hAnsi="Times New Roman"/>
          <w:i/>
          <w:iCs/>
          <w:lang w:val="en-GB"/>
        </w:rPr>
      </w:pPr>
    </w:p>
    <w:p w14:paraId="5B0B1BE6"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noProof/>
          <w:lang w:eastAsia="tr-TR"/>
        </w:rPr>
        <w:lastRenderedPageBreak/>
        <w:drawing>
          <wp:inline distT="0" distB="0" distL="0" distR="0" wp14:anchorId="3582A5F6" wp14:editId="7025AE93">
            <wp:extent cx="4876800" cy="3657600"/>
            <wp:effectExtent l="0" t="0" r="0" b="0"/>
            <wp:docPr id="204312672" name="Resim 204312672" descr="kireç taşı, kaya, taş,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2672" name="Resim 204312672" descr="kireç taşı, kaya, taş, yer içeren bir resim&#10;&#10;Açıklama otomatik olarak oluşturuldu"/>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4876800" cy="3657600"/>
                    </a:xfrm>
                    <a:prstGeom prst="rect">
                      <a:avLst/>
                    </a:prstGeom>
                    <a:noFill/>
                    <a:ln>
                      <a:noFill/>
                    </a:ln>
                  </pic:spPr>
                </pic:pic>
              </a:graphicData>
            </a:graphic>
          </wp:inline>
        </w:drawing>
      </w:r>
    </w:p>
    <w:p w14:paraId="543A3692"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i/>
          <w:color w:val="000000"/>
          <w:lang w:val="en-GB"/>
        </w:rPr>
      </w:pPr>
      <w:r w:rsidRPr="00CC135C">
        <w:rPr>
          <w:rFonts w:ascii="Times New Roman" w:hAnsi="Times New Roman"/>
          <w:color w:val="000000"/>
          <w:lang w:val="en-GB"/>
        </w:rPr>
        <w:t>Fig. 64</w:t>
      </w:r>
      <w:r w:rsidRPr="00CC135C">
        <w:rPr>
          <w:rFonts w:ascii="Times New Roman" w:hAnsi="Times New Roman"/>
          <w:i/>
          <w:color w:val="000000"/>
          <w:lang w:val="en-GB"/>
        </w:rPr>
        <w:t xml:space="preserve"> </w:t>
      </w:r>
      <w:r w:rsidRPr="00CC135C">
        <w:rPr>
          <w:rFonts w:ascii="Times New Roman" w:hAnsi="Times New Roman"/>
          <w:color w:val="000000"/>
          <w:lang w:val="en-GB"/>
        </w:rPr>
        <w:t>Annals</w:t>
      </w:r>
      <w:r w:rsidRPr="00CC135C">
        <w:rPr>
          <w:rFonts w:ascii="Times New Roman" w:hAnsi="Times New Roman"/>
          <w:i/>
          <w:color w:val="000000"/>
          <w:lang w:val="en-GB"/>
        </w:rPr>
        <w:t xml:space="preserve"> </w:t>
      </w:r>
      <w:r w:rsidRPr="00CC135C">
        <w:rPr>
          <w:rFonts w:ascii="Times New Roman" w:hAnsi="Times New Roman"/>
          <w:color w:val="000000"/>
          <w:lang w:val="en-GB"/>
        </w:rPr>
        <w:t>of</w:t>
      </w:r>
      <w:r w:rsidRPr="00CC135C">
        <w:rPr>
          <w:rFonts w:ascii="Times New Roman" w:hAnsi="Times New Roman"/>
          <w:i/>
          <w:color w:val="000000"/>
          <w:lang w:val="en-GB"/>
        </w:rPr>
        <w:t xml:space="preserve"> </w:t>
      </w:r>
      <w:r w:rsidRPr="00CC135C">
        <w:rPr>
          <w:rFonts w:ascii="Times New Roman" w:hAnsi="Times New Roman"/>
          <w:color w:val="202124"/>
          <w:lang w:val="en-GB"/>
        </w:rPr>
        <w:t>Argišti 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color w:val="202124"/>
          <w:lang w:val="en-GB"/>
        </w:rPr>
        <w:instrText>Argišti 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000000"/>
          <w:lang w:val="en-GB"/>
        </w:rPr>
        <w:t>, residual final part of col. VII (M. Salvini, 2004).</w:t>
      </w:r>
    </w:p>
    <w:p w14:paraId="584C6E15" w14:textId="77777777" w:rsidR="00B4516E" w:rsidRPr="00CC135C" w:rsidRDefault="00B4516E" w:rsidP="00B4516E">
      <w:pPr>
        <w:keepNext/>
        <w:spacing w:after="200"/>
        <w:rPr>
          <w:rFonts w:ascii="Times New Roman" w:hAnsi="Times New Roman"/>
          <w:color w:val="44546A"/>
          <w:lang w:val="en-GB"/>
        </w:rPr>
      </w:pPr>
      <w:r w:rsidRPr="00CC135C">
        <w:rPr>
          <w:rFonts w:ascii="Times New Roman" w:hAnsi="Times New Roman"/>
          <w:i/>
          <w:noProof/>
          <w:color w:val="44546A"/>
          <w:lang w:eastAsia="tr-TR"/>
        </w:rPr>
        <w:lastRenderedPageBreak/>
        <w:drawing>
          <wp:anchor distT="0" distB="0" distL="114300" distR="114300" simplePos="0" relativeHeight="251999232" behindDoc="0" locked="0" layoutInCell="1" allowOverlap="1" wp14:anchorId="70A71FEE" wp14:editId="5680E844">
            <wp:simplePos x="914400" y="914400"/>
            <wp:positionH relativeFrom="column">
              <wp:align>left</wp:align>
            </wp:positionH>
            <wp:positionV relativeFrom="paragraph">
              <wp:align>top</wp:align>
            </wp:positionV>
            <wp:extent cx="3657600" cy="4876800"/>
            <wp:effectExtent l="0" t="0" r="0" b="0"/>
            <wp:wrapSquare wrapText="bothSides"/>
            <wp:docPr id="83" name="Immagine 83" descr="Eskiçağ tarihi, gökyüzü, tarih,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magine 83" descr="Eskiçağ tarihi, gökyüzü, tarih, harabeler içeren bir resim&#10;&#10;Açıklama otomatik olarak oluşturuldu"/>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3657600" cy="4876800"/>
                    </a:xfrm>
                    <a:prstGeom prst="rect">
                      <a:avLst/>
                    </a:prstGeom>
                    <a:noFill/>
                    <a:ln>
                      <a:noFill/>
                    </a:ln>
                  </pic:spPr>
                </pic:pic>
              </a:graphicData>
            </a:graphic>
          </wp:anchor>
        </w:drawing>
      </w:r>
      <w:r w:rsidRPr="00CC135C">
        <w:rPr>
          <w:rFonts w:ascii="Times New Roman" w:hAnsi="Times New Roman"/>
          <w:i/>
          <w:color w:val="44546A"/>
          <w:lang w:val="en-GB"/>
        </w:rPr>
        <w:br/>
      </w:r>
    </w:p>
    <w:p w14:paraId="0727FCD1" w14:textId="77777777" w:rsidR="00B4516E" w:rsidRPr="00CC135C" w:rsidRDefault="00B4516E" w:rsidP="00B4516E">
      <w:pPr>
        <w:spacing w:after="200"/>
        <w:rPr>
          <w:rFonts w:ascii="Times New Roman" w:hAnsi="Times New Roman"/>
        </w:rPr>
      </w:pPr>
      <w:r w:rsidRPr="00CC135C">
        <w:rPr>
          <w:rFonts w:ascii="Times New Roman" w:hAnsi="Times New Roman"/>
          <w:lang w:val="en-GB"/>
        </w:rPr>
        <w:t xml:space="preserve">Fig. 65 </w:t>
      </w:r>
      <w:r w:rsidRPr="00CC135C">
        <w:rPr>
          <w:rFonts w:ascii="Times New Roman" w:hAnsi="Times New Roman"/>
          <w:color w:val="000000"/>
          <w:lang w:val="en-GB"/>
        </w:rPr>
        <w:t xml:space="preserve">Annals of </w:t>
      </w:r>
      <w:r w:rsidRPr="00CC135C">
        <w:rPr>
          <w:rFonts w:ascii="Times New Roman" w:hAnsi="Times New Roman"/>
          <w:color w:val="202124"/>
          <w:lang w:val="en-GB"/>
        </w:rPr>
        <w:t>Argišti</w:t>
      </w:r>
      <w:r w:rsidRPr="00CC135C">
        <w:rPr>
          <w:rFonts w:ascii="Times New Roman" w:hAnsi="Times New Roman"/>
          <w:i/>
          <w:color w:val="202124"/>
          <w:lang w:val="en-GB"/>
        </w:rPr>
        <w:t xml:space="preserve"> </w:t>
      </w:r>
      <w:r w:rsidRPr="00CC135C">
        <w:rPr>
          <w:rFonts w:ascii="Times New Roman" w:hAnsi="Times New Roman"/>
          <w:color w:val="202124"/>
          <w:lang w:val="en-GB"/>
        </w:rPr>
        <w:t>I</w:t>
      </w:r>
      <w:r w:rsidRPr="00CC135C">
        <w:rPr>
          <w:rFonts w:ascii="Times New Roman" w:hAnsi="Times New Roman"/>
          <w:color w:val="202124"/>
          <w:lang w:val="en-GB"/>
        </w:rPr>
        <w:fldChar w:fldCharType="begin"/>
      </w:r>
      <w:r w:rsidRPr="00CC135C">
        <w:rPr>
          <w:rFonts w:ascii="Times New Roman" w:hAnsi="Times New Roman"/>
          <w:i/>
          <w:color w:val="44546A"/>
          <w:sz w:val="18"/>
          <w:lang w:val="en-GB"/>
        </w:rPr>
        <w:instrText xml:space="preserve"> XE "</w:instrText>
      </w:r>
      <w:r w:rsidRPr="00CC135C">
        <w:rPr>
          <w:rFonts w:ascii="Times New Roman" w:hAnsi="Times New Roman"/>
          <w:i/>
          <w:color w:val="202124"/>
          <w:lang w:val="en-GB"/>
        </w:rPr>
        <w:instrText xml:space="preserve">Argišti </w:instrText>
      </w:r>
      <w:r w:rsidRPr="00CC135C">
        <w:rPr>
          <w:rFonts w:ascii="Times New Roman" w:hAnsi="Times New Roman"/>
          <w:color w:val="202124"/>
          <w:lang w:val="en-GB"/>
        </w:rPr>
        <w:instrText>I</w:instrText>
      </w:r>
      <w:r w:rsidRPr="00CC135C">
        <w:rPr>
          <w:rFonts w:ascii="Times New Roman" w:hAnsi="Times New Roman"/>
          <w:i/>
          <w:color w:val="44546A"/>
          <w:sz w:val="18"/>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lang w:val="en-GB"/>
        </w:rPr>
        <w:t>, col. VI (M. Salvini, 2003).</w:t>
      </w:r>
    </w:p>
    <w:p w14:paraId="241A8198"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27EA696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66D97AD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40496FD4"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5C53F1E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1B75101B"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74F78AB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57915D14"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7EACB6E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42F2D38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78A9C0A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p w14:paraId="23519680"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0C076453"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12A083FF"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32F477D3"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15ADB32C"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6914B2A6"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2DCF4EC5"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7945D057"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40B3EA43"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109754FF"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784EF2A0"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3F9DEF9B" w14:textId="77777777" w:rsidR="00CD3D5E"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67A5973E"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rPr>
        <w:t xml:space="preserve">The text is divided into eight columns, indicated with Roman numerals, from I to VIII. The col. </w:t>
      </w:r>
      <w:r w:rsidRPr="00315E88">
        <w:rPr>
          <w:rFonts w:ascii="Times New Roman" w:eastAsia="Arial" w:hAnsi="Times New Roman" w:cs="Times New Roman"/>
          <w:color w:val="202124"/>
          <w:lang w:val="en-GB" w:eastAsia="it-IT"/>
        </w:rPr>
        <w:t>It</w:t>
      </w:r>
      <w:r w:rsidRPr="00315E88">
        <w:rPr>
          <w:rFonts w:ascii="Times New Roman" w:hAnsi="Times New Roman"/>
        </w:rPr>
        <w:t xml:space="preserve"> does not represent the beginning of the text of the annals. This must have started on other supports than the rock since no trace has been preserved </w:t>
      </w:r>
      <w:r w:rsidRPr="00315E88">
        <w:rPr>
          <w:rFonts w:ascii="Times New Roman" w:eastAsia="Arial" w:hAnsi="Times New Roman" w:cs="Times New Roman"/>
          <w:color w:val="202124"/>
          <w:lang w:val="en-GB" w:eastAsia="it-IT"/>
        </w:rPr>
        <w:t>there</w:t>
      </w:r>
      <w:r w:rsidRPr="00315E88">
        <w:rPr>
          <w:rFonts w:ascii="Times New Roman" w:hAnsi="Times New Roman"/>
        </w:rPr>
        <w:t xml:space="preserve">. </w:t>
      </w:r>
    </w:p>
    <w:p w14:paraId="56A80B33" w14:textId="36E2773C"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 xml:space="preserve">The first exploits of </w:t>
      </w:r>
      <w:r w:rsidRPr="00315E88">
        <w:rPr>
          <w:rFonts w:ascii="Times New Roman" w:eastAsia="Arial" w:hAnsi="Times New Roman" w:cs="Times New Roman"/>
          <w:color w:val="202124"/>
          <w:lang w:val="en-GB" w:eastAsia="it-IT"/>
        </w:rPr>
        <w:t>Argišti's</w:t>
      </w:r>
      <w:r w:rsidRPr="00315E88">
        <w:rPr>
          <w:rFonts w:ascii="Times New Roman" w:hAnsi="Times New Roman"/>
        </w:rPr>
        <w:t xml:space="preserve"> reign are recorded on stele A 8-1, </w:t>
      </w:r>
      <w:r w:rsidRPr="00315E88">
        <w:rPr>
          <w:rFonts w:ascii="Times New Roman" w:eastAsia="Arial" w:hAnsi="Times New Roman" w:cs="Times New Roman"/>
          <w:color w:val="202124"/>
          <w:lang w:val="en-GB" w:eastAsia="it-IT"/>
        </w:rPr>
        <w:t>constituting</w:t>
      </w:r>
      <w:r w:rsidRPr="00315E88">
        <w:rPr>
          <w:rFonts w:ascii="Times New Roman" w:hAnsi="Times New Roman"/>
        </w:rPr>
        <w:t xml:space="preserve"> a partial duplicate of the present annals (see CTU I. A 8-3 II, line. 25-41; CTU I. A 8-1 Rev). </w:t>
      </w:r>
      <w:r w:rsidRPr="00315E88">
        <w:rPr>
          <w:rFonts w:ascii="Times New Roman" w:eastAsia="Arial" w:hAnsi="Times New Roman" w:cs="Times New Roman"/>
          <w:color w:val="202124"/>
          <w:lang w:val="en-GB" w:eastAsia="it-IT"/>
        </w:rPr>
        <w:t>However,</w:t>
      </w:r>
      <w:r w:rsidRPr="00315E88">
        <w:rPr>
          <w:rFonts w:ascii="Times New Roman" w:hAnsi="Times New Roman"/>
        </w:rPr>
        <w:t xml:space="preserve"> here we are dealing with </w:t>
      </w:r>
      <w:r w:rsidRPr="00315E88">
        <w:rPr>
          <w:rFonts w:ascii="Times New Roman" w:eastAsia="Arial" w:hAnsi="Times New Roman" w:cs="Times New Roman"/>
          <w:color w:val="202124"/>
          <w:lang w:val="en-GB" w:eastAsia="it-IT"/>
        </w:rPr>
        <w:t>‘contamination’</w:t>
      </w:r>
      <w:r w:rsidRPr="00315E88">
        <w:rPr>
          <w:rFonts w:ascii="Times New Roman" w:hAnsi="Times New Roman"/>
        </w:rPr>
        <w:t xml:space="preserve"> between two documents written in different periods</w:t>
      </w:r>
      <w:r w:rsidRPr="00315E88">
        <w:rPr>
          <w:rFonts w:ascii="Times New Roman" w:eastAsia="Arial" w:hAnsi="Times New Roman" w:cs="Times New Roman"/>
          <w:color w:val="202124"/>
          <w:lang w:val="en-GB" w:eastAsia="it-IT"/>
        </w:rPr>
        <w:t>;</w:t>
      </w:r>
      <w:r w:rsidRPr="00315E88">
        <w:rPr>
          <w:rFonts w:ascii="Times New Roman" w:hAnsi="Times New Roman"/>
        </w:rPr>
        <w:t xml:space="preserve"> there is no direct connection. On the reconstruction and organization of the text of the annals</w:t>
      </w:r>
      <w:r w:rsidRPr="00315E88">
        <w:rPr>
          <w:rFonts w:ascii="Times New Roman" w:eastAsia="Arial" w:hAnsi="Times New Roman" w:cs="Times New Roman"/>
          <w:color w:val="202124"/>
          <w:lang w:val="en-GB" w:eastAsia="it-IT"/>
        </w:rPr>
        <w:t>,</w:t>
      </w:r>
      <w:r w:rsidRPr="00315E88">
        <w:rPr>
          <w:rFonts w:ascii="Times New Roman" w:hAnsi="Times New Roman"/>
        </w:rPr>
        <w:t xml:space="preserve"> see Salvini, 1995: 57 ff. The distribution of the text on different supports is moreover </w:t>
      </w:r>
      <w:r w:rsidRPr="00315E88">
        <w:rPr>
          <w:rFonts w:ascii="Times New Roman" w:eastAsia="Arial" w:hAnsi="Times New Roman" w:cs="Times New Roman"/>
          <w:color w:val="202124"/>
          <w:lang w:val="en-GB" w:eastAsia="it-IT"/>
        </w:rPr>
        <w:t>expected</w:t>
      </w:r>
      <w:r w:rsidRPr="00315E88">
        <w:rPr>
          <w:rFonts w:ascii="Times New Roman" w:hAnsi="Times New Roman"/>
        </w:rPr>
        <w:t xml:space="preserve"> to the Annals of Sarduri</w:t>
      </w:r>
      <w:r w:rsidRPr="00315E88">
        <w:rPr>
          <w:rFonts w:ascii="Times New Roman" w:eastAsia="Arial" w:hAnsi="Times New Roman" w:cs="Times New Roman"/>
          <w:color w:val="202124"/>
          <w:lang w:val="en-GB" w:eastAsia="it-IT"/>
        </w:rPr>
        <w:t xml:space="preserve"> </w:t>
      </w:r>
      <w:r w:rsidRPr="00315E88">
        <w:rPr>
          <w:rFonts w:ascii="Times New Roman" w:hAnsi="Times New Roman"/>
        </w:rPr>
        <w:t>II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"Sarduri II"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on the Analıkız</w:t>
      </w:r>
      <w:r w:rsidR="00CD0F5D">
        <w:rPr>
          <w:rFonts w:ascii="Times New Roman" w:eastAsia="Arial" w:hAnsi="Times New Roman" w:cs="Times New Roman"/>
          <w:color w:val="202124"/>
          <w:lang w:val="en-GB" w:eastAsia="it-IT"/>
        </w:rPr>
        <w:t>/</w:t>
      </w:r>
      <w:r w:rsidRPr="00315E88">
        <w:rPr>
          <w:rFonts w:ascii="Times New Roman" w:hAnsi="Times New Roman"/>
        </w:rPr>
        <w:t>Hazine Kapısı</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"Hazine Kapısı"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site (see below CTU I. A 9-1 – A 9-3).</w:t>
      </w:r>
    </w:p>
    <w:p w14:paraId="07C29007"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The col. VIII of Khorkhor</w:t>
      </w:r>
      <w:r w:rsidRPr="00315E88">
        <w:rPr>
          <w:rFonts w:ascii="Times New Roman" w:eastAsia="Arial" w:hAnsi="Times New Roman" w:cs="Times New Roman"/>
          <w:color w:val="202124"/>
          <w:lang w:val="en-GB" w:eastAsia="it-IT"/>
        </w:rPr>
        <w:t xml:space="preserve"> </w:t>
      </w:r>
      <w:r w:rsidRPr="00315E88">
        <w:rPr>
          <w:rFonts w:ascii="Times New Roman" w:hAnsi="Times New Roman"/>
        </w:rPr>
        <w:t>contains the final curse formula</w:t>
      </w:r>
      <w:r w:rsidRPr="00315E88">
        <w:rPr>
          <w:rFonts w:ascii="Times New Roman" w:eastAsia="Arial" w:hAnsi="Times New Roman" w:cs="Times New Roman"/>
          <w:color w:val="202124"/>
          <w:lang w:val="en-GB" w:eastAsia="it-IT"/>
        </w:rPr>
        <w:t>. However,</w:t>
      </w:r>
      <w:r w:rsidRPr="00315E88">
        <w:rPr>
          <w:rFonts w:ascii="Times New Roman" w:hAnsi="Times New Roman"/>
        </w:rPr>
        <w:t xml:space="preserve"> the Annals </w:t>
      </w:r>
      <w:r w:rsidRPr="00315E88">
        <w:rPr>
          <w:rFonts w:ascii="Times New Roman" w:eastAsia="Arial" w:hAnsi="Times New Roman" w:cs="Times New Roman"/>
          <w:color w:val="202124"/>
          <w:lang w:val="en-GB" w:eastAsia="it-IT"/>
        </w:rPr>
        <w:t>text remains</w:t>
      </w:r>
      <w:r w:rsidRPr="00315E88">
        <w:rPr>
          <w:rFonts w:ascii="Times New Roman" w:hAnsi="Times New Roman"/>
        </w:rPr>
        <w:t xml:space="preserve"> incomplete</w:t>
      </w:r>
      <w:r w:rsidRPr="00315E88">
        <w:rPr>
          <w:rFonts w:ascii="Times New Roman" w:eastAsia="Arial" w:hAnsi="Times New Roman" w:cs="Times New Roman"/>
          <w:color w:val="202124"/>
          <w:lang w:val="en-GB" w:eastAsia="it-IT"/>
        </w:rPr>
        <w:t xml:space="preserve"> after</w:t>
      </w:r>
      <w:r w:rsidRPr="00315E88">
        <w:rPr>
          <w:rFonts w:ascii="Times New Roman" w:hAnsi="Times New Roman"/>
        </w:rPr>
        <w:t xml:space="preserve"> the col. VII, the rock face has </w:t>
      </w:r>
      <w:r w:rsidRPr="00315E88">
        <w:rPr>
          <w:rFonts w:ascii="Times New Roman" w:eastAsia="Arial" w:hAnsi="Times New Roman" w:cs="Times New Roman"/>
          <w:color w:val="202124"/>
          <w:lang w:val="en-GB" w:eastAsia="it-IT"/>
        </w:rPr>
        <w:t>ample</w:t>
      </w:r>
      <w:r w:rsidRPr="00315E88">
        <w:rPr>
          <w:rFonts w:ascii="Times New Roman" w:hAnsi="Times New Roman"/>
        </w:rPr>
        <w:t xml:space="preserve"> space </w:t>
      </w:r>
      <w:r w:rsidRPr="00315E88">
        <w:rPr>
          <w:rFonts w:ascii="Times New Roman" w:eastAsia="Arial" w:hAnsi="Times New Roman" w:cs="Times New Roman"/>
          <w:color w:val="202124"/>
          <w:lang w:val="en-GB" w:eastAsia="it-IT"/>
        </w:rPr>
        <w:t>for</w:t>
      </w:r>
      <w:r w:rsidRPr="00315E88">
        <w:rPr>
          <w:rFonts w:ascii="Times New Roman" w:hAnsi="Times New Roman"/>
        </w:rPr>
        <w:t xml:space="preserve"> further royal exploits</w:t>
      </w:r>
      <w:r w:rsidRPr="00315E88">
        <w:rPr>
          <w:rFonts w:ascii="Times New Roman" w:eastAsia="Arial" w:hAnsi="Times New Roman" w:cs="Times New Roman"/>
          <w:color w:val="202124"/>
          <w:lang w:val="en-GB" w:eastAsia="it-IT"/>
        </w:rPr>
        <w:t xml:space="preserve"> on the heavily damaged entrance door's inner wall.</w:t>
      </w:r>
      <w:r w:rsidRPr="00315E88">
        <w:rPr>
          <w:rFonts w:ascii="Times New Roman" w:hAnsi="Times New Roman"/>
        </w:rPr>
        <w:t xml:space="preserve"> I</w:t>
      </w:r>
      <w:r w:rsidRPr="00315E88">
        <w:rPr>
          <w:rFonts w:ascii="Times New Roman" w:hAnsi="Times New Roman"/>
          <w:color w:val="202124"/>
          <w:lang w:val="en-GB"/>
        </w:rPr>
        <w:t xml:space="preserve">t is enough to see the free space on the wall in </w:t>
      </w:r>
      <w:r w:rsidRPr="00315E88">
        <w:rPr>
          <w:rFonts w:ascii="Times New Roman" w:eastAsia="Arial" w:hAnsi="Times New Roman" w:cs="Times New Roman"/>
          <w:color w:val="202124"/>
          <w:lang w:val="en-GB" w:eastAsia="it-IT"/>
        </w:rPr>
        <w:t>Fig</w:t>
      </w:r>
      <w:r w:rsidRPr="00315E88">
        <w:rPr>
          <w:rFonts w:ascii="Times New Roman" w:hAnsi="Times New Roman"/>
          <w:color w:val="202124"/>
          <w:lang w:val="en-GB"/>
        </w:rPr>
        <w:t>. 5 of Chap. 9 (by Konyar and Genç).</w:t>
      </w:r>
      <w:r w:rsidRPr="00315E88">
        <w:rPr>
          <w:rFonts w:ascii="Times New Roman" w:hAnsi="Times New Roman"/>
        </w:rPr>
        <w:t xml:space="preserve"> It is conceivable that the interruption is due to the death of </w:t>
      </w:r>
      <w:r w:rsidRPr="00315E88">
        <w:rPr>
          <w:rFonts w:ascii="Times New Roman" w:eastAsia="Arial" w:hAnsi="Times New Roman" w:cs="Times New Roman"/>
          <w:color w:val="202124"/>
          <w:lang w:val="en-GB" w:eastAsia="it-IT"/>
        </w:rPr>
        <w:t>King</w:t>
      </w:r>
      <w:r w:rsidRPr="00315E88">
        <w:rPr>
          <w:rFonts w:ascii="Times New Roman" w:hAnsi="Times New Roman"/>
        </w:rPr>
        <w:t xml:space="preserve"> Argišti I</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"Argišti I"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His son and successor</w:t>
      </w:r>
      <w:r w:rsidRPr="00315E88">
        <w:rPr>
          <w:rFonts w:ascii="Times New Roman" w:eastAsia="Arial" w:hAnsi="Times New Roman" w:cs="Times New Roman"/>
          <w:color w:val="202124"/>
          <w:lang w:val="en-GB" w:eastAsia="it-IT"/>
        </w:rPr>
        <w:t>,</w:t>
      </w:r>
      <w:r w:rsidRPr="00315E88">
        <w:rPr>
          <w:rFonts w:ascii="Times New Roman" w:hAnsi="Times New Roman"/>
        </w:rPr>
        <w:t xml:space="preserve"> Sarduri</w:t>
      </w:r>
      <w:r w:rsidRPr="00315E88">
        <w:rPr>
          <w:rFonts w:ascii="Times New Roman" w:eastAsia="Arial" w:hAnsi="Times New Roman" w:cs="Times New Roman"/>
          <w:color w:val="202124"/>
          <w:lang w:val="en-GB" w:eastAsia="it-IT"/>
        </w:rPr>
        <w:t>, </w:t>
      </w:r>
      <w:r w:rsidRPr="00315E88">
        <w:rPr>
          <w:rFonts w:ascii="Times New Roman" w:hAnsi="Times New Roman"/>
        </w:rPr>
        <w:t>hose another place on the Ṭušpa</w:t>
      </w:r>
      <w:r w:rsidRPr="00315E88">
        <w:rPr>
          <w:rStyle w:val="y2iqfc"/>
          <w:rFonts w:asciiTheme="majorBidi" w:eastAsia="Arial" w:hAnsiTheme="majorBidi" w:cstheme="majorBidi"/>
          <w:color w:val="202124"/>
          <w:lang w:val="en-GB"/>
        </w:rPr>
        <w:t>/Van</w:t>
      </w:r>
      <w:r w:rsidRPr="00315E88">
        <w:rPr>
          <w:rFonts w:ascii="Times New Roman" w:hAnsi="Times New Roman"/>
        </w:rPr>
        <w:t xml:space="preserve"> Rock</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"Ṭušpa/Van Rock"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to engrave his Annals.</w:t>
      </w:r>
    </w:p>
    <w:p w14:paraId="4E1C109E"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 xml:space="preserve">I summarize the content of the </w:t>
      </w:r>
      <w:r w:rsidRPr="00315E88">
        <w:rPr>
          <w:rFonts w:ascii="Times New Roman" w:eastAsia="Arial" w:hAnsi="Times New Roman" w:cs="Times New Roman"/>
          <w:color w:val="202124"/>
          <w:lang w:val="en-GB" w:eastAsia="it-IT"/>
        </w:rPr>
        <w:t>Annales</w:t>
      </w:r>
      <w:r w:rsidRPr="00315E88">
        <w:rPr>
          <w:rFonts w:ascii="Times New Roman" w:hAnsi="Times New Roman"/>
        </w:rPr>
        <w:t xml:space="preserve"> below, basing, whenever possible, on a relative chronological succession. </w:t>
      </w:r>
    </w:p>
    <w:p w14:paraId="25B66075"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G. A. Melikišvili</w:t>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 xml:space="preserve"> following an in-depth study</w:t>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 xml:space="preserve"> attempted to reconstruct the succession of the deeds of </w:t>
      </w:r>
      <w:r w:rsidRPr="00315E88">
        <w:rPr>
          <w:rFonts w:ascii="Times New Roman" w:eastAsia="Arial" w:hAnsi="Times New Roman" w:cs="Times New Roman"/>
          <w:color w:val="202124"/>
          <w:lang w:val="en-GB" w:eastAsia="it-IT"/>
        </w:rPr>
        <w:t>Argišti I </w:t>
      </w:r>
      <w:r w:rsidRPr="00315E88">
        <w:rPr>
          <w:rFonts w:ascii="Times New Roman" w:hAnsi="Times New Roman"/>
          <w:color w:val="202124"/>
          <w:lang w:val="en-GB"/>
        </w:rPr>
        <w:t>by reconstructing the annals from 786 to 764 BCE, even if in a doubtful form (UKN. 127, and 246-255).</w:t>
      </w:r>
    </w:p>
    <w:p w14:paraId="609F20EC"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If we are to believe what is written in stele A 8-1 (right face) of Surp Boğos Church</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Surp Boğos Church</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the first </w:t>
      </w:r>
      <w:r w:rsidRPr="00315E88">
        <w:rPr>
          <w:rFonts w:ascii="Times New Roman" w:eastAsia="Arial" w:hAnsi="Times New Roman" w:cs="Times New Roman"/>
          <w:color w:val="202124"/>
          <w:lang w:val="en-GB" w:eastAsia="it-IT"/>
        </w:rPr>
        <w:t>significant</w:t>
      </w:r>
      <w:r w:rsidRPr="00315E88">
        <w:rPr>
          <w:rFonts w:ascii="Times New Roman" w:hAnsi="Times New Roman"/>
        </w:rPr>
        <w:t xml:space="preserve"> military campaign was directed against Utuburšini</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Utuburšini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
          <w:iCs/>
          <w:color w:val="202124"/>
          <w:lang w:val="en-GB"/>
        </w:rPr>
        <w:fldChar w:fldCharType="end"/>
      </w:r>
      <w:r w:rsidRPr="00315E88">
        <w:rPr>
          <w:rFonts w:ascii="Times New Roman" w:hAnsi="Times New Roman"/>
        </w:rPr>
        <w:t xml:space="preserve"> king of Diau</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202124"/>
          <w:lang w:val="en-GB"/>
        </w:rPr>
        <w:instrText>Diau</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who had already </w:t>
      </w:r>
      <w:r w:rsidRPr="00315E88">
        <w:rPr>
          <w:rFonts w:ascii="Times New Roman" w:hAnsi="Times New Roman"/>
        </w:rPr>
        <w:lastRenderedPageBreak/>
        <w:t xml:space="preserve">been </w:t>
      </w:r>
      <w:r w:rsidRPr="00315E88">
        <w:rPr>
          <w:rFonts w:ascii="Times New Roman" w:eastAsia="Arial" w:hAnsi="Times New Roman" w:cs="Times New Roman"/>
          <w:color w:val="202124"/>
          <w:lang w:val="en-GB" w:eastAsia="it-IT"/>
        </w:rPr>
        <w:t>Minua's</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"Minua"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’s</w:t>
      </w:r>
      <w:r w:rsidRPr="00315E88">
        <w:rPr>
          <w:rFonts w:ascii="Times New Roman" w:hAnsi="Times New Roman"/>
        </w:rPr>
        <w:t xml:space="preserve"> adversary. The fact is that thanks to the Lehmann-Haupt</w:t>
      </w:r>
      <w:r w:rsidRPr="00315E88">
        <w:rPr>
          <w:rFonts w:ascii="Times New Roman" w:eastAsia="Arial" w:hAnsi="Times New Roman" w:cs="Times New Roman"/>
          <w:color w:val="202124"/>
          <w:lang w:val="en-GB" w:eastAsia="it-IT"/>
        </w:rPr>
        <w:t> </w:t>
      </w:r>
      <w:r w:rsidRPr="00315E88">
        <w:rPr>
          <w:rFonts w:ascii="Times New Roman" w:hAnsi="Times New Roman"/>
        </w:rPr>
        <w:t>cast, only the upper part of this stele has been preserved. Therefore, what we read on the four faces is disconnected. On the reverse</w:t>
      </w:r>
      <w:r w:rsidRPr="00315E88">
        <w:rPr>
          <w:rFonts w:ascii="Times New Roman" w:eastAsia="Arial" w:hAnsi="Times New Roman" w:cs="Times New Roman"/>
          <w:color w:val="202124"/>
          <w:lang w:val="en-GB" w:eastAsia="it-IT"/>
        </w:rPr>
        <w:t>,</w:t>
      </w:r>
      <w:r w:rsidRPr="00315E88">
        <w:rPr>
          <w:rFonts w:ascii="Times New Roman" w:hAnsi="Times New Roman"/>
        </w:rPr>
        <w:t xml:space="preserve"> we read of the conquest of northern regions, such as </w:t>
      </w:r>
      <w:r w:rsidRPr="00315E88">
        <w:rPr>
          <w:rFonts w:ascii="Times New Roman" w:hAnsi="Times New Roman"/>
          <w:color w:val="202124"/>
          <w:lang w:val="en-GB"/>
        </w:rPr>
        <w:t>Etiu/Etiuḫi/Etiuni</w:t>
      </w:r>
      <w:r w:rsidRPr="00315E88">
        <w:rPr>
          <w:rFonts w:ascii="Times New Roman" w:eastAsia="Arial" w:hAnsi="Times New Roman" w:cs="Times New Roman"/>
          <w:color w:val="202124"/>
          <w:lang w:val="en-GB" w:eastAsia="it-IT"/>
        </w:rPr>
        <w:t>, corresponding</w:t>
      </w:r>
      <w:r w:rsidRPr="00315E88">
        <w:rPr>
          <w:rFonts w:asciiTheme="majorBidi"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color w:val="202124"/>
          <w:lang w:val="en-GB"/>
        </w:rPr>
        <w:instrText>Etiu/Etiuḫi/Etiuni</w:instrText>
      </w:r>
      <w:r w:rsidRPr="00315E88">
        <w:rPr>
          <w:rFonts w:asciiTheme="majorBidi" w:hAnsiTheme="majorBidi" w:cstheme="majorBidi"/>
          <w:lang w:val="en-GB"/>
        </w:rPr>
        <w:instrText xml:space="preserve">" </w:instrText>
      </w:r>
      <w:r w:rsidRPr="00315E88">
        <w:rPr>
          <w:rFonts w:asciiTheme="majorBidi" w:hAnsiTheme="majorBidi" w:cstheme="majorBidi"/>
          <w:iCs/>
          <w:color w:val="202124"/>
          <w:lang w:val="en-GB"/>
        </w:rPr>
        <w:fldChar w:fldCharType="end"/>
      </w:r>
      <w:r w:rsidRPr="00315E88">
        <w:rPr>
          <w:rStyle w:val="y2iqfc"/>
          <w:rFonts w:asciiTheme="majorBidi" w:eastAsia="Arial" w:hAnsiTheme="majorBidi" w:cstheme="majorBidi"/>
          <w:color w:val="202124"/>
          <w:lang w:val="en-GB"/>
        </w:rPr>
        <w:t>, which corresponds</w:t>
      </w:r>
      <w:r w:rsidRPr="00315E88">
        <w:rPr>
          <w:rFonts w:ascii="Times New Roman" w:hAnsi="Times New Roman"/>
        </w:rPr>
        <w:t xml:space="preserve"> to </w:t>
      </w:r>
      <w:r w:rsidRPr="00315E88">
        <w:rPr>
          <w:rFonts w:ascii="Times New Roman" w:eastAsia="Arial" w:hAnsi="Times New Roman" w:cs="Times New Roman"/>
          <w:color w:val="202124"/>
          <w:lang w:val="en-GB" w:eastAsia="it-IT"/>
        </w:rPr>
        <w:t>today's</w:t>
      </w:r>
      <w:r w:rsidRPr="00315E88">
        <w:rPr>
          <w:rFonts w:ascii="Times New Roman" w:hAnsi="Times New Roman"/>
        </w:rPr>
        <w:t xml:space="preserve"> Armenia</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Armenia</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It also refers to the construction of the city of Erebuni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Erebuni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in an area devoid of buildings (a frequent topos</w:t>
      </w:r>
      <w:r w:rsidRPr="00315E88">
        <w:rPr>
          <w:rFonts w:ascii="Times New Roman" w:eastAsia="Arial" w:hAnsi="Times New Roman" w:cs="Times New Roman"/>
          <w:color w:val="202124"/>
          <w:lang w:val="en-GB" w:eastAsia="it-IT"/>
        </w:rPr>
        <w:t>)</w:t>
      </w:r>
      <w:r w:rsidRPr="00315E88">
        <w:rPr>
          <w:rFonts w:ascii="Times New Roman" w:hAnsi="Times New Roman"/>
        </w:rPr>
        <w:t xml:space="preserve"> and the deportation here of 6,600 warriors from the towns of Ḫate</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Ḫate</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(neo-Hittite</w:t>
      </w:r>
      <w:r w:rsidRPr="00315E88">
        <w:rPr>
          <w:rFonts w:ascii="Times New Roman" w:eastAsia="Arial" w:hAnsi="Times New Roman" w:cs="Times New Roman"/>
          <w:color w:val="202124"/>
          <w:lang w:val="en-GB" w:eastAsia="it-IT"/>
        </w:rPr>
        <w:t xml:space="preserve"> </w:t>
      </w:r>
      <w:r w:rsidRPr="00315E88">
        <w:rPr>
          <w:rFonts w:ascii="Times New Roman" w:hAnsi="Times New Roman"/>
        </w:rPr>
        <w:t>countries) and Ṣupa</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Ṣupa</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(classical Sophene</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Sophene</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which</w:t>
      </w:r>
      <w:r w:rsidRPr="00315E88">
        <w:rPr>
          <w:rFonts w:ascii="Times New Roman" w:eastAsia="Arial" w:hAnsi="Times New Roman" w:cs="Times New Roman"/>
          <w:color w:val="202124"/>
          <w:lang w:val="en-GB" w:eastAsia="it-IT"/>
        </w:rPr>
        <w:t xml:space="preserve"> Minua</w:t>
      </w:r>
      <w:r w:rsidRPr="00315E88">
        <w:rPr>
          <w:rFonts w:ascii="Times New Roman" w:hAnsi="Times New Roman"/>
        </w:rPr>
        <w:t xml:space="preserve"> had subjected. </w:t>
      </w:r>
    </w:p>
    <w:p w14:paraId="53BEF552"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rPr>
        <w:t xml:space="preserve">The circumstance </w:t>
      </w:r>
      <w:r w:rsidRPr="00315E88">
        <w:rPr>
          <w:rFonts w:ascii="Times New Roman" w:eastAsia="Arial" w:hAnsi="Times New Roman" w:cs="Times New Roman"/>
          <w:color w:val="202124"/>
          <w:lang w:val="en-GB" w:eastAsia="it-IT"/>
        </w:rPr>
        <w:t xml:space="preserve">is </w:t>
      </w:r>
      <w:r w:rsidRPr="00315E88">
        <w:rPr>
          <w:rFonts w:ascii="Times New Roman" w:hAnsi="Times New Roman"/>
        </w:rPr>
        <w:t xml:space="preserve">that the </w:t>
      </w:r>
      <w:r w:rsidRPr="00315E88">
        <w:rPr>
          <w:rFonts w:ascii="Times New Roman" w:eastAsia="Arial" w:hAnsi="Times New Roman" w:cs="Times New Roman"/>
          <w:color w:val="202124"/>
          <w:lang w:val="en-GB" w:eastAsia="it-IT"/>
        </w:rPr>
        <w:t>reverse</w:t>
      </w:r>
      <w:r w:rsidRPr="00315E88">
        <w:rPr>
          <w:rFonts w:ascii="Times New Roman" w:hAnsi="Times New Roman"/>
        </w:rPr>
        <w:t xml:space="preserve"> of stele A 8-1 is a perfect duplicate of col. II 25-41 of the Horhor</w:t>
      </w:r>
      <w:r w:rsidRPr="00315E88">
        <w:rPr>
          <w:rFonts w:ascii="Times New Roman" w:eastAsia="Arial" w:hAnsi="Times New Roman" w:cs="Times New Roman"/>
          <w:color w:val="202124"/>
          <w:lang w:val="en-GB" w:eastAsia="it-IT"/>
        </w:rPr>
        <w:t>/</w:t>
      </w:r>
      <w:r w:rsidRPr="00315E88">
        <w:rPr>
          <w:rFonts w:ascii="Times New Roman" w:hAnsi="Times New Roman"/>
        </w:rPr>
        <w:t>Khorkhorian Annals</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Khorkhorian Annals</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suggests that the duplicate relation begins even earlier, in the lost part of the right face of A 8-1. </w:t>
      </w:r>
      <w:r w:rsidRPr="00315E88">
        <w:rPr>
          <w:rFonts w:ascii="Times New Roman" w:eastAsia="Arial" w:hAnsi="Times New Roman" w:cs="Times New Roman"/>
          <w:color w:val="202124"/>
          <w:lang w:val="en-GB" w:eastAsia="it-IT"/>
        </w:rPr>
        <w:t>However</w:t>
      </w:r>
      <w:r w:rsidRPr="00315E88">
        <w:rPr>
          <w:rFonts w:ascii="Times New Roman" w:hAnsi="Times New Roman"/>
        </w:rPr>
        <w:t>, it removes any possibility of reconstructing a chronological succession.</w:t>
      </w:r>
    </w:p>
    <w:p w14:paraId="5FD620BB"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 xml:space="preserve">It appears that all these texts were written in different periods without </w:t>
      </w:r>
      <w:r w:rsidRPr="00315E88">
        <w:rPr>
          <w:rFonts w:ascii="Times New Roman" w:eastAsia="Arial" w:hAnsi="Times New Roman" w:cs="Times New Roman"/>
          <w:color w:val="202124"/>
          <w:lang w:val="en-GB" w:eastAsia="it-IT"/>
        </w:rPr>
        <w:t>respecting</w:t>
      </w:r>
      <w:r w:rsidRPr="00315E88">
        <w:rPr>
          <w:rFonts w:ascii="Times New Roman" w:hAnsi="Times New Roman"/>
        </w:rPr>
        <w:t xml:space="preserve"> a historical succession. The intent is only celebratory.</w:t>
      </w:r>
    </w:p>
    <w:p w14:paraId="34B28CE3"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It is possible to define the Annals of Horhor</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Horhor</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Khorkhor as a </w:t>
      </w:r>
      <w:r w:rsidRPr="00315E88">
        <w:rPr>
          <w:rFonts w:ascii="Times New Roman" w:eastAsia="Arial" w:hAnsi="Times New Roman" w:cs="Times New Roman"/>
          <w:color w:val="202124"/>
          <w:lang w:val="en-GB" w:eastAsia="it-IT"/>
        </w:rPr>
        <w:t>‘</w:t>
      </w:r>
      <w:r w:rsidRPr="00315E88">
        <w:rPr>
          <w:rFonts w:ascii="Times New Roman" w:hAnsi="Times New Roman"/>
        </w:rPr>
        <w:t>Sammeltext</w:t>
      </w:r>
      <w:r w:rsidRPr="00315E88">
        <w:rPr>
          <w:rFonts w:ascii="Times New Roman" w:eastAsia="Arial" w:hAnsi="Times New Roman" w:cs="Times New Roman"/>
          <w:color w:val="202124"/>
          <w:lang w:val="en-GB" w:eastAsia="it-IT"/>
        </w:rPr>
        <w:t xml:space="preserve">’, </w:t>
      </w:r>
      <w:r w:rsidRPr="00315E88">
        <w:rPr>
          <w:rFonts w:ascii="Times New Roman" w:hAnsi="Times New Roman"/>
        </w:rPr>
        <w:t>where previous texts converged, such as that of Stele A 8-1.</w:t>
      </w:r>
      <w:r w:rsidRPr="00315E88">
        <w:rPr>
          <w:rFonts w:ascii="Times New Roman" w:hAnsi="Times New Roman"/>
          <w:color w:val="202124"/>
          <w:lang w:val="en-GB"/>
        </w:rPr>
        <w:t xml:space="preserve"> </w:t>
      </w:r>
      <w:r w:rsidRPr="00315E88">
        <w:rPr>
          <w:rFonts w:ascii="Times New Roman" w:hAnsi="Times New Roman"/>
        </w:rPr>
        <w:t>The left face refers to the expedition against Urme</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Urme</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in a </w:t>
      </w:r>
      <w:r w:rsidRPr="00315E88">
        <w:rPr>
          <w:rFonts w:ascii="Times New Roman" w:eastAsia="Arial" w:hAnsi="Times New Roman" w:cs="Times New Roman"/>
          <w:color w:val="202124"/>
          <w:lang w:val="en-GB" w:eastAsia="it-IT"/>
        </w:rPr>
        <w:t>southwestern</w:t>
      </w:r>
      <w:r w:rsidRPr="00315E88">
        <w:rPr>
          <w:rFonts w:ascii="Times New Roman" w:hAnsi="Times New Roman"/>
        </w:rPr>
        <w:t xml:space="preserve"> area. </w:t>
      </w:r>
      <w:r w:rsidRPr="00315E88">
        <w:rPr>
          <w:rFonts w:ascii="Times New Roman" w:eastAsia="Arial" w:hAnsi="Times New Roman" w:cs="Times New Roman"/>
          <w:color w:val="202124"/>
          <w:lang w:val="en-GB" w:eastAsia="it-IT"/>
        </w:rPr>
        <w:t>The</w:t>
      </w:r>
      <w:r w:rsidRPr="00315E88">
        <w:rPr>
          <w:rFonts w:ascii="Times New Roman" w:hAnsi="Times New Roman"/>
        </w:rPr>
        <w:t xml:space="preserve"> connection with the other incomplete stele from Surp Boğos Church</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Surp Boğos Church</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A 8-2</w:t>
      </w:r>
      <w:r w:rsidRPr="00315E88">
        <w:rPr>
          <w:rFonts w:ascii="Times New Roman" w:eastAsia="Arial" w:hAnsi="Times New Roman" w:cs="Times New Roman"/>
          <w:color w:val="202124"/>
          <w:lang w:val="en-GB" w:eastAsia="it-IT"/>
        </w:rPr>
        <w:t>, is difficult, if not impossible.</w:t>
      </w:r>
      <w:r w:rsidRPr="00315E88">
        <w:rPr>
          <w:rFonts w:ascii="Times New Roman" w:hAnsi="Times New Roman"/>
        </w:rPr>
        <w:t xml:space="preserve"> It speaks (on the front) of the country of Mana</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Mana</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(the Manneans</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Manneans</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and we find ourselves in the east, in a different and distant chessboard.</w:t>
      </w:r>
      <w:r w:rsidRPr="00315E88">
        <w:rPr>
          <w:rFonts w:ascii="Times New Roman" w:eastAsia="Arial" w:hAnsi="Times New Roman" w:cs="Times New Roman"/>
          <w:color w:val="202124"/>
          <w:lang w:val="en-GB" w:eastAsia="it-IT"/>
        </w:rPr>
        <w:t> </w:t>
      </w:r>
      <w:r w:rsidRPr="00315E88">
        <w:rPr>
          <w:rFonts w:ascii="Times New Roman" w:hAnsi="Times New Roman"/>
        </w:rPr>
        <w:t xml:space="preserve"> Military expeditions against the country of Mana are recorded in quite all the columns of Horhor/Khorkhor.</w:t>
      </w:r>
      <w:r w:rsidRPr="00315E88">
        <w:rPr>
          <w:rFonts w:ascii="Times New Roman" w:eastAsia="Arial" w:hAnsi="Times New Roman" w:cs="Times New Roman"/>
          <w:color w:val="202124"/>
          <w:lang w:val="en-GB" w:eastAsia="it-IT"/>
        </w:rPr>
        <w:t> </w:t>
      </w:r>
      <w:r w:rsidRPr="00315E88">
        <w:rPr>
          <w:rFonts w:ascii="Times New Roman" w:hAnsi="Times New Roman"/>
        </w:rPr>
        <w:t xml:space="preserve"> It was a frequent wartime target, but it is </w:t>
      </w:r>
      <w:r w:rsidRPr="00315E88">
        <w:rPr>
          <w:rFonts w:ascii="Times New Roman" w:eastAsia="Arial" w:hAnsi="Times New Roman" w:cs="Times New Roman"/>
          <w:color w:val="202124"/>
          <w:lang w:val="en-GB" w:eastAsia="it-IT"/>
        </w:rPr>
        <w:t>not easy</w:t>
      </w:r>
      <w:r w:rsidRPr="00315E88">
        <w:rPr>
          <w:rFonts w:ascii="Times New Roman" w:hAnsi="Times New Roman"/>
        </w:rPr>
        <w:t xml:space="preserve"> to reconstruct a chronological coincidence. See the occurrences in CTU II. p. 314, to which the rock inscription of Javanqaleh</w:t>
      </w:r>
      <w:r w:rsidRPr="00315E88">
        <w:rPr>
          <w:rFonts w:ascii="Times New Roman" w:eastAsia="Arial" w:hAnsi="Times New Roman" w:cs="Times New Roman"/>
          <w:color w:val="202124"/>
          <w:lang w:val="en-GB" w:eastAsia="it-IT"/>
        </w:rPr>
        <w:t xml:space="preserve"> is added,</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Javanqaleh</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near Ajabšir</w:t>
      </w:r>
      <w:r w:rsidRPr="00315E88">
        <w:rPr>
          <w:rFonts w:ascii="Times New Roman" w:eastAsia="Arial" w:hAnsi="Times New Roman" w:cs="Times New Roman"/>
          <w:color w:val="202124"/>
          <w:lang w:val="en-GB" w:eastAsia="it-IT"/>
        </w:rPr>
        <w:t xml:space="preserve">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Ajabšir</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east of Urmia Lake</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instrText xml:space="preserve"> XE "</w:instrText>
      </w:r>
      <w:r w:rsidRPr="00315E88">
        <w:rPr>
          <w:rStyle w:val="y2iqfc"/>
          <w:rFonts w:asciiTheme="majorBidi" w:eastAsia="Arial" w:hAnsiTheme="majorBidi" w:cstheme="majorBidi"/>
          <w:color w:val="202124"/>
          <w:lang w:val="en-GB"/>
        </w:rPr>
        <w:instrText>Urmia Lake</w:instrText>
      </w:r>
      <w:r w:rsidRPr="00315E88">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(CTU I. A 8-13). This last important rock inscription engraved on the road to the conquest of Mana has two correspondences with two different points in the Annals of Horhor/Khorkhor: r. 3 </w:t>
      </w:r>
      <w:r w:rsidRPr="00315E88">
        <w:rPr>
          <w:rFonts w:ascii="Times New Roman" w:hAnsi="Times New Roman"/>
          <w:color w:val="00B050"/>
          <w:vertAlign w:val="superscript"/>
        </w:rPr>
        <w:t>m</w:t>
      </w:r>
      <w:r w:rsidRPr="00315E88">
        <w:rPr>
          <w:rFonts w:ascii="Times New Roman" w:hAnsi="Times New Roman"/>
        </w:rPr>
        <w:t>’Arsitani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Arsitani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 CTU I. A 8-3 II 53, r. 6 </w:t>
      </w:r>
      <w:r w:rsidRPr="00315E88">
        <w:rPr>
          <w:rFonts w:ascii="Times New Roman" w:hAnsi="Times New Roman"/>
          <w:color w:val="000000" w:themeColor="text1"/>
          <w:vertAlign w:val="superscript"/>
        </w:rPr>
        <w:t>URU</w:t>
      </w:r>
      <w:r w:rsidRPr="00315E88">
        <w:rPr>
          <w:rFonts w:ascii="Times New Roman" w:hAnsi="Times New Roman"/>
        </w:rPr>
        <w:t>Šimeriḫadirni= CTU I. A 8-3 V 39 Šimeniḫadirini</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Šimeniḫadirini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The first is even associated with the troops of Assur</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Assur</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while the second toponym is followed by a campaign against </w:t>
      </w:r>
      <w:r w:rsidRPr="00315E88">
        <w:rPr>
          <w:rFonts w:ascii="Times New Roman" w:hAnsi="Times New Roman"/>
          <w:color w:val="202124"/>
          <w:lang w:val="en-GB"/>
        </w:rPr>
        <w:t>Etiu/Etiuḫi/Etiuni</w:t>
      </w:r>
      <w:r w:rsidRPr="00315E88">
        <w:rPr>
          <w:rFonts w:ascii="Times New Roman" w:eastAsia="Arial" w:hAnsi="Times New Roman" w:cs="Times New Roman"/>
          <w:color w:val="202124"/>
          <w:lang w:val="en-GB" w:eastAsia="it-IT"/>
        </w:rPr>
        <w:t> </w:t>
      </w:r>
      <w:r w:rsidRPr="00315E88">
        <w:rPr>
          <w:rFonts w:asciiTheme="majorBidi"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color w:val="202124"/>
          <w:lang w:val="en-GB"/>
        </w:rPr>
        <w:instrText>Etiu/Etiuḫi/Etiuni</w:instrText>
      </w:r>
      <w:r w:rsidRPr="00315E88">
        <w:rPr>
          <w:rFonts w:asciiTheme="majorBidi" w:hAnsiTheme="majorBidi" w:cstheme="majorBidi"/>
          <w:lang w:val="en-GB"/>
        </w:rPr>
        <w:instrText xml:space="preserve">" </w:instrText>
      </w:r>
      <w:r w:rsidRPr="00315E88">
        <w:rPr>
          <w:rFonts w:asciiTheme="majorBidi" w:hAnsiTheme="majorBidi" w:cstheme="majorBidi"/>
          <w:iCs/>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in Armenia</w:t>
      </w:r>
      <w:r w:rsidRPr="00315E88">
        <w:rPr>
          <w:rFonts w:ascii="Times New Roman" w:eastAsia="Arial" w:hAnsi="Times New Roman" w:cs="Times New Roman"/>
          <w:color w:val="202124"/>
          <w:lang w:val="en-GB" w:eastAsia="it-IT"/>
        </w:rPr>
        <w:t xml:space="preserve">. </w:t>
      </w:r>
      <w:r w:rsidRPr="00315E88">
        <w:rPr>
          <w:rStyle w:val="y2iqfc"/>
          <w:rFonts w:asciiTheme="majorBidi" w:eastAsia="Arial" w:hAnsiTheme="majorBidi" w:cstheme="majorBidi"/>
          <w:color w:val="202124"/>
          <w:lang w:val="en-GB"/>
        </w:rPr>
        <w:t xml:space="preserve"> It seems clear that we</w:t>
      </w:r>
      <w:r w:rsidRPr="00315E88">
        <w:rPr>
          <w:rFonts w:ascii="Times New Roman" w:hAnsi="Times New Roman"/>
        </w:rPr>
        <w:t xml:space="preserve"> are</w:t>
      </w:r>
      <w:r w:rsidRPr="00315E88">
        <w:rPr>
          <w:rFonts w:ascii="Times New Roman" w:eastAsia="Arial" w:hAnsi="Times New Roman" w:cs="Times New Roman"/>
          <w:color w:val="202124"/>
          <w:lang w:val="en-GB" w:eastAsia="it-IT"/>
        </w:rPr>
        <w:t xml:space="preserve"> clearly</w:t>
      </w:r>
      <w:r w:rsidRPr="00315E88">
        <w:rPr>
          <w:rFonts w:ascii="Times New Roman" w:hAnsi="Times New Roman"/>
        </w:rPr>
        <w:t xml:space="preserve"> dealing with separate episodes being stitched together by separate reports. One hypothesis could be that in the drafting work</w:t>
      </w:r>
      <w:r w:rsidRPr="00315E88">
        <w:rPr>
          <w:rFonts w:ascii="Times New Roman" w:eastAsia="Arial" w:hAnsi="Times New Roman" w:cs="Times New Roman"/>
          <w:color w:val="202124"/>
          <w:lang w:val="en-GB" w:eastAsia="it-IT"/>
        </w:rPr>
        <w:t>,</w:t>
      </w:r>
      <w:r w:rsidRPr="00315E88">
        <w:rPr>
          <w:rFonts w:ascii="Times New Roman" w:hAnsi="Times New Roman"/>
        </w:rPr>
        <w:t xml:space="preserve"> the authors of the text of the Annals transcribed reports from different fronts because distinct armies and generals in distant areas of the Urartian</w:t>
      </w:r>
      <w:r w:rsidRPr="00315E88">
        <w:rPr>
          <w:rFonts w:ascii="Times New Roman" w:eastAsia="Arial" w:hAnsi="Times New Roman" w:cs="Times New Roman"/>
          <w:color w:val="202124"/>
          <w:lang w:val="en-GB" w:eastAsia="it-IT"/>
        </w:rPr>
        <w:t> </w:t>
      </w:r>
      <w:r w:rsidRPr="00315E88">
        <w:rPr>
          <w:rFonts w:ascii="Times New Roman" w:hAnsi="Times New Roman"/>
        </w:rPr>
        <w:t>expansion</w:t>
      </w:r>
      <w:r w:rsidRPr="00315E88">
        <w:rPr>
          <w:rFonts w:ascii="Times New Roman" w:eastAsia="Arial" w:hAnsi="Times New Roman" w:cs="Times New Roman"/>
          <w:color w:val="202124"/>
          <w:lang w:val="en-GB" w:eastAsia="it-IT"/>
        </w:rPr>
        <w:t xml:space="preserve"> carried them out</w:t>
      </w:r>
      <w:r w:rsidRPr="00315E88">
        <w:rPr>
          <w:rFonts w:ascii="Times New Roman" w:hAnsi="Times New Roman"/>
        </w:rPr>
        <w:t>.</w:t>
      </w:r>
    </w:p>
    <w:p w14:paraId="40D3A9F8" w14:textId="77777777" w:rsidR="00B4516E" w:rsidRPr="00D57792"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D57792">
        <w:rPr>
          <w:rFonts w:ascii="Times New Roman" w:hAnsi="Times New Roman" w:cs="Courier New"/>
          <w:lang w:val="it-IT"/>
        </w:rPr>
        <w:t>The reverse of CTU I. A 8-2 refers to a new campaign against Diaueḫi</w:t>
      </w:r>
      <w:r w:rsidRPr="00D57792">
        <w:rPr>
          <w:rFonts w:ascii="Times New Roman" w:eastAsia="Arial" w:hAnsi="Times New Roman" w:cs="Times New Roman"/>
          <w:color w:val="202124"/>
          <w:lang w:val="en-GB"/>
        </w:rPr>
        <w:t> </w:t>
      </w:r>
      <w:r w:rsidRPr="00D57792">
        <w:rPr>
          <w:rStyle w:val="y2iqfc"/>
          <w:rFonts w:asciiTheme="majorBidi" w:eastAsia="Arial" w:hAnsiTheme="majorBidi" w:cstheme="majorBidi"/>
          <w:color w:val="202124"/>
          <w:lang w:val="en-GB" w:eastAsia="it-IT"/>
        </w:rPr>
        <w:fldChar w:fldCharType="begin"/>
      </w:r>
      <w:r w:rsidRPr="00D57792">
        <w:rPr>
          <w:rFonts w:asciiTheme="majorBidi" w:hAnsiTheme="majorBidi" w:cstheme="majorBidi"/>
          <w:lang w:val="en-GB"/>
        </w:rPr>
        <w:instrText xml:space="preserve"> XE "</w:instrText>
      </w:r>
      <w:r w:rsidRPr="00D57792">
        <w:rPr>
          <w:rFonts w:asciiTheme="majorBidi" w:hAnsiTheme="majorBidi" w:cstheme="majorBidi"/>
          <w:color w:val="202124"/>
          <w:lang w:val="en-GB"/>
        </w:rPr>
        <w:instrText>Diaueḫi</w:instrText>
      </w:r>
      <w:r w:rsidRPr="00D57792">
        <w:rPr>
          <w:rFonts w:asciiTheme="majorBidi" w:hAnsiTheme="majorBidi" w:cstheme="majorBidi"/>
          <w:lang w:val="en-GB"/>
        </w:rPr>
        <w:instrText xml:space="preserve">" </w:instrText>
      </w:r>
      <w:r w:rsidRPr="00D57792">
        <w:rPr>
          <w:rStyle w:val="y2iqfc"/>
          <w:rFonts w:asciiTheme="majorBidi" w:eastAsia="Arial" w:hAnsiTheme="majorBidi" w:cstheme="majorBidi"/>
          <w:color w:val="202124"/>
          <w:lang w:val="en-GB" w:eastAsia="it-IT"/>
        </w:rPr>
        <w:fldChar w:fldCharType="end"/>
      </w:r>
      <w:r w:rsidRPr="00D57792">
        <w:rPr>
          <w:rStyle w:val="y2iqfc"/>
          <w:rFonts w:asciiTheme="majorBidi" w:eastAsia="Arial" w:hAnsiTheme="majorBidi" w:cstheme="majorBidi"/>
          <w:color w:val="202124"/>
          <w:lang w:val="en-GB"/>
        </w:rPr>
        <w:t xml:space="preserve"> </w:t>
      </w:r>
      <w:r w:rsidRPr="00D57792">
        <w:rPr>
          <w:rFonts w:ascii="Times New Roman" w:hAnsi="Times New Roman" w:cs="Courier New"/>
          <w:lang w:val="it-IT"/>
        </w:rPr>
        <w:t>and indulges in a detailed description of conquests and the enumeration of a heavy tribute in gold, silver, copper, horses, cattle, sheep</w:t>
      </w:r>
      <w:r w:rsidRPr="00D57792">
        <w:rPr>
          <w:rFonts w:ascii="Times New Roman" w:eastAsia="Arial" w:hAnsi="Times New Roman" w:cs="Times New Roman"/>
          <w:color w:val="202124"/>
          <w:lang w:val="en-GB"/>
        </w:rPr>
        <w:t>,</w:t>
      </w:r>
      <w:r w:rsidRPr="00D57792">
        <w:rPr>
          <w:rFonts w:ascii="Times New Roman" w:hAnsi="Times New Roman" w:cs="Courier New"/>
          <w:lang w:val="it-IT"/>
        </w:rPr>
        <w:t xml:space="preserve"> and small cattle.</w:t>
      </w:r>
    </w:p>
    <w:p w14:paraId="132C7034" w14:textId="77777777" w:rsidR="00B4516E" w:rsidRPr="00315E88" w:rsidRDefault="00B4516E" w:rsidP="00B4516E">
      <w:pPr>
        <w:ind w:left="567" w:hanging="567"/>
        <w:jc w:val="both"/>
        <w:rPr>
          <w:rFonts w:ascii="Times New Roman" w:hAnsi="Times New Roman"/>
          <w:color w:val="000000" w:themeColor="text1"/>
          <w:lang w:val="en-GB"/>
        </w:rPr>
      </w:pPr>
      <w:r w:rsidRPr="00315E88">
        <w:rPr>
          <w:rFonts w:ascii="Times New Roman" w:hAnsi="Times New Roman"/>
          <w:color w:val="000000" w:themeColor="text1"/>
        </w:rPr>
        <w:t xml:space="preserve">CTU I. A 8-2 obv </w:t>
      </w:r>
      <w:r w:rsidRPr="00315E88">
        <w:rPr>
          <w:rFonts w:ascii="Times New Roman" w:hAnsi="Times New Roman"/>
          <w:color w:val="000000" w:themeColor="text1"/>
          <w:lang w:val="en-GB"/>
        </w:rPr>
        <w:t xml:space="preserve">12’-13’ we found for the first time the formola </w:t>
      </w:r>
      <w:r w:rsidRPr="00315E88">
        <w:rPr>
          <w:rFonts w:ascii="Times New Roman" w:hAnsi="Times New Roman"/>
          <w:color w:val="000000" w:themeColor="text1"/>
          <w:vertAlign w:val="superscript"/>
          <w:lang w:val="en-GB"/>
        </w:rPr>
        <w:t>m</w:t>
      </w:r>
      <w:r w:rsidRPr="00315E88">
        <w:rPr>
          <w:rFonts w:ascii="Times New Roman" w:hAnsi="Times New Roman"/>
          <w:color w:val="000000" w:themeColor="text1"/>
          <w:lang w:val="en-GB"/>
        </w:rPr>
        <w:t xml:space="preserve">ar-gi-i[(š-t)]i-še a-li-e </w:t>
      </w:r>
      <w:r w:rsidRPr="00315E88">
        <w:rPr>
          <w:rFonts w:ascii="Times New Roman" w:hAnsi="Times New Roman"/>
          <w:color w:val="000000" w:themeColor="text1"/>
          <w:vertAlign w:val="superscript"/>
          <w:lang w:val="en-GB"/>
        </w:rPr>
        <w:t>D</w:t>
      </w:r>
      <w:r w:rsidRPr="00315E88">
        <w:rPr>
          <w:rFonts w:ascii="Times New Roman" w:hAnsi="Times New Roman"/>
          <w:color w:val="000000" w:themeColor="text1"/>
          <w:lang w:val="en-GB"/>
        </w:rPr>
        <w:t>ḫal-di-a iš-ti-ni-[(e)] 13’ i-na-ni-li ar-ni-ú-ši-ni-li šú-si-ni MU za-du-b[i]</w:t>
      </w:r>
    </w:p>
    <w:p w14:paraId="2AD93DF4" w14:textId="77777777" w:rsidR="00B4516E" w:rsidRPr="00315E88" w:rsidRDefault="00B4516E" w:rsidP="00B4516E">
      <w:pPr>
        <w:ind w:left="567" w:hanging="567"/>
        <w:jc w:val="both"/>
        <w:rPr>
          <w:rFonts w:ascii="Times New Roman" w:hAnsi="Times New Roman"/>
          <w:color w:val="000000" w:themeColor="text1"/>
          <w:lang w:val="en-GB"/>
        </w:rPr>
      </w:pPr>
    </w:p>
    <w:p w14:paraId="6B2A82EB" w14:textId="77777777" w:rsidR="00B4516E" w:rsidRPr="00315E88" w:rsidRDefault="00B4516E" w:rsidP="00B4516E">
      <w:pPr>
        <w:ind w:left="567" w:hanging="567"/>
        <w:jc w:val="both"/>
        <w:rPr>
          <w:rFonts w:ascii="Times New Roman" w:hAnsi="Times New Roman"/>
          <w:color w:val="000000" w:themeColor="text1"/>
          <w:lang w:val="en-GB"/>
        </w:rPr>
      </w:pPr>
      <w:r w:rsidRPr="00315E88">
        <w:rPr>
          <w:rFonts w:ascii="Times New Roman" w:hAnsi="Times New Roman"/>
          <w:color w:val="000000" w:themeColor="text1"/>
        </w:rPr>
        <w:t>“Argišti says: for Ḫaldi</w:t>
      </w:r>
      <w:r w:rsidRPr="00315E88">
        <w:rPr>
          <w:rFonts w:ascii="Times New Roman" w:hAnsi="Times New Roman"/>
          <w:color w:val="000000" w:themeColor="text1"/>
        </w:rPr>
        <w:fldChar w:fldCharType="begin"/>
      </w:r>
      <w:r w:rsidRPr="00315E88">
        <w:rPr>
          <w:rFonts w:ascii="Calibri" w:hAnsi="Calibri"/>
          <w:color w:val="000000" w:themeColor="text1"/>
          <w:lang w:val="en-GB"/>
        </w:rPr>
        <w:instrText xml:space="preserve"> XE "</w:instrText>
      </w:r>
      <w:r w:rsidRPr="00315E88">
        <w:rPr>
          <w:rFonts w:ascii="Times New Roman" w:hAnsi="Times New Roman"/>
          <w:color w:val="000000" w:themeColor="text1"/>
          <w:lang w:val="en-GB"/>
        </w:rPr>
        <w:instrText>Ḫaldi</w:instrText>
      </w:r>
      <w:r w:rsidRPr="00315E88">
        <w:rPr>
          <w:rFonts w:ascii="Calibri" w:hAnsi="Calibri"/>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these deeds I accomplished in one year”.</w:t>
      </w:r>
    </w:p>
    <w:p w14:paraId="58ED63EF"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GB"/>
        </w:rPr>
      </w:pPr>
      <w:r w:rsidRPr="00315E88">
        <w:rPr>
          <w:rFonts w:ascii="Times New Roman" w:hAnsi="Times New Roman"/>
          <w:color w:val="000000" w:themeColor="text1"/>
        </w:rPr>
        <w:t>Also, in the second year Argišti I</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Argišti 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directed his arms north of the Araxes</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Araxes</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against the country of </w:t>
      </w:r>
      <w:r w:rsidRPr="00315E88">
        <w:rPr>
          <w:rFonts w:ascii="Times New Roman" w:hAnsi="Times New Roman"/>
          <w:color w:val="000000" w:themeColor="text1"/>
          <w:lang w:val="en-GB"/>
        </w:rPr>
        <w:t>Etiu/Etiuḫi/Etiuni</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Etiu/Etiuḫi/Etiuni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rPr>
        <w:t>, which we can roughly identify with present-day Armenia</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Armenia</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w:t>
      </w:r>
    </w:p>
    <w:p w14:paraId="261FBDB0"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rPr>
      </w:pPr>
      <w:r w:rsidRPr="00315E88">
        <w:rPr>
          <w:rFonts w:ascii="Times New Roman" w:hAnsi="Times New Roman"/>
          <w:color w:val="000000" w:themeColor="text1"/>
        </w:rPr>
        <w:t>The third year the theater of operations moves to the west, towards the neo-Hittite</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neo-Hittite</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countries (</w:t>
      </w:r>
      <w:r w:rsidRPr="00315E88">
        <w:rPr>
          <w:rFonts w:ascii="Times New Roman" w:hAnsi="Times New Roman"/>
          <w:color w:val="000000" w:themeColor="text1"/>
          <w:vertAlign w:val="superscript"/>
        </w:rPr>
        <w:t>KUR</w:t>
      </w:r>
      <w:r w:rsidRPr="00315E88">
        <w:rPr>
          <w:rFonts w:ascii="Times New Roman" w:hAnsi="Times New Roman"/>
          <w:color w:val="000000" w:themeColor="text1"/>
        </w:rPr>
        <w:t>Ḫati=na) and Malatya (Militia</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Militia</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is mentioned for the first time. In the fourth year he penetrates further into Armenia</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Armenia</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reaching Sevan</w:t>
      </w:r>
      <w:r w:rsidRPr="00315E88">
        <w:rPr>
          <w:rStyle w:val="y2iqfc"/>
          <w:rFonts w:asciiTheme="majorBidi" w:eastAsia="Arial" w:hAnsiTheme="majorBidi" w:cstheme="majorBidi"/>
          <w:color w:val="000000" w:themeColor="text1"/>
          <w:lang w:val="en-GB"/>
        </w:rPr>
        <w:t xml:space="preserve"> Lake</w:t>
      </w:r>
      <w:r w:rsidRPr="00315E88">
        <w:rPr>
          <w:rStyle w:val="y2iqfc"/>
          <w:rFonts w:asciiTheme="majorBidi" w:eastAsia="Arial" w:hAnsiTheme="majorBidi" w:cstheme="majorBidi"/>
          <w:color w:val="000000" w:themeColor="text1"/>
          <w:lang w:val="en-GB"/>
        </w:rPr>
        <w:fldChar w:fldCharType="begin"/>
      </w:r>
      <w:r w:rsidRPr="00315E88">
        <w:rPr>
          <w:color w:val="000000" w:themeColor="text1"/>
        </w:rPr>
        <w:instrText xml:space="preserve"> XE "</w:instrText>
      </w:r>
      <w:r w:rsidRPr="00315E88">
        <w:rPr>
          <w:rStyle w:val="y2iqfc"/>
          <w:rFonts w:asciiTheme="majorBidi" w:eastAsia="Arial" w:hAnsiTheme="majorBidi" w:cstheme="majorBidi"/>
          <w:color w:val="000000" w:themeColor="text1"/>
          <w:lang w:val="en-GB"/>
        </w:rPr>
        <w:instrText>Sevan Lake</w:instrText>
      </w:r>
      <w:r w:rsidRPr="00315E88">
        <w:rPr>
          <w:color w:val="000000" w:themeColor="text1"/>
        </w:rPr>
        <w:instrText xml:space="preserve">" </w:instrText>
      </w:r>
      <w:r w:rsidRPr="00315E88">
        <w:rPr>
          <w:rStyle w:val="y2iqfc"/>
          <w:rFonts w:asciiTheme="majorBidi" w:eastAsia="Arial" w:hAnsiTheme="majorBidi" w:cstheme="majorBidi"/>
          <w:color w:val="000000" w:themeColor="text1"/>
          <w:lang w:val="en-GB"/>
        </w:rPr>
        <w:fldChar w:fldCharType="end"/>
      </w:r>
      <w:r w:rsidRPr="00315E88">
        <w:rPr>
          <w:rFonts w:ascii="Times New Roman" w:hAnsi="Times New Roman"/>
          <w:color w:val="000000" w:themeColor="text1"/>
        </w:rPr>
        <w:t xml:space="preserve"> (rock inscription of Lčašen</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Lčašen</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At this point, the city of Erebuni</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Erebuni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was founded on the outskirts of today’s Erevan</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Erevan</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to ensure the domination of Armenian</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Armenian</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territory. We have already mentioned the deportation of 6600 warriors mentioned in the stelae of Surp Boğos Church</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Surp Boğos Church</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w:t>
      </w:r>
      <w:r w:rsidRPr="00315E88">
        <w:rPr>
          <w:rFonts w:ascii="Times New Roman" w:hAnsi="Times New Roman"/>
          <w:color w:val="000000" w:themeColor="text1"/>
          <w:lang w:val="en-GB"/>
        </w:rPr>
        <w:t xml:space="preserve"> </w:t>
      </w:r>
      <w:r w:rsidRPr="00315E88">
        <w:rPr>
          <w:rFonts w:ascii="Times New Roman" w:hAnsi="Times New Roman"/>
          <w:color w:val="000000" w:themeColor="text1"/>
        </w:rPr>
        <w:t>The fourth year continues the penetration to the north up to Sevan Lake and to consolidate the conquests the city of Erebuni is founded on the outskirts of today’s Erevan (Arin-berd</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Arin-berd</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w:t>
      </w:r>
      <w:r w:rsidRPr="00315E88">
        <w:rPr>
          <w:rFonts w:ascii="Times New Roman" w:hAnsi="Times New Roman"/>
          <w:color w:val="000000" w:themeColor="text1"/>
          <w:lang w:val="en-GB"/>
        </w:rPr>
        <w:t xml:space="preserve">At the foot of the site in 1968 the Erebuni Museum was built. </w:t>
      </w:r>
      <w:r w:rsidRPr="00315E88">
        <w:rPr>
          <w:rFonts w:ascii="Times New Roman" w:hAnsi="Times New Roman"/>
          <w:color w:val="000000" w:themeColor="text1"/>
        </w:rPr>
        <w:t>As seen in the stelae of Surp Boğos Church it speaks of the 6600 warriors deported from the west. For the fifth year it reports of a first contact with the Assyrians, and the capture of soldiers of a garrison (</w:t>
      </w:r>
      <w:r w:rsidRPr="00315E88">
        <w:rPr>
          <w:rFonts w:ascii="Times New Roman" w:hAnsi="Times New Roman"/>
          <w:color w:val="000000" w:themeColor="text1"/>
          <w:vertAlign w:val="superscript"/>
        </w:rPr>
        <w:t>KUR</w:t>
      </w:r>
      <w:r w:rsidRPr="00315E88">
        <w:rPr>
          <w:rFonts w:ascii="Times New Roman" w:hAnsi="Times New Roman"/>
          <w:color w:val="000000" w:themeColor="text1"/>
        </w:rPr>
        <w:t xml:space="preserve">Aššur </w:t>
      </w:r>
      <w:r w:rsidRPr="00315E88">
        <w:rPr>
          <w:rFonts w:ascii="Times New Roman" w:hAnsi="Times New Roman"/>
          <w:color w:val="000000" w:themeColor="text1"/>
          <w:vertAlign w:val="superscript"/>
        </w:rPr>
        <w:t>L</w:t>
      </w:r>
      <w:r w:rsidRPr="00315E88">
        <w:rPr>
          <w:rFonts w:ascii="Times New Roman" w:hAnsi="Times New Roman" w:cs="Times New Roman"/>
          <w:color w:val="000000" w:themeColor="text1"/>
          <w:vertAlign w:val="superscript"/>
        </w:rPr>
        <w:t>U</w:t>
      </w:r>
      <w:r w:rsidRPr="00315E88">
        <w:rPr>
          <w:rFonts w:ascii="Times New Roman" w:hAnsi="Times New Roman"/>
          <w:color w:val="000000" w:themeColor="text1"/>
        </w:rPr>
        <w:t>ḫuradi).</w:t>
      </w:r>
      <w:r w:rsidRPr="00315E88">
        <w:rPr>
          <w:rFonts w:ascii="Times New Roman" w:hAnsi="Times New Roman"/>
          <w:color w:val="000000" w:themeColor="text1"/>
          <w:lang w:val="en-GB"/>
        </w:rPr>
        <w:t xml:space="preserve"> </w:t>
      </w:r>
      <w:r w:rsidRPr="00315E88">
        <w:rPr>
          <w:rFonts w:ascii="Times New Roman" w:hAnsi="Times New Roman"/>
          <w:color w:val="000000" w:themeColor="text1"/>
        </w:rPr>
        <w:t>In the sixth year the same deeds are repeated and for the first-</w:t>
      </w:r>
      <w:r w:rsidRPr="00315E88">
        <w:rPr>
          <w:rFonts w:ascii="Times New Roman" w:hAnsi="Times New Roman"/>
          <w:color w:val="000000" w:themeColor="text1"/>
        </w:rPr>
        <w:lastRenderedPageBreak/>
        <w:t>time numerous camels appear among the conquered prey. In the tenth year the metropolis of Argištiḫinili</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Argištiḫinili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 “foundations of Argišti) was founded and with this the conquest of the Araxes</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Araxes</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plain was consolidated.</w:t>
      </w:r>
      <w:r w:rsidRPr="00315E88">
        <w:rPr>
          <w:rFonts w:ascii="Times New Roman" w:hAnsi="Times New Roman"/>
          <w:color w:val="000000" w:themeColor="text1"/>
          <w:lang w:val="en-GB"/>
        </w:rPr>
        <w:t xml:space="preserve"> </w:t>
      </w:r>
      <w:r w:rsidRPr="00315E88">
        <w:rPr>
          <w:rFonts w:ascii="Times New Roman" w:hAnsi="Times New Roman"/>
          <w:color w:val="000000" w:themeColor="text1"/>
        </w:rPr>
        <w:t>But even in the south-eastern sector, to the detriment of the Mannean</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Mannean</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territories (rock inscription of Javankaleh</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Javankaleh</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CTU I. A 8-13), the advance continues, which finds a frontier only in the Zagros</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Zagros</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chain.</w:t>
      </w:r>
      <w:r w:rsidRPr="00315E88">
        <w:rPr>
          <w:rFonts w:ascii="Times New Roman" w:hAnsi="Times New Roman"/>
          <w:color w:val="000000" w:themeColor="text1"/>
          <w:lang w:val="en-GB"/>
        </w:rPr>
        <w:t xml:space="preserve"> </w:t>
      </w:r>
      <w:r w:rsidRPr="00315E88">
        <w:rPr>
          <w:rFonts w:ascii="Times New Roman" w:hAnsi="Times New Roman"/>
          <w:color w:val="000000" w:themeColor="text1"/>
        </w:rPr>
        <w:t>As absolute datings we have the references in the list of Assyrian</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Assyrian</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eponyms of clashes with Urartu</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Urartu</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for the years 781-778, 776 and 774 (RlA II p. 431f.). Further elements for the reconstruction of the historical geography come from the discovery of the numerous rock inscriptions of Argišti I</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Argišti 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(CTU I. A 8-7; A 8-13) which have a correspondence with the text of the annals. Rock inscription of the Morevdere</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Morevdere</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CTU I. A 8-7, 5 </w:t>
      </w:r>
      <w:r w:rsidRPr="00315E88">
        <w:rPr>
          <w:rFonts w:ascii="Times New Roman" w:hAnsi="Times New Roman"/>
          <w:color w:val="000000" w:themeColor="text1"/>
          <w:vertAlign w:val="superscript"/>
        </w:rPr>
        <w:t>KUR</w:t>
      </w:r>
      <w:r w:rsidRPr="00315E88">
        <w:rPr>
          <w:rFonts w:ascii="Times New Roman" w:hAnsi="Times New Roman"/>
          <w:color w:val="000000" w:themeColor="text1"/>
        </w:rPr>
        <w:t xml:space="preserve">Ḫuša and </w:t>
      </w:r>
      <w:r w:rsidRPr="00315E88">
        <w:rPr>
          <w:rFonts w:ascii="Times New Roman" w:hAnsi="Times New Roman"/>
          <w:color w:val="000000" w:themeColor="text1"/>
          <w:vertAlign w:val="superscript"/>
        </w:rPr>
        <w:t>KUR</w:t>
      </w:r>
      <w:r w:rsidRPr="00315E88">
        <w:rPr>
          <w:rFonts w:ascii="Times New Roman" w:hAnsi="Times New Roman"/>
          <w:color w:val="000000" w:themeColor="text1"/>
        </w:rPr>
        <w:t xml:space="preserve">Bia see CTU I. A 8-3 I 8 </w:t>
      </w:r>
      <w:r w:rsidRPr="00315E88">
        <w:rPr>
          <w:rFonts w:ascii="Times New Roman" w:hAnsi="Times New Roman"/>
          <w:color w:val="000000" w:themeColor="text1"/>
          <w:vertAlign w:val="superscript"/>
        </w:rPr>
        <w:t>KUR</w:t>
      </w:r>
      <w:r w:rsidRPr="00315E88">
        <w:rPr>
          <w:rFonts w:ascii="Times New Roman" w:hAnsi="Times New Roman"/>
          <w:color w:val="000000" w:themeColor="text1"/>
        </w:rPr>
        <w:t xml:space="preserve">Biani </w:t>
      </w:r>
      <w:r w:rsidRPr="00315E88">
        <w:rPr>
          <w:rFonts w:ascii="Times New Roman" w:hAnsi="Times New Roman"/>
          <w:color w:val="000000" w:themeColor="text1"/>
          <w:vertAlign w:val="superscript"/>
        </w:rPr>
        <w:t>KUR</w:t>
      </w:r>
      <w:r w:rsidRPr="00315E88">
        <w:rPr>
          <w:rFonts w:ascii="Times New Roman" w:hAnsi="Times New Roman"/>
          <w:color w:val="000000" w:themeColor="text1"/>
        </w:rPr>
        <w:t xml:space="preserve">Ḫušani; line 6 </w:t>
      </w:r>
      <w:r w:rsidRPr="00315E88">
        <w:rPr>
          <w:rFonts w:ascii="Times New Roman" w:hAnsi="Times New Roman"/>
          <w:color w:val="000000" w:themeColor="text1"/>
          <w:vertAlign w:val="superscript"/>
        </w:rPr>
        <w:t>KUR</w:t>
      </w:r>
      <w:r w:rsidRPr="00315E88">
        <w:rPr>
          <w:rFonts w:ascii="Times New Roman" w:hAnsi="Times New Roman"/>
          <w:color w:val="000000" w:themeColor="text1"/>
        </w:rPr>
        <w:t>Ašqalaši see CTU I. A 8-2 Rev 11. Line 7 the king of Diaueḫi</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Diaueḫi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near the town of Aḫuria</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Aḫuria</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see CTU I. A 8-6 line 2. Rock inscription of Elar</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Elar</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A 8-8, line 2 </w:t>
      </w:r>
      <w:r w:rsidRPr="00315E88">
        <w:rPr>
          <w:rFonts w:ascii="Times New Roman" w:hAnsi="Times New Roman"/>
          <w:color w:val="000000" w:themeColor="text1"/>
          <w:lang w:val="en-GB"/>
        </w:rPr>
        <w:t>Etiu/Etiuḫi/Etiuni</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Etiu/Etiuḫi/Etiuni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rPr>
        <w:t xml:space="preserve"> see A 8-3 passim (CTU II. p. 306), line 6 Uluani</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Uluani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see CTU I. A 8-3 I 24; Rock inscription of Marmašen</w:t>
      </w:r>
      <w:r w:rsidRPr="00315E88">
        <w:rPr>
          <w:rFonts w:ascii="Times New Roman" w:hAnsi="Times New Roman"/>
          <w:color w:val="000000" w:themeColor="text1"/>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rPr>
        <w:instrText>Marmašen</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rPr>
        <w:fldChar w:fldCharType="end"/>
      </w:r>
      <w:r w:rsidRPr="00315E88">
        <w:rPr>
          <w:rFonts w:ascii="Times New Roman" w:hAnsi="Times New Roman"/>
          <w:color w:val="000000" w:themeColor="text1"/>
        </w:rPr>
        <w:t xml:space="preserve"> CTU I. A 8-10, 3 </w:t>
      </w:r>
      <w:r w:rsidRPr="00315E88">
        <w:rPr>
          <w:rFonts w:ascii="Times New Roman" w:hAnsi="Times New Roman"/>
          <w:color w:val="000000" w:themeColor="text1"/>
          <w:vertAlign w:val="superscript"/>
        </w:rPr>
        <w:t>m</w:t>
      </w:r>
      <w:r w:rsidRPr="00315E88">
        <w:rPr>
          <w:rFonts w:ascii="Times New Roman" w:hAnsi="Times New Roman"/>
          <w:color w:val="000000" w:themeColor="text1"/>
        </w:rPr>
        <w:t xml:space="preserve">Eriaḫi see A 8-3 V 48; CTU I. A 8-10, 5 </w:t>
      </w:r>
      <w:r w:rsidRPr="00315E88">
        <w:rPr>
          <w:rFonts w:ascii="Times New Roman" w:hAnsi="Times New Roman"/>
          <w:color w:val="000000" w:themeColor="text1"/>
          <w:vertAlign w:val="superscript"/>
        </w:rPr>
        <w:t>KUR</w:t>
      </w:r>
      <w:r w:rsidRPr="00315E88">
        <w:rPr>
          <w:rFonts w:ascii="Times New Roman" w:hAnsi="Times New Roman"/>
          <w:color w:val="000000" w:themeColor="text1"/>
        </w:rPr>
        <w:t xml:space="preserve">Išqigulu see CTU I. A 8-3 I 21 and V 49 </w:t>
      </w:r>
      <w:r w:rsidRPr="00315E88">
        <w:rPr>
          <w:rFonts w:ascii="Times New Roman" w:hAnsi="Times New Roman"/>
          <w:color w:val="000000" w:themeColor="text1"/>
          <w:vertAlign w:val="superscript"/>
        </w:rPr>
        <w:t>KUR</w:t>
      </w:r>
      <w:r w:rsidRPr="00315E88">
        <w:rPr>
          <w:rFonts w:ascii="Times New Roman" w:hAnsi="Times New Roman"/>
          <w:color w:val="000000" w:themeColor="text1"/>
        </w:rPr>
        <w:t xml:space="preserve">Išqigulu. Rock inscription of Lčašen CTU I. A 8-11 line 3 </w:t>
      </w:r>
      <w:r w:rsidRPr="00315E88">
        <w:rPr>
          <w:rFonts w:ascii="Times New Roman" w:hAnsi="Times New Roman"/>
          <w:color w:val="000000" w:themeColor="text1"/>
          <w:vertAlign w:val="superscript"/>
        </w:rPr>
        <w:t>URU</w:t>
      </w:r>
      <w:r w:rsidRPr="00315E88">
        <w:rPr>
          <w:rFonts w:ascii="Times New Roman" w:hAnsi="Times New Roman"/>
          <w:color w:val="000000" w:themeColor="text1"/>
        </w:rPr>
        <w:t xml:space="preserve">Qehuni, see </w:t>
      </w:r>
      <w:r w:rsidRPr="00315E88">
        <w:rPr>
          <w:rFonts w:ascii="Times New Roman" w:hAnsi="Times New Roman"/>
          <w:color w:val="000000" w:themeColor="text1"/>
          <w:vertAlign w:val="superscript"/>
        </w:rPr>
        <w:t>URU</w:t>
      </w:r>
      <w:r w:rsidRPr="00315E88">
        <w:rPr>
          <w:rFonts w:ascii="Times New Roman" w:hAnsi="Times New Roman"/>
          <w:color w:val="000000" w:themeColor="text1"/>
        </w:rPr>
        <w:t xml:space="preserve">Qihuni in CTU I. A 8-1 Rev 4, 11, CTU I. A 8-3 II 26, 30.  </w:t>
      </w:r>
    </w:p>
    <w:p w14:paraId="2ABCD810"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rPr>
      </w:pPr>
      <w:r w:rsidRPr="00315E88">
        <w:rPr>
          <w:rFonts w:ascii="Times New Roman" w:hAnsi="Times New Roman"/>
          <w:color w:val="000000" w:themeColor="text1"/>
        </w:rPr>
        <w:t xml:space="preserve">Texts CTU I. A 8-4 and 5 are fragments of annalistic type, they come from the </w:t>
      </w:r>
      <w:r w:rsidRPr="00315E88">
        <w:rPr>
          <w:rStyle w:val="y2iqfc"/>
          <w:rFonts w:asciiTheme="majorBidi" w:eastAsia="Arial" w:hAnsiTheme="majorBidi" w:cstheme="majorBidi"/>
          <w:color w:val="000000" w:themeColor="text1"/>
          <w:lang w:val="en-GB"/>
        </w:rPr>
        <w:t>Old</w:t>
      </w:r>
      <w:r w:rsidRPr="00315E88">
        <w:rPr>
          <w:rFonts w:ascii="Times New Roman" w:hAnsi="Times New Roman"/>
          <w:color w:val="000000" w:themeColor="text1"/>
        </w:rPr>
        <w:t xml:space="preserve"> Van</w:t>
      </w:r>
      <w:r w:rsidRPr="00315E88">
        <w:rPr>
          <w:rStyle w:val="y2iqfc"/>
          <w:rFonts w:asciiTheme="majorBidi" w:eastAsia="Arial" w:hAnsiTheme="majorBidi" w:cstheme="majorBidi"/>
          <w:color w:val="000000" w:themeColor="text1"/>
          <w:lang w:val="en-GB"/>
        </w:rPr>
        <w:t xml:space="preserve"> City</w:t>
      </w:r>
      <w:r w:rsidRPr="00315E88">
        <w:rPr>
          <w:rStyle w:val="y2iqfc"/>
          <w:rFonts w:asciiTheme="majorBidi" w:eastAsia="Arial" w:hAnsiTheme="majorBidi" w:cstheme="majorBidi"/>
          <w:color w:val="000000" w:themeColor="text1"/>
          <w:lang w:val="en-GB"/>
        </w:rPr>
        <w:fldChar w:fldCharType="begin"/>
      </w:r>
      <w:r w:rsidRPr="00315E88">
        <w:rPr>
          <w:color w:val="000000" w:themeColor="text1"/>
        </w:rPr>
        <w:instrText xml:space="preserve"> XE "</w:instrText>
      </w:r>
      <w:r w:rsidRPr="00315E88">
        <w:rPr>
          <w:rFonts w:asciiTheme="majorBidi" w:hAnsiTheme="majorBidi" w:cstheme="majorBidi"/>
          <w:color w:val="000000" w:themeColor="text1"/>
        </w:rPr>
        <w:instrText>Old Van City</w:instrText>
      </w:r>
      <w:r w:rsidRPr="00315E88">
        <w:rPr>
          <w:color w:val="000000" w:themeColor="text1"/>
        </w:rPr>
        <w:instrText xml:space="preserve">" </w:instrText>
      </w:r>
      <w:r w:rsidRPr="00315E88">
        <w:rPr>
          <w:rStyle w:val="y2iqfc"/>
          <w:rFonts w:asciiTheme="majorBidi" w:eastAsia="Arial" w:hAnsiTheme="majorBidi" w:cstheme="majorBidi"/>
          <w:color w:val="000000" w:themeColor="text1"/>
          <w:lang w:val="en-GB"/>
        </w:rPr>
        <w:fldChar w:fldCharType="end"/>
      </w:r>
      <w:r w:rsidRPr="00315E88">
        <w:rPr>
          <w:rFonts w:ascii="Times New Roman" w:hAnsi="Times New Roman"/>
          <w:color w:val="000000" w:themeColor="text1"/>
        </w:rPr>
        <w:t xml:space="preserve"> and are kept in the museum of Tbilisi.</w:t>
      </w:r>
    </w:p>
    <w:p w14:paraId="29B9B076"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GB"/>
        </w:rPr>
      </w:pPr>
      <w:r w:rsidRPr="00315E88">
        <w:rPr>
          <w:rFonts w:ascii="Times New Roman" w:hAnsi="Times New Roman"/>
          <w:color w:val="000000" w:themeColor="text1"/>
        </w:rPr>
        <w:t>Apart from these inscriptions the CTU I. A 8-27, lost, refers to a silo.</w:t>
      </w:r>
    </w:p>
    <w:p w14:paraId="53B35FC1"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2"/>
        <w:rPr>
          <w:rFonts w:ascii="Times New Roman" w:hAnsi="Times New Roman"/>
          <w:b/>
          <w:color w:val="000000" w:themeColor="text1"/>
          <w:lang w:val="en-GB"/>
        </w:rPr>
      </w:pPr>
      <w:bookmarkStart w:id="68" w:name="_Toc173231207"/>
      <w:r w:rsidRPr="00315E88">
        <w:rPr>
          <w:rFonts w:ascii="Times New Roman" w:hAnsi="Times New Roman"/>
          <w:b/>
          <w:color w:val="000000" w:themeColor="text1"/>
          <w:lang w:val="en-GB"/>
        </w:rPr>
        <w:t>4.2.5. The Annals of Sarduri</w:t>
      </w:r>
      <w:r w:rsidRPr="00315E88">
        <w:rPr>
          <w:rFonts w:ascii="Times New Roman" w:hAnsi="Times New Roman"/>
          <w:b/>
          <w:color w:val="000000" w:themeColor="text1"/>
          <w:lang w:val="en-GB"/>
        </w:rPr>
        <w:fldChar w:fldCharType="begin"/>
      </w:r>
      <w:r w:rsidRPr="00315E88">
        <w:rPr>
          <w:rFonts w:ascii="Courier New" w:hAnsi="Courier New"/>
          <w:b/>
          <w:color w:val="000000" w:themeColor="text1"/>
          <w:lang w:val="en-GB"/>
        </w:rPr>
        <w:instrText xml:space="preserve"> XE "</w:instrText>
      </w:r>
      <w:r w:rsidRPr="00315E88">
        <w:rPr>
          <w:rFonts w:ascii="Times New Roman" w:hAnsi="Times New Roman"/>
          <w:b/>
          <w:color w:val="000000" w:themeColor="text1"/>
          <w:lang w:val="en-GB"/>
        </w:rPr>
        <w:instrText>Sarduri</w:instrText>
      </w:r>
      <w:r w:rsidRPr="00315E88">
        <w:rPr>
          <w:rFonts w:ascii="Courier New" w:hAnsi="Courier New"/>
          <w:b/>
          <w:color w:val="000000" w:themeColor="text1"/>
          <w:lang w:val="en-GB"/>
        </w:rPr>
        <w:instrText xml:space="preserve">" </w:instrText>
      </w:r>
      <w:r w:rsidRPr="00315E88">
        <w:rPr>
          <w:rFonts w:ascii="Times New Roman" w:hAnsi="Times New Roman"/>
          <w:b/>
          <w:color w:val="000000" w:themeColor="text1"/>
          <w:lang w:val="en-GB"/>
        </w:rPr>
        <w:fldChar w:fldCharType="end"/>
      </w:r>
      <w:r w:rsidRPr="00315E88">
        <w:rPr>
          <w:rFonts w:ascii="Times New Roman" w:hAnsi="Times New Roman"/>
          <w:b/>
          <w:color w:val="000000" w:themeColor="text1"/>
          <w:lang w:val="en-GB"/>
        </w:rPr>
        <w:t xml:space="preserve"> II</w:t>
      </w:r>
      <w:r w:rsidRPr="00315E88">
        <w:rPr>
          <w:rFonts w:ascii="Times New Roman" w:hAnsi="Times New Roman"/>
          <w:b/>
          <w:color w:val="000000" w:themeColor="text1"/>
          <w:lang w:val="en-GB"/>
        </w:rPr>
        <w:fldChar w:fldCharType="begin"/>
      </w:r>
      <w:r w:rsidRPr="00315E88">
        <w:rPr>
          <w:rFonts w:ascii="Courier New" w:hAnsi="Courier New"/>
          <w:b/>
          <w:color w:val="000000" w:themeColor="text1"/>
          <w:lang w:val="en-GB"/>
        </w:rPr>
        <w:instrText xml:space="preserve"> XE "</w:instrText>
      </w:r>
      <w:r w:rsidRPr="00315E88">
        <w:rPr>
          <w:rFonts w:ascii="Times New Roman" w:hAnsi="Times New Roman"/>
          <w:b/>
          <w:color w:val="000000" w:themeColor="text1"/>
          <w:lang w:val="en-GB"/>
        </w:rPr>
        <w:instrText>Sarduri II</w:instrText>
      </w:r>
      <w:r w:rsidRPr="00315E88">
        <w:rPr>
          <w:rFonts w:ascii="Courier New" w:hAnsi="Courier New"/>
          <w:b/>
          <w:color w:val="000000" w:themeColor="text1"/>
          <w:lang w:val="en-GB"/>
        </w:rPr>
        <w:instrText xml:space="preserve">" </w:instrText>
      </w:r>
      <w:r w:rsidRPr="00315E88">
        <w:rPr>
          <w:rFonts w:ascii="Times New Roman" w:hAnsi="Times New Roman"/>
          <w:b/>
          <w:color w:val="000000" w:themeColor="text1"/>
          <w:lang w:val="en-GB"/>
        </w:rPr>
        <w:fldChar w:fldCharType="end"/>
      </w:r>
      <w:r w:rsidRPr="00315E88">
        <w:rPr>
          <w:rFonts w:ascii="Times New Roman" w:hAnsi="Times New Roman"/>
          <w:b/>
          <w:color w:val="000000" w:themeColor="text1"/>
          <w:lang w:val="en-GB"/>
        </w:rPr>
        <w:t>. (plan, No. 23).</w:t>
      </w:r>
      <w:bookmarkEnd w:id="68"/>
    </w:p>
    <w:p w14:paraId="236D547E"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GB"/>
        </w:rPr>
      </w:pPr>
      <w:r w:rsidRPr="00315E88">
        <w:rPr>
          <w:rFonts w:ascii="Times New Roman" w:hAnsi="Times New Roman"/>
          <w:color w:val="000000" w:themeColor="text1"/>
        </w:rPr>
        <w:t>The fate of the Annals of Sarduri</w:t>
      </w:r>
      <w:r w:rsidRPr="00315E88">
        <w:rPr>
          <w:rFonts w:ascii="Times New Roman" w:eastAsia="Arial" w:hAnsi="Times New Roman" w:cs="Times New Roman"/>
          <w:color w:val="000000" w:themeColor="text1"/>
          <w:lang w:val="en-GB" w:eastAsia="it-IT"/>
        </w:rPr>
        <w:t> </w:t>
      </w:r>
      <w:r w:rsidRPr="00315E88">
        <w:rPr>
          <w:rStyle w:val="y2iqfc"/>
          <w:rFonts w:asciiTheme="majorBidi" w:eastAsia="Arial" w:hAnsiTheme="majorBidi" w:cstheme="majorBidi"/>
          <w:color w:val="000000" w:themeColor="text1"/>
          <w:lang w:val="en-GB"/>
        </w:rPr>
        <w:t xml:space="preserve"> </w:t>
      </w:r>
      <w:r w:rsidRPr="00315E88">
        <w:rPr>
          <w:rFonts w:ascii="Times New Roman" w:hAnsi="Times New Roman"/>
          <w:color w:val="000000" w:themeColor="text1"/>
        </w:rPr>
        <w:t>II</w:t>
      </w:r>
      <w:r w:rsidRPr="00315E88">
        <w:rPr>
          <w:rFonts w:ascii="Times New Roman" w:eastAsia="Arial" w:hAnsi="Times New Roman" w:cs="Times New Roman"/>
          <w:color w:val="000000" w:themeColor="text1"/>
          <w:lang w:val="en-GB" w:eastAsia="it-IT"/>
        </w:rPr>
        <w:t> </w:t>
      </w:r>
      <w:r w:rsidRPr="00315E88">
        <w:rPr>
          <w:rStyle w:val="y2iqfc"/>
          <w:rFonts w:asciiTheme="majorBidi" w:eastAsia="Arial" w:hAnsiTheme="majorBidi" w:cstheme="majorBidi"/>
          <w:color w:val="000000" w:themeColor="text1"/>
          <w:lang w:val="en-GB"/>
        </w:rPr>
        <w:fldChar w:fldCharType="begin"/>
      </w:r>
      <w:r w:rsidRPr="00315E88">
        <w:rPr>
          <w:rFonts w:asciiTheme="majorBidi" w:hAnsiTheme="majorBidi" w:cstheme="majorBidi"/>
          <w:color w:val="000000" w:themeColor="text1"/>
          <w:lang w:val="en-GB"/>
        </w:rPr>
        <w:instrText xml:space="preserve"> XE "Sarduri II" </w:instrText>
      </w:r>
      <w:r w:rsidRPr="00315E88">
        <w:rPr>
          <w:rStyle w:val="y2iqfc"/>
          <w:rFonts w:asciiTheme="majorBidi" w:eastAsia="Arial" w:hAnsiTheme="majorBidi" w:cstheme="majorBidi"/>
          <w:color w:val="000000" w:themeColor="text1"/>
          <w:lang w:val="en-GB"/>
        </w:rPr>
        <w:fldChar w:fldCharType="end"/>
      </w:r>
      <w:r w:rsidRPr="00315E88">
        <w:rPr>
          <w:rStyle w:val="y2iqfc"/>
          <w:rFonts w:asciiTheme="majorBidi" w:eastAsia="Arial" w:hAnsiTheme="majorBidi" w:cstheme="majorBidi"/>
          <w:color w:val="000000" w:themeColor="text1"/>
          <w:lang w:val="en-GB"/>
        </w:rPr>
        <w:t xml:space="preserve"> </w:t>
      </w:r>
      <w:r w:rsidRPr="00315E88">
        <w:rPr>
          <w:rFonts w:ascii="Times New Roman" w:hAnsi="Times New Roman"/>
          <w:color w:val="000000" w:themeColor="text1"/>
        </w:rPr>
        <w:t>(CTU I. A 9-1,2,3)</w:t>
      </w:r>
      <w:r w:rsidRPr="00315E88">
        <w:rPr>
          <w:rStyle w:val="DipnotBavurusu"/>
          <w:rFonts w:asciiTheme="majorBidi" w:eastAsia="Arial" w:hAnsiTheme="majorBidi"/>
          <w:color w:val="000000" w:themeColor="text1"/>
          <w:lang w:val="en-GB"/>
        </w:rPr>
        <w:footnoteReference w:id="37"/>
      </w:r>
      <w:r w:rsidRPr="00315E88">
        <w:rPr>
          <w:rFonts w:asciiTheme="majorBidi" w:hAnsiTheme="majorBidi" w:cstheme="majorBidi"/>
          <w:color w:val="000000" w:themeColor="text1"/>
          <w:lang w:val="en-GB"/>
        </w:rPr>
        <w:t xml:space="preserve"> </w:t>
      </w:r>
      <w:r w:rsidRPr="00315E88">
        <w:rPr>
          <w:rFonts w:ascii="Times New Roman" w:hAnsi="Times New Roman"/>
          <w:color w:val="000000" w:themeColor="text1"/>
        </w:rPr>
        <w:t>at Van Fortress</w:t>
      </w:r>
      <w:r w:rsidRPr="00315E88">
        <w:rPr>
          <w:rFonts w:ascii="Times New Roman" w:eastAsia="Arial" w:hAnsi="Times New Roman" w:cs="Times New Roman"/>
          <w:color w:val="000000" w:themeColor="text1"/>
          <w:lang w:val="en-GB" w:eastAsia="it-IT"/>
        </w:rPr>
        <w:t> </w:t>
      </w:r>
      <w:r w:rsidRPr="00315E88">
        <w:rPr>
          <w:rFonts w:ascii="Times New Roman" w:hAnsi="Times New Roman"/>
          <w:color w:val="000000" w:themeColor="text1"/>
        </w:rPr>
        <w:t xml:space="preserve">is </w:t>
      </w:r>
      <w:r w:rsidRPr="00315E88">
        <w:rPr>
          <w:rFonts w:ascii="Times New Roman" w:eastAsia="Arial" w:hAnsi="Times New Roman" w:cs="Times New Roman"/>
          <w:color w:val="000000" w:themeColor="text1"/>
          <w:lang w:val="en-GB" w:eastAsia="it-IT"/>
        </w:rPr>
        <w:t>unfortunate</w:t>
      </w:r>
      <w:r w:rsidRPr="00315E88">
        <w:rPr>
          <w:rFonts w:ascii="Times New Roman" w:hAnsi="Times New Roman"/>
          <w:color w:val="000000" w:themeColor="text1"/>
        </w:rPr>
        <w:t xml:space="preserve"> because the text was abandoned after the Russian discovery and excavation of 1916 and systematically destroyed by local vandals. This is particularly serious given that the new museum was built right under the remains of Hazine Kapısı</w:t>
      </w:r>
      <w:r w:rsidRPr="00315E88">
        <w:rPr>
          <w:rFonts w:ascii="Times New Roman" w:eastAsia="Arial" w:hAnsi="Times New Roman" w:cs="Times New Roman"/>
          <w:color w:val="000000" w:themeColor="text1"/>
          <w:lang w:val="en-GB" w:eastAsia="it-IT"/>
        </w:rPr>
        <w:t> </w:t>
      </w:r>
      <w:r w:rsidRPr="00315E88">
        <w:rPr>
          <w:rStyle w:val="y2iqfc"/>
          <w:rFonts w:asciiTheme="majorBidi" w:eastAsia="Arial" w:hAnsiTheme="majorBidi" w:cstheme="majorBidi"/>
          <w:color w:val="000000" w:themeColor="text1"/>
          <w:lang w:val="en-GB"/>
        </w:rPr>
        <w:fldChar w:fldCharType="begin"/>
      </w:r>
      <w:r w:rsidRPr="00315E88">
        <w:rPr>
          <w:rFonts w:asciiTheme="majorBidi" w:hAnsiTheme="majorBidi" w:cstheme="majorBidi"/>
          <w:color w:val="000000" w:themeColor="text1"/>
          <w:lang w:val="en-GB"/>
        </w:rPr>
        <w:instrText xml:space="preserve"> XE "Hazine Kapısı" </w:instrText>
      </w:r>
      <w:r w:rsidRPr="00315E88">
        <w:rPr>
          <w:rStyle w:val="y2iqfc"/>
          <w:rFonts w:asciiTheme="majorBidi" w:eastAsia="Arial" w:hAnsiTheme="majorBidi" w:cstheme="majorBidi"/>
          <w:color w:val="000000" w:themeColor="text1"/>
          <w:lang w:val="en-GB"/>
        </w:rPr>
        <w:fldChar w:fldCharType="end"/>
      </w:r>
      <w:r w:rsidRPr="00315E88">
        <w:rPr>
          <w:rStyle w:val="y2iqfc"/>
          <w:rFonts w:asciiTheme="majorBidi" w:eastAsia="Arial" w:hAnsiTheme="majorBidi" w:cstheme="majorBidi"/>
          <w:color w:val="000000" w:themeColor="text1"/>
          <w:lang w:val="en-GB"/>
        </w:rPr>
        <w:t xml:space="preserve"> </w:t>
      </w:r>
      <w:r w:rsidRPr="00315E88">
        <w:rPr>
          <w:rFonts w:ascii="Times New Roman" w:hAnsi="Times New Roman"/>
          <w:color w:val="000000" w:themeColor="text1"/>
        </w:rPr>
        <w:t>or Analıkız</w:t>
      </w:r>
      <w:r w:rsidRPr="00315E88">
        <w:rPr>
          <w:rFonts w:ascii="Times New Roman" w:eastAsia="Arial" w:hAnsi="Times New Roman" w:cs="Times New Roman"/>
          <w:color w:val="000000" w:themeColor="text1"/>
          <w:lang w:val="en-GB" w:eastAsia="it-IT"/>
        </w:rPr>
        <w:t>.</w:t>
      </w:r>
      <w:r w:rsidRPr="00315E88">
        <w:rPr>
          <w:rStyle w:val="y2iqfc"/>
          <w:rFonts w:asciiTheme="majorBidi" w:eastAsia="Arial" w:hAnsiTheme="majorBidi" w:cstheme="majorBidi"/>
          <w:color w:val="000000" w:themeColor="text1"/>
          <w:lang w:val="en-GB"/>
        </w:rPr>
        <w:fldChar w:fldCharType="begin"/>
      </w:r>
      <w:r w:rsidRPr="00315E88">
        <w:rPr>
          <w:rFonts w:asciiTheme="majorBidi" w:hAnsiTheme="majorBidi" w:cstheme="majorBidi"/>
          <w:color w:val="000000" w:themeColor="text1"/>
          <w:lang w:val="en-GB"/>
        </w:rPr>
        <w:instrText xml:space="preserve"> XE "</w:instrText>
      </w:r>
      <w:r w:rsidRPr="00315E88">
        <w:rPr>
          <w:rStyle w:val="y2iqfc"/>
          <w:rFonts w:asciiTheme="majorBidi" w:eastAsia="Arial" w:hAnsiTheme="majorBidi" w:cstheme="majorBidi"/>
          <w:color w:val="000000" w:themeColor="text1"/>
          <w:lang w:val="en-GB"/>
        </w:rPr>
        <w:instrText>Analıkız</w:instrText>
      </w:r>
      <w:r w:rsidRPr="00315E88">
        <w:rPr>
          <w:rFonts w:asciiTheme="majorBidi" w:hAnsiTheme="majorBidi" w:cstheme="majorBidi"/>
          <w:color w:val="000000" w:themeColor="text1"/>
          <w:lang w:val="en-GB"/>
        </w:rPr>
        <w:instrText xml:space="preserve">" </w:instrText>
      </w:r>
      <w:r w:rsidRPr="00315E88">
        <w:rPr>
          <w:rStyle w:val="y2iqfc"/>
          <w:rFonts w:asciiTheme="majorBidi" w:eastAsia="Arial" w:hAnsiTheme="majorBidi" w:cstheme="majorBidi"/>
          <w:color w:val="000000" w:themeColor="text1"/>
          <w:lang w:val="en-GB"/>
        </w:rPr>
        <w:fldChar w:fldCharType="end"/>
      </w:r>
      <w:r w:rsidRPr="00315E88">
        <w:rPr>
          <w:rFonts w:ascii="Times New Roman" w:hAnsi="Times New Roman"/>
          <w:color w:val="000000" w:themeColor="text1"/>
        </w:rPr>
        <w:t xml:space="preserve"> Even the events of the reign of Sarduri, son of Argišti I</w:t>
      </w:r>
      <w:r w:rsidRPr="00315E88">
        <w:rPr>
          <w:rStyle w:val="y2iqfc"/>
          <w:rFonts w:asciiTheme="majorBidi" w:eastAsia="Arial" w:hAnsiTheme="majorBidi" w:cstheme="majorBidi"/>
          <w:color w:val="000000" w:themeColor="text1"/>
          <w:lang w:val="en-GB"/>
        </w:rPr>
        <w:fldChar w:fldCharType="begin"/>
      </w:r>
      <w:r w:rsidRPr="00315E88">
        <w:rPr>
          <w:rFonts w:asciiTheme="majorBidi" w:hAnsiTheme="majorBidi" w:cstheme="majorBidi"/>
          <w:color w:val="000000" w:themeColor="text1"/>
          <w:lang w:val="en-GB"/>
        </w:rPr>
        <w:instrText xml:space="preserve"> XE "Argišti I" </w:instrText>
      </w:r>
      <w:r w:rsidRPr="00315E88">
        <w:rPr>
          <w:rStyle w:val="y2iqfc"/>
          <w:rFonts w:asciiTheme="majorBidi" w:eastAsia="Arial" w:hAnsiTheme="majorBidi" w:cstheme="majorBidi"/>
          <w:color w:val="000000" w:themeColor="text1"/>
          <w:lang w:val="en-GB"/>
        </w:rPr>
        <w:fldChar w:fldCharType="end"/>
      </w:r>
      <w:r w:rsidRPr="00315E88">
        <w:rPr>
          <w:rStyle w:val="y2iqfc"/>
          <w:rFonts w:asciiTheme="majorBidi" w:eastAsia="Arial" w:hAnsiTheme="majorBidi" w:cstheme="majorBidi"/>
          <w:color w:val="000000" w:themeColor="text1"/>
          <w:lang w:val="en-GB"/>
        </w:rPr>
        <w:t>,</w:t>
      </w:r>
      <w:r w:rsidRPr="00315E88">
        <w:rPr>
          <w:rFonts w:ascii="Times New Roman" w:hAnsi="Times New Roman"/>
          <w:color w:val="000000" w:themeColor="text1"/>
        </w:rPr>
        <w:t xml:space="preserve"> can be reconstructed thanks to the long text of the Annals, connected with the data of numerous rock inscriptions left in the very places of the enterprises, or on the way to reach the goal of the expeditions. As reconstructed in CTU III, p. 256 ff. </w:t>
      </w:r>
      <w:r w:rsidRPr="00315E88">
        <w:rPr>
          <w:rFonts w:ascii="Times New Roman" w:eastAsia="Arial" w:hAnsi="Times New Roman" w:cs="Times New Roman"/>
          <w:color w:val="000000" w:themeColor="text1"/>
          <w:lang w:val="en-GB" w:eastAsia="it-IT"/>
        </w:rPr>
        <w:t>The</w:t>
      </w:r>
      <w:r w:rsidRPr="00315E88">
        <w:rPr>
          <w:rFonts w:ascii="Times New Roman" w:hAnsi="Times New Roman"/>
          <w:color w:val="000000" w:themeColor="text1"/>
        </w:rPr>
        <w:t xml:space="preserve"> text of the Annals began on a stele located in the left (EAST) niche of Hazine Kapısı, inscribed on all four faces, and continued in the right (WEST) niche, partly on rock and partly on a </w:t>
      </w:r>
      <w:r w:rsidRPr="00315E88">
        <w:rPr>
          <w:rFonts w:ascii="Times New Roman" w:eastAsia="Arial" w:hAnsi="Times New Roman" w:cs="Times New Roman"/>
          <w:color w:val="000000" w:themeColor="text1"/>
          <w:lang w:val="en-GB" w:eastAsia="it-IT"/>
        </w:rPr>
        <w:t>sizeable</w:t>
      </w:r>
      <w:r w:rsidRPr="00315E88">
        <w:rPr>
          <w:rFonts w:ascii="Times New Roman" w:hAnsi="Times New Roman"/>
          <w:color w:val="000000" w:themeColor="text1"/>
        </w:rPr>
        <w:t xml:space="preserve"> unfinished stele and on its basis. Today</w:t>
      </w:r>
      <w:r w:rsidRPr="00315E88">
        <w:rPr>
          <w:rFonts w:ascii="Times New Roman" w:eastAsia="Arial" w:hAnsi="Times New Roman" w:cs="Times New Roman"/>
          <w:color w:val="000000" w:themeColor="text1"/>
          <w:lang w:val="en-GB" w:eastAsia="it-IT"/>
        </w:rPr>
        <w:t>,</w:t>
      </w:r>
      <w:r w:rsidRPr="00315E88">
        <w:rPr>
          <w:rFonts w:ascii="Times New Roman" w:hAnsi="Times New Roman"/>
          <w:color w:val="000000" w:themeColor="text1"/>
        </w:rPr>
        <w:t xml:space="preserve"> everything lies in pieces and </w:t>
      </w:r>
      <w:r w:rsidRPr="00315E88">
        <w:rPr>
          <w:rFonts w:ascii="Times New Roman" w:eastAsia="Arial" w:hAnsi="Times New Roman" w:cs="Times New Roman"/>
          <w:color w:val="000000" w:themeColor="text1"/>
          <w:lang w:val="en-GB" w:eastAsia="it-IT"/>
        </w:rPr>
        <w:t xml:space="preserve">has </w:t>
      </w:r>
      <w:r w:rsidRPr="00315E88">
        <w:rPr>
          <w:rFonts w:ascii="Times New Roman" w:hAnsi="Times New Roman"/>
          <w:color w:val="000000" w:themeColor="text1"/>
        </w:rPr>
        <w:t>largely disappeared, but the splendid photographs of the Russian expedition remain reproduced in the Corpus of Lehmann-Haupt</w:t>
      </w:r>
      <w:r w:rsidRPr="00315E88">
        <w:rPr>
          <w:rFonts w:ascii="Times New Roman" w:eastAsia="Arial" w:hAnsi="Times New Roman" w:cs="Times New Roman"/>
          <w:color w:val="000000" w:themeColor="text1"/>
          <w:lang w:val="en-GB" w:eastAsia="it-IT"/>
        </w:rPr>
        <w:t> </w:t>
      </w:r>
      <w:r w:rsidRPr="00315E88">
        <w:rPr>
          <w:rFonts w:ascii="Times New Roman" w:hAnsi="Times New Roman"/>
          <w:color w:val="000000" w:themeColor="text1"/>
        </w:rPr>
        <w:t xml:space="preserve">(CICh. 132 A Pl. XXXII-XXXVII). </w:t>
      </w:r>
      <w:r w:rsidRPr="00315E88">
        <w:rPr>
          <w:rFonts w:ascii="Times New Roman" w:hAnsi="Times New Roman"/>
          <w:color w:val="000000" w:themeColor="text1"/>
          <w:lang w:val="en-GB"/>
        </w:rPr>
        <w:t>To check the reproductions of all the existing fragments of the Annals of Sarduri II</w:t>
      </w:r>
      <w:r w:rsidRPr="00315E88">
        <w:rPr>
          <w:rFonts w:ascii="Times New Roman" w:eastAsia="Arial" w:hAnsi="Times New Roman" w:cs="Times New Roman"/>
          <w:color w:val="000000" w:themeColor="text1"/>
          <w:lang w:val="en-GB" w:eastAsia="it-IT"/>
        </w:rPr>
        <w:t>,</w:t>
      </w:r>
      <w:r w:rsidRPr="00315E88">
        <w:rPr>
          <w:rFonts w:ascii="Times New Roman" w:hAnsi="Times New Roman"/>
          <w:color w:val="000000" w:themeColor="text1"/>
          <w:lang w:val="en-GB"/>
        </w:rPr>
        <w:t xml:space="preserve"> consult CTU III, p. 250-267. Here</w:t>
      </w:r>
      <w:r w:rsidRPr="00315E88">
        <w:rPr>
          <w:rFonts w:ascii="Times New Roman" w:eastAsia="Arial" w:hAnsi="Times New Roman" w:cs="Times New Roman"/>
          <w:color w:val="000000" w:themeColor="text1"/>
          <w:lang w:val="en-GB" w:eastAsia="it-IT"/>
        </w:rPr>
        <w:t>,</w:t>
      </w:r>
      <w:r w:rsidRPr="00315E88">
        <w:rPr>
          <w:rFonts w:ascii="Times New Roman" w:hAnsi="Times New Roman"/>
          <w:color w:val="000000" w:themeColor="text1"/>
          <w:lang w:val="en-GB"/>
        </w:rPr>
        <w:t xml:space="preserve"> the reconstructions of the two niches of Hazine Kapısı will suffice. In any case, </w:t>
      </w:r>
      <w:r w:rsidRPr="00315E88">
        <w:rPr>
          <w:rFonts w:ascii="Times New Roman" w:eastAsia="Arial" w:hAnsi="Times New Roman" w:cs="Times New Roman"/>
          <w:color w:val="000000" w:themeColor="text1"/>
          <w:lang w:val="en-GB" w:eastAsia="it-IT"/>
        </w:rPr>
        <w:t>Schulz's</w:t>
      </w:r>
      <w:r w:rsidRPr="00315E88">
        <w:rPr>
          <w:rFonts w:ascii="Times New Roman" w:hAnsi="Times New Roman"/>
          <w:color w:val="000000" w:themeColor="text1"/>
          <w:lang w:val="en-GB"/>
        </w:rPr>
        <w:t xml:space="preserve"> first discovery and publication of what will be part of the first stele of the annals is cited here</w:t>
      </w:r>
      <w:r w:rsidRPr="00315E88">
        <w:rPr>
          <w:rFonts w:ascii="Times New Roman" w:eastAsia="Arial" w:hAnsi="Times New Roman" w:cs="Times New Roman"/>
          <w:color w:val="000000" w:themeColor="text1"/>
          <w:lang w:val="en-GB" w:eastAsia="it-IT"/>
        </w:rPr>
        <w:t>; posthumous</w:t>
      </w:r>
      <w:r w:rsidRPr="00315E88">
        <w:rPr>
          <w:rFonts w:ascii="Times New Roman" w:hAnsi="Times New Roman"/>
          <w:color w:val="000000" w:themeColor="text1"/>
          <w:lang w:val="en-GB"/>
        </w:rPr>
        <w:t xml:space="preserve"> publication in the Journal Asiatique 1840 (Fig. 67) and original copy (Fig. 68).</w:t>
      </w:r>
    </w:p>
    <w:p w14:paraId="344F366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noProof/>
          <w:color w:val="202124"/>
          <w:lang w:eastAsia="tr-TR"/>
        </w:rPr>
        <w:lastRenderedPageBreak/>
        <w:drawing>
          <wp:anchor distT="0" distB="0" distL="114300" distR="114300" simplePos="0" relativeHeight="251962368" behindDoc="1" locked="0" layoutInCell="1" allowOverlap="1" wp14:anchorId="2A5B6DD1" wp14:editId="1090C119">
            <wp:simplePos x="0" y="0"/>
            <wp:positionH relativeFrom="column">
              <wp:posOffset>110490</wp:posOffset>
            </wp:positionH>
            <wp:positionV relativeFrom="paragraph">
              <wp:posOffset>384175</wp:posOffset>
            </wp:positionV>
            <wp:extent cx="6120130" cy="4092575"/>
            <wp:effectExtent l="0" t="0" r="0" b="0"/>
            <wp:wrapTight wrapText="bothSides">
              <wp:wrapPolygon edited="0">
                <wp:start x="0" y="0"/>
                <wp:lineTo x="0" y="21516"/>
                <wp:lineTo x="21515" y="21516"/>
                <wp:lineTo x="21515" y="0"/>
                <wp:lineTo x="0" y="0"/>
              </wp:wrapPolygon>
            </wp:wrapTight>
            <wp:docPr id="737423770" name="Immagine 1" descr="dış mekan, siyah beyaz, çim,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23770" name="Immagine 1" descr="dış mekan, siyah beyaz, çim, gökyüzü içeren bir resim&#10;&#10;Açıklama otomatik olarak oluşturuldu"/>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6120130" cy="4092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E6AB9D" w14:textId="77777777" w:rsidR="00B4516E" w:rsidRPr="00CC135C" w:rsidRDefault="00B4516E" w:rsidP="00B4516E">
      <w:pPr>
        <w:rPr>
          <w:rFonts w:ascii="Times New Roman" w:hAnsi="Times New Roman"/>
          <w:lang w:val="en-GB"/>
        </w:rPr>
      </w:pPr>
      <w:r w:rsidRPr="00CC135C">
        <w:rPr>
          <w:rFonts w:ascii="Times New Roman" w:hAnsi="Times New Roman"/>
          <w:lang w:val="en-GB"/>
        </w:rPr>
        <w:t xml:space="preserve">  Fig. 66 The rock monument of Analıkız</w:t>
      </w:r>
      <w:r w:rsidRPr="00CC135C">
        <w:rPr>
          <w:rFonts w:ascii="Times New Roman" w:hAnsi="Times New Roman"/>
          <w:lang w:val="en-GB"/>
        </w:rPr>
        <w:fldChar w:fldCharType="begin"/>
      </w:r>
      <w:r w:rsidRPr="00CC135C">
        <w:rPr>
          <w:rFonts w:ascii="Times New Roman" w:hAnsi="Times New Roman"/>
          <w:lang w:val="en-GB"/>
        </w:rPr>
        <w:instrText xml:space="preserve"> XE "Analıkız" </w:instrText>
      </w:r>
      <w:r w:rsidRPr="00CC135C">
        <w:rPr>
          <w:rFonts w:ascii="Times New Roman" w:hAnsi="Times New Roman"/>
          <w:lang w:val="en-GB"/>
        </w:rPr>
        <w:fldChar w:fldCharType="end"/>
      </w:r>
      <w:r w:rsidRPr="00CC135C">
        <w:rPr>
          <w:rFonts w:ascii="Times New Roman" w:hAnsi="Times New Roman"/>
          <w:lang w:val="en-GB"/>
        </w:rPr>
        <w:t>/Hazine Kapısı</w:t>
      </w:r>
      <w:r w:rsidRPr="00CC135C">
        <w:rPr>
          <w:rFonts w:ascii="Times New Roman" w:hAnsi="Times New Roman"/>
          <w:lang w:val="en-GB"/>
        </w:rPr>
        <w:fldChar w:fldCharType="begin"/>
      </w:r>
      <w:r w:rsidRPr="00CC135C">
        <w:rPr>
          <w:rFonts w:ascii="Times New Roman" w:hAnsi="Times New Roman"/>
          <w:lang w:val="en-GB"/>
        </w:rPr>
        <w:instrText xml:space="preserve"> XE "Hazine Kapısı" </w:instrText>
      </w:r>
      <w:r w:rsidRPr="00CC135C">
        <w:rPr>
          <w:rFonts w:ascii="Times New Roman" w:hAnsi="Times New Roman"/>
          <w:lang w:val="en-GB"/>
        </w:rPr>
        <w:fldChar w:fldCharType="end"/>
      </w:r>
      <w:r w:rsidRPr="00CC135C">
        <w:rPr>
          <w:rFonts w:ascii="Times New Roman" w:hAnsi="Times New Roman"/>
          <w:lang w:val="en-GB"/>
        </w:rPr>
        <w:t>, on the northern slope of the Ṭušpa</w:t>
      </w:r>
      <w:r w:rsidRPr="00F37C64">
        <w:rPr>
          <w:rFonts w:asciiTheme="majorBidi" w:hAnsiTheme="majorBidi" w:cstheme="majorBidi"/>
          <w:lang w:val="en-GB"/>
        </w:rPr>
        <w:t>/Van</w:t>
      </w:r>
      <w:r w:rsidRPr="00CC135C">
        <w:rPr>
          <w:rFonts w:ascii="Times New Roman" w:hAnsi="Times New Roman"/>
          <w:lang w:val="en-GB"/>
        </w:rPr>
        <w:t xml:space="preserve"> Rock</w:t>
      </w:r>
      <w:r w:rsidRPr="00CC135C">
        <w:rPr>
          <w:rFonts w:ascii="Times New Roman" w:hAnsi="Times New Roman"/>
          <w:lang w:val="en-GB"/>
        </w:rPr>
        <w:fldChar w:fldCharType="begin"/>
      </w:r>
      <w:r w:rsidRPr="00CC135C">
        <w:rPr>
          <w:rFonts w:ascii="Times New Roman" w:hAnsi="Times New Roman"/>
          <w:lang w:val="en-GB"/>
        </w:rPr>
        <w:instrText xml:space="preserve"> XE "Ṭušpa</w:instrText>
      </w:r>
      <w:r w:rsidRPr="00F37C64">
        <w:rPr>
          <w:rFonts w:asciiTheme="majorBidi" w:hAnsiTheme="majorBidi" w:cstheme="majorBidi"/>
          <w:lang w:val="en-GB"/>
        </w:rPr>
        <w:instrText>/Van</w:instrText>
      </w:r>
      <w:r w:rsidRPr="00CC135C">
        <w:rPr>
          <w:rFonts w:ascii="Times New Roman" w:hAnsi="Times New Roman"/>
          <w:lang w:val="en-GB"/>
        </w:rPr>
        <w:instrText xml:space="preserve"> Rock" </w:instrText>
      </w:r>
      <w:r w:rsidRPr="00CC135C">
        <w:rPr>
          <w:rFonts w:ascii="Times New Roman" w:hAnsi="Times New Roman"/>
          <w:lang w:val="en-GB"/>
        </w:rPr>
        <w:fldChar w:fldCharType="end"/>
      </w:r>
      <w:r w:rsidRPr="00CC135C">
        <w:rPr>
          <w:rFonts w:ascii="Times New Roman" w:hAnsi="Times New Roman"/>
          <w:lang w:val="en-GB"/>
        </w:rPr>
        <w:t>. The two niches housed the annalistic texts of Sarduri II</w:t>
      </w:r>
      <w:r w:rsidRPr="00CC135C">
        <w:rPr>
          <w:rFonts w:ascii="Times New Roman" w:hAnsi="Times New Roman"/>
          <w:lang w:val="en-GB"/>
        </w:rPr>
        <w:fldChar w:fldCharType="begin"/>
      </w:r>
      <w:r w:rsidRPr="00CC135C">
        <w:rPr>
          <w:rFonts w:ascii="Times New Roman" w:hAnsi="Times New Roman"/>
          <w:lang w:val="en-GB"/>
        </w:rPr>
        <w:instrText xml:space="preserve"> XE "Sarduri II" </w:instrText>
      </w:r>
      <w:r w:rsidRPr="00CC135C">
        <w:rPr>
          <w:rFonts w:ascii="Times New Roman" w:hAnsi="Times New Roman"/>
          <w:lang w:val="en-GB"/>
        </w:rPr>
        <w:fldChar w:fldCharType="end"/>
      </w:r>
      <w:r w:rsidRPr="00CC135C">
        <w:rPr>
          <w:rFonts w:ascii="Times New Roman" w:hAnsi="Times New Roman"/>
          <w:lang w:val="en-GB"/>
        </w:rPr>
        <w:t>, (CTU I. A 9-1 + 2 and CTU I. A 9-3), (M. Salvini).</w:t>
      </w:r>
    </w:p>
    <w:p w14:paraId="7552879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noProof/>
          <w:lang w:eastAsia="tr-TR"/>
        </w:rPr>
        <w:lastRenderedPageBreak/>
        <w:drawing>
          <wp:anchor distT="0" distB="0" distL="114300" distR="114300" simplePos="0" relativeHeight="251983872" behindDoc="1" locked="0" layoutInCell="1" allowOverlap="1" wp14:anchorId="1C4C8B37" wp14:editId="3F857A1F">
            <wp:simplePos x="0" y="0"/>
            <wp:positionH relativeFrom="page">
              <wp:posOffset>3832225</wp:posOffset>
            </wp:positionH>
            <wp:positionV relativeFrom="paragraph">
              <wp:posOffset>107315</wp:posOffset>
            </wp:positionV>
            <wp:extent cx="3439160" cy="6506845"/>
            <wp:effectExtent l="0" t="0" r="2540" b="0"/>
            <wp:wrapTight wrapText="bothSides">
              <wp:wrapPolygon edited="0">
                <wp:start x="0" y="0"/>
                <wp:lineTo x="0" y="21543"/>
                <wp:lineTo x="21536" y="21543"/>
                <wp:lineTo x="21536" y="0"/>
                <wp:lineTo x="0" y="0"/>
              </wp:wrapPolygon>
            </wp:wrapTight>
            <wp:docPr id="986225556" name="Resim 986225556" descr="metin, el yazısı, mektup, harf,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25556" name="Resim 986225556" descr="metin, el yazısı, mektup, harf, siyah beyaz içeren bir resim&#10;&#10;Açıklama otomatik olarak oluşturuldu"/>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3439160" cy="6506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C135C">
        <w:rPr>
          <w:rFonts w:ascii="Times New Roman" w:hAnsi="Times New Roman"/>
          <w:noProof/>
          <w:lang w:eastAsia="tr-TR"/>
        </w:rPr>
        <w:drawing>
          <wp:anchor distT="0" distB="0" distL="114300" distR="114300" simplePos="0" relativeHeight="251969536" behindDoc="1" locked="0" layoutInCell="1" allowOverlap="1" wp14:anchorId="7EAAD97D" wp14:editId="7B6695A1">
            <wp:simplePos x="0" y="0"/>
            <wp:positionH relativeFrom="column">
              <wp:posOffset>432435</wp:posOffset>
            </wp:positionH>
            <wp:positionV relativeFrom="paragraph">
              <wp:posOffset>209550</wp:posOffset>
            </wp:positionV>
            <wp:extent cx="2094230" cy="6305550"/>
            <wp:effectExtent l="0" t="0" r="1270" b="0"/>
            <wp:wrapTight wrapText="bothSides">
              <wp:wrapPolygon edited="0">
                <wp:start x="0" y="0"/>
                <wp:lineTo x="0" y="21535"/>
                <wp:lineTo x="21417" y="21535"/>
                <wp:lineTo x="21417" y="0"/>
                <wp:lineTo x="0" y="0"/>
              </wp:wrapPolygon>
            </wp:wrapTight>
            <wp:docPr id="1762612674" name="Resim 1762612674" descr="metin, kağıt, mektup, harf,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12674" name="Resim 1762612674" descr="metin, kağıt, mektup, harf, doküman, belge içeren bir resim&#10;&#10;Açıklama otomatik olarak oluşturuldu"/>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2094230" cy="630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2898B9" w14:textId="77777777" w:rsidR="00B4516E" w:rsidRPr="00CC135C" w:rsidRDefault="00B4516E" w:rsidP="00B4516E">
      <w:pPr>
        <w:rPr>
          <w:rFonts w:ascii="Times New Roman" w:hAnsi="Times New Roman"/>
          <w:lang w:val="en-GB"/>
        </w:rPr>
      </w:pPr>
    </w:p>
    <w:p w14:paraId="0277EE91" w14:textId="77777777" w:rsidR="00B4516E" w:rsidRPr="00CC135C" w:rsidRDefault="00B4516E" w:rsidP="00B4516E">
      <w:pPr>
        <w:rPr>
          <w:rFonts w:ascii="Times New Roman" w:hAnsi="Times New Roman"/>
          <w:lang w:val="en-GB"/>
        </w:rPr>
      </w:pPr>
    </w:p>
    <w:p w14:paraId="4E07DFCE" w14:textId="77777777" w:rsidR="00B4516E" w:rsidRPr="00CC135C" w:rsidRDefault="00B4516E" w:rsidP="00B4516E">
      <w:pPr>
        <w:rPr>
          <w:rFonts w:ascii="Times New Roman" w:hAnsi="Times New Roman"/>
          <w:lang w:val="en-GB"/>
        </w:rPr>
      </w:pPr>
    </w:p>
    <w:p w14:paraId="1F21C558" w14:textId="77777777" w:rsidR="00B4516E" w:rsidRPr="00CC135C" w:rsidRDefault="00B4516E" w:rsidP="00B4516E">
      <w:pPr>
        <w:rPr>
          <w:rFonts w:ascii="Times New Roman" w:hAnsi="Times New Roman"/>
          <w:lang w:val="en-GB"/>
        </w:rPr>
      </w:pPr>
    </w:p>
    <w:p w14:paraId="6D9C93D6" w14:textId="77777777" w:rsidR="00B4516E" w:rsidRPr="00CC135C" w:rsidRDefault="00B4516E" w:rsidP="00B4516E">
      <w:pPr>
        <w:rPr>
          <w:rFonts w:ascii="Times New Roman" w:hAnsi="Times New Roman"/>
          <w:lang w:val="en-GB"/>
        </w:rPr>
      </w:pPr>
    </w:p>
    <w:p w14:paraId="2AE074E6" w14:textId="77777777" w:rsidR="00B4516E" w:rsidRPr="00CC135C" w:rsidRDefault="00B4516E" w:rsidP="00B4516E">
      <w:pPr>
        <w:rPr>
          <w:rFonts w:ascii="Times New Roman" w:hAnsi="Times New Roman"/>
          <w:lang w:val="en-GB"/>
        </w:rPr>
      </w:pPr>
    </w:p>
    <w:p w14:paraId="7FF174A4" w14:textId="77777777" w:rsidR="00B4516E" w:rsidRPr="00CC135C" w:rsidRDefault="00B4516E" w:rsidP="00B4516E">
      <w:pPr>
        <w:rPr>
          <w:rFonts w:ascii="Times New Roman" w:hAnsi="Times New Roman"/>
          <w:lang w:val="en-GB"/>
        </w:rPr>
      </w:pPr>
    </w:p>
    <w:p w14:paraId="6D14B6A7" w14:textId="77777777" w:rsidR="00B4516E" w:rsidRPr="00CC135C" w:rsidRDefault="00B4516E" w:rsidP="00B4516E">
      <w:pPr>
        <w:rPr>
          <w:rFonts w:ascii="Times New Roman" w:hAnsi="Times New Roman"/>
          <w:lang w:val="en-GB"/>
        </w:rPr>
      </w:pPr>
    </w:p>
    <w:p w14:paraId="4EB02744" w14:textId="77777777" w:rsidR="00B4516E" w:rsidRPr="00CC135C" w:rsidRDefault="00B4516E" w:rsidP="00B4516E">
      <w:pPr>
        <w:rPr>
          <w:rFonts w:ascii="Times New Roman" w:hAnsi="Times New Roman"/>
          <w:lang w:val="en-GB"/>
        </w:rPr>
      </w:pPr>
    </w:p>
    <w:p w14:paraId="56DF4C9E" w14:textId="77777777" w:rsidR="00B4516E" w:rsidRPr="00CC135C" w:rsidRDefault="00B4516E" w:rsidP="00B4516E">
      <w:pPr>
        <w:rPr>
          <w:rFonts w:ascii="Times New Roman" w:hAnsi="Times New Roman"/>
          <w:lang w:val="en-GB"/>
        </w:rPr>
      </w:pPr>
    </w:p>
    <w:p w14:paraId="4F8B3F56" w14:textId="77777777" w:rsidR="00B4516E" w:rsidRPr="00CC135C" w:rsidRDefault="00B4516E" w:rsidP="00B4516E">
      <w:pPr>
        <w:rPr>
          <w:rFonts w:ascii="Times New Roman" w:hAnsi="Times New Roman"/>
          <w:lang w:val="en-GB"/>
        </w:rPr>
      </w:pPr>
    </w:p>
    <w:p w14:paraId="2C099C56" w14:textId="77777777" w:rsidR="00B4516E" w:rsidRPr="00CC135C" w:rsidRDefault="00B4516E" w:rsidP="00B4516E">
      <w:pPr>
        <w:rPr>
          <w:rFonts w:ascii="Times New Roman" w:hAnsi="Times New Roman"/>
          <w:lang w:val="en-GB"/>
        </w:rPr>
      </w:pPr>
    </w:p>
    <w:p w14:paraId="07BF5DC5" w14:textId="77777777" w:rsidR="00B4516E" w:rsidRPr="00CC135C" w:rsidRDefault="00B4516E" w:rsidP="00B4516E">
      <w:pPr>
        <w:rPr>
          <w:rFonts w:ascii="Times New Roman" w:hAnsi="Times New Roman"/>
          <w:lang w:val="en-GB"/>
        </w:rPr>
      </w:pPr>
    </w:p>
    <w:p w14:paraId="537D0FD4" w14:textId="77777777" w:rsidR="00B4516E" w:rsidRPr="00CC135C" w:rsidRDefault="00B4516E" w:rsidP="00B4516E">
      <w:pPr>
        <w:rPr>
          <w:rFonts w:ascii="Times New Roman" w:hAnsi="Times New Roman"/>
          <w:lang w:val="en-GB"/>
        </w:rPr>
      </w:pPr>
    </w:p>
    <w:p w14:paraId="7FD519DE" w14:textId="77777777" w:rsidR="00B4516E" w:rsidRPr="00CC135C" w:rsidRDefault="00B4516E" w:rsidP="00B4516E">
      <w:pPr>
        <w:rPr>
          <w:rFonts w:ascii="Times New Roman" w:hAnsi="Times New Roman"/>
          <w:lang w:val="en-GB"/>
        </w:rPr>
      </w:pPr>
    </w:p>
    <w:p w14:paraId="2D4E6265" w14:textId="77777777" w:rsidR="00B4516E" w:rsidRPr="00CC135C" w:rsidRDefault="00B4516E" w:rsidP="00B4516E">
      <w:pPr>
        <w:rPr>
          <w:rFonts w:ascii="Times New Roman" w:hAnsi="Times New Roman"/>
          <w:lang w:val="en-GB"/>
        </w:rPr>
      </w:pPr>
    </w:p>
    <w:p w14:paraId="33218333" w14:textId="77777777" w:rsidR="00B4516E" w:rsidRPr="00CC135C" w:rsidRDefault="00B4516E" w:rsidP="00B4516E">
      <w:pPr>
        <w:rPr>
          <w:rFonts w:ascii="Times New Roman" w:hAnsi="Times New Roman"/>
          <w:lang w:val="en-GB"/>
        </w:rPr>
      </w:pPr>
    </w:p>
    <w:p w14:paraId="27B31272" w14:textId="77777777" w:rsidR="00B4516E" w:rsidRPr="00CC135C" w:rsidRDefault="00B4516E" w:rsidP="00B4516E">
      <w:pPr>
        <w:rPr>
          <w:rFonts w:ascii="Times New Roman" w:hAnsi="Times New Roman"/>
          <w:lang w:val="en-GB"/>
        </w:rPr>
      </w:pPr>
    </w:p>
    <w:p w14:paraId="1BD76DDE" w14:textId="77777777" w:rsidR="00B4516E" w:rsidRPr="00CC135C" w:rsidRDefault="00B4516E" w:rsidP="00B4516E">
      <w:pPr>
        <w:rPr>
          <w:rFonts w:ascii="Times New Roman" w:hAnsi="Times New Roman"/>
          <w:lang w:val="en-GB"/>
        </w:rPr>
      </w:pPr>
    </w:p>
    <w:p w14:paraId="329E97F2" w14:textId="77777777" w:rsidR="00B4516E" w:rsidRPr="00CC135C" w:rsidRDefault="00B4516E" w:rsidP="00B4516E">
      <w:pPr>
        <w:rPr>
          <w:rFonts w:ascii="Times New Roman" w:hAnsi="Times New Roman"/>
          <w:lang w:val="en-GB"/>
        </w:rPr>
      </w:pPr>
    </w:p>
    <w:p w14:paraId="0937DE88" w14:textId="77777777" w:rsidR="00B4516E" w:rsidRPr="00CC135C" w:rsidRDefault="00B4516E" w:rsidP="00B4516E">
      <w:pPr>
        <w:rPr>
          <w:rFonts w:ascii="Times New Roman" w:hAnsi="Times New Roman"/>
          <w:lang w:val="en-GB"/>
        </w:rPr>
      </w:pPr>
    </w:p>
    <w:p w14:paraId="3F60C30D" w14:textId="77777777" w:rsidR="00B4516E" w:rsidRPr="00CC135C" w:rsidRDefault="00B4516E" w:rsidP="00B4516E">
      <w:pPr>
        <w:rPr>
          <w:rFonts w:ascii="Times New Roman" w:hAnsi="Times New Roman"/>
          <w:lang w:val="en-GB"/>
        </w:rPr>
      </w:pPr>
    </w:p>
    <w:p w14:paraId="7E2793AC" w14:textId="77777777" w:rsidR="00B4516E" w:rsidRPr="00CC135C" w:rsidRDefault="00B4516E" w:rsidP="00B4516E">
      <w:pPr>
        <w:rPr>
          <w:rFonts w:ascii="Times New Roman" w:hAnsi="Times New Roman"/>
          <w:lang w:val="en-GB"/>
        </w:rPr>
      </w:pPr>
    </w:p>
    <w:p w14:paraId="4F593867" w14:textId="77777777" w:rsidR="00B4516E" w:rsidRPr="00CC135C" w:rsidRDefault="00B4516E" w:rsidP="00B4516E">
      <w:pPr>
        <w:tabs>
          <w:tab w:val="left" w:pos="3090"/>
        </w:tabs>
        <w:rPr>
          <w:rFonts w:ascii="Times New Roman" w:hAnsi="Times New Roman"/>
          <w:lang w:val="en-GB"/>
        </w:rPr>
      </w:pPr>
      <w:r w:rsidRPr="00CC135C">
        <w:rPr>
          <w:rFonts w:ascii="Times New Roman" w:hAnsi="Times New Roman"/>
          <w:noProof/>
          <w:lang w:eastAsia="tr-TR"/>
        </w:rPr>
        <mc:AlternateContent>
          <mc:Choice Requires="wps">
            <w:drawing>
              <wp:anchor distT="0" distB="0" distL="114300" distR="114300" simplePos="0" relativeHeight="251979776" behindDoc="1" locked="0" layoutInCell="1" allowOverlap="1" wp14:anchorId="2987400B" wp14:editId="44B0B7E5">
                <wp:simplePos x="0" y="0"/>
                <wp:positionH relativeFrom="margin">
                  <wp:posOffset>3324225</wp:posOffset>
                </wp:positionH>
                <wp:positionV relativeFrom="paragraph">
                  <wp:posOffset>2396490</wp:posOffset>
                </wp:positionV>
                <wp:extent cx="3036570" cy="302260"/>
                <wp:effectExtent l="0" t="0" r="0" b="0"/>
                <wp:wrapTight wrapText="bothSides">
                  <wp:wrapPolygon edited="0">
                    <wp:start x="0" y="0"/>
                    <wp:lineTo x="0" y="20420"/>
                    <wp:lineTo x="21410" y="20420"/>
                    <wp:lineTo x="21410" y="0"/>
                    <wp:lineTo x="0" y="0"/>
                  </wp:wrapPolygon>
                </wp:wrapTight>
                <wp:docPr id="163709696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6570" cy="302260"/>
                        </a:xfrm>
                        <a:prstGeom prst="rect">
                          <a:avLst/>
                        </a:prstGeom>
                        <a:solidFill>
                          <a:prstClr val="white"/>
                        </a:solidFill>
                        <a:ln>
                          <a:noFill/>
                        </a:ln>
                      </wps:spPr>
                      <wps:txbx>
                        <w:txbxContent>
                          <w:p w14:paraId="7AD161FB" w14:textId="77777777" w:rsidR="00B4516E" w:rsidRPr="00CC135C" w:rsidRDefault="00B4516E" w:rsidP="00B4516E">
                            <w:pPr>
                              <w:pStyle w:val="Caption1"/>
                              <w:rPr>
                                <w:i w:val="0"/>
                                <w:color w:val="auto"/>
                                <w:sz w:val="24"/>
                              </w:rPr>
                            </w:pPr>
                            <w:r w:rsidRPr="00CC135C">
                              <w:rPr>
                                <w:i w:val="0"/>
                                <w:color w:val="auto"/>
                                <w:sz w:val="24"/>
                                <w:lang w:val="de-DE"/>
                              </w:rPr>
                              <w:t xml:space="preserve">Fig 68. </w:t>
                            </w:r>
                            <w:r w:rsidRPr="00CC135C">
                              <w:rPr>
                                <w:i w:val="0"/>
                                <w:color w:val="auto"/>
                                <w:sz w:val="24"/>
                                <w:lang w:val="en-US"/>
                              </w:rPr>
                              <w:t>Schulz XXXVIII orig. = CTU I.A 9-1 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987400B" id="Casella di testo 2" o:spid="_x0000_s1043" type="#_x0000_t202" style="position:absolute;margin-left:261.75pt;margin-top:188.7pt;width:239.1pt;height:23.8pt;z-index:-25133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" stroked="f">
                <v:textbox style="mso-fit-shape-to-text:t" inset="0,0,0,0">
                  <w:txbxContent>
                    <w:p w14:paraId="7AD161FB" w14:textId="77777777" w:rsidR="00B4516E" w:rsidRPr="00CC135C" w:rsidRDefault="00B4516E" w:rsidP="00B4516E">
                      <w:pPr>
                        <w:pStyle w:val="Caption1"/>
                        <w:rPr>
                          <w:i w:val="0"/>
                          <w:color w:val="auto"/>
                          <w:sz w:val="24"/>
                        </w:rPr>
                      </w:pPr>
                      <w:r w:rsidRPr="00CC135C">
                        <w:rPr>
                          <w:i w:val="0"/>
                          <w:color w:val="auto"/>
                          <w:sz w:val="24"/>
                          <w:lang w:val="de-DE"/>
                        </w:rPr>
                        <w:t xml:space="preserve">Fig 68. </w:t>
                      </w:r>
                      <w:r w:rsidRPr="00CC135C">
                        <w:rPr>
                          <w:i w:val="0"/>
                          <w:color w:val="auto"/>
                          <w:sz w:val="24"/>
                          <w:lang w:val="en-US"/>
                        </w:rPr>
                        <w:t>Schulz XXXVIII orig. = CTU I.A 9-1 Ro</w:t>
                      </w:r>
                    </w:p>
                  </w:txbxContent>
                </v:textbox>
                <w10:wrap type="tight" anchorx="margin"/>
              </v:shape>
            </w:pict>
          </mc:Fallback>
        </mc:AlternateContent>
      </w:r>
      <w:r w:rsidRPr="00CC135C">
        <w:rPr>
          <w:rFonts w:ascii="Times New Roman" w:hAnsi="Times New Roman"/>
          <w:noProof/>
          <w:lang w:eastAsia="tr-TR"/>
        </w:rPr>
        <mc:AlternateContent>
          <mc:Choice Requires="wps">
            <w:drawing>
              <wp:anchor distT="0" distB="0" distL="114300" distR="114300" simplePos="0" relativeHeight="251974656" behindDoc="1" locked="0" layoutInCell="1" allowOverlap="1" wp14:anchorId="4A8B941F" wp14:editId="67BE517C">
                <wp:simplePos x="0" y="0"/>
                <wp:positionH relativeFrom="margin">
                  <wp:posOffset>201706</wp:posOffset>
                </wp:positionH>
                <wp:positionV relativeFrom="paragraph">
                  <wp:posOffset>2429025</wp:posOffset>
                </wp:positionV>
                <wp:extent cx="2178050" cy="389890"/>
                <wp:effectExtent l="0" t="0" r="6350" b="3810"/>
                <wp:wrapTight wrapText="bothSides">
                  <wp:wrapPolygon edited="0">
                    <wp:start x="0" y="0"/>
                    <wp:lineTo x="0" y="21107"/>
                    <wp:lineTo x="21537" y="21107"/>
                    <wp:lineTo x="21537" y="0"/>
                    <wp:lineTo x="0" y="0"/>
                  </wp:wrapPolygon>
                </wp:wrapTight>
                <wp:docPr id="1875670379" name="Casella di tes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50" cy="389890"/>
                        </a:xfrm>
                        <a:prstGeom prst="rect">
                          <a:avLst/>
                        </a:prstGeom>
                        <a:solidFill>
                          <a:prstClr val="white"/>
                        </a:solidFill>
                        <a:ln>
                          <a:noFill/>
                        </a:ln>
                      </wps:spPr>
                      <wps:txbx>
                        <w:txbxContent>
                          <w:p w14:paraId="4DA8D5F7" w14:textId="77777777" w:rsidR="00B4516E" w:rsidRPr="00CC135C" w:rsidRDefault="00B4516E" w:rsidP="00B4516E">
                            <w:pPr>
                              <w:pStyle w:val="Caption1"/>
                              <w:rPr>
                                <w:i w:val="0"/>
                                <w:color w:val="auto"/>
                                <w:sz w:val="24"/>
                                <w:lang w:val="de-DE"/>
                              </w:rPr>
                            </w:pPr>
                            <w:r w:rsidRPr="00CC135C">
                              <w:rPr>
                                <w:i w:val="0"/>
                                <w:color w:val="auto"/>
                                <w:sz w:val="24"/>
                                <w:lang w:val="de-DE"/>
                              </w:rPr>
                              <w:t>Fig. 67 Schulz XXXVIII JA = CTU I.A 9-1 Ro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A8B941F" id="_x0000_s1044" type="#_x0000_t202" style="position:absolute;margin-left:15.9pt;margin-top:191.25pt;width:171.5pt;height:30.7pt;z-index:-25134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" stroked="f">
                <v:textbox inset="0,0,0,0">
                  <w:txbxContent>
                    <w:p w14:paraId="4DA8D5F7" w14:textId="77777777" w:rsidR="00B4516E" w:rsidRPr="00CC135C" w:rsidRDefault="00B4516E" w:rsidP="00B4516E">
                      <w:pPr>
                        <w:pStyle w:val="Caption1"/>
                        <w:rPr>
                          <w:i w:val="0"/>
                          <w:color w:val="auto"/>
                          <w:sz w:val="24"/>
                          <w:lang w:val="de-DE"/>
                        </w:rPr>
                      </w:pPr>
                      <w:r w:rsidRPr="00CC135C">
                        <w:rPr>
                          <w:i w:val="0"/>
                          <w:color w:val="auto"/>
                          <w:sz w:val="24"/>
                          <w:lang w:val="de-DE"/>
                        </w:rPr>
                        <w:t>Fig. 67 Schulz XXXVIII JA = CTU I.A 9-1 Ro</w:t>
                      </w:r>
                    </w:p>
                  </w:txbxContent>
                </v:textbox>
                <w10:wrap type="tight" anchorx="margin"/>
              </v:shape>
            </w:pict>
          </mc:Fallback>
        </mc:AlternateContent>
      </w:r>
      <w:r w:rsidRPr="00CC135C">
        <w:rPr>
          <w:rFonts w:ascii="Times New Roman" w:hAnsi="Times New Roman"/>
          <w:lang w:val="en-GB"/>
        </w:rPr>
        <w:br w:type="column"/>
      </w:r>
    </w:p>
    <w:p w14:paraId="2CD5981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1939826E" w14:textId="77777777" w:rsidR="00B4516E" w:rsidRPr="00CC135C" w:rsidRDefault="00B4516E" w:rsidP="00B4516E">
      <w:pPr>
        <w:shd w:val="clear" w:color="auto" w:fill="F8F9FA"/>
        <w:tabs>
          <w:tab w:val="left" w:pos="4185"/>
        </w:tabs>
        <w:rPr>
          <w:rFonts w:ascii="Times New Roman" w:hAnsi="Times New Roman"/>
          <w:lang w:val="en-GB"/>
        </w:rPr>
      </w:pPr>
      <w:r w:rsidRPr="00CC135C">
        <w:rPr>
          <w:rFonts w:ascii="Times New Roman" w:hAnsi="Times New Roman"/>
          <w:noProof/>
          <w:lang w:eastAsia="tr-TR"/>
        </w:rPr>
        <w:drawing>
          <wp:anchor distT="0" distB="0" distL="114300" distR="114300" simplePos="0" relativeHeight="251987968" behindDoc="0" locked="0" layoutInCell="1" allowOverlap="1" wp14:anchorId="0B48F54A" wp14:editId="08F6D94D">
            <wp:simplePos x="0" y="0"/>
            <wp:positionH relativeFrom="column">
              <wp:posOffset>765175</wp:posOffset>
            </wp:positionH>
            <wp:positionV relativeFrom="paragraph">
              <wp:posOffset>5080</wp:posOffset>
            </wp:positionV>
            <wp:extent cx="5079600" cy="5760000"/>
            <wp:effectExtent l="19050" t="19050" r="26035" b="12700"/>
            <wp:wrapNone/>
            <wp:docPr id="819499779" name="Immagine 6" descr="bina, kar, dış mekan,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99779" name="Immagine 6" descr="bina, kar, dış mekan, duvar içeren bir resim&#10;&#10;Açıklama otomatik olarak oluşturuldu"/>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079600" cy="5760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CC135C">
        <w:rPr>
          <w:rFonts w:ascii="Times New Roman" w:hAnsi="Times New Roman"/>
          <w:lang w:val="en-GB"/>
        </w:rPr>
        <w:tab/>
      </w:r>
    </w:p>
    <w:p w14:paraId="4E4D6D08"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0B5CB928" w14:textId="77777777" w:rsidR="00B4516E" w:rsidRPr="00CC135C" w:rsidRDefault="00B4516E" w:rsidP="00B4516E">
      <w:pPr>
        <w:rPr>
          <w:rFonts w:ascii="Times New Roman" w:hAnsi="Times New Roman"/>
          <w:lang w:val="en-GB"/>
        </w:rPr>
      </w:pPr>
    </w:p>
    <w:p w14:paraId="7F37E08F" w14:textId="77777777" w:rsidR="00B4516E" w:rsidRPr="00CC135C" w:rsidRDefault="00B4516E" w:rsidP="00B4516E">
      <w:pPr>
        <w:rPr>
          <w:rFonts w:ascii="Times New Roman" w:hAnsi="Times New Roman"/>
          <w:lang w:val="en-GB"/>
        </w:rPr>
      </w:pPr>
    </w:p>
    <w:p w14:paraId="1DAED486" w14:textId="77777777" w:rsidR="00B4516E" w:rsidRPr="00CC135C" w:rsidRDefault="00B4516E" w:rsidP="00B4516E">
      <w:pPr>
        <w:rPr>
          <w:rFonts w:ascii="Times New Roman" w:hAnsi="Times New Roman"/>
          <w:lang w:val="en-GB"/>
        </w:rPr>
      </w:pPr>
    </w:p>
    <w:p w14:paraId="571BD4D9" w14:textId="77777777" w:rsidR="00B4516E" w:rsidRPr="00CC135C" w:rsidRDefault="00B4516E" w:rsidP="00B4516E">
      <w:pPr>
        <w:rPr>
          <w:rFonts w:ascii="Times New Roman" w:hAnsi="Times New Roman"/>
          <w:lang w:val="en-GB"/>
        </w:rPr>
      </w:pPr>
    </w:p>
    <w:p w14:paraId="61C15D33" w14:textId="77777777" w:rsidR="00B4516E" w:rsidRPr="00CC135C" w:rsidRDefault="00B4516E" w:rsidP="00B4516E">
      <w:pPr>
        <w:rPr>
          <w:rFonts w:ascii="Times New Roman" w:hAnsi="Times New Roman"/>
          <w:lang w:val="en-GB"/>
        </w:rPr>
      </w:pPr>
    </w:p>
    <w:p w14:paraId="52215B99" w14:textId="77777777" w:rsidR="00B4516E" w:rsidRPr="00CC135C" w:rsidRDefault="00B4516E" w:rsidP="00B4516E">
      <w:pPr>
        <w:rPr>
          <w:rFonts w:ascii="Times New Roman" w:hAnsi="Times New Roman"/>
          <w:lang w:val="en-GB"/>
        </w:rPr>
      </w:pPr>
    </w:p>
    <w:p w14:paraId="64C3CFE6" w14:textId="77777777" w:rsidR="00B4516E" w:rsidRPr="00CC135C" w:rsidRDefault="00B4516E" w:rsidP="00B4516E">
      <w:pPr>
        <w:rPr>
          <w:rFonts w:ascii="Times New Roman" w:hAnsi="Times New Roman"/>
          <w:lang w:val="en-GB"/>
        </w:rPr>
      </w:pPr>
    </w:p>
    <w:p w14:paraId="470BAA28" w14:textId="77777777" w:rsidR="00B4516E" w:rsidRPr="00CC135C" w:rsidRDefault="00B4516E" w:rsidP="00B4516E">
      <w:pPr>
        <w:rPr>
          <w:rFonts w:ascii="Times New Roman" w:hAnsi="Times New Roman"/>
          <w:lang w:val="en-GB"/>
        </w:rPr>
      </w:pPr>
    </w:p>
    <w:p w14:paraId="258BA72F" w14:textId="77777777" w:rsidR="00B4516E" w:rsidRPr="00CC135C" w:rsidRDefault="00B4516E" w:rsidP="00B4516E">
      <w:pPr>
        <w:rPr>
          <w:rFonts w:ascii="Times New Roman" w:hAnsi="Times New Roman"/>
          <w:lang w:val="en-GB"/>
        </w:rPr>
      </w:pPr>
    </w:p>
    <w:p w14:paraId="79998A11" w14:textId="77777777" w:rsidR="00B4516E" w:rsidRPr="00CC135C" w:rsidRDefault="00B4516E" w:rsidP="00B4516E">
      <w:pPr>
        <w:rPr>
          <w:rFonts w:ascii="Times New Roman" w:hAnsi="Times New Roman"/>
          <w:lang w:val="en-GB"/>
        </w:rPr>
      </w:pPr>
    </w:p>
    <w:p w14:paraId="12529FC5" w14:textId="77777777" w:rsidR="00B4516E" w:rsidRPr="00CC135C" w:rsidRDefault="00B4516E" w:rsidP="00B4516E">
      <w:pPr>
        <w:rPr>
          <w:rFonts w:ascii="Times New Roman" w:hAnsi="Times New Roman"/>
          <w:lang w:val="en-GB"/>
        </w:rPr>
      </w:pPr>
    </w:p>
    <w:p w14:paraId="06C80A22" w14:textId="77777777" w:rsidR="00B4516E" w:rsidRPr="00CC135C" w:rsidRDefault="00B4516E" w:rsidP="00B4516E">
      <w:pPr>
        <w:rPr>
          <w:rFonts w:ascii="Times New Roman" w:hAnsi="Times New Roman"/>
          <w:lang w:val="en-GB"/>
        </w:rPr>
      </w:pPr>
    </w:p>
    <w:p w14:paraId="43396B5B" w14:textId="77777777" w:rsidR="00B4516E" w:rsidRPr="00CC135C" w:rsidRDefault="00B4516E" w:rsidP="00B4516E">
      <w:pPr>
        <w:rPr>
          <w:rFonts w:ascii="Times New Roman" w:hAnsi="Times New Roman"/>
          <w:lang w:val="en-GB"/>
        </w:rPr>
      </w:pPr>
    </w:p>
    <w:p w14:paraId="0CD853F5" w14:textId="77777777" w:rsidR="00B4516E" w:rsidRPr="00CC135C" w:rsidRDefault="00B4516E" w:rsidP="00B4516E">
      <w:pPr>
        <w:rPr>
          <w:rFonts w:ascii="Times New Roman" w:hAnsi="Times New Roman"/>
          <w:lang w:val="en-GB"/>
        </w:rPr>
      </w:pPr>
    </w:p>
    <w:p w14:paraId="6219A5EF" w14:textId="77777777" w:rsidR="00B4516E" w:rsidRPr="00CC135C" w:rsidRDefault="00B4516E" w:rsidP="00B4516E">
      <w:pPr>
        <w:rPr>
          <w:rFonts w:ascii="Times New Roman" w:hAnsi="Times New Roman"/>
          <w:lang w:val="en-GB"/>
        </w:rPr>
      </w:pPr>
    </w:p>
    <w:p w14:paraId="0CFFAA0E" w14:textId="77777777" w:rsidR="00B4516E" w:rsidRPr="00CC135C" w:rsidRDefault="00B4516E" w:rsidP="00B4516E">
      <w:pPr>
        <w:rPr>
          <w:rFonts w:ascii="Times New Roman" w:hAnsi="Times New Roman"/>
          <w:lang w:val="en-GB"/>
        </w:rPr>
      </w:pPr>
    </w:p>
    <w:p w14:paraId="472B8199" w14:textId="77777777" w:rsidR="00B4516E" w:rsidRPr="00CC135C" w:rsidRDefault="00B4516E" w:rsidP="00B4516E">
      <w:pPr>
        <w:rPr>
          <w:rFonts w:ascii="Times New Roman" w:hAnsi="Times New Roman"/>
          <w:lang w:val="en-GB"/>
        </w:rPr>
      </w:pPr>
    </w:p>
    <w:p w14:paraId="6B17B25B" w14:textId="77777777" w:rsidR="00B4516E" w:rsidRPr="00CC135C" w:rsidRDefault="00B4516E" w:rsidP="00B4516E">
      <w:pPr>
        <w:rPr>
          <w:rFonts w:ascii="Times New Roman" w:hAnsi="Times New Roman"/>
          <w:lang w:val="en-GB"/>
        </w:rPr>
      </w:pPr>
    </w:p>
    <w:p w14:paraId="07223CDB"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4785515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p>
    <w:p w14:paraId="608E176C"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p>
    <w:p w14:paraId="4625798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p>
    <w:p w14:paraId="26B3199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p>
    <w:p w14:paraId="3FE9738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p>
    <w:p w14:paraId="7A01A1F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p>
    <w:p w14:paraId="2BAF42B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p>
    <w:p w14:paraId="7DA04DE8"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CC135C">
        <w:rPr>
          <w:rFonts w:ascii="Times New Roman" w:hAnsi="Times New Roman"/>
          <w:lang w:val="en-GB"/>
        </w:rPr>
        <w:t xml:space="preserve">Fig. 69 CTU I. </w:t>
      </w:r>
      <w:r w:rsidRPr="00CC135C">
        <w:rPr>
          <w:rFonts w:ascii="Times New Roman" w:hAnsi="Times New Roman"/>
          <w:color w:val="202124"/>
          <w:lang w:val="en-GB"/>
        </w:rPr>
        <w:t>A 9-1 (+) CTU I. A 9-2. Beginning of the annals of Sarduri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Sarduri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xml:space="preserve"> II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Sarduri II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in the east niche of Hazine Kapısı</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Hazine Kapısı</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xml:space="preserve">. Probable reconstruction of the stele and its base with the position of the residual fragments on the drawing by Marr </w:t>
      </w:r>
      <w:r w:rsidRPr="00CC135C">
        <w:rPr>
          <w:rFonts w:ascii="Times New Roman" w:hAnsi="Times New Roman"/>
          <w:sz w:val="20"/>
          <w:lang w:val="en-GB"/>
        </w:rPr>
        <w:t xml:space="preserve">&amp; </w:t>
      </w:r>
      <w:r w:rsidRPr="00CC135C">
        <w:rPr>
          <w:rFonts w:ascii="Times New Roman" w:hAnsi="Times New Roman"/>
          <w:color w:val="202124"/>
          <w:lang w:val="en-GB"/>
        </w:rPr>
        <w:t>Orbeli</w:t>
      </w:r>
      <w:r w:rsidRPr="0041322B">
        <w:rPr>
          <w:rFonts w:ascii="Times New Roman" w:eastAsia="Times New Roman" w:hAnsi="Times New Roman" w:cs="Times New Roman"/>
          <w:color w:val="202124"/>
          <w:lang w:val="en-GB" w:eastAsia="it-IT"/>
        </w:rPr>
        <w:t>,</w:t>
      </w:r>
      <w:r w:rsidRPr="00F37C64">
        <w:rPr>
          <w:rFonts w:ascii="Times New Roman" w:hAnsi="Times New Roman"/>
          <w:color w:val="202124"/>
          <w:lang w:val="en-GB"/>
        </w:rPr>
        <w:t xml:space="preserve"> </w:t>
      </w:r>
      <w:r w:rsidRPr="00CC135C">
        <w:rPr>
          <w:rFonts w:ascii="Times New Roman" w:hAnsi="Times New Roman"/>
          <w:color w:val="202124"/>
          <w:lang w:val="en-GB"/>
        </w:rPr>
        <w:t>1922. Graphic elaboration by R. Dan.</w:t>
      </w:r>
    </w:p>
    <w:p w14:paraId="09D9CA26" w14:textId="77777777" w:rsidR="00B4516E" w:rsidRPr="00CC135C" w:rsidRDefault="00B4516E" w:rsidP="00B4516E">
      <w:pPr>
        <w:shd w:val="clear" w:color="auto" w:fill="F8F9FA"/>
        <w:tabs>
          <w:tab w:val="left" w:pos="1395"/>
        </w:tabs>
        <w:jc w:val="both"/>
        <w:rPr>
          <w:rFonts w:ascii="Times New Roman" w:hAnsi="Times New Roman"/>
          <w:lang w:val="en-GB"/>
        </w:rPr>
      </w:pPr>
    </w:p>
    <w:p w14:paraId="032CD9D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lang w:val="en-GB"/>
        </w:rPr>
        <w:br w:type="column"/>
      </w:r>
      <w:r w:rsidRPr="00CC135C">
        <w:rPr>
          <w:rFonts w:ascii="Times New Roman" w:hAnsi="Times New Roman"/>
          <w:noProof/>
          <w:lang w:eastAsia="tr-TR"/>
        </w:rPr>
        <w:lastRenderedPageBreak/>
        <w:drawing>
          <wp:anchor distT="0" distB="0" distL="114300" distR="114300" simplePos="0" relativeHeight="251985920" behindDoc="1" locked="0" layoutInCell="1" allowOverlap="1" wp14:anchorId="00FB020B" wp14:editId="388A13C6">
            <wp:simplePos x="0" y="0"/>
            <wp:positionH relativeFrom="margin">
              <wp:posOffset>302260</wp:posOffset>
            </wp:positionH>
            <wp:positionV relativeFrom="paragraph">
              <wp:posOffset>78740</wp:posOffset>
            </wp:positionV>
            <wp:extent cx="4449445" cy="5989955"/>
            <wp:effectExtent l="0" t="0" r="0" b="4445"/>
            <wp:wrapTight wrapText="bothSides">
              <wp:wrapPolygon edited="0">
                <wp:start x="0" y="0"/>
                <wp:lineTo x="0" y="21570"/>
                <wp:lineTo x="21517" y="21570"/>
                <wp:lineTo x="21517" y="0"/>
                <wp:lineTo x="0" y="0"/>
              </wp:wrapPolygon>
            </wp:wrapTight>
            <wp:docPr id="1188900868" name="Resim 1188900868" descr="mezar, mezarlık, siyah beyaz, cenaz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00868" name="Resim 1188900868" descr="mezar, mezarlık, siyah beyaz, cenaze içeren bir resim&#10;&#10;Açıklama otomatik olarak oluşturuldu"/>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4449445" cy="5989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AEC6C1" w14:textId="77777777" w:rsidR="00B4516E" w:rsidRPr="00CC135C" w:rsidRDefault="00B4516E" w:rsidP="00B4516E">
      <w:pPr>
        <w:rPr>
          <w:rFonts w:ascii="Times New Roman" w:hAnsi="Times New Roman"/>
          <w:lang w:val="en-GB"/>
        </w:rPr>
      </w:pPr>
    </w:p>
    <w:p w14:paraId="4E0BC14B" w14:textId="77777777" w:rsidR="00B4516E" w:rsidRPr="00CC135C" w:rsidRDefault="00B4516E" w:rsidP="00B4516E">
      <w:pPr>
        <w:rPr>
          <w:rFonts w:ascii="Times New Roman" w:hAnsi="Times New Roman"/>
          <w:lang w:val="en-GB"/>
        </w:rPr>
      </w:pPr>
    </w:p>
    <w:p w14:paraId="3403294C" w14:textId="77777777" w:rsidR="00B4516E" w:rsidRPr="00CC135C" w:rsidRDefault="00B4516E" w:rsidP="00B4516E">
      <w:pPr>
        <w:rPr>
          <w:rFonts w:ascii="Times New Roman" w:hAnsi="Times New Roman"/>
          <w:lang w:val="en-GB"/>
        </w:rPr>
      </w:pPr>
    </w:p>
    <w:p w14:paraId="78541449" w14:textId="77777777" w:rsidR="00B4516E" w:rsidRPr="00CC135C" w:rsidRDefault="00B4516E" w:rsidP="00B4516E">
      <w:pPr>
        <w:rPr>
          <w:rFonts w:ascii="Times New Roman" w:hAnsi="Times New Roman"/>
          <w:lang w:val="en-GB"/>
        </w:rPr>
      </w:pPr>
    </w:p>
    <w:p w14:paraId="4C9B1FE4" w14:textId="77777777" w:rsidR="00B4516E" w:rsidRPr="00CC135C" w:rsidRDefault="00B4516E" w:rsidP="00B4516E">
      <w:pPr>
        <w:rPr>
          <w:rFonts w:ascii="Times New Roman" w:hAnsi="Times New Roman"/>
          <w:lang w:val="en-GB"/>
        </w:rPr>
      </w:pPr>
    </w:p>
    <w:p w14:paraId="762352E7" w14:textId="77777777" w:rsidR="00B4516E" w:rsidRPr="00CC135C" w:rsidRDefault="00B4516E" w:rsidP="00B4516E">
      <w:pPr>
        <w:rPr>
          <w:rFonts w:ascii="Times New Roman" w:hAnsi="Times New Roman"/>
          <w:lang w:val="en-GB"/>
        </w:rPr>
      </w:pPr>
    </w:p>
    <w:p w14:paraId="44306965" w14:textId="77777777" w:rsidR="00B4516E" w:rsidRPr="00CC135C" w:rsidRDefault="00B4516E" w:rsidP="00B4516E">
      <w:pPr>
        <w:rPr>
          <w:rFonts w:ascii="Times New Roman" w:hAnsi="Times New Roman"/>
          <w:lang w:val="en-GB"/>
        </w:rPr>
      </w:pPr>
    </w:p>
    <w:p w14:paraId="10481CBD" w14:textId="77777777" w:rsidR="00B4516E" w:rsidRPr="00CC135C" w:rsidRDefault="00B4516E" w:rsidP="00B4516E">
      <w:pPr>
        <w:rPr>
          <w:rFonts w:ascii="Times New Roman" w:hAnsi="Times New Roman"/>
          <w:lang w:val="en-GB"/>
        </w:rPr>
      </w:pPr>
    </w:p>
    <w:p w14:paraId="3983385B" w14:textId="77777777" w:rsidR="00B4516E" w:rsidRPr="00CC135C" w:rsidRDefault="00B4516E" w:rsidP="00B4516E">
      <w:pPr>
        <w:rPr>
          <w:rFonts w:ascii="Times New Roman" w:hAnsi="Times New Roman"/>
          <w:lang w:val="en-GB"/>
        </w:rPr>
      </w:pPr>
    </w:p>
    <w:p w14:paraId="7A15CFA6" w14:textId="77777777" w:rsidR="00B4516E" w:rsidRPr="00CC135C" w:rsidRDefault="00B4516E" w:rsidP="00B4516E">
      <w:pPr>
        <w:rPr>
          <w:rFonts w:ascii="Times New Roman" w:hAnsi="Times New Roman"/>
          <w:lang w:val="en-GB"/>
        </w:rPr>
      </w:pPr>
    </w:p>
    <w:p w14:paraId="31CC1648" w14:textId="77777777" w:rsidR="00B4516E" w:rsidRPr="00CC135C" w:rsidRDefault="00B4516E" w:rsidP="00B4516E">
      <w:pPr>
        <w:rPr>
          <w:rFonts w:ascii="Times New Roman" w:hAnsi="Times New Roman"/>
          <w:lang w:val="en-GB"/>
        </w:rPr>
      </w:pPr>
    </w:p>
    <w:p w14:paraId="7D7F8F1C" w14:textId="77777777" w:rsidR="00B4516E" w:rsidRPr="00CC135C" w:rsidRDefault="00B4516E" w:rsidP="00B4516E">
      <w:pPr>
        <w:rPr>
          <w:rFonts w:ascii="Times New Roman" w:hAnsi="Times New Roman"/>
          <w:lang w:val="en-GB"/>
        </w:rPr>
      </w:pPr>
    </w:p>
    <w:p w14:paraId="21A225E7" w14:textId="77777777" w:rsidR="00B4516E" w:rsidRPr="00CC135C" w:rsidRDefault="00B4516E" w:rsidP="00B4516E">
      <w:pPr>
        <w:rPr>
          <w:rFonts w:ascii="Times New Roman" w:hAnsi="Times New Roman"/>
          <w:lang w:val="en-GB"/>
        </w:rPr>
      </w:pPr>
    </w:p>
    <w:p w14:paraId="6494C4A4" w14:textId="77777777" w:rsidR="00B4516E" w:rsidRPr="00CC135C" w:rsidRDefault="00B4516E" w:rsidP="00B4516E">
      <w:pPr>
        <w:rPr>
          <w:rFonts w:ascii="Times New Roman" w:hAnsi="Times New Roman"/>
          <w:lang w:val="en-GB"/>
        </w:rPr>
      </w:pPr>
    </w:p>
    <w:p w14:paraId="3A48AA7C" w14:textId="77777777" w:rsidR="00B4516E" w:rsidRPr="00CC135C" w:rsidRDefault="00B4516E" w:rsidP="00B4516E">
      <w:pPr>
        <w:rPr>
          <w:rFonts w:ascii="Times New Roman" w:hAnsi="Times New Roman"/>
          <w:lang w:val="en-GB"/>
        </w:rPr>
      </w:pPr>
    </w:p>
    <w:p w14:paraId="10C127E6" w14:textId="77777777" w:rsidR="00B4516E" w:rsidRPr="00CC135C" w:rsidRDefault="00B4516E" w:rsidP="00B4516E">
      <w:pPr>
        <w:rPr>
          <w:rFonts w:ascii="Times New Roman" w:hAnsi="Times New Roman"/>
          <w:lang w:val="en-GB"/>
        </w:rPr>
      </w:pPr>
    </w:p>
    <w:p w14:paraId="5D2455A8" w14:textId="77777777" w:rsidR="00B4516E" w:rsidRPr="00CC135C" w:rsidRDefault="00B4516E" w:rsidP="00B4516E">
      <w:pPr>
        <w:rPr>
          <w:rFonts w:ascii="Times New Roman" w:hAnsi="Times New Roman"/>
          <w:lang w:val="en-GB"/>
        </w:rPr>
      </w:pPr>
    </w:p>
    <w:p w14:paraId="55F6E339" w14:textId="77777777" w:rsidR="00B4516E" w:rsidRPr="00CC135C" w:rsidRDefault="00B4516E" w:rsidP="00B4516E">
      <w:pPr>
        <w:rPr>
          <w:rFonts w:ascii="Times New Roman" w:hAnsi="Times New Roman"/>
          <w:lang w:val="en-GB"/>
        </w:rPr>
      </w:pPr>
    </w:p>
    <w:p w14:paraId="7B77EFB3" w14:textId="77777777" w:rsidR="00B4516E" w:rsidRPr="00CC135C" w:rsidRDefault="00B4516E" w:rsidP="00B4516E">
      <w:pPr>
        <w:rPr>
          <w:rFonts w:ascii="Times New Roman" w:hAnsi="Times New Roman"/>
          <w:lang w:val="en-GB"/>
        </w:rPr>
      </w:pPr>
    </w:p>
    <w:p w14:paraId="433398BE" w14:textId="77777777" w:rsidR="00B4516E" w:rsidRPr="00CC135C" w:rsidRDefault="00B4516E" w:rsidP="00B4516E">
      <w:pPr>
        <w:rPr>
          <w:rFonts w:ascii="Times New Roman" w:hAnsi="Times New Roman"/>
          <w:lang w:val="en-GB"/>
        </w:rPr>
      </w:pPr>
    </w:p>
    <w:p w14:paraId="2D778E76" w14:textId="77777777" w:rsidR="00B4516E" w:rsidRPr="00CC135C" w:rsidRDefault="00B4516E" w:rsidP="00B4516E">
      <w:pPr>
        <w:rPr>
          <w:rFonts w:ascii="Times New Roman" w:hAnsi="Times New Roman"/>
          <w:lang w:val="en-GB"/>
        </w:rPr>
      </w:pPr>
    </w:p>
    <w:p w14:paraId="5EA10BBF"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34C982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lang w:val="en-GB"/>
        </w:rPr>
        <w:tab/>
      </w:r>
    </w:p>
    <w:p w14:paraId="0C75A3A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1813F9D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51645B1C"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12082F3F"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5F0930D8"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7EA3A7B4"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6765B16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4353B6C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7D97BB84"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4101C53E"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p>
    <w:p w14:paraId="7BF8B2F6"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r w:rsidRPr="00CC135C">
        <w:rPr>
          <w:rFonts w:ascii="Times New Roman" w:hAnsi="Times New Roman"/>
          <w:lang w:val="en-GB"/>
        </w:rPr>
        <w:t xml:space="preserve">Fig. 70 CTU I. </w:t>
      </w:r>
      <w:r w:rsidRPr="00CC135C">
        <w:rPr>
          <w:rFonts w:ascii="Times New Roman" w:hAnsi="Times New Roman"/>
          <w:color w:val="202124"/>
          <w:lang w:val="en-GB"/>
        </w:rPr>
        <w:t>A 9-3. Annals of Sarduri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Sarduri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xml:space="preserve"> II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Sarduri II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in the west niche of Hazine Kapısı</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Hazine Kapısı</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xml:space="preserve">. (Excavation photo from Marr </w:t>
      </w:r>
      <w:r w:rsidRPr="00CC135C">
        <w:rPr>
          <w:rFonts w:ascii="Times New Roman" w:hAnsi="Times New Roman"/>
          <w:sz w:val="20"/>
          <w:lang w:val="en-GB"/>
        </w:rPr>
        <w:t xml:space="preserve">&amp; </w:t>
      </w:r>
      <w:r w:rsidRPr="00CC135C">
        <w:rPr>
          <w:rFonts w:ascii="Times New Roman" w:hAnsi="Times New Roman"/>
          <w:color w:val="202124"/>
          <w:lang w:val="en-GB"/>
        </w:rPr>
        <w:t>Orbeli</w:t>
      </w:r>
      <w:r>
        <w:rPr>
          <w:rFonts w:ascii="Times New Roman" w:eastAsia="Times New Roman" w:hAnsi="Times New Roman" w:cs="Times New Roman"/>
          <w:color w:val="202124"/>
          <w:lang w:val="en-GB" w:eastAsia="it-IT"/>
        </w:rPr>
        <w:t>,</w:t>
      </w:r>
      <w:r w:rsidRPr="00CC135C">
        <w:rPr>
          <w:rFonts w:ascii="Times New Roman" w:hAnsi="Times New Roman"/>
          <w:color w:val="202124"/>
          <w:lang w:val="en-GB"/>
        </w:rPr>
        <w:t xml:space="preserve"> 1922: Tab. X)</w:t>
      </w:r>
    </w:p>
    <w:p w14:paraId="0EF68699" w14:textId="77777777" w:rsidR="00B4516E" w:rsidRPr="00CC135C" w:rsidRDefault="00B4516E" w:rsidP="00B4516E">
      <w:pPr>
        <w:shd w:val="clear" w:color="auto" w:fill="F8F9FA"/>
        <w:tabs>
          <w:tab w:val="left" w:pos="3664"/>
        </w:tabs>
        <w:rPr>
          <w:rFonts w:ascii="Times New Roman" w:hAnsi="Times New Roman"/>
          <w:lang w:val="en-GB"/>
        </w:rPr>
      </w:pPr>
    </w:p>
    <w:p w14:paraId="22965F6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GB"/>
        </w:rPr>
      </w:pPr>
      <w:r w:rsidRPr="00CC135C">
        <w:rPr>
          <w:rFonts w:ascii="Times New Roman" w:hAnsi="Times New Roman"/>
          <w:lang w:val="en-GB"/>
        </w:rPr>
        <w:br w:type="column"/>
      </w:r>
      <w:r w:rsidRPr="00CC135C">
        <w:rPr>
          <w:rFonts w:ascii="Times New Roman" w:hAnsi="Times New Roman"/>
          <w:noProof/>
          <w:lang w:eastAsia="tr-TR"/>
        </w:rPr>
        <w:lastRenderedPageBreak/>
        <w:drawing>
          <wp:anchor distT="0" distB="0" distL="114300" distR="114300" simplePos="0" relativeHeight="251984896" behindDoc="1" locked="0" layoutInCell="1" allowOverlap="1" wp14:anchorId="24255A1D" wp14:editId="47FEDEE7">
            <wp:simplePos x="0" y="0"/>
            <wp:positionH relativeFrom="margin">
              <wp:posOffset>307975</wp:posOffset>
            </wp:positionH>
            <wp:positionV relativeFrom="paragraph">
              <wp:posOffset>50800</wp:posOffset>
            </wp:positionV>
            <wp:extent cx="4583430" cy="5769610"/>
            <wp:effectExtent l="12700" t="12700" r="13970" b="8890"/>
            <wp:wrapTopAndBottom/>
            <wp:docPr id="1728584589" name="Immagine 4" descr="bina, mezar, gömüt, mezar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84589" name="Immagine 4" descr="bina, mezar, gömüt, mezarlık içeren bir resim&#10;&#10;Açıklama otomatik olarak oluşturuldu"/>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4583430" cy="57696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DD667E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olor w:val="202124"/>
          <w:lang w:val="en-GB"/>
        </w:rPr>
      </w:pPr>
      <w:r w:rsidRPr="00CC135C">
        <w:rPr>
          <w:rFonts w:ascii="Times New Roman" w:hAnsi="Times New Roman"/>
        </w:rPr>
        <w:t xml:space="preserve">Fig. 71 CTU I. </w:t>
      </w:r>
      <w:r w:rsidRPr="00CC135C">
        <w:rPr>
          <w:rFonts w:ascii="Times New Roman" w:hAnsi="Times New Roman"/>
          <w:color w:val="202124"/>
          <w:lang w:val="en-GB"/>
        </w:rPr>
        <w:t>A 9-1 (+) CTU I. A 9-2. Beginning of the annals of Sarduri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Sarduri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xml:space="preserve"> II</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Sarduri II</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in the east niche of Hazine Kapısı</w:t>
      </w:r>
      <w:r w:rsidRPr="00CC135C">
        <w:rPr>
          <w:rFonts w:ascii="Times New Roman" w:hAnsi="Times New Roman"/>
          <w:color w:val="202124"/>
          <w:lang w:val="en-GB"/>
        </w:rPr>
        <w:fldChar w:fldCharType="begin"/>
      </w:r>
      <w:r w:rsidRPr="00CC135C">
        <w:rPr>
          <w:rFonts w:ascii="Courier New" w:hAnsi="Courier New"/>
          <w:sz w:val="20"/>
          <w:lang w:val="en-GB"/>
        </w:rPr>
        <w:instrText xml:space="preserve"> XE "</w:instrText>
      </w:r>
      <w:r w:rsidRPr="00CC135C">
        <w:rPr>
          <w:rFonts w:ascii="Times New Roman" w:hAnsi="Times New Roman"/>
          <w:sz w:val="20"/>
          <w:lang w:val="en-GB"/>
        </w:rPr>
        <w:instrText>Hazine Kapısı</w:instrText>
      </w:r>
      <w:r w:rsidRPr="00CC135C">
        <w:rPr>
          <w:rFonts w:ascii="Courier New" w:hAnsi="Courier New"/>
          <w:sz w:val="20"/>
          <w:lang w:val="en-GB"/>
        </w:rPr>
        <w:instrText xml:space="preserve">" </w:instrText>
      </w:r>
      <w:r w:rsidRPr="00CC135C">
        <w:rPr>
          <w:rFonts w:ascii="Times New Roman" w:hAnsi="Times New Roman"/>
          <w:color w:val="202124"/>
          <w:lang w:val="en-GB"/>
        </w:rPr>
        <w:fldChar w:fldCharType="end"/>
      </w:r>
      <w:r w:rsidRPr="00CC135C">
        <w:rPr>
          <w:rFonts w:ascii="Times New Roman" w:hAnsi="Times New Roman"/>
          <w:color w:val="202124"/>
          <w:lang w:val="en-GB"/>
        </w:rPr>
        <w:t>. Probable reconstruction of the stele and its base with the position of the residual fragments on the drawing by Marr</w:t>
      </w:r>
      <w:r w:rsidRPr="00CC135C">
        <w:rPr>
          <w:rFonts w:ascii="Times New Roman" w:hAnsi="Times New Roman"/>
          <w:sz w:val="20"/>
          <w:lang w:val="en-GB"/>
        </w:rPr>
        <w:t xml:space="preserve">&amp; </w:t>
      </w:r>
      <w:r w:rsidRPr="00CC135C">
        <w:rPr>
          <w:rFonts w:ascii="Times New Roman" w:hAnsi="Times New Roman"/>
          <w:color w:val="202124"/>
          <w:lang w:val="en-GB"/>
        </w:rPr>
        <w:t>Orbeli</w:t>
      </w:r>
      <w:r>
        <w:rPr>
          <w:rFonts w:ascii="Times New Roman" w:eastAsia="Times New Roman" w:hAnsi="Times New Roman" w:cs="Times New Roman"/>
          <w:color w:val="202124"/>
          <w:lang w:val="en-GB" w:eastAsia="it-IT"/>
        </w:rPr>
        <w:t>,</w:t>
      </w:r>
      <w:r w:rsidRPr="00CC135C">
        <w:rPr>
          <w:rFonts w:ascii="Times New Roman" w:hAnsi="Times New Roman"/>
          <w:color w:val="202124"/>
          <w:lang w:val="en-GB"/>
        </w:rPr>
        <w:t xml:space="preserve"> 1922. Graphic elaboration by R. Dan.</w:t>
      </w:r>
    </w:p>
    <w:p w14:paraId="255DDED1" w14:textId="77777777" w:rsidR="00B4516E" w:rsidRPr="00CC135C" w:rsidRDefault="00B4516E" w:rsidP="00B4516E">
      <w:pPr>
        <w:shd w:val="clear" w:color="auto" w:fill="F8F9FA"/>
        <w:tabs>
          <w:tab w:val="left" w:pos="2748"/>
        </w:tabs>
        <w:rPr>
          <w:rFonts w:ascii="Times New Roman" w:hAnsi="Times New Roman"/>
        </w:rPr>
      </w:pPr>
    </w:p>
    <w:p w14:paraId="1D39CB2C"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CC135C">
        <w:rPr>
          <w:rFonts w:ascii="Times New Roman" w:hAnsi="Times New Roman"/>
          <w:lang w:val="en-GB"/>
        </w:rPr>
        <w:br w:type="column"/>
      </w:r>
      <w:r w:rsidRPr="00315E88">
        <w:rPr>
          <w:rFonts w:ascii="Times New Roman" w:hAnsi="Times New Roman"/>
        </w:rPr>
        <w:lastRenderedPageBreak/>
        <w:t>The stele of the left niche constitutes the beginning of the text with a dedication to the god Ḫaldi</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"Ḫaldi"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royal title</w:t>
      </w:r>
      <w:r w:rsidRPr="00315E88">
        <w:rPr>
          <w:rFonts w:ascii="Times New Roman" w:eastAsia="Arial" w:hAnsi="Times New Roman" w:cs="Times New Roman"/>
          <w:color w:val="202124"/>
          <w:lang w:val="en-GB" w:eastAsia="it-IT"/>
        </w:rPr>
        <w:t>,</w:t>
      </w:r>
      <w:r w:rsidRPr="00315E88">
        <w:rPr>
          <w:rFonts w:ascii="Times New Roman" w:hAnsi="Times New Roman"/>
        </w:rPr>
        <w:t xml:space="preserve"> and various formulas of blessing and cursing; hence the typical formula </w:t>
      </w:r>
      <w:r w:rsidRPr="00315E88">
        <w:rPr>
          <w:rFonts w:ascii="Times New Roman" w:eastAsia="Arial" w:hAnsi="Times New Roman" w:cs="Times New Roman"/>
          <w:color w:val="202124"/>
          <w:lang w:val="en-GB" w:eastAsia="it-IT"/>
        </w:rPr>
        <w:t>“</w:t>
      </w:r>
      <w:r w:rsidRPr="00315E88">
        <w:rPr>
          <w:rFonts w:ascii="Times New Roman" w:hAnsi="Times New Roman"/>
        </w:rPr>
        <w:t xml:space="preserve">When Ḫaldi gave me the royal power, I ascended to the paternal throne of kingship </w:t>
      </w:r>
      <w:r w:rsidRPr="00315E88">
        <w:rPr>
          <w:rFonts w:ascii="Times New Roman" w:eastAsia="Arial" w:hAnsi="Times New Roman" w:cs="Times New Roman"/>
          <w:color w:val="202124"/>
          <w:lang w:val="en-GB" w:eastAsia="it-IT"/>
        </w:rPr>
        <w:t>...”.</w:t>
      </w:r>
    </w:p>
    <w:p w14:paraId="4D342941"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rPr>
        <w:t>The first part of the text in the right niche, the one copied by Schulz</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"Schulz"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on the upper part of the left wall (Schulz XII), contains a text that belongs to the central part of the annalistic narration. The text continued </w:t>
      </w:r>
      <w:r w:rsidRPr="00315E88">
        <w:rPr>
          <w:rFonts w:ascii="Times New Roman" w:eastAsia="Arial" w:hAnsi="Times New Roman" w:cs="Times New Roman"/>
          <w:color w:val="202124"/>
          <w:lang w:val="en-GB" w:eastAsia="it-IT"/>
        </w:rPr>
        <w:t xml:space="preserve">with </w:t>
      </w:r>
      <w:r w:rsidRPr="00315E88">
        <w:rPr>
          <w:rFonts w:ascii="Times New Roman" w:hAnsi="Times New Roman"/>
        </w:rPr>
        <w:t xml:space="preserve">the four sides of the incomplete stele in the right niche, then on the imposing basalt base, </w:t>
      </w:r>
      <w:r w:rsidRPr="00315E88">
        <w:rPr>
          <w:rFonts w:ascii="Times New Roman" w:eastAsia="Arial" w:hAnsi="Times New Roman" w:cs="Times New Roman"/>
          <w:color w:val="202124"/>
          <w:lang w:val="en-GB" w:eastAsia="it-IT"/>
        </w:rPr>
        <w:t xml:space="preserve">and </w:t>
      </w:r>
      <w:r w:rsidRPr="00315E88">
        <w:rPr>
          <w:rFonts w:ascii="Times New Roman" w:hAnsi="Times New Roman"/>
        </w:rPr>
        <w:t>finally</w:t>
      </w:r>
      <w:r w:rsidRPr="00315E88">
        <w:rPr>
          <w:rFonts w:ascii="Times New Roman" w:eastAsia="Arial" w:hAnsi="Times New Roman" w:cs="Times New Roman"/>
          <w:color w:val="202124"/>
          <w:lang w:val="en-GB" w:eastAsia="it-IT"/>
        </w:rPr>
        <w:t>,</w:t>
      </w:r>
      <w:r w:rsidRPr="00315E88">
        <w:rPr>
          <w:rFonts w:ascii="Times New Roman" w:hAnsi="Times New Roman"/>
        </w:rPr>
        <w:t xml:space="preserve"> on the back wall of the niche. </w:t>
      </w:r>
    </w:p>
    <w:p w14:paraId="651F8D62"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rPr>
        <w:t>Unlike the annals of Argišti I</w:t>
      </w:r>
      <w:r w:rsidRPr="00315E88">
        <w:rPr>
          <w:rFonts w:ascii="Times New Roman" w:eastAsia="Arial" w:hAnsi="Times New Roman" w:cs="Times New Roman"/>
          <w:color w:val="202124"/>
          <w:lang w:val="en-GB" w:eastAsia="it-IT"/>
        </w:rPr>
        <w:t xml:space="preserve">,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Argišti</w:instrText>
      </w:r>
      <w:r w:rsidRPr="00315E88">
        <w:rPr>
          <w:rStyle w:val="y2iqfc"/>
          <w:rFonts w:asciiTheme="majorBidi" w:eastAsia="Arial" w:hAnsiTheme="majorBidi" w:cstheme="majorBidi"/>
          <w:i/>
          <w:iCs/>
          <w:color w:val="202124"/>
          <w:lang w:val="en-GB"/>
        </w:rPr>
        <w:instrText xml:space="preserve"> </w:instrText>
      </w:r>
      <w:r w:rsidRPr="00315E88">
        <w:rPr>
          <w:rStyle w:val="y2iqfc"/>
          <w:rFonts w:asciiTheme="majorBidi" w:eastAsia="Arial" w:hAnsiTheme="majorBidi" w:cstheme="majorBidi"/>
          <w:color w:val="202124"/>
          <w:lang w:val="en-GB"/>
        </w:rPr>
        <w:instrText>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the last inscribed section does not contain the final curse formula. On the contrary, the military and economic wealth of the state is recorded</w:t>
      </w:r>
      <w:r w:rsidRPr="00315E88">
        <w:rPr>
          <w:rFonts w:ascii="Times New Roman" w:eastAsia="Arial" w:hAnsi="Times New Roman" w:cs="Times New Roman"/>
          <w:color w:val="202124"/>
          <w:lang w:val="en-GB" w:eastAsia="it-IT"/>
        </w:rPr>
        <w:t>;</w:t>
      </w:r>
      <w:r w:rsidRPr="00315E88">
        <w:rPr>
          <w:rFonts w:ascii="Times New Roman" w:hAnsi="Times New Roman"/>
        </w:rPr>
        <w:t xml:space="preserve"> therefore</w:t>
      </w:r>
      <w:r w:rsidRPr="00315E88">
        <w:rPr>
          <w:rFonts w:ascii="Times New Roman" w:eastAsia="Arial" w:hAnsi="Times New Roman" w:cs="Times New Roman"/>
          <w:color w:val="202124"/>
          <w:lang w:val="en-GB" w:eastAsia="it-IT"/>
        </w:rPr>
        <w:t>,</w:t>
      </w:r>
      <w:r w:rsidRPr="00315E88">
        <w:rPr>
          <w:rFonts w:ascii="Times New Roman" w:hAnsi="Times New Roman"/>
        </w:rPr>
        <w:t xml:space="preserve"> it cannot be considered the last part of the text, especially since the formula </w:t>
      </w:r>
      <w:r w:rsidRPr="00315E88">
        <w:rPr>
          <w:rFonts w:ascii="Times New Roman" w:eastAsia="Arial" w:hAnsi="Times New Roman" w:cs="Times New Roman"/>
          <w:color w:val="202124"/>
          <w:lang w:val="en-GB" w:eastAsia="it-IT"/>
        </w:rPr>
        <w:t>“</w:t>
      </w:r>
      <w:r w:rsidRPr="00315E88">
        <w:rPr>
          <w:rFonts w:ascii="Times New Roman" w:hAnsi="Times New Roman"/>
        </w:rPr>
        <w:t>When Ḫaldi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"Ḫaldi"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gave me the royal power, I ascended to the paternal throne of kingship </w:t>
      </w:r>
      <w:r w:rsidRPr="00315E88">
        <w:rPr>
          <w:rFonts w:ascii="Times New Roman" w:eastAsia="Arial" w:hAnsi="Times New Roman" w:cs="Times New Roman"/>
          <w:color w:val="202124"/>
          <w:lang w:val="en-GB" w:eastAsia="it-IT"/>
        </w:rPr>
        <w:t xml:space="preserve">...” </w:t>
      </w:r>
      <w:r w:rsidRPr="00315E88">
        <w:rPr>
          <w:rFonts w:ascii="Times New Roman" w:hAnsi="Times New Roman"/>
        </w:rPr>
        <w:t xml:space="preserve"> is used, as at the beginning of the northern stele. </w:t>
      </w:r>
      <w:r w:rsidRPr="00315E88">
        <w:rPr>
          <w:rFonts w:ascii="Times New Roman" w:eastAsia="Arial" w:hAnsi="Times New Roman" w:cs="Times New Roman"/>
          <w:color w:val="202124"/>
          <w:lang w:val="en-GB" w:eastAsia="it-IT"/>
        </w:rPr>
        <w:t xml:space="preserve">The kingdom's </w:t>
      </w:r>
      <w:r w:rsidRPr="00315E88">
        <w:rPr>
          <w:rFonts w:ascii="Times New Roman" w:hAnsi="Times New Roman"/>
          <w:color w:val="202124"/>
          <w:lang w:val="en-GB"/>
        </w:rPr>
        <w:t xml:space="preserve">situation </w:t>
      </w:r>
      <w:r w:rsidRPr="00315E88">
        <w:rPr>
          <w:rFonts w:ascii="Times New Roman" w:eastAsia="Arial" w:hAnsi="Times New Roman" w:cs="Times New Roman"/>
          <w:color w:val="202124"/>
          <w:lang w:val="en-GB" w:eastAsia="it-IT"/>
        </w:rPr>
        <w:t>is</w:t>
      </w:r>
      <w:r w:rsidRPr="00315E88">
        <w:rPr>
          <w:rFonts w:ascii="Times New Roman" w:hAnsi="Times New Roman"/>
          <w:color w:val="202124"/>
          <w:lang w:val="en-GB"/>
        </w:rPr>
        <w:t xml:space="preserve"> almost </w:t>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the state of the union</w:t>
      </w:r>
      <w:r w:rsidRPr="00315E88">
        <w:rPr>
          <w:rFonts w:ascii="Times New Roman" w:eastAsia="Arial" w:hAnsi="Times New Roman" w:cs="Times New Roman"/>
          <w:color w:val="202124"/>
          <w:lang w:val="en-GB" w:eastAsia="it-IT"/>
        </w:rPr>
        <w:t xml:space="preserve">” </w:t>
      </w:r>
      <w:r w:rsidRPr="00315E88">
        <w:rPr>
          <w:rFonts w:ascii="Times New Roman" w:hAnsi="Times New Roman"/>
          <w:color w:val="202124"/>
          <w:lang w:val="en-GB"/>
        </w:rPr>
        <w:t>(see below).</w:t>
      </w:r>
    </w:p>
    <w:p w14:paraId="067FE297"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rPr>
        <w:t>On the other hand, in the Hazine Kapısı</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"Hazine Kapısı"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complex</w:t>
      </w:r>
      <w:r w:rsidRPr="00315E88">
        <w:rPr>
          <w:rFonts w:ascii="Times New Roman" w:eastAsia="Arial" w:hAnsi="Times New Roman" w:cs="Times New Roman"/>
          <w:color w:val="202124"/>
          <w:lang w:val="en-GB" w:eastAsia="it-IT"/>
        </w:rPr>
        <w:t>,</w:t>
      </w:r>
      <w:r w:rsidRPr="00315E88">
        <w:rPr>
          <w:rFonts w:ascii="Times New Roman" w:hAnsi="Times New Roman"/>
        </w:rPr>
        <w:t xml:space="preserve"> there is still </w:t>
      </w:r>
      <w:r w:rsidRPr="00315E88">
        <w:rPr>
          <w:rFonts w:ascii="Times New Roman" w:eastAsia="Arial" w:hAnsi="Times New Roman" w:cs="Times New Roman"/>
          <w:color w:val="202124"/>
          <w:lang w:val="en-GB" w:eastAsia="it-IT"/>
        </w:rPr>
        <w:t>much</w:t>
      </w:r>
      <w:r w:rsidRPr="00315E88">
        <w:rPr>
          <w:rFonts w:ascii="Times New Roman" w:hAnsi="Times New Roman"/>
        </w:rPr>
        <w:t xml:space="preserve"> space, such as on the right wall of the WEST niche</w:t>
      </w:r>
      <w:r w:rsidRPr="00315E88">
        <w:rPr>
          <w:rFonts w:ascii="Times New Roman" w:eastAsia="Arial" w:hAnsi="Times New Roman" w:cs="Times New Roman"/>
          <w:color w:val="202124"/>
          <w:lang w:val="en-GB" w:eastAsia="it-IT"/>
        </w:rPr>
        <w:t xml:space="preserve"> and</w:t>
      </w:r>
      <w:r w:rsidRPr="00315E88">
        <w:rPr>
          <w:rFonts w:ascii="Times New Roman" w:hAnsi="Times New Roman"/>
        </w:rPr>
        <w:t xml:space="preserve"> under the inscribed part of the left wall (CTU I. A 9-3 I). The continuation of the text could also have been foreseen in these spaces.</w:t>
      </w:r>
    </w:p>
    <w:p w14:paraId="7324633D"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At this point</w:t>
      </w:r>
      <w:r w:rsidRPr="00315E88">
        <w:rPr>
          <w:rFonts w:ascii="Times New Roman" w:eastAsia="Arial" w:hAnsi="Times New Roman" w:cs="Times New Roman"/>
          <w:color w:val="202124"/>
          <w:lang w:val="en-GB" w:eastAsia="it-IT"/>
        </w:rPr>
        <w:t>,</w:t>
      </w:r>
      <w:r w:rsidRPr="00315E88">
        <w:rPr>
          <w:rFonts w:ascii="Times New Roman" w:hAnsi="Times New Roman"/>
        </w:rPr>
        <w:t xml:space="preserve"> the succession of sections inscribed in the west niche no longer seems clear. In truth, there is no link between the text CTU I. A 9-3 I and the content of the stele since the entire upper part is missing. For the same reason</w:t>
      </w:r>
      <w:r w:rsidRPr="00315E88">
        <w:rPr>
          <w:rFonts w:ascii="Times New Roman" w:eastAsia="Arial" w:hAnsi="Times New Roman" w:cs="Times New Roman"/>
          <w:color w:val="202124"/>
          <w:lang w:val="en-GB" w:eastAsia="it-IT"/>
        </w:rPr>
        <w:t>,</w:t>
      </w:r>
      <w:r w:rsidRPr="00315E88">
        <w:rPr>
          <w:rFonts w:ascii="Times New Roman" w:hAnsi="Times New Roman"/>
        </w:rPr>
        <w:t xml:space="preserve"> we do not have a logical link between the various faces of the stele</w:t>
      </w:r>
      <w:r w:rsidRPr="00315E88">
        <w:rPr>
          <w:rFonts w:ascii="Times New Roman" w:eastAsia="Arial" w:hAnsi="Times New Roman" w:cs="Times New Roman"/>
          <w:color w:val="202124"/>
          <w:lang w:val="en-GB" w:eastAsia="it-IT"/>
        </w:rPr>
        <w:t xml:space="preserve"> or between</w:t>
      </w:r>
      <w:r w:rsidRPr="00315E88">
        <w:rPr>
          <w:rFonts w:ascii="Times New Roman" w:hAnsi="Times New Roman"/>
        </w:rPr>
        <w:t xml:space="preserve"> the stele </w:t>
      </w:r>
      <w:r w:rsidRPr="00315E88">
        <w:rPr>
          <w:rFonts w:ascii="Times New Roman" w:eastAsia="Arial" w:hAnsi="Times New Roman" w:cs="Times New Roman"/>
          <w:color w:val="202124"/>
          <w:lang w:val="en-GB" w:eastAsia="it-IT"/>
        </w:rPr>
        <w:t>and</w:t>
      </w:r>
      <w:r w:rsidRPr="00315E88">
        <w:rPr>
          <w:rFonts w:ascii="Times New Roman" w:hAnsi="Times New Roman"/>
        </w:rPr>
        <w:t xml:space="preserve"> the text on the base (CTU I. A 9-3 VI). </w:t>
      </w:r>
    </w:p>
    <w:p w14:paraId="560017B1"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 xml:space="preserve">The impression is that each </w:t>
      </w:r>
      <w:r w:rsidRPr="00315E88">
        <w:rPr>
          <w:rFonts w:ascii="Times New Roman" w:eastAsia="Arial" w:hAnsi="Times New Roman" w:cs="Times New Roman"/>
          <w:color w:val="202124"/>
          <w:lang w:val="en-GB" w:eastAsia="it-IT"/>
        </w:rPr>
        <w:t>section</w:t>
      </w:r>
      <w:r w:rsidRPr="00315E88">
        <w:rPr>
          <w:rFonts w:ascii="Times New Roman" w:hAnsi="Times New Roman"/>
        </w:rPr>
        <w:t xml:space="preserve"> of the text is</w:t>
      </w:r>
      <w:r w:rsidRPr="00315E88">
        <w:rPr>
          <w:rFonts w:ascii="Times New Roman" w:eastAsia="Arial" w:hAnsi="Times New Roman" w:cs="Times New Roman"/>
          <w:color w:val="202124"/>
          <w:lang w:val="en-GB" w:eastAsia="it-IT"/>
        </w:rPr>
        <w:t>,</w:t>
      </w:r>
      <w:r w:rsidRPr="00315E88">
        <w:rPr>
          <w:rFonts w:ascii="Times New Roman" w:hAnsi="Times New Roman"/>
        </w:rPr>
        <w:t xml:space="preserve"> in a certain sense</w:t>
      </w:r>
      <w:r w:rsidRPr="00315E88">
        <w:rPr>
          <w:rFonts w:ascii="Times New Roman" w:eastAsia="Arial" w:hAnsi="Times New Roman" w:cs="Times New Roman"/>
          <w:color w:val="202124"/>
          <w:lang w:val="en-GB" w:eastAsia="it-IT"/>
        </w:rPr>
        <w:t>,</w:t>
      </w:r>
      <w:r w:rsidRPr="00315E88">
        <w:rPr>
          <w:rFonts w:ascii="Times New Roman" w:hAnsi="Times New Roman"/>
        </w:rPr>
        <w:t xml:space="preserve"> independent, and it is precisely for this reason that one must lament the lack of any absolute but also relative chronological indication. </w:t>
      </w:r>
      <w:r w:rsidRPr="00315E88">
        <w:rPr>
          <w:rStyle w:val="y2iqfc"/>
          <w:rFonts w:asciiTheme="majorBidi" w:eastAsia="Arial" w:hAnsiTheme="majorBidi" w:cstheme="majorBidi"/>
          <w:color w:val="202124"/>
          <w:lang w:val="en-GB"/>
        </w:rPr>
        <w:t>In fact, the</w:t>
      </w:r>
      <w:r w:rsidRPr="00315E88">
        <w:rPr>
          <w:rFonts w:ascii="Times New Roman" w:hAnsi="Times New Roman"/>
        </w:rPr>
        <w:t xml:space="preserve"> recurring formula </w:t>
      </w:r>
      <w:r w:rsidRPr="00315E88">
        <w:rPr>
          <w:rStyle w:val="y2iqfc"/>
          <w:rFonts w:asciiTheme="majorBidi" w:eastAsia="Arial" w:hAnsiTheme="majorBidi" w:cstheme="majorBidi"/>
          <w:color w:val="202124"/>
          <w:lang w:val="en-GB"/>
        </w:rPr>
        <w:t>“</w:t>
      </w:r>
      <w:r w:rsidRPr="00315E88">
        <w:rPr>
          <w:rFonts w:ascii="Times New Roman" w:hAnsi="Times New Roman"/>
        </w:rPr>
        <w:t>I have performed these deeds for a year</w:t>
      </w:r>
      <w:r w:rsidRPr="00315E88">
        <w:rPr>
          <w:rStyle w:val="y2iqfc"/>
          <w:rFonts w:asciiTheme="majorBidi" w:eastAsia="Arial" w:hAnsiTheme="majorBidi" w:cstheme="majorBidi"/>
          <w:color w:val="202124"/>
          <w:lang w:val="en-GB"/>
        </w:rPr>
        <w:t>”</w:t>
      </w:r>
      <w:r w:rsidRPr="00315E88">
        <w:rPr>
          <w:rFonts w:ascii="Times New Roman" w:hAnsi="Times New Roman"/>
        </w:rPr>
        <w:t xml:space="preserve"> does not help us</w:t>
      </w:r>
      <w:r w:rsidRPr="00315E88">
        <w:rPr>
          <w:rStyle w:val="y2iqfc"/>
          <w:rFonts w:asciiTheme="majorBidi" w:eastAsia="Arial" w:hAnsiTheme="majorBidi" w:cstheme="majorBidi"/>
          <w:color w:val="202124"/>
          <w:lang w:val="en-GB"/>
        </w:rPr>
        <w:t xml:space="preserve"> at all</w:t>
      </w:r>
      <w:r w:rsidRPr="00315E88">
        <w:rPr>
          <w:rFonts w:ascii="Times New Roman" w:hAnsi="Times New Roman"/>
        </w:rPr>
        <w:t xml:space="preserve">. </w:t>
      </w:r>
    </w:p>
    <w:p w14:paraId="5C99B6CB"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rPr>
        <w:t xml:space="preserve">Moreover, after the rediscovery of the lost piece of stele CTU I. A 9-1 and its reconstruction (see Salvini in the FS Meyer, quoted above), the left and right sides are reversed. This is reflected in the succession of the military expeditions referred to </w:t>
      </w:r>
      <w:r w:rsidRPr="00315E88">
        <w:rPr>
          <w:rFonts w:ascii="Times New Roman" w:eastAsia="Arial" w:hAnsi="Times New Roman" w:cs="Times New Roman"/>
          <w:color w:val="202124"/>
          <w:lang w:val="en-GB" w:eastAsia="it-IT"/>
        </w:rPr>
        <w:t>there in</w:t>
      </w:r>
      <w:r w:rsidRPr="00315E88">
        <w:rPr>
          <w:rFonts w:ascii="Times New Roman" w:hAnsi="Times New Roman"/>
        </w:rPr>
        <w:t xml:space="preserve"> (Salvini, 1995: 66; Salvini, 2006: 78 ff; Salvini, 2010a: </w:t>
      </w:r>
      <w:r w:rsidRPr="00315E88">
        <w:rPr>
          <w:rFonts w:ascii="Times New Roman" w:hAnsi="Times New Roman"/>
          <w:color w:val="202124"/>
          <w:lang w:val="en-GB"/>
        </w:rPr>
        <w:t>343-352)</w:t>
      </w:r>
      <w:r w:rsidRPr="00315E88">
        <w:rPr>
          <w:rFonts w:ascii="Times New Roman" w:hAnsi="Times New Roman"/>
        </w:rPr>
        <w:t>.</w:t>
      </w:r>
    </w:p>
    <w:p w14:paraId="10066D41"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rPr>
        <w:t>The sequence of events appears to be as follows: 1. Stele of Surp Boğos Church</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Surp Boğos Church</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Obv. Introduction, royal title, curse formula. GAP, 2. stele of Surp Boğos Church right side: Campaign against the country of Rihiša</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Rihiša</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iCs/>
          <w:color w:val="202124"/>
          <w:lang w:val="en-GB"/>
        </w:rPr>
        <w:t xml:space="preserve"> </w:t>
      </w:r>
      <w:r w:rsidRPr="00315E88">
        <w:rPr>
          <w:rFonts w:ascii="Times New Roman" w:hAnsi="Times New Roman"/>
        </w:rPr>
        <w:t>and punishment of king Bašateni</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Bašateni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BIG GAP, 3. stele of Surp Boğos Church rev: Detailed report of the expedition to the Euphrates</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Euphrates</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and beyond, Sarduri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lang w:val="en-GB"/>
        </w:rPr>
        <w:instrText>Sarduri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encamps in front of </w:t>
      </w:r>
      <w:r w:rsidRPr="00315E88">
        <w:rPr>
          <w:rFonts w:ascii="Times New Roman" w:hAnsi="Times New Roman"/>
          <w:color w:val="202124"/>
          <w:lang w:val="en-GB"/>
        </w:rPr>
        <w:t>Ṭumiški</w:t>
      </w:r>
      <w:r w:rsidRPr="00315E88">
        <w:rPr>
          <w:rFonts w:ascii="Times New Roman" w:eastAsia="Arial" w:hAnsi="Times New Roman" w:cs="Times New Roman"/>
          <w:color w:val="202124"/>
          <w:lang w:val="en-GB" w:eastAsia="it-IT"/>
        </w:rPr>
        <w:t>,</w:t>
      </w:r>
      <w:r w:rsidRPr="00315E88">
        <w:rPr>
          <w:rFonts w:asciiTheme="majorBidi" w:hAnsiTheme="majorBidi" w:cstheme="majorBidi"/>
          <w:iCs/>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lang w:val="en-GB"/>
        </w:rPr>
        <w:instrText>Ṭumiški</w:instrText>
      </w:r>
      <w:r w:rsidRPr="00315E88">
        <w:rPr>
          <w:rFonts w:asciiTheme="majorBidi" w:hAnsiTheme="majorBidi" w:cstheme="majorBidi"/>
          <w:lang w:val="en-GB"/>
        </w:rPr>
        <w:instrText xml:space="preserve">" </w:instrText>
      </w:r>
      <w:r w:rsidRPr="00315E88">
        <w:rPr>
          <w:rFonts w:asciiTheme="majorBidi" w:hAnsiTheme="majorBidi" w:cstheme="majorBidi"/>
          <w:iCs/>
          <w:lang w:val="en-GB"/>
        </w:rPr>
        <w:fldChar w:fldCharType="end"/>
      </w:r>
      <w:r w:rsidRPr="00315E88">
        <w:rPr>
          <w:rFonts w:ascii="Times New Roman" w:hAnsi="Times New Roman"/>
          <w:color w:val="202124"/>
          <w:lang w:val="en-GB"/>
        </w:rPr>
        <w:t xml:space="preserve"> the classical Tomisa then lays siege a</w:t>
      </w:r>
      <w:r w:rsidRPr="00315E88">
        <w:rPr>
          <w:rFonts w:ascii="Times New Roman" w:hAnsi="Times New Roman"/>
        </w:rPr>
        <w:t xml:space="preserve">gainst Malatya. </w:t>
      </w:r>
      <w:r w:rsidRPr="00315E88">
        <w:rPr>
          <w:rFonts w:ascii="Times New Roman" w:eastAsia="Arial" w:hAnsi="Times New Roman" w:cs="Times New Roman"/>
          <w:color w:val="202124"/>
          <w:lang w:val="en-GB" w:eastAsia="it-IT"/>
        </w:rPr>
        <w:t>The subjugation</w:t>
      </w:r>
      <w:r w:rsidRPr="00315E88">
        <w:rPr>
          <w:rFonts w:ascii="Times New Roman" w:hAnsi="Times New Roman"/>
        </w:rPr>
        <w:t xml:space="preserve"> of Ḫilaruada(the same deed in the large rock inscription of Habibuşağı on the Euphrates</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202124"/>
          <w:lang w:val="en-GB"/>
        </w:rPr>
        <w:instrText>Euphrates</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CTU I. A 9-4).</w:t>
      </w:r>
    </w:p>
    <w:p w14:paraId="619A127B"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GAP, 4. stele of Surp Boğos Church</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Surp Boğos Church</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left side</w:t>
      </w:r>
    </w:p>
    <w:p w14:paraId="6EC3D78A"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eastAsia="Arial" w:hAnsi="Times New Roman" w:cs="Times New Roman"/>
          <w:color w:val="202124"/>
          <w:lang w:val="en-GB" w:eastAsia="it-IT"/>
        </w:rPr>
        <w:t>There is a brief</w:t>
      </w:r>
      <w:r w:rsidRPr="00315E88">
        <w:rPr>
          <w:rFonts w:ascii="Times New Roman" w:hAnsi="Times New Roman"/>
        </w:rPr>
        <w:t xml:space="preserve"> mention of a war against Murinu</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Murinu</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king of Uelikuḫi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Uelikuḫi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(west shore of Sevan Lake</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instrText xml:space="preserve"> XE "</w:instrText>
      </w:r>
      <w:r w:rsidRPr="00315E88">
        <w:rPr>
          <w:rStyle w:val="y2iqfc"/>
          <w:rFonts w:asciiTheme="majorBidi" w:eastAsia="Arial" w:hAnsiTheme="majorBidi" w:cstheme="majorBidi"/>
          <w:color w:val="202124"/>
          <w:lang w:val="en-GB"/>
        </w:rPr>
        <w:instrText>Sevan Lake</w:instrText>
      </w:r>
      <w:r w:rsidRPr="00315E88">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and Ṣinalibi</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Ṣinalibi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son of Lueḫu</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Lueḫu</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king of Tuliḫu</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Tuliḫu</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Victory over Aššurnirari V</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 xml:space="preserve">Aššurnirari </w:instrText>
      </w:r>
      <w:r w:rsidRPr="00315E88">
        <w:rPr>
          <w:rStyle w:val="y2iqfc"/>
          <w:rFonts w:asciiTheme="majorBidi" w:eastAsia="Arial" w:hAnsiTheme="majorBidi" w:cstheme="majorBidi"/>
          <w:color w:val="202124"/>
          <w:lang w:val="en-GB"/>
        </w:rPr>
        <w:instrText>V</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(754-746 BCE), son of Adadnirari</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Adadnirari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Fonts w:ascii="Times New Roman" w:hAnsi="Times New Roman"/>
        </w:rPr>
        <w:t xml:space="preserve"> king of Assyria</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000000"/>
          <w:lang w:val="en-GB" w:eastAsia="tr-TR" w:bidi="he-IL"/>
        </w:rPr>
        <w:instrText>Assyria</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then the country of Urme</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Urme</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and the city of Niḫria</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Niḫria</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(we are near Diyarbakir</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Diyarbakir</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The war against </w:t>
      </w:r>
      <w:r w:rsidRPr="00315E88">
        <w:rPr>
          <w:rStyle w:val="y2iqfc"/>
          <w:rFonts w:asciiTheme="majorBidi" w:eastAsia="Arial" w:hAnsiTheme="majorBidi" w:cstheme="majorBidi"/>
          <w:iCs/>
          <w:color w:val="202124"/>
          <w:lang w:val="en-GB"/>
        </w:rPr>
        <w:t>Uelikuḫi</w:t>
      </w:r>
      <w:r w:rsidRPr="00315E88">
        <w:rPr>
          <w:rStyle w:val="y2iqfc"/>
          <w:rFonts w:asciiTheme="majorBidi" w:eastAsia="Arial" w:hAnsiTheme="majorBidi" w:cstheme="majorBidi"/>
          <w:color w:val="202124"/>
          <w:lang w:val="en-GB"/>
        </w:rPr>
        <w:t xml:space="preserve"> is</w:t>
      </w:r>
      <w:r w:rsidRPr="00315E88">
        <w:rPr>
          <w:rFonts w:ascii="Times New Roman" w:hAnsi="Times New Roman"/>
        </w:rPr>
        <w:t xml:space="preserve"> mentioned again, so much so that it seems to read notes, a memo, not an actual report.</w:t>
      </w:r>
    </w:p>
    <w:p w14:paraId="6A30C7AF"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color w:val="202124"/>
          <w:lang w:val="en-GB"/>
        </w:rPr>
        <w:t xml:space="preserve">The sequence of the various parts inscribed in the niche on the right, the western one, is </w:t>
      </w:r>
      <w:r w:rsidRPr="00315E88">
        <w:rPr>
          <w:rFonts w:ascii="Times New Roman" w:eastAsia="Arial" w:hAnsi="Times New Roman" w:cs="Times New Roman"/>
          <w:color w:val="202124"/>
          <w:lang w:val="en-GB" w:eastAsia="it-IT"/>
        </w:rPr>
        <w:t>still being determined.</w:t>
      </w:r>
      <w:r w:rsidRPr="00315E88">
        <w:rPr>
          <w:rFonts w:ascii="Times New Roman" w:hAnsi="Times New Roman"/>
          <w:color w:val="202124"/>
          <w:lang w:val="en-GB"/>
        </w:rPr>
        <w:t xml:space="preserve"> </w:t>
      </w:r>
      <w:r w:rsidRPr="00315E88">
        <w:rPr>
          <w:rFonts w:ascii="Times New Roman" w:hAnsi="Times New Roman"/>
        </w:rPr>
        <w:t xml:space="preserve">CTU I. A 9-3 I is on the left wall of the west niche, the only one visible from </w:t>
      </w:r>
      <w:r w:rsidRPr="00315E88">
        <w:rPr>
          <w:rFonts w:ascii="Times New Roman" w:eastAsia="Arial" w:hAnsi="Times New Roman" w:cs="Times New Roman"/>
          <w:color w:val="202124"/>
          <w:lang w:val="en-GB" w:eastAsia="it-IT"/>
        </w:rPr>
        <w:t>Schulz's</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"Schulz"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time. Detailed report of an expedition against Mana</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Mana</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(country of the Manneans</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Manneans</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Babilu</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Babilu</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and Baruata</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Baruata</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south of the Urmia Lake</w:t>
      </w:r>
      <w:r w:rsidRPr="00315E88">
        <w:rPr>
          <w:rFonts w:ascii="Times New Roman" w:hAnsi="Times New Roman"/>
        </w:rPr>
        <w:fldChar w:fldCharType="begin"/>
      </w:r>
      <w:r w:rsidRPr="00315E88">
        <w:instrText xml:space="preserve"> XE "</w:instrText>
      </w:r>
      <w:r w:rsidRPr="00315E88">
        <w:rPr>
          <w:rFonts w:ascii="Times New Roman" w:hAnsi="Times New Roman"/>
        </w:rPr>
        <w:instrText>Urmia Lake</w:instrText>
      </w:r>
      <w:r w:rsidRPr="00315E88">
        <w:instrText xml:space="preserve">" </w:instrText>
      </w:r>
      <w:r w:rsidRPr="00315E88">
        <w:rPr>
          <w:rFonts w:ascii="Times New Roman" w:hAnsi="Times New Roman"/>
        </w:rPr>
        <w:fldChar w:fldCharType="end"/>
      </w:r>
      <w:r w:rsidRPr="00315E88">
        <w:rPr>
          <w:rFonts w:ascii="Times New Roman" w:eastAsia="Arial" w:hAnsi="Times New Roman" w:cs="Times New Roman"/>
          <w:color w:val="202124"/>
          <w:lang w:val="en-GB" w:eastAsia="it-IT"/>
        </w:rPr>
        <w:t xml:space="preserve">. </w:t>
      </w:r>
      <w:r w:rsidRPr="00315E88">
        <w:rPr>
          <w:rFonts w:ascii="Times New Roman" w:hAnsi="Times New Roman"/>
        </w:rPr>
        <w:t xml:space="preserve">Further (?) campaign against </w:t>
      </w:r>
      <w:r w:rsidRPr="00315E88">
        <w:rPr>
          <w:rFonts w:ascii="Times New Roman" w:hAnsi="Times New Roman"/>
          <w:color w:val="202124"/>
          <w:lang w:val="en-GB"/>
        </w:rPr>
        <w:t>Etiu/Etiuḫi/Etiuni</w:t>
      </w:r>
      <w:r w:rsidRPr="00315E88">
        <w:rPr>
          <w:rFonts w:ascii="Times New Roman" w:eastAsia="Arial" w:hAnsi="Times New Roman" w:cs="Times New Roman"/>
          <w:color w:val="202124"/>
          <w:lang w:val="en-GB" w:eastAsia="it-IT"/>
        </w:rPr>
        <w:t>,</w:t>
      </w:r>
      <w:r w:rsidRPr="00315E88">
        <w:rPr>
          <w:rFonts w:asciiTheme="majorBidi"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color w:val="202124"/>
          <w:lang w:val="en-GB"/>
        </w:rPr>
        <w:instrText>Etiu/Etiuḫi/Etiuni</w:instrText>
      </w:r>
      <w:r w:rsidRPr="00315E88">
        <w:rPr>
          <w:rFonts w:asciiTheme="majorBidi" w:hAnsiTheme="majorBidi" w:cstheme="majorBidi"/>
          <w:lang w:val="en-GB"/>
        </w:rPr>
        <w:instrText xml:space="preserve">" </w:instrText>
      </w:r>
      <w:r w:rsidRPr="00315E88">
        <w:rPr>
          <w:rFonts w:asciiTheme="majorBidi" w:hAnsiTheme="majorBidi" w:cstheme="majorBidi"/>
          <w:iCs/>
          <w:color w:val="202124"/>
          <w:lang w:val="en-GB"/>
        </w:rPr>
        <w:fldChar w:fldCharType="end"/>
      </w:r>
      <w:r w:rsidRPr="00315E88">
        <w:rPr>
          <w:rFonts w:ascii="Times New Roman" w:hAnsi="Times New Roman"/>
        </w:rPr>
        <w:t xml:space="preserve"> Erikua/Erkua/Erkuaic/Erikuaḫi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Erikua/Erkua/Erkuaic/Erikuaḫi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iCs/>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in </w:t>
      </w:r>
      <w:r w:rsidRPr="00315E88">
        <w:rPr>
          <w:rFonts w:ascii="Times New Roman" w:eastAsia="Arial" w:hAnsi="Times New Roman" w:cs="Times New Roman"/>
          <w:color w:val="202124"/>
          <w:lang w:val="en-GB" w:eastAsia="it-IT"/>
        </w:rPr>
        <w:t>today's</w:t>
      </w:r>
      <w:r w:rsidRPr="00315E88">
        <w:rPr>
          <w:rFonts w:ascii="Times New Roman" w:hAnsi="Times New Roman"/>
        </w:rPr>
        <w:t xml:space="preserve"> Armenia</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Armenia</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Fonts w:ascii="Times New Roman" w:hAnsi="Times New Roman"/>
        </w:rPr>
        <w:t xml:space="preserve"> and other Transcaucasian countries, and third campaign against Urme</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iCs/>
          <w:color w:val="202124"/>
          <w:lang w:val="en-GB"/>
        </w:rPr>
        <w:instrText>Urme</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w:t>
      </w:r>
      <w:r w:rsidRPr="00315E88">
        <w:rPr>
          <w:rFonts w:ascii="Times New Roman" w:hAnsi="Times New Roman"/>
          <w:color w:val="202124"/>
          <w:lang w:val="en-GB"/>
        </w:rPr>
        <w:t>Beyond the region of Muş</w:t>
      </w:r>
      <w:r w:rsidRPr="00315E88">
        <w:rPr>
          <w:rFonts w:ascii="Times New Roman" w:eastAsia="Arial" w:hAnsi="Times New Roman" w:cs="Times New Roman"/>
          <w:color w:val="202124"/>
          <w:lang w:val="en-GB" w:eastAsia="it-IT"/>
        </w:rPr>
        <w:t>.</w:t>
      </w:r>
    </w:p>
    <w:p w14:paraId="6C697CD5"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eastAsia="Arial" w:hAnsi="Times New Roman" w:cs="Times New Roman"/>
          <w:color w:val="202124"/>
          <w:lang w:val="en-GB" w:eastAsia="it-IT"/>
        </w:rPr>
        <w:t>A new</w:t>
      </w:r>
      <w:r w:rsidRPr="00315E88">
        <w:rPr>
          <w:rFonts w:ascii="Times New Roman" w:hAnsi="Times New Roman"/>
        </w:rPr>
        <w:t xml:space="preserve"> quotation of the stereotype formula at the end of the passage:</w:t>
      </w:r>
    </w:p>
    <w:p w14:paraId="25E6E5AD"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vertAlign w:val="superscript"/>
          <w:lang w:val="en-GB"/>
        </w:rPr>
        <w:t>D</w:t>
      </w:r>
      <w:r w:rsidRPr="00315E88">
        <w:rPr>
          <w:rFonts w:ascii="Times New Roman" w:hAnsi="Times New Roman"/>
          <w:color w:val="202124"/>
          <w:lang w:val="en-GB"/>
        </w:rPr>
        <w:t xml:space="preserve">ḫal-di-ia iš-ti-ni-e i-na-ni-li ar-ni-ú-ši-ni-li 1 MU </w:t>
      </w:r>
      <w:r w:rsidRPr="00315E88">
        <w:rPr>
          <w:rFonts w:ascii="Times New Roman" w:hAnsi="Times New Roman"/>
          <w:color w:val="202124"/>
          <w:vertAlign w:val="superscript"/>
          <w:lang w:val="en-GB"/>
        </w:rPr>
        <w:t>mD</w:t>
      </w:r>
      <w:r w:rsidRPr="00315E88">
        <w:rPr>
          <w:rFonts w:ascii="Times New Roman" w:hAnsi="Times New Roman"/>
          <w:color w:val="202124"/>
          <w:lang w:val="en-GB"/>
        </w:rPr>
        <w:t>sar</w:t>
      </w:r>
      <w:r w:rsidRPr="00315E88">
        <w:rPr>
          <w:rFonts w:ascii="Times New Roman" w:hAnsi="Times New Roman"/>
          <w:color w:val="00B050"/>
          <w:vertAlign w:val="subscript"/>
          <w:lang w:val="en-GB"/>
        </w:rPr>
        <w:t>5</w:t>
      </w:r>
      <w:r w:rsidRPr="00315E88">
        <w:rPr>
          <w:rFonts w:ascii="Times New Roman" w:hAnsi="Times New Roman"/>
          <w:color w:val="202124"/>
          <w:lang w:val="en-GB"/>
        </w:rPr>
        <w:t>-du-ri-</w:t>
      </w:r>
      <w:r w:rsidRPr="00315E88">
        <w:rPr>
          <w:rFonts w:asciiTheme="majorBidi" w:hAnsiTheme="majorBidi" w:cstheme="majorBidi"/>
          <w:lang w:val="en-GB"/>
        </w:rPr>
        <w:t xml:space="preserve">še </w:t>
      </w:r>
      <w:r w:rsidRPr="00315E88">
        <w:rPr>
          <w:rFonts w:asciiTheme="majorBidi" w:hAnsiTheme="majorBidi" w:cstheme="majorBidi"/>
          <w:vertAlign w:val="superscript"/>
          <w:lang w:val="en-GB"/>
        </w:rPr>
        <w:t>m</w:t>
      </w:r>
      <w:r w:rsidRPr="00315E88">
        <w:rPr>
          <w:rFonts w:asciiTheme="majorBidi" w:hAnsiTheme="majorBidi" w:cstheme="majorBidi"/>
          <w:lang w:val="en-GB"/>
        </w:rPr>
        <w:t>ar</w:t>
      </w:r>
      <w:r w:rsidRPr="00315E88">
        <w:rPr>
          <w:rFonts w:ascii="Times New Roman" w:hAnsi="Times New Roman"/>
          <w:color w:val="202124"/>
          <w:lang w:val="en-GB"/>
        </w:rPr>
        <w:t>-giš-ti-ḫi-ni-še za-du-ni</w:t>
      </w:r>
    </w:p>
    <w:p w14:paraId="2605DFB6"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eastAsia="Arial" w:hAnsi="Times New Roman" w:cs="Times New Roman"/>
          <w:color w:val="202124"/>
          <w:lang w:val="en-GB" w:eastAsia="it-IT"/>
        </w:rPr>
        <w:t>“</w:t>
      </w:r>
      <w:r w:rsidRPr="00315E88">
        <w:rPr>
          <w:rFonts w:ascii="Times New Roman" w:hAnsi="Times New Roman"/>
        </w:rPr>
        <w:t>In favor of the god Ḫaldi</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i/>
          <w:iCs/>
          <w:color w:val="202124"/>
          <w:lang w:val="en-GB"/>
        </w:rPr>
        <w:fldChar w:fldCharType="begin"/>
      </w:r>
      <w:r w:rsidRPr="00315E88">
        <w:rPr>
          <w:rFonts w:asciiTheme="majorBidi" w:hAnsiTheme="majorBidi" w:cstheme="majorBidi"/>
          <w:lang w:val="en-GB"/>
        </w:rPr>
        <w:instrText xml:space="preserve"> XE "Ḫaldi" </w:instrText>
      </w:r>
      <w:r w:rsidRPr="00315E88">
        <w:rPr>
          <w:rStyle w:val="y2iqfc"/>
          <w:rFonts w:asciiTheme="majorBidi" w:eastAsia="Arial" w:hAnsiTheme="majorBidi" w:cstheme="majorBidi"/>
          <w:i/>
          <w:iCs/>
          <w:color w:val="202124"/>
          <w:lang w:val="en-GB"/>
        </w:rPr>
        <w:fldChar w:fldCharType="end"/>
      </w:r>
      <w:r w:rsidRPr="00315E88">
        <w:rPr>
          <w:rStyle w:val="y2iqfc"/>
          <w:rFonts w:asciiTheme="majorBidi" w:eastAsia="Arial" w:hAnsiTheme="majorBidi" w:cstheme="majorBidi"/>
          <w:i/>
          <w:iCs/>
          <w:color w:val="202124"/>
          <w:lang w:val="en-GB"/>
        </w:rPr>
        <w:t xml:space="preserve"> </w:t>
      </w:r>
      <w:r w:rsidRPr="00315E88">
        <w:rPr>
          <w:rFonts w:ascii="Times New Roman" w:hAnsi="Times New Roman"/>
        </w:rPr>
        <w:t>these feats in one</w:t>
      </w:r>
      <w:r w:rsidRPr="00315E88">
        <w:rPr>
          <w:rFonts w:ascii="Times New Roman" w:eastAsia="Arial" w:hAnsi="Times New Roman" w:cs="Times New Roman"/>
          <w:color w:val="202124"/>
          <w:lang w:val="en-GB" w:eastAsia="it-IT"/>
        </w:rPr>
        <w:t xml:space="preserve"> </w:t>
      </w:r>
      <w:r w:rsidRPr="00315E88">
        <w:rPr>
          <w:rFonts w:ascii="Times New Roman" w:hAnsi="Times New Roman"/>
        </w:rPr>
        <w:t>year Sarduri</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lang w:val="en-GB"/>
        </w:rPr>
        <w:instrText>Sarduri</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son of Argišti, accomplished</w:t>
      </w:r>
      <w:r w:rsidRPr="00315E88">
        <w:rPr>
          <w:rFonts w:ascii="Times New Roman" w:eastAsia="Arial" w:hAnsi="Times New Roman" w:cs="Times New Roman"/>
          <w:color w:val="202124"/>
          <w:lang w:val="en-GB" w:eastAsia="it-IT"/>
        </w:rPr>
        <w:t>”.</w:t>
      </w:r>
    </w:p>
    <w:p w14:paraId="4A6415FE"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rPr>
        <w:lastRenderedPageBreak/>
        <w:t xml:space="preserve">Also, the problem is that we </w:t>
      </w:r>
      <w:r w:rsidRPr="00315E88">
        <w:rPr>
          <w:rFonts w:ascii="Times New Roman" w:eastAsia="Arial" w:hAnsi="Times New Roman" w:cs="Times New Roman"/>
          <w:color w:val="202124"/>
          <w:lang w:val="en-GB" w:eastAsia="it-IT"/>
        </w:rPr>
        <w:t>need to</w:t>
      </w:r>
      <w:r w:rsidRPr="00315E88">
        <w:rPr>
          <w:rFonts w:ascii="Times New Roman" w:hAnsi="Times New Roman"/>
        </w:rPr>
        <w:t xml:space="preserve"> know what year it is. The intent </w:t>
      </w:r>
      <w:r w:rsidRPr="00315E88">
        <w:rPr>
          <w:rFonts w:ascii="Times New Roman" w:eastAsia="Arial" w:hAnsi="Times New Roman" w:cs="Times New Roman"/>
          <w:color w:val="202124"/>
          <w:lang w:val="en-GB" w:eastAsia="it-IT"/>
        </w:rPr>
        <w:t>underlines</w:t>
      </w:r>
      <w:r w:rsidRPr="00315E88">
        <w:rPr>
          <w:rFonts w:ascii="Times New Roman" w:hAnsi="Times New Roman"/>
        </w:rPr>
        <w:t xml:space="preserve"> that those feats were accomplished in a single year. </w:t>
      </w:r>
      <w:r w:rsidRPr="00315E88">
        <w:rPr>
          <w:rFonts w:ascii="Times New Roman" w:hAnsi="Times New Roman"/>
          <w:color w:val="202124"/>
          <w:lang w:val="en-GB"/>
        </w:rPr>
        <w:t xml:space="preserve">It remains </w:t>
      </w:r>
      <w:r w:rsidRPr="00315E88">
        <w:rPr>
          <w:rFonts w:ascii="Times New Roman" w:eastAsia="Arial" w:hAnsi="Times New Roman" w:cs="Times New Roman"/>
          <w:color w:val="202124"/>
          <w:lang w:val="en-GB" w:eastAsia="it-IT"/>
        </w:rPr>
        <w:t>challenging</w:t>
      </w:r>
      <w:r w:rsidRPr="00315E88">
        <w:rPr>
          <w:rFonts w:ascii="Times New Roman" w:hAnsi="Times New Roman"/>
          <w:color w:val="202124"/>
          <w:lang w:val="en-GB"/>
        </w:rPr>
        <w:t xml:space="preserve"> to understand how objectives so distant from each other, with the destruction of fortresses, deportations of people, </w:t>
      </w:r>
      <w:r w:rsidRPr="00315E88">
        <w:rPr>
          <w:rFonts w:ascii="Times New Roman" w:eastAsia="Arial" w:hAnsi="Times New Roman" w:cs="Times New Roman"/>
          <w:color w:val="202124"/>
          <w:lang w:val="en-GB" w:eastAsia="it-IT"/>
        </w:rPr>
        <w:t xml:space="preserve">and </w:t>
      </w:r>
      <w:r w:rsidRPr="00315E88">
        <w:rPr>
          <w:rFonts w:ascii="Times New Roman" w:hAnsi="Times New Roman"/>
          <w:color w:val="202124"/>
          <w:lang w:val="en-GB"/>
        </w:rPr>
        <w:t>raids on cattle, could have been achieved in the same year. The subdivision into year’s corresponding to the military campaigns is a style analogous to the Assyrian</w:t>
      </w:r>
      <w:r w:rsidRPr="00315E88">
        <w:rPr>
          <w:rFonts w:ascii="Times New Roman" w:eastAsia="Arial"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"Assyrian"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annalistic texts</w:t>
      </w:r>
      <w:r w:rsidRPr="00315E88">
        <w:rPr>
          <w:rFonts w:ascii="Times New Roman" w:eastAsia="Arial" w:hAnsi="Times New Roman" w:cs="Times New Roman"/>
          <w:color w:val="202124"/>
          <w:lang w:val="en-GB" w:eastAsia="it-IT"/>
        </w:rPr>
        <w:t>,</w:t>
      </w:r>
      <w:r w:rsidRPr="00315E88">
        <w:rPr>
          <w:rFonts w:ascii="Times New Roman" w:hAnsi="Times New Roman"/>
          <w:color w:val="202124"/>
          <w:lang w:val="en-GB"/>
        </w:rPr>
        <w:t xml:space="preserve"> but unfortunately, the absolute chronological references are missing. We must be content with the rare horizontal links with Assyrian chronology. What interested the writers of the Urartian</w:t>
      </w:r>
      <w:r w:rsidRPr="00315E88">
        <w:rPr>
          <w:rFonts w:ascii="Times New Roman" w:eastAsia="Arial"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"Urartian"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 xml:space="preserve">texts </w:t>
      </w:r>
      <w:r w:rsidRPr="00315E88">
        <w:rPr>
          <w:rFonts w:ascii="Times New Roman" w:eastAsia="Arial" w:hAnsi="Times New Roman" w:cs="Times New Roman"/>
          <w:color w:val="202124"/>
          <w:lang w:val="en-GB" w:eastAsia="it-IT"/>
        </w:rPr>
        <w:t>were</w:t>
      </w:r>
      <w:r w:rsidRPr="00315E88">
        <w:rPr>
          <w:rFonts w:ascii="Times New Roman" w:hAnsi="Times New Roman"/>
          <w:color w:val="202124"/>
          <w:lang w:val="en-GB"/>
        </w:rPr>
        <w:t xml:space="preserve"> only the celebration of military victories or </w:t>
      </w:r>
      <w:r w:rsidRPr="00315E88">
        <w:rPr>
          <w:rFonts w:ascii="Times New Roman" w:eastAsia="Arial" w:hAnsi="Times New Roman" w:cs="Times New Roman"/>
          <w:color w:val="202124"/>
          <w:lang w:val="en-GB" w:eastAsia="it-IT"/>
        </w:rPr>
        <w:t>outstanding</w:t>
      </w:r>
      <w:r w:rsidRPr="00315E88">
        <w:rPr>
          <w:rFonts w:ascii="Times New Roman" w:hAnsi="Times New Roman"/>
          <w:color w:val="202124"/>
          <w:lang w:val="en-GB"/>
        </w:rPr>
        <w:t xml:space="preserve"> architectural achievements, including aqueducts and canals, not a chronicle concern.</w:t>
      </w:r>
    </w:p>
    <w:p w14:paraId="7CAC990C"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Only much later, in the seventh century, some timid indications of year names appear on tablets and bullae (see CTU IV). See</w:t>
      </w:r>
      <w:r w:rsidRPr="00315E88">
        <w:rPr>
          <w:rFonts w:ascii="Times New Roman" w:eastAsia="Arial" w:hAnsi="Times New Roman" w:cs="Times New Roman"/>
          <w:color w:val="202124"/>
          <w:lang w:val="en-GB" w:eastAsia="it-IT"/>
        </w:rPr>
        <w:t>,</w:t>
      </w:r>
      <w:r w:rsidRPr="00315E88">
        <w:rPr>
          <w:rFonts w:ascii="Times New Roman" w:hAnsi="Times New Roman"/>
        </w:rPr>
        <w:t xml:space="preserve"> for example</w:t>
      </w:r>
      <w:r w:rsidRPr="00315E88">
        <w:rPr>
          <w:rFonts w:ascii="Times New Roman" w:eastAsia="Arial" w:hAnsi="Times New Roman" w:cs="Times New Roman"/>
          <w:color w:val="202124"/>
          <w:lang w:val="en-GB" w:eastAsia="it-IT"/>
        </w:rPr>
        <w:t>,</w:t>
      </w:r>
      <w:r w:rsidRPr="00315E88">
        <w:rPr>
          <w:rFonts w:ascii="Times New Roman" w:hAnsi="Times New Roman"/>
        </w:rPr>
        <w:t xml:space="preserve"> the Toprakkale</w:t>
      </w:r>
      <w:r w:rsidRPr="00315E88">
        <w:rPr>
          <w:rFonts w:ascii="Times New Roman" w:eastAsia="Arial"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"Toprakkale"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 xml:space="preserve">tablet: </w:t>
      </w:r>
    </w:p>
    <w:p w14:paraId="04785128"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CT Tk-1 obv 1-6</w:t>
      </w:r>
    </w:p>
    <w:p w14:paraId="16CE1F4F" w14:textId="77777777" w:rsidR="00B4516E" w:rsidRPr="00315E88" w:rsidRDefault="00B4516E" w:rsidP="00B4516E">
      <w:pPr>
        <w:ind w:left="567" w:hanging="567"/>
        <w:jc w:val="both"/>
        <w:rPr>
          <w:rFonts w:ascii="Times New Roman" w:hAnsi="Times New Roman"/>
          <w:lang w:val="en-GB"/>
        </w:rPr>
      </w:pPr>
      <w:r w:rsidRPr="00315E88">
        <w:rPr>
          <w:rFonts w:ascii="Times New Roman" w:hAnsi="Times New Roman"/>
          <w:lang w:val="en-GB"/>
        </w:rPr>
        <w:t>1</w:t>
      </w:r>
      <w:r w:rsidRPr="00315E88">
        <w:rPr>
          <w:rFonts w:ascii="Times New Roman" w:hAnsi="Times New Roman"/>
          <w:lang w:val="en-GB"/>
        </w:rPr>
        <w:tab/>
        <w:t xml:space="preserve">a-lu-ki MU </w:t>
      </w:r>
      <w:r w:rsidRPr="00315E88">
        <w:rPr>
          <w:rFonts w:ascii="Times New Roman" w:hAnsi="Times New Roman"/>
          <w:vertAlign w:val="superscript"/>
          <w:lang w:val="en-GB"/>
        </w:rPr>
        <w:t>m</w:t>
      </w:r>
      <w:r w:rsidRPr="00315E88">
        <w:rPr>
          <w:rFonts w:ascii="Times New Roman" w:hAnsi="Times New Roman"/>
          <w:lang w:val="en-GB"/>
        </w:rPr>
        <w:t xml:space="preserve">ru-sa-a URU?/-i? </w:t>
      </w:r>
      <w:r w:rsidRPr="00315E88">
        <w:rPr>
          <w:rFonts w:ascii="Times New Roman" w:hAnsi="Times New Roman"/>
          <w:vertAlign w:val="superscript"/>
          <w:lang w:val="en-GB"/>
        </w:rPr>
        <w:t>m</w:t>
      </w:r>
      <w:r w:rsidRPr="00315E88">
        <w:rPr>
          <w:rFonts w:ascii="Times New Roman" w:hAnsi="Times New Roman"/>
          <w:lang w:val="en-GB"/>
        </w:rPr>
        <w:t xml:space="preserve">ar-giš-t[e-ḫ]i-n[i]  </w:t>
      </w:r>
      <w:r w:rsidRPr="00315E88">
        <w:rPr>
          <w:rFonts w:ascii="Times New Roman" w:hAnsi="Times New Roman"/>
          <w:lang w:val="en-GB"/>
        </w:rPr>
        <w:tab/>
        <w:t>,</w:t>
      </w:r>
    </w:p>
    <w:p w14:paraId="7C93E0E1" w14:textId="77777777" w:rsidR="00B4516E" w:rsidRPr="00315E88" w:rsidRDefault="00B4516E" w:rsidP="00B4516E">
      <w:pPr>
        <w:ind w:left="567" w:hanging="567"/>
        <w:jc w:val="both"/>
        <w:rPr>
          <w:rFonts w:ascii="Times New Roman" w:hAnsi="Times New Roman"/>
          <w:lang w:val="en-GB"/>
        </w:rPr>
      </w:pPr>
      <w:r w:rsidRPr="00315E88">
        <w:rPr>
          <w:rFonts w:ascii="Times New Roman" w:hAnsi="Times New Roman"/>
          <w:lang w:val="en-GB"/>
        </w:rPr>
        <w:t>2</w:t>
      </w:r>
      <w:r w:rsidRPr="00315E88">
        <w:rPr>
          <w:rFonts w:ascii="Times New Roman" w:hAnsi="Times New Roman"/>
          <w:lang w:val="en-GB"/>
        </w:rPr>
        <w:tab/>
      </w:r>
      <w:r w:rsidRPr="00315E88">
        <w:rPr>
          <w:rFonts w:ascii="Times New Roman" w:hAnsi="Times New Roman"/>
          <w:vertAlign w:val="superscript"/>
          <w:lang w:val="en-GB"/>
        </w:rPr>
        <w:t>m</w:t>
      </w:r>
      <w:r w:rsidRPr="00315E88">
        <w:rPr>
          <w:rFonts w:ascii="Times New Roman" w:hAnsi="Times New Roman"/>
          <w:lang w:val="en-GB"/>
        </w:rPr>
        <w:t>šá-ga-b/pu</w:t>
      </w:r>
      <w:r w:rsidRPr="00315E88">
        <w:rPr>
          <w:rFonts w:ascii="Times New Roman" w:hAnsi="Times New Roman"/>
          <w:vertAlign w:val="subscript"/>
          <w:lang w:val="en-GB"/>
        </w:rPr>
        <w:t>x</w:t>
      </w:r>
      <w:r w:rsidRPr="00315E88">
        <w:rPr>
          <w:rFonts w:ascii="Times New Roman" w:hAnsi="Times New Roman"/>
          <w:lang w:val="en-GB"/>
        </w:rPr>
        <w:t xml:space="preserve">(TUR)-tar-a LUGAL iš-qu-gu-ul-ḫi-e       </w:t>
      </w:r>
    </w:p>
    <w:p w14:paraId="50270702" w14:textId="77777777" w:rsidR="00B4516E" w:rsidRPr="00315E88" w:rsidRDefault="00B4516E" w:rsidP="00B4516E">
      <w:pPr>
        <w:ind w:left="567" w:hanging="567"/>
        <w:jc w:val="both"/>
        <w:rPr>
          <w:rFonts w:ascii="Times New Roman" w:hAnsi="Times New Roman"/>
          <w:lang w:val="en-GB"/>
        </w:rPr>
      </w:pPr>
      <w:r w:rsidRPr="00315E88">
        <w:rPr>
          <w:rFonts w:ascii="Times New Roman" w:hAnsi="Times New Roman"/>
          <w:lang w:val="en-GB"/>
        </w:rPr>
        <w:t>3</w:t>
      </w:r>
      <w:r w:rsidRPr="00315E88">
        <w:rPr>
          <w:rFonts w:ascii="Times New Roman" w:hAnsi="Times New Roman"/>
          <w:lang w:val="en-GB"/>
        </w:rPr>
        <w:tab/>
        <w:t xml:space="preserve">ú-la-b[i] </w:t>
      </w:r>
      <w:r w:rsidRPr="00315E88">
        <w:rPr>
          <w:rFonts w:ascii="Times New Roman" w:hAnsi="Times New Roman"/>
          <w:vertAlign w:val="superscript"/>
          <w:lang w:val="en-GB"/>
        </w:rPr>
        <w:t>KUR</w:t>
      </w:r>
      <w:r w:rsidRPr="00315E88">
        <w:rPr>
          <w:rFonts w:ascii="Times New Roman" w:hAnsi="Times New Roman"/>
          <w:lang w:val="en-GB"/>
        </w:rPr>
        <w:t xml:space="preserve">ma-na-i-di </w:t>
      </w:r>
      <w:r w:rsidRPr="00315E88">
        <w:rPr>
          <w:rFonts w:ascii="Times New Roman" w:hAnsi="Times New Roman"/>
          <w:vertAlign w:val="superscript"/>
          <w:lang w:val="en-GB"/>
        </w:rPr>
        <w:t>m</w:t>
      </w:r>
      <w:r w:rsidRPr="00315E88">
        <w:rPr>
          <w:rFonts w:ascii="Times New Roman" w:hAnsi="Times New Roman"/>
          <w:lang w:val="en-GB"/>
        </w:rPr>
        <w:t>a-ka-</w:t>
      </w:r>
      <w:r w:rsidRPr="00315E88">
        <w:rPr>
          <w:rFonts w:ascii="Times New Roman" w:hAnsi="Times New Roman"/>
          <w:b/>
          <w:lang w:val="en-GB"/>
        </w:rPr>
        <w:t>ʾ</w:t>
      </w:r>
      <w:r w:rsidRPr="00315E88">
        <w:rPr>
          <w:rFonts w:ascii="Times New Roman" w:hAnsi="Times New Roman"/>
          <w:lang w:val="en-GB"/>
        </w:rPr>
        <w:t>a-a</w:t>
      </w:r>
      <w:r w:rsidRPr="00315E88">
        <w:rPr>
          <w:rFonts w:ascii="Times New Roman" w:hAnsi="Times New Roman"/>
          <w:lang w:val="en-GB"/>
        </w:rPr>
        <w:tab/>
      </w:r>
      <w:r w:rsidRPr="00315E88">
        <w:rPr>
          <w:rFonts w:ascii="Times New Roman" w:hAnsi="Times New Roman"/>
          <w:lang w:val="en-GB"/>
        </w:rPr>
        <w:tab/>
      </w:r>
      <w:r w:rsidRPr="00315E88">
        <w:rPr>
          <w:rFonts w:ascii="Times New Roman" w:hAnsi="Times New Roman"/>
          <w:lang w:val="en-GB"/>
        </w:rPr>
        <w:tab/>
        <w:t xml:space="preserve">        </w:t>
      </w:r>
    </w:p>
    <w:p w14:paraId="0444A787" w14:textId="77777777" w:rsidR="00B4516E" w:rsidRPr="00315E88" w:rsidRDefault="00B4516E" w:rsidP="00B4516E">
      <w:pPr>
        <w:ind w:left="567" w:hanging="567"/>
        <w:jc w:val="both"/>
        <w:rPr>
          <w:rFonts w:ascii="Times New Roman" w:hAnsi="Times New Roman"/>
          <w:lang w:val="en-GB"/>
        </w:rPr>
      </w:pPr>
      <w:r w:rsidRPr="00315E88">
        <w:rPr>
          <w:rFonts w:ascii="Times New Roman" w:hAnsi="Times New Roman"/>
          <w:lang w:val="en-GB"/>
        </w:rPr>
        <w:t>4</w:t>
      </w:r>
      <w:r w:rsidRPr="00315E88">
        <w:rPr>
          <w:rFonts w:ascii="Times New Roman" w:hAnsi="Times New Roman"/>
          <w:lang w:val="en-GB"/>
        </w:rPr>
        <w:tab/>
        <w:t xml:space="preserve">e-si-i a-še LUGAL-ni </w:t>
      </w:r>
      <w:r w:rsidRPr="00315E88">
        <w:rPr>
          <w:rFonts w:ascii="Times New Roman" w:hAnsi="Times New Roman"/>
          <w:vertAlign w:val="superscript"/>
          <w:lang w:val="en-GB"/>
        </w:rPr>
        <w:t>D</w:t>
      </w:r>
      <w:r w:rsidRPr="00315E88">
        <w:rPr>
          <w:rFonts w:ascii="Times New Roman" w:hAnsi="Times New Roman"/>
          <w:lang w:val="en-GB"/>
        </w:rPr>
        <w:t>ḫal-di-ni a-šú-me</w:t>
      </w:r>
      <w:r w:rsidRPr="00315E88">
        <w:rPr>
          <w:rFonts w:ascii="Times New Roman" w:hAnsi="Times New Roman"/>
          <w:lang w:val="en-GB"/>
        </w:rPr>
        <w:tab/>
        <w:t xml:space="preserve">    </w:t>
      </w:r>
    </w:p>
    <w:p w14:paraId="58DBAAAD" w14:textId="77777777" w:rsidR="00B4516E" w:rsidRPr="00315E88" w:rsidRDefault="00B4516E" w:rsidP="00B4516E">
      <w:pPr>
        <w:ind w:left="567" w:hanging="567"/>
        <w:jc w:val="both"/>
        <w:rPr>
          <w:rFonts w:ascii="Times New Roman" w:hAnsi="Times New Roman"/>
          <w:lang w:val="en-GB"/>
        </w:rPr>
      </w:pPr>
      <w:r w:rsidRPr="00315E88">
        <w:rPr>
          <w:rFonts w:ascii="Times New Roman" w:hAnsi="Times New Roman"/>
          <w:lang w:val="en-GB"/>
        </w:rPr>
        <w:t>5</w:t>
      </w:r>
      <w:r w:rsidRPr="00315E88">
        <w:rPr>
          <w:rFonts w:ascii="Times New Roman" w:hAnsi="Times New Roman"/>
          <w:lang w:val="en-GB"/>
        </w:rPr>
        <w:tab/>
      </w:r>
      <w:r w:rsidRPr="00315E88">
        <w:rPr>
          <w:rFonts w:ascii="Times New Roman" w:hAnsi="Times New Roman"/>
          <w:vertAlign w:val="superscript"/>
          <w:lang w:val="en-GB"/>
        </w:rPr>
        <w:t>m</w:t>
      </w:r>
      <w:r w:rsidRPr="00315E88">
        <w:rPr>
          <w:rFonts w:ascii="Times New Roman" w:hAnsi="Times New Roman"/>
          <w:lang w:val="en-GB"/>
        </w:rPr>
        <w:t xml:space="preserve">ru-sa-a-ḫi-na </w:t>
      </w:r>
      <w:r w:rsidRPr="00315E88">
        <w:rPr>
          <w:rFonts w:ascii="Times New Roman" w:hAnsi="Times New Roman"/>
          <w:vertAlign w:val="superscript"/>
          <w:lang w:val="en-GB"/>
        </w:rPr>
        <w:t>KUR</w:t>
      </w:r>
      <w:r w:rsidRPr="00315E88">
        <w:rPr>
          <w:rFonts w:ascii="Times New Roman" w:hAnsi="Times New Roman"/>
          <w:lang w:val="en-GB"/>
        </w:rPr>
        <w:t>qi-il-ba-ni-ka&lt;-i&gt;</w:t>
      </w:r>
      <w:r w:rsidRPr="00315E88">
        <w:rPr>
          <w:rFonts w:ascii="Times New Roman" w:hAnsi="Times New Roman"/>
          <w:lang w:val="en-GB"/>
        </w:rPr>
        <w:tab/>
      </w:r>
      <w:r w:rsidRPr="00315E88">
        <w:rPr>
          <w:rFonts w:ascii="Times New Roman" w:hAnsi="Times New Roman"/>
          <w:lang w:val="en-GB"/>
        </w:rPr>
        <w:tab/>
        <w:t xml:space="preserve">        </w:t>
      </w:r>
    </w:p>
    <w:p w14:paraId="7E2F975F" w14:textId="77777777" w:rsidR="00B4516E" w:rsidRPr="00315E88" w:rsidRDefault="00B4516E" w:rsidP="00B4516E">
      <w:pPr>
        <w:ind w:left="567" w:hanging="567"/>
        <w:jc w:val="both"/>
        <w:rPr>
          <w:rFonts w:ascii="Times New Roman" w:hAnsi="Times New Roman"/>
          <w:lang w:val="en-GB"/>
        </w:rPr>
      </w:pPr>
      <w:r w:rsidRPr="00315E88">
        <w:rPr>
          <w:rFonts w:ascii="Times New Roman" w:hAnsi="Times New Roman"/>
          <w:lang w:val="en-GB"/>
        </w:rPr>
        <w:t>6</w:t>
      </w:r>
      <w:r w:rsidRPr="00315E88">
        <w:rPr>
          <w:rFonts w:ascii="Times New Roman" w:hAnsi="Times New Roman"/>
          <w:lang w:val="en-GB"/>
        </w:rPr>
        <w:tab/>
        <w:t xml:space="preserve">É.BÁRA-ni </w:t>
      </w:r>
      <w:r w:rsidRPr="00315E88">
        <w:rPr>
          <w:rFonts w:ascii="Times New Roman" w:hAnsi="Times New Roman"/>
          <w:lang w:val="en-GB"/>
        </w:rPr>
        <w:tab/>
      </w:r>
      <w:r w:rsidRPr="00315E88">
        <w:rPr>
          <w:rFonts w:ascii="Times New Roman" w:hAnsi="Times New Roman"/>
          <w:lang w:val="en-GB"/>
        </w:rPr>
        <w:tab/>
      </w:r>
      <w:r w:rsidRPr="00315E88">
        <w:rPr>
          <w:rFonts w:ascii="Times New Roman" w:hAnsi="Times New Roman"/>
          <w:lang w:val="en-GB"/>
        </w:rPr>
        <w:tab/>
      </w:r>
    </w:p>
    <w:p w14:paraId="02CF0044" w14:textId="77777777" w:rsidR="00B4516E" w:rsidRPr="00315E88" w:rsidRDefault="00B4516E" w:rsidP="00B4516E">
      <w:pPr>
        <w:ind w:left="567" w:hanging="567"/>
        <w:jc w:val="both"/>
        <w:rPr>
          <w:rFonts w:ascii="Times New Roman" w:hAnsi="Times New Roman"/>
          <w:lang w:val="en-GB"/>
        </w:rPr>
      </w:pPr>
      <w:r w:rsidRPr="00315E88">
        <w:rPr>
          <w:rFonts w:ascii="Times New Roman" w:hAnsi="Times New Roman"/>
          <w:lang w:val="en-GB"/>
        </w:rPr>
        <w:tab/>
      </w:r>
      <w:r w:rsidRPr="00315E88">
        <w:rPr>
          <w:rFonts w:ascii="Times New Roman" w:hAnsi="Times New Roman"/>
          <w:lang w:val="en-GB"/>
        </w:rPr>
        <w:tab/>
        <w:t xml:space="preserve">        </w:t>
      </w:r>
    </w:p>
    <w:p w14:paraId="5A49E1A1"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GB"/>
        </w:rPr>
      </w:pPr>
      <w:r w:rsidRPr="00315E88">
        <w:rPr>
          <w:rFonts w:ascii="Times New Roman" w:hAnsi="Times New Roman"/>
          <w:lang w:val="en-GB"/>
        </w:rPr>
        <w:t xml:space="preserve"> </w:t>
      </w:r>
      <w:r w:rsidRPr="00315E88">
        <w:rPr>
          <w:rFonts w:ascii="Times New Roman" w:hAnsi="Times New Roman"/>
        </w:rPr>
        <w:t>CT Tk-1 obv 1-6, Translation</w:t>
      </w:r>
    </w:p>
    <w:p w14:paraId="5F61CEC8"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“Year in which Rusa</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lang w:val="en-GB"/>
        </w:rPr>
        <w:instrText>Rusa</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city? son of Argišti Šagaputara</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Šagaputara</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king of Išqugulu</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Išqugulu</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went to the country of Mana</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rPr>
        <w:instrText>Mana</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on the place of Aka</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Aka</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’a (and) when Ḫaldi</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lang w:val="en-GB"/>
        </w:rPr>
        <w:instrText>Ḫaldi</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installed me as king in Rusaḫinili</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lang w:val="en-GB"/>
        </w:rPr>
        <w:instrText>Rusaḫinili</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in front of the Qilbani </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 xml:space="preserve">Qilbani </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in the BÁRA shrine”. Another possible translation: “That year of Rusa son of Argišti when Šagaputara king of Išqugulu…”</w:t>
      </w:r>
    </w:p>
    <w:p w14:paraId="4646B1B6"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211C71E7"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What follows in the Annals are the four texts of the large stele (front, right side, back, left side), all mutilated from the upper part. The preserved part of the obverse (CTU I. A 9-3 II) begins with the expedition against Qulḫa</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Qulḫa</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the classical Colchis</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Colchis</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therefore “in the same year” is the turn of the country of Abiliani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Abiliani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(ḫi), located near Gyumri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Gyumri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in Armenia</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rPr>
        <w:instrText>Armenia</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perhaps corresponding to the Armenian</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Armenian</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toponym Abelean</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Abelean</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(CTU V. p. 430). After the list of prey, the formula “for Ḫaldi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lang w:val="en-GB"/>
        </w:rPr>
        <w:instrText>Ḫaldi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I accomplished these feats in one year”. After the list of preys, the formula “for Ḫaldi I accomplished these feats in a year”. Then again Abiliani(ḫi) and Eriaḫi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Eriaḫi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then Etiu/Etiuḫi/Etiuni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Etiu/Etiuḫi/Etiuni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still in Armenia. New list of preys, then we pass after a gap to the right side of the stele (CTU I. A 9-3 III), and again we speak of Qulha</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Qulha</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and of its king Meša</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Meša</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who is defeated in his city of Ildamusa. After the well-known formulas, the chessboard moves to the area of Sevan Lake</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eastAsia="Arial" w:hAnsi="Times New Roman" w:cs="Times New Roman"/>
          <w:color w:val="202124"/>
          <w:lang w:val="en-GB" w:eastAsia="it-IT"/>
        </w:rPr>
        <w:instrText xml:space="preserve">Lake </w:instrText>
      </w:r>
      <w:r w:rsidRPr="00315E88">
        <w:rPr>
          <w:rFonts w:ascii="Times New Roman" w:hAnsi="Times New Roman"/>
          <w:color w:val="202124"/>
          <w:lang w:val="en-GB"/>
        </w:rPr>
        <w:instrText>Sevan</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where four kings of Uedurietiuni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Uedurietiuni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are defeated.</w:t>
      </w:r>
    </w:p>
    <w:p w14:paraId="5B4A7C24"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The preserved initial part of the stele’s reverse (CTU I. A 9-3 IV) shifts the area of conquests towards what is today Iranian Azerbaijan</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Iranian Azerbaijan</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The conquest of the town of Puluadi</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Puluadi</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and the city of Libliuni</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Libliuni</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are precisely located by the rock inscription of Sarduri</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lang w:val="en-GB"/>
        </w:rPr>
        <w:instrText>Sarduri</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himself in Seqendel</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Seqendel</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(CTU I. A 9-8).</w:t>
      </w:r>
    </w:p>
    <w:p w14:paraId="53894705"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It is advisable to quote an excerptum of this expedition, given the happy correspondence between the two sources:</w:t>
      </w:r>
    </w:p>
    <w:p w14:paraId="547671C4"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5EF75C12"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color w:val="202124"/>
          <w:lang w:val="en-GB"/>
        </w:rPr>
      </w:pPr>
      <w:r w:rsidRPr="00CC135C">
        <w:rPr>
          <w:rFonts w:ascii="Times New Roman" w:hAnsi="Times New Roman"/>
          <w:b/>
          <w:color w:val="202124"/>
          <w:lang w:val="en-GB"/>
        </w:rPr>
        <w:t>CTU I. A 9-3 IV 6’-13’</w:t>
      </w:r>
    </w:p>
    <w:p w14:paraId="5293FFA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GB"/>
        </w:rPr>
      </w:pPr>
    </w:p>
    <w:p w14:paraId="12C3465E" w14:textId="77777777" w:rsidR="00B4516E" w:rsidRPr="000E5553" w:rsidRDefault="00B4516E" w:rsidP="00B4516E">
      <w:pPr>
        <w:tabs>
          <w:tab w:val="left" w:pos="2410"/>
        </w:tabs>
        <w:ind w:left="567" w:hanging="567"/>
        <w:rPr>
          <w:rFonts w:ascii="Times New Roman" w:hAnsi="Times New Roman"/>
          <w:sz w:val="20"/>
          <w:szCs w:val="20"/>
          <w:lang w:val="en-GB"/>
        </w:rPr>
      </w:pPr>
      <w:r w:rsidRPr="000E5553">
        <w:rPr>
          <w:rFonts w:ascii="Times New Roman" w:hAnsi="Times New Roman"/>
          <w:sz w:val="20"/>
          <w:szCs w:val="20"/>
          <w:lang w:val="en-GB"/>
        </w:rPr>
        <w:tab/>
        <w:t xml:space="preserve">              … ḫa-ši-al-me-e DINGIR</w:t>
      </w:r>
      <w:r w:rsidRPr="000E5553">
        <w:rPr>
          <w:rFonts w:ascii="Times New Roman" w:hAnsi="Times New Roman"/>
          <w:sz w:val="20"/>
          <w:szCs w:val="20"/>
          <w:vertAlign w:val="superscript"/>
          <w:lang w:val="en-GB"/>
        </w:rPr>
        <w:t>ME[Š]</w:t>
      </w:r>
    </w:p>
    <w:p w14:paraId="686F4D6D" w14:textId="77777777" w:rsidR="00B4516E" w:rsidRPr="000E5553" w:rsidRDefault="00B4516E" w:rsidP="00B4516E">
      <w:pPr>
        <w:tabs>
          <w:tab w:val="left" w:pos="2410"/>
        </w:tabs>
        <w:ind w:left="567" w:hanging="567"/>
        <w:rPr>
          <w:rFonts w:ascii="Times New Roman" w:hAnsi="Times New Roman"/>
          <w:sz w:val="20"/>
          <w:szCs w:val="20"/>
          <w:lang w:val="en-GB"/>
        </w:rPr>
      </w:pPr>
      <w:r w:rsidRPr="000E5553">
        <w:rPr>
          <w:rFonts w:ascii="Times New Roman" w:hAnsi="Times New Roman"/>
          <w:sz w:val="20"/>
          <w:szCs w:val="20"/>
          <w:lang w:val="en-GB"/>
        </w:rPr>
        <w:t>8'</w:t>
      </w:r>
      <w:r w:rsidRPr="000E5553">
        <w:rPr>
          <w:rFonts w:ascii="Times New Roman" w:hAnsi="Times New Roman"/>
          <w:sz w:val="20"/>
          <w:szCs w:val="20"/>
          <w:lang w:val="en-GB"/>
        </w:rPr>
        <w:tab/>
        <w:t>za-tú-me ḫa-a-ri-e iš-te-e-di uš-ta-a-d[i]</w:t>
      </w:r>
    </w:p>
    <w:p w14:paraId="10FA412B" w14:textId="77777777" w:rsidR="00B4516E" w:rsidRPr="000E5553" w:rsidRDefault="00B4516E" w:rsidP="00B4516E">
      <w:pPr>
        <w:tabs>
          <w:tab w:val="left" w:pos="2410"/>
        </w:tabs>
        <w:ind w:left="567" w:hanging="567"/>
        <w:rPr>
          <w:rFonts w:ascii="Times New Roman" w:hAnsi="Times New Roman"/>
          <w:sz w:val="20"/>
          <w:szCs w:val="20"/>
          <w:lang w:val="en-GB"/>
        </w:rPr>
      </w:pPr>
      <w:r w:rsidRPr="000E5553">
        <w:rPr>
          <w:rFonts w:ascii="Times New Roman" w:hAnsi="Times New Roman"/>
          <w:sz w:val="20"/>
          <w:szCs w:val="20"/>
          <w:lang w:val="en-GB"/>
        </w:rPr>
        <w:t>9'</w:t>
      </w:r>
      <w:r w:rsidRPr="000E5553">
        <w:rPr>
          <w:rFonts w:ascii="Times New Roman" w:hAnsi="Times New Roman"/>
          <w:sz w:val="20"/>
          <w:szCs w:val="20"/>
          <w:lang w:val="en-GB"/>
        </w:rPr>
        <w:tab/>
      </w:r>
      <w:r w:rsidRPr="000E5553">
        <w:rPr>
          <w:rFonts w:ascii="Times New Roman" w:hAnsi="Times New Roman"/>
          <w:sz w:val="20"/>
          <w:szCs w:val="20"/>
          <w:vertAlign w:val="superscript"/>
          <w:lang w:val="en-GB"/>
        </w:rPr>
        <w:t>KUR</w:t>
      </w:r>
      <w:r w:rsidRPr="000E5553">
        <w:rPr>
          <w:rFonts w:ascii="Times New Roman" w:hAnsi="Times New Roman"/>
          <w:sz w:val="20"/>
          <w:szCs w:val="20"/>
          <w:lang w:val="en-GB"/>
        </w:rPr>
        <w:t>pu-lu-a-di-e-di ši-a-bi ka-ú-ki-</w:t>
      </w:r>
      <w:r w:rsidRPr="000E5553">
        <w:rPr>
          <w:rFonts w:ascii="Cambria Math" w:hAnsi="Cambria Math"/>
          <w:sz w:val="20"/>
          <w:szCs w:val="20"/>
          <w:lang w:val="en-GB"/>
        </w:rPr>
        <w:t>⌈</w:t>
      </w:r>
      <w:r w:rsidRPr="000E5553">
        <w:rPr>
          <w:rFonts w:ascii="Times New Roman" w:hAnsi="Times New Roman"/>
          <w:sz w:val="20"/>
          <w:szCs w:val="20"/>
          <w:lang w:val="en-GB"/>
        </w:rPr>
        <w:t>i</w:t>
      </w:r>
      <w:r w:rsidRPr="000E5553">
        <w:rPr>
          <w:rFonts w:ascii="Cambria Math" w:hAnsi="Cambria Math"/>
          <w:sz w:val="20"/>
          <w:szCs w:val="20"/>
          <w:lang w:val="en-GB"/>
        </w:rPr>
        <w:t>⌉</w:t>
      </w:r>
    </w:p>
    <w:p w14:paraId="6BA2B7AE" w14:textId="77777777" w:rsidR="00B4516E" w:rsidRPr="000E5553" w:rsidRDefault="00B4516E" w:rsidP="00B4516E">
      <w:pPr>
        <w:tabs>
          <w:tab w:val="left" w:pos="2410"/>
        </w:tabs>
        <w:ind w:left="567" w:hanging="567"/>
        <w:rPr>
          <w:rFonts w:ascii="Times New Roman" w:hAnsi="Times New Roman"/>
          <w:sz w:val="20"/>
          <w:szCs w:val="20"/>
          <w:lang w:val="en-GB"/>
        </w:rPr>
      </w:pPr>
      <w:r w:rsidRPr="000E5553">
        <w:rPr>
          <w:rFonts w:ascii="Times New Roman" w:hAnsi="Times New Roman"/>
          <w:sz w:val="20"/>
          <w:szCs w:val="20"/>
          <w:lang w:val="en-GB"/>
        </w:rPr>
        <w:t>10'</w:t>
      </w:r>
      <w:r w:rsidRPr="000E5553">
        <w:rPr>
          <w:rFonts w:ascii="Times New Roman" w:hAnsi="Times New Roman"/>
          <w:sz w:val="20"/>
          <w:szCs w:val="20"/>
          <w:lang w:val="en-GB"/>
        </w:rPr>
        <w:tab/>
        <w:t>gu-nu-ši-i-ni-e su-ú-i-du-lu-ú-bi-[e]</w:t>
      </w:r>
    </w:p>
    <w:p w14:paraId="5C6D7CBB" w14:textId="77777777" w:rsidR="00B4516E" w:rsidRPr="000E5553" w:rsidRDefault="00B4516E" w:rsidP="00B4516E">
      <w:pPr>
        <w:tabs>
          <w:tab w:val="left" w:pos="2410"/>
        </w:tabs>
        <w:ind w:left="567" w:hanging="567"/>
        <w:rPr>
          <w:rFonts w:ascii="Times New Roman" w:hAnsi="Times New Roman"/>
          <w:sz w:val="20"/>
          <w:szCs w:val="20"/>
          <w:lang w:val="en-GB"/>
        </w:rPr>
      </w:pPr>
      <w:r w:rsidRPr="000E5553">
        <w:rPr>
          <w:rFonts w:ascii="Times New Roman" w:hAnsi="Times New Roman"/>
          <w:sz w:val="20"/>
          <w:szCs w:val="20"/>
          <w:lang w:val="en-GB"/>
        </w:rPr>
        <w:t>11'</w:t>
      </w:r>
      <w:r w:rsidRPr="000E5553">
        <w:rPr>
          <w:rFonts w:ascii="Times New Roman" w:hAnsi="Times New Roman"/>
          <w:sz w:val="20"/>
          <w:szCs w:val="20"/>
          <w:lang w:val="en-GB"/>
        </w:rPr>
        <w:tab/>
        <w:t xml:space="preserve">za-šú-ú-bi pa-ri-e </w:t>
      </w:r>
      <w:r w:rsidRPr="000E5553">
        <w:rPr>
          <w:rFonts w:ascii="Times New Roman" w:hAnsi="Times New Roman"/>
          <w:sz w:val="20"/>
          <w:szCs w:val="20"/>
          <w:vertAlign w:val="superscript"/>
          <w:lang w:val="en-GB"/>
        </w:rPr>
        <w:t>URU</w:t>
      </w:r>
      <w:r w:rsidRPr="000E5553">
        <w:rPr>
          <w:rFonts w:ascii="Times New Roman" w:hAnsi="Times New Roman"/>
          <w:sz w:val="20"/>
          <w:szCs w:val="20"/>
          <w:lang w:val="en-GB"/>
        </w:rPr>
        <w:t>li-ib-li-ú-ni-e[-ni?]</w:t>
      </w:r>
    </w:p>
    <w:p w14:paraId="6F56E8C6" w14:textId="77777777" w:rsidR="00B4516E" w:rsidRPr="000E5553" w:rsidRDefault="00B4516E" w:rsidP="00B4516E">
      <w:pPr>
        <w:tabs>
          <w:tab w:val="left" w:pos="2410"/>
        </w:tabs>
        <w:ind w:left="567" w:hanging="567"/>
        <w:rPr>
          <w:rFonts w:ascii="Times New Roman" w:hAnsi="Times New Roman"/>
          <w:sz w:val="20"/>
          <w:szCs w:val="20"/>
          <w:lang w:val="en-GB"/>
        </w:rPr>
      </w:pPr>
      <w:r w:rsidRPr="000E5553">
        <w:rPr>
          <w:rFonts w:ascii="Times New Roman" w:hAnsi="Times New Roman"/>
          <w:sz w:val="20"/>
          <w:szCs w:val="20"/>
          <w:lang w:val="en-GB"/>
        </w:rPr>
        <w:t>12'</w:t>
      </w:r>
      <w:r w:rsidRPr="000E5553">
        <w:rPr>
          <w:rFonts w:ascii="Times New Roman" w:hAnsi="Times New Roman"/>
          <w:sz w:val="20"/>
          <w:szCs w:val="20"/>
          <w:lang w:val="en-GB"/>
        </w:rPr>
        <w:tab/>
      </w:r>
      <w:r w:rsidRPr="000E5553">
        <w:rPr>
          <w:rFonts w:ascii="Times New Roman" w:hAnsi="Times New Roman"/>
          <w:sz w:val="20"/>
          <w:szCs w:val="20"/>
          <w:vertAlign w:val="superscript"/>
          <w:lang w:val="en-GB"/>
        </w:rPr>
        <w:t>URU</w:t>
      </w:r>
      <w:r w:rsidRPr="000E5553">
        <w:rPr>
          <w:rFonts w:ascii="Times New Roman" w:hAnsi="Times New Roman"/>
          <w:sz w:val="20"/>
          <w:szCs w:val="20"/>
          <w:lang w:val="en-GB"/>
        </w:rPr>
        <w:t>li-ib-li-ú-ni-ni URU MAN-nu-si a-gu-nu-ni ma-n[u]</w:t>
      </w:r>
    </w:p>
    <w:p w14:paraId="742CE1C6" w14:textId="77777777" w:rsidR="00B4516E" w:rsidRPr="000E5553" w:rsidRDefault="00B4516E" w:rsidP="00B4516E">
      <w:pPr>
        <w:tabs>
          <w:tab w:val="left" w:pos="2410"/>
        </w:tabs>
        <w:ind w:left="567" w:hanging="567"/>
        <w:rPr>
          <w:rFonts w:ascii="Times New Roman" w:hAnsi="Times New Roman"/>
          <w:sz w:val="20"/>
          <w:szCs w:val="20"/>
          <w:lang w:val="en-GB"/>
        </w:rPr>
      </w:pPr>
      <w:r w:rsidRPr="000E5553">
        <w:rPr>
          <w:rFonts w:ascii="Times New Roman" w:hAnsi="Times New Roman"/>
          <w:sz w:val="20"/>
          <w:szCs w:val="20"/>
          <w:lang w:val="en-GB"/>
        </w:rPr>
        <w:lastRenderedPageBreak/>
        <w:t>13'</w:t>
      </w:r>
      <w:r w:rsidRPr="000E5553">
        <w:rPr>
          <w:rFonts w:ascii="Times New Roman" w:hAnsi="Times New Roman"/>
          <w:sz w:val="20"/>
          <w:szCs w:val="20"/>
          <w:lang w:val="en-GB"/>
        </w:rPr>
        <w:tab/>
        <w:t>gu-nu-šá-a ḫa-ú-bi DUB-te iš-ti-ni te-ru-ú-b[i]</w:t>
      </w:r>
    </w:p>
    <w:p w14:paraId="78DE4DB5"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GB"/>
        </w:rPr>
      </w:pPr>
    </w:p>
    <w:p w14:paraId="0357FE70"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GB"/>
        </w:rPr>
      </w:pPr>
      <w:r w:rsidRPr="00CC135C">
        <w:rPr>
          <w:rFonts w:ascii="Times New Roman" w:hAnsi="Times New Roman"/>
          <w:b/>
          <w:color w:val="202124"/>
          <w:lang w:val="en-GB"/>
        </w:rPr>
        <w:t>CTU I. A 9-3 IV 6’-13’, Translation</w:t>
      </w:r>
    </w:p>
    <w:p w14:paraId="61C8AE88"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“The gods listened to me, they opened the way for me, I set off towards the country of Puluadi</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Puluadi</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He (their king) came before me; in battle did I repulse him, did I break through(?) up to the city of Libliuni</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color w:val="202124"/>
          <w:lang w:val="en-GB"/>
        </w:rPr>
        <w:instrText>Libliuni</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The city of Libliuni, a royal city, was fortified, I conquered it in battle, an inscription I placed there”</w:t>
      </w:r>
    </w:p>
    <w:p w14:paraId="6ADC78D0"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GB"/>
        </w:rPr>
      </w:pPr>
    </w:p>
    <w:p w14:paraId="2713A280"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It is a precise reference to the Seqendel</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Seqendel</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inscription CTU I. A 9-8), and the clear location of the expedition, which was the furthest east of the Urartian</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lang w:val="en-GB"/>
        </w:rPr>
        <w:instrText>Urartian</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expansion and the clear location of the expedition. Just look at the map in CTU I p. 412. “In the same year - the text continues - I again marched on Eriaḫi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Eriaḫi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i.e. the area of ​​Giumri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Giumri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(now see the map of Argišti 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lang w:val="en-GB"/>
        </w:rPr>
        <w:instrText>Argišti 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in CTU I, on p. 324), which is annexed to the country of Biainili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lang w:val="en-GB"/>
        </w:rPr>
        <w:instrText>Biainili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with massive killings and deportations and from which comes a huge prey in horses, dromedaries, cattle and sheep. All this in one year. He next mentions the expedition to Qumaha</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Qumaha</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the classical Commagene</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Commagene</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many hundreds of kilometers to the west.</w:t>
      </w:r>
    </w:p>
    <w:p w14:paraId="374DC15F" w14:textId="77777777" w:rsidR="00B4516E" w:rsidRPr="00315E88" w:rsidRDefault="00B4516E" w:rsidP="00B4516E">
      <w:pPr>
        <w:jc w:val="both"/>
        <w:rPr>
          <w:rFonts w:ascii="Times New Roman" w:hAnsi="Times New Roman"/>
          <w:lang w:val="en-GB"/>
        </w:rPr>
      </w:pPr>
      <w:r w:rsidRPr="00315E88">
        <w:rPr>
          <w:rFonts w:ascii="Times New Roman" w:hAnsi="Times New Roman"/>
          <w:color w:val="202124"/>
          <w:lang w:val="en-GB"/>
        </w:rPr>
        <w:t>We have here the fullest extent of the Urartian</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lang w:val="en-GB"/>
        </w:rPr>
        <w:instrText>Urartian</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conquests, and the question arises of the redaction of these royal annals. It seems clear that there are no chronological and geographical scruples. This is the characteristic of Urartian texts, which are mostly celebratory of victories and conquests. On the left side of the stele (CTU I. A 9-3 V) the march against the country of Mana</w:t>
      </w:r>
      <w:r w:rsidRPr="00315E88">
        <w:rPr>
          <w:rFonts w:ascii="Times New Roman" w:hAnsi="Times New Roman"/>
          <w:color w:val="202124"/>
          <w:lang w:val="en-GB"/>
        </w:rPr>
        <w:fldChar w:fldCharType="begin"/>
      </w:r>
      <w:r w:rsidRPr="00315E88">
        <w:rPr>
          <w:rFonts w:ascii="Calibri" w:hAnsi="Calibri"/>
          <w:lang w:val="en-GB"/>
        </w:rPr>
        <w:instrText xml:space="preserve"> XE "</w:instrText>
      </w:r>
      <w:r w:rsidRPr="00315E88">
        <w:rPr>
          <w:rFonts w:ascii="Times New Roman" w:hAnsi="Times New Roman"/>
        </w:rPr>
        <w:instrText>Mana</w:instrText>
      </w:r>
      <w:r w:rsidRPr="00315E88">
        <w:rPr>
          <w:rFonts w:ascii="Calibri" w:hAnsi="Calibri"/>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is celebrated, and we are again in the south-eastern chessboard. </w:t>
      </w:r>
      <w:r w:rsidRPr="00315E88">
        <w:rPr>
          <w:rFonts w:ascii="Times New Roman" w:hAnsi="Times New Roman"/>
          <w:lang w:val="en-GB"/>
        </w:rPr>
        <w:t>The latest war report, based on the stele (CTU I. A 9-3 VI) is again facing north, against Etiu/Etiuḫi/Etiuni</w:t>
      </w:r>
      <w:r w:rsidRPr="00315E88">
        <w:rPr>
          <w:rFonts w:ascii="Times New Roman" w:hAnsi="Times New Roman"/>
          <w:lang w:val="en-GB"/>
        </w:rPr>
        <w:fldChar w:fldCharType="begin"/>
      </w:r>
      <w:r w:rsidRPr="00315E88">
        <w:rPr>
          <w:rFonts w:ascii="Calibri" w:hAnsi="Calibri"/>
          <w:lang w:val="en-GB"/>
        </w:rPr>
        <w:instrText xml:space="preserve"> XE "</w:instrText>
      </w:r>
      <w:r w:rsidRPr="00315E88">
        <w:rPr>
          <w:rFonts w:ascii="Times New Roman" w:hAnsi="Times New Roman"/>
          <w:lang w:val="en-GB"/>
        </w:rPr>
        <w:instrText>Etiu/Etiuḫi/Etiuni</w:instrText>
      </w:r>
      <w:r w:rsidRPr="00315E88">
        <w:rPr>
          <w:rFonts w:ascii="Calibri" w:hAnsi="Calibri"/>
          <w:lang w:val="en-GB"/>
        </w:rPr>
        <w:instrText xml:space="preserve">" </w:instrText>
      </w:r>
      <w:r w:rsidRPr="00315E88">
        <w:rPr>
          <w:rFonts w:ascii="Times New Roman" w:hAnsi="Times New Roman"/>
          <w:lang w:val="en-GB"/>
        </w:rPr>
        <w:fldChar w:fldCharType="end"/>
      </w:r>
      <w:r w:rsidRPr="00315E88">
        <w:rPr>
          <w:rFonts w:ascii="Times New Roman" w:hAnsi="Times New Roman"/>
          <w:lang w:val="en-GB"/>
        </w:rPr>
        <w:t xml:space="preserve"> (Armenia</w:t>
      </w:r>
      <w:r w:rsidRPr="00315E88">
        <w:rPr>
          <w:rFonts w:ascii="Times New Roman" w:hAnsi="Times New Roman"/>
          <w:lang w:val="en-GB"/>
        </w:rPr>
        <w:fldChar w:fldCharType="begin"/>
      </w:r>
      <w:r w:rsidRPr="00315E88">
        <w:rPr>
          <w:rFonts w:ascii="Times New Roman" w:hAnsi="Times New Roman"/>
          <w:lang w:val="en-GB"/>
        </w:rPr>
        <w:instrText xml:space="preserve"> XE "Armenia" </w:instrText>
      </w:r>
      <w:r w:rsidRPr="00315E88">
        <w:rPr>
          <w:rFonts w:ascii="Times New Roman" w:hAnsi="Times New Roman"/>
          <w:lang w:val="en-GB"/>
        </w:rPr>
        <w:fldChar w:fldCharType="end"/>
      </w:r>
      <w:r w:rsidRPr="00315E88">
        <w:rPr>
          <w:rFonts w:ascii="Times New Roman" w:hAnsi="Times New Roman"/>
          <w:lang w:val="en-GB"/>
        </w:rPr>
        <w:t>), Ueliku</w:t>
      </w:r>
      <w:r w:rsidRPr="00315E88">
        <w:rPr>
          <w:rFonts w:ascii="Times New Roman" w:hAnsi="Times New Roman"/>
          <w:lang w:val="en-GB"/>
        </w:rPr>
        <w:fldChar w:fldCharType="begin"/>
      </w:r>
      <w:r w:rsidRPr="00315E88">
        <w:rPr>
          <w:rFonts w:ascii="Times New Roman" w:hAnsi="Times New Roman"/>
          <w:lang w:val="en-GB"/>
        </w:rPr>
        <w:instrText xml:space="preserve"> XE "Ueliku" </w:instrText>
      </w:r>
      <w:r w:rsidRPr="00315E88">
        <w:rPr>
          <w:rFonts w:ascii="Times New Roman" w:hAnsi="Times New Roman"/>
          <w:lang w:val="en-GB"/>
        </w:rPr>
        <w:fldChar w:fldCharType="end"/>
      </w:r>
      <w:r w:rsidRPr="00315E88">
        <w:rPr>
          <w:rFonts w:ascii="Times New Roman" w:hAnsi="Times New Roman"/>
          <w:lang w:val="en-GB"/>
        </w:rPr>
        <w:t>(ni/ḫi) and Arquqini</w:t>
      </w:r>
      <w:r w:rsidRPr="00315E88">
        <w:rPr>
          <w:rFonts w:ascii="Times New Roman" w:hAnsi="Times New Roman"/>
          <w:lang w:val="en-GB"/>
        </w:rPr>
        <w:fldChar w:fldCharType="begin"/>
      </w:r>
      <w:r w:rsidRPr="00315E88">
        <w:rPr>
          <w:rFonts w:ascii="Times New Roman" w:hAnsi="Times New Roman"/>
          <w:lang w:val="en-GB"/>
        </w:rPr>
        <w:instrText xml:space="preserve"> XE "Arquqini" </w:instrText>
      </w:r>
      <w:r w:rsidRPr="00315E88">
        <w:rPr>
          <w:rFonts w:ascii="Times New Roman" w:hAnsi="Times New Roman"/>
          <w:lang w:val="en-GB"/>
        </w:rPr>
        <w:fldChar w:fldCharType="end"/>
      </w:r>
      <w:r w:rsidRPr="00315E88">
        <w:rPr>
          <w:rFonts w:ascii="Times New Roman" w:hAnsi="Times New Roman"/>
          <w:lang w:val="en-GB"/>
        </w:rPr>
        <w:t xml:space="preserve"> on the western shore of Sevan Lake</w:t>
      </w:r>
      <w:r w:rsidRPr="00315E88">
        <w:rPr>
          <w:rFonts w:ascii="Times New Roman" w:hAnsi="Times New Roman"/>
          <w:lang w:val="en-GB"/>
        </w:rPr>
        <w:fldChar w:fldCharType="begin"/>
      </w:r>
      <w:r w:rsidRPr="00315E88">
        <w:rPr>
          <w:rFonts w:ascii="Times New Roman" w:hAnsi="Times New Roman"/>
          <w:lang w:val="en-GB"/>
        </w:rPr>
        <w:instrText xml:space="preserve"> XE "Sevan</w:instrText>
      </w:r>
      <w:r w:rsidRPr="00315E88">
        <w:rPr>
          <w:rFonts w:asciiTheme="majorBidi" w:hAnsiTheme="majorBidi" w:cstheme="majorBidi"/>
          <w:lang w:val="en-GB"/>
        </w:rPr>
        <w:instrText xml:space="preserve"> Lake</w:instrText>
      </w:r>
      <w:r w:rsidRPr="00315E88">
        <w:rPr>
          <w:rFonts w:ascii="Times New Roman" w:hAnsi="Times New Roman"/>
          <w:lang w:val="en-GB"/>
        </w:rPr>
        <w:instrText xml:space="preserve">" </w:instrText>
      </w:r>
      <w:r w:rsidRPr="00315E88">
        <w:rPr>
          <w:rFonts w:ascii="Times New Roman" w:hAnsi="Times New Roman"/>
          <w:lang w:val="en-GB"/>
        </w:rPr>
        <w:fldChar w:fldCharType="end"/>
      </w:r>
      <w:r w:rsidRPr="00315E88">
        <w:rPr>
          <w:rFonts w:ascii="Times New Roman" w:hAnsi="Times New Roman"/>
          <w:lang w:val="en-GB"/>
        </w:rPr>
        <w:t>, Armenia. And it ends with the formula “For Ḫaldi</w:t>
      </w:r>
      <w:r w:rsidRPr="00315E88">
        <w:rPr>
          <w:rFonts w:ascii="Times New Roman" w:hAnsi="Times New Roman"/>
          <w:lang w:val="en-GB"/>
        </w:rPr>
        <w:fldChar w:fldCharType="begin"/>
      </w:r>
      <w:r w:rsidRPr="00315E88">
        <w:rPr>
          <w:rFonts w:ascii="Times New Roman" w:hAnsi="Times New Roman"/>
          <w:lang w:val="en-GB"/>
        </w:rPr>
        <w:instrText xml:space="preserve"> XE "Ḫaldi" </w:instrText>
      </w:r>
      <w:r w:rsidRPr="00315E88">
        <w:rPr>
          <w:rFonts w:ascii="Times New Roman" w:hAnsi="Times New Roman"/>
          <w:lang w:val="en-GB"/>
        </w:rPr>
        <w:fldChar w:fldCharType="end"/>
      </w:r>
      <w:r w:rsidRPr="00315E88">
        <w:rPr>
          <w:rFonts w:ascii="Times New Roman" w:hAnsi="Times New Roman"/>
          <w:lang w:val="en-GB"/>
        </w:rPr>
        <w:t xml:space="preserve">, I accomplished these feats in a year”. </w:t>
      </w:r>
    </w:p>
    <w:p w14:paraId="3D002E2E" w14:textId="77777777" w:rsidR="00B4516E" w:rsidRPr="00315E88" w:rsidRDefault="00B4516E" w:rsidP="00B4516E">
      <w:pPr>
        <w:jc w:val="both"/>
        <w:rPr>
          <w:rFonts w:ascii="Times New Roman" w:hAnsi="Times New Roman"/>
          <w:lang w:val="en-GB"/>
        </w:rPr>
      </w:pPr>
    </w:p>
    <w:p w14:paraId="4AF87E4A" w14:textId="77777777" w:rsidR="00B4516E" w:rsidRPr="00315E88" w:rsidRDefault="00B4516E" w:rsidP="00B4516E">
      <w:pPr>
        <w:jc w:val="both"/>
        <w:rPr>
          <w:rFonts w:ascii="Times New Roman" w:hAnsi="Times New Roman"/>
          <w:lang w:val="en-GB"/>
        </w:rPr>
      </w:pPr>
      <w:r w:rsidRPr="00315E88">
        <w:rPr>
          <w:rFonts w:ascii="Times New Roman" w:hAnsi="Times New Roman"/>
          <w:lang w:val="en-GB"/>
        </w:rPr>
        <w:t>Finally, on the back wall of the niche (CTU I. A 9-3 VII), what appears to be the last “chapter” of the narrative has nothing to do with wars and conquests. It begins with “When Ḫaldi</w:t>
      </w:r>
      <w:r w:rsidRPr="00315E88">
        <w:rPr>
          <w:rFonts w:ascii="Times New Roman" w:eastAsia="Calibri" w:hAnsi="Times New Roman" w:cs="Times New Roman"/>
          <w:lang w:val="en-GB"/>
        </w:rPr>
        <w:t> </w:t>
      </w:r>
      <w:r w:rsidRPr="00315E88">
        <w:rPr>
          <w:rFonts w:asciiTheme="majorBidi" w:hAnsiTheme="majorBidi" w:cstheme="majorBidi"/>
          <w:lang w:val="en-GB"/>
        </w:rPr>
        <w:fldChar w:fldCharType="begin"/>
      </w:r>
      <w:r w:rsidRPr="00315E88">
        <w:rPr>
          <w:rFonts w:asciiTheme="majorBidi" w:hAnsiTheme="majorBidi" w:cstheme="majorBidi"/>
          <w:lang w:val="en-GB"/>
        </w:rPr>
        <w:instrText xml:space="preserve"> XE "Ḫaldi" </w:instrText>
      </w:r>
      <w:r w:rsidRPr="00315E88">
        <w:rPr>
          <w:rFonts w:asciiTheme="majorBidi" w:hAnsiTheme="majorBidi" w:cstheme="majorBidi"/>
          <w:lang w:val="en-GB"/>
        </w:rPr>
        <w:fldChar w:fldCharType="end"/>
      </w:r>
      <w:r w:rsidRPr="00315E88">
        <w:rPr>
          <w:rFonts w:asciiTheme="majorBidi" w:hAnsiTheme="majorBidi" w:cstheme="majorBidi"/>
          <w:lang w:val="en-GB"/>
        </w:rPr>
        <w:t xml:space="preserve"> </w:t>
      </w:r>
      <w:r w:rsidRPr="00315E88">
        <w:rPr>
          <w:rFonts w:ascii="Times New Roman" w:hAnsi="Times New Roman"/>
          <w:lang w:val="en-GB"/>
        </w:rPr>
        <w:t>gave me the kingship” and ends with the royal title (“Mighty king, great king, king of totality, king of Biainili</w:t>
      </w:r>
      <w:r w:rsidRPr="00315E88">
        <w:rPr>
          <w:rFonts w:ascii="Times New Roman" w:eastAsia="Calibri" w:hAnsi="Times New Roman" w:cs="Times New Roman"/>
          <w:lang w:val="en-GB"/>
        </w:rPr>
        <w:t>,</w:t>
      </w:r>
      <w:r w:rsidRPr="00315E88">
        <w:rPr>
          <w:rFonts w:asciiTheme="majorBidi" w:hAnsiTheme="majorBidi" w:cstheme="majorBidi"/>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lang w:val="en-GB"/>
        </w:rPr>
        <w:instrText>Biainili</w:instrText>
      </w:r>
      <w:r w:rsidRPr="00315E88">
        <w:rPr>
          <w:rFonts w:asciiTheme="majorBidi" w:hAnsiTheme="majorBidi" w:cstheme="majorBidi"/>
          <w:lang w:val="en-GB"/>
        </w:rPr>
        <w:instrText xml:space="preserve">" </w:instrText>
      </w:r>
      <w:r w:rsidRPr="00315E88">
        <w:rPr>
          <w:rFonts w:asciiTheme="majorBidi" w:hAnsiTheme="majorBidi" w:cstheme="majorBidi"/>
          <w:lang w:val="en-GB"/>
        </w:rPr>
        <w:fldChar w:fldCharType="end"/>
      </w:r>
      <w:r w:rsidRPr="00315E88">
        <w:rPr>
          <w:rFonts w:asciiTheme="majorBidi" w:hAnsiTheme="majorBidi" w:cstheme="majorBidi"/>
          <w:lang w:val="en-GB"/>
        </w:rPr>
        <w:t>,</w:t>
      </w:r>
      <w:r w:rsidRPr="00315E88">
        <w:rPr>
          <w:rFonts w:ascii="Times New Roman" w:hAnsi="Times New Roman"/>
          <w:lang w:val="en-GB"/>
        </w:rPr>
        <w:t xml:space="preserve"> king of kings, lord of the city of Ṭušpa</w:t>
      </w:r>
      <w:r w:rsidRPr="00315E88">
        <w:rPr>
          <w:rFonts w:ascii="Times New Roman" w:eastAsia="Calibri" w:hAnsi="Times New Roman" w:cs="Times New Roman"/>
          <w:lang w:val="en-GB"/>
        </w:rPr>
        <w:t>”)</w:t>
      </w:r>
      <w:r w:rsidRPr="00315E88">
        <w:rPr>
          <w:rFonts w:ascii="Times New Roman" w:hAnsi="Times New Roman"/>
          <w:lang w:val="en-GB"/>
        </w:rPr>
        <w:t xml:space="preserve"> as if it were an independent inscription separate from the rest.</w:t>
      </w:r>
    </w:p>
    <w:p w14:paraId="3A11C615" w14:textId="77777777" w:rsidR="00B4516E" w:rsidRPr="00CC135C"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GB"/>
        </w:rPr>
      </w:pPr>
      <w:r w:rsidRPr="00CC135C">
        <w:rPr>
          <w:rFonts w:ascii="Times New Roman" w:hAnsi="Times New Roman"/>
          <w:noProof/>
          <w:lang w:eastAsia="tr-TR"/>
        </w:rPr>
        <w:drawing>
          <wp:inline distT="0" distB="0" distL="0" distR="0" wp14:anchorId="17BA31FE" wp14:editId="5D1C8A3B">
            <wp:extent cx="5752057" cy="2040092"/>
            <wp:effectExtent l="0" t="0" r="1270" b="0"/>
            <wp:docPr id="1783410680" name="Immagine 1" descr="siyah beyaz, taslak, siyah, monokrom fotoğra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10680" name="Immagine 1" descr="siyah beyaz, taslak, siyah, monokrom fotoğraf içeren bir resim&#10;&#10;Açıklama otomatik olarak oluşturuldu"/>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5752755" cy="2040340"/>
                    </a:xfrm>
                    <a:prstGeom prst="rect">
                      <a:avLst/>
                    </a:prstGeom>
                    <a:noFill/>
                    <a:ln>
                      <a:noFill/>
                    </a:ln>
                    <a:extLst>
                      <a:ext uri="{53640926-AAD7-44D8-BBD7-CCE9431645EC}">
                        <a14:shadowObscured xmlns:a14="http://schemas.microsoft.com/office/drawing/2010/main"/>
                      </a:ext>
                    </a:extLst>
                  </pic:spPr>
                </pic:pic>
              </a:graphicData>
            </a:graphic>
          </wp:inline>
        </w:drawing>
      </w:r>
    </w:p>
    <w:p w14:paraId="56E8EE5E" w14:textId="77777777" w:rsidR="00B4516E" w:rsidRPr="00CC135C" w:rsidRDefault="00B4516E" w:rsidP="00B4516E">
      <w:pPr>
        <w:spacing w:after="200"/>
        <w:jc w:val="both"/>
        <w:rPr>
          <w:rFonts w:ascii="Times New Roman" w:hAnsi="Times New Roman"/>
          <w:i/>
          <w:iCs/>
          <w:lang w:val="en-GB"/>
        </w:rPr>
      </w:pPr>
      <w:r w:rsidRPr="00CC135C">
        <w:rPr>
          <w:rFonts w:ascii="Times New Roman" w:hAnsi="Times New Roman"/>
          <w:lang w:val="en-GB"/>
        </w:rPr>
        <w:t>Fig. 72 CTU I. A 9-3 VII. Photo by Marr</w:t>
      </w:r>
      <w:r w:rsidRPr="00CC135C">
        <w:rPr>
          <w:rFonts w:ascii="Times New Roman" w:hAnsi="Times New Roman"/>
          <w:i/>
          <w:color w:val="44546A"/>
          <w:sz w:val="18"/>
          <w:lang w:val="en-GB"/>
        </w:rPr>
        <w:t xml:space="preserve">&amp; </w:t>
      </w:r>
      <w:r w:rsidRPr="00CC135C">
        <w:rPr>
          <w:rFonts w:ascii="Times New Roman" w:hAnsi="Times New Roman"/>
          <w:lang w:val="en-GB"/>
        </w:rPr>
        <w:t>Orbel</w:t>
      </w:r>
      <w:r>
        <w:rPr>
          <w:rFonts w:ascii="Times New Roman" w:hAnsi="Times New Roman"/>
          <w:lang w:val="en-GB"/>
        </w:rPr>
        <w:t xml:space="preserve">i, </w:t>
      </w:r>
      <w:r w:rsidRPr="00CC135C">
        <w:rPr>
          <w:rFonts w:ascii="Times New Roman" w:hAnsi="Times New Roman"/>
          <w:lang w:val="en-GB"/>
        </w:rPr>
        <w:t>1922: Pl. XIV.</w:t>
      </w:r>
    </w:p>
    <w:p w14:paraId="410D64B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39DD8EC8"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 xml:space="preserve">The content is a double list of goods available, one (lines 1-5 up to the verb </w:t>
      </w:r>
      <w:r w:rsidRPr="00315E88">
        <w:rPr>
          <w:rFonts w:ascii="Times New Roman" w:hAnsi="Times New Roman"/>
          <w:i/>
          <w:color w:val="202124"/>
          <w:lang w:val="en-GB"/>
        </w:rPr>
        <w:t>turu</w:t>
      </w:r>
      <w:r w:rsidRPr="00315E88">
        <w:rPr>
          <w:rFonts w:ascii="Times New Roman" w:hAnsi="Times New Roman"/>
          <w:color w:val="202124"/>
          <w:lang w:val="en-GB"/>
        </w:rPr>
        <w:t>=</w:t>
      </w:r>
      <w:r w:rsidRPr="00315E88">
        <w:rPr>
          <w:rFonts w:ascii="Times New Roman" w:hAnsi="Times New Roman"/>
          <w:i/>
          <w:color w:val="202124"/>
          <w:lang w:val="en-GB"/>
        </w:rPr>
        <w:t>bi</w:t>
      </w:r>
      <w:r w:rsidRPr="00315E88">
        <w:rPr>
          <w:rFonts w:ascii="Times New Roman" w:hAnsi="Times New Roman"/>
          <w:color w:val="202124"/>
          <w:lang w:val="en-GB"/>
        </w:rPr>
        <w:t xml:space="preserve">) of goods coming from foreign countries and consisting </w:t>
      </w:r>
      <w:r w:rsidRPr="00315E88">
        <w:rPr>
          <w:rFonts w:ascii="Times New Roman" w:eastAsia="Times New Roman" w:hAnsi="Times New Roman" w:cs="Times New Roman"/>
          <w:color w:val="202124"/>
          <w:lang w:val="en-GB" w:eastAsia="it-IT"/>
        </w:rPr>
        <w:t>of</w:t>
      </w:r>
      <w:r w:rsidRPr="00315E88">
        <w:rPr>
          <w:rFonts w:ascii="Times New Roman" w:hAnsi="Times New Roman"/>
          <w:color w:val="202124"/>
          <w:lang w:val="en-GB"/>
        </w:rPr>
        <w:t xml:space="preserve"> war chariots (92), horsemen (3500), infantrymen and horsemen (352011); the second lists 121 persons (</w:t>
      </w:r>
      <w:r w:rsidRPr="00315E88">
        <w:rPr>
          <w:rFonts w:ascii="Times New Roman" w:hAnsi="Times New Roman"/>
          <w:color w:val="00B050"/>
          <w:vertAlign w:val="superscript"/>
          <w:lang w:val="en-GB"/>
        </w:rPr>
        <w:t>LÚ</w:t>
      </w:r>
      <w:r w:rsidRPr="00315E88">
        <w:rPr>
          <w:rFonts w:ascii="Times New Roman" w:hAnsi="Times New Roman"/>
          <w:color w:val="202124"/>
          <w:lang w:val="en-GB"/>
        </w:rPr>
        <w:t>U</w:t>
      </w:r>
      <w:r w:rsidRPr="00315E88">
        <w:rPr>
          <w:rFonts w:asciiTheme="majorBidi" w:eastAsia="Times New Roman" w:hAnsiTheme="majorBidi" w:cstheme="majorBidi"/>
          <w:color w:val="202124"/>
          <w:lang w:val="en-GB" w:eastAsia="it-IT"/>
        </w:rPr>
        <w:t>N)</w:t>
      </w:r>
      <w:r w:rsidRPr="00315E88">
        <w:rPr>
          <w:rStyle w:val="DipnotBavurusu"/>
          <w:rFonts w:asciiTheme="majorBidi" w:eastAsia="Times New Roman" w:hAnsiTheme="majorBidi"/>
          <w:color w:val="202124"/>
          <w:lang w:val="en-GB" w:eastAsia="it-IT"/>
        </w:rPr>
        <w:footnoteReference w:id="38"/>
      </w:r>
      <w:r w:rsidRPr="00315E88">
        <w:rPr>
          <w:rFonts w:asciiTheme="majorBidi" w:eastAsia="Times New Roman" w:hAnsiTheme="majorBidi" w:cstheme="majorBidi"/>
          <w:color w:val="202124"/>
          <w:lang w:val="en-GB" w:eastAsia="it-IT"/>
        </w:rPr>
        <w:t xml:space="preserve">, </w:t>
      </w:r>
      <w:r w:rsidRPr="00315E88">
        <w:rPr>
          <w:rFonts w:ascii="Times New Roman" w:hAnsi="Times New Roman"/>
          <w:color w:val="202124"/>
          <w:lang w:val="en-GB"/>
        </w:rPr>
        <w:t xml:space="preserve">horses (10408), </w:t>
      </w:r>
      <w:r w:rsidRPr="00315E88">
        <w:rPr>
          <w:rFonts w:ascii="Times New Roman" w:hAnsi="Times New Roman"/>
          <w:color w:val="202124"/>
          <w:lang w:val="en-GB"/>
        </w:rPr>
        <w:lastRenderedPageBreak/>
        <w:t>mules (132), cattle (21357), sheep (35467), war weapons (2114), bows (1332), arrows (47970), measures of barley (122133 " kapi</w:t>
      </w:r>
      <w:r w:rsidRPr="00315E88">
        <w:t xml:space="preserve"> </w:t>
      </w:r>
      <w:r w:rsidRPr="00315E88">
        <w:rPr>
          <w:rFonts w:ascii="Times New Roman" w:hAnsi="Times New Roman"/>
          <w:color w:val="202124"/>
          <w:lang w:val="en-GB"/>
        </w:rPr>
        <w:t xml:space="preserve">"), wine (111 aqarqi), seed oil (86 aqarqi </w:t>
      </w:r>
      <w:r w:rsidRPr="00315E88">
        <w:rPr>
          <w:rFonts w:ascii="Times New Roman" w:eastAsia="Times New Roman" w:hAnsi="Times New Roman" w:cs="Times New Roman"/>
          <w:color w:val="202124"/>
          <w:lang w:val="en-GB" w:eastAsia="it-IT"/>
        </w:rPr>
        <w:t>seven</w:t>
      </w:r>
      <w:r w:rsidRPr="00315E88">
        <w:rPr>
          <w:rFonts w:ascii="Times New Roman" w:hAnsi="Times New Roman"/>
          <w:color w:val="202124"/>
          <w:lang w:val="en-GB"/>
        </w:rPr>
        <w:t xml:space="preserve"> tirusi) 7079 mines of copper, servants (336), (all that) I</w:t>
      </w:r>
      <w:r w:rsidRPr="00315E88">
        <w:rPr>
          <w:rFonts w:ascii="Times New Roman" w:eastAsia="Times New Roman" w:hAnsi="Times New Roman" w:cs="Times New Roman"/>
          <w:color w:val="202124"/>
          <w:lang w:val="en-GB" w:eastAsia="it-IT"/>
        </w:rPr>
        <w:t> </w:t>
      </w:r>
      <w:r w:rsidRPr="00315E88">
        <w:rPr>
          <w:rFonts w:ascii="Times New Roman" w:hAnsi="Times New Roman"/>
          <w:color w:val="202124"/>
          <w:lang w:val="en-GB"/>
        </w:rPr>
        <w:t xml:space="preserve"> and other category of men.</w:t>
      </w:r>
    </w:p>
    <w:p w14:paraId="03BB6162"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46938E18" w14:textId="77777777" w:rsidR="00B4516E" w:rsidRPr="00CC135C" w:rsidRDefault="00B4516E" w:rsidP="00B4516E">
      <w:pPr>
        <w:tabs>
          <w:tab w:val="left" w:pos="2410"/>
        </w:tabs>
        <w:ind w:left="567" w:hanging="567"/>
        <w:jc w:val="both"/>
        <w:rPr>
          <w:rFonts w:ascii="Times New Roman" w:hAnsi="Times New Roman"/>
          <w:b/>
          <w:lang w:val="en-GB"/>
        </w:rPr>
      </w:pPr>
      <w:r w:rsidRPr="00CC135C">
        <w:rPr>
          <w:rFonts w:ascii="Times New Roman" w:hAnsi="Times New Roman"/>
          <w:b/>
          <w:lang w:val="en-GB"/>
        </w:rPr>
        <w:t>CTU I. A 9-3</w:t>
      </w:r>
      <w:r w:rsidRPr="00CC135C">
        <w:rPr>
          <w:rFonts w:ascii="Times New Roman" w:hAnsi="Times New Roman"/>
          <w:b/>
          <w:smallCaps/>
          <w:lang w:val="en-GB"/>
        </w:rPr>
        <w:t xml:space="preserve"> VII  </w:t>
      </w:r>
    </w:p>
    <w:p w14:paraId="25BF0FFA"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1</w:t>
      </w:r>
      <w:r w:rsidRPr="005C798A">
        <w:rPr>
          <w:rFonts w:ascii="Times New Roman" w:hAnsi="Times New Roman"/>
          <w:lang w:val="en-GB"/>
        </w:rPr>
        <w:tab/>
      </w:r>
      <w:r w:rsidRPr="005C798A">
        <w:rPr>
          <w:rFonts w:ascii="Times New Roman" w:hAnsi="Times New Roman"/>
          <w:vertAlign w:val="superscript"/>
          <w:lang w:val="en-GB"/>
        </w:rPr>
        <w:t>D</w:t>
      </w:r>
      <w:r w:rsidRPr="005C798A">
        <w:rPr>
          <w:rFonts w:ascii="Times New Roman" w:hAnsi="Times New Roman"/>
          <w:lang w:val="en-GB"/>
        </w:rPr>
        <w:t xml:space="preserve">ḫal-di-i-ni-ni al-su-i-ši-ni </w:t>
      </w:r>
      <w:r w:rsidRPr="005C798A">
        <w:rPr>
          <w:rFonts w:ascii="Times New Roman" w:hAnsi="Times New Roman"/>
          <w:vertAlign w:val="superscript"/>
          <w:lang w:val="en-GB"/>
        </w:rPr>
        <w:t>mD</w:t>
      </w:r>
      <w:r w:rsidRPr="005C798A">
        <w:rPr>
          <w:rFonts w:ascii="Times New Roman" w:hAnsi="Times New Roman"/>
          <w:lang w:val="en-GB"/>
        </w:rPr>
        <w:t>sar</w:t>
      </w:r>
      <w:r w:rsidRPr="005C798A">
        <w:rPr>
          <w:rFonts w:ascii="Times New Roman" w:hAnsi="Times New Roman"/>
          <w:vertAlign w:val="subscript"/>
          <w:lang w:val="en-GB"/>
        </w:rPr>
        <w:t>5</w:t>
      </w:r>
      <w:r w:rsidRPr="005C798A">
        <w:rPr>
          <w:rFonts w:ascii="Times New Roman" w:hAnsi="Times New Roman"/>
          <w:lang w:val="en-GB"/>
        </w:rPr>
        <w:t xml:space="preserve">-du-ri-i-še </w:t>
      </w:r>
      <w:r w:rsidRPr="005C798A">
        <w:rPr>
          <w:rFonts w:ascii="Times New Roman" w:hAnsi="Times New Roman"/>
          <w:vertAlign w:val="superscript"/>
          <w:lang w:val="en-GB"/>
        </w:rPr>
        <w:t>m</w:t>
      </w:r>
      <w:r w:rsidRPr="005C798A">
        <w:rPr>
          <w:rFonts w:ascii="Times New Roman" w:hAnsi="Times New Roman"/>
          <w:lang w:val="en-GB"/>
        </w:rPr>
        <w:t>ar-giš-ti-e-ḫi-ni-še a-li-e</w:t>
      </w:r>
    </w:p>
    <w:p w14:paraId="2DD4BAD2"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2</w:t>
      </w:r>
      <w:r w:rsidRPr="005C798A">
        <w:rPr>
          <w:rFonts w:ascii="Times New Roman" w:hAnsi="Times New Roman"/>
          <w:lang w:val="en-GB"/>
        </w:rPr>
        <w:tab/>
        <w:t xml:space="preserve">i-ú </w:t>
      </w:r>
      <w:r w:rsidRPr="005C798A">
        <w:rPr>
          <w:rFonts w:ascii="Times New Roman" w:hAnsi="Times New Roman"/>
          <w:vertAlign w:val="superscript"/>
          <w:lang w:val="en-GB"/>
        </w:rPr>
        <w:t>D</w:t>
      </w:r>
      <w:r w:rsidRPr="005C798A">
        <w:rPr>
          <w:rFonts w:ascii="Times New Roman" w:hAnsi="Times New Roman"/>
          <w:lang w:val="en-GB"/>
        </w:rPr>
        <w:t xml:space="preserve">ḫal-di-iš-me MAN-tú-ḫi a-ru-ú-ni na-ḫa-a-di </w:t>
      </w:r>
      <w:r w:rsidRPr="005C798A">
        <w:rPr>
          <w:rFonts w:ascii="Times New Roman" w:hAnsi="Times New Roman"/>
          <w:vertAlign w:val="superscript"/>
          <w:lang w:val="en-GB"/>
        </w:rPr>
        <w:t>LÚ</w:t>
      </w:r>
      <w:r w:rsidRPr="005C798A">
        <w:rPr>
          <w:rFonts w:ascii="Times New Roman" w:hAnsi="Times New Roman"/>
          <w:lang w:val="en-GB"/>
        </w:rPr>
        <w:t>AD-si-ni e-si-i MAN-tú-ḫi-ni</w:t>
      </w:r>
    </w:p>
    <w:p w14:paraId="550FCB53"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3</w:t>
      </w:r>
      <w:r w:rsidRPr="005C798A">
        <w:rPr>
          <w:rFonts w:ascii="Times New Roman" w:hAnsi="Times New Roman"/>
          <w:lang w:val="en-GB"/>
        </w:rPr>
        <w:tab/>
        <w:t xml:space="preserve">a-li ar-da-i-e i-ni i-si-ú-še </w:t>
      </w:r>
      <w:r w:rsidRPr="005C798A">
        <w:rPr>
          <w:rFonts w:ascii="Times New Roman" w:hAnsi="Times New Roman"/>
          <w:vertAlign w:val="superscript"/>
          <w:lang w:val="en-GB"/>
        </w:rPr>
        <w:t>KUR</w:t>
      </w:r>
      <w:r w:rsidRPr="005C798A">
        <w:rPr>
          <w:rFonts w:ascii="Times New Roman" w:hAnsi="Times New Roman"/>
          <w:lang w:val="en-GB"/>
        </w:rPr>
        <w:t xml:space="preserve">šú-ra-a-ni e-di-ni tú-ru-ú-bi 92 </w:t>
      </w:r>
      <w:r w:rsidRPr="005C798A">
        <w:rPr>
          <w:rFonts w:ascii="Times New Roman" w:hAnsi="Times New Roman"/>
          <w:vertAlign w:val="superscript"/>
          <w:lang w:val="en-GB"/>
        </w:rPr>
        <w:t>GIŠ</w:t>
      </w:r>
      <w:r w:rsidRPr="005C798A">
        <w:rPr>
          <w:rFonts w:ascii="Times New Roman" w:hAnsi="Times New Roman"/>
          <w:lang w:val="en-GB"/>
        </w:rPr>
        <w:t>GIGIR</w:t>
      </w:r>
      <w:r w:rsidRPr="005C798A">
        <w:rPr>
          <w:rFonts w:ascii="Times New Roman" w:hAnsi="Times New Roman"/>
          <w:vertAlign w:val="superscript"/>
          <w:lang w:val="en-GB"/>
        </w:rPr>
        <w:t>MEŠ</w:t>
      </w:r>
    </w:p>
    <w:p w14:paraId="59F82277"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4</w:t>
      </w:r>
      <w:r w:rsidRPr="005C798A">
        <w:rPr>
          <w:rFonts w:ascii="Times New Roman" w:hAnsi="Times New Roman"/>
          <w:lang w:val="en-GB"/>
        </w:rPr>
        <w:tab/>
        <w:t xml:space="preserve">3 LIM 6 ME </w:t>
      </w:r>
      <w:r w:rsidRPr="005C798A">
        <w:rPr>
          <w:rFonts w:ascii="Times New Roman" w:hAnsi="Times New Roman"/>
          <w:i/>
          <w:lang w:val="en-GB"/>
        </w:rPr>
        <w:t>PIT-ḪAL-LU</w:t>
      </w:r>
      <w:r w:rsidRPr="005C798A">
        <w:rPr>
          <w:rFonts w:ascii="Times New Roman" w:hAnsi="Times New Roman"/>
          <w:vertAlign w:val="superscript"/>
          <w:lang w:val="en-GB"/>
        </w:rPr>
        <w:t>MEŠ</w:t>
      </w:r>
      <w:r w:rsidRPr="005C798A">
        <w:rPr>
          <w:rFonts w:ascii="Times New Roman" w:hAnsi="Times New Roman"/>
          <w:lang w:val="en-GB"/>
        </w:rPr>
        <w:t xml:space="preserve"> 35 a-ti-bi 2 LIM 11 </w:t>
      </w:r>
      <w:r w:rsidRPr="005C798A">
        <w:rPr>
          <w:rFonts w:ascii="Times New Roman" w:hAnsi="Times New Roman"/>
          <w:vertAlign w:val="superscript"/>
          <w:lang w:val="en-GB"/>
        </w:rPr>
        <w:t>LÚ</w:t>
      </w:r>
      <w:r w:rsidRPr="005C798A">
        <w:rPr>
          <w:rFonts w:ascii="Times New Roman" w:hAnsi="Times New Roman"/>
          <w:lang w:val="en-GB"/>
        </w:rPr>
        <w:t>ÉRIN</w:t>
      </w:r>
      <w:r w:rsidRPr="005C798A">
        <w:rPr>
          <w:rFonts w:ascii="Times New Roman" w:hAnsi="Times New Roman"/>
          <w:vertAlign w:val="superscript"/>
          <w:lang w:val="en-GB"/>
        </w:rPr>
        <w:t>MEŠ</w:t>
      </w:r>
      <w:r w:rsidRPr="005C798A">
        <w:rPr>
          <w:rFonts w:ascii="Times New Roman" w:hAnsi="Times New Roman"/>
          <w:lang w:val="en-GB"/>
        </w:rPr>
        <w:t xml:space="preserve"> e-ʾa </w:t>
      </w:r>
      <w:r w:rsidRPr="005C798A">
        <w:rPr>
          <w:rFonts w:ascii="Times New Roman" w:hAnsi="Times New Roman"/>
          <w:i/>
          <w:lang w:val="en-GB"/>
        </w:rPr>
        <w:t>PIT-ḪAL-LU</w:t>
      </w:r>
      <w:r w:rsidRPr="005C798A">
        <w:rPr>
          <w:rFonts w:ascii="Times New Roman" w:hAnsi="Times New Roman"/>
          <w:vertAlign w:val="superscript"/>
          <w:lang w:val="en-GB"/>
        </w:rPr>
        <w:t>MEŠ</w:t>
      </w:r>
      <w:r w:rsidRPr="005C798A">
        <w:rPr>
          <w:rFonts w:ascii="Times New Roman" w:hAnsi="Times New Roman"/>
          <w:lang w:val="en-GB"/>
        </w:rPr>
        <w:t xml:space="preserve">-e-i </w:t>
      </w:r>
    </w:p>
    <w:p w14:paraId="1F4F1DFA"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5</w:t>
      </w:r>
      <w:r w:rsidRPr="005C798A">
        <w:rPr>
          <w:rFonts w:ascii="Times New Roman" w:hAnsi="Times New Roman"/>
          <w:lang w:val="en-GB"/>
        </w:rPr>
        <w:tab/>
        <w:t xml:space="preserve">e-ʾa </w:t>
      </w:r>
      <w:r w:rsidRPr="005C798A">
        <w:rPr>
          <w:rFonts w:ascii="Times New Roman" w:hAnsi="Times New Roman"/>
          <w:vertAlign w:val="superscript"/>
          <w:lang w:val="en-GB"/>
        </w:rPr>
        <w:t>LÚ</w:t>
      </w:r>
      <w:r w:rsidRPr="005C798A">
        <w:rPr>
          <w:rFonts w:ascii="Times New Roman" w:hAnsi="Times New Roman"/>
          <w:lang w:val="en-GB"/>
        </w:rPr>
        <w:t>ÉRIN.GÌR</w:t>
      </w:r>
      <w:r w:rsidRPr="005C798A">
        <w:rPr>
          <w:rFonts w:ascii="Times New Roman" w:hAnsi="Times New Roman"/>
          <w:vertAlign w:val="superscript"/>
          <w:lang w:val="en-GB"/>
        </w:rPr>
        <w:t>MEŠ</w:t>
      </w:r>
      <w:r w:rsidRPr="005C798A">
        <w:rPr>
          <w:rFonts w:ascii="Times New Roman" w:hAnsi="Times New Roman"/>
          <w:lang w:val="en-GB"/>
        </w:rPr>
        <w:t xml:space="preserve">-e-i i-na-ni ar-da-i-e </w:t>
      </w:r>
      <w:r w:rsidRPr="005C798A">
        <w:rPr>
          <w:rFonts w:ascii="Times New Roman" w:hAnsi="Times New Roman"/>
          <w:vertAlign w:val="superscript"/>
          <w:lang w:val="en-GB"/>
        </w:rPr>
        <w:t>LÚ</w:t>
      </w:r>
      <w:r w:rsidRPr="005C798A">
        <w:rPr>
          <w:rFonts w:ascii="Times New Roman" w:hAnsi="Times New Roman"/>
          <w:lang w:val="en-GB"/>
        </w:rPr>
        <w:t>A.SI</w:t>
      </w:r>
      <w:r w:rsidRPr="005C798A">
        <w:rPr>
          <w:rFonts w:ascii="Times New Roman" w:hAnsi="Times New Roman"/>
          <w:vertAlign w:val="superscript"/>
          <w:lang w:val="en-GB"/>
        </w:rPr>
        <w:t>MEŠ</w:t>
      </w:r>
      <w:r w:rsidRPr="005C798A">
        <w:rPr>
          <w:rFonts w:ascii="Times New Roman" w:hAnsi="Times New Roman"/>
          <w:lang w:val="en-GB"/>
        </w:rPr>
        <w:t>-na-ni e-di-ni tú-ru-bi</w:t>
      </w:r>
    </w:p>
    <w:p w14:paraId="393DC521"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6</w:t>
      </w:r>
      <w:r w:rsidRPr="005C798A">
        <w:rPr>
          <w:rFonts w:ascii="Times New Roman" w:hAnsi="Times New Roman"/>
          <w:lang w:val="en-GB"/>
        </w:rPr>
        <w:tab/>
        <w:t xml:space="preserve">a-li i-si-ú-še ma-a-nu ḫu-šú-bi 1 ME 21 </w:t>
      </w:r>
      <w:r w:rsidRPr="005C798A">
        <w:rPr>
          <w:rFonts w:ascii="Times New Roman" w:hAnsi="Times New Roman"/>
          <w:vertAlign w:val="superscript"/>
          <w:lang w:val="en-GB"/>
        </w:rPr>
        <w:t>LÚ</w:t>
      </w:r>
      <w:r w:rsidRPr="005C798A">
        <w:rPr>
          <w:rFonts w:ascii="Times New Roman" w:hAnsi="Times New Roman"/>
          <w:lang w:val="en-GB"/>
        </w:rPr>
        <w:t>UN</w:t>
      </w:r>
      <w:r w:rsidRPr="005C798A">
        <w:rPr>
          <w:rFonts w:ascii="Times New Roman" w:hAnsi="Times New Roman"/>
          <w:vertAlign w:val="superscript"/>
          <w:lang w:val="en-GB"/>
        </w:rPr>
        <w:t>MEŠ</w:t>
      </w:r>
      <w:r w:rsidRPr="005C798A">
        <w:rPr>
          <w:rFonts w:ascii="Times New Roman" w:hAnsi="Times New Roman"/>
          <w:lang w:val="en-GB"/>
        </w:rPr>
        <w:t xml:space="preserve"> 10 LIM 4 ME 8 ANŠE.KUR.RA</w:t>
      </w:r>
      <w:r w:rsidRPr="005C798A">
        <w:rPr>
          <w:rFonts w:ascii="Times New Roman" w:hAnsi="Times New Roman"/>
          <w:vertAlign w:val="superscript"/>
          <w:lang w:val="en-GB"/>
        </w:rPr>
        <w:t>MEŠ</w:t>
      </w:r>
    </w:p>
    <w:p w14:paraId="11C05D81"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7</w:t>
      </w:r>
      <w:r w:rsidRPr="005C798A">
        <w:rPr>
          <w:rFonts w:ascii="Times New Roman" w:hAnsi="Times New Roman"/>
          <w:lang w:val="en-GB"/>
        </w:rPr>
        <w:tab/>
        <w:t>1 ME 32 ANŠE.GÌR.NUN.NA</w:t>
      </w:r>
      <w:r w:rsidRPr="005C798A">
        <w:rPr>
          <w:rFonts w:ascii="Times New Roman" w:hAnsi="Times New Roman"/>
          <w:vertAlign w:val="superscript"/>
          <w:lang w:val="en-GB"/>
        </w:rPr>
        <w:t xml:space="preserve">MEŠ </w:t>
      </w:r>
      <w:r w:rsidRPr="005C798A">
        <w:rPr>
          <w:rFonts w:ascii="Times New Roman" w:hAnsi="Times New Roman"/>
          <w:lang w:val="en-GB"/>
        </w:rPr>
        <w:t xml:space="preserve">10 LIM 2 LIM 3 ME 21 </w:t>
      </w:r>
      <w:r w:rsidRPr="005C798A">
        <w:rPr>
          <w:rFonts w:ascii="Times New Roman" w:hAnsi="Times New Roman"/>
          <w:vertAlign w:val="superscript"/>
          <w:lang w:val="en-GB"/>
        </w:rPr>
        <w:t>GU4</w:t>
      </w:r>
      <w:r w:rsidRPr="005C798A">
        <w:rPr>
          <w:rFonts w:ascii="Times New Roman" w:hAnsi="Times New Roman"/>
          <w:lang w:val="en-GB"/>
        </w:rPr>
        <w:t>[ÁB]</w:t>
      </w:r>
      <w:r w:rsidRPr="005C798A">
        <w:rPr>
          <w:rFonts w:ascii="Times New Roman" w:hAnsi="Times New Roman"/>
          <w:vertAlign w:val="superscript"/>
          <w:lang w:val="en-GB"/>
        </w:rPr>
        <w:t>MEŠ</w:t>
      </w:r>
      <w:r w:rsidRPr="005C798A">
        <w:rPr>
          <w:rFonts w:ascii="Times New Roman" w:hAnsi="Times New Roman"/>
          <w:lang w:val="en-GB"/>
        </w:rPr>
        <w:t xml:space="preserve"> 9 LIM 36 </w:t>
      </w:r>
      <w:r w:rsidRPr="005C798A">
        <w:rPr>
          <w:rFonts w:ascii="Times New Roman" w:hAnsi="Times New Roman"/>
          <w:vertAlign w:val="superscript"/>
          <w:lang w:val="en-GB"/>
        </w:rPr>
        <w:t>GU4</w:t>
      </w:r>
      <w:r w:rsidRPr="005C798A">
        <w:rPr>
          <w:rFonts w:ascii="Times New Roman" w:hAnsi="Times New Roman"/>
          <w:lang w:val="en-GB"/>
        </w:rPr>
        <w:t>pa-ḫi-i-ni-e</w:t>
      </w:r>
      <w:r w:rsidRPr="005C798A">
        <w:rPr>
          <w:rFonts w:ascii="Times New Roman" w:hAnsi="Times New Roman"/>
          <w:vertAlign w:val="superscript"/>
          <w:lang w:val="en-GB"/>
        </w:rPr>
        <w:t>MEŠ</w:t>
      </w:r>
    </w:p>
    <w:p w14:paraId="1BCFE187"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8</w:t>
      </w:r>
      <w:r w:rsidRPr="005C798A">
        <w:rPr>
          <w:rFonts w:ascii="Times New Roman" w:hAnsi="Times New Roman"/>
          <w:lang w:val="en-GB"/>
        </w:rPr>
        <w:tab/>
        <w:t xml:space="preserve">PAP [20] LIM 1 LIM 3 ME 57 </w:t>
      </w:r>
      <w:r w:rsidRPr="005C798A">
        <w:rPr>
          <w:rFonts w:ascii="Times New Roman" w:hAnsi="Times New Roman"/>
          <w:vertAlign w:val="superscript"/>
          <w:lang w:val="en-GB"/>
        </w:rPr>
        <w:t>GU4</w:t>
      </w:r>
      <w:r w:rsidRPr="005C798A">
        <w:rPr>
          <w:rFonts w:ascii="Times New Roman" w:hAnsi="Times New Roman"/>
          <w:lang w:val="en-GB"/>
        </w:rPr>
        <w:t>pa-a-ḫi-i-ni-e</w:t>
      </w:r>
      <w:r w:rsidRPr="005C798A">
        <w:rPr>
          <w:rFonts w:ascii="Times New Roman" w:hAnsi="Times New Roman"/>
          <w:vertAlign w:val="superscript"/>
          <w:lang w:val="en-GB"/>
        </w:rPr>
        <w:t>MEŠ</w:t>
      </w:r>
      <w:r w:rsidRPr="005C798A">
        <w:rPr>
          <w:rFonts w:ascii="Times New Roman" w:hAnsi="Times New Roman"/>
          <w:lang w:val="en-GB"/>
        </w:rPr>
        <w:t xml:space="preserve"> 30 LIM 5 LIM 4 ME 67 </w:t>
      </w:r>
      <w:r w:rsidRPr="005C798A">
        <w:rPr>
          <w:rFonts w:ascii="Times New Roman" w:hAnsi="Times New Roman"/>
          <w:vertAlign w:val="superscript"/>
          <w:lang w:val="en-GB"/>
        </w:rPr>
        <w:t>UDU</w:t>
      </w:r>
      <w:r w:rsidRPr="005C798A">
        <w:rPr>
          <w:rFonts w:ascii="Times New Roman" w:hAnsi="Times New Roman"/>
          <w:lang w:val="en-GB"/>
        </w:rPr>
        <w:t>šú-še-e</w:t>
      </w:r>
      <w:r w:rsidRPr="005C798A">
        <w:rPr>
          <w:rFonts w:ascii="Times New Roman" w:hAnsi="Times New Roman"/>
          <w:vertAlign w:val="superscript"/>
          <w:lang w:val="en-GB"/>
        </w:rPr>
        <w:t>MEŠ</w:t>
      </w:r>
    </w:p>
    <w:p w14:paraId="110BAC59"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9</w:t>
      </w:r>
      <w:r w:rsidRPr="005C798A">
        <w:rPr>
          <w:rFonts w:ascii="Times New Roman" w:hAnsi="Times New Roman"/>
          <w:lang w:val="en-GB"/>
        </w:rPr>
        <w:tab/>
        <w:t xml:space="preserve">2 LIM 1 ME 14 </w:t>
      </w:r>
      <w:r w:rsidRPr="005C798A">
        <w:rPr>
          <w:rFonts w:ascii="Times New Roman" w:hAnsi="Times New Roman"/>
          <w:i/>
          <w:lang w:val="en-GB"/>
        </w:rPr>
        <w:t>TIL-LI</w:t>
      </w:r>
      <w:r w:rsidRPr="005C798A">
        <w:rPr>
          <w:rFonts w:ascii="Times New Roman" w:hAnsi="Times New Roman"/>
          <w:vertAlign w:val="superscript"/>
          <w:lang w:val="en-GB"/>
        </w:rPr>
        <w:t>MEŠ</w:t>
      </w:r>
      <w:r w:rsidRPr="005C798A">
        <w:rPr>
          <w:rFonts w:ascii="Times New Roman" w:hAnsi="Times New Roman"/>
          <w:lang w:val="en-GB"/>
        </w:rPr>
        <w:t xml:space="preserve"> gu-nu-ši-ni-e-i 1 LIM 3 ME 32 </w:t>
      </w:r>
      <w:r w:rsidRPr="005C798A">
        <w:rPr>
          <w:rFonts w:ascii="Times New Roman" w:hAnsi="Times New Roman"/>
          <w:vertAlign w:val="superscript"/>
          <w:lang w:val="en-GB"/>
        </w:rPr>
        <w:t>GIŠ</w:t>
      </w:r>
      <w:r w:rsidRPr="005C798A">
        <w:rPr>
          <w:rFonts w:ascii="Times New Roman" w:hAnsi="Times New Roman"/>
          <w:lang w:val="en-GB"/>
        </w:rPr>
        <w:t>BAN</w:t>
      </w:r>
      <w:r w:rsidRPr="005C798A">
        <w:rPr>
          <w:rFonts w:ascii="Times New Roman" w:hAnsi="Times New Roman"/>
          <w:vertAlign w:val="superscript"/>
          <w:lang w:val="en-GB"/>
        </w:rPr>
        <w:t>MEŠ</w:t>
      </w:r>
      <w:r w:rsidRPr="005C798A">
        <w:rPr>
          <w:rFonts w:ascii="Times New Roman" w:hAnsi="Times New Roman"/>
          <w:lang w:val="en-GB"/>
        </w:rPr>
        <w:t xml:space="preserve"> 40 LIM 7 LIM 9 ME 70 </w:t>
      </w:r>
      <w:r w:rsidRPr="005C798A">
        <w:rPr>
          <w:rFonts w:ascii="Times New Roman" w:hAnsi="Times New Roman"/>
          <w:vertAlign w:val="superscript"/>
          <w:lang w:val="en-GB"/>
        </w:rPr>
        <w:t>GIŠ</w:t>
      </w:r>
      <w:r w:rsidRPr="005C798A">
        <w:rPr>
          <w:rFonts w:ascii="Times New Roman" w:hAnsi="Times New Roman"/>
          <w:lang w:val="en-GB"/>
        </w:rPr>
        <w:t>GAG.TI</w:t>
      </w:r>
      <w:r w:rsidRPr="005C798A">
        <w:rPr>
          <w:rFonts w:ascii="Times New Roman" w:hAnsi="Times New Roman"/>
          <w:vertAlign w:val="superscript"/>
          <w:lang w:val="en-GB"/>
        </w:rPr>
        <w:t>MEŠ</w:t>
      </w:r>
    </w:p>
    <w:p w14:paraId="07DF7D92"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10</w:t>
      </w:r>
      <w:r w:rsidRPr="005C798A">
        <w:rPr>
          <w:rFonts w:ascii="Times New Roman" w:hAnsi="Times New Roman"/>
          <w:lang w:val="en-GB"/>
        </w:rPr>
        <w:tab/>
        <w:t>1 ME 2 a-ti-bi 2 LIM 1 ME 33 ka-pi ŠE.PAD</w:t>
      </w:r>
      <w:r w:rsidRPr="005C798A">
        <w:rPr>
          <w:rFonts w:ascii="Times New Roman" w:hAnsi="Times New Roman"/>
          <w:vertAlign w:val="superscript"/>
          <w:lang w:val="en-GB"/>
        </w:rPr>
        <w:t>MEŠ</w:t>
      </w:r>
      <w:r w:rsidRPr="005C798A">
        <w:rPr>
          <w:rFonts w:ascii="Times New Roman" w:hAnsi="Times New Roman"/>
          <w:lang w:val="en-GB"/>
        </w:rPr>
        <w:t xml:space="preserve"> 1 ME 11 a-qar-qi GESTIN</w:t>
      </w:r>
      <w:r w:rsidRPr="005C798A">
        <w:rPr>
          <w:rFonts w:ascii="Times New Roman" w:hAnsi="Times New Roman"/>
          <w:vertAlign w:val="superscript"/>
          <w:lang w:val="en-GB"/>
        </w:rPr>
        <w:t>MEŠ</w:t>
      </w:r>
      <w:r w:rsidRPr="005C798A">
        <w:rPr>
          <w:rFonts w:ascii="Times New Roman" w:hAnsi="Times New Roman"/>
          <w:lang w:val="en-GB"/>
        </w:rPr>
        <w:t xml:space="preserve"> 86 a-qar-qi 7 ṭi</w:t>
      </w:r>
      <w:r w:rsidRPr="005C798A">
        <w:rPr>
          <w:rFonts w:ascii="Times New Roman" w:hAnsi="Times New Roman"/>
          <w:vertAlign w:val="subscript"/>
          <w:lang w:val="en-GB"/>
        </w:rPr>
        <w:t>5</w:t>
      </w:r>
      <w:r w:rsidRPr="005C798A">
        <w:rPr>
          <w:rFonts w:ascii="Times New Roman" w:hAnsi="Times New Roman"/>
          <w:lang w:val="en-GB"/>
        </w:rPr>
        <w:t>-ru-si man-ka-li Ì</w:t>
      </w:r>
      <w:r w:rsidRPr="005C798A">
        <w:rPr>
          <w:rFonts w:ascii="Times New Roman" w:hAnsi="Times New Roman"/>
          <w:vertAlign w:val="superscript"/>
          <w:lang w:val="en-GB"/>
        </w:rPr>
        <w:t>MEŠ</w:t>
      </w:r>
    </w:p>
    <w:p w14:paraId="23E0F619"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11</w:t>
      </w:r>
      <w:r w:rsidRPr="005C798A">
        <w:rPr>
          <w:rFonts w:ascii="Times New Roman" w:hAnsi="Times New Roman"/>
          <w:lang w:val="en-GB"/>
        </w:rPr>
        <w:tab/>
        <w:t>7 LIM 79 MA.NA-e URUDU</w:t>
      </w:r>
      <w:r w:rsidRPr="005C798A">
        <w:rPr>
          <w:rFonts w:ascii="Times New Roman" w:hAnsi="Times New Roman"/>
          <w:vertAlign w:val="superscript"/>
          <w:lang w:val="en-GB"/>
        </w:rPr>
        <w:t>MEŠ</w:t>
      </w:r>
      <w:r w:rsidRPr="005C798A">
        <w:rPr>
          <w:rFonts w:ascii="Times New Roman" w:hAnsi="Times New Roman"/>
          <w:lang w:val="en-GB"/>
        </w:rPr>
        <w:t xml:space="preserve"> 3 ME 36 ÌR</w:t>
      </w:r>
      <w:r w:rsidRPr="005C798A">
        <w:rPr>
          <w:rFonts w:ascii="Times New Roman" w:hAnsi="Times New Roman"/>
          <w:vertAlign w:val="superscript"/>
          <w:lang w:val="en-GB"/>
        </w:rPr>
        <w:t>MEŠ</w:t>
      </w:r>
      <w:r w:rsidRPr="005C798A">
        <w:rPr>
          <w:rFonts w:ascii="Times New Roman" w:hAnsi="Times New Roman"/>
          <w:lang w:val="en-GB"/>
        </w:rPr>
        <w:t xml:space="preserve"> </w:t>
      </w:r>
      <w:r w:rsidRPr="005C798A">
        <w:rPr>
          <w:rFonts w:ascii="Times New Roman" w:hAnsi="Times New Roman"/>
          <w:vertAlign w:val="superscript"/>
          <w:lang w:val="en-GB"/>
        </w:rPr>
        <w:t>LÚ</w:t>
      </w:r>
      <w:r w:rsidRPr="005C798A">
        <w:rPr>
          <w:rFonts w:ascii="Times New Roman" w:hAnsi="Times New Roman"/>
          <w:lang w:val="en-GB"/>
        </w:rPr>
        <w:t>ú-ru-ur-da-a-ni e-di-ni tú-ru-ú-bi</w:t>
      </w:r>
    </w:p>
    <w:p w14:paraId="084DEF6F"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12</w:t>
      </w:r>
      <w:r w:rsidRPr="005C798A">
        <w:rPr>
          <w:rFonts w:ascii="Times New Roman" w:hAnsi="Times New Roman"/>
          <w:lang w:val="en-GB"/>
        </w:rPr>
        <w:tab/>
      </w:r>
      <w:r w:rsidRPr="005C798A">
        <w:rPr>
          <w:rFonts w:ascii="Times New Roman" w:hAnsi="Times New Roman"/>
          <w:vertAlign w:val="superscript"/>
          <w:lang w:val="en-GB"/>
        </w:rPr>
        <w:t>mD</w:t>
      </w:r>
      <w:r w:rsidRPr="005C798A">
        <w:rPr>
          <w:rFonts w:ascii="Times New Roman" w:hAnsi="Times New Roman"/>
          <w:lang w:val="en-GB"/>
        </w:rPr>
        <w:t>sar</w:t>
      </w:r>
      <w:r w:rsidRPr="005C798A">
        <w:rPr>
          <w:rFonts w:ascii="Times New Roman" w:hAnsi="Times New Roman"/>
          <w:vertAlign w:val="subscript"/>
          <w:lang w:val="en-GB"/>
        </w:rPr>
        <w:t>5</w:t>
      </w:r>
      <w:r w:rsidRPr="005C798A">
        <w:rPr>
          <w:rFonts w:ascii="Times New Roman" w:hAnsi="Times New Roman"/>
          <w:lang w:val="en-GB"/>
        </w:rPr>
        <w:t xml:space="preserve">-du-ri-i-ni </w:t>
      </w:r>
      <w:r w:rsidRPr="005C798A">
        <w:rPr>
          <w:rFonts w:ascii="Times New Roman" w:hAnsi="Times New Roman"/>
          <w:vertAlign w:val="superscript"/>
          <w:lang w:val="en-GB"/>
        </w:rPr>
        <w:t>m</w:t>
      </w:r>
      <w:r w:rsidRPr="005C798A">
        <w:rPr>
          <w:rFonts w:ascii="Times New Roman" w:hAnsi="Times New Roman"/>
          <w:lang w:val="en-GB"/>
        </w:rPr>
        <w:t xml:space="preserve">ar-gi-iš-ti-e-ḫi MAN </w:t>
      </w:r>
      <w:r w:rsidRPr="005C798A">
        <w:rPr>
          <w:rFonts w:ascii="Times New Roman" w:hAnsi="Times New Roman"/>
          <w:i/>
          <w:lang w:val="en-GB"/>
        </w:rPr>
        <w:t>DAN-NU</w:t>
      </w:r>
      <w:r w:rsidRPr="005C798A">
        <w:rPr>
          <w:rFonts w:ascii="Times New Roman" w:hAnsi="Times New Roman"/>
          <w:lang w:val="en-GB"/>
        </w:rPr>
        <w:t xml:space="preserve"> MAN al-su-ú-i-ni</w:t>
      </w:r>
    </w:p>
    <w:p w14:paraId="30E71A57" w14:textId="77777777" w:rsidR="00B4516E" w:rsidRPr="005C798A" w:rsidRDefault="00B4516E" w:rsidP="00B4516E">
      <w:pPr>
        <w:tabs>
          <w:tab w:val="left" w:pos="2410"/>
        </w:tabs>
        <w:ind w:left="567" w:hanging="567"/>
        <w:jc w:val="both"/>
        <w:rPr>
          <w:rFonts w:ascii="Times New Roman" w:hAnsi="Times New Roman"/>
          <w:lang w:val="en-GB"/>
        </w:rPr>
      </w:pPr>
      <w:r w:rsidRPr="005C798A">
        <w:rPr>
          <w:rFonts w:ascii="Times New Roman" w:hAnsi="Times New Roman"/>
          <w:lang w:val="en-GB"/>
        </w:rPr>
        <w:t>13</w:t>
      </w:r>
      <w:r w:rsidRPr="005C798A">
        <w:rPr>
          <w:rFonts w:ascii="Times New Roman" w:hAnsi="Times New Roman"/>
          <w:lang w:val="en-GB"/>
        </w:rPr>
        <w:tab/>
        <w:t>MAN šú-ra-a-</w:t>
      </w:r>
      <w:r w:rsidRPr="005C798A">
        <w:rPr>
          <w:rFonts w:ascii="Cambria Math" w:hAnsi="Cambria Math"/>
          <w:lang w:val="en-GB"/>
        </w:rPr>
        <w:t>⌈</w:t>
      </w:r>
      <w:r w:rsidRPr="005C798A">
        <w:rPr>
          <w:rFonts w:ascii="Times New Roman" w:hAnsi="Times New Roman"/>
          <w:lang w:val="en-GB"/>
        </w:rPr>
        <w:t>ú</w:t>
      </w:r>
      <w:r w:rsidRPr="005C798A">
        <w:rPr>
          <w:rFonts w:ascii="Cambria Math" w:hAnsi="Cambria Math"/>
          <w:lang w:val="en-GB"/>
        </w:rPr>
        <w:t>⌉</w:t>
      </w:r>
      <w:r w:rsidRPr="005C798A">
        <w:rPr>
          <w:rFonts w:ascii="Times New Roman" w:hAnsi="Times New Roman"/>
          <w:lang w:val="en-GB"/>
        </w:rPr>
        <w:t xml:space="preserve">-e MAN </w:t>
      </w:r>
      <w:r w:rsidRPr="005C798A">
        <w:rPr>
          <w:rFonts w:ascii="Times New Roman" w:hAnsi="Times New Roman"/>
          <w:vertAlign w:val="superscript"/>
          <w:lang w:val="en-GB"/>
        </w:rPr>
        <w:t>KUR</w:t>
      </w:r>
      <w:r w:rsidRPr="005C798A">
        <w:rPr>
          <w:rFonts w:ascii="Times New Roman" w:hAnsi="Times New Roman"/>
          <w:lang w:val="en-GB"/>
        </w:rPr>
        <w:t>bi-a-i-na-a-</w:t>
      </w:r>
      <w:r w:rsidRPr="005C798A">
        <w:rPr>
          <w:rFonts w:ascii="Cambria Math" w:hAnsi="Cambria Math"/>
          <w:lang w:val="en-GB"/>
        </w:rPr>
        <w:t>⌈</w:t>
      </w:r>
      <w:r w:rsidRPr="005C798A">
        <w:rPr>
          <w:rFonts w:ascii="Times New Roman" w:hAnsi="Times New Roman"/>
          <w:lang w:val="en-GB"/>
        </w:rPr>
        <w:t>ú</w:t>
      </w:r>
      <w:r w:rsidRPr="005C798A">
        <w:rPr>
          <w:rFonts w:ascii="Cambria Math" w:hAnsi="Cambria Math"/>
          <w:lang w:val="en-GB"/>
        </w:rPr>
        <w:t>⌉</w:t>
      </w:r>
      <w:r w:rsidRPr="005C798A">
        <w:rPr>
          <w:rFonts w:ascii="Times New Roman" w:hAnsi="Times New Roman"/>
          <w:lang w:val="en-GB"/>
        </w:rPr>
        <w:t>-e MAN MAN</w:t>
      </w:r>
      <w:r w:rsidRPr="005C798A">
        <w:rPr>
          <w:rFonts w:ascii="Times New Roman" w:hAnsi="Times New Roman"/>
          <w:vertAlign w:val="superscript"/>
          <w:lang w:val="en-GB"/>
        </w:rPr>
        <w:t>MEŠ</w:t>
      </w:r>
      <w:r w:rsidRPr="005C798A">
        <w:rPr>
          <w:rFonts w:ascii="Times New Roman" w:hAnsi="Times New Roman"/>
          <w:lang w:val="en-GB"/>
        </w:rPr>
        <w:t xml:space="preserve">-ú-e a-lu-si </w:t>
      </w:r>
      <w:r w:rsidRPr="005C798A">
        <w:rPr>
          <w:rFonts w:ascii="Times New Roman" w:hAnsi="Times New Roman"/>
          <w:vertAlign w:val="superscript"/>
          <w:lang w:val="en-GB"/>
        </w:rPr>
        <w:t>URU</w:t>
      </w:r>
      <w:r w:rsidRPr="005C798A">
        <w:rPr>
          <w:rFonts w:ascii="Times New Roman" w:hAnsi="Times New Roman"/>
          <w:lang w:val="en-GB"/>
        </w:rPr>
        <w:t>ṭu-uš-pa-e URU</w:t>
      </w:r>
    </w:p>
    <w:p w14:paraId="2CEA4B1B"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335019EF"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GB"/>
        </w:rPr>
      </w:pPr>
      <w:r w:rsidRPr="00315E88">
        <w:rPr>
          <w:rFonts w:ascii="Times New Roman" w:hAnsi="Times New Roman"/>
          <w:color w:val="000000" w:themeColor="text1"/>
          <w:lang w:val="en-GB"/>
        </w:rPr>
        <w:t>“Thanks to Ḫaldi</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Ḫaldi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lang w:val="en-GB"/>
        </w:rPr>
        <w:t>’s greatness, Sarduri</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Sarduri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lang w:val="en-GB"/>
        </w:rPr>
        <w:t xml:space="preserve"> son of Argišti (lit. Argišti-ides) says: When Ḫaldi gave me the kingship, I ascended to the paternal seat of kingship (throne).”</w:t>
      </w:r>
    </w:p>
    <w:p w14:paraId="22FFB879"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GB"/>
        </w:rPr>
      </w:pPr>
      <w:r w:rsidRPr="00315E88">
        <w:rPr>
          <w:rFonts w:ascii="Times New Roman" w:hAnsi="Times New Roman"/>
          <w:color w:val="000000" w:themeColor="text1"/>
          <w:lang w:val="en-GB"/>
        </w:rPr>
        <w:t xml:space="preserve">After this first clear sentence, the problems of interpretation presented by </w:t>
      </w:r>
      <w:r w:rsidRPr="00315E88">
        <w:rPr>
          <w:rFonts w:ascii="Times New Roman" w:hAnsi="Times New Roman"/>
          <w:i/>
          <w:color w:val="000000" w:themeColor="text1"/>
          <w:lang w:val="en-GB"/>
        </w:rPr>
        <w:t>hapax legomena</w:t>
      </w:r>
      <w:r w:rsidRPr="00315E88">
        <w:rPr>
          <w:rFonts w:ascii="Times New Roman" w:hAnsi="Times New Roman"/>
          <w:color w:val="000000" w:themeColor="text1"/>
          <w:lang w:val="en-GB"/>
        </w:rPr>
        <w:t xml:space="preserve"> and grammatical uncertainties begin. I deepen the analysis of this text to show what the state of interpretation of the Urartian</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Urartian</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lang w:val="en-GB"/>
        </w:rPr>
        <w:t xml:space="preserve"> language is today. Line 3: "</w:t>
      </w:r>
      <w:r w:rsidRPr="00315E88">
        <w:rPr>
          <w:rFonts w:ascii="Times New Roman" w:hAnsi="Times New Roman"/>
          <w:i/>
          <w:color w:val="000000" w:themeColor="text1"/>
          <w:lang w:val="en-GB"/>
        </w:rPr>
        <w:t>ali ardaie</w:t>
      </w:r>
      <w:r w:rsidRPr="00315E88">
        <w:rPr>
          <w:rFonts w:ascii="Times New Roman" w:hAnsi="Times New Roman"/>
          <w:color w:val="000000" w:themeColor="text1"/>
          <w:lang w:val="en-GB"/>
        </w:rPr>
        <w:t>" which tribute(?)… ali is a proleptic relative, "</w:t>
      </w:r>
      <w:r w:rsidRPr="00315E88">
        <w:rPr>
          <w:rFonts w:ascii="Times New Roman" w:hAnsi="Times New Roman"/>
          <w:i/>
          <w:color w:val="000000" w:themeColor="text1"/>
          <w:lang w:val="en-GB"/>
        </w:rPr>
        <w:t>ardaie</w:t>
      </w:r>
      <w:r w:rsidRPr="00315E88">
        <w:rPr>
          <w:rFonts w:ascii="Times New Roman" w:hAnsi="Times New Roman"/>
          <w:color w:val="000000" w:themeColor="text1"/>
          <w:lang w:val="en-GB"/>
        </w:rPr>
        <w:t>" perhaps means “tribute” (CTU V. p. 375). This, the ‘relative’ ini, "</w:t>
      </w:r>
      <w:r w:rsidRPr="00315E88">
        <w:rPr>
          <w:rFonts w:ascii="Times New Roman" w:hAnsi="Times New Roman"/>
          <w:i/>
          <w:color w:val="000000" w:themeColor="text1"/>
          <w:lang w:val="en-GB"/>
        </w:rPr>
        <w:t>isiuše</w:t>
      </w:r>
      <w:r w:rsidRPr="00315E88">
        <w:rPr>
          <w:rFonts w:ascii="Times New Roman" w:hAnsi="Times New Roman"/>
          <w:color w:val="000000" w:themeColor="text1"/>
          <w:lang w:val="en-GB"/>
        </w:rPr>
        <w:t>" is a noun in -še and forming abstracts, and perhaps in this case a collective referring to the list starting with the 92 war chariots. As in line 6, "</w:t>
      </w:r>
      <w:r w:rsidRPr="00315E88">
        <w:rPr>
          <w:rFonts w:ascii="Times New Roman" w:hAnsi="Times New Roman"/>
          <w:i/>
          <w:color w:val="000000" w:themeColor="text1"/>
          <w:lang w:val="en-GB"/>
        </w:rPr>
        <w:t>ali isiuše</w:t>
      </w:r>
      <w:r w:rsidRPr="00315E88">
        <w:rPr>
          <w:rFonts w:ascii="Times New Roman" w:hAnsi="Times New Roman"/>
          <w:color w:val="000000" w:themeColor="text1"/>
          <w:lang w:val="en-GB"/>
        </w:rPr>
        <w:t xml:space="preserve">" refers to the following list. How to translate it? </w:t>
      </w:r>
      <w:r w:rsidRPr="00315E88">
        <w:rPr>
          <w:rFonts w:ascii="Times New Roman" w:hAnsi="Times New Roman"/>
          <w:color w:val="000000" w:themeColor="text1"/>
          <w:vertAlign w:val="superscript"/>
          <w:lang w:val="en-GB"/>
        </w:rPr>
        <w:t>KUR</w:t>
      </w:r>
      <w:r w:rsidRPr="00315E88">
        <w:rPr>
          <w:rFonts w:ascii="Times New Roman" w:hAnsi="Times New Roman"/>
          <w:color w:val="000000" w:themeColor="text1"/>
          <w:lang w:val="en-GB"/>
        </w:rPr>
        <w:t>šura=ni edini “from the (foreign) countries”, in line with "</w:t>
      </w:r>
      <w:r w:rsidRPr="00315E88">
        <w:rPr>
          <w:rFonts w:ascii="Times New Roman" w:hAnsi="Times New Roman"/>
          <w:i/>
          <w:color w:val="000000" w:themeColor="text1"/>
          <w:lang w:val="en-GB"/>
        </w:rPr>
        <w:t>ardaie</w:t>
      </w:r>
      <w:r w:rsidRPr="00315E88">
        <w:rPr>
          <w:rFonts w:ascii="Times New Roman" w:hAnsi="Times New Roman"/>
          <w:color w:val="000000" w:themeColor="text1"/>
          <w:lang w:val="en-GB"/>
        </w:rPr>
        <w:t>" “tribute” indicates the origin of the goods listed below. On line 6ss, however, is written that "</w:t>
      </w:r>
      <w:r w:rsidRPr="00315E88">
        <w:rPr>
          <w:rFonts w:ascii="Times New Roman" w:hAnsi="Times New Roman"/>
          <w:i/>
          <w:color w:val="000000" w:themeColor="text1"/>
          <w:lang w:val="en-GB"/>
        </w:rPr>
        <w:t>isiuše</w:t>
      </w:r>
      <w:r w:rsidRPr="00315E88">
        <w:rPr>
          <w:rFonts w:ascii="Times New Roman" w:hAnsi="Times New Roman"/>
          <w:color w:val="000000" w:themeColor="text1"/>
          <w:lang w:val="en-GB"/>
        </w:rPr>
        <w:t>" which exists (manu) and refers to the arsenal and stores of goods, as well as copper and slaves. This appears to be the stable assets of the Urartian state under the reign of Sarduri</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Sarduri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lang w:val="en-GB"/>
        </w:rPr>
        <w:t xml:space="preserve"> II</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Sarduri II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lang w:val="en-GB"/>
        </w:rPr>
        <w:t>. But it is not clear what period it refers to. Certainly not at the very end of the reign, given that Sarduri signs the text. It is however a sort of balance drawn up at an advanced point of the kingdom. "</w:t>
      </w:r>
      <w:r w:rsidRPr="00315E88">
        <w:rPr>
          <w:rFonts w:ascii="Times New Roman" w:hAnsi="Times New Roman"/>
          <w:i/>
          <w:color w:val="000000" w:themeColor="text1"/>
          <w:lang w:val="en-GB"/>
        </w:rPr>
        <w:t>isiuše</w:t>
      </w:r>
      <w:r w:rsidRPr="00315E88">
        <w:rPr>
          <w:rFonts w:ascii="Times New Roman" w:hAnsi="Times New Roman"/>
          <w:color w:val="000000" w:themeColor="text1"/>
          <w:lang w:val="en-GB"/>
        </w:rPr>
        <w:t>" must therefore mean ‘patrimony’, and a distinction is made between patrimony acquired thanks to tributes and raids following military campaigns (lines 3-5) and stable assets (lines 6-11). Before translating the two verbs turu=bi and hušu=bi, both 1st pers. single of the preterite: “I did ...” we see that 50 war chariots were captured by Sarduri in the campaign on the Euphrates</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Euphrates</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lang w:val="en-GB"/>
        </w:rPr>
        <w:t xml:space="preserve"> (CTU I. A 9-4, 17). Infantry (</w:t>
      </w:r>
      <w:r w:rsidRPr="00315E88">
        <w:rPr>
          <w:rFonts w:ascii="Times New Roman" w:hAnsi="Times New Roman"/>
          <w:color w:val="000000" w:themeColor="text1"/>
          <w:vertAlign w:val="superscript"/>
          <w:lang w:val="en-GB"/>
        </w:rPr>
        <w:t>LÚ</w:t>
      </w:r>
      <w:r w:rsidRPr="00315E88">
        <w:rPr>
          <w:rFonts w:ascii="Times New Roman" w:hAnsi="Times New Roman"/>
          <w:color w:val="000000" w:themeColor="text1"/>
          <w:lang w:val="en-GB"/>
        </w:rPr>
        <w:t>ÉRIN</w:t>
      </w:r>
      <w:r w:rsidRPr="00315E88">
        <w:rPr>
          <w:rFonts w:ascii="Times New Roman" w:hAnsi="Times New Roman"/>
          <w:color w:val="000000" w:themeColor="text1"/>
          <w:vertAlign w:val="superscript"/>
          <w:lang w:val="en-GB"/>
        </w:rPr>
        <w:t>MEŠ</w:t>
      </w:r>
      <w:r w:rsidRPr="00315E88">
        <w:rPr>
          <w:rFonts w:ascii="Times New Roman" w:hAnsi="Times New Roman"/>
          <w:color w:val="000000" w:themeColor="text1"/>
          <w:lang w:val="en-GB"/>
        </w:rPr>
        <w:t>) and cavalry (</w:t>
      </w:r>
      <w:r w:rsidRPr="00315E88">
        <w:rPr>
          <w:rFonts w:ascii="Times New Roman" w:hAnsi="Times New Roman"/>
          <w:i/>
          <w:color w:val="000000" w:themeColor="text1"/>
          <w:lang w:val="en-GB"/>
        </w:rPr>
        <w:t>PIT</w:t>
      </w:r>
      <w:r w:rsidRPr="00315E88">
        <w:rPr>
          <w:rFonts w:ascii="Times New Roman" w:hAnsi="Times New Roman"/>
          <w:color w:val="000000" w:themeColor="text1"/>
          <w:lang w:val="en-GB"/>
        </w:rPr>
        <w:t>-</w:t>
      </w:r>
      <w:r w:rsidRPr="00315E88">
        <w:rPr>
          <w:rFonts w:ascii="Times New Roman" w:hAnsi="Times New Roman"/>
          <w:i/>
          <w:color w:val="000000" w:themeColor="text1"/>
          <w:lang w:val="en-GB"/>
        </w:rPr>
        <w:t>ḪAL</w:t>
      </w:r>
      <w:r w:rsidRPr="00315E88">
        <w:rPr>
          <w:rFonts w:ascii="Times New Roman" w:hAnsi="Times New Roman"/>
          <w:color w:val="000000" w:themeColor="text1"/>
          <w:lang w:val="en-GB"/>
        </w:rPr>
        <w:t>-</w:t>
      </w:r>
      <w:r w:rsidRPr="00315E88">
        <w:rPr>
          <w:rFonts w:ascii="Times New Roman" w:hAnsi="Times New Roman"/>
          <w:i/>
          <w:color w:val="000000" w:themeColor="text1"/>
          <w:lang w:val="en-GB"/>
        </w:rPr>
        <w:t>LU</w:t>
      </w:r>
      <w:r w:rsidRPr="00315E88">
        <w:rPr>
          <w:rFonts w:ascii="Times New Roman" w:hAnsi="Times New Roman"/>
          <w:color w:val="000000" w:themeColor="text1"/>
          <w:vertAlign w:val="superscript"/>
          <w:lang w:val="en-GB"/>
        </w:rPr>
        <w:t>MEŠ</w:t>
      </w:r>
      <w:r w:rsidRPr="00315E88">
        <w:rPr>
          <w:rFonts w:ascii="Times New Roman" w:hAnsi="Times New Roman"/>
          <w:color w:val="000000" w:themeColor="text1"/>
          <w:lang w:val="en-GB"/>
        </w:rPr>
        <w:t>) are part of the booty also in the annals of Argišti I</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Argišti I</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lang w:val="en-GB"/>
        </w:rPr>
        <w:t xml:space="preserve">. In this sense I translate turu=bi “I collected” or similar. And the verb hušu=bi to the r. 6 I interpret this as “I have enumerated”, and the subject is a list of goods and quantities that are generally difficult to understand: 121 people, 10,408 horses, 132 mules, 1,321 cows, 9,036 oxen, a total of 21,357 cattle and 35,467 sheep. </w:t>
      </w:r>
    </w:p>
    <w:p w14:paraId="0638DFB4"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GB"/>
        </w:rPr>
      </w:pPr>
    </w:p>
    <w:p w14:paraId="4754BAD8"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GB"/>
        </w:rPr>
      </w:pPr>
      <w:r w:rsidRPr="00315E88">
        <w:rPr>
          <w:rFonts w:ascii="Times New Roman" w:hAnsi="Times New Roman"/>
          <w:color w:val="000000" w:themeColor="text1"/>
          <w:lang w:val="en-GB"/>
        </w:rPr>
        <w:t>Then follows the war arsenal, consisting of 2114 war weapons (maybe swords and/or spears), 1332 bows, and 47970 arrows. The relationship between bows and arrows seems correct, when comparing a tablet from Anzaf</w:t>
      </w:r>
      <w:r w:rsidRPr="00315E88">
        <w:rPr>
          <w:rFonts w:ascii="Times New Roman" w:hAnsi="Times New Roman"/>
          <w:color w:val="000000" w:themeColor="text1"/>
          <w:lang w:val="en-GB"/>
        </w:rPr>
        <w:fldChar w:fldCharType="begin"/>
      </w:r>
      <w:r w:rsidRPr="00315E88">
        <w:rPr>
          <w:rFonts w:ascii="Courier New" w:hAnsi="Courier New"/>
          <w:color w:val="000000" w:themeColor="text1"/>
          <w:lang w:val="en-GB"/>
        </w:rPr>
        <w:instrText xml:space="preserve"> XE "</w:instrText>
      </w:r>
      <w:r w:rsidRPr="00315E88">
        <w:rPr>
          <w:rFonts w:ascii="Times New Roman" w:hAnsi="Times New Roman"/>
          <w:color w:val="000000" w:themeColor="text1"/>
          <w:lang w:val="en-GB"/>
        </w:rPr>
        <w:instrText>Anzaf</w:instrText>
      </w:r>
      <w:r w:rsidRPr="00315E88">
        <w:rPr>
          <w:rFonts w:ascii="Courier New" w:hAnsi="Courier New"/>
          <w:color w:val="000000" w:themeColor="text1"/>
          <w:lang w:val="en-GB"/>
        </w:rPr>
        <w:instrText xml:space="preserve">" </w:instrText>
      </w:r>
      <w:r w:rsidRPr="00315E88">
        <w:rPr>
          <w:rFonts w:ascii="Times New Roman" w:hAnsi="Times New Roman"/>
          <w:color w:val="000000" w:themeColor="text1"/>
          <w:lang w:val="en-GB"/>
        </w:rPr>
        <w:fldChar w:fldCharType="end"/>
      </w:r>
      <w:r w:rsidRPr="00315E88">
        <w:rPr>
          <w:rFonts w:ascii="Times New Roman" w:hAnsi="Times New Roman"/>
          <w:color w:val="000000" w:themeColor="text1"/>
          <w:lang w:val="en-GB"/>
        </w:rPr>
        <w:t>, which involves a distribution of bows and arrows to a number of people (CTU IV. p. 122ff. CT An-1). The ratio is about 20 or 30 arrows for each bow. In the present case the ratio is 1 to 36.</w:t>
      </w:r>
    </w:p>
    <w:p w14:paraId="1890D5D9"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GB"/>
        </w:rPr>
      </w:pPr>
      <w:r w:rsidRPr="00315E88">
        <w:rPr>
          <w:rFonts w:ascii="Times New Roman" w:hAnsi="Times New Roman"/>
          <w:color w:val="000000" w:themeColor="text1"/>
          <w:lang w:val="en-GB"/>
        </w:rPr>
        <w:t>This is the translation that I propose today, surpassing that of the corpus (CTU V. p. 259):</w:t>
      </w:r>
    </w:p>
    <w:p w14:paraId="0768B675"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GB"/>
        </w:rPr>
      </w:pPr>
    </w:p>
    <w:p w14:paraId="572C6B10"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(1-2) By virtue of Ḫaldi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lang w:val="en-GB"/>
        </w:rPr>
        <w:instrText>Ḫaldi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’s greatness, Sarduri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lang w:val="en-GB"/>
        </w:rPr>
        <w:instrText>Sarduri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the son of Argišti, says: when Ḫaldi granted me the kingship I ascended the paternal place of the kingship (=throne). (3-9) The tribute, this patrimony that I collected from the countries (is): 92 (war) chariots, 3600 horsemen, 352011 soldiers on horseback and on foot; this (is the) tribute I collected from the (foreign) soldiers/armies. </w:t>
      </w:r>
    </w:p>
    <w:p w14:paraId="5E14265E"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 xml:space="preserve">(3-5) That heritage that exists (here and that) I numbered (is): 121 people 10408 horses 132 mules 12321 cows, 9036 oxen, in total 21357 cattle and 35467 sheep, 2114 war weapons, 1332 bows, 47970 arrows; (10-11) 122133 kapi of barley, 111 aqarqi of wine and 86 aqarqi and 7 ṭirusi of </w:t>
      </w:r>
      <w:r w:rsidRPr="00315E88">
        <w:rPr>
          <w:rFonts w:ascii="Times New Roman" w:hAnsi="Times New Roman"/>
          <w:i/>
          <w:color w:val="202124"/>
          <w:lang w:val="en-GB"/>
        </w:rPr>
        <w:t>mankali</w:t>
      </w:r>
      <w:r w:rsidRPr="00315E88">
        <w:rPr>
          <w:rFonts w:ascii="Times New Roman" w:hAnsi="Times New Roman"/>
          <w:color w:val="202124"/>
          <w:lang w:val="en-GB"/>
        </w:rPr>
        <w:t xml:space="preserve"> oil, 7079 minas of copper, 336 servants (all that) I collected from the Ururda</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202124"/>
          <w:lang w:val="en-GB"/>
        </w:rPr>
        <w:instrText>Ururda</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men. </w:t>
      </w:r>
    </w:p>
    <w:p w14:paraId="3A393613"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4610D105"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(12-13) (I am) Sarduri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lang w:val="en-GB"/>
        </w:rPr>
        <w:instrText>Sarduri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the son of Argišti, mighty king, great king, king of countries, king of Biainili</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lang w:val="en-GB"/>
        </w:rPr>
        <w:instrText>Biainili</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king of kings, lord of the city of Ṭušpa”</w:t>
      </w:r>
      <w:r w:rsidRPr="00315E88">
        <w:rPr>
          <w:rFonts w:ascii="Times New Roman" w:eastAsia="Times New Roman" w:hAnsi="Times New Roman" w:cs="Times New Roman"/>
          <w:color w:val="202124"/>
          <w:lang w:val="en-GB" w:eastAsia="it-IT"/>
        </w:rPr>
        <w:t>.</w:t>
      </w:r>
    </w:p>
    <w:p w14:paraId="0E2F83BD"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Although we do not have any written document after Sarduri</w:t>
      </w:r>
      <w:r w:rsidRPr="00315E88">
        <w:rPr>
          <w:rFonts w:ascii="Times New Roman" w:eastAsia="Times New Roman" w:hAnsi="Times New Roman" w:cs="Times New Roman"/>
          <w:color w:val="202124"/>
          <w:lang w:val="en-GB" w:eastAsia="it-IT"/>
        </w:rPr>
        <w:t> </w:t>
      </w:r>
      <w:r w:rsidRPr="00315E88">
        <w:rPr>
          <w:rFonts w:asciiTheme="majorBidi" w:eastAsia="Times New Roman" w:hAnsiTheme="majorBidi" w:cstheme="majorBidi"/>
          <w:color w:val="202124"/>
          <w:lang w:val="en-GB" w:eastAsia="it-IT"/>
        </w:rPr>
        <w:t xml:space="preserve"> </w:t>
      </w:r>
      <w:r w:rsidRPr="00315E88">
        <w:rPr>
          <w:rFonts w:ascii="Times New Roman" w:hAnsi="Times New Roman"/>
          <w:color w:val="202124"/>
          <w:lang w:val="en-GB"/>
        </w:rPr>
        <w:t>II</w:t>
      </w:r>
      <w:r w:rsidRPr="00315E88">
        <w:rPr>
          <w:rFonts w:ascii="Times New Roman" w:eastAsia="Times New Roman" w:hAnsi="Times New Roman" w:cs="Times New Roman"/>
          <w:color w:val="202124"/>
          <w:lang w:val="en-GB" w:eastAsia="it-IT"/>
        </w:rPr>
        <w:t> </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"Sarduri II" </w:instrText>
      </w:r>
      <w:r w:rsidRPr="00315E88">
        <w:rPr>
          <w:rFonts w:asciiTheme="majorBidi" w:eastAsia="Times New Roman" w:hAnsiTheme="majorBidi" w:cstheme="majorBidi"/>
          <w:color w:val="202124"/>
          <w:lang w:val="en-GB" w:eastAsia="it-IT"/>
        </w:rPr>
        <w:fldChar w:fldCharType="end"/>
      </w:r>
      <w:r w:rsidRPr="00315E88">
        <w:rPr>
          <w:rFonts w:asciiTheme="majorBidi" w:eastAsia="Times New Roman" w:hAnsiTheme="majorBidi" w:cstheme="majorBidi"/>
          <w:color w:val="202124"/>
          <w:lang w:val="en-GB" w:eastAsia="it-IT"/>
        </w:rPr>
        <w:t xml:space="preserve"> </w:t>
      </w:r>
      <w:r w:rsidRPr="00315E88">
        <w:rPr>
          <w:rFonts w:ascii="Times New Roman" w:hAnsi="Times New Roman"/>
          <w:color w:val="202124"/>
          <w:lang w:val="en-GB"/>
        </w:rPr>
        <w:t>on Van Fortress, at least one small written document from the 7th century comes from Van Fortress</w:t>
      </w:r>
      <w:r w:rsidRPr="00315E88">
        <w:rPr>
          <w:rFonts w:ascii="Times New Roman" w:eastAsia="Times New Roman" w:hAnsi="Times New Roman" w:cs="Times New Roman"/>
          <w:color w:val="202124"/>
          <w:lang w:val="en-GB" w:eastAsia="it-IT"/>
        </w:rPr>
        <w:t> </w:t>
      </w:r>
      <w:r w:rsidRPr="00315E88">
        <w:rPr>
          <w:rFonts w:ascii="Times New Roman" w:hAnsi="Times New Roman"/>
          <w:color w:val="202124"/>
          <w:lang w:val="en-GB"/>
        </w:rPr>
        <w:t>Mound</w:t>
      </w:r>
      <w:r w:rsidRPr="00315E88">
        <w:rPr>
          <w:rFonts w:asciiTheme="majorBidi" w:eastAsia="Times New Roman" w:hAnsiTheme="majorBidi" w:cstheme="majorBidi"/>
          <w:color w:val="202124"/>
          <w:lang w:val="en-GB" w:eastAsia="it-IT"/>
        </w:rPr>
        <w:t>.</w:t>
      </w:r>
      <w:r w:rsidRPr="00315E88">
        <w:rPr>
          <w:rFonts w:ascii="Times New Roman" w:hAnsi="Times New Roman"/>
          <w:color w:val="202124"/>
          <w:lang w:val="en-GB"/>
        </w:rPr>
        <w:t xml:space="preserve"> It is a partially preserved seal imprint on a bulla (CTU IV. p. 217, Sig. 20-5). </w:t>
      </w:r>
      <w:r w:rsidRPr="00315E88">
        <w:rPr>
          <w:rFonts w:ascii="Times New Roman" w:eastAsia="Times New Roman" w:hAnsi="Times New Roman" w:cs="Times New Roman"/>
          <w:color w:val="202124"/>
          <w:lang w:val="en-GB" w:eastAsia="it-IT"/>
        </w:rPr>
        <w:t>Moreover</w:t>
      </w:r>
      <w:r w:rsidRPr="00315E88">
        <w:rPr>
          <w:rFonts w:ascii="Times New Roman" w:hAnsi="Times New Roman"/>
          <w:color w:val="202124"/>
          <w:lang w:val="en-GB"/>
        </w:rPr>
        <w:t xml:space="preserve">, if proof were needed, </w:t>
      </w:r>
      <w:r w:rsidRPr="00315E88">
        <w:rPr>
          <w:rFonts w:ascii="Times New Roman" w:eastAsia="Times New Roman" w:hAnsi="Times New Roman" w:cs="Times New Roman"/>
          <w:color w:val="202124"/>
          <w:lang w:val="en-GB" w:eastAsia="it-IT"/>
        </w:rPr>
        <w:t xml:space="preserve">this proves </w:t>
      </w:r>
      <w:r w:rsidRPr="00315E88">
        <w:rPr>
          <w:rFonts w:ascii="Times New Roman" w:hAnsi="Times New Roman"/>
          <w:color w:val="202124"/>
          <w:lang w:val="en-GB"/>
        </w:rPr>
        <w:t>that the area of Ṭušpa</w:t>
      </w:r>
      <w:r w:rsidRPr="00315E88">
        <w:rPr>
          <w:rFonts w:ascii="Times New Roman" w:eastAsia="Times New Roman" w:hAnsi="Times New Roman" w:cs="Times New Roman"/>
          <w:color w:val="202124"/>
          <w:lang w:val="en-GB" w:eastAsia="it-IT"/>
        </w:rPr>
        <w:t> </w:t>
      </w:r>
      <w:r w:rsidRPr="00315E88">
        <w:rPr>
          <w:rFonts w:ascii="Times New Roman" w:hAnsi="Times New Roman"/>
          <w:color w:val="202124"/>
          <w:lang w:val="en-GB"/>
        </w:rPr>
        <w:t xml:space="preserve">had not been abandoned. The chronological problem relating to the rock rooms remains. </w:t>
      </w:r>
      <w:r w:rsidRPr="00315E88">
        <w:rPr>
          <w:rFonts w:ascii="Times New Roman" w:eastAsia="Times New Roman" w:hAnsi="Times New Roman" w:cs="Times New Roman"/>
          <w:color w:val="202124"/>
          <w:lang w:val="en-GB" w:eastAsia="it-IT"/>
        </w:rPr>
        <w:t>Given</w:t>
      </w:r>
      <w:r w:rsidRPr="00315E88">
        <w:rPr>
          <w:rFonts w:ascii="Times New Roman" w:hAnsi="Times New Roman"/>
          <w:color w:val="202124"/>
          <w:lang w:val="en-GB"/>
        </w:rPr>
        <w:t xml:space="preserve"> the immensity of the spaces and </w:t>
      </w:r>
      <w:r w:rsidRPr="00315E88">
        <w:rPr>
          <w:rFonts w:ascii="Times New Roman" w:eastAsia="Times New Roman" w:hAnsi="Times New Roman" w:cs="Times New Roman"/>
          <w:color w:val="202124"/>
          <w:lang w:val="en-GB" w:eastAsia="it-IT"/>
        </w:rPr>
        <w:t>the</w:t>
      </w:r>
      <w:r w:rsidRPr="00315E88">
        <w:rPr>
          <w:rFonts w:ascii="Times New Roman" w:hAnsi="Times New Roman"/>
          <w:color w:val="202124"/>
          <w:lang w:val="en-GB"/>
        </w:rPr>
        <w:t xml:space="preserve"> Neft Kuyu</w:t>
      </w:r>
      <w:r w:rsidRPr="00315E88">
        <w:rPr>
          <w:rFonts w:asciiTheme="majorBidi" w:eastAsia="Times New Roman" w:hAnsiTheme="majorBidi" w:cstheme="majorBidi"/>
          <w:color w:val="202124"/>
          <w:lang w:val="en-GB" w:eastAsia="it-IT"/>
        </w:rPr>
        <w:fldChar w:fldCharType="begin"/>
      </w:r>
      <w:r w:rsidRPr="00315E88">
        <w:instrText xml:space="preserve"> XE "</w:instrText>
      </w:r>
      <w:r w:rsidRPr="00315E88">
        <w:rPr>
          <w:rFonts w:asciiTheme="majorBidi" w:hAnsiTheme="majorBidi" w:cstheme="majorBidi"/>
        </w:rPr>
        <w:instrText>Neft Kuyu</w:instrText>
      </w:r>
      <w:r w:rsidRPr="00315E88">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imes New Roman" w:hAnsi="Times New Roman"/>
          <w:color w:val="202124"/>
          <w:lang w:val="en-GB"/>
        </w:rPr>
        <w:t xml:space="preserve"> tomb</w:t>
      </w:r>
      <w:r w:rsidRPr="00315E88">
        <w:rPr>
          <w:rFonts w:ascii="Times New Roman" w:eastAsia="Times New Roman" w:hAnsi="Times New Roman" w:cs="Times New Roman"/>
          <w:color w:val="202124"/>
          <w:lang w:val="en-GB" w:eastAsia="it-IT"/>
        </w:rPr>
        <w:t xml:space="preserve"> with</w:t>
      </w:r>
      <w:r w:rsidRPr="00315E88">
        <w:rPr>
          <w:rFonts w:ascii="Times New Roman" w:hAnsi="Times New Roman"/>
          <w:color w:val="202124"/>
          <w:lang w:val="en-GB"/>
        </w:rPr>
        <w:t xml:space="preserve"> a window above the entrance door</w:t>
      </w:r>
      <w:r w:rsidRPr="00315E88">
        <w:rPr>
          <w:rFonts w:ascii="Times New Roman" w:eastAsia="Times New Roman" w:hAnsi="Times New Roman" w:cs="Times New Roman"/>
          <w:color w:val="202124"/>
          <w:lang w:val="en-GB" w:eastAsia="it-IT"/>
        </w:rPr>
        <w:t>, I do not think they are just tombs.</w:t>
      </w:r>
      <w:r w:rsidRPr="00315E88">
        <w:rPr>
          <w:rFonts w:ascii="Times New Roman" w:hAnsi="Times New Roman"/>
          <w:color w:val="202124"/>
          <w:lang w:val="en-GB"/>
        </w:rPr>
        <w:t xml:space="preserve"> In any case, there is </w:t>
      </w:r>
      <w:r w:rsidRPr="00315E88">
        <w:rPr>
          <w:rFonts w:ascii="Times New Roman" w:eastAsia="Times New Roman" w:hAnsi="Times New Roman" w:cs="Times New Roman"/>
          <w:color w:val="202124"/>
          <w:lang w:val="en-GB" w:eastAsia="it-IT"/>
        </w:rPr>
        <w:t>no</w:t>
      </w:r>
      <w:r w:rsidRPr="00315E88">
        <w:rPr>
          <w:rFonts w:ascii="Times New Roman" w:hAnsi="Times New Roman"/>
          <w:color w:val="202124"/>
          <w:lang w:val="en-GB"/>
        </w:rPr>
        <w:t xml:space="preserve"> single tombstone inscription</w:t>
      </w:r>
      <w:r w:rsidRPr="00315E88">
        <w:rPr>
          <w:rFonts w:ascii="Times New Roman" w:eastAsia="Times New Roman" w:hAnsi="Times New Roman" w:cs="Times New Roman"/>
          <w:color w:val="202124"/>
          <w:lang w:val="en-GB" w:eastAsia="it-IT"/>
        </w:rPr>
        <w:t xml:space="preserve"> in Urartu</w:t>
      </w:r>
      <w:r w:rsidRPr="00315E88">
        <w:rPr>
          <w:rFonts w:ascii="Times New Roman" w:hAnsi="Times New Roman"/>
          <w:color w:val="202124"/>
          <w:lang w:val="en-GB"/>
        </w:rPr>
        <w:t>. Also, in the Argišti I</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202124"/>
          <w:lang w:val="en-GB"/>
        </w:rPr>
        <w:instrText>Argišti</w:instrText>
      </w:r>
      <w:r w:rsidRPr="00315E88">
        <w:rPr>
          <w:rFonts w:asciiTheme="majorBidi" w:hAnsiTheme="majorBidi" w:cstheme="majorBidi"/>
          <w:i/>
          <w:iCs/>
          <w:color w:val="202124"/>
          <w:lang w:val="en-GB"/>
        </w:rPr>
        <w:instrText xml:space="preserve"> </w:instrText>
      </w:r>
      <w:r w:rsidRPr="00315E88">
        <w:rPr>
          <w:rFonts w:asciiTheme="majorBidi" w:hAnsiTheme="majorBidi" w:cstheme="majorBidi"/>
          <w:color w:val="202124"/>
          <w:lang w:val="en-GB"/>
        </w:rPr>
        <w:instrText>I</w:instrText>
      </w:r>
      <w:r w:rsidRPr="00315E88">
        <w:rPr>
          <w:rFonts w:asciiTheme="majorBidi" w:hAnsiTheme="majorBidi" w:cstheme="majorBidi"/>
          <w:lang w:val="en-GB"/>
        </w:rPr>
        <w:instrText xml:space="preserve">"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mausoleum</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there is no written reference to tombs. We have absolutely no burial inscriptions in Urartu.</w:t>
      </w:r>
    </w:p>
    <w:p w14:paraId="4FDD91BF"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022D2D0C"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eastAsia="Times New Roman" w:hAnsi="Times New Roman" w:cs="Times New Roman"/>
          <w:color w:val="202124"/>
          <w:lang w:val="en-GB" w:eastAsia="it-IT"/>
        </w:rPr>
        <w:t xml:space="preserve">The </w:t>
      </w:r>
      <w:r w:rsidRPr="00315E88">
        <w:rPr>
          <w:rFonts w:ascii="Times New Roman" w:hAnsi="Times New Roman"/>
        </w:rPr>
        <w:t xml:space="preserve">site of </w:t>
      </w:r>
      <w:r w:rsidRPr="00315E88">
        <w:rPr>
          <w:rFonts w:ascii="Times New Roman" w:hAnsi="Times New Roman"/>
          <w:color w:val="202124"/>
          <w:lang w:val="en-GB"/>
        </w:rPr>
        <w:t>Ṭ</w:t>
      </w:r>
      <w:r w:rsidRPr="00315E88">
        <w:rPr>
          <w:rFonts w:ascii="Times New Roman" w:hAnsi="Times New Roman"/>
        </w:rPr>
        <w:t xml:space="preserve">ušpa </w:t>
      </w:r>
      <w:r w:rsidRPr="00315E88">
        <w:rPr>
          <w:rFonts w:ascii="Times New Roman" w:eastAsia="Times New Roman" w:hAnsi="Times New Roman" w:cs="Times New Roman"/>
          <w:color w:val="202124"/>
          <w:lang w:val="en-GB" w:eastAsia="it-IT"/>
        </w:rPr>
        <w:t xml:space="preserve">probably </w:t>
      </w:r>
      <w:r w:rsidRPr="00315E88">
        <w:rPr>
          <w:rFonts w:ascii="Times New Roman" w:hAnsi="Times New Roman"/>
        </w:rPr>
        <w:t>remained a sacred place of the Urartian</w:t>
      </w:r>
      <w:r w:rsidRPr="00315E88">
        <w:rPr>
          <w:rFonts w:ascii="Times New Roman" w:eastAsia="Times New Roman"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"Urartian"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dynasty devoted to the veneration of illustrious ancestors. As far as it is possible to infer from the state of the written documents of the first period, the successors appear to have respected and maintained the ancient mausoleums and achievements. Nor are there any traces of the supposed Assyrian</w:t>
      </w:r>
      <w:r w:rsidRPr="00315E88">
        <w:rPr>
          <w:rFonts w:ascii="Times New Roman" w:eastAsia="Times New Roman" w:hAnsi="Times New Roman" w:cs="Times New Roman"/>
          <w:color w:val="202124"/>
          <w:lang w:val="en-GB" w:eastAsia="it-IT"/>
        </w:rPr>
        <w:t>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"Assyrian"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 xml:space="preserve"> </w:t>
      </w:r>
      <w:r w:rsidRPr="00315E88">
        <w:rPr>
          <w:rFonts w:ascii="Times New Roman" w:hAnsi="Times New Roman"/>
        </w:rPr>
        <w:t>invasion of 743 BCE</w:t>
      </w:r>
      <w:r w:rsidRPr="00315E88">
        <w:rPr>
          <w:rFonts w:ascii="Times New Roman" w:eastAsia="Times New Roman" w:hAnsi="Times New Roman" w:cs="Times New Roman"/>
          <w:color w:val="202124"/>
          <w:lang w:val="en-GB" w:eastAsia="it-IT"/>
        </w:rPr>
        <w:t>,</w:t>
      </w:r>
      <w:r w:rsidRPr="00315E88">
        <w:rPr>
          <w:rFonts w:ascii="Times New Roman" w:hAnsi="Times New Roman"/>
        </w:rPr>
        <w:t xml:space="preserve"> including the siege of the capital Ṭušpa (Salvini,2010b: 200). </w:t>
      </w:r>
      <w:r w:rsidRPr="00315E88">
        <w:rPr>
          <w:rFonts w:ascii="Times New Roman" w:hAnsi="Times New Roman"/>
          <w:color w:val="202124"/>
          <w:lang w:val="en-GB"/>
        </w:rPr>
        <w:t>The lack of written texts dating back to Rusa</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"Rusa"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I</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"Rusa I"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in Van Fortress</w:t>
      </w:r>
      <w:r w:rsidRPr="00315E88">
        <w:rPr>
          <w:rFonts w:ascii="Times New Roman" w:eastAsia="Times New Roman" w:hAnsi="Times New Roman" w:cs="Times New Roman"/>
          <w:color w:val="202124"/>
          <w:lang w:val="en-GB" w:eastAsia="it-IT"/>
        </w:rPr>
        <w:t> </w:t>
      </w:r>
      <w:r w:rsidRPr="00315E88">
        <w:rPr>
          <w:rFonts w:ascii="Times New Roman" w:hAnsi="Times New Roman"/>
          <w:color w:val="202124"/>
          <w:lang w:val="en-GB"/>
        </w:rPr>
        <w:t>is a mere coincidence since from Assyrian sources we have news of the presence of Rusa in Ṭušpa (RIA.11:464; RIA.14:218-222) in the period of the Cimmerian invasion and the imminence of the expedition of Sargon</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202124"/>
          <w:lang w:val="en-GB"/>
        </w:rPr>
        <w:instrText>Sargon</w:instrText>
      </w:r>
      <w:r w:rsidRPr="00315E88">
        <w:rPr>
          <w:rFonts w:asciiTheme="majorBidi" w:hAnsiTheme="majorBidi" w:cstheme="majorBidi"/>
          <w:lang w:val="en-GB"/>
        </w:rPr>
        <w:instrText xml:space="preserve">"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in 714 BCE.</w:t>
      </w:r>
      <w:r w:rsidRPr="00315E88">
        <w:rPr>
          <w:rFonts w:ascii="Times New Roman" w:eastAsia="Times New Roman" w:hAnsi="Times New Roman" w:cs="Times New Roman"/>
          <w:color w:val="202124"/>
          <w:lang w:val="en-GB" w:eastAsia="it-IT"/>
        </w:rPr>
        <w:t> </w:t>
      </w:r>
      <w:r w:rsidRPr="00315E88">
        <w:rPr>
          <w:rFonts w:ascii="Times New Roman" w:hAnsi="Times New Roman"/>
          <w:color w:val="202124"/>
          <w:lang w:val="en-GB"/>
        </w:rPr>
        <w:t xml:space="preserve"> Just read the Assyrian informants’ letters in the Quyuncik</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202124"/>
          <w:lang w:val="en-GB"/>
        </w:rPr>
        <w:instrText>Quyuncik</w:instrText>
      </w:r>
      <w:r w:rsidRPr="00315E88">
        <w:rPr>
          <w:rFonts w:asciiTheme="majorBidi" w:hAnsiTheme="majorBidi" w:cstheme="majorBidi"/>
          <w:lang w:val="en-GB"/>
        </w:rPr>
        <w:instrText xml:space="preserve">"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archive organized by Prince Sennacherib</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202124"/>
          <w:lang w:val="en-GB"/>
        </w:rPr>
        <w:instrText>Sennacherib</w:instrText>
      </w:r>
      <w:r w:rsidRPr="00315E88">
        <w:rPr>
          <w:rFonts w:asciiTheme="majorBidi" w:hAnsiTheme="majorBidi" w:cstheme="majorBidi"/>
          <w:lang w:val="en-GB"/>
        </w:rPr>
        <w:instrText xml:space="preserve">"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during the reign of Sargon II</w:t>
      </w:r>
      <w:r w:rsidRPr="00315E88">
        <w:rPr>
          <w:rFonts w:ascii="Times New Roman" w:eastAsia="Times New Roman" w:hAnsi="Times New Roman" w:cs="Times New Roman"/>
          <w:color w:val="202124"/>
          <w:lang w:val="en-GB" w:eastAsia="it-IT"/>
        </w:rPr>
        <w:t>.</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lang w:val="en-GB"/>
        </w:rPr>
        <w:instrText>Sargon</w:instrText>
      </w:r>
      <w:r w:rsidRPr="00315E88">
        <w:rPr>
          <w:rFonts w:asciiTheme="majorBidi" w:hAnsiTheme="majorBidi" w:cstheme="majorBidi"/>
          <w:lang w:val="en-GB"/>
        </w:rPr>
        <w:instrText xml:space="preserve"> II"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A choice was made by</w:t>
      </w:r>
      <w:r w:rsidRPr="00315E88">
        <w:rPr>
          <w:rFonts w:ascii="Times New Roman" w:hAnsi="Times New Roman"/>
          <w:color w:val="202124"/>
          <w:lang w:val="en-GB"/>
        </w:rPr>
        <w:t xml:space="preserve"> Karlheinz Deller</w:t>
      </w:r>
      <w:r w:rsidRPr="00315E88">
        <w:rPr>
          <w:rFonts w:ascii="Times New Roman" w:eastAsia="Times New Roman" w:hAnsi="Times New Roman" w:cs="Times New Roman"/>
          <w:color w:val="202124"/>
          <w:lang w:val="en-GB" w:eastAsia="it-IT"/>
        </w:rPr>
        <w:t xml:space="preserve"> made a choice</w:t>
      </w:r>
      <w:r w:rsidRPr="00315E88">
        <w:rPr>
          <w:rFonts w:ascii="Times New Roman" w:hAnsi="Times New Roman"/>
          <w:color w:val="202124"/>
          <w:lang w:val="en-GB"/>
        </w:rPr>
        <w:t xml:space="preserve"> in 1984 (Deller, 1984: p. 97-122 index on p. 130-131, Also see. Lanfranchi &amp; Parpola, 1990: n. 91, Revolt against the king of Urartu</w:t>
      </w:r>
      <w:r w:rsidRPr="00315E88">
        <w:rPr>
          <w:rFonts w:asciiTheme="majorBidi" w:hAnsiTheme="majorBidi" w:cstheme="majorBidi"/>
          <w:lang w:val="en-GB"/>
        </w:rPr>
        <w:fldChar w:fldCharType="begin"/>
      </w:r>
      <w:r w:rsidRPr="00315E88">
        <w:rPr>
          <w:rFonts w:asciiTheme="majorBidi" w:hAnsiTheme="majorBidi" w:cstheme="majorBidi"/>
          <w:lang w:val="en-GB"/>
        </w:rPr>
        <w:instrText xml:space="preserve"> XE "Urartu" </w:instrText>
      </w:r>
      <w:r w:rsidRPr="00315E88">
        <w:rPr>
          <w:rFonts w:asciiTheme="majorBidi" w:hAnsiTheme="majorBidi" w:cstheme="majorBidi"/>
          <w:lang w:val="en-GB"/>
        </w:rPr>
        <w:fldChar w:fldCharType="end"/>
      </w:r>
      <w:r w:rsidRPr="00315E88">
        <w:rPr>
          <w:rFonts w:asciiTheme="majorBidi" w:hAnsiTheme="majorBidi" w:cstheme="majorBidi"/>
          <w:lang w:val="en-GB"/>
        </w:rPr>
        <w:t>,</w:t>
      </w:r>
      <w:r w:rsidRPr="00315E88">
        <w:rPr>
          <w:rFonts w:ascii="Times New Roman" w:hAnsi="Times New Roman"/>
          <w:color w:val="202124"/>
          <w:lang w:val="en-GB"/>
        </w:rPr>
        <w:t xml:space="preserve"> and n. 93 A Coup d’État in Urartu. On p 245</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mentions of Rusa (Ursa</w:t>
      </w:r>
      <w:r w:rsidRPr="00315E88">
        <w:rPr>
          <w:rFonts w:ascii="Times New Roman" w:eastAsia="Times New Roman" w:hAnsi="Times New Roman" w:cs="Times New Roman"/>
          <w:color w:val="202124"/>
          <w:lang w:val="en-GB" w:eastAsia="it-IT"/>
        </w:rPr>
        <w:t>)</w:t>
      </w:r>
      <w:r w:rsidRPr="00315E88">
        <w:rPr>
          <w:rFonts w:asciiTheme="majorBidi" w:hAnsiTheme="majorBidi" w:cstheme="majorBidi"/>
          <w:lang w:val="en-GB"/>
        </w:rPr>
        <w:fldChar w:fldCharType="begin"/>
      </w:r>
      <w:r w:rsidRPr="00315E88">
        <w:rPr>
          <w:rFonts w:asciiTheme="majorBidi" w:hAnsiTheme="majorBidi" w:cstheme="majorBidi"/>
          <w:lang w:val="en-GB"/>
        </w:rPr>
        <w:instrText xml:space="preserve"> XE "Ursa" </w:instrText>
      </w:r>
      <w:r w:rsidRPr="00315E88">
        <w:rPr>
          <w:rFonts w:asciiTheme="majorBidi" w:hAnsiTheme="majorBidi" w:cstheme="majorBidi"/>
          <w:lang w:val="en-GB"/>
        </w:rPr>
        <w:fldChar w:fldCharType="end"/>
      </w:r>
      <w:r w:rsidRPr="00315E88">
        <w:rPr>
          <w:rFonts w:asciiTheme="majorBidi" w:hAnsiTheme="majorBidi" w:cstheme="majorBidi"/>
          <w:lang w:val="en-GB"/>
        </w:rPr>
        <w:t>)</w:t>
      </w:r>
      <w:r w:rsidRPr="00315E88">
        <w:rPr>
          <w:rFonts w:ascii="Times New Roman" w:hAnsi="Times New Roman"/>
          <w:color w:val="202124"/>
          <w:lang w:val="en-GB"/>
        </w:rPr>
        <w:t xml:space="preserve"> on p. 248</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all references to the tablets mentioning Ṭuruspâ</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iCs/>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color w:val="000000"/>
          <w:lang w:val="en-GB" w:eastAsia="tr-TR" w:bidi="he-IL"/>
        </w:rPr>
        <w:instrText>Ṭuruspâ</w:instrText>
      </w:r>
      <w:r w:rsidRPr="00315E88">
        <w:rPr>
          <w:rFonts w:asciiTheme="majorBidi" w:hAnsiTheme="majorBidi" w:cstheme="majorBidi"/>
          <w:lang w:val="en-GB"/>
        </w:rPr>
        <w:instrText xml:space="preserve">" </w:instrText>
      </w:r>
      <w:r w:rsidRPr="00315E88">
        <w:rPr>
          <w:rFonts w:asciiTheme="majorBidi" w:hAnsiTheme="majorBidi" w:cstheme="majorBidi"/>
          <w:iCs/>
          <w:lang w:val="en-GB"/>
        </w:rPr>
        <w:fldChar w:fldCharType="end"/>
      </w:r>
      <w:r w:rsidRPr="00315E88">
        <w:rPr>
          <w:rFonts w:asciiTheme="majorBidi" w:hAnsiTheme="majorBidi" w:cstheme="majorBidi"/>
          <w:lang w:val="en-GB"/>
        </w:rPr>
        <w:t xml:space="preserve"> </w:t>
      </w:r>
      <w:r w:rsidRPr="00315E88">
        <w:rPr>
          <w:rFonts w:ascii="Times New Roman" w:hAnsi="Times New Roman"/>
          <w:color w:val="202124"/>
          <w:lang w:val="en-GB"/>
        </w:rPr>
        <w:t xml:space="preserve">and Urartu. </w:t>
      </w:r>
      <w:r w:rsidRPr="00315E88">
        <w:rPr>
          <w:rFonts w:ascii="Times New Roman" w:eastAsia="Times New Roman" w:hAnsi="Times New Roman" w:cs="Times New Roman"/>
          <w:color w:val="202124"/>
          <w:lang w:val="en-GB" w:eastAsia="it-IT"/>
        </w:rPr>
        <w:t>However,</w:t>
      </w:r>
      <w:r w:rsidRPr="00315E88">
        <w:rPr>
          <w:rFonts w:ascii="Times New Roman" w:hAnsi="Times New Roman"/>
          <w:color w:val="202124"/>
          <w:lang w:val="en-GB"/>
        </w:rPr>
        <w:t xml:space="preserve"> read the chapter “The War with Urartu</w:t>
      </w:r>
      <w:r w:rsidRPr="00315E88">
        <w:rPr>
          <w:rFonts w:ascii="Times New Roman" w:eastAsia="Times New Roman" w:hAnsi="Times New Roman" w:cs="Times New Roman"/>
          <w:color w:val="202124"/>
          <w:lang w:val="en-GB" w:eastAsia="it-IT"/>
        </w:rPr>
        <w:t>” in the introduction to the book, p.</w:t>
      </w:r>
      <w:r w:rsidRPr="00315E88">
        <w:rPr>
          <w:rFonts w:ascii="Times New Roman" w:hAnsi="Times New Roman"/>
          <w:color w:val="202124"/>
          <w:lang w:val="en-GB"/>
        </w:rPr>
        <w:t xml:space="preserve"> XIV-XX. ), From which it is inferred that the Urartian king (Rusa) resided in Ṭušpa</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i.e</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Van Fortress.</w:t>
      </w:r>
      <w:r w:rsidRPr="00315E88">
        <w:rPr>
          <w:rFonts w:ascii="Times New Roman" w:eastAsia="Times New Roman" w:hAnsi="Times New Roman" w:cs="Times New Roman"/>
          <w:color w:val="202124"/>
          <w:lang w:val="en-GB" w:eastAsia="it-IT"/>
        </w:rPr>
        <w:t xml:space="preserve"> </w:t>
      </w:r>
      <w:r w:rsidRPr="00315E88">
        <w:rPr>
          <w:rFonts w:ascii="Times New Roman" w:hAnsi="Times New Roman"/>
          <w:color w:val="202124"/>
          <w:lang w:val="en-GB"/>
        </w:rPr>
        <w:t>The absence of architectural works at Van Fortress</w:t>
      </w:r>
      <w:r w:rsidRPr="00315E88">
        <w:rPr>
          <w:rFonts w:ascii="Times New Roman" w:eastAsia="Times New Roman" w:hAnsi="Times New Roman" w:cs="Times New Roman"/>
          <w:color w:val="202124"/>
          <w:lang w:val="en-GB" w:eastAsia="it-IT"/>
        </w:rPr>
        <w:t>, which is</w:t>
      </w:r>
      <w:r w:rsidRPr="00315E88">
        <w:rPr>
          <w:rFonts w:ascii="Times New Roman" w:hAnsi="Times New Roman"/>
          <w:color w:val="202124"/>
          <w:lang w:val="en-GB"/>
        </w:rPr>
        <w:t xml:space="preserve"> marked by his inscriptions</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perhaps shows</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on the one hand</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his respect for the ancestors and the fact that they had now covered the entire Rock with their architectural structures. However</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at least one text comes from Van and is located in the Georgian Museum</w:t>
      </w:r>
      <w:r w:rsidRPr="00315E88">
        <w:rPr>
          <w:rFonts w:ascii="Times New Roman" w:eastAsia="Times New Roman" w:hAnsi="Times New Roman" w:cs="Times New Roman"/>
          <w:color w:val="202124"/>
          <w:lang w:val="en-GB" w:eastAsia="it-IT"/>
        </w:rPr>
        <w:t> </w:t>
      </w:r>
      <w:r w:rsidRPr="00315E88">
        <w:rPr>
          <w:rFonts w:ascii="Times New Roman" w:hAnsi="Times New Roman"/>
          <w:color w:val="202124"/>
          <w:lang w:val="en-GB"/>
        </w:rPr>
        <w:t xml:space="preserve">of Tbilisi, the stele CTU I. A 10-7, dedicated to the storm god. It must have been erected in the capital city. It is a </w:t>
      </w:r>
      <w:r w:rsidRPr="00315E88">
        <w:rPr>
          <w:rFonts w:ascii="Times New Roman" w:hAnsi="Times New Roman"/>
          <w:color w:val="202124"/>
          <w:lang w:val="en-GB"/>
        </w:rPr>
        <w:lastRenderedPageBreak/>
        <w:t>fact that we find written evidence of Rusa I in geographical areas where his presence was particularly intense, such as the area of Sevan Lake</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instrText xml:space="preserve"> XE "</w:instrText>
      </w:r>
      <w:r w:rsidRPr="00315E88">
        <w:rPr>
          <w:rFonts w:asciiTheme="majorBidi" w:hAnsiTheme="majorBidi" w:cstheme="majorBidi"/>
          <w:color w:val="202124"/>
          <w:lang w:val="en-GB"/>
        </w:rPr>
        <w:instrText>Sevan Lake</w:instrText>
      </w:r>
      <w:r w:rsidRPr="00315E88">
        <w:instrText xml:space="preserve">"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(CTU I. A 10-1, 2) and of the Zagros</w:t>
      </w:r>
      <w:r w:rsidRPr="00315E88">
        <w:rPr>
          <w:rFonts w:ascii="Times New Roman" w:eastAsia="Times New Roman" w:hAnsi="Times New Roman" w:cs="Times New Roman"/>
          <w:color w:val="202124"/>
          <w:lang w:val="en-GB" w:eastAsia="it-IT"/>
        </w:rPr>
        <w:t>,</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hAnsiTheme="majorBidi" w:cstheme="majorBidi"/>
          <w:lang w:val="en-GB"/>
        </w:rPr>
        <w:instrText>Zagros</w:instrText>
      </w:r>
      <w:r w:rsidRPr="00315E88">
        <w:rPr>
          <w:rFonts w:asciiTheme="majorBidi" w:hAnsiTheme="majorBidi" w:cstheme="majorBidi"/>
          <w:lang w:val="en-GB"/>
        </w:rPr>
        <w:instrText xml:space="preserve">" </w:instrText>
      </w:r>
      <w:r w:rsidRPr="00315E88">
        <w:rPr>
          <w:rFonts w:asciiTheme="majorBidi" w:hAnsiTheme="majorBidi" w:cstheme="majorBidi"/>
          <w:color w:val="202124"/>
          <w:lang w:val="en-GB"/>
        </w:rPr>
        <w:fldChar w:fldCharType="end"/>
      </w:r>
      <w:r w:rsidRPr="00315E88">
        <w:rPr>
          <w:rFonts w:ascii="Times New Roman" w:hAnsi="Times New Roman"/>
          <w:color w:val="202124"/>
          <w:lang w:val="en-GB"/>
        </w:rPr>
        <w:t xml:space="preserve"> linked to the operations against Muṣaṣir</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iCs/>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iCs/>
          <w:lang w:val="en-GB"/>
        </w:rPr>
        <w:instrText>Muṣaṣir</w:instrText>
      </w:r>
      <w:r w:rsidRPr="00315E88">
        <w:rPr>
          <w:rFonts w:asciiTheme="majorBidi" w:hAnsiTheme="majorBidi" w:cstheme="majorBidi"/>
          <w:lang w:val="en-GB"/>
        </w:rPr>
        <w:instrText xml:space="preserve">" </w:instrText>
      </w:r>
      <w:r w:rsidRPr="00315E88">
        <w:rPr>
          <w:rFonts w:asciiTheme="majorBidi" w:hAnsiTheme="majorBidi" w:cstheme="majorBidi"/>
          <w:iCs/>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(CTU I. A 10-3, 4, 5). I also recall the slab of Mahmud Abad</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202124"/>
          <w:lang w:val="en-GB"/>
        </w:rPr>
        <w:instrText>Mahmud Abad</w:instrText>
      </w:r>
      <w:r w:rsidRPr="00315E88">
        <w:rPr>
          <w:rFonts w:asciiTheme="majorBidi" w:hAnsiTheme="majorBidi" w:cstheme="majorBidi"/>
          <w:lang w:val="en-GB"/>
        </w:rPr>
        <w:instrText xml:space="preserve">"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near Urmia</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202124"/>
          <w:lang w:val="en-GB"/>
        </w:rPr>
        <w:instrText>Urmia</w:instrText>
      </w:r>
      <w:r w:rsidRPr="00315E88">
        <w:rPr>
          <w:rFonts w:asciiTheme="majorBidi" w:hAnsiTheme="majorBidi" w:cstheme="majorBidi"/>
          <w:lang w:val="en-GB"/>
        </w:rPr>
        <w:instrText xml:space="preserve">"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with sacrifices</w:t>
      </w:r>
      <w:r w:rsidRPr="00CC135C">
        <w:rPr>
          <w:rFonts w:ascii="Times New Roman" w:hAnsi="Times New Roman"/>
          <w:color w:val="202124"/>
          <w:lang w:val="en-GB"/>
        </w:rPr>
        <w:t xml:space="preserve"> in honor of Šebitu</w:t>
      </w:r>
      <w:r w:rsidRPr="006B074C">
        <w:rPr>
          <w:rFonts w:ascii="Times New Roman" w:eastAsia="Times New Roman" w:hAnsi="Times New Roman" w:cs="Times New Roman"/>
          <w:color w:val="202124"/>
          <w:lang w:val="en-GB" w:eastAsia="it-IT"/>
        </w:rPr>
        <w:t>,</w:t>
      </w:r>
      <w:r w:rsidRPr="00F03A26">
        <w:rPr>
          <w:rFonts w:asciiTheme="majorBidi" w:hAnsiTheme="majorBidi" w:cstheme="majorBidi"/>
          <w:iCs/>
          <w:color w:val="2021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202124"/>
          <w:lang w:val="en-GB"/>
        </w:rPr>
        <w:instrText>Šebitu</w:instrText>
      </w:r>
      <w:r w:rsidRPr="00F03A26">
        <w:rPr>
          <w:rFonts w:asciiTheme="majorBidi" w:hAnsiTheme="majorBidi" w:cstheme="majorBidi"/>
          <w:lang w:val="en-GB"/>
        </w:rPr>
        <w:instrText xml:space="preserve">" </w:instrText>
      </w:r>
      <w:r w:rsidRPr="00F03A26">
        <w:rPr>
          <w:rFonts w:asciiTheme="majorBidi" w:hAnsiTheme="majorBidi" w:cstheme="majorBidi"/>
          <w:iCs/>
          <w:color w:val="202124"/>
          <w:lang w:val="en-GB"/>
        </w:rPr>
        <w:fldChar w:fldCharType="end"/>
      </w:r>
      <w:r w:rsidRPr="00CC135C">
        <w:rPr>
          <w:rFonts w:ascii="Times New Roman" w:hAnsi="Times New Roman"/>
          <w:color w:val="202124"/>
          <w:lang w:val="en-GB"/>
        </w:rPr>
        <w:t xml:space="preserve"> which constitutes a splendid monument of epigraphic art (CTU I. A 10-6).</w:t>
      </w:r>
    </w:p>
    <w:p w14:paraId="3CE6198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FF0000"/>
          <w:lang w:val="en-GB"/>
        </w:rPr>
      </w:pPr>
    </w:p>
    <w:p w14:paraId="1A25E4FA"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2"/>
        <w:rPr>
          <w:rFonts w:ascii="Times New Roman" w:hAnsi="Times New Roman"/>
          <w:lang w:val="en-GB"/>
        </w:rPr>
      </w:pPr>
      <w:bookmarkStart w:id="69" w:name="_Toc173231208"/>
      <w:r w:rsidRPr="00CC135C">
        <w:rPr>
          <w:rFonts w:ascii="Times New Roman" w:hAnsi="Times New Roman"/>
          <w:b/>
          <w:lang w:val="en-GB"/>
        </w:rPr>
        <w:t>4.2.6. Inscription of Achaemenid</w:t>
      </w:r>
      <w:r w:rsidRPr="00CC135C">
        <w:rPr>
          <w:rFonts w:ascii="Times New Roman" w:hAnsi="Times New Roman"/>
          <w:b/>
          <w:lang w:val="en-GB"/>
        </w:rPr>
        <w:fldChar w:fldCharType="begin"/>
      </w:r>
      <w:r w:rsidRPr="00CC135C">
        <w:rPr>
          <w:rFonts w:ascii="Courier New" w:hAnsi="Courier New"/>
          <w:lang w:val="en-GB"/>
        </w:rPr>
        <w:instrText xml:space="preserve"> XE "</w:instrText>
      </w:r>
      <w:r w:rsidRPr="00CC135C">
        <w:rPr>
          <w:rFonts w:ascii="Times New Roman" w:hAnsi="Times New Roman"/>
        </w:rPr>
        <w:instrText>Achaemenid</w:instrText>
      </w:r>
      <w:r w:rsidRPr="00CC135C">
        <w:rPr>
          <w:rFonts w:ascii="Courier New" w:hAnsi="Courier New"/>
          <w:lang w:val="en-GB"/>
        </w:rPr>
        <w:instrText xml:space="preserve">" </w:instrText>
      </w:r>
      <w:r w:rsidRPr="00CC135C">
        <w:rPr>
          <w:rFonts w:ascii="Times New Roman" w:hAnsi="Times New Roman"/>
          <w:b/>
          <w:lang w:val="en-GB"/>
        </w:rPr>
        <w:fldChar w:fldCharType="end"/>
      </w:r>
      <w:r w:rsidRPr="00CC135C">
        <w:rPr>
          <w:rFonts w:ascii="Times New Roman" w:hAnsi="Times New Roman"/>
          <w:b/>
          <w:lang w:val="en-GB"/>
        </w:rPr>
        <w:t xml:space="preserve"> King Xerxes</w:t>
      </w:r>
      <w:bookmarkEnd w:id="69"/>
      <w:r w:rsidRPr="00CC135C">
        <w:rPr>
          <w:rFonts w:ascii="Times New Roman" w:hAnsi="Times New Roman"/>
          <w:b/>
          <w:lang w:val="en-GB"/>
        </w:rPr>
        <w:fldChar w:fldCharType="begin"/>
      </w:r>
      <w:r w:rsidRPr="00CC135C">
        <w:rPr>
          <w:rFonts w:ascii="Courier New" w:hAnsi="Courier New"/>
          <w:lang w:val="en-GB"/>
        </w:rPr>
        <w:instrText xml:space="preserve"> XE "</w:instrText>
      </w:r>
      <w:r w:rsidRPr="00CC135C">
        <w:rPr>
          <w:rFonts w:ascii="Times New Roman" w:hAnsi="Times New Roman"/>
          <w:color w:val="000000"/>
          <w:lang w:val="en-GB"/>
        </w:rPr>
        <w:instrText>Xerxes</w:instrText>
      </w:r>
      <w:r w:rsidRPr="00CC135C">
        <w:rPr>
          <w:rFonts w:ascii="Courier New" w:hAnsi="Courier New"/>
          <w:lang w:val="en-GB"/>
        </w:rPr>
        <w:instrText xml:space="preserve">" </w:instrText>
      </w:r>
      <w:r w:rsidRPr="00CC135C">
        <w:rPr>
          <w:rFonts w:ascii="Times New Roman" w:hAnsi="Times New Roman"/>
          <w:b/>
          <w:lang w:val="en-GB"/>
        </w:rPr>
        <w:fldChar w:fldCharType="end"/>
      </w:r>
    </w:p>
    <w:p w14:paraId="3ACE0677"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202124"/>
          <w:lang w:val="en-GB"/>
        </w:rPr>
      </w:pPr>
      <w:r w:rsidRPr="00315E88">
        <w:rPr>
          <w:rFonts w:ascii="Times New Roman" w:hAnsi="Times New Roman"/>
          <w:color w:val="202124"/>
          <w:lang w:val="en-GB"/>
        </w:rPr>
        <w:t>On the south wall of the Ṭušpa</w:t>
      </w:r>
      <w:r w:rsidRPr="00315E88">
        <w:rPr>
          <w:rFonts w:asciiTheme="majorBidi" w:hAnsiTheme="majorBidi" w:cstheme="majorBidi"/>
          <w:color w:val="202124"/>
          <w:lang w:val="en-GB"/>
        </w:rPr>
        <w:t>/Van</w:t>
      </w:r>
      <w:r w:rsidRPr="00315E88">
        <w:rPr>
          <w:rFonts w:ascii="Times New Roman" w:hAnsi="Times New Roman"/>
          <w:color w:val="202124"/>
          <w:lang w:val="en-GB"/>
        </w:rPr>
        <w:t xml:space="preserve"> Rock</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lang w:val="en-GB"/>
        </w:rPr>
        <w:instrText>Ṭušpa</w:instrText>
      </w:r>
      <w:r w:rsidRPr="00315E88">
        <w:rPr>
          <w:rFonts w:asciiTheme="majorBidi" w:hAnsiTheme="majorBidi" w:cstheme="majorBidi"/>
          <w:lang w:val="en-GB"/>
        </w:rPr>
        <w:instrText>/Van</w:instrText>
      </w:r>
      <w:r w:rsidRPr="00315E88">
        <w:rPr>
          <w:rFonts w:ascii="Times New Roman" w:hAnsi="Times New Roman"/>
          <w:lang w:val="en-GB"/>
        </w:rPr>
        <w:instrText xml:space="preserve"> Rock</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 xml:space="preserve"> stands the trilingual inscription of Xerxes</w:t>
      </w:r>
      <w:r w:rsidRPr="00315E88">
        <w:rPr>
          <w:rFonts w:ascii="Times New Roman" w:hAnsi="Times New Roman"/>
          <w:color w:val="202124"/>
          <w:lang w:val="en-GB"/>
        </w:rPr>
        <w:fldChar w:fldCharType="begin"/>
      </w:r>
      <w:r w:rsidRPr="00315E88">
        <w:rPr>
          <w:rFonts w:ascii="Courier New" w:hAnsi="Courier New"/>
          <w:lang w:val="en-GB"/>
        </w:rPr>
        <w:instrText xml:space="preserve"> XE "</w:instrText>
      </w:r>
      <w:r w:rsidRPr="00315E88">
        <w:rPr>
          <w:rFonts w:ascii="Times New Roman" w:hAnsi="Times New Roman"/>
          <w:color w:val="000000"/>
          <w:lang w:val="en-GB"/>
        </w:rPr>
        <w:instrText>Xerxes</w:instrText>
      </w:r>
      <w:r w:rsidRPr="00315E88">
        <w:rPr>
          <w:rFonts w:ascii="Courier New" w:hAnsi="Courier New"/>
          <w:lang w:val="en-GB"/>
        </w:rPr>
        <w:instrText xml:space="preserve">" </w:instrText>
      </w:r>
      <w:r w:rsidRPr="00315E88">
        <w:rPr>
          <w:rFonts w:ascii="Times New Roman" w:hAnsi="Times New Roman"/>
          <w:color w:val="202124"/>
          <w:lang w:val="en-GB"/>
        </w:rPr>
        <w:fldChar w:fldCharType="end"/>
      </w:r>
      <w:r w:rsidRPr="00315E88">
        <w:rPr>
          <w:rFonts w:ascii="Times New Roman" w:hAnsi="Times New Roman"/>
          <w:color w:val="202124"/>
          <w:lang w:val="en-GB"/>
        </w:rPr>
        <w:t>.</w:t>
      </w:r>
    </w:p>
    <w:p w14:paraId="0CDAE43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4470E0ED"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3971B59F" w14:textId="77777777" w:rsidR="00B4516E" w:rsidRPr="00CC135C" w:rsidRDefault="00B4516E" w:rsidP="00B4516E">
      <w:pPr>
        <w:ind w:right="-4253"/>
        <w:rPr>
          <w:rFonts w:ascii="Times New Roman" w:hAnsi="Times New Roman"/>
          <w:lang w:val="en-GB"/>
        </w:rPr>
      </w:pPr>
      <w:r w:rsidRPr="00CC135C">
        <w:rPr>
          <w:rFonts w:ascii="Times New Roman" w:hAnsi="Times New Roman"/>
          <w:noProof/>
          <w:lang w:eastAsia="tr-TR"/>
        </w:rPr>
        <w:drawing>
          <wp:inline distT="0" distB="0" distL="0" distR="0" wp14:anchorId="2AEFD2AD" wp14:editId="4D71F723">
            <wp:extent cx="6120130" cy="4079875"/>
            <wp:effectExtent l="0" t="0" r="0" b="0"/>
            <wp:docPr id="419624731" name="Resim 419624731" descr="kaya, kireç taşı, 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24731" name="Resim 419624731" descr="kaya, kireç taşı, dış mekan, taş içeren bir resim&#10;&#10;Açıklama otomatik olarak oluşturuldu"/>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6120130" cy="4079875"/>
                    </a:xfrm>
                    <a:prstGeom prst="rect">
                      <a:avLst/>
                    </a:prstGeom>
                    <a:noFill/>
                    <a:ln>
                      <a:noFill/>
                    </a:ln>
                  </pic:spPr>
                </pic:pic>
              </a:graphicData>
            </a:graphic>
          </wp:inline>
        </w:drawing>
      </w:r>
    </w:p>
    <w:p w14:paraId="5A516037"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rPr>
          <w:rFonts w:ascii="Times New Roman" w:hAnsi="Times New Roman"/>
        </w:rPr>
      </w:pPr>
      <w:r w:rsidRPr="00CC135C">
        <w:rPr>
          <w:rFonts w:ascii="Times New Roman" w:hAnsi="Times New Roman"/>
        </w:rPr>
        <w:t>Fig. 73 Van Fortress</w:t>
      </w:r>
      <w:r>
        <w:rPr>
          <w:rFonts w:ascii="Times New Roman" w:eastAsia="Arial" w:hAnsi="Times New Roman" w:cs="Times New Roman"/>
          <w:color w:val="202124"/>
          <w:lang w:val="en-GB" w:eastAsia="it-IT"/>
        </w:rPr>
        <w:t>,</w:t>
      </w:r>
      <w:r w:rsidRPr="00CC135C">
        <w:rPr>
          <w:rFonts w:ascii="Times New Roman" w:hAnsi="Times New Roman"/>
        </w:rPr>
        <w:t xml:space="preserve"> south side. Trilingual text of Xerxes</w:t>
      </w:r>
      <w:r w:rsidRPr="00CC135C">
        <w:rPr>
          <w:rFonts w:ascii="Times New Roman" w:hAnsi="Times New Roman"/>
        </w:rPr>
        <w:fldChar w:fldCharType="begin"/>
      </w:r>
      <w:r w:rsidRPr="00CC135C">
        <w:rPr>
          <w:rFonts w:ascii="Courier New" w:hAnsi="Courier New"/>
          <w:sz w:val="20"/>
          <w:lang w:val="en-GB"/>
        </w:rPr>
        <w:instrText xml:space="preserve"> XE "</w:instrText>
      </w:r>
      <w:r w:rsidRPr="00CC135C">
        <w:rPr>
          <w:rFonts w:ascii="Times New Roman" w:hAnsi="Times New Roman"/>
          <w:color w:val="000000"/>
          <w:sz w:val="20"/>
          <w:lang w:val="en-GB"/>
        </w:rPr>
        <w:instrText>Xerxes</w:instrText>
      </w:r>
      <w:r w:rsidRPr="00CC135C">
        <w:rPr>
          <w:rFonts w:ascii="Courier New" w:hAnsi="Courier New"/>
          <w:sz w:val="20"/>
          <w:lang w:val="en-GB"/>
        </w:rPr>
        <w:instrText xml:space="preserve">" </w:instrText>
      </w:r>
      <w:r w:rsidRPr="00CC135C">
        <w:rPr>
          <w:rFonts w:ascii="Times New Roman" w:hAnsi="Times New Roman"/>
        </w:rPr>
        <w:fldChar w:fldCharType="end"/>
      </w:r>
      <w:r w:rsidRPr="00CC135C">
        <w:rPr>
          <w:rFonts w:ascii="Times New Roman" w:hAnsi="Times New Roman"/>
        </w:rPr>
        <w:t>.</w:t>
      </w:r>
    </w:p>
    <w:p w14:paraId="7EE4F472"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rPr>
          <w:rFonts w:ascii="Times New Roman" w:hAnsi="Times New Roman"/>
        </w:rPr>
      </w:pPr>
    </w:p>
    <w:p w14:paraId="3082AAC8"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315E88">
        <w:rPr>
          <w:rFonts w:ascii="Times New Roman" w:hAnsi="Times New Roman"/>
        </w:rPr>
        <w:t xml:space="preserve">This is the text of </w:t>
      </w:r>
      <w:r w:rsidRPr="00315E88">
        <w:rPr>
          <w:rStyle w:val="y2iqfc"/>
          <w:rFonts w:asciiTheme="majorBidi" w:eastAsia="Arial" w:hAnsiTheme="majorBidi" w:cstheme="majorBidi"/>
          <w:color w:val="202124"/>
          <w:lang w:val="en-GB"/>
        </w:rPr>
        <w:t>Xerxes</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000000" w:themeColor="text1"/>
          <w:lang w:val="en-GB"/>
        </w:rPr>
        <w:instrText>Xerxes</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’s</w:t>
      </w:r>
      <w:r w:rsidRPr="00315E88">
        <w:rPr>
          <w:rFonts w:ascii="Times New Roman" w:hAnsi="Times New Roman"/>
        </w:rPr>
        <w:t xml:space="preserve"> trilingual (Old Persian</w:t>
      </w:r>
      <w:r w:rsidRPr="00315E88">
        <w:rPr>
          <w:rFonts w:ascii="Times New Roman" w:eastAsia="Arial" w:hAnsi="Times New Roman" w:cs="Times New Roman"/>
          <w:color w:val="202124"/>
          <w:lang w:val="en-GB" w:eastAsia="it-IT"/>
        </w:rPr>
        <w:t>,</w:t>
      </w:r>
      <w:r w:rsidRPr="00315E88">
        <w:rPr>
          <w:rStyle w:val="y2iqfc"/>
          <w:rFonts w:asciiTheme="majorBidi" w:eastAsia="Arial" w:hAnsiTheme="majorBidi" w:cstheme="majorBidi"/>
          <w:color w:val="202124"/>
          <w:lang w:val="en-GB"/>
        </w:rPr>
        <w:t xml:space="preserve"> Elamic</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Elamic</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Akkadian</w:t>
      </w:r>
      <w:r w:rsidRPr="00315E88">
        <w:rPr>
          <w:rFonts w:ascii="Times New Roman" w:eastAsia="Arial" w:hAnsi="Times New Roman" w:cs="Times New Roman"/>
          <w:color w:val="202124"/>
          <w:lang w:val="en-GB" w:eastAsia="it-IT"/>
        </w:rPr>
        <w:t xml:space="preserve"> </w:t>
      </w:r>
      <w:r w:rsidRPr="00315E88">
        <w:rPr>
          <w:rStyle w:val="y2iqfc"/>
          <w:rFonts w:asciiTheme="majorBidi" w:eastAsia="Arial"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Akkadian</w:instrText>
      </w:r>
      <w:r w:rsidRPr="00315E88">
        <w:rPr>
          <w:rFonts w:asciiTheme="majorBidi" w:hAnsiTheme="majorBidi" w:cstheme="majorBidi"/>
          <w:lang w:val="en-GB"/>
        </w:rPr>
        <w:instrText xml:space="preserve">" </w:instrText>
      </w:r>
      <w:r w:rsidRPr="00315E88">
        <w:rPr>
          <w:rStyle w:val="y2iqfc"/>
          <w:rFonts w:asciiTheme="majorBidi" w:eastAsia="Arial" w:hAnsiTheme="majorBidi" w:cstheme="majorBidi"/>
          <w:color w:val="202124"/>
          <w:lang w:val="en-GB"/>
        </w:rPr>
        <w:fldChar w:fldCharType="end"/>
      </w:r>
      <w:r w:rsidRPr="00315E88">
        <w:rPr>
          <w:rStyle w:val="y2iqfc"/>
          <w:rFonts w:asciiTheme="majorBidi" w:eastAsia="Arial" w:hAnsiTheme="majorBidi" w:cstheme="majorBidi"/>
          <w:color w:val="202124"/>
          <w:lang w:val="en-GB"/>
        </w:rPr>
        <w:t>)</w:t>
      </w:r>
      <w:r w:rsidRPr="00315E88">
        <w:rPr>
          <w:rFonts w:ascii="Times New Roman" w:hAnsi="Times New Roman"/>
        </w:rPr>
        <w:t xml:space="preserve"> engraved in an unreachable place at </w:t>
      </w:r>
      <w:r w:rsidRPr="00315E88">
        <w:rPr>
          <w:rFonts w:ascii="Times New Roman" w:eastAsia="Arial" w:hAnsi="Times New Roman" w:cs="Times New Roman"/>
          <w:color w:val="202124"/>
          <w:lang w:val="en-GB" w:eastAsia="it-IT"/>
        </w:rPr>
        <w:t>the</w:t>
      </w:r>
      <w:r w:rsidRPr="00315E88">
        <w:rPr>
          <w:rFonts w:ascii="Times New Roman" w:hAnsi="Times New Roman"/>
        </w:rPr>
        <w:t xml:space="preserve"> height of at least 50 meters from the ground on the south wall of Van Fortress.</w:t>
      </w:r>
    </w:p>
    <w:p w14:paraId="13020FF1"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14:paraId="1FDE8DC1" w14:textId="77777777" w:rsidR="00B4516E" w:rsidRPr="00CC135C"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GB"/>
        </w:rPr>
      </w:pPr>
      <w:r w:rsidRPr="00CC135C">
        <w:rPr>
          <w:rFonts w:ascii="Times New Roman" w:hAnsi="Times New Roman"/>
          <w:b/>
          <w:color w:val="202124"/>
          <w:lang w:val="en-GB"/>
        </w:rPr>
        <w:t>Translation of the Inscription</w:t>
      </w:r>
    </w:p>
    <w:p w14:paraId="37F0E973"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jc w:val="both"/>
        <w:rPr>
          <w:rFonts w:ascii="Times New Roman" w:hAnsi="Times New Roman"/>
          <w:color w:val="202124"/>
          <w:lang w:val="en-GB"/>
        </w:rPr>
      </w:pPr>
      <w:r w:rsidRPr="00315E88">
        <w:rPr>
          <w:rFonts w:ascii="Times New Roman" w:hAnsi="Times New Roman"/>
        </w:rPr>
        <w:t>“A great god is Ahura Mazda</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rPr>
        <w:instrText>Ahura Mazda</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 who is the greatest of the gods, who created this earth, who created that sky, who created Man, who created happiness for Man.I am Xerxes</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color w:val="000000"/>
          <w:lang w:val="en-GB"/>
        </w:rPr>
        <w:instrText>Xerxes</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 the great king, the king of kings, king of countries with many peoples, son of Darius</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color w:val="000000"/>
          <w:lang w:val="en-GB"/>
        </w:rPr>
        <w:instrText>Darius</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 xml:space="preserve"> the king, an Achaemenid</w:t>
      </w:r>
      <w:r w:rsidRPr="00315E88">
        <w:rPr>
          <w:rFonts w:ascii="Times New Roman" w:hAnsi="Times New Roman"/>
        </w:rPr>
        <w:fldChar w:fldCharType="begin"/>
      </w:r>
      <w:r w:rsidRPr="00315E88">
        <w:rPr>
          <w:rFonts w:ascii="Courier New" w:hAnsi="Courier New"/>
          <w:lang w:val="en-GB"/>
        </w:rPr>
        <w:instrText xml:space="preserve"> XE "</w:instrText>
      </w:r>
      <w:r w:rsidRPr="00315E88">
        <w:rPr>
          <w:rFonts w:ascii="Times New Roman" w:hAnsi="Times New Roman"/>
        </w:rPr>
        <w:instrText>Achaemenid</w:instrText>
      </w:r>
      <w:r w:rsidRPr="00315E88">
        <w:rPr>
          <w:rFonts w:ascii="Courier New" w:hAnsi="Courier New"/>
          <w:lang w:val="en-GB"/>
        </w:rPr>
        <w:instrText xml:space="preserve">" </w:instrText>
      </w:r>
      <w:r w:rsidRPr="00315E88">
        <w:rPr>
          <w:rFonts w:ascii="Times New Roman" w:hAnsi="Times New Roman"/>
        </w:rPr>
        <w:fldChar w:fldCharType="end"/>
      </w:r>
      <w:r w:rsidRPr="00315E88">
        <w:rPr>
          <w:rFonts w:ascii="Times New Roman" w:hAnsi="Times New Roman"/>
        </w:rPr>
        <w:t xml:space="preserve">. Who made Xerxes king, the one king over many, the one ruler over many. I am Xerxes, the great king, king of kings, king of lands with many tribes. King on this great earth also far away, the son of king Darius, an Achaemenid.Xerxes, the king, proclaims: Darius, who was my father, made many beautiful things by the will (or ‘thanks to the protection’) of Ahuramazda. And he also ordered this place (here) to be hewn out, while he did not get an inscription to be </w:t>
      </w:r>
      <w:r w:rsidRPr="00315E88">
        <w:rPr>
          <w:rFonts w:ascii="Times New Roman" w:hAnsi="Times New Roman"/>
        </w:rPr>
        <w:lastRenderedPageBreak/>
        <w:t>written down. After that I ordered this inscription to be placed here. Ahuramazda shall protect me together with the gods and my kingdom and what (was) created by me” (Schmitt, 2009:180-182).</w:t>
      </w:r>
    </w:p>
    <w:p w14:paraId="3038AD6E"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851"/>
        <w:rPr>
          <w:rFonts w:ascii="Times New Roman" w:hAnsi="Times New Roman"/>
        </w:rPr>
      </w:pPr>
    </w:p>
    <w:p w14:paraId="096227D6" w14:textId="33F13A80"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GB" w:eastAsia="it-IT"/>
        </w:rPr>
      </w:pPr>
      <w:r w:rsidRPr="00315E88">
        <w:rPr>
          <w:rFonts w:ascii="Times New Roman" w:hAnsi="Times New Roman"/>
          <w:color w:val="202124"/>
          <w:lang w:val="en-GB"/>
        </w:rPr>
        <w:t xml:space="preserve">The lack of any meaning of this inscription has been observed several times. </w:t>
      </w:r>
      <w:r w:rsidRPr="00315E88">
        <w:rPr>
          <w:rFonts w:ascii="Times New Roman" w:eastAsia="Times New Roman" w:hAnsi="Times New Roman" w:cs="Times New Roman"/>
          <w:color w:val="202124"/>
          <w:lang w:val="en-GB" w:eastAsia="it-IT"/>
        </w:rPr>
        <w:t>There is</w:t>
      </w:r>
      <w:r w:rsidRPr="00315E88">
        <w:rPr>
          <w:rFonts w:ascii="Times New Roman" w:hAnsi="Times New Roman"/>
          <w:color w:val="202124"/>
          <w:lang w:val="en-GB"/>
        </w:rPr>
        <w:t xml:space="preserve"> also a </w:t>
      </w:r>
      <w:r w:rsidRPr="00315E88">
        <w:rPr>
          <w:rFonts w:ascii="Times New Roman" w:eastAsia="Times New Roman" w:hAnsi="Times New Roman" w:cs="Times New Roman"/>
          <w:color w:val="202124"/>
          <w:lang w:val="en-GB" w:eastAsia="it-IT"/>
        </w:rPr>
        <w:t>stark</w:t>
      </w:r>
      <w:r w:rsidRPr="00315E88">
        <w:rPr>
          <w:rFonts w:ascii="Times New Roman" w:hAnsi="Times New Roman"/>
          <w:color w:val="202124"/>
          <w:lang w:val="en-GB"/>
        </w:rPr>
        <w:t xml:space="preserve"> contrast between the laconic text and </w:t>
      </w:r>
      <w:r w:rsidRPr="00315E88">
        <w:rPr>
          <w:rFonts w:ascii="Times New Roman" w:eastAsia="Times New Roman" w:hAnsi="Times New Roman" w:cs="Times New Roman"/>
          <w:color w:val="202124"/>
          <w:lang w:val="en-GB" w:eastAsia="it-IT"/>
        </w:rPr>
        <w:t>this inscription's</w:t>
      </w:r>
      <w:r w:rsidRPr="00315E88">
        <w:rPr>
          <w:rFonts w:ascii="Times New Roman" w:hAnsi="Times New Roman"/>
          <w:color w:val="202124"/>
          <w:lang w:val="en-GB"/>
        </w:rPr>
        <w:t xml:space="preserve"> linguistic richness and epigraphic perfection. The extreme difficulty of engraving it at that height on the overhanging rock face, the perfection of the writing in the three languages of the empire (Ancient Persian</w:t>
      </w:r>
      <w:r w:rsidRPr="00315E88">
        <w:rPr>
          <w:rFonts w:ascii="Times New Roman" w:eastAsia="Times New Roman" w:hAnsi="Times New Roman" w:cs="Times New Roman"/>
          <w:color w:val="202124"/>
          <w:lang w:val="en-GB" w:eastAsia="it-IT"/>
        </w:rPr>
        <w:t>),</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w:instrText>
      </w:r>
      <w:r w:rsidRPr="00315E88">
        <w:rPr>
          <w:rFonts w:asciiTheme="majorBidi" w:eastAsia="Times New Roman" w:hAnsiTheme="majorBidi" w:cstheme="majorBidi"/>
          <w:color w:val="202124"/>
          <w:lang w:val="en-GB" w:eastAsia="it-IT"/>
        </w:rPr>
        <w:instrText>Persian</w:instrText>
      </w:r>
      <w:r w:rsidRPr="00315E88">
        <w:rPr>
          <w:rFonts w:asciiTheme="majorBidi" w:hAnsiTheme="majorBidi" w:cstheme="majorBidi"/>
          <w:lang w:val="en-GB"/>
        </w:rPr>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imes New Roman" w:hAnsi="Times New Roman"/>
          <w:color w:val="202124"/>
          <w:lang w:val="en-GB"/>
        </w:rPr>
        <w:t xml:space="preserve"> Elamite</w:t>
      </w:r>
      <w:r w:rsidRPr="00315E88">
        <w:rPr>
          <w:rFonts w:ascii="Times New Roman" w:eastAsia="Times New Roman" w:hAnsi="Times New Roman" w:cs="Times New Roman"/>
          <w:color w:val="202124"/>
          <w:lang w:val="en-GB" w:eastAsia="it-IT"/>
        </w:rPr>
        <w:t>,</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w:instrText>
      </w:r>
      <w:r w:rsidRPr="00315E88">
        <w:rPr>
          <w:rFonts w:asciiTheme="majorBidi" w:eastAsia="Times New Roman" w:hAnsiTheme="majorBidi" w:cstheme="majorBidi"/>
          <w:color w:val="202124"/>
          <w:lang w:val="en-GB" w:eastAsia="it-IT"/>
        </w:rPr>
        <w:instrText>Elamite</w:instrText>
      </w:r>
      <w:r w:rsidRPr="00315E88">
        <w:rPr>
          <w:rFonts w:asciiTheme="majorBidi" w:hAnsiTheme="majorBidi" w:cstheme="majorBidi"/>
          <w:lang w:val="en-GB"/>
        </w:rPr>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imes New Roman" w:hAnsi="Times New Roman"/>
          <w:color w:val="202124"/>
          <w:lang w:val="en-GB"/>
        </w:rPr>
        <w:t xml:space="preserve"> Akkadian</w:t>
      </w:r>
      <w:r w:rsidR="00CD0F5D">
        <w:rPr>
          <w:rFonts w:ascii="Times New Roman" w:eastAsia="Times New Roman" w:hAnsi="Times New Roman" w:cs="Times New Roman"/>
          <w:color w:val="202124"/>
          <w:lang w:val="en-GB" w:eastAsia="it-IT"/>
        </w:rPr>
        <w:t>/</w:t>
      </w:r>
      <w:r w:rsidRPr="00315E88">
        <w:rPr>
          <w:rFonts w:ascii="Times New Roman" w:hAnsi="Times New Roman"/>
          <w:color w:val="202124"/>
          <w:lang w:val="en-GB"/>
        </w:rPr>
        <w:t>Babylonian</w:t>
      </w:r>
      <w:r w:rsidRPr="00315E88">
        <w:rPr>
          <w:rFonts w:ascii="Times New Roman" w:eastAsia="Times New Roman" w:hAnsi="Times New Roman" w:cs="Times New Roman"/>
          <w:color w:val="202124"/>
          <w:lang w:val="en-GB" w:eastAsia="it-IT"/>
        </w:rPr>
        <w:t>),</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w:instrText>
      </w:r>
      <w:r w:rsidRPr="00315E88">
        <w:rPr>
          <w:rFonts w:asciiTheme="majorBidi" w:eastAsia="Times New Roman" w:hAnsiTheme="majorBidi" w:cstheme="majorBidi"/>
          <w:color w:val="202124"/>
          <w:lang w:val="en-GB" w:eastAsia="it-IT"/>
        </w:rPr>
        <w:instrText>Babylonian</w:instrText>
      </w:r>
      <w:r w:rsidRPr="00315E88">
        <w:rPr>
          <w:rFonts w:asciiTheme="majorBidi" w:hAnsiTheme="majorBidi" w:cstheme="majorBidi"/>
          <w:lang w:val="en-GB"/>
        </w:rPr>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imes New Roman" w:hAnsi="Times New Roman"/>
          <w:color w:val="202124"/>
          <w:lang w:val="en-GB"/>
        </w:rPr>
        <w:t xml:space="preserve"> which presupposes the commitment of three different schools of stonemason scribes, as for the large Bisutun</w:t>
      </w:r>
      <w:r w:rsidRPr="00315E88">
        <w:rPr>
          <w:rFonts w:ascii="Times New Roman" w:eastAsia="Times New Roman" w:hAnsi="Times New Roman" w:cs="Times New Roman"/>
          <w:color w:val="202124"/>
          <w:lang w:val="en-GB" w:eastAsia="it-IT"/>
        </w:rPr>
        <w:t> </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w:instrText>
      </w:r>
      <w:r w:rsidRPr="00315E88">
        <w:rPr>
          <w:rFonts w:asciiTheme="majorBidi" w:eastAsia="Times New Roman" w:hAnsiTheme="majorBidi" w:cstheme="majorBidi"/>
          <w:color w:val="202124"/>
          <w:lang w:val="en-GB" w:eastAsia="it-IT"/>
        </w:rPr>
        <w:instrText>Bisutun</w:instrText>
      </w:r>
      <w:r w:rsidRPr="00315E88">
        <w:rPr>
          <w:rFonts w:asciiTheme="majorBidi" w:hAnsiTheme="majorBidi" w:cstheme="majorBidi"/>
          <w:lang w:val="en-GB"/>
        </w:rPr>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heme="majorBidi" w:eastAsia="Times New Roman" w:hAnsiTheme="majorBidi" w:cstheme="majorBidi"/>
          <w:color w:val="202124"/>
          <w:lang w:val="en-GB" w:eastAsia="it-IT"/>
        </w:rPr>
        <w:t xml:space="preserve"> </w:t>
      </w:r>
      <w:r w:rsidRPr="00315E88">
        <w:rPr>
          <w:rFonts w:ascii="Times New Roman" w:hAnsi="Times New Roman"/>
          <w:color w:val="202124"/>
          <w:lang w:val="en-GB"/>
        </w:rPr>
        <w:t>by Darius</w:t>
      </w:r>
      <w:r w:rsidRPr="00315E88">
        <w:rPr>
          <w:rFonts w:ascii="Times New Roman" w:eastAsia="Times New Roman" w:hAnsi="Times New Roman" w:cs="Times New Roman"/>
          <w:color w:val="202124"/>
          <w:lang w:val="en-GB" w:eastAsia="it-IT"/>
        </w:rPr>
        <w:t>;</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000000" w:themeColor="text1"/>
          <w:lang w:val="en-GB"/>
        </w:rPr>
        <w:instrText>Darius</w:instrText>
      </w:r>
      <w:r w:rsidRPr="00315E88">
        <w:rPr>
          <w:rFonts w:asciiTheme="majorBidi" w:hAnsiTheme="majorBidi" w:cstheme="majorBidi"/>
          <w:lang w:val="en-GB"/>
        </w:rPr>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imes New Roman" w:hAnsi="Times New Roman"/>
          <w:color w:val="202124"/>
          <w:lang w:val="en-GB"/>
        </w:rPr>
        <w:t xml:space="preserve"> also the geometric perfection of the three columns; all of this demonstrates a huge commitment. The general function of the work, which is the northernmost of those left to us by the Achaemenid</w:t>
      </w:r>
      <w:r w:rsidRPr="00315E88">
        <w:rPr>
          <w:rFonts w:ascii="Times New Roman" w:eastAsia="Times New Roman" w:hAnsi="Times New Roman" w:cs="Times New Roman"/>
          <w:color w:val="202124"/>
          <w:lang w:val="en-GB" w:eastAsia="it-IT"/>
        </w:rPr>
        <w:t> </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Achaemenid</w:instrText>
      </w:r>
      <w:r w:rsidRPr="00315E88">
        <w:rPr>
          <w:rFonts w:asciiTheme="majorBidi" w:hAnsiTheme="majorBidi" w:cstheme="majorBidi"/>
          <w:lang w:val="en-GB"/>
        </w:rPr>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heme="majorBidi" w:eastAsia="Times New Roman" w:hAnsiTheme="majorBidi" w:cstheme="majorBidi"/>
          <w:color w:val="202124"/>
          <w:lang w:val="en-GB" w:eastAsia="it-IT"/>
        </w:rPr>
        <w:t xml:space="preserve"> </w:t>
      </w:r>
      <w:r w:rsidRPr="00315E88">
        <w:rPr>
          <w:rFonts w:ascii="Times New Roman" w:hAnsi="Times New Roman"/>
          <w:color w:val="202124"/>
          <w:lang w:val="en-GB"/>
        </w:rPr>
        <w:t>rulers, is that of affirming the Achaemenid power. Even if it is not expressly indicated</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we are in the satrapy of Armina</w:t>
      </w:r>
      <w:r w:rsidR="00CD0F5D">
        <w:rPr>
          <w:rFonts w:ascii="Times New Roman" w:eastAsia="Times New Roman" w:hAnsi="Times New Roman" w:cs="Times New Roman"/>
          <w:color w:val="202124"/>
          <w:lang w:val="en-GB" w:eastAsia="it-IT"/>
        </w:rPr>
        <w:t>/</w:t>
      </w:r>
      <w:r w:rsidRPr="00315E88">
        <w:rPr>
          <w:rFonts w:ascii="Times New Roman" w:hAnsi="Times New Roman"/>
          <w:color w:val="202124"/>
          <w:lang w:val="en-GB"/>
        </w:rPr>
        <w:t>Uraštu</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w:instrText>
      </w:r>
      <w:r w:rsidRPr="00315E88">
        <w:rPr>
          <w:rFonts w:asciiTheme="majorBidi" w:eastAsia="Times New Roman" w:hAnsiTheme="majorBidi" w:cstheme="majorBidi"/>
          <w:color w:val="202124"/>
          <w:lang w:val="en-GB" w:eastAsia="it-IT"/>
        </w:rPr>
        <w:instrText>Uraštu</w:instrText>
      </w:r>
      <w:r w:rsidRPr="00315E88">
        <w:rPr>
          <w:rFonts w:asciiTheme="majorBidi" w:hAnsiTheme="majorBidi" w:cstheme="majorBidi"/>
          <w:lang w:val="en-GB"/>
        </w:rPr>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heme="majorBidi" w:eastAsia="Times New Roman" w:hAnsiTheme="majorBidi" w:cstheme="majorBidi"/>
          <w:color w:val="202124"/>
          <w:lang w:val="en-GB" w:eastAsia="it-IT"/>
        </w:rPr>
        <w:t xml:space="preserve">. </w:t>
      </w:r>
      <w:r w:rsidRPr="00315E88">
        <w:rPr>
          <w:rFonts w:ascii="Times New Roman" w:hAnsi="Times New Roman"/>
          <w:color w:val="202124"/>
          <w:lang w:val="en-GB"/>
        </w:rPr>
        <w:t xml:space="preserve">It should be noted that </w:t>
      </w:r>
      <w:r w:rsidRPr="00315E88">
        <w:rPr>
          <w:rFonts w:ascii="Times New Roman" w:eastAsia="Times New Roman" w:hAnsi="Times New Roman" w:cs="Times New Roman"/>
          <w:color w:val="202124"/>
          <w:lang w:val="en-GB" w:eastAsia="it-IT"/>
        </w:rPr>
        <w:t>Xerxes</w:t>
      </w:r>
      <w:r w:rsidRPr="00315E88">
        <w:rPr>
          <w:rFonts w:ascii="Times New Roman" w:eastAsia="Times New Roman" w:hAnsi="Times New Roman" w:cs="Times New Roman"/>
          <w:color w:val="202124"/>
          <w:lang w:val="en-GB" w:eastAsia="it-IT"/>
        </w:rPr>
        <w:fldChar w:fldCharType="begin"/>
      </w:r>
      <w:r w:rsidRPr="00315E88">
        <w:instrText xml:space="preserve"> XE "</w:instrText>
      </w:r>
      <w:r w:rsidRPr="00315E88">
        <w:rPr>
          <w:rFonts w:ascii="Times New Roman" w:eastAsia="Times New Roman" w:hAnsi="Times New Roman" w:cs="Times New Roman"/>
          <w:color w:val="202124"/>
          <w:lang w:val="en-GB" w:eastAsia="it-IT"/>
        </w:rPr>
        <w:instrText>Xerxes</w:instrText>
      </w:r>
      <w:r w:rsidRPr="00315E88">
        <w:instrText xml:space="preserve">" </w:instrText>
      </w:r>
      <w:r w:rsidRPr="00315E88">
        <w:rPr>
          <w:rFonts w:ascii="Times New Roman" w:eastAsia="Times New Roman" w:hAnsi="Times New Roman" w:cs="Times New Roman"/>
          <w:color w:val="202124"/>
          <w:lang w:val="en-GB" w:eastAsia="it-IT"/>
        </w:rPr>
        <w:fldChar w:fldCharType="end"/>
      </w:r>
      <w:r w:rsidRPr="00315E88">
        <w:rPr>
          <w:rFonts w:ascii="Times New Roman" w:eastAsia="Times New Roman" w:hAnsi="Times New Roman" w:cs="Times New Roman"/>
          <w:color w:val="202124"/>
          <w:lang w:val="en-GB" w:eastAsia="it-IT"/>
        </w:rPr>
        <w:t>'</w:t>
      </w:r>
      <w:r w:rsidRPr="00315E88">
        <w:rPr>
          <w:rFonts w:asciiTheme="majorBidi" w:eastAsia="Times New Roman" w:hAnsiTheme="majorBidi" w:cstheme="majorBidi"/>
          <w:color w:val="202124"/>
          <w:lang w:val="en-GB" w:eastAsia="it-IT"/>
        </w:rPr>
        <w:t xml:space="preserve"> </w:t>
      </w:r>
      <w:r w:rsidRPr="00315E88">
        <w:rPr>
          <w:rFonts w:ascii="Times New Roman" w:hAnsi="Times New Roman"/>
          <w:color w:val="202124"/>
          <w:lang w:val="en-GB"/>
        </w:rPr>
        <w:t xml:space="preserve">epigraph </w:t>
      </w:r>
      <w:r w:rsidRPr="00315E88">
        <w:rPr>
          <w:rFonts w:ascii="Times New Roman" w:eastAsia="Times New Roman" w:hAnsi="Times New Roman" w:cs="Times New Roman"/>
          <w:color w:val="202124"/>
          <w:lang w:val="en-GB" w:eastAsia="it-IT"/>
        </w:rPr>
        <w:t>competed excellently</w:t>
      </w:r>
      <w:r w:rsidRPr="00315E88">
        <w:rPr>
          <w:rFonts w:ascii="Times New Roman" w:hAnsi="Times New Roman"/>
          <w:color w:val="202124"/>
          <w:lang w:val="en-GB"/>
        </w:rPr>
        <w:t xml:space="preserve"> with the </w:t>
      </w:r>
      <w:r w:rsidRPr="00315E88">
        <w:rPr>
          <w:rFonts w:ascii="Times New Roman" w:eastAsia="Times New Roman" w:hAnsi="Times New Roman" w:cs="Times New Roman"/>
          <w:color w:val="202124"/>
          <w:lang w:val="en-GB" w:eastAsia="it-IT"/>
        </w:rPr>
        <w:t xml:space="preserve">Urartian kings' </w:t>
      </w:r>
      <w:r w:rsidRPr="00315E88">
        <w:rPr>
          <w:rFonts w:ascii="Times New Roman" w:hAnsi="Times New Roman"/>
          <w:color w:val="202124"/>
          <w:lang w:val="en-GB"/>
        </w:rPr>
        <w:t>monumental inscriptions</w:t>
      </w:r>
      <w:r w:rsidRPr="00315E88">
        <w:rPr>
          <w:rFonts w:asciiTheme="majorBidi" w:eastAsia="Times New Roman" w:hAnsiTheme="majorBidi" w:cstheme="majorBidi"/>
          <w:color w:val="202124"/>
          <w:lang w:val="en-GB" w:eastAsia="it-IT"/>
        </w:rPr>
        <w:t xml:space="preserve"> of the Urartian</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"Urartian" </w:instrText>
      </w:r>
      <w:r w:rsidRPr="00315E88">
        <w:rPr>
          <w:rFonts w:asciiTheme="majorBidi" w:eastAsia="Times New Roman" w:hAnsiTheme="majorBidi" w:cstheme="majorBidi"/>
          <w:color w:val="202124"/>
          <w:lang w:val="en-GB" w:eastAsia="it-IT"/>
        </w:rPr>
        <w:fldChar w:fldCharType="end"/>
      </w:r>
      <w:r w:rsidRPr="00315E88">
        <w:rPr>
          <w:rFonts w:asciiTheme="majorBidi" w:eastAsia="Times New Roman" w:hAnsiTheme="majorBidi" w:cstheme="majorBidi"/>
          <w:color w:val="202124"/>
          <w:lang w:val="en-GB" w:eastAsia="it-IT"/>
        </w:rPr>
        <w:t xml:space="preserve"> kings</w:t>
      </w:r>
      <w:r w:rsidRPr="00315E88">
        <w:rPr>
          <w:rFonts w:ascii="Times New Roman" w:hAnsi="Times New Roman"/>
          <w:color w:val="202124"/>
          <w:lang w:val="en-GB"/>
        </w:rPr>
        <w:t xml:space="preserve">, which were </w:t>
      </w:r>
      <w:r w:rsidRPr="00315E88">
        <w:rPr>
          <w:rFonts w:ascii="Times New Roman" w:eastAsia="Times New Roman" w:hAnsi="Times New Roman" w:cs="Times New Roman"/>
          <w:color w:val="202124"/>
          <w:lang w:val="en-GB" w:eastAsia="it-IT"/>
        </w:rPr>
        <w:t>undoubtedly</w:t>
      </w:r>
      <w:r w:rsidRPr="00315E88">
        <w:rPr>
          <w:rFonts w:ascii="Times New Roman" w:hAnsi="Times New Roman"/>
          <w:color w:val="202124"/>
          <w:lang w:val="en-GB"/>
        </w:rPr>
        <w:t xml:space="preserve"> highly visible. It can be assumed that they have been admired and preserved, as none show any signs of deliberate abrasion. The holes in the walls of Argišti were due to cannon fire from the various sieges of the Rock of Van in modern times.</w:t>
      </w:r>
    </w:p>
    <w:p w14:paraId="159EEC2D"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0CD72D01"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I would also like to think that the Achaemenid</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Style w:val="y2iqfc"/>
          <w:rFonts w:asciiTheme="majorBidi" w:eastAsia="Arial" w:hAnsiTheme="majorBidi" w:cstheme="majorBidi"/>
          <w:color w:val="202124"/>
          <w:lang w:val="en-GB"/>
        </w:rPr>
        <w:instrText>Achaemenid</w:instrText>
      </w:r>
      <w:r w:rsidRPr="00315E88">
        <w:rPr>
          <w:rFonts w:asciiTheme="majorBidi" w:hAnsiTheme="majorBidi" w:cstheme="majorBidi"/>
          <w:lang w:val="en-GB"/>
        </w:rPr>
        <w:instrText xml:space="preserve">"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 xml:space="preserve">scribes/stonecutters </w:t>
      </w:r>
      <w:r w:rsidRPr="00315E88">
        <w:rPr>
          <w:rFonts w:ascii="Times New Roman" w:eastAsia="Times New Roman" w:hAnsi="Times New Roman" w:cs="Times New Roman"/>
          <w:color w:val="202124"/>
          <w:lang w:val="en-GB" w:eastAsia="it-IT"/>
        </w:rPr>
        <w:t>could</w:t>
      </w:r>
      <w:r w:rsidRPr="00315E88">
        <w:rPr>
          <w:rFonts w:ascii="Times New Roman" w:hAnsi="Times New Roman"/>
          <w:color w:val="202124"/>
          <w:lang w:val="en-GB"/>
        </w:rPr>
        <w:t xml:space="preserve"> still partially understand the nature and content of those ancient inscriptions and appreciate their meaning. On the other hand, it seems idle to base oneself on the assumption that some knowledge of the Urartian</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"Urartian"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 xml:space="preserve">language remained in the area after a few generations. Even if language </w:t>
      </w:r>
      <w:r w:rsidRPr="00315E88">
        <w:rPr>
          <w:rFonts w:ascii="Times New Roman" w:eastAsia="Times New Roman" w:hAnsi="Times New Roman" w:cs="Times New Roman"/>
          <w:color w:val="202124"/>
          <w:lang w:val="en-GB" w:eastAsia="it-IT"/>
        </w:rPr>
        <w:t>had not</w:t>
      </w:r>
      <w:r w:rsidRPr="00315E88">
        <w:rPr>
          <w:rFonts w:ascii="Times New Roman" w:hAnsi="Times New Roman"/>
          <w:color w:val="202124"/>
          <w:lang w:val="en-GB"/>
        </w:rPr>
        <w:t xml:space="preserve"> completely disappeared and </w:t>
      </w:r>
      <w:r w:rsidRPr="00315E88">
        <w:rPr>
          <w:rFonts w:ascii="Times New Roman" w:eastAsia="Times New Roman" w:hAnsi="Times New Roman" w:cs="Times New Roman"/>
          <w:color w:val="202124"/>
          <w:lang w:val="en-GB" w:eastAsia="it-IT"/>
        </w:rPr>
        <w:t xml:space="preserve">been </w:t>
      </w:r>
      <w:r w:rsidRPr="00315E88">
        <w:rPr>
          <w:rFonts w:ascii="Times New Roman" w:hAnsi="Times New Roman"/>
          <w:color w:val="202124"/>
          <w:lang w:val="en-GB"/>
        </w:rPr>
        <w:t xml:space="preserve">replaced by what? </w:t>
      </w:r>
      <w:r w:rsidRPr="00315E88">
        <w:rPr>
          <w:rFonts w:ascii="Times New Roman" w:eastAsia="Times New Roman" w:hAnsi="Times New Roman" w:cs="Times New Roman"/>
          <w:color w:val="202124"/>
          <w:lang w:val="en-GB" w:eastAsia="it-IT"/>
        </w:rPr>
        <w:t>It</w:t>
      </w:r>
      <w:r w:rsidRPr="00315E88">
        <w:rPr>
          <w:rFonts w:ascii="Times New Roman" w:hAnsi="Times New Roman"/>
          <w:color w:val="202124"/>
          <w:lang w:val="en-GB"/>
        </w:rPr>
        <w:t xml:space="preserve"> must have been spoken by the </w:t>
      </w:r>
      <w:r w:rsidRPr="00315E88">
        <w:rPr>
          <w:rFonts w:ascii="Times New Roman" w:eastAsia="Times New Roman" w:hAnsi="Times New Roman" w:cs="Times New Roman"/>
          <w:color w:val="202124"/>
          <w:lang w:val="en-GB" w:eastAsia="it-IT"/>
        </w:rPr>
        <w:t xml:space="preserve">villages' </w:t>
      </w:r>
      <w:r w:rsidRPr="00315E88">
        <w:rPr>
          <w:rFonts w:ascii="Times New Roman" w:hAnsi="Times New Roman"/>
          <w:color w:val="202124"/>
          <w:lang w:val="en-GB"/>
        </w:rPr>
        <w:t>poor people</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who certainly could neither read nor write courtly cuneiform. If they existed, we would perhaps have documents written later.</w:t>
      </w:r>
    </w:p>
    <w:p w14:paraId="35E62ABF"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5A02C1BE" w14:textId="77777777" w:rsidR="00B4516E"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eastAsia="Times New Roman" w:hAnsi="Times New Roman" w:cs="Times New Roman"/>
          <w:color w:val="202124"/>
          <w:lang w:val="en-GB" w:eastAsia="it-IT"/>
        </w:rPr>
        <w:t>However,</w:t>
      </w:r>
      <w:r w:rsidRPr="00315E88">
        <w:rPr>
          <w:rFonts w:ascii="Times New Roman" w:hAnsi="Times New Roman"/>
          <w:color w:val="202124"/>
          <w:lang w:val="en-GB"/>
        </w:rPr>
        <w:t xml:space="preserve"> these </w:t>
      </w:r>
      <w:r w:rsidRPr="00315E88">
        <w:rPr>
          <w:rFonts w:ascii="Times New Roman" w:eastAsia="Times New Roman" w:hAnsi="Times New Roman" w:cs="Times New Roman"/>
          <w:color w:val="202124"/>
          <w:lang w:val="en-GB" w:eastAsia="it-IT"/>
        </w:rPr>
        <w:t>ended</w:t>
      </w:r>
      <w:r w:rsidRPr="00315E88">
        <w:rPr>
          <w:rFonts w:ascii="Times New Roman" w:hAnsi="Times New Roman"/>
          <w:color w:val="202124"/>
          <w:lang w:val="en-GB"/>
        </w:rPr>
        <w:t xml:space="preserve"> shortly after the middle of the 7th century. </w:t>
      </w:r>
      <w:r w:rsidRPr="00315E88">
        <w:rPr>
          <w:rFonts w:ascii="Times New Roman" w:eastAsia="Times New Roman" w:hAnsi="Times New Roman" w:cs="Times New Roman"/>
          <w:color w:val="202124"/>
          <w:lang w:val="en-GB" w:eastAsia="it-IT"/>
        </w:rPr>
        <w:t>Moreover,</w:t>
      </w:r>
      <w:r w:rsidRPr="00315E88">
        <w:rPr>
          <w:rFonts w:ascii="Times New Roman" w:hAnsi="Times New Roman"/>
          <w:color w:val="202124"/>
          <w:lang w:val="en-GB"/>
        </w:rPr>
        <w:t xml:space="preserve"> the lack of documents</w:t>
      </w:r>
      <w:r w:rsidRPr="00315E88">
        <w:rPr>
          <w:rFonts w:ascii="Times New Roman" w:eastAsia="Times New Roman" w:hAnsi="Times New Roman" w:cs="Times New Roman"/>
          <w:color w:val="202124"/>
          <w:lang w:val="en-GB" w:eastAsia="it-IT"/>
        </w:rPr>
        <w:t xml:space="preserve"> and</w:t>
      </w:r>
      <w:r w:rsidRPr="00315E88">
        <w:rPr>
          <w:rFonts w:ascii="Times New Roman" w:hAnsi="Times New Roman"/>
          <w:color w:val="202124"/>
          <w:lang w:val="en-GB"/>
        </w:rPr>
        <w:t xml:space="preserve"> the crisis of the royal chancellery</w:t>
      </w:r>
      <w:r w:rsidRPr="00315E88">
        <w:rPr>
          <w:rFonts w:ascii="Times New Roman" w:eastAsia="Times New Roman" w:hAnsi="Times New Roman" w:cs="Times New Roman"/>
          <w:color w:val="202124"/>
          <w:lang w:val="en-GB" w:eastAsia="it-IT"/>
        </w:rPr>
        <w:t xml:space="preserve"> sanction</w:t>
      </w:r>
      <w:r w:rsidRPr="00315E88">
        <w:rPr>
          <w:rFonts w:ascii="Times New Roman" w:hAnsi="Times New Roman"/>
          <w:color w:val="202124"/>
          <w:lang w:val="en-GB"/>
        </w:rPr>
        <w:t xml:space="preserve"> the dissolution of the Urartian</w:t>
      </w:r>
      <w:r w:rsidRPr="00315E88">
        <w:rPr>
          <w:rFonts w:ascii="Times New Roman" w:eastAsia="Times New Roman" w:hAnsi="Times New Roman" w:cs="Times New Roman"/>
          <w:color w:val="202124"/>
          <w:lang w:val="en-GB" w:eastAsia="it-IT"/>
        </w:rPr>
        <w:t xml:space="preserve">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"Urartian"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state. I thought I saw a sign of scribal crisis in the stele of Rusa</w:t>
      </w:r>
      <w:r w:rsidRPr="00315E88">
        <w:rPr>
          <w:rFonts w:ascii="Times New Roman" w:eastAsia="Times New Roman" w:hAnsi="Times New Roman" w:cs="Times New Roman"/>
          <w:color w:val="202124"/>
          <w:lang w:val="en-GB" w:eastAsia="it-IT"/>
        </w:rPr>
        <w:t xml:space="preserve"> </w:t>
      </w:r>
      <w:r w:rsidRPr="00315E88">
        <w:rPr>
          <w:rFonts w:ascii="Times New Roman" w:hAnsi="Times New Roman"/>
          <w:color w:val="202124"/>
          <w:lang w:val="en-GB"/>
        </w:rPr>
        <w:t>III</w:t>
      </w:r>
      <w:r w:rsidRPr="00315E88">
        <w:rPr>
          <w:rFonts w:ascii="Times New Roman" w:eastAsia="Times New Roman" w:hAnsi="Times New Roman" w:cs="Times New Roman"/>
          <w:color w:val="202124"/>
          <w:lang w:val="en-GB" w:eastAsia="it-IT"/>
        </w:rPr>
        <w:t xml:space="preserve">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"Rusa III"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from Keşiş Göl</w:t>
      </w:r>
      <w:r w:rsidRPr="00315E88">
        <w:rPr>
          <w:rFonts w:ascii="Times New Roman" w:eastAsia="Times New Roman" w:hAnsi="Times New Roman" w:cs="Times New Roman"/>
          <w:color w:val="202124"/>
          <w:lang w:val="en-GB" w:eastAsia="it-IT"/>
        </w:rPr>
        <w:t> </w:t>
      </w:r>
      <w:r w:rsidRPr="00315E88">
        <w:rPr>
          <w:rFonts w:asciiTheme="majorBidi" w:hAnsiTheme="majorBidi" w:cstheme="majorBidi"/>
          <w:color w:val="202124"/>
          <w:lang w:val="en-GB"/>
        </w:rPr>
        <w:fldChar w:fldCharType="begin"/>
      </w:r>
      <w:r w:rsidRPr="00315E88">
        <w:rPr>
          <w:rFonts w:asciiTheme="majorBidi" w:hAnsiTheme="majorBidi" w:cstheme="majorBidi"/>
          <w:lang w:val="en-GB"/>
        </w:rPr>
        <w:instrText xml:space="preserve"> XE "</w:instrText>
      </w:r>
      <w:r w:rsidRPr="00315E88">
        <w:rPr>
          <w:rFonts w:asciiTheme="majorBidi" w:hAnsiTheme="majorBidi" w:cstheme="majorBidi"/>
          <w:color w:val="202124"/>
          <w:lang w:val="en-GB"/>
        </w:rPr>
        <w:instrText>Keşiş Göl</w:instrText>
      </w:r>
      <w:r w:rsidRPr="00315E88">
        <w:rPr>
          <w:rFonts w:asciiTheme="majorBidi" w:hAnsiTheme="majorBidi" w:cstheme="majorBidi"/>
          <w:lang w:val="en-GB"/>
        </w:rPr>
        <w:instrText xml:space="preserve">" </w:instrText>
      </w:r>
      <w:r w:rsidRPr="00315E88">
        <w:rPr>
          <w:rFonts w:asciiTheme="majorBidi" w:hAnsiTheme="majorBidi" w:cstheme="majorBidi"/>
          <w:color w:val="202124"/>
          <w:lang w:val="en-GB"/>
        </w:rPr>
        <w:fldChar w:fldCharType="end"/>
      </w:r>
      <w:r w:rsidRPr="00315E88">
        <w:rPr>
          <w:rFonts w:asciiTheme="majorBidi" w:hAnsiTheme="majorBidi" w:cstheme="majorBidi"/>
          <w:color w:val="202124"/>
          <w:lang w:val="en-GB"/>
        </w:rPr>
        <w:t xml:space="preserve"> </w:t>
      </w:r>
      <w:r w:rsidRPr="00315E88">
        <w:rPr>
          <w:rFonts w:ascii="Times New Roman" w:hAnsi="Times New Roman"/>
          <w:color w:val="202124"/>
          <w:lang w:val="en-GB"/>
        </w:rPr>
        <w:t>(CTU I. A 14-1), in whose publication I noticed uncertainties and transcription errors, as well as the incompleteness of the final part, which I believe is attributed to the end of reign (Salvini, 2002: 115-144; CTU V. 350).</w:t>
      </w:r>
    </w:p>
    <w:p w14:paraId="00C156E1"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p>
    <w:p w14:paraId="36CF867E" w14:textId="77777777" w:rsidR="00B4516E" w:rsidRPr="00315E88"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GB"/>
        </w:rPr>
      </w:pPr>
      <w:r w:rsidRPr="00315E88">
        <w:rPr>
          <w:rFonts w:ascii="Times New Roman" w:hAnsi="Times New Roman"/>
          <w:color w:val="202124"/>
          <w:lang w:val="en-GB"/>
        </w:rPr>
        <w:t>In any case, the Achaemenids, scribes</w:t>
      </w:r>
      <w:r w:rsidRPr="00315E88">
        <w:rPr>
          <w:rFonts w:ascii="Times New Roman" w:eastAsia="Times New Roman" w:hAnsi="Times New Roman" w:cs="Times New Roman"/>
          <w:color w:val="202124"/>
          <w:lang w:val="en-GB" w:eastAsia="it-IT"/>
        </w:rPr>
        <w:t>,</w:t>
      </w:r>
      <w:r w:rsidRPr="00315E88">
        <w:rPr>
          <w:rFonts w:ascii="Times New Roman" w:hAnsi="Times New Roman"/>
          <w:color w:val="202124"/>
          <w:lang w:val="en-GB"/>
        </w:rPr>
        <w:t xml:space="preserve"> and rulers, finding in Van Fortress</w:t>
      </w:r>
      <w:r w:rsidRPr="00315E88">
        <w:rPr>
          <w:rFonts w:ascii="Times New Roman" w:eastAsia="Times New Roman" w:hAnsi="Times New Roman" w:cs="Times New Roman"/>
          <w:color w:val="202124"/>
          <w:lang w:val="en-GB" w:eastAsia="it-IT"/>
        </w:rPr>
        <w:t> </w:t>
      </w:r>
      <w:r w:rsidRPr="00315E88">
        <w:rPr>
          <w:rFonts w:ascii="Times New Roman" w:hAnsi="Times New Roman"/>
          <w:color w:val="202124"/>
          <w:lang w:val="en-GB"/>
        </w:rPr>
        <w:t xml:space="preserve">those vestiges (and we must imagine the royal palaces still standing) and those inscribed walls, certainly knew that they had acquired dominion over the capital of an ancient monarchy. The </w:t>
      </w:r>
      <w:r w:rsidRPr="00315E88">
        <w:rPr>
          <w:rFonts w:ascii="Times New Roman" w:eastAsia="Times New Roman" w:hAnsi="Times New Roman" w:cs="Times New Roman"/>
          <w:color w:val="202124"/>
          <w:lang w:val="en-GB" w:eastAsia="it-IT"/>
        </w:rPr>
        <w:t>names</w:t>
      </w:r>
      <w:r w:rsidRPr="00315E88">
        <w:rPr>
          <w:rFonts w:ascii="Times New Roman" w:hAnsi="Times New Roman"/>
          <w:color w:val="202124"/>
          <w:lang w:val="en-GB"/>
        </w:rPr>
        <w:t xml:space="preserve"> Tosp</w:t>
      </w:r>
      <w:r w:rsidRPr="00315E88">
        <w:rPr>
          <w:rFonts w:ascii="Times New Roman" w:hAnsi="Times New Roman"/>
          <w:color w:val="202124"/>
          <w:lang w:val="en-GB"/>
        </w:rPr>
        <w:fldChar w:fldCharType="begin"/>
      </w:r>
      <w:r w:rsidRPr="00315E88">
        <w:instrText xml:space="preserve"> XE "</w:instrText>
      </w:r>
      <w:r w:rsidRPr="00315E88">
        <w:rPr>
          <w:rFonts w:ascii="Times New Roman" w:hAnsi="Times New Roman"/>
          <w:color w:val="202124"/>
          <w:lang w:val="en-GB"/>
        </w:rPr>
        <w:instrText>Tosp</w:instrText>
      </w:r>
      <w:r w:rsidRPr="00315E88">
        <w:instrText xml:space="preserve">" </w:instrText>
      </w:r>
      <w:r w:rsidRPr="00315E88">
        <w:rPr>
          <w:rFonts w:ascii="Times New Roman" w:hAnsi="Times New Roman"/>
          <w:color w:val="202124"/>
          <w:lang w:val="en-GB"/>
        </w:rPr>
        <w:fldChar w:fldCharType="end"/>
      </w:r>
      <w:r w:rsidRPr="00315E88">
        <w:rPr>
          <w:rFonts w:ascii="Times New Roman" w:eastAsia="Times New Roman" w:hAnsi="Times New Roman" w:cs="Times New Roman"/>
          <w:color w:val="202124"/>
          <w:lang w:val="en-GB" w:eastAsia="it-IT"/>
        </w:rPr>
        <w:t> </w:t>
      </w:r>
      <w:r w:rsidRPr="00315E88">
        <w:rPr>
          <w:rFonts w:ascii="Times New Roman" w:hAnsi="Times New Roman"/>
          <w:color w:val="202124"/>
          <w:lang w:val="en-GB"/>
        </w:rPr>
        <w:t>and Thospitis</w:t>
      </w:r>
      <w:r w:rsidRPr="00315E88">
        <w:rPr>
          <w:rFonts w:ascii="Times New Roman" w:eastAsia="Times New Roman" w:hAnsi="Times New Roman" w:cs="Times New Roman"/>
          <w:color w:val="202124"/>
          <w:lang w:val="en-GB" w:eastAsia="it-IT"/>
        </w:rPr>
        <w:t xml:space="preserve"> </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w:instrText>
      </w:r>
      <w:r w:rsidRPr="00315E88">
        <w:rPr>
          <w:rFonts w:asciiTheme="majorBidi" w:eastAsia="Times New Roman" w:hAnsiTheme="majorBidi" w:cstheme="majorBidi"/>
          <w:color w:val="202124"/>
          <w:lang w:val="en-GB" w:eastAsia="it-IT"/>
        </w:rPr>
        <w:instrText>Thospitis</w:instrText>
      </w:r>
      <w:r w:rsidRPr="00315E88">
        <w:rPr>
          <w:rFonts w:asciiTheme="majorBidi" w:hAnsiTheme="majorBidi" w:cstheme="majorBidi"/>
          <w:lang w:val="en-GB"/>
        </w:rPr>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heme="majorBidi" w:eastAsia="Times New Roman" w:hAnsiTheme="majorBidi" w:cstheme="majorBidi"/>
          <w:color w:val="202124"/>
          <w:lang w:val="en-GB" w:eastAsia="it-IT"/>
        </w:rPr>
        <w:t xml:space="preserve"> </w:t>
      </w:r>
      <w:r w:rsidRPr="00315E88">
        <w:rPr>
          <w:rFonts w:ascii="Times New Roman" w:hAnsi="Times New Roman"/>
          <w:color w:val="202124"/>
          <w:lang w:val="en-GB"/>
        </w:rPr>
        <w:t>from Armenian</w:t>
      </w:r>
      <w:r w:rsidRPr="00315E88">
        <w:rPr>
          <w:rFonts w:ascii="Times New Roman" w:eastAsia="Times New Roman" w:hAnsi="Times New Roman" w:cs="Times New Roman"/>
          <w:color w:val="202124"/>
          <w:lang w:val="en-GB" w:eastAsia="it-IT"/>
        </w:rPr>
        <w:t> </w:t>
      </w:r>
      <w:r w:rsidRPr="00315E88">
        <w:rPr>
          <w:rFonts w:asciiTheme="majorBidi" w:eastAsia="Times New Roman" w:hAnsiTheme="majorBidi" w:cstheme="majorBidi"/>
          <w:color w:val="202124"/>
          <w:lang w:val="en-GB" w:eastAsia="it-IT"/>
        </w:rPr>
        <w:fldChar w:fldCharType="begin"/>
      </w:r>
      <w:r w:rsidRPr="00315E88">
        <w:rPr>
          <w:rFonts w:asciiTheme="majorBidi" w:hAnsiTheme="majorBidi" w:cstheme="majorBidi"/>
          <w:lang w:val="en-GB"/>
        </w:rPr>
        <w:instrText xml:space="preserve"> XE "</w:instrText>
      </w:r>
      <w:r w:rsidRPr="00315E88">
        <w:rPr>
          <w:rFonts w:asciiTheme="majorBidi" w:eastAsia="Times New Roman" w:hAnsiTheme="majorBidi" w:cstheme="majorBidi"/>
          <w:color w:val="202124"/>
          <w:lang w:val="en-GB" w:eastAsia="it-IT"/>
        </w:rPr>
        <w:instrText>Armenian</w:instrText>
      </w:r>
      <w:r w:rsidRPr="00315E88">
        <w:rPr>
          <w:rFonts w:asciiTheme="majorBidi" w:hAnsiTheme="majorBidi" w:cstheme="majorBidi"/>
          <w:lang w:val="en-GB"/>
        </w:rPr>
        <w:instrText xml:space="preserve">" </w:instrText>
      </w:r>
      <w:r w:rsidRPr="00315E88">
        <w:rPr>
          <w:rFonts w:asciiTheme="majorBidi" w:eastAsia="Times New Roman" w:hAnsiTheme="majorBidi" w:cstheme="majorBidi"/>
          <w:color w:val="202124"/>
          <w:lang w:val="en-GB" w:eastAsia="it-IT"/>
        </w:rPr>
        <w:fldChar w:fldCharType="end"/>
      </w:r>
      <w:r w:rsidRPr="00315E88">
        <w:rPr>
          <w:rFonts w:asciiTheme="majorBidi" w:eastAsia="Times New Roman" w:hAnsiTheme="majorBidi" w:cstheme="majorBidi"/>
          <w:color w:val="202124"/>
          <w:lang w:val="en-GB" w:eastAsia="it-IT"/>
        </w:rPr>
        <w:t xml:space="preserve"> </w:t>
      </w:r>
      <w:r w:rsidRPr="00315E88">
        <w:rPr>
          <w:rFonts w:ascii="Times New Roman" w:hAnsi="Times New Roman"/>
          <w:color w:val="202124"/>
          <w:lang w:val="en-GB"/>
        </w:rPr>
        <w:t>and classical times show the preservation of historical memory.</w:t>
      </w:r>
    </w:p>
    <w:p w14:paraId="20C9A4E8" w14:textId="5FAE8B7C" w:rsidR="00FF0A5F" w:rsidRPr="00F03A26" w:rsidRDefault="00FF0A5F" w:rsidP="00F03A2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GB" w:eastAsia="it-IT"/>
        </w:rPr>
      </w:pPr>
    </w:p>
    <w:p w14:paraId="53B2010A" w14:textId="77777777" w:rsidR="00DF039C" w:rsidRPr="00F03A26" w:rsidRDefault="00DF039C" w:rsidP="00860408">
      <w:pPr>
        <w:pStyle w:val="Balk1"/>
        <w:sectPr w:rsidR="00DF039C" w:rsidRPr="00F03A26" w:rsidSect="007F3733">
          <w:pgSz w:w="11909" w:h="16834"/>
          <w:pgMar w:top="1440" w:right="1440" w:bottom="1440" w:left="1440" w:header="720" w:footer="720" w:gutter="0"/>
          <w:cols w:space="708"/>
        </w:sectPr>
      </w:pPr>
      <w:bookmarkStart w:id="70" w:name="_Toc132072517"/>
    </w:p>
    <w:p w14:paraId="795082A0" w14:textId="70251BF9" w:rsidR="00FF0A5F" w:rsidRPr="00F03A26" w:rsidRDefault="00FF0A5F" w:rsidP="00860408">
      <w:pPr>
        <w:pStyle w:val="Balk1"/>
      </w:pPr>
      <w:bookmarkStart w:id="71" w:name="_Toc173231209"/>
      <w:r w:rsidRPr="00F03A26">
        <w:lastRenderedPageBreak/>
        <w:t xml:space="preserve">CHAPTER </w:t>
      </w:r>
      <w:r w:rsidR="00DF039C" w:rsidRPr="00F03A26">
        <w:t>V</w:t>
      </w:r>
      <w:bookmarkEnd w:id="71"/>
    </w:p>
    <w:p w14:paraId="20B0335B" w14:textId="637B7CB1" w:rsidR="00FF0A5F" w:rsidRPr="00F03A26" w:rsidRDefault="00FF0A5F" w:rsidP="00F03A26">
      <w:pPr>
        <w:pStyle w:val="Balk2"/>
        <w:jc w:val="both"/>
        <w:rPr>
          <w:rFonts w:asciiTheme="majorBidi" w:hAnsiTheme="majorBidi"/>
          <w:color w:val="0D0D0D" w:themeColor="text1" w:themeTint="F2"/>
          <w:sz w:val="32"/>
          <w:szCs w:val="32"/>
          <w:lang w:val="en-GB"/>
        </w:rPr>
      </w:pPr>
      <w:bookmarkStart w:id="72" w:name="_Toc173231210"/>
      <w:r w:rsidRPr="00F03A26">
        <w:rPr>
          <w:rFonts w:asciiTheme="majorBidi" w:hAnsiTheme="majorBidi"/>
          <w:color w:val="0D0D0D" w:themeColor="text1" w:themeTint="F2"/>
          <w:sz w:val="32"/>
          <w:szCs w:val="32"/>
          <w:lang w:val="en-GB"/>
        </w:rPr>
        <w:t>5. The Earliest Royal Building of the Urartian</w:t>
      </w:r>
      <w:r w:rsidR="005F421B" w:rsidRPr="00F03A26">
        <w:rPr>
          <w:rFonts w:asciiTheme="majorBidi" w:hAnsiTheme="majorBidi"/>
          <w:color w:val="0D0D0D" w:themeColor="text1" w:themeTint="F2"/>
          <w:sz w:val="32"/>
          <w:szCs w:val="32"/>
          <w:lang w:val="en-GB"/>
        </w:rPr>
        <w:fldChar w:fldCharType="begin"/>
      </w:r>
      <w:r w:rsidR="005F421B" w:rsidRPr="00F03A26">
        <w:rPr>
          <w:rFonts w:asciiTheme="majorBidi" w:hAnsiTheme="majorBidi"/>
          <w:color w:val="0D0D0D" w:themeColor="text1" w:themeTint="F2"/>
          <w:sz w:val="32"/>
          <w:szCs w:val="32"/>
          <w:lang w:val="en-GB"/>
        </w:rPr>
        <w:instrText xml:space="preserve"> XE "Urartian" </w:instrText>
      </w:r>
      <w:r w:rsidR="005F421B" w:rsidRPr="00F03A26">
        <w:rPr>
          <w:rFonts w:asciiTheme="majorBidi" w:hAnsiTheme="majorBidi"/>
          <w:color w:val="0D0D0D" w:themeColor="text1" w:themeTint="F2"/>
          <w:sz w:val="32"/>
          <w:szCs w:val="32"/>
          <w:lang w:val="en-GB"/>
        </w:rPr>
        <w:fldChar w:fldCharType="end"/>
      </w:r>
      <w:r w:rsidRPr="00F03A26">
        <w:rPr>
          <w:rFonts w:asciiTheme="majorBidi" w:hAnsiTheme="majorBidi"/>
          <w:color w:val="0D0D0D" w:themeColor="text1" w:themeTint="F2"/>
          <w:sz w:val="32"/>
          <w:szCs w:val="32"/>
          <w:lang w:val="en-GB"/>
        </w:rPr>
        <w:t xml:space="preserve"> Kingdom</w:t>
      </w:r>
      <w:r w:rsidR="007042EF" w:rsidRPr="00F03A26">
        <w:rPr>
          <w:rFonts w:asciiTheme="majorBidi" w:hAnsiTheme="majorBidi"/>
          <w:color w:val="0D0D0D" w:themeColor="text1" w:themeTint="F2"/>
          <w:sz w:val="32"/>
          <w:szCs w:val="32"/>
          <w:lang w:val="en-GB"/>
        </w:rPr>
        <w:fldChar w:fldCharType="begin"/>
      </w:r>
      <w:r w:rsidR="007042EF" w:rsidRPr="00F03A26">
        <w:rPr>
          <w:rFonts w:asciiTheme="majorBidi" w:hAnsiTheme="majorBidi"/>
          <w:color w:val="0D0D0D" w:themeColor="text1" w:themeTint="F2"/>
          <w:sz w:val="32"/>
          <w:szCs w:val="32"/>
          <w:lang w:val="en-GB"/>
        </w:rPr>
        <w:instrText xml:space="preserve"> XE "Urartian Kingdom" </w:instrText>
      </w:r>
      <w:r w:rsidR="007042EF" w:rsidRPr="00F03A26">
        <w:rPr>
          <w:rFonts w:asciiTheme="majorBidi" w:hAnsiTheme="majorBidi"/>
          <w:color w:val="0D0D0D" w:themeColor="text1" w:themeTint="F2"/>
          <w:sz w:val="32"/>
          <w:szCs w:val="32"/>
          <w:lang w:val="en-GB"/>
        </w:rPr>
        <w:fldChar w:fldCharType="end"/>
      </w:r>
      <w:r w:rsidRPr="00F03A26">
        <w:rPr>
          <w:rFonts w:asciiTheme="majorBidi" w:hAnsiTheme="majorBidi"/>
          <w:color w:val="0D0D0D" w:themeColor="text1" w:themeTint="F2"/>
          <w:sz w:val="32"/>
          <w:szCs w:val="32"/>
          <w:lang w:val="en-GB"/>
        </w:rPr>
        <w:t>: Sardurbur</w:t>
      </w:r>
      <w:bookmarkEnd w:id="70"/>
      <w:r w:rsidRPr="00F03A26">
        <w:rPr>
          <w:rFonts w:asciiTheme="majorBidi" w:hAnsiTheme="majorBidi"/>
          <w:color w:val="0D0D0D" w:themeColor="text1" w:themeTint="F2"/>
          <w:sz w:val="32"/>
          <w:szCs w:val="32"/>
          <w:lang w:val="en-GB"/>
        </w:rPr>
        <w:t>ç</w:t>
      </w:r>
      <w:bookmarkEnd w:id="72"/>
      <w:r w:rsidR="005F421B" w:rsidRPr="00F03A26">
        <w:rPr>
          <w:rFonts w:asciiTheme="majorBidi" w:hAnsiTheme="majorBidi"/>
          <w:color w:val="0D0D0D" w:themeColor="text1" w:themeTint="F2"/>
          <w:sz w:val="32"/>
          <w:szCs w:val="32"/>
          <w:lang w:val="en-GB"/>
        </w:rPr>
        <w:fldChar w:fldCharType="begin"/>
      </w:r>
      <w:r w:rsidR="005F421B" w:rsidRPr="00F03A26">
        <w:rPr>
          <w:rFonts w:asciiTheme="majorBidi" w:hAnsiTheme="majorBidi"/>
          <w:color w:val="0D0D0D" w:themeColor="text1" w:themeTint="F2"/>
          <w:sz w:val="32"/>
          <w:szCs w:val="32"/>
          <w:lang w:val="en-GB"/>
        </w:rPr>
        <w:instrText xml:space="preserve"> XE "Sardurburç" </w:instrText>
      </w:r>
      <w:r w:rsidR="005F421B" w:rsidRPr="00F03A26">
        <w:rPr>
          <w:rFonts w:asciiTheme="majorBidi" w:hAnsiTheme="majorBidi"/>
          <w:color w:val="0D0D0D" w:themeColor="text1" w:themeTint="F2"/>
          <w:sz w:val="32"/>
          <w:szCs w:val="32"/>
          <w:lang w:val="en-GB"/>
        </w:rPr>
        <w:fldChar w:fldCharType="end"/>
      </w:r>
    </w:p>
    <w:p w14:paraId="22AEEDDF" w14:textId="77777777" w:rsidR="00FF0A5F" w:rsidRPr="00F03A26" w:rsidRDefault="00FF0A5F" w:rsidP="00F03A26">
      <w:pPr>
        <w:ind w:left="7080"/>
        <w:jc w:val="both"/>
        <w:rPr>
          <w:rFonts w:asciiTheme="majorBidi" w:hAnsiTheme="majorBidi" w:cstheme="majorBidi"/>
          <w:b/>
          <w:lang w:val="en-GB" w:eastAsia="tr-TR" w:bidi="he-IL"/>
        </w:rPr>
      </w:pPr>
      <w:r w:rsidRPr="00F03A26">
        <w:rPr>
          <w:rFonts w:asciiTheme="majorBidi" w:hAnsiTheme="majorBidi" w:cstheme="majorBidi"/>
          <w:b/>
          <w:lang w:val="en-GB" w:eastAsia="tr-TR" w:bidi="he-IL"/>
        </w:rPr>
        <w:t>Armağan TAN</w:t>
      </w:r>
    </w:p>
    <w:p w14:paraId="6E922D37" w14:textId="77777777" w:rsidR="00EC68C5" w:rsidRPr="004C41C8" w:rsidRDefault="00EC68C5" w:rsidP="00EC68C5">
      <w:pPr>
        <w:jc w:val="both"/>
        <w:rPr>
          <w:rFonts w:ascii="Times New Roman" w:hAnsi="Times New Roman"/>
          <w:b/>
          <w:lang w:val="en-GB"/>
        </w:rPr>
      </w:pPr>
    </w:p>
    <w:p w14:paraId="78DD9322" w14:textId="1FBCAC68" w:rsidR="00EC68C5" w:rsidRPr="004C41C8" w:rsidRDefault="00EC68C5" w:rsidP="00EC68C5">
      <w:pPr>
        <w:jc w:val="both"/>
        <w:rPr>
          <w:rFonts w:ascii="Times New Roman" w:hAnsi="Times New Roman"/>
          <w:lang w:val="en-GB"/>
        </w:rPr>
      </w:pPr>
      <w:r w:rsidRPr="004C41C8">
        <w:rPr>
          <w:rFonts w:ascii="Times New Roman" w:hAnsi="Times New Roman"/>
          <w:b/>
          <w:lang w:val="en-GB"/>
        </w:rPr>
        <w:t>Abstract:</w:t>
      </w:r>
      <w:r w:rsidRPr="004C41C8">
        <w:rPr>
          <w:rFonts w:ascii="Times New Roman" w:hAnsi="Times New Roman"/>
          <w:lang w:val="en-GB"/>
        </w:rPr>
        <w:t xml:space="preserve"> Sardurburç</w:t>
      </w:r>
      <w:r w:rsidRPr="00FB2329">
        <w:rPr>
          <w:rFonts w:ascii="Times New Roman" w:eastAsia="Calibri" w:hAnsi="Times New Roman" w:cs="Times New Roman"/>
          <w:lang w:val="en-GB" w:eastAsia="tr-TR" w:bidi="he-IL"/>
        </w:rPr>
        <w:t>,</w:t>
      </w:r>
      <w:r w:rsidRPr="00427476">
        <w:rPr>
          <w:rFonts w:asciiTheme="majorBidi" w:hAnsiTheme="majorBidi" w:cstheme="majorBidi"/>
          <w:lang w:val="en-GB" w:eastAsia="tr-TR" w:bidi="he-IL"/>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eastAsia="tr-TR" w:bidi="he-IL"/>
        </w:rPr>
        <w:fldChar w:fldCharType="end"/>
      </w:r>
      <w:r w:rsidRPr="00427476">
        <w:rPr>
          <w:rFonts w:asciiTheme="majorBidi" w:hAnsiTheme="majorBidi" w:cstheme="majorBidi"/>
          <w:lang w:val="en-GB" w:eastAsia="tr-TR" w:bidi="he-IL"/>
        </w:rPr>
        <w:t>,</w:t>
      </w:r>
      <w:r w:rsidRPr="004C41C8">
        <w:rPr>
          <w:rFonts w:ascii="Times New Roman" w:hAnsi="Times New Roman"/>
          <w:lang w:val="en-GB"/>
        </w:rPr>
        <w:t xml:space="preserve"> which contains the establishment inscriptions of the Urartian</w:t>
      </w:r>
      <w:r w:rsidRPr="00FB2329">
        <w:rPr>
          <w:rFonts w:ascii="Times New Roman" w:eastAsia="Calibri" w:hAnsi="Times New Roman" w:cs="Times New Roman"/>
          <w:lang w:val="en-GB" w:eastAsia="tr-TR" w:bidi="he-IL"/>
        </w:rPr>
        <w:t> </w:t>
      </w:r>
      <w:r w:rsidRPr="00427476">
        <w:rPr>
          <w:rFonts w:asciiTheme="majorBidi" w:hAnsiTheme="majorBidi" w:cstheme="majorBidi"/>
          <w:lang w:val="en-GB" w:eastAsia="tr-TR" w:bidi="he-IL"/>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eastAsia="tr-TR" w:bidi="he-IL"/>
        </w:rPr>
        <w:fldChar w:fldCharType="end"/>
      </w:r>
      <w:r w:rsidRPr="00427476">
        <w:rPr>
          <w:rFonts w:asciiTheme="majorBidi" w:hAnsiTheme="majorBidi" w:cstheme="majorBidi"/>
          <w:lang w:val="en-GB" w:eastAsia="tr-TR" w:bidi="he-IL"/>
        </w:rPr>
        <w:t xml:space="preserve"> </w:t>
      </w:r>
      <w:r w:rsidRPr="004C41C8">
        <w:rPr>
          <w:rFonts w:ascii="Times New Roman" w:hAnsi="Times New Roman"/>
          <w:lang w:val="en-GB"/>
        </w:rPr>
        <w:t>kingdom</w:t>
      </w:r>
      <w:r w:rsidRPr="00FB2329">
        <w:rPr>
          <w:rFonts w:ascii="Times New Roman" w:eastAsia="Calibri" w:hAnsi="Times New Roman" w:cs="Times New Roman"/>
          <w:lang w:val="en-GB" w:eastAsia="tr-TR" w:bidi="he-IL"/>
        </w:rPr>
        <w:t>,</w:t>
      </w:r>
      <w:r w:rsidRPr="00427476">
        <w:rPr>
          <w:rFonts w:asciiTheme="majorBidi" w:hAnsiTheme="majorBidi" w:cstheme="majorBidi"/>
          <w:lang w:val="en-GB" w:eastAsia="tr-TR" w:bidi="he-IL"/>
        </w:rPr>
        <w:fldChar w:fldCharType="begin"/>
      </w:r>
      <w:r w:rsidRPr="00427476">
        <w:rPr>
          <w:lang w:val="en-GB"/>
        </w:rPr>
        <w:instrText xml:space="preserve"> XE "</w:instrText>
      </w:r>
      <w:r w:rsidRPr="00427476">
        <w:rPr>
          <w:rFonts w:asciiTheme="majorBidi" w:hAnsiTheme="majorBidi" w:cstheme="majorBidi"/>
          <w:lang w:val="en-GB"/>
        </w:rPr>
        <w:instrText xml:space="preserve">Urartian </w:instrText>
      </w:r>
      <w:r>
        <w:rPr>
          <w:rFonts w:asciiTheme="majorBidi" w:hAnsiTheme="majorBidi" w:cstheme="majorBidi"/>
          <w:lang w:val="en-GB"/>
        </w:rPr>
        <w:instrText>k</w:instrText>
      </w:r>
      <w:r w:rsidRPr="00427476">
        <w:rPr>
          <w:rFonts w:asciiTheme="majorBidi" w:hAnsiTheme="majorBidi" w:cstheme="majorBidi"/>
          <w:lang w:val="en-GB"/>
        </w:rPr>
        <w:instrText>ingdom</w:instrText>
      </w:r>
      <w:r w:rsidRPr="00427476">
        <w:rPr>
          <w:lang w:val="en-GB"/>
        </w:rPr>
        <w:instrText xml:space="preserve">" </w:instrText>
      </w:r>
      <w:r w:rsidRPr="00427476">
        <w:rPr>
          <w:rFonts w:asciiTheme="majorBidi" w:hAnsiTheme="majorBidi" w:cstheme="majorBidi"/>
          <w:lang w:val="en-GB" w:eastAsia="tr-TR" w:bidi="he-IL"/>
        </w:rPr>
        <w:fldChar w:fldCharType="end"/>
      </w:r>
      <w:r w:rsidRPr="00427476">
        <w:rPr>
          <w:rFonts w:asciiTheme="majorBidi" w:hAnsiTheme="majorBidi" w:cstheme="majorBidi"/>
          <w:lang w:val="en-GB" w:eastAsia="tr-TR" w:bidi="he-IL"/>
        </w:rPr>
        <w:t>,</w:t>
      </w:r>
      <w:r w:rsidRPr="004C41C8">
        <w:rPr>
          <w:rFonts w:ascii="Times New Roman" w:hAnsi="Times New Roman"/>
          <w:lang w:val="en-GB"/>
        </w:rPr>
        <w:t xml:space="preserve"> is the earliest royal structure in the capital city of Ṭušpa</w:t>
      </w:r>
      <w:r w:rsidRPr="00427476">
        <w:rPr>
          <w:rFonts w:asciiTheme="majorBidi" w:hAnsiTheme="majorBidi" w:cstheme="majorBidi"/>
          <w:lang w:val="en-GB" w:eastAsia="tr-TR" w:bidi="he-IL"/>
        </w:rPr>
        <w:t xml:space="preserve"> </w:t>
      </w:r>
      <w:r w:rsidRPr="004C41C8">
        <w:rPr>
          <w:rFonts w:ascii="Times New Roman" w:hAnsi="Times New Roman"/>
          <w:lang w:val="en-GB"/>
        </w:rPr>
        <w:t xml:space="preserve">and the kingdom. The detailed evaluation of this building </w:t>
      </w:r>
      <w:r w:rsidRPr="00FB2329">
        <w:rPr>
          <w:rFonts w:ascii="Times New Roman" w:eastAsia="Calibri" w:hAnsi="Times New Roman" w:cs="Times New Roman"/>
          <w:lang w:val="en-GB" w:eastAsia="tr-TR" w:bidi="he-IL"/>
        </w:rPr>
        <w:t xml:space="preserve">and </w:t>
      </w:r>
      <w:r w:rsidRPr="004C41C8">
        <w:rPr>
          <w:rFonts w:ascii="Times New Roman" w:hAnsi="Times New Roman"/>
          <w:lang w:val="en-GB"/>
        </w:rPr>
        <w:t>its general position in Urartian History has led to the emergence of new perspectives. There are 6 Assyrian</w:t>
      </w:r>
      <w:r w:rsidRPr="00FB2329">
        <w:rPr>
          <w:rFonts w:ascii="Times New Roman" w:eastAsia="Calibri" w:hAnsi="Times New Roman" w:cs="Times New Roman"/>
          <w:lang w:val="en-GB" w:eastAsia="tr-TR" w:bidi="he-IL"/>
        </w:rPr>
        <w:t> </w:t>
      </w:r>
      <w:r w:rsidRPr="00427476">
        <w:rPr>
          <w:rFonts w:asciiTheme="majorBidi" w:hAnsiTheme="majorBidi" w:cstheme="majorBidi"/>
          <w:lang w:val="en-GB" w:eastAsia="tr-TR" w:bidi="he-IL"/>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eastAsia="tr-TR" w:bidi="he-IL"/>
        </w:rPr>
        <w:fldChar w:fldCharType="end"/>
      </w:r>
      <w:r w:rsidRPr="00427476">
        <w:rPr>
          <w:rFonts w:asciiTheme="majorBidi" w:hAnsiTheme="majorBidi" w:cstheme="majorBidi"/>
          <w:lang w:val="en-GB" w:eastAsia="tr-TR" w:bidi="he-IL"/>
        </w:rPr>
        <w:t xml:space="preserve"> </w:t>
      </w:r>
      <w:r w:rsidRPr="004C41C8">
        <w:rPr>
          <w:rFonts w:ascii="Times New Roman" w:hAnsi="Times New Roman"/>
          <w:lang w:val="en-GB"/>
        </w:rPr>
        <w:t>inscriptions on the Sardurburç structure</w:t>
      </w:r>
      <w:r w:rsidRPr="00FB2329">
        <w:rPr>
          <w:rFonts w:ascii="Times New Roman" w:eastAsia="Calibri" w:hAnsi="Times New Roman" w:cs="Times New Roman"/>
          <w:lang w:val="en-GB" w:eastAsia="tr-TR" w:bidi="he-IL"/>
        </w:rPr>
        <w:t>,</w:t>
      </w:r>
      <w:r w:rsidRPr="004C41C8">
        <w:rPr>
          <w:rFonts w:ascii="Times New Roman" w:hAnsi="Times New Roman"/>
          <w:lang w:val="en-GB"/>
        </w:rPr>
        <w:t xml:space="preserve"> duplicates of each other. In this study, the locations and chronological discussions of these inscriptions were evaluated in detail</w:t>
      </w:r>
      <w:r w:rsidRPr="00FB2329">
        <w:rPr>
          <w:rFonts w:ascii="Times New Roman" w:eastAsia="Calibri" w:hAnsi="Times New Roman" w:cs="Times New Roman"/>
          <w:lang w:val="en-GB" w:eastAsia="tr-TR" w:bidi="he-IL"/>
        </w:rPr>
        <w:t>,</w:t>
      </w:r>
      <w:r w:rsidRPr="004C41C8">
        <w:rPr>
          <w:rFonts w:ascii="Times New Roman" w:hAnsi="Times New Roman"/>
          <w:lang w:val="en-GB"/>
        </w:rPr>
        <w:t xml:space="preserve"> and </w:t>
      </w:r>
      <w:r w:rsidRPr="00FB2329">
        <w:rPr>
          <w:rFonts w:ascii="Times New Roman" w:eastAsia="Calibri" w:hAnsi="Times New Roman" w:cs="Times New Roman"/>
          <w:lang w:val="en-GB" w:eastAsia="tr-TR" w:bidi="he-IL"/>
        </w:rPr>
        <w:t>their</w:t>
      </w:r>
      <w:r w:rsidRPr="004C41C8">
        <w:rPr>
          <w:rFonts w:ascii="Times New Roman" w:hAnsi="Times New Roman"/>
          <w:lang w:val="en-GB"/>
        </w:rPr>
        <w:t xml:space="preserve"> similarities and differences were introduced. The plan and sections of the structure were documented. There are three inscriptions on the east facade and three inscriptions on the west facade of this Urartian foundation structure.</w:t>
      </w:r>
    </w:p>
    <w:p w14:paraId="67627ECD" w14:textId="77777777" w:rsidR="00EC68C5" w:rsidRPr="004C41C8" w:rsidRDefault="00EC68C5" w:rsidP="00EC68C5">
      <w:pPr>
        <w:jc w:val="both"/>
        <w:rPr>
          <w:rFonts w:ascii="Times New Roman" w:hAnsi="Times New Roman"/>
          <w:lang w:val="en-GB"/>
        </w:rPr>
      </w:pPr>
    </w:p>
    <w:p w14:paraId="48A77DA0" w14:textId="77777777" w:rsidR="00EC68C5" w:rsidRPr="004C41C8" w:rsidRDefault="00EC68C5" w:rsidP="00EC68C5">
      <w:pPr>
        <w:jc w:val="both"/>
        <w:rPr>
          <w:rFonts w:ascii="Times New Roman" w:hAnsi="Times New Roman"/>
          <w:lang w:val="en-GB"/>
        </w:rPr>
      </w:pPr>
      <w:r w:rsidRPr="004C41C8">
        <w:rPr>
          <w:rFonts w:ascii="Times New Roman" w:hAnsi="Times New Roman"/>
          <w:lang w:val="en-GB"/>
        </w:rPr>
        <w:t xml:space="preserve">In addition, observations and determinations were made on the architectural and archaeological details of the building </w:t>
      </w:r>
      <w:r w:rsidRPr="00FB2329">
        <w:rPr>
          <w:rFonts w:ascii="Times New Roman" w:eastAsia="Calibri" w:hAnsi="Times New Roman" w:cs="Times New Roman"/>
          <w:lang w:val="en-GB" w:eastAsia="tr-TR" w:bidi="he-IL"/>
        </w:rPr>
        <w:t>and</w:t>
      </w:r>
      <w:r w:rsidRPr="004C41C8">
        <w:rPr>
          <w:rFonts w:ascii="Times New Roman" w:hAnsi="Times New Roman"/>
          <w:lang w:val="en-GB"/>
        </w:rPr>
        <w:t xml:space="preserve"> its historical context. In this framework, the fact that the building may not be a single architectural monolith has been developed based on previous mentions and documented in detail. In this context, there are architecturally </w:t>
      </w:r>
      <w:r w:rsidRPr="00FB2329">
        <w:rPr>
          <w:rFonts w:ascii="Times New Roman" w:eastAsia="Calibri" w:hAnsi="Times New Roman" w:cs="Times New Roman"/>
          <w:lang w:val="en-GB" w:eastAsia="tr-TR" w:bidi="he-IL"/>
        </w:rPr>
        <w:t>three</w:t>
      </w:r>
      <w:r w:rsidRPr="004C41C8">
        <w:rPr>
          <w:rFonts w:ascii="Times New Roman" w:hAnsi="Times New Roman"/>
          <w:lang w:val="en-GB"/>
        </w:rPr>
        <w:t xml:space="preserve"> different phases in the building and chronologically at least 2. For this reason, the blocks are named A, B, </w:t>
      </w:r>
      <w:r w:rsidRPr="00FB2329">
        <w:rPr>
          <w:rFonts w:ascii="Times New Roman" w:eastAsia="Calibri" w:hAnsi="Times New Roman" w:cs="Times New Roman"/>
          <w:lang w:val="en-GB" w:eastAsia="tr-TR" w:bidi="he-IL"/>
        </w:rPr>
        <w:t xml:space="preserve">and </w:t>
      </w:r>
      <w:r w:rsidRPr="004C41C8">
        <w:rPr>
          <w:rFonts w:ascii="Times New Roman" w:hAnsi="Times New Roman"/>
          <w:lang w:val="en-GB"/>
        </w:rPr>
        <w:t xml:space="preserve">C and subjected to chronological distinctions. </w:t>
      </w:r>
      <w:r w:rsidRPr="00FB2329">
        <w:rPr>
          <w:rFonts w:ascii="Times New Roman" w:eastAsia="Calibri" w:hAnsi="Times New Roman" w:cs="Times New Roman"/>
          <w:lang w:val="en-GB" w:eastAsia="tr-TR" w:bidi="he-IL"/>
        </w:rPr>
        <w:t>This</w:t>
      </w:r>
      <w:r w:rsidRPr="004C41C8">
        <w:rPr>
          <w:rFonts w:ascii="Times New Roman" w:hAnsi="Times New Roman"/>
          <w:lang w:val="en-GB"/>
        </w:rPr>
        <w:t xml:space="preserve"> stage of development may be related to inscriptions and processes related to the </w:t>
      </w:r>
      <w:r w:rsidRPr="00FB2329">
        <w:rPr>
          <w:rFonts w:ascii="Times New Roman" w:eastAsia="Calibri" w:hAnsi="Times New Roman" w:cs="Times New Roman"/>
          <w:lang w:val="en-GB" w:eastAsia="tr-TR" w:bidi="he-IL"/>
        </w:rPr>
        <w:t xml:space="preserve">kingdom's </w:t>
      </w:r>
      <w:r w:rsidRPr="004C41C8">
        <w:rPr>
          <w:rFonts w:ascii="Times New Roman" w:hAnsi="Times New Roman"/>
          <w:lang w:val="en-GB"/>
        </w:rPr>
        <w:t>development</w:t>
      </w:r>
      <w:r w:rsidRPr="00FB2329">
        <w:rPr>
          <w:rFonts w:ascii="Times New Roman" w:eastAsia="Calibri" w:hAnsi="Times New Roman" w:cs="Times New Roman"/>
          <w:lang w:val="en-GB" w:eastAsia="tr-TR" w:bidi="he-IL"/>
        </w:rPr>
        <w:t>.</w:t>
      </w:r>
      <w:r w:rsidRPr="004C41C8">
        <w:rPr>
          <w:rFonts w:ascii="Times New Roman" w:hAnsi="Times New Roman"/>
          <w:lang w:val="en-GB"/>
        </w:rPr>
        <w:t xml:space="preserve"> Block A, </w:t>
      </w:r>
      <w:r w:rsidRPr="00FB2329">
        <w:rPr>
          <w:rFonts w:ascii="Times New Roman" w:eastAsia="Calibri" w:hAnsi="Times New Roman" w:cs="Times New Roman"/>
          <w:lang w:val="en-GB" w:eastAsia="tr-TR" w:bidi="he-IL"/>
        </w:rPr>
        <w:t>considered</w:t>
      </w:r>
      <w:r w:rsidRPr="004C41C8">
        <w:rPr>
          <w:rFonts w:ascii="Times New Roman" w:hAnsi="Times New Roman"/>
          <w:lang w:val="en-GB"/>
        </w:rPr>
        <w:t xml:space="preserve"> the earliest period, sits on the bedrock and contains steps leading to the citadel. There is </w:t>
      </w:r>
      <w:r w:rsidRPr="00FB2329">
        <w:rPr>
          <w:rFonts w:ascii="Times New Roman" w:eastAsia="Calibri" w:hAnsi="Times New Roman" w:cs="Times New Roman"/>
          <w:lang w:val="en-GB" w:eastAsia="tr-TR" w:bidi="he-IL"/>
        </w:rPr>
        <w:t>no</w:t>
      </w:r>
      <w:r w:rsidRPr="004C41C8">
        <w:rPr>
          <w:rFonts w:ascii="Times New Roman" w:hAnsi="Times New Roman"/>
          <w:lang w:val="en-GB"/>
        </w:rPr>
        <w:t xml:space="preserve"> inscription on Block A. It must have been designed as an entrance gate to the citadel at the earliest period. After this period, when the inscription </w:t>
      </w:r>
      <w:r w:rsidRPr="00FB2329">
        <w:rPr>
          <w:rFonts w:ascii="Times New Roman" w:eastAsia="Calibri" w:hAnsi="Times New Roman" w:cs="Times New Roman"/>
          <w:lang w:val="en-GB" w:eastAsia="tr-TR" w:bidi="he-IL"/>
        </w:rPr>
        <w:t>still needed to be</w:t>
      </w:r>
      <w:r w:rsidRPr="004C41C8">
        <w:rPr>
          <w:rFonts w:ascii="Times New Roman" w:hAnsi="Times New Roman"/>
          <w:lang w:val="en-GB"/>
        </w:rPr>
        <w:t xml:space="preserve"> written on Block A, Block B was built to the north</w:t>
      </w:r>
      <w:r w:rsidRPr="00FB2329">
        <w:rPr>
          <w:rFonts w:ascii="Times New Roman" w:eastAsia="Calibri" w:hAnsi="Times New Roman" w:cs="Times New Roman"/>
          <w:lang w:val="en-GB" w:eastAsia="tr-TR" w:bidi="he-IL"/>
        </w:rPr>
        <w:t>,</w:t>
      </w:r>
      <w:r w:rsidRPr="004C41C8">
        <w:rPr>
          <w:rFonts w:ascii="Times New Roman" w:hAnsi="Times New Roman"/>
          <w:lang w:val="en-GB"/>
        </w:rPr>
        <w:t xml:space="preserve"> and Block C was built between the two. However, the facades between blocks A-B-C do not constitute a single monolith and are separated by distinct lines. However, this distinction should </w:t>
      </w:r>
      <w:r w:rsidRPr="00FB2329">
        <w:rPr>
          <w:rFonts w:ascii="Times New Roman" w:eastAsia="Calibri" w:hAnsi="Times New Roman" w:cs="Times New Roman"/>
          <w:lang w:val="en-GB" w:eastAsia="tr-TR" w:bidi="he-IL"/>
        </w:rPr>
        <w:t>be manageable, and there should be</w:t>
      </w:r>
      <w:r w:rsidRPr="004C41C8">
        <w:rPr>
          <w:rFonts w:ascii="Times New Roman" w:hAnsi="Times New Roman"/>
          <w:lang w:val="en-GB"/>
        </w:rPr>
        <w:t xml:space="preserve"> a chronological difference in time. These stages probably took place during the reign of the founding king Sarduri</w:t>
      </w:r>
      <w:r w:rsidRPr="00FB2329">
        <w:rPr>
          <w:rFonts w:ascii="Times New Roman" w:eastAsia="Calibri" w:hAnsi="Times New Roman" w:cs="Times New Roman"/>
          <w:lang w:val="en-GB" w:eastAsia="tr-TR" w:bidi="he-IL"/>
        </w:rPr>
        <w:t> </w:t>
      </w:r>
      <w:r w:rsidRPr="00427476">
        <w:rPr>
          <w:rFonts w:asciiTheme="majorBidi" w:hAnsiTheme="majorBidi" w:cstheme="majorBidi"/>
          <w:lang w:val="en-GB" w:eastAsia="tr-TR" w:bidi="he-IL"/>
        </w:rPr>
        <w:fldChar w:fldCharType="begin"/>
      </w:r>
      <w:r w:rsidRPr="00427476">
        <w:rPr>
          <w:lang w:val="en-GB"/>
        </w:rPr>
        <w:instrText xml:space="preserve"> XE "</w:instrText>
      </w:r>
      <w:r w:rsidRPr="00427476">
        <w:rPr>
          <w:rFonts w:asciiTheme="majorBidi" w:hAnsiTheme="majorBidi" w:cstheme="majorBidi"/>
          <w:iCs/>
          <w:lang w:val="en-GB"/>
        </w:rPr>
        <w:instrText>Sarduri</w:instrText>
      </w:r>
      <w:r w:rsidRPr="00427476">
        <w:rPr>
          <w:lang w:val="en-GB"/>
        </w:rPr>
        <w:instrText xml:space="preserve">" </w:instrText>
      </w:r>
      <w:r w:rsidRPr="00427476">
        <w:rPr>
          <w:rFonts w:asciiTheme="majorBidi" w:hAnsiTheme="majorBidi" w:cstheme="majorBidi"/>
          <w:lang w:val="en-GB" w:eastAsia="tr-TR" w:bidi="he-IL"/>
        </w:rPr>
        <w:fldChar w:fldCharType="end"/>
      </w:r>
      <w:r w:rsidRPr="00427476">
        <w:rPr>
          <w:rFonts w:asciiTheme="majorBidi" w:hAnsiTheme="majorBidi" w:cstheme="majorBidi"/>
          <w:lang w:val="en-GB" w:eastAsia="tr-TR" w:bidi="he-IL"/>
        </w:rPr>
        <w:t xml:space="preserve"> </w:t>
      </w:r>
      <w:r w:rsidRPr="004C41C8">
        <w:rPr>
          <w:rFonts w:ascii="Times New Roman" w:hAnsi="Times New Roman"/>
          <w:lang w:val="en-GB"/>
        </w:rPr>
        <w:t>I</w:t>
      </w:r>
      <w:r w:rsidRPr="00FB2329">
        <w:rPr>
          <w:rFonts w:ascii="Times New Roman" w:eastAsia="Calibri" w:hAnsi="Times New Roman" w:cs="Times New Roman"/>
          <w:lang w:val="en-GB" w:eastAsia="tr-TR" w:bidi="he-IL"/>
        </w:rPr>
        <w:t>.</w:t>
      </w:r>
      <w:r w:rsidRPr="00427476">
        <w:rPr>
          <w:rFonts w:asciiTheme="majorBidi" w:hAnsiTheme="majorBidi" w:cstheme="majorBidi"/>
          <w:lang w:val="en-GB" w:eastAsia="tr-TR" w:bidi="he-IL"/>
        </w:rPr>
        <w:fldChar w:fldCharType="begin"/>
      </w:r>
      <w:r w:rsidRPr="00427476">
        <w:rPr>
          <w:lang w:val="en-GB"/>
        </w:rPr>
        <w:instrText xml:space="preserve"> XE "</w:instrText>
      </w:r>
      <w:r w:rsidRPr="00427476">
        <w:rPr>
          <w:rFonts w:asciiTheme="majorBidi" w:hAnsiTheme="majorBidi" w:cstheme="majorBidi"/>
          <w:lang w:val="en-GB"/>
        </w:rPr>
        <w:instrText>Sarduri I</w:instrText>
      </w:r>
      <w:r w:rsidRPr="00427476">
        <w:rPr>
          <w:lang w:val="en-GB"/>
        </w:rPr>
        <w:instrText xml:space="preserve">" </w:instrText>
      </w:r>
      <w:r w:rsidRPr="00427476">
        <w:rPr>
          <w:rFonts w:asciiTheme="majorBidi" w:hAnsiTheme="majorBidi" w:cstheme="majorBidi"/>
          <w:lang w:val="en-GB" w:eastAsia="tr-TR" w:bidi="he-IL"/>
        </w:rPr>
        <w:fldChar w:fldCharType="end"/>
      </w:r>
      <w:r w:rsidRPr="00427476">
        <w:rPr>
          <w:rFonts w:asciiTheme="majorBidi" w:hAnsiTheme="majorBidi" w:cstheme="majorBidi"/>
          <w:lang w:val="en-GB" w:eastAsia="tr-TR" w:bidi="he-IL"/>
        </w:rPr>
        <w:t>.</w:t>
      </w:r>
      <w:r w:rsidRPr="004C41C8">
        <w:rPr>
          <w:rFonts w:ascii="Times New Roman" w:hAnsi="Times New Roman"/>
          <w:lang w:val="en-GB"/>
        </w:rPr>
        <w:t xml:space="preserve"> On blocks B and C, built later, the first Urartian</w:t>
      </w:r>
      <w:r w:rsidRPr="00FB2329">
        <w:rPr>
          <w:rFonts w:ascii="Times New Roman" w:eastAsia="Calibri" w:hAnsi="Times New Roman" w:cs="Times New Roman"/>
          <w:lang w:val="en-GB" w:eastAsia="tr-TR" w:bidi="he-IL"/>
        </w:rPr>
        <w:t> </w:t>
      </w:r>
      <w:r w:rsidRPr="00427476">
        <w:rPr>
          <w:rFonts w:asciiTheme="majorBidi" w:hAnsiTheme="majorBidi" w:cstheme="majorBidi"/>
          <w:lang w:val="en-GB" w:eastAsia="tr-TR" w:bidi="he-IL"/>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eastAsia="tr-TR" w:bidi="he-IL"/>
        </w:rPr>
        <w:fldChar w:fldCharType="end"/>
      </w:r>
      <w:r w:rsidRPr="00427476">
        <w:rPr>
          <w:rFonts w:asciiTheme="majorBidi" w:hAnsiTheme="majorBidi" w:cstheme="majorBidi"/>
          <w:lang w:val="en-GB" w:eastAsia="tr-TR" w:bidi="he-IL"/>
        </w:rPr>
        <w:t xml:space="preserve"> </w:t>
      </w:r>
      <w:r w:rsidRPr="004C41C8">
        <w:rPr>
          <w:rFonts w:ascii="Times New Roman" w:hAnsi="Times New Roman"/>
          <w:lang w:val="en-GB"/>
        </w:rPr>
        <w:t xml:space="preserve">inscriptions were inscribed, three facing east and three facing west. With the contribution of all these data, it is suggested that the building may have had the function of a fortified and monumental gateway that developed gradually and provided access to the citadel. </w:t>
      </w:r>
      <w:r w:rsidRPr="00FB2329">
        <w:rPr>
          <w:rFonts w:ascii="Times New Roman" w:eastAsia="Calibri" w:hAnsi="Times New Roman" w:cs="Times New Roman"/>
          <w:lang w:val="en-GB" w:eastAsia="tr-TR" w:bidi="he-IL"/>
        </w:rPr>
        <w:t>In our opinion, previous</w:t>
      </w:r>
      <w:r w:rsidRPr="004C41C8">
        <w:rPr>
          <w:rFonts w:ascii="Times New Roman" w:hAnsi="Times New Roman"/>
          <w:lang w:val="en-GB"/>
        </w:rPr>
        <w:t xml:space="preserve"> suggestions</w:t>
      </w:r>
      <w:r w:rsidRPr="00FB2329">
        <w:rPr>
          <w:rFonts w:ascii="Times New Roman" w:eastAsia="Calibri" w:hAnsi="Times New Roman" w:cs="Times New Roman"/>
          <w:lang w:val="en-GB" w:eastAsia="tr-TR" w:bidi="he-IL"/>
        </w:rPr>
        <w:t>,</w:t>
      </w:r>
      <w:r w:rsidRPr="004C41C8">
        <w:rPr>
          <w:rFonts w:ascii="Times New Roman" w:hAnsi="Times New Roman"/>
          <w:lang w:val="en-GB"/>
        </w:rPr>
        <w:t xml:space="preserve"> such as a port or a temple</w:t>
      </w:r>
      <w:r w:rsidRPr="00FB2329">
        <w:rPr>
          <w:rFonts w:ascii="Times New Roman" w:eastAsia="Calibri" w:hAnsi="Times New Roman" w:cs="Times New Roman"/>
          <w:lang w:val="en-GB" w:eastAsia="tr-TR" w:bidi="he-IL"/>
        </w:rPr>
        <w:t>,</w:t>
      </w:r>
      <w:r w:rsidRPr="004C41C8">
        <w:rPr>
          <w:rFonts w:ascii="Times New Roman" w:hAnsi="Times New Roman"/>
          <w:lang w:val="en-GB"/>
        </w:rPr>
        <w:t xml:space="preserve"> are weaker assumptions.   </w:t>
      </w:r>
    </w:p>
    <w:p w14:paraId="5C8B4654" w14:textId="77777777" w:rsidR="00EC68C5" w:rsidRPr="004C41C8" w:rsidRDefault="00EC68C5" w:rsidP="00EC68C5">
      <w:pPr>
        <w:rPr>
          <w:rFonts w:ascii="Times New Roman" w:hAnsi="Times New Roman"/>
          <w:lang w:val="en-GB"/>
        </w:rPr>
      </w:pPr>
    </w:p>
    <w:p w14:paraId="6615F13C" w14:textId="77777777" w:rsidR="00EC68C5" w:rsidRPr="004C41C8" w:rsidRDefault="00EC68C5" w:rsidP="00EC68C5">
      <w:pPr>
        <w:keepNext/>
        <w:keepLines/>
        <w:spacing w:before="320" w:after="80" w:line="276" w:lineRule="auto"/>
        <w:outlineLvl w:val="2"/>
        <w:rPr>
          <w:rFonts w:ascii="Times New Roman" w:hAnsi="Times New Roman"/>
          <w:b/>
          <w:color w:val="0D0D0D"/>
          <w:szCs w:val="22"/>
          <w:lang w:val="en-GB"/>
        </w:rPr>
      </w:pPr>
      <w:bookmarkStart w:id="73" w:name="_Toc132072518"/>
      <w:bookmarkStart w:id="74" w:name="_Toc173231211"/>
      <w:r w:rsidRPr="004C41C8">
        <w:rPr>
          <w:rFonts w:ascii="Times New Roman" w:hAnsi="Times New Roman"/>
          <w:b/>
          <w:color w:val="0D0D0D"/>
          <w:sz w:val="28"/>
          <w:szCs w:val="22"/>
          <w:lang w:val="en-GB"/>
        </w:rPr>
        <w:lastRenderedPageBreak/>
        <w:t>5.1</w:t>
      </w:r>
      <w:bookmarkEnd w:id="73"/>
      <w:r w:rsidRPr="004C41C8">
        <w:rPr>
          <w:rFonts w:ascii="Times New Roman" w:hAnsi="Times New Roman"/>
          <w:b/>
          <w:color w:val="0D0D0D"/>
          <w:sz w:val="28"/>
          <w:szCs w:val="22"/>
          <w:lang w:val="en-GB"/>
        </w:rPr>
        <w:t>. Introduction</w:t>
      </w:r>
      <w:bookmarkEnd w:id="74"/>
    </w:p>
    <w:p w14:paraId="72D47A23" w14:textId="575F18EE"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noProof/>
        </w:rPr>
        <w:drawing>
          <wp:anchor distT="0" distB="0" distL="114300" distR="114300" simplePos="0" relativeHeight="251858944" behindDoc="0" locked="0" layoutInCell="1" allowOverlap="1" wp14:anchorId="4D7F05C4" wp14:editId="3F3BC6CA">
            <wp:simplePos x="0" y="0"/>
            <wp:positionH relativeFrom="margin">
              <wp:posOffset>59055</wp:posOffset>
            </wp:positionH>
            <wp:positionV relativeFrom="paragraph">
              <wp:posOffset>1842135</wp:posOffset>
            </wp:positionV>
            <wp:extent cx="5629275" cy="4429125"/>
            <wp:effectExtent l="19050" t="19050" r="28575" b="28575"/>
            <wp:wrapTopAndBottom/>
            <wp:docPr id="4" name="Resim 4" descr="dağ, Hava fotoğrafçılığı, dış mekan, kuş bakışı görünü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descr="dağ, Hava fotoğrafçılığı, dış mekan, kuş bakışı görünüm içeren bir resim&#10;&#10;Açıklama otomatik olarak oluşturuldu"/>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5629275" cy="44291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2329">
        <w:t xml:space="preserve"> </w:t>
      </w:r>
      <w:r w:rsidRPr="004C41C8">
        <w:rPr>
          <w:rFonts w:ascii="Times New Roman" w:hAnsi="Times New Roman"/>
          <w:lang w:val="en-US"/>
        </w:rPr>
        <w:t>Urartian</w:t>
      </w:r>
      <w:r w:rsidRPr="00FB2329">
        <w:rPr>
          <w:rFonts w:ascii="Times New Roman" w:eastAsia="Calibri" w:hAnsi="Times New Roman" w:cs="Times New Roman"/>
          <w:noProof/>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US"/>
        </w:rPr>
        <w:t xml:space="preserve">architecture demonstrates a unique development in harmony with the geographical conditions of its topology. The need to build large cities with citadels, palaces, temples, storage rooms, lower settlements, necropolises, and populations that bordered tens of thousands came </w:t>
      </w:r>
      <w:r w:rsidRPr="00FB2329">
        <w:rPr>
          <w:rFonts w:ascii="Times New Roman" w:eastAsia="Calibri" w:hAnsi="Times New Roman" w:cs="Times New Roman"/>
          <w:noProof/>
        </w:rPr>
        <w:t>into</w:t>
      </w:r>
      <w:r w:rsidRPr="004C41C8">
        <w:rPr>
          <w:rFonts w:ascii="Times New Roman" w:hAnsi="Times New Roman"/>
          <w:lang w:val="en-US"/>
        </w:rPr>
        <w:t xml:space="preserve"> existence for the first time with the Urartu</w:t>
      </w:r>
      <w:r w:rsidRPr="00FB2329">
        <w:rPr>
          <w:rFonts w:ascii="Times New Roman" w:eastAsia="Calibri" w:hAnsi="Times New Roman" w:cs="Times New Roman"/>
          <w:noProof/>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US"/>
        </w:rPr>
        <w:t>(Avcı, 2015; Grekyan, 2017). The attributes of this "settled character"</w:t>
      </w:r>
      <w:r w:rsidRPr="00427476">
        <w:rPr>
          <w:rStyle w:val="DipnotBavurusu"/>
          <w:rFonts w:asciiTheme="majorBidi" w:hAnsiTheme="majorBidi"/>
          <w:lang w:val="en-GB"/>
        </w:rPr>
        <w:footnoteReference w:id="39"/>
      </w:r>
      <w:r w:rsidRPr="004C41C8">
        <w:rPr>
          <w:rFonts w:ascii="Times New Roman" w:hAnsi="Times New Roman"/>
          <w:lang w:val="en-US"/>
        </w:rPr>
        <w:t xml:space="preserve"> kingdom culture created by the Urartian mostly appeared in the capital, </w:t>
      </w:r>
      <w:r w:rsidR="006A38F9" w:rsidRPr="004C41C8">
        <w:rPr>
          <w:rFonts w:ascii="Times New Roman" w:hAnsi="Times New Roman"/>
          <w:lang w:val="en-US"/>
        </w:rPr>
        <w:t>Ṭušpa</w:t>
      </w:r>
      <w:r w:rsidR="006A38F9" w:rsidRPr="00FB2329">
        <w:rPr>
          <w:rFonts w:ascii="Times New Roman" w:eastAsia="Calibri" w:hAnsi="Times New Roman" w:cs="Times New Roman"/>
          <w:noProof/>
        </w:rPr>
        <w:t xml:space="preserve"> (</w:t>
      </w:r>
      <w:r w:rsidRPr="004C41C8">
        <w:rPr>
          <w:rFonts w:ascii="Times New Roman" w:hAnsi="Times New Roman"/>
          <w:lang w:val="en-US"/>
        </w:rPr>
        <w:t xml:space="preserve">Fig. 1). For this reason, the kingdom of Urartu is sometimes called </w:t>
      </w:r>
      <w:r w:rsidRPr="00FB2329">
        <w:rPr>
          <w:rFonts w:ascii="Times New Roman" w:eastAsia="Calibri" w:hAnsi="Times New Roman" w:cs="Times New Roman"/>
          <w:noProof/>
        </w:rPr>
        <w:t>"</w:t>
      </w:r>
      <w:r w:rsidRPr="004C41C8">
        <w:rPr>
          <w:rFonts w:ascii="Times New Roman" w:hAnsi="Times New Roman"/>
          <w:lang w:val="en-US"/>
        </w:rPr>
        <w:t>The Kingdom of Van</w:t>
      </w:r>
      <w:r w:rsidRPr="00FB2329">
        <w:rPr>
          <w:rFonts w:ascii="Times New Roman" w:eastAsia="Calibri" w:hAnsi="Times New Roman" w:cs="Times New Roman"/>
          <w:noProof/>
        </w:rPr>
        <w:t>"</w:t>
      </w:r>
      <w:r w:rsidRPr="004C41C8">
        <w:rPr>
          <w:rFonts w:ascii="Times New Roman" w:hAnsi="Times New Roman"/>
          <w:lang w:val="en-US"/>
        </w:rPr>
        <w:t xml:space="preserve"> (Piotrovskij, 1967; Çilingiroğlu, 1988).</w:t>
      </w:r>
    </w:p>
    <w:p w14:paraId="5C5E8DC5" w14:textId="77777777" w:rsidR="00EC68C5" w:rsidRPr="004C41C8" w:rsidRDefault="00EC68C5" w:rsidP="00EC68C5">
      <w:pPr>
        <w:spacing w:line="276" w:lineRule="auto"/>
        <w:jc w:val="center"/>
        <w:rPr>
          <w:rFonts w:ascii="Times New Roman" w:hAnsi="Times New Roman"/>
          <w:lang w:val="en-GB"/>
        </w:rPr>
      </w:pPr>
    </w:p>
    <w:p w14:paraId="61E64756" w14:textId="77777777" w:rsidR="009320BE" w:rsidRDefault="009320BE" w:rsidP="00EC68C5">
      <w:pPr>
        <w:spacing w:line="276" w:lineRule="auto"/>
        <w:jc w:val="center"/>
        <w:rPr>
          <w:rFonts w:ascii="Times New Roman" w:hAnsi="Times New Roman"/>
          <w:lang w:val="en-GB"/>
        </w:rPr>
      </w:pPr>
    </w:p>
    <w:p w14:paraId="32719E8D" w14:textId="73461025"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1 A view of the Ṭušpa citadel from the west.</w:t>
      </w:r>
    </w:p>
    <w:p w14:paraId="4BDC54D9" w14:textId="77777777" w:rsidR="00EC68C5" w:rsidRPr="004C41C8" w:rsidRDefault="00EC68C5" w:rsidP="00EC68C5">
      <w:pPr>
        <w:spacing w:line="276" w:lineRule="auto"/>
        <w:jc w:val="both"/>
        <w:rPr>
          <w:rFonts w:ascii="Times New Roman" w:hAnsi="Times New Roman"/>
          <w:lang w:val="en-GB"/>
        </w:rPr>
      </w:pPr>
    </w:p>
    <w:p w14:paraId="5EAFE990" w14:textId="5EE82C1F" w:rsidR="00EC68C5" w:rsidRPr="004C41C8" w:rsidRDefault="00EC68C5" w:rsidP="00EC68C5">
      <w:pPr>
        <w:spacing w:line="276" w:lineRule="auto"/>
        <w:jc w:val="both"/>
        <w:rPr>
          <w:rFonts w:ascii="Times New Roman" w:hAnsi="Times New Roman"/>
          <w:lang w:val="en-US"/>
        </w:rPr>
      </w:pPr>
      <w:r w:rsidRPr="004C41C8">
        <w:rPr>
          <w:rFonts w:ascii="Times New Roman" w:hAnsi="Times New Roman"/>
          <w:lang w:val="en-US"/>
        </w:rPr>
        <w:t>Sardurburç</w:t>
      </w:r>
      <w:r w:rsidRPr="00EF0FDE">
        <w:rPr>
          <w:rFonts w:ascii="Times New Roman" w:eastAsia="Calibri" w:hAnsi="Times New Roman" w:cs="Times New Roman"/>
          <w:noProof/>
        </w:rPr>
        <w:t>,</w:t>
      </w:r>
      <w:r w:rsidRPr="00427476">
        <w:rPr>
          <w:rFonts w:asciiTheme="majorBidi" w:hAnsiTheme="majorBidi" w:cstheme="majorBidi"/>
          <w:bCs/>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bCs/>
          <w:lang w:val="en-GB"/>
        </w:rPr>
        <w:fldChar w:fldCharType="end"/>
      </w:r>
      <w:r w:rsidRPr="004C41C8">
        <w:rPr>
          <w:rFonts w:ascii="Times New Roman" w:hAnsi="Times New Roman"/>
          <w:lang w:val="en-US"/>
        </w:rPr>
        <w:t xml:space="preserve"> also known as Madırburç</w:t>
      </w:r>
      <w:r w:rsidRPr="00EF0FDE">
        <w:rPr>
          <w:rFonts w:ascii="Times New Roman" w:eastAsia="Calibri" w:hAnsi="Times New Roman" w:cs="Times New Roman"/>
          <w:noProof/>
        </w:rPr>
        <w:t>,</w:t>
      </w:r>
      <w:r w:rsidRPr="00427476">
        <w:rPr>
          <w:rFonts w:asciiTheme="majorBidi" w:hAnsiTheme="majorBidi" w:cstheme="majorBidi"/>
          <w:i/>
          <w:iCs/>
          <w:lang w:val="en-GB"/>
        </w:rPr>
        <w:fldChar w:fldCharType="begin"/>
      </w:r>
      <w:r w:rsidRPr="00427476">
        <w:rPr>
          <w:lang w:val="en-GB"/>
        </w:rPr>
        <w:instrText xml:space="preserve"> XE "</w:instrText>
      </w:r>
      <w:r w:rsidRPr="00427476">
        <w:rPr>
          <w:rFonts w:asciiTheme="majorBidi" w:hAnsiTheme="majorBidi" w:cstheme="majorBidi"/>
          <w:lang w:val="en-GB"/>
        </w:rPr>
        <w:instrText>Madırburç</w:instrText>
      </w:r>
      <w:r w:rsidRPr="00427476">
        <w:rPr>
          <w:lang w:val="en-GB"/>
        </w:rPr>
        <w:instrText xml:space="preserve">" </w:instrText>
      </w:r>
      <w:r w:rsidRPr="00427476">
        <w:rPr>
          <w:rFonts w:asciiTheme="majorBidi" w:hAnsiTheme="majorBidi" w:cstheme="majorBidi"/>
          <w:i/>
          <w:iCs/>
          <w:lang w:val="en-GB"/>
        </w:rPr>
        <w:fldChar w:fldCharType="end"/>
      </w:r>
      <w:r w:rsidRPr="004C41C8">
        <w:rPr>
          <w:rFonts w:ascii="Times New Roman" w:hAnsi="Times New Roman"/>
          <w:lang w:val="en-US"/>
        </w:rPr>
        <w:t xml:space="preserve"> located at the western end of Ṭušpa</w:t>
      </w:r>
      <w:r w:rsidRPr="00EF0FDE">
        <w:rPr>
          <w:rFonts w:ascii="Times New Roman" w:eastAsia="Calibri" w:hAnsi="Times New Roman" w:cs="Times New Roman"/>
          <w:noProof/>
        </w:rPr>
        <w:t> </w:t>
      </w:r>
      <w:r w:rsidRPr="004C41C8">
        <w:rPr>
          <w:rFonts w:ascii="Times New Roman" w:hAnsi="Times New Roman"/>
          <w:lang w:val="en-US"/>
        </w:rPr>
        <w:t>citadel</w:t>
      </w:r>
      <w:r w:rsidRPr="00EF0FDE">
        <w:rPr>
          <w:rFonts w:ascii="Times New Roman" w:eastAsia="Calibri" w:hAnsi="Times New Roman" w:cs="Times New Roman"/>
          <w:noProof/>
        </w:rPr>
        <w:t>,</w:t>
      </w:r>
      <w:r w:rsidRPr="004C41C8">
        <w:rPr>
          <w:rFonts w:ascii="Times New Roman" w:hAnsi="Times New Roman"/>
          <w:lang w:val="en-US"/>
        </w:rPr>
        <w:t xml:space="preserve"> features the earliest found Urartian</w:t>
      </w:r>
      <w:r w:rsidRPr="00EF0FDE">
        <w:rPr>
          <w:rFonts w:ascii="Times New Roman" w:eastAsia="Calibri" w:hAnsi="Times New Roman" w:cs="Times New Roman"/>
          <w:noProof/>
        </w:rPr>
        <w:t>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Urartian</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 xml:space="preserve"> </w:t>
      </w:r>
      <w:r w:rsidRPr="004C41C8">
        <w:rPr>
          <w:rFonts w:ascii="Times New Roman" w:hAnsi="Times New Roman"/>
          <w:lang w:val="en-US"/>
        </w:rPr>
        <w:t>inscriptions and is the oldest royal building of the capital Ṭušpa and Urartu</w:t>
      </w:r>
      <w:r w:rsidR="00FA65C8">
        <w:rPr>
          <w:rFonts w:ascii="Times New Roman" w:eastAsia="Calibri" w:hAnsi="Times New Roman" w:cs="Times New Roman"/>
          <w:noProof/>
        </w:rPr>
        <w:t xml:space="preserve">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Urartu</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w:t>
      </w:r>
      <w:r w:rsidRPr="004C41C8">
        <w:rPr>
          <w:rFonts w:ascii="Times New Roman" w:hAnsi="Times New Roman"/>
          <w:lang w:val="en-US"/>
        </w:rPr>
        <w:t xml:space="preserve"> The building is noteworthy as it demonstrates how advanced the Urartian architecture was even during the establishment phase of the building (Fig. 2).</w:t>
      </w:r>
    </w:p>
    <w:p w14:paraId="1DA02643"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lastRenderedPageBreak/>
        <w:t>Fig. 2 The current view of the Sardurburç</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Sardurburç</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w:t>
      </w:r>
      <w:r w:rsidRPr="00CE54AB">
        <w:rPr>
          <w:rFonts w:ascii="Times New Roman" w:eastAsia="Calibri" w:hAnsi="Times New Roman" w:cs="Times New Roman"/>
          <w:bCs/>
          <w:noProof/>
        </w:rPr>
        <w:drawing>
          <wp:anchor distT="0" distB="0" distL="114300" distR="114300" simplePos="0" relativeHeight="251866112" behindDoc="0" locked="0" layoutInCell="1" allowOverlap="1" wp14:anchorId="1A552201" wp14:editId="4F064080">
            <wp:simplePos x="0" y="0"/>
            <wp:positionH relativeFrom="margin">
              <wp:align>center</wp:align>
            </wp:positionH>
            <wp:positionV relativeFrom="margin">
              <wp:align>top</wp:align>
            </wp:positionV>
            <wp:extent cx="5795010" cy="2678430"/>
            <wp:effectExtent l="19050" t="19050" r="15240" b="26670"/>
            <wp:wrapTopAndBottom/>
            <wp:docPr id="1902551379" name="Resim 1902551379" descr="dış mekan, gökyüzü, bitki,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dış mekan, gökyüzü, bitki, çim içeren bir resim&#10;&#10;Açıklama otomatik olarak oluşturuldu"/>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5795010" cy="267843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E88FDD" w14:textId="77777777" w:rsidR="00EC68C5" w:rsidRPr="004C41C8" w:rsidRDefault="00EC68C5" w:rsidP="00EC68C5">
      <w:pPr>
        <w:spacing w:line="276" w:lineRule="auto"/>
        <w:jc w:val="both"/>
        <w:rPr>
          <w:rFonts w:ascii="Times New Roman" w:hAnsi="Times New Roman"/>
          <w:lang w:val="en-GB"/>
        </w:rPr>
      </w:pPr>
    </w:p>
    <w:p w14:paraId="2BE3DB9E" w14:textId="18EEB68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In 1839, French researcher C. Texier</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iCs/>
          <w:color w:val="000000" w:themeColor="text1"/>
          <w:lang w:val="en-GB"/>
        </w:rPr>
        <w:instrText>Texier</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visited Van Fortress</w:t>
      </w:r>
      <w:r w:rsidRPr="00EF0FDE">
        <w:rPr>
          <w:rFonts w:ascii="Times New Roman" w:eastAsia="Calibri" w:hAnsi="Times New Roman" w:cs="Times New Roman"/>
          <w:lang w:val="en-GB"/>
        </w:rPr>
        <w:t> </w:t>
      </w:r>
      <w:r w:rsidRPr="004C41C8">
        <w:rPr>
          <w:rFonts w:ascii="Times New Roman" w:hAnsi="Times New Roman"/>
          <w:lang w:val="en-GB"/>
        </w:rPr>
        <w:t>and recorded engravings and drawings reflecting the appearance of the building and the city (Texier, 1842) (Fig. 3). Later, F. Schulz</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Schulz</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(Schulz, 1840) and A. H. Layard</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iCs/>
          <w:color w:val="000000" w:themeColor="text1"/>
          <w:lang w:val="en-GB"/>
        </w:rPr>
        <w:instrText>Layard</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(Layard, 1853: 394-395) made various investigations in the Van Fortress</w:t>
      </w:r>
      <w:r w:rsidRPr="00EF0FDE">
        <w:rPr>
          <w:rFonts w:ascii="Times New Roman" w:eastAsia="Calibri" w:hAnsi="Times New Roman" w:cs="Times New Roman"/>
          <w:lang w:val="en-GB"/>
        </w:rPr>
        <w:t>. They</w:t>
      </w:r>
      <w:r w:rsidRPr="004C41C8">
        <w:rPr>
          <w:rFonts w:ascii="Times New Roman" w:hAnsi="Times New Roman"/>
          <w:lang w:val="en-GB"/>
        </w:rPr>
        <w:t xml:space="preserve"> produced the first copies of the many Urartian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inscriptions with Sardurburç</w:t>
      </w:r>
      <w:r w:rsidRPr="00EF0FDE">
        <w:rPr>
          <w:rFonts w:ascii="Times New Roman" w:eastAsia="Calibri" w:hAnsi="Times New Roman" w:cs="Times New Roman"/>
          <w:lang w:val="en-GB"/>
        </w:rPr>
        <w:t>.</w:t>
      </w:r>
      <w:r w:rsidRPr="00427476">
        <w:rPr>
          <w:rFonts w:asciiTheme="majorBidi" w:hAnsiTheme="majorBidi" w:cstheme="majorBidi"/>
          <w:bCs/>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bCs/>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Following the copies of Schulz and Layard, the Sardurburç inscriptions</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 inscriptions</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which are very important in terms of Urartian history, published gradually by various times (Sayce, 1894; Belck, Lehmann &amp; Virchow, 1900; Sandalgian, 1900; Lehmann-Haupt</w:t>
      </w:r>
      <w:r w:rsidRPr="00427476">
        <w:rPr>
          <w:rFonts w:asciiTheme="majorBidi" w:hAnsiTheme="majorBidi" w:cstheme="majorBidi"/>
          <w:lang w:val="en-GB"/>
        </w:rPr>
        <w:t>,</w:t>
      </w:r>
      <w:r w:rsidRPr="004C41C8">
        <w:rPr>
          <w:rFonts w:ascii="Times New Roman" w:hAnsi="Times New Roman"/>
          <w:lang w:val="en-GB"/>
        </w:rPr>
        <w:t xml:space="preserve"> 1906, 1935; Kınal, 1954; König, 1955; Burney, 1957; Bilgiç, 1959; Melikishvili, 1960; Wilhelm, 1986).</w:t>
      </w:r>
    </w:p>
    <w:p w14:paraId="5F6CF711" w14:textId="5B887478" w:rsidR="00EC68C5" w:rsidRPr="004C41C8" w:rsidRDefault="00EC68C5" w:rsidP="00EC68C5">
      <w:pPr>
        <w:spacing w:line="276" w:lineRule="auto"/>
        <w:jc w:val="center"/>
        <w:rPr>
          <w:rFonts w:ascii="Times New Roman" w:hAnsi="Times New Roman"/>
          <w:lang w:val="en-GB"/>
        </w:rPr>
      </w:pPr>
      <w:r w:rsidRPr="00CE54AB">
        <w:rPr>
          <w:rFonts w:ascii="Times New Roman" w:eastAsia="Calibri" w:hAnsi="Times New Roman" w:cs="Times New Roman"/>
          <w:noProof/>
        </w:rPr>
        <w:drawing>
          <wp:anchor distT="0" distB="0" distL="114300" distR="114300" simplePos="0" relativeHeight="251867136" behindDoc="0" locked="0" layoutInCell="1" allowOverlap="1" wp14:anchorId="3DE55AEC" wp14:editId="22DDE335">
            <wp:simplePos x="0" y="0"/>
            <wp:positionH relativeFrom="margin">
              <wp:align>center</wp:align>
            </wp:positionH>
            <wp:positionV relativeFrom="paragraph">
              <wp:posOffset>1042</wp:posOffset>
            </wp:positionV>
            <wp:extent cx="5756910" cy="3451157"/>
            <wp:effectExtent l="19050" t="19050" r="15240" b="16510"/>
            <wp:wrapTopAndBottom/>
            <wp:docPr id="250484764" name="Resim 250484764" descr="C:\Users\Asus\Desktop\Sardurburç Düzeltme 2024 ocak\Hocaya gönderilen_08_08_2021\Fig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Sardurburç Düzeltme 2024 ocak\Hocaya gönderilen_08_08_2021\Figures\3.jpg"/>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756910" cy="3451157"/>
                    </a:xfrm>
                    <a:prstGeom prst="rect">
                      <a:avLst/>
                    </a:prstGeom>
                    <a:noFill/>
                    <a:ln>
                      <a:solidFill>
                        <a:sysClr val="windowText" lastClr="000000"/>
                      </a:solidFill>
                    </a:ln>
                  </pic:spPr>
                </pic:pic>
              </a:graphicData>
            </a:graphic>
          </wp:anchor>
        </w:drawing>
      </w:r>
      <w:r w:rsidRPr="004C41C8">
        <w:rPr>
          <w:rFonts w:ascii="Times New Roman" w:hAnsi="Times New Roman"/>
          <w:lang w:val="en-GB"/>
        </w:rPr>
        <w:t>Fig. 3 Van Fortress in the 19th Century from Texier</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color w:val="000000"/>
          <w:lang w:val="en-GB"/>
        </w:rPr>
        <w:instrText>Texier</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's gravure (Texier, 1842).</w:t>
      </w:r>
    </w:p>
    <w:p w14:paraId="724F29A1" w14:textId="77777777" w:rsidR="00EC68C5" w:rsidRPr="004C41C8" w:rsidRDefault="00EC68C5" w:rsidP="00EC68C5">
      <w:pPr>
        <w:rPr>
          <w:rFonts w:ascii="Times New Roman" w:hAnsi="Times New Roman"/>
          <w:lang w:val="en-GB"/>
        </w:rPr>
      </w:pPr>
      <w:bookmarkStart w:id="75" w:name="_Toc132072519"/>
    </w:p>
    <w:p w14:paraId="61FCF940" w14:textId="77777777" w:rsidR="00EC68C5" w:rsidRPr="004C41C8" w:rsidRDefault="00EC68C5" w:rsidP="00EC68C5">
      <w:pPr>
        <w:keepNext/>
        <w:keepLines/>
        <w:spacing w:before="320" w:after="80" w:line="276" w:lineRule="auto"/>
        <w:outlineLvl w:val="2"/>
        <w:rPr>
          <w:rFonts w:ascii="Times New Roman" w:hAnsi="Times New Roman"/>
          <w:b/>
          <w:color w:val="0D0D0D"/>
          <w:szCs w:val="22"/>
          <w:lang w:val="en-GB"/>
        </w:rPr>
      </w:pPr>
      <w:bookmarkStart w:id="76" w:name="_Toc173231212"/>
      <w:r w:rsidRPr="004C41C8">
        <w:rPr>
          <w:rFonts w:ascii="Times New Roman" w:hAnsi="Times New Roman"/>
          <w:b/>
          <w:color w:val="0D0D0D"/>
          <w:sz w:val="28"/>
          <w:szCs w:val="22"/>
          <w:lang w:val="en-GB"/>
        </w:rPr>
        <w:lastRenderedPageBreak/>
        <w:t xml:space="preserve">5.2. Inscriptions and Historical </w:t>
      </w:r>
      <w:bookmarkEnd w:id="75"/>
      <w:r w:rsidRPr="004C41C8">
        <w:rPr>
          <w:rFonts w:ascii="Times New Roman" w:hAnsi="Times New Roman"/>
          <w:b/>
          <w:color w:val="0D0D0D"/>
          <w:sz w:val="28"/>
          <w:szCs w:val="22"/>
          <w:lang w:val="en-GB"/>
        </w:rPr>
        <w:t>Assessments</w:t>
      </w:r>
      <w:bookmarkEnd w:id="76"/>
    </w:p>
    <w:p w14:paraId="40F2FE84" w14:textId="6F8DF2BB" w:rsidR="00EC68C5" w:rsidRDefault="00EC68C5" w:rsidP="00EC68C5">
      <w:pPr>
        <w:spacing w:line="276" w:lineRule="auto"/>
        <w:jc w:val="both"/>
        <w:rPr>
          <w:rFonts w:ascii="Times New Roman" w:hAnsi="Times New Roman"/>
          <w:lang w:val="en-GB"/>
        </w:rPr>
      </w:pPr>
      <w:r w:rsidRPr="004C41C8">
        <w:rPr>
          <w:rFonts w:ascii="Times New Roman" w:hAnsi="Times New Roman"/>
          <w:lang w:val="en-GB"/>
        </w:rPr>
        <w:t>Since its establishment by Sarduri</w:t>
      </w:r>
      <w:r w:rsidRPr="00EF0FDE">
        <w:rPr>
          <w:rFonts w:ascii="Times New Roman" w:eastAsia="Calibri" w:hAnsi="Times New Roman" w:cs="Times New Roman"/>
          <w:lang w:val="en-GB"/>
        </w:rPr>
        <w:t> </w:t>
      </w:r>
      <w:r w:rsidRPr="004C41C8">
        <w:rPr>
          <w:rFonts w:ascii="Times New Roman" w:hAnsi="Times New Roman"/>
          <w:lang w:val="en-GB"/>
        </w:rPr>
        <w:t>I</w:t>
      </w:r>
      <w:r w:rsidR="00C1513A">
        <w:rPr>
          <w:rFonts w:ascii="Times New Roman" w:hAnsi="Times New Roman"/>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imes New Roman" w:hAnsi="Times New Roman"/>
          <w:lang w:val="en-GB"/>
        </w:rPr>
        <w:fldChar w:fldCharType="end"/>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Sarduri 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(858-830 BCE), the kingdom of Urartu</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had been a </w:t>
      </w:r>
      <w:r w:rsidRPr="00EF0FDE">
        <w:rPr>
          <w:rFonts w:ascii="Times New Roman" w:eastAsia="Calibri" w:hAnsi="Times New Roman" w:cs="Times New Roman"/>
          <w:lang w:val="en-GB"/>
        </w:rPr>
        <w:t>severe</w:t>
      </w:r>
      <w:r w:rsidRPr="004C41C8">
        <w:rPr>
          <w:rFonts w:ascii="Times New Roman" w:hAnsi="Times New Roman"/>
          <w:lang w:val="en-GB"/>
        </w:rPr>
        <w:t xml:space="preserve"> political rival for Assyria</w:t>
      </w:r>
      <w:r w:rsidRPr="00EF0FDE">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eastAsia="Times New Roman" w:hAnsiTheme="majorBidi" w:cstheme="majorBidi"/>
          <w:color w:val="000000"/>
          <w:lang w:val="en-GB" w:eastAsia="tr-TR" w:bidi="he-IL"/>
        </w:rPr>
        <w:instrText>Assyria</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which lay in its south. The first mention of Sarduri can be observed in the records marking the 27th year of reign (832 BCE) of </w:t>
      </w:r>
      <w:r w:rsidRPr="00EF0FDE">
        <w:rPr>
          <w:rFonts w:ascii="Times New Roman" w:eastAsia="Calibri" w:hAnsi="Times New Roman" w:cs="Times New Roman"/>
          <w:lang w:val="en-GB"/>
        </w:rPr>
        <w:t xml:space="preserve">the </w:t>
      </w:r>
      <w:r w:rsidRPr="004C41C8">
        <w:rPr>
          <w:rFonts w:ascii="Times New Roman" w:hAnsi="Times New Roman"/>
          <w:lang w:val="en-GB"/>
        </w:rPr>
        <w:t>Assyrian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king Shalmaneser III</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Style w:val="Vurgu"/>
          <w:rFonts w:asciiTheme="majorBidi" w:hAnsiTheme="majorBidi" w:cstheme="majorBidi"/>
          <w:shd w:val="clear" w:color="auto" w:fill="FFFFFF"/>
          <w:lang w:val="en-GB"/>
        </w:rPr>
        <w:instrText>Shalmaneser</w:instrText>
      </w:r>
      <w:r w:rsidRPr="00427476">
        <w:rPr>
          <w:rFonts w:asciiTheme="majorBidi" w:hAnsiTheme="majorBidi" w:cstheme="majorBidi"/>
          <w:lang w:val="en-GB"/>
        </w:rPr>
        <w:instrText xml:space="preserve"> III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(in Assyrian Šulmanu-ašared</w:t>
      </w:r>
      <w:r w:rsidRPr="00EF0FDE">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9320BE">
        <w:rPr>
          <w:rFonts w:asciiTheme="majorBidi" w:hAnsiTheme="majorBidi" w:cstheme="majorBidi"/>
          <w:lang w:val="en-GB"/>
        </w:rPr>
        <w:instrText>Šulmanu-ašared</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859-824 BCE</w:t>
      </w:r>
      <w:r w:rsidRPr="00EF0FDE">
        <w:rPr>
          <w:rFonts w:ascii="Times New Roman" w:eastAsia="Calibri" w:hAnsi="Times New Roman" w:cs="Times New Roman"/>
          <w:lang w:val="en-GB"/>
        </w:rPr>
        <w:t>);</w:t>
      </w:r>
      <w:r w:rsidRPr="004C41C8">
        <w:rPr>
          <w:rFonts w:ascii="Times New Roman" w:hAnsi="Times New Roman"/>
          <w:lang w:val="en-GB"/>
        </w:rPr>
        <w:t xml:space="preserve"> he is mentioned as </w:t>
      </w:r>
      <w:r w:rsidRPr="00EF0FDE">
        <w:rPr>
          <w:rFonts w:ascii="Times New Roman" w:eastAsia="Calibri" w:hAnsi="Times New Roman" w:cs="Times New Roman"/>
          <w:lang w:val="en-GB"/>
        </w:rPr>
        <w:t>Seduri</w:t>
      </w:r>
      <w:r>
        <w:rPr>
          <w:rFonts w:asciiTheme="majorBidi" w:hAnsiTheme="majorBidi" w:cstheme="majorBidi"/>
          <w:i/>
          <w:iCs/>
          <w:lang w:val="en-GB"/>
        </w:rPr>
        <w:t xml:space="preserve"> </w:t>
      </w:r>
      <w:r w:rsidRPr="00427476">
        <w:rPr>
          <w:rFonts w:asciiTheme="majorBidi" w:hAnsiTheme="majorBidi" w:cstheme="majorBidi"/>
          <w:i/>
          <w:iCs/>
          <w:lang w:val="en-GB"/>
        </w:rPr>
        <w:fldChar w:fldCharType="begin"/>
      </w:r>
      <w:r w:rsidRPr="00427476">
        <w:rPr>
          <w:lang w:val="en-GB"/>
        </w:rPr>
        <w:instrText xml:space="preserve"> XE "</w:instrText>
      </w:r>
      <w:r w:rsidRPr="00427476">
        <w:rPr>
          <w:rStyle w:val="y2iqfc"/>
          <w:rFonts w:asciiTheme="majorBidi" w:eastAsia="Arial" w:hAnsiTheme="majorBidi" w:cstheme="majorBidi"/>
          <w:color w:val="202124"/>
          <w:lang w:val="en-GB"/>
        </w:rPr>
        <w:instrText>Seduri</w:instrText>
      </w:r>
      <w:r w:rsidRPr="00427476">
        <w:rPr>
          <w:lang w:val="en-GB"/>
        </w:rPr>
        <w:instrText xml:space="preserve">" </w:instrText>
      </w:r>
      <w:r w:rsidRPr="00427476">
        <w:rPr>
          <w:rFonts w:asciiTheme="majorBidi" w:hAnsiTheme="majorBidi" w:cstheme="majorBidi"/>
          <w:i/>
          <w:iCs/>
          <w:lang w:val="en-GB"/>
        </w:rPr>
        <w:fldChar w:fldCharType="end"/>
      </w:r>
      <w:r w:rsidR="009320BE">
        <w:rPr>
          <w:rFonts w:asciiTheme="majorBidi" w:hAnsiTheme="majorBidi" w:cstheme="majorBidi"/>
          <w:i/>
          <w:iCs/>
          <w:lang w:val="en-GB"/>
        </w:rPr>
        <w:t xml:space="preserve"> </w:t>
      </w:r>
      <w:r w:rsidRPr="004C41C8">
        <w:rPr>
          <w:rFonts w:ascii="Times New Roman" w:hAnsi="Times New Roman"/>
          <w:lang w:val="en-GB"/>
        </w:rPr>
        <w:t>(Grayson, 1996: A.0. 102.14, 62-71). The Urartian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king mentioned in Assyrian sources is most likely the owner of the inscriptions on Sardurburç</w:t>
      </w:r>
      <w:r w:rsidRPr="00EF0FDE">
        <w:rPr>
          <w:rFonts w:ascii="Times New Roman" w:eastAsia="Calibri" w:hAnsi="Times New Roman" w:cs="Times New Roman"/>
          <w:lang w:val="en-GB"/>
        </w:rPr>
        <w:t> </w:t>
      </w:r>
      <w:r w:rsidRPr="00427476">
        <w:rPr>
          <w:rFonts w:asciiTheme="majorBidi" w:hAnsiTheme="majorBidi" w:cstheme="majorBidi"/>
          <w:bCs/>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bCs/>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in Ṭušpa</w:t>
      </w:r>
      <w:r w:rsidRPr="00EF0FDE">
        <w:rPr>
          <w:rFonts w:ascii="Times New Roman" w:eastAsia="Calibri" w:hAnsi="Times New Roman" w:cs="Times New Roman"/>
          <w:lang w:val="en-GB"/>
        </w:rPr>
        <w:t xml:space="preserve">, </w:t>
      </w:r>
      <w:r w:rsidRPr="004C41C8">
        <w:rPr>
          <w:rFonts w:ascii="Times New Roman" w:hAnsi="Times New Roman"/>
          <w:lang w:val="en-GB"/>
        </w:rPr>
        <w:t>Sarduri son of Lutibri</w:t>
      </w:r>
      <w:r w:rsidRPr="00427476">
        <w:rPr>
          <w:rFonts w:asciiTheme="majorBidi" w:hAnsiTheme="majorBidi" w:cstheme="majorBidi"/>
          <w:bCs/>
          <w:lang w:val="en-GB"/>
        </w:rPr>
        <w:fldChar w:fldCharType="begin"/>
      </w:r>
      <w:r w:rsidRPr="00427476">
        <w:rPr>
          <w:lang w:val="en-GB"/>
        </w:rPr>
        <w:instrText xml:space="preserve"> XE "</w:instrText>
      </w:r>
      <w:r w:rsidRPr="00427476">
        <w:rPr>
          <w:rFonts w:asciiTheme="majorBidi" w:eastAsia="Times New Roman" w:hAnsiTheme="majorBidi" w:cstheme="majorBidi"/>
          <w:color w:val="202124"/>
          <w:lang w:val="en-GB" w:eastAsia="it-IT"/>
        </w:rPr>
        <w:instrText>Lutibri</w:instrText>
      </w:r>
      <w:r w:rsidRPr="00427476">
        <w:rPr>
          <w:lang w:val="en-GB"/>
        </w:rPr>
        <w:instrText xml:space="preserve">" </w:instrText>
      </w:r>
      <w:r w:rsidRPr="00427476">
        <w:rPr>
          <w:rFonts w:asciiTheme="majorBidi" w:hAnsiTheme="majorBidi" w:cstheme="majorBidi"/>
          <w:bCs/>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(Sarduri I).</w:t>
      </w:r>
    </w:p>
    <w:p w14:paraId="451AE7DE" w14:textId="77777777" w:rsidR="00EC68C5" w:rsidRPr="004E4880" w:rsidRDefault="00EC68C5" w:rsidP="00EC68C5">
      <w:pPr>
        <w:spacing w:line="276" w:lineRule="auto"/>
        <w:jc w:val="both"/>
        <w:rPr>
          <w:rFonts w:ascii="Times New Roman" w:hAnsi="Times New Roman"/>
          <w:lang w:val="en-GB"/>
        </w:rPr>
      </w:pPr>
    </w:p>
    <w:p w14:paraId="343E084A" w14:textId="4E2596EA" w:rsidR="00EC68C5" w:rsidRDefault="00EC68C5" w:rsidP="00EC68C5">
      <w:pPr>
        <w:spacing w:line="276" w:lineRule="auto"/>
        <w:jc w:val="both"/>
        <w:rPr>
          <w:rFonts w:ascii="Times New Roman" w:hAnsi="Times New Roman"/>
          <w:lang w:val="en-GB"/>
        </w:rPr>
      </w:pPr>
      <w:r w:rsidRPr="004C41C8">
        <w:rPr>
          <w:rFonts w:ascii="Times New Roman" w:hAnsi="Times New Roman"/>
          <w:lang w:val="en-GB"/>
        </w:rPr>
        <w:t xml:space="preserve">With these </w:t>
      </w:r>
      <w:r w:rsidRPr="00EF0FDE">
        <w:rPr>
          <w:rFonts w:ascii="Times New Roman" w:eastAsia="Calibri" w:hAnsi="Times New Roman" w:cs="Times New Roman"/>
          <w:lang w:val="en-GB"/>
        </w:rPr>
        <w:t>six</w:t>
      </w:r>
      <w:r w:rsidRPr="004C41C8">
        <w:rPr>
          <w:rFonts w:ascii="Times New Roman" w:hAnsi="Times New Roman"/>
          <w:lang w:val="en-GB"/>
        </w:rPr>
        <w:t xml:space="preserve"> inscriptions that are repetitive in terms of content and written in Assyrian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language and script, not only Sardurburç</w:t>
      </w:r>
      <w:r w:rsidRPr="00427476">
        <w:rPr>
          <w:rFonts w:asciiTheme="majorBidi" w:hAnsiTheme="majorBidi" w:cstheme="majorBidi"/>
          <w:bCs/>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bCs/>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but also the foundation of the capital Ṭušpa</w:t>
      </w:r>
      <w:r w:rsidRPr="00EF0FDE">
        <w:rPr>
          <w:rFonts w:ascii="Times New Roman" w:eastAsia="Calibri" w:hAnsi="Times New Roman" w:cs="Times New Roman"/>
          <w:lang w:val="en-GB"/>
        </w:rPr>
        <w:t> </w:t>
      </w:r>
      <w:r w:rsidR="00FA65C8">
        <w:rPr>
          <w:rFonts w:asciiTheme="majorBidi" w:hAnsiTheme="majorBidi" w:cstheme="majorBidi"/>
          <w:lang w:val="en-GB"/>
        </w:rPr>
        <w:t xml:space="preserve"> </w:t>
      </w:r>
      <w:r w:rsidRPr="004C41C8">
        <w:rPr>
          <w:rFonts w:ascii="Times New Roman" w:hAnsi="Times New Roman"/>
          <w:lang w:val="en-GB"/>
        </w:rPr>
        <w:t>and the Urartu</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kingdom are declared as follows (Wilhelm, 1986: 101; Salvini, 2008: 97-104, CTU I. A 1-1A-F);</w:t>
      </w:r>
    </w:p>
    <w:p w14:paraId="4AD0D427" w14:textId="77777777" w:rsidR="00EC68C5" w:rsidRPr="004C41C8" w:rsidRDefault="00EC68C5" w:rsidP="00EC68C5">
      <w:pPr>
        <w:spacing w:line="276" w:lineRule="auto"/>
        <w:jc w:val="both"/>
        <w:rPr>
          <w:rFonts w:ascii="Times New Roman" w:hAnsi="Times New Roman"/>
          <w:lang w:val="en-GB"/>
        </w:rPr>
      </w:pPr>
    </w:p>
    <w:p w14:paraId="4867AAC4" w14:textId="77777777" w:rsidR="00EC68C5" w:rsidRPr="004C41C8" w:rsidRDefault="00EC68C5" w:rsidP="00EC68C5">
      <w:pPr>
        <w:spacing w:line="276" w:lineRule="auto"/>
        <w:ind w:left="850" w:right="850"/>
        <w:jc w:val="both"/>
        <w:rPr>
          <w:rFonts w:ascii="Times New Roman" w:hAnsi="Times New Roman"/>
          <w:lang w:val="en-GB"/>
        </w:rPr>
      </w:pPr>
      <w:r w:rsidRPr="004C41C8">
        <w:rPr>
          <w:rFonts w:ascii="Times New Roman" w:hAnsi="Times New Roman"/>
          <w:lang w:val="en-GB"/>
        </w:rPr>
        <w:t>Inscription of Sarduri</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Sarduri</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 son of Lutibri</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color w:val="202124"/>
          <w:lang w:val="en-GB"/>
        </w:rPr>
        <w:instrText>Lutibri</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 great king, strong king, king of the world, king of the land Nairi</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Nairi</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 king who has no equal, marvelous shepherd, fearless in battle, king who subdues those insubordinate to him. (I am) Sarduri, son of Lutibri, king of kings, the one who has received the tribute of all kings. (Thus) speaks Sarduri, son of Lutibri: I carried these limestone blocks from the city Alniunu</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Alniunu</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 xml:space="preserve"> (and) I built this wall.</w:t>
      </w:r>
      <w:r w:rsidRPr="00326604">
        <w:rPr>
          <w:rStyle w:val="DipnotBavurusu"/>
          <w:rFonts w:asciiTheme="majorBidi" w:hAnsiTheme="majorBidi"/>
          <w:lang w:val="en-GB"/>
        </w:rPr>
        <w:footnoteReference w:id="40"/>
      </w:r>
    </w:p>
    <w:p w14:paraId="4C0F0FCC" w14:textId="77777777" w:rsidR="00EC68C5" w:rsidRPr="004C41C8" w:rsidRDefault="00EC68C5" w:rsidP="00EC68C5">
      <w:pPr>
        <w:spacing w:line="276" w:lineRule="auto"/>
        <w:jc w:val="both"/>
        <w:rPr>
          <w:rFonts w:ascii="Times New Roman" w:hAnsi="Times New Roman"/>
          <w:lang w:val="en-GB"/>
        </w:rPr>
      </w:pPr>
    </w:p>
    <w:p w14:paraId="78DDE2D7" w14:textId="6EBB6613"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The fact that the first inscriptions of the Urartu</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are in the Assyrian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language and script is related to the process of importing the script, which was a royal symbol for Urartu from Assyrians. The convergence of the Urartu kingdom with writing took place in three stages (Dinçol &amp; Dinçol, 2010: 177). </w:t>
      </w:r>
      <w:r w:rsidRPr="00EF0FDE">
        <w:rPr>
          <w:rFonts w:ascii="Times New Roman" w:eastAsia="Calibri" w:hAnsi="Times New Roman" w:cs="Times New Roman"/>
          <w:lang w:val="en-GB"/>
        </w:rPr>
        <w:t xml:space="preserve">The </w:t>
      </w:r>
      <w:r w:rsidRPr="004C41C8">
        <w:rPr>
          <w:rFonts w:ascii="Times New Roman" w:hAnsi="Times New Roman"/>
          <w:lang w:val="en-GB"/>
        </w:rPr>
        <w:t>Urartian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started using the Assyrian script and language</w:t>
      </w:r>
      <w:r w:rsidRPr="00EF0FDE">
        <w:rPr>
          <w:rFonts w:ascii="Times New Roman" w:eastAsia="Calibri" w:hAnsi="Times New Roman" w:cs="Times New Roman"/>
          <w:lang w:val="en-GB"/>
        </w:rPr>
        <w:t xml:space="preserve"> in the first stage.</w:t>
      </w:r>
      <w:r w:rsidRPr="004C41C8">
        <w:rPr>
          <w:rFonts w:ascii="Times New Roman" w:hAnsi="Times New Roman"/>
          <w:lang w:val="en-GB"/>
        </w:rPr>
        <w:t xml:space="preserve"> Examples of this first phase can be seen in Sardurburç</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inscriptions</w:t>
      </w:r>
      <w:r w:rsidRPr="00EF0FDE">
        <w:rPr>
          <w:rFonts w:ascii="Times New Roman" w:eastAsia="Calibri" w:hAnsi="Times New Roman" w:cs="Times New Roman"/>
          <w:lang w:val="en-GB"/>
        </w:rPr>
        <w:t>. The</w:t>
      </w:r>
      <w:r w:rsidRPr="004C41C8">
        <w:rPr>
          <w:rFonts w:ascii="Times New Roman" w:hAnsi="Times New Roman"/>
          <w:lang w:val="en-GB"/>
        </w:rPr>
        <w:t xml:space="preserve"> writing was adapted to the Urartian language</w:t>
      </w:r>
      <w:r w:rsidRPr="00EF0FDE">
        <w:rPr>
          <w:rFonts w:ascii="Times New Roman" w:eastAsia="Calibri" w:hAnsi="Times New Roman" w:cs="Times New Roman"/>
          <w:lang w:val="en-GB"/>
        </w:rPr>
        <w:t xml:space="preserve"> in the second stage,</w:t>
      </w:r>
      <w:r w:rsidRPr="004C41C8">
        <w:rPr>
          <w:rFonts w:ascii="Times New Roman" w:hAnsi="Times New Roman"/>
          <w:lang w:val="en-GB"/>
        </w:rPr>
        <w:t xml:space="preserve"> and both Assyrian and Urartian scripts were written together. This process continued until the early stages of Išpuini</w:t>
      </w:r>
      <w:r w:rsidRPr="00EF0FDE">
        <w:rPr>
          <w:rFonts w:ascii="Times New Roman" w:eastAsia="Calibri" w:hAnsi="Times New Roman" w:cs="Times New Roman"/>
          <w:lang w:val="en-GB"/>
        </w:rPr>
        <w:t>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iCs/>
          <w:lang w:val="en-GB"/>
        </w:rPr>
        <w:instrText>Išpuini</w:instrText>
      </w:r>
      <w:r w:rsidRPr="00191FB3">
        <w:rPr>
          <w:lang w:val="en-GB"/>
        </w:rPr>
        <w:instrText xml:space="preserve">" </w:instrText>
      </w:r>
      <w:r w:rsidRPr="00191FB3">
        <w:rPr>
          <w:rFonts w:asciiTheme="majorBidi" w:hAnsiTheme="majorBidi" w:cstheme="majorBidi"/>
          <w:lang w:val="en-GB"/>
        </w:rPr>
        <w:fldChar w:fldCharType="end"/>
      </w:r>
      <w:r w:rsidRPr="004C41C8">
        <w:rPr>
          <w:rFonts w:ascii="Times New Roman" w:hAnsi="Times New Roman"/>
          <w:lang w:val="en-GB"/>
        </w:rPr>
        <w:t xml:space="preserve"> (830-810 BCE) and Minua</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Minua</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(810-785 / 80 BCE), who were kings after Sarduri</w:t>
      </w:r>
      <w:r w:rsidRPr="00EF0FDE">
        <w:rPr>
          <w:rFonts w:ascii="Times New Roman" w:eastAsia="Calibri" w:hAnsi="Times New Roman" w:cs="Times New Roman"/>
          <w:lang w:val="en-GB"/>
        </w:rPr>
        <w:t> </w:t>
      </w:r>
      <w:r w:rsidRPr="004C41C8">
        <w:rPr>
          <w:rFonts w:ascii="Times New Roman" w:hAnsi="Times New Roman"/>
          <w:lang w:val="en-GB"/>
        </w:rPr>
        <w:t>I</w:t>
      </w:r>
      <w:r w:rsidR="00C1513A">
        <w:rPr>
          <w:rFonts w:ascii="Times New Roman" w:hAnsi="Times New Roman"/>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imes New Roman" w:hAnsi="Times New Roman"/>
          <w:lang w:val="en-GB"/>
        </w:rPr>
        <w:fldChar w:fldCharType="end"/>
      </w:r>
      <w:r w:rsidRPr="00EF0FDE">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Sarduri 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In the final stage, the process of adapting writing to the Urartian language was completed (Dinçol &amp; Dinçol, 2010).</w:t>
      </w:r>
    </w:p>
    <w:p w14:paraId="73545B39" w14:textId="77777777" w:rsidR="00EC68C5" w:rsidRPr="004C41C8" w:rsidRDefault="00EC68C5" w:rsidP="00EC68C5">
      <w:pPr>
        <w:spacing w:line="276" w:lineRule="auto"/>
        <w:jc w:val="both"/>
        <w:rPr>
          <w:rFonts w:ascii="Times New Roman" w:hAnsi="Times New Roman"/>
          <w:lang w:val="en-GB"/>
        </w:rPr>
      </w:pPr>
    </w:p>
    <w:p w14:paraId="063C82FC" w14:textId="0044769B"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The Sardurburç</w:t>
      </w:r>
      <w:r>
        <w:rPr>
          <w:rFonts w:ascii="Times New Roman" w:hAnsi="Times New Roman"/>
          <w:lang w:val="en-GB"/>
        </w:rPr>
        <w:t xml:space="preserve">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inscriptions</w:t>
      </w:r>
      <w:r w:rsidRPr="00EF0FDE">
        <w:rPr>
          <w:rFonts w:ascii="Times New Roman" w:eastAsia="Calibri" w:hAnsi="Times New Roman" w:cs="Times New Roman"/>
          <w:lang w:val="en-GB"/>
        </w:rPr>
        <w:t>,</w:t>
      </w:r>
      <w:r w:rsidRPr="004C41C8">
        <w:rPr>
          <w:rFonts w:ascii="Times New Roman" w:hAnsi="Times New Roman"/>
          <w:lang w:val="en-GB"/>
        </w:rPr>
        <w:t xml:space="preserve"> the earliest Urartian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written sources, contain </w:t>
      </w:r>
      <w:r w:rsidRPr="00EF0FDE">
        <w:rPr>
          <w:rFonts w:ascii="Times New Roman" w:eastAsia="Calibri" w:hAnsi="Times New Roman" w:cs="Times New Roman"/>
          <w:lang w:val="en-GB"/>
        </w:rPr>
        <w:t>essential</w:t>
      </w:r>
      <w:r w:rsidRPr="004C41C8">
        <w:rPr>
          <w:rFonts w:ascii="Times New Roman" w:hAnsi="Times New Roman"/>
          <w:lang w:val="en-GB"/>
        </w:rPr>
        <w:t xml:space="preserve"> clues regarding Urartian history when evaluated in terms of content. The king titles used in the Sardurburç inscriptions show similarities with Assyrian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inscriptions, especially those used during the </w:t>
      </w:r>
      <w:r>
        <w:rPr>
          <w:rFonts w:asciiTheme="majorBidi" w:hAnsiTheme="majorBidi" w:cstheme="majorBidi"/>
          <w:lang w:val="en-GB"/>
        </w:rPr>
        <w:t xml:space="preserve">Ashurnasirpal </w:t>
      </w:r>
      <w:r w:rsidRPr="00427476">
        <w:rPr>
          <w:rFonts w:asciiTheme="majorBidi" w:hAnsiTheme="majorBidi" w:cstheme="majorBidi"/>
          <w:lang w:val="en-GB"/>
        </w:rPr>
        <w:t>II</w:t>
      </w:r>
      <w:r w:rsidR="00C1513A">
        <w:rPr>
          <w:rFonts w:asciiTheme="majorBidi" w:hAnsiTheme="majorBidi" w:cstheme="majorBidi"/>
          <w:lang w:val="en-GB"/>
        </w:rPr>
        <w:fldChar w:fldCharType="begin"/>
      </w:r>
      <w:r w:rsidR="00C1513A">
        <w:instrText xml:space="preserve"> XE "</w:instrText>
      </w:r>
      <w:r w:rsidR="00C1513A" w:rsidRPr="006F1CAC">
        <w:rPr>
          <w:rFonts w:asciiTheme="majorBidi" w:hAnsiTheme="majorBidi" w:cstheme="majorBidi"/>
          <w:lang w:val="en-GB"/>
        </w:rPr>
        <w:instrText>Ashurnasirpal II</w:instrText>
      </w:r>
      <w:r w:rsidR="00C1513A">
        <w:instrText xml:space="preserve">" </w:instrText>
      </w:r>
      <w:r w:rsidR="00C1513A">
        <w:rPr>
          <w:rFonts w:asciiTheme="majorBidi" w:hAnsiTheme="majorBidi" w:cstheme="majorBidi"/>
          <w:lang w:val="en-GB"/>
        </w:rPr>
        <w:fldChar w:fldCharType="end"/>
      </w:r>
      <w:r>
        <w:rPr>
          <w:rFonts w:asciiTheme="majorBidi" w:hAnsiTheme="majorBidi" w:cstheme="majorBidi"/>
          <w:lang w:val="en-GB"/>
        </w:rPr>
        <w:t xml:space="preserve"> </w:t>
      </w:r>
      <w:r w:rsidRPr="00427476">
        <w:rPr>
          <w:rFonts w:asciiTheme="majorBidi" w:hAnsiTheme="majorBidi" w:cstheme="majorBidi"/>
          <w:lang w:val="en-GB"/>
        </w:rPr>
        <w:t xml:space="preserve"> </w:t>
      </w:r>
      <w:r w:rsidRPr="004C41C8">
        <w:rPr>
          <w:rFonts w:ascii="Times New Roman" w:hAnsi="Times New Roman"/>
          <w:lang w:val="en-GB"/>
        </w:rPr>
        <w:t>period (883-859 BCE) (Grayson, 1976: 113-211; Grayson, 1991: 189-393; Salvini, 2006: 45). This is thought to be related to the tradition of school that trained the first Urartian scribes. The possibility that these scribes were raised in Assyrian cities and influenced by Assyrian state traditions should be considered (Tan, 2010: 37).</w:t>
      </w:r>
    </w:p>
    <w:p w14:paraId="5A79B8F7" w14:textId="77777777" w:rsidR="00EC68C5" w:rsidRPr="004C41C8" w:rsidRDefault="00EC68C5" w:rsidP="00EC68C5">
      <w:pPr>
        <w:spacing w:line="276" w:lineRule="auto"/>
        <w:jc w:val="both"/>
        <w:rPr>
          <w:rFonts w:ascii="Times New Roman" w:hAnsi="Times New Roman"/>
          <w:lang w:val="en-GB"/>
        </w:rPr>
      </w:pPr>
    </w:p>
    <w:p w14:paraId="0AB9B726" w14:textId="386175F2" w:rsidR="00EC68C5" w:rsidRPr="004C41C8" w:rsidRDefault="00EC68C5" w:rsidP="00EC68C5">
      <w:pPr>
        <w:spacing w:line="276" w:lineRule="auto"/>
        <w:jc w:val="both"/>
        <w:rPr>
          <w:rFonts w:ascii="Times New Roman" w:hAnsi="Times New Roman"/>
          <w:lang w:val="en-GB"/>
        </w:rPr>
      </w:pPr>
      <w:r w:rsidRPr="00DF440B">
        <w:rPr>
          <w:rFonts w:ascii="Times New Roman" w:hAnsi="Times New Roman"/>
          <w:lang w:val="en-GB"/>
        </w:rPr>
        <w:t>The name Lutibri</w:t>
      </w:r>
      <w:r w:rsidR="006371BE">
        <w:rPr>
          <w:rFonts w:ascii="Times New Roman" w:eastAsia="Calibri" w:hAnsi="Times New Roman" w:cs="Times New Roman"/>
          <w:lang w:val="en-GB"/>
        </w:rPr>
        <w:t xml:space="preserve"> </w:t>
      </w:r>
      <w:r w:rsidRPr="00427476">
        <w:rPr>
          <w:rFonts w:asciiTheme="majorBidi" w:hAnsiTheme="majorBidi" w:cstheme="majorBidi"/>
          <w:i/>
          <w:iCs/>
          <w:lang w:val="en-GB"/>
        </w:rPr>
        <w:fldChar w:fldCharType="begin"/>
      </w:r>
      <w:r w:rsidRPr="00427476">
        <w:rPr>
          <w:lang w:val="en-GB"/>
        </w:rPr>
        <w:instrText xml:space="preserve"> XE "</w:instrText>
      </w:r>
      <w:r w:rsidRPr="00427476">
        <w:rPr>
          <w:rFonts w:asciiTheme="majorBidi" w:eastAsia="Times New Roman" w:hAnsiTheme="majorBidi" w:cstheme="majorBidi"/>
          <w:color w:val="202124"/>
          <w:lang w:val="en-GB" w:eastAsia="it-IT"/>
        </w:rPr>
        <w:instrText>Lutibri</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lang w:val="en-GB"/>
        </w:rPr>
        <w:t>",</w:t>
      </w:r>
      <w:r w:rsidRPr="00DF440B">
        <w:rPr>
          <w:rFonts w:ascii="Times New Roman" w:hAnsi="Times New Roman"/>
          <w:lang w:val="en-GB"/>
        </w:rPr>
        <w:t xml:space="preserve"> described as </w:t>
      </w:r>
      <w:r w:rsidRPr="00EF0FDE">
        <w:rPr>
          <w:rFonts w:ascii="Times New Roman" w:eastAsia="Calibri" w:hAnsi="Times New Roman" w:cs="Times New Roman"/>
          <w:lang w:val="en-GB"/>
        </w:rPr>
        <w:t>Sarduri's</w:t>
      </w:r>
      <w:r>
        <w:rPr>
          <w:rFonts w:asciiTheme="majorBidi" w:hAnsiTheme="majorBidi" w:cstheme="majorBidi"/>
          <w:lang w:val="en-GB"/>
        </w:rPr>
        <w:t xml:space="preserve">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iCs/>
          <w:lang w:val="en-GB"/>
        </w:rPr>
        <w:instrText>Sarduri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's</w:t>
      </w:r>
      <w:r w:rsidRPr="00DF440B">
        <w:rPr>
          <w:rFonts w:ascii="Times New Roman" w:hAnsi="Times New Roman"/>
          <w:lang w:val="en-GB"/>
        </w:rPr>
        <w:t xml:space="preserve"> father in the inscription, is thought to be Labturi</w:t>
      </w:r>
      <w:r w:rsidRPr="00EF0FDE">
        <w:rPr>
          <w:rFonts w:ascii="Times New Roman" w:eastAsia="Calibri" w:hAnsi="Times New Roman" w:cs="Times New Roman"/>
          <w:lang w:val="en-GB"/>
        </w:rPr>
        <w:t> </w:t>
      </w:r>
      <w:r w:rsidRPr="00191FB3">
        <w:rPr>
          <w:rFonts w:asciiTheme="majorBidi" w:hAnsiTheme="majorBidi" w:cstheme="majorBidi"/>
          <w:iCs/>
          <w:lang w:val="en-GB"/>
        </w:rPr>
        <w:fldChar w:fldCharType="begin"/>
      </w:r>
      <w:r w:rsidRPr="00191FB3">
        <w:rPr>
          <w:lang w:val="en-GB"/>
        </w:rPr>
        <w:instrText xml:space="preserve"> XE "</w:instrText>
      </w:r>
      <w:r w:rsidRPr="00191FB3">
        <w:rPr>
          <w:rFonts w:asciiTheme="majorBidi" w:hAnsiTheme="majorBidi" w:cstheme="majorBidi"/>
          <w:iCs/>
          <w:lang w:val="en-GB"/>
        </w:rPr>
        <w:instrText>Labturi</w:instrText>
      </w:r>
      <w:r w:rsidRPr="00191FB3">
        <w:rPr>
          <w:lang w:val="en-GB"/>
        </w:rPr>
        <w:instrText xml:space="preserve">" </w:instrText>
      </w:r>
      <w:r w:rsidRPr="00191FB3">
        <w:rPr>
          <w:rFonts w:asciiTheme="majorBidi" w:hAnsiTheme="majorBidi" w:cstheme="majorBidi"/>
          <w:iCs/>
          <w:lang w:val="en-GB"/>
        </w:rPr>
        <w:fldChar w:fldCharType="end"/>
      </w:r>
      <w:r w:rsidRPr="00191FB3">
        <w:rPr>
          <w:rFonts w:asciiTheme="majorBidi" w:hAnsiTheme="majorBidi" w:cstheme="majorBidi"/>
          <w:iCs/>
          <w:lang w:val="en-GB"/>
        </w:rPr>
        <w:t xml:space="preserve"> </w:t>
      </w:r>
      <w:r w:rsidRPr="00DF440B">
        <w:rPr>
          <w:rFonts w:ascii="Times New Roman" w:hAnsi="Times New Roman"/>
          <w:lang w:val="en-GB"/>
        </w:rPr>
        <w:t>son of Tupusu</w:t>
      </w:r>
      <w:r w:rsidRPr="00191FB3">
        <w:rPr>
          <w:rFonts w:asciiTheme="majorBidi" w:hAnsiTheme="majorBidi" w:cstheme="majorBidi"/>
          <w:iCs/>
          <w:lang w:val="en-GB"/>
        </w:rPr>
        <w:fldChar w:fldCharType="begin"/>
      </w:r>
      <w:r w:rsidRPr="00191FB3">
        <w:rPr>
          <w:lang w:val="en-GB"/>
        </w:rPr>
        <w:instrText xml:space="preserve"> XE "</w:instrText>
      </w:r>
      <w:r w:rsidRPr="00191FB3">
        <w:rPr>
          <w:rFonts w:asciiTheme="majorBidi" w:hAnsiTheme="majorBidi" w:cstheme="majorBidi"/>
          <w:iCs/>
          <w:lang w:val="en-GB"/>
        </w:rPr>
        <w:instrText>Tupusu</w:instrText>
      </w:r>
      <w:r w:rsidRPr="00191FB3">
        <w:rPr>
          <w:lang w:val="en-GB"/>
        </w:rPr>
        <w:instrText xml:space="preserve">" </w:instrText>
      </w:r>
      <w:r w:rsidRPr="00191FB3">
        <w:rPr>
          <w:rFonts w:asciiTheme="majorBidi" w:hAnsiTheme="majorBidi" w:cstheme="majorBidi"/>
          <w:iCs/>
          <w:lang w:val="en-GB"/>
        </w:rPr>
        <w:fldChar w:fldCharType="end"/>
      </w:r>
      <w:r w:rsidRPr="00DF440B">
        <w:rPr>
          <w:rFonts w:ascii="Times New Roman" w:hAnsi="Times New Roman"/>
          <w:lang w:val="en-GB"/>
        </w:rPr>
        <w:t xml:space="preserve"> who is mentioned as the king of Nairi</w:t>
      </w:r>
      <w:r w:rsidRPr="00191FB3">
        <w:rPr>
          <w:rFonts w:asciiTheme="majorBidi" w:hAnsiTheme="majorBidi" w:cstheme="majorBidi"/>
          <w:iCs/>
          <w:lang w:val="en-GB"/>
        </w:rPr>
        <w:fldChar w:fldCharType="begin"/>
      </w:r>
      <w:r w:rsidRPr="00191FB3">
        <w:rPr>
          <w:lang w:val="en-GB"/>
        </w:rPr>
        <w:instrText xml:space="preserve"> XE "</w:instrText>
      </w:r>
      <w:r w:rsidRPr="00191FB3">
        <w:rPr>
          <w:rFonts w:asciiTheme="majorBidi" w:hAnsiTheme="majorBidi" w:cstheme="majorBidi"/>
          <w:lang w:val="en-GB"/>
        </w:rPr>
        <w:instrText>Nairi</w:instrText>
      </w:r>
      <w:r w:rsidRPr="00191FB3">
        <w:rPr>
          <w:lang w:val="en-GB"/>
        </w:rPr>
        <w:instrText xml:space="preserve">" </w:instrText>
      </w:r>
      <w:r w:rsidRPr="00191FB3">
        <w:rPr>
          <w:rFonts w:asciiTheme="majorBidi" w:hAnsiTheme="majorBidi" w:cstheme="majorBidi"/>
          <w:iCs/>
          <w:lang w:val="en-GB"/>
        </w:rPr>
        <w:fldChar w:fldCharType="end"/>
      </w:r>
      <w:r w:rsidRPr="00191FB3">
        <w:rPr>
          <w:rFonts w:asciiTheme="majorBidi" w:hAnsiTheme="majorBidi" w:cstheme="majorBidi"/>
          <w:lang w:val="en-GB"/>
        </w:rPr>
        <w:t>”</w:t>
      </w:r>
      <w:r w:rsidRPr="00DF440B">
        <w:rPr>
          <w:rFonts w:ascii="Times New Roman" w:hAnsi="Times New Roman"/>
          <w:lang w:val="en-GB"/>
        </w:rPr>
        <w:t xml:space="preserve"> in Assyrian</w:t>
      </w:r>
      <w:r w:rsidRPr="00EF0FDE">
        <w:rPr>
          <w:rFonts w:ascii="Times New Roman" w:eastAsia="Calibri" w:hAnsi="Times New Roman" w:cs="Times New Roman"/>
          <w:lang w:val="en-GB"/>
        </w:rPr>
        <w:t>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Assyrian</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 xml:space="preserve"> </w:t>
      </w:r>
      <w:r w:rsidRPr="00DF440B">
        <w:rPr>
          <w:rFonts w:ascii="Times New Roman" w:hAnsi="Times New Roman"/>
          <w:lang w:val="en-GB"/>
        </w:rPr>
        <w:t xml:space="preserve">sources belonging to 882, 879 and 866 BCE, the period of </w:t>
      </w:r>
      <w:r>
        <w:rPr>
          <w:rFonts w:asciiTheme="majorBidi" w:hAnsiTheme="majorBidi" w:cstheme="majorBidi"/>
          <w:lang w:val="en-GB"/>
        </w:rPr>
        <w:t xml:space="preserve">Ashurnasirpal </w:t>
      </w:r>
      <w:r w:rsidRPr="00191FB3">
        <w:rPr>
          <w:rFonts w:asciiTheme="majorBidi" w:hAnsiTheme="majorBidi" w:cstheme="majorBidi"/>
          <w:lang w:val="en-GB"/>
        </w:rPr>
        <w:t>II</w:t>
      </w:r>
      <w:r w:rsidR="00C1513A">
        <w:rPr>
          <w:rFonts w:asciiTheme="majorBidi" w:hAnsiTheme="majorBidi" w:cstheme="majorBidi"/>
          <w:lang w:val="en-GB"/>
        </w:rPr>
        <w:fldChar w:fldCharType="begin"/>
      </w:r>
      <w:r w:rsidR="00C1513A">
        <w:instrText xml:space="preserve"> XE "</w:instrText>
      </w:r>
      <w:r w:rsidR="00C1513A" w:rsidRPr="00957E45">
        <w:rPr>
          <w:rFonts w:asciiTheme="majorBidi" w:hAnsiTheme="majorBidi" w:cstheme="majorBidi"/>
          <w:lang w:val="en-GB"/>
        </w:rPr>
        <w:instrText>Ashurnasirpal II</w:instrText>
      </w:r>
      <w:r w:rsidR="00C1513A">
        <w:instrText xml:space="preserve">" </w:instrText>
      </w:r>
      <w:r w:rsidR="00C1513A">
        <w:rPr>
          <w:rFonts w:asciiTheme="majorBidi" w:hAnsiTheme="majorBidi" w:cstheme="majorBidi"/>
          <w:lang w:val="en-GB"/>
        </w:rPr>
        <w:fldChar w:fldCharType="end"/>
      </w:r>
      <w:r w:rsidRPr="00191FB3">
        <w:rPr>
          <w:rFonts w:asciiTheme="majorBidi" w:hAnsiTheme="majorBidi" w:cstheme="majorBidi"/>
          <w:lang w:val="en-GB"/>
        </w:rPr>
        <w:t xml:space="preserve"> </w:t>
      </w:r>
      <w:r w:rsidRPr="00DF440B">
        <w:rPr>
          <w:rFonts w:ascii="Times New Roman" w:hAnsi="Times New Roman"/>
          <w:lang w:val="en-GB"/>
        </w:rPr>
        <w:t xml:space="preserve">(Grayson, 1976: 127, 134, 144, 145, </w:t>
      </w:r>
      <w:r w:rsidRPr="00DF440B">
        <w:rPr>
          <w:rFonts w:ascii="Times New Roman" w:hAnsi="Times New Roman"/>
          <w:lang w:val="en-GB"/>
        </w:rPr>
        <w:lastRenderedPageBreak/>
        <w:t xml:space="preserve">160; Grayson, 1991: 202, </w:t>
      </w:r>
      <w:r w:rsidRPr="004C41C8">
        <w:rPr>
          <w:rFonts w:ascii="Times New Roman" w:hAnsi="Times New Roman"/>
          <w:lang w:val="en-GB"/>
        </w:rPr>
        <w:t>209, 220, 259).</w:t>
      </w:r>
      <w:r w:rsidRPr="00EF0FDE">
        <w:rPr>
          <w:rFonts w:ascii="Times New Roman" w:eastAsia="Calibri" w:hAnsi="Times New Roman" w:cs="Times New Roman"/>
          <w:lang w:val="en-GB"/>
        </w:rPr>
        <w:t xml:space="preserve"> Assyrian sources have repeatedly mentioned the</w:t>
      </w:r>
      <w:r w:rsidRPr="00191FB3">
        <w:rPr>
          <w:rStyle w:val="DipnotBavurusu"/>
          <w:rFonts w:asciiTheme="majorBidi" w:hAnsiTheme="majorBidi"/>
          <w:lang w:val="en-GB"/>
        </w:rPr>
        <w:footnoteReference w:id="41"/>
      </w:r>
      <w:r w:rsidRPr="00191FB3">
        <w:rPr>
          <w:rFonts w:asciiTheme="majorBidi" w:hAnsiTheme="majorBidi" w:cstheme="majorBidi"/>
          <w:lang w:val="en-GB"/>
        </w:rPr>
        <w:t xml:space="preserve"> </w:t>
      </w:r>
      <w:r w:rsidRPr="004C41C8">
        <w:rPr>
          <w:rFonts w:ascii="Times New Roman" w:hAnsi="Times New Roman"/>
          <w:lang w:val="en-GB"/>
        </w:rPr>
        <w:t>struggles between these local kingdoms of Assyria</w:t>
      </w:r>
      <w:r w:rsidRPr="00EF0FDE">
        <w:rPr>
          <w:rFonts w:ascii="Times New Roman" w:eastAsia="Calibri" w:hAnsi="Times New Roman" w:cs="Times New Roman"/>
          <w:lang w:val="en-GB"/>
        </w:rPr>
        <w:t>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eastAsia="Times New Roman" w:hAnsiTheme="majorBidi" w:cstheme="majorBidi"/>
          <w:color w:val="000000"/>
          <w:lang w:val="en-GB" w:eastAsia="tr-TR" w:bidi="he-IL"/>
        </w:rPr>
        <w:instrText>Assyria</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 xml:space="preserve"> </w:t>
      </w:r>
      <w:r w:rsidRPr="004C41C8">
        <w:rPr>
          <w:rFonts w:ascii="Times New Roman" w:hAnsi="Times New Roman"/>
          <w:lang w:val="en-GB"/>
        </w:rPr>
        <w:t xml:space="preserve">and Nairi in the Upper Tigris Region. These sources claim that the Nairi were spared in return for tribute and that their sons were exiled to be </w:t>
      </w:r>
      <w:r w:rsidRPr="00EF0FDE">
        <w:rPr>
          <w:rFonts w:ascii="Times New Roman" w:eastAsia="Calibri" w:hAnsi="Times New Roman" w:cs="Times New Roman"/>
          <w:lang w:val="en-GB"/>
        </w:rPr>
        <w:t>trained</w:t>
      </w:r>
      <w:r w:rsidRPr="004C41C8">
        <w:rPr>
          <w:rFonts w:ascii="Times New Roman" w:hAnsi="Times New Roman"/>
          <w:lang w:val="en-GB"/>
        </w:rPr>
        <w:t xml:space="preserve"> as civil </w:t>
      </w:r>
      <w:r w:rsidRPr="00EF0FDE">
        <w:rPr>
          <w:rFonts w:ascii="Times New Roman" w:eastAsia="Calibri" w:hAnsi="Times New Roman" w:cs="Times New Roman"/>
          <w:lang w:val="en-GB"/>
        </w:rPr>
        <w:t>servants.</w:t>
      </w:r>
      <w:r w:rsidRPr="00191FB3">
        <w:rPr>
          <w:rStyle w:val="DipnotBavurusu"/>
          <w:rFonts w:asciiTheme="majorBidi" w:hAnsiTheme="majorBidi"/>
          <w:lang w:val="en-GB"/>
        </w:rPr>
        <w:footnoteReference w:id="42"/>
      </w:r>
      <w:r w:rsidRPr="00191FB3">
        <w:rPr>
          <w:rFonts w:asciiTheme="majorBidi" w:hAnsiTheme="majorBidi" w:cstheme="majorBidi"/>
          <w:lang w:val="en-GB"/>
        </w:rPr>
        <w:t>.</w:t>
      </w:r>
      <w:r w:rsidRPr="004C41C8">
        <w:rPr>
          <w:rFonts w:ascii="Times New Roman" w:hAnsi="Times New Roman"/>
          <w:lang w:val="en-GB"/>
        </w:rPr>
        <w:t xml:space="preserve"> As a result of these practices, local kings from Nairi</w:t>
      </w:r>
      <w:r w:rsidRPr="00EF0FDE">
        <w:rPr>
          <w:rFonts w:ascii="Times New Roman" w:eastAsia="Calibri" w:hAnsi="Times New Roman" w:cs="Times New Roman"/>
          <w:lang w:val="en-GB"/>
        </w:rPr>
        <w:t>,</w:t>
      </w:r>
      <w:r w:rsidRPr="004C41C8">
        <w:rPr>
          <w:rFonts w:ascii="Times New Roman" w:hAnsi="Times New Roman"/>
          <w:lang w:val="en-GB"/>
        </w:rPr>
        <w:t xml:space="preserve"> who lived in and were brought to various positions in Assyrian cities, may have helped transfer Assyrian culture and their royal symbol of writing practices to Urartu</w:t>
      </w:r>
      <w:r w:rsidRPr="00EF0FDE">
        <w:rPr>
          <w:rFonts w:ascii="Times New Roman" w:eastAsia="Calibri" w:hAnsi="Times New Roman" w:cs="Times New Roman"/>
          <w:lang w:val="en-GB"/>
        </w:rPr>
        <w:t>,</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Urartu</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w:t>
      </w:r>
      <w:r w:rsidRPr="004C41C8">
        <w:rPr>
          <w:rFonts w:ascii="Times New Roman" w:hAnsi="Times New Roman"/>
          <w:lang w:val="en-GB"/>
        </w:rPr>
        <w:t xml:space="preserve"> perhaps even causing the establishment of Urartu (Tan, 2010: 39; Tan, 2014). This is probably why the Urartians</w:t>
      </w:r>
      <w:r w:rsidRPr="00EF0FDE">
        <w:rPr>
          <w:rFonts w:ascii="Times New Roman" w:eastAsia="Calibri" w:hAnsi="Times New Roman" w:cs="Times New Roman"/>
          <w:lang w:val="en-GB"/>
        </w:rPr>
        <w:t>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Urartians</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 xml:space="preserve"> </w:t>
      </w:r>
      <w:r w:rsidRPr="004C41C8">
        <w:rPr>
          <w:rFonts w:ascii="Times New Roman" w:hAnsi="Times New Roman"/>
          <w:lang w:val="en-GB"/>
        </w:rPr>
        <w:t xml:space="preserve">continued to define themselves as the </w:t>
      </w:r>
      <w:r w:rsidR="006371BE">
        <w:rPr>
          <w:rFonts w:ascii="Times New Roman" w:hAnsi="Times New Roman"/>
          <w:lang w:val="en-GB"/>
        </w:rPr>
        <w:t>‘</w:t>
      </w:r>
      <w:r w:rsidRPr="004C41C8">
        <w:rPr>
          <w:rFonts w:ascii="Times New Roman" w:hAnsi="Times New Roman"/>
          <w:lang w:val="en-GB"/>
        </w:rPr>
        <w:t>king of the Nairi Land</w:t>
      </w:r>
      <w:r w:rsidR="006371BE">
        <w:rPr>
          <w:rFonts w:ascii="Times New Roman" w:hAnsi="Times New Roman"/>
          <w:lang w:val="en-GB"/>
        </w:rPr>
        <w:t>’</w:t>
      </w:r>
      <w:r w:rsidRPr="004C41C8">
        <w:rPr>
          <w:rFonts w:ascii="Times New Roman" w:hAnsi="Times New Roman"/>
          <w:lang w:val="en-GB"/>
        </w:rPr>
        <w:t xml:space="preserve"> in many early period inscriptions </w:t>
      </w:r>
      <w:r w:rsidRPr="00EF0FDE">
        <w:rPr>
          <w:rFonts w:ascii="Times New Roman" w:eastAsia="Calibri" w:hAnsi="Times New Roman" w:cs="Times New Roman"/>
          <w:lang w:val="en-GB"/>
        </w:rPr>
        <w:t>and</w:t>
      </w:r>
      <w:r w:rsidRPr="004C41C8">
        <w:rPr>
          <w:rFonts w:ascii="Times New Roman" w:hAnsi="Times New Roman"/>
          <w:lang w:val="en-GB"/>
        </w:rPr>
        <w:t xml:space="preserve"> in the Sardurburç</w:t>
      </w:r>
      <w:r w:rsidRPr="00EF0FDE">
        <w:rPr>
          <w:rFonts w:ascii="Times New Roman" w:eastAsia="Calibri" w:hAnsi="Times New Roman" w:cs="Times New Roman"/>
          <w:lang w:val="en-GB"/>
        </w:rPr>
        <w:t>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Sardurburç</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 xml:space="preserve"> </w:t>
      </w:r>
      <w:r w:rsidRPr="004C41C8">
        <w:rPr>
          <w:rFonts w:ascii="Times New Roman" w:hAnsi="Times New Roman"/>
          <w:lang w:val="en-GB"/>
        </w:rPr>
        <w:t>inscriptions</w:t>
      </w:r>
      <w:r w:rsidRPr="00EF0FDE">
        <w:rPr>
          <w:rFonts w:ascii="Times New Roman" w:eastAsia="Calibri" w:hAnsi="Times New Roman" w:cs="Times New Roman"/>
          <w:lang w:val="en-GB"/>
        </w:rPr>
        <w:t>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Sardurburç inscriptions</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 xml:space="preserve"> </w:t>
      </w:r>
      <w:r w:rsidRPr="004C41C8">
        <w:rPr>
          <w:rFonts w:ascii="Times New Roman" w:hAnsi="Times New Roman"/>
          <w:lang w:val="en-GB"/>
        </w:rPr>
        <w:t>of the Sarduri I</w:t>
      </w:r>
      <w:r w:rsidRPr="00EF0FDE">
        <w:rPr>
          <w:rFonts w:ascii="Times New Roman" w:eastAsia="Calibri" w:hAnsi="Times New Roman" w:cs="Times New Roman"/>
          <w:lang w:val="en-GB"/>
        </w:rPr>
        <w:t>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Sarduri I</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 xml:space="preserve"> </w:t>
      </w:r>
      <w:r w:rsidRPr="004C41C8">
        <w:rPr>
          <w:rFonts w:ascii="Times New Roman" w:hAnsi="Times New Roman"/>
          <w:lang w:val="en-GB"/>
        </w:rPr>
        <w:t>period.</w:t>
      </w:r>
    </w:p>
    <w:p w14:paraId="11B3D100" w14:textId="77777777" w:rsidR="00EC68C5" w:rsidRPr="004C41C8" w:rsidRDefault="00EC68C5" w:rsidP="00EC68C5">
      <w:pPr>
        <w:spacing w:line="276" w:lineRule="auto"/>
        <w:jc w:val="both"/>
        <w:rPr>
          <w:rFonts w:ascii="Times New Roman" w:hAnsi="Times New Roman"/>
          <w:lang w:val="en-GB"/>
        </w:rPr>
      </w:pPr>
    </w:p>
    <w:p w14:paraId="3A659636" w14:textId="2F5E2B51"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 xml:space="preserve">The location of the city </w:t>
      </w:r>
      <w:r w:rsidRPr="00DF440B">
        <w:rPr>
          <w:rFonts w:ascii="Times New Roman" w:hAnsi="Times New Roman"/>
          <w:lang w:val="en-GB"/>
        </w:rPr>
        <w:t xml:space="preserve">of </w:t>
      </w:r>
      <w:r w:rsidRPr="001F4BBA">
        <w:rPr>
          <w:rFonts w:ascii="Times New Roman" w:hAnsi="Times New Roman"/>
          <w:lang w:val="en-GB"/>
        </w:rPr>
        <w:t>Alniunu</w:t>
      </w:r>
      <w:r w:rsidR="006371BE">
        <w:rPr>
          <w:rFonts w:ascii="Times New Roman" w:eastAsia="Calibri" w:hAnsi="Times New Roman" w:cs="Times New Roman"/>
          <w:lang w:val="en-GB"/>
        </w:rPr>
        <w:t xml:space="preserve">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Alniunu</w:instrText>
      </w:r>
      <w:r w:rsidRPr="00191FB3">
        <w:rPr>
          <w:lang w:val="en-GB"/>
        </w:rPr>
        <w:instrText xml:space="preserve">" </w:instrText>
      </w:r>
      <w:r w:rsidRPr="00191FB3">
        <w:rPr>
          <w:rFonts w:asciiTheme="majorBidi" w:hAnsiTheme="majorBidi" w:cstheme="majorBidi"/>
          <w:lang w:val="en-GB"/>
        </w:rPr>
        <w:fldChar w:fldCharType="end"/>
      </w:r>
      <w:r w:rsidRPr="004C41C8">
        <w:rPr>
          <w:rFonts w:ascii="Times New Roman" w:hAnsi="Times New Roman"/>
          <w:lang w:val="en-GB"/>
        </w:rPr>
        <w:t xml:space="preserve"> mentioned in the Sardurburç</w:t>
      </w:r>
      <w:r w:rsidRPr="00EF0FDE">
        <w:rPr>
          <w:rFonts w:ascii="Times New Roman" w:eastAsia="Calibri" w:hAnsi="Times New Roman" w:cs="Times New Roman"/>
          <w:lang w:val="en-GB"/>
        </w:rPr>
        <w:t> </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Sardurburç</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 xml:space="preserve"> </w:t>
      </w:r>
      <w:r w:rsidRPr="004C41C8">
        <w:rPr>
          <w:rFonts w:ascii="Times New Roman" w:hAnsi="Times New Roman"/>
          <w:lang w:val="en-GB"/>
        </w:rPr>
        <w:t>inscriptions</w:t>
      </w:r>
      <w:r w:rsidRPr="00EF0FDE">
        <w:rPr>
          <w:rFonts w:ascii="Times New Roman" w:eastAsia="Calibri" w:hAnsi="Times New Roman" w:cs="Times New Roman"/>
          <w:lang w:val="en-GB"/>
        </w:rPr>
        <w:t>,</w:t>
      </w:r>
      <w:r w:rsidRPr="00191FB3">
        <w:rPr>
          <w:rFonts w:asciiTheme="majorBidi" w:hAnsiTheme="majorBidi" w:cstheme="majorBidi"/>
          <w:lang w:val="en-GB"/>
        </w:rPr>
        <w:fldChar w:fldCharType="begin"/>
      </w:r>
      <w:r w:rsidRPr="00191FB3">
        <w:rPr>
          <w:lang w:val="en-GB"/>
        </w:rPr>
        <w:instrText xml:space="preserve"> XE "</w:instrText>
      </w:r>
      <w:r w:rsidRPr="00191FB3">
        <w:rPr>
          <w:rFonts w:asciiTheme="majorBidi" w:hAnsiTheme="majorBidi" w:cstheme="majorBidi"/>
          <w:lang w:val="en-GB"/>
        </w:rPr>
        <w:instrText>Sardurburç inscriptions</w:instrText>
      </w:r>
      <w:r w:rsidRPr="00191FB3">
        <w:rPr>
          <w:lang w:val="en-GB"/>
        </w:rPr>
        <w:instrText xml:space="preserve">" </w:instrText>
      </w:r>
      <w:r w:rsidRPr="00191FB3">
        <w:rPr>
          <w:rFonts w:asciiTheme="majorBidi" w:hAnsiTheme="majorBidi" w:cstheme="majorBidi"/>
          <w:lang w:val="en-GB"/>
        </w:rPr>
        <w:fldChar w:fldCharType="end"/>
      </w:r>
      <w:r w:rsidRPr="00191FB3">
        <w:rPr>
          <w:rFonts w:asciiTheme="majorBidi" w:hAnsiTheme="majorBidi" w:cstheme="majorBidi"/>
          <w:lang w:val="en-GB"/>
        </w:rPr>
        <w:t>,</w:t>
      </w:r>
      <w:r w:rsidRPr="004C41C8">
        <w:rPr>
          <w:rFonts w:ascii="Times New Roman" w:hAnsi="Times New Roman"/>
          <w:lang w:val="en-GB"/>
        </w:rPr>
        <w:t xml:space="preserve"> where the large stones were brought </w:t>
      </w:r>
      <w:r w:rsidRPr="00EF0FDE">
        <w:rPr>
          <w:rFonts w:ascii="Times New Roman" w:eastAsia="Calibri" w:hAnsi="Times New Roman" w:cs="Times New Roman"/>
          <w:lang w:val="en-GB"/>
        </w:rPr>
        <w:t>to construct</w:t>
      </w:r>
      <w:r w:rsidRPr="004C41C8">
        <w:rPr>
          <w:rFonts w:ascii="Times New Roman" w:hAnsi="Times New Roman"/>
          <w:lang w:val="en-GB"/>
        </w:rPr>
        <w:t xml:space="preserve"> this monumental building, is unknown for now.</w:t>
      </w:r>
      <w:r w:rsidRPr="00191FB3">
        <w:rPr>
          <w:rStyle w:val="DipnotBavurusu"/>
          <w:rFonts w:asciiTheme="majorBidi" w:hAnsiTheme="majorBidi"/>
          <w:lang w:val="en-GB"/>
        </w:rPr>
        <w:footnoteReference w:id="43"/>
      </w:r>
      <w:r w:rsidRPr="004C41C8">
        <w:rPr>
          <w:rFonts w:ascii="Times New Roman" w:hAnsi="Times New Roman"/>
          <w:lang w:val="en-GB"/>
        </w:rPr>
        <w:t xml:space="preserve"> As will be further explained in the next chapter (Architectural Evaluations) with its architectural evidence, Sardurburç is not a monoblock structure but features eclectic characteristics. This chronological development also manifests in the inscription characters that we think were written in different periods. There are no inscriptions on Block A, which is adjacent to the southernmost citadel, which we think was built in the earliest period of Sardurburç. This issue will be discussed in more detail from an architectural point of view in the next section. The possibility that the building (Block A) constituting the entrance to this citadel was completed in the early period also supports the inscribed claim that the foundation stones were brought from the city </w:t>
      </w:r>
      <w:r w:rsidRPr="00DF440B">
        <w:rPr>
          <w:rFonts w:ascii="Times New Roman" w:hAnsi="Times New Roman"/>
          <w:lang w:val="en-GB"/>
        </w:rPr>
        <w:t xml:space="preserve">of Alniunu for </w:t>
      </w:r>
      <w:r w:rsidRPr="004C41C8">
        <w:rPr>
          <w:rFonts w:ascii="Times New Roman" w:hAnsi="Times New Roman"/>
          <w:lang w:val="en-GB"/>
        </w:rPr>
        <w:t>the later extensions (Blocks B and C). It also suggests that the absence of inscriptions on Block A was a conscious choice (Fig. 4).</w:t>
      </w:r>
    </w:p>
    <w:p w14:paraId="66406BB5" w14:textId="77777777" w:rsidR="00EC68C5" w:rsidRPr="004C41C8" w:rsidRDefault="00EC68C5" w:rsidP="00EC68C5">
      <w:pPr>
        <w:spacing w:line="276" w:lineRule="auto"/>
        <w:ind w:firstLine="708"/>
        <w:jc w:val="both"/>
        <w:rPr>
          <w:rFonts w:ascii="Times New Roman" w:hAnsi="Times New Roman"/>
          <w:lang w:val="en-GB"/>
        </w:rPr>
      </w:pPr>
    </w:p>
    <w:p w14:paraId="5070F3A4" w14:textId="77777777" w:rsidR="00EC68C5" w:rsidRPr="004C41C8" w:rsidRDefault="00EC68C5" w:rsidP="00EC68C5">
      <w:pPr>
        <w:spacing w:line="276" w:lineRule="auto"/>
        <w:ind w:firstLine="708"/>
        <w:jc w:val="both"/>
        <w:rPr>
          <w:rFonts w:ascii="Times New Roman" w:hAnsi="Times New Roman"/>
          <w:lang w:val="en-GB"/>
        </w:rPr>
      </w:pPr>
    </w:p>
    <w:p w14:paraId="183FC235" w14:textId="77777777" w:rsidR="00EC68C5" w:rsidRPr="004C41C8" w:rsidRDefault="00EC68C5" w:rsidP="00EC68C5">
      <w:pPr>
        <w:spacing w:line="276" w:lineRule="auto"/>
        <w:ind w:firstLine="708"/>
        <w:jc w:val="both"/>
        <w:rPr>
          <w:rFonts w:ascii="Times New Roman" w:hAnsi="Times New Roman"/>
          <w:lang w:val="en-GB"/>
        </w:rPr>
      </w:pPr>
    </w:p>
    <w:p w14:paraId="610A26BF" w14:textId="77777777" w:rsidR="00EC68C5" w:rsidRPr="004C41C8" w:rsidRDefault="00EC68C5" w:rsidP="00EC68C5">
      <w:pPr>
        <w:spacing w:line="276" w:lineRule="auto"/>
        <w:ind w:firstLine="708"/>
        <w:jc w:val="both"/>
        <w:rPr>
          <w:rFonts w:ascii="Times New Roman" w:hAnsi="Times New Roman"/>
          <w:lang w:val="en-GB"/>
        </w:rPr>
      </w:pPr>
    </w:p>
    <w:p w14:paraId="5D7D4FC4" w14:textId="77777777" w:rsidR="00EC68C5" w:rsidRPr="004C41C8" w:rsidRDefault="00EC68C5" w:rsidP="00EC68C5">
      <w:pPr>
        <w:spacing w:line="276" w:lineRule="auto"/>
        <w:ind w:firstLine="708"/>
        <w:jc w:val="both"/>
        <w:rPr>
          <w:rFonts w:ascii="Times New Roman" w:hAnsi="Times New Roman"/>
          <w:lang w:val="en-GB"/>
        </w:rPr>
      </w:pPr>
    </w:p>
    <w:p w14:paraId="2B69FF00" w14:textId="77777777" w:rsidR="00EC68C5" w:rsidRPr="004C41C8" w:rsidRDefault="00EC68C5" w:rsidP="00EC68C5">
      <w:pPr>
        <w:spacing w:line="276" w:lineRule="auto"/>
        <w:ind w:firstLine="708"/>
        <w:jc w:val="both"/>
        <w:rPr>
          <w:rFonts w:ascii="Times New Roman" w:hAnsi="Times New Roman"/>
          <w:lang w:val="en-GB"/>
        </w:rPr>
      </w:pPr>
    </w:p>
    <w:p w14:paraId="1C6872F3" w14:textId="77777777" w:rsidR="00EC68C5" w:rsidRPr="004C41C8" w:rsidRDefault="00EC68C5" w:rsidP="00EC68C5">
      <w:pPr>
        <w:spacing w:line="276" w:lineRule="auto"/>
        <w:ind w:firstLine="708"/>
        <w:jc w:val="both"/>
        <w:rPr>
          <w:rFonts w:ascii="Times New Roman" w:hAnsi="Times New Roman"/>
          <w:lang w:val="en-GB"/>
        </w:rPr>
      </w:pPr>
    </w:p>
    <w:p w14:paraId="6E0EA6D9" w14:textId="77777777" w:rsidR="00EC68C5" w:rsidRPr="004C41C8" w:rsidRDefault="00EC68C5" w:rsidP="00EC68C5">
      <w:pPr>
        <w:spacing w:line="276" w:lineRule="auto"/>
        <w:ind w:firstLine="708"/>
        <w:jc w:val="both"/>
        <w:rPr>
          <w:rFonts w:ascii="Times New Roman" w:hAnsi="Times New Roman"/>
          <w:lang w:val="en-GB"/>
        </w:rPr>
      </w:pPr>
    </w:p>
    <w:p w14:paraId="4323B31D" w14:textId="77777777" w:rsidR="00EC68C5" w:rsidRPr="004C41C8" w:rsidRDefault="00EC68C5" w:rsidP="00EC68C5">
      <w:pPr>
        <w:spacing w:line="276" w:lineRule="auto"/>
        <w:ind w:firstLine="708"/>
        <w:jc w:val="both"/>
        <w:rPr>
          <w:rFonts w:ascii="Times New Roman" w:hAnsi="Times New Roman"/>
          <w:lang w:val="en-GB"/>
        </w:rPr>
      </w:pPr>
    </w:p>
    <w:p w14:paraId="4B9B491C" w14:textId="77777777" w:rsidR="00EC68C5" w:rsidRPr="004C41C8" w:rsidRDefault="00EC68C5" w:rsidP="00EC68C5">
      <w:pPr>
        <w:spacing w:line="276" w:lineRule="auto"/>
        <w:ind w:firstLine="708"/>
        <w:jc w:val="both"/>
        <w:rPr>
          <w:rFonts w:ascii="Times New Roman" w:hAnsi="Times New Roman"/>
          <w:lang w:val="en-GB"/>
        </w:rPr>
      </w:pPr>
    </w:p>
    <w:p w14:paraId="1F508E64" w14:textId="77777777" w:rsidR="00EC68C5" w:rsidRPr="004C41C8" w:rsidRDefault="00EC68C5" w:rsidP="00EC68C5">
      <w:pPr>
        <w:spacing w:line="276" w:lineRule="auto"/>
        <w:ind w:firstLine="708"/>
        <w:jc w:val="both"/>
        <w:rPr>
          <w:rFonts w:ascii="Times New Roman" w:hAnsi="Times New Roman"/>
          <w:lang w:val="en-GB"/>
        </w:rPr>
      </w:pPr>
    </w:p>
    <w:p w14:paraId="70735649" w14:textId="77777777" w:rsidR="00EC68C5" w:rsidRPr="004C41C8" w:rsidRDefault="00EC68C5" w:rsidP="00EC68C5">
      <w:pPr>
        <w:spacing w:line="276" w:lineRule="auto"/>
        <w:ind w:firstLine="708"/>
        <w:jc w:val="both"/>
        <w:rPr>
          <w:rFonts w:ascii="Times New Roman" w:hAnsi="Times New Roman"/>
          <w:lang w:val="en-GB"/>
        </w:rPr>
      </w:pPr>
    </w:p>
    <w:p w14:paraId="13C2250F" w14:textId="77777777" w:rsidR="00EC68C5" w:rsidRPr="004C41C8" w:rsidRDefault="00EC68C5" w:rsidP="00EC68C5">
      <w:pPr>
        <w:rPr>
          <w:rFonts w:ascii="Times New Roman" w:hAnsi="Times New Roman"/>
          <w:lang w:val="en-GB"/>
        </w:rPr>
      </w:pPr>
      <w:r w:rsidRPr="004C41C8">
        <w:rPr>
          <w:rFonts w:ascii="Times New Roman" w:hAnsi="Times New Roman"/>
          <w:lang w:val="en-GB"/>
        </w:rPr>
        <w:br w:type="page"/>
      </w:r>
    </w:p>
    <w:p w14:paraId="1A147191"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noProof/>
        </w:rPr>
        <w:lastRenderedPageBreak/>
        <w:drawing>
          <wp:anchor distT="0" distB="0" distL="114300" distR="114300" simplePos="0" relativeHeight="251863040" behindDoc="0" locked="0" layoutInCell="1" allowOverlap="1" wp14:anchorId="35622911" wp14:editId="11CE4F97">
            <wp:simplePos x="0" y="0"/>
            <wp:positionH relativeFrom="margin">
              <wp:posOffset>-53340</wp:posOffset>
            </wp:positionH>
            <wp:positionV relativeFrom="margin">
              <wp:posOffset>685165</wp:posOffset>
            </wp:positionV>
            <wp:extent cx="5109845" cy="2978150"/>
            <wp:effectExtent l="0" t="952" r="0" b="0"/>
            <wp:wrapTopAndBottom/>
            <wp:docPr id="3" name="Resim 3" descr="harita, taslak, metin,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harita, taslak, metin, diyagram içeren bir resim&#10;&#10;Açıklama otomatik olarak oluşturuldu"/>
                    <pic:cNvPicPr>
                      <a:picLocks noChangeAspect="1" noChangeArrowheads="1"/>
                    </pic:cNvPicPr>
                  </pic:nvPicPr>
                  <pic:blipFill>
                    <a:blip r:embed="rId157" cstate="email">
                      <a:extLst>
                        <a:ext uri="{28A0092B-C50C-407E-A947-70E740481C1C}">
                          <a14:useLocalDpi xmlns:a14="http://schemas.microsoft.com/office/drawing/2010/main"/>
                        </a:ext>
                      </a:extLst>
                    </a:blip>
                    <a:stretch>
                      <a:fillRect/>
                    </a:stretch>
                  </pic:blipFill>
                  <pic:spPr bwMode="auto">
                    <a:xfrm rot="5400000">
                      <a:off x="0" y="0"/>
                      <a:ext cx="5109845" cy="297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55753C"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4 Plan of the Sardurburç</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Sardurburç</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w:t>
      </w:r>
    </w:p>
    <w:p w14:paraId="727F430E"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As can be seen in the plan, there are 6 Assyrian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inscriptions on Blocks B and C, which we think were built in the later phases of the Sardurburç</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structure</w:t>
      </w:r>
      <w:r w:rsidRPr="00EF0FDE">
        <w:rPr>
          <w:rFonts w:ascii="Times New Roman" w:eastAsia="Calibri" w:hAnsi="Times New Roman" w:cs="Times New Roman"/>
          <w:lang w:val="en-GB"/>
        </w:rPr>
        <w:t> </w:t>
      </w:r>
      <w:r w:rsidRPr="004C41C8">
        <w:rPr>
          <w:rFonts w:ascii="Times New Roman" w:hAnsi="Times New Roman"/>
          <w:lang w:val="en-GB"/>
        </w:rPr>
        <w:t xml:space="preserve"> (2nd and 3rd Phase), </w:t>
      </w:r>
      <w:r w:rsidRPr="00EF0FDE">
        <w:rPr>
          <w:rFonts w:ascii="Times New Roman" w:eastAsia="Calibri" w:hAnsi="Times New Roman" w:cs="Times New Roman"/>
          <w:lang w:val="en-GB"/>
        </w:rPr>
        <w:t>three</w:t>
      </w:r>
      <w:r w:rsidRPr="004C41C8">
        <w:rPr>
          <w:rFonts w:ascii="Times New Roman" w:hAnsi="Times New Roman"/>
          <w:lang w:val="en-GB"/>
        </w:rPr>
        <w:t xml:space="preserve"> on the east and </w:t>
      </w:r>
      <w:r w:rsidRPr="00EF0FDE">
        <w:rPr>
          <w:rFonts w:ascii="Times New Roman" w:eastAsia="Calibri" w:hAnsi="Times New Roman" w:cs="Times New Roman"/>
          <w:lang w:val="en-GB"/>
        </w:rPr>
        <w:t>three</w:t>
      </w:r>
      <w:r w:rsidRPr="004C41C8">
        <w:rPr>
          <w:rFonts w:ascii="Times New Roman" w:hAnsi="Times New Roman"/>
          <w:lang w:val="en-GB"/>
        </w:rPr>
        <w:t xml:space="preserve"> on the west side, the contents of which are given above.</w:t>
      </w:r>
      <w:r w:rsidRPr="00427476">
        <w:rPr>
          <w:rStyle w:val="DipnotBavurusu"/>
          <w:rFonts w:asciiTheme="majorBidi" w:hAnsiTheme="majorBidi"/>
          <w:lang w:val="en-GB"/>
        </w:rPr>
        <w:footnoteReference w:id="44"/>
      </w:r>
      <w:r w:rsidRPr="004C41C8">
        <w:rPr>
          <w:rFonts w:ascii="Times New Roman" w:hAnsi="Times New Roman"/>
          <w:lang w:val="en-GB"/>
        </w:rPr>
        <w:t xml:space="preserve"> Although the Sardurburç inscriptions</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 inscriptions</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repeat each other in terms of content, they differ in line lengths and formal features. The typefaces and their </w:t>
      </w:r>
      <w:r w:rsidRPr="00EF0FDE">
        <w:rPr>
          <w:rFonts w:ascii="Times New Roman" w:eastAsia="Calibri" w:hAnsi="Times New Roman" w:cs="Times New Roman"/>
          <w:lang w:val="en-GB"/>
        </w:rPr>
        <w:t xml:space="preserve">architectural </w:t>
      </w:r>
      <w:r w:rsidRPr="004C41C8">
        <w:rPr>
          <w:rFonts w:ascii="Times New Roman" w:hAnsi="Times New Roman"/>
          <w:lang w:val="en-GB"/>
        </w:rPr>
        <w:t xml:space="preserve">positions may have been written in different chronological periods. For this reason, each </w:t>
      </w:r>
      <w:r w:rsidRPr="00EF0FDE">
        <w:rPr>
          <w:rFonts w:ascii="Times New Roman" w:eastAsia="Calibri" w:hAnsi="Times New Roman" w:cs="Times New Roman"/>
          <w:lang w:val="en-GB"/>
        </w:rPr>
        <w:t>inscription</w:t>
      </w:r>
      <w:r w:rsidRPr="004C41C8">
        <w:rPr>
          <w:rFonts w:ascii="Times New Roman" w:hAnsi="Times New Roman"/>
          <w:lang w:val="en-GB"/>
        </w:rPr>
        <w:t xml:space="preserve"> has been handled separately, considering these different features to document them in detail.</w:t>
      </w:r>
    </w:p>
    <w:p w14:paraId="173C5C23"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lastRenderedPageBreak/>
        <w:t>Fig. 5 Inscription 1, on the west side of Sardurburç</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Sardurburç</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 xml:space="preserve"> (CTU I. A 1-1A)</w:t>
      </w:r>
      <w:r w:rsidRPr="00CE54AB">
        <w:rPr>
          <w:rFonts w:ascii="Times New Roman" w:eastAsia="Calibri" w:hAnsi="Times New Roman" w:cs="Times New Roman"/>
          <w:bCs/>
          <w:noProof/>
        </w:rPr>
        <w:drawing>
          <wp:anchor distT="0" distB="0" distL="114300" distR="114300" simplePos="0" relativeHeight="251868160" behindDoc="0" locked="0" layoutInCell="1" allowOverlap="1" wp14:anchorId="32D0023D" wp14:editId="70F2A258">
            <wp:simplePos x="0" y="0"/>
            <wp:positionH relativeFrom="column">
              <wp:posOffset>-2648</wp:posOffset>
            </wp:positionH>
            <wp:positionV relativeFrom="paragraph">
              <wp:posOffset>-2708</wp:posOffset>
            </wp:positionV>
            <wp:extent cx="5756910" cy="2772039"/>
            <wp:effectExtent l="19050" t="19050" r="15240" b="28575"/>
            <wp:wrapTopAndBottom/>
            <wp:docPr id="713695494" name="Resim 713695494" descr="C:\Users\Asus\Desktop\Sardurburç Düzeltme 2024 ocak\Hocaya gönderilen_08_08_2021\Figur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Sardurburç Düzeltme 2024 ocak\Hocaya gönderilen_08_08_2021\Figures\5.jpg"/>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5756910" cy="2772039"/>
                    </a:xfrm>
                    <a:prstGeom prst="rect">
                      <a:avLst/>
                    </a:prstGeom>
                    <a:noFill/>
                    <a:ln>
                      <a:solidFill>
                        <a:sysClr val="windowText" lastClr="000000"/>
                      </a:solidFill>
                    </a:ln>
                  </pic:spPr>
                </pic:pic>
              </a:graphicData>
            </a:graphic>
          </wp:anchor>
        </w:drawing>
      </w:r>
      <w:r w:rsidRPr="004C41C8">
        <w:rPr>
          <w:rFonts w:ascii="Times New Roman" w:hAnsi="Times New Roman"/>
          <w:lang w:val="en-GB"/>
        </w:rPr>
        <w:t>.</w:t>
      </w:r>
    </w:p>
    <w:p w14:paraId="01A75B59" w14:textId="77777777" w:rsidR="00EC68C5" w:rsidRPr="004C41C8" w:rsidRDefault="00EC68C5" w:rsidP="00EC68C5">
      <w:pPr>
        <w:spacing w:before="240" w:line="276" w:lineRule="auto"/>
        <w:jc w:val="both"/>
        <w:rPr>
          <w:rFonts w:ascii="Times New Roman" w:hAnsi="Times New Roman"/>
          <w:lang w:val="en-GB"/>
        </w:rPr>
      </w:pPr>
      <w:r w:rsidRPr="004C41C8">
        <w:rPr>
          <w:rFonts w:ascii="Times New Roman" w:hAnsi="Times New Roman"/>
          <w:lang w:val="en-GB"/>
        </w:rPr>
        <w:t>According to the plan, the inscription numbered CTU I. A1-1A, located on the 5th and uppermost row of the west facade in the northwest corner of Sardurburç</w:t>
      </w:r>
      <w:r w:rsidRPr="00EF0FDE">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consists of 7 lines in Assyrian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(Fig. 5). As a typeface, it has more archaic features compared to the other copies. Considered together with the architecture, it suggests that it may have been inscribed at the earliest stage. As its location makes it vulnerable to environmental factors, partial destruction has occurred on its surface</w:t>
      </w:r>
      <w:r w:rsidRPr="00EF0FDE">
        <w:rPr>
          <w:rFonts w:ascii="Times New Roman" w:eastAsia="Calibri" w:hAnsi="Times New Roman" w:cs="Times New Roman"/>
          <w:lang w:val="en-GB"/>
        </w:rPr>
        <w:t>,</w:t>
      </w:r>
      <w:r w:rsidRPr="004C41C8">
        <w:rPr>
          <w:rFonts w:ascii="Times New Roman" w:hAnsi="Times New Roman"/>
          <w:lang w:val="en-GB"/>
        </w:rPr>
        <w:t xml:space="preserve"> and some cuneiform marks on the head of the inscription have been compromised. The dimensions of the inscription are 30 cm from top to bottom and 110 cm from left to right. The dimensions of the rock block on which the inscription is located are 85 cm from top to bottom and 265 cm from left to right (Fig. 6).</w:t>
      </w:r>
    </w:p>
    <w:p w14:paraId="0C681464" w14:textId="77777777" w:rsidR="00EC68C5" w:rsidRPr="004C41C8" w:rsidRDefault="00EC68C5" w:rsidP="00EC68C5">
      <w:pPr>
        <w:spacing w:before="240" w:line="276" w:lineRule="auto"/>
        <w:jc w:val="center"/>
        <w:rPr>
          <w:rFonts w:ascii="Times New Roman" w:hAnsi="Times New Roman"/>
          <w:lang w:val="en-GB"/>
        </w:rPr>
      </w:pPr>
      <w:r w:rsidRPr="004C41C8">
        <w:rPr>
          <w:rFonts w:ascii="Times New Roman" w:hAnsi="Times New Roman"/>
          <w:lang w:val="en-GB"/>
        </w:rPr>
        <w:lastRenderedPageBreak/>
        <w:t>Fig. 6 Oversized building blocks with inscription 1 in the upper left corner.</w:t>
      </w:r>
      <w:r w:rsidRPr="00CE54AB">
        <w:rPr>
          <w:rFonts w:ascii="Times New Roman" w:eastAsia="Calibri" w:hAnsi="Times New Roman" w:cs="Times New Roman"/>
          <w:bCs/>
          <w:noProof/>
        </w:rPr>
        <w:drawing>
          <wp:anchor distT="0" distB="0" distL="114300" distR="114300" simplePos="0" relativeHeight="251869184" behindDoc="0" locked="0" layoutInCell="1" allowOverlap="1" wp14:anchorId="274AEF0D" wp14:editId="00C17A8D">
            <wp:simplePos x="0" y="0"/>
            <wp:positionH relativeFrom="margin">
              <wp:align>center</wp:align>
            </wp:positionH>
            <wp:positionV relativeFrom="paragraph">
              <wp:posOffset>53244</wp:posOffset>
            </wp:positionV>
            <wp:extent cx="5756910" cy="3850903"/>
            <wp:effectExtent l="19050" t="19050" r="15240" b="16510"/>
            <wp:wrapTopAndBottom/>
            <wp:docPr id="1873729986" name="Resim 1873729986" descr="C:\Users\Asus\Desktop\Sardurburç Düzeltme 2024 ocak\Hocaya gönderilen_08_08_2021\Figu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Sardurburç Düzeltme 2024 ocak\Hocaya gönderilen_08_08_2021\Figures\6.JPG"/>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756910" cy="3850903"/>
                    </a:xfrm>
                    <a:prstGeom prst="rect">
                      <a:avLst/>
                    </a:prstGeom>
                    <a:noFill/>
                    <a:ln w="3175">
                      <a:solidFill>
                        <a:sysClr val="windowText" lastClr="000000"/>
                      </a:solidFill>
                    </a:ln>
                  </pic:spPr>
                </pic:pic>
              </a:graphicData>
            </a:graphic>
          </wp:anchor>
        </w:drawing>
      </w:r>
    </w:p>
    <w:p w14:paraId="0FE2F681" w14:textId="77777777" w:rsidR="00EC68C5" w:rsidRDefault="00EC68C5" w:rsidP="00EC68C5">
      <w:pPr>
        <w:spacing w:line="276" w:lineRule="auto"/>
        <w:jc w:val="both"/>
        <w:rPr>
          <w:rFonts w:ascii="Times New Roman" w:hAnsi="Times New Roman"/>
          <w:lang w:val="en-GB"/>
        </w:rPr>
      </w:pPr>
    </w:p>
    <w:p w14:paraId="11177E5B"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According to the architectural plan (Fig. 4), this inscription located in Block C consists of 8 lines. In terms of typeface, it exhibits much better workmanship than the CTU I. A1-1A inscription. Line spacing is straight and even. Lines are visible, and these lines were used to make precise marks (Fig. 7). When evaluated together with the inscription characteristics and architecture, it is thought that this inscription and the others were written in the second stage. In other words, the Sardurburç</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inscriptions</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 inscriptions</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CTU I. A 1-1B / A 1-1C / A 1-1D / A 1-1E / A 1-1F were made in the second phase of the structure, so they feature much more elaborate and fine workmanship. </w:t>
      </w:r>
      <w:r w:rsidRPr="00EF0FDE">
        <w:rPr>
          <w:rFonts w:ascii="Times New Roman" w:eastAsia="Calibri" w:hAnsi="Times New Roman" w:cs="Times New Roman"/>
          <w:lang w:val="en-GB"/>
        </w:rPr>
        <w:t>The "</w:t>
      </w:r>
      <w:r w:rsidRPr="004C41C8">
        <w:rPr>
          <w:rFonts w:ascii="Times New Roman" w:hAnsi="Times New Roman"/>
          <w:lang w:val="en-GB"/>
        </w:rPr>
        <w:t>Architectural Evaluations</w:t>
      </w:r>
      <w:r w:rsidRPr="00EF0FDE">
        <w:rPr>
          <w:rFonts w:ascii="Times New Roman" w:eastAsia="Calibri" w:hAnsi="Times New Roman" w:cs="Times New Roman"/>
          <w:lang w:val="en-GB"/>
        </w:rPr>
        <w:t>"</w:t>
      </w:r>
      <w:r w:rsidRPr="004C41C8">
        <w:rPr>
          <w:rFonts w:ascii="Times New Roman" w:hAnsi="Times New Roman"/>
          <w:lang w:val="en-GB"/>
        </w:rPr>
        <w:t xml:space="preserve"> section</w:t>
      </w:r>
      <w:r w:rsidRPr="00EF0FDE">
        <w:rPr>
          <w:rFonts w:ascii="Times New Roman" w:eastAsia="Calibri" w:hAnsi="Times New Roman" w:cs="Times New Roman"/>
          <w:lang w:val="en-GB"/>
        </w:rPr>
        <w:t xml:space="preserve"> will discuss architectural evidence supporting this</w:t>
      </w:r>
      <w:r w:rsidRPr="004C41C8">
        <w:rPr>
          <w:rFonts w:ascii="Times New Roman" w:hAnsi="Times New Roman"/>
          <w:lang w:val="en-GB"/>
        </w:rPr>
        <w:t xml:space="preserve">. It is thought that only the inscription CTU I. A 1-1A on Block A was inscribed in the first stage. (For the epigraphic </w:t>
      </w:r>
      <w:r w:rsidRPr="00EF0FDE">
        <w:rPr>
          <w:rFonts w:ascii="Times New Roman" w:eastAsia="Calibri" w:hAnsi="Times New Roman" w:cs="Times New Roman"/>
          <w:lang w:val="en-GB"/>
        </w:rPr>
        <w:t>labeling</w:t>
      </w:r>
      <w:r w:rsidRPr="004C41C8">
        <w:rPr>
          <w:rFonts w:ascii="Times New Roman" w:hAnsi="Times New Roman"/>
          <w:lang w:val="en-GB"/>
        </w:rPr>
        <w:t xml:space="preserve"> of inscriptions on the plan according to Salvini, 2008, see Fig. 4).</w:t>
      </w:r>
    </w:p>
    <w:p w14:paraId="4D572FD4" w14:textId="77777777" w:rsidR="00EC68C5" w:rsidRPr="004C41C8" w:rsidRDefault="00EC68C5" w:rsidP="00EC68C5">
      <w:pPr>
        <w:spacing w:line="276" w:lineRule="auto"/>
        <w:jc w:val="both"/>
        <w:rPr>
          <w:rFonts w:ascii="Times New Roman" w:hAnsi="Times New Roman"/>
          <w:lang w:val="en-GB"/>
        </w:rPr>
      </w:pPr>
    </w:p>
    <w:p w14:paraId="24D2B424"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The inscription CTU I. A1–1B is located on a large stone block with a squarish shape at the junction between Sardurburç</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Blocks C and B. This large stone block is located on the wall of Sardurburç Block B and is thought to have been built in an earlier period (Fig. 8). The dimensions of the inscription are 36 cm from top to bottom and 100 cm from left to right. The spaces between the lines are approximately 4 cm. The </w:t>
      </w:r>
      <w:r w:rsidRPr="00EF0FDE">
        <w:rPr>
          <w:rFonts w:ascii="Times New Roman" w:eastAsia="Calibri" w:hAnsi="Times New Roman" w:cs="Times New Roman"/>
          <w:lang w:val="en-GB"/>
        </w:rPr>
        <w:t xml:space="preserve">block's </w:t>
      </w:r>
      <w:r w:rsidRPr="004C41C8">
        <w:rPr>
          <w:rFonts w:ascii="Times New Roman" w:hAnsi="Times New Roman"/>
          <w:lang w:val="en-GB"/>
        </w:rPr>
        <w:t xml:space="preserve">dimensions, whose surface is flattened for the inscription, are 180 cm from left to right and 156 cm from top to bottom. Although it does not differ from other inscriptions in content, it was written in 8 lines, probably due to the narrower/square-like shape of the rock block it was on. Salvini named it CTU I. A 1-1B, although it is the most southerly of the inscriptions on the west face of the building. </w:t>
      </w:r>
      <w:r w:rsidRPr="004C41C8">
        <w:rPr>
          <w:rFonts w:ascii="Times New Roman" w:hAnsi="Times New Roman"/>
          <w:lang w:val="en-GB"/>
        </w:rPr>
        <w:lastRenderedPageBreak/>
        <w:t xml:space="preserve">However, to avoid confusion, the inscriptions are named based on the CTU </w:t>
      </w:r>
      <w:r w:rsidRPr="00CE54AB">
        <w:rPr>
          <w:rFonts w:ascii="Times New Roman" w:eastAsia="Calibri" w:hAnsi="Times New Roman" w:cs="Times New Roman"/>
          <w:b/>
          <w:noProof/>
        </w:rPr>
        <w:drawing>
          <wp:anchor distT="0" distB="0" distL="114300" distR="114300" simplePos="0" relativeHeight="251870208" behindDoc="0" locked="0" layoutInCell="1" allowOverlap="1" wp14:anchorId="198728E0" wp14:editId="7137CEF2">
            <wp:simplePos x="0" y="0"/>
            <wp:positionH relativeFrom="margin">
              <wp:posOffset>54610</wp:posOffset>
            </wp:positionH>
            <wp:positionV relativeFrom="paragraph">
              <wp:posOffset>583612</wp:posOffset>
            </wp:positionV>
            <wp:extent cx="5756910" cy="3112770"/>
            <wp:effectExtent l="19050" t="19050" r="15240" b="11430"/>
            <wp:wrapTopAndBottom/>
            <wp:docPr id="1797267063" name="Resim 1797267063" descr="C:\Users\Asus\Desktop\Sardurburç Düzeltme 2024 ocak\Hocaya gönderilen_08_08_2021\Fig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Sardurburç Düzeltme 2024 ocak\Hocaya gönderilen_08_08_2021\Figures\7.jpg"/>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756910" cy="3112770"/>
                    </a:xfrm>
                    <a:prstGeom prst="rect">
                      <a:avLst/>
                    </a:prstGeom>
                    <a:noFill/>
                    <a:ln>
                      <a:solidFill>
                        <a:sysClr val="windowText" lastClr="000000"/>
                      </a:solidFill>
                    </a:ln>
                  </pic:spPr>
                </pic:pic>
              </a:graphicData>
            </a:graphic>
          </wp:anchor>
        </w:drawing>
      </w:r>
      <w:r w:rsidRPr="004C41C8">
        <w:rPr>
          <w:rFonts w:ascii="Times New Roman" w:hAnsi="Times New Roman"/>
          <w:lang w:val="en-GB"/>
        </w:rPr>
        <w:t>(Salvini, 2008). Just north of this inscription is the inscription CTU I. A 1-1C.</w:t>
      </w:r>
      <w:r w:rsidRPr="00427476">
        <w:rPr>
          <w:rStyle w:val="DipnotBavurusu"/>
          <w:rFonts w:asciiTheme="majorBidi" w:hAnsiTheme="majorBidi"/>
          <w:lang w:val="en-GB"/>
        </w:rPr>
        <w:footnoteReference w:id="45"/>
      </w:r>
    </w:p>
    <w:p w14:paraId="42559C53" w14:textId="77777777" w:rsidR="00EC68C5" w:rsidRPr="004C41C8" w:rsidRDefault="00EC68C5" w:rsidP="00EC68C5">
      <w:pPr>
        <w:spacing w:before="240" w:line="276" w:lineRule="auto"/>
        <w:ind w:firstLine="708"/>
        <w:jc w:val="center"/>
        <w:rPr>
          <w:rFonts w:ascii="Times New Roman" w:hAnsi="Times New Roman"/>
          <w:lang w:val="en-GB"/>
        </w:rPr>
      </w:pPr>
      <w:r w:rsidRPr="00CE54AB">
        <w:rPr>
          <w:rFonts w:ascii="Times New Roman" w:eastAsia="Calibri" w:hAnsi="Times New Roman" w:cs="Times New Roman"/>
          <w:bCs/>
          <w:noProof/>
        </w:rPr>
        <w:drawing>
          <wp:anchor distT="0" distB="0" distL="114300" distR="114300" simplePos="0" relativeHeight="251871232" behindDoc="0" locked="0" layoutInCell="1" allowOverlap="1" wp14:anchorId="050B20C0" wp14:editId="16F4272A">
            <wp:simplePos x="0" y="0"/>
            <wp:positionH relativeFrom="margin">
              <wp:posOffset>233680</wp:posOffset>
            </wp:positionH>
            <wp:positionV relativeFrom="paragraph">
              <wp:posOffset>3688080</wp:posOffset>
            </wp:positionV>
            <wp:extent cx="5286375" cy="3535680"/>
            <wp:effectExtent l="12700" t="12700" r="9525" b="7620"/>
            <wp:wrapTopAndBottom/>
            <wp:docPr id="395157887" name="Resim 395157887" descr="C:\Users\Asus\Desktop\Sardurburç Düzeltme 2024 ocak\Hocaya gönderilen_08_08_2021\Figur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Sardurburç Düzeltme 2024 ocak\Hocaya gönderilen_08_08_2021\Figures\8.JPG"/>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5286375" cy="353568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4C41C8">
        <w:rPr>
          <w:rFonts w:ascii="Times New Roman" w:hAnsi="Times New Roman"/>
          <w:lang w:val="en-GB"/>
        </w:rPr>
        <w:t>Fig. 7 Inscription 2 (CTU I. A 1-1B).</w:t>
      </w:r>
    </w:p>
    <w:p w14:paraId="695AEE6C" w14:textId="77777777" w:rsidR="00EC68C5" w:rsidRPr="004C41C8" w:rsidRDefault="00EC68C5" w:rsidP="00EC68C5">
      <w:pPr>
        <w:spacing w:before="240" w:line="276" w:lineRule="auto"/>
        <w:jc w:val="center"/>
        <w:rPr>
          <w:rFonts w:ascii="Times New Roman" w:hAnsi="Times New Roman"/>
          <w:lang w:val="en-GB"/>
        </w:rPr>
      </w:pPr>
      <w:r w:rsidRPr="004C41C8">
        <w:rPr>
          <w:rFonts w:ascii="Times New Roman" w:hAnsi="Times New Roman"/>
          <w:lang w:val="en-GB"/>
        </w:rPr>
        <w:t>Fig. 8 Sardurburç</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Sardurburç</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 xml:space="preserve"> construction stages and location of the inscription 2.</w:t>
      </w:r>
    </w:p>
    <w:p w14:paraId="60799001" w14:textId="77777777" w:rsidR="00EC68C5" w:rsidRPr="004C41C8" w:rsidRDefault="00EC68C5" w:rsidP="00EC68C5">
      <w:pPr>
        <w:spacing w:line="276" w:lineRule="auto"/>
        <w:jc w:val="both"/>
        <w:rPr>
          <w:rFonts w:ascii="Times New Roman" w:hAnsi="Times New Roman"/>
          <w:lang w:val="en-GB"/>
        </w:rPr>
      </w:pPr>
      <w:r w:rsidRPr="00CE54AB">
        <w:rPr>
          <w:rFonts w:ascii="Times New Roman" w:eastAsia="Calibri" w:hAnsi="Times New Roman" w:cs="Times New Roman"/>
          <w:b/>
          <w:noProof/>
        </w:rPr>
        <w:lastRenderedPageBreak/>
        <w:drawing>
          <wp:anchor distT="0" distB="0" distL="114300" distR="114300" simplePos="0" relativeHeight="251872256" behindDoc="0" locked="0" layoutInCell="1" allowOverlap="1" wp14:anchorId="2F8F3FB0" wp14:editId="258B1D14">
            <wp:simplePos x="0" y="0"/>
            <wp:positionH relativeFrom="margin">
              <wp:posOffset>26670</wp:posOffset>
            </wp:positionH>
            <wp:positionV relativeFrom="paragraph">
              <wp:posOffset>1459768</wp:posOffset>
            </wp:positionV>
            <wp:extent cx="5756910" cy="3850640"/>
            <wp:effectExtent l="19050" t="19050" r="15240" b="16510"/>
            <wp:wrapTopAndBottom/>
            <wp:docPr id="1463304654" name="Resim 1463304654" descr="C:\Users\Asus\Desktop\Sardurburç Düzeltme 2024 ocak\Hocaya gönderilen_08_08_2021\Figur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Sardurburç Düzeltme 2024 ocak\Hocaya gönderilen_08_08_2021\Figures\9.JPG"/>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756910" cy="3850640"/>
                    </a:xfrm>
                    <a:prstGeom prst="rect">
                      <a:avLst/>
                    </a:prstGeom>
                    <a:noFill/>
                    <a:ln>
                      <a:solidFill>
                        <a:sysClr val="windowText" lastClr="000000"/>
                      </a:solidFill>
                    </a:ln>
                  </pic:spPr>
                </pic:pic>
              </a:graphicData>
            </a:graphic>
          </wp:anchor>
        </w:drawing>
      </w:r>
      <w:r w:rsidRPr="004C41C8">
        <w:rPr>
          <w:rFonts w:ascii="Times New Roman" w:hAnsi="Times New Roman"/>
          <w:lang w:val="en-GB"/>
        </w:rPr>
        <w:t>Located in the same block (B Block) as the northernmost inscription, the CTU I. A1-1A inscription is similar in content and consists of 7 lines (Fig. 9). Today, only a few cuneiform marks of this largely destroyed inscription remain due to the rock structure of the block it is on</w:t>
      </w:r>
      <w:r w:rsidRPr="004C41C8">
        <w:rPr>
          <w:rFonts w:ascii="Times New Roman" w:hAnsi="Times New Roman"/>
          <w:b/>
          <w:lang w:val="en-GB"/>
        </w:rPr>
        <w:t xml:space="preserve"> </w:t>
      </w:r>
      <w:r w:rsidRPr="004C41C8">
        <w:rPr>
          <w:rFonts w:ascii="Times New Roman" w:hAnsi="Times New Roman"/>
          <w:lang w:val="en-GB"/>
        </w:rPr>
        <w:t>(Fig. 10). The dimensions of the inscription have been damaged beyond measure. The dimensions of the rock with this inscription, which is the 3rd row from top to bottom, are 370 cm from left to right and 120 cm from top to bottom. Just south of it is the inscription CTU I. A 1-1B.</w:t>
      </w:r>
    </w:p>
    <w:p w14:paraId="32967059" w14:textId="77777777" w:rsidR="00EC68C5" w:rsidRPr="004C41C8" w:rsidRDefault="00EC68C5" w:rsidP="00EC68C5">
      <w:pPr>
        <w:spacing w:line="276" w:lineRule="auto"/>
        <w:ind w:firstLine="708"/>
        <w:jc w:val="center"/>
        <w:rPr>
          <w:rFonts w:ascii="Times New Roman" w:hAnsi="Times New Roman"/>
          <w:lang w:val="en-GB"/>
        </w:rPr>
      </w:pPr>
      <w:r w:rsidRPr="004C41C8">
        <w:rPr>
          <w:rFonts w:ascii="Times New Roman" w:hAnsi="Times New Roman"/>
          <w:lang w:val="en-GB"/>
        </w:rPr>
        <w:t>Fig. 9 Location of the inscription 3 (CTU I. A 1-1C).</w:t>
      </w:r>
    </w:p>
    <w:p w14:paraId="5060D515" w14:textId="77777777" w:rsidR="00EC68C5" w:rsidRPr="004C41C8" w:rsidRDefault="00EC68C5" w:rsidP="00EC68C5">
      <w:pPr>
        <w:spacing w:before="240" w:line="276" w:lineRule="auto"/>
        <w:jc w:val="center"/>
        <w:rPr>
          <w:rFonts w:ascii="Times New Roman" w:hAnsi="Times New Roman"/>
          <w:lang w:val="en-GB"/>
        </w:rPr>
      </w:pPr>
      <w:r w:rsidRPr="004C41C8">
        <w:rPr>
          <w:rFonts w:ascii="Times New Roman" w:hAnsi="Times New Roman"/>
          <w:lang w:val="en-GB"/>
        </w:rPr>
        <w:t>Fig. 10 Destroyed surface of the inscription 3</w:t>
      </w:r>
      <w:r w:rsidRPr="00CE54AB">
        <w:rPr>
          <w:rFonts w:ascii="Times New Roman" w:eastAsia="Calibri" w:hAnsi="Times New Roman" w:cs="Times New Roman"/>
          <w:bCs/>
          <w:noProof/>
        </w:rPr>
        <w:drawing>
          <wp:anchor distT="0" distB="0" distL="114300" distR="114300" simplePos="0" relativeHeight="251873280" behindDoc="0" locked="0" layoutInCell="1" allowOverlap="1" wp14:anchorId="64E74F72" wp14:editId="18DFB7AF">
            <wp:simplePos x="0" y="0"/>
            <wp:positionH relativeFrom="margin">
              <wp:align>center</wp:align>
            </wp:positionH>
            <wp:positionV relativeFrom="paragraph">
              <wp:posOffset>47050</wp:posOffset>
            </wp:positionV>
            <wp:extent cx="4333077" cy="2898475"/>
            <wp:effectExtent l="19050" t="19050" r="10795" b="16510"/>
            <wp:wrapTopAndBottom/>
            <wp:docPr id="1885419819" name="Resim 1885419819" descr="C:\Users\Asus\Desktop\Sardurburç Düzeltme 2024 ocak\Hocaya gönderilen_08_08_2021\Fig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Sardurburç Düzeltme 2024 ocak\Hocaya gönderilen_08_08_2021\Figures\10.JPG"/>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4333077" cy="2898475"/>
                    </a:xfrm>
                    <a:prstGeom prst="rect">
                      <a:avLst/>
                    </a:prstGeom>
                    <a:noFill/>
                    <a:ln>
                      <a:solidFill>
                        <a:sysClr val="windowText" lastClr="000000"/>
                      </a:solidFill>
                    </a:ln>
                  </pic:spPr>
                </pic:pic>
              </a:graphicData>
            </a:graphic>
          </wp:anchor>
        </w:drawing>
      </w:r>
      <w:r w:rsidRPr="004C41C8">
        <w:rPr>
          <w:rFonts w:ascii="Times New Roman" w:hAnsi="Times New Roman"/>
          <w:lang w:val="en-GB"/>
        </w:rPr>
        <w:t>.</w:t>
      </w:r>
    </w:p>
    <w:p w14:paraId="2DDB5CCC" w14:textId="77777777" w:rsidR="00EC68C5" w:rsidRDefault="00EC68C5" w:rsidP="00EC68C5">
      <w:pPr>
        <w:spacing w:line="276" w:lineRule="auto"/>
        <w:jc w:val="both"/>
        <w:rPr>
          <w:rFonts w:ascii="Times New Roman" w:hAnsi="Times New Roman"/>
          <w:lang w:val="en-GB"/>
        </w:rPr>
      </w:pPr>
      <w:r w:rsidRPr="004C41C8">
        <w:rPr>
          <w:rFonts w:ascii="Times New Roman" w:hAnsi="Times New Roman"/>
          <w:lang w:val="en-GB"/>
        </w:rPr>
        <w:lastRenderedPageBreak/>
        <w:t>The CTU I. A 1-1D inscription is located on the eastern facade, at the southernmost part of the Sardurburç</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structure</w:t>
      </w:r>
      <w:r w:rsidRPr="00EF0FDE">
        <w:rPr>
          <w:rFonts w:ascii="Times New Roman" w:eastAsia="Calibri" w:hAnsi="Times New Roman" w:cs="Times New Roman"/>
          <w:lang w:val="en-GB"/>
        </w:rPr>
        <w:t>. It</w:t>
      </w:r>
      <w:r w:rsidRPr="004C41C8">
        <w:rPr>
          <w:rFonts w:ascii="Times New Roman" w:hAnsi="Times New Roman"/>
          <w:lang w:val="en-GB"/>
        </w:rPr>
        <w:t xml:space="preserve"> is at ground level in the </w:t>
      </w:r>
      <w:r w:rsidRPr="00EF0FDE">
        <w:rPr>
          <w:rFonts w:ascii="Times New Roman" w:eastAsia="Calibri" w:hAnsi="Times New Roman" w:cs="Times New Roman"/>
          <w:lang w:val="en-GB"/>
        </w:rPr>
        <w:t>third</w:t>
      </w:r>
      <w:r w:rsidRPr="004C41C8">
        <w:rPr>
          <w:rFonts w:ascii="Times New Roman" w:hAnsi="Times New Roman"/>
          <w:lang w:val="en-GB"/>
        </w:rPr>
        <w:t xml:space="preserve"> stone row from top to bottom (Fig. 11). The fact that these inscriptions on the eastern facade are much better preserved than those on the western side suggests they were covered with soil for a long time. It is known that the inscriptions on this side were unearthed during the 1937-39 excavations (Bilgiç, 1959: 44).</w:t>
      </w:r>
    </w:p>
    <w:p w14:paraId="5383D39A" w14:textId="77777777" w:rsidR="00EC68C5" w:rsidRPr="004C41C8" w:rsidRDefault="00EC68C5" w:rsidP="00EC68C5">
      <w:pPr>
        <w:spacing w:line="276" w:lineRule="auto"/>
        <w:jc w:val="both"/>
        <w:rPr>
          <w:rFonts w:ascii="Times New Roman" w:hAnsi="Times New Roman"/>
          <w:lang w:val="en-GB"/>
        </w:rPr>
      </w:pPr>
    </w:p>
    <w:p w14:paraId="03599E74"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11 Inscription 4 (CTU I. A 1-1D)</w:t>
      </w:r>
      <w:r w:rsidRPr="00CE54AB">
        <w:rPr>
          <w:rFonts w:ascii="Times New Roman" w:eastAsia="Calibri" w:hAnsi="Times New Roman" w:cs="Times New Roman"/>
          <w:bCs/>
          <w:noProof/>
        </w:rPr>
        <w:drawing>
          <wp:anchor distT="0" distB="0" distL="114300" distR="114300" simplePos="0" relativeHeight="251874304" behindDoc="0" locked="0" layoutInCell="1" allowOverlap="1" wp14:anchorId="5996844C" wp14:editId="7E5E3BA3">
            <wp:simplePos x="0" y="0"/>
            <wp:positionH relativeFrom="margin">
              <wp:align>center</wp:align>
            </wp:positionH>
            <wp:positionV relativeFrom="paragraph">
              <wp:posOffset>24</wp:posOffset>
            </wp:positionV>
            <wp:extent cx="5756910" cy="3837940"/>
            <wp:effectExtent l="19050" t="19050" r="15240" b="10160"/>
            <wp:wrapTopAndBottom/>
            <wp:docPr id="1395201338" name="Resim 1395201338" descr="C:\Users\Asus\Desktop\Sardurburç Düzeltme 2024 ocak\Hocaya gönderilen_08_08_2021\Fig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Sardurburç Düzeltme 2024 ocak\Hocaya gönderilen_08_08_2021\Figures\11.jpg"/>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756910" cy="3837940"/>
                    </a:xfrm>
                    <a:prstGeom prst="rect">
                      <a:avLst/>
                    </a:prstGeom>
                    <a:noFill/>
                    <a:ln>
                      <a:solidFill>
                        <a:sysClr val="windowText" lastClr="000000"/>
                      </a:solidFill>
                    </a:ln>
                  </pic:spPr>
                </pic:pic>
              </a:graphicData>
            </a:graphic>
          </wp:anchor>
        </w:drawing>
      </w:r>
      <w:r w:rsidRPr="004C41C8">
        <w:rPr>
          <w:rFonts w:ascii="Times New Roman" w:hAnsi="Times New Roman"/>
          <w:lang w:val="en-GB"/>
        </w:rPr>
        <w:t>.</w:t>
      </w:r>
    </w:p>
    <w:p w14:paraId="20208403" w14:textId="77777777" w:rsidR="00EC68C5" w:rsidRPr="004C41C8" w:rsidRDefault="00EC68C5" w:rsidP="00EC68C5">
      <w:pPr>
        <w:spacing w:line="276" w:lineRule="auto"/>
        <w:jc w:val="both"/>
        <w:rPr>
          <w:rFonts w:ascii="Times New Roman" w:hAnsi="Times New Roman"/>
          <w:lang w:val="en-GB"/>
        </w:rPr>
      </w:pPr>
    </w:p>
    <w:p w14:paraId="1A751F97"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The 7-line CTU I. A 1-1D inscription has been well preserved. Among the inscriptions on the eastern face is the southernmost inscription</w:t>
      </w:r>
      <w:r w:rsidRPr="00EF0FDE">
        <w:rPr>
          <w:rFonts w:ascii="Times New Roman" w:eastAsia="Calibri" w:hAnsi="Times New Roman" w:cs="Times New Roman"/>
          <w:lang w:val="en-GB"/>
        </w:rPr>
        <w:t>,</w:t>
      </w:r>
      <w:r w:rsidRPr="004C41C8">
        <w:rPr>
          <w:rFonts w:ascii="Times New Roman" w:hAnsi="Times New Roman"/>
          <w:lang w:val="en-GB"/>
        </w:rPr>
        <w:t xml:space="preserve"> closest to the citadel rock. The dimensions of the inscription are 30 cm from top to bottom and 105 cm from left to right. The width of the lines is between 4.2</w:t>
      </w:r>
      <w:r w:rsidRPr="00EF0FDE">
        <w:rPr>
          <w:rFonts w:ascii="Times New Roman" w:eastAsia="Calibri" w:hAnsi="Times New Roman" w:cs="Times New Roman"/>
          <w:lang w:val="en-GB"/>
        </w:rPr>
        <w:t xml:space="preserve"> and </w:t>
      </w:r>
      <w:r w:rsidRPr="004C41C8">
        <w:rPr>
          <w:rFonts w:ascii="Times New Roman" w:hAnsi="Times New Roman"/>
          <w:lang w:val="en-GB"/>
        </w:rPr>
        <w:t>4.8 cm. These inscriptions, which we think were written in the late phase of the Sarduri</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iCs/>
          <w:lang w:val="en-GB"/>
        </w:rPr>
        <w:instrText>Sarduri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period, have a </w:t>
      </w:r>
      <w:r w:rsidRPr="00EF0FDE">
        <w:rPr>
          <w:rFonts w:ascii="Times New Roman" w:eastAsia="Calibri" w:hAnsi="Times New Roman" w:cs="Times New Roman"/>
          <w:lang w:val="en-GB"/>
        </w:rPr>
        <w:t>more comprehensive</w:t>
      </w:r>
      <w:r w:rsidRPr="004C41C8">
        <w:rPr>
          <w:rFonts w:ascii="Times New Roman" w:hAnsi="Times New Roman"/>
          <w:lang w:val="en-GB"/>
        </w:rPr>
        <w:t xml:space="preserve"> line width than the previous one (CTU I. A 1-1A</w:t>
      </w:r>
      <w:r w:rsidRPr="00EF0FDE">
        <w:rPr>
          <w:rFonts w:ascii="Times New Roman" w:eastAsia="Calibri" w:hAnsi="Times New Roman" w:cs="Times New Roman"/>
          <w:lang w:val="en-GB"/>
        </w:rPr>
        <w:t>) and</w:t>
      </w:r>
      <w:r w:rsidRPr="004C41C8">
        <w:rPr>
          <w:rFonts w:ascii="Times New Roman" w:hAnsi="Times New Roman"/>
          <w:lang w:val="en-GB"/>
        </w:rPr>
        <w:t xml:space="preserve"> much better writing and carving work.</w:t>
      </w:r>
    </w:p>
    <w:p w14:paraId="1A4995AF" w14:textId="77777777" w:rsidR="00EC68C5" w:rsidRPr="004C41C8" w:rsidRDefault="00EC68C5" w:rsidP="00EC68C5">
      <w:pPr>
        <w:spacing w:line="276" w:lineRule="auto"/>
        <w:jc w:val="both"/>
        <w:rPr>
          <w:rFonts w:ascii="Times New Roman" w:hAnsi="Times New Roman"/>
          <w:lang w:val="en-GB"/>
        </w:rPr>
      </w:pPr>
    </w:p>
    <w:p w14:paraId="14002C66" w14:textId="13D5FFA2" w:rsidR="00EC68C5" w:rsidRDefault="00EC68C5" w:rsidP="00EC68C5">
      <w:pPr>
        <w:jc w:val="both"/>
        <w:rPr>
          <w:rFonts w:ascii="Times New Roman" w:hAnsi="Times New Roman"/>
          <w:lang w:val="en-GB"/>
        </w:rPr>
      </w:pPr>
      <w:r w:rsidRPr="004C41C8">
        <w:rPr>
          <w:rFonts w:ascii="Times New Roman" w:hAnsi="Times New Roman"/>
          <w:lang w:val="en-GB"/>
        </w:rPr>
        <w:t>Inscription CTU I. A 1-1E is the middle of the three inscriptions located on the eastern facade of the building and consists of 9 lines (Fig. 12). This feature distinguishes it from others</w:t>
      </w:r>
      <w:r w:rsidRPr="00427476">
        <w:rPr>
          <w:rStyle w:val="DipnotBavurusu"/>
          <w:rFonts w:asciiTheme="majorBidi" w:hAnsiTheme="majorBidi"/>
          <w:lang w:val="en-GB"/>
        </w:rPr>
        <w:footnoteReference w:id="46"/>
      </w:r>
      <w:r w:rsidR="006371BE">
        <w:rPr>
          <w:rFonts w:ascii="Times New Roman" w:hAnsi="Times New Roman"/>
          <w:lang w:val="en-GB"/>
        </w:rPr>
        <w:t>. A</w:t>
      </w:r>
      <w:r w:rsidRPr="00427476">
        <w:rPr>
          <w:rFonts w:asciiTheme="majorBidi" w:hAnsiTheme="majorBidi" w:cstheme="majorBidi"/>
          <w:lang w:val="en-GB"/>
        </w:rPr>
        <w:t xml:space="preserve"> Such a</w:t>
      </w:r>
      <w:r w:rsidRPr="004C41C8">
        <w:rPr>
          <w:rFonts w:ascii="Times New Roman" w:hAnsi="Times New Roman"/>
          <w:lang w:val="en-GB"/>
        </w:rPr>
        <w:t xml:space="preserve"> choice was probably made to fit the dimensions of the stone </w:t>
      </w:r>
      <w:r w:rsidRPr="00EF0FDE">
        <w:rPr>
          <w:rFonts w:ascii="Times New Roman" w:eastAsia="Calibri" w:hAnsi="Times New Roman" w:cs="Times New Roman"/>
          <w:lang w:val="en-GB"/>
        </w:rPr>
        <w:t xml:space="preserve">on which </w:t>
      </w:r>
      <w:r w:rsidRPr="004C41C8">
        <w:rPr>
          <w:rFonts w:ascii="Times New Roman" w:hAnsi="Times New Roman"/>
          <w:lang w:val="en-GB"/>
        </w:rPr>
        <w:t>it is inscribed</w:t>
      </w:r>
      <w:r w:rsidRPr="00427476">
        <w:rPr>
          <w:rFonts w:asciiTheme="majorBidi" w:hAnsiTheme="majorBidi" w:cstheme="majorBidi"/>
          <w:lang w:val="en-GB"/>
        </w:rPr>
        <w:t>.</w:t>
      </w:r>
      <w:r w:rsidRPr="00427476">
        <w:rPr>
          <w:rStyle w:val="DipnotBavurusu"/>
          <w:rFonts w:asciiTheme="majorBidi" w:hAnsiTheme="majorBidi"/>
          <w:lang w:val="en-GB"/>
        </w:rPr>
        <w:footnoteReference w:id="47"/>
      </w:r>
      <w:r w:rsidRPr="004C41C8">
        <w:rPr>
          <w:rFonts w:ascii="Times New Roman" w:hAnsi="Times New Roman"/>
          <w:lang w:val="en-GB"/>
        </w:rPr>
        <w:t xml:space="preserve"> This inscription, seen at ground level, must have been written in the same period as the CTU I. 1-1F inscriptions to the north and CTU I</w:t>
      </w:r>
      <w:r w:rsidRPr="00EF0FDE">
        <w:rPr>
          <w:rFonts w:ascii="Times New Roman" w:eastAsia="Calibri" w:hAnsi="Times New Roman" w:cs="Times New Roman"/>
          <w:lang w:val="en-GB"/>
        </w:rPr>
        <w:t>—a</w:t>
      </w:r>
      <w:r w:rsidRPr="004C41C8">
        <w:rPr>
          <w:rFonts w:ascii="Times New Roman" w:hAnsi="Times New Roman"/>
          <w:lang w:val="en-GB"/>
        </w:rPr>
        <w:t xml:space="preserve"> 1-1D to the south. Today, there are ruined stones in front of it. The dimensions of the inscription are 43 cm from top to bottom and 75 cm from </w:t>
      </w:r>
      <w:r w:rsidRPr="004C41C8">
        <w:rPr>
          <w:rFonts w:ascii="Times New Roman" w:hAnsi="Times New Roman"/>
          <w:lang w:val="en-GB"/>
        </w:rPr>
        <w:lastRenderedPageBreak/>
        <w:t xml:space="preserve">left to right. The width of the lines is </w:t>
      </w:r>
      <w:r w:rsidRPr="00EF0FDE">
        <w:rPr>
          <w:rFonts w:ascii="Times New Roman" w:eastAsia="Calibri" w:hAnsi="Times New Roman" w:cs="Times New Roman"/>
          <w:lang w:val="en-GB"/>
        </w:rPr>
        <w:t>exactly</w:t>
      </w:r>
      <w:r w:rsidRPr="004C41C8">
        <w:rPr>
          <w:rFonts w:ascii="Times New Roman" w:hAnsi="Times New Roman"/>
          <w:lang w:val="en-GB"/>
        </w:rPr>
        <w:t xml:space="preserve"> between 4-4.5 cm (Salvini, 2008: 97). The size of the rock on which the inscription is located is 80 cm from top to bottom and 97 cm from left to right.</w:t>
      </w:r>
    </w:p>
    <w:p w14:paraId="65B40604" w14:textId="77777777" w:rsidR="00EC68C5" w:rsidRPr="004C41C8" w:rsidRDefault="00EC68C5" w:rsidP="00EC68C5">
      <w:pPr>
        <w:jc w:val="both"/>
        <w:rPr>
          <w:rFonts w:ascii="Times New Roman" w:hAnsi="Times New Roman"/>
          <w:lang w:val="en-GB"/>
        </w:rPr>
      </w:pPr>
      <w:r w:rsidRPr="00F03A26">
        <w:rPr>
          <w:rFonts w:asciiTheme="majorBidi" w:hAnsiTheme="majorBidi" w:cstheme="majorBidi"/>
          <w:noProof/>
          <w:lang w:eastAsia="tr-TR"/>
        </w:rPr>
        <w:drawing>
          <wp:anchor distT="0" distB="0" distL="114300" distR="114300" simplePos="0" relativeHeight="251890688" behindDoc="0" locked="0" layoutInCell="1" allowOverlap="1" wp14:anchorId="0022C8DD" wp14:editId="5180884C">
            <wp:simplePos x="0" y="0"/>
            <wp:positionH relativeFrom="margin">
              <wp:posOffset>0</wp:posOffset>
            </wp:positionH>
            <wp:positionV relativeFrom="paragraph">
              <wp:posOffset>189230</wp:posOffset>
            </wp:positionV>
            <wp:extent cx="5563870" cy="3707765"/>
            <wp:effectExtent l="19050" t="19050" r="17780" b="26035"/>
            <wp:wrapTopAndBottom/>
            <wp:docPr id="1811902916" name="Resim 1811902916" descr="C:\Users\Asus\Desktop\Sardurburç Düzeltme 2024 ocak\Hocaya gönderilen_08_08_2021\Figur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Sardurburç Düzeltme 2024 ocak\Hocaya gönderilen_08_08_2021\Figures\12.JPG"/>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563870" cy="37077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657B3CD" w14:textId="77777777" w:rsidR="00EC68C5" w:rsidRPr="004C41C8" w:rsidRDefault="00EC68C5" w:rsidP="00EC68C5">
      <w:pPr>
        <w:jc w:val="center"/>
        <w:rPr>
          <w:rFonts w:ascii="Times New Roman" w:hAnsi="Times New Roman"/>
          <w:lang w:val="en-GB"/>
        </w:rPr>
      </w:pPr>
      <w:r w:rsidRPr="004C41C8">
        <w:rPr>
          <w:rFonts w:ascii="Times New Roman" w:hAnsi="Times New Roman"/>
          <w:lang w:val="en-GB"/>
        </w:rPr>
        <w:t>Fig. 12 Inscription 5 (CTU I. A 1-1E).</w:t>
      </w:r>
    </w:p>
    <w:p w14:paraId="2D998BFA" w14:textId="77777777" w:rsidR="00EC68C5" w:rsidRPr="004C41C8" w:rsidRDefault="00EC68C5" w:rsidP="00EC68C5">
      <w:pPr>
        <w:jc w:val="center"/>
        <w:rPr>
          <w:rFonts w:ascii="Times New Roman" w:hAnsi="Times New Roman"/>
          <w:b/>
          <w:lang w:val="en-GB"/>
        </w:rPr>
      </w:pPr>
    </w:p>
    <w:p w14:paraId="769BBAC0"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Inscription numbered CTU I. A 1-1F (Fig. 13), the northernmost among the inscriptions on the eastern facade of the Sardurburç</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structure, is very well preserved, just like the other inscriptions on the eastern face. This inscription, written in 7 lines, has a height of 35 cm and a width of 97 cm. Lines are 4.2-4.6 cm in size. The inscription was not written straight on the stone surface but in an angled form with the right side slightly shifted upwards (Fig. 14). This may suggest that the inscriptions were first prepared by the scribes in </w:t>
      </w:r>
      <w:r w:rsidRPr="00EF0FDE">
        <w:rPr>
          <w:rFonts w:ascii="Times New Roman" w:eastAsia="Calibri" w:hAnsi="Times New Roman" w:cs="Times New Roman"/>
          <w:lang w:val="en-GB"/>
        </w:rPr>
        <w:t>specific</w:t>
      </w:r>
      <w:r w:rsidRPr="004C41C8">
        <w:rPr>
          <w:rFonts w:ascii="Times New Roman" w:hAnsi="Times New Roman"/>
          <w:lang w:val="en-GB"/>
        </w:rPr>
        <w:t xml:space="preserve"> patterns and then applied to the rock surface by stonemasons.</w:t>
      </w:r>
    </w:p>
    <w:p w14:paraId="4F585C26" w14:textId="77777777" w:rsidR="00EC68C5" w:rsidRPr="004C41C8" w:rsidRDefault="00EC68C5" w:rsidP="00EC68C5">
      <w:pPr>
        <w:spacing w:line="276" w:lineRule="auto"/>
        <w:ind w:left="851"/>
        <w:jc w:val="both"/>
        <w:rPr>
          <w:rFonts w:ascii="Times New Roman" w:hAnsi="Times New Roman"/>
          <w:lang w:val="en-GB"/>
        </w:rPr>
      </w:pPr>
    </w:p>
    <w:p w14:paraId="0BD3F626" w14:textId="1E0F4FF7" w:rsidR="00EC68C5" w:rsidRPr="004C41C8" w:rsidRDefault="008E506E" w:rsidP="00EC68C5">
      <w:pPr>
        <w:spacing w:line="276" w:lineRule="auto"/>
        <w:jc w:val="center"/>
        <w:rPr>
          <w:rFonts w:ascii="Times New Roman" w:hAnsi="Times New Roman"/>
          <w:b/>
          <w:lang w:val="en-GB"/>
        </w:rPr>
      </w:pPr>
      <w:r w:rsidRPr="004C41C8">
        <w:rPr>
          <w:rFonts w:ascii="Times New Roman" w:hAnsi="Times New Roman"/>
          <w:noProof/>
        </w:rPr>
        <w:lastRenderedPageBreak/>
        <w:drawing>
          <wp:anchor distT="0" distB="0" distL="114300" distR="114300" simplePos="0" relativeHeight="251859968" behindDoc="0" locked="0" layoutInCell="1" allowOverlap="1" wp14:anchorId="4E85A2EA" wp14:editId="5E935862">
            <wp:simplePos x="0" y="0"/>
            <wp:positionH relativeFrom="margin">
              <wp:posOffset>-12065</wp:posOffset>
            </wp:positionH>
            <wp:positionV relativeFrom="paragraph">
              <wp:posOffset>4343400</wp:posOffset>
            </wp:positionV>
            <wp:extent cx="5756910" cy="3836899"/>
            <wp:effectExtent l="0" t="0" r="0" b="0"/>
            <wp:wrapTopAndBottom/>
            <wp:docPr id="1004374649" name="Resim 1004374649" descr="C:\Users\Asus\Desktop\Sardurburç Düzeltme 2024 ocak\Hocaya gönderilen_08_08_2021\Figur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esktop\Sardurburç Düzeltme 2024 ocak\Hocaya gönderilen_08_08_2021\Figures\14.JPG"/>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756910" cy="3836899"/>
                    </a:xfrm>
                    <a:prstGeom prst="rect">
                      <a:avLst/>
                    </a:prstGeom>
                    <a:noFill/>
                    <a:ln>
                      <a:noFill/>
                    </a:ln>
                  </pic:spPr>
                </pic:pic>
              </a:graphicData>
            </a:graphic>
          </wp:anchor>
        </w:drawing>
      </w:r>
      <w:r w:rsidR="00EC68C5" w:rsidRPr="004C41C8">
        <w:rPr>
          <w:rFonts w:ascii="Times New Roman" w:hAnsi="Times New Roman"/>
          <w:lang w:val="en-GB"/>
        </w:rPr>
        <w:t>Fig. 13 Inscription 6 (CTU I. A 1-1F)</w:t>
      </w:r>
      <w:r w:rsidR="00EC68C5" w:rsidRPr="00CE54AB">
        <w:rPr>
          <w:rFonts w:ascii="Times New Roman" w:eastAsia="Calibri" w:hAnsi="Times New Roman" w:cs="Times New Roman"/>
          <w:b/>
          <w:noProof/>
        </w:rPr>
        <w:drawing>
          <wp:anchor distT="0" distB="0" distL="114300" distR="114300" simplePos="0" relativeHeight="251875328" behindDoc="0" locked="0" layoutInCell="1" allowOverlap="1" wp14:anchorId="4AF9A66C" wp14:editId="66726B27">
            <wp:simplePos x="0" y="0"/>
            <wp:positionH relativeFrom="margin">
              <wp:align>center</wp:align>
            </wp:positionH>
            <wp:positionV relativeFrom="paragraph">
              <wp:posOffset>-1833</wp:posOffset>
            </wp:positionV>
            <wp:extent cx="5756910" cy="3836899"/>
            <wp:effectExtent l="19050" t="19050" r="15240" b="11430"/>
            <wp:wrapTopAndBottom/>
            <wp:docPr id="2064370761" name="Resim 2064370761" descr="C:\Users\Asus\Desktop\Sardurburç Düzeltme 2024 ocak\Hocaya gönderilen_08_08_2021\Figur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esktop\Sardurburç Düzeltme 2024 ocak\Hocaya gönderilen_08_08_2021\Figures\13.JP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756910" cy="3836899"/>
                    </a:xfrm>
                    <a:prstGeom prst="rect">
                      <a:avLst/>
                    </a:prstGeom>
                    <a:noFill/>
                    <a:ln>
                      <a:solidFill>
                        <a:sysClr val="windowText" lastClr="000000"/>
                      </a:solidFill>
                    </a:ln>
                  </pic:spPr>
                </pic:pic>
              </a:graphicData>
            </a:graphic>
          </wp:anchor>
        </w:drawing>
      </w:r>
      <w:r w:rsidR="00EC68C5" w:rsidRPr="004C41C8">
        <w:rPr>
          <w:rFonts w:ascii="Times New Roman" w:hAnsi="Times New Roman"/>
          <w:lang w:val="en-GB"/>
        </w:rPr>
        <w:t>.</w:t>
      </w:r>
    </w:p>
    <w:p w14:paraId="41D2B5C5" w14:textId="3BF4167B" w:rsidR="00EC68C5" w:rsidRPr="00750D9B" w:rsidRDefault="00EC68C5" w:rsidP="00750D9B">
      <w:pPr>
        <w:jc w:val="center"/>
        <w:rPr>
          <w:rFonts w:ascii="Times New Roman" w:hAnsi="Times New Roman"/>
          <w:lang w:val="en-GB"/>
        </w:rPr>
      </w:pPr>
      <w:r w:rsidRPr="004C41C8">
        <w:rPr>
          <w:rFonts w:ascii="Times New Roman" w:hAnsi="Times New Roman"/>
          <w:lang w:val="en-GB"/>
        </w:rPr>
        <w:lastRenderedPageBreak/>
        <w:t>Fig. 14 General view of the inscription 6.</w:t>
      </w:r>
      <w:bookmarkStart w:id="77" w:name="_Toc132072520"/>
      <w:r w:rsidRPr="00F03A26">
        <w:rPr>
          <w:rFonts w:asciiTheme="majorBidi" w:hAnsiTheme="majorBidi" w:cstheme="majorBidi"/>
          <w:noProof/>
          <w:lang w:eastAsia="tr-TR"/>
        </w:rPr>
        <w:drawing>
          <wp:anchor distT="0" distB="0" distL="114300" distR="114300" simplePos="0" relativeHeight="251891712" behindDoc="0" locked="0" layoutInCell="1" allowOverlap="1" wp14:anchorId="46FCBD50" wp14:editId="68F78119">
            <wp:simplePos x="0" y="0"/>
            <wp:positionH relativeFrom="margin">
              <wp:posOffset>0</wp:posOffset>
            </wp:positionH>
            <wp:positionV relativeFrom="paragraph">
              <wp:posOffset>300355</wp:posOffset>
            </wp:positionV>
            <wp:extent cx="4598670" cy="8178800"/>
            <wp:effectExtent l="19050" t="19050" r="11430" b="12700"/>
            <wp:wrapTopAndBottom/>
            <wp:docPr id="499096673" name="Resim 499096673" descr="C:\Users\Asus\Desktop\Sardurburç Düzeltme 2024 ocak\Hocaya gönderilen_08_08_2021\Figures\15.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esktop\Sardurburç Düzeltme 2024 ocak\Hocaya gönderilen_08_08_2021\Figures\15.mini.jpg"/>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4598670" cy="8178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B940C06" w14:textId="77777777" w:rsidR="00EC68C5" w:rsidRDefault="00EC68C5" w:rsidP="002A0E12">
      <w:pPr>
        <w:rPr>
          <w:rFonts w:ascii="Times New Roman" w:hAnsi="Times New Roman"/>
          <w:b/>
          <w:color w:val="0D0D0D"/>
          <w:sz w:val="28"/>
          <w:lang w:val="en-GB"/>
        </w:rPr>
      </w:pPr>
      <w:r w:rsidRPr="00F03A26">
        <w:rPr>
          <w:rFonts w:asciiTheme="majorBidi" w:hAnsiTheme="majorBidi" w:cstheme="majorBidi"/>
          <w:lang w:val="en-GB"/>
        </w:rPr>
        <w:t>Fig. 15 Aerial photo of Sardurburç</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"Sardurburç" </w:instrText>
      </w:r>
      <w:r w:rsidRPr="00F03A26">
        <w:rPr>
          <w:rFonts w:asciiTheme="majorBidi" w:hAnsiTheme="majorBidi" w:cstheme="majorBidi"/>
          <w:lang w:val="en-GB"/>
        </w:rPr>
        <w:fldChar w:fldCharType="end"/>
      </w:r>
      <w:r w:rsidRPr="00F03A26">
        <w:rPr>
          <w:rFonts w:asciiTheme="majorBidi" w:hAnsiTheme="majorBidi" w:cstheme="majorBidi"/>
          <w:lang w:val="en-GB"/>
        </w:rPr>
        <w:t>.</w:t>
      </w:r>
    </w:p>
    <w:p w14:paraId="099E2AA2" w14:textId="77777777" w:rsidR="00EC68C5" w:rsidRPr="004C41C8" w:rsidRDefault="00EC68C5" w:rsidP="00EC68C5">
      <w:pPr>
        <w:keepNext/>
        <w:keepLines/>
        <w:spacing w:before="320" w:after="80" w:line="276" w:lineRule="auto"/>
        <w:outlineLvl w:val="2"/>
        <w:rPr>
          <w:rFonts w:ascii="Times New Roman" w:hAnsi="Times New Roman"/>
          <w:b/>
          <w:color w:val="0D0D0D"/>
          <w:szCs w:val="22"/>
          <w:lang w:val="en-GB"/>
        </w:rPr>
      </w:pPr>
      <w:bookmarkStart w:id="78" w:name="_Toc173231213"/>
      <w:r w:rsidRPr="004C41C8">
        <w:rPr>
          <w:rFonts w:ascii="Times New Roman" w:hAnsi="Times New Roman"/>
          <w:b/>
          <w:color w:val="0D0D0D"/>
          <w:sz w:val="28"/>
          <w:szCs w:val="22"/>
          <w:lang w:val="en-GB"/>
        </w:rPr>
        <w:lastRenderedPageBreak/>
        <w:t xml:space="preserve">5.3. </w:t>
      </w:r>
      <w:bookmarkEnd w:id="77"/>
      <w:r w:rsidRPr="004C41C8">
        <w:rPr>
          <w:rFonts w:ascii="Times New Roman" w:hAnsi="Times New Roman"/>
          <w:b/>
          <w:color w:val="0D0D0D"/>
          <w:sz w:val="28"/>
          <w:szCs w:val="22"/>
          <w:lang w:val="en-GB"/>
        </w:rPr>
        <w:t>Architectural Assessments</w:t>
      </w:r>
      <w:bookmarkEnd w:id="78"/>
    </w:p>
    <w:p w14:paraId="13D64446" w14:textId="77777777" w:rsidR="00EC68C5" w:rsidRPr="004C41C8" w:rsidRDefault="00EC68C5" w:rsidP="00EC68C5">
      <w:pPr>
        <w:spacing w:line="276" w:lineRule="auto"/>
        <w:jc w:val="both"/>
        <w:rPr>
          <w:rFonts w:ascii="Times New Roman" w:hAnsi="Times New Roman"/>
          <w:lang w:val="en-GB"/>
        </w:rPr>
      </w:pPr>
    </w:p>
    <w:p w14:paraId="1E05E67B"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Sardurburç</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is </w:t>
      </w:r>
      <w:r w:rsidRPr="00EF0FDE">
        <w:rPr>
          <w:rFonts w:ascii="Times New Roman" w:eastAsia="Calibri" w:hAnsi="Times New Roman" w:cs="Times New Roman"/>
          <w:lang w:val="en-GB"/>
        </w:rPr>
        <w:t>essential</w:t>
      </w:r>
      <w:r w:rsidRPr="004C41C8">
        <w:rPr>
          <w:rFonts w:ascii="Times New Roman" w:hAnsi="Times New Roman"/>
          <w:lang w:val="en-GB"/>
        </w:rPr>
        <w:t xml:space="preserve"> because it features the earliest Urartian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inscriptions </w:t>
      </w:r>
      <w:r w:rsidRPr="00EF0FDE">
        <w:rPr>
          <w:rFonts w:ascii="Times New Roman" w:eastAsia="Calibri" w:hAnsi="Times New Roman" w:cs="Times New Roman"/>
          <w:lang w:val="en-GB"/>
        </w:rPr>
        <w:t>and</w:t>
      </w:r>
      <w:r w:rsidRPr="004C41C8">
        <w:rPr>
          <w:rFonts w:ascii="Times New Roman" w:hAnsi="Times New Roman"/>
          <w:lang w:val="en-GB"/>
        </w:rPr>
        <w:t xml:space="preserve"> shows how advanced Urartian architecture was even during its establishment phase. When evaluated from an architectural point of view, it is understood that these ruins, which form the foundations of a large building, each </w:t>
      </w:r>
      <w:r w:rsidRPr="00EF0FDE">
        <w:rPr>
          <w:rFonts w:ascii="Times New Roman" w:eastAsia="Calibri" w:hAnsi="Times New Roman" w:cs="Times New Roman"/>
          <w:lang w:val="en-GB"/>
        </w:rPr>
        <w:t>consisting</w:t>
      </w:r>
      <w:r w:rsidRPr="004C41C8">
        <w:rPr>
          <w:rFonts w:ascii="Times New Roman" w:hAnsi="Times New Roman"/>
          <w:lang w:val="en-GB"/>
        </w:rPr>
        <w:t xml:space="preserve"> of large blocks weighing tons, are not monoblocks but reflect a chronological development within themselves. Only a detailed architectural analysis of this building, which is very important in Urartian history and archaeology, will provide new clues and determinations. These chronologic development stages, which took place probably during the reign of Sarduri</w:t>
      </w:r>
      <w:r w:rsidRPr="00427476">
        <w:rPr>
          <w:rFonts w:asciiTheme="majorBidi" w:hAnsiTheme="majorBidi" w:cstheme="majorBidi"/>
          <w:lang w:val="en-GB"/>
        </w:rPr>
        <w:t xml:space="preserve"> I</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Sarduri 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will be discussed in detail below.</w:t>
      </w:r>
    </w:p>
    <w:p w14:paraId="6367C73C" w14:textId="77777777" w:rsidR="00EC68C5" w:rsidRPr="004C41C8" w:rsidRDefault="00EC68C5" w:rsidP="00EC68C5">
      <w:pPr>
        <w:spacing w:line="276" w:lineRule="auto"/>
        <w:jc w:val="both"/>
        <w:rPr>
          <w:rFonts w:ascii="Times New Roman" w:hAnsi="Times New Roman"/>
          <w:lang w:val="en-GB"/>
        </w:rPr>
      </w:pPr>
    </w:p>
    <w:p w14:paraId="1F533EBC" w14:textId="5A25CFCE"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 xml:space="preserve">The term </w:t>
      </w:r>
      <w:r w:rsidR="006371BE">
        <w:rPr>
          <w:rFonts w:ascii="Times New Roman" w:hAnsi="Times New Roman"/>
          <w:lang w:val="en-GB"/>
        </w:rPr>
        <w:t>‘</w:t>
      </w:r>
      <w:r w:rsidRPr="004C41C8">
        <w:rPr>
          <w:rFonts w:ascii="Times New Roman" w:hAnsi="Times New Roman"/>
          <w:lang w:val="en-GB"/>
        </w:rPr>
        <w:t>Sardursburg</w:t>
      </w:r>
      <w:r w:rsidR="00CD0F5D">
        <w:rPr>
          <w:rFonts w:ascii="Times New Roman" w:eastAsia="Calibri" w:hAnsi="Times New Roman" w:cs="Times New Roman"/>
          <w:lang w:val="en-GB"/>
        </w:rPr>
        <w:t>/</w:t>
      </w:r>
      <w:r w:rsidRPr="004C41C8">
        <w:rPr>
          <w:rFonts w:ascii="Times New Roman" w:hAnsi="Times New Roman"/>
          <w:lang w:val="en-GB"/>
        </w:rPr>
        <w:t>fortress</w:t>
      </w:r>
      <w:r w:rsidR="006371BE">
        <w:rPr>
          <w:rFonts w:ascii="Times New Roman" w:hAnsi="Times New Roman"/>
          <w:lang w:val="en-GB"/>
        </w:rPr>
        <w:t>’</w:t>
      </w:r>
      <w:r w:rsidRPr="004C41C8">
        <w:rPr>
          <w:rFonts w:ascii="Times New Roman" w:hAnsi="Times New Roman"/>
          <w:lang w:val="en-GB"/>
        </w:rPr>
        <w:t xml:space="preserve"> was named by Lehmann-Haupt</w:t>
      </w:r>
      <w:r>
        <w:rPr>
          <w:rFonts w:asciiTheme="majorBidi" w:hAnsiTheme="majorBidi" w:cstheme="majorBidi"/>
          <w:lang w:val="en-GB"/>
        </w:rPr>
        <w:t>,</w:t>
      </w:r>
      <w:r w:rsidRPr="004C41C8">
        <w:rPr>
          <w:rFonts w:ascii="Times New Roman" w:hAnsi="Times New Roman"/>
          <w:lang w:val="en-GB"/>
        </w:rPr>
        <w:t xml:space="preserve"> which caused an incorrect perception of the function of the building in Urartian</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archaeology (Lehmann-Haupt, 1926). </w:t>
      </w:r>
      <w:r w:rsidRPr="00EF0FDE">
        <w:rPr>
          <w:rFonts w:ascii="Times New Roman" w:eastAsia="Calibri" w:hAnsi="Times New Roman" w:cs="Times New Roman"/>
          <w:lang w:val="en-GB"/>
        </w:rPr>
        <w:t>However,</w:t>
      </w:r>
      <w:r w:rsidRPr="004C41C8">
        <w:rPr>
          <w:rFonts w:ascii="Times New Roman" w:hAnsi="Times New Roman"/>
          <w:lang w:val="en-GB"/>
        </w:rPr>
        <w:t xml:space="preserve"> various suggestions </w:t>
      </w:r>
      <w:r w:rsidRPr="00EF0FDE">
        <w:rPr>
          <w:rFonts w:ascii="Times New Roman" w:eastAsia="Calibri" w:hAnsi="Times New Roman" w:cs="Times New Roman"/>
          <w:lang w:val="en-GB"/>
        </w:rPr>
        <w:t>exist regarding</w:t>
      </w:r>
      <w:r w:rsidRPr="004C41C8">
        <w:rPr>
          <w:rFonts w:ascii="Times New Roman" w:hAnsi="Times New Roman"/>
          <w:lang w:val="en-GB"/>
        </w:rPr>
        <w:t xml:space="preserve"> what function this structure may have served in the Urartu</w:t>
      </w:r>
      <w:r w:rsidRPr="00EF0FDE">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period. Since it is located at the lowest part of the fortress, close to</w:t>
      </w:r>
      <w:r w:rsidRPr="00EF0FDE">
        <w:rPr>
          <w:rFonts w:ascii="Times New Roman" w:eastAsia="Calibri" w:hAnsi="Times New Roman" w:cs="Times New Roman"/>
          <w:lang w:val="en-GB"/>
        </w:rPr>
        <w:t xml:space="preserve"> the</w:t>
      </w:r>
      <w:r w:rsidRPr="004C41C8">
        <w:rPr>
          <w:rFonts w:ascii="Times New Roman" w:hAnsi="Times New Roman"/>
          <w:lang w:val="en-GB"/>
        </w:rPr>
        <w:t xml:space="preserve"> level of the lake, it was thought to be a port (Lehmann-Haupt, 1926: 20; Salvini, 1995: 139; Salvini, 2006: 151; Salvini, 2008: 97). However, the water level </w:t>
      </w:r>
      <w:r w:rsidRPr="00EF0FDE">
        <w:rPr>
          <w:rFonts w:ascii="Times New Roman" w:eastAsia="Calibri" w:hAnsi="Times New Roman" w:cs="Times New Roman"/>
          <w:lang w:val="en-GB"/>
        </w:rPr>
        <w:t>cannot</w:t>
      </w:r>
      <w:r w:rsidRPr="004C41C8">
        <w:rPr>
          <w:rFonts w:ascii="Times New Roman" w:hAnsi="Times New Roman"/>
          <w:lang w:val="en-GB"/>
        </w:rPr>
        <w:t xml:space="preserve"> have been so high during the Urartian period because the remains of Urartian buildings at similar levels have been unearthed on the mound to the north (Genç et</w:t>
      </w:r>
      <w:r w:rsidRPr="00EF0FDE">
        <w:rPr>
          <w:rFonts w:ascii="Times New Roman" w:eastAsia="Calibri" w:hAnsi="Times New Roman" w:cs="Times New Roman"/>
          <w:lang w:val="en-GB"/>
        </w:rPr>
        <w:t xml:space="preserve"> </w:t>
      </w:r>
      <w:r w:rsidRPr="004C41C8">
        <w:rPr>
          <w:rFonts w:ascii="Times New Roman" w:hAnsi="Times New Roman"/>
          <w:lang w:val="en-GB"/>
        </w:rPr>
        <w:t>al</w:t>
      </w:r>
      <w:r w:rsidRPr="00EF0FDE">
        <w:rPr>
          <w:rFonts w:ascii="Times New Roman" w:eastAsia="Calibri" w:hAnsi="Times New Roman" w:cs="Times New Roman"/>
          <w:lang w:val="en-GB"/>
        </w:rPr>
        <w:t>.,</w:t>
      </w:r>
      <w:r w:rsidRPr="00DF440B">
        <w:rPr>
          <w:rFonts w:ascii="Times New Roman" w:hAnsi="Times New Roman"/>
          <w:lang w:val="en-GB"/>
        </w:rPr>
        <w:t xml:space="preserve"> 2021). Furthermore, there </w:t>
      </w:r>
      <w:r w:rsidRPr="00EF0FDE">
        <w:rPr>
          <w:rFonts w:ascii="Times New Roman" w:eastAsia="Calibri" w:hAnsi="Times New Roman" w:cs="Times New Roman"/>
          <w:lang w:val="en-GB"/>
        </w:rPr>
        <w:t>is</w:t>
      </w:r>
      <w:r w:rsidRPr="00694812">
        <w:rPr>
          <w:rFonts w:ascii="Times New Roman" w:hAnsi="Times New Roman"/>
          <w:lang w:val="en-GB"/>
        </w:rPr>
        <w:t xml:space="preserve"> no evidence of water erosion on the foundations of the building. The presence of inscriptions near the ground level (CTU I. A 1-1D/E; Also see Fig. 36) also eliminates the possibility of this port. Due to the square-like shape of the northernmost part of the structure, some researchers thought </w:t>
      </w:r>
      <w:r w:rsidRPr="004C41C8">
        <w:rPr>
          <w:rFonts w:ascii="Times New Roman" w:hAnsi="Times New Roman"/>
          <w:lang w:val="en-GB"/>
        </w:rPr>
        <w:t xml:space="preserve">it might be the foundations of </w:t>
      </w:r>
      <w:r w:rsidRPr="00EF0FDE">
        <w:rPr>
          <w:rFonts w:ascii="Times New Roman" w:eastAsia="Calibri" w:hAnsi="Times New Roman" w:cs="Times New Roman"/>
          <w:lang w:val="en-GB"/>
        </w:rPr>
        <w:t>an</w:t>
      </w:r>
      <w:r w:rsidRPr="00694812">
        <w:rPr>
          <w:rFonts w:ascii="Times New Roman" w:hAnsi="Times New Roman"/>
          <w:lang w:val="en-GB"/>
        </w:rPr>
        <w:t xml:space="preserve"> Urartian temple (Naumann, 1968, p. 55). The possibility of a tower, bastion</w:t>
      </w:r>
      <w:r w:rsidRPr="00EF0FDE">
        <w:rPr>
          <w:rFonts w:ascii="Times New Roman" w:eastAsia="Calibri" w:hAnsi="Times New Roman" w:cs="Times New Roman"/>
          <w:lang w:val="en-GB"/>
        </w:rPr>
        <w:t>,</w:t>
      </w:r>
      <w:r w:rsidRPr="00694812">
        <w:rPr>
          <w:rFonts w:ascii="Times New Roman" w:hAnsi="Times New Roman"/>
          <w:lang w:val="en-GB"/>
        </w:rPr>
        <w:t xml:space="preserve"> or fortifications is among the other function suggestions (Lynch</w:t>
      </w:r>
      <w:r w:rsidR="00647545">
        <w:rPr>
          <w:rFonts w:ascii="Times New Roman" w:hAnsi="Times New Roman"/>
          <w:lang w:val="en-GB"/>
        </w:rPr>
        <w:fldChar w:fldCharType="begin"/>
      </w:r>
      <w:r w:rsidR="00647545">
        <w:instrText xml:space="preserve"> XE "</w:instrText>
      </w:r>
      <w:r w:rsidR="00647545" w:rsidRPr="00FE6B44">
        <w:rPr>
          <w:rFonts w:asciiTheme="majorBidi" w:hAnsiTheme="majorBidi" w:cstheme="majorBidi"/>
        </w:rPr>
        <w:instrText>Lynch</w:instrText>
      </w:r>
      <w:r w:rsidR="00647545">
        <w:instrText xml:space="preserve">" </w:instrText>
      </w:r>
      <w:r w:rsidR="00647545">
        <w:rPr>
          <w:rFonts w:ascii="Times New Roman" w:hAnsi="Times New Roman"/>
          <w:lang w:val="en-GB"/>
        </w:rPr>
        <w:fldChar w:fldCharType="end"/>
      </w:r>
      <w:r w:rsidRPr="00694812">
        <w:rPr>
          <w:rFonts w:ascii="Times New Roman" w:hAnsi="Times New Roman"/>
          <w:lang w:val="en-GB"/>
        </w:rPr>
        <w:t>, 1901: 72; Lehmann-Haupt, 1926; Loon, 1966: 38-40). Also</w:t>
      </w:r>
      <w:r w:rsidRPr="00EF0FDE">
        <w:rPr>
          <w:rFonts w:ascii="Times New Roman" w:eastAsia="Calibri" w:hAnsi="Times New Roman" w:cs="Times New Roman"/>
          <w:lang w:val="en-GB"/>
        </w:rPr>
        <w:t>,</w:t>
      </w:r>
      <w:r w:rsidRPr="004C41C8">
        <w:rPr>
          <w:rFonts w:ascii="Times New Roman" w:hAnsi="Times New Roman"/>
          <w:lang w:val="en-GB"/>
        </w:rPr>
        <w:t xml:space="preserve"> except for its function</w:t>
      </w:r>
      <w:r w:rsidRPr="00EF0FDE">
        <w:rPr>
          <w:rFonts w:ascii="Times New Roman" w:eastAsia="Calibri" w:hAnsi="Times New Roman" w:cs="Times New Roman"/>
          <w:lang w:val="en-GB"/>
        </w:rPr>
        <w:t>,</w:t>
      </w:r>
      <w:r w:rsidRPr="004C41C8">
        <w:rPr>
          <w:rFonts w:ascii="Times New Roman" w:hAnsi="Times New Roman"/>
          <w:lang w:val="en-GB"/>
        </w:rPr>
        <w:t xml:space="preserve"> Lake, Naumann</w:t>
      </w:r>
      <w:r w:rsidRPr="00EF0FDE">
        <w:rPr>
          <w:rFonts w:ascii="Times New Roman" w:eastAsia="Calibri" w:hAnsi="Times New Roman" w:cs="Times New Roman"/>
          <w:lang w:val="en-GB"/>
        </w:rPr>
        <w:t>,</w:t>
      </w:r>
      <w:r w:rsidRPr="00694812">
        <w:rPr>
          <w:rFonts w:ascii="Times New Roman" w:hAnsi="Times New Roman"/>
          <w:lang w:val="en-GB"/>
        </w:rPr>
        <w:t xml:space="preserve"> and Korfmann </w:t>
      </w:r>
      <w:r w:rsidRPr="00EF0FDE">
        <w:rPr>
          <w:rFonts w:ascii="Times New Roman" w:eastAsia="Calibri" w:hAnsi="Times New Roman" w:cs="Times New Roman"/>
          <w:lang w:val="en-GB"/>
        </w:rPr>
        <w:t>were</w:t>
      </w:r>
      <w:r w:rsidRPr="004C41C8">
        <w:rPr>
          <w:rFonts w:ascii="Times New Roman" w:hAnsi="Times New Roman"/>
          <w:lang w:val="en-GB"/>
        </w:rPr>
        <w:t xml:space="preserve"> the first to suggest that the building may not have been constructed on a single building level (Lake &amp; Lake, 1939; Lake, 1940; Naumann, 1968: 54; Korfmann, 1977: 197).</w:t>
      </w:r>
      <w:r w:rsidRPr="00427476">
        <w:rPr>
          <w:rStyle w:val="DipnotBavurusu"/>
          <w:rFonts w:asciiTheme="majorBidi" w:hAnsiTheme="majorBidi"/>
          <w:lang w:val="en-GB"/>
        </w:rPr>
        <w:footnoteReference w:id="48"/>
      </w:r>
      <w:r w:rsidRPr="004C41C8">
        <w:rPr>
          <w:rFonts w:ascii="Times New Roman" w:hAnsi="Times New Roman"/>
          <w:lang w:val="en-GB"/>
        </w:rPr>
        <w:t xml:space="preserve"> These previous assessments do not go into much detail </w:t>
      </w:r>
      <w:r w:rsidRPr="00EF0FDE">
        <w:rPr>
          <w:rFonts w:ascii="Times New Roman" w:eastAsia="Calibri" w:hAnsi="Times New Roman" w:cs="Times New Roman"/>
          <w:lang w:val="en-GB"/>
        </w:rPr>
        <w:t>or</w:t>
      </w:r>
      <w:r w:rsidRPr="004C41C8">
        <w:rPr>
          <w:rFonts w:ascii="Times New Roman" w:hAnsi="Times New Roman"/>
          <w:lang w:val="en-GB"/>
        </w:rPr>
        <w:t xml:space="preserve"> discuss chronological debates. A detailed evaluation of their views will be possible in this chapter. These suggestions and the construction phases of the building, which we have similar observations, will be discussed in detail below.</w:t>
      </w:r>
    </w:p>
    <w:p w14:paraId="579A8863" w14:textId="77777777" w:rsidR="00EC68C5" w:rsidRPr="004C41C8" w:rsidRDefault="00EC68C5" w:rsidP="00EC68C5">
      <w:pPr>
        <w:spacing w:line="276" w:lineRule="auto"/>
        <w:jc w:val="both"/>
        <w:rPr>
          <w:rFonts w:ascii="Times New Roman" w:hAnsi="Times New Roman"/>
          <w:lang w:val="en-GB"/>
        </w:rPr>
      </w:pPr>
    </w:p>
    <w:p w14:paraId="5E6F32DA" w14:textId="7F79FC65"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 xml:space="preserve">When evaluated as a whole, </w:t>
      </w:r>
      <w:r w:rsidRPr="00EF0FDE">
        <w:rPr>
          <w:rFonts w:ascii="Times New Roman" w:eastAsia="Calibri" w:hAnsi="Times New Roman" w:cs="Times New Roman"/>
          <w:lang w:val="en-GB"/>
        </w:rPr>
        <w:t>the building's</w:t>
      </w:r>
      <w:r w:rsidRPr="004C41C8">
        <w:rPr>
          <w:rFonts w:ascii="Times New Roman" w:hAnsi="Times New Roman"/>
          <w:lang w:val="en-GB"/>
        </w:rPr>
        <w:t xml:space="preserve"> dimensions are 45 meters to the north-south direction and 13 meters to the east-west direction. </w:t>
      </w:r>
      <w:r w:rsidRPr="00EF0FDE">
        <w:rPr>
          <w:rFonts w:ascii="Times New Roman" w:eastAsia="Calibri" w:hAnsi="Times New Roman" w:cs="Times New Roman"/>
          <w:lang w:val="en-GB"/>
        </w:rPr>
        <w:t>It has a nearly rectangular plan except</w:t>
      </w:r>
      <w:r w:rsidRPr="004C41C8">
        <w:rPr>
          <w:rFonts w:ascii="Times New Roman" w:hAnsi="Times New Roman"/>
          <w:lang w:val="en-GB"/>
        </w:rPr>
        <w:t xml:space="preserve"> for the small bastion-like projection at the northernmost (Block B) section on the east facade</w:t>
      </w:r>
      <w:r w:rsidRPr="00EF0FDE">
        <w:rPr>
          <w:rFonts w:ascii="Times New Roman" w:eastAsia="Calibri" w:hAnsi="Times New Roman" w:cs="Times New Roman"/>
          <w:lang w:val="en-GB"/>
        </w:rPr>
        <w:t>. Regarding</w:t>
      </w:r>
      <w:r w:rsidRPr="004C41C8">
        <w:rPr>
          <w:rFonts w:ascii="Times New Roman" w:hAnsi="Times New Roman"/>
          <w:lang w:val="en-GB"/>
        </w:rPr>
        <w:t xml:space="preserve"> the general axis, the building is slightly inclined in the northwest-southeast axis but extends in a direction close to the north-south direction (Fig. 15).</w:t>
      </w:r>
      <w:r w:rsidR="006371BE">
        <w:rPr>
          <w:rFonts w:ascii="Times New Roman" w:hAnsi="Times New Roman"/>
          <w:lang w:val="en-GB"/>
        </w:rPr>
        <w:t xml:space="preserve"> </w:t>
      </w:r>
      <w:r w:rsidRPr="004C41C8">
        <w:rPr>
          <w:rFonts w:ascii="Times New Roman" w:hAnsi="Times New Roman"/>
          <w:lang w:val="en-GB"/>
        </w:rPr>
        <w:t>Aerial photo of Sardurburç</w:t>
      </w:r>
      <w:r w:rsidRPr="004C41C8">
        <w:rPr>
          <w:rFonts w:ascii="Times New Roman" w:hAnsi="Times New Roman"/>
          <w:lang w:val="en-GB"/>
        </w:rPr>
        <w:fldChar w:fldCharType="begin"/>
      </w:r>
      <w:r w:rsidRPr="004C41C8">
        <w:rPr>
          <w:rFonts w:ascii="Times New Roman" w:hAnsi="Times New Roman"/>
          <w:lang w:val="en-GB"/>
        </w:rPr>
        <w:instrText xml:space="preserve"> XE "Sardurburç" </w:instrText>
      </w:r>
      <w:r w:rsidRPr="004C41C8">
        <w:rPr>
          <w:rFonts w:ascii="Times New Roman" w:hAnsi="Times New Roman"/>
          <w:lang w:val="en-GB"/>
        </w:rPr>
        <w:fldChar w:fldCharType="end"/>
      </w:r>
      <w:r w:rsidRPr="004C41C8">
        <w:rPr>
          <w:rFonts w:ascii="Times New Roman" w:hAnsi="Times New Roman"/>
          <w:lang w:val="en-GB"/>
        </w:rPr>
        <w:t>.</w:t>
      </w:r>
    </w:p>
    <w:p w14:paraId="6AFEBCD2" w14:textId="77777777" w:rsidR="00EC68C5" w:rsidRPr="004C41C8" w:rsidRDefault="00EC68C5" w:rsidP="00EC68C5">
      <w:pPr>
        <w:spacing w:line="276" w:lineRule="auto"/>
        <w:ind w:firstLine="708"/>
        <w:jc w:val="both"/>
        <w:rPr>
          <w:rFonts w:ascii="Times New Roman" w:hAnsi="Times New Roman"/>
          <w:lang w:val="en-GB"/>
        </w:rPr>
      </w:pPr>
    </w:p>
    <w:p w14:paraId="499EA625" w14:textId="77777777" w:rsidR="00EC68C5" w:rsidRDefault="00EC68C5" w:rsidP="00EC68C5">
      <w:pPr>
        <w:spacing w:line="276" w:lineRule="auto"/>
        <w:jc w:val="both"/>
        <w:rPr>
          <w:rFonts w:ascii="Times New Roman" w:hAnsi="Times New Roman"/>
        </w:rPr>
      </w:pPr>
      <w:r w:rsidRPr="00EF0FDE">
        <w:t xml:space="preserve"> </w:t>
      </w:r>
      <w:r w:rsidRPr="004C41C8">
        <w:rPr>
          <w:rFonts w:ascii="Times New Roman" w:hAnsi="Times New Roman"/>
          <w:lang w:val="en-US"/>
        </w:rPr>
        <w:t>Urartian</w:t>
      </w:r>
      <w:r w:rsidRPr="00EF0FDE">
        <w:rPr>
          <w:rFonts w:ascii="Times New Roman" w:eastAsia="Calibri" w:hAnsi="Times New Roman" w:cs="Times New Roman"/>
          <w:noProof/>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US"/>
        </w:rPr>
        <w:t xml:space="preserve">stonemasons placed each of these large blocks that form the foundations of the building 5-10 cm further back than the lower ones on the outer facades. Through this practice, the </w:t>
      </w:r>
      <w:r w:rsidRPr="00EF0FDE">
        <w:rPr>
          <w:rFonts w:ascii="Times New Roman" w:eastAsia="Calibri" w:hAnsi="Times New Roman" w:cs="Times New Roman"/>
          <w:noProof/>
        </w:rPr>
        <w:t>center</w:t>
      </w:r>
      <w:r w:rsidRPr="004C41C8">
        <w:rPr>
          <w:rFonts w:ascii="Times New Roman" w:hAnsi="Times New Roman"/>
          <w:lang w:val="en-US"/>
        </w:rPr>
        <w:t xml:space="preserve"> of gravity of the stone blocks, whose weights are approximately 8-10 tonnes </w:t>
      </w:r>
      <w:r w:rsidRPr="004C41C8">
        <w:rPr>
          <w:rFonts w:ascii="Times New Roman" w:hAnsi="Times New Roman"/>
          <w:lang w:val="en-US"/>
        </w:rPr>
        <w:lastRenderedPageBreak/>
        <w:t>(Kuvanç, 2017: 122), were pulled inwards</w:t>
      </w:r>
      <w:r w:rsidRPr="00EF0FDE">
        <w:rPr>
          <w:rFonts w:ascii="Times New Roman" w:eastAsia="Calibri" w:hAnsi="Times New Roman" w:cs="Times New Roman"/>
          <w:noProof/>
        </w:rPr>
        <w:t>,</w:t>
      </w:r>
      <w:r w:rsidRPr="004C41C8">
        <w:rPr>
          <w:rFonts w:ascii="Times New Roman" w:hAnsi="Times New Roman"/>
          <w:lang w:val="en-US"/>
        </w:rPr>
        <w:t xml:space="preserve"> and the structure of the building survived until today (Tarhan, 1985: 332; 2010). Although this overlay technique is evident on the west and north facades (Fig. 16, 17, 18), it was not applied on the east (Fig. 19).</w:t>
      </w:r>
    </w:p>
    <w:p w14:paraId="6658BBD2" w14:textId="77777777" w:rsidR="00EC68C5" w:rsidRPr="004C41C8" w:rsidRDefault="00EC68C5" w:rsidP="00EC68C5">
      <w:pPr>
        <w:spacing w:line="276" w:lineRule="auto"/>
        <w:jc w:val="both"/>
        <w:rPr>
          <w:rFonts w:ascii="Times New Roman" w:hAnsi="Times New Roman"/>
          <w:lang w:val="en-GB"/>
        </w:rPr>
      </w:pPr>
      <w:r w:rsidRPr="00F03A26">
        <w:rPr>
          <w:rFonts w:asciiTheme="majorBidi" w:hAnsiTheme="majorBidi" w:cstheme="majorBidi"/>
          <w:noProof/>
          <w:lang w:eastAsia="tr-TR"/>
        </w:rPr>
        <w:drawing>
          <wp:anchor distT="0" distB="0" distL="114300" distR="114300" simplePos="0" relativeHeight="251892736" behindDoc="0" locked="0" layoutInCell="1" allowOverlap="1" wp14:anchorId="7A209084" wp14:editId="4E55227F">
            <wp:simplePos x="0" y="0"/>
            <wp:positionH relativeFrom="margin">
              <wp:posOffset>0</wp:posOffset>
            </wp:positionH>
            <wp:positionV relativeFrom="paragraph">
              <wp:posOffset>219710</wp:posOffset>
            </wp:positionV>
            <wp:extent cx="2905125" cy="4714875"/>
            <wp:effectExtent l="19050" t="19050" r="28575" b="28575"/>
            <wp:wrapSquare wrapText="bothSides"/>
            <wp:docPr id="397594125" name="Resim 397594125" descr="C:\Users\Asus\Desktop\Sardurburç Düzeltme 2024 ocak\Hocaya gönderilen_08_08_2021\Figur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esktop\Sardurburç Düzeltme 2024 ocak\Hocaya gönderilen_08_08_2021\Figures\16.jpg"/>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905125" cy="47148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F03A26">
        <w:rPr>
          <w:rFonts w:asciiTheme="majorBidi" w:hAnsiTheme="majorBidi" w:cstheme="majorBidi"/>
          <w:noProof/>
          <w:lang w:eastAsia="tr-TR"/>
        </w:rPr>
        <w:drawing>
          <wp:anchor distT="0" distB="0" distL="114300" distR="114300" simplePos="0" relativeHeight="251893760" behindDoc="0" locked="0" layoutInCell="1" allowOverlap="1" wp14:anchorId="3319366F" wp14:editId="694A010F">
            <wp:simplePos x="0" y="0"/>
            <wp:positionH relativeFrom="margin">
              <wp:posOffset>2142172</wp:posOffset>
            </wp:positionH>
            <wp:positionV relativeFrom="paragraph">
              <wp:posOffset>1178878</wp:posOffset>
            </wp:positionV>
            <wp:extent cx="4726305" cy="2762250"/>
            <wp:effectExtent l="16828" t="8572" r="14922" b="14923"/>
            <wp:wrapSquare wrapText="bothSides"/>
            <wp:docPr id="1220591367" name="Resim 1220591367" descr="C:\Users\Asus\Desktop\Sardurburç Düzeltme 2024 ocak\Hocaya gönderilen_08_08_2021\Figur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esktop\Sardurburç Düzeltme 2024 ocak\Hocaya gönderilen_08_08_2021\Figures\17.jpg"/>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rot="5400000">
                      <a:off x="0" y="0"/>
                      <a:ext cx="4726305" cy="27622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52A5415" w14:textId="77777777" w:rsidR="00EC68C5" w:rsidRDefault="00EC68C5" w:rsidP="00EC68C5">
      <w:pPr>
        <w:spacing w:line="276" w:lineRule="auto"/>
        <w:rPr>
          <w:rFonts w:ascii="Times New Roman" w:eastAsia="Calibri" w:hAnsi="Times New Roman" w:cs="Times New Roman"/>
          <w:b/>
          <w:lang w:val="en-GB"/>
        </w:rPr>
      </w:pPr>
    </w:p>
    <w:p w14:paraId="73E89FF0" w14:textId="77777777" w:rsidR="00EC68C5" w:rsidRPr="00E774AA" w:rsidRDefault="00EC68C5" w:rsidP="00EC68C5">
      <w:pPr>
        <w:spacing w:line="276" w:lineRule="auto"/>
        <w:jc w:val="center"/>
        <w:rPr>
          <w:rFonts w:ascii="Times New Roman" w:hAnsi="Times New Roman"/>
          <w:lang w:val="en-GB"/>
        </w:rPr>
      </w:pPr>
      <w:r w:rsidRPr="00E774AA">
        <w:rPr>
          <w:rFonts w:ascii="Times New Roman" w:hAnsi="Times New Roman"/>
          <w:lang w:val="en-GB"/>
        </w:rPr>
        <w:t>Fig. 16-17 West facades of Sardurburç</w:t>
      </w:r>
      <w:r w:rsidRPr="00E774AA">
        <w:rPr>
          <w:rFonts w:ascii="Times New Roman" w:hAnsi="Times New Roman"/>
          <w:lang w:val="en-GB"/>
        </w:rPr>
        <w:fldChar w:fldCharType="begin"/>
      </w:r>
      <w:r w:rsidRPr="00E774AA">
        <w:rPr>
          <w:rFonts w:ascii="Calibri" w:hAnsi="Calibri"/>
          <w:lang w:val="en-GB"/>
        </w:rPr>
        <w:instrText xml:space="preserve"> XE "</w:instrText>
      </w:r>
      <w:r w:rsidRPr="00E774AA">
        <w:rPr>
          <w:rFonts w:ascii="Times New Roman" w:hAnsi="Times New Roman"/>
          <w:lang w:val="en-GB"/>
        </w:rPr>
        <w:instrText>Sardurburç</w:instrText>
      </w:r>
      <w:r w:rsidRPr="00E774AA">
        <w:rPr>
          <w:rFonts w:ascii="Calibri" w:hAnsi="Calibri"/>
          <w:lang w:val="en-GB"/>
        </w:rPr>
        <w:instrText xml:space="preserve">" </w:instrText>
      </w:r>
      <w:r w:rsidRPr="00E774AA">
        <w:rPr>
          <w:rFonts w:ascii="Times New Roman" w:hAnsi="Times New Roman"/>
          <w:lang w:val="en-GB"/>
        </w:rPr>
        <w:fldChar w:fldCharType="end"/>
      </w:r>
      <w:r w:rsidRPr="00E774AA">
        <w:rPr>
          <w:rFonts w:ascii="Times New Roman" w:hAnsi="Times New Roman"/>
          <w:lang w:val="en-GB"/>
        </w:rPr>
        <w:t xml:space="preserve"> (From North and Top).</w:t>
      </w:r>
    </w:p>
    <w:p w14:paraId="3E4CB332" w14:textId="77777777" w:rsidR="00EC68C5" w:rsidRDefault="00EC68C5" w:rsidP="00EC68C5">
      <w:pPr>
        <w:rPr>
          <w:rFonts w:ascii="Times New Roman" w:hAnsi="Times New Roman"/>
          <w:lang w:val="en-GB"/>
        </w:rPr>
      </w:pPr>
      <w:r>
        <w:rPr>
          <w:rFonts w:ascii="Times New Roman" w:hAnsi="Times New Roman"/>
          <w:lang w:val="en-GB"/>
        </w:rPr>
        <w:br w:type="page"/>
      </w:r>
    </w:p>
    <w:p w14:paraId="1F836C7E" w14:textId="77777777" w:rsidR="00EC68C5" w:rsidRDefault="00EC68C5" w:rsidP="00EC68C5">
      <w:pPr>
        <w:spacing w:line="276" w:lineRule="auto"/>
        <w:jc w:val="center"/>
        <w:rPr>
          <w:rFonts w:ascii="Times New Roman" w:hAnsi="Times New Roman"/>
          <w:lang w:val="en-GB"/>
        </w:rPr>
      </w:pPr>
    </w:p>
    <w:p w14:paraId="0FE5E3C2" w14:textId="77777777" w:rsidR="00EC68C5" w:rsidRDefault="00EC68C5" w:rsidP="00EC68C5">
      <w:pPr>
        <w:spacing w:line="276" w:lineRule="auto"/>
        <w:jc w:val="center"/>
        <w:rPr>
          <w:rFonts w:ascii="Times New Roman" w:hAnsi="Times New Roman"/>
          <w:lang w:val="en-GB"/>
        </w:rPr>
      </w:pPr>
      <w:r w:rsidRPr="00F03A26">
        <w:rPr>
          <w:rFonts w:asciiTheme="majorBidi" w:hAnsiTheme="majorBidi" w:cstheme="majorBidi"/>
          <w:bCs/>
          <w:noProof/>
          <w:lang w:eastAsia="tr-TR"/>
        </w:rPr>
        <w:drawing>
          <wp:anchor distT="0" distB="0" distL="114300" distR="114300" simplePos="0" relativeHeight="251894784" behindDoc="1" locked="0" layoutInCell="1" allowOverlap="1" wp14:anchorId="57179A41" wp14:editId="3F85887B">
            <wp:simplePos x="0" y="0"/>
            <wp:positionH relativeFrom="margin">
              <wp:posOffset>0</wp:posOffset>
            </wp:positionH>
            <wp:positionV relativeFrom="paragraph">
              <wp:posOffset>236855</wp:posOffset>
            </wp:positionV>
            <wp:extent cx="2648585" cy="3530600"/>
            <wp:effectExtent l="12700" t="12700" r="18415" b="12700"/>
            <wp:wrapSquare wrapText="bothSides"/>
            <wp:docPr id="21" name="Resim 21" descr="C:\Users\Asus\Desktop\Sardurburç Düzeltme 2024 ocak\Hocaya gönderilen_08_08_2021\Figur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esktop\Sardurburç Düzeltme 2024 ocak\Hocaya gönderilen_08_08_2021\Figures\18.jpg"/>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2648585" cy="3530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F03A26">
        <w:rPr>
          <w:rFonts w:asciiTheme="majorBidi" w:hAnsiTheme="majorBidi" w:cstheme="majorBidi"/>
          <w:bCs/>
          <w:noProof/>
          <w:lang w:eastAsia="tr-TR"/>
        </w:rPr>
        <w:drawing>
          <wp:anchor distT="0" distB="0" distL="114300" distR="114300" simplePos="0" relativeHeight="251895808" behindDoc="0" locked="0" layoutInCell="1" allowOverlap="1" wp14:anchorId="00D19A7F" wp14:editId="0420BC61">
            <wp:simplePos x="0" y="0"/>
            <wp:positionH relativeFrom="margin">
              <wp:posOffset>3025775</wp:posOffset>
            </wp:positionH>
            <wp:positionV relativeFrom="paragraph">
              <wp:posOffset>213360</wp:posOffset>
            </wp:positionV>
            <wp:extent cx="2665095" cy="3553460"/>
            <wp:effectExtent l="12700" t="12700" r="14605" b="15240"/>
            <wp:wrapSquare wrapText="bothSides"/>
            <wp:docPr id="763651151" name="Resim 763651151" descr="C:\Users\Asus\Desktop\Sardurburç Düzeltme 2024 ocak\Hocaya gönderilen_08_08_2021\Figur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esktop\Sardurburç Düzeltme 2024 ocak\Hocaya gönderilen_08_08_2021\Figures\19.jpg"/>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665095" cy="35534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15F55FC"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Fig.18 North facade.                                                   Fig. 19 East facade.</w:t>
      </w:r>
    </w:p>
    <w:p w14:paraId="4172431E" w14:textId="77777777" w:rsidR="00EC68C5" w:rsidRPr="004C41C8" w:rsidRDefault="00EC68C5" w:rsidP="00EC68C5">
      <w:pPr>
        <w:spacing w:line="276" w:lineRule="auto"/>
        <w:ind w:firstLine="708"/>
        <w:jc w:val="both"/>
        <w:rPr>
          <w:rFonts w:ascii="Times New Roman" w:hAnsi="Times New Roman"/>
          <w:lang w:val="en-GB"/>
        </w:rPr>
      </w:pPr>
    </w:p>
    <w:p w14:paraId="5785B3EF" w14:textId="05D4AA8D"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Considering that no new cities were built except Ṭušpa</w:t>
      </w:r>
      <w:r w:rsidRPr="0067665C">
        <w:rPr>
          <w:rFonts w:ascii="Times New Roman" w:eastAsia="Calibri" w:hAnsi="Times New Roman" w:cs="Times New Roman"/>
          <w:lang w:val="en-GB"/>
        </w:rPr>
        <w:t> </w:t>
      </w:r>
      <w:r w:rsidRPr="00427476">
        <w:rPr>
          <w:rFonts w:asciiTheme="majorBidi" w:hAnsiTheme="majorBidi" w:cstheme="majorBidi"/>
          <w:lang w:val="en-GB"/>
        </w:rPr>
        <w:t xml:space="preserve"> </w:t>
      </w:r>
      <w:r w:rsidRPr="004C41C8">
        <w:rPr>
          <w:rFonts w:ascii="Times New Roman" w:hAnsi="Times New Roman"/>
          <w:lang w:val="en-GB"/>
        </w:rPr>
        <w:t>during the reign of Sarduri</w:t>
      </w:r>
      <w:r w:rsidRPr="0067665C">
        <w:rPr>
          <w:rFonts w:ascii="Times New Roman" w:eastAsia="Calibri" w:hAnsi="Times New Roman" w:cs="Times New Roman"/>
          <w:lang w:val="en-GB"/>
        </w:rPr>
        <w:t> </w:t>
      </w:r>
      <w:r w:rsidRPr="004C41C8">
        <w:rPr>
          <w:rFonts w:ascii="Times New Roman" w:hAnsi="Times New Roman"/>
          <w:lang w:val="en-GB"/>
        </w:rPr>
        <w:t>I</w:t>
      </w:r>
      <w:r w:rsidR="00C1513A">
        <w:rPr>
          <w:rFonts w:ascii="Times New Roman" w:hAnsi="Times New Roman"/>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imes New Roman" w:hAnsi="Times New Roman"/>
          <w:lang w:val="en-GB"/>
        </w:rPr>
        <w:fldChar w:fldCharType="end"/>
      </w:r>
      <w:r w:rsidRPr="0067665C">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Sarduri 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which was still an establishment phase for the kingdom of Urartu</w:t>
      </w:r>
      <w:r w:rsidRPr="0067665C">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the practice on the east facades suggests that other buildings may have been planned as an addition to the eastern section of the building.</w:t>
      </w:r>
      <w:r w:rsidRPr="00427476">
        <w:rPr>
          <w:rStyle w:val="DipnotBavurusu"/>
          <w:rFonts w:asciiTheme="majorBidi" w:hAnsiTheme="majorBidi"/>
          <w:lang w:val="en-GB"/>
        </w:rPr>
        <w:footnoteReference w:id="49"/>
      </w:r>
      <w:r w:rsidRPr="004C41C8">
        <w:rPr>
          <w:rFonts w:ascii="Times New Roman" w:hAnsi="Times New Roman"/>
          <w:lang w:val="en-GB"/>
        </w:rPr>
        <w:t xml:space="preserve"> The foundation </w:t>
      </w:r>
      <w:r w:rsidRPr="0067665C">
        <w:rPr>
          <w:rFonts w:ascii="Times New Roman" w:eastAsia="Calibri" w:hAnsi="Times New Roman" w:cs="Times New Roman"/>
          <w:lang w:val="en-GB"/>
        </w:rPr>
        <w:t xml:space="preserve">remnants </w:t>
      </w:r>
      <w:r w:rsidRPr="004C41C8">
        <w:rPr>
          <w:rFonts w:ascii="Times New Roman" w:hAnsi="Times New Roman"/>
          <w:lang w:val="en-GB"/>
        </w:rPr>
        <w:t xml:space="preserve">to the east of the building show some similarities with the rest </w:t>
      </w:r>
      <w:r w:rsidRPr="0067665C">
        <w:rPr>
          <w:rFonts w:ascii="Times New Roman" w:eastAsia="Calibri" w:hAnsi="Times New Roman" w:cs="Times New Roman"/>
          <w:lang w:val="en-GB"/>
        </w:rPr>
        <w:t>regarding</w:t>
      </w:r>
      <w:r w:rsidRPr="004C41C8">
        <w:rPr>
          <w:rFonts w:ascii="Times New Roman" w:hAnsi="Times New Roman"/>
          <w:lang w:val="en-GB"/>
        </w:rPr>
        <w:t xml:space="preserve"> stonework</w:t>
      </w:r>
      <w:r w:rsidRPr="0067665C">
        <w:rPr>
          <w:rFonts w:ascii="Times New Roman" w:eastAsia="Calibri" w:hAnsi="Times New Roman" w:cs="Times New Roman"/>
          <w:lang w:val="en-GB"/>
        </w:rPr>
        <w:t>. However,</w:t>
      </w:r>
      <w:r w:rsidRPr="004C41C8">
        <w:rPr>
          <w:rFonts w:ascii="Times New Roman" w:hAnsi="Times New Roman"/>
          <w:lang w:val="en-GB"/>
        </w:rPr>
        <w:t xml:space="preserve"> a church was also located here in the later periods </w:t>
      </w:r>
      <w:r w:rsidRPr="0067665C">
        <w:rPr>
          <w:rFonts w:ascii="Times New Roman" w:eastAsia="Calibri" w:hAnsi="Times New Roman" w:cs="Times New Roman"/>
          <w:lang w:val="en-GB"/>
        </w:rPr>
        <w:t>belonging</w:t>
      </w:r>
      <w:r w:rsidRPr="004C41C8">
        <w:rPr>
          <w:rFonts w:ascii="Times New Roman" w:hAnsi="Times New Roman"/>
          <w:lang w:val="en-GB"/>
        </w:rPr>
        <w:t xml:space="preserve"> to </w:t>
      </w:r>
      <w:r w:rsidRPr="0067665C">
        <w:rPr>
          <w:rFonts w:ascii="Times New Roman" w:eastAsia="Calibri" w:hAnsi="Times New Roman" w:cs="Times New Roman"/>
          <w:lang w:val="en-GB"/>
        </w:rPr>
        <w:t xml:space="preserve">the </w:t>
      </w:r>
      <w:r w:rsidRPr="004C41C8">
        <w:rPr>
          <w:rFonts w:ascii="Times New Roman" w:hAnsi="Times New Roman"/>
          <w:lang w:val="en-GB"/>
        </w:rPr>
        <w:t>Medieval</w:t>
      </w:r>
      <w:r w:rsidR="006371BE">
        <w:rPr>
          <w:rFonts w:ascii="Times New Roman" w:hAnsi="Times New Roman"/>
          <w:lang w:val="en-GB"/>
        </w:rPr>
        <w:t xml:space="preserve"> </w:t>
      </w:r>
      <w:r w:rsidRPr="004C41C8">
        <w:rPr>
          <w:rFonts w:ascii="Times New Roman" w:hAnsi="Times New Roman"/>
          <w:lang w:val="en-GB"/>
        </w:rPr>
        <w:t>(Lehmann-Haupt</w:t>
      </w:r>
      <w:r w:rsidRPr="0067665C">
        <w:rPr>
          <w:rFonts w:ascii="Times New Roman" w:eastAsia="Calibri" w:hAnsi="Times New Roman" w:cs="Times New Roman"/>
          <w:lang w:val="en-GB"/>
        </w:rPr>
        <w:t>,</w:t>
      </w:r>
      <w:r w:rsidR="006A4F71">
        <w:rPr>
          <w:rFonts w:asciiTheme="majorBidi" w:hAnsiTheme="majorBidi" w:cstheme="majorBidi"/>
          <w:noProof/>
          <w:lang w:val="en-GB"/>
        </w:rPr>
        <w:t xml:space="preserve"> </w:t>
      </w:r>
      <w:r w:rsidRPr="004C41C8">
        <w:rPr>
          <w:rFonts w:ascii="Times New Roman" w:hAnsi="Times New Roman"/>
          <w:lang w:val="en-GB"/>
        </w:rPr>
        <w:t>1926: 25).This suggests that some additions may have been built in this section during the Urartian</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Urartian</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 xml:space="preserve"> period (Fig. 20).</w:t>
      </w:r>
    </w:p>
    <w:p w14:paraId="3F54BB8E" w14:textId="77777777" w:rsidR="00EC68C5" w:rsidRDefault="00EC68C5" w:rsidP="00EC68C5">
      <w:pPr>
        <w:spacing w:line="276" w:lineRule="auto"/>
        <w:jc w:val="both"/>
        <w:rPr>
          <w:rFonts w:ascii="Times New Roman" w:eastAsia="Calibri" w:hAnsi="Times New Roman" w:cs="Times New Roman"/>
          <w:lang w:val="en-GB"/>
        </w:rPr>
      </w:pPr>
      <w:r w:rsidRPr="00CE54AB">
        <w:rPr>
          <w:rFonts w:ascii="Times New Roman" w:eastAsia="Calibri" w:hAnsi="Times New Roman" w:cs="Times New Roman"/>
          <w:noProof/>
        </w:rPr>
        <w:lastRenderedPageBreak/>
        <w:drawing>
          <wp:inline distT="0" distB="0" distL="0" distR="0" wp14:anchorId="76E7783A" wp14:editId="28FC4E1B">
            <wp:extent cx="5756910" cy="3851962"/>
            <wp:effectExtent l="19050" t="19050" r="15240" b="15240"/>
            <wp:docPr id="192520505" name="Resim 192520505" descr="C:\Users\Asus\Desktop\Sardurburç Düzeltme 2024 ocak\Hocaya gönderilen_08_08_2021\Figur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esktop\Sardurburç Düzeltme 2024 ocak\Hocaya gönderilen_08_08_2021\Figures\20.jpg"/>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756910" cy="3851962"/>
                    </a:xfrm>
                    <a:prstGeom prst="rect">
                      <a:avLst/>
                    </a:prstGeom>
                    <a:noFill/>
                    <a:ln>
                      <a:solidFill>
                        <a:sysClr val="windowText" lastClr="000000"/>
                      </a:solidFill>
                    </a:ln>
                  </pic:spPr>
                </pic:pic>
              </a:graphicData>
            </a:graphic>
          </wp:inline>
        </w:drawing>
      </w:r>
    </w:p>
    <w:p w14:paraId="30AC075C" w14:textId="77777777" w:rsidR="00EC68C5" w:rsidRPr="004C41C8" w:rsidRDefault="00EC68C5" w:rsidP="00EC68C5">
      <w:pPr>
        <w:spacing w:after="160" w:line="276" w:lineRule="auto"/>
        <w:jc w:val="both"/>
        <w:rPr>
          <w:rFonts w:asciiTheme="majorBidi" w:hAnsiTheme="majorBidi" w:cstheme="majorBidi"/>
          <w:bCs/>
          <w:kern w:val="0"/>
          <w:sz w:val="22"/>
          <w:lang w:val="en-GB"/>
          <w14:ligatures w14:val="none"/>
        </w:rPr>
      </w:pPr>
      <w:r w:rsidRPr="00F03A26">
        <w:rPr>
          <w:rFonts w:asciiTheme="majorBidi" w:hAnsiTheme="majorBidi" w:cstheme="majorBidi"/>
          <w:bCs/>
          <w:lang w:val="en-GB"/>
        </w:rPr>
        <w:t>Fig. 20 Overview of the north facades.</w:t>
      </w:r>
    </w:p>
    <w:p w14:paraId="52A326EB"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The general plan of the building suggests a defensive function</w:t>
      </w:r>
      <w:r w:rsidRPr="0067665C">
        <w:rPr>
          <w:rFonts w:ascii="Times New Roman" w:eastAsia="Calibri" w:hAnsi="Times New Roman" w:cs="Times New Roman"/>
          <w:lang w:val="en-GB"/>
        </w:rPr>
        <w:t>;</w:t>
      </w:r>
      <w:r w:rsidRPr="004C41C8">
        <w:rPr>
          <w:rFonts w:ascii="Times New Roman" w:hAnsi="Times New Roman"/>
          <w:lang w:val="en-GB"/>
        </w:rPr>
        <w:t xml:space="preserve"> however</w:t>
      </w:r>
      <w:r w:rsidRPr="0067665C">
        <w:rPr>
          <w:rFonts w:ascii="Times New Roman" w:eastAsia="Calibri" w:hAnsi="Times New Roman" w:cs="Times New Roman"/>
          <w:lang w:val="en-GB"/>
        </w:rPr>
        <w:t>,</w:t>
      </w:r>
      <w:r w:rsidRPr="004C41C8">
        <w:rPr>
          <w:rFonts w:ascii="Times New Roman" w:hAnsi="Times New Roman"/>
          <w:lang w:val="en-GB"/>
        </w:rPr>
        <w:t xml:space="preserve"> a bastion/tower protrusion, frequently encountered in Urartian</w:t>
      </w:r>
      <w:r>
        <w:rPr>
          <w:rFonts w:ascii="Times New Roman" w:hAnsi="Times New Roman"/>
          <w:lang w:val="en-GB"/>
        </w:rPr>
        <w:fldChar w:fldCharType="begin"/>
      </w:r>
      <w:r>
        <w:instrText xml:space="preserve"> XE "</w:instrText>
      </w:r>
      <w:r w:rsidRPr="004C41C8">
        <w:rPr>
          <w:rFonts w:ascii="Times New Roman" w:hAnsi="Times New Roman"/>
          <w:lang w:val="en-GB"/>
        </w:rPr>
        <w:instrText>Urartian</w:instrText>
      </w:r>
      <w:r>
        <w:instrText xml:space="preserve">" </w:instrText>
      </w:r>
      <w:r>
        <w:rPr>
          <w:rFonts w:ascii="Times New Roman" w:hAnsi="Times New Roman"/>
          <w:lang w:val="en-GB"/>
        </w:rPr>
        <w:fldChar w:fldCharType="end"/>
      </w:r>
      <w:r w:rsidRPr="0067665C">
        <w:rPr>
          <w:rFonts w:ascii="Times New Roman" w:eastAsia="Calibri" w:hAnsi="Times New Roman" w:cs="Times New Roman"/>
          <w:lang w:val="en-GB"/>
        </w:rPr>
        <w:t> defense</w:t>
      </w:r>
      <w:r w:rsidRPr="004C41C8">
        <w:rPr>
          <w:rFonts w:ascii="Times New Roman" w:hAnsi="Times New Roman"/>
          <w:lang w:val="en-GB"/>
        </w:rPr>
        <w:t xml:space="preserve"> architecture, is not </w:t>
      </w:r>
      <w:r w:rsidRPr="0067665C">
        <w:rPr>
          <w:rFonts w:ascii="Times New Roman" w:eastAsia="Calibri" w:hAnsi="Times New Roman" w:cs="Times New Roman"/>
          <w:lang w:val="en-GB"/>
        </w:rPr>
        <w:t>apparent</w:t>
      </w:r>
      <w:r w:rsidRPr="004C41C8">
        <w:rPr>
          <w:rFonts w:ascii="Times New Roman" w:hAnsi="Times New Roman"/>
          <w:lang w:val="en-GB"/>
        </w:rPr>
        <w:t xml:space="preserve"> here. In addition, the foundation stones built with the overlay technique pose a risk in </w:t>
      </w:r>
      <w:r w:rsidRPr="0067665C">
        <w:rPr>
          <w:rFonts w:ascii="Times New Roman" w:eastAsia="Calibri" w:hAnsi="Times New Roman" w:cs="Times New Roman"/>
          <w:lang w:val="en-GB"/>
        </w:rPr>
        <w:t>defense</w:t>
      </w:r>
      <w:r w:rsidRPr="004C41C8">
        <w:rPr>
          <w:rFonts w:ascii="Times New Roman" w:hAnsi="Times New Roman"/>
          <w:lang w:val="en-GB"/>
        </w:rPr>
        <w:t xml:space="preserve"> (Salvini, 1995: 138; Salvini, 2006: 150). </w:t>
      </w:r>
      <w:r w:rsidRPr="0067665C">
        <w:rPr>
          <w:rFonts w:ascii="Times New Roman" w:eastAsia="Calibri" w:hAnsi="Times New Roman" w:cs="Times New Roman"/>
          <w:lang w:val="en-GB"/>
        </w:rPr>
        <w:t>It is</w:t>
      </w:r>
      <w:r w:rsidRPr="004C41C8">
        <w:rPr>
          <w:rFonts w:ascii="Times New Roman" w:hAnsi="Times New Roman"/>
          <w:lang w:val="en-GB"/>
        </w:rPr>
        <w:t xml:space="preserve"> possible that it served a “passive security function” for the entrance to the citadel, or it might suggest that it served the </w:t>
      </w:r>
      <w:r w:rsidRPr="0067665C">
        <w:rPr>
          <w:rFonts w:ascii="Times New Roman" w:eastAsia="Calibri" w:hAnsi="Times New Roman" w:cs="Times New Roman"/>
          <w:lang w:val="en-GB"/>
        </w:rPr>
        <w:t>primary</w:t>
      </w:r>
      <w:r w:rsidRPr="004C41C8">
        <w:rPr>
          <w:rFonts w:ascii="Times New Roman" w:hAnsi="Times New Roman"/>
          <w:lang w:val="en-GB"/>
        </w:rPr>
        <w:t xml:space="preserve"> function of the building as a foundation of a </w:t>
      </w:r>
      <w:r w:rsidRPr="0067665C">
        <w:rPr>
          <w:rFonts w:ascii="Times New Roman" w:eastAsia="Calibri" w:hAnsi="Times New Roman" w:cs="Times New Roman"/>
          <w:lang w:val="en-GB"/>
        </w:rPr>
        <w:t>vital</w:t>
      </w:r>
      <w:r w:rsidRPr="004C41C8">
        <w:rPr>
          <w:rFonts w:ascii="Times New Roman" w:hAnsi="Times New Roman"/>
          <w:lang w:val="en-GB"/>
        </w:rPr>
        <w:t xml:space="preserve"> structure that will not be affected by factors such as humidity and one that enables bulk storage. This assumption, which may be valid for Block B and Block C, is not valid for Block A. At this point, each section will be discussed separately in chronological order</w:t>
      </w:r>
      <w:r w:rsidRPr="0067665C">
        <w:rPr>
          <w:rFonts w:ascii="Times New Roman" w:eastAsia="Calibri" w:hAnsi="Times New Roman" w:cs="Times New Roman"/>
          <w:lang w:val="en-GB"/>
        </w:rPr>
        <w:t xml:space="preserve"> to understand the structure better</w:t>
      </w:r>
      <w:r w:rsidRPr="004C41C8">
        <w:rPr>
          <w:rFonts w:ascii="Times New Roman" w:hAnsi="Times New Roman"/>
          <w:lang w:val="en-GB"/>
        </w:rPr>
        <w:t>.</w:t>
      </w:r>
    </w:p>
    <w:p w14:paraId="5818DEAF" w14:textId="4A9FA070" w:rsidR="00EC68C5" w:rsidRPr="004C41C8" w:rsidRDefault="002A0E12" w:rsidP="00EC68C5">
      <w:pPr>
        <w:spacing w:line="276" w:lineRule="auto"/>
        <w:jc w:val="both"/>
        <w:rPr>
          <w:rFonts w:ascii="Times New Roman" w:hAnsi="Times New Roman"/>
          <w:lang w:val="en-GB"/>
        </w:rPr>
      </w:pPr>
      <w:bookmarkStart w:id="79" w:name="_Toc132072521"/>
      <w:r w:rsidRPr="00CE54AB">
        <w:rPr>
          <w:rFonts w:ascii="Times New Roman" w:eastAsia="Calibri" w:hAnsi="Times New Roman" w:cs="Times New Roman"/>
          <w:noProof/>
        </w:rPr>
        <w:lastRenderedPageBreak/>
        <w:drawing>
          <wp:anchor distT="0" distB="0" distL="114300" distR="114300" simplePos="0" relativeHeight="251876352" behindDoc="0" locked="0" layoutInCell="1" allowOverlap="1" wp14:anchorId="724D3BCB" wp14:editId="4317B080">
            <wp:simplePos x="0" y="0"/>
            <wp:positionH relativeFrom="margin">
              <wp:posOffset>6985</wp:posOffset>
            </wp:positionH>
            <wp:positionV relativeFrom="paragraph">
              <wp:posOffset>2872133</wp:posOffset>
            </wp:positionV>
            <wp:extent cx="5603240" cy="3743325"/>
            <wp:effectExtent l="19050" t="19050" r="16510" b="28575"/>
            <wp:wrapTopAndBottom/>
            <wp:docPr id="51888654" name="Resim 51888654" descr="C:\Users\Asus\Desktop\Sardurburç Düzeltme 2024 ocak\Hocaya gönderilen_08_08_2021\Figu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Desktop\Sardurburç Düzeltme 2024 ocak\Hocaya gönderilen_08_08_2021\Figures\21.jpg"/>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5603240" cy="374332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EC68C5" w:rsidRPr="004C41C8">
        <w:rPr>
          <w:rFonts w:ascii="Times New Roman" w:hAnsi="Times New Roman"/>
          <w:b/>
          <w:color w:val="0D0D0D"/>
          <w:szCs w:val="22"/>
          <w:lang w:val="en-GB"/>
        </w:rPr>
        <w:t>5.3.1. Block A</w:t>
      </w:r>
      <w:bookmarkEnd w:id="79"/>
      <w:r>
        <w:rPr>
          <w:rFonts w:ascii="Times New Roman" w:hAnsi="Times New Roman"/>
          <w:b/>
          <w:color w:val="0D0D0D"/>
          <w:szCs w:val="22"/>
          <w:lang w:val="en-GB"/>
        </w:rPr>
        <w:t xml:space="preserve"> </w:t>
      </w:r>
      <w:r w:rsidR="00EC68C5" w:rsidRPr="004C41C8">
        <w:rPr>
          <w:rFonts w:ascii="Times New Roman" w:hAnsi="Times New Roman"/>
          <w:lang w:val="en-GB"/>
        </w:rPr>
        <w:t xml:space="preserve">This section, which we refer to as Block A as it is thought to be the earliest one in chronological terms and which sits on the bedrock adjacent to the citadel in the south, differs from the rest of the complex with some of its structural features. The most </w:t>
      </w:r>
      <w:r w:rsidR="00EC68C5" w:rsidRPr="0067665C">
        <w:rPr>
          <w:rFonts w:ascii="Times New Roman" w:eastAsia="Calibri" w:hAnsi="Times New Roman" w:cs="Times New Roman"/>
          <w:lang w:val="en-GB"/>
        </w:rPr>
        <w:t>crucial</w:t>
      </w:r>
      <w:r w:rsidR="00EC68C5" w:rsidRPr="004C41C8">
        <w:rPr>
          <w:rFonts w:ascii="Times New Roman" w:hAnsi="Times New Roman"/>
          <w:lang w:val="en-GB"/>
        </w:rPr>
        <w:t xml:space="preserve"> difference is that there are no inscriptions on Block A. In addition, the ashlar blocks on which this section was built have a smaller and more fragmented masonry character than the stones used in the remaining (</w:t>
      </w:r>
      <w:r w:rsidR="00EC68C5" w:rsidRPr="0067665C">
        <w:rPr>
          <w:rFonts w:ascii="Times New Roman" w:eastAsia="Calibri" w:hAnsi="Times New Roman" w:cs="Times New Roman"/>
          <w:lang w:val="en-GB"/>
        </w:rPr>
        <w:t>The</w:t>
      </w:r>
      <w:r w:rsidR="00EC68C5" w:rsidRPr="004C41C8">
        <w:rPr>
          <w:rFonts w:ascii="Times New Roman" w:hAnsi="Times New Roman"/>
          <w:lang w:val="en-GB"/>
        </w:rPr>
        <w:t xml:space="preserve"> B and C Blocks) parts of the Sardurburç</w:t>
      </w:r>
      <w:r w:rsidR="00EC68C5" w:rsidRPr="0067665C">
        <w:rPr>
          <w:rFonts w:ascii="Times New Roman" w:eastAsia="Calibri" w:hAnsi="Times New Roman" w:cs="Times New Roman"/>
          <w:lang w:val="en-GB"/>
        </w:rPr>
        <w:t> </w:t>
      </w:r>
      <w:r w:rsidR="00EC68C5" w:rsidRPr="00427476">
        <w:rPr>
          <w:rFonts w:asciiTheme="majorBidi" w:hAnsiTheme="majorBidi" w:cstheme="majorBidi"/>
          <w:lang w:val="en-GB"/>
        </w:rPr>
        <w:fldChar w:fldCharType="begin"/>
      </w:r>
      <w:r w:rsidR="00EC68C5" w:rsidRPr="00427476">
        <w:rPr>
          <w:lang w:val="en-GB"/>
        </w:rPr>
        <w:instrText xml:space="preserve"> XE "</w:instrText>
      </w:r>
      <w:r w:rsidR="00EC68C5" w:rsidRPr="00427476">
        <w:rPr>
          <w:rFonts w:asciiTheme="majorBidi" w:hAnsiTheme="majorBidi" w:cstheme="majorBidi"/>
          <w:lang w:val="en-GB"/>
        </w:rPr>
        <w:instrText>Sardurburç</w:instrText>
      </w:r>
      <w:r w:rsidR="00EC68C5" w:rsidRPr="00427476">
        <w:rPr>
          <w:lang w:val="en-GB"/>
        </w:rPr>
        <w:instrText xml:space="preserve">" </w:instrText>
      </w:r>
      <w:r w:rsidR="00EC68C5" w:rsidRPr="00427476">
        <w:rPr>
          <w:rFonts w:asciiTheme="majorBidi" w:hAnsiTheme="majorBidi" w:cstheme="majorBidi"/>
          <w:lang w:val="en-GB"/>
        </w:rPr>
        <w:fldChar w:fldCharType="end"/>
      </w:r>
      <w:r w:rsidR="00EC68C5" w:rsidRPr="00427476">
        <w:rPr>
          <w:rFonts w:asciiTheme="majorBidi" w:hAnsiTheme="majorBidi" w:cstheme="majorBidi"/>
          <w:lang w:val="en-GB"/>
        </w:rPr>
        <w:t xml:space="preserve"> </w:t>
      </w:r>
      <w:r w:rsidR="00EC68C5" w:rsidRPr="004C41C8">
        <w:rPr>
          <w:rFonts w:ascii="Times New Roman" w:hAnsi="Times New Roman"/>
          <w:lang w:val="en-GB"/>
        </w:rPr>
        <w:t xml:space="preserve">structure (Fig. 21). In the stone analysis, it has been suggested that limestone, which is the local material of the </w:t>
      </w:r>
      <w:r w:rsidR="00EC68C5" w:rsidRPr="0067665C">
        <w:rPr>
          <w:rFonts w:ascii="Times New Roman" w:eastAsia="Calibri" w:hAnsi="Times New Roman" w:cs="Times New Roman"/>
          <w:lang w:val="en-GB"/>
        </w:rPr>
        <w:t>Ṭušpa</w:t>
      </w:r>
      <w:r w:rsidR="00EC68C5">
        <w:rPr>
          <w:rFonts w:ascii="Times New Roman" w:eastAsia="Calibri" w:hAnsi="Times New Roman" w:cs="Times New Roman"/>
          <w:lang w:val="en-GB"/>
        </w:rPr>
        <w:t xml:space="preserve">/Van </w:t>
      </w:r>
      <w:r w:rsidR="00EC68C5" w:rsidRPr="0067665C">
        <w:rPr>
          <w:rFonts w:ascii="Times New Roman" w:eastAsia="Calibri" w:hAnsi="Times New Roman" w:cs="Times New Roman"/>
          <w:lang w:val="en-GB"/>
        </w:rPr>
        <w:t>Rock</w:t>
      </w:r>
      <w:r w:rsidR="001F2587">
        <w:rPr>
          <w:rFonts w:ascii="Times New Roman" w:eastAsia="Calibri" w:hAnsi="Times New Roman" w:cs="Times New Roman"/>
          <w:lang w:val="en-GB"/>
        </w:rPr>
        <w:fldChar w:fldCharType="begin"/>
      </w:r>
      <w:r w:rsidR="001F2587">
        <w:instrText xml:space="preserve"> XE "</w:instrText>
      </w:r>
      <w:r w:rsidR="001F2587" w:rsidRPr="00B96935">
        <w:rPr>
          <w:rFonts w:asciiTheme="majorBidi" w:hAnsiTheme="majorBidi" w:cstheme="majorBidi"/>
        </w:rPr>
        <w:instrText>Ṭušpa/Van Rock</w:instrText>
      </w:r>
      <w:r w:rsidR="001F2587">
        <w:instrText xml:space="preserve">" </w:instrText>
      </w:r>
      <w:r w:rsidR="001F2587">
        <w:rPr>
          <w:rFonts w:ascii="Times New Roman" w:eastAsia="Calibri" w:hAnsi="Times New Roman" w:cs="Times New Roman"/>
          <w:lang w:val="en-GB"/>
        </w:rPr>
        <w:fldChar w:fldCharType="end"/>
      </w:r>
      <w:r w:rsidR="00EC68C5" w:rsidRPr="004C41C8">
        <w:rPr>
          <w:rFonts w:ascii="Times New Roman" w:hAnsi="Times New Roman"/>
          <w:lang w:val="en-GB"/>
        </w:rPr>
        <w:t xml:space="preserve"> terrain, was used as the building stone in the construction of Block A, and that travertine, which may have been brought from a different source, was used in other parts (Kuvanç, 2017: 120-121). In this respect, it differs from other parts. The absence of inscriptions on Block A</w:t>
      </w:r>
      <w:r w:rsidR="00EC68C5" w:rsidRPr="00427476">
        <w:rPr>
          <w:rStyle w:val="DipnotBavurusu"/>
          <w:rFonts w:asciiTheme="majorBidi" w:hAnsiTheme="majorBidi"/>
          <w:lang w:val="en-GB"/>
        </w:rPr>
        <w:footnoteReference w:id="50"/>
      </w:r>
      <w:r w:rsidR="00EC68C5" w:rsidRPr="004C41C8">
        <w:rPr>
          <w:rFonts w:ascii="Times New Roman" w:hAnsi="Times New Roman"/>
          <w:lang w:val="en-GB"/>
        </w:rPr>
        <w:t xml:space="preserve"> and the fact that the stone blocks were obtained from the Ṭušpa</w:t>
      </w:r>
      <w:r w:rsidR="00EC68C5" w:rsidRPr="0067665C">
        <w:rPr>
          <w:rFonts w:ascii="Times New Roman" w:eastAsia="Calibri" w:hAnsi="Times New Roman" w:cs="Times New Roman"/>
          <w:lang w:val="en-GB"/>
        </w:rPr>
        <w:t> </w:t>
      </w:r>
      <w:r w:rsidR="00EC68C5" w:rsidRPr="004C41C8">
        <w:rPr>
          <w:rFonts w:ascii="Times New Roman" w:hAnsi="Times New Roman"/>
          <w:lang w:val="en-GB"/>
        </w:rPr>
        <w:t>rock support the possibility that this section was built earlier, unlike the other sections (B and C).</w:t>
      </w:r>
      <w:r w:rsidR="00EC68C5" w:rsidRPr="004C41C8">
        <w:rPr>
          <w:rFonts w:ascii="Times New Roman" w:hAnsi="Times New Roman"/>
        </w:rPr>
        <w:t xml:space="preserve"> </w:t>
      </w:r>
      <w:r w:rsidR="00EC68C5" w:rsidRPr="004C41C8">
        <w:rPr>
          <w:rFonts w:ascii="Times New Roman" w:hAnsi="Times New Roman"/>
          <w:lang w:val="en-GB"/>
        </w:rPr>
        <w:t>Fig. 21 The stone sizes used in Block A are relatively smaller than the others (Compared to Block B-C).</w:t>
      </w:r>
    </w:p>
    <w:p w14:paraId="4D23CD32" w14:textId="2DD97A4A" w:rsidR="00EC68C5" w:rsidRPr="00F03A26" w:rsidRDefault="00EC68C5" w:rsidP="00EC68C5">
      <w:pPr>
        <w:spacing w:line="276" w:lineRule="auto"/>
        <w:jc w:val="both"/>
        <w:rPr>
          <w:rFonts w:asciiTheme="majorBidi" w:hAnsiTheme="majorBidi" w:cstheme="majorBidi"/>
          <w:bCs/>
          <w:lang w:val="en-GB"/>
        </w:rPr>
      </w:pPr>
      <w:r w:rsidRPr="0067665C">
        <w:t xml:space="preserve"> </w:t>
      </w:r>
      <w:r w:rsidRPr="00F03A26">
        <w:rPr>
          <w:rFonts w:asciiTheme="majorBidi" w:hAnsiTheme="majorBidi" w:cstheme="majorBidi"/>
          <w:bCs/>
          <w:lang w:val="en-GB"/>
        </w:rPr>
        <w:t>Fig. 21 The stone sizes used in Block A are relatively smaller than the others (Compared to Block B-C).</w:t>
      </w:r>
    </w:p>
    <w:p w14:paraId="7183C709" w14:textId="77777777" w:rsidR="00EC68C5" w:rsidRDefault="00EC68C5" w:rsidP="00EC68C5">
      <w:pPr>
        <w:spacing w:line="276" w:lineRule="auto"/>
        <w:jc w:val="both"/>
      </w:pPr>
    </w:p>
    <w:p w14:paraId="6777963C" w14:textId="77777777" w:rsidR="00EC68C5" w:rsidRDefault="00EC68C5" w:rsidP="00EC68C5">
      <w:pPr>
        <w:spacing w:line="276" w:lineRule="auto"/>
        <w:jc w:val="both"/>
        <w:rPr>
          <w:rFonts w:ascii="Times New Roman" w:hAnsi="Times New Roman"/>
        </w:rPr>
      </w:pPr>
      <w:r w:rsidRPr="004C41C8">
        <w:rPr>
          <w:rFonts w:ascii="Times New Roman" w:hAnsi="Times New Roman"/>
          <w:lang w:val="en-US"/>
        </w:rPr>
        <w:t xml:space="preserve">Apart from these differences, it is seen that there is no structural integrity between the </w:t>
      </w:r>
      <w:r w:rsidRPr="0067665C">
        <w:rPr>
          <w:rFonts w:ascii="Times New Roman" w:eastAsia="Calibri" w:hAnsi="Times New Roman" w:cs="Times New Roman"/>
          <w:noProof/>
        </w:rPr>
        <w:t>sections</w:t>
      </w:r>
      <w:r w:rsidRPr="004C41C8">
        <w:rPr>
          <w:rFonts w:ascii="Times New Roman" w:hAnsi="Times New Roman"/>
          <w:lang w:val="en-US"/>
        </w:rPr>
        <w:t xml:space="preserve"> adjacent to the north of Block A</w:t>
      </w:r>
      <w:r w:rsidRPr="0067665C">
        <w:rPr>
          <w:rFonts w:ascii="Times New Roman" w:eastAsia="Calibri" w:hAnsi="Times New Roman" w:cs="Times New Roman"/>
          <w:noProof/>
        </w:rPr>
        <w:t>,</w:t>
      </w:r>
      <w:r w:rsidRPr="004C41C8">
        <w:rPr>
          <w:rFonts w:ascii="Times New Roman" w:hAnsi="Times New Roman"/>
          <w:lang w:val="en-US"/>
        </w:rPr>
        <w:t xml:space="preserve"> which we call Block C</w:t>
      </w:r>
      <w:r w:rsidRPr="0067665C">
        <w:rPr>
          <w:rFonts w:ascii="Times New Roman" w:eastAsia="Calibri" w:hAnsi="Times New Roman" w:cs="Times New Roman"/>
          <w:noProof/>
        </w:rPr>
        <w:t>,</w:t>
      </w:r>
      <w:r w:rsidRPr="004C41C8">
        <w:rPr>
          <w:rFonts w:ascii="Times New Roman" w:hAnsi="Times New Roman"/>
          <w:lang w:val="en-US"/>
        </w:rPr>
        <w:t xml:space="preserve"> due to </w:t>
      </w:r>
      <w:r w:rsidRPr="0067665C">
        <w:rPr>
          <w:rFonts w:ascii="Times New Roman" w:eastAsia="Calibri" w:hAnsi="Times New Roman" w:cs="Times New Roman"/>
          <w:noProof/>
        </w:rPr>
        <w:t xml:space="preserve">the </w:t>
      </w:r>
      <w:r w:rsidRPr="004C41C8">
        <w:rPr>
          <w:rFonts w:ascii="Times New Roman" w:hAnsi="Times New Roman"/>
          <w:lang w:val="en-US"/>
        </w:rPr>
        <w:t xml:space="preserve">chronological order. It can be observed in the plans and sections that there is </w:t>
      </w:r>
      <w:r w:rsidRPr="0067665C">
        <w:rPr>
          <w:rFonts w:ascii="Times New Roman" w:eastAsia="Calibri" w:hAnsi="Times New Roman" w:cs="Times New Roman"/>
          <w:noProof/>
        </w:rPr>
        <w:t>an apparent</w:t>
      </w:r>
      <w:r w:rsidRPr="004C41C8">
        <w:rPr>
          <w:rFonts w:ascii="Times New Roman" w:hAnsi="Times New Roman"/>
          <w:lang w:val="en-US"/>
        </w:rPr>
        <w:t xml:space="preserve"> elevation between these two blocks (A and C) that was not applied on the interior (Fig. 22, 23, 24). It is also noteworthy that according to the general plan, there is a significant difference in terms of axis between Block A and other B and C blocks. Block A differs from the remaining parts on the northwest-south-east axis by an angle of approximately 15 degrees (Fig. 25).</w:t>
      </w:r>
    </w:p>
    <w:p w14:paraId="71CB6046" w14:textId="77777777" w:rsidR="00EC68C5" w:rsidRDefault="00EC68C5" w:rsidP="00EC68C5">
      <w:pPr>
        <w:spacing w:line="276" w:lineRule="auto"/>
        <w:jc w:val="both"/>
        <w:rPr>
          <w:rFonts w:ascii="Times New Roman" w:hAnsi="Times New Roman"/>
        </w:rPr>
      </w:pPr>
    </w:p>
    <w:p w14:paraId="22394D86" w14:textId="77777777" w:rsidR="00EC68C5" w:rsidRPr="004C41C8" w:rsidRDefault="00EC68C5" w:rsidP="00EC68C5">
      <w:pPr>
        <w:spacing w:line="276" w:lineRule="auto"/>
        <w:jc w:val="both"/>
        <w:rPr>
          <w:rFonts w:ascii="Times New Roman" w:hAnsi="Times New Roman"/>
          <w:lang w:val="en-GB"/>
        </w:rPr>
      </w:pPr>
      <w:r w:rsidRPr="00F03A26">
        <w:rPr>
          <w:rFonts w:asciiTheme="majorBidi" w:hAnsiTheme="majorBidi" w:cstheme="majorBidi"/>
          <w:noProof/>
          <w:lang w:eastAsia="tr-TR"/>
        </w:rPr>
        <w:drawing>
          <wp:anchor distT="0" distB="0" distL="114300" distR="114300" simplePos="0" relativeHeight="251896832" behindDoc="0" locked="0" layoutInCell="1" allowOverlap="1" wp14:anchorId="34E8C3FE" wp14:editId="60B3B63F">
            <wp:simplePos x="0" y="0"/>
            <wp:positionH relativeFrom="margin">
              <wp:posOffset>80387</wp:posOffset>
            </wp:positionH>
            <wp:positionV relativeFrom="paragraph">
              <wp:posOffset>219710</wp:posOffset>
            </wp:positionV>
            <wp:extent cx="5017770" cy="3352800"/>
            <wp:effectExtent l="19050" t="19050" r="11430" b="19050"/>
            <wp:wrapTopAndBottom/>
            <wp:docPr id="25" name="Resim 25" descr="C:\Users\Asus\Desktop\Sardurburç Düzeltme 2024 ocak\Hocaya gönderilen_08_08_2021\Fig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Desktop\Sardurburç Düzeltme 2024 ocak\Hocaya gönderilen_08_08_2021\Figures\22.jpg"/>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017770" cy="3352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B5FDD55" w14:textId="77777777" w:rsidR="00EC68C5" w:rsidRPr="004C41C8" w:rsidRDefault="00EC68C5" w:rsidP="002A0E12">
      <w:pPr>
        <w:spacing w:line="276" w:lineRule="auto"/>
        <w:rPr>
          <w:rFonts w:ascii="Times New Roman" w:hAnsi="Times New Roman"/>
          <w:lang w:val="en-GB"/>
        </w:rPr>
      </w:pPr>
      <w:r w:rsidRPr="00CE54AB">
        <w:rPr>
          <w:rFonts w:ascii="Times New Roman" w:eastAsia="Calibri" w:hAnsi="Times New Roman" w:cs="Times New Roman"/>
          <w:bCs/>
          <w:noProof/>
        </w:rPr>
        <w:drawing>
          <wp:anchor distT="0" distB="0" distL="114300" distR="114300" simplePos="0" relativeHeight="251877376" behindDoc="0" locked="0" layoutInCell="1" allowOverlap="1" wp14:anchorId="696379F5" wp14:editId="284A9B80">
            <wp:simplePos x="0" y="0"/>
            <wp:positionH relativeFrom="margin">
              <wp:posOffset>151416</wp:posOffset>
            </wp:positionH>
            <wp:positionV relativeFrom="paragraph">
              <wp:posOffset>3702685</wp:posOffset>
            </wp:positionV>
            <wp:extent cx="4944745" cy="3295650"/>
            <wp:effectExtent l="19050" t="19050" r="27305" b="19050"/>
            <wp:wrapTopAndBottom/>
            <wp:docPr id="577464679" name="Resim 577464679" descr="C:\Users\Asus\Desktop\Sardurburç Düzeltme 2024 ocak\Hocaya gönderilen_08_08_2021\Figur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Desktop\Sardurburç Düzeltme 2024 ocak\Hocaya gönderilen_08_08_2021\Figures\23.jp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4944745" cy="32956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4C41C8">
        <w:rPr>
          <w:rFonts w:ascii="Times New Roman" w:hAnsi="Times New Roman"/>
          <w:lang w:val="en-GB"/>
        </w:rPr>
        <w:t>Fig. 22 Chronological separation between block C and block A, from the west side.</w:t>
      </w:r>
    </w:p>
    <w:p w14:paraId="77BABC93" w14:textId="77777777" w:rsidR="00EC68C5" w:rsidRPr="004C41C8" w:rsidRDefault="00EC68C5" w:rsidP="002A0E12">
      <w:pPr>
        <w:spacing w:line="276" w:lineRule="auto"/>
        <w:rPr>
          <w:rFonts w:ascii="Times New Roman" w:hAnsi="Times New Roman"/>
          <w:lang w:val="en-GB"/>
        </w:rPr>
      </w:pPr>
      <w:r w:rsidRPr="004C41C8">
        <w:rPr>
          <w:rFonts w:ascii="Times New Roman" w:hAnsi="Times New Roman"/>
          <w:lang w:val="en-GB"/>
        </w:rPr>
        <w:t>Fig. 23 Chronology of the between block A and block C from the east side.</w:t>
      </w:r>
    </w:p>
    <w:p w14:paraId="51E1442B" w14:textId="77777777" w:rsidR="00EC68C5" w:rsidRPr="00CE54AB" w:rsidRDefault="00EC68C5" w:rsidP="00EC68C5">
      <w:pPr>
        <w:spacing w:line="276" w:lineRule="auto"/>
        <w:jc w:val="center"/>
        <w:rPr>
          <w:rFonts w:ascii="Times New Roman" w:eastAsia="Calibri" w:hAnsi="Times New Roman" w:cs="Times New Roman"/>
          <w:b/>
          <w:lang w:val="en-GB"/>
        </w:rPr>
      </w:pPr>
      <w:r w:rsidRPr="00CE54AB">
        <w:rPr>
          <w:rFonts w:ascii="Times New Roman" w:eastAsia="Calibri" w:hAnsi="Times New Roman" w:cs="Times New Roman"/>
          <w:b/>
          <w:noProof/>
        </w:rPr>
        <w:lastRenderedPageBreak/>
        <w:drawing>
          <wp:inline distT="0" distB="0" distL="0" distR="0" wp14:anchorId="513C3BC4" wp14:editId="0ECDA5DF">
            <wp:extent cx="5756910" cy="7675880"/>
            <wp:effectExtent l="19050" t="19050" r="15240" b="20320"/>
            <wp:docPr id="616984225" name="Resim 616984225" descr="C:\Users\Asus\Desktop\Sardurburç Düzeltme 2024 ocak\Hocaya gönderilen_08_08_2021\Figur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esktop\Sardurburç Düzeltme 2024 ocak\Hocaya gönderilen_08_08_2021\Figures\24.jpg"/>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756910" cy="7675880"/>
                    </a:xfrm>
                    <a:prstGeom prst="rect">
                      <a:avLst/>
                    </a:prstGeom>
                    <a:noFill/>
                    <a:ln>
                      <a:solidFill>
                        <a:sysClr val="windowText" lastClr="000000"/>
                      </a:solidFill>
                    </a:ln>
                  </pic:spPr>
                </pic:pic>
              </a:graphicData>
            </a:graphic>
          </wp:inline>
        </w:drawing>
      </w:r>
    </w:p>
    <w:p w14:paraId="4A010DB2"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 xml:space="preserve">Fig. 24 The junction of Block A and Block C from east side and inscription CTU I. A 1-1D at the bottom right. </w:t>
      </w:r>
    </w:p>
    <w:p w14:paraId="25774AF8" w14:textId="77777777" w:rsidR="00EC68C5" w:rsidRPr="004C41C8" w:rsidRDefault="00EC68C5" w:rsidP="00EC68C5">
      <w:pPr>
        <w:spacing w:line="276" w:lineRule="auto"/>
        <w:ind w:firstLine="708"/>
        <w:jc w:val="both"/>
        <w:rPr>
          <w:rFonts w:ascii="Times New Roman" w:hAnsi="Times New Roman"/>
          <w:lang w:val="en-GB"/>
        </w:rPr>
      </w:pPr>
    </w:p>
    <w:p w14:paraId="6C83D5BF" w14:textId="77777777" w:rsidR="00EC68C5" w:rsidRPr="004C41C8" w:rsidRDefault="00EC68C5" w:rsidP="00EC68C5">
      <w:pPr>
        <w:spacing w:line="276" w:lineRule="auto"/>
        <w:ind w:firstLine="708"/>
        <w:jc w:val="both"/>
        <w:rPr>
          <w:rFonts w:ascii="Times New Roman" w:hAnsi="Times New Roman"/>
          <w:lang w:val="en-GB"/>
        </w:rPr>
      </w:pPr>
    </w:p>
    <w:p w14:paraId="18ABEF6F" w14:textId="77777777" w:rsidR="00EC68C5" w:rsidRPr="004C41C8" w:rsidRDefault="00EC68C5" w:rsidP="00EC68C5">
      <w:pPr>
        <w:spacing w:before="240" w:line="276" w:lineRule="auto"/>
        <w:jc w:val="center"/>
        <w:rPr>
          <w:rFonts w:ascii="Times New Roman" w:hAnsi="Times New Roman"/>
          <w:lang w:val="en-GB"/>
        </w:rPr>
      </w:pPr>
      <w:r w:rsidRPr="004C41C8">
        <w:rPr>
          <w:rFonts w:ascii="Times New Roman" w:hAnsi="Times New Roman"/>
          <w:noProof/>
        </w:rPr>
        <w:lastRenderedPageBreak/>
        <w:drawing>
          <wp:anchor distT="0" distB="0" distL="114300" distR="114300" simplePos="0" relativeHeight="251860992" behindDoc="0" locked="0" layoutInCell="1" allowOverlap="1" wp14:anchorId="0261236C" wp14:editId="63989DAE">
            <wp:simplePos x="0" y="0"/>
            <wp:positionH relativeFrom="margin">
              <wp:posOffset>-1274445</wp:posOffset>
            </wp:positionH>
            <wp:positionV relativeFrom="paragraph">
              <wp:posOffset>1741805</wp:posOffset>
            </wp:positionV>
            <wp:extent cx="8274685" cy="4823460"/>
            <wp:effectExtent l="0" t="7937" r="4127" b="4128"/>
            <wp:wrapTopAndBottom/>
            <wp:docPr id="693847087" name="Resim 693847087" descr="çizim, taslak, çocukların yaptığı resimler,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47087" name="Resim 693847087" descr="çizim, taslak, çocukların yaptığı resimler, metin içeren bir resim&#10;&#10;Açıklama otomatik olarak oluşturuldu"/>
                    <pic:cNvPicPr>
                      <a:picLocks noChangeAspect="1" noChangeArrowheads="1"/>
                    </pic:cNvPicPr>
                  </pic:nvPicPr>
                  <pic:blipFill>
                    <a:blip r:embed="rId178" cstate="email">
                      <a:extLst>
                        <a:ext uri="{28A0092B-C50C-407E-A947-70E740481C1C}">
                          <a14:useLocalDpi xmlns:a14="http://schemas.microsoft.com/office/drawing/2010/main"/>
                        </a:ext>
                      </a:extLst>
                    </a:blip>
                    <a:stretch>
                      <a:fillRect/>
                    </a:stretch>
                  </pic:blipFill>
                  <pic:spPr bwMode="auto">
                    <a:xfrm rot="5400000">
                      <a:off x="0" y="0"/>
                      <a:ext cx="8274685" cy="4823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41C8">
        <w:rPr>
          <w:rFonts w:ascii="Times New Roman" w:hAnsi="Times New Roman"/>
          <w:lang w:val="en-GB"/>
        </w:rPr>
        <w:t>Fig. 25 Chronological stages of construction on the plan.</w:t>
      </w:r>
    </w:p>
    <w:p w14:paraId="170D3025" w14:textId="77777777" w:rsidR="00EC68C5" w:rsidRDefault="00EC68C5" w:rsidP="00EC68C5">
      <w:pPr>
        <w:spacing w:line="276" w:lineRule="auto"/>
        <w:jc w:val="center"/>
        <w:rPr>
          <w:rFonts w:ascii="Times New Roman" w:eastAsia="Calibri" w:hAnsi="Times New Roman" w:cs="Times New Roman"/>
          <w:bCs/>
          <w:lang w:val="en-GB"/>
        </w:rPr>
      </w:pPr>
    </w:p>
    <w:p w14:paraId="6FFCC578" w14:textId="7EDAEDC5"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lastRenderedPageBreak/>
        <w:t xml:space="preserve">All the data pointed out above suggest that this section, which we call Block A, should be considered separately from the rest of the building </w:t>
      </w:r>
      <w:r w:rsidRPr="0067665C">
        <w:rPr>
          <w:rFonts w:ascii="Times New Roman" w:eastAsia="Calibri" w:hAnsi="Times New Roman" w:cs="Times New Roman"/>
          <w:lang w:val="en-GB"/>
        </w:rPr>
        <w:t>regarding</w:t>
      </w:r>
      <w:r w:rsidRPr="004C41C8">
        <w:rPr>
          <w:rFonts w:ascii="Times New Roman" w:hAnsi="Times New Roman"/>
          <w:lang w:val="en-GB"/>
        </w:rPr>
        <w:t xml:space="preserve"> chronology and planning. As can be seen from the steps that have survived on the bedrock, Block A, which was built first, constituting the entrance of the citadel, was probably built in an early period when writing was not yet used</w:t>
      </w:r>
      <w:r w:rsidRPr="0067665C">
        <w:rPr>
          <w:rFonts w:ascii="Times New Roman" w:eastAsia="Calibri" w:hAnsi="Times New Roman" w:cs="Times New Roman"/>
          <w:lang w:val="en-GB"/>
        </w:rPr>
        <w:t>;</w:t>
      </w:r>
      <w:r w:rsidRPr="004C41C8">
        <w:rPr>
          <w:rFonts w:ascii="Times New Roman" w:hAnsi="Times New Roman"/>
          <w:lang w:val="en-GB"/>
        </w:rPr>
        <w:t xml:space="preserve"> the steps, which start from inside Block A and reach the citadel, have survived to the present day because they were carved on the bedrock (Fig. 26). This is also important as it displays Ṭušpa</w:t>
      </w:r>
      <w:r w:rsidRPr="0067665C">
        <w:rPr>
          <w:rFonts w:ascii="Times New Roman" w:eastAsia="Calibri" w:hAnsi="Times New Roman" w:cs="Times New Roman"/>
          <w:lang w:val="en-GB"/>
        </w:rPr>
        <w:t> </w:t>
      </w:r>
      <w:r w:rsidRPr="00427476">
        <w:rPr>
          <w:rFonts w:asciiTheme="majorBidi" w:hAnsiTheme="majorBidi" w:cstheme="majorBidi"/>
          <w:lang w:val="en-GB"/>
        </w:rPr>
        <w:t xml:space="preserve"> </w:t>
      </w:r>
      <w:r w:rsidRPr="004C41C8">
        <w:rPr>
          <w:rFonts w:ascii="Times New Roman" w:hAnsi="Times New Roman"/>
          <w:lang w:val="en-GB"/>
        </w:rPr>
        <w:t>citadel was used extensively since the earliest periods of Urartu</w:t>
      </w:r>
      <w:r w:rsidRPr="0067665C">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(Işık &amp; Genç, 2012).</w:t>
      </w:r>
    </w:p>
    <w:p w14:paraId="4F30781E" w14:textId="77777777" w:rsidR="00EC68C5" w:rsidRPr="004C41C8" w:rsidRDefault="00EC68C5" w:rsidP="00EC68C5">
      <w:pPr>
        <w:spacing w:line="276" w:lineRule="auto"/>
        <w:jc w:val="center"/>
        <w:rPr>
          <w:rFonts w:ascii="Times New Roman" w:hAnsi="Times New Roman"/>
          <w:lang w:val="en-GB"/>
        </w:rPr>
      </w:pPr>
      <w:r w:rsidRPr="00CE54AB">
        <w:rPr>
          <w:rFonts w:ascii="Times New Roman" w:eastAsia="Calibri" w:hAnsi="Times New Roman" w:cs="Times New Roman"/>
          <w:bCs/>
          <w:noProof/>
        </w:rPr>
        <w:drawing>
          <wp:anchor distT="0" distB="0" distL="114300" distR="114300" simplePos="0" relativeHeight="251878400" behindDoc="0" locked="0" layoutInCell="1" allowOverlap="1" wp14:anchorId="70E605EF" wp14:editId="437E9DFB">
            <wp:simplePos x="0" y="0"/>
            <wp:positionH relativeFrom="margin">
              <wp:align>center</wp:align>
            </wp:positionH>
            <wp:positionV relativeFrom="paragraph">
              <wp:posOffset>15240</wp:posOffset>
            </wp:positionV>
            <wp:extent cx="5756910" cy="3849971"/>
            <wp:effectExtent l="19050" t="19050" r="15240" b="17780"/>
            <wp:wrapTopAndBottom/>
            <wp:docPr id="1820234255" name="Resim 1820234255" descr="C:\Users\Asus\Desktop\Sardurburç Düzeltme 2024 ocak\Hocaya gönderilen_08_08_2021\Figure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Desktop\Sardurburç Düzeltme 2024 ocak\Hocaya gönderilen_08_08_2021\Figures\26.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756910" cy="3849971"/>
                    </a:xfrm>
                    <a:prstGeom prst="rect">
                      <a:avLst/>
                    </a:prstGeom>
                    <a:noFill/>
                    <a:ln>
                      <a:solidFill>
                        <a:sysClr val="windowText" lastClr="000000"/>
                      </a:solidFill>
                    </a:ln>
                  </pic:spPr>
                </pic:pic>
              </a:graphicData>
            </a:graphic>
          </wp:anchor>
        </w:drawing>
      </w:r>
      <w:r w:rsidRPr="004C41C8">
        <w:rPr>
          <w:rFonts w:ascii="Times New Roman" w:hAnsi="Times New Roman"/>
          <w:lang w:val="en-GB"/>
        </w:rPr>
        <w:t xml:space="preserve">Fig. 26 The stairs leading to the citadel inside of the Block A. </w:t>
      </w:r>
    </w:p>
    <w:p w14:paraId="117CE38E" w14:textId="77777777" w:rsidR="00EC68C5" w:rsidRPr="004C41C8" w:rsidRDefault="00EC68C5" w:rsidP="00EC68C5">
      <w:pPr>
        <w:spacing w:line="276" w:lineRule="auto"/>
        <w:jc w:val="center"/>
        <w:rPr>
          <w:rFonts w:ascii="Times New Roman" w:hAnsi="Times New Roman"/>
          <w:b/>
          <w:lang w:val="en-GB"/>
        </w:rPr>
      </w:pPr>
    </w:p>
    <w:p w14:paraId="7F326B17"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 xml:space="preserve">The stone block visible in Fig. 27, which is understood to be the socket of a large door with a diameter of 46 cm, is noteworthy. This door shaft constitutes an </w:t>
      </w:r>
      <w:r w:rsidRPr="0067665C">
        <w:rPr>
          <w:rFonts w:ascii="Times New Roman" w:eastAsia="Calibri" w:hAnsi="Times New Roman" w:cs="Times New Roman"/>
          <w:lang w:val="en-GB"/>
        </w:rPr>
        <w:t>essential</w:t>
      </w:r>
      <w:r w:rsidRPr="004C41C8">
        <w:rPr>
          <w:rFonts w:ascii="Times New Roman" w:hAnsi="Times New Roman"/>
          <w:lang w:val="en-GB"/>
        </w:rPr>
        <w:t xml:space="preserve"> piece of data in determining the original ground level of the Sardurburç</w:t>
      </w:r>
      <w:r w:rsidRPr="0067665C">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structure. It can be thought that the entrance to Block A and</w:t>
      </w:r>
      <w:r w:rsidRPr="0067665C">
        <w:rPr>
          <w:rFonts w:ascii="Times New Roman" w:eastAsia="Calibri" w:hAnsi="Times New Roman" w:cs="Times New Roman"/>
          <w:lang w:val="en-GB"/>
        </w:rPr>
        <w:t>,</w:t>
      </w:r>
      <w:r w:rsidRPr="004C41C8">
        <w:rPr>
          <w:rFonts w:ascii="Times New Roman" w:hAnsi="Times New Roman"/>
          <w:lang w:val="en-GB"/>
        </w:rPr>
        <w:t xml:space="preserve"> therefore</w:t>
      </w:r>
      <w:r w:rsidRPr="0067665C">
        <w:rPr>
          <w:rFonts w:ascii="Times New Roman" w:eastAsia="Calibri" w:hAnsi="Times New Roman" w:cs="Times New Roman"/>
          <w:lang w:val="en-GB"/>
        </w:rPr>
        <w:t>,</w:t>
      </w:r>
      <w:r w:rsidRPr="004C41C8">
        <w:rPr>
          <w:rFonts w:ascii="Times New Roman" w:hAnsi="Times New Roman"/>
          <w:lang w:val="en-GB"/>
        </w:rPr>
        <w:t xml:space="preserve"> the citadel in the early periods may have been provided through this large door (Fig. 28). The steps and foundation </w:t>
      </w:r>
      <w:r w:rsidRPr="0067665C">
        <w:rPr>
          <w:rFonts w:ascii="Times New Roman" w:eastAsia="Calibri" w:hAnsi="Times New Roman" w:cs="Times New Roman"/>
          <w:lang w:val="en-GB"/>
        </w:rPr>
        <w:t>trace</w:t>
      </w:r>
      <w:r w:rsidRPr="004C41C8">
        <w:rPr>
          <w:rFonts w:ascii="Times New Roman" w:hAnsi="Times New Roman"/>
          <w:lang w:val="en-GB"/>
        </w:rPr>
        <w:t xml:space="preserve"> visible in the background support this assumption. The reason why Block B was built further north and away from Block C may be related to the use of the ramp or platform reaching this high entrance or door in Block A. It may be that during the later periods</w:t>
      </w:r>
      <w:r w:rsidRPr="0067665C">
        <w:rPr>
          <w:rFonts w:ascii="Times New Roman" w:eastAsia="Calibri" w:hAnsi="Times New Roman" w:cs="Times New Roman"/>
          <w:lang w:val="en-GB"/>
        </w:rPr>
        <w:t>,</w:t>
      </w:r>
      <w:r w:rsidRPr="004C41C8">
        <w:rPr>
          <w:rFonts w:ascii="Times New Roman" w:hAnsi="Times New Roman"/>
          <w:lang w:val="en-GB"/>
        </w:rPr>
        <w:t xml:space="preserve"> this passage continued to Blocks B and C</w:t>
      </w:r>
      <w:r w:rsidRPr="0067665C">
        <w:rPr>
          <w:rFonts w:ascii="Times New Roman" w:eastAsia="Calibri" w:hAnsi="Times New Roman" w:cs="Times New Roman"/>
          <w:lang w:val="en-GB"/>
        </w:rPr>
        <w:t>, which were</w:t>
      </w:r>
      <w:r w:rsidRPr="004C41C8">
        <w:rPr>
          <w:rFonts w:ascii="Times New Roman" w:hAnsi="Times New Roman"/>
          <w:lang w:val="en-GB"/>
        </w:rPr>
        <w:t xml:space="preserve"> added to the north. The stone block where the door shaft socket is located has been preserved close to its </w:t>
      </w:r>
      <w:r w:rsidRPr="00EB2684">
        <w:rPr>
          <w:rFonts w:ascii="Times New Roman" w:hAnsi="Times New Roman"/>
          <w:i/>
          <w:iCs/>
          <w:lang w:val="en-GB"/>
        </w:rPr>
        <w:t>in situ</w:t>
      </w:r>
      <w:r w:rsidRPr="004C41C8">
        <w:rPr>
          <w:rFonts w:ascii="Times New Roman" w:hAnsi="Times New Roman"/>
          <w:lang w:val="en-GB"/>
        </w:rPr>
        <w:t xml:space="preserve"> position, as can be understood from its location and arrangement pattern (Fig. 29).</w:t>
      </w:r>
    </w:p>
    <w:p w14:paraId="4C434D83" w14:textId="77777777" w:rsidR="00EC68C5" w:rsidRPr="004C41C8" w:rsidRDefault="00EC68C5" w:rsidP="00EC68C5">
      <w:pPr>
        <w:spacing w:line="276" w:lineRule="auto"/>
        <w:jc w:val="center"/>
        <w:rPr>
          <w:rFonts w:ascii="Times New Roman" w:hAnsi="Times New Roman"/>
          <w:lang w:val="en-GB"/>
        </w:rPr>
      </w:pPr>
      <w:r w:rsidRPr="00CE54AB">
        <w:rPr>
          <w:rFonts w:ascii="Times New Roman" w:eastAsia="Calibri" w:hAnsi="Times New Roman" w:cs="Times New Roman"/>
          <w:bCs/>
          <w:noProof/>
        </w:rPr>
        <w:lastRenderedPageBreak/>
        <w:drawing>
          <wp:anchor distT="0" distB="0" distL="114300" distR="114300" simplePos="0" relativeHeight="251880448" behindDoc="0" locked="0" layoutInCell="1" allowOverlap="1" wp14:anchorId="6B7F7F45" wp14:editId="15427926">
            <wp:simplePos x="0" y="0"/>
            <wp:positionH relativeFrom="column">
              <wp:posOffset>284480</wp:posOffset>
            </wp:positionH>
            <wp:positionV relativeFrom="paragraph">
              <wp:posOffset>4164330</wp:posOffset>
            </wp:positionV>
            <wp:extent cx="5092700" cy="4456430"/>
            <wp:effectExtent l="0" t="0" r="0" b="1270"/>
            <wp:wrapTopAndBottom/>
            <wp:docPr id="485803289" name="Resim 485803289" descr="diyagram, taslak, çizim,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50742" name="Resim 1064650742" descr="diyagram, taslak, çizim, beyaz içeren bir resim&#10;&#10;Açıklama otomatik olarak oluşturuldu"/>
                    <pic:cNvPicPr>
                      <a:picLocks noChangeAspect="1" noChangeArrowheads="1"/>
                    </pic:cNvPicPr>
                  </pic:nvPicPr>
                  <pic:blipFill>
                    <a:blip r:embed="rId180" cstate="email">
                      <a:extLst>
                        <a:ext uri="{28A0092B-C50C-407E-A947-70E740481C1C}">
                          <a14:useLocalDpi xmlns:a14="http://schemas.microsoft.com/office/drawing/2010/main"/>
                        </a:ext>
                      </a:extLst>
                    </a:blip>
                    <a:stretch>
                      <a:fillRect/>
                    </a:stretch>
                  </pic:blipFill>
                  <pic:spPr bwMode="auto">
                    <a:xfrm>
                      <a:off x="0" y="0"/>
                      <a:ext cx="5092700" cy="4456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54AB">
        <w:rPr>
          <w:rFonts w:ascii="Times New Roman" w:eastAsia="Calibri" w:hAnsi="Times New Roman" w:cs="Times New Roman"/>
          <w:bCs/>
          <w:noProof/>
        </w:rPr>
        <w:drawing>
          <wp:anchor distT="0" distB="0" distL="114300" distR="114300" simplePos="0" relativeHeight="251879424" behindDoc="0" locked="0" layoutInCell="1" allowOverlap="1" wp14:anchorId="322E5CAE" wp14:editId="37A649B1">
            <wp:simplePos x="0" y="0"/>
            <wp:positionH relativeFrom="margin">
              <wp:align>center</wp:align>
            </wp:positionH>
            <wp:positionV relativeFrom="paragraph">
              <wp:posOffset>0</wp:posOffset>
            </wp:positionV>
            <wp:extent cx="5756910" cy="3837940"/>
            <wp:effectExtent l="19050" t="19050" r="15240" b="10160"/>
            <wp:wrapTopAndBottom/>
            <wp:docPr id="1897289150" name="Resim 1897289150" descr="C:\Users\Asus\Desktop\Sardurburç Düzeltme 2024 ocak\Hocaya gönderilen_08_08_2021\Figure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esktop\Sardurburç Düzeltme 2024 ocak\Hocaya gönderilen_08_08_2021\Figures\27.JPG"/>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756910" cy="3837940"/>
                    </a:xfrm>
                    <a:prstGeom prst="rect">
                      <a:avLst/>
                    </a:prstGeom>
                    <a:noFill/>
                    <a:ln>
                      <a:solidFill>
                        <a:sysClr val="windowText" lastClr="000000"/>
                      </a:solidFill>
                    </a:ln>
                  </pic:spPr>
                </pic:pic>
              </a:graphicData>
            </a:graphic>
          </wp:anchor>
        </w:drawing>
      </w:r>
      <w:r w:rsidRPr="004C41C8">
        <w:rPr>
          <w:rFonts w:ascii="Times New Roman" w:hAnsi="Times New Roman"/>
          <w:lang w:val="en-GB"/>
        </w:rPr>
        <w:t>Fig. 27 A possible monumental door spindle slot.</w:t>
      </w:r>
    </w:p>
    <w:p w14:paraId="4D0173AE"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28 A restitution section of the stage 1 of the Block A.</w:t>
      </w:r>
    </w:p>
    <w:p w14:paraId="4BBFB2ED" w14:textId="77777777" w:rsidR="00EC68C5" w:rsidRPr="004C41C8" w:rsidRDefault="00EC68C5" w:rsidP="00EC68C5">
      <w:pPr>
        <w:spacing w:line="276" w:lineRule="auto"/>
        <w:jc w:val="center"/>
        <w:rPr>
          <w:rFonts w:ascii="Times New Roman" w:hAnsi="Times New Roman"/>
          <w:lang w:val="en-GB"/>
        </w:rPr>
      </w:pPr>
      <w:r w:rsidRPr="00CE54AB">
        <w:rPr>
          <w:rFonts w:ascii="Times New Roman" w:eastAsia="Calibri" w:hAnsi="Times New Roman" w:cs="Times New Roman"/>
          <w:bCs/>
          <w:noProof/>
        </w:rPr>
        <w:lastRenderedPageBreak/>
        <w:drawing>
          <wp:anchor distT="0" distB="0" distL="114300" distR="114300" simplePos="0" relativeHeight="251881472" behindDoc="0" locked="0" layoutInCell="1" allowOverlap="1" wp14:anchorId="0165D3E9" wp14:editId="3A7F457F">
            <wp:simplePos x="0" y="0"/>
            <wp:positionH relativeFrom="column">
              <wp:posOffset>14605</wp:posOffset>
            </wp:positionH>
            <wp:positionV relativeFrom="paragraph">
              <wp:posOffset>19050</wp:posOffset>
            </wp:positionV>
            <wp:extent cx="5756910" cy="4145261"/>
            <wp:effectExtent l="19050" t="19050" r="15240" b="27305"/>
            <wp:wrapTopAndBottom/>
            <wp:docPr id="2003720220" name="Resim 200372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756910" cy="4145261"/>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4C41C8">
        <w:rPr>
          <w:rFonts w:ascii="Times New Roman" w:hAnsi="Times New Roman"/>
          <w:lang w:val="en-GB"/>
        </w:rPr>
        <w:t xml:space="preserve">Fig. 29 </w:t>
      </w:r>
      <w:r w:rsidRPr="004C41C8">
        <w:rPr>
          <w:rFonts w:ascii="Times New Roman" w:hAnsi="Times New Roman"/>
          <w:i/>
          <w:lang w:val="en-GB"/>
        </w:rPr>
        <w:t>In situ</w:t>
      </w:r>
      <w:r w:rsidRPr="004C41C8">
        <w:rPr>
          <w:rFonts w:ascii="Times New Roman" w:hAnsi="Times New Roman"/>
          <w:lang w:val="en-GB"/>
        </w:rPr>
        <w:t xml:space="preserve"> position of the door spindle slot (Korfmann, 1977: Pl. 11-2).</w:t>
      </w:r>
    </w:p>
    <w:p w14:paraId="14400A56" w14:textId="77777777" w:rsidR="00EC68C5" w:rsidRPr="004C41C8" w:rsidRDefault="00EC68C5" w:rsidP="00EC68C5">
      <w:pPr>
        <w:spacing w:line="276" w:lineRule="auto"/>
        <w:jc w:val="both"/>
        <w:rPr>
          <w:rFonts w:ascii="Times New Roman" w:hAnsi="Times New Roman"/>
          <w:lang w:val="en-GB"/>
        </w:rPr>
      </w:pPr>
    </w:p>
    <w:p w14:paraId="77D94FB8" w14:textId="68DAD1E2"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 xml:space="preserve">After this first stage in which Block A was being used, new additions must have been made because of the increase in the </w:t>
      </w:r>
      <w:r w:rsidRPr="0067665C">
        <w:rPr>
          <w:rFonts w:ascii="Times New Roman" w:eastAsia="Calibri" w:hAnsi="Times New Roman" w:cs="Times New Roman"/>
          <w:lang w:val="en-GB"/>
        </w:rPr>
        <w:t xml:space="preserve">kingdom's </w:t>
      </w:r>
      <w:r w:rsidRPr="004C41C8">
        <w:rPr>
          <w:rFonts w:ascii="Times New Roman" w:hAnsi="Times New Roman"/>
          <w:lang w:val="en-GB"/>
        </w:rPr>
        <w:t>needs in the later periods when writing had begun to be practiced. However, since the construction of the Ṭušpa</w:t>
      </w:r>
      <w:r w:rsidRPr="0067665C">
        <w:rPr>
          <w:rFonts w:ascii="Times New Roman" w:eastAsia="Calibri" w:hAnsi="Times New Roman" w:cs="Times New Roman"/>
          <w:lang w:val="en-GB"/>
        </w:rPr>
        <w:t> </w:t>
      </w:r>
      <w:r w:rsidRPr="004C41C8">
        <w:rPr>
          <w:rFonts w:ascii="Times New Roman" w:hAnsi="Times New Roman"/>
          <w:lang w:val="en-GB"/>
        </w:rPr>
        <w:t>citadel developed in a certain way, stones must have been brought from the place known as "Alniunu</w:t>
      </w:r>
      <w:r w:rsidRPr="0067665C">
        <w:rPr>
          <w:rFonts w:ascii="Times New Roman" w:eastAsia="Calibri" w:hAnsi="Times New Roman" w:cs="Times New Roman"/>
          <w:lang w:val="en-GB"/>
        </w:rPr>
        <w:t>" to construct</w:t>
      </w:r>
      <w:r w:rsidRPr="004C41C8">
        <w:rPr>
          <w:rFonts w:ascii="Times New Roman" w:hAnsi="Times New Roman"/>
          <w:lang w:val="en-GB"/>
        </w:rPr>
        <w:t xml:space="preserve"> the B and C Blocks on which the inscriptions are located. It is understood that Block B was built in the second stage of this chronological development.</w:t>
      </w:r>
    </w:p>
    <w:p w14:paraId="66D434CF" w14:textId="77777777" w:rsidR="00EC68C5" w:rsidRPr="004C41C8" w:rsidRDefault="00EC68C5" w:rsidP="00EC68C5">
      <w:pPr>
        <w:keepNext/>
        <w:keepLines/>
        <w:spacing w:before="280" w:after="80" w:line="276" w:lineRule="auto"/>
        <w:outlineLvl w:val="3"/>
        <w:rPr>
          <w:rFonts w:ascii="Times New Roman" w:hAnsi="Times New Roman"/>
          <w:b/>
          <w:color w:val="0D0D0D"/>
          <w:szCs w:val="22"/>
          <w:lang w:val="en-GB"/>
        </w:rPr>
      </w:pPr>
      <w:r w:rsidRPr="004C41C8">
        <w:rPr>
          <w:rFonts w:ascii="Times New Roman" w:hAnsi="Times New Roman"/>
          <w:b/>
          <w:color w:val="0D0D0D"/>
          <w:szCs w:val="22"/>
          <w:lang w:val="en-GB"/>
        </w:rPr>
        <w:t>5.3.2. Block B</w:t>
      </w:r>
    </w:p>
    <w:p w14:paraId="75FAE9D9"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This section, located in the northernmost part of Sardurburç</w:t>
      </w:r>
      <w:r w:rsidRPr="0067665C">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was named Block B due to its place in chronological development (Fig. 34). There are </w:t>
      </w:r>
      <w:r w:rsidRPr="0067665C">
        <w:rPr>
          <w:rFonts w:ascii="Times New Roman" w:eastAsia="Calibri" w:hAnsi="Times New Roman" w:cs="Times New Roman"/>
          <w:lang w:val="en-GB"/>
        </w:rPr>
        <w:t>two</w:t>
      </w:r>
      <w:r w:rsidRPr="004C41C8">
        <w:rPr>
          <w:rFonts w:ascii="Times New Roman" w:hAnsi="Times New Roman"/>
          <w:lang w:val="en-GB"/>
        </w:rPr>
        <w:t xml:space="preserve"> inscriptions written in Assyrian</w:t>
      </w:r>
      <w:r w:rsidRPr="0067665C">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language and script on the western facade of Block B. The north and west facades of Block B and the south interior facade uniting with Block C were built with the overlay technique. </w:t>
      </w:r>
      <w:r w:rsidRPr="0067665C">
        <w:rPr>
          <w:rFonts w:ascii="Times New Roman" w:eastAsia="Calibri" w:hAnsi="Times New Roman" w:cs="Times New Roman"/>
          <w:lang w:val="en-GB"/>
        </w:rPr>
        <w:t>These</w:t>
      </w:r>
      <w:r w:rsidRPr="004C41C8">
        <w:rPr>
          <w:rFonts w:ascii="Times New Roman" w:hAnsi="Times New Roman"/>
          <w:lang w:val="en-GB"/>
        </w:rPr>
        <w:t xml:space="preserve"> facades</w:t>
      </w:r>
      <w:r w:rsidRPr="0067665C">
        <w:rPr>
          <w:rFonts w:ascii="Times New Roman" w:eastAsia="Calibri" w:hAnsi="Times New Roman" w:cs="Times New Roman"/>
          <w:lang w:val="en-GB"/>
        </w:rPr>
        <w:t xml:space="preserve"> show</w:t>
      </w:r>
      <w:r w:rsidRPr="004C41C8">
        <w:rPr>
          <w:rFonts w:ascii="Times New Roman" w:hAnsi="Times New Roman"/>
          <w:lang w:val="en-GB"/>
        </w:rPr>
        <w:t xml:space="preserve"> that the interior part, which faces south and joins with Block C just south of it, has been flattened so carefully that it cannot be the interior of a monoblock building (Fig. 30, 31, 32). It is interesting that the overlapping technique, which we witnessed at the north and west exterior facades, was also applied to this interior surface in the south (Fig. 33). The meticulous masonry on the junction surface and the overlay technique seen on the exterior facades are also seen on this interior elevation, indicating that this section of the </w:t>
      </w:r>
      <w:r w:rsidRPr="004C41C8">
        <w:rPr>
          <w:rFonts w:ascii="Times New Roman" w:hAnsi="Times New Roman"/>
          <w:lang w:val="en-GB"/>
        </w:rPr>
        <w:lastRenderedPageBreak/>
        <w:t>Sardurburç structure (Block B) was built in the second intermediate phase after Block A and before Block C (See Fig. 25).</w:t>
      </w:r>
      <w:r w:rsidRPr="0067665C">
        <w:rPr>
          <w:rFonts w:ascii="Times New Roman" w:eastAsia="Calibri" w:hAnsi="Times New Roman" w:cs="Times New Roman"/>
          <w:noProof/>
          <w:lang w:val="en-GB"/>
        </w:rPr>
        <w:drawing>
          <wp:anchor distT="0" distB="0" distL="114300" distR="114300" simplePos="0" relativeHeight="251882496" behindDoc="0" locked="0" layoutInCell="1" allowOverlap="1" wp14:anchorId="3F99E74A" wp14:editId="0E4AD222">
            <wp:simplePos x="0" y="0"/>
            <wp:positionH relativeFrom="margin">
              <wp:posOffset>19685</wp:posOffset>
            </wp:positionH>
            <wp:positionV relativeFrom="paragraph">
              <wp:posOffset>531202</wp:posOffset>
            </wp:positionV>
            <wp:extent cx="5756910" cy="3481470"/>
            <wp:effectExtent l="19050" t="19050" r="15240" b="24130"/>
            <wp:wrapTopAndBottom/>
            <wp:docPr id="1979751663" name="Resim 1979751663" descr="C:\Users\Asus\Desktop\Sardurburç Düzeltme 2024 ocak\Hocaya gönderilen_08_08_2021\Figure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Desktop\Sardurburç Düzeltme 2024 ocak\Hocaya gönderilen_08_08_2021\Figures\30.jp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756910" cy="348147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5EA2551" w14:textId="77777777" w:rsidR="00EC68C5" w:rsidRPr="00F03A26" w:rsidRDefault="00EC68C5" w:rsidP="00EC68C5">
      <w:pPr>
        <w:spacing w:line="276" w:lineRule="auto"/>
        <w:jc w:val="both"/>
        <w:rPr>
          <w:rFonts w:asciiTheme="majorBidi" w:hAnsiTheme="majorBidi" w:cstheme="majorBidi"/>
          <w:bCs/>
          <w:lang w:val="en-GB"/>
        </w:rPr>
      </w:pPr>
      <w:r w:rsidRPr="00F03A26">
        <w:rPr>
          <w:rFonts w:asciiTheme="majorBidi" w:hAnsiTheme="majorBidi" w:cstheme="majorBidi"/>
          <w:bCs/>
          <w:lang w:val="en-GB"/>
        </w:rPr>
        <w:t>Fig. 30 The interface surface between Block B and C.</w:t>
      </w:r>
    </w:p>
    <w:p w14:paraId="72A65516" w14:textId="77777777" w:rsidR="00EC68C5" w:rsidRDefault="00EC68C5" w:rsidP="00EC68C5">
      <w:pPr>
        <w:spacing w:line="276" w:lineRule="auto"/>
        <w:jc w:val="center"/>
        <w:rPr>
          <w:rFonts w:ascii="Times New Roman" w:eastAsia="Calibri" w:hAnsi="Times New Roman" w:cs="Times New Roman"/>
          <w:b/>
          <w:lang w:val="en-GB"/>
        </w:rPr>
      </w:pPr>
    </w:p>
    <w:p w14:paraId="721B23D3" w14:textId="77777777" w:rsidR="00EC68C5" w:rsidRPr="00CE54AB" w:rsidRDefault="00EC68C5" w:rsidP="00EC68C5">
      <w:pPr>
        <w:spacing w:line="276" w:lineRule="auto"/>
        <w:jc w:val="center"/>
        <w:rPr>
          <w:rFonts w:ascii="Times New Roman" w:eastAsia="Calibri" w:hAnsi="Times New Roman" w:cs="Times New Roman"/>
          <w:b/>
          <w:lang w:val="en-GB"/>
        </w:rPr>
      </w:pPr>
      <w:r w:rsidRPr="00CE54AB">
        <w:rPr>
          <w:rFonts w:ascii="Times New Roman" w:eastAsia="Calibri" w:hAnsi="Times New Roman" w:cs="Times New Roman"/>
          <w:b/>
          <w:noProof/>
        </w:rPr>
        <w:drawing>
          <wp:inline distT="0" distB="0" distL="0" distR="0" wp14:anchorId="676C2A6E" wp14:editId="3BA4B420">
            <wp:extent cx="5756910" cy="3836319"/>
            <wp:effectExtent l="19050" t="19050" r="15240" b="12065"/>
            <wp:docPr id="548158502" name="Resim 548158502" descr="C:\Users\Asus\Desktop\Sardurburç Düzeltme 2024 ocak\Hocaya gönderilen_08_08_2021\Figures\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Desktop\Sardurburç Düzeltme 2024 ocak\Hocaya gönderilen_08_08_2021\Figures\31.jpeg"/>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756910" cy="3836319"/>
                    </a:xfrm>
                    <a:prstGeom prst="rect">
                      <a:avLst/>
                    </a:prstGeom>
                    <a:noFill/>
                    <a:ln>
                      <a:solidFill>
                        <a:sysClr val="windowText" lastClr="000000"/>
                      </a:solidFill>
                    </a:ln>
                  </pic:spPr>
                </pic:pic>
              </a:graphicData>
            </a:graphic>
          </wp:inline>
        </w:drawing>
      </w:r>
    </w:p>
    <w:p w14:paraId="163A5901"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31 Close-up top view of the joining surface between blocks B and C.</w:t>
      </w:r>
    </w:p>
    <w:p w14:paraId="57753EDF" w14:textId="77777777" w:rsidR="00EC68C5" w:rsidRPr="004C41C8" w:rsidRDefault="00EC68C5" w:rsidP="00EC68C5">
      <w:pPr>
        <w:spacing w:line="276" w:lineRule="auto"/>
        <w:jc w:val="center"/>
        <w:rPr>
          <w:rFonts w:ascii="Times New Roman" w:hAnsi="Times New Roman"/>
          <w:b/>
          <w:lang w:val="en-GB"/>
        </w:rPr>
      </w:pPr>
    </w:p>
    <w:p w14:paraId="47F9E41A" w14:textId="77777777" w:rsidR="00EC68C5" w:rsidRPr="004C41C8" w:rsidRDefault="00EC68C5" w:rsidP="00EC68C5">
      <w:pPr>
        <w:spacing w:line="276" w:lineRule="auto"/>
        <w:jc w:val="center"/>
        <w:rPr>
          <w:rFonts w:ascii="Times New Roman" w:hAnsi="Times New Roman"/>
          <w:b/>
          <w:lang w:val="en-GB"/>
        </w:rPr>
      </w:pPr>
    </w:p>
    <w:p w14:paraId="58B09348" w14:textId="77777777" w:rsidR="00EC68C5" w:rsidRPr="004C41C8" w:rsidRDefault="00EC68C5" w:rsidP="00EC68C5">
      <w:pPr>
        <w:spacing w:line="276" w:lineRule="auto"/>
        <w:jc w:val="center"/>
        <w:rPr>
          <w:rFonts w:ascii="Times New Roman" w:hAnsi="Times New Roman"/>
          <w:b/>
          <w:lang w:val="en-GB"/>
        </w:rPr>
      </w:pPr>
    </w:p>
    <w:p w14:paraId="090F2932" w14:textId="77777777" w:rsidR="00EC68C5" w:rsidRPr="00CE54AB" w:rsidRDefault="00EC68C5" w:rsidP="00EC68C5">
      <w:pPr>
        <w:spacing w:line="276" w:lineRule="auto"/>
        <w:jc w:val="center"/>
        <w:rPr>
          <w:rFonts w:ascii="Times New Roman" w:eastAsia="Calibri" w:hAnsi="Times New Roman" w:cs="Times New Roman"/>
          <w:b/>
          <w:lang w:val="en-GB"/>
        </w:rPr>
      </w:pPr>
      <w:r w:rsidRPr="00CE54AB">
        <w:rPr>
          <w:rFonts w:ascii="Times New Roman" w:eastAsia="Calibri" w:hAnsi="Times New Roman" w:cs="Times New Roman"/>
          <w:b/>
          <w:noProof/>
        </w:rPr>
        <w:drawing>
          <wp:inline distT="0" distB="0" distL="0" distR="0" wp14:anchorId="389EF443" wp14:editId="450D7080">
            <wp:extent cx="5756910" cy="3836319"/>
            <wp:effectExtent l="19050" t="19050" r="15240" b="12065"/>
            <wp:docPr id="40057528" name="Resim 40057528" descr="C:\Users\Asus\Desktop\Sardurburç Düzeltme 2024 ocak\Hocaya gönderilen_08_08_2021\Figures\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Desktop\Sardurburç Düzeltme 2024 ocak\Hocaya gönderilen_08_08_2021\Figures\32.jpeg"/>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5756910" cy="3836319"/>
                    </a:xfrm>
                    <a:prstGeom prst="rect">
                      <a:avLst/>
                    </a:prstGeom>
                    <a:noFill/>
                    <a:ln>
                      <a:solidFill>
                        <a:sysClr val="windowText" lastClr="000000"/>
                      </a:solidFill>
                    </a:ln>
                  </pic:spPr>
                </pic:pic>
              </a:graphicData>
            </a:graphic>
          </wp:inline>
        </w:drawing>
      </w:r>
    </w:p>
    <w:p w14:paraId="25AC1631" w14:textId="77777777" w:rsidR="00EC68C5" w:rsidRPr="004C41C8" w:rsidRDefault="00EC68C5" w:rsidP="00EC68C5">
      <w:pPr>
        <w:spacing w:line="276" w:lineRule="auto"/>
        <w:jc w:val="center"/>
        <w:rPr>
          <w:rFonts w:ascii="Times New Roman" w:hAnsi="Times New Roman"/>
          <w:lang w:val="en-GB"/>
        </w:rPr>
      </w:pPr>
      <w:r w:rsidRPr="00CE54AB">
        <w:rPr>
          <w:rFonts w:ascii="Times New Roman" w:eastAsia="Calibri" w:hAnsi="Times New Roman" w:cs="Times New Roman"/>
          <w:bCs/>
          <w:noProof/>
        </w:rPr>
        <w:drawing>
          <wp:anchor distT="0" distB="0" distL="114300" distR="114300" simplePos="0" relativeHeight="251883520" behindDoc="0" locked="0" layoutInCell="1" allowOverlap="1" wp14:anchorId="2FA1C740" wp14:editId="6C65B98A">
            <wp:simplePos x="0" y="0"/>
            <wp:positionH relativeFrom="margin">
              <wp:posOffset>1905</wp:posOffset>
            </wp:positionH>
            <wp:positionV relativeFrom="paragraph">
              <wp:posOffset>272415</wp:posOffset>
            </wp:positionV>
            <wp:extent cx="5756910" cy="3841750"/>
            <wp:effectExtent l="19050" t="19050" r="15240" b="25400"/>
            <wp:wrapTopAndBottom/>
            <wp:docPr id="1763175187" name="Resim 1763175187" descr="C:\Users\Asus\Desktop\Sardurburç Düzeltme 2024 ocak\Hocaya gönderilen_08_08_2021\Figur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Desktop\Sardurburç Düzeltme 2024 ocak\Hocaya gönderilen_08_08_2021\Figures\33.jpg"/>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756910" cy="3841750"/>
                    </a:xfrm>
                    <a:prstGeom prst="rect">
                      <a:avLst/>
                    </a:prstGeom>
                    <a:noFill/>
                    <a:ln>
                      <a:solidFill>
                        <a:sysClr val="windowText" lastClr="000000"/>
                      </a:solidFill>
                    </a:ln>
                  </pic:spPr>
                </pic:pic>
              </a:graphicData>
            </a:graphic>
          </wp:anchor>
        </w:drawing>
      </w:r>
      <w:r w:rsidRPr="004C41C8">
        <w:rPr>
          <w:rFonts w:ascii="Times New Roman" w:hAnsi="Times New Roman"/>
          <w:lang w:val="en-GB"/>
        </w:rPr>
        <w:t>Fig. 32 Flattened combining surface between B and C Blocks.</w:t>
      </w:r>
    </w:p>
    <w:p w14:paraId="55DC2406"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33 The flattened joining surface between Blocks B and C and the construction of the later wall over the earlier one.</w:t>
      </w:r>
    </w:p>
    <w:p w14:paraId="795EEC4B" w14:textId="77777777" w:rsidR="00EC68C5" w:rsidRPr="004C41C8" w:rsidRDefault="00EC68C5" w:rsidP="00EC68C5">
      <w:pPr>
        <w:spacing w:line="276" w:lineRule="auto"/>
        <w:jc w:val="both"/>
        <w:rPr>
          <w:rFonts w:ascii="Times New Roman" w:hAnsi="Times New Roman"/>
          <w:lang w:val="en-GB"/>
        </w:rPr>
      </w:pPr>
    </w:p>
    <w:p w14:paraId="499BEB96" w14:textId="5A02F3AC" w:rsidR="00EC68C5" w:rsidRPr="004C41C8" w:rsidRDefault="00EC68C5" w:rsidP="00CD3D5E">
      <w:pPr>
        <w:jc w:val="both"/>
        <w:rPr>
          <w:rFonts w:ascii="Times New Roman" w:hAnsi="Times New Roman"/>
          <w:lang w:val="en-GB"/>
        </w:rPr>
      </w:pPr>
      <w:r w:rsidRPr="004C41C8">
        <w:rPr>
          <w:rFonts w:ascii="Times New Roman" w:hAnsi="Times New Roman"/>
          <w:lang w:val="en-GB"/>
        </w:rPr>
        <w:t xml:space="preserve">It can be assumed that a new unplanned need emerged in direct proportion to </w:t>
      </w:r>
      <w:r w:rsidRPr="0067665C">
        <w:rPr>
          <w:rFonts w:ascii="Times New Roman" w:eastAsia="Calibri" w:hAnsi="Times New Roman" w:cs="Times New Roman"/>
          <w:lang w:val="en-GB"/>
        </w:rPr>
        <w:t>establishing</w:t>
      </w:r>
      <w:r w:rsidRPr="004C41C8">
        <w:rPr>
          <w:rFonts w:ascii="Times New Roman" w:hAnsi="Times New Roman"/>
          <w:lang w:val="en-GB"/>
        </w:rPr>
        <w:t xml:space="preserve"> the kingdom and its increasing power in this second intermediate construction phase while the citadel was being built. We understand that this is also when Urartians</w:t>
      </w:r>
      <w:r w:rsidRPr="0067665C">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Urartians</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started to use writing. Considering that the citadel was now in active use, </w:t>
      </w:r>
      <w:r w:rsidRPr="0067665C">
        <w:rPr>
          <w:rFonts w:ascii="Times New Roman" w:eastAsia="Calibri" w:hAnsi="Times New Roman" w:cs="Times New Roman"/>
          <w:lang w:val="en-GB"/>
        </w:rPr>
        <w:t>bringing</w:t>
      </w:r>
      <w:r w:rsidRPr="004C41C8">
        <w:rPr>
          <w:rFonts w:ascii="Times New Roman" w:hAnsi="Times New Roman"/>
          <w:lang w:val="en-GB"/>
        </w:rPr>
        <w:t xml:space="preserve"> these monumental stones from a different place</w:t>
      </w:r>
      <w:r w:rsidRPr="0067665C">
        <w:rPr>
          <w:rFonts w:ascii="Times New Roman" w:eastAsia="Calibri" w:hAnsi="Times New Roman" w:cs="Times New Roman"/>
          <w:lang w:val="en-GB"/>
        </w:rPr>
        <w:t xml:space="preserve"> was necessary.</w:t>
      </w:r>
      <w:r w:rsidRPr="004C41C8">
        <w:rPr>
          <w:rFonts w:ascii="Times New Roman" w:hAnsi="Times New Roman"/>
          <w:lang w:val="en-GB"/>
        </w:rPr>
        <w:t xml:space="preserve"> This development, the earliest Urartian</w:t>
      </w:r>
      <w:r w:rsidRPr="0067665C">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royal building activity, was significant</w:t>
      </w:r>
      <w:r w:rsidRPr="0067665C">
        <w:rPr>
          <w:rFonts w:ascii="Times New Roman" w:eastAsia="Calibri" w:hAnsi="Times New Roman" w:cs="Times New Roman"/>
          <w:lang w:val="en-GB"/>
        </w:rPr>
        <w:t>. As</w:t>
      </w:r>
      <w:r w:rsidRPr="004C41C8">
        <w:rPr>
          <w:rFonts w:ascii="Times New Roman" w:hAnsi="Times New Roman"/>
          <w:lang w:val="en-GB"/>
        </w:rPr>
        <w:t xml:space="preserve"> it also reflected the </w:t>
      </w:r>
      <w:r w:rsidRPr="0067665C">
        <w:rPr>
          <w:rFonts w:ascii="Times New Roman" w:eastAsia="Calibri" w:hAnsi="Times New Roman" w:cs="Times New Roman"/>
          <w:lang w:val="en-GB"/>
        </w:rPr>
        <w:t xml:space="preserve">kingdom's </w:t>
      </w:r>
      <w:r w:rsidRPr="004C41C8">
        <w:rPr>
          <w:rFonts w:ascii="Times New Roman" w:hAnsi="Times New Roman"/>
          <w:lang w:val="en-GB"/>
        </w:rPr>
        <w:t xml:space="preserve">strength, they must have felt the need to indicate it in the inscriptions. In addition, since inscriptions </w:t>
      </w:r>
      <w:r w:rsidRPr="0067665C">
        <w:rPr>
          <w:rFonts w:ascii="Times New Roman" w:eastAsia="Calibri" w:hAnsi="Times New Roman" w:cs="Times New Roman"/>
          <w:lang w:val="en-GB"/>
        </w:rPr>
        <w:t>symbolize</w:t>
      </w:r>
      <w:r w:rsidRPr="004C41C8">
        <w:rPr>
          <w:rFonts w:ascii="Times New Roman" w:hAnsi="Times New Roman"/>
          <w:lang w:val="en-GB"/>
        </w:rPr>
        <w:t xml:space="preserve"> sovereignty, it would not be wrong to think that the Urartian king Sarduri</w:t>
      </w:r>
      <w:r w:rsidRPr="0067665C">
        <w:rPr>
          <w:rFonts w:ascii="Times New Roman" w:eastAsia="Calibri" w:hAnsi="Times New Roman" w:cs="Times New Roman"/>
          <w:lang w:val="en-GB"/>
        </w:rPr>
        <w:t> </w:t>
      </w:r>
      <w:r w:rsidRPr="004C41C8">
        <w:rPr>
          <w:rFonts w:ascii="Times New Roman" w:hAnsi="Times New Roman"/>
          <w:lang w:val="en-GB"/>
        </w:rPr>
        <w:t>I</w:t>
      </w:r>
      <w:r w:rsidR="00C1513A">
        <w:rPr>
          <w:rFonts w:ascii="Times New Roman" w:hAnsi="Times New Roman"/>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imes New Roman" w:hAnsi="Times New Roman"/>
          <w:lang w:val="en-GB"/>
        </w:rPr>
        <w:fldChar w:fldCharType="end"/>
      </w:r>
      <w:r w:rsidRPr="0067665C">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Sarduri 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declared his independence and the establishment of his kingdom with these inscriptions. In this way, we can say that the western part of the citadel</w:t>
      </w:r>
      <w:r w:rsidRPr="0067665C">
        <w:rPr>
          <w:rFonts w:ascii="Times New Roman" w:eastAsia="Calibri" w:hAnsi="Times New Roman" w:cs="Times New Roman"/>
          <w:lang w:val="en-GB"/>
        </w:rPr>
        <w:t>, especially,</w:t>
      </w:r>
      <w:r w:rsidRPr="004C41C8">
        <w:rPr>
          <w:rFonts w:ascii="Times New Roman" w:hAnsi="Times New Roman"/>
          <w:lang w:val="en-GB"/>
        </w:rPr>
        <w:t xml:space="preserve"> started to be used from the earliest periods of Urartu</w:t>
      </w:r>
      <w:r w:rsidRPr="0067665C">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Among the inscriptions found on Block B, there is a clear difference between CTU I. A 1-1A and others in terms of typeface and craftsmanship, but not in terms of content. This difference between the inscriptions also supports the chronological development theory in architecture.</w:t>
      </w:r>
    </w:p>
    <w:p w14:paraId="7DA9BA5F" w14:textId="77777777" w:rsidR="00EC68C5" w:rsidRPr="004C41C8" w:rsidRDefault="00EC68C5" w:rsidP="00EC68C5">
      <w:pPr>
        <w:keepNext/>
        <w:keepLines/>
        <w:spacing w:before="280" w:after="80" w:line="276" w:lineRule="auto"/>
        <w:outlineLvl w:val="3"/>
        <w:rPr>
          <w:rFonts w:ascii="Times New Roman" w:hAnsi="Times New Roman"/>
          <w:b/>
          <w:color w:val="0D0D0D"/>
          <w:szCs w:val="22"/>
          <w:lang w:val="en-GB"/>
        </w:rPr>
      </w:pPr>
      <w:bookmarkStart w:id="80" w:name="_Toc132072523"/>
      <w:r w:rsidRPr="004C41C8">
        <w:rPr>
          <w:rFonts w:ascii="Times New Roman" w:hAnsi="Times New Roman"/>
          <w:b/>
          <w:color w:val="0D0D0D"/>
          <w:szCs w:val="22"/>
          <w:lang w:val="en-GB"/>
        </w:rPr>
        <w:t>5.3.3. Block C</w:t>
      </w:r>
      <w:bookmarkEnd w:id="80"/>
    </w:p>
    <w:p w14:paraId="735FC964" w14:textId="77777777" w:rsidR="00EC68C5" w:rsidRPr="004C41C8" w:rsidRDefault="00EC68C5" w:rsidP="00EC68C5">
      <w:pPr>
        <w:spacing w:line="276" w:lineRule="auto"/>
        <w:jc w:val="both"/>
        <w:rPr>
          <w:rFonts w:ascii="Times New Roman" w:hAnsi="Times New Roman"/>
          <w:lang w:val="en-GB"/>
        </w:rPr>
      </w:pPr>
    </w:p>
    <w:p w14:paraId="3CBDFD56" w14:textId="52051C53" w:rsidR="00EC68C5" w:rsidRPr="004C41C8" w:rsidRDefault="00EC68C5" w:rsidP="00EC68C5">
      <w:pPr>
        <w:spacing w:line="276" w:lineRule="auto"/>
        <w:jc w:val="both"/>
        <w:rPr>
          <w:rFonts w:ascii="Times New Roman" w:hAnsi="Times New Roman"/>
          <w:lang w:val="en-GB"/>
        </w:rPr>
      </w:pPr>
      <w:r w:rsidRPr="00CE54AB">
        <w:rPr>
          <w:rFonts w:ascii="Times New Roman" w:eastAsia="Calibri" w:hAnsi="Times New Roman" w:cs="Times New Roman"/>
          <w:noProof/>
        </w:rPr>
        <w:drawing>
          <wp:anchor distT="0" distB="0" distL="114300" distR="114300" simplePos="0" relativeHeight="251884544" behindDoc="0" locked="0" layoutInCell="1" allowOverlap="1" wp14:anchorId="158BD46D" wp14:editId="306125A7">
            <wp:simplePos x="0" y="0"/>
            <wp:positionH relativeFrom="margin">
              <wp:posOffset>805180</wp:posOffset>
            </wp:positionH>
            <wp:positionV relativeFrom="paragraph">
              <wp:posOffset>1974215</wp:posOffset>
            </wp:positionV>
            <wp:extent cx="3895725" cy="2601595"/>
            <wp:effectExtent l="12700" t="12700" r="15875" b="14605"/>
            <wp:wrapTopAndBottom/>
            <wp:docPr id="1617352310" name="Resim 1617352310" descr="C:\Users\Asus\Desktop\Sardurburç Düzeltme 2024 ocak\Hocaya gönderilen_08_08_2021\Figure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Desktop\Sardurburç Düzeltme 2024 ocak\Hocaya gönderilen_08_08_2021\Figures\34.jpg"/>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3895725" cy="26015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67665C">
        <w:rPr>
          <w:rFonts w:ascii="Times New Roman" w:eastAsia="Calibri" w:hAnsi="Times New Roman" w:cs="Times New Roman"/>
          <w:noProof/>
        </w:rPr>
        <w:t>It is</w:t>
      </w:r>
      <w:r w:rsidRPr="004C41C8">
        <w:rPr>
          <w:rFonts w:ascii="Times New Roman" w:hAnsi="Times New Roman"/>
          <w:lang w:val="en-US"/>
        </w:rPr>
        <w:t xml:space="preserve"> likely that the time between </w:t>
      </w:r>
      <w:r w:rsidRPr="0067665C">
        <w:rPr>
          <w:rFonts w:ascii="Times New Roman" w:eastAsia="Calibri" w:hAnsi="Times New Roman" w:cs="Times New Roman"/>
          <w:noProof/>
        </w:rPr>
        <w:t>the Sardurburç structure's</w:t>
      </w:r>
      <w:r w:rsidRPr="004C41C8">
        <w:rPr>
          <w:rFonts w:ascii="Times New Roman" w:hAnsi="Times New Roman"/>
          <w:lang w:val="en-US"/>
        </w:rPr>
        <w:t xml:space="preserve"> construction phases </w:t>
      </w:r>
      <w:r w:rsidRPr="00427476">
        <w:rPr>
          <w:rFonts w:asciiTheme="majorBidi" w:hAnsiTheme="majorBidi" w:cstheme="majorBidi"/>
          <w:lang w:val="en-GB"/>
        </w:rPr>
        <w:t>Sardurburç</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US"/>
        </w:rPr>
        <w:t>was rather short and that they all took place within the reign of Sarduri</w:t>
      </w:r>
      <w:r w:rsidRPr="0067665C">
        <w:rPr>
          <w:rFonts w:ascii="Times New Roman" w:eastAsia="Calibri" w:hAnsi="Times New Roman" w:cs="Times New Roman"/>
          <w:noProof/>
        </w:rPr>
        <w:t> </w:t>
      </w:r>
      <w:r w:rsidRPr="004C41C8">
        <w:rPr>
          <w:rFonts w:ascii="Times New Roman" w:hAnsi="Times New Roman"/>
          <w:lang w:val="en-US"/>
        </w:rPr>
        <w:t>I</w:t>
      </w:r>
      <w:r w:rsidR="00C1513A">
        <w:rPr>
          <w:rFonts w:ascii="Times New Roman" w:hAnsi="Times New Roman"/>
          <w:lang w:val="en-US"/>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imes New Roman" w:hAnsi="Times New Roman"/>
          <w:lang w:val="en-US"/>
        </w:rPr>
        <w:fldChar w:fldCharType="end"/>
      </w:r>
      <w:r w:rsidRPr="0067665C">
        <w:rPr>
          <w:rFonts w:ascii="Times New Roman" w:eastAsia="Calibri" w:hAnsi="Times New Roman" w:cs="Times New Roman"/>
          <w:noProof/>
        </w:rPr>
        <w:t> </w:t>
      </w:r>
      <w:r w:rsidRPr="004C41C8">
        <w:rPr>
          <w:rFonts w:ascii="Times New Roman" w:hAnsi="Times New Roman"/>
          <w:lang w:val="en-US"/>
        </w:rPr>
        <w:t xml:space="preserve">through chronological development. The latest data </w:t>
      </w:r>
      <w:r w:rsidRPr="0067665C">
        <w:rPr>
          <w:rFonts w:ascii="Times New Roman" w:eastAsia="Calibri" w:hAnsi="Times New Roman" w:cs="Times New Roman"/>
          <w:noProof/>
        </w:rPr>
        <w:t>set</w:t>
      </w:r>
      <w:r w:rsidRPr="004C41C8">
        <w:rPr>
          <w:rFonts w:ascii="Times New Roman" w:hAnsi="Times New Roman"/>
          <w:lang w:val="en-US"/>
        </w:rPr>
        <w:t xml:space="preserve"> above suggests that Block C, located between Block A to its south and B to its north, was built in the final phase. The most </w:t>
      </w:r>
      <w:r w:rsidRPr="0067665C">
        <w:rPr>
          <w:rFonts w:ascii="Times New Roman" w:eastAsia="Calibri" w:hAnsi="Times New Roman" w:cs="Times New Roman"/>
          <w:noProof/>
        </w:rPr>
        <w:t>critical</w:t>
      </w:r>
      <w:r w:rsidRPr="004C41C8">
        <w:rPr>
          <w:rFonts w:ascii="Times New Roman" w:hAnsi="Times New Roman"/>
          <w:lang w:val="en-US"/>
        </w:rPr>
        <w:t xml:space="preserve"> data suggesting that Block C was built in the last phase is the application of the overlay technique in its interior</w:t>
      </w:r>
      <w:r w:rsidRPr="0067665C">
        <w:rPr>
          <w:rFonts w:ascii="Times New Roman" w:eastAsia="Calibri" w:hAnsi="Times New Roman" w:cs="Times New Roman"/>
          <w:noProof/>
        </w:rPr>
        <w:t>. In contrast,</w:t>
      </w:r>
      <w:r w:rsidRPr="004C41C8">
        <w:rPr>
          <w:rFonts w:ascii="Times New Roman" w:hAnsi="Times New Roman"/>
          <w:lang w:val="en-US"/>
        </w:rPr>
        <w:t xml:space="preserve"> we encounter this technique only </w:t>
      </w:r>
      <w:r w:rsidRPr="0067665C">
        <w:rPr>
          <w:rFonts w:ascii="Times New Roman" w:eastAsia="Calibri" w:hAnsi="Times New Roman" w:cs="Times New Roman"/>
          <w:noProof/>
        </w:rPr>
        <w:t>in</w:t>
      </w:r>
      <w:r w:rsidRPr="004C41C8">
        <w:rPr>
          <w:rFonts w:ascii="Times New Roman" w:hAnsi="Times New Roman"/>
          <w:lang w:val="en-US"/>
        </w:rPr>
        <w:t xml:space="preserve"> the exteriors of Sardurburç and other structures of Ṭušpa</w:t>
      </w:r>
      <w:r w:rsidRPr="0067665C">
        <w:rPr>
          <w:rFonts w:ascii="Times New Roman" w:eastAsia="Calibri" w:hAnsi="Times New Roman" w:cs="Times New Roman"/>
          <w:noProof/>
        </w:rPr>
        <w:t>.</w:t>
      </w:r>
      <w:r w:rsidRPr="004C41C8">
        <w:rPr>
          <w:rFonts w:ascii="Times New Roman" w:hAnsi="Times New Roman"/>
          <w:lang w:val="en-US"/>
        </w:rPr>
        <w:t xml:space="preserve"> Block C sits on Block B in the north and Block A in the south (Fig. 34, 35). As a result of the increasing needs in this last phase, it was aimed to combine B Block and A Block</w:t>
      </w:r>
      <w:r w:rsidRPr="004C41C8">
        <w:rPr>
          <w:rFonts w:ascii="Times New Roman" w:hAnsi="Times New Roman"/>
          <w:lang w:val="en-GB"/>
        </w:rPr>
        <w:t>.</w:t>
      </w:r>
    </w:p>
    <w:p w14:paraId="5FAC9765" w14:textId="77777777" w:rsidR="00EC68C5" w:rsidRPr="00CE54AB" w:rsidRDefault="00EC68C5" w:rsidP="00EC68C5">
      <w:pPr>
        <w:spacing w:line="276" w:lineRule="auto"/>
        <w:jc w:val="both"/>
        <w:rPr>
          <w:rFonts w:ascii="Times New Roman" w:eastAsia="Calibri" w:hAnsi="Times New Roman" w:cs="Times New Roman"/>
          <w:lang w:val="en-GB"/>
        </w:rPr>
      </w:pPr>
    </w:p>
    <w:p w14:paraId="7B38DEA5"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34 Superimposed facades Block B and C.</w:t>
      </w:r>
    </w:p>
    <w:p w14:paraId="4FC261CB" w14:textId="77777777" w:rsidR="00EC68C5" w:rsidRPr="004C41C8" w:rsidRDefault="00EC68C5" w:rsidP="00EC68C5">
      <w:pPr>
        <w:spacing w:line="276" w:lineRule="auto"/>
        <w:jc w:val="center"/>
        <w:rPr>
          <w:rFonts w:ascii="Times New Roman" w:hAnsi="Times New Roman"/>
          <w:lang w:val="en-GB"/>
        </w:rPr>
      </w:pPr>
      <w:r w:rsidRPr="00CE54AB">
        <w:rPr>
          <w:rFonts w:ascii="Times New Roman" w:eastAsia="Calibri" w:hAnsi="Times New Roman" w:cs="Times New Roman"/>
          <w:bCs/>
          <w:noProof/>
        </w:rPr>
        <w:lastRenderedPageBreak/>
        <w:drawing>
          <wp:anchor distT="0" distB="0" distL="114300" distR="114300" simplePos="0" relativeHeight="251885568" behindDoc="0" locked="0" layoutInCell="1" allowOverlap="1" wp14:anchorId="19EE3928" wp14:editId="631383ED">
            <wp:simplePos x="0" y="0"/>
            <wp:positionH relativeFrom="margin">
              <wp:align>center</wp:align>
            </wp:positionH>
            <wp:positionV relativeFrom="margin">
              <wp:align>top</wp:align>
            </wp:positionV>
            <wp:extent cx="5756910" cy="3849971"/>
            <wp:effectExtent l="19050" t="19050" r="15240" b="17780"/>
            <wp:wrapTopAndBottom/>
            <wp:docPr id="454674849" name="Resim 454674849" descr="C:\Users\Asus\Desktop\Sardurburç Düzeltme 2024 ocak\Hocaya gönderilen_08_08_2021\Figur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Desktop\Sardurburç Düzeltme 2024 ocak\Hocaya gönderilen_08_08_2021\Figures\35.jpg"/>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756910" cy="3849971"/>
                    </a:xfrm>
                    <a:prstGeom prst="rect">
                      <a:avLst/>
                    </a:prstGeom>
                    <a:noFill/>
                    <a:ln>
                      <a:solidFill>
                        <a:sysClr val="windowText" lastClr="000000"/>
                      </a:solidFill>
                    </a:ln>
                  </pic:spPr>
                </pic:pic>
              </a:graphicData>
            </a:graphic>
          </wp:anchor>
        </w:drawing>
      </w:r>
      <w:r w:rsidRPr="004C41C8">
        <w:rPr>
          <w:rFonts w:ascii="Times New Roman" w:hAnsi="Times New Roman"/>
          <w:lang w:val="en-GB"/>
        </w:rPr>
        <w:t>Fig. 35 Separate facades between Block C and A.</w:t>
      </w:r>
    </w:p>
    <w:p w14:paraId="6F2E7A57" w14:textId="77777777" w:rsidR="00EC68C5" w:rsidRPr="004C41C8" w:rsidRDefault="00EC68C5" w:rsidP="00EC68C5">
      <w:pPr>
        <w:spacing w:line="276" w:lineRule="auto"/>
        <w:jc w:val="both"/>
        <w:rPr>
          <w:rFonts w:ascii="Times New Roman" w:hAnsi="Times New Roman"/>
          <w:lang w:val="en-GB"/>
        </w:rPr>
      </w:pPr>
    </w:p>
    <w:p w14:paraId="65185463" w14:textId="3C59FBB0"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 xml:space="preserve">There are </w:t>
      </w:r>
      <w:r w:rsidRPr="0067665C">
        <w:rPr>
          <w:rFonts w:ascii="Times New Roman" w:eastAsia="Calibri" w:hAnsi="Times New Roman" w:cs="Times New Roman"/>
          <w:lang w:val="en-GB"/>
        </w:rPr>
        <w:t>four</w:t>
      </w:r>
      <w:r w:rsidRPr="004C41C8">
        <w:rPr>
          <w:rFonts w:ascii="Times New Roman" w:hAnsi="Times New Roman"/>
          <w:lang w:val="en-GB"/>
        </w:rPr>
        <w:t xml:space="preserve"> inscriptions on Block C</w:t>
      </w:r>
      <w:r w:rsidRPr="0067665C">
        <w:rPr>
          <w:rFonts w:ascii="Times New Roman" w:eastAsia="Calibri" w:hAnsi="Times New Roman" w:cs="Times New Roman"/>
          <w:lang w:val="en-GB"/>
        </w:rPr>
        <w:t>, similar to</w:t>
      </w:r>
      <w:r w:rsidRPr="004C41C8">
        <w:rPr>
          <w:rFonts w:ascii="Times New Roman" w:hAnsi="Times New Roman"/>
          <w:lang w:val="en-GB"/>
        </w:rPr>
        <w:t xml:space="preserve"> the others in terms of content. One of these inscriptions is on the west</w:t>
      </w:r>
      <w:r w:rsidRPr="0067665C">
        <w:rPr>
          <w:rFonts w:ascii="Times New Roman" w:eastAsia="Calibri" w:hAnsi="Times New Roman" w:cs="Times New Roman"/>
          <w:lang w:val="en-GB"/>
        </w:rPr>
        <w:t>,</w:t>
      </w:r>
      <w:r w:rsidRPr="004C41C8">
        <w:rPr>
          <w:rFonts w:ascii="Times New Roman" w:hAnsi="Times New Roman"/>
          <w:lang w:val="en-GB"/>
        </w:rPr>
        <w:t xml:space="preserve"> and the other three are on the east facade. The fact that only one inscription was inscribed on the western facade indicates that it was probably thought together with the two inscriptions on Block B to the north. Therefore, the period between B and C Blocks in terms of the date of construction is </w:t>
      </w:r>
      <w:r w:rsidRPr="0067665C">
        <w:rPr>
          <w:rFonts w:ascii="Times New Roman" w:eastAsia="Calibri" w:hAnsi="Times New Roman" w:cs="Times New Roman"/>
          <w:lang w:val="en-GB"/>
        </w:rPr>
        <w:t>relatively</w:t>
      </w:r>
      <w:r w:rsidRPr="004C41C8">
        <w:rPr>
          <w:rFonts w:ascii="Times New Roman" w:hAnsi="Times New Roman"/>
          <w:lang w:val="en-GB"/>
        </w:rPr>
        <w:t xml:space="preserve"> short. In the last phase, </w:t>
      </w:r>
      <w:r w:rsidRPr="0067665C">
        <w:rPr>
          <w:rFonts w:ascii="Times New Roman" w:eastAsia="Calibri" w:hAnsi="Times New Roman" w:cs="Times New Roman"/>
          <w:lang w:val="en-GB"/>
        </w:rPr>
        <w:t>three</w:t>
      </w:r>
      <w:r w:rsidRPr="004C41C8">
        <w:rPr>
          <w:rFonts w:ascii="Times New Roman" w:hAnsi="Times New Roman"/>
          <w:lang w:val="en-GB"/>
        </w:rPr>
        <w:t xml:space="preserve"> inscriptions </w:t>
      </w:r>
      <w:r w:rsidRPr="0067665C">
        <w:rPr>
          <w:rFonts w:ascii="Times New Roman" w:eastAsia="Calibri" w:hAnsi="Times New Roman" w:cs="Times New Roman"/>
          <w:lang w:val="en-GB"/>
        </w:rPr>
        <w:t xml:space="preserve">were planned </w:t>
      </w:r>
      <w:r w:rsidRPr="004C41C8">
        <w:rPr>
          <w:rFonts w:ascii="Times New Roman" w:hAnsi="Times New Roman"/>
          <w:lang w:val="en-GB"/>
        </w:rPr>
        <w:t>on both sides of the building. It can be assumed that the first example of the tradition of making inscriptions in the form of three copies, which appeared in many Urartian</w:t>
      </w:r>
      <w:r w:rsidR="00EA6C63">
        <w:rPr>
          <w:rFonts w:ascii="Times New Roman" w:hAnsi="Times New Roman"/>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imes New Roman" w:hAnsi="Times New Roman"/>
          <w:lang w:val="en-GB"/>
        </w:rPr>
        <w:fldChar w:fldCharType="end"/>
      </w:r>
      <w:r w:rsidRPr="0067665C">
        <w:rPr>
          <w:rFonts w:ascii="Times New Roman" w:eastAsia="Calibri" w:hAnsi="Times New Roman" w:cs="Times New Roman"/>
          <w:lang w:val="en-GB"/>
        </w:rPr>
        <w:t> </w:t>
      </w:r>
      <w:r w:rsidRPr="004C41C8">
        <w:rPr>
          <w:rFonts w:ascii="Times New Roman" w:hAnsi="Times New Roman"/>
          <w:lang w:val="en-GB"/>
        </w:rPr>
        <w:t>inscriptions in the following periods</w:t>
      </w:r>
      <w:r w:rsidRPr="00427476">
        <w:rPr>
          <w:rStyle w:val="DipnotBavurusu"/>
          <w:rFonts w:asciiTheme="majorBidi" w:hAnsiTheme="majorBidi"/>
          <w:lang w:val="en-GB"/>
        </w:rPr>
        <w:footnoteReference w:id="51"/>
      </w:r>
      <w:r w:rsidRPr="004C41C8">
        <w:rPr>
          <w:rFonts w:ascii="Times New Roman" w:hAnsi="Times New Roman"/>
          <w:lang w:val="en-GB"/>
        </w:rPr>
        <w:t>, started with these inscriptions on Sardurburç</w:t>
      </w:r>
      <w:r w:rsidRPr="0067665C">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27476">
        <w:rPr>
          <w:rStyle w:val="DipnotBavurusu"/>
          <w:rFonts w:asciiTheme="majorBidi" w:hAnsiTheme="majorBidi"/>
          <w:lang w:val="en-GB"/>
        </w:rPr>
        <w:footnoteReference w:id="52"/>
      </w:r>
    </w:p>
    <w:p w14:paraId="716A52AC" w14:textId="77777777" w:rsidR="00EC68C5" w:rsidRPr="004C41C8" w:rsidRDefault="00EC68C5" w:rsidP="00EC68C5">
      <w:pPr>
        <w:spacing w:line="276" w:lineRule="auto"/>
        <w:jc w:val="both"/>
        <w:rPr>
          <w:rFonts w:ascii="Times New Roman" w:hAnsi="Times New Roman"/>
          <w:lang w:val="en-GB"/>
        </w:rPr>
      </w:pPr>
    </w:p>
    <w:p w14:paraId="16F2823A" w14:textId="77777777" w:rsidR="00EC68C5" w:rsidRPr="00DF3513" w:rsidRDefault="00EC68C5" w:rsidP="00EC68C5">
      <w:pPr>
        <w:spacing w:line="276" w:lineRule="auto"/>
        <w:jc w:val="both"/>
        <w:rPr>
          <w:rFonts w:ascii="Times New Roman" w:hAnsi="Times New Roman"/>
          <w:lang w:val="en-GB"/>
        </w:rPr>
      </w:pPr>
      <w:r w:rsidRPr="004C41C8">
        <w:rPr>
          <w:rFonts w:ascii="Times New Roman" w:hAnsi="Times New Roman"/>
          <w:lang w:val="en-GB"/>
        </w:rPr>
        <w:t>The similarity between Block C and Block B is not limited to the fact that the inscriptions are planned together</w:t>
      </w:r>
      <w:r w:rsidRPr="0067665C">
        <w:rPr>
          <w:rFonts w:ascii="Times New Roman" w:eastAsia="Calibri" w:hAnsi="Times New Roman" w:cs="Times New Roman"/>
          <w:lang w:val="en-GB"/>
        </w:rPr>
        <w:t>;</w:t>
      </w:r>
      <w:r w:rsidRPr="00DF3513">
        <w:rPr>
          <w:rFonts w:ascii="Times New Roman" w:hAnsi="Times New Roman"/>
          <w:lang w:val="en-GB"/>
        </w:rPr>
        <w:t xml:space="preserve"> both blocks (B and C) diverge from Block A at a 15-degree angle in the northeast-southwest direction (Fig. 25). This situation is significant as it displays unity and harmony between B Block and C Block in terms of planning.</w:t>
      </w:r>
    </w:p>
    <w:p w14:paraId="707ABA91" w14:textId="77777777" w:rsidR="00EC68C5" w:rsidRPr="00DF3513" w:rsidRDefault="00EC68C5" w:rsidP="00EC68C5">
      <w:pPr>
        <w:spacing w:line="276" w:lineRule="auto"/>
        <w:jc w:val="both"/>
        <w:rPr>
          <w:rFonts w:ascii="Times New Roman" w:hAnsi="Times New Roman"/>
          <w:lang w:val="en-GB"/>
        </w:rPr>
      </w:pPr>
    </w:p>
    <w:p w14:paraId="2F54422A" w14:textId="77777777" w:rsidR="00EC68C5" w:rsidRPr="004C41C8" w:rsidRDefault="00EC68C5" w:rsidP="00EC68C5">
      <w:pPr>
        <w:keepNext/>
        <w:keepLines/>
        <w:spacing w:before="320" w:after="80" w:line="276" w:lineRule="auto"/>
        <w:outlineLvl w:val="2"/>
        <w:rPr>
          <w:rFonts w:ascii="Times New Roman" w:hAnsi="Times New Roman"/>
          <w:b/>
          <w:color w:val="0D0D0D"/>
          <w:szCs w:val="22"/>
          <w:lang w:val="en-GB"/>
        </w:rPr>
      </w:pPr>
      <w:bookmarkStart w:id="81" w:name="_Toc132072524"/>
      <w:bookmarkStart w:id="82" w:name="_Toc173231214"/>
      <w:r w:rsidRPr="004C41C8">
        <w:rPr>
          <w:rFonts w:ascii="Times New Roman" w:hAnsi="Times New Roman"/>
          <w:b/>
          <w:color w:val="0D0D0D"/>
          <w:sz w:val="28"/>
          <w:szCs w:val="22"/>
          <w:lang w:val="en-GB"/>
        </w:rPr>
        <w:lastRenderedPageBreak/>
        <w:t>5.4. Conclusion</w:t>
      </w:r>
      <w:bookmarkEnd w:id="81"/>
      <w:bookmarkEnd w:id="82"/>
    </w:p>
    <w:p w14:paraId="4E7B17E7" w14:textId="77777777" w:rsidR="00EC68C5" w:rsidRPr="004C41C8" w:rsidRDefault="00EC68C5" w:rsidP="00EC68C5">
      <w:pPr>
        <w:spacing w:line="276" w:lineRule="auto"/>
        <w:jc w:val="both"/>
        <w:rPr>
          <w:rFonts w:ascii="Times New Roman" w:hAnsi="Times New Roman"/>
          <w:lang w:val="en-GB"/>
        </w:rPr>
      </w:pPr>
    </w:p>
    <w:p w14:paraId="6350E02B" w14:textId="17CDB9CF"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Sardurburç</w:t>
      </w:r>
      <w:r w:rsidR="00647545">
        <w:rPr>
          <w:rFonts w:ascii="Times New Roman" w:hAnsi="Times New Roman"/>
          <w:lang w:val="en-GB"/>
        </w:rPr>
        <w:fldChar w:fldCharType="begin"/>
      </w:r>
      <w:r w:rsidR="00647545">
        <w:instrText xml:space="preserve"> XE "</w:instrText>
      </w:r>
      <w:r w:rsidR="00647545" w:rsidRPr="00034943">
        <w:rPr>
          <w:rFonts w:asciiTheme="majorBidi" w:hAnsiTheme="majorBidi" w:cstheme="majorBidi"/>
        </w:rPr>
        <w:instrText>Sardurburç</w:instrText>
      </w:r>
      <w:r w:rsidR="00647545">
        <w:instrText xml:space="preserve">" </w:instrText>
      </w:r>
      <w:r w:rsidR="00647545">
        <w:rPr>
          <w:rFonts w:ascii="Times New Roman" w:hAnsi="Times New Roman"/>
          <w:lang w:val="en-GB"/>
        </w:rPr>
        <w:fldChar w:fldCharType="end"/>
      </w:r>
      <w:r w:rsidRPr="006309B9">
        <w:rPr>
          <w:rFonts w:ascii="Times New Roman" w:eastAsia="Calibri" w:hAnsi="Times New Roman" w:cs="Times New Roman"/>
          <w:lang w:val="en-GB"/>
        </w:rPr>
        <w:t> </w:t>
      </w:r>
      <w:r w:rsidRPr="004C41C8">
        <w:rPr>
          <w:rFonts w:ascii="Times New Roman" w:hAnsi="Times New Roman"/>
          <w:lang w:val="en-GB"/>
        </w:rPr>
        <w:t>is historically significant as it contains the earliest known inscriptions of the capital Ṭušpa</w:t>
      </w:r>
      <w:r w:rsidRPr="00700903">
        <w:rPr>
          <w:rFonts w:asciiTheme="majorBidi" w:hAnsiTheme="majorBidi" w:cstheme="majorBidi"/>
          <w:lang w:val="en-GB"/>
        </w:rPr>
        <w:t xml:space="preserve"> </w:t>
      </w:r>
      <w:r w:rsidRPr="004C41C8">
        <w:rPr>
          <w:rFonts w:ascii="Times New Roman" w:hAnsi="Times New Roman"/>
          <w:lang w:val="en-GB"/>
        </w:rPr>
        <w:t>and the Urartian</w:t>
      </w:r>
      <w:r w:rsidRPr="006309B9">
        <w:rPr>
          <w:rFonts w:ascii="Times New Roman" w:eastAsia="Calibri" w:hAnsi="Times New Roman" w:cs="Times New Roman"/>
          <w:lang w:val="en-GB"/>
        </w:rPr>
        <w:t> </w:t>
      </w:r>
      <w:r w:rsidRPr="00700903">
        <w:rPr>
          <w:rFonts w:asciiTheme="majorBid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Urartian</w:instrText>
      </w:r>
      <w:r w:rsidRPr="00700903">
        <w:rPr>
          <w:lang w:val="en-GB"/>
        </w:rPr>
        <w:instrText xml:space="preserve">" </w:instrText>
      </w:r>
      <w:r w:rsidRPr="00700903">
        <w:rPr>
          <w:rFonts w:asciiTheme="majorBidi" w:hAnsiTheme="majorBidi" w:cstheme="majorBidi"/>
          <w:lang w:val="en-GB"/>
        </w:rPr>
        <w:fldChar w:fldCharType="end"/>
      </w:r>
      <w:r w:rsidRPr="00700903">
        <w:rPr>
          <w:rFonts w:asciiTheme="majorBidi" w:hAnsiTheme="majorBidi" w:cstheme="majorBidi"/>
          <w:lang w:val="en-GB"/>
        </w:rPr>
        <w:t xml:space="preserve"> </w:t>
      </w:r>
      <w:r w:rsidRPr="004C41C8">
        <w:rPr>
          <w:rFonts w:ascii="Times New Roman" w:hAnsi="Times New Roman"/>
          <w:lang w:val="en-GB"/>
        </w:rPr>
        <w:t>kingdom</w:t>
      </w:r>
      <w:r w:rsidRPr="006309B9">
        <w:rPr>
          <w:rFonts w:ascii="Times New Roman" w:eastAsia="Calibri" w:hAnsi="Times New Roman" w:cs="Times New Roman"/>
          <w:lang w:val="en-GB"/>
        </w:rPr>
        <w:t>.</w:t>
      </w:r>
      <w:r w:rsidRPr="00700903">
        <w:rPr>
          <w:rFonts w:asciiTheme="majorBid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Urartian Kingdom</w:instrText>
      </w:r>
      <w:r w:rsidRPr="00700903">
        <w:rPr>
          <w:lang w:val="en-GB"/>
        </w:rPr>
        <w:instrText xml:space="preserve">" </w:instrText>
      </w:r>
      <w:r w:rsidRPr="00700903">
        <w:rPr>
          <w:rFonts w:asciiTheme="majorBidi" w:hAnsiTheme="majorBidi" w:cstheme="majorBidi"/>
          <w:lang w:val="en-GB"/>
        </w:rPr>
        <w:fldChar w:fldCharType="end"/>
      </w:r>
      <w:r w:rsidRPr="00700903">
        <w:rPr>
          <w:rFonts w:asciiTheme="majorBidi" w:hAnsiTheme="majorBidi" w:cstheme="majorBidi"/>
          <w:lang w:val="en-GB"/>
        </w:rPr>
        <w:t>.</w:t>
      </w:r>
      <w:r w:rsidRPr="004C41C8">
        <w:rPr>
          <w:rFonts w:ascii="Times New Roman" w:hAnsi="Times New Roman"/>
          <w:lang w:val="en-GB"/>
        </w:rPr>
        <w:t xml:space="preserve"> These first </w:t>
      </w:r>
      <w:r w:rsidRPr="006309B9">
        <w:rPr>
          <w:rFonts w:ascii="Times New Roman" w:eastAsia="Calibri" w:hAnsi="Times New Roman" w:cs="Times New Roman"/>
          <w:lang w:val="en-GB"/>
        </w:rPr>
        <w:t>six</w:t>
      </w:r>
      <w:r w:rsidRPr="004C41C8">
        <w:rPr>
          <w:rFonts w:ascii="Times New Roman" w:hAnsi="Times New Roman"/>
          <w:lang w:val="en-GB"/>
        </w:rPr>
        <w:t xml:space="preserve"> inscriptions, which repeat each other in content, were written in Assyrian</w:t>
      </w:r>
      <w:r w:rsidRPr="006309B9">
        <w:rPr>
          <w:rFonts w:ascii="Times New Roman" w:eastAsia="Calibri" w:hAnsi="Times New Roman" w:cs="Times New Roman"/>
          <w:lang w:val="en-GB"/>
        </w:rPr>
        <w:t> </w:t>
      </w:r>
      <w:r w:rsidRPr="00700903">
        <w:rPr>
          <w:rFonts w:asciiTheme="majorBid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Assyrian</w:instrText>
      </w:r>
      <w:r w:rsidRPr="00700903">
        <w:rPr>
          <w:lang w:val="en-GB"/>
        </w:rPr>
        <w:instrText xml:space="preserve">" </w:instrText>
      </w:r>
      <w:r w:rsidRPr="00700903">
        <w:rPr>
          <w:rFonts w:asciiTheme="majorBidi" w:hAnsiTheme="majorBidi" w:cstheme="majorBidi"/>
          <w:lang w:val="en-GB"/>
        </w:rPr>
        <w:fldChar w:fldCharType="end"/>
      </w:r>
      <w:r w:rsidRPr="00700903">
        <w:rPr>
          <w:rFonts w:asciiTheme="majorBidi" w:hAnsiTheme="majorBidi" w:cstheme="majorBidi"/>
          <w:lang w:val="en-GB"/>
        </w:rPr>
        <w:t xml:space="preserve"> </w:t>
      </w:r>
      <w:r w:rsidRPr="004C41C8">
        <w:rPr>
          <w:rFonts w:ascii="Times New Roman" w:hAnsi="Times New Roman"/>
          <w:lang w:val="en-GB"/>
        </w:rPr>
        <w:t>language and script. When evaluated from a historical point of view, these inscriptions seem to announce the establishment of the Urartian kingdom and the capital Ṭušpa.</w:t>
      </w:r>
    </w:p>
    <w:p w14:paraId="30B4B700" w14:textId="77777777" w:rsidR="00EC68C5" w:rsidRPr="004C41C8" w:rsidRDefault="00EC68C5" w:rsidP="00EC68C5">
      <w:pPr>
        <w:spacing w:line="276" w:lineRule="auto"/>
        <w:jc w:val="both"/>
        <w:rPr>
          <w:rFonts w:ascii="Times New Roman" w:hAnsi="Times New Roman"/>
          <w:lang w:val="en-GB"/>
        </w:rPr>
      </w:pPr>
    </w:p>
    <w:p w14:paraId="1FDD4BA0" w14:textId="5AFE971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Sardurburç</w:t>
      </w:r>
      <w:r w:rsidRPr="006309B9">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the earliest royal building project evidenced by inscriptions, was built as part of the Ṭušpa</w:t>
      </w:r>
      <w:r w:rsidRPr="00427476">
        <w:rPr>
          <w:rFonts w:asciiTheme="majorBidi" w:hAnsiTheme="majorBidi" w:cstheme="majorBidi"/>
          <w:lang w:val="en-GB"/>
        </w:rPr>
        <w:t xml:space="preserve"> </w:t>
      </w:r>
      <w:r w:rsidRPr="004C41C8">
        <w:rPr>
          <w:rFonts w:ascii="Times New Roman" w:hAnsi="Times New Roman"/>
          <w:lang w:val="en-GB"/>
        </w:rPr>
        <w:t>citadel during the reign of the founding king Sarduri</w:t>
      </w:r>
      <w:r w:rsidRPr="006309B9">
        <w:rPr>
          <w:rFonts w:ascii="Times New Roman" w:eastAsia="Calibri" w:hAnsi="Times New Roman" w:cs="Times New Roman"/>
          <w:lang w:val="en-GB"/>
        </w:rPr>
        <w:t> </w:t>
      </w:r>
      <w:r w:rsidRPr="004C41C8">
        <w:rPr>
          <w:rFonts w:ascii="Times New Roman" w:hAnsi="Times New Roman"/>
          <w:lang w:val="en-GB"/>
        </w:rPr>
        <w:t>I</w:t>
      </w:r>
      <w:r w:rsidR="00C1513A">
        <w:rPr>
          <w:rFonts w:ascii="Times New Roman" w:hAnsi="Times New Roman"/>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imes New Roman" w:hAnsi="Times New Roman"/>
          <w:lang w:val="en-GB"/>
        </w:rPr>
        <w:fldChar w:fldCharType="end"/>
      </w:r>
      <w:r w:rsidRPr="006309B9">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Sarduri 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In terms of architecture, it was understood that the building was not a monoblock and displayed eclectic features.</w:t>
      </w:r>
      <w:r w:rsidRPr="004C41C8">
        <w:rPr>
          <w:rFonts w:ascii="Times New Roman" w:hAnsi="Times New Roman"/>
        </w:rPr>
        <w:t xml:space="preserve"> </w:t>
      </w:r>
      <w:r w:rsidRPr="004C41C8">
        <w:rPr>
          <w:rFonts w:ascii="Times New Roman" w:hAnsi="Times New Roman"/>
          <w:lang w:val="en-GB"/>
        </w:rPr>
        <w:t>As can be understood from the detailed features listed above, the building has gone through three architectural phases</w:t>
      </w:r>
      <w:r w:rsidRPr="00427476">
        <w:rPr>
          <w:rStyle w:val="DipnotBavurusu"/>
          <w:rFonts w:asciiTheme="majorBidi" w:hAnsiTheme="majorBidi"/>
          <w:lang w:val="en-GB"/>
        </w:rPr>
        <w:footnoteReference w:id="53"/>
      </w:r>
      <w:r w:rsidR="006371BE">
        <w:rPr>
          <w:rFonts w:ascii="Times New Roman" w:hAnsi="Times New Roman"/>
          <w:lang w:val="en-GB"/>
        </w:rPr>
        <w:t>.</w:t>
      </w:r>
      <w:r w:rsidRPr="004C41C8">
        <w:rPr>
          <w:rFonts w:ascii="Times New Roman" w:hAnsi="Times New Roman"/>
          <w:lang w:val="en-GB"/>
        </w:rPr>
        <w:t xml:space="preserve"> The walls of the sections and facades of the building do not feature aspects of chronological cohesion, and it can be seen that there is an elevation between the A/B/C Blocks in the inner wall of the building. These interior elevations were flattened and were built using the overlay technique. In this context, for ease of reference, the structure was </w:t>
      </w:r>
      <w:r w:rsidRPr="006309B9">
        <w:rPr>
          <w:rFonts w:ascii="Times New Roman" w:eastAsia="Calibri" w:hAnsi="Times New Roman" w:cs="Times New Roman"/>
          <w:lang w:val="en-GB"/>
        </w:rPr>
        <w:t>labeled</w:t>
      </w:r>
      <w:r w:rsidRPr="004C41C8">
        <w:rPr>
          <w:rFonts w:ascii="Times New Roman" w:hAnsi="Times New Roman"/>
          <w:lang w:val="en-GB"/>
        </w:rPr>
        <w:t xml:space="preserve"> chronologically from the earliest phase to the latest as Blocks A/B/C (Fig. 4).</w:t>
      </w:r>
    </w:p>
    <w:p w14:paraId="07AAFDB0" w14:textId="77777777" w:rsidR="00EC68C5" w:rsidRPr="004C41C8" w:rsidRDefault="00EC68C5" w:rsidP="00EC68C5">
      <w:pPr>
        <w:spacing w:line="276" w:lineRule="auto"/>
        <w:jc w:val="both"/>
        <w:rPr>
          <w:rFonts w:ascii="Times New Roman" w:hAnsi="Times New Roman"/>
          <w:lang w:val="en-GB"/>
        </w:rPr>
      </w:pPr>
    </w:p>
    <w:p w14:paraId="45D30421" w14:textId="5FCD6A4A"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The earliest section, A Block, was carved into the bedrock as a secure entrance to the citadel, as indicated by the surviving steps. The plan suggests that this entrance structure also served a defensive function as a bastion/tower. As a result of the stone analysis conducted, it was revealed that the smaller-sized limestone blocks used in the construction of Block A were obtained from Ṭušpa</w:t>
      </w:r>
      <w:r w:rsidRPr="006309B9">
        <w:rPr>
          <w:rFonts w:ascii="Times New Roman" w:eastAsia="Calibri" w:hAnsi="Times New Roman" w:cs="Times New Roman"/>
          <w:lang w:val="en-GB"/>
        </w:rPr>
        <w:t>,</w:t>
      </w:r>
      <w:r w:rsidRPr="004C41C8">
        <w:rPr>
          <w:rFonts w:ascii="Times New Roman" w:hAnsi="Times New Roman"/>
          <w:lang w:val="en-GB"/>
        </w:rPr>
        <w:t xml:space="preserve"> unlike the other sections. Considering the limited opportunities the capital and the kingdom had during the establishment phase, it must have been the most logical choice to use the local material of the Van terrain. In addition, </w:t>
      </w:r>
      <w:r w:rsidRPr="006309B9">
        <w:rPr>
          <w:rFonts w:ascii="Times New Roman" w:eastAsia="Calibri" w:hAnsi="Times New Roman" w:cs="Times New Roman"/>
          <w:lang w:val="en-GB"/>
        </w:rPr>
        <w:t>Block A's</w:t>
      </w:r>
      <w:r w:rsidRPr="004C41C8">
        <w:rPr>
          <w:rFonts w:ascii="Times New Roman" w:hAnsi="Times New Roman"/>
          <w:lang w:val="en-GB"/>
        </w:rPr>
        <w:t xml:space="preserve"> absence of inscriptions is another feature </w:t>
      </w:r>
      <w:r w:rsidRPr="006309B9">
        <w:rPr>
          <w:rFonts w:ascii="Times New Roman" w:eastAsia="Calibri" w:hAnsi="Times New Roman" w:cs="Times New Roman"/>
          <w:lang w:val="en-GB"/>
        </w:rPr>
        <w:t>that</w:t>
      </w:r>
      <w:r w:rsidRPr="004C41C8">
        <w:rPr>
          <w:rFonts w:ascii="Times New Roman" w:hAnsi="Times New Roman"/>
          <w:lang w:val="en-GB"/>
        </w:rPr>
        <w:t xml:space="preserve"> differs from the rest of the structure. There is </w:t>
      </w:r>
      <w:r w:rsidRPr="006309B9">
        <w:rPr>
          <w:rFonts w:ascii="Times New Roman" w:eastAsia="Calibri" w:hAnsi="Times New Roman" w:cs="Times New Roman"/>
          <w:lang w:val="en-GB"/>
        </w:rPr>
        <w:t>an apparent</w:t>
      </w:r>
      <w:r w:rsidRPr="004C41C8">
        <w:rPr>
          <w:rFonts w:ascii="Times New Roman" w:hAnsi="Times New Roman"/>
          <w:lang w:val="en-GB"/>
        </w:rPr>
        <w:t xml:space="preserve"> elevation and difference between Block A and Block C adjacent to its north. In the western and eastern sections, where this distinction can be observed, Block A was built on the northern facade with the overlay technique earlier than Block C. Block C sits on Block A at this junction section (Fig. 36).</w:t>
      </w:r>
    </w:p>
    <w:p w14:paraId="4B5252DC" w14:textId="77777777" w:rsidR="00EC68C5" w:rsidRPr="004C41C8" w:rsidRDefault="00EC68C5" w:rsidP="00EC68C5">
      <w:pPr>
        <w:spacing w:line="276" w:lineRule="auto"/>
        <w:jc w:val="both"/>
        <w:rPr>
          <w:rFonts w:ascii="Times New Roman" w:hAnsi="Times New Roman"/>
          <w:lang w:val="en-GB"/>
        </w:rPr>
      </w:pPr>
    </w:p>
    <w:p w14:paraId="304198D7" w14:textId="77777777" w:rsidR="00EC68C5" w:rsidRPr="004C41C8" w:rsidRDefault="00EC68C5" w:rsidP="00EC68C5">
      <w:pPr>
        <w:spacing w:line="276" w:lineRule="auto"/>
        <w:jc w:val="both"/>
        <w:rPr>
          <w:rFonts w:ascii="Times New Roman" w:hAnsi="Times New Roman"/>
          <w:lang w:val="en-GB"/>
        </w:rPr>
      </w:pPr>
    </w:p>
    <w:p w14:paraId="5F913E8E" w14:textId="77777777" w:rsidR="00EC68C5" w:rsidRPr="004C41C8" w:rsidRDefault="00EC68C5" w:rsidP="00EC68C5">
      <w:pPr>
        <w:spacing w:line="276" w:lineRule="auto"/>
        <w:jc w:val="both"/>
        <w:rPr>
          <w:rFonts w:ascii="Times New Roman" w:hAnsi="Times New Roman"/>
          <w:lang w:val="en-GB"/>
        </w:rPr>
      </w:pPr>
    </w:p>
    <w:p w14:paraId="6219AE3E" w14:textId="77777777" w:rsidR="00EC68C5" w:rsidRPr="004C41C8" w:rsidRDefault="00EC68C5" w:rsidP="00EC68C5">
      <w:pPr>
        <w:spacing w:line="276" w:lineRule="auto"/>
        <w:jc w:val="both"/>
        <w:rPr>
          <w:rFonts w:ascii="Times New Roman" w:hAnsi="Times New Roman"/>
          <w:lang w:val="en-GB"/>
        </w:rPr>
      </w:pPr>
    </w:p>
    <w:p w14:paraId="0E3E6681" w14:textId="77777777" w:rsidR="00EC68C5" w:rsidRPr="004C41C8" w:rsidRDefault="00EC68C5" w:rsidP="00EC68C5">
      <w:pPr>
        <w:spacing w:line="276" w:lineRule="auto"/>
        <w:jc w:val="both"/>
        <w:rPr>
          <w:rFonts w:ascii="Times New Roman" w:hAnsi="Times New Roman"/>
          <w:lang w:val="en-GB"/>
        </w:rPr>
      </w:pPr>
    </w:p>
    <w:p w14:paraId="0AEF1E83" w14:textId="77777777" w:rsidR="00EC68C5" w:rsidRPr="004C41C8" w:rsidRDefault="00EC68C5" w:rsidP="00EC68C5">
      <w:pPr>
        <w:spacing w:line="276" w:lineRule="auto"/>
        <w:jc w:val="both"/>
        <w:rPr>
          <w:rFonts w:ascii="Times New Roman" w:hAnsi="Times New Roman"/>
          <w:lang w:val="en-GB"/>
        </w:rPr>
      </w:pPr>
    </w:p>
    <w:p w14:paraId="12722B2F"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noProof/>
        </w:rPr>
        <w:lastRenderedPageBreak/>
        <w:drawing>
          <wp:anchor distT="0" distB="0" distL="114300" distR="114300" simplePos="0" relativeHeight="251862016" behindDoc="0" locked="0" layoutInCell="1" allowOverlap="1" wp14:anchorId="7EB9177A" wp14:editId="1DC6913E">
            <wp:simplePos x="0" y="0"/>
            <wp:positionH relativeFrom="margin">
              <wp:posOffset>-1094740</wp:posOffset>
            </wp:positionH>
            <wp:positionV relativeFrom="margin">
              <wp:posOffset>1317625</wp:posOffset>
            </wp:positionV>
            <wp:extent cx="7642860" cy="5013960"/>
            <wp:effectExtent l="0" t="6350" r="0" b="0"/>
            <wp:wrapTopAndBottom/>
            <wp:docPr id="75" name="Resim 75" descr="C:\Users\Asus\Desktop\Sardurburç Düzeltme 2024 ocak\Hocaya gönderilen_08_08_2021\Figure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sus\Desktop\Sardurburç Düzeltme 2024 ocak\Hocaya gönderilen_08_08_2021\Figures\36.jpg"/>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rot="16200000">
                      <a:off x="0" y="0"/>
                      <a:ext cx="7642860" cy="501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EF6844" w14:textId="77777777" w:rsidR="00EC68C5" w:rsidRPr="004C41C8" w:rsidRDefault="00EC68C5" w:rsidP="00EC68C5">
      <w:pPr>
        <w:spacing w:line="276" w:lineRule="auto"/>
        <w:jc w:val="both"/>
        <w:rPr>
          <w:rFonts w:ascii="Times New Roman" w:hAnsi="Times New Roman"/>
          <w:lang w:val="en-GB"/>
        </w:rPr>
      </w:pPr>
    </w:p>
    <w:p w14:paraId="3B7FC967"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36 Cross Section Drawings of the Sardurburç</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Sardurburç</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 xml:space="preserve"> and positions of all inscriptions.</w:t>
      </w:r>
    </w:p>
    <w:p w14:paraId="305E3FF2" w14:textId="77777777" w:rsidR="00EC68C5" w:rsidRPr="004C41C8" w:rsidRDefault="00EC68C5" w:rsidP="00EC68C5">
      <w:pPr>
        <w:spacing w:line="276" w:lineRule="auto"/>
        <w:jc w:val="both"/>
        <w:rPr>
          <w:rFonts w:ascii="Times New Roman" w:hAnsi="Times New Roman"/>
          <w:lang w:val="en-GB"/>
        </w:rPr>
      </w:pPr>
    </w:p>
    <w:p w14:paraId="2AC8045A" w14:textId="77777777" w:rsidR="00EC68C5" w:rsidRPr="004C41C8" w:rsidRDefault="00EC68C5" w:rsidP="002A0E12">
      <w:pPr>
        <w:spacing w:line="276" w:lineRule="auto"/>
        <w:jc w:val="both"/>
        <w:rPr>
          <w:rFonts w:ascii="Times New Roman" w:hAnsi="Times New Roman"/>
          <w:lang w:val="en-GB"/>
        </w:rPr>
      </w:pPr>
      <w:r w:rsidRPr="004C41C8">
        <w:rPr>
          <w:rFonts w:ascii="Times New Roman" w:hAnsi="Times New Roman"/>
          <w:lang w:val="en-GB"/>
        </w:rPr>
        <w:t>It is assumed that the entrance to the citadel was provided from this section</w:t>
      </w:r>
      <w:r w:rsidRPr="006309B9">
        <w:rPr>
          <w:rFonts w:ascii="Times New Roman" w:eastAsia="Calibri" w:hAnsi="Times New Roman" w:cs="Times New Roman"/>
          <w:lang w:val="en-GB"/>
        </w:rPr>
        <w:t>,</w:t>
      </w:r>
      <w:r w:rsidRPr="00DF3513">
        <w:rPr>
          <w:rFonts w:ascii="Times New Roman" w:hAnsi="Times New Roman"/>
          <w:lang w:val="en-GB"/>
        </w:rPr>
        <w:t xml:space="preserve"> with the steps starting from the sheltered A Block at the earliest stage. We can also assume that many other </w:t>
      </w:r>
      <w:r w:rsidRPr="00DF3513">
        <w:rPr>
          <w:rFonts w:ascii="Times New Roman" w:hAnsi="Times New Roman"/>
          <w:lang w:val="en-GB"/>
        </w:rPr>
        <w:lastRenderedPageBreak/>
        <w:t>units</w:t>
      </w:r>
      <w:r w:rsidRPr="006309B9">
        <w:rPr>
          <w:rFonts w:ascii="Times New Roman" w:eastAsia="Calibri" w:hAnsi="Times New Roman" w:cs="Times New Roman"/>
          <w:lang w:val="en-GB"/>
        </w:rPr>
        <w:t>,</w:t>
      </w:r>
      <w:r w:rsidRPr="004C41C8">
        <w:rPr>
          <w:rFonts w:ascii="Times New Roman" w:hAnsi="Times New Roman"/>
          <w:lang w:val="en-GB"/>
        </w:rPr>
        <w:t xml:space="preserve"> such as administrative structures, palaces, temples, and tombs</w:t>
      </w:r>
      <w:r w:rsidRPr="006309B9">
        <w:rPr>
          <w:rFonts w:ascii="Times New Roman" w:eastAsia="Calibri" w:hAnsi="Times New Roman" w:cs="Times New Roman"/>
          <w:lang w:val="en-GB"/>
        </w:rPr>
        <w:t>,</w:t>
      </w:r>
      <w:r w:rsidRPr="004C41C8">
        <w:rPr>
          <w:rFonts w:ascii="Times New Roman" w:hAnsi="Times New Roman"/>
          <w:lang w:val="en-GB"/>
        </w:rPr>
        <w:t xml:space="preserve"> have been completed in the citadel since Sarduri</w:t>
      </w:r>
      <w:r w:rsidRPr="006309B9">
        <w:rPr>
          <w:rFonts w:ascii="Times New Roman" w:eastAsia="Calibri" w:hAnsi="Times New Roman" w:cs="Times New Roman"/>
          <w:lang w:val="en-GB"/>
        </w:rPr>
        <w:t> </w:t>
      </w:r>
      <w:r w:rsidRPr="00427476">
        <w:rPr>
          <w:rFonts w:asciiTheme="majorBidi" w:hAnsiTheme="majorBidi" w:cstheme="majorBidi"/>
          <w:lang w:val="en-GB"/>
        </w:rPr>
        <w:t xml:space="preserve"> </w:t>
      </w:r>
      <w:r w:rsidRPr="004C41C8">
        <w:rPr>
          <w:rFonts w:ascii="Times New Roman" w:hAnsi="Times New Roman"/>
          <w:lang w:val="en-GB"/>
        </w:rPr>
        <w:t>I</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Sarduri 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when a secure and protected entrance was highly significant. At this stage, the development of the citadel must have reached a </w:t>
      </w:r>
      <w:r w:rsidRPr="006309B9">
        <w:rPr>
          <w:rFonts w:ascii="Times New Roman" w:eastAsia="Calibri" w:hAnsi="Times New Roman" w:cs="Times New Roman"/>
          <w:lang w:val="en-GB"/>
        </w:rPr>
        <w:t>particular</w:t>
      </w:r>
      <w:r w:rsidRPr="004C41C8">
        <w:rPr>
          <w:rFonts w:ascii="Times New Roman" w:hAnsi="Times New Roman"/>
          <w:lang w:val="en-GB"/>
        </w:rPr>
        <w:t xml:space="preserve"> stage, resulting in the fact that it was no longer possible to use the citadel as a quarry since the Sarduri period. The fact that </w:t>
      </w:r>
      <w:r w:rsidRPr="006309B9">
        <w:rPr>
          <w:rFonts w:ascii="Times New Roman" w:eastAsia="Calibri" w:hAnsi="Times New Roman" w:cs="Times New Roman"/>
          <w:lang w:val="en-GB"/>
        </w:rPr>
        <w:t xml:space="preserve">the </w:t>
      </w:r>
      <w:r w:rsidRPr="004C41C8">
        <w:rPr>
          <w:rFonts w:ascii="Times New Roman" w:hAnsi="Times New Roman"/>
          <w:lang w:val="en-GB"/>
        </w:rPr>
        <w:t>Sardurburç</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inscription mentions that the stones were brought from "Alniunu</w:t>
      </w:r>
      <w:r w:rsidRPr="006309B9">
        <w:rPr>
          <w:rFonts w:ascii="Times New Roman" w:eastAsia="Calibri" w:hAnsi="Times New Roman" w:cs="Times New Roman"/>
          <w:lang w:val="en-GB"/>
        </w:rPr>
        <w:t>"</w:t>
      </w:r>
      <w:r w:rsidRPr="00427476">
        <w:rPr>
          <w:rFonts w:asciiTheme="majorBidi" w:hAnsiTheme="majorBidi" w:cstheme="majorBidi"/>
          <w:i/>
          <w:iCs/>
          <w:lang w:val="en-GB"/>
        </w:rPr>
        <w:fldChar w:fldCharType="begin"/>
      </w:r>
      <w:r w:rsidRPr="00427476">
        <w:rPr>
          <w:lang w:val="en-GB"/>
        </w:rPr>
        <w:instrText xml:space="preserve"> XE "</w:instrText>
      </w:r>
      <w:r w:rsidRPr="006371BE">
        <w:rPr>
          <w:rFonts w:asciiTheme="majorBidi" w:hAnsiTheme="majorBidi" w:cstheme="majorBidi"/>
          <w:iCs/>
          <w:lang w:val="en-GB"/>
        </w:rPr>
        <w:instrText>Alniunu</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also supports this. One thing we know for sure is that Urartu</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will gradually become </w:t>
      </w:r>
      <w:r w:rsidRPr="006309B9">
        <w:rPr>
          <w:rFonts w:ascii="Times New Roman" w:eastAsia="Calibri" w:hAnsi="Times New Roman" w:cs="Times New Roman"/>
          <w:lang w:val="en-GB"/>
        </w:rPr>
        <w:t>more muscular</w:t>
      </w:r>
      <w:r w:rsidRPr="004C41C8">
        <w:rPr>
          <w:rFonts w:ascii="Times New Roman" w:hAnsi="Times New Roman"/>
          <w:lang w:val="en-GB"/>
        </w:rPr>
        <w:t xml:space="preserve"> and turn into a forceful kingdom after the reign of Sarduri I. </w:t>
      </w:r>
    </w:p>
    <w:p w14:paraId="565BB794" w14:textId="77777777" w:rsidR="00EC68C5" w:rsidRPr="004C41C8" w:rsidRDefault="00EC68C5" w:rsidP="002A0E12">
      <w:pPr>
        <w:spacing w:line="276" w:lineRule="auto"/>
        <w:jc w:val="both"/>
        <w:rPr>
          <w:rFonts w:ascii="Times New Roman" w:hAnsi="Times New Roman"/>
          <w:lang w:val="en-GB"/>
        </w:rPr>
      </w:pPr>
    </w:p>
    <w:p w14:paraId="179E7C2A" w14:textId="701407E1" w:rsidR="00EC68C5" w:rsidRPr="004C41C8" w:rsidRDefault="00EC68C5" w:rsidP="002A0E12">
      <w:pPr>
        <w:spacing w:line="276" w:lineRule="auto"/>
        <w:jc w:val="both"/>
        <w:rPr>
          <w:rFonts w:ascii="Times New Roman" w:hAnsi="Times New Roman"/>
          <w:lang w:val="en-GB"/>
        </w:rPr>
      </w:pPr>
      <w:r w:rsidRPr="004C41C8">
        <w:rPr>
          <w:rFonts w:ascii="Times New Roman" w:hAnsi="Times New Roman"/>
          <w:lang w:val="en-GB"/>
        </w:rPr>
        <w:t>This early development of Ṭušpa</w:t>
      </w:r>
      <w:r w:rsidRPr="006309B9">
        <w:rPr>
          <w:rFonts w:ascii="Times New Roman" w:eastAsia="Calibri" w:hAnsi="Times New Roman" w:cs="Times New Roman"/>
          <w:lang w:val="en-GB"/>
        </w:rPr>
        <w:t>,</w:t>
      </w:r>
      <w:r w:rsidR="00C1513A" w:rsidRPr="00700903">
        <w:rPr>
          <w:rFonts w:asciiTheme="majorBidi" w:hAnsiTheme="majorBidi" w:cstheme="majorBidi"/>
          <w:lang w:val="en-GB"/>
        </w:rPr>
        <w:t xml:space="preserve"> </w:t>
      </w:r>
      <w:r w:rsidRPr="004C41C8">
        <w:rPr>
          <w:rFonts w:ascii="Times New Roman" w:hAnsi="Times New Roman"/>
          <w:lang w:val="en-GB"/>
        </w:rPr>
        <w:t>which reached its maturity in architecture, must have formed the necessary background to establish new cities from the time of Išpuini</w:t>
      </w:r>
      <w:r w:rsidRPr="00700903">
        <w:rPr>
          <w:rFonts w:asciiTheme="majorBidi" w:hAnsiTheme="majorBidi" w:cstheme="majorBidi"/>
          <w:lang w:val="en-GB"/>
        </w:rPr>
        <w:fldChar w:fldCharType="begin"/>
      </w:r>
      <w:r w:rsidRPr="00700903">
        <w:rPr>
          <w:lang w:val="en-GB"/>
        </w:rPr>
        <w:instrText xml:space="preserve"> XE "</w:instrText>
      </w:r>
      <w:r w:rsidRPr="00700903">
        <w:rPr>
          <w:rFonts w:asciiTheme="majorBidi" w:hAnsiTheme="majorBidi" w:cstheme="majorBidi"/>
          <w:iCs/>
          <w:lang w:val="en-GB"/>
        </w:rPr>
        <w:instrText>Išpuini</w:instrText>
      </w:r>
      <w:r w:rsidRPr="00700903">
        <w:rPr>
          <w:lang w:val="en-GB"/>
        </w:rPr>
        <w:instrText xml:space="preserve">" </w:instrText>
      </w:r>
      <w:r w:rsidRPr="00700903">
        <w:rPr>
          <w:rFonts w:asciiTheme="majorBidi" w:hAnsiTheme="majorBidi" w:cstheme="majorBidi"/>
          <w:lang w:val="en-GB"/>
        </w:rPr>
        <w:fldChar w:fldCharType="end"/>
      </w:r>
      <w:r w:rsidRPr="00700903">
        <w:rPr>
          <w:rFonts w:asciiTheme="majorBidi" w:hAnsiTheme="majorBidi" w:cstheme="majorBidi"/>
          <w:lang w:val="en-GB"/>
        </w:rPr>
        <w:t>.</w:t>
      </w:r>
      <w:r w:rsidRPr="004C41C8">
        <w:rPr>
          <w:rFonts w:ascii="Times New Roman" w:hAnsi="Times New Roman"/>
          <w:lang w:val="en-GB"/>
        </w:rPr>
        <w:t xml:space="preserve"> However, considering that no other royal cities had been built yet, except for </w:t>
      </w:r>
      <w:r w:rsidRPr="006309B9">
        <w:rPr>
          <w:rFonts w:ascii="Times New Roman" w:eastAsia="Calibri" w:hAnsi="Times New Roman" w:cs="Times New Roman"/>
          <w:lang w:val="en-GB"/>
        </w:rPr>
        <w:t>Ṭušpa</w:t>
      </w:r>
      <w:r>
        <w:rPr>
          <w:rFonts w:ascii="Times New Roman" w:eastAsia="Calibri" w:hAnsi="Times New Roman" w:cs="Times New Roman"/>
          <w:lang w:val="en-GB"/>
        </w:rPr>
        <w:t xml:space="preserve"> </w:t>
      </w:r>
      <w:r w:rsidRPr="006309B9">
        <w:rPr>
          <w:rFonts w:ascii="Times New Roman" w:eastAsia="Calibri" w:hAnsi="Times New Roman" w:cs="Times New Roman"/>
          <w:lang w:val="en-GB"/>
        </w:rPr>
        <w:t>dating</w:t>
      </w:r>
      <w:r w:rsidRPr="004C41C8">
        <w:rPr>
          <w:rFonts w:ascii="Times New Roman" w:hAnsi="Times New Roman"/>
          <w:lang w:val="en-GB"/>
        </w:rPr>
        <w:t xml:space="preserve"> to the Sarduri</w:t>
      </w:r>
      <w:r w:rsidRPr="006309B9">
        <w:rPr>
          <w:rFonts w:ascii="Times New Roman" w:eastAsia="Calibri" w:hAnsi="Times New Roman" w:cs="Times New Roman"/>
          <w:lang w:val="en-GB"/>
        </w:rPr>
        <w:t> </w:t>
      </w:r>
      <w:r w:rsidRPr="00700903">
        <w:rPr>
          <w:rFonts w:asciiTheme="majorBidi" w:hAnsiTheme="majorBidi" w:cstheme="majorBidi"/>
          <w:lang w:val="en-GB"/>
        </w:rPr>
        <w:fldChar w:fldCharType="begin"/>
      </w:r>
      <w:r w:rsidRPr="00700903">
        <w:rPr>
          <w:lang w:val="en-GB"/>
        </w:rPr>
        <w:instrText xml:space="preserve"> XE "</w:instrText>
      </w:r>
      <w:r w:rsidRPr="00700903">
        <w:rPr>
          <w:rFonts w:asciiTheme="majorBidi" w:hAnsiTheme="majorBidi" w:cstheme="majorBidi"/>
          <w:iCs/>
          <w:lang w:val="en-GB"/>
        </w:rPr>
        <w:instrText>Sarduri</w:instrText>
      </w:r>
      <w:r w:rsidRPr="00700903">
        <w:rPr>
          <w:lang w:val="en-GB"/>
        </w:rPr>
        <w:instrText xml:space="preserve">" </w:instrText>
      </w:r>
      <w:r w:rsidRPr="00700903">
        <w:rPr>
          <w:rFonts w:asciiTheme="majorBidi" w:hAnsiTheme="majorBidi" w:cstheme="majorBidi"/>
          <w:lang w:val="en-GB"/>
        </w:rPr>
        <w:fldChar w:fldCharType="end"/>
      </w:r>
      <w:r w:rsidRPr="00700903">
        <w:rPr>
          <w:rFonts w:asciiTheme="majorBidi" w:hAnsiTheme="majorBidi" w:cstheme="majorBidi"/>
          <w:lang w:val="en-GB"/>
        </w:rPr>
        <w:t xml:space="preserve"> </w:t>
      </w:r>
      <w:r w:rsidRPr="004C41C8">
        <w:rPr>
          <w:rFonts w:ascii="Times New Roman" w:hAnsi="Times New Roman"/>
          <w:lang w:val="en-GB"/>
        </w:rPr>
        <w:t>I</w:t>
      </w:r>
      <w:r w:rsidRPr="006309B9">
        <w:rPr>
          <w:rFonts w:ascii="Times New Roman" w:eastAsia="Calibri" w:hAnsi="Times New Roman" w:cs="Times New Roman"/>
          <w:lang w:val="en-GB"/>
        </w:rPr>
        <w:t> </w:t>
      </w:r>
      <w:r w:rsidRPr="00700903">
        <w:rPr>
          <w:rFonts w:asciiTheme="majorBid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Sarduri I</w:instrText>
      </w:r>
      <w:r w:rsidRPr="00700903">
        <w:rPr>
          <w:lang w:val="en-GB"/>
        </w:rPr>
        <w:instrText xml:space="preserve">" </w:instrText>
      </w:r>
      <w:r w:rsidRPr="00700903">
        <w:rPr>
          <w:rFonts w:asciiTheme="majorBidi" w:hAnsiTheme="majorBidi" w:cstheme="majorBidi"/>
          <w:lang w:val="en-GB"/>
        </w:rPr>
        <w:fldChar w:fldCharType="end"/>
      </w:r>
      <w:r w:rsidRPr="00700903">
        <w:rPr>
          <w:rFonts w:asciiTheme="majorBidi" w:hAnsiTheme="majorBidi" w:cstheme="majorBidi"/>
          <w:lang w:val="en-GB"/>
        </w:rPr>
        <w:t xml:space="preserve"> </w:t>
      </w:r>
      <w:r w:rsidRPr="004C41C8">
        <w:rPr>
          <w:rFonts w:ascii="Times New Roman" w:hAnsi="Times New Roman"/>
          <w:lang w:val="en-GB"/>
        </w:rPr>
        <w:t>period, the focus would have been on the more efficient use of Ṭušpa and its surroundings. In this context, new additions must have been built towards the northern end of Sardurburç</w:t>
      </w:r>
      <w:r w:rsidRPr="006309B9">
        <w:rPr>
          <w:rFonts w:ascii="Times New Roman" w:eastAsia="Calibri" w:hAnsi="Times New Roman" w:cs="Times New Roman"/>
          <w:lang w:val="en-GB"/>
        </w:rPr>
        <w:t> </w:t>
      </w:r>
      <w:r w:rsidRPr="00700903">
        <w:rPr>
          <w:rFonts w:asciiTheme="majorBid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Sardurburç</w:instrText>
      </w:r>
      <w:r w:rsidRPr="00700903">
        <w:rPr>
          <w:lang w:val="en-GB"/>
        </w:rPr>
        <w:instrText xml:space="preserve">" </w:instrText>
      </w:r>
      <w:r w:rsidRPr="00700903">
        <w:rPr>
          <w:rFonts w:asciiTheme="majorBidi" w:hAnsiTheme="majorBidi" w:cstheme="majorBidi"/>
          <w:lang w:val="en-GB"/>
        </w:rPr>
        <w:fldChar w:fldCharType="end"/>
      </w:r>
      <w:r w:rsidRPr="00700903">
        <w:rPr>
          <w:rFonts w:asciiTheme="majorBidi" w:hAnsiTheme="majorBidi" w:cstheme="majorBidi"/>
          <w:lang w:val="en-GB"/>
        </w:rPr>
        <w:t xml:space="preserve"> </w:t>
      </w:r>
      <w:r w:rsidRPr="004C41C8">
        <w:rPr>
          <w:rFonts w:ascii="Times New Roman" w:hAnsi="Times New Roman"/>
          <w:lang w:val="en-GB"/>
        </w:rPr>
        <w:t xml:space="preserve">Block A, which forms the entrance to the citadel (B and C Blocks). During the reign of </w:t>
      </w:r>
      <w:r w:rsidRPr="006309B9">
        <w:rPr>
          <w:rFonts w:ascii="Times New Roman" w:eastAsia="Calibri" w:hAnsi="Times New Roman" w:cs="Times New Roman"/>
          <w:lang w:val="en-GB"/>
        </w:rPr>
        <w:t>Sarduri's</w:t>
      </w:r>
      <w:r w:rsidRPr="004C41C8">
        <w:rPr>
          <w:rFonts w:ascii="Times New Roman" w:hAnsi="Times New Roman"/>
          <w:lang w:val="en-GB"/>
        </w:rPr>
        <w:t xml:space="preserve"> son Išpuini, additional blocks (B and C) were built to relieve necessities until new cities were built. What these needs were and why this region was preferred is open to interpretation. The fact that this section was sheltered as it was the </w:t>
      </w:r>
      <w:r w:rsidRPr="006309B9">
        <w:rPr>
          <w:rFonts w:ascii="Times New Roman" w:eastAsia="Calibri" w:hAnsi="Times New Roman" w:cs="Times New Roman"/>
          <w:lang w:val="en-GB"/>
        </w:rPr>
        <w:t>citadel's</w:t>
      </w:r>
      <w:r w:rsidRPr="004C41C8">
        <w:rPr>
          <w:rFonts w:ascii="Times New Roman" w:hAnsi="Times New Roman"/>
          <w:lang w:val="en-GB"/>
        </w:rPr>
        <w:t xml:space="preserve"> entrance must be one of the reasons behind the construction of this important building in this area. Additionally, this new expansion would have increased the security of the </w:t>
      </w:r>
      <w:r w:rsidRPr="006309B9">
        <w:rPr>
          <w:rFonts w:ascii="Times New Roman" w:eastAsia="Calibri" w:hAnsi="Times New Roman" w:cs="Times New Roman"/>
          <w:lang w:val="en-GB"/>
        </w:rPr>
        <w:t>citadel's</w:t>
      </w:r>
      <w:r w:rsidRPr="004C41C8">
        <w:rPr>
          <w:rFonts w:ascii="Times New Roman" w:hAnsi="Times New Roman"/>
          <w:lang w:val="en-GB"/>
        </w:rPr>
        <w:t xml:space="preserve"> entrance. However, the gradual development of the structure also suggests that the building was not pre-planned with a defensive function.</w:t>
      </w:r>
    </w:p>
    <w:p w14:paraId="360E111A" w14:textId="77777777" w:rsidR="00EC68C5" w:rsidRPr="004C41C8" w:rsidRDefault="00EC68C5" w:rsidP="002A0E12">
      <w:pPr>
        <w:spacing w:line="276" w:lineRule="auto"/>
        <w:jc w:val="both"/>
        <w:rPr>
          <w:rFonts w:ascii="Times New Roman" w:hAnsi="Times New Roman"/>
          <w:lang w:val="en-GB"/>
        </w:rPr>
      </w:pPr>
    </w:p>
    <w:p w14:paraId="54B2F4FA" w14:textId="4B7F360D" w:rsidR="00EC68C5" w:rsidRPr="004C41C8" w:rsidRDefault="00EC68C5" w:rsidP="002A0E12">
      <w:pPr>
        <w:spacing w:line="276" w:lineRule="auto"/>
        <w:jc w:val="both"/>
        <w:rPr>
          <w:rFonts w:ascii="Times New Roman" w:hAnsi="Times New Roman"/>
          <w:lang w:val="en-GB"/>
        </w:rPr>
      </w:pPr>
      <w:r w:rsidRPr="004C41C8">
        <w:rPr>
          <w:rFonts w:ascii="Times New Roman" w:hAnsi="Times New Roman"/>
          <w:lang w:val="en-GB"/>
        </w:rPr>
        <w:t>The area where Sardurburç</w:t>
      </w:r>
      <w:r w:rsidRPr="006309B9">
        <w:rPr>
          <w:rFonts w:ascii="Times New Roman" w:eastAsia="Calibri" w:hAnsi="Times New Roman" w:cs="Times New Roman"/>
          <w:lang w:val="en-GB"/>
        </w:rPr>
        <w:t> </w:t>
      </w:r>
      <w:r w:rsidRPr="00700903">
        <w:rPr>
          <w:rFonts w:asciiTheme="majorBid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Sardurburç</w:instrText>
      </w:r>
      <w:r w:rsidRPr="00700903">
        <w:rPr>
          <w:lang w:val="en-GB"/>
        </w:rPr>
        <w:instrText xml:space="preserve">" </w:instrText>
      </w:r>
      <w:r w:rsidRPr="00700903">
        <w:rPr>
          <w:rFonts w:asciiTheme="majorBidi" w:hAnsiTheme="majorBidi" w:cstheme="majorBidi"/>
          <w:lang w:val="en-GB"/>
        </w:rPr>
        <w:fldChar w:fldCharType="end"/>
      </w:r>
      <w:r w:rsidRPr="00700903">
        <w:rPr>
          <w:rFonts w:asciiTheme="majorBidi" w:hAnsiTheme="majorBidi" w:cstheme="majorBidi"/>
          <w:lang w:val="en-GB"/>
        </w:rPr>
        <w:t xml:space="preserve"> </w:t>
      </w:r>
      <w:r w:rsidRPr="004C41C8">
        <w:rPr>
          <w:rFonts w:ascii="Times New Roman" w:hAnsi="Times New Roman"/>
          <w:lang w:val="en-GB"/>
        </w:rPr>
        <w:t>is located also allows easy transportation by lake and land. During the period of Sarduri</w:t>
      </w:r>
      <w:r w:rsidRPr="006309B9">
        <w:rPr>
          <w:rFonts w:ascii="Times New Roman" w:eastAsia="Calibri" w:hAnsi="Times New Roman" w:cs="Times New Roman"/>
          <w:lang w:val="en-GB"/>
        </w:rPr>
        <w:t> </w:t>
      </w:r>
      <w:r w:rsidRPr="004C41C8">
        <w:rPr>
          <w:rFonts w:ascii="Times New Roman" w:hAnsi="Times New Roman"/>
          <w:lang w:val="en-GB"/>
        </w:rPr>
        <w:t>I</w:t>
      </w:r>
      <w:r w:rsidR="00C1513A">
        <w:rPr>
          <w:rFonts w:ascii="Times New Roman" w:hAnsi="Times New Roman"/>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imes New Roman" w:hAnsi="Times New Roman"/>
          <w:lang w:val="en-GB"/>
        </w:rPr>
        <w:fldChar w:fldCharType="end"/>
      </w:r>
      <w:r w:rsidRPr="006309B9">
        <w:rPr>
          <w:rFonts w:ascii="Times New Roman" w:eastAsia="Calibri" w:hAnsi="Times New Roman" w:cs="Times New Roman"/>
          <w:lang w:val="en-GB"/>
        </w:rPr>
        <w:t>,</w:t>
      </w:r>
      <w:r w:rsidRPr="00700903">
        <w:rPr>
          <w:rFonts w:asciiTheme="majorBid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Sarduri I</w:instrText>
      </w:r>
      <w:r w:rsidRPr="00700903">
        <w:rPr>
          <w:lang w:val="en-GB"/>
        </w:rPr>
        <w:instrText xml:space="preserve">" </w:instrText>
      </w:r>
      <w:r w:rsidRPr="00700903">
        <w:rPr>
          <w:rFonts w:asciiTheme="majorBidi" w:hAnsiTheme="majorBidi" w:cstheme="majorBidi"/>
          <w:lang w:val="en-GB"/>
        </w:rPr>
        <w:fldChar w:fldCharType="end"/>
      </w:r>
      <w:r w:rsidRPr="00700903">
        <w:rPr>
          <w:rFonts w:asciiTheme="majorBidi" w:hAnsiTheme="majorBidi" w:cstheme="majorBidi"/>
          <w:lang w:val="en-GB"/>
        </w:rPr>
        <w:t>,</w:t>
      </w:r>
      <w:r w:rsidRPr="004C41C8">
        <w:rPr>
          <w:rFonts w:ascii="Times New Roman" w:hAnsi="Times New Roman"/>
          <w:lang w:val="en-GB"/>
        </w:rPr>
        <w:t xml:space="preserve"> who declared the establishment of his kingdom with the inscriptions on Sardurburç Blocks B and C, the increased harvest or tax revenues may have been insufficient for the increasing storage needs of the capital Ṭušpa</w:t>
      </w:r>
      <w:r w:rsidRPr="006309B9">
        <w:rPr>
          <w:rFonts w:ascii="Times New Roman" w:eastAsia="Calibri" w:hAnsi="Times New Roman" w:cs="Times New Roman"/>
          <w:lang w:val="en-GB"/>
        </w:rPr>
        <w:t> </w:t>
      </w:r>
      <w:r w:rsidRPr="004C41C8">
        <w:rPr>
          <w:rFonts w:ascii="Times New Roman" w:hAnsi="Times New Roman"/>
          <w:lang w:val="en-GB"/>
        </w:rPr>
        <w:t>citadel. Sardurburç Blocks B and C might have been built to store the large quantities of grain obtained. This suggests that Blocks B and C may have been built as a royal warehouse in line with the specific needs of the period until the establishment of new cities was completed during the Išpuini</w:t>
      </w:r>
      <w:r w:rsidR="00C1513A">
        <w:rPr>
          <w:rFonts w:ascii="Times New Roman" w:hAnsi="Times New Roman"/>
          <w:lang w:val="en-GB"/>
        </w:rPr>
        <w:fldChar w:fldCharType="begin"/>
      </w:r>
      <w:r w:rsidR="00C1513A">
        <w:instrText xml:space="preserve"> XE "</w:instrText>
      </w:r>
      <w:r w:rsidR="00C1513A" w:rsidRPr="00F31B27">
        <w:rPr>
          <w:rFonts w:asciiTheme="majorBidi" w:eastAsia="Times New Roman" w:hAnsiTheme="majorBidi" w:cstheme="majorBidi"/>
          <w:iCs/>
        </w:rPr>
        <w:instrText>Išpuini</w:instrText>
      </w:r>
      <w:r w:rsidR="00C1513A">
        <w:instrText xml:space="preserve">" </w:instrText>
      </w:r>
      <w:r w:rsidR="00C1513A">
        <w:rPr>
          <w:rFonts w:ascii="Times New Roman" w:hAnsi="Times New Roman"/>
          <w:lang w:val="en-GB"/>
        </w:rPr>
        <w:fldChar w:fldCharType="end"/>
      </w:r>
      <w:r w:rsidRPr="006309B9">
        <w:rPr>
          <w:rFonts w:ascii="Times New Roman" w:eastAsia="Calibri" w:hAnsi="Times New Roman" w:cs="Times New Roman"/>
          <w:lang w:val="en-GB"/>
        </w:rPr>
        <w:t> period.</w:t>
      </w:r>
      <w:r w:rsidRPr="004C41C8">
        <w:rPr>
          <w:rFonts w:ascii="Times New Roman" w:hAnsi="Times New Roman"/>
          <w:lang w:val="en-GB"/>
        </w:rPr>
        <w:t xml:space="preserve"> However, this assumption cannot be proved due to the use seen on the building in the late period. </w:t>
      </w:r>
    </w:p>
    <w:p w14:paraId="706CEF30" w14:textId="77777777" w:rsidR="00EC68C5" w:rsidRPr="004C41C8" w:rsidRDefault="00EC68C5" w:rsidP="00EC68C5">
      <w:pPr>
        <w:spacing w:line="276" w:lineRule="auto"/>
        <w:rPr>
          <w:rFonts w:ascii="Times New Roman" w:hAnsi="Times New Roman"/>
          <w:lang w:val="en-GB"/>
        </w:rPr>
      </w:pPr>
    </w:p>
    <w:p w14:paraId="1E20F282" w14:textId="5A3D4F05"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Another set of data supporting this situation, although it belongs to a later period, provides clues as to how the structures in and around Sardurburç</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may have similar functions. It is interesting that an inscription (Fig. 37) (CTU I. A 5-66) from the period of Minua</w:t>
      </w:r>
      <w:r w:rsidRPr="006309B9">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Minua</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son of Išpuini</w:t>
      </w:r>
      <w:r w:rsidRPr="006309B9">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6371BE">
        <w:rPr>
          <w:rFonts w:asciiTheme="majorBidi" w:hAnsiTheme="majorBidi" w:cstheme="majorBidi"/>
          <w:lang w:val="en-GB"/>
        </w:rPr>
        <w:instrText>Išpuini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located in a small niche on the bedrock just east of Sardurburç, states that a silo/storage with a capacity of 23.190 kapi was built in this area. The </w:t>
      </w:r>
      <w:r w:rsidRPr="006309B9">
        <w:rPr>
          <w:rFonts w:ascii="Times New Roman" w:eastAsia="Calibri" w:hAnsi="Times New Roman" w:cs="Times New Roman"/>
          <w:lang w:val="en-GB"/>
        </w:rPr>
        <w:t>"</w:t>
      </w:r>
      <w:r w:rsidR="004B0374">
        <w:rPr>
          <w:rFonts w:ascii="Times New Roman" w:hAnsi="Times New Roman"/>
          <w:lang w:val="en-GB"/>
        </w:rPr>
        <w:t>k</w:t>
      </w:r>
      <w:r w:rsidRPr="004C41C8">
        <w:rPr>
          <w:rFonts w:ascii="Times New Roman" w:hAnsi="Times New Roman"/>
          <w:lang w:val="en-GB"/>
        </w:rPr>
        <w:t>api</w:t>
      </w:r>
      <w:r w:rsidRPr="006309B9">
        <w:rPr>
          <w:rFonts w:ascii="Times New Roman" w:eastAsia="Calibri" w:hAnsi="Times New Roman" w:cs="Times New Roman"/>
          <w:lang w:val="en-GB"/>
        </w:rPr>
        <w:t>"</w:t>
      </w:r>
      <w:r w:rsidRPr="00DF3513">
        <w:rPr>
          <w:rFonts w:ascii="Times New Roman" w:hAnsi="Times New Roman"/>
          <w:lang w:val="en-GB"/>
        </w:rPr>
        <w:t xml:space="preserve"> mentioned in the inscription is a unit of measure used </w:t>
      </w:r>
      <w:r w:rsidRPr="006309B9">
        <w:rPr>
          <w:rFonts w:ascii="Times New Roman" w:eastAsia="Calibri" w:hAnsi="Times New Roman" w:cs="Times New Roman"/>
          <w:lang w:val="en-GB"/>
        </w:rPr>
        <w:t>to calculate</w:t>
      </w:r>
      <w:r w:rsidRPr="004C41C8">
        <w:rPr>
          <w:rFonts w:ascii="Times New Roman" w:hAnsi="Times New Roman"/>
          <w:lang w:val="en-GB"/>
        </w:rPr>
        <w:t xml:space="preserve"> grains such as barley and wheat. </w:t>
      </w:r>
      <w:r w:rsidRPr="006309B9">
        <w:rPr>
          <w:rFonts w:ascii="Times New Roman" w:eastAsia="Calibri" w:hAnsi="Times New Roman" w:cs="Times New Roman"/>
          <w:lang w:val="en-GB"/>
        </w:rPr>
        <w:t>According</w:t>
      </w:r>
      <w:r w:rsidRPr="004C41C8">
        <w:rPr>
          <w:rFonts w:ascii="Times New Roman" w:hAnsi="Times New Roman"/>
          <w:lang w:val="en-GB"/>
        </w:rPr>
        <w:t xml:space="preserve"> to the information in the inscription, </w:t>
      </w:r>
      <w:r w:rsidRPr="006309B9">
        <w:rPr>
          <w:rFonts w:ascii="Times New Roman" w:eastAsia="Calibri" w:hAnsi="Times New Roman" w:cs="Times New Roman"/>
          <w:lang w:val="en-GB"/>
        </w:rPr>
        <w:t>one kapi is approximately 14.8 liters, and</w:t>
      </w:r>
      <w:r w:rsidRPr="004C41C8">
        <w:rPr>
          <w:rFonts w:ascii="Times New Roman" w:hAnsi="Times New Roman"/>
          <w:lang w:val="en-GB"/>
        </w:rPr>
        <w:t xml:space="preserve"> 23.190 kapi correspond to approximately 343.212 </w:t>
      </w:r>
      <w:r w:rsidRPr="006309B9">
        <w:rPr>
          <w:rFonts w:ascii="Times New Roman" w:eastAsia="Calibri" w:hAnsi="Times New Roman" w:cs="Times New Roman"/>
          <w:lang w:val="en-GB"/>
        </w:rPr>
        <w:t>liters</w:t>
      </w:r>
      <w:r w:rsidRPr="004C41C8">
        <w:rPr>
          <w:rFonts w:ascii="Times New Roman" w:hAnsi="Times New Roman"/>
          <w:lang w:val="en-GB"/>
        </w:rPr>
        <w:t xml:space="preserve"> (Payne, 2001; Payne, 2002: 2; Payne, 2005). This figure represents the amount that a warehouse structure with the size of Sardurburç Blocks B and C can easily take. Although it is </w:t>
      </w:r>
      <w:r w:rsidRPr="006309B9">
        <w:rPr>
          <w:rFonts w:ascii="Times New Roman" w:eastAsia="Calibri" w:hAnsi="Times New Roman" w:cs="Times New Roman"/>
          <w:lang w:val="en-GB"/>
        </w:rPr>
        <w:t>uncertain</w:t>
      </w:r>
      <w:r w:rsidRPr="004C41C8">
        <w:rPr>
          <w:rFonts w:ascii="Times New Roman" w:hAnsi="Times New Roman"/>
          <w:lang w:val="en-GB"/>
        </w:rPr>
        <w:t xml:space="preserve"> whether the inscription </w:t>
      </w:r>
      <w:r w:rsidRPr="006309B9">
        <w:rPr>
          <w:rFonts w:ascii="Times New Roman" w:eastAsia="Calibri" w:hAnsi="Times New Roman" w:cs="Times New Roman"/>
          <w:lang w:val="en-GB"/>
        </w:rPr>
        <w:t>refers</w:t>
      </w:r>
      <w:r w:rsidRPr="004C41C8">
        <w:rPr>
          <w:rFonts w:ascii="Times New Roman" w:hAnsi="Times New Roman"/>
          <w:lang w:val="en-GB"/>
        </w:rPr>
        <w:t xml:space="preserve"> to Sardurburç, it may be a clue to understanding the ongoing functions of the possible structures here since the Sarduri</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iCs/>
          <w:lang w:val="en-GB"/>
        </w:rPr>
        <w:instrText>Sarduri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period. Considering that many new cities were established in </w:t>
      </w:r>
      <w:r w:rsidRPr="006309B9">
        <w:rPr>
          <w:rFonts w:ascii="Times New Roman" w:eastAsia="Calibri" w:hAnsi="Times New Roman" w:cs="Times New Roman"/>
          <w:lang w:val="en-GB"/>
        </w:rPr>
        <w:t>Minua's</w:t>
      </w:r>
      <w:r w:rsidRPr="004C41C8">
        <w:rPr>
          <w:rFonts w:ascii="Times New Roman" w:hAnsi="Times New Roman"/>
          <w:lang w:val="en-GB"/>
        </w:rPr>
        <w:t xml:space="preserve"> period, it makes sense that the capital's need for storage continued to increase even in </w:t>
      </w:r>
      <w:r w:rsidR="002A0E12" w:rsidRPr="006309B9">
        <w:rPr>
          <w:rFonts w:ascii="Times New Roman" w:eastAsia="Calibri" w:hAnsi="Times New Roman" w:cs="Times New Roman"/>
          <w:lang w:val="en-GB"/>
        </w:rPr>
        <w:t>this</w:t>
      </w:r>
      <w:r w:rsidR="002A0E12" w:rsidRPr="004C41C8">
        <w:rPr>
          <w:rFonts w:ascii="Times New Roman" w:hAnsi="Times New Roman"/>
          <w:lang w:val="en-GB"/>
        </w:rPr>
        <w:t xml:space="preserve"> period, and new royal </w:t>
      </w:r>
      <w:r w:rsidR="002A0E12" w:rsidRPr="004C41C8">
        <w:rPr>
          <w:rFonts w:ascii="Times New Roman" w:hAnsi="Times New Roman"/>
          <w:lang w:val="en-GB"/>
        </w:rPr>
        <w:lastRenderedPageBreak/>
        <w:t>warehouse</w:t>
      </w:r>
      <w:r w:rsidRPr="004C41C8">
        <w:rPr>
          <w:rFonts w:ascii="Times New Roman" w:hAnsi="Times New Roman"/>
          <w:lang w:val="en-GB"/>
        </w:rPr>
        <w:t xml:space="preserve"> were needed. Additionally, this inscription may </w:t>
      </w:r>
      <w:r w:rsidRPr="006309B9">
        <w:rPr>
          <w:rFonts w:ascii="Times New Roman" w:eastAsia="Calibri" w:hAnsi="Times New Roman" w:cs="Times New Roman"/>
          <w:lang w:val="en-GB"/>
        </w:rPr>
        <w:t>indicate</w:t>
      </w:r>
      <w:r w:rsidRPr="004C41C8">
        <w:rPr>
          <w:rFonts w:ascii="Times New Roman" w:hAnsi="Times New Roman"/>
          <w:lang w:val="en-GB"/>
        </w:rPr>
        <w:t xml:space="preserve"> a repair or addition to the Sardurburç structure during the reign of Minua.</w:t>
      </w:r>
    </w:p>
    <w:p w14:paraId="7104389E"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37 CTU I. A 5-66 inscription which located near the Sardurburç</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Sardurburç</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w:t>
      </w:r>
      <w:r w:rsidRPr="00CE54AB">
        <w:rPr>
          <w:rFonts w:ascii="Times New Roman" w:eastAsia="Calibri" w:hAnsi="Times New Roman" w:cs="Times New Roman"/>
          <w:bCs/>
          <w:noProof/>
        </w:rPr>
        <w:drawing>
          <wp:anchor distT="0" distB="0" distL="114300" distR="114300" simplePos="0" relativeHeight="251886592" behindDoc="0" locked="0" layoutInCell="1" allowOverlap="1" wp14:anchorId="65BEBCFB" wp14:editId="6164D1A2">
            <wp:simplePos x="0" y="0"/>
            <wp:positionH relativeFrom="margin">
              <wp:align>center</wp:align>
            </wp:positionH>
            <wp:positionV relativeFrom="paragraph">
              <wp:posOffset>3810</wp:posOffset>
            </wp:positionV>
            <wp:extent cx="5756910" cy="3837940"/>
            <wp:effectExtent l="19050" t="19050" r="15240" b="10160"/>
            <wp:wrapTopAndBottom/>
            <wp:docPr id="69285461" name="Resim 69285461" descr="C:\Users\Asus\Desktop\Sardurburç Düzeltme 2024 ocak\Hocaya gönderilen_08_08_2021\Figur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us\Desktop\Sardurburç Düzeltme 2024 ocak\Hocaya gönderilen_08_08_2021\Figures\37.JPG"/>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756910" cy="3837940"/>
                    </a:xfrm>
                    <a:prstGeom prst="rect">
                      <a:avLst/>
                    </a:prstGeom>
                    <a:noFill/>
                    <a:ln>
                      <a:solidFill>
                        <a:sysClr val="windowText" lastClr="000000"/>
                      </a:solidFill>
                    </a:ln>
                  </pic:spPr>
                </pic:pic>
              </a:graphicData>
            </a:graphic>
          </wp:anchor>
        </w:drawing>
      </w:r>
    </w:p>
    <w:p w14:paraId="49FD0BF8" w14:textId="77777777" w:rsidR="00EC68C5" w:rsidRPr="004C41C8" w:rsidRDefault="00EC68C5" w:rsidP="00EC68C5">
      <w:pPr>
        <w:spacing w:line="276" w:lineRule="auto"/>
        <w:ind w:firstLine="708"/>
        <w:jc w:val="both"/>
        <w:rPr>
          <w:rFonts w:ascii="Times New Roman" w:hAnsi="Times New Roman"/>
          <w:lang w:val="en-GB"/>
        </w:rPr>
      </w:pPr>
    </w:p>
    <w:p w14:paraId="0BC10BA1" w14:textId="5CB84943"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The chronological difference between Block A and Block C is also seen between Block B, which is in the north, and Block C, which is in the middle. Block C sits on Block B</w:t>
      </w:r>
      <w:r w:rsidRPr="006309B9">
        <w:rPr>
          <w:rFonts w:ascii="Times New Roman" w:eastAsia="Calibri" w:hAnsi="Times New Roman" w:cs="Times New Roman"/>
          <w:lang w:val="en-GB"/>
        </w:rPr>
        <w:t>,</w:t>
      </w:r>
      <w:r w:rsidRPr="004C41C8">
        <w:rPr>
          <w:rFonts w:ascii="Times New Roman" w:hAnsi="Times New Roman"/>
          <w:lang w:val="en-GB"/>
        </w:rPr>
        <w:t xml:space="preserve"> just like Block A. This situation can be seen on the east and west facades where both blocks meet. The overlay technique applied on the west and north-facing exteriors of Block B was also applied in the section joining the C Block in the interior, and the flattening of these interior joining surfaces shows that it is not an application related to the construction technique. This indicates that the building was not planned </w:t>
      </w:r>
      <w:r w:rsidR="002A0E12" w:rsidRPr="004C41C8">
        <w:rPr>
          <w:rFonts w:ascii="Times New Roman" w:hAnsi="Times New Roman"/>
          <w:lang w:val="en-GB"/>
        </w:rPr>
        <w:t>as a whole,</w:t>
      </w:r>
      <w:r w:rsidRPr="004C41C8">
        <w:rPr>
          <w:rFonts w:ascii="Times New Roman" w:hAnsi="Times New Roman"/>
          <w:lang w:val="en-GB"/>
        </w:rPr>
        <w:t xml:space="preserve"> and that Block B </w:t>
      </w:r>
      <w:r w:rsidRPr="006309B9">
        <w:rPr>
          <w:rFonts w:ascii="Times New Roman" w:eastAsia="Calibri" w:hAnsi="Times New Roman" w:cs="Times New Roman"/>
          <w:lang w:val="en-GB"/>
        </w:rPr>
        <w:t>is</w:t>
      </w:r>
      <w:r w:rsidRPr="004C41C8">
        <w:rPr>
          <w:rFonts w:ascii="Times New Roman" w:hAnsi="Times New Roman"/>
          <w:lang w:val="en-GB"/>
        </w:rPr>
        <w:t xml:space="preserve"> earlier than Block C. The first Assyrian</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inscription facing the western facade of Block B was written during this period when </w:t>
      </w:r>
      <w:r w:rsidRPr="006309B9">
        <w:rPr>
          <w:rFonts w:ascii="Times New Roman" w:eastAsia="Calibri" w:hAnsi="Times New Roman" w:cs="Times New Roman"/>
          <w:lang w:val="en-GB"/>
        </w:rPr>
        <w:t>Urartu</w:t>
      </w:r>
      <w:r w:rsidRPr="004C41C8">
        <w:rPr>
          <w:rFonts w:ascii="Times New Roman" w:hAnsi="Times New Roman"/>
          <w:lang w:val="en-GB"/>
        </w:rPr>
        <w:t xml:space="preserve"> first started to </w:t>
      </w:r>
      <w:r w:rsidRPr="006309B9">
        <w:rPr>
          <w:rFonts w:ascii="Times New Roman" w:eastAsia="Calibri" w:hAnsi="Times New Roman" w:cs="Times New Roman"/>
          <w:lang w:val="en-GB"/>
        </w:rPr>
        <w:t>use the writing </w:t>
      </w:r>
      <w:r w:rsidRPr="004C41C8">
        <w:rPr>
          <w:rFonts w:ascii="Times New Roman" w:hAnsi="Times New Roman"/>
          <w:lang w:val="en-GB"/>
        </w:rPr>
        <w:t>(CTU I. A 1-1A).</w:t>
      </w:r>
    </w:p>
    <w:p w14:paraId="07E7CD7F" w14:textId="77777777" w:rsidR="00EC68C5" w:rsidRPr="004C41C8" w:rsidRDefault="00EC68C5" w:rsidP="00EC68C5">
      <w:pPr>
        <w:spacing w:line="276" w:lineRule="auto"/>
        <w:jc w:val="both"/>
        <w:rPr>
          <w:rFonts w:ascii="Times New Roman" w:hAnsi="Times New Roman"/>
          <w:lang w:val="en-GB"/>
        </w:rPr>
      </w:pPr>
    </w:p>
    <w:p w14:paraId="62C348D7" w14:textId="4CBB435E"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When evaluated together with the architecture, it should be considered that Sardurburç</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inscriptions</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 inscriptions</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may have been written in several stages during the period of Sarduri</w:t>
      </w:r>
      <w:r w:rsidRPr="006309B9">
        <w:rPr>
          <w:rFonts w:ascii="Times New Roman" w:eastAsia="Calibri" w:hAnsi="Times New Roman" w:cs="Times New Roman"/>
          <w:lang w:val="en-GB"/>
        </w:rPr>
        <w:t> </w:t>
      </w:r>
      <w:r w:rsidRPr="004C41C8">
        <w:rPr>
          <w:rFonts w:ascii="Times New Roman" w:hAnsi="Times New Roman"/>
          <w:lang w:val="en-GB"/>
        </w:rPr>
        <w:t>I</w:t>
      </w:r>
      <w:r w:rsidR="00C1513A">
        <w:rPr>
          <w:rFonts w:ascii="Times New Roman" w:hAnsi="Times New Roman"/>
          <w:lang w:val="en-GB"/>
        </w:rPr>
        <w:fldChar w:fldCharType="begin"/>
      </w:r>
      <w:r w:rsidR="00C1513A">
        <w:instrText xml:space="preserve"> XE "</w:instrText>
      </w:r>
      <w:r w:rsidR="00C1513A" w:rsidRPr="005C20B5">
        <w:rPr>
          <w:rFonts w:asciiTheme="majorBidi" w:eastAsia="Times New Roman" w:hAnsiTheme="majorBidi" w:cstheme="majorBidi"/>
          <w:iCs/>
        </w:rPr>
        <w:instrText>Sarduri I</w:instrText>
      </w:r>
      <w:r w:rsidR="00C1513A">
        <w:instrText xml:space="preserve">" </w:instrText>
      </w:r>
      <w:r w:rsidR="00C1513A">
        <w:rPr>
          <w:rFonts w:ascii="Times New Roman" w:hAnsi="Times New Roman"/>
          <w:lang w:val="en-GB"/>
        </w:rPr>
        <w:fldChar w:fldCharType="end"/>
      </w:r>
      <w:r w:rsidRPr="006309B9">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Sarduri 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The inscription CTU I. A 1-1A, which shows considerably more archaic features than the others, was inscribed on the western facade of Block B in the first period when writing was first utilized in Urartu</w:t>
      </w:r>
      <w:r w:rsidRPr="006309B9">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C41C8">
        <w:rPr>
          <w:rFonts w:ascii="Times New Roman" w:hAnsi="Times New Roman"/>
          <w:lang w:val="en-GB"/>
        </w:rPr>
        <w:t xml:space="preserve"> The remaining (CTU I. A 1-1B/C/D/E/F) inscriptions must have been inscribed in the second phase after the construction of Block C, in parallel with their more elaborate craftsmanship and the architectural development described in detail above. It can be said that the tradition of writing inscriptions in three copies in Urartu emerged from the third architectural construction phase of Sardurburç "C Block</w:t>
      </w:r>
      <w:r w:rsidRPr="006309B9">
        <w:rPr>
          <w:rFonts w:ascii="Times New Roman" w:eastAsia="Calibri" w:hAnsi="Times New Roman" w:cs="Times New Roman"/>
          <w:lang w:val="en-GB"/>
        </w:rPr>
        <w:t>"</w:t>
      </w:r>
      <w:r>
        <w:rPr>
          <w:rFonts w:ascii="Times New Roman" w:eastAsia="Calibri" w:hAnsi="Times New Roman" w:cs="Times New Roman"/>
          <w:lang w:val="en-GB"/>
        </w:rPr>
        <w:t>.</w:t>
      </w:r>
      <w:r w:rsidRPr="004C41C8">
        <w:rPr>
          <w:rFonts w:ascii="Times New Roman" w:hAnsi="Times New Roman"/>
          <w:lang w:val="en-GB"/>
        </w:rPr>
        <w:t xml:space="preserve"> The architectural chronological development of Sardurburç also supports this theory. </w:t>
      </w:r>
    </w:p>
    <w:p w14:paraId="78CE59C9" w14:textId="77777777" w:rsidR="00EC68C5" w:rsidRPr="004C41C8" w:rsidRDefault="00EC68C5" w:rsidP="00EC68C5">
      <w:pPr>
        <w:spacing w:line="276" w:lineRule="auto"/>
        <w:jc w:val="both"/>
        <w:rPr>
          <w:rFonts w:ascii="Times New Roman" w:hAnsi="Times New Roman"/>
          <w:lang w:val="en-GB"/>
        </w:rPr>
      </w:pPr>
    </w:p>
    <w:p w14:paraId="1F5773A0"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At this stage, the question arises as to why</w:t>
      </w:r>
      <w:r w:rsidRPr="006309B9">
        <w:rPr>
          <w:rFonts w:ascii="Times New Roman" w:eastAsia="Calibri" w:hAnsi="Times New Roman" w:cs="Times New Roman"/>
          <w:lang w:val="en-GB"/>
        </w:rPr>
        <w:t>,</w:t>
      </w:r>
      <w:r w:rsidRPr="004C41C8">
        <w:rPr>
          <w:rFonts w:ascii="Times New Roman" w:hAnsi="Times New Roman"/>
          <w:lang w:val="en-GB"/>
        </w:rPr>
        <w:t xml:space="preserve"> during the second phase, Block B was built at such a far point rather than adjacent to the entrance gate of Block A. Contextually, there should be a reason behind building Block B further away in the second phase of this gradual development. The ground level of Block A, which is the earliest part at the entrance of the citadel, can be determined </w:t>
      </w:r>
      <w:r w:rsidRPr="006309B9">
        <w:rPr>
          <w:rFonts w:ascii="Times New Roman" w:eastAsia="Calibri" w:hAnsi="Times New Roman" w:cs="Times New Roman"/>
          <w:lang w:val="en-GB"/>
        </w:rPr>
        <w:t>by</w:t>
      </w:r>
      <w:r w:rsidRPr="004C41C8">
        <w:rPr>
          <w:rFonts w:ascii="Times New Roman" w:hAnsi="Times New Roman"/>
          <w:lang w:val="en-GB"/>
        </w:rPr>
        <w:t xml:space="preserve"> examining the foundation beds in the bedrock and the foundation stone with the door shaft socket (Fig. 38). Therefore, it is possible to consider the possibility that there used to be a ramp, or a similar additional part used to reach the citadel, which is approximately 300 cm from the ground. According to this assumption, Block B might have been built further away at this early stage in order for Block A to continue to function as the </w:t>
      </w:r>
      <w:r w:rsidRPr="006309B9">
        <w:rPr>
          <w:rFonts w:ascii="Times New Roman" w:eastAsia="Calibri" w:hAnsi="Times New Roman" w:cs="Times New Roman"/>
          <w:lang w:val="en-GB"/>
        </w:rPr>
        <w:t>citadel's</w:t>
      </w:r>
      <w:r w:rsidRPr="004C41C8">
        <w:rPr>
          <w:rFonts w:ascii="Times New Roman" w:hAnsi="Times New Roman"/>
          <w:lang w:val="en-GB"/>
        </w:rPr>
        <w:t xml:space="preserve"> entrance point (Fig. 39). However, after a while</w:t>
      </w:r>
      <w:r w:rsidRPr="006309B9">
        <w:rPr>
          <w:rFonts w:ascii="Times New Roman" w:eastAsia="Calibri" w:hAnsi="Times New Roman" w:cs="Times New Roman"/>
          <w:lang w:val="en-GB"/>
        </w:rPr>
        <w:t>,</w:t>
      </w:r>
      <w:r w:rsidRPr="004C41C8">
        <w:rPr>
          <w:rFonts w:ascii="Times New Roman" w:hAnsi="Times New Roman"/>
          <w:lang w:val="en-GB"/>
        </w:rPr>
        <w:t xml:space="preserve"> Block B might be insufficient</w:t>
      </w:r>
      <w:r w:rsidRPr="006309B9">
        <w:rPr>
          <w:rFonts w:ascii="Times New Roman" w:eastAsia="Calibri" w:hAnsi="Times New Roman" w:cs="Times New Roman"/>
          <w:lang w:val="en-GB"/>
        </w:rPr>
        <w:t>,</w:t>
      </w:r>
      <w:r w:rsidRPr="004C41C8">
        <w:rPr>
          <w:rFonts w:ascii="Times New Roman" w:hAnsi="Times New Roman"/>
          <w:lang w:val="en-GB"/>
        </w:rPr>
        <w:t xml:space="preserve"> and the building expanded to increase its capacity by constructing Block C.</w:t>
      </w:r>
    </w:p>
    <w:p w14:paraId="78FB817C" w14:textId="77777777" w:rsidR="00EC68C5" w:rsidRPr="004C41C8" w:rsidRDefault="00EC68C5" w:rsidP="00EC68C5">
      <w:pPr>
        <w:spacing w:line="276" w:lineRule="auto"/>
        <w:ind w:firstLine="708"/>
        <w:jc w:val="both"/>
        <w:rPr>
          <w:rFonts w:ascii="Times New Roman" w:hAnsi="Times New Roman"/>
          <w:lang w:val="en-GB"/>
        </w:rPr>
      </w:pPr>
    </w:p>
    <w:p w14:paraId="63A3735F"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 xml:space="preserve">Fig. 38 </w:t>
      </w:r>
      <w:r w:rsidRPr="004C41C8">
        <w:rPr>
          <w:rFonts w:ascii="Times New Roman" w:hAnsi="Times New Roman"/>
          <w:i/>
          <w:lang w:val="en-GB"/>
        </w:rPr>
        <w:t xml:space="preserve">In situ </w:t>
      </w:r>
      <w:r w:rsidRPr="004C41C8">
        <w:rPr>
          <w:rFonts w:ascii="Times New Roman" w:hAnsi="Times New Roman"/>
          <w:lang w:val="en-GB"/>
        </w:rPr>
        <w:t>position of the door shaft socket stone (Lake &amp; Lake, 1939; Korfmann, 1977).</w:t>
      </w:r>
      <w:r w:rsidRPr="00CE54AB">
        <w:rPr>
          <w:rFonts w:ascii="Times New Roman" w:eastAsia="Calibri" w:hAnsi="Times New Roman" w:cs="Times New Roman"/>
          <w:bCs/>
          <w:noProof/>
        </w:rPr>
        <w:drawing>
          <wp:anchor distT="0" distB="0" distL="114300" distR="114300" simplePos="0" relativeHeight="251887616" behindDoc="0" locked="0" layoutInCell="1" allowOverlap="1" wp14:anchorId="73CB15A1" wp14:editId="5109C343">
            <wp:simplePos x="0" y="0"/>
            <wp:positionH relativeFrom="margin">
              <wp:align>center</wp:align>
            </wp:positionH>
            <wp:positionV relativeFrom="paragraph">
              <wp:posOffset>0</wp:posOffset>
            </wp:positionV>
            <wp:extent cx="5756910" cy="3541393"/>
            <wp:effectExtent l="19050" t="19050" r="15240" b="21590"/>
            <wp:wrapTopAndBottom/>
            <wp:docPr id="105101504" name="Resim 105101504" descr="C:\Users\Asus\Desktop\Sardurburç Düzeltme 2024 ocak\Hocaya gönderilen_08_08_2021\Figure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sus\Desktop\Sardurburç Düzeltme 2024 ocak\Hocaya gönderilen_08_08_2021\Figures\38.jpg"/>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5756910" cy="3541393"/>
                    </a:xfrm>
                    <a:prstGeom prst="rect">
                      <a:avLst/>
                    </a:prstGeom>
                    <a:noFill/>
                    <a:ln>
                      <a:solidFill>
                        <a:sysClr val="windowText" lastClr="000000"/>
                      </a:solidFill>
                    </a:ln>
                  </pic:spPr>
                </pic:pic>
              </a:graphicData>
            </a:graphic>
          </wp:anchor>
        </w:drawing>
      </w:r>
    </w:p>
    <w:p w14:paraId="108DF0FC" w14:textId="77777777" w:rsidR="00EC68C5" w:rsidRPr="004C41C8" w:rsidRDefault="00EC68C5" w:rsidP="00EC68C5">
      <w:pPr>
        <w:spacing w:line="276" w:lineRule="auto"/>
        <w:jc w:val="both"/>
        <w:rPr>
          <w:rFonts w:ascii="Times New Roman" w:hAnsi="Times New Roman"/>
          <w:lang w:val="en-GB"/>
        </w:rPr>
      </w:pPr>
    </w:p>
    <w:p w14:paraId="3062B57C" w14:textId="77777777" w:rsidR="00EC68C5" w:rsidRPr="004C41C8" w:rsidRDefault="00EC68C5" w:rsidP="00EC68C5">
      <w:pPr>
        <w:spacing w:line="276" w:lineRule="auto"/>
        <w:jc w:val="both"/>
        <w:rPr>
          <w:rFonts w:ascii="Times New Roman" w:hAnsi="Times New Roman"/>
          <w:lang w:val="en-GB"/>
        </w:rPr>
      </w:pPr>
    </w:p>
    <w:p w14:paraId="55D929E4" w14:textId="77777777" w:rsidR="00EC68C5" w:rsidRPr="004C41C8" w:rsidRDefault="00EC68C5" w:rsidP="00EC68C5">
      <w:pPr>
        <w:spacing w:line="276" w:lineRule="auto"/>
        <w:jc w:val="both"/>
        <w:rPr>
          <w:rFonts w:ascii="Times New Roman" w:hAnsi="Times New Roman"/>
          <w:lang w:val="en-GB"/>
        </w:rPr>
      </w:pPr>
    </w:p>
    <w:p w14:paraId="0728F37D" w14:textId="77777777" w:rsidR="00EC68C5" w:rsidRPr="004C41C8" w:rsidRDefault="00EC68C5" w:rsidP="00EC68C5">
      <w:pPr>
        <w:spacing w:line="276" w:lineRule="auto"/>
        <w:jc w:val="both"/>
        <w:rPr>
          <w:rFonts w:ascii="Times New Roman" w:hAnsi="Times New Roman"/>
          <w:lang w:val="en-GB"/>
        </w:rPr>
      </w:pPr>
    </w:p>
    <w:p w14:paraId="4911A5DA" w14:textId="77777777" w:rsidR="00EC68C5" w:rsidRPr="004C41C8" w:rsidRDefault="00EC68C5" w:rsidP="00EC68C5">
      <w:pPr>
        <w:spacing w:line="276" w:lineRule="auto"/>
        <w:jc w:val="both"/>
        <w:rPr>
          <w:rFonts w:ascii="Times New Roman" w:hAnsi="Times New Roman"/>
          <w:lang w:val="en-GB"/>
        </w:rPr>
      </w:pPr>
    </w:p>
    <w:p w14:paraId="451472D0" w14:textId="77777777" w:rsidR="00EC68C5" w:rsidRPr="004C41C8" w:rsidRDefault="00EC68C5" w:rsidP="00EC68C5">
      <w:pPr>
        <w:spacing w:line="276" w:lineRule="auto"/>
        <w:jc w:val="both"/>
        <w:rPr>
          <w:rFonts w:ascii="Times New Roman" w:hAnsi="Times New Roman"/>
          <w:lang w:val="en-GB"/>
        </w:rPr>
      </w:pPr>
    </w:p>
    <w:p w14:paraId="3C856E81"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noProof/>
        </w:rPr>
        <w:lastRenderedPageBreak/>
        <w:drawing>
          <wp:inline distT="0" distB="0" distL="0" distR="0" wp14:anchorId="7E94D241" wp14:editId="2E52FD8D">
            <wp:extent cx="5753548" cy="5018494"/>
            <wp:effectExtent l="0" t="0" r="0" b="0"/>
            <wp:docPr id="78" name="Resim 78" descr="çizim, taslak, diyagram, tekni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sim 78" descr="çizim, taslak, diyagram, teknik çizim içeren bir resim&#10;&#10;Açıklama otomatik olarak oluşturuldu"/>
                    <pic:cNvPicPr>
                      <a:picLocks noChangeAspect="1" noChangeArrowheads="1"/>
                    </pic:cNvPicPr>
                  </pic:nvPicPr>
                  <pic:blipFill>
                    <a:blip r:embed="rId192" cstate="email">
                      <a:extLst>
                        <a:ext uri="{28A0092B-C50C-407E-A947-70E740481C1C}">
                          <a14:useLocalDpi xmlns:a14="http://schemas.microsoft.com/office/drawing/2010/main"/>
                        </a:ext>
                      </a:extLst>
                    </a:blip>
                    <a:stretch>
                      <a:fillRect/>
                    </a:stretch>
                  </pic:blipFill>
                  <pic:spPr bwMode="auto">
                    <a:xfrm>
                      <a:off x="0" y="0"/>
                      <a:ext cx="5753548" cy="5018494"/>
                    </a:xfrm>
                    <a:prstGeom prst="rect">
                      <a:avLst/>
                    </a:prstGeom>
                    <a:noFill/>
                    <a:ln>
                      <a:noFill/>
                    </a:ln>
                  </pic:spPr>
                </pic:pic>
              </a:graphicData>
            </a:graphic>
          </wp:inline>
        </w:drawing>
      </w:r>
    </w:p>
    <w:p w14:paraId="65ED15A4"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39 Restitution of Block A.</w:t>
      </w:r>
    </w:p>
    <w:p w14:paraId="5364190E"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(In the first stage Block A may have been planned as an entrance gateway).</w:t>
      </w:r>
    </w:p>
    <w:p w14:paraId="42221E2E" w14:textId="77777777" w:rsidR="00EC68C5" w:rsidRPr="004C41C8" w:rsidRDefault="00EC68C5" w:rsidP="00EC68C5">
      <w:pPr>
        <w:spacing w:line="276" w:lineRule="auto"/>
        <w:jc w:val="center"/>
        <w:rPr>
          <w:rFonts w:ascii="Times New Roman" w:hAnsi="Times New Roman"/>
          <w:b/>
          <w:lang w:val="en-GB"/>
        </w:rPr>
      </w:pPr>
    </w:p>
    <w:p w14:paraId="31EC9A5C"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 xml:space="preserve">However, it is also observed that there was not much time between these developmental periods and that they point to advantageous developments over several years. Blocks B and C may have been built one after the other to meet this </w:t>
      </w:r>
      <w:r w:rsidRPr="006309B9">
        <w:rPr>
          <w:rFonts w:ascii="Times New Roman" w:eastAsia="Calibri" w:hAnsi="Times New Roman" w:cs="Times New Roman"/>
          <w:lang w:val="en-GB"/>
        </w:rPr>
        <w:t>favorable</w:t>
      </w:r>
      <w:r w:rsidRPr="004C41C8">
        <w:rPr>
          <w:rFonts w:ascii="Times New Roman" w:hAnsi="Times New Roman"/>
          <w:lang w:val="en-GB"/>
        </w:rPr>
        <w:t xml:space="preserve"> increase in need, which exceeded the expectations </w:t>
      </w:r>
      <w:r w:rsidRPr="006309B9">
        <w:rPr>
          <w:rFonts w:ascii="Times New Roman" w:eastAsia="Calibri" w:hAnsi="Times New Roman" w:cs="Times New Roman"/>
          <w:lang w:val="en-GB"/>
        </w:rPr>
        <w:t>quickly</w:t>
      </w:r>
      <w:r w:rsidRPr="004C41C8">
        <w:rPr>
          <w:rFonts w:ascii="Times New Roman" w:hAnsi="Times New Roman"/>
          <w:lang w:val="en-GB"/>
        </w:rPr>
        <w:t>. The entire floor, including the interior of the building, was built as a solid foundation with a height of 5 rows with large stone blocks suitable for heavy storage (Fig. 40). The absence of drainage or other infrastructure elements, which we frequently encounter in Urartian</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 xml:space="preserve">architecture, supports our view that the building may have been used for storage and </w:t>
      </w:r>
      <w:r w:rsidRPr="006309B9">
        <w:rPr>
          <w:rFonts w:ascii="Times New Roman" w:eastAsia="Calibri" w:hAnsi="Times New Roman" w:cs="Times New Roman"/>
          <w:lang w:val="en-GB"/>
        </w:rPr>
        <w:t>defense</w:t>
      </w:r>
      <w:r w:rsidRPr="004C41C8">
        <w:rPr>
          <w:rFonts w:ascii="Times New Roman" w:hAnsi="Times New Roman"/>
          <w:lang w:val="en-GB"/>
        </w:rPr>
        <w:t xml:space="preserve"> purposes.</w:t>
      </w:r>
    </w:p>
    <w:p w14:paraId="5CEA987B" w14:textId="77777777" w:rsidR="00EC68C5" w:rsidRPr="004C41C8" w:rsidRDefault="00EC68C5" w:rsidP="00EC68C5">
      <w:pPr>
        <w:spacing w:line="276" w:lineRule="auto"/>
        <w:jc w:val="center"/>
        <w:rPr>
          <w:rFonts w:ascii="Times New Roman" w:hAnsi="Times New Roman"/>
          <w:b/>
          <w:lang w:val="en-GB"/>
        </w:rPr>
      </w:pPr>
    </w:p>
    <w:p w14:paraId="2EE89774" w14:textId="77777777" w:rsidR="00EC68C5" w:rsidRPr="004C41C8" w:rsidRDefault="00EC68C5" w:rsidP="00EC68C5">
      <w:pPr>
        <w:spacing w:line="276" w:lineRule="auto"/>
        <w:jc w:val="both"/>
        <w:rPr>
          <w:rFonts w:ascii="Times New Roman" w:hAnsi="Times New Roman"/>
          <w:lang w:val="en-GB"/>
        </w:rPr>
      </w:pPr>
    </w:p>
    <w:p w14:paraId="2C06FEC8" w14:textId="77777777" w:rsidR="00EC68C5" w:rsidRPr="004C41C8" w:rsidRDefault="00EC68C5" w:rsidP="00EC68C5">
      <w:pPr>
        <w:spacing w:line="276" w:lineRule="auto"/>
        <w:jc w:val="both"/>
        <w:rPr>
          <w:rFonts w:ascii="Times New Roman" w:hAnsi="Times New Roman"/>
          <w:lang w:val="en-GB"/>
        </w:rPr>
      </w:pPr>
    </w:p>
    <w:p w14:paraId="2368F6A1" w14:textId="77777777" w:rsidR="00EC68C5" w:rsidRPr="004C41C8" w:rsidRDefault="00EC68C5" w:rsidP="00EC68C5">
      <w:pPr>
        <w:spacing w:line="276" w:lineRule="auto"/>
        <w:jc w:val="both"/>
        <w:rPr>
          <w:rFonts w:ascii="Times New Roman" w:hAnsi="Times New Roman"/>
          <w:lang w:val="en-GB"/>
        </w:rPr>
      </w:pPr>
    </w:p>
    <w:p w14:paraId="0CCA4C44" w14:textId="77777777" w:rsidR="00EC68C5" w:rsidRPr="00CE54AB" w:rsidRDefault="00EC68C5" w:rsidP="00EC68C5">
      <w:pPr>
        <w:spacing w:line="276" w:lineRule="auto"/>
        <w:jc w:val="both"/>
        <w:rPr>
          <w:rFonts w:ascii="Times New Roman" w:eastAsia="Calibri" w:hAnsi="Times New Roman" w:cs="Times New Roman"/>
          <w:lang w:val="en-GB"/>
        </w:rPr>
      </w:pPr>
      <w:r w:rsidRPr="00CE54AB">
        <w:rPr>
          <w:rFonts w:ascii="Times New Roman" w:eastAsia="Calibri" w:hAnsi="Times New Roman" w:cs="Times New Roman"/>
          <w:noProof/>
        </w:rPr>
        <w:lastRenderedPageBreak/>
        <w:drawing>
          <wp:inline distT="0" distB="0" distL="0" distR="0" wp14:anchorId="40D5E051" wp14:editId="680B51F3">
            <wp:extent cx="5756910" cy="4317683"/>
            <wp:effectExtent l="19050" t="19050" r="15240" b="26035"/>
            <wp:docPr id="320028106" name="Resim 320028106" descr="C:\Users\Asus\Desktop\Sardurburç Düzeltme 2024 ocak\Hocaya gönderilen_08_08_2021\Figure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sus\Desktop\Sardurburç Düzeltme 2024 ocak\Hocaya gönderilen_08_08_2021\Figures\40.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5756910" cy="4317683"/>
                    </a:xfrm>
                    <a:prstGeom prst="rect">
                      <a:avLst/>
                    </a:prstGeom>
                    <a:noFill/>
                    <a:ln>
                      <a:solidFill>
                        <a:sysClr val="windowText" lastClr="000000"/>
                      </a:solidFill>
                    </a:ln>
                  </pic:spPr>
                </pic:pic>
              </a:graphicData>
            </a:graphic>
          </wp:inline>
        </w:drawing>
      </w:r>
    </w:p>
    <w:p w14:paraId="47DC9502" w14:textId="77777777"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Fig. 40 Massive stone blocks constituting the ground of Sardurburç</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Sardurburç</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w:t>
      </w:r>
    </w:p>
    <w:p w14:paraId="744D526D" w14:textId="77777777" w:rsidR="00EC68C5" w:rsidRPr="004C41C8" w:rsidRDefault="00EC68C5" w:rsidP="00EC68C5">
      <w:pPr>
        <w:spacing w:line="276" w:lineRule="auto"/>
        <w:ind w:firstLine="708"/>
        <w:jc w:val="both"/>
        <w:rPr>
          <w:rFonts w:ascii="Times New Roman" w:hAnsi="Times New Roman"/>
          <w:lang w:val="en-GB"/>
        </w:rPr>
      </w:pPr>
    </w:p>
    <w:p w14:paraId="55602498"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lang w:val="en-GB"/>
        </w:rPr>
        <w:t xml:space="preserve">A mudbrick structure was likely present on these foundation stones, which have survived to the present day mostly </w:t>
      </w:r>
      <w:r w:rsidRPr="00EB2684">
        <w:rPr>
          <w:rFonts w:ascii="Times New Roman" w:hAnsi="Times New Roman"/>
          <w:i/>
          <w:iCs/>
          <w:lang w:val="en-GB"/>
        </w:rPr>
        <w:t>in situ</w:t>
      </w:r>
      <w:r w:rsidRPr="004C41C8">
        <w:rPr>
          <w:rFonts w:ascii="Times New Roman" w:hAnsi="Times New Roman"/>
          <w:lang w:val="en-GB"/>
        </w:rPr>
        <w:t>, during the Urartian</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period, as was the case in the late periods (Fig. 41). It is known that there was a church in the Medieval on the ruins of the foundation located just east of Sardurburç</w:t>
      </w:r>
      <w:r w:rsidRPr="006309B9">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Sardurburç</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C41C8">
        <w:rPr>
          <w:rFonts w:ascii="Times New Roman" w:hAnsi="Times New Roman"/>
          <w:lang w:val="en-GB"/>
        </w:rPr>
        <w:t>Block B. The imprecise craftsmanship and smaller stone sizes suggest this section may belong to a post-Urartian period. However, there is a high probability that there were some structures in the Urartian period in this part to the east of Sardurburç. The few rows of wall remains and large blocks seen in the northern section adjoining Block B, continuing in an eastern direction, clearly reflect the Urartian stonemasonry encountered in the remaining parts of Sardurburç (Korfmann, 1977, p. 197) (Fig. 42). The fact that there are no inscriptions on the eastern face of Block B indicates that the wall remains in question are the traces of an Urartian structure that was probably located in this section but has not survived. It is possible to think that there are traces of a ramp or entrance extension that provided access to the B Block and thus to the citadel in the latest period of Sardurburç. The presence of 3 inscriptions facing the eastern facade on Block C indicates that this likely monumental entrance was decorated with inscriptions, which are royal symbols (Fig. 43, 44).</w:t>
      </w:r>
    </w:p>
    <w:p w14:paraId="6468C4F1" w14:textId="77777777" w:rsidR="00EC68C5" w:rsidRPr="004C41C8" w:rsidRDefault="00EC68C5" w:rsidP="00EC68C5">
      <w:pPr>
        <w:spacing w:line="276" w:lineRule="auto"/>
        <w:jc w:val="both"/>
        <w:rPr>
          <w:rFonts w:ascii="Times New Roman" w:hAnsi="Times New Roman"/>
          <w:lang w:val="en-GB"/>
        </w:rPr>
      </w:pPr>
    </w:p>
    <w:p w14:paraId="225836B5" w14:textId="77777777" w:rsidR="00EC68C5" w:rsidRPr="004C41C8" w:rsidRDefault="00EC68C5" w:rsidP="00EC68C5">
      <w:pPr>
        <w:spacing w:line="276" w:lineRule="auto"/>
        <w:jc w:val="both"/>
        <w:rPr>
          <w:rFonts w:ascii="Times New Roman" w:hAnsi="Times New Roman"/>
          <w:lang w:val="en-GB"/>
        </w:rPr>
      </w:pPr>
    </w:p>
    <w:p w14:paraId="2D377979" w14:textId="77777777" w:rsidR="00EC68C5" w:rsidRPr="004C41C8" w:rsidRDefault="00EC68C5" w:rsidP="00EC68C5">
      <w:pPr>
        <w:jc w:val="center"/>
        <w:rPr>
          <w:rFonts w:ascii="Times New Roman" w:hAnsi="Times New Roman"/>
          <w:lang w:val="en-GB"/>
        </w:rPr>
      </w:pPr>
      <w:r w:rsidRPr="00CE54AB">
        <w:rPr>
          <w:rFonts w:ascii="Times New Roman" w:eastAsia="Calibri" w:hAnsi="Times New Roman" w:cs="Times New Roman"/>
          <w:bCs/>
          <w:noProof/>
        </w:rPr>
        <w:lastRenderedPageBreak/>
        <w:drawing>
          <wp:anchor distT="0" distB="0" distL="114300" distR="114300" simplePos="0" relativeHeight="251888640" behindDoc="0" locked="0" layoutInCell="1" allowOverlap="1" wp14:anchorId="1553BEE8" wp14:editId="48CF85C6">
            <wp:simplePos x="0" y="0"/>
            <wp:positionH relativeFrom="margin">
              <wp:align>center</wp:align>
            </wp:positionH>
            <wp:positionV relativeFrom="paragraph">
              <wp:posOffset>0</wp:posOffset>
            </wp:positionV>
            <wp:extent cx="5495925" cy="4204200"/>
            <wp:effectExtent l="19050" t="19050" r="9525" b="25400"/>
            <wp:wrapTopAndBottom/>
            <wp:docPr id="525758512" name="Resim 525758512" descr="C:\Users\Asus\Desktop\Sardurburç Düzeltme 2024 ocak\Hocaya gönderilen_08_08_2021\Figure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sus\Desktop\Sardurburç Düzeltme 2024 ocak\Hocaya gönderilen_08_08_2021\Figures\41.jpg"/>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495925" cy="4204200"/>
                    </a:xfrm>
                    <a:prstGeom prst="rect">
                      <a:avLst/>
                    </a:prstGeom>
                    <a:noFill/>
                    <a:ln>
                      <a:solidFill>
                        <a:sysClr val="windowText" lastClr="000000"/>
                      </a:solidFill>
                    </a:ln>
                  </pic:spPr>
                </pic:pic>
              </a:graphicData>
            </a:graphic>
          </wp:anchor>
        </w:drawing>
      </w:r>
      <w:r w:rsidRPr="004C41C8">
        <w:rPr>
          <w:rFonts w:ascii="Times New Roman" w:hAnsi="Times New Roman"/>
          <w:lang w:val="en-GB"/>
        </w:rPr>
        <w:t xml:space="preserve">Fig. 41 Remains of a mudbrick building on a stone foundation in the 19th century AD. </w:t>
      </w:r>
    </w:p>
    <w:p w14:paraId="443BE7E1" w14:textId="5F53D024" w:rsidR="00EC68C5" w:rsidRPr="004C41C8" w:rsidRDefault="00EC68C5" w:rsidP="00EC68C5">
      <w:pPr>
        <w:spacing w:line="276" w:lineRule="auto"/>
        <w:jc w:val="center"/>
        <w:rPr>
          <w:rFonts w:ascii="Times New Roman" w:hAnsi="Times New Roman"/>
          <w:lang w:val="en-GB"/>
        </w:rPr>
      </w:pPr>
      <w:r w:rsidRPr="004C41C8">
        <w:rPr>
          <w:rFonts w:ascii="Times New Roman" w:hAnsi="Times New Roman"/>
          <w:lang w:val="en-GB"/>
        </w:rPr>
        <w:t>(Belck, Lehmann &amp; Virchow, 1900: 67; Lehmann-Haupt, 1926: 23).</w:t>
      </w:r>
    </w:p>
    <w:p w14:paraId="493B832C" w14:textId="77777777" w:rsidR="00EC68C5" w:rsidRPr="004C41C8" w:rsidRDefault="00EC68C5" w:rsidP="00EC68C5">
      <w:pPr>
        <w:spacing w:line="276" w:lineRule="auto"/>
        <w:jc w:val="center"/>
        <w:rPr>
          <w:rFonts w:ascii="Times New Roman" w:hAnsi="Times New Roman"/>
          <w:lang w:val="en-GB"/>
        </w:rPr>
      </w:pPr>
      <w:r w:rsidRPr="00CE54AB">
        <w:rPr>
          <w:rFonts w:ascii="Times New Roman" w:eastAsia="Calibri" w:hAnsi="Times New Roman" w:cs="Times New Roman"/>
          <w:bCs/>
          <w:noProof/>
        </w:rPr>
        <w:drawing>
          <wp:anchor distT="0" distB="0" distL="114300" distR="114300" simplePos="0" relativeHeight="251889664" behindDoc="0" locked="0" layoutInCell="1" allowOverlap="1" wp14:anchorId="5C4BDF4F" wp14:editId="65C2C67E">
            <wp:simplePos x="0" y="0"/>
            <wp:positionH relativeFrom="margin">
              <wp:posOffset>266065</wp:posOffset>
            </wp:positionH>
            <wp:positionV relativeFrom="paragraph">
              <wp:posOffset>17145</wp:posOffset>
            </wp:positionV>
            <wp:extent cx="5199380" cy="3476625"/>
            <wp:effectExtent l="19050" t="19050" r="20320" b="28575"/>
            <wp:wrapTopAndBottom/>
            <wp:docPr id="2053275403" name="Resim 2053275403" descr="C:\Users\Asus\Desktop\Sardurburç Düzeltme 2024 ocak\Hocaya gönderilen_08_08_2021\Figure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sus\Desktop\Sardurburç Düzeltme 2024 ocak\Hocaya gönderilen_08_08_2021\Figures\42.JPG"/>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199380" cy="347662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4C41C8">
        <w:rPr>
          <w:rFonts w:ascii="Times New Roman" w:hAnsi="Times New Roman"/>
          <w:lang w:val="en-GB"/>
        </w:rPr>
        <w:t>Fig. 42 The extension of the north façade towards the east with Urartian</w:t>
      </w:r>
      <w:r w:rsidRPr="004C41C8">
        <w:rPr>
          <w:rFonts w:ascii="Times New Roman" w:hAnsi="Times New Roman"/>
          <w:lang w:val="en-GB"/>
        </w:rPr>
        <w:fldChar w:fldCharType="begin"/>
      </w:r>
      <w:r w:rsidRPr="004C41C8">
        <w:rPr>
          <w:rFonts w:ascii="Calibri" w:hAnsi="Calibri"/>
          <w:lang w:val="en-GB"/>
        </w:rPr>
        <w:instrText xml:space="preserve"> XE "</w:instrText>
      </w:r>
      <w:r w:rsidRPr="004C41C8">
        <w:rPr>
          <w:rFonts w:ascii="Times New Roman" w:hAnsi="Times New Roman"/>
          <w:lang w:val="en-GB"/>
        </w:rPr>
        <w:instrText>Urartian</w:instrText>
      </w:r>
      <w:r w:rsidRPr="004C41C8">
        <w:rPr>
          <w:rFonts w:ascii="Calibri" w:hAnsi="Calibri"/>
          <w:lang w:val="en-GB"/>
        </w:rPr>
        <w:instrText xml:space="preserve">" </w:instrText>
      </w:r>
      <w:r w:rsidRPr="004C41C8">
        <w:rPr>
          <w:rFonts w:ascii="Times New Roman" w:hAnsi="Times New Roman"/>
          <w:lang w:val="en-GB"/>
        </w:rPr>
        <w:fldChar w:fldCharType="end"/>
      </w:r>
      <w:r w:rsidRPr="004C41C8">
        <w:rPr>
          <w:rFonts w:ascii="Times New Roman" w:hAnsi="Times New Roman"/>
          <w:lang w:val="en-GB"/>
        </w:rPr>
        <w:t xml:space="preserve"> masonry.</w:t>
      </w:r>
    </w:p>
    <w:p w14:paraId="0B24000F" w14:textId="77777777" w:rsidR="00EC68C5" w:rsidRPr="004C41C8" w:rsidRDefault="00EC68C5" w:rsidP="00EC68C5">
      <w:pPr>
        <w:spacing w:line="276" w:lineRule="auto"/>
        <w:jc w:val="both"/>
        <w:rPr>
          <w:rFonts w:ascii="Times New Roman" w:hAnsi="Times New Roman"/>
          <w:lang w:val="en-GB"/>
        </w:rPr>
      </w:pPr>
    </w:p>
    <w:p w14:paraId="7F230774" w14:textId="77777777" w:rsidR="00EC68C5" w:rsidRPr="004C41C8" w:rsidRDefault="00EC68C5" w:rsidP="00EC68C5">
      <w:pPr>
        <w:spacing w:line="276" w:lineRule="auto"/>
        <w:jc w:val="both"/>
        <w:rPr>
          <w:rFonts w:ascii="Times New Roman" w:hAnsi="Times New Roman"/>
          <w:lang w:val="en-GB"/>
        </w:rPr>
      </w:pPr>
    </w:p>
    <w:p w14:paraId="7DE1DC55" w14:textId="77777777" w:rsidR="00EC68C5" w:rsidRPr="004C41C8" w:rsidRDefault="00EC68C5" w:rsidP="00EC68C5">
      <w:pPr>
        <w:spacing w:line="276" w:lineRule="auto"/>
        <w:jc w:val="both"/>
        <w:rPr>
          <w:rFonts w:ascii="Times New Roman" w:hAnsi="Times New Roman"/>
          <w:lang w:val="en-GB"/>
        </w:rPr>
      </w:pPr>
      <w:r w:rsidRPr="004C41C8">
        <w:rPr>
          <w:rFonts w:ascii="Times New Roman" w:hAnsi="Times New Roman"/>
          <w:noProof/>
        </w:rPr>
        <w:lastRenderedPageBreak/>
        <w:drawing>
          <wp:anchor distT="0" distB="0" distL="114300" distR="114300" simplePos="0" relativeHeight="251864064" behindDoc="0" locked="0" layoutInCell="1" allowOverlap="1" wp14:anchorId="7C45C615" wp14:editId="1BCD0C91">
            <wp:simplePos x="0" y="0"/>
            <wp:positionH relativeFrom="margin">
              <wp:posOffset>886871</wp:posOffset>
            </wp:positionH>
            <wp:positionV relativeFrom="margin">
              <wp:posOffset>-201930</wp:posOffset>
            </wp:positionV>
            <wp:extent cx="4276090" cy="3408680"/>
            <wp:effectExtent l="0" t="0" r="3810" b="0"/>
            <wp:wrapSquare wrapText="bothSides"/>
            <wp:docPr id="1887656652" name="Resim 1887656652" descr="taslak, diyagram, çizim, pl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56652" name="Resim 1887656652" descr="taslak, diyagram, çizim, plan içeren bir resim&#10;&#10;Açıklama otomatik olarak oluşturuldu"/>
                    <pic:cNvPicPr>
                      <a:picLocks noChangeAspect="1" noChangeArrowheads="1"/>
                    </pic:cNvPicPr>
                  </pic:nvPicPr>
                  <pic:blipFill>
                    <a:blip r:embed="rId196" cstate="email">
                      <a:extLst>
                        <a:ext uri="{28A0092B-C50C-407E-A947-70E740481C1C}">
                          <a14:useLocalDpi xmlns:a14="http://schemas.microsoft.com/office/drawing/2010/main"/>
                        </a:ext>
                      </a:extLst>
                    </a:blip>
                    <a:stretch>
                      <a:fillRect/>
                    </a:stretch>
                  </pic:blipFill>
                  <pic:spPr bwMode="auto">
                    <a:xfrm>
                      <a:off x="0" y="0"/>
                      <a:ext cx="4276090" cy="3408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E97FF" w14:textId="77777777" w:rsidR="00EC68C5" w:rsidRPr="004C41C8" w:rsidRDefault="00EC68C5" w:rsidP="00EC68C5">
      <w:pPr>
        <w:spacing w:line="276" w:lineRule="auto"/>
        <w:jc w:val="both"/>
        <w:rPr>
          <w:rFonts w:ascii="Times New Roman" w:hAnsi="Times New Roman"/>
          <w:lang w:val="en-GB"/>
        </w:rPr>
      </w:pPr>
    </w:p>
    <w:p w14:paraId="7CA9F9DC" w14:textId="77777777" w:rsidR="00EC68C5" w:rsidRPr="004C41C8" w:rsidRDefault="00EC68C5" w:rsidP="00EC68C5">
      <w:pPr>
        <w:spacing w:line="276" w:lineRule="auto"/>
        <w:jc w:val="both"/>
        <w:rPr>
          <w:rFonts w:ascii="Times New Roman" w:hAnsi="Times New Roman"/>
          <w:lang w:val="en-GB"/>
        </w:rPr>
      </w:pPr>
    </w:p>
    <w:p w14:paraId="1FE3602A" w14:textId="77777777" w:rsidR="00EC68C5" w:rsidRPr="004C41C8" w:rsidRDefault="00EC68C5" w:rsidP="00EC68C5">
      <w:pPr>
        <w:spacing w:line="276" w:lineRule="auto"/>
        <w:jc w:val="both"/>
        <w:rPr>
          <w:rFonts w:ascii="Times New Roman" w:hAnsi="Times New Roman"/>
          <w:lang w:val="en-GB"/>
        </w:rPr>
      </w:pPr>
    </w:p>
    <w:p w14:paraId="70ECECAB" w14:textId="77777777" w:rsidR="00EC68C5" w:rsidRPr="004C41C8" w:rsidRDefault="00EC68C5" w:rsidP="00EC68C5">
      <w:pPr>
        <w:spacing w:line="276" w:lineRule="auto"/>
        <w:jc w:val="both"/>
        <w:rPr>
          <w:rFonts w:ascii="Times New Roman" w:hAnsi="Times New Roman"/>
          <w:lang w:val="en-GB"/>
        </w:rPr>
      </w:pPr>
    </w:p>
    <w:p w14:paraId="4C404BEA" w14:textId="77777777" w:rsidR="00EC68C5" w:rsidRPr="004C41C8" w:rsidRDefault="00EC68C5" w:rsidP="00EC68C5">
      <w:pPr>
        <w:spacing w:line="276" w:lineRule="auto"/>
        <w:jc w:val="both"/>
        <w:rPr>
          <w:rFonts w:ascii="Times New Roman" w:hAnsi="Times New Roman"/>
          <w:lang w:val="en-GB"/>
        </w:rPr>
      </w:pPr>
    </w:p>
    <w:p w14:paraId="59AD2A25" w14:textId="77777777" w:rsidR="00EC68C5" w:rsidRPr="004C41C8" w:rsidRDefault="00EC68C5" w:rsidP="00EC68C5">
      <w:pPr>
        <w:spacing w:line="276" w:lineRule="auto"/>
        <w:jc w:val="both"/>
        <w:rPr>
          <w:rFonts w:ascii="Times New Roman" w:hAnsi="Times New Roman"/>
          <w:lang w:val="en-GB"/>
        </w:rPr>
      </w:pPr>
    </w:p>
    <w:p w14:paraId="6336BAFC" w14:textId="77777777" w:rsidR="00EC68C5" w:rsidRPr="004C41C8" w:rsidRDefault="00EC68C5" w:rsidP="00EC68C5">
      <w:pPr>
        <w:spacing w:line="276" w:lineRule="auto"/>
        <w:jc w:val="both"/>
        <w:rPr>
          <w:rFonts w:ascii="Times New Roman" w:hAnsi="Times New Roman"/>
          <w:lang w:val="en-GB"/>
        </w:rPr>
      </w:pPr>
    </w:p>
    <w:p w14:paraId="45B044D1" w14:textId="77777777" w:rsidR="00EC68C5" w:rsidRPr="004C41C8" w:rsidRDefault="00EC68C5" w:rsidP="00EC68C5">
      <w:pPr>
        <w:spacing w:line="276" w:lineRule="auto"/>
        <w:jc w:val="center"/>
        <w:rPr>
          <w:rFonts w:ascii="Times New Roman" w:hAnsi="Times New Roman"/>
          <w:lang w:val="en-GB"/>
        </w:rPr>
      </w:pPr>
    </w:p>
    <w:p w14:paraId="164CD5A7" w14:textId="77777777" w:rsidR="00EC68C5" w:rsidRPr="004C41C8" w:rsidRDefault="00EC68C5" w:rsidP="00EC68C5">
      <w:pPr>
        <w:spacing w:line="276" w:lineRule="auto"/>
        <w:jc w:val="center"/>
        <w:rPr>
          <w:rFonts w:ascii="Times New Roman" w:hAnsi="Times New Roman"/>
          <w:lang w:val="en-GB"/>
        </w:rPr>
      </w:pPr>
    </w:p>
    <w:p w14:paraId="1CAD2556" w14:textId="77777777" w:rsidR="00EC68C5" w:rsidRPr="004C41C8" w:rsidRDefault="00EC68C5" w:rsidP="00EC68C5">
      <w:pPr>
        <w:spacing w:line="276" w:lineRule="auto"/>
        <w:jc w:val="center"/>
        <w:rPr>
          <w:rFonts w:ascii="Times New Roman" w:hAnsi="Times New Roman"/>
          <w:lang w:val="en-GB"/>
        </w:rPr>
      </w:pPr>
    </w:p>
    <w:p w14:paraId="397E1A87" w14:textId="77777777" w:rsidR="00EC68C5" w:rsidRPr="004C41C8" w:rsidRDefault="00EC68C5" w:rsidP="00EC68C5">
      <w:pPr>
        <w:spacing w:line="276" w:lineRule="auto"/>
        <w:jc w:val="center"/>
        <w:rPr>
          <w:rFonts w:ascii="Times New Roman" w:hAnsi="Times New Roman"/>
          <w:lang w:val="en-GB"/>
        </w:rPr>
      </w:pPr>
    </w:p>
    <w:p w14:paraId="35CC6F0E" w14:textId="77777777" w:rsidR="00EC68C5" w:rsidRPr="004C41C8" w:rsidRDefault="00EC68C5" w:rsidP="00EC68C5">
      <w:pPr>
        <w:spacing w:line="276" w:lineRule="auto"/>
        <w:jc w:val="center"/>
        <w:rPr>
          <w:rFonts w:ascii="Times New Roman" w:hAnsi="Times New Roman"/>
          <w:lang w:val="en-GB"/>
        </w:rPr>
      </w:pPr>
    </w:p>
    <w:p w14:paraId="7ECD46E5" w14:textId="77777777" w:rsidR="00EC68C5" w:rsidRPr="004C41C8" w:rsidRDefault="00EC68C5" w:rsidP="00EC68C5">
      <w:pPr>
        <w:spacing w:line="276" w:lineRule="auto"/>
        <w:jc w:val="center"/>
        <w:rPr>
          <w:rFonts w:ascii="Times New Roman" w:hAnsi="Times New Roman"/>
          <w:lang w:val="en-GB"/>
        </w:rPr>
      </w:pPr>
    </w:p>
    <w:p w14:paraId="2425C517" w14:textId="77777777" w:rsidR="00EC68C5" w:rsidRPr="004C41C8" w:rsidRDefault="00EC68C5" w:rsidP="00EC68C5">
      <w:pPr>
        <w:spacing w:line="276" w:lineRule="auto"/>
        <w:jc w:val="center"/>
        <w:rPr>
          <w:rFonts w:ascii="Times New Roman" w:hAnsi="Times New Roman"/>
          <w:lang w:val="en-GB"/>
        </w:rPr>
      </w:pPr>
    </w:p>
    <w:p w14:paraId="5806CD9C" w14:textId="77777777" w:rsidR="00EC68C5" w:rsidRPr="004C41C8" w:rsidRDefault="00EC68C5" w:rsidP="00EC68C5">
      <w:pPr>
        <w:spacing w:line="276" w:lineRule="auto"/>
        <w:rPr>
          <w:rFonts w:ascii="Times New Roman" w:hAnsi="Times New Roman"/>
          <w:lang w:val="en-GB"/>
        </w:rPr>
      </w:pPr>
    </w:p>
    <w:p w14:paraId="180AB3BD" w14:textId="77777777" w:rsidR="00EC68C5" w:rsidRPr="004C41C8" w:rsidRDefault="00EC68C5" w:rsidP="00EC68C5">
      <w:pPr>
        <w:spacing w:line="276" w:lineRule="auto"/>
        <w:rPr>
          <w:rFonts w:ascii="Times New Roman" w:hAnsi="Times New Roman"/>
          <w:lang w:val="en-GB"/>
        </w:rPr>
      </w:pPr>
      <w:r w:rsidRPr="004C41C8">
        <w:rPr>
          <w:rFonts w:ascii="Times New Roman" w:hAnsi="Times New Roman"/>
          <w:noProof/>
        </w:rPr>
        <w:drawing>
          <wp:anchor distT="0" distB="0" distL="114300" distR="114300" simplePos="0" relativeHeight="251865088" behindDoc="0" locked="0" layoutInCell="1" allowOverlap="1" wp14:anchorId="2467D099" wp14:editId="3DBA40B8">
            <wp:simplePos x="0" y="0"/>
            <wp:positionH relativeFrom="margin">
              <wp:posOffset>658644</wp:posOffset>
            </wp:positionH>
            <wp:positionV relativeFrom="margin">
              <wp:posOffset>3748517</wp:posOffset>
            </wp:positionV>
            <wp:extent cx="4598670" cy="4231005"/>
            <wp:effectExtent l="0" t="0" r="0" b="0"/>
            <wp:wrapTopAndBottom/>
            <wp:docPr id="1647330065" name="Resim 1647330065" descr="taslak, diyagram, plan,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30065" name="Resim 1647330065" descr="taslak, diyagram, plan, çizim içeren bir resim&#10;&#10;Açıklama otomatik olarak oluşturuldu"/>
                    <pic:cNvPicPr>
                      <a:picLocks noChangeAspect="1" noChangeArrowheads="1"/>
                    </pic:cNvPicPr>
                  </pic:nvPicPr>
                  <pic:blipFill>
                    <a:blip r:embed="rId197" cstate="email">
                      <a:extLst>
                        <a:ext uri="{28A0092B-C50C-407E-A947-70E740481C1C}">
                          <a14:useLocalDpi xmlns:a14="http://schemas.microsoft.com/office/drawing/2010/main"/>
                        </a:ext>
                      </a:extLst>
                    </a:blip>
                    <a:stretch>
                      <a:fillRect/>
                    </a:stretch>
                  </pic:blipFill>
                  <pic:spPr bwMode="auto">
                    <a:xfrm>
                      <a:off x="0" y="0"/>
                      <a:ext cx="4598670" cy="423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41C8">
        <w:rPr>
          <w:rFonts w:ascii="Times New Roman" w:hAnsi="Times New Roman"/>
          <w:lang w:val="en-GB"/>
        </w:rPr>
        <w:t>Fig. 43 Restitution of the whole structure (As a part cross section).</w:t>
      </w:r>
    </w:p>
    <w:p w14:paraId="6D9E19DF" w14:textId="77777777" w:rsidR="00EC68C5" w:rsidRPr="00CE54AB" w:rsidRDefault="00EC68C5" w:rsidP="00EC68C5">
      <w:pPr>
        <w:keepNext/>
        <w:spacing w:line="276" w:lineRule="auto"/>
        <w:jc w:val="center"/>
        <w:rPr>
          <w:rFonts w:ascii="Times New Roman" w:eastAsia="Calibri" w:hAnsi="Times New Roman" w:cs="Times New Roman"/>
          <w:bCs/>
          <w:lang w:val="en-GB"/>
        </w:rPr>
        <w:sectPr w:rsidR="00EC68C5" w:rsidRPr="00CE54AB" w:rsidSect="00EC68C5">
          <w:pgSz w:w="11909" w:h="16834"/>
          <w:pgMar w:top="1440" w:right="1440" w:bottom="1440" w:left="1440" w:header="720" w:footer="720" w:gutter="0"/>
          <w:cols w:space="708"/>
        </w:sectPr>
      </w:pPr>
      <w:r w:rsidRPr="004C41C8">
        <w:rPr>
          <w:rFonts w:ascii="Times New Roman" w:hAnsi="Times New Roman"/>
          <w:lang w:val="en-GB"/>
        </w:rPr>
        <w:t>Fig. 44 Restitution of the whole structure (There may be a monumental entrance with a possible ramp or steps towards the east)</w:t>
      </w:r>
    </w:p>
    <w:p w14:paraId="65537366" w14:textId="77777777" w:rsidR="00EC68C5" w:rsidRDefault="00EC68C5" w:rsidP="00EC68C5"/>
    <w:p w14:paraId="40A481A4" w14:textId="77777777" w:rsidR="00FF0A5F" w:rsidRPr="00F03A26" w:rsidRDefault="00FF0A5F" w:rsidP="00F03A26">
      <w:pPr>
        <w:keepNext/>
        <w:spacing w:line="276" w:lineRule="auto"/>
        <w:jc w:val="both"/>
        <w:rPr>
          <w:rFonts w:asciiTheme="majorBidi" w:hAnsiTheme="majorBidi" w:cstheme="majorBidi"/>
          <w:bCs/>
          <w:lang w:val="en-GB"/>
        </w:rPr>
      </w:pPr>
    </w:p>
    <w:p w14:paraId="43105455" w14:textId="1A5178A6" w:rsidR="00FF0A5F" w:rsidRPr="00F03A26" w:rsidRDefault="00FF0A5F" w:rsidP="00F03A26">
      <w:pPr>
        <w:keepNext/>
        <w:keepLines/>
        <w:spacing w:before="240"/>
        <w:jc w:val="both"/>
        <w:outlineLvl w:val="0"/>
        <w:rPr>
          <w:rFonts w:asciiTheme="majorBidi" w:eastAsia="Times New Roman" w:hAnsiTheme="majorBidi" w:cstheme="majorBidi"/>
          <w:b/>
          <w:bCs/>
          <w:color w:val="000000" w:themeColor="text1"/>
          <w:sz w:val="32"/>
          <w:szCs w:val="32"/>
          <w:lang w:val="en-GB"/>
        </w:rPr>
      </w:pPr>
      <w:bookmarkStart w:id="83" w:name="_Toc173231215"/>
      <w:r w:rsidRPr="00F03A26">
        <w:rPr>
          <w:rFonts w:asciiTheme="majorBidi" w:eastAsia="Times New Roman" w:hAnsiTheme="majorBidi" w:cstheme="majorBidi"/>
          <w:b/>
          <w:bCs/>
          <w:color w:val="000000" w:themeColor="text1"/>
          <w:sz w:val="32"/>
          <w:szCs w:val="32"/>
          <w:lang w:val="en-GB"/>
        </w:rPr>
        <w:t xml:space="preserve">CHAPTER </w:t>
      </w:r>
      <w:r w:rsidR="00DF039C" w:rsidRPr="00F03A26">
        <w:rPr>
          <w:rFonts w:asciiTheme="majorBidi" w:eastAsia="Times New Roman" w:hAnsiTheme="majorBidi" w:cstheme="majorBidi"/>
          <w:b/>
          <w:bCs/>
          <w:color w:val="000000" w:themeColor="text1"/>
          <w:sz w:val="32"/>
          <w:szCs w:val="32"/>
          <w:lang w:val="en-GB"/>
        </w:rPr>
        <w:t>VI</w:t>
      </w:r>
      <w:bookmarkEnd w:id="83"/>
    </w:p>
    <w:p w14:paraId="64801DCA" w14:textId="7D0D5CFD" w:rsidR="00FF0A5F" w:rsidRPr="00F03A26" w:rsidRDefault="00FF0A5F" w:rsidP="00F03A26">
      <w:pPr>
        <w:keepNext/>
        <w:keepLines/>
        <w:spacing w:before="240"/>
        <w:jc w:val="both"/>
        <w:outlineLvl w:val="0"/>
        <w:rPr>
          <w:rFonts w:asciiTheme="majorBidi" w:eastAsia="Times New Roman" w:hAnsiTheme="majorBidi" w:cstheme="majorBidi"/>
          <w:color w:val="000000" w:themeColor="text1"/>
          <w:sz w:val="32"/>
          <w:szCs w:val="32"/>
          <w:lang w:val="en-GB"/>
        </w:rPr>
      </w:pPr>
      <w:bookmarkStart w:id="84" w:name="_Toc173231216"/>
      <w:r w:rsidRPr="00F03A26">
        <w:rPr>
          <w:rFonts w:asciiTheme="majorBidi" w:eastAsia="Times New Roman" w:hAnsiTheme="majorBidi" w:cstheme="majorBidi"/>
          <w:b/>
          <w:bCs/>
          <w:color w:val="000000" w:themeColor="text1"/>
          <w:sz w:val="32"/>
          <w:szCs w:val="32"/>
          <w:lang w:val="en-GB"/>
        </w:rPr>
        <w:t>6-</w:t>
      </w:r>
      <w:r w:rsidRPr="00F03A26">
        <w:rPr>
          <w:rFonts w:asciiTheme="majorBidi" w:eastAsia="Times New Roman" w:hAnsiTheme="majorBidi" w:cstheme="majorBidi"/>
          <w:color w:val="000000" w:themeColor="text1"/>
          <w:sz w:val="32"/>
          <w:szCs w:val="32"/>
          <w:lang w:val="en-GB"/>
        </w:rPr>
        <w:t xml:space="preserve"> </w:t>
      </w:r>
      <w:r w:rsidR="00801444" w:rsidRPr="00F03A26">
        <w:rPr>
          <w:rFonts w:asciiTheme="majorBidi" w:eastAsia="Times New Roman" w:hAnsiTheme="majorBidi" w:cstheme="majorBidi"/>
          <w:color w:val="000000" w:themeColor="text1"/>
          <w:sz w:val="32"/>
          <w:szCs w:val="32"/>
          <w:lang w:val="en-GB"/>
        </w:rPr>
        <w:t>Ṭušpa</w:t>
      </w:r>
      <w:r w:rsidRPr="00F03A26">
        <w:rPr>
          <w:rFonts w:asciiTheme="majorBidi" w:eastAsia="Times New Roman" w:hAnsiTheme="majorBidi" w:cstheme="majorBidi"/>
          <w:i/>
          <w:iCs/>
          <w:color w:val="000000" w:themeColor="text1"/>
          <w:sz w:val="32"/>
          <w:szCs w:val="32"/>
          <w:lang w:val="en-GB"/>
        </w:rPr>
        <w:t xml:space="preserve"> </w:t>
      </w:r>
      <w:r w:rsidR="000A2020" w:rsidRPr="00F03A26">
        <w:rPr>
          <w:rFonts w:asciiTheme="majorBidi" w:eastAsia="Times New Roman" w:hAnsiTheme="majorBidi" w:cstheme="majorBidi"/>
          <w:color w:val="000000" w:themeColor="text1"/>
          <w:sz w:val="32"/>
          <w:szCs w:val="32"/>
          <w:lang w:val="en-GB"/>
        </w:rPr>
        <w:t>İç Kale</w:t>
      </w:r>
      <w:r w:rsidR="00837243" w:rsidRPr="00F03A26">
        <w:rPr>
          <w:rFonts w:asciiTheme="majorBidi" w:eastAsia="Times New Roman" w:hAnsiTheme="majorBidi" w:cstheme="majorBidi"/>
          <w:color w:val="000000" w:themeColor="text1"/>
          <w:sz w:val="32"/>
          <w:szCs w:val="32"/>
          <w:lang w:val="en-GB"/>
        </w:rPr>
        <w:fldChar w:fldCharType="begin"/>
      </w:r>
      <w:r w:rsidR="00837243" w:rsidRPr="00F03A26">
        <w:rPr>
          <w:rFonts w:asciiTheme="majorBidi" w:hAnsiTheme="majorBidi" w:cstheme="majorBidi"/>
          <w:color w:val="000000" w:themeColor="text1"/>
          <w:sz w:val="32"/>
          <w:szCs w:val="32"/>
          <w:lang w:val="en-GB"/>
        </w:rPr>
        <w:instrText xml:space="preserve"> XE "İç</w:instrText>
      </w:r>
      <w:r w:rsidR="00B73DD7" w:rsidRPr="00F03A26">
        <w:rPr>
          <w:rFonts w:asciiTheme="majorBidi" w:hAnsiTheme="majorBidi" w:cstheme="majorBidi"/>
          <w:color w:val="000000" w:themeColor="text1"/>
          <w:sz w:val="32"/>
          <w:szCs w:val="32"/>
          <w:lang w:val="en-GB"/>
        </w:rPr>
        <w:instrText xml:space="preserve"> K</w:instrText>
      </w:r>
      <w:r w:rsidR="00837243" w:rsidRPr="00F03A26">
        <w:rPr>
          <w:rFonts w:asciiTheme="majorBidi" w:hAnsiTheme="majorBidi" w:cstheme="majorBidi"/>
          <w:color w:val="000000" w:themeColor="text1"/>
          <w:sz w:val="32"/>
          <w:szCs w:val="32"/>
          <w:lang w:val="en-GB"/>
        </w:rPr>
        <w:instrText xml:space="preserve">ale" </w:instrText>
      </w:r>
      <w:r w:rsidR="00837243" w:rsidRPr="00F03A26">
        <w:rPr>
          <w:rFonts w:asciiTheme="majorBidi" w:eastAsia="Times New Roman" w:hAnsiTheme="majorBidi" w:cstheme="majorBidi"/>
          <w:color w:val="000000" w:themeColor="text1"/>
          <w:sz w:val="32"/>
          <w:szCs w:val="32"/>
          <w:lang w:val="en-GB"/>
        </w:rPr>
        <w:fldChar w:fldCharType="end"/>
      </w:r>
      <w:r w:rsidRPr="00F03A26">
        <w:rPr>
          <w:rFonts w:asciiTheme="majorBidi" w:eastAsia="Times New Roman" w:hAnsiTheme="majorBidi" w:cstheme="majorBidi"/>
          <w:color w:val="000000" w:themeColor="text1"/>
          <w:sz w:val="32"/>
          <w:szCs w:val="32"/>
          <w:lang w:val="en-GB"/>
        </w:rPr>
        <w:t xml:space="preserve"> (Inner </w:t>
      </w:r>
      <w:r w:rsidR="00807F56" w:rsidRPr="00F03A26">
        <w:rPr>
          <w:rFonts w:asciiTheme="majorBidi" w:eastAsia="Times New Roman" w:hAnsiTheme="majorBidi" w:cstheme="majorBidi"/>
          <w:color w:val="000000" w:themeColor="text1"/>
          <w:sz w:val="32"/>
          <w:szCs w:val="32"/>
          <w:lang w:val="en-GB"/>
        </w:rPr>
        <w:t>Citadel</w:t>
      </w:r>
      <w:r w:rsidR="00C10847" w:rsidRPr="00F03A26">
        <w:rPr>
          <w:rFonts w:asciiTheme="majorBidi" w:eastAsia="Times New Roman" w:hAnsiTheme="majorBidi" w:cstheme="majorBidi"/>
          <w:color w:val="000000" w:themeColor="text1"/>
          <w:sz w:val="32"/>
          <w:szCs w:val="32"/>
          <w:lang w:val="en-GB"/>
        </w:rPr>
        <w:fldChar w:fldCharType="begin"/>
      </w:r>
      <w:r w:rsidR="00C10847" w:rsidRPr="00F03A26">
        <w:rPr>
          <w:rFonts w:asciiTheme="majorBidi" w:hAnsiTheme="majorBidi" w:cstheme="majorBidi"/>
          <w:color w:val="000000" w:themeColor="text1"/>
          <w:sz w:val="32"/>
          <w:szCs w:val="32"/>
          <w:lang w:val="en-GB"/>
        </w:rPr>
        <w:instrText xml:space="preserve"> XE "Inner Citadel" </w:instrText>
      </w:r>
      <w:r w:rsidR="00C10847" w:rsidRPr="00F03A26">
        <w:rPr>
          <w:rFonts w:asciiTheme="majorBidi" w:eastAsia="Times New Roman" w:hAnsiTheme="majorBidi" w:cstheme="majorBidi"/>
          <w:color w:val="000000" w:themeColor="text1"/>
          <w:sz w:val="32"/>
          <w:szCs w:val="32"/>
          <w:lang w:val="en-GB"/>
        </w:rPr>
        <w:fldChar w:fldCharType="end"/>
      </w:r>
      <w:r w:rsidRPr="00F03A26">
        <w:rPr>
          <w:rFonts w:asciiTheme="majorBidi" w:eastAsia="Times New Roman" w:hAnsiTheme="majorBidi" w:cstheme="majorBidi"/>
          <w:color w:val="000000" w:themeColor="text1"/>
          <w:sz w:val="32"/>
          <w:szCs w:val="32"/>
          <w:lang w:val="en-GB"/>
        </w:rPr>
        <w:t>) and Structures</w:t>
      </w:r>
      <w:bookmarkEnd w:id="84"/>
    </w:p>
    <w:p w14:paraId="2203B137" w14:textId="77777777" w:rsidR="00FF0A5F" w:rsidRPr="00F03A26" w:rsidRDefault="00FF0A5F" w:rsidP="00F26DC8">
      <w:pPr>
        <w:jc w:val="right"/>
        <w:rPr>
          <w:rFonts w:asciiTheme="majorBidi" w:eastAsia="Calibri" w:hAnsiTheme="majorBidi" w:cstheme="majorBidi"/>
          <w:b/>
          <w:bCs/>
          <w:lang w:val="en-GB"/>
        </w:rPr>
      </w:pPr>
      <w:r w:rsidRPr="00F03A26">
        <w:rPr>
          <w:rFonts w:asciiTheme="majorBidi" w:eastAsia="Calibri" w:hAnsiTheme="majorBidi" w:cstheme="majorBidi"/>
          <w:b/>
          <w:bCs/>
          <w:lang w:val="en-GB"/>
        </w:rPr>
        <w:t>Can Avcı</w:t>
      </w:r>
    </w:p>
    <w:p w14:paraId="27837C3E" w14:textId="77777777" w:rsidR="00DF039C" w:rsidRDefault="00DF039C" w:rsidP="00F03A26">
      <w:pPr>
        <w:jc w:val="both"/>
        <w:rPr>
          <w:rFonts w:asciiTheme="majorBidi" w:eastAsia="Calibri" w:hAnsiTheme="majorBidi" w:cstheme="majorBidi"/>
          <w:lang w:val="en-GB"/>
        </w:rPr>
      </w:pPr>
    </w:p>
    <w:p w14:paraId="1E30FD58" w14:textId="77777777" w:rsidR="00F26DC8" w:rsidRPr="00AB28D0" w:rsidRDefault="00F26DC8" w:rsidP="00F26DC8">
      <w:pPr>
        <w:rPr>
          <w:rFonts w:ascii="Times New Roman" w:hAnsi="Times New Roman"/>
          <w:b/>
          <w:lang w:val="en-GB"/>
        </w:rPr>
      </w:pPr>
      <w:bookmarkStart w:id="85" w:name="_Hlk132376974"/>
      <w:r w:rsidRPr="00AB28D0">
        <w:rPr>
          <w:rFonts w:ascii="Times New Roman" w:hAnsi="Times New Roman"/>
          <w:b/>
          <w:lang w:val="en-GB"/>
        </w:rPr>
        <w:t>Abstract</w:t>
      </w:r>
    </w:p>
    <w:p w14:paraId="5873E3D2" w14:textId="382BF0F2" w:rsidR="00F26DC8" w:rsidRPr="00A57411" w:rsidRDefault="00F26DC8" w:rsidP="00F26DC8">
      <w:pPr>
        <w:jc w:val="both"/>
        <w:rPr>
          <w:rFonts w:ascii="Times New Roman" w:hAnsi="Times New Roman"/>
          <w:lang w:val="en-GB"/>
        </w:rPr>
      </w:pPr>
      <w:r w:rsidRPr="00AB28D0">
        <w:rPr>
          <w:rFonts w:ascii="Times New Roman" w:hAnsi="Times New Roman"/>
          <w:lang w:val="en-GB"/>
        </w:rPr>
        <w:t>The Old Palace</w:t>
      </w:r>
      <w:r w:rsidRPr="008F0516">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Old Palace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which bears structural similarities with the Sardurburç</w:t>
      </w:r>
      <w:r w:rsidRPr="008F0516">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eastAsia="Calibri" w:hAnsiTheme="majorBidi" w:cstheme="majorBidi"/>
          <w:lang w:val="en-GB"/>
        </w:rPr>
        <w:instrText>Sardurburç</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the oldest structure of the capital Ṭušpa</w:t>
      </w:r>
      <w:r w:rsidRPr="008F0516">
        <w:rPr>
          <w:rFonts w:ascii="Times New Roman" w:eastAsia="Calibri" w:hAnsi="Times New Roman" w:cs="Times New Roman"/>
          <w:lang w:val="en-GB"/>
        </w:rPr>
        <w:t>,</w:t>
      </w:r>
      <w:r w:rsidR="004B0374" w:rsidRPr="00427476">
        <w:rPr>
          <w:rFonts w:asciiTheme="majorBidi" w:eastAsia="Calibri" w:hAnsiTheme="majorBidi" w:cstheme="majorBidi"/>
          <w:lang w:val="en-GB"/>
        </w:rPr>
        <w:t xml:space="preserve"> </w:t>
      </w:r>
      <w:r w:rsidRPr="00427476">
        <w:rPr>
          <w:rFonts w:asciiTheme="majorBidi" w:eastAsia="Calibri" w:hAnsiTheme="majorBidi" w:cstheme="majorBidi"/>
          <w:lang w:val="en-GB"/>
        </w:rPr>
        <w:t>,</w:t>
      </w:r>
      <w:r w:rsidRPr="00AB28D0">
        <w:rPr>
          <w:rFonts w:ascii="Times New Roman" w:hAnsi="Times New Roman"/>
          <w:lang w:val="en-GB"/>
        </w:rPr>
        <w:t xml:space="preserve"> is known by several names</w:t>
      </w:r>
      <w:r w:rsidRPr="008F0516">
        <w:rPr>
          <w:rFonts w:ascii="Times New Roman" w:eastAsia="Calibri" w:hAnsi="Times New Roman" w:cs="Times New Roman"/>
          <w:lang w:val="en-GB"/>
        </w:rPr>
        <w:t>,</w:t>
      </w:r>
      <w:r w:rsidRPr="00AB28D0">
        <w:rPr>
          <w:rFonts w:ascii="Times New Roman" w:hAnsi="Times New Roman"/>
          <w:lang w:val="en-GB"/>
        </w:rPr>
        <w:t xml:space="preserve"> such as the Old Palace and İç Kale</w:t>
      </w:r>
      <w:r w:rsidR="00647545">
        <w:rPr>
          <w:rFonts w:ascii="Times New Roman" w:hAnsi="Times New Roman"/>
          <w:lang w:val="en-GB"/>
        </w:rPr>
        <w:fldChar w:fldCharType="begin"/>
      </w:r>
      <w:r w:rsidR="00647545">
        <w:instrText xml:space="preserve"> XE "</w:instrText>
      </w:r>
      <w:r w:rsidR="00647545" w:rsidRPr="00F87406">
        <w:rPr>
          <w:rFonts w:asciiTheme="majorBidi" w:hAnsiTheme="majorBidi" w:cstheme="majorBidi"/>
        </w:rPr>
        <w:instrText>İç Kale</w:instrText>
      </w:r>
      <w:r w:rsidR="00647545">
        <w:instrText xml:space="preserve">" </w:instrText>
      </w:r>
      <w:r w:rsidR="00647545">
        <w:rPr>
          <w:rFonts w:ascii="Times New Roman" w:hAnsi="Times New Roman"/>
          <w:lang w:val="en-GB"/>
        </w:rPr>
        <w:fldChar w:fldCharType="end"/>
      </w:r>
      <w:r w:rsidRPr="008F0516">
        <w:rPr>
          <w:rFonts w:ascii="Times New Roman" w:eastAsia="Calibri" w:hAnsi="Times New Roman" w:cs="Times New Roman"/>
          <w:lang w:val="en-GB"/>
        </w:rPr>
        <w:t>. We</w:t>
      </w:r>
      <w:r w:rsidRPr="00AB28D0">
        <w:rPr>
          <w:rFonts w:ascii="Times New Roman" w:hAnsi="Times New Roman"/>
          <w:lang w:val="en-GB"/>
        </w:rPr>
        <w:t xml:space="preserve"> use the latter in our article to avoid confusion with the other names seen in various publications and to ensure unity for future studies. The archaeological </w:t>
      </w:r>
      <w:r w:rsidRPr="00A57411">
        <w:rPr>
          <w:rFonts w:ascii="Times New Roman" w:hAnsi="Times New Roman"/>
          <w:lang w:val="en-GB"/>
        </w:rPr>
        <w:t>excavations in the area were carried out over two seasons, during which Urartian</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57411">
        <w:rPr>
          <w:rFonts w:ascii="Times New Roman" w:hAnsi="Times New Roman"/>
          <w:lang w:val="en-GB"/>
        </w:rPr>
        <w:t xml:space="preserve">stone foundations and the mudbrick ruins have been unearthed. The discoveries </w:t>
      </w:r>
      <w:r w:rsidRPr="008F0516">
        <w:rPr>
          <w:rFonts w:ascii="Times New Roman" w:eastAsia="Calibri" w:hAnsi="Times New Roman" w:cs="Times New Roman"/>
          <w:lang w:val="en-GB"/>
        </w:rPr>
        <w:t>reveal that</w:t>
      </w:r>
      <w:r w:rsidRPr="00A57411">
        <w:rPr>
          <w:rFonts w:ascii="Times New Roman" w:hAnsi="Times New Roman"/>
          <w:lang w:val="en-GB"/>
        </w:rPr>
        <w:t xml:space="preserve"> both reconstruction and destruction occurred after the Urartu</w:t>
      </w:r>
      <w:r>
        <w:rPr>
          <w:rFonts w:ascii="Times New Roman" w:eastAsia="Calibri" w:hAnsi="Times New Roman" w:cs="Times New Roman"/>
          <w:lang w:val="en-GB"/>
        </w:rPr>
        <w:t xml:space="preserve">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eastAsia="Times New Roman" w:hAnsiTheme="majorBidi" w:cstheme="majorBidi"/>
          <w:lang w:val="en-GB"/>
        </w:rPr>
        <w:instrText>Urartu</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57411">
        <w:rPr>
          <w:rFonts w:ascii="Times New Roman" w:hAnsi="Times New Roman"/>
          <w:lang w:val="en-GB"/>
        </w:rPr>
        <w:t xml:space="preserve"> The destruction was so intense that it was </w:t>
      </w:r>
      <w:r w:rsidRPr="008F0516">
        <w:rPr>
          <w:rFonts w:ascii="Times New Roman" w:eastAsia="Calibri" w:hAnsi="Times New Roman" w:cs="Times New Roman"/>
          <w:lang w:val="en-GB"/>
        </w:rPr>
        <w:t>impossible</w:t>
      </w:r>
      <w:r w:rsidRPr="00A57411">
        <w:rPr>
          <w:rFonts w:ascii="Times New Roman" w:hAnsi="Times New Roman"/>
          <w:lang w:val="en-GB"/>
        </w:rPr>
        <w:t xml:space="preserve"> to define “the area with two rooms</w:t>
      </w:r>
      <w:r w:rsidRPr="008F0516">
        <w:rPr>
          <w:rFonts w:ascii="Times New Roman" w:eastAsia="Calibri" w:hAnsi="Times New Roman" w:cs="Times New Roman"/>
          <w:lang w:val="en-GB"/>
        </w:rPr>
        <w:t>,”</w:t>
      </w:r>
      <w:r w:rsidRPr="00A57411">
        <w:rPr>
          <w:rFonts w:ascii="Times New Roman" w:hAnsi="Times New Roman"/>
          <w:lang w:val="en-GB"/>
        </w:rPr>
        <w:t xml:space="preserve"> which was previously interpreted as a temple</w:t>
      </w:r>
      <w:r w:rsidRPr="008F0516">
        <w:rPr>
          <w:rFonts w:ascii="Times New Roman" w:eastAsia="Calibri" w:hAnsi="Times New Roman" w:cs="Times New Roman"/>
          <w:lang w:val="en-GB"/>
        </w:rPr>
        <w:t>—likewise</w:t>
      </w:r>
      <w:r w:rsidRPr="00A57411">
        <w:rPr>
          <w:rFonts w:ascii="Times New Roman" w:hAnsi="Times New Roman"/>
          <w:lang w:val="en-GB"/>
        </w:rPr>
        <w:t>, the type of building whose wall beds were hewn into</w:t>
      </w:r>
      <w:r w:rsidRPr="008F0516">
        <w:rPr>
          <w:rFonts w:ascii="Times New Roman" w:eastAsia="Calibri" w:hAnsi="Times New Roman" w:cs="Times New Roman"/>
          <w:lang w:val="en-GB"/>
        </w:rPr>
        <w:t xml:space="preserve"> the</w:t>
      </w:r>
      <w:r w:rsidRPr="00A57411">
        <w:rPr>
          <w:rFonts w:ascii="Times New Roman" w:hAnsi="Times New Roman"/>
          <w:lang w:val="en-GB"/>
        </w:rPr>
        <w:t xml:space="preserve"> rock. </w:t>
      </w:r>
    </w:p>
    <w:p w14:paraId="70F7DABC" w14:textId="77777777" w:rsidR="00F26DC8" w:rsidRPr="00A57411" w:rsidRDefault="00F26DC8" w:rsidP="00F26DC8">
      <w:pPr>
        <w:jc w:val="both"/>
        <w:rPr>
          <w:rFonts w:ascii="Times New Roman" w:hAnsi="Times New Roman"/>
          <w:lang w:val="en-GB"/>
        </w:rPr>
      </w:pPr>
      <w:r w:rsidRPr="00A57411">
        <w:rPr>
          <w:rFonts w:ascii="Times New Roman" w:hAnsi="Times New Roman"/>
          <w:lang w:val="en-GB"/>
        </w:rPr>
        <w:t xml:space="preserve">In addition, it </w:t>
      </w:r>
      <w:r w:rsidRPr="008F0516">
        <w:rPr>
          <w:rFonts w:ascii="Times New Roman" w:eastAsia="Calibri" w:hAnsi="Times New Roman" w:cs="Times New Roman"/>
          <w:lang w:val="en-GB"/>
        </w:rPr>
        <w:t>needed to be</w:t>
      </w:r>
      <w:r w:rsidRPr="00A57411">
        <w:rPr>
          <w:rFonts w:ascii="Times New Roman" w:hAnsi="Times New Roman"/>
          <w:lang w:val="en-GB"/>
        </w:rPr>
        <w:t xml:space="preserve"> understood what kind of building the wall beds opened on the bedrock at the base level were prepared for.</w:t>
      </w:r>
    </w:p>
    <w:p w14:paraId="6F8F4A44" w14:textId="77777777" w:rsidR="00F26DC8" w:rsidRPr="00AB28D0" w:rsidRDefault="00F26DC8">
      <w:pPr>
        <w:jc w:val="both"/>
        <w:rPr>
          <w:rFonts w:ascii="Times New Roman" w:hAnsi="Times New Roman"/>
          <w:lang w:val="en-GB"/>
        </w:rPr>
      </w:pPr>
    </w:p>
    <w:bookmarkEnd w:id="85"/>
    <w:p w14:paraId="6721092A" w14:textId="77777777" w:rsidR="00F26DC8" w:rsidRPr="00A57411" w:rsidRDefault="00F26DC8" w:rsidP="00F26DC8">
      <w:pPr>
        <w:jc w:val="both"/>
        <w:rPr>
          <w:rFonts w:ascii="Times New Roman" w:hAnsi="Times New Roman"/>
          <w:b/>
          <w:sz w:val="28"/>
          <w:lang w:val="en-GB"/>
        </w:rPr>
      </w:pPr>
      <w:r w:rsidRPr="00A57411">
        <w:rPr>
          <w:rFonts w:ascii="Times New Roman" w:hAnsi="Times New Roman"/>
          <w:b/>
          <w:sz w:val="28"/>
          <w:lang w:val="en-GB"/>
        </w:rPr>
        <w:t xml:space="preserve">6.1 Introduction </w:t>
      </w:r>
    </w:p>
    <w:p w14:paraId="796970D6" w14:textId="595F0A43" w:rsidR="00F26DC8" w:rsidRPr="00A57411" w:rsidRDefault="00F26DC8" w:rsidP="00F26DC8">
      <w:pPr>
        <w:jc w:val="both"/>
        <w:rPr>
          <w:rFonts w:ascii="Times New Roman" w:hAnsi="Times New Roman"/>
          <w:lang w:val="en-GB"/>
        </w:rPr>
      </w:pPr>
      <w:r w:rsidRPr="00A57411">
        <w:rPr>
          <w:rFonts w:ascii="Times New Roman" w:hAnsi="Times New Roman"/>
          <w:lang w:val="en-GB"/>
        </w:rPr>
        <w:t>As the earliest example of the Urartian</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57411">
        <w:rPr>
          <w:rFonts w:ascii="Times New Roman" w:hAnsi="Times New Roman"/>
          <w:lang w:val="en-GB"/>
        </w:rPr>
        <w:t>royal architecture, Ṭušpa</w:t>
      </w:r>
      <w:r w:rsidRPr="00700903">
        <w:rPr>
          <w:rFonts w:asciiTheme="majorBidi" w:eastAsia="Calibri" w:hAnsiTheme="majorBidi" w:cstheme="majorBidi"/>
          <w:lang w:val="en-GB"/>
        </w:rPr>
        <w:t xml:space="preserve"> it </w:t>
      </w:r>
      <w:r w:rsidRPr="00A57411">
        <w:rPr>
          <w:rFonts w:ascii="Times New Roman" w:hAnsi="Times New Roman"/>
          <w:lang w:val="en-GB"/>
        </w:rPr>
        <w:t xml:space="preserve">reflects Urartian settlement practices well-located at the westernmost of the </w:t>
      </w:r>
      <w:r w:rsidRPr="008F0516">
        <w:rPr>
          <w:rFonts w:ascii="Times New Roman" w:eastAsia="Calibri" w:hAnsi="Times New Roman" w:cs="Times New Roman"/>
          <w:lang w:val="en-GB"/>
        </w:rPr>
        <w:t>Ṭušpa</w:t>
      </w:r>
      <w:r>
        <w:rPr>
          <w:rFonts w:ascii="Times New Roman" w:eastAsia="Calibri" w:hAnsi="Times New Roman" w:cs="Times New Roman"/>
          <w:lang w:val="en-GB"/>
        </w:rPr>
        <w:t xml:space="preserve"> </w:t>
      </w:r>
      <w:r w:rsidRPr="008F0516">
        <w:rPr>
          <w:rFonts w:ascii="Times New Roman" w:eastAsia="Calibri" w:hAnsi="Times New Roman" w:cs="Times New Roman"/>
          <w:lang w:val="en-GB"/>
        </w:rPr>
        <w:t>citadel</w:t>
      </w:r>
      <w:r w:rsidRPr="00A57411">
        <w:rPr>
          <w:rFonts w:ascii="Times New Roman" w:hAnsi="Times New Roman"/>
          <w:lang w:val="en-GB"/>
        </w:rPr>
        <w:t>, Sardurburç</w:t>
      </w:r>
      <w:r w:rsidRPr="008F0516">
        <w:rPr>
          <w:rFonts w:ascii="Times New Roman" w:eastAsia="Calibri" w:hAnsi="Times New Roman" w:cs="Times New Roman"/>
          <w:lang w:val="en-GB"/>
        </w:rPr>
        <w:t> </w:t>
      </w:r>
      <w:r w:rsidRPr="00700903">
        <w:rPr>
          <w:rFonts w:asciiTheme="majorBidi" w:eastAsia="Calibr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Sardurburç</w:instrText>
      </w:r>
      <w:r w:rsidRPr="00700903">
        <w:rPr>
          <w:lang w:val="en-GB"/>
        </w:rPr>
        <w:instrText xml:space="preserve">" </w:instrText>
      </w:r>
      <w:r w:rsidRPr="00700903">
        <w:rPr>
          <w:rFonts w:asciiTheme="majorBidi" w:eastAsia="Calibri" w:hAnsiTheme="majorBidi" w:cstheme="majorBidi"/>
          <w:lang w:val="en-GB"/>
        </w:rPr>
        <w:fldChar w:fldCharType="end"/>
      </w:r>
      <w:r w:rsidRPr="00700903">
        <w:rPr>
          <w:rFonts w:asciiTheme="majorBidi" w:eastAsia="Calibri" w:hAnsiTheme="majorBidi" w:cstheme="majorBidi"/>
          <w:lang w:val="en-GB"/>
        </w:rPr>
        <w:t xml:space="preserve"> </w:t>
      </w:r>
      <w:r w:rsidRPr="00A57411">
        <w:rPr>
          <w:rFonts w:ascii="Times New Roman" w:hAnsi="Times New Roman"/>
          <w:lang w:val="en-GB"/>
        </w:rPr>
        <w:t>is a manifesto of their perspective on the matter. The citadel is approximately 1.5 km long</w:t>
      </w:r>
      <w:r w:rsidRPr="008F0516">
        <w:rPr>
          <w:rFonts w:ascii="Times New Roman" w:eastAsia="Calibri" w:hAnsi="Times New Roman" w:cs="Times New Roman"/>
          <w:lang w:val="en-GB"/>
        </w:rPr>
        <w:t>,</w:t>
      </w:r>
      <w:r w:rsidRPr="00A57411">
        <w:rPr>
          <w:rFonts w:ascii="Times New Roman" w:hAnsi="Times New Roman"/>
          <w:lang w:val="en-GB"/>
        </w:rPr>
        <w:t xml:space="preserve"> extending east-west</w:t>
      </w:r>
      <w:r w:rsidRPr="008F0516">
        <w:rPr>
          <w:rFonts w:ascii="Times New Roman" w:eastAsia="Calibri" w:hAnsi="Times New Roman" w:cs="Times New Roman"/>
          <w:lang w:val="en-GB"/>
        </w:rPr>
        <w:t>,</w:t>
      </w:r>
      <w:r w:rsidRPr="00A57411">
        <w:rPr>
          <w:rFonts w:ascii="Times New Roman" w:hAnsi="Times New Roman"/>
          <w:lang w:val="en-GB"/>
        </w:rPr>
        <w:t xml:space="preserve"> and is surrounded by alluvial soils at the plain level. It is understood that until their demise, the </w:t>
      </w:r>
      <w:r w:rsidRPr="008F0516">
        <w:rPr>
          <w:rFonts w:ascii="Times New Roman" w:eastAsia="Calibri" w:hAnsi="Times New Roman" w:cs="Times New Roman"/>
          <w:lang w:val="en-GB"/>
        </w:rPr>
        <w:t>Urartians</w:t>
      </w:r>
      <w:r w:rsidRPr="00A57411">
        <w:rPr>
          <w:rFonts w:ascii="Times New Roman" w:hAnsi="Times New Roman"/>
          <w:lang w:val="en-GB"/>
        </w:rPr>
        <w:t xml:space="preserve"> continued to build royal structures to the eastwards of the citadel. The transformation of the 100-meter-wide citadel rock with </w:t>
      </w:r>
      <w:r w:rsidRPr="008F0516">
        <w:rPr>
          <w:rFonts w:ascii="Times New Roman" w:eastAsia="Calibri" w:hAnsi="Times New Roman" w:cs="Times New Roman"/>
          <w:lang w:val="en-GB"/>
        </w:rPr>
        <w:t>rugged</w:t>
      </w:r>
      <w:r w:rsidRPr="00A57411">
        <w:rPr>
          <w:rFonts w:ascii="Times New Roman" w:hAnsi="Times New Roman"/>
          <w:lang w:val="en-GB"/>
        </w:rPr>
        <w:t xml:space="preserve"> terrain into a habitable area was made possible by changing the topography. The moderate slope on the northern side of the rock allowed the construction of large buildings on terraced surfaces.</w:t>
      </w:r>
    </w:p>
    <w:p w14:paraId="5D1AC71D" w14:textId="77777777" w:rsidR="00F26DC8" w:rsidRPr="00A57411" w:rsidRDefault="00F26DC8" w:rsidP="00F26DC8">
      <w:pPr>
        <w:jc w:val="both"/>
        <w:rPr>
          <w:rFonts w:ascii="Times New Roman" w:hAnsi="Times New Roman"/>
          <w:lang w:val="en-GB"/>
        </w:rPr>
      </w:pPr>
    </w:p>
    <w:p w14:paraId="675589A9" w14:textId="77777777" w:rsidR="00F26DC8" w:rsidRPr="00A57411" w:rsidRDefault="00F26DC8" w:rsidP="00F26DC8">
      <w:pPr>
        <w:jc w:val="both"/>
        <w:rPr>
          <w:rFonts w:ascii="Times New Roman" w:hAnsi="Times New Roman"/>
          <w:lang w:val="en-GB"/>
        </w:rPr>
      </w:pPr>
      <w:r w:rsidRPr="00A57411">
        <w:rPr>
          <w:rFonts w:ascii="Times New Roman" w:hAnsi="Times New Roman"/>
          <w:lang w:val="en-GB"/>
        </w:rPr>
        <w:t>The İç Kale</w:t>
      </w:r>
      <w:r>
        <w:rPr>
          <w:rFonts w:ascii="Times New Roman" w:hAnsi="Times New Roman"/>
          <w:lang w:val="en-GB"/>
        </w:rPr>
        <w:t xml:space="preserve">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İç Kale</w:instrText>
      </w:r>
      <w:r w:rsidRPr="00427476">
        <w:rPr>
          <w:lang w:val="en-GB"/>
        </w:rPr>
        <w:instrText xml:space="preserve">" </w:instrText>
      </w:r>
      <w:r w:rsidRPr="00427476">
        <w:rPr>
          <w:rFonts w:asciiTheme="majorBidi" w:eastAsia="Calibri" w:hAnsiTheme="majorBidi" w:cstheme="majorBidi"/>
          <w:lang w:val="en-GB"/>
        </w:rPr>
        <w:fldChar w:fldCharType="end"/>
      </w:r>
      <w:r w:rsidRPr="008F0516">
        <w:rPr>
          <w:rFonts w:ascii="Times New Roman" w:eastAsia="Calibri" w:hAnsi="Times New Roman" w:cs="Times New Roman"/>
          <w:lang w:val="en-GB"/>
        </w:rPr>
        <w:t>, mainly</w:t>
      </w:r>
      <w:r w:rsidRPr="00A57411">
        <w:rPr>
          <w:rFonts w:ascii="Times New Roman" w:hAnsi="Times New Roman"/>
          <w:lang w:val="en-GB"/>
        </w:rPr>
        <w:t>, is intriguing with its high walls and other architectural features that suggest an early settlement. It is also noteworthy that there are traces of repair on the walls</w:t>
      </w:r>
      <w:r w:rsidRPr="008F0516">
        <w:rPr>
          <w:rFonts w:ascii="Times New Roman" w:eastAsia="Calibri" w:hAnsi="Times New Roman" w:cs="Times New Roman"/>
          <w:lang w:val="en-GB"/>
        </w:rPr>
        <w:t>,</w:t>
      </w:r>
      <w:r w:rsidRPr="00A57411">
        <w:rPr>
          <w:rFonts w:ascii="Times New Roman" w:hAnsi="Times New Roman"/>
          <w:lang w:val="en-GB"/>
        </w:rPr>
        <w:t xml:space="preserve"> indicating post-Urartian</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57411">
        <w:rPr>
          <w:rFonts w:ascii="Times New Roman" w:hAnsi="Times New Roman"/>
          <w:lang w:val="en-GB"/>
        </w:rPr>
        <w:t>use (Fig. 1).</w:t>
      </w:r>
    </w:p>
    <w:p w14:paraId="578F0856" w14:textId="77777777" w:rsidR="00F26DC8" w:rsidRPr="00AB28D0" w:rsidRDefault="00F26DC8">
      <w:pPr>
        <w:jc w:val="both"/>
        <w:rPr>
          <w:rFonts w:ascii="Times New Roman" w:hAnsi="Times New Roman"/>
          <w:lang w:val="en-GB"/>
        </w:rPr>
      </w:pPr>
      <w:r w:rsidRPr="00AB28D0">
        <w:rPr>
          <w:rFonts w:ascii="Times New Roman" w:hAnsi="Times New Roman"/>
          <w:noProof/>
        </w:rPr>
        <w:lastRenderedPageBreak/>
        <w:drawing>
          <wp:anchor distT="0" distB="0" distL="114300" distR="114300" simplePos="0" relativeHeight="251899904" behindDoc="0" locked="0" layoutInCell="1" allowOverlap="1" wp14:anchorId="52142024" wp14:editId="6921EE6D">
            <wp:simplePos x="0" y="0"/>
            <wp:positionH relativeFrom="column">
              <wp:posOffset>0</wp:posOffset>
            </wp:positionH>
            <wp:positionV relativeFrom="paragraph">
              <wp:posOffset>262890</wp:posOffset>
            </wp:positionV>
            <wp:extent cx="5733415" cy="3558540"/>
            <wp:effectExtent l="0" t="0" r="0" b="0"/>
            <wp:wrapSquare wrapText="bothSides"/>
            <wp:docPr id="1685157211" name="Resim 1685157211" descr="dış mekan, gökyüzü, duvar,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dış mekan, gökyüzü, duvar, çim içeren bir resim&#10;&#10;Açıklama otomatik olarak oluşturuldu"/>
                    <pic:cNvPicPr/>
                  </pic:nvPicPr>
                  <pic:blipFill rotWithShape="1">
                    <a:blip r:embed="rId198" cstate="screen">
                      <a:extLst>
                        <a:ext uri="{28A0092B-C50C-407E-A947-70E740481C1C}">
                          <a14:useLocalDpi xmlns:a14="http://schemas.microsoft.com/office/drawing/2010/main"/>
                        </a:ext>
                      </a:extLst>
                    </a:blip>
                    <a:srcRect/>
                    <a:stretch/>
                  </pic:blipFill>
                  <pic:spPr bwMode="auto">
                    <a:xfrm>
                      <a:off x="0" y="0"/>
                      <a:ext cx="5733415" cy="35585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53FB352" w14:textId="77777777" w:rsidR="00F26DC8" w:rsidRPr="00AB28D0" w:rsidRDefault="00F26DC8">
      <w:pPr>
        <w:jc w:val="both"/>
        <w:rPr>
          <w:rFonts w:ascii="Times New Roman" w:hAnsi="Times New Roman"/>
          <w:lang w:val="en-GB"/>
        </w:rPr>
      </w:pPr>
      <w:r w:rsidRPr="00AB28D0">
        <w:rPr>
          <w:rFonts w:ascii="Times New Roman" w:hAnsi="Times New Roman"/>
          <w:lang w:val="en-GB"/>
        </w:rPr>
        <w:t>Fig. 1 The northern wall of İç Kale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İç Kale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showing Urartian</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Urartian</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stone masonry later repairs. </w:t>
      </w:r>
    </w:p>
    <w:p w14:paraId="17CF0FBB" w14:textId="77777777" w:rsidR="00F26DC8" w:rsidRPr="00AB28D0" w:rsidRDefault="00F26DC8" w:rsidP="00F26DC8">
      <w:pPr>
        <w:keepNext/>
        <w:keepLines/>
        <w:spacing w:before="360" w:after="120" w:line="276" w:lineRule="auto"/>
        <w:outlineLvl w:val="1"/>
        <w:rPr>
          <w:rFonts w:ascii="Times New Roman" w:hAnsi="Times New Roman"/>
          <w:b/>
          <w:sz w:val="28"/>
          <w:lang w:val="en-GB"/>
        </w:rPr>
      </w:pPr>
      <w:bookmarkStart w:id="86" w:name="_Toc132072527"/>
      <w:bookmarkStart w:id="87" w:name="_Toc173231217"/>
      <w:r w:rsidRPr="00AB28D0">
        <w:rPr>
          <w:rFonts w:ascii="Times New Roman" w:hAnsi="Times New Roman"/>
          <w:b/>
          <w:sz w:val="28"/>
          <w:szCs w:val="22"/>
          <w:lang w:val="en-GB"/>
        </w:rPr>
        <w:t>6.2. İç Kale</w:t>
      </w:r>
      <w:r w:rsidRPr="00AB28D0">
        <w:rPr>
          <w:rFonts w:ascii="Times New Roman" w:hAnsi="Times New Roman"/>
          <w:b/>
          <w:sz w:val="28"/>
          <w:szCs w:val="22"/>
          <w:lang w:val="en-GB"/>
        </w:rPr>
        <w:fldChar w:fldCharType="begin"/>
      </w:r>
      <w:r w:rsidRPr="00AB28D0">
        <w:rPr>
          <w:rFonts w:ascii="Calibri" w:hAnsi="Calibri"/>
          <w:sz w:val="28"/>
          <w:szCs w:val="22"/>
          <w:lang w:val="en-GB"/>
        </w:rPr>
        <w:instrText xml:space="preserve"> XE "</w:instrText>
      </w:r>
      <w:r w:rsidRPr="00AB28D0">
        <w:rPr>
          <w:rFonts w:ascii="Times New Roman" w:hAnsi="Times New Roman"/>
          <w:sz w:val="28"/>
          <w:szCs w:val="22"/>
          <w:lang w:val="en-GB"/>
        </w:rPr>
        <w:instrText>İç Kale</w:instrText>
      </w:r>
      <w:r w:rsidRPr="00AB28D0">
        <w:rPr>
          <w:rFonts w:ascii="Calibri" w:hAnsi="Calibri"/>
          <w:sz w:val="28"/>
          <w:szCs w:val="22"/>
          <w:lang w:val="en-GB"/>
        </w:rPr>
        <w:instrText xml:space="preserve">" </w:instrText>
      </w:r>
      <w:r w:rsidRPr="00AB28D0">
        <w:rPr>
          <w:rFonts w:ascii="Times New Roman" w:hAnsi="Times New Roman"/>
          <w:b/>
          <w:sz w:val="28"/>
          <w:szCs w:val="22"/>
          <w:lang w:val="en-GB"/>
        </w:rPr>
        <w:fldChar w:fldCharType="end"/>
      </w:r>
      <w:r w:rsidRPr="00AB28D0">
        <w:rPr>
          <w:rFonts w:ascii="Times New Roman" w:hAnsi="Times New Roman"/>
          <w:b/>
          <w:sz w:val="28"/>
          <w:szCs w:val="22"/>
          <w:lang w:val="en-GB"/>
        </w:rPr>
        <w:t xml:space="preserve"> Walls</w:t>
      </w:r>
      <w:bookmarkEnd w:id="86"/>
      <w:bookmarkEnd w:id="87"/>
    </w:p>
    <w:p w14:paraId="7D9B4296" w14:textId="77777777" w:rsidR="00F26DC8" w:rsidRPr="00AB28D0" w:rsidRDefault="00F26DC8" w:rsidP="00F26DC8">
      <w:pPr>
        <w:jc w:val="both"/>
        <w:rPr>
          <w:rFonts w:ascii="Times New Roman" w:hAnsi="Times New Roman"/>
          <w:lang w:val="en-GB"/>
        </w:rPr>
      </w:pPr>
      <w:r w:rsidRPr="00AB28D0">
        <w:rPr>
          <w:rFonts w:ascii="Times New Roman" w:hAnsi="Times New Roman"/>
          <w:lang w:val="en-GB"/>
        </w:rPr>
        <w:t>İç Kale</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İç Kale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 xml:space="preserve">was built on the bedrock and covers an area of 4200 square meters with the platforms created by walls supporting each other. The northern fortification wall, which uses large blocks in the lower rows, extends in the southwest direction and meets the city wall in the south. The buttresses that reinforce the east-west oriented fortification wall in the south rise from the foundations carved into the bedrock. </w:t>
      </w:r>
      <w:r w:rsidRPr="008F0516">
        <w:rPr>
          <w:rFonts w:ascii="Times New Roman" w:eastAsia="Calibri" w:hAnsi="Times New Roman" w:cs="Times New Roman"/>
          <w:lang w:val="en-GB"/>
        </w:rPr>
        <w:t>Buttresses support the</w:t>
      </w:r>
      <w:r w:rsidRPr="00AB28D0">
        <w:rPr>
          <w:rFonts w:ascii="Times New Roman" w:hAnsi="Times New Roman"/>
          <w:lang w:val="en-GB"/>
        </w:rPr>
        <w:t xml:space="preserve"> 70 m-long southern walls and follow an uneven terrain, while the length of the northern walls is measured 107 meters (Fig. 2).   </w:t>
      </w:r>
    </w:p>
    <w:p w14:paraId="48566389" w14:textId="77777777" w:rsidR="00F26DC8" w:rsidRPr="00AB28D0" w:rsidRDefault="00F26DC8">
      <w:pPr>
        <w:jc w:val="both"/>
        <w:rPr>
          <w:rFonts w:ascii="Times New Roman" w:hAnsi="Times New Roman"/>
          <w:lang w:val="en-GB"/>
        </w:rPr>
      </w:pPr>
    </w:p>
    <w:p w14:paraId="35355FF4" w14:textId="77777777" w:rsidR="00F26DC8" w:rsidRPr="00AB28D0" w:rsidRDefault="00F26DC8">
      <w:pPr>
        <w:jc w:val="both"/>
        <w:rPr>
          <w:rFonts w:ascii="Times New Roman" w:hAnsi="Times New Roman"/>
          <w:lang w:val="en-GB"/>
        </w:rPr>
      </w:pPr>
      <w:r w:rsidRPr="00AB28D0">
        <w:rPr>
          <w:rFonts w:ascii="Times New Roman" w:hAnsi="Times New Roman"/>
          <w:noProof/>
        </w:rPr>
        <w:drawing>
          <wp:inline distT="0" distB="0" distL="0" distR="0" wp14:anchorId="55C4B445" wp14:editId="7644B1C0">
            <wp:extent cx="4519246" cy="2036138"/>
            <wp:effectExtent l="0" t="0" r="2540" b="0"/>
            <wp:docPr id="1383181842" name="Resim 1383181842" descr="gökyüzü, dış mekan, manzar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descr="gökyüzü, dış mekan, manzara, dağ içeren bir resim&#10;&#10;Açıklama otomatik olarak oluşturuldu"/>
                    <pic:cNvPicPr/>
                  </pic:nvPicPr>
                  <pic:blipFill>
                    <a:blip r:embed="rId199" cstate="email">
                      <a:extLst>
                        <a:ext uri="{28A0092B-C50C-407E-A947-70E740481C1C}">
                          <a14:useLocalDpi xmlns:a14="http://schemas.microsoft.com/office/drawing/2010/main"/>
                        </a:ext>
                      </a:extLst>
                    </a:blip>
                    <a:stretch>
                      <a:fillRect/>
                    </a:stretch>
                  </pic:blipFill>
                  <pic:spPr>
                    <a:xfrm>
                      <a:off x="0" y="0"/>
                      <a:ext cx="4592433" cy="2069112"/>
                    </a:xfrm>
                    <a:prstGeom prst="rect">
                      <a:avLst/>
                    </a:prstGeom>
                  </pic:spPr>
                </pic:pic>
              </a:graphicData>
            </a:graphic>
          </wp:inline>
        </w:drawing>
      </w:r>
    </w:p>
    <w:p w14:paraId="5BAEDDAB" w14:textId="5FFEE24B" w:rsidR="00F26DC8" w:rsidRPr="00AB28D0" w:rsidRDefault="00F26DC8">
      <w:pPr>
        <w:jc w:val="both"/>
        <w:rPr>
          <w:rFonts w:ascii="Times New Roman" w:hAnsi="Times New Roman"/>
          <w:lang w:val="en-GB"/>
        </w:rPr>
      </w:pPr>
      <w:r w:rsidRPr="00AB28D0">
        <w:rPr>
          <w:rFonts w:ascii="Times New Roman" w:hAnsi="Times New Roman"/>
          <w:lang w:val="en-GB"/>
        </w:rPr>
        <w:t>Fig. 2 Ṭušpa İç Kale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İç Kale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viewed from the north.</w:t>
      </w:r>
    </w:p>
    <w:p w14:paraId="5E7AD4A4" w14:textId="77777777" w:rsidR="00F26DC8" w:rsidRPr="00AB28D0" w:rsidRDefault="00F26DC8">
      <w:pPr>
        <w:jc w:val="both"/>
        <w:rPr>
          <w:rFonts w:ascii="Times New Roman" w:hAnsi="Times New Roman"/>
          <w:lang w:val="en-GB"/>
        </w:rPr>
      </w:pPr>
    </w:p>
    <w:p w14:paraId="293C8A85" w14:textId="77777777" w:rsidR="00F26DC8" w:rsidRPr="00AB28D0" w:rsidRDefault="00F26DC8">
      <w:pPr>
        <w:jc w:val="both"/>
        <w:rPr>
          <w:rFonts w:ascii="Times New Roman" w:hAnsi="Times New Roman"/>
          <w:lang w:val="en-GB"/>
        </w:rPr>
      </w:pPr>
      <w:r w:rsidRPr="00AB28D0">
        <w:rPr>
          <w:rFonts w:ascii="Times New Roman" w:hAnsi="Times New Roman"/>
          <w:noProof/>
        </w:rPr>
        <w:lastRenderedPageBreak/>
        <w:drawing>
          <wp:inline distT="0" distB="0" distL="0" distR="0" wp14:anchorId="4464082A" wp14:editId="4C99FF03">
            <wp:extent cx="5352415" cy="2799471"/>
            <wp:effectExtent l="0" t="0" r="0" b="0"/>
            <wp:docPr id="1064842880" name="Resim 1064842880" descr="dış mekan, dip kaya, jeoloji,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0" name="Resim 1064842880" descr="dış mekan, dip kaya, jeoloji, formasyon içeren bir resim&#10;&#10;Açıklama otomatik olarak oluşturuldu"/>
                    <pic:cNvPicPr/>
                  </pic:nvPicPr>
                  <pic:blipFill rotWithShape="1">
                    <a:blip r:embed="rId200" cstate="email">
                      <a:extLst>
                        <a:ext uri="{28A0092B-C50C-407E-A947-70E740481C1C}">
                          <a14:useLocalDpi xmlns:a14="http://schemas.microsoft.com/office/drawing/2010/main"/>
                        </a:ext>
                      </a:extLst>
                    </a:blip>
                    <a:srcRect/>
                    <a:stretch/>
                  </pic:blipFill>
                  <pic:spPr bwMode="auto">
                    <a:xfrm>
                      <a:off x="0" y="0"/>
                      <a:ext cx="5371899" cy="2809662"/>
                    </a:xfrm>
                    <a:prstGeom prst="rect">
                      <a:avLst/>
                    </a:prstGeom>
                    <a:ln>
                      <a:noFill/>
                    </a:ln>
                    <a:extLst>
                      <a:ext uri="{53640926-AAD7-44D8-BBD7-CCE9431645EC}">
                        <a14:shadowObscured xmlns:a14="http://schemas.microsoft.com/office/drawing/2010/main"/>
                      </a:ext>
                    </a:extLst>
                  </pic:spPr>
                </pic:pic>
              </a:graphicData>
            </a:graphic>
          </wp:inline>
        </w:drawing>
      </w:r>
    </w:p>
    <w:p w14:paraId="129ADC39" w14:textId="77777777" w:rsidR="00F26DC8" w:rsidRPr="00AB28D0" w:rsidRDefault="00F26DC8">
      <w:pPr>
        <w:jc w:val="both"/>
        <w:rPr>
          <w:rFonts w:ascii="Times New Roman" w:hAnsi="Times New Roman"/>
          <w:lang w:val="en-GB"/>
        </w:rPr>
      </w:pPr>
      <w:r w:rsidRPr="00AB28D0">
        <w:rPr>
          <w:rFonts w:ascii="Times New Roman" w:hAnsi="Times New Roman"/>
          <w:lang w:val="en-GB"/>
        </w:rPr>
        <w:t>Fig. 3 In the south, the walls and buttresses rise on the bedrock to create platforms on which İç Kale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İç Kale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structures were built. </w:t>
      </w:r>
    </w:p>
    <w:p w14:paraId="59FF2A42" w14:textId="77777777" w:rsidR="00F26DC8" w:rsidRPr="00AB28D0" w:rsidRDefault="00F26DC8">
      <w:pPr>
        <w:jc w:val="both"/>
        <w:rPr>
          <w:rFonts w:ascii="Times New Roman" w:hAnsi="Times New Roman"/>
          <w:lang w:val="en-GB"/>
        </w:rPr>
      </w:pPr>
    </w:p>
    <w:p w14:paraId="33A8C8AB" w14:textId="0C546350" w:rsidR="00F26DC8" w:rsidRPr="00AB28D0" w:rsidRDefault="00F26DC8">
      <w:pPr>
        <w:jc w:val="both"/>
        <w:rPr>
          <w:rFonts w:ascii="Times New Roman" w:hAnsi="Times New Roman"/>
          <w:lang w:val="en-GB"/>
        </w:rPr>
      </w:pPr>
      <w:r w:rsidRPr="00AB28D0">
        <w:rPr>
          <w:rFonts w:ascii="Times New Roman" w:hAnsi="Times New Roman"/>
          <w:lang w:val="en-GB"/>
        </w:rPr>
        <w:t>Although the İç Kale</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İç Kale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 xml:space="preserve">is rectangular in plan, the northern and southern walls are not of equal length. Buttresses were placed at various intervals on the İç Kale. On the north wall, four buttresses with a 6-8 m </w:t>
      </w:r>
      <w:r w:rsidRPr="008F0516">
        <w:rPr>
          <w:rFonts w:ascii="Times New Roman" w:eastAsia="Calibri" w:hAnsi="Times New Roman" w:cs="Times New Roman"/>
          <w:lang w:val="en-GB"/>
        </w:rPr>
        <w:t xml:space="preserve">width </w:t>
      </w:r>
      <w:r w:rsidRPr="00AB28D0">
        <w:rPr>
          <w:rFonts w:ascii="Times New Roman" w:hAnsi="Times New Roman"/>
          <w:lang w:val="en-GB"/>
        </w:rPr>
        <w:t xml:space="preserve">are aligned from east to west. </w:t>
      </w:r>
      <w:r w:rsidRPr="008F0516">
        <w:rPr>
          <w:rFonts w:ascii="Times New Roman" w:eastAsia="Calibri" w:hAnsi="Times New Roman" w:cs="Times New Roman"/>
          <w:lang w:val="en-GB"/>
        </w:rPr>
        <w:t>Specific</w:t>
      </w:r>
      <w:r w:rsidRPr="00AB28D0">
        <w:rPr>
          <w:rFonts w:ascii="Times New Roman" w:hAnsi="Times New Roman"/>
          <w:lang w:val="en-GB"/>
        </w:rPr>
        <w:t xml:space="preserve"> changes in the masonry indicate that they were repaired down to the foundation level in the later periods. The original width of the easternmost buttress, judging from the foundation bed, is around 5.5-6 m</w:t>
      </w:r>
      <w:r w:rsidRPr="008F0516">
        <w:rPr>
          <w:rFonts w:ascii="Times New Roman" w:eastAsia="Calibri" w:hAnsi="Times New Roman" w:cs="Times New Roman"/>
          <w:lang w:val="en-GB"/>
        </w:rPr>
        <w:t>,</w:t>
      </w:r>
      <w:r w:rsidRPr="00AB28D0">
        <w:rPr>
          <w:rFonts w:ascii="Times New Roman" w:hAnsi="Times New Roman"/>
          <w:lang w:val="en-GB"/>
        </w:rPr>
        <w:t xml:space="preserve"> and it protrudes 3.3 m from the façade.</w:t>
      </w:r>
    </w:p>
    <w:p w14:paraId="6D2716B8" w14:textId="77777777" w:rsidR="00F26DC8" w:rsidRPr="00AB28D0" w:rsidRDefault="00F26DC8">
      <w:pPr>
        <w:jc w:val="both"/>
        <w:rPr>
          <w:rFonts w:ascii="Times New Roman" w:hAnsi="Times New Roman"/>
          <w:lang w:val="en-GB"/>
        </w:rPr>
      </w:pPr>
      <w:r w:rsidRPr="00AB28D0">
        <w:rPr>
          <w:rFonts w:ascii="Times New Roman" w:hAnsi="Times New Roman"/>
          <w:noProof/>
        </w:rPr>
        <w:drawing>
          <wp:inline distT="0" distB="0" distL="0" distR="0" wp14:anchorId="4AD8E211" wp14:editId="7D65870E">
            <wp:extent cx="5733415" cy="2711303"/>
            <wp:effectExtent l="0" t="0" r="0" b="0"/>
            <wp:docPr id="1064842881" name="Resim 1064842881" descr="dış mekan, gökyüzü, harabele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1" name="Resim 1064842881" descr="dış mekan, gökyüzü, harabeler, bina içeren bir resim&#10;&#10;Açıklama otomatik olarak oluşturuldu"/>
                    <pic:cNvPicPr/>
                  </pic:nvPicPr>
                  <pic:blipFill rotWithShape="1">
                    <a:blip r:embed="rId201" cstate="email">
                      <a:extLst>
                        <a:ext uri="{28A0092B-C50C-407E-A947-70E740481C1C}">
                          <a14:useLocalDpi xmlns:a14="http://schemas.microsoft.com/office/drawing/2010/main"/>
                        </a:ext>
                      </a:extLst>
                    </a:blip>
                    <a:srcRect/>
                    <a:stretch/>
                  </pic:blipFill>
                  <pic:spPr bwMode="auto">
                    <a:xfrm>
                      <a:off x="0" y="0"/>
                      <a:ext cx="5733415" cy="2711303"/>
                    </a:xfrm>
                    <a:prstGeom prst="rect">
                      <a:avLst/>
                    </a:prstGeom>
                    <a:ln>
                      <a:noFill/>
                    </a:ln>
                    <a:extLst>
                      <a:ext uri="{53640926-AAD7-44D8-BBD7-CCE9431645EC}">
                        <a14:shadowObscured xmlns:a14="http://schemas.microsoft.com/office/drawing/2010/main"/>
                      </a:ext>
                    </a:extLst>
                  </pic:spPr>
                </pic:pic>
              </a:graphicData>
            </a:graphic>
          </wp:inline>
        </w:drawing>
      </w:r>
    </w:p>
    <w:p w14:paraId="0F9F7F71" w14:textId="77777777" w:rsidR="00F26DC8" w:rsidRPr="00AB28D0" w:rsidRDefault="00F26DC8">
      <w:pPr>
        <w:jc w:val="both"/>
        <w:rPr>
          <w:rFonts w:ascii="Times New Roman" w:hAnsi="Times New Roman"/>
          <w:lang w:val="en-GB"/>
        </w:rPr>
      </w:pPr>
      <w:r w:rsidRPr="00AB28D0">
        <w:rPr>
          <w:rFonts w:ascii="Times New Roman" w:hAnsi="Times New Roman"/>
          <w:lang w:val="en-GB"/>
        </w:rPr>
        <w:t>Fig. 4 The western entrance to the Upper Anzaf</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Anzaf</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citadel.</w:t>
      </w:r>
    </w:p>
    <w:p w14:paraId="74E8C96B" w14:textId="77777777" w:rsidR="00F26DC8" w:rsidRPr="00AB28D0" w:rsidRDefault="00F26DC8">
      <w:pPr>
        <w:jc w:val="both"/>
        <w:rPr>
          <w:rFonts w:ascii="Times New Roman" w:hAnsi="Times New Roman"/>
          <w:lang w:val="en-GB"/>
        </w:rPr>
      </w:pPr>
    </w:p>
    <w:p w14:paraId="218416FE" w14:textId="77777777" w:rsidR="00F26DC8" w:rsidRPr="00AB28D0" w:rsidRDefault="00F26DC8">
      <w:pPr>
        <w:jc w:val="both"/>
        <w:rPr>
          <w:rFonts w:ascii="Times New Roman" w:hAnsi="Times New Roman"/>
          <w:lang w:val="en-GB"/>
        </w:rPr>
      </w:pPr>
      <w:r w:rsidRPr="00AB28D0">
        <w:rPr>
          <w:rFonts w:ascii="Times New Roman" w:hAnsi="Times New Roman"/>
          <w:noProof/>
        </w:rPr>
        <w:lastRenderedPageBreak/>
        <w:drawing>
          <wp:inline distT="0" distB="0" distL="0" distR="0" wp14:anchorId="3AFB1EF8" wp14:editId="4EDFE5BC">
            <wp:extent cx="5733236" cy="2849407"/>
            <wp:effectExtent l="0" t="0" r="0" b="0"/>
            <wp:docPr id="1064842882" name="Resim 1064842882" descr="dış mekan, çim,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2" name="Resim 1064842882" descr="dış mekan, çim, doğa, dağ içeren bir resim&#10;&#10;Açıklama otomatik olarak oluşturuldu"/>
                    <pic:cNvPicPr/>
                  </pic:nvPicPr>
                  <pic:blipFill rotWithShape="1">
                    <a:blip r:embed="rId202" cstate="email">
                      <a:extLst>
                        <a:ext uri="{28A0092B-C50C-407E-A947-70E740481C1C}">
                          <a14:useLocalDpi xmlns:a14="http://schemas.microsoft.com/office/drawing/2010/main"/>
                        </a:ext>
                      </a:extLst>
                    </a:blip>
                    <a:srcRect/>
                    <a:stretch/>
                  </pic:blipFill>
                  <pic:spPr bwMode="auto">
                    <a:xfrm>
                      <a:off x="0" y="0"/>
                      <a:ext cx="5733415" cy="2849496"/>
                    </a:xfrm>
                    <a:prstGeom prst="rect">
                      <a:avLst/>
                    </a:prstGeom>
                    <a:ln>
                      <a:noFill/>
                    </a:ln>
                    <a:extLst>
                      <a:ext uri="{53640926-AAD7-44D8-BBD7-CCE9431645EC}">
                        <a14:shadowObscured xmlns:a14="http://schemas.microsoft.com/office/drawing/2010/main"/>
                      </a:ext>
                    </a:extLst>
                  </pic:spPr>
                </pic:pic>
              </a:graphicData>
            </a:graphic>
          </wp:inline>
        </w:drawing>
      </w:r>
    </w:p>
    <w:p w14:paraId="6372D12F" w14:textId="77777777" w:rsidR="00F26DC8" w:rsidRPr="00AB28D0" w:rsidRDefault="00F26DC8">
      <w:pPr>
        <w:jc w:val="both"/>
        <w:rPr>
          <w:rFonts w:ascii="Times New Roman" w:hAnsi="Times New Roman"/>
          <w:lang w:val="en-GB"/>
        </w:rPr>
      </w:pPr>
      <w:r w:rsidRPr="00AB28D0">
        <w:rPr>
          <w:rFonts w:ascii="Times New Roman" w:hAnsi="Times New Roman"/>
          <w:lang w:val="en-GB"/>
        </w:rPr>
        <w:t>Fig. 5 The southeastern entrance to the Aznavurtepe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Aznavurtepe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citadel.</w:t>
      </w:r>
    </w:p>
    <w:p w14:paraId="46CFD9C8" w14:textId="77777777" w:rsidR="00F26DC8" w:rsidRPr="00AB28D0" w:rsidRDefault="00F26DC8">
      <w:pPr>
        <w:jc w:val="both"/>
        <w:rPr>
          <w:rFonts w:ascii="Times New Roman" w:hAnsi="Times New Roman"/>
          <w:lang w:val="en-GB"/>
        </w:rPr>
      </w:pPr>
    </w:p>
    <w:p w14:paraId="2EE2A21A" w14:textId="77777777" w:rsidR="00F26DC8" w:rsidRPr="00AB28D0" w:rsidRDefault="00F26DC8">
      <w:pPr>
        <w:jc w:val="both"/>
        <w:rPr>
          <w:rFonts w:ascii="Times New Roman" w:hAnsi="Times New Roman"/>
          <w:lang w:val="en-GB"/>
        </w:rPr>
      </w:pPr>
      <w:r w:rsidRPr="00AB28D0">
        <w:rPr>
          <w:rFonts w:ascii="Times New Roman" w:hAnsi="Times New Roman"/>
          <w:lang w:val="en-GB"/>
        </w:rPr>
        <w:t>Urartian</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Urartian</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architects needed terraces and even areas for the citadel structures that started to spread over large areas. The southern walls supported by buttresses (Fig. 3) were probably built to meet this need. Buttresses strengthened the walls built on the steep slope in the south, and the terraces thus created were intended to support the structures. This practice continued until the beginning of the 20th century and can be observed in the engravings and paintings of the era.</w:t>
      </w:r>
    </w:p>
    <w:p w14:paraId="47718E1F" w14:textId="77777777" w:rsidR="00F26DC8" w:rsidRPr="00AB28D0" w:rsidRDefault="00F26DC8">
      <w:pPr>
        <w:jc w:val="both"/>
        <w:rPr>
          <w:rFonts w:ascii="Times New Roman" w:hAnsi="Times New Roman"/>
          <w:lang w:val="en-GB"/>
        </w:rPr>
      </w:pPr>
    </w:p>
    <w:p w14:paraId="6A660A75" w14:textId="77777777" w:rsidR="00F26DC8" w:rsidRPr="00AB28D0" w:rsidRDefault="00F26DC8">
      <w:pPr>
        <w:jc w:val="both"/>
        <w:rPr>
          <w:rFonts w:ascii="Times New Roman" w:hAnsi="Times New Roman"/>
          <w:lang w:val="en-GB"/>
        </w:rPr>
      </w:pPr>
      <w:r w:rsidRPr="00AB28D0">
        <w:rPr>
          <w:rFonts w:ascii="Times New Roman" w:hAnsi="Times New Roman"/>
          <w:noProof/>
        </w:rPr>
        <w:drawing>
          <wp:inline distT="0" distB="0" distL="0" distR="0" wp14:anchorId="7E7D4EBC" wp14:editId="284282A7">
            <wp:extent cx="5733415" cy="3822065"/>
            <wp:effectExtent l="0" t="0" r="0" b="635"/>
            <wp:docPr id="1064842883" name="Resim 1064842883" descr="dış mekan, kaya, duva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dış mekan, kaya, duvar, bina içeren bir resim&#10;&#10;Açıklama otomatik olarak oluşturuldu"/>
                    <pic:cNvPicPr/>
                  </pic:nvPicPr>
                  <pic:blipFill>
                    <a:blip r:embed="rId203" cstate="email">
                      <a:extLst>
                        <a:ext uri="{28A0092B-C50C-407E-A947-70E740481C1C}">
                          <a14:useLocalDpi xmlns:a14="http://schemas.microsoft.com/office/drawing/2010/main"/>
                        </a:ext>
                      </a:extLst>
                    </a:blip>
                    <a:stretch>
                      <a:fillRect/>
                    </a:stretch>
                  </pic:blipFill>
                  <pic:spPr>
                    <a:xfrm>
                      <a:off x="0" y="0"/>
                      <a:ext cx="5733415" cy="3822065"/>
                    </a:xfrm>
                    <a:prstGeom prst="rect">
                      <a:avLst/>
                    </a:prstGeom>
                  </pic:spPr>
                </pic:pic>
              </a:graphicData>
            </a:graphic>
          </wp:inline>
        </w:drawing>
      </w:r>
    </w:p>
    <w:p w14:paraId="67AC2A7B" w14:textId="503C4624" w:rsidR="00F26DC8" w:rsidRPr="00AB28D0" w:rsidRDefault="00F26DC8">
      <w:pPr>
        <w:jc w:val="both"/>
        <w:rPr>
          <w:rFonts w:ascii="Times New Roman" w:hAnsi="Times New Roman"/>
          <w:lang w:val="en-GB"/>
        </w:rPr>
      </w:pPr>
      <w:r w:rsidRPr="00AB28D0">
        <w:rPr>
          <w:rFonts w:ascii="Times New Roman" w:hAnsi="Times New Roman"/>
          <w:lang w:val="en-GB"/>
        </w:rPr>
        <w:t>Fig. 6 Ṭušpa İç Kale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İç Kale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entrance.</w:t>
      </w:r>
    </w:p>
    <w:p w14:paraId="52E693D0" w14:textId="77777777" w:rsidR="00F26DC8" w:rsidRPr="00AB28D0" w:rsidRDefault="00F26DC8">
      <w:pPr>
        <w:jc w:val="both"/>
        <w:rPr>
          <w:rFonts w:ascii="Times New Roman" w:hAnsi="Times New Roman"/>
          <w:lang w:val="en-GB"/>
        </w:rPr>
      </w:pPr>
    </w:p>
    <w:p w14:paraId="72C17850" w14:textId="3FA1188A" w:rsidR="00F26DC8" w:rsidRPr="00AB28D0" w:rsidRDefault="00F26DC8" w:rsidP="00F26DC8">
      <w:pPr>
        <w:jc w:val="both"/>
        <w:rPr>
          <w:rFonts w:ascii="Times New Roman" w:hAnsi="Times New Roman"/>
          <w:lang w:val="en-GB"/>
        </w:rPr>
      </w:pPr>
      <w:r w:rsidRPr="00AB28D0">
        <w:rPr>
          <w:rFonts w:ascii="Times New Roman" w:hAnsi="Times New Roman"/>
          <w:lang w:val="en-GB"/>
        </w:rPr>
        <w:t>The entrance to the west of İç Kale</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İç Kale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is like those known from the citadels built in the reign of Minua</w:t>
      </w:r>
      <w:r w:rsidRPr="008F0516">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Minua</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It is located on the </w:t>
      </w:r>
      <w:r w:rsidRPr="008F0516">
        <w:rPr>
          <w:rFonts w:ascii="Times New Roman" w:eastAsia="Calibri" w:hAnsi="Times New Roman" w:cs="Times New Roman"/>
          <w:lang w:val="en-GB"/>
        </w:rPr>
        <w:t>relatively</w:t>
      </w:r>
      <w:r w:rsidRPr="00AB28D0">
        <w:rPr>
          <w:rFonts w:ascii="Times New Roman" w:hAnsi="Times New Roman"/>
          <w:lang w:val="en-GB"/>
        </w:rPr>
        <w:t xml:space="preserve"> short (24 m) western wall, which connects the north and </w:t>
      </w:r>
      <w:r w:rsidRPr="00AB28D0">
        <w:rPr>
          <w:rFonts w:ascii="Times New Roman" w:hAnsi="Times New Roman"/>
          <w:lang w:val="en-GB"/>
        </w:rPr>
        <w:lastRenderedPageBreak/>
        <w:t>south walls and was in use until recently. The 2.21-meter-wide door is closer to the south corner. Similar gates are known from other citadels</w:t>
      </w:r>
      <w:r w:rsidRPr="008F0516">
        <w:rPr>
          <w:rFonts w:ascii="Times New Roman" w:eastAsia="Calibri" w:hAnsi="Times New Roman" w:cs="Times New Roman"/>
          <w:lang w:val="en-GB"/>
        </w:rPr>
        <w:t>,</w:t>
      </w:r>
      <w:r w:rsidRPr="00AB28D0">
        <w:rPr>
          <w:rFonts w:ascii="Times New Roman" w:hAnsi="Times New Roman"/>
          <w:lang w:val="en-GB"/>
        </w:rPr>
        <w:t xml:space="preserve"> such as the one to the west of Upper Anzaf</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Anzaf</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(Fig. 4) and another one supported by a tower to the southeast of Aznavurtepe</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Aznavurtepe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 xml:space="preserve">(Fig. 5). Since these gates were built on the side where </w:t>
      </w:r>
      <w:r w:rsidRPr="008F0516">
        <w:rPr>
          <w:rFonts w:ascii="Times New Roman" w:eastAsia="Calibri" w:hAnsi="Times New Roman" w:cs="Times New Roman"/>
          <w:lang w:val="en-GB"/>
        </w:rPr>
        <w:t xml:space="preserve">the </w:t>
      </w:r>
      <w:r w:rsidRPr="00AB28D0">
        <w:rPr>
          <w:rFonts w:ascii="Times New Roman" w:hAnsi="Times New Roman"/>
          <w:lang w:val="en-GB"/>
        </w:rPr>
        <w:t xml:space="preserve">slope is </w:t>
      </w:r>
      <w:r w:rsidRPr="008F0516">
        <w:rPr>
          <w:rFonts w:ascii="Times New Roman" w:eastAsia="Calibri" w:hAnsi="Times New Roman" w:cs="Times New Roman"/>
          <w:lang w:val="en-GB"/>
        </w:rPr>
        <w:t>favorable</w:t>
      </w:r>
      <w:r w:rsidRPr="00AB28D0">
        <w:rPr>
          <w:rFonts w:ascii="Times New Roman" w:hAnsi="Times New Roman"/>
          <w:lang w:val="en-GB"/>
        </w:rPr>
        <w:t>, they are</w:t>
      </w:r>
      <w:r>
        <w:rPr>
          <w:rFonts w:ascii="Times New Roman" w:hAnsi="Times New Roman"/>
          <w:lang w:val="en-GB"/>
        </w:rPr>
        <w:t xml:space="preserve"> </w:t>
      </w:r>
      <w:r w:rsidRPr="00AB28D0">
        <w:rPr>
          <w:rFonts w:ascii="Times New Roman" w:hAnsi="Times New Roman"/>
          <w:lang w:val="en-GB"/>
        </w:rPr>
        <w:t xml:space="preserve">located in different directions. The buttressed fortification walls of Aznavurtepe are a testimony to the grandeur of the fortification walls in parts </w:t>
      </w:r>
      <w:r w:rsidRPr="008F0516">
        <w:rPr>
          <w:rFonts w:ascii="Times New Roman" w:eastAsia="Calibri" w:hAnsi="Times New Roman" w:cs="Times New Roman"/>
          <w:lang w:val="en-GB"/>
        </w:rPr>
        <w:t>with slight</w:t>
      </w:r>
      <w:r w:rsidRPr="00AB28D0">
        <w:rPr>
          <w:rFonts w:ascii="Times New Roman" w:hAnsi="Times New Roman"/>
          <w:lang w:val="en-GB"/>
        </w:rPr>
        <w:t xml:space="preserve"> slopes. Starting from the slopes of the hill and extending up to the entrance gate of Anzaf, the terraces are high and thick enough to function as walls </w:t>
      </w:r>
      <w:r w:rsidRPr="008F0516">
        <w:rPr>
          <w:rFonts w:ascii="Times New Roman" w:eastAsia="Calibri" w:hAnsi="Times New Roman" w:cs="Times New Roman"/>
          <w:lang w:val="en-GB"/>
        </w:rPr>
        <w:t>simultaneously</w:t>
      </w:r>
      <w:r w:rsidRPr="00AB28D0">
        <w:rPr>
          <w:rFonts w:ascii="Times New Roman" w:hAnsi="Times New Roman"/>
          <w:lang w:val="en-GB"/>
        </w:rPr>
        <w:t>. The existence of towers supporting the gate is due to the easily accessible terrain. Although the construction of an entrance gate without a tower for a high citadel (Fig. 6</w:t>
      </w:r>
      <w:r w:rsidRPr="008F0516">
        <w:rPr>
          <w:rFonts w:ascii="Times New Roman" w:eastAsia="Calibri" w:hAnsi="Times New Roman" w:cs="Times New Roman"/>
          <w:lang w:val="en-GB"/>
        </w:rPr>
        <w:t>),</w:t>
      </w:r>
      <w:r w:rsidRPr="00AB28D0">
        <w:rPr>
          <w:rFonts w:ascii="Times New Roman" w:hAnsi="Times New Roman"/>
          <w:lang w:val="en-GB"/>
        </w:rPr>
        <w:t xml:space="preserve"> such as Ṭušpa</w:t>
      </w:r>
      <w:r w:rsidRPr="008F0516">
        <w:rPr>
          <w:rFonts w:ascii="Times New Roman" w:eastAsia="Calibri" w:hAnsi="Times New Roman" w:cs="Times New Roman"/>
          <w:lang w:val="en-GB"/>
        </w:rPr>
        <w:t> </w:t>
      </w:r>
      <w:r w:rsidRPr="00700903">
        <w:rPr>
          <w:rFonts w:asciiTheme="majorBidi" w:eastAsia="Calibri" w:hAnsiTheme="majorBidi" w:cstheme="majorBidi"/>
          <w:lang w:val="en-GB"/>
        </w:rPr>
        <w:t xml:space="preserve"> </w:t>
      </w:r>
      <w:r w:rsidRPr="00AB28D0">
        <w:rPr>
          <w:rFonts w:ascii="Times New Roman" w:hAnsi="Times New Roman"/>
          <w:lang w:val="en-GB"/>
        </w:rPr>
        <w:t>İç Kale</w:t>
      </w:r>
      <w:r w:rsidRPr="008F0516">
        <w:rPr>
          <w:rFonts w:ascii="Times New Roman" w:eastAsia="Calibri" w:hAnsi="Times New Roman" w:cs="Times New Roman"/>
          <w:lang w:val="en-GB"/>
        </w:rPr>
        <w:t>,</w:t>
      </w:r>
      <w:r w:rsidRPr="00AB28D0">
        <w:rPr>
          <w:rFonts w:ascii="Times New Roman" w:hAnsi="Times New Roman"/>
          <w:lang w:val="en-GB"/>
        </w:rPr>
        <w:t xml:space="preserve"> is explained by its easily defensible position due to its eminent location and presence of walls below, the traces of wall foundations at the northern part of the entrance gate and </w:t>
      </w:r>
      <w:r w:rsidRPr="008F0516">
        <w:rPr>
          <w:rFonts w:ascii="Times New Roman" w:eastAsia="Calibri" w:hAnsi="Times New Roman" w:cs="Times New Roman"/>
          <w:lang w:val="en-GB"/>
        </w:rPr>
        <w:t>specific</w:t>
      </w:r>
      <w:r w:rsidRPr="00AB28D0">
        <w:rPr>
          <w:rFonts w:ascii="Times New Roman" w:hAnsi="Times New Roman"/>
          <w:lang w:val="en-GB"/>
        </w:rPr>
        <w:t xml:space="preserve"> physical features of the area do imply the existence of a tower supporting the gate. Its original appearance cannot be judged from the remains</w:t>
      </w:r>
      <w:r w:rsidRPr="008F0516">
        <w:rPr>
          <w:rFonts w:ascii="Times New Roman" w:eastAsia="Calibri" w:hAnsi="Times New Roman" w:cs="Times New Roman"/>
          <w:lang w:val="en-GB"/>
        </w:rPr>
        <w:t>,</w:t>
      </w:r>
      <w:r w:rsidRPr="00AB28D0">
        <w:rPr>
          <w:rFonts w:ascii="Times New Roman" w:hAnsi="Times New Roman"/>
          <w:lang w:val="en-GB"/>
        </w:rPr>
        <w:t xml:space="preserve"> but </w:t>
      </w:r>
      <w:r w:rsidRPr="008F0516">
        <w:rPr>
          <w:rFonts w:ascii="Times New Roman" w:eastAsia="Calibri" w:hAnsi="Times New Roman" w:cs="Times New Roman"/>
          <w:lang w:val="en-GB"/>
        </w:rPr>
        <w:t xml:space="preserve">it </w:t>
      </w:r>
      <w:r w:rsidRPr="00AB28D0">
        <w:rPr>
          <w:rFonts w:ascii="Times New Roman" w:hAnsi="Times New Roman"/>
          <w:lang w:val="en-GB"/>
        </w:rPr>
        <w:t>was probably located north of the gate, on the right of the entrance</w:t>
      </w:r>
      <w:r w:rsidRPr="008F0516">
        <w:rPr>
          <w:rFonts w:ascii="Times New Roman" w:eastAsia="Calibri" w:hAnsi="Times New Roman" w:cs="Times New Roman"/>
          <w:lang w:val="en-GB"/>
        </w:rPr>
        <w:t>,</w:t>
      </w:r>
      <w:r w:rsidRPr="00AB28D0">
        <w:rPr>
          <w:rFonts w:ascii="Times New Roman" w:hAnsi="Times New Roman"/>
          <w:lang w:val="en-GB"/>
        </w:rPr>
        <w:t xml:space="preserve"> and resembled the Upper Anzaf</w:t>
      </w:r>
      <w:r w:rsidRPr="008F0516">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iCs/>
          <w:lang w:val="en-GB"/>
        </w:rPr>
        <w:instrText>Upper Anzaf</w:instrText>
      </w:r>
      <w:r w:rsidRPr="00427476">
        <w:rPr>
          <w:lang w:val="en-GB"/>
        </w:rPr>
        <w:instrText xml:space="preserve">" </w:instrText>
      </w:r>
      <w:r w:rsidRPr="00427476">
        <w:rPr>
          <w:rFonts w:asciiTheme="majorBidi" w:eastAsia="Calibri" w:hAnsiTheme="majorBidi" w:cstheme="majorBidi"/>
          <w:lang w:val="en-GB"/>
        </w:rPr>
        <w:fldChar w:fldCharType="end"/>
      </w:r>
      <w:r>
        <w:rPr>
          <w:rFonts w:asciiTheme="majorBidi" w:eastAsia="Calibri" w:hAnsiTheme="majorBidi" w:cstheme="majorBidi"/>
          <w:lang w:val="en-GB"/>
        </w:rPr>
        <w:t>.</w:t>
      </w:r>
      <w:r w:rsidRPr="00AB28D0">
        <w:rPr>
          <w:rFonts w:ascii="Times New Roman" w:hAnsi="Times New Roman"/>
          <w:lang w:val="en-GB"/>
        </w:rPr>
        <w:t xml:space="preserve"> There is enough space for the area surrounded by the </w:t>
      </w:r>
      <w:r w:rsidRPr="008F0516">
        <w:rPr>
          <w:rFonts w:ascii="Times New Roman" w:eastAsia="Calibri" w:hAnsi="Times New Roman" w:cs="Times New Roman"/>
          <w:lang w:val="en-GB"/>
        </w:rPr>
        <w:t xml:space="preserve">foundation's </w:t>
      </w:r>
      <w:r w:rsidRPr="00AB28D0">
        <w:rPr>
          <w:rFonts w:ascii="Times New Roman" w:hAnsi="Times New Roman"/>
          <w:lang w:val="en-GB"/>
        </w:rPr>
        <w:t>walls at the foundation level, the door room</w:t>
      </w:r>
      <w:r w:rsidRPr="008F0516">
        <w:rPr>
          <w:rFonts w:ascii="Times New Roman" w:eastAsia="Calibri" w:hAnsi="Times New Roman" w:cs="Times New Roman"/>
          <w:lang w:val="en-GB"/>
        </w:rPr>
        <w:t>,</w:t>
      </w:r>
      <w:r w:rsidRPr="00AB28D0">
        <w:rPr>
          <w:rFonts w:ascii="Times New Roman" w:hAnsi="Times New Roman"/>
          <w:lang w:val="en-GB"/>
        </w:rPr>
        <w:t xml:space="preserve"> and the narrow corridor that should be in this area. In addition, the dimensions of this area conform to the doorway of a typical Urartian</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citadel. It seems that both the buttresses on the walls and retaining the gate entrances with buttresses and towers aim to overcome a topographic deficiency. As a result of planned construction, architectural features were applied regardless of the conventions dictated by the period.</w:t>
      </w:r>
    </w:p>
    <w:p w14:paraId="1E4F7970" w14:textId="77777777" w:rsidR="00F26DC8" w:rsidRPr="00AB28D0" w:rsidRDefault="00F26DC8">
      <w:pPr>
        <w:jc w:val="both"/>
        <w:rPr>
          <w:rFonts w:ascii="Times New Roman" w:hAnsi="Times New Roman"/>
          <w:lang w:val="en-GB"/>
        </w:rPr>
      </w:pPr>
      <w:r w:rsidRPr="00AB28D0">
        <w:rPr>
          <w:rFonts w:ascii="Times New Roman" w:hAnsi="Times New Roman"/>
          <w:noProof/>
        </w:rPr>
        <w:drawing>
          <wp:inline distT="0" distB="0" distL="0" distR="0" wp14:anchorId="1A9AF9FE" wp14:editId="46753707">
            <wp:extent cx="5733415" cy="2580640"/>
            <wp:effectExtent l="0" t="0" r="0" b="0"/>
            <wp:docPr id="1064842884" name="Resim 1064842884" descr="dış mekan, kaya, harabeler, Arkeolojik sit alan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4" name="Resim 1064842884" descr="dış mekan, kaya, harabeler, Arkeolojik sit alanı içeren bir resim&#10;&#10;Açıklama otomatik olarak oluşturuldu"/>
                    <pic:cNvPicPr/>
                  </pic:nvPicPr>
                  <pic:blipFill>
                    <a:blip r:embed="rId204" cstate="email">
                      <a:extLst>
                        <a:ext uri="{28A0092B-C50C-407E-A947-70E740481C1C}">
                          <a14:useLocalDpi xmlns:a14="http://schemas.microsoft.com/office/drawing/2010/main"/>
                        </a:ext>
                      </a:extLst>
                    </a:blip>
                    <a:stretch>
                      <a:fillRect/>
                    </a:stretch>
                  </pic:blipFill>
                  <pic:spPr>
                    <a:xfrm>
                      <a:off x="0" y="0"/>
                      <a:ext cx="5733415" cy="2580640"/>
                    </a:xfrm>
                    <a:prstGeom prst="rect">
                      <a:avLst/>
                    </a:prstGeom>
                  </pic:spPr>
                </pic:pic>
              </a:graphicData>
            </a:graphic>
          </wp:inline>
        </w:drawing>
      </w:r>
    </w:p>
    <w:p w14:paraId="69F281B9" w14:textId="77777777" w:rsidR="00F26DC8" w:rsidRPr="00AB28D0" w:rsidRDefault="00F26DC8">
      <w:pPr>
        <w:jc w:val="both"/>
        <w:rPr>
          <w:rFonts w:ascii="Times New Roman" w:hAnsi="Times New Roman"/>
          <w:lang w:val="en-GB"/>
        </w:rPr>
      </w:pPr>
      <w:r w:rsidRPr="00AB28D0">
        <w:rPr>
          <w:rFonts w:ascii="Times New Roman" w:hAnsi="Times New Roman"/>
          <w:lang w:val="en-GB"/>
        </w:rPr>
        <w:t>Fig. 7 Selected stone blocks from the Sardurburç</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Sardurburç</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selected for the dimensions given in the text.</w:t>
      </w:r>
    </w:p>
    <w:p w14:paraId="1767845B" w14:textId="77777777" w:rsidR="00F26DC8" w:rsidRPr="00AB28D0" w:rsidRDefault="00F26DC8">
      <w:pPr>
        <w:jc w:val="both"/>
        <w:rPr>
          <w:rFonts w:ascii="Times New Roman" w:hAnsi="Times New Roman"/>
          <w:lang w:val="en-GB"/>
        </w:rPr>
      </w:pPr>
    </w:p>
    <w:p w14:paraId="794D4AFB" w14:textId="77777777" w:rsidR="00F26DC8" w:rsidRPr="00AB28D0" w:rsidRDefault="00F26DC8">
      <w:pPr>
        <w:jc w:val="both"/>
        <w:rPr>
          <w:rFonts w:ascii="Times New Roman" w:hAnsi="Times New Roman"/>
          <w:lang w:val="en-GB"/>
        </w:rPr>
      </w:pPr>
      <w:r w:rsidRPr="00AB28D0">
        <w:rPr>
          <w:rFonts w:ascii="Times New Roman" w:hAnsi="Times New Roman"/>
          <w:noProof/>
        </w:rPr>
        <w:lastRenderedPageBreak/>
        <w:drawing>
          <wp:inline distT="0" distB="0" distL="0" distR="0" wp14:anchorId="19CCD266" wp14:editId="61B05823">
            <wp:extent cx="3860800" cy="2514600"/>
            <wp:effectExtent l="0" t="0" r="0" b="0"/>
            <wp:docPr id="1064842885" name="Resim 1064842885" descr="dış mekan, bina, harabeler,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5" name="Resim 1064842885" descr="dış mekan, bina, harabeler, gökyüzü içeren bir resim&#10;&#10;Açıklama otomatik olarak oluşturuldu"/>
                    <pic:cNvPicPr/>
                  </pic:nvPicPr>
                  <pic:blipFill>
                    <a:blip r:embed="rId205" cstate="email">
                      <a:extLst>
                        <a:ext uri="{28A0092B-C50C-407E-A947-70E740481C1C}">
                          <a14:useLocalDpi xmlns:a14="http://schemas.microsoft.com/office/drawing/2010/main"/>
                        </a:ext>
                      </a:extLst>
                    </a:blip>
                    <a:stretch>
                      <a:fillRect/>
                    </a:stretch>
                  </pic:blipFill>
                  <pic:spPr>
                    <a:xfrm>
                      <a:off x="0" y="0"/>
                      <a:ext cx="3860800" cy="2514600"/>
                    </a:xfrm>
                    <a:prstGeom prst="rect">
                      <a:avLst/>
                    </a:prstGeom>
                  </pic:spPr>
                </pic:pic>
              </a:graphicData>
            </a:graphic>
          </wp:inline>
        </w:drawing>
      </w:r>
    </w:p>
    <w:p w14:paraId="25427AAB" w14:textId="77777777" w:rsidR="00F26DC8" w:rsidRPr="00AB28D0" w:rsidRDefault="00F26DC8">
      <w:pPr>
        <w:jc w:val="both"/>
        <w:rPr>
          <w:rFonts w:ascii="Times New Roman" w:hAnsi="Times New Roman"/>
          <w:lang w:val="en-GB"/>
        </w:rPr>
      </w:pPr>
      <w:r w:rsidRPr="00AB28D0">
        <w:rPr>
          <w:rFonts w:ascii="Times New Roman" w:hAnsi="Times New Roman"/>
          <w:lang w:val="en-GB"/>
        </w:rPr>
        <w:t>Fig. 8 The northern and eastern walls of İç Kale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İç Kale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w:t>
      </w:r>
    </w:p>
    <w:p w14:paraId="0268B2CA" w14:textId="77777777" w:rsidR="00F26DC8" w:rsidRPr="00AB28D0" w:rsidRDefault="00F26DC8">
      <w:pPr>
        <w:jc w:val="both"/>
        <w:rPr>
          <w:rFonts w:ascii="Times New Roman" w:hAnsi="Times New Roman"/>
          <w:lang w:val="en-GB"/>
        </w:rPr>
      </w:pPr>
    </w:p>
    <w:p w14:paraId="059F997F" w14:textId="64156733" w:rsidR="00F26DC8" w:rsidRPr="00AB28D0" w:rsidRDefault="00F26DC8" w:rsidP="00F26DC8">
      <w:pPr>
        <w:jc w:val="both"/>
        <w:rPr>
          <w:rFonts w:ascii="Times New Roman" w:hAnsi="Times New Roman"/>
          <w:lang w:val="en-GB"/>
        </w:rPr>
      </w:pPr>
      <w:r w:rsidRPr="00AB28D0">
        <w:rPr>
          <w:rFonts w:ascii="Times New Roman" w:hAnsi="Times New Roman"/>
          <w:lang w:val="en-GB"/>
        </w:rPr>
        <w:t>The travertine blocks of İç Kale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İç Kale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were dated and interpreted by establishing a relationship with the Sardurburç. Similar blocks, albeit smaller in size, are also observed on the Sardurburç</w:t>
      </w:r>
      <w:r w:rsidR="002A0E12">
        <w:rPr>
          <w:rFonts w:ascii="Times New Roman" w:hAnsi="Times New Roman"/>
          <w:lang w:val="en-GB"/>
        </w:rPr>
        <w:t>.</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Sardurburç</w:instrText>
      </w:r>
      <w:r w:rsidRPr="00AB28D0">
        <w:rPr>
          <w:rFonts w:ascii="Calibri" w:hAnsi="Calibri"/>
          <w:lang w:val="en-GB"/>
        </w:rPr>
        <w:instrText xml:space="preserve">" </w:instrText>
      </w:r>
      <w:r w:rsidRPr="00AB28D0">
        <w:rPr>
          <w:rFonts w:ascii="Times New Roman" w:hAnsi="Times New Roman"/>
          <w:lang w:val="en-GB"/>
        </w:rPr>
        <w:fldChar w:fldCharType="end"/>
      </w:r>
      <w:r w:rsidRPr="00427476">
        <w:rPr>
          <w:rFonts w:asciiTheme="majorBidi" w:eastAsia="Calibri" w:hAnsiTheme="majorBidi" w:cstheme="majorBidi"/>
          <w:vertAlign w:val="superscript"/>
          <w:lang w:val="en-GB"/>
        </w:rPr>
        <w:footnoteReference w:id="54"/>
      </w:r>
    </w:p>
    <w:p w14:paraId="56D053C3" w14:textId="77777777" w:rsidR="00F26DC8" w:rsidRPr="00AB28D0" w:rsidRDefault="00F26DC8">
      <w:pPr>
        <w:jc w:val="both"/>
        <w:rPr>
          <w:rFonts w:ascii="Times New Roman" w:hAnsi="Times New Roman"/>
          <w:lang w:val="en-GB"/>
        </w:rPr>
      </w:pPr>
    </w:p>
    <w:p w14:paraId="1C0A6AD8" w14:textId="2E198BBA" w:rsidR="00F26DC8" w:rsidRPr="00AB28D0" w:rsidRDefault="00F26DC8">
      <w:pPr>
        <w:jc w:val="both"/>
        <w:rPr>
          <w:rFonts w:ascii="Times New Roman" w:hAnsi="Times New Roman"/>
          <w:lang w:val="en-GB"/>
        </w:rPr>
      </w:pPr>
      <w:r w:rsidRPr="002A0E12">
        <w:rPr>
          <w:rFonts w:ascii="Times New Roman" w:hAnsi="Times New Roman"/>
          <w:lang w:val="en-GB"/>
        </w:rPr>
        <w:t>It is observed that stone blocks from various structures on the Ṭušpa</w:t>
      </w:r>
      <w:r w:rsidR="004B0374">
        <w:rPr>
          <w:rFonts w:ascii="Times New Roman" w:hAnsi="Times New Roman"/>
          <w:lang w:val="en-GB"/>
        </w:rPr>
        <w:t>/Van</w:t>
      </w:r>
      <w:r w:rsidRPr="00427476">
        <w:rPr>
          <w:rFonts w:asciiTheme="majorBidi" w:eastAsia="Calibri" w:hAnsiTheme="majorBidi" w:cstheme="majorBidi"/>
          <w:lang w:val="en-GB"/>
        </w:rPr>
        <w:t xml:space="preserve"> </w:t>
      </w:r>
      <w:r w:rsidR="004B0374">
        <w:rPr>
          <w:rFonts w:ascii="Times New Roman" w:hAnsi="Times New Roman"/>
          <w:lang w:val="en-GB"/>
        </w:rPr>
        <w:t>R</w:t>
      </w:r>
      <w:r w:rsidRPr="002A0E12">
        <w:rPr>
          <w:rFonts w:ascii="Times New Roman" w:hAnsi="Times New Roman"/>
          <w:lang w:val="en-GB"/>
        </w:rPr>
        <w:t>ock were reutilized for the construction of İç Kale</w:t>
      </w:r>
      <w:r w:rsidRPr="008F0516">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İç Kale</w:instrText>
      </w:r>
      <w:r w:rsidRPr="00427476">
        <w:rPr>
          <w:lang w:val="en-GB"/>
        </w:rPr>
        <w:instrText xml:space="preserve">" </w:instrText>
      </w:r>
      <w:r w:rsidRPr="00427476">
        <w:rPr>
          <w:rFonts w:asciiTheme="majorBidi" w:eastAsia="Calibri" w:hAnsiTheme="majorBidi" w:cstheme="majorBidi"/>
          <w:lang w:val="en-GB"/>
        </w:rPr>
        <w:fldChar w:fldCharType="end"/>
      </w:r>
      <w:r w:rsidRPr="002A0E12">
        <w:rPr>
          <w:rFonts w:ascii="Times New Roman" w:hAnsi="Times New Roman"/>
          <w:lang w:val="en-GB"/>
        </w:rPr>
        <w:t xml:space="preserve"> Judging from the finds, Urartians</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Urartians</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2A0E12">
        <w:rPr>
          <w:rFonts w:ascii="Times New Roman" w:hAnsi="Times New Roman"/>
          <w:lang w:val="en-GB"/>
        </w:rPr>
        <w:t xml:space="preserve">utilized the discarded material from the rocky terrain, which had been cropped and </w:t>
      </w:r>
      <w:r w:rsidRPr="008F0516">
        <w:rPr>
          <w:rFonts w:ascii="Times New Roman" w:eastAsia="Calibri" w:hAnsi="Times New Roman" w:cs="Times New Roman"/>
          <w:lang w:val="en-GB"/>
        </w:rPr>
        <w:t>leveled</w:t>
      </w:r>
      <w:r w:rsidRPr="002A0E12">
        <w:rPr>
          <w:rFonts w:ascii="Times New Roman" w:hAnsi="Times New Roman"/>
          <w:lang w:val="en-GB"/>
        </w:rPr>
        <w:t xml:space="preserve"> for construction.</w:t>
      </w:r>
      <w:r w:rsidRPr="008F0516">
        <w:rPr>
          <w:rFonts w:ascii="Times New Roman" w:eastAsia="Calibri" w:hAnsi="Times New Roman" w:cs="Times New Roman"/>
          <w:lang w:val="en-GB"/>
        </w:rPr>
        <w:t> </w:t>
      </w:r>
      <w:r w:rsidRPr="002A0E12">
        <w:rPr>
          <w:rFonts w:ascii="Times New Roman" w:hAnsi="Times New Roman"/>
          <w:lang w:val="en-GB"/>
        </w:rPr>
        <w:t xml:space="preserve"> One can also observe, however, the opposite: since the composition of the green sandstone blocks used in the northern İç Kale wall </w:t>
      </w:r>
      <w:r w:rsidRPr="008F0516">
        <w:rPr>
          <w:rFonts w:ascii="Times New Roman" w:eastAsia="Calibri" w:hAnsi="Times New Roman" w:cs="Times New Roman"/>
          <w:lang w:val="en-GB"/>
        </w:rPr>
        <w:t>is</w:t>
      </w:r>
      <w:r w:rsidRPr="002A0E12">
        <w:rPr>
          <w:rFonts w:ascii="Times New Roman" w:hAnsi="Times New Roman"/>
          <w:lang w:val="en-GB"/>
        </w:rPr>
        <w:t xml:space="preserve"> remarkably different from those from the Ṭušpa</w:t>
      </w:r>
      <w:r w:rsidR="004B0374">
        <w:rPr>
          <w:rFonts w:ascii="Times New Roman" w:hAnsi="Times New Roman"/>
          <w:lang w:val="en-GB"/>
        </w:rPr>
        <w:t>/Van</w:t>
      </w:r>
      <w:r w:rsidRPr="002A0E12">
        <w:rPr>
          <w:rFonts w:ascii="Times New Roman" w:hAnsi="Times New Roman"/>
          <w:lang w:val="en-GB"/>
        </w:rPr>
        <w:t xml:space="preserve"> Rock</w:t>
      </w:r>
      <w:r w:rsidR="00E2269D">
        <w:rPr>
          <w:rFonts w:ascii="Times New Roman" w:hAnsi="Times New Roman"/>
          <w:lang w:val="en-GB"/>
        </w:rPr>
        <w:fldChar w:fldCharType="begin"/>
      </w:r>
      <w:r w:rsidR="00E2269D">
        <w:instrText xml:space="preserve"> XE "</w:instrText>
      </w:r>
      <w:r w:rsidR="00E2269D" w:rsidRPr="007A7330">
        <w:rPr>
          <w:rFonts w:asciiTheme="majorBidi" w:hAnsiTheme="majorBidi"/>
          <w:lang w:val="en-GB"/>
        </w:rPr>
        <w:instrText>Ṭušpa/Van Rock</w:instrText>
      </w:r>
      <w:r w:rsidR="00E2269D">
        <w:instrText xml:space="preserve">" </w:instrText>
      </w:r>
      <w:r w:rsidR="00E2269D">
        <w:rPr>
          <w:rFonts w:ascii="Times New Roman" w:hAnsi="Times New Roman"/>
          <w:lang w:val="en-GB"/>
        </w:rPr>
        <w:fldChar w:fldCharType="end"/>
      </w:r>
      <w:r w:rsidRPr="002A0E12">
        <w:rPr>
          <w:rFonts w:ascii="Times New Roman" w:hAnsi="Times New Roman"/>
          <w:lang w:val="en-GB"/>
        </w:rPr>
        <w:t>, they must have brought form elsewhere.</w:t>
      </w:r>
    </w:p>
    <w:p w14:paraId="56B1AB05" w14:textId="77777777" w:rsidR="00F26DC8" w:rsidRPr="00AB28D0" w:rsidRDefault="00F26DC8">
      <w:pPr>
        <w:jc w:val="both"/>
        <w:rPr>
          <w:rFonts w:ascii="Times New Roman" w:hAnsi="Times New Roman"/>
          <w:lang w:val="en-GB"/>
        </w:rPr>
      </w:pPr>
      <w:r w:rsidRPr="00AB28D0">
        <w:rPr>
          <w:rFonts w:ascii="Times New Roman" w:hAnsi="Times New Roman"/>
          <w:noProof/>
        </w:rPr>
        <w:lastRenderedPageBreak/>
        <w:drawing>
          <wp:inline distT="0" distB="0" distL="0" distR="0" wp14:anchorId="453222B0" wp14:editId="2F6989F6">
            <wp:extent cx="5733415" cy="3822065"/>
            <wp:effectExtent l="0" t="0" r="0" b="635"/>
            <wp:docPr id="1064842886" name="Resim 1064842886" descr="bina, dış mekan, tuğla, inşaat malzem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bina, dış mekan, tuğla, inşaat malzemesi içeren bir resim&#10;&#10;Açıklama otomatik olarak oluşturuldu"/>
                    <pic:cNvPicPr/>
                  </pic:nvPicPr>
                  <pic:blipFill>
                    <a:blip r:embed="rId206" cstate="email">
                      <a:extLst>
                        <a:ext uri="{28A0092B-C50C-407E-A947-70E740481C1C}">
                          <a14:useLocalDpi xmlns:a14="http://schemas.microsoft.com/office/drawing/2010/main"/>
                        </a:ext>
                      </a:extLst>
                    </a:blip>
                    <a:stretch>
                      <a:fillRect/>
                    </a:stretch>
                  </pic:blipFill>
                  <pic:spPr>
                    <a:xfrm>
                      <a:off x="0" y="0"/>
                      <a:ext cx="5733415" cy="3822065"/>
                    </a:xfrm>
                    <a:prstGeom prst="rect">
                      <a:avLst/>
                    </a:prstGeom>
                  </pic:spPr>
                </pic:pic>
              </a:graphicData>
            </a:graphic>
          </wp:inline>
        </w:drawing>
      </w:r>
    </w:p>
    <w:p w14:paraId="78FAD4C0" w14:textId="77777777" w:rsidR="00F26DC8" w:rsidRPr="00AB28D0" w:rsidRDefault="00F26DC8">
      <w:pPr>
        <w:jc w:val="both"/>
        <w:rPr>
          <w:rFonts w:ascii="Times New Roman" w:hAnsi="Times New Roman"/>
          <w:lang w:val="en-GB"/>
        </w:rPr>
      </w:pPr>
      <w:r w:rsidRPr="00AB28D0">
        <w:rPr>
          <w:rFonts w:ascii="Times New Roman" w:hAnsi="Times New Roman"/>
          <w:lang w:val="en-GB"/>
        </w:rPr>
        <w:t>Fig. 9 The current state of the Urartian</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Urartian</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masonry on the northern walls of the İç Kale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İç Kale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and the repairs indicating the use of spolia sandstone blocks on the upper courses.</w:t>
      </w:r>
    </w:p>
    <w:p w14:paraId="49C0C635" w14:textId="77777777" w:rsidR="00F26DC8" w:rsidRPr="00AB28D0" w:rsidRDefault="00F26DC8">
      <w:pPr>
        <w:jc w:val="both"/>
        <w:rPr>
          <w:rFonts w:ascii="Times New Roman" w:hAnsi="Times New Roman"/>
          <w:lang w:val="en-GB"/>
        </w:rPr>
      </w:pPr>
    </w:p>
    <w:p w14:paraId="0380ADDC" w14:textId="77777777" w:rsidR="00F26DC8" w:rsidRPr="00AB28D0" w:rsidRDefault="00F26DC8">
      <w:pPr>
        <w:jc w:val="both"/>
        <w:rPr>
          <w:rFonts w:ascii="Times New Roman" w:hAnsi="Times New Roman"/>
          <w:lang w:val="en-GB"/>
        </w:rPr>
      </w:pPr>
      <w:r w:rsidRPr="00AB28D0">
        <w:rPr>
          <w:rFonts w:ascii="Times New Roman" w:hAnsi="Times New Roman"/>
          <w:noProof/>
        </w:rPr>
        <w:drawing>
          <wp:inline distT="0" distB="0" distL="0" distR="0" wp14:anchorId="7EDE7BE7" wp14:editId="38444F72">
            <wp:extent cx="3610056" cy="1581531"/>
            <wp:effectExtent l="0" t="0" r="0" b="6350"/>
            <wp:docPr id="1064842887" name="Resim 1064842887" descr="kireç taşı, bina, taş duvar,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7" name="Resim 1064842887" descr="kireç taşı, bina, taş duvar, duvar içeren bir resim&#10;&#10;Açıklama otomatik olarak oluşturuldu"/>
                    <pic:cNvPicPr/>
                  </pic:nvPicPr>
                  <pic:blipFill rotWithShape="1">
                    <a:blip r:embed="rId207" cstate="email">
                      <a:extLst>
                        <a:ext uri="{28A0092B-C50C-407E-A947-70E740481C1C}">
                          <a14:useLocalDpi xmlns:a14="http://schemas.microsoft.com/office/drawing/2010/main"/>
                        </a:ext>
                      </a:extLst>
                    </a:blip>
                    <a:srcRect/>
                    <a:stretch/>
                  </pic:blipFill>
                  <pic:spPr bwMode="auto">
                    <a:xfrm>
                      <a:off x="0" y="0"/>
                      <a:ext cx="3612421" cy="1582567"/>
                    </a:xfrm>
                    <a:prstGeom prst="rect">
                      <a:avLst/>
                    </a:prstGeom>
                    <a:ln>
                      <a:noFill/>
                    </a:ln>
                    <a:extLst>
                      <a:ext uri="{53640926-AAD7-44D8-BBD7-CCE9431645EC}">
                        <a14:shadowObscured xmlns:a14="http://schemas.microsoft.com/office/drawing/2010/main"/>
                      </a:ext>
                    </a:extLst>
                  </pic:spPr>
                </pic:pic>
              </a:graphicData>
            </a:graphic>
          </wp:inline>
        </w:drawing>
      </w:r>
    </w:p>
    <w:p w14:paraId="7A9A72C9" w14:textId="77777777" w:rsidR="00F26DC8" w:rsidRPr="00AB28D0" w:rsidRDefault="00F26DC8">
      <w:pPr>
        <w:jc w:val="both"/>
        <w:rPr>
          <w:rFonts w:ascii="Times New Roman" w:hAnsi="Times New Roman"/>
          <w:lang w:val="en-GB"/>
        </w:rPr>
      </w:pPr>
      <w:r w:rsidRPr="00AB28D0">
        <w:rPr>
          <w:rFonts w:ascii="Times New Roman" w:hAnsi="Times New Roman"/>
          <w:lang w:val="en-GB"/>
        </w:rPr>
        <w:t>Fig. 10 Example of a block that was used in the medieval wall with cuneiform inscription.</w:t>
      </w:r>
    </w:p>
    <w:p w14:paraId="12328D1F" w14:textId="77777777" w:rsidR="00F26DC8" w:rsidRPr="00AB28D0" w:rsidRDefault="00F26DC8">
      <w:pPr>
        <w:jc w:val="both"/>
        <w:rPr>
          <w:rFonts w:ascii="Times New Roman" w:hAnsi="Times New Roman"/>
          <w:lang w:val="en-GB"/>
        </w:rPr>
      </w:pPr>
    </w:p>
    <w:p w14:paraId="385C9ABB" w14:textId="77777777" w:rsidR="00F26DC8" w:rsidRPr="00AB28D0" w:rsidRDefault="00F26DC8" w:rsidP="00F26DC8">
      <w:pPr>
        <w:jc w:val="both"/>
        <w:rPr>
          <w:rFonts w:ascii="Times New Roman" w:hAnsi="Times New Roman"/>
          <w:lang w:val="en-GB"/>
        </w:rPr>
      </w:pPr>
      <w:r w:rsidRPr="00AB28D0">
        <w:rPr>
          <w:rFonts w:ascii="Times New Roman" w:hAnsi="Times New Roman"/>
          <w:lang w:val="en-GB"/>
        </w:rPr>
        <w:t>Among the sandstone blocks rising on the İç Kale</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İç Kale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 xml:space="preserve">northern wall foundations are spolia with cuneiform inscriptions (Fig. 8-9). The </w:t>
      </w:r>
      <w:r w:rsidRPr="008F0516">
        <w:rPr>
          <w:rFonts w:ascii="Times New Roman" w:eastAsia="Calibri" w:hAnsi="Times New Roman" w:cs="Times New Roman"/>
          <w:lang w:val="en-GB"/>
        </w:rPr>
        <w:t xml:space="preserve">masonry's </w:t>
      </w:r>
      <w:r w:rsidRPr="00AB28D0">
        <w:rPr>
          <w:rFonts w:ascii="Times New Roman" w:hAnsi="Times New Roman"/>
          <w:lang w:val="en-GB"/>
        </w:rPr>
        <w:t xml:space="preserve">7 or 8 rows of travertine blocks are </w:t>
      </w:r>
      <w:r w:rsidRPr="008F0516">
        <w:rPr>
          <w:rFonts w:ascii="Times New Roman" w:eastAsia="Calibri" w:hAnsi="Times New Roman" w:cs="Times New Roman"/>
          <w:lang w:val="en-GB"/>
        </w:rPr>
        <w:t>more significant</w:t>
      </w:r>
      <w:r w:rsidRPr="00AB28D0">
        <w:rPr>
          <w:rFonts w:ascii="Times New Roman" w:hAnsi="Times New Roman"/>
          <w:lang w:val="en-GB"/>
        </w:rPr>
        <w:t xml:space="preserve"> than the sandstone blocks in the upper rows. Salvini suggests that although the sandstone blocks (Fig. 10) are scattered on the wall, their inscriptions refer to </w:t>
      </w:r>
      <w:r w:rsidRPr="008F0516">
        <w:rPr>
          <w:rFonts w:ascii="Times New Roman" w:eastAsia="Calibri" w:hAnsi="Times New Roman" w:cs="Times New Roman"/>
          <w:lang w:val="en-GB"/>
        </w:rPr>
        <w:t>Minua</w:t>
      </w:r>
      <w:r>
        <w:rPr>
          <w:rFonts w:ascii="Times New Roman" w:eastAsia="Calibri" w:hAnsi="Times New Roman" w:cs="Times New Roman"/>
          <w:lang w:val="en-GB"/>
        </w:rPr>
        <w:fldChar w:fldCharType="begin"/>
      </w:r>
      <w:r>
        <w:instrText xml:space="preserve"> XE "</w:instrText>
      </w:r>
      <w:r w:rsidRPr="00660B64">
        <w:rPr>
          <w:rFonts w:ascii="Times New Roman" w:eastAsia="Calibri" w:hAnsi="Times New Roman" w:cs="Times New Roman"/>
          <w:lang w:val="en-GB"/>
        </w:rPr>
        <w:instrText>Minua</w:instrText>
      </w:r>
      <w:r>
        <w:instrText xml:space="preserve">" </w:instrText>
      </w:r>
      <w:r>
        <w:rPr>
          <w:rFonts w:ascii="Times New Roman" w:eastAsia="Calibri" w:hAnsi="Times New Roman" w:cs="Times New Roman"/>
          <w:lang w:val="en-GB"/>
        </w:rPr>
        <w:fldChar w:fldCharType="end"/>
      </w:r>
      <w:r w:rsidRPr="008F0516">
        <w:rPr>
          <w:rFonts w:ascii="Times New Roman" w:eastAsia="Calibri" w:hAnsi="Times New Roman" w:cs="Times New Roman"/>
          <w:lang w:val="en-GB"/>
        </w:rPr>
        <w:t>'s</w:t>
      </w:r>
      <w:r w:rsidRPr="00AB28D0">
        <w:rPr>
          <w:rFonts w:ascii="Times New Roman" w:hAnsi="Times New Roman"/>
          <w:lang w:val="en-GB"/>
        </w:rPr>
        <w:t xml:space="preserve"> campaigns in the north of the Araxes</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eastAsia="Calibri" w:hAnsiTheme="majorBidi" w:cstheme="majorBidi"/>
          <w:lang w:val="en-GB"/>
        </w:rPr>
        <w:instrText>Araxes</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and that they may have been located on the façade of another building (Salvini, 1973). They were used as spolia on the north walls of İç Kale, which had been destroyed after the fall of the Urartian</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kingdom</w:t>
      </w:r>
      <w:r w:rsidRPr="008F0516">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 Kingdom</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It should be noted that the buttress on the northern city wall was also heavily destroyed in the process. Only a few travertine blocks remained at the foundation level</w:t>
      </w:r>
      <w:r w:rsidRPr="008F0516">
        <w:rPr>
          <w:rFonts w:ascii="Times New Roman" w:eastAsia="Calibri" w:hAnsi="Times New Roman" w:cs="Times New Roman"/>
          <w:lang w:val="en-GB"/>
        </w:rPr>
        <w:t>,</w:t>
      </w:r>
      <w:r w:rsidRPr="00AB28D0">
        <w:rPr>
          <w:rFonts w:ascii="Times New Roman" w:hAnsi="Times New Roman"/>
          <w:lang w:val="en-GB"/>
        </w:rPr>
        <w:t xml:space="preserve"> and during the post-Urartian repair work, the buttress was rebuilt and narrowed. The north walls of İç Kale</w:t>
      </w:r>
      <w:r w:rsidRPr="008F0516">
        <w:rPr>
          <w:rFonts w:ascii="Times New Roman" w:eastAsia="Calibri" w:hAnsi="Times New Roman" w:cs="Times New Roman"/>
          <w:lang w:val="en-GB"/>
        </w:rPr>
        <w:t xml:space="preserve"> and </w:t>
      </w:r>
      <w:r w:rsidRPr="00AB28D0">
        <w:rPr>
          <w:rFonts w:ascii="Times New Roman" w:hAnsi="Times New Roman"/>
          <w:lang w:val="en-GB"/>
        </w:rPr>
        <w:t>several structures in the area were probably rebuilt and repaired with spolia numerous times under Ottoman</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eastAsia="Calibri" w:hAnsiTheme="majorBidi" w:cstheme="majorBidi"/>
          <w:lang w:val="en-GB"/>
        </w:rPr>
        <w:instrText>Ottoman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rule.</w:t>
      </w:r>
      <w:r w:rsidRPr="00427476">
        <w:rPr>
          <w:rFonts w:asciiTheme="majorBidi" w:eastAsia="Calibri" w:hAnsiTheme="majorBidi" w:cstheme="majorBidi"/>
          <w:vertAlign w:val="superscript"/>
          <w:lang w:val="en-GB"/>
        </w:rPr>
        <w:footnoteReference w:id="55"/>
      </w:r>
    </w:p>
    <w:p w14:paraId="53A8C1D0" w14:textId="77777777" w:rsidR="00F26DC8" w:rsidRPr="00AB28D0" w:rsidRDefault="00F26DC8" w:rsidP="00F26DC8">
      <w:pPr>
        <w:keepNext/>
        <w:keepLines/>
        <w:spacing w:before="360" w:after="120" w:line="276" w:lineRule="auto"/>
        <w:outlineLvl w:val="1"/>
        <w:rPr>
          <w:rFonts w:ascii="Times New Roman" w:hAnsi="Times New Roman"/>
          <w:b/>
          <w:sz w:val="28"/>
          <w:lang w:val="en-GB"/>
        </w:rPr>
      </w:pPr>
      <w:bookmarkStart w:id="88" w:name="_Toc132072528"/>
      <w:bookmarkStart w:id="89" w:name="_Toc173231218"/>
      <w:r w:rsidRPr="00AB28D0">
        <w:rPr>
          <w:rFonts w:ascii="Times New Roman" w:hAnsi="Times New Roman"/>
          <w:b/>
          <w:sz w:val="28"/>
          <w:szCs w:val="22"/>
          <w:lang w:val="en-GB"/>
        </w:rPr>
        <w:lastRenderedPageBreak/>
        <w:t>6.3.</w:t>
      </w:r>
      <w:r w:rsidRPr="00AB28D0">
        <w:rPr>
          <w:rFonts w:ascii="Times New Roman" w:hAnsi="Times New Roman"/>
          <w:b/>
          <w:color w:val="0070C0"/>
          <w:sz w:val="28"/>
          <w:szCs w:val="22"/>
          <w:lang w:val="en-GB"/>
        </w:rPr>
        <w:t xml:space="preserve"> </w:t>
      </w:r>
      <w:r w:rsidRPr="00AB28D0">
        <w:rPr>
          <w:rFonts w:ascii="Times New Roman" w:hAnsi="Times New Roman"/>
          <w:b/>
          <w:sz w:val="28"/>
          <w:szCs w:val="22"/>
          <w:lang w:val="en-GB"/>
        </w:rPr>
        <w:t>İç Kale</w:t>
      </w:r>
      <w:r w:rsidRPr="00AB28D0">
        <w:rPr>
          <w:rFonts w:ascii="Times New Roman" w:hAnsi="Times New Roman"/>
          <w:b/>
          <w:sz w:val="28"/>
          <w:szCs w:val="22"/>
          <w:lang w:val="en-GB"/>
        </w:rPr>
        <w:fldChar w:fldCharType="begin"/>
      </w:r>
      <w:r w:rsidRPr="00AB28D0">
        <w:rPr>
          <w:rFonts w:ascii="Calibri" w:hAnsi="Calibri"/>
          <w:sz w:val="28"/>
          <w:szCs w:val="22"/>
          <w:lang w:val="en-GB"/>
        </w:rPr>
        <w:instrText xml:space="preserve"> XE "</w:instrText>
      </w:r>
      <w:r w:rsidRPr="00AB28D0">
        <w:rPr>
          <w:rFonts w:ascii="Times New Roman" w:hAnsi="Times New Roman"/>
          <w:sz w:val="28"/>
          <w:szCs w:val="22"/>
          <w:lang w:val="en-GB"/>
        </w:rPr>
        <w:instrText>İç Kale</w:instrText>
      </w:r>
      <w:r w:rsidRPr="00AB28D0">
        <w:rPr>
          <w:rFonts w:ascii="Calibri" w:hAnsi="Calibri"/>
          <w:sz w:val="28"/>
          <w:szCs w:val="22"/>
          <w:lang w:val="en-GB"/>
        </w:rPr>
        <w:instrText xml:space="preserve">" </w:instrText>
      </w:r>
      <w:r w:rsidRPr="00AB28D0">
        <w:rPr>
          <w:rFonts w:ascii="Times New Roman" w:hAnsi="Times New Roman"/>
          <w:b/>
          <w:sz w:val="28"/>
          <w:szCs w:val="22"/>
          <w:lang w:val="en-GB"/>
        </w:rPr>
        <w:fldChar w:fldCharType="end"/>
      </w:r>
      <w:r w:rsidRPr="00AB28D0">
        <w:rPr>
          <w:rFonts w:ascii="Times New Roman" w:hAnsi="Times New Roman"/>
          <w:b/>
          <w:sz w:val="28"/>
          <w:szCs w:val="22"/>
          <w:lang w:val="en-GB"/>
        </w:rPr>
        <w:t xml:space="preserve">  Buildings</w:t>
      </w:r>
      <w:bookmarkEnd w:id="88"/>
      <w:bookmarkEnd w:id="89"/>
    </w:p>
    <w:p w14:paraId="0C202627" w14:textId="25121AD1" w:rsidR="00F26DC8" w:rsidRPr="00AB28D0" w:rsidRDefault="00F26DC8" w:rsidP="00F26DC8">
      <w:pPr>
        <w:jc w:val="both"/>
        <w:rPr>
          <w:rFonts w:ascii="Times New Roman" w:hAnsi="Times New Roman"/>
          <w:lang w:val="en-GB"/>
        </w:rPr>
      </w:pPr>
      <w:r w:rsidRPr="00AB28D0">
        <w:rPr>
          <w:rFonts w:ascii="Times New Roman" w:hAnsi="Times New Roman"/>
          <w:lang w:val="en-GB"/>
        </w:rPr>
        <w:t>The fill layer was removed thanks to the soundings carried out in 1974 under the direction of Afif Erzen</w:t>
      </w:r>
      <w:r w:rsidRPr="00427476">
        <w:rPr>
          <w:rFonts w:asciiTheme="majorBidi" w:eastAsia="Calibri" w:hAnsiTheme="majorBidi" w:cstheme="majorBidi"/>
          <w:lang w:val="en-GB"/>
        </w:rPr>
        <w:t xml:space="preserve"> </w:t>
      </w:r>
      <w:r w:rsidRPr="00AB28D0">
        <w:rPr>
          <w:rFonts w:ascii="Times New Roman" w:hAnsi="Times New Roman"/>
          <w:lang w:val="en-GB"/>
        </w:rPr>
        <w:t xml:space="preserve">(Erzen, 1975; 1976) and excavations conducted </w:t>
      </w:r>
      <w:r w:rsidRPr="008F0516">
        <w:rPr>
          <w:rFonts w:ascii="Times New Roman" w:eastAsia="Calibri" w:hAnsi="Times New Roman" w:cs="Times New Roman"/>
          <w:lang w:val="en-GB"/>
        </w:rPr>
        <w:t xml:space="preserve">by </w:t>
      </w:r>
      <w:r w:rsidRPr="00AB28D0">
        <w:rPr>
          <w:rFonts w:ascii="Times New Roman" w:hAnsi="Times New Roman"/>
          <w:lang w:val="en-GB"/>
        </w:rPr>
        <w:t>Taner Tarhan and his team in 1988-1989 (Tarhan &amp; Sevin, 1990; 1991), contains Ottoman</w:t>
      </w:r>
      <w:r w:rsidR="00647545">
        <w:rPr>
          <w:rFonts w:ascii="Times New Roman" w:hAnsi="Times New Roman"/>
          <w:lang w:val="en-GB"/>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imes New Roman" w:hAnsi="Times New Roman"/>
          <w:lang w:val="en-GB"/>
        </w:rPr>
        <w:fldChar w:fldCharType="end"/>
      </w:r>
      <w:r w:rsidRPr="008F0516">
        <w:rPr>
          <w:rFonts w:ascii="Times New Roman" w:eastAsia="Calibri" w:hAnsi="Times New Roman" w:cs="Times New Roman"/>
          <w:lang w:val="en-GB"/>
        </w:rPr>
        <w:t> </w:t>
      </w:r>
      <w:r w:rsidRPr="00AB28D0">
        <w:rPr>
          <w:rFonts w:ascii="Times New Roman" w:hAnsi="Times New Roman"/>
          <w:lang w:val="en-GB"/>
        </w:rPr>
        <w:t xml:space="preserve">findings. They point to dense construction activity at the highest point of the citadel, </w:t>
      </w:r>
      <w:r w:rsidRPr="008F0516">
        <w:rPr>
          <w:rFonts w:ascii="Times New Roman" w:eastAsia="Calibri" w:hAnsi="Times New Roman" w:cs="Times New Roman"/>
          <w:lang w:val="en-GB"/>
        </w:rPr>
        <w:t>covering</w:t>
      </w:r>
      <w:r w:rsidRPr="00AB28D0">
        <w:rPr>
          <w:rFonts w:ascii="Times New Roman" w:hAnsi="Times New Roman"/>
          <w:lang w:val="en-GB"/>
        </w:rPr>
        <w:t xml:space="preserve"> the Urartian</w:t>
      </w:r>
      <w:r w:rsidRPr="008F0516">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remains in the process.</w:t>
      </w:r>
    </w:p>
    <w:p w14:paraId="486454A0" w14:textId="77777777" w:rsidR="00F26DC8" w:rsidRPr="00AB28D0" w:rsidRDefault="00F26DC8" w:rsidP="00F26DC8">
      <w:pPr>
        <w:keepNext/>
        <w:keepLines/>
        <w:spacing w:before="320" w:after="80" w:line="276" w:lineRule="auto"/>
        <w:outlineLvl w:val="2"/>
        <w:rPr>
          <w:rFonts w:ascii="Times New Roman" w:hAnsi="Times New Roman"/>
          <w:b/>
          <w:lang w:val="en-GB"/>
        </w:rPr>
      </w:pPr>
      <w:bookmarkStart w:id="90" w:name="_Toc132072529"/>
      <w:bookmarkStart w:id="91" w:name="_Toc173231219"/>
      <w:r w:rsidRPr="00AB28D0">
        <w:rPr>
          <w:rFonts w:ascii="Times New Roman" w:hAnsi="Times New Roman"/>
          <w:b/>
          <w:lang w:val="en-GB"/>
        </w:rPr>
        <w:t>6.3.1. Temple with Double Cella</w:t>
      </w:r>
      <w:bookmarkEnd w:id="90"/>
      <w:bookmarkEnd w:id="91"/>
    </w:p>
    <w:p w14:paraId="4C0F4947" w14:textId="77777777" w:rsidR="00F26DC8" w:rsidRPr="00AB28D0" w:rsidRDefault="00F26DC8">
      <w:pPr>
        <w:jc w:val="both"/>
        <w:rPr>
          <w:rFonts w:ascii="Times New Roman" w:hAnsi="Times New Roman"/>
          <w:lang w:val="en-GB"/>
        </w:rPr>
      </w:pPr>
      <w:r w:rsidRPr="00AB28D0">
        <w:rPr>
          <w:rFonts w:ascii="Times New Roman" w:hAnsi="Times New Roman"/>
          <w:noProof/>
        </w:rPr>
        <w:drawing>
          <wp:inline distT="0" distB="0" distL="0" distR="0" wp14:anchorId="2FA88BED" wp14:editId="700CCFD2">
            <wp:extent cx="3891950" cy="2354868"/>
            <wp:effectExtent l="0" t="0" r="0" b="0"/>
            <wp:docPr id="1064842888" name="Resim 1064842888" descr="kay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kaya, dış mekan içeren bir resim&#10;&#10;Açıklama otomatik olarak oluşturuldu"/>
                    <pic:cNvPicPr/>
                  </pic:nvPicPr>
                  <pic:blipFill rotWithShape="1">
                    <a:blip r:embed="rId208" cstate="email">
                      <a:extLst>
                        <a:ext uri="{28A0092B-C50C-407E-A947-70E740481C1C}">
                          <a14:useLocalDpi xmlns:a14="http://schemas.microsoft.com/office/drawing/2010/main"/>
                        </a:ext>
                      </a:extLst>
                    </a:blip>
                    <a:srcRect/>
                    <a:stretch/>
                  </pic:blipFill>
                  <pic:spPr bwMode="auto">
                    <a:xfrm>
                      <a:off x="0" y="0"/>
                      <a:ext cx="3915335" cy="2369017"/>
                    </a:xfrm>
                    <a:prstGeom prst="rect">
                      <a:avLst/>
                    </a:prstGeom>
                    <a:ln>
                      <a:noFill/>
                    </a:ln>
                    <a:extLst>
                      <a:ext uri="{53640926-AAD7-44D8-BBD7-CCE9431645EC}">
                        <a14:shadowObscured xmlns:a14="http://schemas.microsoft.com/office/drawing/2010/main"/>
                      </a:ext>
                    </a:extLst>
                  </pic:spPr>
                </pic:pic>
              </a:graphicData>
            </a:graphic>
          </wp:inline>
        </w:drawing>
      </w:r>
    </w:p>
    <w:p w14:paraId="017B09C1" w14:textId="77777777" w:rsidR="00F26DC8" w:rsidRPr="00AB28D0" w:rsidRDefault="00F26DC8" w:rsidP="00F26DC8">
      <w:pPr>
        <w:jc w:val="both"/>
        <w:rPr>
          <w:rFonts w:ascii="Times New Roman" w:hAnsi="Times New Roman"/>
          <w:lang w:val="en-GB"/>
        </w:rPr>
      </w:pPr>
      <w:r w:rsidRPr="00AB28D0">
        <w:rPr>
          <w:rFonts w:ascii="Times New Roman" w:hAnsi="Times New Roman"/>
          <w:lang w:val="en-GB"/>
        </w:rPr>
        <w:t xml:space="preserve">Fig. 11 The view from the north of the so-called “temple with double-cella.” In the foreground is a 35 cm-wide and 5-6 m-long rock cavity, while the northern and southern chambers </w:t>
      </w:r>
      <w:r w:rsidRPr="008F0516">
        <w:rPr>
          <w:rFonts w:ascii="Times New Roman" w:eastAsia="Calibri" w:hAnsi="Times New Roman" w:cs="Times New Roman"/>
          <w:lang w:val="en-GB"/>
        </w:rPr>
        <w:t>are in the background</w:t>
      </w:r>
      <w:r w:rsidRPr="00AB28D0">
        <w:rPr>
          <w:rFonts w:ascii="Times New Roman" w:hAnsi="Times New Roman"/>
          <w:lang w:val="en-GB"/>
        </w:rPr>
        <w:t>.</w:t>
      </w:r>
    </w:p>
    <w:p w14:paraId="6831E63C" w14:textId="77777777" w:rsidR="00F26DC8" w:rsidRPr="00AB28D0" w:rsidRDefault="00F26DC8">
      <w:pPr>
        <w:jc w:val="both"/>
        <w:rPr>
          <w:rFonts w:ascii="Times New Roman" w:hAnsi="Times New Roman"/>
          <w:lang w:val="en-GB"/>
        </w:rPr>
      </w:pPr>
    </w:p>
    <w:p w14:paraId="5D5A83AF" w14:textId="77777777" w:rsidR="00F26DC8" w:rsidRPr="00AB28D0" w:rsidRDefault="00F26DC8" w:rsidP="00F26DC8">
      <w:pPr>
        <w:jc w:val="both"/>
        <w:rPr>
          <w:rFonts w:ascii="Times New Roman" w:hAnsi="Times New Roman"/>
          <w:lang w:val="en-GB"/>
        </w:rPr>
      </w:pPr>
      <w:r w:rsidRPr="00AB28D0">
        <w:rPr>
          <w:rFonts w:ascii="Times New Roman" w:hAnsi="Times New Roman"/>
          <w:lang w:val="en-GB"/>
        </w:rPr>
        <w:t xml:space="preserve">It </w:t>
      </w:r>
      <w:r w:rsidRPr="008F0516">
        <w:rPr>
          <w:rFonts w:ascii="Times New Roman" w:eastAsia="Calibri" w:hAnsi="Times New Roman" w:cs="Times New Roman"/>
          <w:lang w:val="en-GB"/>
        </w:rPr>
        <w:t>has</w:t>
      </w:r>
      <w:r w:rsidRPr="00AB28D0">
        <w:rPr>
          <w:rFonts w:ascii="Times New Roman" w:hAnsi="Times New Roman"/>
          <w:lang w:val="en-GB"/>
        </w:rPr>
        <w:t xml:space="preserve"> been claimed </w:t>
      </w:r>
      <w:r w:rsidRPr="008F0516">
        <w:rPr>
          <w:rFonts w:ascii="Times New Roman" w:eastAsia="Calibri" w:hAnsi="Times New Roman" w:cs="Times New Roman"/>
          <w:lang w:val="en-GB"/>
        </w:rPr>
        <w:t xml:space="preserve">that </w:t>
      </w:r>
      <w:r w:rsidRPr="00AB28D0">
        <w:rPr>
          <w:rFonts w:ascii="Times New Roman" w:hAnsi="Times New Roman"/>
          <w:lang w:val="en-GB"/>
        </w:rPr>
        <w:t>the platform, unearthed in 1988 at the southern end of İç Kale</w:t>
      </w:r>
      <w:r w:rsidRPr="008F0516">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İç Kale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consisted of a two-roomed space (Fig. 11) created by </w:t>
      </w:r>
      <w:r w:rsidRPr="008F0516">
        <w:rPr>
          <w:rFonts w:ascii="Times New Roman" w:eastAsia="Calibri" w:hAnsi="Times New Roman" w:cs="Times New Roman"/>
          <w:lang w:val="en-GB"/>
        </w:rPr>
        <w:t>leveling</w:t>
      </w:r>
      <w:r w:rsidRPr="00AB28D0">
        <w:rPr>
          <w:rFonts w:ascii="Times New Roman" w:hAnsi="Times New Roman"/>
          <w:lang w:val="en-GB"/>
        </w:rPr>
        <w:t xml:space="preserve"> the bedrock (Tarhan &amp; Sevin, 1990). Only a portion of the room measuring 1.30 meters in the south survived, and the remaining </w:t>
      </w:r>
      <w:r w:rsidRPr="008F0516">
        <w:rPr>
          <w:rFonts w:ascii="Times New Roman" w:eastAsia="Calibri" w:hAnsi="Times New Roman" w:cs="Times New Roman"/>
          <w:lang w:val="en-GB"/>
        </w:rPr>
        <w:t xml:space="preserve">floor </w:t>
      </w:r>
      <w:r w:rsidRPr="00AB28D0">
        <w:rPr>
          <w:rFonts w:ascii="Times New Roman" w:hAnsi="Times New Roman"/>
          <w:lang w:val="en-GB"/>
        </w:rPr>
        <w:t xml:space="preserve">sections extended to the cliff. </w:t>
      </w:r>
      <w:r w:rsidRPr="008F0516">
        <w:rPr>
          <w:rFonts w:ascii="Times New Roman" w:eastAsia="Calibri" w:hAnsi="Times New Roman" w:cs="Times New Roman"/>
          <w:lang w:val="en-GB"/>
        </w:rPr>
        <w:t>In this section, reports</w:t>
      </w:r>
      <w:r w:rsidRPr="00AB28D0">
        <w:rPr>
          <w:rFonts w:ascii="Times New Roman" w:hAnsi="Times New Roman"/>
          <w:lang w:val="en-GB"/>
        </w:rPr>
        <w:t xml:space="preserve"> do not mention that a rock platform or a terrace floor was created for </w:t>
      </w:r>
      <w:r w:rsidRPr="008F0516">
        <w:rPr>
          <w:rFonts w:ascii="Times New Roman" w:eastAsia="Calibri" w:hAnsi="Times New Roman" w:cs="Times New Roman"/>
          <w:lang w:val="en-GB"/>
        </w:rPr>
        <w:t xml:space="preserve">a </w:t>
      </w:r>
      <w:r w:rsidRPr="00AB28D0">
        <w:rPr>
          <w:rFonts w:ascii="Times New Roman" w:hAnsi="Times New Roman"/>
          <w:lang w:val="en-GB"/>
        </w:rPr>
        <w:t xml:space="preserve">southward-extending portion of the floor. Its walls were cut from the bedrock and are 1.20 meters thick. Towards the north, the floor of the other room is reached through a 90-cm opening hewn from the bedrock (Fig. 12). </w:t>
      </w:r>
    </w:p>
    <w:p w14:paraId="747AA77D" w14:textId="77777777" w:rsidR="00F26DC8" w:rsidRPr="00AB28D0" w:rsidRDefault="00F26DC8">
      <w:pPr>
        <w:jc w:val="both"/>
        <w:rPr>
          <w:rFonts w:ascii="Times New Roman" w:hAnsi="Times New Roman"/>
          <w:lang w:val="en-GB"/>
        </w:rPr>
      </w:pPr>
      <w:r w:rsidRPr="00AB28D0">
        <w:rPr>
          <w:rFonts w:ascii="Times New Roman" w:hAnsi="Times New Roman"/>
          <w:noProof/>
        </w:rPr>
        <w:lastRenderedPageBreak/>
        <w:drawing>
          <wp:inline distT="0" distB="0" distL="0" distR="0" wp14:anchorId="368DAB7E" wp14:editId="73F8D284">
            <wp:extent cx="5358384" cy="3572058"/>
            <wp:effectExtent l="0" t="0" r="1270" b="0"/>
            <wp:docPr id="1064842889" name="Resim 1064842889" descr="dış mekan, yer, gökyüzü,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dış mekan, yer, gökyüzü, doğa içeren bir resim&#10;&#10;Açıklama otomatik olarak oluşturuldu"/>
                    <pic:cNvPicPr/>
                  </pic:nvPicPr>
                  <pic:blipFill>
                    <a:blip r:embed="rId209" cstate="email">
                      <a:extLst>
                        <a:ext uri="{28A0092B-C50C-407E-A947-70E740481C1C}">
                          <a14:useLocalDpi xmlns:a14="http://schemas.microsoft.com/office/drawing/2010/main"/>
                        </a:ext>
                      </a:extLst>
                    </a:blip>
                    <a:stretch>
                      <a:fillRect/>
                    </a:stretch>
                  </pic:blipFill>
                  <pic:spPr>
                    <a:xfrm>
                      <a:off x="0" y="0"/>
                      <a:ext cx="5386308" cy="3590673"/>
                    </a:xfrm>
                    <a:prstGeom prst="rect">
                      <a:avLst/>
                    </a:prstGeom>
                  </pic:spPr>
                </pic:pic>
              </a:graphicData>
            </a:graphic>
          </wp:inline>
        </w:drawing>
      </w:r>
    </w:p>
    <w:p w14:paraId="20785B3A" w14:textId="77777777" w:rsidR="00F26DC8" w:rsidRPr="00AB28D0" w:rsidRDefault="00F26DC8" w:rsidP="00F26DC8">
      <w:pPr>
        <w:jc w:val="both"/>
        <w:rPr>
          <w:rFonts w:ascii="Times New Roman" w:hAnsi="Times New Roman"/>
          <w:lang w:val="en-GB"/>
        </w:rPr>
      </w:pPr>
      <w:r w:rsidRPr="00AB28D0">
        <w:rPr>
          <w:rFonts w:ascii="Times New Roman" w:hAnsi="Times New Roman"/>
          <w:lang w:val="en-GB"/>
        </w:rPr>
        <w:t xml:space="preserve">Fig. 12 </w:t>
      </w:r>
      <w:r w:rsidRPr="008F0516">
        <w:rPr>
          <w:rFonts w:ascii="Times New Roman" w:eastAsia="Calibri" w:hAnsi="Times New Roman" w:cs="Times New Roman"/>
          <w:lang w:val="en-GB"/>
        </w:rPr>
        <w:t>The Remaining</w:t>
      </w:r>
      <w:r w:rsidRPr="00AB28D0">
        <w:rPr>
          <w:rFonts w:ascii="Times New Roman" w:hAnsi="Times New Roman"/>
          <w:lang w:val="en-GB"/>
        </w:rPr>
        <w:t xml:space="preserve"> wall </w:t>
      </w:r>
      <w:r w:rsidRPr="008F0516">
        <w:rPr>
          <w:rFonts w:ascii="Times New Roman" w:eastAsia="Calibri" w:hAnsi="Times New Roman" w:cs="Times New Roman"/>
          <w:lang w:val="en-GB"/>
        </w:rPr>
        <w:t xml:space="preserve">is </w:t>
      </w:r>
      <w:r w:rsidRPr="00AB28D0">
        <w:rPr>
          <w:rFonts w:ascii="Times New Roman" w:hAnsi="Times New Roman"/>
          <w:lang w:val="en-GB"/>
        </w:rPr>
        <w:t xml:space="preserve">carved out of bedrock at the </w:t>
      </w:r>
      <w:r w:rsidRPr="008F0516">
        <w:rPr>
          <w:rFonts w:ascii="Times New Roman" w:eastAsia="Calibri" w:hAnsi="Times New Roman" w:cs="Times New Roman"/>
          <w:lang w:val="en-GB"/>
        </w:rPr>
        <w:t xml:space="preserve">so-called temple's </w:t>
      </w:r>
      <w:r w:rsidRPr="00AB28D0">
        <w:rPr>
          <w:rFonts w:ascii="Times New Roman" w:hAnsi="Times New Roman"/>
          <w:lang w:val="en-GB"/>
        </w:rPr>
        <w:t>northern room and foundation level with double cella.</w:t>
      </w:r>
    </w:p>
    <w:p w14:paraId="44507A71" w14:textId="77777777" w:rsidR="00F26DC8" w:rsidRPr="00AB28D0" w:rsidRDefault="00F26DC8">
      <w:pPr>
        <w:jc w:val="both"/>
        <w:rPr>
          <w:rFonts w:ascii="Times New Roman" w:hAnsi="Times New Roman"/>
          <w:lang w:val="en-GB"/>
        </w:rPr>
      </w:pPr>
    </w:p>
    <w:p w14:paraId="5E7607A2" w14:textId="77777777" w:rsidR="00F26DC8" w:rsidRPr="00AB28D0" w:rsidRDefault="00F26DC8" w:rsidP="00F26DC8">
      <w:pPr>
        <w:jc w:val="both"/>
        <w:rPr>
          <w:rFonts w:ascii="Times New Roman" w:hAnsi="Times New Roman"/>
          <w:lang w:val="en-GB"/>
        </w:rPr>
      </w:pPr>
      <w:r w:rsidRPr="00AB28D0">
        <w:rPr>
          <w:rFonts w:ascii="Times New Roman" w:hAnsi="Times New Roman"/>
          <w:lang w:val="en-GB"/>
        </w:rPr>
        <w:t xml:space="preserve">The floor was created by </w:t>
      </w:r>
      <w:r w:rsidRPr="008F0516">
        <w:rPr>
          <w:rFonts w:ascii="Times New Roman" w:eastAsia="Calibri" w:hAnsi="Times New Roman" w:cs="Times New Roman"/>
          <w:lang w:val="en-GB"/>
        </w:rPr>
        <w:t>leveling</w:t>
      </w:r>
      <w:r w:rsidRPr="00AB28D0">
        <w:rPr>
          <w:rFonts w:ascii="Times New Roman" w:hAnsi="Times New Roman"/>
          <w:lang w:val="en-GB"/>
        </w:rPr>
        <w:t xml:space="preserve"> the bedrock like the walls. The northern end of the doorway was widened by risalites to the east and west by 20 cm</w:t>
      </w:r>
      <w:r w:rsidRPr="008F0516">
        <w:rPr>
          <w:rFonts w:ascii="Times New Roman" w:eastAsia="Calibri" w:hAnsi="Times New Roman" w:cs="Times New Roman"/>
          <w:lang w:val="en-GB"/>
        </w:rPr>
        <w:t>—this</w:t>
      </w:r>
      <w:r w:rsidRPr="00AB28D0">
        <w:rPr>
          <w:rFonts w:ascii="Times New Roman" w:hAnsi="Times New Roman"/>
          <w:lang w:val="en-GB"/>
        </w:rPr>
        <w:t xml:space="preserve"> room in the north measures 3.80 x 4.70 m. The east-west width on the north wall was measured 20 cm more (3.80 x 4.90 m). On the north wall</w:t>
      </w:r>
      <w:r w:rsidRPr="008F0516">
        <w:rPr>
          <w:rFonts w:ascii="Times New Roman" w:eastAsia="Calibri" w:hAnsi="Times New Roman" w:cs="Times New Roman"/>
          <w:lang w:val="en-GB"/>
        </w:rPr>
        <w:t>,</w:t>
      </w:r>
      <w:r w:rsidRPr="00AB28D0">
        <w:rPr>
          <w:rFonts w:ascii="Times New Roman" w:hAnsi="Times New Roman"/>
          <w:lang w:val="en-GB"/>
        </w:rPr>
        <w:t xml:space="preserve"> the width is 20 cm longer in the east-west direction (3.80X4.90 m). The door opening in the north is 1.20 m wide, and the northern edge was built with risalites. The northern wall of the room is approximately 1.70 m thick. Just north of this wall, a rock cavity with a width of 35 cm and a length of approximately 5-6 m was discovered. It was stated in the </w:t>
      </w:r>
      <w:r w:rsidRPr="008F0516">
        <w:rPr>
          <w:rFonts w:ascii="Times New Roman" w:eastAsia="Calibri" w:hAnsi="Times New Roman" w:cs="Times New Roman"/>
          <w:lang w:val="en-GB"/>
        </w:rPr>
        <w:t xml:space="preserve">1988 </w:t>
      </w:r>
      <w:r w:rsidRPr="00AB28D0">
        <w:rPr>
          <w:rFonts w:ascii="Times New Roman" w:hAnsi="Times New Roman"/>
          <w:lang w:val="en-GB"/>
        </w:rPr>
        <w:t>reports that it was filled with filling material (Tarhan &amp; Sevin, 1990). It is also reported that inside the door opening to the north, located in the east</w:t>
      </w:r>
      <w:r w:rsidRPr="008F0516">
        <w:rPr>
          <w:rFonts w:ascii="Times New Roman" w:eastAsia="Calibri" w:hAnsi="Times New Roman" w:cs="Times New Roman"/>
          <w:lang w:val="en-GB"/>
        </w:rPr>
        <w:t>, </w:t>
      </w:r>
      <w:r w:rsidRPr="00AB28D0">
        <w:rPr>
          <w:rFonts w:ascii="Times New Roman" w:hAnsi="Times New Roman"/>
          <w:lang w:val="en-GB"/>
        </w:rPr>
        <w:t xml:space="preserve"> a pit measuring 60x50 cm was dug for the door shaft. The eastern and western walls of the same room, carved out of the bedrock, were destroyed down to the floor level (Fig. 13</w:t>
      </w:r>
      <w:r w:rsidRPr="008F0516">
        <w:rPr>
          <w:rFonts w:ascii="Times New Roman" w:eastAsia="Calibri" w:hAnsi="Times New Roman" w:cs="Times New Roman"/>
          <w:lang w:val="en-GB"/>
        </w:rPr>
        <w:t>). It</w:t>
      </w:r>
      <w:r w:rsidRPr="00AB28D0">
        <w:rPr>
          <w:rFonts w:ascii="Times New Roman" w:hAnsi="Times New Roman"/>
          <w:lang w:val="en-GB"/>
        </w:rPr>
        <w:t xml:space="preserve"> is suggested that this destruction was due to the need for a flat ground to set the wall foundations of the late period building built rising on it (Tarhan &amp; Sevin, 1991; 1992). All the modern works agree that this structure, dedicated to the cult of ancestors, is a temple with a double cella (Tarhan, 2011).</w:t>
      </w:r>
    </w:p>
    <w:p w14:paraId="710FAFBC" w14:textId="77777777" w:rsidR="00F26DC8" w:rsidRPr="00AB28D0" w:rsidRDefault="00F26DC8">
      <w:pPr>
        <w:jc w:val="both"/>
        <w:rPr>
          <w:rFonts w:ascii="Times New Roman" w:hAnsi="Times New Roman"/>
          <w:lang w:val="en-GB"/>
        </w:rPr>
      </w:pPr>
    </w:p>
    <w:p w14:paraId="01D5AFFE" w14:textId="77777777" w:rsidR="00F26DC8" w:rsidRPr="00AB28D0" w:rsidRDefault="00F26DC8">
      <w:pPr>
        <w:jc w:val="both"/>
        <w:rPr>
          <w:rFonts w:ascii="Times New Roman" w:hAnsi="Times New Roman"/>
          <w:lang w:val="en-GB"/>
        </w:rPr>
      </w:pPr>
      <w:r w:rsidRPr="00AB28D0">
        <w:rPr>
          <w:rFonts w:ascii="Times New Roman" w:hAnsi="Times New Roman"/>
          <w:noProof/>
        </w:rPr>
        <w:lastRenderedPageBreak/>
        <w:drawing>
          <wp:inline distT="0" distB="0" distL="0" distR="0" wp14:anchorId="2BB118AD" wp14:editId="440C6EF4">
            <wp:extent cx="5733415" cy="3822065"/>
            <wp:effectExtent l="0" t="0" r="0" b="635"/>
            <wp:docPr id="1064842890" name="Resim 1064842890" descr="dış mekan, gökyüzü, yer,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0" name="Resim 1064842890" descr="dış mekan, gökyüzü, yer, manzara içeren bir resim&#10;&#10;Açıklama otomatik olarak oluşturuldu"/>
                    <pic:cNvPicPr/>
                  </pic:nvPicPr>
                  <pic:blipFill>
                    <a:blip r:embed="rId210" cstate="email">
                      <a:extLst>
                        <a:ext uri="{28A0092B-C50C-407E-A947-70E740481C1C}">
                          <a14:useLocalDpi xmlns:a14="http://schemas.microsoft.com/office/drawing/2010/main"/>
                        </a:ext>
                      </a:extLst>
                    </a:blip>
                    <a:stretch>
                      <a:fillRect/>
                    </a:stretch>
                  </pic:blipFill>
                  <pic:spPr>
                    <a:xfrm>
                      <a:off x="0" y="0"/>
                      <a:ext cx="5733415" cy="3822065"/>
                    </a:xfrm>
                    <a:prstGeom prst="rect">
                      <a:avLst/>
                    </a:prstGeom>
                  </pic:spPr>
                </pic:pic>
              </a:graphicData>
            </a:graphic>
          </wp:inline>
        </w:drawing>
      </w:r>
    </w:p>
    <w:p w14:paraId="7DCD5DF0" w14:textId="77777777" w:rsidR="00F26DC8" w:rsidRPr="00AB28D0" w:rsidRDefault="00F26DC8">
      <w:pPr>
        <w:jc w:val="both"/>
        <w:rPr>
          <w:rFonts w:ascii="Times New Roman" w:hAnsi="Times New Roman"/>
          <w:lang w:val="en-GB"/>
        </w:rPr>
      </w:pPr>
      <w:r w:rsidRPr="00AB28D0">
        <w:rPr>
          <w:rFonts w:ascii="Times New Roman" w:hAnsi="Times New Roman"/>
          <w:lang w:val="en-GB"/>
        </w:rPr>
        <w:t xml:space="preserve">Fig. 13 The view from the southeast of the space </w:t>
      </w:r>
      <w:r w:rsidRPr="008F0516">
        <w:rPr>
          <w:rFonts w:ascii="Times New Roman" w:eastAsia="Calibri" w:hAnsi="Times New Roman" w:cs="Times New Roman"/>
          <w:lang w:val="en-GB"/>
        </w:rPr>
        <w:t xml:space="preserve">is </w:t>
      </w:r>
      <w:r w:rsidRPr="00AB28D0">
        <w:rPr>
          <w:rFonts w:ascii="Times New Roman" w:hAnsi="Times New Roman"/>
          <w:lang w:val="en-GB"/>
        </w:rPr>
        <w:t>defined as the temple with a double cella.</w:t>
      </w:r>
    </w:p>
    <w:p w14:paraId="4A99C902" w14:textId="77777777" w:rsidR="00F26DC8" w:rsidRPr="00AB28D0" w:rsidRDefault="00F26DC8">
      <w:pPr>
        <w:jc w:val="both"/>
        <w:rPr>
          <w:rFonts w:ascii="Times New Roman" w:hAnsi="Times New Roman"/>
          <w:lang w:val="en-GB"/>
        </w:rPr>
      </w:pPr>
    </w:p>
    <w:p w14:paraId="08C1360F" w14:textId="429B78E6" w:rsidR="00F26DC8" w:rsidRPr="00AB28D0" w:rsidRDefault="00F26DC8" w:rsidP="00F26DC8">
      <w:pPr>
        <w:keepNext/>
        <w:keepLines/>
        <w:spacing w:before="320" w:after="80" w:line="276" w:lineRule="auto"/>
        <w:outlineLvl w:val="2"/>
        <w:rPr>
          <w:rFonts w:ascii="Times New Roman" w:hAnsi="Times New Roman"/>
          <w:b/>
          <w:color w:val="0D0D0D"/>
          <w:lang w:val="en-GB"/>
        </w:rPr>
      </w:pPr>
      <w:bookmarkStart w:id="92" w:name="_Toc132072530"/>
      <w:bookmarkStart w:id="93" w:name="_Toc173231220"/>
      <w:r w:rsidRPr="00AB28D0">
        <w:rPr>
          <w:rFonts w:ascii="Times New Roman" w:hAnsi="Times New Roman"/>
          <w:b/>
          <w:color w:val="0D0D0D"/>
          <w:lang w:val="en-GB"/>
        </w:rPr>
        <w:t>6.3.</w:t>
      </w:r>
      <w:bookmarkEnd w:id="92"/>
      <w:r w:rsidRPr="00AB28D0">
        <w:rPr>
          <w:rFonts w:ascii="Times New Roman" w:hAnsi="Times New Roman"/>
          <w:b/>
          <w:color w:val="0D0D0D"/>
          <w:lang w:val="en-GB"/>
        </w:rPr>
        <w:t>2. Platform</w:t>
      </w:r>
      <w:bookmarkEnd w:id="93"/>
    </w:p>
    <w:p w14:paraId="7743993D" w14:textId="77777777" w:rsidR="00F26DC8" w:rsidRPr="00AB28D0" w:rsidRDefault="00F26DC8" w:rsidP="00F26DC8">
      <w:pPr>
        <w:jc w:val="both"/>
        <w:rPr>
          <w:rFonts w:ascii="Times New Roman" w:hAnsi="Times New Roman"/>
          <w:lang w:val="en-GB"/>
        </w:rPr>
      </w:pPr>
      <w:r w:rsidRPr="00E528DC">
        <w:rPr>
          <w:rFonts w:ascii="Times New Roman" w:eastAsia="Calibri" w:hAnsi="Times New Roman" w:cs="Times New Roman"/>
          <w:lang w:val="en-GB"/>
        </w:rPr>
        <w:t>There is a sound</w:t>
      </w:r>
      <w:r w:rsidRPr="00AB28D0">
        <w:rPr>
          <w:rFonts w:ascii="Times New Roman" w:hAnsi="Times New Roman"/>
          <w:lang w:val="en-GB"/>
        </w:rPr>
        <w:t xml:space="preserve"> in the northwest wall of the temple with the double cella building, which is considered to be a temple (Tarhan &amp; Sevin, 1991). It revealed that the </w:t>
      </w:r>
      <w:r w:rsidRPr="00E528DC">
        <w:rPr>
          <w:rFonts w:ascii="Times New Roman" w:eastAsia="Calibri" w:hAnsi="Times New Roman" w:cs="Times New Roman"/>
          <w:lang w:val="en-GB"/>
        </w:rPr>
        <w:t xml:space="preserve">wall </w:t>
      </w:r>
      <w:r w:rsidRPr="00AB28D0">
        <w:rPr>
          <w:rFonts w:ascii="Times New Roman" w:hAnsi="Times New Roman"/>
          <w:lang w:val="en-GB"/>
        </w:rPr>
        <w:t>section rising from the foundations up to 2.5-3 meters belongs to the Urartian</w:t>
      </w:r>
      <w:r w:rsidRPr="00E528DC">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period, the rest being the Ottoman</w:t>
      </w:r>
      <w:r w:rsidRPr="00E528DC">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eastAsia="Calibri" w:hAnsiTheme="majorBidi" w:cstheme="majorBidi"/>
          <w:lang w:val="en-GB"/>
        </w:rPr>
        <w:instrText>Ottoman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 xml:space="preserve">restoration. It is called the northern fortification wall, and it runs north-south for 20 meters towards the entrance of the Old </w:t>
      </w:r>
      <w:r w:rsidRPr="00E528DC">
        <w:rPr>
          <w:rFonts w:ascii="Times New Roman" w:eastAsia="Calibri" w:hAnsi="Times New Roman" w:cs="Times New Roman"/>
          <w:lang w:val="en-GB"/>
        </w:rPr>
        <w:t>Palace</w:t>
      </w:r>
      <w:r>
        <w:rPr>
          <w:rFonts w:ascii="Times New Roman" w:eastAsia="Calibri" w:hAnsi="Times New Roman" w:cs="Times New Roman"/>
          <w:lang w:val="en-GB"/>
        </w:rPr>
        <w:fldChar w:fldCharType="begin"/>
      </w:r>
      <w:r>
        <w:instrText xml:space="preserve"> XE "</w:instrText>
      </w:r>
      <w:r w:rsidRPr="00AB28D0">
        <w:rPr>
          <w:rFonts w:ascii="Times New Roman" w:hAnsi="Times New Roman"/>
          <w:lang w:val="en-GB"/>
        </w:rPr>
        <w:instrText xml:space="preserve">Old </w:instrText>
      </w:r>
      <w:r w:rsidRPr="00D96A13">
        <w:rPr>
          <w:rFonts w:ascii="Times New Roman" w:eastAsia="Calibri" w:hAnsi="Times New Roman" w:cs="Times New Roman"/>
          <w:lang w:val="en-GB"/>
        </w:rPr>
        <w:instrText>Palace</w:instrText>
      </w:r>
      <w:r>
        <w:instrText xml:space="preserve">" </w:instrText>
      </w:r>
      <w:r>
        <w:rPr>
          <w:rFonts w:ascii="Times New Roman" w:eastAsia="Calibri" w:hAnsi="Times New Roman" w:cs="Times New Roman"/>
          <w:lang w:val="en-GB"/>
        </w:rPr>
        <w:fldChar w:fldCharType="end"/>
      </w:r>
      <w:r w:rsidRPr="00E528DC">
        <w:rPr>
          <w:rFonts w:ascii="Times New Roman" w:eastAsia="Calibri" w:hAnsi="Times New Roman" w:cs="Times New Roman"/>
          <w:lang w:val="en-GB"/>
        </w:rPr>
        <w:t>’.</w:t>
      </w:r>
      <w:r w:rsidRPr="00AB28D0">
        <w:rPr>
          <w:rFonts w:ascii="Times New Roman" w:hAnsi="Times New Roman"/>
          <w:lang w:val="en-GB"/>
        </w:rPr>
        <w:t xml:space="preserve"> Inside the walls surrounding the Old Palace, the </w:t>
      </w:r>
      <w:r w:rsidRPr="00E528DC">
        <w:rPr>
          <w:rFonts w:ascii="Times New Roman" w:eastAsia="Calibri" w:hAnsi="Times New Roman" w:cs="Times New Roman"/>
          <w:lang w:val="en-GB"/>
        </w:rPr>
        <w:t>three-</w:t>
      </w:r>
      <w:r w:rsidRPr="00AB28D0">
        <w:rPr>
          <w:rFonts w:ascii="Times New Roman" w:hAnsi="Times New Roman"/>
          <w:lang w:val="en-GB"/>
        </w:rPr>
        <w:t>meter-deep filling layer yielded adobe, brick, stone</w:t>
      </w:r>
      <w:r w:rsidRPr="00E528DC">
        <w:rPr>
          <w:rFonts w:ascii="Times New Roman" w:eastAsia="Calibri" w:hAnsi="Times New Roman" w:cs="Times New Roman"/>
          <w:lang w:val="en-GB"/>
        </w:rPr>
        <w:t>,</w:t>
      </w:r>
      <w:r w:rsidRPr="00AB28D0">
        <w:rPr>
          <w:rFonts w:ascii="Times New Roman" w:hAnsi="Times New Roman"/>
          <w:lang w:val="en-GB"/>
        </w:rPr>
        <w:t xml:space="preserve"> and gravel, more than 200 cannonballs, rifle cartridge cases, bullet cores, rifle barrel fragments, two iron mines with spherical double handles, numerous nozzles</w:t>
      </w:r>
      <w:r w:rsidRPr="00E528DC">
        <w:rPr>
          <w:rFonts w:ascii="Times New Roman" w:eastAsia="Calibri" w:hAnsi="Times New Roman" w:cs="Times New Roman"/>
          <w:lang w:val="en-GB"/>
        </w:rPr>
        <w:t>,</w:t>
      </w:r>
      <w:r w:rsidRPr="00AB28D0">
        <w:rPr>
          <w:rFonts w:ascii="Times New Roman" w:hAnsi="Times New Roman"/>
          <w:lang w:val="en-GB"/>
        </w:rPr>
        <w:t xml:space="preserve"> and various daily artifacts, which indicates a much more recent date for the destruction.</w:t>
      </w:r>
      <w:r w:rsidRPr="00427476">
        <w:rPr>
          <w:rFonts w:asciiTheme="majorBidi" w:eastAsia="Calibri" w:hAnsiTheme="majorBidi" w:cstheme="majorBidi"/>
          <w:vertAlign w:val="superscript"/>
          <w:lang w:val="en-GB"/>
        </w:rPr>
        <w:footnoteReference w:id="56"/>
      </w:r>
      <w:r w:rsidRPr="00AB28D0">
        <w:rPr>
          <w:rFonts w:ascii="Times New Roman" w:hAnsi="Times New Roman"/>
          <w:lang w:val="en-GB"/>
        </w:rPr>
        <w:t xml:space="preserve"> Beneath the remains of the two-phase Ottoman architecture and the filling layer is a platform with a stone foundation. In the 1990-91 season, three rows of stone blocks belonging to the platform had been revealed (Tarhan &amp; Sevin, 1992; </w:t>
      </w:r>
      <w:r w:rsidRPr="00AB28D0">
        <w:rPr>
          <w:rFonts w:ascii="Times New Roman" w:hAnsi="Times New Roman"/>
          <w:lang w:val="en-GB"/>
        </w:rPr>
        <w:lastRenderedPageBreak/>
        <w:t xml:space="preserve">1993a; 1993b). The fourth course of stones s was uncovered in 2012 (Konyar, Avcı, Genç, Akgün, &amp; Tan, 2013; Konyar, Avcı, Genç, Akgün &amp; Tan, 2014) by E. </w:t>
      </w:r>
      <w:r w:rsidRPr="00AB28D0">
        <w:rPr>
          <w:rFonts w:ascii="Times New Roman" w:hAnsi="Times New Roman"/>
          <w:noProof/>
        </w:rPr>
        <w:drawing>
          <wp:anchor distT="0" distB="0" distL="114300" distR="114300" simplePos="0" relativeHeight="251898880" behindDoc="0" locked="0" layoutInCell="1" allowOverlap="1" wp14:anchorId="2C0952C5" wp14:editId="7CB91805">
            <wp:simplePos x="0" y="0"/>
            <wp:positionH relativeFrom="margin">
              <wp:align>center</wp:align>
            </wp:positionH>
            <wp:positionV relativeFrom="margin">
              <wp:posOffset>455049</wp:posOffset>
            </wp:positionV>
            <wp:extent cx="5187950" cy="3465830"/>
            <wp:effectExtent l="0" t="0" r="0" b="1270"/>
            <wp:wrapSquare wrapText="bothSides"/>
            <wp:docPr id="1064842891" name="Resim 1064842891" descr="yer, dış mekan, taş,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descr="yer, dış mekan, taş, kaya içeren bir resim&#10;&#10;Açıklama otomatik olarak oluşturuldu"/>
                    <pic:cNvPicPr/>
                  </pic:nvPicPr>
                  <pic:blipFill>
                    <a:blip r:embed="rId211" cstate="email">
                      <a:extLst>
                        <a:ext uri="{28A0092B-C50C-407E-A947-70E740481C1C}">
                          <a14:useLocalDpi xmlns:a14="http://schemas.microsoft.com/office/drawing/2010/main"/>
                        </a:ext>
                      </a:extLst>
                    </a:blip>
                    <a:stretch>
                      <a:fillRect/>
                    </a:stretch>
                  </pic:blipFill>
                  <pic:spPr>
                    <a:xfrm>
                      <a:off x="0" y="0"/>
                      <a:ext cx="5187950" cy="3465830"/>
                    </a:xfrm>
                    <a:prstGeom prst="rect">
                      <a:avLst/>
                    </a:prstGeom>
                  </pic:spPr>
                </pic:pic>
              </a:graphicData>
            </a:graphic>
            <wp14:sizeRelH relativeFrom="margin">
              <wp14:pctWidth>0</wp14:pctWidth>
            </wp14:sizeRelH>
            <wp14:sizeRelV relativeFrom="margin">
              <wp14:pctHeight>0</wp14:pctHeight>
            </wp14:sizeRelV>
          </wp:anchor>
        </w:drawing>
      </w:r>
      <w:r w:rsidRPr="00AB28D0">
        <w:rPr>
          <w:rFonts w:ascii="Times New Roman" w:hAnsi="Times New Roman"/>
          <w:lang w:val="en-GB"/>
        </w:rPr>
        <w:t>Konyar and his team).</w:t>
      </w:r>
    </w:p>
    <w:p w14:paraId="47F3A6FB" w14:textId="77777777" w:rsidR="00F26DC8" w:rsidRDefault="00F26DC8" w:rsidP="00F26DC8">
      <w:pPr>
        <w:jc w:val="both"/>
        <w:rPr>
          <w:rFonts w:ascii="Times New Roman" w:hAnsi="Times New Roman"/>
          <w:lang w:val="en-GB"/>
        </w:rPr>
      </w:pPr>
    </w:p>
    <w:p w14:paraId="3BFF1EAF" w14:textId="77777777" w:rsidR="00F26DC8" w:rsidRPr="00AB28D0" w:rsidRDefault="00F26DC8">
      <w:pPr>
        <w:jc w:val="both"/>
        <w:rPr>
          <w:rFonts w:ascii="Times New Roman" w:hAnsi="Times New Roman"/>
          <w:lang w:val="en-GB"/>
        </w:rPr>
      </w:pPr>
      <w:r w:rsidRPr="00AB28D0">
        <w:rPr>
          <w:rFonts w:ascii="Times New Roman" w:hAnsi="Times New Roman"/>
          <w:lang w:val="en-GB"/>
        </w:rPr>
        <w:t>Fig. 14 Urartian</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Urartian</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rock platform/terrace structure.</w:t>
      </w:r>
    </w:p>
    <w:p w14:paraId="4548F032" w14:textId="77777777" w:rsidR="00F26DC8" w:rsidRPr="00AB28D0" w:rsidRDefault="00F26DC8">
      <w:pPr>
        <w:jc w:val="both"/>
        <w:rPr>
          <w:rFonts w:ascii="Times New Roman" w:hAnsi="Times New Roman"/>
          <w:lang w:val="en-GB"/>
        </w:rPr>
      </w:pPr>
    </w:p>
    <w:p w14:paraId="1A339917" w14:textId="77777777" w:rsidR="00F26DC8" w:rsidRPr="00AB28D0" w:rsidRDefault="00F26DC8">
      <w:pPr>
        <w:jc w:val="both"/>
        <w:rPr>
          <w:rFonts w:ascii="Times New Roman" w:hAnsi="Times New Roman"/>
          <w:lang w:val="en-GB"/>
        </w:rPr>
      </w:pPr>
      <w:r w:rsidRPr="00AB28D0">
        <w:rPr>
          <w:rFonts w:ascii="Times New Roman" w:hAnsi="Times New Roman"/>
          <w:noProof/>
        </w:rPr>
        <w:drawing>
          <wp:inline distT="0" distB="0" distL="0" distR="0" wp14:anchorId="63DB6A74" wp14:editId="738FE0E5">
            <wp:extent cx="5733293" cy="2365513"/>
            <wp:effectExtent l="0" t="0" r="0" b="0"/>
            <wp:docPr id="1064842892" name="Resim 1064842892" descr="harita, metin, diyagram,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2" name="Resim 1064842892" descr="harita, metin, diyagram, ekran görüntüsü içeren bir resim&#10;&#10;Açıklama otomatik olarak oluşturuldu"/>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5733415" cy="2365563"/>
                    </a:xfrm>
                    <a:prstGeom prst="rect">
                      <a:avLst/>
                    </a:prstGeom>
                    <a:ln>
                      <a:noFill/>
                    </a:ln>
                    <a:extLst>
                      <a:ext uri="{53640926-AAD7-44D8-BBD7-CCE9431645EC}">
                        <a14:shadowObscured xmlns:a14="http://schemas.microsoft.com/office/drawing/2010/main"/>
                      </a:ext>
                    </a:extLst>
                  </pic:spPr>
                </pic:pic>
              </a:graphicData>
            </a:graphic>
          </wp:inline>
        </w:drawing>
      </w:r>
    </w:p>
    <w:p w14:paraId="4884C28C" w14:textId="77777777" w:rsidR="00F26DC8" w:rsidRPr="00AB28D0" w:rsidRDefault="00F26DC8">
      <w:pPr>
        <w:jc w:val="both"/>
        <w:rPr>
          <w:rFonts w:ascii="Times New Roman" w:hAnsi="Times New Roman"/>
          <w:lang w:val="en-GB"/>
        </w:rPr>
      </w:pPr>
      <w:r w:rsidRPr="00AB28D0">
        <w:rPr>
          <w:rFonts w:ascii="Times New Roman" w:hAnsi="Times New Roman"/>
          <w:lang w:val="en-GB"/>
        </w:rPr>
        <w:t>Fig. 15 Plan of the platform.</w:t>
      </w:r>
    </w:p>
    <w:p w14:paraId="282861BB" w14:textId="77777777" w:rsidR="00F26DC8" w:rsidRPr="00AB28D0" w:rsidRDefault="00F26DC8">
      <w:pPr>
        <w:jc w:val="both"/>
        <w:rPr>
          <w:rFonts w:ascii="Times New Roman" w:hAnsi="Times New Roman"/>
          <w:lang w:val="en-GB"/>
        </w:rPr>
      </w:pPr>
    </w:p>
    <w:p w14:paraId="303A19DA" w14:textId="7019DBE5" w:rsidR="00F26DC8" w:rsidRPr="00AB28D0" w:rsidRDefault="00F26DC8" w:rsidP="00F26DC8">
      <w:pPr>
        <w:jc w:val="both"/>
        <w:rPr>
          <w:rFonts w:ascii="Times New Roman" w:hAnsi="Times New Roman"/>
          <w:lang w:val="en-GB"/>
        </w:rPr>
      </w:pPr>
      <w:r w:rsidRPr="00AB28D0">
        <w:rPr>
          <w:rFonts w:ascii="Times New Roman" w:hAnsi="Times New Roman"/>
          <w:lang w:val="en-GB"/>
        </w:rPr>
        <w:t>The platform itself was carved from the bedrock and was built of large travertine blocks, of which four courses survive</w:t>
      </w:r>
      <w:r w:rsidRPr="00E528DC">
        <w:rPr>
          <w:rFonts w:ascii="Times New Roman" w:eastAsia="Calibri" w:hAnsi="Times New Roman" w:cs="Times New Roman"/>
          <w:lang w:val="en-GB"/>
        </w:rPr>
        <w:t>,</w:t>
      </w:r>
      <w:r w:rsidRPr="00AB28D0">
        <w:rPr>
          <w:rFonts w:ascii="Times New Roman" w:hAnsi="Times New Roman"/>
          <w:lang w:val="en-GB"/>
        </w:rPr>
        <w:t xml:space="preserve"> as we have seen.</w:t>
      </w:r>
      <w:r w:rsidRPr="00E528DC">
        <w:rPr>
          <w:rFonts w:ascii="Times New Roman" w:eastAsia="Calibri" w:hAnsi="Times New Roman" w:cs="Times New Roman"/>
          <w:lang w:val="en-GB"/>
        </w:rPr>
        <w:t> </w:t>
      </w:r>
      <w:r w:rsidRPr="00AB28D0">
        <w:rPr>
          <w:rFonts w:ascii="Times New Roman" w:hAnsi="Times New Roman"/>
          <w:lang w:val="en-GB"/>
        </w:rPr>
        <w:t xml:space="preserve"> It has been identified as the earliest building remains in the citadel. Its extant height reaches 2.05 m</w:t>
      </w:r>
      <w:r w:rsidRPr="00E528DC">
        <w:rPr>
          <w:rFonts w:ascii="Times New Roman" w:eastAsia="Calibri" w:hAnsi="Times New Roman" w:cs="Times New Roman"/>
          <w:lang w:val="en-GB"/>
        </w:rPr>
        <w:t>,</w:t>
      </w:r>
      <w:r w:rsidRPr="00AB28D0">
        <w:rPr>
          <w:rFonts w:ascii="Times New Roman" w:hAnsi="Times New Roman"/>
          <w:lang w:val="en-GB"/>
        </w:rPr>
        <w:t xml:space="preserve"> and the dimensions of the stones vary between 80 x 60 x 100 cm. and 100 x 70 x 100 cm. The northeast-southwest portion of the platform measures 7.75 m (Tarhan &amp; Sevin, 1993a). In order to obtain an even surface on the platform, crevices on the upper parts of the stones were filled with crushed stones. The width of the platform is 2.10 m. (Fig. 14-15).</w:t>
      </w:r>
    </w:p>
    <w:p w14:paraId="23B3309A" w14:textId="77777777" w:rsidR="00F26DC8" w:rsidRPr="00AB28D0" w:rsidRDefault="00F26DC8" w:rsidP="00F26DC8">
      <w:pPr>
        <w:keepNext/>
        <w:keepLines/>
        <w:spacing w:before="360" w:after="120" w:line="276" w:lineRule="auto"/>
        <w:outlineLvl w:val="1"/>
        <w:rPr>
          <w:rFonts w:ascii="Times New Roman" w:hAnsi="Times New Roman"/>
          <w:b/>
          <w:sz w:val="28"/>
          <w:lang w:val="en-GB"/>
        </w:rPr>
      </w:pPr>
      <w:bookmarkStart w:id="94" w:name="_Toc132072531"/>
      <w:bookmarkStart w:id="95" w:name="_Toc173231221"/>
      <w:r w:rsidRPr="00AB28D0">
        <w:rPr>
          <w:rFonts w:ascii="Times New Roman" w:hAnsi="Times New Roman"/>
          <w:b/>
          <w:sz w:val="28"/>
          <w:szCs w:val="22"/>
          <w:lang w:val="en-GB"/>
        </w:rPr>
        <w:lastRenderedPageBreak/>
        <w:t>6.4</w:t>
      </w:r>
      <w:r w:rsidRPr="00AB28D0">
        <w:rPr>
          <w:rFonts w:ascii="Times New Roman" w:hAnsi="Times New Roman"/>
          <w:b/>
          <w:color w:val="0070C0"/>
          <w:sz w:val="28"/>
          <w:szCs w:val="22"/>
          <w:lang w:val="en-GB"/>
        </w:rPr>
        <w:t xml:space="preserve">. </w:t>
      </w:r>
      <w:r w:rsidRPr="00AB28D0">
        <w:rPr>
          <w:rFonts w:ascii="Times New Roman" w:hAnsi="Times New Roman"/>
          <w:b/>
          <w:sz w:val="28"/>
          <w:szCs w:val="22"/>
          <w:lang w:val="en-GB"/>
        </w:rPr>
        <w:t>Conclusion</w:t>
      </w:r>
      <w:bookmarkEnd w:id="94"/>
      <w:bookmarkEnd w:id="95"/>
    </w:p>
    <w:p w14:paraId="2C5C4390" w14:textId="6FB27004" w:rsidR="00F26DC8" w:rsidRPr="00AB28D0" w:rsidRDefault="00F26DC8" w:rsidP="00F26DC8">
      <w:pPr>
        <w:jc w:val="both"/>
        <w:rPr>
          <w:rFonts w:ascii="Times New Roman" w:hAnsi="Times New Roman"/>
          <w:lang w:val="en-GB"/>
        </w:rPr>
      </w:pPr>
      <w:r w:rsidRPr="00AB28D0">
        <w:rPr>
          <w:rFonts w:ascii="Times New Roman" w:hAnsi="Times New Roman"/>
          <w:lang w:val="en-GB"/>
        </w:rPr>
        <w:t xml:space="preserve">The long-term occupation </w:t>
      </w:r>
      <w:r w:rsidRPr="00E528DC">
        <w:rPr>
          <w:rFonts w:ascii="Times New Roman" w:eastAsia="Calibri" w:hAnsi="Times New Roman" w:cs="Times New Roman"/>
          <w:lang w:val="en-GB"/>
        </w:rPr>
        <w:t>of</w:t>
      </w:r>
      <w:r>
        <w:rPr>
          <w:rFonts w:ascii="Times New Roman" w:eastAsia="Calibri" w:hAnsi="Times New Roman" w:cs="Times New Roman"/>
          <w:lang w:val="en-GB"/>
        </w:rPr>
        <w:t xml:space="preserve"> </w:t>
      </w:r>
      <w:r w:rsidRPr="00E528DC">
        <w:rPr>
          <w:rFonts w:ascii="Times New Roman" w:eastAsia="Calibri" w:hAnsi="Times New Roman" w:cs="Times New Roman"/>
          <w:lang w:val="en-GB"/>
        </w:rPr>
        <w:t>Ṭušpa </w:t>
      </w:r>
      <w:r w:rsidRPr="00AB28D0">
        <w:rPr>
          <w:rFonts w:ascii="Times New Roman" w:hAnsi="Times New Roman"/>
          <w:lang w:val="en-GB"/>
        </w:rPr>
        <w:t xml:space="preserve">citadel makes it </w:t>
      </w:r>
      <w:r w:rsidRPr="00E528DC">
        <w:rPr>
          <w:rFonts w:ascii="Times New Roman" w:eastAsia="Calibri" w:hAnsi="Times New Roman" w:cs="Times New Roman"/>
          <w:lang w:val="en-GB"/>
        </w:rPr>
        <w:t>challenging</w:t>
      </w:r>
      <w:r w:rsidRPr="00AB28D0">
        <w:rPr>
          <w:rFonts w:ascii="Times New Roman" w:hAnsi="Times New Roman"/>
          <w:lang w:val="en-GB"/>
        </w:rPr>
        <w:t xml:space="preserve"> to identify the Urartian</w:t>
      </w:r>
      <w:r w:rsidRPr="00E528DC">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 xml:space="preserve">remains clearly. Although the later constructions on the bedrock and the more recent destruction by firearms often deprive us of </w:t>
      </w:r>
      <w:r w:rsidRPr="00EB2684">
        <w:rPr>
          <w:rFonts w:ascii="Times New Roman" w:hAnsi="Times New Roman"/>
          <w:i/>
          <w:iCs/>
          <w:lang w:val="en-GB"/>
        </w:rPr>
        <w:t>in situ</w:t>
      </w:r>
      <w:r w:rsidRPr="00AB28D0">
        <w:rPr>
          <w:rFonts w:ascii="Times New Roman" w:hAnsi="Times New Roman"/>
          <w:lang w:val="en-GB"/>
        </w:rPr>
        <w:t xml:space="preserve"> materials, and even though several sections were preserved at the foundation level, the remains provide enough data to be interpreted. The temple with double cella lying in </w:t>
      </w:r>
      <w:r w:rsidRPr="00E528DC">
        <w:rPr>
          <w:rFonts w:ascii="Times New Roman" w:eastAsia="Calibri" w:hAnsi="Times New Roman" w:cs="Times New Roman"/>
          <w:lang w:val="en-GB"/>
        </w:rPr>
        <w:t xml:space="preserve">a </w:t>
      </w:r>
      <w:r w:rsidRPr="00AB28D0">
        <w:rPr>
          <w:rFonts w:ascii="Times New Roman" w:hAnsi="Times New Roman"/>
          <w:lang w:val="en-GB"/>
        </w:rPr>
        <w:t>north-south direction is one of them. It has been preserved at the foundation level</w:t>
      </w:r>
      <w:r w:rsidRPr="00E528DC">
        <w:rPr>
          <w:rFonts w:ascii="Times New Roman" w:eastAsia="Calibri" w:hAnsi="Times New Roman" w:cs="Times New Roman"/>
          <w:lang w:val="en-GB"/>
        </w:rPr>
        <w:t>,</w:t>
      </w:r>
      <w:r w:rsidRPr="00AB28D0">
        <w:rPr>
          <w:rFonts w:ascii="Times New Roman" w:hAnsi="Times New Roman"/>
          <w:lang w:val="en-GB"/>
        </w:rPr>
        <w:t xml:space="preserve"> and like other Urartian temples</w:t>
      </w:r>
      <w:r w:rsidRPr="00E528DC">
        <w:rPr>
          <w:rFonts w:ascii="Times New Roman" w:eastAsia="Calibri" w:hAnsi="Times New Roman" w:cs="Times New Roman"/>
          <w:lang w:val="en-GB"/>
        </w:rPr>
        <w:t>,</w:t>
      </w:r>
      <w:r w:rsidRPr="00AB28D0">
        <w:rPr>
          <w:rFonts w:ascii="Times New Roman" w:hAnsi="Times New Roman"/>
          <w:lang w:val="en-GB"/>
        </w:rPr>
        <w:t xml:space="preserve"> it is located at the highest point of the citadel. </w:t>
      </w:r>
    </w:p>
    <w:p w14:paraId="6A98A6F4" w14:textId="77777777" w:rsidR="00F26DC8" w:rsidRPr="00AB28D0" w:rsidRDefault="00F26DC8">
      <w:pPr>
        <w:jc w:val="both"/>
        <w:rPr>
          <w:rFonts w:ascii="Times New Roman" w:hAnsi="Times New Roman"/>
          <w:lang w:val="en-GB"/>
        </w:rPr>
      </w:pPr>
    </w:p>
    <w:p w14:paraId="7D49CEF4" w14:textId="77777777" w:rsidR="00F26DC8" w:rsidRPr="00AB28D0" w:rsidRDefault="00F26DC8">
      <w:pPr>
        <w:jc w:val="both"/>
        <w:rPr>
          <w:rFonts w:ascii="Times New Roman" w:hAnsi="Times New Roman"/>
          <w:lang w:val="en-GB"/>
        </w:rPr>
      </w:pPr>
      <w:r w:rsidRPr="00AB28D0">
        <w:rPr>
          <w:rFonts w:ascii="Times New Roman" w:hAnsi="Times New Roman"/>
          <w:noProof/>
        </w:rPr>
        <w:drawing>
          <wp:inline distT="0" distB="0" distL="0" distR="0" wp14:anchorId="71B39B96" wp14:editId="1264C700">
            <wp:extent cx="5733415" cy="3805555"/>
            <wp:effectExtent l="0" t="0" r="0" b="4445"/>
            <wp:docPr id="1064842893" name="Resim 1064842893" descr="dağ, gökyüzü, dış mekan,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descr="dağ, gökyüzü, dış mekan, kaya içeren bir resim&#10;&#10;Açıklama otomatik olarak oluşturuldu"/>
                    <pic:cNvPicPr/>
                  </pic:nvPicPr>
                  <pic:blipFill>
                    <a:blip r:embed="rId213" cstate="email">
                      <a:extLst>
                        <a:ext uri="{28A0092B-C50C-407E-A947-70E740481C1C}">
                          <a14:useLocalDpi xmlns:a14="http://schemas.microsoft.com/office/drawing/2010/main"/>
                        </a:ext>
                      </a:extLst>
                    </a:blip>
                    <a:stretch>
                      <a:fillRect/>
                    </a:stretch>
                  </pic:blipFill>
                  <pic:spPr>
                    <a:xfrm>
                      <a:off x="0" y="0"/>
                      <a:ext cx="5733415" cy="3805555"/>
                    </a:xfrm>
                    <a:prstGeom prst="rect">
                      <a:avLst/>
                    </a:prstGeom>
                  </pic:spPr>
                </pic:pic>
              </a:graphicData>
            </a:graphic>
          </wp:inline>
        </w:drawing>
      </w:r>
    </w:p>
    <w:p w14:paraId="13957190" w14:textId="2B8035E0" w:rsidR="00F26DC8" w:rsidRPr="00AB28D0" w:rsidRDefault="00F26DC8">
      <w:pPr>
        <w:jc w:val="both"/>
        <w:rPr>
          <w:rFonts w:ascii="Times New Roman" w:hAnsi="Times New Roman"/>
          <w:lang w:val="en-GB"/>
        </w:rPr>
      </w:pPr>
      <w:r w:rsidRPr="00AB28D0">
        <w:rPr>
          <w:rFonts w:ascii="Times New Roman" w:hAnsi="Times New Roman"/>
          <w:lang w:val="en-GB"/>
        </w:rPr>
        <w:t>Fig. 16 Natural cliff hollows in the large rock pocket to the west of the Ottoman</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Ottoman</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water tower.</w:t>
      </w:r>
    </w:p>
    <w:p w14:paraId="67324BA5" w14:textId="77777777" w:rsidR="00F26DC8" w:rsidRPr="00AB28D0" w:rsidRDefault="00F26DC8">
      <w:pPr>
        <w:jc w:val="both"/>
        <w:rPr>
          <w:rFonts w:ascii="Times New Roman" w:hAnsi="Times New Roman"/>
          <w:lang w:val="en-GB"/>
        </w:rPr>
      </w:pPr>
    </w:p>
    <w:p w14:paraId="0F8CEAD6" w14:textId="1DB5112A" w:rsidR="00F26DC8" w:rsidRDefault="00F26DC8" w:rsidP="00F26DC8">
      <w:pPr>
        <w:jc w:val="both"/>
        <w:rPr>
          <w:rFonts w:ascii="Times New Roman" w:eastAsia="Calibri" w:hAnsi="Times New Roman" w:cs="Times New Roman"/>
          <w:lang w:val="en-GB"/>
        </w:rPr>
      </w:pPr>
      <w:r w:rsidRPr="00AB28D0">
        <w:rPr>
          <w:rFonts w:ascii="Times New Roman" w:hAnsi="Times New Roman"/>
          <w:lang w:val="en-GB"/>
        </w:rPr>
        <w:t>Although</w:t>
      </w:r>
      <w:r w:rsidRPr="00E528DC">
        <w:rPr>
          <w:rFonts w:ascii="Times New Roman" w:eastAsia="Calibri" w:hAnsi="Times New Roman" w:cs="Times New Roman"/>
          <w:lang w:val="en-GB"/>
        </w:rPr>
        <w:t xml:space="preserve"> the</w:t>
      </w:r>
      <w:r w:rsidRPr="00AB28D0">
        <w:rPr>
          <w:rFonts w:ascii="Times New Roman" w:hAnsi="Times New Roman"/>
          <w:lang w:val="en-GB"/>
        </w:rPr>
        <w:t xml:space="preserve"> door opening that connects its rooms and the entrance in the north survived at ground level, the dentilated corners are an architectural feature seen in other Urartian</w:t>
      </w:r>
      <w:r w:rsidRPr="00E528DC">
        <w:rPr>
          <w:rFonts w:ascii="Times New Roman" w:eastAsia="Calibri" w:hAnsi="Times New Roman" w:cs="Times New Roman"/>
          <w:lang w:val="en-GB"/>
        </w:rPr>
        <w:t> </w:t>
      </w:r>
      <w:r w:rsidRPr="00700903">
        <w:rPr>
          <w:rFonts w:asciiTheme="majorBidi" w:eastAsia="Calibr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Urartian</w:instrText>
      </w:r>
      <w:r w:rsidRPr="00700903">
        <w:rPr>
          <w:lang w:val="en-GB"/>
        </w:rPr>
        <w:instrText xml:space="preserve">" </w:instrText>
      </w:r>
      <w:r w:rsidRPr="00700903">
        <w:rPr>
          <w:rFonts w:asciiTheme="majorBidi" w:eastAsia="Calibri" w:hAnsiTheme="majorBidi" w:cstheme="majorBidi"/>
          <w:lang w:val="en-GB"/>
        </w:rPr>
        <w:fldChar w:fldCharType="end"/>
      </w:r>
      <w:r w:rsidRPr="00700903">
        <w:rPr>
          <w:rFonts w:asciiTheme="majorBidi" w:eastAsia="Calibri" w:hAnsiTheme="majorBidi" w:cstheme="majorBidi"/>
          <w:lang w:val="en-GB"/>
        </w:rPr>
        <w:t xml:space="preserve"> </w:t>
      </w:r>
      <w:r w:rsidRPr="00AB28D0">
        <w:rPr>
          <w:rFonts w:ascii="Times New Roman" w:hAnsi="Times New Roman"/>
          <w:lang w:val="en-GB"/>
        </w:rPr>
        <w:t xml:space="preserve">temples. The thickest wall foundation measures 1.70 m, and the walls, hewn from bedrock, are large enough to support a second floor. While the dimensions of </w:t>
      </w:r>
      <w:r w:rsidRPr="00E528DC">
        <w:rPr>
          <w:rFonts w:ascii="Times New Roman" w:eastAsia="Calibri" w:hAnsi="Times New Roman" w:cs="Times New Roman"/>
          <w:lang w:val="en-GB"/>
        </w:rPr>
        <w:t xml:space="preserve">the </w:t>
      </w:r>
      <w:r w:rsidRPr="00AB28D0">
        <w:rPr>
          <w:rFonts w:ascii="Times New Roman" w:hAnsi="Times New Roman"/>
          <w:lang w:val="en-GB"/>
        </w:rPr>
        <w:t xml:space="preserve">floor in the north are measurable, the same cannot be said for that of the south room. It can be argued that this area, which has completely disappeared today, </w:t>
      </w:r>
      <w:r w:rsidRPr="00E528DC">
        <w:rPr>
          <w:rFonts w:ascii="Times New Roman" w:eastAsia="Calibri" w:hAnsi="Times New Roman" w:cs="Times New Roman"/>
          <w:lang w:val="en-GB"/>
        </w:rPr>
        <w:t>was initially</w:t>
      </w:r>
      <w:r w:rsidRPr="00AB28D0">
        <w:rPr>
          <w:rFonts w:ascii="Times New Roman" w:hAnsi="Times New Roman"/>
          <w:lang w:val="en-GB"/>
        </w:rPr>
        <w:t xml:space="preserve"> laid on a platform built on foundation beds. Although the entrances with risalites are a common feature observed in Urartian temples, a temple with </w:t>
      </w:r>
      <w:r w:rsidRPr="00E528DC">
        <w:rPr>
          <w:rFonts w:ascii="Times New Roman" w:eastAsia="Calibri" w:hAnsi="Times New Roman" w:cs="Times New Roman"/>
          <w:lang w:val="en-GB"/>
        </w:rPr>
        <w:t xml:space="preserve">the </w:t>
      </w:r>
      <w:r w:rsidRPr="00AB28D0">
        <w:rPr>
          <w:rFonts w:ascii="Times New Roman" w:hAnsi="Times New Roman"/>
          <w:lang w:val="en-GB"/>
        </w:rPr>
        <w:t>double cella, claimed by Tarhan for Ṭušpa</w:t>
      </w:r>
      <w:r w:rsidRPr="00700903">
        <w:rPr>
          <w:rFonts w:asciiTheme="majorBidi" w:eastAsia="Calibri" w:hAnsiTheme="majorBidi" w:cstheme="majorBidi"/>
          <w:iCs/>
          <w:lang w:val="en-GB"/>
        </w:rPr>
        <w:fldChar w:fldCharType="begin"/>
      </w:r>
      <w:r w:rsidRPr="00700903">
        <w:rPr>
          <w:lang w:val="en-GB"/>
        </w:rPr>
        <w:instrText xml:space="preserve"> XE "</w:instrText>
      </w:r>
      <w:r w:rsidRPr="00700903">
        <w:rPr>
          <w:rFonts w:asciiTheme="majorBidi" w:hAnsiTheme="majorBidi" w:cstheme="majorBidi"/>
          <w:iCs/>
          <w:lang w:val="en-GB"/>
        </w:rPr>
        <w:instrText>Ṭušpa</w:instrText>
      </w:r>
      <w:r w:rsidRPr="00700903">
        <w:rPr>
          <w:lang w:val="en-GB"/>
        </w:rPr>
        <w:instrText xml:space="preserve">" </w:instrText>
      </w:r>
      <w:r w:rsidRPr="00700903">
        <w:rPr>
          <w:rFonts w:asciiTheme="majorBidi" w:eastAsia="Calibri" w:hAnsiTheme="majorBidi" w:cstheme="majorBidi"/>
          <w:iCs/>
          <w:lang w:val="en-GB"/>
        </w:rPr>
        <w:fldChar w:fldCharType="end"/>
      </w:r>
      <w:r w:rsidRPr="00700903">
        <w:rPr>
          <w:rFonts w:asciiTheme="majorBidi" w:eastAsia="Calibri" w:hAnsiTheme="majorBidi" w:cstheme="majorBidi"/>
          <w:lang w:val="en-GB"/>
        </w:rPr>
        <w:t>,</w:t>
      </w:r>
      <w:r w:rsidRPr="00AB28D0">
        <w:rPr>
          <w:rFonts w:ascii="Times New Roman" w:hAnsi="Times New Roman"/>
          <w:lang w:val="en-GB"/>
        </w:rPr>
        <w:t xml:space="preserve"> has not </w:t>
      </w:r>
      <w:r w:rsidRPr="00E528DC">
        <w:rPr>
          <w:rFonts w:ascii="Times New Roman" w:eastAsia="Calibri" w:hAnsi="Times New Roman" w:cs="Times New Roman"/>
          <w:lang w:val="en-GB"/>
        </w:rPr>
        <w:t xml:space="preserve">yet </w:t>
      </w:r>
      <w:r w:rsidRPr="00AB28D0">
        <w:rPr>
          <w:rFonts w:ascii="Times New Roman" w:hAnsi="Times New Roman"/>
          <w:lang w:val="en-GB"/>
        </w:rPr>
        <w:t xml:space="preserve">been identified in other Urartian </w:t>
      </w:r>
      <w:r w:rsidRPr="00E528DC">
        <w:rPr>
          <w:rFonts w:ascii="Times New Roman" w:eastAsia="Calibri" w:hAnsi="Times New Roman" w:cs="Times New Roman"/>
          <w:lang w:val="en-GB"/>
        </w:rPr>
        <w:t>centers</w:t>
      </w:r>
      <w:r w:rsidRPr="00AB28D0">
        <w:rPr>
          <w:rFonts w:ascii="Times New Roman" w:hAnsi="Times New Roman"/>
          <w:lang w:val="en-GB"/>
        </w:rPr>
        <w:t>. It should also be noted that we cannot go beyond Tarhan's assumption regarding the period of the building, though the ground floor belonged to a multi-</w:t>
      </w:r>
      <w:r w:rsidRPr="00E528DC">
        <w:rPr>
          <w:rFonts w:ascii="Times New Roman" w:eastAsia="Calibri" w:hAnsi="Times New Roman" w:cs="Times New Roman"/>
          <w:lang w:val="en-GB"/>
        </w:rPr>
        <w:t>story</w:t>
      </w:r>
      <w:r w:rsidRPr="00AB28D0">
        <w:rPr>
          <w:rFonts w:ascii="Times New Roman" w:hAnsi="Times New Roman"/>
          <w:lang w:val="en-GB"/>
        </w:rPr>
        <w:t xml:space="preserve"> building judging from the wall thickness. Although we cannot archaeologically </w:t>
      </w:r>
      <w:r w:rsidRPr="00E528DC">
        <w:rPr>
          <w:rFonts w:ascii="Times New Roman" w:eastAsia="Calibri" w:hAnsi="Times New Roman" w:cs="Times New Roman"/>
          <w:lang w:val="en-GB"/>
        </w:rPr>
        <w:t xml:space="preserve">confirm a temple's </w:t>
      </w:r>
      <w:r w:rsidRPr="00AB28D0">
        <w:rPr>
          <w:rFonts w:ascii="Times New Roman" w:hAnsi="Times New Roman"/>
          <w:lang w:val="en-GB"/>
        </w:rPr>
        <w:t>existence at Ṭušpa, the Tabriz Gate</w:t>
      </w:r>
      <w:r w:rsidRPr="00E528DC">
        <w:rPr>
          <w:rFonts w:ascii="Times New Roman" w:eastAsia="Calibri" w:hAnsi="Times New Roman" w:cs="Times New Roman"/>
          <w:lang w:val="en-GB"/>
        </w:rPr>
        <w:t> </w:t>
      </w:r>
      <w:r w:rsidRPr="00700903">
        <w:rPr>
          <w:rFonts w:asciiTheme="majorBidi" w:eastAsia="Calibr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Tabriz Gate</w:instrText>
      </w:r>
      <w:r w:rsidRPr="00700903">
        <w:rPr>
          <w:lang w:val="en-GB"/>
        </w:rPr>
        <w:instrText xml:space="preserve">" </w:instrText>
      </w:r>
      <w:r w:rsidRPr="00700903">
        <w:rPr>
          <w:rFonts w:asciiTheme="majorBidi" w:eastAsia="Calibri" w:hAnsiTheme="majorBidi" w:cstheme="majorBidi"/>
          <w:lang w:val="en-GB"/>
        </w:rPr>
        <w:fldChar w:fldCharType="end"/>
      </w:r>
      <w:r w:rsidRPr="00700903">
        <w:rPr>
          <w:rFonts w:asciiTheme="majorBidi" w:eastAsia="Calibri" w:hAnsiTheme="majorBidi" w:cstheme="majorBidi"/>
          <w:lang w:val="en-GB"/>
        </w:rPr>
        <w:t xml:space="preserve"> </w:t>
      </w:r>
      <w:r w:rsidRPr="00AB28D0">
        <w:rPr>
          <w:rFonts w:ascii="Times New Roman" w:hAnsi="Times New Roman"/>
          <w:lang w:val="en-GB"/>
        </w:rPr>
        <w:t xml:space="preserve">inscription mentions a </w:t>
      </w:r>
      <w:r w:rsidR="00274E5C" w:rsidRPr="00274E5C">
        <w:rPr>
          <w:rFonts w:ascii="Times New Roman" w:hAnsi="Times New Roman"/>
          <w:lang w:val="en-GB"/>
        </w:rPr>
        <w:t>"</w:t>
      </w:r>
      <w:r w:rsidRPr="00AB28D0">
        <w:rPr>
          <w:rFonts w:ascii="Times New Roman" w:hAnsi="Times New Roman"/>
          <w:lang w:val="en-GB"/>
        </w:rPr>
        <w:t>susi</w:t>
      </w:r>
      <w:r w:rsidR="00274E5C" w:rsidRPr="00274E5C">
        <w:rPr>
          <w:rFonts w:ascii="Times New Roman" w:hAnsi="Times New Roman"/>
          <w:lang w:val="en-GB"/>
        </w:rPr>
        <w:t>"</w:t>
      </w:r>
      <w:r w:rsidR="00CD0F5D">
        <w:rPr>
          <w:rFonts w:ascii="Times New Roman" w:eastAsia="Calibri" w:hAnsi="Times New Roman" w:cs="Times New Roman"/>
          <w:lang w:val="en-GB"/>
        </w:rPr>
        <w:t>/</w:t>
      </w:r>
      <w:r w:rsidRPr="00AB28D0">
        <w:rPr>
          <w:rFonts w:ascii="Times New Roman" w:hAnsi="Times New Roman"/>
          <w:lang w:val="en-GB"/>
        </w:rPr>
        <w:t>temple dedicated to Ḫaldi</w:t>
      </w:r>
      <w:r w:rsidRPr="00E528DC">
        <w:rPr>
          <w:rFonts w:ascii="Times New Roman" w:eastAsia="Calibri" w:hAnsi="Times New Roman" w:cs="Times New Roman"/>
          <w:lang w:val="en-GB"/>
        </w:rPr>
        <w:t>.</w:t>
      </w:r>
      <w:r w:rsidRPr="00700903">
        <w:rPr>
          <w:rFonts w:asciiTheme="majorBidi" w:eastAsia="Calibr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Ḫaldi</w:instrText>
      </w:r>
      <w:r w:rsidRPr="00700903">
        <w:rPr>
          <w:lang w:val="en-GB"/>
        </w:rPr>
        <w:instrText xml:space="preserve">" </w:instrText>
      </w:r>
      <w:r w:rsidRPr="00700903">
        <w:rPr>
          <w:rFonts w:asciiTheme="majorBidi" w:eastAsia="Calibri" w:hAnsiTheme="majorBidi" w:cstheme="majorBidi"/>
          <w:lang w:val="en-GB"/>
        </w:rPr>
        <w:fldChar w:fldCharType="end"/>
      </w:r>
      <w:r w:rsidRPr="00700903">
        <w:rPr>
          <w:rFonts w:asciiTheme="majorBidi" w:eastAsia="Calibri" w:hAnsiTheme="majorBidi" w:cstheme="majorBidi"/>
          <w:lang w:val="en-GB"/>
        </w:rPr>
        <w:t>.</w:t>
      </w:r>
      <w:r w:rsidRPr="00AB28D0">
        <w:rPr>
          <w:rFonts w:ascii="Times New Roman" w:hAnsi="Times New Roman"/>
          <w:lang w:val="en-GB"/>
        </w:rPr>
        <w:t xml:space="preserve"> It says that the temple was built after the reign of Sarduri</w:t>
      </w:r>
      <w:r w:rsidRPr="00E528DC">
        <w:rPr>
          <w:rFonts w:ascii="Times New Roman" w:eastAsia="Calibri" w:hAnsi="Times New Roman" w:cs="Times New Roman"/>
          <w:lang w:val="en-GB"/>
        </w:rPr>
        <w:t> </w:t>
      </w:r>
      <w:r w:rsidRPr="00AB28D0">
        <w:rPr>
          <w:rFonts w:ascii="Times New Roman" w:hAnsi="Times New Roman"/>
          <w:lang w:val="en-GB"/>
        </w:rPr>
        <w:t>I</w:t>
      </w:r>
      <w:r w:rsidRPr="00700903">
        <w:rPr>
          <w:rFonts w:asciiTheme="majorBidi" w:eastAsia="Calibr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Sarduri I</w:instrText>
      </w:r>
      <w:r w:rsidRPr="00700903">
        <w:rPr>
          <w:lang w:val="en-GB"/>
        </w:rPr>
        <w:instrText xml:space="preserve">" </w:instrText>
      </w:r>
      <w:r w:rsidRPr="00700903">
        <w:rPr>
          <w:rFonts w:asciiTheme="majorBidi" w:eastAsia="Calibri" w:hAnsiTheme="majorBidi" w:cstheme="majorBidi"/>
          <w:lang w:val="en-GB"/>
        </w:rPr>
        <w:fldChar w:fldCharType="end"/>
      </w:r>
      <w:r w:rsidRPr="00700903">
        <w:rPr>
          <w:rFonts w:asciiTheme="majorBidi" w:eastAsia="Calibri" w:hAnsiTheme="majorBidi" w:cstheme="majorBidi"/>
          <w:lang w:val="en-GB"/>
        </w:rPr>
        <w:t>,</w:t>
      </w:r>
      <w:r w:rsidRPr="00AB28D0">
        <w:rPr>
          <w:rFonts w:ascii="Times New Roman" w:hAnsi="Times New Roman"/>
          <w:lang w:val="en-GB"/>
        </w:rPr>
        <w:t xml:space="preserve"> by Išpuini</w:t>
      </w:r>
      <w:r w:rsidRPr="00E528DC">
        <w:rPr>
          <w:rFonts w:ascii="Times New Roman" w:eastAsia="Calibri" w:hAnsi="Times New Roman" w:cs="Times New Roman"/>
          <w:lang w:val="en-GB"/>
        </w:rPr>
        <w:t>-</w:t>
      </w:r>
      <w:r w:rsidRPr="00700903">
        <w:rPr>
          <w:rFonts w:asciiTheme="majorBidi" w:eastAsia="Calibri" w:hAnsiTheme="majorBidi" w:cstheme="majorBidi"/>
          <w:iCs/>
          <w:lang w:val="en-GB"/>
        </w:rPr>
        <w:fldChar w:fldCharType="begin"/>
      </w:r>
      <w:r w:rsidRPr="00700903">
        <w:rPr>
          <w:lang w:val="en-GB"/>
        </w:rPr>
        <w:instrText xml:space="preserve"> XE "</w:instrText>
      </w:r>
      <w:r w:rsidRPr="00700903">
        <w:rPr>
          <w:rFonts w:asciiTheme="majorBidi" w:hAnsiTheme="majorBidi" w:cstheme="majorBidi"/>
          <w:iCs/>
          <w:lang w:val="en-GB"/>
        </w:rPr>
        <w:instrText>Išpuini</w:instrText>
      </w:r>
      <w:r w:rsidRPr="00700903">
        <w:rPr>
          <w:lang w:val="en-GB"/>
        </w:rPr>
        <w:instrText xml:space="preserve">" </w:instrText>
      </w:r>
      <w:r w:rsidRPr="00700903">
        <w:rPr>
          <w:rFonts w:asciiTheme="majorBidi" w:eastAsia="Calibri" w:hAnsiTheme="majorBidi" w:cstheme="majorBidi"/>
          <w:iCs/>
          <w:lang w:val="en-GB"/>
        </w:rPr>
        <w:fldChar w:fldCharType="end"/>
      </w:r>
      <w:r w:rsidRPr="00700903">
        <w:rPr>
          <w:rFonts w:asciiTheme="majorBidi" w:eastAsia="Calibri" w:hAnsiTheme="majorBidi" w:cstheme="majorBidi"/>
          <w:lang w:val="en-GB"/>
        </w:rPr>
        <w:t>-</w:t>
      </w:r>
      <w:r w:rsidRPr="00AB28D0">
        <w:rPr>
          <w:rFonts w:ascii="Times New Roman" w:hAnsi="Times New Roman"/>
          <w:lang w:val="en-GB"/>
        </w:rPr>
        <w:t>Minua</w:t>
      </w:r>
      <w:r w:rsidRPr="00E528DC">
        <w:rPr>
          <w:rFonts w:ascii="Times New Roman" w:eastAsia="Calibri" w:hAnsi="Times New Roman" w:cs="Times New Roman"/>
          <w:lang w:val="en-GB"/>
        </w:rPr>
        <w:t> </w:t>
      </w:r>
      <w:r w:rsidRPr="00700903">
        <w:rPr>
          <w:rFonts w:asciiTheme="majorBidi" w:eastAsia="Calibr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Minua</w:instrText>
      </w:r>
      <w:r w:rsidRPr="00700903">
        <w:rPr>
          <w:lang w:val="en-GB"/>
        </w:rPr>
        <w:instrText xml:space="preserve">" </w:instrText>
      </w:r>
      <w:r w:rsidRPr="00700903">
        <w:rPr>
          <w:rFonts w:asciiTheme="majorBidi" w:eastAsia="Calibri" w:hAnsiTheme="majorBidi" w:cstheme="majorBidi"/>
          <w:lang w:val="en-GB"/>
        </w:rPr>
        <w:fldChar w:fldCharType="end"/>
      </w:r>
      <w:r w:rsidRPr="00700903">
        <w:rPr>
          <w:rFonts w:asciiTheme="majorBidi" w:eastAsia="Calibri" w:hAnsiTheme="majorBidi" w:cstheme="majorBidi"/>
          <w:lang w:val="en-GB"/>
        </w:rPr>
        <w:t xml:space="preserve"> </w:t>
      </w:r>
      <w:r w:rsidRPr="00AB28D0">
        <w:rPr>
          <w:rFonts w:ascii="Times New Roman" w:hAnsi="Times New Roman"/>
          <w:lang w:val="en-GB"/>
        </w:rPr>
        <w:t>and Inušpua</w:t>
      </w:r>
      <w:r w:rsidR="004B0374">
        <w:rPr>
          <w:rFonts w:ascii="Times New Roman" w:hAnsi="Times New Roman"/>
          <w:lang w:val="en-GB"/>
        </w:rPr>
        <w:fldChar w:fldCharType="begin"/>
      </w:r>
      <w:r w:rsidR="004B0374">
        <w:instrText xml:space="preserve"> XE "</w:instrText>
      </w:r>
      <w:r w:rsidR="004B0374" w:rsidRPr="00AB28D0">
        <w:rPr>
          <w:rFonts w:ascii="Times New Roman" w:hAnsi="Times New Roman"/>
          <w:lang w:val="en-GB"/>
        </w:rPr>
        <w:instrText>Inušpua</w:instrText>
      </w:r>
      <w:r w:rsidR="004B0374">
        <w:instrText xml:space="preserve">" </w:instrText>
      </w:r>
      <w:r w:rsidR="004B0374">
        <w:rPr>
          <w:rFonts w:ascii="Times New Roman" w:hAnsi="Times New Roman"/>
          <w:lang w:val="en-GB"/>
        </w:rPr>
        <w:fldChar w:fldCharType="end"/>
      </w:r>
      <w:r w:rsidRPr="00E528DC">
        <w:rPr>
          <w:rFonts w:ascii="Times New Roman" w:eastAsia="Calibri" w:hAnsi="Times New Roman" w:cs="Times New Roman"/>
          <w:lang w:val="en-GB"/>
        </w:rPr>
        <w:t>.</w:t>
      </w:r>
      <w:r w:rsidRPr="00AB28D0">
        <w:rPr>
          <w:rFonts w:ascii="Times New Roman" w:hAnsi="Times New Roman"/>
          <w:lang w:val="en-GB"/>
        </w:rPr>
        <w:t xml:space="preserve"> Both the destruction of the so-called </w:t>
      </w:r>
      <w:r w:rsidRPr="00E528DC">
        <w:rPr>
          <w:rFonts w:ascii="Times New Roman" w:eastAsia="Calibri" w:hAnsi="Times New Roman" w:cs="Times New Roman"/>
          <w:lang w:val="en-GB"/>
        </w:rPr>
        <w:t>"</w:t>
      </w:r>
      <w:r w:rsidRPr="00AB28D0">
        <w:rPr>
          <w:rFonts w:ascii="Times New Roman" w:hAnsi="Times New Roman"/>
          <w:lang w:val="en-GB"/>
        </w:rPr>
        <w:t>temple with double cella</w:t>
      </w:r>
      <w:r w:rsidRPr="00E528DC">
        <w:rPr>
          <w:rFonts w:ascii="Times New Roman" w:eastAsia="Calibri" w:hAnsi="Times New Roman" w:cs="Times New Roman"/>
          <w:lang w:val="en-GB"/>
        </w:rPr>
        <w:t>,"</w:t>
      </w:r>
      <w:r w:rsidRPr="00AB28D0">
        <w:rPr>
          <w:rFonts w:ascii="Times New Roman" w:hAnsi="Times New Roman"/>
          <w:lang w:val="en-GB"/>
        </w:rPr>
        <w:t xml:space="preserve"> hence our inability to pinpoint its exact location (though it must have been at the highest point of the citadel), is due to the use of İç Kale</w:t>
      </w:r>
      <w:r w:rsidRPr="00E528DC">
        <w:rPr>
          <w:rFonts w:ascii="Times New Roman" w:eastAsia="Calibri" w:hAnsi="Times New Roman" w:cs="Times New Roman"/>
          <w:lang w:val="en-GB"/>
        </w:rPr>
        <w:t> </w:t>
      </w:r>
      <w:r w:rsidRPr="00700903">
        <w:rPr>
          <w:rFonts w:asciiTheme="majorBidi" w:eastAsia="Calibri" w:hAnsiTheme="majorBidi" w:cstheme="majorBidi"/>
          <w:lang w:val="en-GB"/>
        </w:rPr>
        <w:fldChar w:fldCharType="begin"/>
      </w:r>
      <w:r w:rsidRPr="00700903">
        <w:rPr>
          <w:lang w:val="en-GB"/>
        </w:rPr>
        <w:instrText xml:space="preserve"> XE "</w:instrText>
      </w:r>
      <w:r w:rsidRPr="00700903">
        <w:rPr>
          <w:rFonts w:asciiTheme="majorBidi" w:hAnsiTheme="majorBidi" w:cstheme="majorBidi"/>
          <w:lang w:val="en-GB"/>
        </w:rPr>
        <w:instrText>İç Kale</w:instrText>
      </w:r>
      <w:r w:rsidRPr="00700903">
        <w:rPr>
          <w:lang w:val="en-GB"/>
        </w:rPr>
        <w:instrText xml:space="preserve">" </w:instrText>
      </w:r>
      <w:r w:rsidRPr="00700903">
        <w:rPr>
          <w:rFonts w:asciiTheme="majorBidi" w:eastAsia="Calibri" w:hAnsiTheme="majorBidi" w:cstheme="majorBidi"/>
          <w:lang w:val="en-GB"/>
        </w:rPr>
        <w:fldChar w:fldCharType="end"/>
      </w:r>
      <w:r w:rsidRPr="00700903">
        <w:rPr>
          <w:rFonts w:asciiTheme="majorBidi" w:eastAsia="Calibri" w:hAnsiTheme="majorBidi" w:cstheme="majorBidi"/>
          <w:lang w:val="en-GB"/>
        </w:rPr>
        <w:t xml:space="preserve"> </w:t>
      </w:r>
      <w:r w:rsidRPr="00AB28D0">
        <w:rPr>
          <w:rFonts w:ascii="Times New Roman" w:hAnsi="Times New Roman"/>
          <w:lang w:val="en-GB"/>
        </w:rPr>
        <w:t>as an İç Kale in the Ottoman</w:t>
      </w:r>
      <w:r w:rsidRPr="00E528DC">
        <w:rPr>
          <w:rFonts w:ascii="Times New Roman" w:eastAsia="Calibri" w:hAnsi="Times New Roman" w:cs="Times New Roman"/>
          <w:lang w:val="en-GB"/>
        </w:rPr>
        <w:t> </w:t>
      </w:r>
      <w:r w:rsidRPr="00700903">
        <w:rPr>
          <w:rFonts w:asciiTheme="majorBidi" w:eastAsia="Calibri" w:hAnsiTheme="majorBidi" w:cstheme="majorBidi"/>
          <w:lang w:val="en-GB"/>
        </w:rPr>
        <w:fldChar w:fldCharType="begin"/>
      </w:r>
      <w:r w:rsidRPr="00700903">
        <w:rPr>
          <w:lang w:val="en-GB"/>
        </w:rPr>
        <w:instrText xml:space="preserve"> XE "</w:instrText>
      </w:r>
      <w:r w:rsidRPr="00700903">
        <w:rPr>
          <w:rFonts w:asciiTheme="majorBidi" w:eastAsia="Calibri" w:hAnsiTheme="majorBidi" w:cstheme="majorBidi"/>
          <w:lang w:val="en-GB"/>
        </w:rPr>
        <w:instrText>Ottoman</w:instrText>
      </w:r>
      <w:r w:rsidRPr="00700903">
        <w:rPr>
          <w:lang w:val="en-GB"/>
        </w:rPr>
        <w:instrText xml:space="preserve">" </w:instrText>
      </w:r>
      <w:r w:rsidRPr="00700903">
        <w:rPr>
          <w:rFonts w:asciiTheme="majorBidi" w:eastAsia="Calibri" w:hAnsiTheme="majorBidi" w:cstheme="majorBidi"/>
          <w:lang w:val="en-GB"/>
        </w:rPr>
        <w:fldChar w:fldCharType="end"/>
      </w:r>
      <w:r w:rsidRPr="00700903">
        <w:rPr>
          <w:rFonts w:asciiTheme="majorBidi" w:eastAsia="Calibri" w:hAnsiTheme="majorBidi" w:cstheme="majorBidi"/>
          <w:lang w:val="en-GB"/>
        </w:rPr>
        <w:t xml:space="preserve"> </w:t>
      </w:r>
      <w:r w:rsidRPr="00AB28D0">
        <w:rPr>
          <w:rFonts w:ascii="Times New Roman" w:hAnsi="Times New Roman"/>
          <w:lang w:val="en-GB"/>
        </w:rPr>
        <w:t>period</w:t>
      </w:r>
      <w:r w:rsidRPr="00E528DC">
        <w:rPr>
          <w:rFonts w:ascii="Times New Roman" w:eastAsia="Calibri" w:hAnsi="Times New Roman" w:cs="Times New Roman"/>
          <w:lang w:val="en-GB"/>
        </w:rPr>
        <w:t>.</w:t>
      </w:r>
    </w:p>
    <w:p w14:paraId="2C19CAD1" w14:textId="77777777" w:rsidR="00F26DC8" w:rsidRPr="00E528DC" w:rsidRDefault="00F26DC8" w:rsidP="00F26DC8">
      <w:pPr>
        <w:jc w:val="both"/>
        <w:rPr>
          <w:rFonts w:ascii="Times New Roman" w:eastAsia="Calibri" w:hAnsi="Times New Roman" w:cs="Times New Roman"/>
          <w:lang w:val="en-GB"/>
        </w:rPr>
      </w:pPr>
    </w:p>
    <w:p w14:paraId="74867ACE" w14:textId="181009AE" w:rsidR="00F26DC8" w:rsidRPr="00AB28D0" w:rsidRDefault="00F26DC8" w:rsidP="00F26DC8">
      <w:pPr>
        <w:jc w:val="both"/>
        <w:rPr>
          <w:rFonts w:ascii="Times New Roman" w:hAnsi="Times New Roman"/>
          <w:lang w:val="en-GB"/>
        </w:rPr>
      </w:pPr>
      <w:r w:rsidRPr="00AB28D0">
        <w:rPr>
          <w:rFonts w:ascii="Times New Roman" w:hAnsi="Times New Roman"/>
          <w:lang w:val="en-GB"/>
        </w:rPr>
        <w:lastRenderedPageBreak/>
        <w:t>The Ottoman</w:t>
      </w:r>
      <w:r w:rsidR="00647545">
        <w:rPr>
          <w:rFonts w:ascii="Times New Roman" w:hAnsi="Times New Roman"/>
          <w:lang w:val="en-GB"/>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imes New Roman" w:hAnsi="Times New Roman"/>
          <w:lang w:val="en-GB"/>
        </w:rPr>
        <w:fldChar w:fldCharType="end"/>
      </w:r>
      <w:r w:rsidRPr="00AB28D0">
        <w:rPr>
          <w:rFonts w:ascii="Times New Roman" w:hAnsi="Times New Roman"/>
          <w:lang w:val="en-GB"/>
        </w:rPr>
        <w:t xml:space="preserve"> architectural remains are encountered immediately west of the platform, starting at 1.10 m, and are easily distinguishable because of wall thickness and material quality. The 80 cm-thick walls rise on stone foundations and are built of large and small stones. To date, 5.75 m of the south wall and 5 m of the east wall were unearthed. The </w:t>
      </w:r>
      <w:r w:rsidRPr="00E528DC">
        <w:rPr>
          <w:rFonts w:ascii="Times New Roman" w:eastAsia="Calibri" w:hAnsi="Times New Roman" w:cs="Times New Roman"/>
          <w:lang w:val="en-GB"/>
        </w:rPr>
        <w:t xml:space="preserve">room's </w:t>
      </w:r>
      <w:r w:rsidRPr="00AB28D0">
        <w:rPr>
          <w:rFonts w:ascii="Times New Roman" w:hAnsi="Times New Roman"/>
          <w:lang w:val="en-GB"/>
        </w:rPr>
        <w:t>floor is paved with raft stones, which are spolia. Large stones under the paving were used as filling material to create a flat area in this section of the bedrock. This is why the platform is not called a wall</w:t>
      </w:r>
      <w:r w:rsidRPr="00E528DC">
        <w:rPr>
          <w:rFonts w:ascii="Times New Roman" w:eastAsia="Calibri" w:hAnsi="Times New Roman" w:cs="Times New Roman"/>
          <w:lang w:val="en-GB"/>
        </w:rPr>
        <w:t>;</w:t>
      </w:r>
      <w:r w:rsidRPr="00AB28D0">
        <w:rPr>
          <w:rFonts w:ascii="Times New Roman" w:hAnsi="Times New Roman"/>
          <w:lang w:val="en-GB"/>
        </w:rPr>
        <w:t xml:space="preserve"> it </w:t>
      </w:r>
      <w:r w:rsidRPr="00E528DC">
        <w:rPr>
          <w:rFonts w:ascii="Times New Roman" w:eastAsia="Calibri" w:hAnsi="Times New Roman" w:cs="Times New Roman"/>
          <w:lang w:val="en-GB"/>
        </w:rPr>
        <w:t>was initially</w:t>
      </w:r>
      <w:r w:rsidRPr="00AB28D0">
        <w:rPr>
          <w:rFonts w:ascii="Times New Roman" w:hAnsi="Times New Roman"/>
          <w:lang w:val="en-GB"/>
        </w:rPr>
        <w:t xml:space="preserve"> a terrace created for construction work at this highest point of the rock. The stones of the building, resting on the bedrock beds, are not as large as those of the other terrace walls or as high as those of the terraces on the north and south slopes. This indicates that the construction site has a relatively even surface compared to other areas.</w:t>
      </w:r>
    </w:p>
    <w:p w14:paraId="66222A98" w14:textId="77777777" w:rsidR="00F26DC8" w:rsidRPr="00AB28D0" w:rsidRDefault="00F26DC8">
      <w:pPr>
        <w:jc w:val="both"/>
        <w:rPr>
          <w:rFonts w:ascii="Times New Roman" w:hAnsi="Times New Roman"/>
          <w:lang w:val="en-GB"/>
        </w:rPr>
      </w:pPr>
    </w:p>
    <w:p w14:paraId="47C8E980" w14:textId="77777777" w:rsidR="00F26DC8" w:rsidRPr="00AB28D0" w:rsidRDefault="00F26DC8" w:rsidP="00F26DC8">
      <w:pPr>
        <w:jc w:val="both"/>
        <w:rPr>
          <w:rFonts w:ascii="Times New Roman" w:hAnsi="Times New Roman"/>
          <w:lang w:val="en-GB"/>
        </w:rPr>
      </w:pPr>
      <w:r w:rsidRPr="00AB28D0">
        <w:rPr>
          <w:rFonts w:ascii="Times New Roman" w:hAnsi="Times New Roman"/>
          <w:lang w:val="en-GB"/>
        </w:rPr>
        <w:t xml:space="preserve">The reposts of </w:t>
      </w:r>
      <w:r w:rsidRPr="00E528DC">
        <w:rPr>
          <w:rFonts w:ascii="Times New Roman" w:eastAsia="Calibri" w:hAnsi="Times New Roman" w:cs="Times New Roman"/>
          <w:lang w:val="en-GB"/>
        </w:rPr>
        <w:t>the 1990</w:t>
      </w:r>
      <w:r w:rsidRPr="00AB28D0">
        <w:rPr>
          <w:rFonts w:ascii="Times New Roman" w:hAnsi="Times New Roman"/>
          <w:lang w:val="en-GB"/>
        </w:rPr>
        <w:t xml:space="preserve"> season indicate that the mudbrick rubble found both on the platform and in its east formed a pile of 1.5-2 m high. The absence of material </w:t>
      </w:r>
      <w:r w:rsidRPr="00E528DC">
        <w:rPr>
          <w:rFonts w:ascii="Times New Roman" w:eastAsia="Calibri" w:hAnsi="Times New Roman" w:cs="Times New Roman"/>
          <w:lang w:val="en-GB"/>
        </w:rPr>
        <w:t>besides</w:t>
      </w:r>
      <w:r w:rsidRPr="00AB28D0">
        <w:rPr>
          <w:rFonts w:ascii="Times New Roman" w:hAnsi="Times New Roman"/>
          <w:lang w:val="en-GB"/>
        </w:rPr>
        <w:t xml:space="preserve"> a few </w:t>
      </w:r>
      <w:r w:rsidRPr="00E528DC">
        <w:rPr>
          <w:rFonts w:ascii="Times New Roman" w:eastAsia="Calibri" w:hAnsi="Times New Roman" w:cs="Times New Roman"/>
          <w:lang w:val="en-GB"/>
        </w:rPr>
        <w:t>"</w:t>
      </w:r>
      <w:r w:rsidRPr="00D16E13">
        <w:rPr>
          <w:rFonts w:ascii="Times New Roman" w:hAnsi="Times New Roman"/>
          <w:lang w:val="en-GB"/>
        </w:rPr>
        <w:t>Bianili pottery</w:t>
      </w:r>
      <w:r w:rsidRPr="00E528DC">
        <w:rPr>
          <w:rFonts w:ascii="Times New Roman" w:eastAsia="Calibri" w:hAnsi="Times New Roman" w:cs="Times New Roman"/>
          <w:lang w:val="en-GB"/>
        </w:rPr>
        <w:t>"</w:t>
      </w:r>
      <w:r w:rsidRPr="00AB28D0">
        <w:rPr>
          <w:rFonts w:ascii="Times New Roman" w:hAnsi="Times New Roman"/>
          <w:lang w:val="en-GB"/>
        </w:rPr>
        <w:t xml:space="preserve"> (Tarhan &amp; Sevin, 1992) from the rubble suggests that the mudbricks belonged to the room above the platform. Much smaller stone blocks, courses of sandstone blocks, </w:t>
      </w:r>
      <w:r w:rsidRPr="00E528DC">
        <w:rPr>
          <w:rFonts w:ascii="Times New Roman" w:eastAsia="Calibri" w:hAnsi="Times New Roman" w:cs="Times New Roman"/>
          <w:lang w:val="en-GB"/>
        </w:rPr>
        <w:t xml:space="preserve">and </w:t>
      </w:r>
      <w:r w:rsidRPr="00AB28D0">
        <w:rPr>
          <w:rFonts w:ascii="Times New Roman" w:hAnsi="Times New Roman"/>
          <w:lang w:val="en-GB"/>
        </w:rPr>
        <w:t>mudbrick remains point to the late Urartian</w:t>
      </w:r>
      <w:r w:rsidRPr="00E528DC">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construction. The stone, brick</w:t>
      </w:r>
      <w:r w:rsidRPr="00E528DC">
        <w:rPr>
          <w:rFonts w:ascii="Times New Roman" w:eastAsia="Calibri" w:hAnsi="Times New Roman" w:cs="Times New Roman"/>
          <w:lang w:val="en-GB"/>
        </w:rPr>
        <w:t>,</w:t>
      </w:r>
      <w:r w:rsidRPr="00AB28D0">
        <w:rPr>
          <w:rFonts w:ascii="Times New Roman" w:hAnsi="Times New Roman"/>
          <w:lang w:val="en-GB"/>
        </w:rPr>
        <w:t xml:space="preserve"> and mud brick building materials of the rooms built on the rubble of the building in question are related to post-Urartian use.</w:t>
      </w:r>
    </w:p>
    <w:p w14:paraId="01B2BD01" w14:textId="77777777" w:rsidR="00F26DC8" w:rsidRPr="00AB28D0" w:rsidRDefault="00F26DC8">
      <w:pPr>
        <w:jc w:val="both"/>
        <w:rPr>
          <w:rFonts w:ascii="Times New Roman" w:hAnsi="Times New Roman"/>
          <w:lang w:val="en-GB"/>
        </w:rPr>
      </w:pPr>
    </w:p>
    <w:p w14:paraId="41097940" w14:textId="0642DFF1" w:rsidR="00F26DC8" w:rsidRPr="00AB28D0" w:rsidRDefault="00F26DC8" w:rsidP="00F26DC8">
      <w:pPr>
        <w:jc w:val="both"/>
        <w:rPr>
          <w:rFonts w:ascii="Times New Roman" w:hAnsi="Times New Roman"/>
          <w:lang w:val="en-GB"/>
        </w:rPr>
      </w:pPr>
      <w:r w:rsidRPr="00AB28D0">
        <w:rPr>
          <w:rFonts w:ascii="Times New Roman" w:hAnsi="Times New Roman"/>
          <w:lang w:val="en-GB"/>
        </w:rPr>
        <w:t xml:space="preserve">Rock-cut stones were used in several construction works on the citadel. There are also large monolithic blocks that were </w:t>
      </w:r>
      <w:r w:rsidRPr="00E528DC">
        <w:rPr>
          <w:rFonts w:ascii="Times New Roman" w:eastAsia="Calibri" w:hAnsi="Times New Roman" w:cs="Times New Roman"/>
          <w:lang w:val="en-GB"/>
        </w:rPr>
        <w:t>unsuitable</w:t>
      </w:r>
      <w:r w:rsidRPr="00AB28D0">
        <w:rPr>
          <w:rFonts w:ascii="Times New Roman" w:hAnsi="Times New Roman"/>
          <w:lang w:val="en-GB"/>
        </w:rPr>
        <w:t xml:space="preserve"> for the terrain </w:t>
      </w:r>
      <w:r w:rsidRPr="00E528DC">
        <w:rPr>
          <w:rFonts w:ascii="Times New Roman" w:eastAsia="Calibri" w:hAnsi="Times New Roman" w:cs="Times New Roman"/>
          <w:lang w:val="en-GB"/>
        </w:rPr>
        <w:t xml:space="preserve">and </w:t>
      </w:r>
      <w:r w:rsidRPr="00AB28D0">
        <w:rPr>
          <w:rFonts w:ascii="Times New Roman" w:hAnsi="Times New Roman"/>
          <w:lang w:val="en-GB"/>
        </w:rPr>
        <w:t>were transported from other quarries, probably from the northern and southern slopes of the Ṭušpa</w:t>
      </w:r>
      <w:r w:rsidRPr="00E528DC">
        <w:rPr>
          <w:rFonts w:ascii="Times New Roman" w:eastAsia="Calibri" w:hAnsi="Times New Roman" w:cs="Times New Roman"/>
          <w:lang w:val="en-GB"/>
        </w:rPr>
        <w:t> </w:t>
      </w:r>
      <w:r w:rsidR="004B0374">
        <w:rPr>
          <w:rFonts w:asciiTheme="majorBidi" w:eastAsia="Calibri" w:hAnsiTheme="majorBidi" w:cstheme="majorBidi"/>
          <w:iCs/>
          <w:lang w:val="en-GB"/>
        </w:rPr>
        <w:t>/Van</w:t>
      </w:r>
      <w:r w:rsidRPr="00427476">
        <w:rPr>
          <w:rFonts w:asciiTheme="majorBidi" w:eastAsia="Calibri" w:hAnsiTheme="majorBidi" w:cstheme="majorBidi"/>
          <w:i/>
          <w:iCs/>
          <w:lang w:val="en-GB"/>
        </w:rPr>
        <w:t xml:space="preserve"> </w:t>
      </w:r>
      <w:r w:rsidRPr="00AB28D0">
        <w:rPr>
          <w:rFonts w:ascii="Times New Roman" w:hAnsi="Times New Roman"/>
          <w:lang w:val="en-GB"/>
        </w:rPr>
        <w:t xml:space="preserve">Rock. Besides the absence of any traces of quarry operation, most parts of the citadel are </w:t>
      </w:r>
      <w:r w:rsidRPr="00E528DC">
        <w:rPr>
          <w:rFonts w:ascii="Times New Roman" w:eastAsia="Calibri" w:hAnsi="Times New Roman" w:cs="Times New Roman"/>
          <w:lang w:val="en-GB"/>
        </w:rPr>
        <w:t>unsuitable</w:t>
      </w:r>
      <w:r w:rsidRPr="00AB28D0">
        <w:rPr>
          <w:rFonts w:ascii="Times New Roman" w:hAnsi="Times New Roman"/>
          <w:lang w:val="en-GB"/>
        </w:rPr>
        <w:t xml:space="preserve"> for stone removal. The sliced nature of the rock found in the northern part</w:t>
      </w:r>
      <w:r w:rsidRPr="00E528DC">
        <w:rPr>
          <w:rFonts w:ascii="Times New Roman" w:eastAsia="Calibri" w:hAnsi="Times New Roman" w:cs="Times New Roman"/>
          <w:lang w:val="en-GB"/>
        </w:rPr>
        <w:t>,</w:t>
      </w:r>
      <w:r w:rsidRPr="00AB28D0">
        <w:rPr>
          <w:rFonts w:ascii="Times New Roman" w:hAnsi="Times New Roman"/>
          <w:lang w:val="en-GB"/>
        </w:rPr>
        <w:t xml:space="preserve"> in particular, in the cliff gullies to the west of the Ottoman</w:t>
      </w:r>
      <w:r w:rsidRPr="00E528DC">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eastAsia="Calibri" w:hAnsiTheme="majorBidi" w:cstheme="majorBidi"/>
          <w:lang w:val="en-GB"/>
        </w:rPr>
        <w:instrText>Ottoman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water tower</w:t>
      </w:r>
      <w:r w:rsidRPr="00E528DC">
        <w:rPr>
          <w:rFonts w:ascii="Times New Roman" w:eastAsia="Calibri" w:hAnsi="Times New Roman" w:cs="Times New Roman"/>
          <w:lang w:val="en-GB"/>
        </w:rPr>
        <w:t>,</w:t>
      </w:r>
      <w:r w:rsidRPr="00AB28D0">
        <w:rPr>
          <w:rFonts w:ascii="Times New Roman" w:hAnsi="Times New Roman"/>
          <w:lang w:val="en-GB"/>
        </w:rPr>
        <w:t xml:space="preserve"> indicates that the blocks may have been removed from there in slices (Fig. 16). This is further supported by the traces of chisel observed on the rock gullies on the north slopes, indicating the removal of small stones from the area.</w:t>
      </w:r>
      <w:r w:rsidRPr="00E528DC">
        <w:rPr>
          <w:rFonts w:ascii="Times New Roman" w:eastAsia="Calibri" w:hAnsi="Times New Roman" w:cs="Times New Roman"/>
          <w:lang w:val="en-GB"/>
        </w:rPr>
        <w:t> </w:t>
      </w:r>
      <w:r w:rsidRPr="00AB28D0">
        <w:rPr>
          <w:rFonts w:ascii="Times New Roman" w:hAnsi="Times New Roman"/>
          <w:lang w:val="en-GB"/>
        </w:rPr>
        <w:t xml:space="preserve"> Most of the stones used for the right and left walls of the Ottoman gate were removed from the Ṭušpa Rock.</w:t>
      </w:r>
      <w:r w:rsidRPr="00E528DC">
        <w:rPr>
          <w:rFonts w:ascii="Times New Roman" w:eastAsia="Calibri" w:hAnsi="Times New Roman" w:cs="Times New Roman"/>
          <w:lang w:val="en-GB"/>
        </w:rPr>
        <w:t> </w:t>
      </w:r>
      <w:r w:rsidRPr="00AB28D0">
        <w:rPr>
          <w:rFonts w:ascii="Times New Roman" w:hAnsi="Times New Roman"/>
          <w:lang w:val="en-GB"/>
        </w:rPr>
        <w:t xml:space="preserve"> </w:t>
      </w:r>
    </w:p>
    <w:p w14:paraId="237D5456" w14:textId="77777777" w:rsidR="00F26DC8" w:rsidRPr="00AB28D0" w:rsidRDefault="00F26DC8">
      <w:pPr>
        <w:jc w:val="both"/>
        <w:rPr>
          <w:rFonts w:ascii="Times New Roman" w:hAnsi="Times New Roman"/>
          <w:lang w:val="en-GB"/>
        </w:rPr>
      </w:pPr>
    </w:p>
    <w:p w14:paraId="1A1927AF" w14:textId="77777777" w:rsidR="00F26DC8" w:rsidRDefault="00F26DC8" w:rsidP="00AB28D0">
      <w:pPr>
        <w:jc w:val="both"/>
      </w:pPr>
      <w:r w:rsidRPr="00AB28D0">
        <w:rPr>
          <w:rFonts w:ascii="Times New Roman" w:hAnsi="Times New Roman"/>
          <w:lang w:val="en-GB"/>
        </w:rPr>
        <w:t>Although it is claimed that the buttresses supporting the wall may reflect the architectural tradition of the reign of Sarduri</w:t>
      </w:r>
      <w:r w:rsidRPr="00427476">
        <w:rPr>
          <w:rFonts w:asciiTheme="majorBidi" w:eastAsia="Calibri" w:hAnsiTheme="majorBidi" w:cstheme="majorBidi"/>
          <w:lang w:val="en-GB"/>
        </w:rPr>
        <w:t xml:space="preserve"> </w:t>
      </w:r>
      <w:r w:rsidRPr="00AB28D0">
        <w:rPr>
          <w:rFonts w:ascii="Times New Roman" w:hAnsi="Times New Roman"/>
          <w:lang w:val="en-GB"/>
        </w:rPr>
        <w:t>I</w:t>
      </w:r>
      <w:r w:rsidRPr="00E528DC">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eastAsia="Calibri" w:hAnsiTheme="majorBidi" w:cstheme="majorBidi"/>
          <w:lang w:val="en-GB"/>
        </w:rPr>
        <w:instrText>Sarduri I</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to Minua</w:t>
      </w:r>
      <w:r w:rsidRPr="00E528DC">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Minua</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it is clear that the construction method is related to the slope of the terrain. </w:t>
      </w:r>
      <w:r w:rsidRPr="00E528DC">
        <w:rPr>
          <w:rFonts w:ascii="Times New Roman" w:eastAsia="Calibri" w:hAnsi="Times New Roman" w:cs="Times New Roman"/>
          <w:lang w:val="en-GB"/>
        </w:rPr>
        <w:t>Numerous</w:t>
      </w:r>
      <w:r w:rsidRPr="00AB28D0">
        <w:rPr>
          <w:rFonts w:ascii="Times New Roman" w:hAnsi="Times New Roman"/>
          <w:lang w:val="en-GB"/>
        </w:rPr>
        <w:t xml:space="preserve"> examples from throughout the kingdom show</w:t>
      </w:r>
      <w:r w:rsidRPr="00E528DC">
        <w:rPr>
          <w:rFonts w:ascii="Times New Roman" w:eastAsia="Calibri" w:hAnsi="Times New Roman" w:cs="Times New Roman"/>
          <w:lang w:val="en-GB"/>
        </w:rPr>
        <w:t xml:space="preserve"> that</w:t>
      </w:r>
      <w:r w:rsidRPr="00AB28D0">
        <w:rPr>
          <w:rFonts w:ascii="Times New Roman" w:hAnsi="Times New Roman"/>
          <w:lang w:val="en-GB"/>
        </w:rPr>
        <w:t xml:space="preserve"> when walls needed support, buttresses, curtains</w:t>
      </w:r>
      <w:r w:rsidRPr="00E528DC">
        <w:rPr>
          <w:rFonts w:ascii="Times New Roman" w:eastAsia="Calibri" w:hAnsi="Times New Roman" w:cs="Times New Roman"/>
          <w:lang w:val="en-GB"/>
        </w:rPr>
        <w:t>,</w:t>
      </w:r>
      <w:r w:rsidRPr="00AB28D0">
        <w:rPr>
          <w:rFonts w:ascii="Times New Roman" w:hAnsi="Times New Roman"/>
          <w:lang w:val="en-GB"/>
        </w:rPr>
        <w:t xml:space="preserve"> or bastions were planned at the beginning of the construction</w:t>
      </w:r>
      <w:r w:rsidRPr="00E528DC">
        <w:rPr>
          <w:rFonts w:ascii="Times New Roman" w:eastAsia="Calibri" w:hAnsi="Times New Roman" w:cs="Times New Roman"/>
          <w:lang w:val="en-GB"/>
        </w:rPr>
        <w:t>,</w:t>
      </w:r>
      <w:r w:rsidRPr="00AB28D0">
        <w:rPr>
          <w:rFonts w:ascii="Times New Roman" w:hAnsi="Times New Roman"/>
          <w:lang w:val="en-GB"/>
        </w:rPr>
        <w:t xml:space="preserve"> they were not later additions. Otherwise, we </w:t>
      </w:r>
      <w:r w:rsidRPr="00E528DC">
        <w:rPr>
          <w:rFonts w:ascii="Times New Roman" w:eastAsia="Calibri" w:hAnsi="Times New Roman" w:cs="Times New Roman"/>
          <w:lang w:val="en-GB"/>
        </w:rPr>
        <w:t>must</w:t>
      </w:r>
      <w:r w:rsidRPr="00AB28D0">
        <w:rPr>
          <w:rFonts w:ascii="Times New Roman" w:hAnsi="Times New Roman"/>
          <w:lang w:val="en-GB"/>
        </w:rPr>
        <w:t xml:space="preserve"> consider the buttressed fortification walls of Upper Anzaf</w:t>
      </w:r>
      <w:r w:rsidRPr="00E528DC">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Anzaf</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Körzüt</w:t>
      </w:r>
      <w:r w:rsidRPr="00E528DC">
        <w:rPr>
          <w:rFonts w:ascii="Times New Roman" w:eastAsia="Calibri" w:hAnsi="Times New Roman" w:cs="Times New Roman"/>
          <w:lang w:val="en-GB"/>
        </w:rPr>
        <w:t>, and</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Körzüt</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Aznavurtepe</w:t>
      </w:r>
      <w:r w:rsidRPr="00E528DC">
        <w:rPr>
          <w:rFonts w:ascii="Times New Roman" w:eastAsia="Calibri" w:hAnsi="Times New Roman" w:cs="Times New Roman"/>
          <w:lang w:val="en-GB"/>
        </w:rPr>
        <w:t>,</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Aznavurtepe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built under Minua, as precedents for the Urartian</w:t>
      </w:r>
      <w:r w:rsidRPr="00E528DC">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architectural practices. In this case, it would be necessary to date the buttressed fortification walls of the İç Kale</w:t>
      </w:r>
      <w:r w:rsidRPr="00E528DC">
        <w:rPr>
          <w:rFonts w:ascii="Times New Roman" w:eastAsia="Calibri" w:hAnsi="Times New Roman" w:cs="Times New Roman"/>
          <w:lang w:val="en-GB"/>
        </w:rPr>
        <w:t> </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eastAsia="Calibri" w:hAnsiTheme="majorBidi" w:cstheme="majorBidi"/>
          <w:lang w:val="en-GB"/>
        </w:rPr>
        <w:instrText>İç Kale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 xml:space="preserve"> </w:t>
      </w:r>
      <w:r w:rsidRPr="00AB28D0">
        <w:rPr>
          <w:rFonts w:ascii="Times New Roman" w:hAnsi="Times New Roman"/>
          <w:lang w:val="en-GB"/>
        </w:rPr>
        <w:t>/Old Palace</w:t>
      </w:r>
      <w:r w:rsidRPr="00427476">
        <w:rPr>
          <w:rFonts w:asciiTheme="majorBidi" w:eastAsia="Calibr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Old Palace</w:instrText>
      </w:r>
      <w:r w:rsidRPr="00427476">
        <w:rPr>
          <w:lang w:val="en-GB"/>
        </w:rPr>
        <w:instrText xml:space="preserve">" </w:instrText>
      </w:r>
      <w:r w:rsidRPr="00427476">
        <w:rPr>
          <w:rFonts w:asciiTheme="majorBidi" w:eastAsia="Calibri" w:hAnsiTheme="majorBidi" w:cstheme="majorBidi"/>
          <w:lang w:val="en-GB"/>
        </w:rPr>
        <w:fldChar w:fldCharType="end"/>
      </w:r>
      <w:r w:rsidRPr="00427476">
        <w:rPr>
          <w:rFonts w:asciiTheme="majorBidi" w:eastAsia="Calibri" w:hAnsiTheme="majorBidi" w:cstheme="majorBidi"/>
          <w:lang w:val="en-GB"/>
        </w:rPr>
        <w:t>,</w:t>
      </w:r>
      <w:r w:rsidRPr="00AB28D0">
        <w:rPr>
          <w:rFonts w:ascii="Times New Roman" w:hAnsi="Times New Roman"/>
          <w:lang w:val="en-GB"/>
        </w:rPr>
        <w:t xml:space="preserve"> not to Sardur I but to Minua.</w:t>
      </w:r>
    </w:p>
    <w:p w14:paraId="0EA8EEE0" w14:textId="41909608" w:rsidR="00F26DC8" w:rsidRPr="00F03A26" w:rsidRDefault="00F26DC8" w:rsidP="00F03A26">
      <w:pPr>
        <w:jc w:val="both"/>
        <w:rPr>
          <w:rFonts w:asciiTheme="majorBidi" w:eastAsia="Calibri" w:hAnsiTheme="majorBidi" w:cstheme="majorBidi"/>
          <w:lang w:val="en-GB"/>
        </w:rPr>
        <w:sectPr w:rsidR="00F26DC8" w:rsidRPr="00F03A26" w:rsidSect="007F3733">
          <w:pgSz w:w="11909" w:h="16834"/>
          <w:pgMar w:top="1440" w:right="1440" w:bottom="1440" w:left="1440" w:header="720" w:footer="720" w:gutter="0"/>
          <w:cols w:space="708"/>
        </w:sectPr>
      </w:pPr>
    </w:p>
    <w:p w14:paraId="2B190C9D" w14:textId="28A235B0" w:rsidR="00FF0A5F" w:rsidRPr="00F03A26" w:rsidRDefault="00FF0A5F" w:rsidP="00F03A26">
      <w:pPr>
        <w:jc w:val="both"/>
        <w:rPr>
          <w:rFonts w:asciiTheme="majorBidi" w:eastAsia="Calibri" w:hAnsiTheme="majorBidi" w:cstheme="majorBidi"/>
          <w:lang w:val="en-GB"/>
        </w:rPr>
      </w:pPr>
    </w:p>
    <w:p w14:paraId="0CA44D74" w14:textId="42674403" w:rsidR="00FF0A5F" w:rsidRPr="00F03A26" w:rsidRDefault="00FF0A5F" w:rsidP="00860408">
      <w:pPr>
        <w:pStyle w:val="Balk1"/>
      </w:pPr>
      <w:bookmarkStart w:id="96" w:name="_Toc132072532"/>
      <w:bookmarkStart w:id="97" w:name="_Toc173231222"/>
      <w:r w:rsidRPr="00F03A26">
        <w:t xml:space="preserve">CHAPTER </w:t>
      </w:r>
      <w:bookmarkEnd w:id="96"/>
      <w:r w:rsidR="00DF039C" w:rsidRPr="00F03A26">
        <w:t>VII</w:t>
      </w:r>
      <w:bookmarkEnd w:id="97"/>
    </w:p>
    <w:p w14:paraId="163C1032" w14:textId="282C91CF" w:rsidR="00FF0A5F" w:rsidRPr="00F03A26" w:rsidRDefault="00FF0A5F" w:rsidP="00860408">
      <w:pPr>
        <w:pStyle w:val="Balk1"/>
      </w:pPr>
      <w:bookmarkStart w:id="98" w:name="_Toc132072533"/>
      <w:bookmarkStart w:id="99" w:name="_Toc173231223"/>
      <w:r w:rsidRPr="00F03A26">
        <w:t>7-Siršini of the Ṭušpa</w:t>
      </w:r>
      <w:bookmarkEnd w:id="98"/>
      <w:bookmarkEnd w:id="99"/>
    </w:p>
    <w:p w14:paraId="194600BC" w14:textId="77777777" w:rsidR="00FF0A5F" w:rsidRPr="00F03A26" w:rsidRDefault="00FF0A5F" w:rsidP="00410266">
      <w:pPr>
        <w:jc w:val="both"/>
        <w:rPr>
          <w:rFonts w:asciiTheme="majorBidi" w:hAnsiTheme="majorBidi" w:cstheme="majorBidi"/>
          <w:lang w:val="en-GB"/>
        </w:rPr>
      </w:pPr>
    </w:p>
    <w:p w14:paraId="2D96E7D4" w14:textId="77777777" w:rsidR="00FF0A5F" w:rsidRPr="00F03A26" w:rsidRDefault="00FF0A5F" w:rsidP="00860408">
      <w:pPr>
        <w:spacing w:line="276" w:lineRule="auto"/>
        <w:jc w:val="right"/>
        <w:rPr>
          <w:rFonts w:asciiTheme="majorBidi" w:hAnsiTheme="majorBidi" w:cstheme="majorBidi"/>
          <w:b/>
          <w:lang w:val="en-GB"/>
        </w:rPr>
      </w:pPr>
      <w:r w:rsidRPr="00F03A26">
        <w:rPr>
          <w:rFonts w:asciiTheme="majorBidi" w:hAnsiTheme="majorBidi" w:cstheme="majorBidi"/>
          <w:b/>
          <w:lang w:val="en-GB"/>
        </w:rPr>
        <w:t>Bülent Genç-Kenan Işık-Armağan Tan-Hale Tümer</w:t>
      </w:r>
    </w:p>
    <w:p w14:paraId="114882B4" w14:textId="77777777" w:rsidR="00FF0A5F" w:rsidRPr="00F03A26" w:rsidRDefault="00FF0A5F" w:rsidP="00F03A26">
      <w:pPr>
        <w:spacing w:line="276" w:lineRule="auto"/>
        <w:jc w:val="both"/>
        <w:rPr>
          <w:rFonts w:asciiTheme="majorBidi" w:hAnsiTheme="majorBidi" w:cstheme="majorBidi"/>
          <w:b/>
          <w:lang w:val="en-GB"/>
        </w:rPr>
      </w:pPr>
    </w:p>
    <w:p w14:paraId="59B72054" w14:textId="1570FFD9"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Abstract: </w:t>
      </w:r>
      <w:r w:rsidRPr="00494AC6">
        <w:rPr>
          <w:rFonts w:ascii="Times New Roman" w:hAnsi="Times New Roman"/>
          <w:lang w:val="en-GB"/>
        </w:rPr>
        <w:t xml:space="preserve">The structure </w:t>
      </w:r>
      <w:r w:rsidRPr="00982401">
        <w:rPr>
          <w:rFonts w:ascii="Times New Roman" w:eastAsia="Calibri" w:hAnsi="Times New Roman" w:cs="Times New Roman"/>
          <w:bCs/>
          <w:lang w:val="en-GB"/>
        </w:rPr>
        <w:t xml:space="preserve">is </w:t>
      </w:r>
      <w:r w:rsidRPr="00494AC6">
        <w:rPr>
          <w:rFonts w:ascii="Times New Roman" w:hAnsi="Times New Roman"/>
          <w:lang w:val="en-GB"/>
        </w:rPr>
        <w:t xml:space="preserve">known as the </w:t>
      </w:r>
      <w:r w:rsidR="00274E5C" w:rsidRPr="00274E5C">
        <w:rPr>
          <w:rFonts w:ascii="Times New Roman" w:hAnsi="Times New Roman"/>
          <w:lang w:val="en-GB"/>
        </w:rPr>
        <w:t>"</w:t>
      </w:r>
      <w:r w:rsidRPr="00982401">
        <w:rPr>
          <w:rFonts w:ascii="Times New Roman" w:eastAsia="Calibri" w:hAnsi="Times New Roman" w:cs="Times New Roman"/>
          <w:bCs/>
          <w:lang w:val="en-GB"/>
        </w:rPr>
        <w:t>siršini</w:t>
      </w:r>
      <w:r w:rsidR="00274E5C" w:rsidRPr="00274E5C">
        <w:rPr>
          <w:rFonts w:ascii="Times New Roman" w:hAnsi="Times New Roman"/>
          <w:lang w:val="en-GB"/>
        </w:rPr>
        <w:t>"</w:t>
      </w:r>
      <w:r>
        <w:rPr>
          <w:rFonts w:ascii="Times New Roman" w:eastAsia="Calibri" w:hAnsi="Times New Roman" w:cs="Times New Roman"/>
          <w:bCs/>
          <w:lang w:val="en-GB"/>
        </w:rPr>
        <w:fldChar w:fldCharType="begin"/>
      </w:r>
      <w:r>
        <w:instrText xml:space="preserve"> XE "</w:instrText>
      </w:r>
      <w:r w:rsidRPr="00494AC6">
        <w:rPr>
          <w:rFonts w:ascii="Times New Roman" w:hAnsi="Times New Roman"/>
          <w:lang w:val="en-GB"/>
        </w:rPr>
        <w:instrText>siršini</w:instrText>
      </w:r>
      <w:r>
        <w:instrText xml:space="preserve">" </w:instrText>
      </w:r>
      <w:r>
        <w:rPr>
          <w:rFonts w:ascii="Times New Roman" w:eastAsia="Calibri" w:hAnsi="Times New Roman" w:cs="Times New Roman"/>
          <w:bCs/>
          <w:lang w:val="en-GB"/>
        </w:rPr>
        <w:fldChar w:fldCharType="end"/>
      </w:r>
      <w:r w:rsidRPr="00494AC6">
        <w:rPr>
          <w:rFonts w:ascii="Times New Roman" w:hAnsi="Times New Roman"/>
          <w:lang w:val="en-GB"/>
        </w:rPr>
        <w:t xml:space="preserve"> due to the expressions in the inscription of the Urartian</w:t>
      </w:r>
      <w:r w:rsidRPr="00982401">
        <w:rPr>
          <w:rFonts w:ascii="Times New Roman" w:eastAsia="Calibri" w:hAnsi="Times New Roman" w:cs="Times New Roman"/>
          <w:bCs/>
          <w:lang w:val="en-GB"/>
        </w:rPr>
        <w:t> </w:t>
      </w:r>
      <w:r w:rsidRPr="00427476">
        <w:rPr>
          <w:rFonts w:asciiTheme="majorBidi" w:hAnsiTheme="majorBidi" w:cstheme="majorBidi"/>
          <w:bCs/>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bCs/>
          <w:lang w:val="en-GB"/>
        </w:rPr>
        <w:fldChar w:fldCharType="end"/>
      </w:r>
      <w:r w:rsidRPr="00427476">
        <w:rPr>
          <w:rFonts w:asciiTheme="majorBidi" w:hAnsiTheme="majorBidi" w:cstheme="majorBidi"/>
          <w:bCs/>
          <w:lang w:val="en-GB"/>
        </w:rPr>
        <w:t xml:space="preserve"> </w:t>
      </w:r>
      <w:r w:rsidRPr="00494AC6">
        <w:rPr>
          <w:rFonts w:ascii="Times New Roman" w:hAnsi="Times New Roman"/>
          <w:lang w:val="en-GB"/>
        </w:rPr>
        <w:t>king Minua</w:t>
      </w:r>
      <w:r w:rsidRPr="00982401">
        <w:rPr>
          <w:rFonts w:ascii="Times New Roman" w:eastAsia="Calibri" w:hAnsi="Times New Roman" w:cs="Times New Roman"/>
          <w:bCs/>
          <w:lang w:val="en-GB"/>
        </w:rPr>
        <w:t> </w:t>
      </w:r>
      <w:r w:rsidRPr="00427476">
        <w:rPr>
          <w:rFonts w:asciiTheme="majorBidi" w:hAnsiTheme="majorBidi" w:cstheme="majorBidi"/>
          <w:bCs/>
          <w:lang w:val="en-GB"/>
        </w:rPr>
        <w:fldChar w:fldCharType="begin"/>
      </w:r>
      <w:r w:rsidRPr="00427476">
        <w:rPr>
          <w:lang w:val="en-GB"/>
        </w:rPr>
        <w:instrText xml:space="preserve"> XE "</w:instrText>
      </w:r>
      <w:r w:rsidRPr="00427476">
        <w:rPr>
          <w:rFonts w:asciiTheme="majorBidi" w:hAnsiTheme="majorBidi" w:cstheme="majorBidi"/>
          <w:lang w:val="en-GB"/>
        </w:rPr>
        <w:instrText>Minua</w:instrText>
      </w:r>
      <w:r w:rsidRPr="00427476">
        <w:rPr>
          <w:lang w:val="en-GB"/>
        </w:rPr>
        <w:instrText xml:space="preserve">" </w:instrText>
      </w:r>
      <w:r w:rsidRPr="00427476">
        <w:rPr>
          <w:rFonts w:asciiTheme="majorBidi" w:hAnsiTheme="majorBidi" w:cstheme="majorBidi"/>
          <w:bCs/>
          <w:lang w:val="en-GB"/>
        </w:rPr>
        <w:fldChar w:fldCharType="end"/>
      </w:r>
      <w:r w:rsidRPr="00427476">
        <w:rPr>
          <w:rFonts w:asciiTheme="majorBidi" w:hAnsiTheme="majorBidi" w:cstheme="majorBidi"/>
          <w:bCs/>
          <w:lang w:val="en-GB"/>
        </w:rPr>
        <w:t xml:space="preserve"> </w:t>
      </w:r>
      <w:r w:rsidRPr="00494AC6">
        <w:rPr>
          <w:rFonts w:ascii="Times New Roman" w:hAnsi="Times New Roman"/>
          <w:lang w:val="en-GB"/>
        </w:rPr>
        <w:t>(810-785 / 80 BCE), which is located at the entrance of the rock chamber, consisting of a single room on the northern slope of the Van/Ṭušpa</w:t>
      </w:r>
      <w:r w:rsidRPr="00982401">
        <w:rPr>
          <w:rFonts w:ascii="Times New Roman" w:eastAsia="Calibri" w:hAnsi="Times New Roman" w:cs="Times New Roman"/>
          <w:bCs/>
          <w:lang w:val="en-GB"/>
        </w:rPr>
        <w:t> </w:t>
      </w:r>
      <w:r w:rsidRPr="00427476">
        <w:rPr>
          <w:rFonts w:asciiTheme="majorBidi" w:hAnsiTheme="majorBidi" w:cstheme="majorBidi"/>
          <w:bCs/>
          <w:lang w:val="en-GB"/>
        </w:rPr>
        <w:t xml:space="preserve"> </w:t>
      </w:r>
      <w:r w:rsidR="004313F6">
        <w:rPr>
          <w:rFonts w:ascii="Times New Roman" w:hAnsi="Times New Roman"/>
          <w:lang w:val="en-GB"/>
        </w:rPr>
        <w:t>R</w:t>
      </w:r>
      <w:r w:rsidRPr="00494AC6">
        <w:rPr>
          <w:rFonts w:ascii="Times New Roman" w:hAnsi="Times New Roman"/>
          <w:lang w:val="en-GB"/>
        </w:rPr>
        <w:t>ock. This structure has been the subject of various research and studies since its discovery by Schulz</w:t>
      </w:r>
      <w:r w:rsidRPr="00982401">
        <w:rPr>
          <w:rFonts w:ascii="Times New Roman" w:eastAsia="Calibri" w:hAnsi="Times New Roman" w:cs="Times New Roman"/>
          <w:bCs/>
          <w:lang w:val="en-GB"/>
        </w:rPr>
        <w:t> </w:t>
      </w:r>
      <w:r w:rsidRPr="00427476">
        <w:rPr>
          <w:rFonts w:asciiTheme="majorBidi" w:hAnsiTheme="majorBidi" w:cstheme="majorBidi"/>
          <w:bCs/>
          <w:lang w:val="en-GB"/>
        </w:rPr>
        <w:fldChar w:fldCharType="begin"/>
      </w:r>
      <w:r w:rsidRPr="00427476">
        <w:rPr>
          <w:lang w:val="en-GB"/>
        </w:rPr>
        <w:instrText xml:space="preserve"> XE "</w:instrText>
      </w:r>
      <w:r w:rsidRPr="00427476">
        <w:rPr>
          <w:rFonts w:asciiTheme="majorBidi" w:hAnsiTheme="majorBidi" w:cstheme="majorBidi"/>
          <w:lang w:val="en-GB"/>
        </w:rPr>
        <w:instrText>Schulz</w:instrText>
      </w:r>
      <w:r w:rsidRPr="00427476">
        <w:rPr>
          <w:lang w:val="en-GB"/>
        </w:rPr>
        <w:instrText xml:space="preserve">" </w:instrText>
      </w:r>
      <w:r w:rsidRPr="00427476">
        <w:rPr>
          <w:rFonts w:asciiTheme="majorBidi" w:hAnsiTheme="majorBidi" w:cstheme="majorBidi"/>
          <w:bCs/>
          <w:lang w:val="en-GB"/>
        </w:rPr>
        <w:fldChar w:fldCharType="end"/>
      </w:r>
      <w:r w:rsidRPr="00427476">
        <w:rPr>
          <w:rFonts w:asciiTheme="majorBidi" w:hAnsiTheme="majorBidi" w:cstheme="majorBidi"/>
          <w:bCs/>
          <w:lang w:val="en-GB"/>
        </w:rPr>
        <w:t xml:space="preserve"> </w:t>
      </w:r>
      <w:r w:rsidRPr="00494AC6">
        <w:rPr>
          <w:rFonts w:ascii="Times New Roman" w:hAnsi="Times New Roman"/>
          <w:lang w:val="en-GB"/>
        </w:rPr>
        <w:t>in 1827. The studies conducted in the building between 1989</w:t>
      </w:r>
      <w:r w:rsidRPr="00982401">
        <w:rPr>
          <w:rFonts w:ascii="Times New Roman" w:eastAsia="Calibri" w:hAnsi="Times New Roman" w:cs="Times New Roman"/>
          <w:bCs/>
          <w:lang w:val="en-GB"/>
        </w:rPr>
        <w:t xml:space="preserve"> and </w:t>
      </w:r>
      <w:r w:rsidRPr="00494AC6">
        <w:rPr>
          <w:rFonts w:ascii="Times New Roman" w:hAnsi="Times New Roman"/>
          <w:lang w:val="en-GB"/>
        </w:rPr>
        <w:t xml:space="preserve">1990 and then in 2018 called for new interpretations regarding the </w:t>
      </w:r>
      <w:r w:rsidRPr="00982401">
        <w:rPr>
          <w:rFonts w:ascii="Times New Roman" w:eastAsia="Calibri" w:hAnsi="Times New Roman" w:cs="Times New Roman"/>
          <w:bCs/>
          <w:lang w:val="en-GB"/>
        </w:rPr>
        <w:t xml:space="preserve">space's </w:t>
      </w:r>
      <w:r w:rsidRPr="00494AC6">
        <w:rPr>
          <w:rFonts w:ascii="Times New Roman" w:hAnsi="Times New Roman"/>
          <w:lang w:val="en-GB"/>
        </w:rPr>
        <w:t>function</w:t>
      </w:r>
      <w:r w:rsidRPr="00982401">
        <w:rPr>
          <w:rFonts w:ascii="Times New Roman" w:eastAsia="Calibri" w:hAnsi="Times New Roman" w:cs="Times New Roman"/>
          <w:bCs/>
          <w:lang w:val="en-GB"/>
        </w:rPr>
        <w:t>.</w:t>
      </w:r>
      <w:r w:rsidRPr="00494AC6">
        <w:rPr>
          <w:rFonts w:ascii="Times New Roman" w:hAnsi="Times New Roman"/>
          <w:lang w:val="en-GB"/>
        </w:rPr>
        <w:t xml:space="preserve"> In this article, the rock structure known as </w:t>
      </w:r>
      <w:r w:rsidRPr="00982401">
        <w:rPr>
          <w:rFonts w:ascii="Times New Roman" w:eastAsia="Calibri" w:hAnsi="Times New Roman" w:cs="Times New Roman"/>
          <w:bCs/>
          <w:lang w:val="en-GB"/>
        </w:rPr>
        <w:t>'stable'</w:t>
      </w:r>
      <w:r w:rsidRPr="00494AC6">
        <w:rPr>
          <w:rFonts w:ascii="Times New Roman" w:hAnsi="Times New Roman"/>
          <w:lang w:val="en-GB"/>
        </w:rPr>
        <w:t xml:space="preserve"> in Urartian studies is re-evaluated in detail with new data.</w:t>
      </w:r>
    </w:p>
    <w:p w14:paraId="616012E7" w14:textId="77777777" w:rsidR="00D02275" w:rsidRPr="00494AC6" w:rsidRDefault="00D02275" w:rsidP="00D02275">
      <w:pPr>
        <w:spacing w:line="276" w:lineRule="auto"/>
        <w:jc w:val="both"/>
        <w:rPr>
          <w:rFonts w:ascii="Times New Roman" w:hAnsi="Times New Roman"/>
          <w:b/>
          <w:lang w:val="en-GB"/>
        </w:rPr>
      </w:pPr>
    </w:p>
    <w:p w14:paraId="3DC20055" w14:textId="77777777" w:rsidR="00D02275" w:rsidRPr="00494AC6" w:rsidRDefault="00D02275" w:rsidP="00D02275">
      <w:pPr>
        <w:keepNext/>
        <w:keepLines/>
        <w:spacing w:before="40"/>
        <w:jc w:val="both"/>
        <w:outlineLvl w:val="1"/>
        <w:rPr>
          <w:rFonts w:ascii="Times New Roman" w:hAnsi="Times New Roman"/>
          <w:b/>
          <w:color w:val="2F5496"/>
          <w:sz w:val="28"/>
          <w:szCs w:val="22"/>
          <w:lang w:val="en-GB"/>
        </w:rPr>
      </w:pPr>
      <w:bookmarkStart w:id="100" w:name="_Toc173231224"/>
      <w:r w:rsidRPr="00494AC6">
        <w:rPr>
          <w:rFonts w:ascii="Times New Roman" w:hAnsi="Times New Roman"/>
          <w:b/>
          <w:color w:val="000000"/>
          <w:sz w:val="28"/>
          <w:szCs w:val="22"/>
          <w:lang w:val="en-GB"/>
        </w:rPr>
        <w:t>7.1. Introduction</w:t>
      </w:r>
      <w:bookmarkEnd w:id="100"/>
    </w:p>
    <w:p w14:paraId="5693A39B" w14:textId="1F3B46AA" w:rsidR="00D02275" w:rsidRPr="008E1F1B" w:rsidRDefault="00D02275" w:rsidP="00D02275">
      <w:pPr>
        <w:autoSpaceDE w:val="0"/>
        <w:autoSpaceDN w:val="0"/>
        <w:adjustRightInd w:val="0"/>
        <w:spacing w:line="276" w:lineRule="auto"/>
        <w:jc w:val="both"/>
        <w:rPr>
          <w:rFonts w:ascii="Times New Roman" w:hAnsi="Times New Roman"/>
          <w:lang w:val="en-GB"/>
        </w:rPr>
      </w:pPr>
      <w:r w:rsidRPr="008E1F1B">
        <w:rPr>
          <w:rFonts w:ascii="Times New Roman" w:hAnsi="Times New Roman"/>
          <w:lang w:val="en-GB"/>
        </w:rPr>
        <w:t>The rock chamber carved into the bedrock on the northern slope of the Van Fortress</w:t>
      </w:r>
      <w:r w:rsidRPr="00982401">
        <w:rPr>
          <w:rFonts w:ascii="Times New Roman" w:eastAsia="Calibri" w:hAnsi="Times New Roman" w:cs="Times New Roman"/>
          <w:lang w:val="en-GB"/>
        </w:rPr>
        <w:t> </w:t>
      </w:r>
      <w:r w:rsidRPr="008E1F1B">
        <w:rPr>
          <w:rFonts w:ascii="Times New Roman" w:hAnsi="Times New Roman"/>
          <w:lang w:val="en-GB"/>
        </w:rPr>
        <w:t xml:space="preserve">citadel is one of </w:t>
      </w:r>
      <w:r w:rsidRPr="00982401">
        <w:rPr>
          <w:rFonts w:ascii="Times New Roman" w:eastAsia="Calibri" w:hAnsi="Times New Roman" w:cs="Times New Roman"/>
          <w:lang w:val="en-GB"/>
        </w:rPr>
        <w:t>Urartu's</w:t>
      </w:r>
      <w:r w:rsidRPr="008E1F1B">
        <w:rPr>
          <w:rFonts w:ascii="Times New Roman" w:hAnsi="Times New Roman"/>
          <w:lang w:val="en-GB"/>
        </w:rPr>
        <w:t xml:space="preserve"> extraordinary practices </w:t>
      </w:r>
      <w:r w:rsidRPr="00982401">
        <w:rPr>
          <w:rFonts w:ascii="Times New Roman" w:eastAsia="Calibri" w:hAnsi="Times New Roman" w:cs="Times New Roman"/>
          <w:lang w:val="en-GB"/>
        </w:rPr>
        <w:t>regarding</w:t>
      </w:r>
      <w:r>
        <w:rPr>
          <w:rFonts w:ascii="Times New Roman" w:eastAsia="Calibri" w:hAnsi="Times New Roman" w:cs="Times New Roman"/>
          <w:lang w:val="en-GB"/>
        </w:rPr>
        <w:t xml:space="preserve"> </w:t>
      </w:r>
      <w:r w:rsidRPr="00427476">
        <w:rPr>
          <w:rFonts w:asciiTheme="majorBidi" w:hAnsiTheme="majorBidi" w:cstheme="majorBidi"/>
          <w:lang w:val="en-GB"/>
        </w:rPr>
        <w:t>of Urartu</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eastAsia="Times New Roman"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in terms of</w:t>
      </w:r>
      <w:r w:rsidRPr="008E1F1B">
        <w:rPr>
          <w:rFonts w:ascii="Times New Roman" w:hAnsi="Times New Roman"/>
          <w:lang w:val="en-GB"/>
        </w:rPr>
        <w:t xml:space="preserve"> its function, location selection, and structural features. According to what is understood from the rock inscription at its entrance, it is a structure built by the Urartian</w:t>
      </w:r>
      <w:r w:rsidRPr="00982401">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8E1F1B">
        <w:rPr>
          <w:rFonts w:ascii="Times New Roman" w:hAnsi="Times New Roman"/>
          <w:lang w:val="en-GB"/>
        </w:rPr>
        <w:t>king Minua</w:t>
      </w:r>
      <w:r w:rsidRPr="00982401">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Minua</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8E1F1B">
        <w:rPr>
          <w:rFonts w:ascii="Times New Roman" w:hAnsi="Times New Roman"/>
          <w:lang w:val="en-GB"/>
        </w:rPr>
        <w:t xml:space="preserve"> who carried out </w:t>
      </w:r>
      <w:r w:rsidRPr="00982401">
        <w:rPr>
          <w:rFonts w:ascii="Times New Roman" w:eastAsia="Calibri" w:hAnsi="Times New Roman" w:cs="Times New Roman"/>
          <w:lang w:val="en-GB"/>
        </w:rPr>
        <w:t>essential</w:t>
      </w:r>
      <w:r w:rsidRPr="008E1F1B">
        <w:rPr>
          <w:rFonts w:ascii="Times New Roman" w:hAnsi="Times New Roman"/>
          <w:lang w:val="en-GB"/>
        </w:rPr>
        <w:t xml:space="preserve"> reconstruction activities in the capital Ṭušpa</w:t>
      </w:r>
      <w:r w:rsidRPr="00982401">
        <w:rPr>
          <w:rFonts w:ascii="Times New Roman" w:eastAsia="Calibri" w:hAnsi="Times New Roman" w:cs="Times New Roman"/>
          <w:lang w:val="en-GB"/>
        </w:rPr>
        <w:t> </w:t>
      </w:r>
      <w:r w:rsidRPr="008E1F1B">
        <w:rPr>
          <w:rFonts w:ascii="Times New Roman" w:hAnsi="Times New Roman"/>
          <w:lang w:val="en-GB"/>
        </w:rPr>
        <w:t xml:space="preserve">and throughout the kingdom. The Urartian name of this structure, which remains unexampled in the capital and throughout the kingdom, is stated to be </w:t>
      </w:r>
      <w:r w:rsidR="00274E5C" w:rsidRPr="00274E5C">
        <w:rPr>
          <w:rFonts w:ascii="Times New Roman" w:hAnsi="Times New Roman"/>
          <w:lang w:val="en-GB"/>
        </w:rPr>
        <w:t>"</w:t>
      </w:r>
      <w:r w:rsidRPr="008E1F1B">
        <w:rPr>
          <w:rFonts w:ascii="Times New Roman" w:hAnsi="Times New Roman"/>
          <w:lang w:val="en-GB"/>
        </w:rPr>
        <w:t>siršini</w:t>
      </w:r>
      <w:r w:rsidR="00274E5C" w:rsidRPr="00274E5C">
        <w:rPr>
          <w:rFonts w:ascii="Times New Roman" w:hAnsi="Times New Roman"/>
          <w:lang w:val="en-GB"/>
        </w:rPr>
        <w:t>"</w:t>
      </w:r>
      <w:r w:rsidRPr="00982401">
        <w:rPr>
          <w:rFonts w:ascii="Times New Roman" w:eastAsia="Calibri" w:hAnsi="Times New Roman" w:cs="Times New Roman"/>
          <w:lang w:val="en-GB"/>
        </w:rPr>
        <w:t> </w:t>
      </w:r>
      <w:r w:rsidRPr="00427476">
        <w:rPr>
          <w:rFonts w:asciiTheme="majorBidi" w:hAnsiTheme="majorBidi" w:cstheme="majorBidi"/>
          <w:i/>
          <w:iCs/>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lang w:val="en-GB"/>
        </w:rPr>
        <w:t xml:space="preserve"> </w:t>
      </w:r>
      <w:r w:rsidRPr="008E1F1B">
        <w:rPr>
          <w:rFonts w:ascii="Times New Roman" w:hAnsi="Times New Roman"/>
          <w:lang w:val="en-GB"/>
        </w:rPr>
        <w:t xml:space="preserve">in the rock inscription. For this reason, the building is known as </w:t>
      </w:r>
      <w:r w:rsidRPr="00982401">
        <w:rPr>
          <w:rFonts w:ascii="Times New Roman" w:eastAsia="Calibri" w:hAnsi="Times New Roman" w:cs="Times New Roman"/>
          <w:lang w:val="en-GB"/>
        </w:rPr>
        <w:t>"</w:t>
      </w:r>
      <w:r w:rsidRPr="008E1F1B">
        <w:rPr>
          <w:rFonts w:ascii="Times New Roman" w:hAnsi="Times New Roman"/>
          <w:lang w:val="en-GB"/>
        </w:rPr>
        <w:t xml:space="preserve">The </w:t>
      </w:r>
      <w:r w:rsidRPr="00982401">
        <w:rPr>
          <w:rFonts w:ascii="Times New Roman" w:eastAsia="Calibri" w:hAnsi="Times New Roman" w:cs="Times New Roman"/>
          <w:lang w:val="en-GB"/>
        </w:rPr>
        <w:t>Minua's</w:t>
      </w:r>
      <w:r w:rsidRPr="008E1F1B">
        <w:rPr>
          <w:rFonts w:ascii="Times New Roman" w:hAnsi="Times New Roman"/>
          <w:lang w:val="en-GB"/>
        </w:rPr>
        <w:t xml:space="preserve"> </w:t>
      </w:r>
      <w:r w:rsidR="00274E5C" w:rsidRPr="00274E5C">
        <w:rPr>
          <w:rFonts w:ascii="Times New Roman" w:hAnsi="Times New Roman"/>
          <w:lang w:val="en-GB"/>
        </w:rPr>
        <w:t>"</w:t>
      </w:r>
      <w:r w:rsidRPr="008E1F1B">
        <w:rPr>
          <w:rFonts w:ascii="Times New Roman" w:hAnsi="Times New Roman"/>
          <w:lang w:val="en-GB"/>
        </w:rPr>
        <w:t>siršini</w:t>
      </w:r>
      <w:r w:rsidR="00274E5C" w:rsidRPr="00274E5C">
        <w:rPr>
          <w:rFonts w:ascii="Times New Roman" w:hAnsi="Times New Roman"/>
          <w:lang w:val="en-GB"/>
        </w:rPr>
        <w:t>"</w:t>
      </w:r>
      <w:r w:rsidR="00C1513A">
        <w:rPr>
          <w:rFonts w:ascii="Times New Roman" w:hAnsi="Times New Roman"/>
          <w:lang w:val="en-GB"/>
        </w:rPr>
        <w:fldChar w:fldCharType="begin"/>
      </w:r>
      <w:r w:rsidR="00C1513A">
        <w:instrText xml:space="preserve"> XE "</w:instrText>
      </w:r>
      <w:r w:rsidR="00C1513A" w:rsidRPr="00A510EB">
        <w:rPr>
          <w:rFonts w:asciiTheme="majorBidi" w:eastAsia="Times New Roman" w:hAnsiTheme="majorBidi" w:cstheme="majorBidi"/>
          <w:lang w:val="en-GB"/>
        </w:rPr>
        <w:instrText>Minua's siršini</w:instrText>
      </w:r>
      <w:r w:rsidR="00C1513A">
        <w:instrText xml:space="preserve">" </w:instrText>
      </w:r>
      <w:r w:rsidR="00C1513A">
        <w:rPr>
          <w:rFonts w:ascii="Times New Roman" w:hAnsi="Times New Roman"/>
          <w:lang w:val="en-GB"/>
        </w:rPr>
        <w:fldChar w:fldCharType="end"/>
      </w:r>
      <w:r w:rsidRPr="00982401">
        <w:rPr>
          <w:rFonts w:ascii="Times New Roman" w:eastAsia="Calibri" w:hAnsi="Times New Roman" w:cs="Times New Roman"/>
          <w:lang w:val="en-GB"/>
        </w:rPr>
        <w:t>"</w:t>
      </w:r>
      <w:r w:rsidRPr="008E1F1B">
        <w:rPr>
          <w:rFonts w:ascii="Times New Roman" w:hAnsi="Times New Roman"/>
          <w:lang w:val="en-GB"/>
        </w:rPr>
        <w:t xml:space="preserve"> in Urartu literature (Tarhan, 2011: 318-319). However, this is a modern term</w:t>
      </w:r>
      <w:r w:rsidRPr="00982401">
        <w:rPr>
          <w:rFonts w:ascii="Times New Roman" w:eastAsia="Calibri" w:hAnsi="Times New Roman" w:cs="Times New Roman"/>
          <w:lang w:val="en-GB"/>
        </w:rPr>
        <w:t>,</w:t>
      </w:r>
      <w:r w:rsidRPr="008E1F1B">
        <w:rPr>
          <w:rFonts w:ascii="Times New Roman" w:hAnsi="Times New Roman"/>
          <w:lang w:val="en-GB"/>
        </w:rPr>
        <w:t xml:space="preserve"> and there is no expression to suggest that Minua gave this structure his name, as </w:t>
      </w:r>
      <w:r w:rsidRPr="00982401">
        <w:rPr>
          <w:rFonts w:ascii="Times New Roman" w:eastAsia="Calibri" w:hAnsi="Times New Roman" w:cs="Times New Roman"/>
          <w:lang w:val="en-GB"/>
        </w:rPr>
        <w:t>with</w:t>
      </w:r>
      <w:r w:rsidRPr="008E1F1B">
        <w:rPr>
          <w:rFonts w:ascii="Times New Roman" w:hAnsi="Times New Roman"/>
          <w:lang w:val="en-GB"/>
        </w:rPr>
        <w:t xml:space="preserve"> some other building examples. It is only mentioned that Minua had this structure built in the rock inscription at the entrance of the rock chamber and in another inscription from the same area. In this context, considering this inscription at the entrance </w:t>
      </w:r>
      <w:r w:rsidRPr="00982401">
        <w:rPr>
          <w:rFonts w:ascii="Times New Roman" w:eastAsia="Calibri" w:hAnsi="Times New Roman" w:cs="Times New Roman"/>
          <w:lang w:val="en-GB"/>
        </w:rPr>
        <w:t>of</w:t>
      </w:r>
      <w:r>
        <w:rPr>
          <w:rFonts w:ascii="Times New Roman" w:eastAsia="Calibri" w:hAnsi="Times New Roman" w:cs="Times New Roman"/>
          <w:lang w:val="en-GB"/>
        </w:rPr>
        <w:t xml:space="preserve"> </w:t>
      </w:r>
      <w:r w:rsidRPr="00982401">
        <w:rPr>
          <w:rFonts w:ascii="Times New Roman" w:eastAsia="Calibri" w:hAnsi="Times New Roman" w:cs="Times New Roman"/>
          <w:lang w:val="en-GB"/>
        </w:rPr>
        <w:t>siršini</w:t>
      </w:r>
      <w:r w:rsidRPr="008E1F1B">
        <w:rPr>
          <w:rFonts w:ascii="Times New Roman" w:hAnsi="Times New Roman"/>
          <w:lang w:val="en-GB"/>
        </w:rPr>
        <w:t xml:space="preserve">, it is possible to say that Minua was the first Urartian king who formed a space by carving the rocks at Ṭušpa (Genç, 2015: 279). The latest available data and the </w:t>
      </w:r>
      <w:r w:rsidRPr="00982401">
        <w:rPr>
          <w:rFonts w:ascii="Times New Roman" w:eastAsia="Calibri" w:hAnsi="Times New Roman" w:cs="Times New Roman"/>
          <w:lang w:val="en-GB"/>
        </w:rPr>
        <w:t xml:space="preserve">rock inscription's </w:t>
      </w:r>
      <w:r w:rsidRPr="008E1F1B">
        <w:rPr>
          <w:rFonts w:ascii="Times New Roman" w:hAnsi="Times New Roman"/>
          <w:lang w:val="en-GB"/>
        </w:rPr>
        <w:t xml:space="preserve">presence at the </w:t>
      </w:r>
      <w:r w:rsidRPr="00982401">
        <w:rPr>
          <w:rFonts w:ascii="Times New Roman" w:eastAsia="Calibri" w:hAnsi="Times New Roman" w:cs="Times New Roman"/>
          <w:lang w:val="en-GB"/>
        </w:rPr>
        <w:t xml:space="preserve">place's </w:t>
      </w:r>
      <w:r w:rsidRPr="008E1F1B">
        <w:rPr>
          <w:rFonts w:ascii="Times New Roman" w:hAnsi="Times New Roman"/>
          <w:lang w:val="en-GB"/>
        </w:rPr>
        <w:t>entrance are effective in this deduction.</w:t>
      </w:r>
    </w:p>
    <w:p w14:paraId="78F84C45"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6892E089" w14:textId="3A093EE2"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The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sidRPr="00982401">
        <w:rPr>
          <w:rFonts w:ascii="Times New Roman" w:eastAsia="Calibri" w:hAnsi="Times New Roman" w:cs="Times New Roman"/>
          <w:lang w:val="en-GB"/>
        </w:rPr>
        <w:t> </w:t>
      </w:r>
      <w:r w:rsidRPr="00427476">
        <w:rPr>
          <w:rFonts w:asciiTheme="majorBidi" w:hAnsiTheme="majorBidi" w:cstheme="majorBidi"/>
          <w:i/>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
          <w:lang w:val="en-GB"/>
        </w:rPr>
        <w:fldChar w:fldCharType="end"/>
      </w:r>
      <w:r w:rsidRPr="00427476">
        <w:rPr>
          <w:rFonts w:asciiTheme="majorBidi" w:hAnsiTheme="majorBidi" w:cstheme="majorBidi"/>
          <w:iCs/>
          <w:lang w:val="en-GB"/>
        </w:rPr>
        <w:t xml:space="preserve"> </w:t>
      </w:r>
      <w:r w:rsidRPr="00494AC6">
        <w:rPr>
          <w:rFonts w:ascii="Times New Roman" w:hAnsi="Times New Roman"/>
          <w:lang w:val="en-GB"/>
        </w:rPr>
        <w:t>structure and the rock inscription at the entrance were introduced to the world with the work of Schulz</w:t>
      </w:r>
      <w:r w:rsidRPr="00982401">
        <w:rPr>
          <w:rFonts w:ascii="Times New Roman" w:eastAsia="Calibri" w:hAnsi="Times New Roman" w:cs="Times New Roman"/>
          <w:lang w:val="en-GB"/>
        </w:rPr>
        <w:t> </w:t>
      </w:r>
      <w:r w:rsidRPr="00427476">
        <w:rPr>
          <w:rFonts w:asciiTheme="majorBidi" w:hAnsiTheme="majorBidi" w:cstheme="majorBidi"/>
          <w:iCs/>
          <w:lang w:val="en-GB"/>
        </w:rPr>
        <w:fldChar w:fldCharType="begin"/>
      </w:r>
      <w:r w:rsidRPr="00427476">
        <w:rPr>
          <w:lang w:val="en-GB"/>
        </w:rPr>
        <w:instrText xml:space="preserve"> XE "</w:instrText>
      </w:r>
      <w:r w:rsidRPr="00427476">
        <w:rPr>
          <w:rFonts w:asciiTheme="majorBidi" w:hAnsiTheme="majorBidi" w:cstheme="majorBidi"/>
          <w:lang w:val="en-GB"/>
        </w:rPr>
        <w:instrText>Schulz</w:instrText>
      </w:r>
      <w:r w:rsidRPr="00427476">
        <w:rPr>
          <w:lang w:val="en-GB"/>
        </w:rPr>
        <w:instrText xml:space="preserve">" </w:instrText>
      </w:r>
      <w:r w:rsidRPr="00427476">
        <w:rPr>
          <w:rFonts w:asciiTheme="majorBidi" w:hAnsiTheme="majorBidi" w:cstheme="majorBidi"/>
          <w:iCs/>
          <w:lang w:val="en-GB"/>
        </w:rPr>
        <w:fldChar w:fldCharType="end"/>
      </w:r>
      <w:r w:rsidRPr="00427476">
        <w:rPr>
          <w:rFonts w:asciiTheme="majorBidi" w:hAnsiTheme="majorBidi" w:cstheme="majorBidi"/>
          <w:iCs/>
          <w:lang w:val="en-GB"/>
        </w:rPr>
        <w:t xml:space="preserve"> </w:t>
      </w:r>
      <w:r w:rsidRPr="00494AC6">
        <w:rPr>
          <w:rFonts w:ascii="Times New Roman" w:hAnsi="Times New Roman"/>
          <w:lang w:val="en-GB"/>
        </w:rPr>
        <w:t xml:space="preserve">(Schulz, 1840: 294-295, XVI). This structure, which Schulz defined as the </w:t>
      </w:r>
      <w:r w:rsidR="00274E5C">
        <w:rPr>
          <w:rFonts w:ascii="Times New Roman" w:eastAsia="Calibri" w:hAnsi="Times New Roman" w:cs="Times New Roman"/>
          <w:lang w:val="en-GB"/>
        </w:rPr>
        <w:t>‘</w:t>
      </w:r>
      <w:r w:rsidRPr="00982401">
        <w:rPr>
          <w:rFonts w:ascii="Times New Roman" w:eastAsia="Calibri" w:hAnsi="Times New Roman" w:cs="Times New Roman"/>
          <w:lang w:val="en-GB"/>
        </w:rPr>
        <w:t>Great Cave</w:t>
      </w:r>
      <w:r w:rsidR="00274E5C">
        <w:rPr>
          <w:rFonts w:ascii="Times New Roman" w:eastAsia="Calibri" w:hAnsi="Times New Roman" w:cs="Times New Roman"/>
          <w:lang w:val="en-GB"/>
        </w:rPr>
        <w:t>’</w:t>
      </w:r>
      <w:r w:rsidRPr="00494AC6">
        <w:rPr>
          <w:rFonts w:ascii="Times New Roman" w:hAnsi="Times New Roman"/>
          <w:lang w:val="en-GB"/>
        </w:rPr>
        <w:t xml:space="preserve"> (Schulz, 1840: 294), was interpreted as the </w:t>
      </w:r>
      <w:r w:rsidR="00274E5C">
        <w:rPr>
          <w:rFonts w:ascii="Times New Roman" w:eastAsia="Calibri" w:hAnsi="Times New Roman" w:cs="Times New Roman"/>
          <w:lang w:val="en-GB"/>
        </w:rPr>
        <w:t>‘</w:t>
      </w:r>
      <w:r w:rsidRPr="00982401">
        <w:rPr>
          <w:rFonts w:ascii="Times New Roman" w:eastAsia="Calibri" w:hAnsi="Times New Roman" w:cs="Times New Roman"/>
          <w:lang w:val="en-GB"/>
        </w:rPr>
        <w:t>Rock Room</w:t>
      </w:r>
      <w:r w:rsidR="00274E5C">
        <w:rPr>
          <w:rFonts w:ascii="Times New Roman" w:eastAsia="Calibri" w:hAnsi="Times New Roman" w:cs="Times New Roman"/>
          <w:lang w:val="en-GB"/>
        </w:rPr>
        <w:t>’</w:t>
      </w:r>
      <w:r w:rsidRPr="00494AC6">
        <w:rPr>
          <w:rFonts w:ascii="Times New Roman" w:hAnsi="Times New Roman"/>
          <w:lang w:val="en-GB"/>
        </w:rPr>
        <w:t xml:space="preserve"> by Lehmann-Haupt</w:t>
      </w:r>
      <w:r w:rsidRPr="00982401">
        <w:rPr>
          <w:rFonts w:ascii="Times New Roman" w:eastAsia="Calibri" w:hAnsi="Times New Roman" w:cs="Times New Roman"/>
          <w:lang w:val="en-GB"/>
        </w:rPr>
        <w:t> </w:t>
      </w:r>
      <w:r w:rsidRPr="00494AC6">
        <w:rPr>
          <w:rFonts w:ascii="Times New Roman" w:hAnsi="Times New Roman"/>
          <w:lang w:val="en-GB"/>
        </w:rPr>
        <w:t xml:space="preserve">(Lehmann-Haupt, 1926: 31). Later, Diakonoff suggested, based on linguistic implications, that </w:t>
      </w:r>
      <w:r w:rsidRPr="00982401">
        <w:rPr>
          <w:rFonts w:ascii="Times New Roman" w:eastAsia="Calibri" w:hAnsi="Times New Roman" w:cs="Times New Roman"/>
          <w:lang w:val="en-GB"/>
        </w:rPr>
        <w:t>siršini</w:t>
      </w:r>
      <w:r>
        <w:rPr>
          <w:rFonts w:ascii="Times New Roman" w:eastAsia="Calibri" w:hAnsi="Times New Roman" w:cs="Times New Roman"/>
          <w:lang w:val="en-GB"/>
        </w:rPr>
        <w:t xml:space="preserve"> </w:t>
      </w:r>
      <w:r w:rsidRPr="00982401">
        <w:rPr>
          <w:rFonts w:ascii="Times New Roman" w:eastAsia="Calibri" w:hAnsi="Times New Roman" w:cs="Times New Roman"/>
          <w:lang w:val="en-GB"/>
        </w:rPr>
        <w:t>could means 'pasture/meadow'</w:t>
      </w:r>
      <w:r w:rsidRPr="00494AC6">
        <w:rPr>
          <w:rFonts w:ascii="Times New Roman" w:hAnsi="Times New Roman"/>
          <w:lang w:val="en-GB"/>
        </w:rPr>
        <w:t xml:space="preserve"> (Diakonoff, 1963: 61). Arutyunyan also repeats the same interpretation (Arutyunyan, 2001: 80-81, 101-102, 461). The </w:t>
      </w:r>
      <w:r w:rsidR="00274E5C">
        <w:rPr>
          <w:rFonts w:ascii="Times New Roman" w:eastAsia="Calibri" w:hAnsi="Times New Roman" w:cs="Times New Roman"/>
          <w:lang w:val="en-GB"/>
        </w:rPr>
        <w:t>‘</w:t>
      </w:r>
      <w:r w:rsidRPr="00982401">
        <w:rPr>
          <w:rFonts w:ascii="Times New Roman" w:eastAsia="Calibri" w:hAnsi="Times New Roman" w:cs="Times New Roman"/>
          <w:lang w:val="en-GB"/>
        </w:rPr>
        <w:t>stable</w:t>
      </w:r>
      <w:r w:rsidR="00274E5C">
        <w:rPr>
          <w:rFonts w:ascii="Times New Roman" w:eastAsia="Calibri" w:hAnsi="Times New Roman" w:cs="Times New Roman"/>
          <w:lang w:val="en-GB"/>
        </w:rPr>
        <w:t>’</w:t>
      </w:r>
      <w:r w:rsidRPr="00494AC6">
        <w:rPr>
          <w:rFonts w:ascii="Times New Roman" w:hAnsi="Times New Roman"/>
          <w:lang w:val="en-GB"/>
        </w:rPr>
        <w:t xml:space="preserve"> interpretation, widely accepted today, was first formed by Salvini (Salvini, 1986: 36; Salvini, 2018: 410). It is thought that this building was used as a place where animals to be sacrificed were kept. We understand that this view may have changed </w:t>
      </w:r>
      <w:r w:rsidRPr="00982401">
        <w:rPr>
          <w:rFonts w:ascii="Times New Roman" w:eastAsia="Calibri" w:hAnsi="Times New Roman" w:cs="Times New Roman"/>
          <w:lang w:val="en-GB"/>
        </w:rPr>
        <w:t>Diakonoff's</w:t>
      </w:r>
      <w:r w:rsidRPr="00494AC6">
        <w:rPr>
          <w:rFonts w:ascii="Times New Roman" w:hAnsi="Times New Roman"/>
          <w:lang w:val="en-GB"/>
        </w:rPr>
        <w:t xml:space="preserve"> mind from his opinion on another Urartian</w:t>
      </w:r>
      <w:r w:rsidRPr="00982401">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structure word</w:t>
      </w:r>
      <w:r w:rsidRPr="00982401">
        <w:rPr>
          <w:rFonts w:ascii="Times New Roman" w:eastAsia="Calibri" w:hAnsi="Times New Roman" w:cs="Times New Roman"/>
          <w:lang w:val="en-GB"/>
        </w:rPr>
        <w:t>,</w:t>
      </w:r>
      <w:r w:rsidRPr="00494AC6">
        <w:rPr>
          <w:rFonts w:ascii="Times New Roman" w:hAnsi="Times New Roman"/>
          <w:lang w:val="en-GB"/>
        </w:rPr>
        <w:t xml:space="preserve"> sirḫani</w:t>
      </w:r>
      <w:r w:rsidRPr="00982401">
        <w:rPr>
          <w:rFonts w:ascii="Times New Roman" w:eastAsia="Calibri" w:hAnsi="Times New Roman" w:cs="Times New Roman"/>
          <w:lang w:val="en-GB"/>
        </w:rPr>
        <w:t>, which is</w:t>
      </w:r>
      <w:r w:rsidRPr="00427476">
        <w:rPr>
          <w:rFonts w:asciiTheme="majorBidi" w:hAnsiTheme="majorBidi" w:cstheme="majorBidi"/>
          <w:lang w:val="en-GB"/>
        </w:rPr>
        <w:t>,</w:t>
      </w:r>
      <w:r w:rsidRPr="00494AC6">
        <w:rPr>
          <w:rFonts w:ascii="Times New Roman" w:hAnsi="Times New Roman"/>
          <w:lang w:val="en-GB"/>
        </w:rPr>
        <w:t xml:space="preserve"> very similar to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Pr>
          <w:rFonts w:ascii="Times New Roman" w:eastAsia="Calibri" w:hAnsi="Times New Roman" w:cs="Times New Roman"/>
          <w:lang w:val="en-GB"/>
        </w:rPr>
        <w:t xml:space="preserve"> </w:t>
      </w:r>
      <w:r w:rsidRPr="00427476">
        <w:rPr>
          <w:rFonts w:asciiTheme="majorBidi" w:hAnsiTheme="majorBidi" w:cstheme="majorBidi"/>
          <w:i/>
          <w:iCs/>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lang w:val="en-GB"/>
        </w:rPr>
        <w:t>.</w:t>
      </w:r>
      <w:r w:rsidRPr="00494AC6">
        <w:rPr>
          <w:rFonts w:ascii="Times New Roman" w:hAnsi="Times New Roman"/>
          <w:lang w:val="en-GB"/>
        </w:rPr>
        <w:t xml:space="preserve"> Diakonoff thought that the term sirḫani might have been derived from the root še-, meaning </w:t>
      </w:r>
      <w:r w:rsidRPr="00982401">
        <w:rPr>
          <w:rFonts w:ascii="Times New Roman" w:eastAsia="Calibri" w:hAnsi="Times New Roman" w:cs="Times New Roman"/>
          <w:lang w:val="en-GB"/>
        </w:rPr>
        <w:t>'shepherd,'</w:t>
      </w:r>
      <w:r w:rsidRPr="00494AC6">
        <w:rPr>
          <w:rFonts w:ascii="Times New Roman" w:hAnsi="Times New Roman"/>
          <w:lang w:val="en-GB"/>
        </w:rPr>
        <w:t xml:space="preserve"> </w:t>
      </w:r>
      <w:r w:rsidRPr="00494AC6">
        <w:rPr>
          <w:rFonts w:ascii="Times New Roman" w:hAnsi="Times New Roman"/>
          <w:lang w:val="en-GB"/>
        </w:rPr>
        <w:lastRenderedPageBreak/>
        <w:t xml:space="preserve">and referred to a structure in which animals were held before they were sacrificed to the gods (Diakonoff, 1991: 15, fn. 26). Based on these considerations, the stele slot located on a high rock platform to the east of the rock chamber entrance (Fig. 1) and the stele that may have been erected here were evaluated in the context of </w:t>
      </w:r>
      <w:r w:rsidRPr="00982401">
        <w:rPr>
          <w:rFonts w:ascii="Times New Roman" w:eastAsia="Calibri" w:hAnsi="Times New Roman" w:cs="Times New Roman"/>
          <w:lang w:val="en-GB"/>
        </w:rPr>
        <w:t>'purifying</w:t>
      </w:r>
      <w:r w:rsidRPr="00494AC6">
        <w:rPr>
          <w:rFonts w:ascii="Times New Roman" w:hAnsi="Times New Roman"/>
          <w:lang w:val="en-GB"/>
        </w:rPr>
        <w:t xml:space="preserve"> the sacrificed </w:t>
      </w:r>
      <w:r w:rsidRPr="00982401">
        <w:rPr>
          <w:rFonts w:ascii="Times New Roman" w:eastAsia="Calibri" w:hAnsi="Times New Roman" w:cs="Times New Roman"/>
          <w:lang w:val="en-GB"/>
        </w:rPr>
        <w:t>animals'</w:t>
      </w:r>
      <w:r w:rsidRPr="00494AC6">
        <w:rPr>
          <w:rFonts w:ascii="Times New Roman" w:hAnsi="Times New Roman"/>
          <w:lang w:val="en-GB"/>
        </w:rPr>
        <w:t xml:space="preserve"> (Tarhan, 2011: 318-320). </w:t>
      </w:r>
    </w:p>
    <w:p w14:paraId="65BCD025"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1789F642" w14:textId="11A88939"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Excavations and research in the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sidRPr="00982401">
        <w:rPr>
          <w:rFonts w:ascii="Times New Roman" w:eastAsia="Calibri" w:hAnsi="Times New Roman" w:cs="Times New Roman"/>
          <w:lang w:val="en-GB"/>
        </w:rPr>
        <w:t> </w:t>
      </w:r>
      <w:r w:rsidRPr="00427476">
        <w:rPr>
          <w:rFonts w:asciiTheme="majorBidi" w:hAnsiTheme="majorBidi" w:cstheme="majorBidi"/>
          <w:bCs/>
          <w:i/>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bCs/>
          <w:i/>
          <w:lang w:val="en-GB"/>
        </w:rPr>
        <w:fldChar w:fldCharType="end"/>
      </w:r>
      <w:r w:rsidRPr="00427476">
        <w:rPr>
          <w:rFonts w:asciiTheme="majorBidi" w:hAnsiTheme="majorBidi" w:cstheme="majorBidi"/>
          <w:bCs/>
          <w:iCs/>
          <w:lang w:val="en-GB"/>
        </w:rPr>
        <w:t xml:space="preserve"> </w:t>
      </w:r>
      <w:r w:rsidRPr="00494AC6">
        <w:rPr>
          <w:rFonts w:ascii="Times New Roman" w:hAnsi="Times New Roman"/>
          <w:lang w:val="en-GB"/>
        </w:rPr>
        <w:t>area show that this area is a special place. Excavations were started in siršini in 1989-1990</w:t>
      </w:r>
      <w:r w:rsidRPr="00982401">
        <w:rPr>
          <w:rFonts w:ascii="Times New Roman" w:eastAsia="Calibri" w:hAnsi="Times New Roman" w:cs="Times New Roman"/>
          <w:lang w:val="en-GB"/>
        </w:rPr>
        <w:t>;</w:t>
      </w:r>
      <w:r w:rsidRPr="00494AC6">
        <w:rPr>
          <w:rFonts w:ascii="Times New Roman" w:hAnsi="Times New Roman"/>
          <w:lang w:val="en-GB"/>
        </w:rPr>
        <w:t xml:space="preserve"> the filling covering the front of the entrance was cleaned</w:t>
      </w:r>
      <w:r w:rsidRPr="00982401">
        <w:rPr>
          <w:rFonts w:ascii="Times New Roman" w:eastAsia="Calibri" w:hAnsi="Times New Roman" w:cs="Times New Roman"/>
          <w:lang w:val="en-GB"/>
        </w:rPr>
        <w:t>,</w:t>
      </w:r>
      <w:r w:rsidRPr="00494AC6">
        <w:rPr>
          <w:rFonts w:ascii="Times New Roman" w:hAnsi="Times New Roman"/>
          <w:lang w:val="en-GB"/>
        </w:rPr>
        <w:t xml:space="preserve"> and the plan and section of the building were drawn (Tarhan &amp; Sevin, 1990: 431, Figures 2-4).</w:t>
      </w:r>
    </w:p>
    <w:p w14:paraId="22B8FB26"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2D87AAFC"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noProof/>
        </w:rPr>
        <w:drawing>
          <wp:inline distT="0" distB="0" distL="0" distR="0" wp14:anchorId="22107DED" wp14:editId="6DBBB6AD">
            <wp:extent cx="5244861" cy="2945442"/>
            <wp:effectExtent l="0" t="0" r="0" b="7620"/>
            <wp:docPr id="1685207129" name="Resim 1685207129" descr="C:\Users\lenovo\Desktop\Tušpa Kitabı 2020\Minua and Siršini\Menua Sirşini\IMG_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Tušpa Kitabı 2020\Minua and Siršini\Menua Sirşini\IMG_9991.JPG"/>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246366" cy="2946287"/>
                    </a:xfrm>
                    <a:prstGeom prst="rect">
                      <a:avLst/>
                    </a:prstGeom>
                    <a:noFill/>
                    <a:ln>
                      <a:noFill/>
                    </a:ln>
                  </pic:spPr>
                </pic:pic>
              </a:graphicData>
            </a:graphic>
          </wp:inline>
        </w:drawing>
      </w:r>
    </w:p>
    <w:p w14:paraId="48B758A4" w14:textId="4451C8E6"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Fig. 1 Possible stele slot east of the entrance to </w:t>
      </w:r>
      <w:r w:rsidR="00274E5C" w:rsidRPr="00274E5C">
        <w:rPr>
          <w:rFonts w:ascii="Times New Roman" w:hAnsi="Times New Roman"/>
          <w:lang w:val="en-GB"/>
        </w:rPr>
        <w:t>"</w:t>
      </w:r>
      <w:r w:rsidRPr="00274E5C">
        <w:rPr>
          <w:rFonts w:ascii="Times New Roman" w:hAnsi="Times New Roman"/>
          <w:iCs/>
          <w:lang w:val="en-GB"/>
        </w:rPr>
        <w:t>siršini</w:t>
      </w:r>
      <w:r w:rsidR="00274E5C" w:rsidRPr="00274E5C">
        <w:rPr>
          <w:rFonts w:ascii="Times New Roman" w:hAnsi="Times New Roman"/>
          <w:lang w:val="en-GB"/>
        </w:rPr>
        <w:t>"</w:t>
      </w:r>
      <w:r w:rsidRPr="00494AC6">
        <w:rPr>
          <w:rFonts w:ascii="Times New Roman" w:hAnsi="Times New Roman"/>
          <w:i/>
          <w:lang w:val="en-GB"/>
        </w:rPr>
        <w:fldChar w:fldCharType="begin"/>
      </w:r>
      <w:r w:rsidRPr="00494AC6">
        <w:rPr>
          <w:rFonts w:ascii="Calibri" w:hAnsi="Calibri"/>
          <w:lang w:val="en-GB"/>
        </w:rPr>
        <w:instrText xml:space="preserve"> XE "</w:instrText>
      </w:r>
      <w:r w:rsidRPr="00274E5C">
        <w:rPr>
          <w:rFonts w:ascii="Times New Roman" w:hAnsi="Times New Roman"/>
          <w:iCs/>
          <w:lang w:val="en-GB"/>
        </w:rPr>
        <w:instrText>siršini</w:instrText>
      </w:r>
      <w:r w:rsidRPr="00494AC6">
        <w:rPr>
          <w:rFonts w:ascii="Calibri" w:hAnsi="Calibri"/>
          <w:lang w:val="en-GB"/>
        </w:rPr>
        <w:instrText xml:space="preserve">" </w:instrText>
      </w:r>
      <w:r w:rsidRPr="00494AC6">
        <w:rPr>
          <w:rFonts w:ascii="Times New Roman" w:hAnsi="Times New Roman"/>
          <w:i/>
          <w:lang w:val="en-GB"/>
        </w:rPr>
        <w:fldChar w:fldCharType="end"/>
      </w:r>
      <w:r w:rsidRPr="00494AC6">
        <w:rPr>
          <w:rFonts w:ascii="Times New Roman" w:hAnsi="Times New Roman"/>
          <w:lang w:val="en-GB"/>
        </w:rPr>
        <w:t>.</w:t>
      </w:r>
    </w:p>
    <w:p w14:paraId="3CD07647" w14:textId="77777777" w:rsidR="00D02275" w:rsidRPr="00494AC6" w:rsidRDefault="00D02275" w:rsidP="00D02275">
      <w:pPr>
        <w:keepNext/>
        <w:keepLines/>
        <w:spacing w:before="40"/>
        <w:jc w:val="both"/>
        <w:outlineLvl w:val="1"/>
        <w:rPr>
          <w:rFonts w:ascii="Times New Roman" w:hAnsi="Times New Roman"/>
          <w:b/>
          <w:color w:val="0D0D0D"/>
          <w:sz w:val="28"/>
          <w:szCs w:val="22"/>
          <w:lang w:val="en-GB"/>
        </w:rPr>
      </w:pPr>
      <w:bookmarkStart w:id="101" w:name="_Toc132072534"/>
      <w:bookmarkStart w:id="102" w:name="_Toc173231225"/>
      <w:r w:rsidRPr="00494AC6">
        <w:rPr>
          <w:rFonts w:ascii="Times New Roman" w:hAnsi="Times New Roman"/>
          <w:b/>
          <w:color w:val="0D0D0D"/>
          <w:sz w:val="28"/>
          <w:szCs w:val="22"/>
          <w:lang w:val="en-GB"/>
        </w:rPr>
        <w:t xml:space="preserve">7.2. </w:t>
      </w:r>
      <w:r w:rsidRPr="00274E5C">
        <w:rPr>
          <w:rFonts w:ascii="Times New Roman" w:hAnsi="Times New Roman"/>
          <w:b/>
          <w:iCs/>
          <w:color w:val="0D0D0D"/>
          <w:sz w:val="28"/>
          <w:szCs w:val="22"/>
          <w:lang w:val="en-GB"/>
        </w:rPr>
        <w:t>Siršini</w:t>
      </w:r>
      <w:r w:rsidRPr="00494AC6">
        <w:rPr>
          <w:rFonts w:ascii="Times New Roman" w:hAnsi="Times New Roman"/>
          <w:b/>
          <w:i/>
          <w:color w:val="0D0D0D"/>
          <w:sz w:val="28"/>
          <w:szCs w:val="22"/>
          <w:lang w:val="en-GB"/>
        </w:rPr>
        <w:t xml:space="preserve"> </w:t>
      </w:r>
      <w:r w:rsidRPr="00494AC6">
        <w:rPr>
          <w:rFonts w:ascii="Times New Roman" w:hAnsi="Times New Roman"/>
          <w:b/>
          <w:color w:val="0D0D0D"/>
          <w:sz w:val="28"/>
          <w:szCs w:val="22"/>
          <w:lang w:val="en-GB"/>
        </w:rPr>
        <w:t>Inscriptions</w:t>
      </w:r>
      <w:bookmarkEnd w:id="101"/>
      <w:bookmarkEnd w:id="102"/>
    </w:p>
    <w:p w14:paraId="24564E72" w14:textId="77777777" w:rsidR="00D02275" w:rsidRPr="00494AC6" w:rsidRDefault="00D02275" w:rsidP="00D02275">
      <w:pPr>
        <w:keepNext/>
        <w:keepLines/>
        <w:spacing w:before="320" w:after="80" w:line="276" w:lineRule="auto"/>
        <w:jc w:val="both"/>
        <w:outlineLvl w:val="2"/>
        <w:rPr>
          <w:rFonts w:ascii="Times New Roman" w:hAnsi="Times New Roman"/>
          <w:b/>
          <w:color w:val="0D0D0D"/>
          <w:szCs w:val="22"/>
          <w:lang w:val="en-GB"/>
        </w:rPr>
      </w:pPr>
      <w:bookmarkStart w:id="103" w:name="_Toc173231226"/>
      <w:r w:rsidRPr="00494AC6">
        <w:rPr>
          <w:rFonts w:ascii="Times New Roman" w:hAnsi="Times New Roman"/>
          <w:b/>
          <w:color w:val="0D0D0D"/>
          <w:szCs w:val="22"/>
          <w:lang w:val="en-GB"/>
        </w:rPr>
        <w:t>7.2.1. Rock Inscription</w:t>
      </w:r>
      <w:bookmarkEnd w:id="103"/>
    </w:p>
    <w:p w14:paraId="1E0C3E4A" w14:textId="77777777" w:rsidR="00D02275" w:rsidRPr="00494AC6" w:rsidRDefault="00D02275" w:rsidP="00D02275">
      <w:pPr>
        <w:autoSpaceDE w:val="0"/>
        <w:autoSpaceDN w:val="0"/>
        <w:adjustRightInd w:val="0"/>
        <w:spacing w:line="276" w:lineRule="auto"/>
        <w:jc w:val="both"/>
        <w:rPr>
          <w:rFonts w:ascii="Times New Roman" w:hAnsi="Times New Roman"/>
          <w:b/>
          <w:lang w:val="en-GB"/>
        </w:rPr>
      </w:pPr>
      <w:r w:rsidRPr="00494AC6">
        <w:rPr>
          <w:rFonts w:ascii="Times New Roman" w:hAnsi="Times New Roman"/>
          <w:lang w:val="en-GB"/>
        </w:rPr>
        <w:t xml:space="preserve"> The main reason the rock room is interpreted as a stable where the sacrificial animals are kept is the expressions in a 17-line inscription on a 77 x125 cm. panel located on the </w:t>
      </w:r>
      <w:r w:rsidRPr="00982401">
        <w:rPr>
          <w:rFonts w:ascii="Times New Roman" w:eastAsia="Calibri" w:hAnsi="Times New Roman" w:cs="Times New Roman"/>
          <w:lang w:val="en-GB"/>
        </w:rPr>
        <w:t>primary</w:t>
      </w:r>
      <w:r w:rsidRPr="00494AC6">
        <w:rPr>
          <w:rFonts w:ascii="Times New Roman" w:hAnsi="Times New Roman"/>
          <w:lang w:val="en-GB"/>
        </w:rPr>
        <w:t xml:space="preserve"> rock to the right of the entrance (Fig. 2).</w:t>
      </w:r>
    </w:p>
    <w:p w14:paraId="56BE4C50"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5D827213"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1</w:t>
      </w:r>
      <w:r w:rsidRPr="00494AC6">
        <w:rPr>
          <w:rFonts w:ascii="Times New Roman" w:hAnsi="Times New Roman"/>
          <w:vertAlign w:val="superscript"/>
          <w:lang w:val="en-GB"/>
        </w:rPr>
        <w:t xml:space="preserve">     m</w:t>
      </w:r>
      <w:r w:rsidRPr="00494AC6">
        <w:rPr>
          <w:rFonts w:ascii="Times New Roman" w:hAnsi="Times New Roman"/>
          <w:lang w:val="en-GB"/>
        </w:rPr>
        <w:t>mì-nu-a-še</w:t>
      </w:r>
      <w:r w:rsidRPr="00494AC6">
        <w:rPr>
          <w:rFonts w:ascii="Times New Roman" w:hAnsi="Times New Roman"/>
          <w:b/>
          <w:lang w:val="en-GB"/>
        </w:rPr>
        <w:t xml:space="preserve">   </w:t>
      </w:r>
      <w:r w:rsidRPr="00494AC6">
        <w:rPr>
          <w:rFonts w:ascii="Times New Roman" w:hAnsi="Times New Roman"/>
          <w:vertAlign w:val="superscript"/>
          <w:lang w:val="en-GB"/>
        </w:rPr>
        <w:t>m˹</w:t>
      </w:r>
      <w:r w:rsidRPr="00494AC6">
        <w:rPr>
          <w:rFonts w:ascii="Times New Roman" w:hAnsi="Times New Roman"/>
          <w:lang w:val="en-GB"/>
        </w:rPr>
        <w:t>iš˺-pu-ú-i-ni-ḫi-ni-še</w:t>
      </w:r>
    </w:p>
    <w:p w14:paraId="705F3B03"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2    </w:t>
      </w:r>
      <w:r w:rsidRPr="00494AC6">
        <w:rPr>
          <w:rFonts w:ascii="Times New Roman" w:hAnsi="Times New Roman"/>
          <w:lang w:val="en-GB"/>
        </w:rPr>
        <w:t>i-ni  e-si  za-du-ni   si-ir-ši-ni-e</w:t>
      </w:r>
    </w:p>
    <w:p w14:paraId="1067C273"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3    </w:t>
      </w:r>
      <w:r w:rsidRPr="00494AC6">
        <w:rPr>
          <w:rFonts w:ascii="Times New Roman" w:hAnsi="Times New Roman"/>
          <w:vertAlign w:val="superscript"/>
          <w:lang w:val="en-GB"/>
        </w:rPr>
        <w:t>m</w:t>
      </w:r>
      <w:r w:rsidRPr="00494AC6">
        <w:rPr>
          <w:rFonts w:ascii="Times New Roman" w:hAnsi="Times New Roman"/>
          <w:lang w:val="en-GB"/>
        </w:rPr>
        <w:t>mì-nu-a-še</w:t>
      </w:r>
      <w:r w:rsidRPr="00494AC6">
        <w:rPr>
          <w:rFonts w:ascii="Times New Roman" w:hAnsi="Times New Roman"/>
          <w:b/>
          <w:lang w:val="en-GB"/>
        </w:rPr>
        <w:t xml:space="preserve">   </w:t>
      </w:r>
      <w:r w:rsidRPr="00494AC6">
        <w:rPr>
          <w:rFonts w:ascii="Times New Roman" w:hAnsi="Times New Roman"/>
          <w:lang w:val="en-GB"/>
        </w:rPr>
        <w:t>a-li-e  a-li  i-nu-si-i-˹ni˺</w:t>
      </w:r>
    </w:p>
    <w:p w14:paraId="779B7FE1" w14:textId="77777777" w:rsidR="00D02275" w:rsidRPr="00494AC6" w:rsidRDefault="00D02275" w:rsidP="00D02275">
      <w:pPr>
        <w:spacing w:line="276" w:lineRule="auto"/>
        <w:jc w:val="both"/>
        <w:rPr>
          <w:rFonts w:ascii="Times New Roman" w:hAnsi="Times New Roman"/>
          <w:lang w:val="en-GB"/>
        </w:rPr>
      </w:pPr>
      <w:r w:rsidRPr="00494AC6">
        <w:rPr>
          <w:rFonts w:ascii="Times New Roman" w:hAnsi="Times New Roman"/>
          <w:b/>
          <w:lang w:val="en-GB"/>
        </w:rPr>
        <w:t xml:space="preserve">4    </w:t>
      </w:r>
      <w:r w:rsidRPr="00494AC6">
        <w:rPr>
          <w:rFonts w:ascii="Times New Roman" w:hAnsi="Times New Roman"/>
          <w:lang w:val="en-GB"/>
        </w:rPr>
        <w:t>ḫa-ar-n[i-z]i-ni-e-i  si-ir-ši-ni-ni</w:t>
      </w:r>
    </w:p>
    <w:p w14:paraId="2385CD3B"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5    </w:t>
      </w:r>
      <w:r w:rsidRPr="00494AC6">
        <w:rPr>
          <w:rFonts w:ascii="Times New Roman" w:hAnsi="Times New Roman"/>
          <w:lang w:val="en-GB"/>
        </w:rPr>
        <w:t>te-er-du-˹li˺-ni   i-nu-ka-a-ni   e-si-ni</w:t>
      </w:r>
    </w:p>
    <w:p w14:paraId="5F1F18E3"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6    </w:t>
      </w:r>
      <w:r w:rsidRPr="00494AC6">
        <w:rPr>
          <w:rFonts w:ascii="Times New Roman" w:hAnsi="Times New Roman"/>
          <w:vertAlign w:val="superscript"/>
          <w:lang w:val="en-GB"/>
        </w:rPr>
        <w:t>m</w:t>
      </w:r>
      <w:r w:rsidRPr="00494AC6">
        <w:rPr>
          <w:rFonts w:ascii="Times New Roman" w:hAnsi="Times New Roman"/>
          <w:lang w:val="en-GB"/>
        </w:rPr>
        <w:t>mì-nu-˹ú˺-[a]-še</w:t>
      </w:r>
      <w:r w:rsidRPr="00494AC6">
        <w:rPr>
          <w:rFonts w:ascii="Times New Roman" w:hAnsi="Times New Roman"/>
          <w:b/>
          <w:lang w:val="en-GB"/>
        </w:rPr>
        <w:t xml:space="preserve">   </w:t>
      </w:r>
      <w:r w:rsidRPr="00494AC6">
        <w:rPr>
          <w:rFonts w:ascii="Times New Roman" w:hAnsi="Times New Roman"/>
          <w:lang w:val="en-GB"/>
        </w:rPr>
        <w:t>[a]-li-e  a-lu-še</w:t>
      </w:r>
    </w:p>
    <w:p w14:paraId="470AAF1B"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7    </w:t>
      </w:r>
      <w:r w:rsidRPr="00494AC6">
        <w:rPr>
          <w:rFonts w:ascii="Times New Roman" w:hAnsi="Times New Roman"/>
          <w:lang w:val="en-GB"/>
        </w:rPr>
        <w:t>pa-ḫa-n[i-li]   iš-ti-ni-ni  ši-ú-li-a-li</w:t>
      </w:r>
    </w:p>
    <w:p w14:paraId="7FEC7533"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8    </w:t>
      </w:r>
      <w:r w:rsidRPr="00494AC6">
        <w:rPr>
          <w:rFonts w:ascii="Times New Roman" w:hAnsi="Times New Roman"/>
          <w:lang w:val="en-GB"/>
        </w:rPr>
        <w:t>a-lu-[še  x  x ]-a-li   a-ú-i-e-i</w:t>
      </w:r>
    </w:p>
    <w:p w14:paraId="2D590FED" w14:textId="77777777" w:rsidR="00D02275" w:rsidRPr="00494AC6" w:rsidRDefault="00D02275" w:rsidP="00D02275">
      <w:pPr>
        <w:spacing w:line="276" w:lineRule="auto"/>
        <w:jc w:val="both"/>
        <w:rPr>
          <w:rFonts w:ascii="Times New Roman" w:hAnsi="Times New Roman"/>
          <w:lang w:val="en-GB"/>
        </w:rPr>
      </w:pPr>
      <w:r w:rsidRPr="00494AC6">
        <w:rPr>
          <w:rFonts w:ascii="Times New Roman" w:hAnsi="Times New Roman"/>
          <w:b/>
          <w:lang w:val="en-GB"/>
        </w:rPr>
        <w:t xml:space="preserve">9    </w:t>
      </w:r>
      <w:r w:rsidRPr="00494AC6">
        <w:rPr>
          <w:rFonts w:ascii="Times New Roman" w:hAnsi="Times New Roman"/>
          <w:lang w:val="en-GB"/>
        </w:rPr>
        <w:t xml:space="preserve">a-lu-[še]   ni-ri-bi   iš-ti-i-ni-ni  </w:t>
      </w:r>
    </w:p>
    <w:p w14:paraId="4CC4CE3D"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10  </w:t>
      </w:r>
      <w:r w:rsidRPr="00494AC6">
        <w:rPr>
          <w:rFonts w:ascii="Times New Roman" w:hAnsi="Times New Roman"/>
          <w:lang w:val="en-GB"/>
        </w:rPr>
        <w:t>ḫa-a-˹ú˺-li-i-e  a-lu-ú-še   i-ni</w:t>
      </w:r>
    </w:p>
    <w:p w14:paraId="3528DD84"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lastRenderedPageBreak/>
        <w:t xml:space="preserve">11  </w:t>
      </w:r>
      <w:r w:rsidRPr="00494AC6">
        <w:rPr>
          <w:rFonts w:ascii="Times New Roman" w:hAnsi="Times New Roman"/>
          <w:lang w:val="en-GB"/>
        </w:rPr>
        <w:t>DUB-te</w:t>
      </w:r>
      <w:r w:rsidRPr="00494AC6">
        <w:rPr>
          <w:rFonts w:ascii="Times New Roman" w:hAnsi="Times New Roman"/>
          <w:b/>
          <w:lang w:val="en-GB"/>
        </w:rPr>
        <w:t xml:space="preserve">   </w:t>
      </w:r>
      <w:r w:rsidRPr="00494AC6">
        <w:rPr>
          <w:rFonts w:ascii="Times New Roman" w:hAnsi="Times New Roman"/>
          <w:lang w:val="en-GB"/>
        </w:rPr>
        <w:t>pi-i-tú-ú-li-i-e</w:t>
      </w:r>
    </w:p>
    <w:p w14:paraId="7BC6E53E"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12  </w:t>
      </w:r>
      <w:r w:rsidRPr="00494AC6">
        <w:rPr>
          <w:rFonts w:ascii="Times New Roman" w:hAnsi="Times New Roman"/>
          <w:lang w:val="en-GB"/>
        </w:rPr>
        <w:t xml:space="preserve">a-lu-˹še˺   ú-li-e   i-ni-li  du-li-ie    </w:t>
      </w:r>
    </w:p>
    <w:p w14:paraId="185588FE"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13  </w:t>
      </w:r>
      <w:r w:rsidRPr="00494AC6">
        <w:rPr>
          <w:rFonts w:ascii="Times New Roman" w:hAnsi="Times New Roman"/>
          <w:lang w:val="en-GB"/>
        </w:rPr>
        <w:t xml:space="preserve">tú-ri-ni-ni    </w:t>
      </w:r>
      <w:r w:rsidRPr="00494AC6">
        <w:rPr>
          <w:rFonts w:ascii="Times New Roman" w:hAnsi="Times New Roman"/>
          <w:vertAlign w:val="superscript"/>
          <w:lang w:val="en-GB"/>
        </w:rPr>
        <w:t>D</w:t>
      </w:r>
      <w:r w:rsidRPr="00494AC6">
        <w:rPr>
          <w:rFonts w:ascii="Times New Roman" w:hAnsi="Times New Roman"/>
          <w:lang w:val="en-GB"/>
        </w:rPr>
        <w:t xml:space="preserve">ḫal-di-še  </w:t>
      </w:r>
      <w:r w:rsidRPr="00494AC6">
        <w:rPr>
          <w:rFonts w:ascii="Times New Roman" w:hAnsi="Times New Roman"/>
          <w:vertAlign w:val="superscript"/>
          <w:lang w:val="en-GB"/>
        </w:rPr>
        <w:t>D</w:t>
      </w:r>
      <w:r w:rsidRPr="00494AC6">
        <w:rPr>
          <w:rFonts w:ascii="Times New Roman" w:hAnsi="Times New Roman"/>
          <w:lang w:val="en-GB"/>
        </w:rPr>
        <w:t xml:space="preserve">IM  </w:t>
      </w:r>
      <w:r w:rsidRPr="00494AC6">
        <w:rPr>
          <w:rFonts w:ascii="Times New Roman" w:hAnsi="Times New Roman"/>
          <w:vertAlign w:val="superscript"/>
          <w:lang w:val="en-GB"/>
        </w:rPr>
        <w:t>D</w:t>
      </w:r>
      <w:r w:rsidRPr="00494AC6">
        <w:rPr>
          <w:rFonts w:ascii="Times New Roman" w:hAnsi="Times New Roman"/>
          <w:lang w:val="en-GB"/>
        </w:rPr>
        <w:t xml:space="preserve">UTU   ma-a-ni  </w:t>
      </w:r>
    </w:p>
    <w:p w14:paraId="2475295A"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14  </w:t>
      </w:r>
      <w:r w:rsidRPr="00494AC6">
        <w:rPr>
          <w:rFonts w:ascii="Times New Roman" w:hAnsi="Times New Roman"/>
          <w:vertAlign w:val="superscript"/>
          <w:lang w:val="en-GB"/>
        </w:rPr>
        <w:t>D</w:t>
      </w:r>
      <w:r w:rsidRPr="00494AC6">
        <w:rPr>
          <w:rFonts w:ascii="Times New Roman" w:hAnsi="Times New Roman"/>
          <w:lang w:val="en-GB"/>
        </w:rPr>
        <w:t xml:space="preserve">UTU-ni   pi-e-i-ni   mì-i  ar-ḫi-e  </w:t>
      </w:r>
    </w:p>
    <w:p w14:paraId="3DC03A90"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15  </w:t>
      </w:r>
      <w:r w:rsidRPr="00494AC6">
        <w:rPr>
          <w:rFonts w:ascii="Times New Roman" w:hAnsi="Times New Roman"/>
          <w:lang w:val="en-GB"/>
        </w:rPr>
        <w:t>ú-ru-li-a-ni</w:t>
      </w:r>
      <w:r w:rsidRPr="00494AC6">
        <w:rPr>
          <w:rFonts w:ascii="Times New Roman" w:hAnsi="Times New Roman"/>
          <w:b/>
          <w:lang w:val="en-GB"/>
        </w:rPr>
        <w:t xml:space="preserve">   </w:t>
      </w:r>
      <w:r w:rsidRPr="00494AC6">
        <w:rPr>
          <w:rFonts w:ascii="Times New Roman" w:hAnsi="Times New Roman"/>
          <w:lang w:val="en-GB"/>
        </w:rPr>
        <w:t>mì-i     i-na-i-ni-e</w:t>
      </w:r>
    </w:p>
    <w:p w14:paraId="12936A20"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16  </w:t>
      </w:r>
      <w:r w:rsidRPr="00494AC6">
        <w:rPr>
          <w:rFonts w:ascii="Times New Roman" w:hAnsi="Times New Roman"/>
          <w:lang w:val="en-GB"/>
        </w:rPr>
        <w:t>mì-i    na-ra-a    a-ú-i-e</w:t>
      </w:r>
    </w:p>
    <w:p w14:paraId="3C5B0FDD" w14:textId="77777777" w:rsidR="00D02275" w:rsidRPr="00494AC6" w:rsidRDefault="00D02275" w:rsidP="00D02275">
      <w:pPr>
        <w:spacing w:line="276" w:lineRule="auto"/>
        <w:jc w:val="both"/>
        <w:rPr>
          <w:rFonts w:ascii="Times New Roman" w:hAnsi="Times New Roman"/>
          <w:lang w:val="en-GB"/>
        </w:rPr>
      </w:pPr>
      <w:r w:rsidRPr="00494AC6">
        <w:rPr>
          <w:rFonts w:ascii="Times New Roman" w:hAnsi="Times New Roman"/>
          <w:b/>
          <w:lang w:val="en-GB"/>
        </w:rPr>
        <w:t xml:space="preserve">17  </w:t>
      </w:r>
      <w:r w:rsidRPr="00494AC6">
        <w:rPr>
          <w:rFonts w:ascii="Times New Roman" w:hAnsi="Times New Roman"/>
          <w:lang w:val="en-GB"/>
        </w:rPr>
        <w:t>ú-lu-ú-li-e</w:t>
      </w:r>
    </w:p>
    <w:p w14:paraId="0C7C5AA5" w14:textId="77777777" w:rsidR="00D02275" w:rsidRPr="00494AC6" w:rsidRDefault="00D02275" w:rsidP="00D02275">
      <w:pPr>
        <w:spacing w:line="276" w:lineRule="auto"/>
        <w:jc w:val="both"/>
        <w:rPr>
          <w:rFonts w:ascii="Times New Roman" w:hAnsi="Times New Roman"/>
          <w:b/>
          <w:lang w:val="en-GB"/>
        </w:rPr>
      </w:pPr>
    </w:p>
    <w:p w14:paraId="19AE18C0" w14:textId="77777777" w:rsidR="00D02275" w:rsidRPr="00494AC6" w:rsidRDefault="00D02275" w:rsidP="00D02275">
      <w:pPr>
        <w:autoSpaceDE w:val="0"/>
        <w:autoSpaceDN w:val="0"/>
        <w:adjustRightInd w:val="0"/>
        <w:spacing w:line="276" w:lineRule="auto"/>
        <w:jc w:val="both"/>
        <w:rPr>
          <w:rFonts w:ascii="Times New Roman" w:hAnsi="Times New Roman"/>
          <w:b/>
          <w:lang w:val="en-GB"/>
        </w:rPr>
      </w:pPr>
      <w:r w:rsidRPr="00494AC6">
        <w:rPr>
          <w:rFonts w:ascii="Times New Roman" w:hAnsi="Times New Roman"/>
          <w:b/>
          <w:lang w:val="en-GB"/>
        </w:rPr>
        <w:t>Translation:</w:t>
      </w:r>
    </w:p>
    <w:p w14:paraId="46F8490E" w14:textId="7E524E75" w:rsidR="00D02275" w:rsidRDefault="00D02275" w:rsidP="00D02275">
      <w:pPr>
        <w:autoSpaceDE w:val="0"/>
        <w:autoSpaceDN w:val="0"/>
        <w:adjustRightInd w:val="0"/>
        <w:spacing w:line="276" w:lineRule="auto"/>
        <w:rPr>
          <w:rFonts w:ascii="Times New Roman" w:hAnsi="Times New Roman"/>
        </w:rPr>
      </w:pPr>
      <w:r w:rsidRPr="00494AC6">
        <w:rPr>
          <w:rFonts w:ascii="Times New Roman" w:hAnsi="Times New Roman"/>
          <w:lang w:val="en-GB"/>
        </w:rPr>
        <w:t>(1-5)</w:t>
      </w:r>
      <w:bookmarkStart w:id="104" w:name="a.Q006966_project-en"/>
      <w:bookmarkStart w:id="105" w:name="a.Q006966_project-en.2"/>
      <w:r w:rsidRPr="00494AC6">
        <w:rPr>
          <w:rFonts w:ascii="Times New Roman" w:hAnsi="Times New Roman"/>
          <w:lang w:val="en-GB"/>
        </w:rPr>
        <w:t xml:space="preserve"> </w:t>
      </w:r>
      <w:r w:rsidRPr="00494AC6">
        <w:rPr>
          <w:rFonts w:ascii="Times New Roman" w:hAnsi="Times New Roman"/>
        </w:rPr>
        <w:t>Minua</w:t>
      </w:r>
      <w:bookmarkEnd w:id="104"/>
      <w:r w:rsidRPr="00982401">
        <w:rPr>
          <w:rFonts w:ascii="Times New Roman" w:eastAsia="Calibri" w:hAnsi="Times New Roman" w:cs="Times New Roman"/>
          <w:bCs/>
          <w:lang w:val="en-GB"/>
        </w:rPr>
        <w:t>,</w:t>
      </w:r>
      <w:r w:rsidRPr="00296CC3">
        <w:rPr>
          <w:rStyle w:val="w"/>
          <w:rFonts w:asciiTheme="majorBidi" w:hAnsiTheme="majorBidi" w:cstheme="majorBidi"/>
          <w:bCs/>
          <w:lang w:val="en-GB"/>
        </w:rPr>
        <w:fldChar w:fldCharType="begin"/>
      </w:r>
      <w:r w:rsidRPr="00296CC3">
        <w:rPr>
          <w:lang w:val="en-GB"/>
        </w:rPr>
        <w:instrText xml:space="preserve"> XE "</w:instrText>
      </w:r>
      <w:r w:rsidRPr="00296CC3">
        <w:rPr>
          <w:rFonts w:asciiTheme="majorBidi" w:hAnsiTheme="majorBidi" w:cstheme="majorBidi"/>
          <w:lang w:val="en-GB"/>
        </w:rPr>
        <w:instrText>Minua</w:instrText>
      </w:r>
      <w:r w:rsidRPr="00296CC3">
        <w:rPr>
          <w:lang w:val="en-GB"/>
        </w:rPr>
        <w:instrText xml:space="preserve">" </w:instrText>
      </w:r>
      <w:r w:rsidRPr="00296CC3">
        <w:rPr>
          <w:rStyle w:val="w"/>
          <w:rFonts w:asciiTheme="majorBidi" w:hAnsiTheme="majorBidi" w:cstheme="majorBidi"/>
          <w:bCs/>
          <w:lang w:val="en-GB"/>
        </w:rPr>
        <w:fldChar w:fldCharType="end"/>
      </w:r>
      <w:r w:rsidRPr="00296CC3">
        <w:rPr>
          <w:rFonts w:asciiTheme="majorBidi" w:hAnsiTheme="majorBidi" w:cstheme="majorBidi"/>
          <w:bCs/>
          <w:lang w:val="en-GB"/>
        </w:rPr>
        <w:t>,</w:t>
      </w:r>
      <w:r w:rsidRPr="00494AC6">
        <w:rPr>
          <w:rFonts w:ascii="Times New Roman" w:hAnsi="Times New Roman"/>
          <w:lang w:val="en-GB"/>
        </w:rPr>
        <w:t> </w:t>
      </w:r>
      <w:r w:rsidRPr="00494AC6">
        <w:rPr>
          <w:rFonts w:ascii="Times New Roman" w:hAnsi="Times New Roman"/>
        </w:rPr>
        <w:t>son</w:t>
      </w:r>
      <w:r w:rsidRPr="00494AC6">
        <w:rPr>
          <w:rFonts w:ascii="Times New Roman" w:hAnsi="Times New Roman"/>
          <w:lang w:val="en-GB"/>
        </w:rPr>
        <w:t> </w:t>
      </w:r>
      <w:r w:rsidRPr="00494AC6">
        <w:rPr>
          <w:rFonts w:ascii="Times New Roman" w:hAnsi="Times New Roman"/>
        </w:rPr>
        <w:t>of</w:t>
      </w:r>
      <w:r w:rsidRPr="00494AC6">
        <w:rPr>
          <w:rFonts w:ascii="Times New Roman" w:hAnsi="Times New Roman"/>
          <w:lang w:val="en-GB"/>
        </w:rPr>
        <w:t> </w:t>
      </w:r>
      <w:r w:rsidRPr="00494AC6">
        <w:rPr>
          <w:rFonts w:ascii="Times New Roman" w:hAnsi="Times New Roman"/>
        </w:rPr>
        <w:t>Išpuini</w:t>
      </w:r>
      <w:r w:rsidRPr="00982401">
        <w:rPr>
          <w:rFonts w:ascii="Times New Roman" w:eastAsia="Calibri" w:hAnsi="Times New Roman" w:cs="Times New Roman"/>
          <w:bCs/>
          <w:lang w:val="en-GB"/>
        </w:rPr>
        <w:t>,</w:t>
      </w:r>
      <w:r w:rsidRPr="00296CC3">
        <w:rPr>
          <w:rStyle w:val="w"/>
          <w:rFonts w:asciiTheme="majorBidi" w:hAnsiTheme="majorBidi" w:cstheme="majorBidi"/>
          <w:bCs/>
          <w:lang w:val="en-GB"/>
        </w:rPr>
        <w:fldChar w:fldCharType="begin"/>
      </w:r>
      <w:r w:rsidRPr="00296CC3">
        <w:rPr>
          <w:lang w:val="en-GB"/>
        </w:rPr>
        <w:instrText xml:space="preserve"> XE "</w:instrText>
      </w:r>
      <w:r w:rsidRPr="00296CC3">
        <w:rPr>
          <w:rFonts w:asciiTheme="majorBidi" w:hAnsiTheme="majorBidi" w:cstheme="majorBidi"/>
          <w:iCs/>
          <w:lang w:val="en-GB"/>
        </w:rPr>
        <w:instrText>Išpuini</w:instrText>
      </w:r>
      <w:r w:rsidRPr="00296CC3">
        <w:rPr>
          <w:lang w:val="en-GB"/>
        </w:rPr>
        <w:instrText xml:space="preserve">" </w:instrText>
      </w:r>
      <w:r w:rsidRPr="00296CC3">
        <w:rPr>
          <w:rStyle w:val="w"/>
          <w:rFonts w:asciiTheme="majorBidi" w:hAnsiTheme="majorBidi" w:cstheme="majorBidi"/>
          <w:bCs/>
          <w:lang w:val="en-GB"/>
        </w:rPr>
        <w:fldChar w:fldCharType="end"/>
      </w:r>
      <w:r w:rsidRPr="00296CC3">
        <w:rPr>
          <w:rFonts w:asciiTheme="majorBidi" w:hAnsiTheme="majorBidi" w:cstheme="majorBidi"/>
          <w:bCs/>
          <w:lang w:val="en-GB"/>
        </w:rPr>
        <w:t>,</w:t>
      </w:r>
      <w:r w:rsidRPr="00494AC6">
        <w:rPr>
          <w:rFonts w:ascii="Times New Roman" w:hAnsi="Times New Roman"/>
          <w:lang w:val="en-GB"/>
        </w:rPr>
        <w:t> </w:t>
      </w:r>
      <w:r w:rsidRPr="00494AC6">
        <w:rPr>
          <w:rFonts w:ascii="Times New Roman" w:hAnsi="Times New Roman"/>
        </w:rPr>
        <w:t>made</w:t>
      </w:r>
      <w:r w:rsidRPr="00494AC6">
        <w:rPr>
          <w:rFonts w:ascii="Times New Roman" w:hAnsi="Times New Roman"/>
          <w:lang w:val="en-GB"/>
        </w:rPr>
        <w:t> </w:t>
      </w:r>
      <w:r w:rsidRPr="00494AC6">
        <w:rPr>
          <w:rFonts w:ascii="Times New Roman" w:hAnsi="Times New Roman"/>
        </w:rPr>
        <w:t>this</w:t>
      </w:r>
      <w:r w:rsidRPr="00494AC6">
        <w:rPr>
          <w:rFonts w:ascii="Times New Roman" w:hAnsi="Times New Roman"/>
          <w:lang w:val="en-GB"/>
        </w:rPr>
        <w:t> </w:t>
      </w:r>
      <w:r w:rsidRPr="00494AC6">
        <w:rPr>
          <w:rFonts w:ascii="Times New Roman" w:hAnsi="Times New Roman"/>
        </w:rPr>
        <w:t>place</w:t>
      </w:r>
      <w:r w:rsidRPr="00494AC6">
        <w:rPr>
          <w:rFonts w:ascii="Times New Roman" w:hAnsi="Times New Roman"/>
          <w:lang w:val="en-GB"/>
        </w:rPr>
        <w:t> </w:t>
      </w:r>
      <w:r w:rsidRPr="00494AC6">
        <w:rPr>
          <w:rFonts w:ascii="Times New Roman" w:hAnsi="Times New Roman"/>
        </w:rPr>
        <w:t>a</w:t>
      </w:r>
      <w:r w:rsidRPr="00494AC6">
        <w:rPr>
          <w:rFonts w:ascii="Times New Roman" w:hAnsi="Times New Roman"/>
          <w:lang w:val="en-GB"/>
        </w:rPr>
        <w:t>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sidRPr="00296CC3">
        <w:rPr>
          <w:rFonts w:asciiTheme="majorBidi" w:hAnsiTheme="majorBidi" w:cstheme="majorBidi"/>
          <w:bCs/>
          <w:lang w:val="en-GB"/>
        </w:rPr>
        <w:fldChar w:fldCharType="begin"/>
      </w:r>
      <w:r w:rsidRPr="00296CC3">
        <w:rPr>
          <w:lang w:val="en-GB"/>
        </w:rPr>
        <w:instrText xml:space="preserve"> XE "</w:instrText>
      </w:r>
      <w:r w:rsidRPr="00296CC3">
        <w:rPr>
          <w:rFonts w:asciiTheme="majorBidi" w:hAnsiTheme="majorBidi" w:cstheme="majorBidi"/>
          <w:iCs/>
          <w:lang w:val="en-GB"/>
        </w:rPr>
        <w:instrText>siršini</w:instrText>
      </w:r>
      <w:r w:rsidRPr="00296CC3">
        <w:rPr>
          <w:lang w:val="en-GB"/>
        </w:rPr>
        <w:instrText xml:space="preserve">" </w:instrText>
      </w:r>
      <w:r w:rsidRPr="00296CC3">
        <w:rPr>
          <w:rFonts w:asciiTheme="majorBidi" w:hAnsiTheme="majorBidi" w:cstheme="majorBidi"/>
          <w:bCs/>
          <w:lang w:val="en-GB"/>
        </w:rPr>
        <w:fldChar w:fldCharType="end"/>
      </w:r>
      <w:r w:rsidRPr="00296CC3">
        <w:rPr>
          <w:rFonts w:asciiTheme="majorBidi" w:hAnsiTheme="majorBidi" w:cstheme="majorBidi"/>
          <w:bCs/>
          <w:lang w:val="en-GB"/>
        </w:rPr>
        <w:t>.</w:t>
      </w:r>
      <w:bookmarkStart w:id="106" w:name="a.Q006966_project-en.1"/>
      <w:r w:rsidRPr="00494AC6">
        <w:rPr>
          <w:rFonts w:ascii="Times New Roman" w:hAnsi="Times New Roman"/>
          <w:lang w:val="en-GB"/>
        </w:rPr>
        <w:t xml:space="preserve"> </w:t>
      </w:r>
      <w:r w:rsidRPr="00494AC6">
        <w:rPr>
          <w:rFonts w:ascii="Times New Roman" w:hAnsi="Times New Roman"/>
        </w:rPr>
        <w:t>Minua</w:t>
      </w:r>
      <w:bookmarkEnd w:id="106"/>
      <w:r w:rsidRPr="00982401">
        <w:rPr>
          <w:rFonts w:ascii="Times New Roman" w:eastAsia="Calibri" w:hAnsi="Times New Roman" w:cs="Times New Roman"/>
          <w:bCs/>
          <w:lang w:val="en-GB"/>
        </w:rPr>
        <w:t xml:space="preserve"> </w:t>
      </w:r>
      <w:r w:rsidRPr="00494AC6">
        <w:rPr>
          <w:rFonts w:ascii="Times New Roman" w:hAnsi="Times New Roman"/>
        </w:rPr>
        <w:t xml:space="preserve">says: before of this place </w:t>
      </w:r>
      <w:r w:rsidR="00274E5C" w:rsidRPr="00274E5C">
        <w:rPr>
          <w:rFonts w:ascii="Times New Roman" w:hAnsi="Times New Roman"/>
          <w:lang w:val="en-GB"/>
        </w:rPr>
        <w:t>"</w:t>
      </w:r>
      <w:r w:rsidRPr="00982401">
        <w:rPr>
          <w:rFonts w:ascii="Times New Roman" w:eastAsia="Calibri" w:hAnsi="Times New Roman" w:cs="Times New Roman"/>
          <w:bCs/>
          <w:lang w:val="en-GB"/>
        </w:rPr>
        <w:t>ḫarnizi</w:t>
      </w:r>
      <w:r w:rsidR="00274E5C" w:rsidRPr="00274E5C">
        <w:rPr>
          <w:rFonts w:ascii="Times New Roman" w:hAnsi="Times New Roman"/>
          <w:lang w:val="en-GB"/>
        </w:rPr>
        <w:t>"</w:t>
      </w:r>
      <w:r>
        <w:rPr>
          <w:rStyle w:val="w"/>
          <w:rFonts w:asciiTheme="majorBidi" w:hAnsiTheme="majorBidi" w:cstheme="majorBidi"/>
          <w:bCs/>
          <w:lang w:val="en-GB"/>
        </w:rPr>
        <w:t xml:space="preserve"> </w:t>
      </w:r>
      <w:r w:rsidRPr="00296CC3">
        <w:rPr>
          <w:rStyle w:val="w"/>
          <w:rFonts w:asciiTheme="majorBidi" w:hAnsiTheme="majorBidi" w:cstheme="majorBidi"/>
          <w:bCs/>
          <w:lang w:val="en-GB"/>
        </w:rPr>
        <w:fldChar w:fldCharType="begin"/>
      </w:r>
      <w:r w:rsidRPr="00296CC3">
        <w:rPr>
          <w:lang w:val="en-GB"/>
        </w:rPr>
        <w:instrText xml:space="preserve"> XE "</w:instrText>
      </w:r>
      <w:r w:rsidRPr="00296CC3">
        <w:rPr>
          <w:rFonts w:asciiTheme="majorBidi" w:hAnsiTheme="majorBidi" w:cstheme="majorBidi"/>
          <w:iCs/>
          <w:lang w:val="en-GB"/>
        </w:rPr>
        <w:instrText>ḫarnizi</w:instrText>
      </w:r>
      <w:r w:rsidRPr="00296CC3">
        <w:rPr>
          <w:lang w:val="en-GB"/>
        </w:rPr>
        <w:instrText xml:space="preserve">" </w:instrText>
      </w:r>
      <w:r w:rsidRPr="00296CC3">
        <w:rPr>
          <w:rStyle w:val="w"/>
          <w:rFonts w:asciiTheme="majorBidi" w:hAnsiTheme="majorBidi" w:cstheme="majorBidi"/>
          <w:bCs/>
          <w:lang w:val="en-GB"/>
        </w:rPr>
        <w:fldChar w:fldCharType="end"/>
      </w:r>
      <w:r w:rsidRPr="00296CC3">
        <w:rPr>
          <w:rStyle w:val="w"/>
          <w:rFonts w:asciiTheme="majorBidi" w:hAnsiTheme="majorBidi" w:cstheme="majorBidi"/>
          <w:bCs/>
          <w:lang w:val="en-GB"/>
        </w:rPr>
        <w:t>’</w:t>
      </w:r>
      <w:r w:rsidRPr="00494AC6">
        <w:rPr>
          <w:rFonts w:ascii="Times New Roman" w:hAnsi="Times New Roman"/>
        </w:rPr>
        <w:t xml:space="preserve"> of </w:t>
      </w:r>
      <w:r w:rsidR="00274E5C" w:rsidRPr="00274E5C">
        <w:rPr>
          <w:rFonts w:ascii="Times New Roman" w:hAnsi="Times New Roman"/>
          <w:lang w:val="en-GB"/>
        </w:rPr>
        <w:t>"</w:t>
      </w:r>
      <w:r w:rsidRPr="00494AC6">
        <w:rPr>
          <w:rFonts w:ascii="Times New Roman" w:hAnsi="Times New Roman"/>
        </w:rPr>
        <w:t>siršini terdulini</w:t>
      </w:r>
      <w:r w:rsidR="00274E5C" w:rsidRPr="00274E5C">
        <w:rPr>
          <w:rFonts w:ascii="Times New Roman" w:hAnsi="Times New Roman"/>
          <w:lang w:val="en-GB"/>
        </w:rPr>
        <w:t>"</w:t>
      </w:r>
      <w:r w:rsidRPr="00494AC6">
        <w:rPr>
          <w:rFonts w:ascii="Times New Roman" w:hAnsi="Times New Roman"/>
        </w:rPr>
        <w:t xml:space="preserve"> (established?) (6-11) Minua</w:t>
      </w:r>
      <w:bookmarkEnd w:id="105"/>
      <w:r w:rsidRPr="00982401">
        <w:rPr>
          <w:rFonts w:ascii="Times New Roman" w:eastAsia="Calibri" w:hAnsi="Times New Roman" w:cs="Times New Roman"/>
          <w:bCs/>
          <w:lang w:val="en-GB"/>
        </w:rPr>
        <w:t xml:space="preserve"> </w:t>
      </w:r>
      <w:r w:rsidRPr="000D4DBA">
        <w:rPr>
          <w:rFonts w:ascii="Times New Roman" w:hAnsi="Times New Roman"/>
        </w:rPr>
        <w:t>says</w:t>
      </w:r>
      <w:r w:rsidRPr="00494AC6">
        <w:rPr>
          <w:rFonts w:ascii="Times New Roman" w:hAnsi="Times New Roman"/>
          <w:lang w:val="en-GB"/>
        </w:rPr>
        <w:t>: </w:t>
      </w:r>
      <w:r w:rsidRPr="00494AC6">
        <w:rPr>
          <w:rFonts w:ascii="Times New Roman" w:hAnsi="Times New Roman"/>
        </w:rPr>
        <w:t>(As</w:t>
      </w:r>
      <w:r w:rsidRPr="00494AC6">
        <w:rPr>
          <w:rFonts w:ascii="Times New Roman" w:hAnsi="Times New Roman"/>
          <w:lang w:val="en-GB"/>
        </w:rPr>
        <w:t> </w:t>
      </w:r>
      <w:r w:rsidRPr="00494AC6">
        <w:rPr>
          <w:rFonts w:ascii="Times New Roman" w:hAnsi="Times New Roman"/>
        </w:rPr>
        <w:t>for</w:t>
      </w:r>
      <w:r w:rsidRPr="00494AC6">
        <w:rPr>
          <w:rFonts w:ascii="Times New Roman" w:hAnsi="Times New Roman"/>
          <w:lang w:val="en-GB"/>
        </w:rPr>
        <w:t> </w:t>
      </w:r>
      <w:r w:rsidRPr="00494AC6">
        <w:rPr>
          <w:rFonts w:ascii="Times New Roman" w:hAnsi="Times New Roman"/>
        </w:rPr>
        <w:t>the</w:t>
      </w:r>
      <w:r w:rsidRPr="00494AC6">
        <w:rPr>
          <w:rFonts w:ascii="Times New Roman" w:hAnsi="Times New Roman"/>
          <w:lang w:val="en-GB"/>
        </w:rPr>
        <w:t> </w:t>
      </w:r>
      <w:r w:rsidRPr="00494AC6">
        <w:rPr>
          <w:rFonts w:ascii="Times New Roman" w:hAnsi="Times New Roman"/>
        </w:rPr>
        <w:t>one)</w:t>
      </w:r>
      <w:r w:rsidRPr="00494AC6">
        <w:rPr>
          <w:rFonts w:ascii="Times New Roman" w:hAnsi="Times New Roman"/>
          <w:lang w:val="en-GB"/>
        </w:rPr>
        <w:t> </w:t>
      </w:r>
      <w:r w:rsidRPr="00494AC6">
        <w:rPr>
          <w:rFonts w:ascii="Times New Roman" w:hAnsi="Times New Roman"/>
        </w:rPr>
        <w:t>who</w:t>
      </w:r>
      <w:r w:rsidRPr="00494AC6">
        <w:rPr>
          <w:rFonts w:ascii="Times New Roman" w:hAnsi="Times New Roman"/>
          <w:lang w:val="en-GB"/>
        </w:rPr>
        <w:t> </w:t>
      </w:r>
      <w:r w:rsidRPr="00494AC6">
        <w:rPr>
          <w:rFonts w:ascii="Times New Roman" w:hAnsi="Times New Roman"/>
        </w:rPr>
        <w:t>takes</w:t>
      </w:r>
      <w:r w:rsidRPr="00494AC6">
        <w:rPr>
          <w:rFonts w:ascii="Times New Roman" w:hAnsi="Times New Roman"/>
          <w:lang w:val="en-GB"/>
        </w:rPr>
        <w:t> </w:t>
      </w:r>
      <w:r w:rsidRPr="00494AC6">
        <w:rPr>
          <w:rFonts w:ascii="Times New Roman" w:hAnsi="Times New Roman"/>
        </w:rPr>
        <w:t>the</w:t>
      </w:r>
    </w:p>
    <w:p w14:paraId="3E17669E" w14:textId="4AB2F492" w:rsidR="00D02275" w:rsidRPr="00494AC6" w:rsidRDefault="00D02275" w:rsidP="00D02275">
      <w:pPr>
        <w:autoSpaceDE w:val="0"/>
        <w:autoSpaceDN w:val="0"/>
        <w:adjustRightInd w:val="0"/>
        <w:spacing w:line="276" w:lineRule="auto"/>
        <w:rPr>
          <w:rFonts w:ascii="Times New Roman" w:hAnsi="Times New Roman"/>
        </w:rPr>
      </w:pPr>
      <w:r w:rsidRPr="00494AC6">
        <w:rPr>
          <w:rFonts w:ascii="Times New Roman" w:hAnsi="Times New Roman"/>
        </w:rPr>
        <w:t>oxen</w:t>
      </w:r>
      <w:r w:rsidRPr="00494AC6">
        <w:rPr>
          <w:rFonts w:ascii="Times New Roman" w:hAnsi="Times New Roman"/>
          <w:lang w:val="en-GB"/>
        </w:rPr>
        <w:t> </w:t>
      </w:r>
      <w:r w:rsidRPr="00494AC6">
        <w:rPr>
          <w:rFonts w:ascii="Times New Roman" w:hAnsi="Times New Roman"/>
        </w:rPr>
        <w:t>away</w:t>
      </w:r>
      <w:r w:rsidRPr="00494AC6">
        <w:rPr>
          <w:rFonts w:ascii="Times New Roman" w:hAnsi="Times New Roman"/>
          <w:lang w:val="en-GB"/>
        </w:rPr>
        <w:t> </w:t>
      </w:r>
      <w:r w:rsidRPr="00494AC6">
        <w:rPr>
          <w:rFonts w:ascii="Times New Roman" w:hAnsi="Times New Roman"/>
        </w:rPr>
        <w:t>from</w:t>
      </w:r>
      <w:r w:rsidRPr="00494AC6">
        <w:rPr>
          <w:rFonts w:ascii="Times New Roman" w:hAnsi="Times New Roman"/>
          <w:lang w:val="en-GB"/>
        </w:rPr>
        <w:t> </w:t>
      </w:r>
      <w:r w:rsidRPr="00494AC6">
        <w:rPr>
          <w:rFonts w:ascii="Times New Roman" w:hAnsi="Times New Roman"/>
        </w:rPr>
        <w:t>here</w:t>
      </w:r>
      <w:r w:rsidRPr="00494AC6">
        <w:rPr>
          <w:rFonts w:ascii="Times New Roman" w:hAnsi="Times New Roman"/>
          <w:lang w:val="en-GB"/>
        </w:rPr>
        <w:t>, </w:t>
      </w:r>
      <w:r w:rsidRPr="00494AC6">
        <w:rPr>
          <w:rFonts w:ascii="Times New Roman" w:hAnsi="Times New Roman"/>
        </w:rPr>
        <w:t>(as</w:t>
      </w:r>
      <w:r w:rsidRPr="00494AC6">
        <w:rPr>
          <w:rFonts w:ascii="Times New Roman" w:hAnsi="Times New Roman"/>
          <w:lang w:val="en-GB"/>
        </w:rPr>
        <w:t> </w:t>
      </w:r>
      <w:r w:rsidRPr="00494AC6">
        <w:rPr>
          <w:rFonts w:ascii="Times New Roman" w:hAnsi="Times New Roman"/>
        </w:rPr>
        <w:t>for</w:t>
      </w:r>
      <w:r w:rsidRPr="00494AC6">
        <w:rPr>
          <w:rFonts w:ascii="Times New Roman" w:hAnsi="Times New Roman"/>
          <w:lang w:val="en-GB"/>
        </w:rPr>
        <w:t> </w:t>
      </w:r>
      <w:r w:rsidRPr="00494AC6">
        <w:rPr>
          <w:rFonts w:ascii="Times New Roman" w:hAnsi="Times New Roman"/>
        </w:rPr>
        <w:t>the</w:t>
      </w:r>
      <w:r w:rsidRPr="00494AC6">
        <w:rPr>
          <w:rFonts w:ascii="Times New Roman" w:hAnsi="Times New Roman"/>
          <w:lang w:val="en-GB"/>
        </w:rPr>
        <w:t> </w:t>
      </w:r>
      <w:r w:rsidRPr="00494AC6">
        <w:rPr>
          <w:rFonts w:ascii="Times New Roman" w:hAnsi="Times New Roman"/>
        </w:rPr>
        <w:t>one)</w:t>
      </w:r>
      <w:r w:rsidRPr="00494AC6">
        <w:rPr>
          <w:rFonts w:ascii="Times New Roman" w:hAnsi="Times New Roman"/>
          <w:lang w:val="en-GB"/>
        </w:rPr>
        <w:t> </w:t>
      </w:r>
      <w:r w:rsidRPr="00494AC6">
        <w:rPr>
          <w:rFonts w:ascii="Times New Roman" w:hAnsi="Times New Roman"/>
        </w:rPr>
        <w:t>who</w:t>
      </w:r>
      <w:r w:rsidRPr="00494AC6">
        <w:rPr>
          <w:rFonts w:ascii="Times New Roman" w:hAnsi="Times New Roman"/>
          <w:lang w:val="en-GB"/>
        </w:rPr>
        <w:t> </w:t>
      </w:r>
      <w:r w:rsidRPr="00494AC6">
        <w:rPr>
          <w:rFonts w:ascii="Times New Roman" w:hAnsi="Times New Roman"/>
        </w:rPr>
        <w:t>[hides (</w:t>
      </w:r>
      <w:r w:rsidRPr="00494AC6">
        <w:rPr>
          <w:rFonts w:ascii="Times New Roman" w:hAnsi="Times New Roman"/>
          <w:lang w:val="en-GB"/>
        </w:rPr>
        <w:t>?</w:t>
      </w:r>
      <w:r w:rsidRPr="00494AC6">
        <w:rPr>
          <w:rFonts w:ascii="Times New Roman" w:hAnsi="Times New Roman"/>
        </w:rPr>
        <w:t>)]</w:t>
      </w:r>
      <w:r w:rsidRPr="00494AC6">
        <w:rPr>
          <w:rFonts w:ascii="Times New Roman" w:hAnsi="Times New Roman"/>
          <w:lang w:val="en-GB"/>
        </w:rPr>
        <w:t> </w:t>
      </w:r>
      <w:r w:rsidRPr="00494AC6">
        <w:rPr>
          <w:rFonts w:ascii="Times New Roman" w:hAnsi="Times New Roman"/>
        </w:rPr>
        <w:t>them</w:t>
      </w:r>
      <w:r w:rsidRPr="00494AC6">
        <w:rPr>
          <w:rFonts w:ascii="Times New Roman" w:hAnsi="Times New Roman"/>
          <w:lang w:val="en-GB"/>
        </w:rPr>
        <w:t> </w:t>
      </w:r>
      <w:bookmarkStart w:id="107" w:name="a.Q006966_project-en.3"/>
      <w:r w:rsidRPr="00494AC6">
        <w:rPr>
          <w:rFonts w:ascii="Times New Roman" w:hAnsi="Times New Roman"/>
        </w:rPr>
        <w:t>anywhere</w:t>
      </w:r>
      <w:r w:rsidRPr="00494AC6">
        <w:rPr>
          <w:rFonts w:ascii="Times New Roman" w:hAnsi="Times New Roman"/>
          <w:lang w:val="en-GB"/>
        </w:rPr>
        <w:t xml:space="preserve">, </w:t>
      </w:r>
      <w:r w:rsidRPr="00494AC6">
        <w:rPr>
          <w:rFonts w:ascii="Times New Roman" w:hAnsi="Times New Roman"/>
        </w:rPr>
        <w:t>(as</w:t>
      </w:r>
      <w:bookmarkEnd w:id="107"/>
      <w:r w:rsidRPr="00982401">
        <w:rPr>
          <w:rFonts w:ascii="Times New Roman" w:eastAsia="Calibri" w:hAnsi="Times New Roman" w:cs="Times New Roman"/>
          <w:bCs/>
          <w:lang w:val="en-GB"/>
        </w:rPr>
        <w:t xml:space="preserve"> </w:t>
      </w:r>
      <w:r w:rsidRPr="00494AC6">
        <w:rPr>
          <w:rFonts w:ascii="Times New Roman" w:hAnsi="Times New Roman"/>
        </w:rPr>
        <w:t>for</w:t>
      </w:r>
      <w:r w:rsidRPr="00494AC6">
        <w:rPr>
          <w:rFonts w:ascii="Times New Roman" w:hAnsi="Times New Roman"/>
          <w:lang w:val="en-GB"/>
        </w:rPr>
        <w:t> </w:t>
      </w:r>
      <w:r w:rsidRPr="00494AC6">
        <w:rPr>
          <w:rFonts w:ascii="Times New Roman" w:hAnsi="Times New Roman"/>
        </w:rPr>
        <w:t>the</w:t>
      </w:r>
      <w:r w:rsidRPr="00494AC6">
        <w:rPr>
          <w:rFonts w:ascii="Times New Roman" w:hAnsi="Times New Roman"/>
          <w:lang w:val="en-GB"/>
        </w:rPr>
        <w:t> </w:t>
      </w:r>
      <w:r w:rsidRPr="00494AC6">
        <w:rPr>
          <w:rFonts w:ascii="Times New Roman" w:hAnsi="Times New Roman"/>
        </w:rPr>
        <w:t>one)</w:t>
      </w:r>
      <w:r w:rsidRPr="00494AC6">
        <w:rPr>
          <w:rFonts w:ascii="Times New Roman" w:hAnsi="Times New Roman"/>
          <w:lang w:val="en-GB"/>
        </w:rPr>
        <w:t> </w:t>
      </w:r>
      <w:r w:rsidRPr="00494AC6">
        <w:rPr>
          <w:rFonts w:ascii="Times New Roman" w:hAnsi="Times New Roman"/>
        </w:rPr>
        <w:t>who</w:t>
      </w:r>
    </w:p>
    <w:p w14:paraId="22C88EA5" w14:textId="77777777" w:rsidR="00D02275" w:rsidRPr="00FC5B52" w:rsidRDefault="00D02275" w:rsidP="00D02275">
      <w:pPr>
        <w:autoSpaceDE w:val="0"/>
        <w:autoSpaceDN w:val="0"/>
        <w:adjustRightInd w:val="0"/>
        <w:spacing w:line="276" w:lineRule="auto"/>
        <w:rPr>
          <w:rFonts w:ascii="Times New Roman" w:hAnsi="Times New Roman"/>
          <w:lang w:val="en-US"/>
        </w:rPr>
      </w:pPr>
      <w:r w:rsidRPr="00494AC6">
        <w:rPr>
          <w:rFonts w:ascii="Times New Roman" w:hAnsi="Times New Roman"/>
        </w:rPr>
        <w:t>takes</w:t>
      </w:r>
      <w:r w:rsidRPr="00494AC6">
        <w:rPr>
          <w:rFonts w:ascii="Times New Roman" w:hAnsi="Times New Roman"/>
          <w:lang w:val="en-GB"/>
        </w:rPr>
        <w:t> </w:t>
      </w:r>
      <w:r w:rsidRPr="00494AC6">
        <w:rPr>
          <w:rFonts w:ascii="Times New Roman" w:hAnsi="Times New Roman"/>
        </w:rPr>
        <w:t>the</w:t>
      </w:r>
      <w:r w:rsidRPr="00494AC6">
        <w:rPr>
          <w:rFonts w:ascii="Times New Roman" w:hAnsi="Times New Roman"/>
          <w:lang w:val="en-GB"/>
        </w:rPr>
        <w:t> </w:t>
      </w:r>
      <w:r w:rsidRPr="00494AC6">
        <w:rPr>
          <w:rFonts w:ascii="Times New Roman" w:hAnsi="Times New Roman"/>
        </w:rPr>
        <w:t>herds</w:t>
      </w:r>
      <w:r w:rsidRPr="00494AC6">
        <w:rPr>
          <w:rFonts w:ascii="Times New Roman" w:hAnsi="Times New Roman"/>
          <w:lang w:val="en-GB"/>
        </w:rPr>
        <w:t> </w:t>
      </w:r>
      <w:r w:rsidRPr="00494AC6">
        <w:rPr>
          <w:rFonts w:ascii="Times New Roman" w:hAnsi="Times New Roman"/>
        </w:rPr>
        <w:t>from</w:t>
      </w:r>
      <w:r w:rsidRPr="00494AC6">
        <w:rPr>
          <w:rFonts w:ascii="Times New Roman" w:hAnsi="Times New Roman"/>
          <w:lang w:val="en-GB"/>
        </w:rPr>
        <w:t> </w:t>
      </w:r>
      <w:r w:rsidRPr="00494AC6">
        <w:rPr>
          <w:rFonts w:ascii="Times New Roman" w:hAnsi="Times New Roman"/>
        </w:rPr>
        <w:t>here</w:t>
      </w:r>
      <w:r w:rsidRPr="00494AC6">
        <w:rPr>
          <w:rFonts w:ascii="Times New Roman" w:hAnsi="Times New Roman"/>
          <w:lang w:val="en-GB"/>
        </w:rPr>
        <w:t>, </w:t>
      </w:r>
      <w:r w:rsidRPr="00494AC6">
        <w:rPr>
          <w:rFonts w:ascii="Times New Roman" w:hAnsi="Times New Roman"/>
        </w:rPr>
        <w:t>(as</w:t>
      </w:r>
      <w:r w:rsidRPr="00494AC6">
        <w:rPr>
          <w:rFonts w:ascii="Times New Roman" w:hAnsi="Times New Roman"/>
          <w:lang w:val="en-GB"/>
        </w:rPr>
        <w:t> </w:t>
      </w:r>
      <w:r w:rsidRPr="00494AC6">
        <w:rPr>
          <w:rFonts w:ascii="Times New Roman" w:hAnsi="Times New Roman"/>
        </w:rPr>
        <w:t>for</w:t>
      </w:r>
      <w:r w:rsidRPr="00494AC6">
        <w:rPr>
          <w:rFonts w:ascii="Times New Roman" w:hAnsi="Times New Roman"/>
          <w:lang w:val="en-GB"/>
        </w:rPr>
        <w:t> </w:t>
      </w:r>
      <w:r w:rsidRPr="00494AC6">
        <w:rPr>
          <w:rFonts w:ascii="Times New Roman" w:hAnsi="Times New Roman"/>
        </w:rPr>
        <w:t>the</w:t>
      </w:r>
      <w:r w:rsidRPr="00494AC6">
        <w:rPr>
          <w:rFonts w:ascii="Times New Roman" w:hAnsi="Times New Roman"/>
          <w:lang w:val="en-GB"/>
        </w:rPr>
        <w:t> </w:t>
      </w:r>
      <w:r w:rsidRPr="00494AC6">
        <w:rPr>
          <w:rFonts w:ascii="Times New Roman" w:hAnsi="Times New Roman"/>
        </w:rPr>
        <w:t>one)</w:t>
      </w:r>
      <w:r w:rsidRPr="00494AC6">
        <w:rPr>
          <w:rFonts w:ascii="Times New Roman" w:hAnsi="Times New Roman"/>
          <w:lang w:val="en-GB"/>
        </w:rPr>
        <w:t> </w:t>
      </w:r>
      <w:r w:rsidRPr="00494AC6">
        <w:rPr>
          <w:rFonts w:ascii="Times New Roman" w:hAnsi="Times New Roman"/>
        </w:rPr>
        <w:t>who</w:t>
      </w:r>
      <w:r w:rsidRPr="00494AC6">
        <w:rPr>
          <w:rFonts w:ascii="Times New Roman" w:hAnsi="Times New Roman"/>
          <w:lang w:val="en-GB"/>
        </w:rPr>
        <w:t> </w:t>
      </w:r>
      <w:r w:rsidRPr="00494AC6">
        <w:rPr>
          <w:rFonts w:ascii="Times New Roman" w:hAnsi="Times New Roman"/>
        </w:rPr>
        <w:t>damages</w:t>
      </w:r>
      <w:r w:rsidRPr="00494AC6">
        <w:rPr>
          <w:rFonts w:ascii="Times New Roman" w:hAnsi="Times New Roman"/>
          <w:lang w:val="en-GB"/>
        </w:rPr>
        <w:t> </w:t>
      </w:r>
      <w:r w:rsidRPr="00494AC6">
        <w:rPr>
          <w:rFonts w:ascii="Times New Roman" w:hAnsi="Times New Roman"/>
        </w:rPr>
        <w:t>this</w:t>
      </w:r>
      <w:r w:rsidRPr="00494AC6">
        <w:rPr>
          <w:rFonts w:ascii="Times New Roman" w:hAnsi="Times New Roman"/>
          <w:lang w:val="en-GB"/>
        </w:rPr>
        <w:t> </w:t>
      </w:r>
      <w:r w:rsidRPr="00494AC6">
        <w:rPr>
          <w:rFonts w:ascii="Times New Roman" w:hAnsi="Times New Roman"/>
        </w:rPr>
        <w:t>inscription</w:t>
      </w:r>
      <w:r w:rsidRPr="00494AC6">
        <w:rPr>
          <w:rFonts w:ascii="Times New Roman" w:hAnsi="Times New Roman"/>
          <w:lang w:val="en-GB"/>
        </w:rPr>
        <w:t>,</w:t>
      </w:r>
      <w:r>
        <w:rPr>
          <w:rFonts w:ascii="Times New Roman" w:hAnsi="Times New Roman"/>
          <w:lang w:val="en-GB"/>
        </w:rPr>
        <w:t xml:space="preserve"> </w:t>
      </w:r>
      <w:r w:rsidRPr="00494AC6">
        <w:rPr>
          <w:rFonts w:ascii="Times New Roman" w:hAnsi="Times New Roman"/>
        </w:rPr>
        <w:t>(12-</w:t>
      </w:r>
      <w:r w:rsidRPr="00494AC6">
        <w:rPr>
          <w:rFonts w:ascii="Times New Roman" w:hAnsi="Times New Roman"/>
          <w:lang w:val="en-GB"/>
        </w:rPr>
        <w:t> 14)</w:t>
      </w:r>
      <w:r>
        <w:rPr>
          <w:rFonts w:ascii="Times New Roman" w:hAnsi="Times New Roman"/>
          <w:lang w:val="en-GB"/>
        </w:rPr>
        <w:t xml:space="preserve"> </w:t>
      </w:r>
      <w:r w:rsidRPr="00494AC6">
        <w:rPr>
          <w:rFonts w:ascii="Times New Roman" w:hAnsi="Times New Roman"/>
        </w:rPr>
        <w:t>(</w:t>
      </w:r>
      <w:bookmarkStart w:id="108" w:name="a.Q006966_project-en.4"/>
      <w:r w:rsidRPr="00494AC6">
        <w:rPr>
          <w:rFonts w:ascii="Times New Roman" w:hAnsi="Times New Roman"/>
        </w:rPr>
        <w:t>as</w:t>
      </w:r>
      <w:bookmarkEnd w:id="108"/>
      <w:r w:rsidRPr="00982401">
        <w:rPr>
          <w:rFonts w:ascii="Times New Roman" w:eastAsia="Calibri" w:hAnsi="Times New Roman" w:cs="Times New Roman"/>
          <w:bCs/>
          <w:lang w:val="en-GB"/>
        </w:rPr>
        <w:t xml:space="preserve"> </w:t>
      </w:r>
      <w:r w:rsidRPr="00494AC6">
        <w:rPr>
          <w:rFonts w:ascii="Times New Roman" w:hAnsi="Times New Roman"/>
        </w:rPr>
        <w:t>for the one) who makes anyone else do this thing,</w:t>
      </w:r>
      <w:bookmarkStart w:id="109" w:name="a.Q006966_project-en.5"/>
      <w:r w:rsidRPr="00494AC6">
        <w:rPr>
          <w:rFonts w:ascii="Times New Roman" w:hAnsi="Times New Roman"/>
        </w:rPr>
        <w:t xml:space="preserve"> may the god Ḫaldi</w:t>
      </w:r>
      <w:r w:rsidRPr="00982401">
        <w:rPr>
          <w:rFonts w:ascii="Times New Roman" w:eastAsia="Calibri" w:hAnsi="Times New Roman" w:cs="Times New Roman"/>
          <w:bCs/>
          <w:lang w:val="en-GB"/>
        </w:rPr>
        <w:t>,</w:t>
      </w:r>
      <w:r w:rsidRPr="00296CC3">
        <w:rPr>
          <w:rStyle w:val="w"/>
          <w:rFonts w:asciiTheme="majorBidi" w:hAnsiTheme="majorBidi" w:cstheme="majorBidi"/>
          <w:bCs/>
          <w:lang w:val="en-GB"/>
        </w:rPr>
        <w:fldChar w:fldCharType="begin"/>
      </w:r>
      <w:r w:rsidRPr="00296CC3">
        <w:rPr>
          <w:lang w:val="en-GB"/>
        </w:rPr>
        <w:instrText xml:space="preserve"> XE "</w:instrText>
      </w:r>
      <w:r w:rsidRPr="00296CC3">
        <w:rPr>
          <w:rFonts w:asciiTheme="majorBidi" w:hAnsiTheme="majorBidi" w:cstheme="majorBidi"/>
          <w:lang w:val="en-GB"/>
        </w:rPr>
        <w:instrText>Ḫaldi</w:instrText>
      </w:r>
      <w:r w:rsidRPr="00296CC3">
        <w:rPr>
          <w:lang w:val="en-GB"/>
        </w:rPr>
        <w:instrText xml:space="preserve">" </w:instrText>
      </w:r>
      <w:r w:rsidRPr="00296CC3">
        <w:rPr>
          <w:rStyle w:val="w"/>
          <w:rFonts w:asciiTheme="majorBidi" w:hAnsiTheme="majorBidi" w:cstheme="majorBidi"/>
          <w:bCs/>
          <w:lang w:val="en-GB"/>
        </w:rPr>
        <w:fldChar w:fldCharType="end"/>
      </w:r>
      <w:r w:rsidRPr="00296CC3">
        <w:rPr>
          <w:rStyle w:val="cell"/>
          <w:rFonts w:asciiTheme="majorBidi" w:hAnsiTheme="majorBidi" w:cstheme="majorBidi"/>
          <w:bCs/>
          <w:lang w:val="en-GB"/>
        </w:rPr>
        <w:t>,</w:t>
      </w:r>
      <w:r w:rsidRPr="00494AC6">
        <w:rPr>
          <w:rFonts w:ascii="Times New Roman" w:hAnsi="Times New Roman"/>
        </w:rPr>
        <w:t> the</w:t>
      </w:r>
      <w:bookmarkEnd w:id="109"/>
      <w:r w:rsidRPr="00494AC6">
        <w:rPr>
          <w:rFonts w:ascii="Times New Roman" w:hAnsi="Times New Roman"/>
        </w:rPr>
        <w:t xml:space="preserve"> Weather-God</w:t>
      </w:r>
      <w:r w:rsidRPr="00982401">
        <w:rPr>
          <w:rFonts w:ascii="Times New Roman" w:eastAsia="Calibri" w:hAnsi="Times New Roman" w:cs="Times New Roman"/>
          <w:bCs/>
          <w:lang w:val="en-GB"/>
        </w:rPr>
        <w:t>,</w:t>
      </w:r>
      <w:r w:rsidRPr="00296CC3">
        <w:rPr>
          <w:rStyle w:val="cell"/>
          <w:rFonts w:asciiTheme="majorBidi" w:hAnsiTheme="majorBidi" w:cstheme="majorBidi"/>
          <w:bCs/>
          <w:lang w:val="en-GB"/>
        </w:rPr>
        <w:t xml:space="preserve"> </w:t>
      </w:r>
      <w:r w:rsidRPr="00494AC6">
        <w:rPr>
          <w:rFonts w:ascii="Times New Roman" w:hAnsi="Times New Roman"/>
        </w:rPr>
        <w:t>the Sun God</w:t>
      </w:r>
      <w:r>
        <w:rPr>
          <w:rFonts w:ascii="Times New Roman" w:hAnsi="Times New Roman"/>
        </w:rPr>
        <w:t xml:space="preserve"> </w:t>
      </w:r>
      <w:r w:rsidRPr="00494AC6">
        <w:rPr>
          <w:rFonts w:ascii="Times New Roman" w:hAnsi="Times New Roman"/>
        </w:rPr>
        <w:t>annihilate him under the sun (or</w:t>
      </w:r>
      <w:r w:rsidRPr="00982401">
        <w:rPr>
          <w:rFonts w:ascii="Times New Roman" w:eastAsia="Calibri" w:hAnsi="Times New Roman" w:cs="Times New Roman"/>
          <w:bCs/>
          <w:lang w:val="en-GB"/>
        </w:rPr>
        <w:t xml:space="preserve"> </w:t>
      </w:r>
      <w:r w:rsidRPr="00494AC6">
        <w:rPr>
          <w:rFonts w:ascii="Times New Roman" w:hAnsi="Times New Roman"/>
        </w:rPr>
        <w:t>"the Sun-God") (14-17. rest of the curse formula</w:t>
      </w:r>
      <w:r>
        <w:rPr>
          <w:rFonts w:ascii="Times New Roman" w:hAnsi="Times New Roman"/>
        </w:rPr>
        <w:t xml:space="preserve"> </w:t>
      </w:r>
      <w:r w:rsidRPr="00494AC6">
        <w:rPr>
          <w:rFonts w:ascii="Times New Roman" w:hAnsi="Times New Roman"/>
        </w:rPr>
        <w:t>untranslatable),</w:t>
      </w:r>
      <w:r w:rsidRPr="00494AC6">
        <w:rPr>
          <w:rFonts w:ascii="Times New Roman" w:hAnsi="Times New Roman"/>
          <w:lang w:val="en-GB"/>
        </w:rPr>
        <w:t xml:space="preserve"> (CTU I. A 5-68, also see. Chapter 4).</w:t>
      </w:r>
    </w:p>
    <w:p w14:paraId="03152237" w14:textId="77777777" w:rsidR="00D02275" w:rsidRPr="00494AC6" w:rsidRDefault="00D02275" w:rsidP="00D02275">
      <w:pPr>
        <w:autoSpaceDE w:val="0"/>
        <w:autoSpaceDN w:val="0"/>
        <w:adjustRightInd w:val="0"/>
        <w:spacing w:line="276" w:lineRule="auto"/>
        <w:jc w:val="both"/>
        <w:rPr>
          <w:rFonts w:ascii="Times New Roman" w:hAnsi="Times New Roman"/>
        </w:rPr>
      </w:pPr>
    </w:p>
    <w:p w14:paraId="5CCE5C63" w14:textId="77777777" w:rsidR="00D02275" w:rsidRPr="00494AC6" w:rsidRDefault="00D02275" w:rsidP="00D02275">
      <w:pPr>
        <w:autoSpaceDE w:val="0"/>
        <w:autoSpaceDN w:val="0"/>
        <w:adjustRightInd w:val="0"/>
        <w:spacing w:line="276" w:lineRule="auto"/>
        <w:jc w:val="both"/>
        <w:rPr>
          <w:rFonts w:ascii="Times New Roman" w:hAnsi="Times New Roman"/>
        </w:rPr>
      </w:pPr>
    </w:p>
    <w:p w14:paraId="73BB3BF3"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noProof/>
        </w:rPr>
        <w:drawing>
          <wp:inline distT="0" distB="0" distL="0" distR="0" wp14:anchorId="555BF2EC" wp14:editId="43832D1D">
            <wp:extent cx="5227093" cy="3484729"/>
            <wp:effectExtent l="0" t="0" r="5715" b="0"/>
            <wp:docPr id="1064842930" name="Resim 1064842930" descr="dış meka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0" name="Resim 1064842930" descr="dış mekan, mağara içeren bir resim&#10;&#10;Açıklama otomatik olarak oluşturuldu"/>
                    <pic:cNvPicPr/>
                  </pic:nvPicPr>
                  <pic:blipFill>
                    <a:blip r:embed="rId215" cstate="email">
                      <a:extLst>
                        <a:ext uri="{28A0092B-C50C-407E-A947-70E740481C1C}">
                          <a14:useLocalDpi xmlns:a14="http://schemas.microsoft.com/office/drawing/2010/main"/>
                        </a:ext>
                      </a:extLst>
                    </a:blip>
                    <a:stretch>
                      <a:fillRect/>
                    </a:stretch>
                  </pic:blipFill>
                  <pic:spPr>
                    <a:xfrm>
                      <a:off x="0" y="0"/>
                      <a:ext cx="5240493" cy="3493662"/>
                    </a:xfrm>
                    <a:prstGeom prst="rect">
                      <a:avLst/>
                    </a:prstGeom>
                  </pic:spPr>
                </pic:pic>
              </a:graphicData>
            </a:graphic>
          </wp:inline>
        </w:drawing>
      </w:r>
    </w:p>
    <w:p w14:paraId="70F7BF07" w14:textId="2328A5F8"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Fig. 2 The inscription on the bedrock to the right of the entrance to </w:t>
      </w:r>
      <w:r w:rsidRPr="00494AC6">
        <w:rPr>
          <w:rFonts w:ascii="Times New Roman" w:hAnsi="Times New Roman"/>
        </w:rPr>
        <w:t>Minua</w:t>
      </w:r>
      <w:r w:rsidRPr="00494AC6">
        <w:rPr>
          <w:rFonts w:ascii="Times New Roman" w:hAnsi="Times New Roman"/>
        </w:rPr>
        <w:fldChar w:fldCharType="begin"/>
      </w:r>
      <w:r w:rsidRPr="00494AC6">
        <w:rPr>
          <w:rFonts w:ascii="Calibri" w:hAnsi="Calibri"/>
          <w:lang w:val="en-GB"/>
        </w:rPr>
        <w:instrText xml:space="preserve"> XE "</w:instrText>
      </w:r>
      <w:r w:rsidRPr="00494AC6">
        <w:rPr>
          <w:rFonts w:ascii="Times New Roman" w:hAnsi="Times New Roman"/>
          <w:lang w:val="en-GB"/>
        </w:rPr>
        <w:instrText>Minua</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rPr>
        <w:t xml:space="preserve">'s </w:t>
      </w:r>
      <w:r w:rsidR="00274E5C" w:rsidRPr="00274E5C">
        <w:rPr>
          <w:rFonts w:ascii="Times New Roman" w:hAnsi="Times New Roman"/>
          <w:lang w:val="en-GB"/>
        </w:rPr>
        <w:t>"</w:t>
      </w:r>
      <w:r w:rsidRPr="00494AC6">
        <w:rPr>
          <w:rFonts w:ascii="Times New Roman" w:hAnsi="Times New Roman"/>
        </w:rPr>
        <w:t>siršini</w:t>
      </w:r>
      <w:r w:rsidR="00274E5C" w:rsidRPr="00274E5C">
        <w:rPr>
          <w:rFonts w:ascii="Times New Roman" w:hAnsi="Times New Roman"/>
          <w:lang w:val="en-GB"/>
        </w:rPr>
        <w:t>"</w:t>
      </w:r>
      <w:r w:rsidRPr="00494AC6">
        <w:rPr>
          <w:rFonts w:ascii="Times New Roman" w:hAnsi="Times New Roman"/>
        </w:rPr>
        <w:fldChar w:fldCharType="begin"/>
      </w:r>
      <w:r w:rsidRPr="00494AC6">
        <w:rPr>
          <w:rFonts w:ascii="Calibri" w:hAnsi="Calibri"/>
          <w:lang w:val="en-GB"/>
        </w:rPr>
        <w:instrText xml:space="preserve"> XE "</w:instrText>
      </w:r>
      <w:r w:rsidRPr="00274E5C">
        <w:rPr>
          <w:rFonts w:ascii="Times New Roman" w:hAnsi="Times New Roman"/>
          <w:iCs/>
          <w:lang w:val="en-GB"/>
        </w:rPr>
        <w:instrText>siršini</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lang w:val="en-GB"/>
        </w:rPr>
        <w:t>.</w:t>
      </w:r>
    </w:p>
    <w:p w14:paraId="6B686301" w14:textId="77777777" w:rsidR="00D02275" w:rsidRPr="00494AC6" w:rsidRDefault="00D02275" w:rsidP="00D02275">
      <w:pPr>
        <w:autoSpaceDE w:val="0"/>
        <w:autoSpaceDN w:val="0"/>
        <w:adjustRightInd w:val="0"/>
        <w:spacing w:line="276" w:lineRule="auto"/>
        <w:jc w:val="both"/>
        <w:rPr>
          <w:rFonts w:ascii="Times New Roman" w:hAnsi="Times New Roman"/>
          <w:b/>
          <w:lang w:val="en-GB"/>
        </w:rPr>
      </w:pPr>
    </w:p>
    <w:p w14:paraId="1EAB1A1F" w14:textId="77777777" w:rsidR="00D02275" w:rsidRPr="00494AC6" w:rsidRDefault="00D02275" w:rsidP="00D02275">
      <w:pPr>
        <w:keepNext/>
        <w:keepLines/>
        <w:spacing w:before="320" w:after="80" w:line="276" w:lineRule="auto"/>
        <w:jc w:val="both"/>
        <w:outlineLvl w:val="2"/>
        <w:rPr>
          <w:rFonts w:ascii="Times New Roman" w:hAnsi="Times New Roman"/>
          <w:b/>
          <w:szCs w:val="22"/>
          <w:lang w:val="en-GB"/>
        </w:rPr>
      </w:pPr>
      <w:bookmarkStart w:id="110" w:name="_Toc173231227"/>
      <w:r w:rsidRPr="00494AC6">
        <w:rPr>
          <w:rFonts w:ascii="Times New Roman" w:hAnsi="Times New Roman"/>
          <w:b/>
          <w:color w:val="434343"/>
          <w:szCs w:val="22"/>
          <w:lang w:val="en-GB"/>
        </w:rPr>
        <w:t>7.2.2. Building-Block Inscription</w:t>
      </w:r>
      <w:bookmarkEnd w:id="110"/>
    </w:p>
    <w:p w14:paraId="2515DB60" w14:textId="2E6256F1" w:rsidR="00D02275" w:rsidRPr="00494AC6" w:rsidRDefault="00D02275" w:rsidP="00D02275">
      <w:pPr>
        <w:autoSpaceDE w:val="0"/>
        <w:autoSpaceDN w:val="0"/>
        <w:adjustRightInd w:val="0"/>
        <w:spacing w:line="276" w:lineRule="auto"/>
        <w:jc w:val="both"/>
        <w:rPr>
          <w:rFonts w:ascii="Times New Roman" w:hAnsi="Times New Roman"/>
        </w:rPr>
      </w:pPr>
      <w:r w:rsidRPr="00494AC6">
        <w:rPr>
          <w:rFonts w:ascii="Times New Roman" w:hAnsi="Times New Roman"/>
        </w:rPr>
        <w:t>The subject of the inscription on a block found in the Van Fortress</w:t>
      </w:r>
      <w:r w:rsidRPr="000E3892">
        <w:rPr>
          <w:rFonts w:ascii="Times New Roman" w:eastAsia="Calibri" w:hAnsi="Times New Roman" w:cs="Times New Roman"/>
          <w:lang w:val="en-GB"/>
        </w:rPr>
        <w:t>,</w:t>
      </w:r>
      <w:r w:rsidRPr="00494AC6">
        <w:rPr>
          <w:rFonts w:ascii="Times New Roman" w:hAnsi="Times New Roman"/>
        </w:rPr>
        <w:t xml:space="preserve"> now displayed at Tbilisi Museum</w:t>
      </w:r>
      <w:r w:rsidRPr="000E3892">
        <w:rPr>
          <w:rFonts w:ascii="Times New Roman" w:eastAsia="Calibri" w:hAnsi="Times New Roman" w:cs="Times New Roman"/>
          <w:lang w:val="en-GB"/>
        </w:rPr>
        <w:t> </w:t>
      </w:r>
      <w:r w:rsidRPr="00494AC6">
        <w:rPr>
          <w:rFonts w:ascii="Times New Roman" w:hAnsi="Times New Roman"/>
        </w:rPr>
        <w:t xml:space="preserve">(Tseretheli, 1939: no.7), is the construction of </w:t>
      </w:r>
      <w:r w:rsidRPr="000E3892">
        <w:rPr>
          <w:rFonts w:ascii="Times New Roman" w:eastAsia="Calibri" w:hAnsi="Times New Roman" w:cs="Times New Roman"/>
          <w:lang w:val="en-GB"/>
        </w:rPr>
        <w:t>Minua</w:t>
      </w:r>
      <w:r w:rsidR="00C1513A">
        <w:rPr>
          <w:rFonts w:ascii="Times New Roman" w:eastAsia="Calibri" w:hAnsi="Times New Roman" w:cs="Times New Roman"/>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imes New Roman" w:eastAsia="Calibri" w:hAnsi="Times New Roman" w:cs="Times New Roman"/>
          <w:lang w:val="en-GB"/>
        </w:rPr>
        <w:fldChar w:fldCharType="end"/>
      </w:r>
      <w:r w:rsidRPr="000E3892">
        <w:rPr>
          <w:rFonts w:ascii="Times New Roman" w:eastAsia="Calibri" w:hAnsi="Times New Roman" w:cs="Times New Roman"/>
          <w:lang w:val="en-GB"/>
        </w:rPr>
        <w:t>'s</w:t>
      </w:r>
      <w:r w:rsidRPr="00494AC6">
        <w:rPr>
          <w:rFonts w:ascii="Times New Roman" w:hAnsi="Times New Roman"/>
        </w:rPr>
        <w:t xml:space="preserve"> </w:t>
      </w:r>
      <w:r w:rsidR="00274E5C" w:rsidRPr="00274E5C">
        <w:rPr>
          <w:rFonts w:ascii="Times New Roman" w:hAnsi="Times New Roman"/>
          <w:lang w:val="en-GB"/>
        </w:rPr>
        <w:t>"</w:t>
      </w:r>
      <w:r w:rsidRPr="00494AC6">
        <w:rPr>
          <w:rFonts w:ascii="Times New Roman" w:hAnsi="Times New Roman"/>
        </w:rPr>
        <w:t>siršini</w:t>
      </w:r>
      <w:r w:rsidR="00274E5C" w:rsidRPr="00274E5C">
        <w:rPr>
          <w:rFonts w:ascii="Times New Roman" w:hAnsi="Times New Roman"/>
          <w:lang w:val="en-GB"/>
        </w:rPr>
        <w:t>"</w:t>
      </w:r>
      <w:r w:rsidR="00C1513A">
        <w:rPr>
          <w:rFonts w:ascii="Times New Roman" w:hAnsi="Times New Roman"/>
        </w:rPr>
        <w:fldChar w:fldCharType="begin"/>
      </w:r>
      <w:r w:rsidR="00C1513A">
        <w:instrText xml:space="preserve"> XE "</w:instrText>
      </w:r>
      <w:r w:rsidR="00C1513A" w:rsidRPr="00A510EB">
        <w:rPr>
          <w:rFonts w:asciiTheme="majorBidi" w:eastAsia="Times New Roman" w:hAnsiTheme="majorBidi" w:cstheme="majorBidi"/>
          <w:lang w:val="en-GB"/>
        </w:rPr>
        <w:instrText>Minua's siršini</w:instrText>
      </w:r>
      <w:r w:rsidR="00C1513A">
        <w:instrText xml:space="preserve">" </w:instrText>
      </w:r>
      <w:r w:rsidR="00C1513A">
        <w:rPr>
          <w:rFonts w:ascii="Times New Roman" w:hAnsi="Times New Roman"/>
        </w:rPr>
        <w:fldChar w:fldCharType="end"/>
      </w:r>
      <w:r w:rsidRPr="000E3892">
        <w:rPr>
          <w:rFonts w:ascii="Times New Roman" w:eastAsia="Calibri" w:hAnsi="Times New Roman" w:cs="Times New Roman"/>
          <w:lang w:val="en-GB"/>
        </w:rPr>
        <w:t> </w:t>
      </w:r>
      <w:r w:rsidRPr="00427476">
        <w:rPr>
          <w:rStyle w:val="r"/>
          <w:rFonts w:asciiTheme="majorBidi" w:hAnsiTheme="majorBidi" w:cstheme="majorBidi"/>
          <w:i/>
          <w:iCs/>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427476">
        <w:rPr>
          <w:lang w:val="en-GB"/>
        </w:rPr>
        <w:instrText xml:space="preserve">" </w:instrText>
      </w:r>
      <w:r w:rsidRPr="00427476">
        <w:rPr>
          <w:rStyle w:val="r"/>
          <w:rFonts w:asciiTheme="majorBidi" w:hAnsiTheme="majorBidi" w:cstheme="majorBidi"/>
          <w:i/>
          <w:iCs/>
          <w:lang w:val="en-GB"/>
        </w:rPr>
        <w:fldChar w:fldCharType="end"/>
      </w:r>
      <w:r w:rsidRPr="00427476">
        <w:rPr>
          <w:rStyle w:val="r"/>
          <w:rFonts w:asciiTheme="majorBidi" w:hAnsiTheme="majorBidi" w:cstheme="majorBidi"/>
          <w:lang w:val="en-GB"/>
        </w:rPr>
        <w:t xml:space="preserve"> </w:t>
      </w:r>
      <w:r w:rsidRPr="00494AC6">
        <w:rPr>
          <w:rFonts w:ascii="Times New Roman" w:hAnsi="Times New Roman"/>
        </w:rPr>
        <w:t xml:space="preserve">(Fig. 3). The rock chamber with the rock inscription is referred to as the </w:t>
      </w:r>
      <w:r w:rsidR="00274E5C" w:rsidRPr="00274E5C">
        <w:rPr>
          <w:rFonts w:ascii="Times New Roman" w:hAnsi="Times New Roman"/>
          <w:lang w:val="en-GB"/>
        </w:rPr>
        <w:t>"</w:t>
      </w:r>
      <w:r w:rsidRPr="00494AC6">
        <w:rPr>
          <w:rFonts w:ascii="Times New Roman" w:hAnsi="Times New Roman"/>
        </w:rPr>
        <w:t>siršini</w:t>
      </w:r>
      <w:r w:rsidR="00274E5C" w:rsidRPr="00274E5C">
        <w:rPr>
          <w:rFonts w:ascii="Times New Roman" w:hAnsi="Times New Roman"/>
          <w:lang w:val="en-GB"/>
        </w:rPr>
        <w:t>"</w:t>
      </w:r>
      <w:r w:rsidRPr="00494AC6">
        <w:rPr>
          <w:rFonts w:ascii="Times New Roman" w:hAnsi="Times New Roman"/>
        </w:rPr>
        <w:t xml:space="preserve"> structure here. In </w:t>
      </w:r>
      <w:r w:rsidRPr="00494AC6">
        <w:rPr>
          <w:rFonts w:ascii="Times New Roman" w:hAnsi="Times New Roman"/>
        </w:rPr>
        <w:lastRenderedPageBreak/>
        <w:t>Urartian</w:t>
      </w:r>
      <w:r w:rsidRPr="000E3892">
        <w:rPr>
          <w:rFonts w:ascii="Times New Roman" w:eastAsia="Calibri" w:hAnsi="Times New Roman" w:cs="Times New Roman"/>
          <w:lang w:val="en-GB"/>
        </w:rPr>
        <w:t> </w:t>
      </w:r>
      <w:r w:rsidRPr="00427476">
        <w:rPr>
          <w:rStyle w:val="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Style w:val="r"/>
          <w:rFonts w:asciiTheme="majorBidi" w:hAnsiTheme="majorBidi" w:cstheme="majorBidi"/>
          <w:lang w:val="en-GB"/>
        </w:rPr>
        <w:fldChar w:fldCharType="end"/>
      </w:r>
      <w:r w:rsidRPr="00427476">
        <w:rPr>
          <w:rStyle w:val="r"/>
          <w:rFonts w:asciiTheme="majorBidi" w:hAnsiTheme="majorBidi" w:cstheme="majorBidi"/>
          <w:lang w:val="en-GB"/>
        </w:rPr>
        <w:t xml:space="preserve"> </w:t>
      </w:r>
      <w:r w:rsidRPr="00494AC6">
        <w:rPr>
          <w:rFonts w:ascii="Times New Roman" w:hAnsi="Times New Roman"/>
        </w:rPr>
        <w:t>architecture,</w:t>
      </w:r>
      <w:r w:rsidRPr="00427476">
        <w:rPr>
          <w:rStyle w:val="r"/>
          <w:rFonts w:asciiTheme="majorBidi" w:hAnsiTheme="majorBidi" w:cstheme="majorBidi"/>
          <w:lang w:val="en-GB"/>
        </w:rPr>
        <w:t xml:space="preserve"> we know that</w:t>
      </w:r>
      <w:r w:rsidRPr="00494AC6">
        <w:rPr>
          <w:rFonts w:ascii="Times New Roman" w:hAnsi="Times New Roman"/>
        </w:rPr>
        <w:t xml:space="preserve"> the inscribed blocks were placed as building blocks on the walls of the architectural units to which they refer.</w:t>
      </w:r>
      <w:r w:rsidRPr="000E3892">
        <w:rPr>
          <w:rFonts w:ascii="Times New Roman" w:eastAsia="Calibri" w:hAnsi="Times New Roman" w:cs="Times New Roman"/>
          <w:lang w:val="en-GB"/>
        </w:rPr>
        <w:t> </w:t>
      </w:r>
      <w:r w:rsidRPr="00494AC6">
        <w:rPr>
          <w:rFonts w:ascii="Times New Roman" w:hAnsi="Times New Roman"/>
        </w:rPr>
        <w:t xml:space="preserve"> Based on this information, it can be said that the inscribed block describing the construction of the </w:t>
      </w:r>
      <w:r w:rsidRPr="000E3892">
        <w:rPr>
          <w:rFonts w:ascii="Times New Roman" w:eastAsia="Calibri" w:hAnsi="Times New Roman" w:cs="Times New Roman"/>
          <w:lang w:val="en-GB"/>
        </w:rPr>
        <w:t>siršini</w:t>
      </w:r>
      <w:r>
        <w:rPr>
          <w:rFonts w:ascii="Times New Roman" w:eastAsia="Calibri" w:hAnsi="Times New Roman" w:cs="Times New Roman"/>
          <w:lang w:val="en-GB"/>
        </w:rPr>
        <w:t xml:space="preserve"> </w:t>
      </w:r>
      <w:r w:rsidRPr="000E3892">
        <w:rPr>
          <w:rFonts w:ascii="Times New Roman" w:eastAsia="Calibri" w:hAnsi="Times New Roman" w:cs="Times New Roman"/>
          <w:lang w:val="en-GB"/>
        </w:rPr>
        <w:t>was initially</w:t>
      </w:r>
      <w:r w:rsidRPr="00494AC6">
        <w:rPr>
          <w:rFonts w:ascii="Times New Roman" w:hAnsi="Times New Roman"/>
        </w:rPr>
        <w:t xml:space="preserve"> located on the brick wall at the entrance of the chamber. It is understood from the foundation bed on the rock floor that the entrance of the </w:t>
      </w:r>
      <w:r w:rsidRPr="000E3892">
        <w:rPr>
          <w:rFonts w:ascii="Times New Roman" w:eastAsia="Calibri" w:hAnsi="Times New Roman" w:cs="Times New Roman"/>
          <w:lang w:val="en-GB"/>
        </w:rPr>
        <w:t>siršini</w:t>
      </w:r>
      <w:r>
        <w:rPr>
          <w:rFonts w:ascii="Times New Roman" w:eastAsia="Calibri" w:hAnsi="Times New Roman" w:cs="Times New Roman"/>
          <w:lang w:val="en-GB"/>
        </w:rPr>
        <w:t xml:space="preserve"> </w:t>
      </w:r>
      <w:r w:rsidRPr="000E3892">
        <w:rPr>
          <w:rFonts w:ascii="Times New Roman" w:eastAsia="Calibri" w:hAnsi="Times New Roman" w:cs="Times New Roman"/>
          <w:lang w:val="en-GB"/>
        </w:rPr>
        <w:t>room</w:t>
      </w:r>
      <w:r w:rsidRPr="00494AC6">
        <w:rPr>
          <w:rFonts w:ascii="Times New Roman" w:hAnsi="Times New Roman"/>
        </w:rPr>
        <w:t>, rather than being completely open as it is today, used to be accessed through a narrow passage in the west, at the rock inscription side. It is possible to reconstruct the wall that forms the entrance facade of the siršini room based on the foundation traces of the mentioned wall and the dimensions of the inscribed block (50x84x44 cm).</w:t>
      </w:r>
    </w:p>
    <w:p w14:paraId="528DA99F"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1FB117FF" w14:textId="6DF87DDF"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There is a 9-line inscription on the processed face of the stone block, which is close to the rectangular shape. This text </w:t>
      </w:r>
      <w:r w:rsidRPr="000E3892">
        <w:rPr>
          <w:rFonts w:ascii="Times New Roman" w:eastAsia="Calibri" w:hAnsi="Times New Roman" w:cs="Times New Roman"/>
          <w:lang w:val="en-GB"/>
        </w:rPr>
        <w:t>duplicates</w:t>
      </w:r>
      <w:r w:rsidRPr="00494AC6">
        <w:rPr>
          <w:rFonts w:ascii="Times New Roman" w:hAnsi="Times New Roman"/>
          <w:lang w:val="en-GB"/>
        </w:rPr>
        <w:t xml:space="preserve"> the first 1-5 lines of the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
          <w:lang w:val="en-GB"/>
        </w:rPr>
        <w:fldChar w:fldCharType="end"/>
      </w:r>
      <w:r w:rsidRPr="00427476">
        <w:rPr>
          <w:rFonts w:asciiTheme="majorBidi" w:hAnsiTheme="majorBidi" w:cstheme="majorBidi"/>
          <w:i/>
          <w:lang w:val="en-GB"/>
        </w:rPr>
        <w:t xml:space="preserve"> </w:t>
      </w:r>
      <w:r w:rsidRPr="00494AC6">
        <w:rPr>
          <w:rFonts w:ascii="Times New Roman" w:hAnsi="Times New Roman"/>
          <w:lang w:val="en-GB"/>
        </w:rPr>
        <w:t xml:space="preserve">rock inscription. </w:t>
      </w:r>
    </w:p>
    <w:p w14:paraId="67F2664E" w14:textId="77777777" w:rsidR="00D02275" w:rsidRPr="00494AC6" w:rsidRDefault="00D02275" w:rsidP="00D02275">
      <w:pPr>
        <w:autoSpaceDE w:val="0"/>
        <w:autoSpaceDN w:val="0"/>
        <w:adjustRightInd w:val="0"/>
        <w:spacing w:line="276" w:lineRule="auto"/>
        <w:jc w:val="both"/>
        <w:rPr>
          <w:rFonts w:ascii="Times New Roman" w:hAnsi="Times New Roman"/>
          <w:b/>
          <w:lang w:val="en-GB"/>
        </w:rPr>
      </w:pPr>
      <w:r w:rsidRPr="00494AC6">
        <w:rPr>
          <w:rFonts w:ascii="Times New Roman" w:hAnsi="Times New Roman"/>
          <w:b/>
          <w:i/>
          <w:lang w:val="en-GB"/>
        </w:rPr>
        <w:t xml:space="preserve">Siršini </w:t>
      </w:r>
      <w:r w:rsidRPr="00494AC6">
        <w:rPr>
          <w:rFonts w:ascii="Times New Roman" w:hAnsi="Times New Roman"/>
          <w:b/>
          <w:lang w:val="en-GB"/>
        </w:rPr>
        <w:t>Stone Inscription</w:t>
      </w:r>
    </w:p>
    <w:p w14:paraId="594BA1EA"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1</w:t>
      </w:r>
      <w:r w:rsidRPr="00494AC6">
        <w:rPr>
          <w:rFonts w:ascii="Times New Roman" w:hAnsi="Times New Roman"/>
          <w:vertAlign w:val="superscript"/>
          <w:lang w:val="en-GB"/>
        </w:rPr>
        <w:t xml:space="preserve">      [m]</w:t>
      </w:r>
      <w:r w:rsidRPr="00494AC6">
        <w:rPr>
          <w:rFonts w:ascii="Times New Roman" w:hAnsi="Times New Roman"/>
          <w:lang w:val="en-GB"/>
        </w:rPr>
        <w:t>mì-i-nu-ú-a-še</w:t>
      </w:r>
      <w:r w:rsidRPr="00494AC6">
        <w:rPr>
          <w:rFonts w:ascii="Times New Roman" w:hAnsi="Times New Roman"/>
          <w:b/>
          <w:lang w:val="en-GB"/>
        </w:rPr>
        <w:t xml:space="preserve">   </w:t>
      </w:r>
    </w:p>
    <w:p w14:paraId="458F7735" w14:textId="77777777" w:rsidR="00D02275" w:rsidRPr="00494AC6" w:rsidRDefault="00D02275" w:rsidP="00D02275">
      <w:pPr>
        <w:spacing w:line="276" w:lineRule="auto"/>
        <w:jc w:val="both"/>
        <w:rPr>
          <w:rFonts w:ascii="Times New Roman" w:hAnsi="Times New Roman"/>
          <w:lang w:val="en-GB"/>
        </w:rPr>
      </w:pPr>
      <w:r w:rsidRPr="00494AC6">
        <w:rPr>
          <w:rFonts w:ascii="Times New Roman" w:hAnsi="Times New Roman"/>
          <w:b/>
          <w:lang w:val="en-GB"/>
        </w:rPr>
        <w:t xml:space="preserve">2    </w:t>
      </w:r>
      <w:r w:rsidRPr="00494AC6">
        <w:rPr>
          <w:rFonts w:ascii="Times New Roman" w:hAnsi="Times New Roman"/>
          <w:vertAlign w:val="superscript"/>
          <w:lang w:val="en-GB"/>
        </w:rPr>
        <w:t>[m]</w:t>
      </w:r>
      <w:r w:rsidRPr="00494AC6">
        <w:rPr>
          <w:rFonts w:ascii="Times New Roman" w:hAnsi="Times New Roman"/>
          <w:lang w:val="en-GB"/>
        </w:rPr>
        <w:t xml:space="preserve">iš-pu-ú-i-ni-ḫi-ni-še </w:t>
      </w:r>
    </w:p>
    <w:p w14:paraId="2BDD06FE" w14:textId="77777777" w:rsidR="00D02275" w:rsidRPr="00494AC6" w:rsidRDefault="00D02275" w:rsidP="00D02275">
      <w:pPr>
        <w:spacing w:line="276" w:lineRule="auto"/>
        <w:jc w:val="both"/>
        <w:rPr>
          <w:rFonts w:ascii="Times New Roman" w:hAnsi="Times New Roman"/>
          <w:lang w:val="en-GB"/>
        </w:rPr>
      </w:pPr>
      <w:r w:rsidRPr="00494AC6">
        <w:rPr>
          <w:rFonts w:ascii="Times New Roman" w:hAnsi="Times New Roman"/>
          <w:b/>
          <w:lang w:val="en-GB"/>
        </w:rPr>
        <w:t xml:space="preserve">3  </w:t>
      </w:r>
      <w:r w:rsidRPr="00494AC6">
        <w:rPr>
          <w:rFonts w:ascii="Times New Roman" w:hAnsi="Times New Roman"/>
          <w:lang w:val="en-GB"/>
        </w:rPr>
        <w:t xml:space="preserve">  i-ni e-si  za-a-du-ni   </w:t>
      </w:r>
    </w:p>
    <w:p w14:paraId="596216D6"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4   </w:t>
      </w:r>
      <w:r w:rsidRPr="00494AC6">
        <w:rPr>
          <w:rFonts w:ascii="Times New Roman" w:hAnsi="Times New Roman"/>
          <w:lang w:val="en-GB"/>
        </w:rPr>
        <w:t xml:space="preserve"> si-e-ir-ši-ni-i-e</w:t>
      </w:r>
    </w:p>
    <w:p w14:paraId="23130468" w14:textId="77777777" w:rsidR="00D02275" w:rsidRPr="00494AC6" w:rsidRDefault="00D02275" w:rsidP="00D02275">
      <w:pPr>
        <w:spacing w:line="276" w:lineRule="auto"/>
        <w:jc w:val="both"/>
        <w:rPr>
          <w:rFonts w:ascii="Times New Roman" w:hAnsi="Times New Roman"/>
          <w:lang w:val="en-GB"/>
        </w:rPr>
      </w:pPr>
      <w:r w:rsidRPr="00494AC6">
        <w:rPr>
          <w:rFonts w:ascii="Times New Roman" w:hAnsi="Times New Roman"/>
          <w:b/>
          <w:lang w:val="en-GB"/>
        </w:rPr>
        <w:t xml:space="preserve">5    </w:t>
      </w:r>
      <w:r w:rsidRPr="00494AC6">
        <w:rPr>
          <w:rFonts w:ascii="Times New Roman" w:hAnsi="Times New Roman"/>
          <w:vertAlign w:val="superscript"/>
          <w:lang w:val="en-GB"/>
        </w:rPr>
        <w:t>m</w:t>
      </w:r>
      <w:r w:rsidRPr="00494AC6">
        <w:rPr>
          <w:rFonts w:ascii="Times New Roman" w:hAnsi="Times New Roman"/>
          <w:lang w:val="en-GB"/>
        </w:rPr>
        <w:t>mì-nu-a-še</w:t>
      </w:r>
      <w:r w:rsidRPr="00494AC6">
        <w:rPr>
          <w:rFonts w:ascii="Times New Roman" w:hAnsi="Times New Roman"/>
          <w:b/>
          <w:lang w:val="en-GB"/>
        </w:rPr>
        <w:t xml:space="preserve">   </w:t>
      </w:r>
      <w:r w:rsidRPr="00494AC6">
        <w:rPr>
          <w:rFonts w:ascii="Times New Roman" w:hAnsi="Times New Roman"/>
          <w:lang w:val="en-GB"/>
        </w:rPr>
        <w:t xml:space="preserve">a-li-e  </w:t>
      </w:r>
    </w:p>
    <w:p w14:paraId="2B9CDC81"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6 </w:t>
      </w:r>
      <w:r w:rsidRPr="00494AC6">
        <w:rPr>
          <w:rFonts w:ascii="Times New Roman" w:hAnsi="Times New Roman"/>
          <w:lang w:val="en-GB"/>
        </w:rPr>
        <w:t xml:space="preserve">   a-li  i-nu-si-i-ni</w:t>
      </w:r>
    </w:p>
    <w:p w14:paraId="3BC408B8" w14:textId="77777777" w:rsidR="00D02275" w:rsidRPr="00494AC6" w:rsidRDefault="00D02275" w:rsidP="00D02275">
      <w:pPr>
        <w:spacing w:line="276" w:lineRule="auto"/>
        <w:jc w:val="both"/>
        <w:rPr>
          <w:rFonts w:ascii="Times New Roman" w:hAnsi="Times New Roman"/>
          <w:lang w:val="en-GB"/>
        </w:rPr>
      </w:pPr>
      <w:r w:rsidRPr="00494AC6">
        <w:rPr>
          <w:rFonts w:ascii="Times New Roman" w:hAnsi="Times New Roman"/>
          <w:b/>
          <w:lang w:val="en-GB"/>
        </w:rPr>
        <w:t xml:space="preserve">7    </w:t>
      </w:r>
      <w:r w:rsidRPr="00494AC6">
        <w:rPr>
          <w:rFonts w:ascii="Times New Roman" w:hAnsi="Times New Roman"/>
          <w:lang w:val="en-GB"/>
        </w:rPr>
        <w:t xml:space="preserve">ḫa-ar-ni-zi-ni-i  </w:t>
      </w:r>
    </w:p>
    <w:p w14:paraId="6A8F5C19" w14:textId="77777777" w:rsidR="00D02275" w:rsidRPr="00494AC6" w:rsidRDefault="00D02275" w:rsidP="00D02275">
      <w:pPr>
        <w:spacing w:line="276" w:lineRule="auto"/>
        <w:jc w:val="both"/>
        <w:rPr>
          <w:rFonts w:ascii="Times New Roman" w:hAnsi="Times New Roman"/>
          <w:lang w:val="en-GB"/>
        </w:rPr>
      </w:pPr>
      <w:r w:rsidRPr="00494AC6">
        <w:rPr>
          <w:rFonts w:ascii="Times New Roman" w:hAnsi="Times New Roman"/>
          <w:b/>
          <w:lang w:val="en-GB"/>
        </w:rPr>
        <w:t xml:space="preserve">8 </w:t>
      </w:r>
      <w:r w:rsidRPr="00494AC6">
        <w:rPr>
          <w:rFonts w:ascii="Times New Roman" w:hAnsi="Times New Roman"/>
          <w:lang w:val="en-GB"/>
        </w:rPr>
        <w:t xml:space="preserve">   si-ir-ši-ni-ni  te-er-du-li-ni   </w:t>
      </w:r>
    </w:p>
    <w:p w14:paraId="18CD2272" w14:textId="77777777" w:rsidR="00D02275" w:rsidRPr="00494AC6" w:rsidRDefault="00D02275" w:rsidP="00D02275">
      <w:pPr>
        <w:spacing w:line="276" w:lineRule="auto"/>
        <w:jc w:val="both"/>
        <w:rPr>
          <w:rFonts w:ascii="Times New Roman" w:hAnsi="Times New Roman"/>
          <w:b/>
          <w:lang w:val="en-GB"/>
        </w:rPr>
      </w:pPr>
      <w:r w:rsidRPr="00494AC6">
        <w:rPr>
          <w:rFonts w:ascii="Times New Roman" w:hAnsi="Times New Roman"/>
          <w:b/>
          <w:lang w:val="en-GB"/>
        </w:rPr>
        <w:t xml:space="preserve">9    </w:t>
      </w:r>
      <w:r w:rsidRPr="00494AC6">
        <w:rPr>
          <w:rFonts w:ascii="Times New Roman" w:hAnsi="Times New Roman"/>
          <w:lang w:val="en-GB"/>
        </w:rPr>
        <w:t xml:space="preserve">i-nu-ka-ni   e-si-ni </w:t>
      </w:r>
    </w:p>
    <w:p w14:paraId="10AF3074" w14:textId="77777777" w:rsidR="00D02275" w:rsidRPr="00494AC6" w:rsidRDefault="00D02275" w:rsidP="00D02275">
      <w:pPr>
        <w:autoSpaceDE w:val="0"/>
        <w:autoSpaceDN w:val="0"/>
        <w:adjustRightInd w:val="0"/>
        <w:spacing w:line="276" w:lineRule="auto"/>
        <w:jc w:val="both"/>
        <w:rPr>
          <w:rFonts w:ascii="Times New Roman" w:hAnsi="Times New Roman"/>
          <w:b/>
          <w:lang w:val="en-GB"/>
        </w:rPr>
      </w:pPr>
    </w:p>
    <w:p w14:paraId="2BE29F18" w14:textId="3CF60CA8"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b/>
          <w:lang w:val="en-GB"/>
        </w:rPr>
        <w:t xml:space="preserve">Translation: </w:t>
      </w:r>
      <w:r w:rsidRPr="00494AC6">
        <w:rPr>
          <w:rFonts w:ascii="Times New Roman" w:hAnsi="Times New Roman"/>
          <w:lang w:val="en-GB"/>
        </w:rPr>
        <w:t xml:space="preserve">‘(1-9) </w:t>
      </w:r>
      <w:r w:rsidRPr="00494AC6">
        <w:rPr>
          <w:rFonts w:ascii="Times New Roman" w:hAnsi="Times New Roman"/>
        </w:rPr>
        <w:t>Minua</w:t>
      </w:r>
      <w:r w:rsidRPr="000E3892">
        <w:rPr>
          <w:rFonts w:ascii="Times New Roman" w:eastAsia="Calibri" w:hAnsi="Times New Roman" w:cs="Times New Roman"/>
          <w:bCs/>
          <w:lang w:val="en-GB"/>
        </w:rPr>
        <w:t>,</w:t>
      </w:r>
      <w:r w:rsidRPr="00427476">
        <w:rPr>
          <w:rStyle w:val="w"/>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Minua</w:instrText>
      </w:r>
      <w:r w:rsidRPr="00427476">
        <w:rPr>
          <w:lang w:val="en-GB"/>
        </w:rPr>
        <w:instrText xml:space="preserve">" </w:instrText>
      </w:r>
      <w:r w:rsidRPr="00427476">
        <w:rPr>
          <w:rStyle w:val="w"/>
          <w:rFonts w:asciiTheme="majorBidi" w:hAnsiTheme="majorBidi" w:cstheme="majorBidi"/>
          <w:lang w:val="en-GB"/>
        </w:rPr>
        <w:fldChar w:fldCharType="end"/>
      </w:r>
      <w:r w:rsidRPr="00494AC6">
        <w:rPr>
          <w:rFonts w:ascii="Times New Roman" w:hAnsi="Times New Roman"/>
          <w:lang w:val="en-GB"/>
        </w:rPr>
        <w:t> </w:t>
      </w:r>
      <w:r w:rsidRPr="00494AC6">
        <w:rPr>
          <w:rFonts w:ascii="Times New Roman" w:hAnsi="Times New Roman"/>
        </w:rPr>
        <w:t>son</w:t>
      </w:r>
      <w:r w:rsidRPr="00494AC6">
        <w:rPr>
          <w:rFonts w:ascii="Times New Roman" w:hAnsi="Times New Roman"/>
          <w:lang w:val="en-GB"/>
        </w:rPr>
        <w:t> </w:t>
      </w:r>
      <w:r w:rsidRPr="00494AC6">
        <w:rPr>
          <w:rFonts w:ascii="Times New Roman" w:hAnsi="Times New Roman"/>
        </w:rPr>
        <w:t>of</w:t>
      </w:r>
      <w:r w:rsidRPr="00494AC6">
        <w:rPr>
          <w:rFonts w:ascii="Times New Roman" w:hAnsi="Times New Roman"/>
          <w:lang w:val="en-GB"/>
        </w:rPr>
        <w:t> </w:t>
      </w:r>
      <w:r w:rsidRPr="00494AC6">
        <w:rPr>
          <w:rFonts w:ascii="Times New Roman" w:hAnsi="Times New Roman"/>
        </w:rPr>
        <w:t>Išpuini</w:t>
      </w:r>
      <w:r w:rsidRPr="000E3892">
        <w:rPr>
          <w:rFonts w:ascii="Times New Roman" w:eastAsia="Calibri" w:hAnsi="Times New Roman" w:cs="Times New Roman"/>
          <w:bCs/>
          <w:lang w:val="en-GB"/>
        </w:rPr>
        <w:t>,</w:t>
      </w:r>
      <w:r w:rsidRPr="00427476">
        <w:rPr>
          <w:rStyle w:val="w"/>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i/>
          <w:iCs/>
          <w:lang w:val="en-GB"/>
        </w:rPr>
        <w:instrText>Išpuini</w:instrText>
      </w:r>
      <w:r w:rsidRPr="00427476">
        <w:rPr>
          <w:lang w:val="en-GB"/>
        </w:rPr>
        <w:instrText xml:space="preserve">" </w:instrText>
      </w:r>
      <w:r w:rsidRPr="00427476">
        <w:rPr>
          <w:rStyle w:val="w"/>
          <w:rFonts w:asciiTheme="majorBidi" w:hAnsiTheme="majorBidi" w:cstheme="majorBidi"/>
          <w:lang w:val="en-GB"/>
        </w:rPr>
        <w:fldChar w:fldCharType="end"/>
      </w:r>
      <w:r w:rsidRPr="00494AC6">
        <w:rPr>
          <w:rFonts w:ascii="Times New Roman" w:hAnsi="Times New Roman"/>
          <w:lang w:val="en-GB"/>
        </w:rPr>
        <w:t> </w:t>
      </w:r>
      <w:r w:rsidRPr="00494AC6">
        <w:rPr>
          <w:rFonts w:ascii="Times New Roman" w:hAnsi="Times New Roman"/>
        </w:rPr>
        <w:t>made</w:t>
      </w:r>
      <w:r w:rsidRPr="00494AC6">
        <w:rPr>
          <w:rFonts w:ascii="Times New Roman" w:hAnsi="Times New Roman"/>
          <w:lang w:val="en-GB"/>
        </w:rPr>
        <w:t> </w:t>
      </w:r>
      <w:r w:rsidRPr="00494AC6">
        <w:rPr>
          <w:rFonts w:ascii="Times New Roman" w:hAnsi="Times New Roman"/>
        </w:rPr>
        <w:t>this</w:t>
      </w:r>
      <w:r w:rsidRPr="00494AC6">
        <w:rPr>
          <w:rFonts w:ascii="Times New Roman" w:hAnsi="Times New Roman"/>
          <w:lang w:val="en-GB"/>
        </w:rPr>
        <w:t> </w:t>
      </w:r>
      <w:r w:rsidRPr="00494AC6">
        <w:rPr>
          <w:rFonts w:ascii="Times New Roman" w:hAnsi="Times New Roman"/>
        </w:rPr>
        <w:t>place</w:t>
      </w:r>
      <w:r w:rsidRPr="00494AC6">
        <w:rPr>
          <w:rFonts w:ascii="Times New Roman" w:hAnsi="Times New Roman"/>
          <w:lang w:val="en-GB"/>
        </w:rPr>
        <w:t> </w:t>
      </w:r>
      <w:r w:rsidRPr="00494AC6">
        <w:rPr>
          <w:rFonts w:ascii="Times New Roman" w:hAnsi="Times New Roman"/>
        </w:rPr>
        <w:t>a</w:t>
      </w:r>
      <w:r w:rsidRPr="00494AC6">
        <w:rPr>
          <w:rFonts w:ascii="Times New Roman" w:hAnsi="Times New Roman"/>
          <w:lang w:val="en-GB"/>
        </w:rPr>
        <w:t>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274E5C">
        <w:rPr>
          <w:lang w:val="en-GB"/>
        </w:rPr>
        <w:instrText>"</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94AC6">
        <w:rPr>
          <w:rFonts w:ascii="Times New Roman" w:hAnsi="Times New Roman"/>
          <w:lang w:val="en-GB"/>
        </w:rPr>
        <w:t xml:space="preserve"> </w:t>
      </w:r>
      <w:r w:rsidRPr="00494AC6">
        <w:rPr>
          <w:rFonts w:ascii="Times New Roman" w:hAnsi="Times New Roman"/>
        </w:rPr>
        <w:t xml:space="preserve">Minua says: before of this place </w:t>
      </w:r>
      <w:r w:rsidR="00274E5C" w:rsidRPr="00274E5C">
        <w:rPr>
          <w:rFonts w:ascii="Times New Roman" w:hAnsi="Times New Roman"/>
          <w:lang w:val="en-GB"/>
        </w:rPr>
        <w:t>"</w:t>
      </w:r>
      <w:r w:rsidRPr="00494AC6">
        <w:rPr>
          <w:rFonts w:ascii="Times New Roman" w:hAnsi="Times New Roman"/>
        </w:rPr>
        <w:t>ḫarnizi</w:t>
      </w:r>
      <w:r w:rsidR="00274E5C" w:rsidRPr="00274E5C">
        <w:rPr>
          <w:rFonts w:ascii="Times New Roman" w:hAnsi="Times New Roman"/>
          <w:lang w:val="en-GB"/>
        </w:rPr>
        <w:t>"</w:t>
      </w:r>
      <w:r w:rsidRPr="000E3892">
        <w:rPr>
          <w:rFonts w:ascii="Times New Roman" w:eastAsia="Calibri" w:hAnsi="Times New Roman" w:cs="Times New Roman"/>
          <w:bCs/>
          <w:lang w:val="en-GB"/>
        </w:rPr>
        <w:t> </w:t>
      </w:r>
      <w:r w:rsidRPr="00427476">
        <w:rPr>
          <w:rStyle w:val="w"/>
          <w:rFonts w:asciiTheme="majorBidi" w:hAnsiTheme="majorBidi" w:cstheme="majorBidi"/>
          <w:lang w:val="en-GB"/>
        </w:rPr>
        <w:fldChar w:fldCharType="begin"/>
      </w:r>
      <w:r w:rsidRPr="00427476">
        <w:rPr>
          <w:lang w:val="en-GB"/>
        </w:rPr>
        <w:instrText xml:space="preserve"> XE "</w:instrText>
      </w:r>
      <w:r w:rsidRPr="00274E5C">
        <w:rPr>
          <w:rFonts w:asciiTheme="majorBidi" w:hAnsiTheme="majorBidi" w:cstheme="majorBidi"/>
          <w:lang w:val="en-GB"/>
        </w:rPr>
        <w:instrText>ḫarnizi</w:instrText>
      </w:r>
      <w:r w:rsidRPr="00274E5C">
        <w:rPr>
          <w:lang w:val="en-GB"/>
        </w:rPr>
        <w:instrText>"</w:instrText>
      </w:r>
      <w:r w:rsidRPr="00427476">
        <w:rPr>
          <w:lang w:val="en-GB"/>
        </w:rPr>
        <w:instrText xml:space="preserve"> </w:instrText>
      </w:r>
      <w:r w:rsidRPr="00427476">
        <w:rPr>
          <w:rStyle w:val="w"/>
          <w:rFonts w:asciiTheme="majorBidi" w:hAnsiTheme="majorBidi" w:cstheme="majorBidi"/>
          <w:lang w:val="en-GB"/>
        </w:rPr>
        <w:fldChar w:fldCharType="end"/>
      </w:r>
      <w:r w:rsidRPr="00427476">
        <w:rPr>
          <w:rStyle w:val="w"/>
          <w:rFonts w:asciiTheme="majorBidi" w:hAnsiTheme="majorBidi" w:cstheme="majorBidi"/>
          <w:lang w:val="en-GB"/>
        </w:rPr>
        <w:t xml:space="preserve"> </w:t>
      </w:r>
      <w:r w:rsidRPr="00494AC6">
        <w:rPr>
          <w:rFonts w:ascii="Times New Roman" w:hAnsi="Times New Roman"/>
        </w:rPr>
        <w:t>of </w:t>
      </w:r>
      <w:r w:rsidR="00274E5C" w:rsidRPr="00274E5C">
        <w:rPr>
          <w:rFonts w:ascii="Times New Roman" w:hAnsi="Times New Roman"/>
          <w:lang w:val="en-GB"/>
        </w:rPr>
        <w:t>"</w:t>
      </w:r>
      <w:r w:rsidRPr="000E3892">
        <w:rPr>
          <w:rFonts w:ascii="Times New Roman" w:eastAsia="Calibri" w:hAnsi="Times New Roman" w:cs="Times New Roman"/>
          <w:bCs/>
          <w:lang w:val="en-GB"/>
        </w:rPr>
        <w:t>siršini</w:t>
      </w:r>
      <w:r>
        <w:rPr>
          <w:rFonts w:ascii="Times New Roman" w:eastAsia="Calibri" w:hAnsi="Times New Roman" w:cs="Times New Roman"/>
          <w:bCs/>
          <w:lang w:val="en-GB"/>
        </w:rPr>
        <w:t xml:space="preserve"> </w:t>
      </w:r>
      <w:r w:rsidRPr="000E3892">
        <w:rPr>
          <w:rFonts w:ascii="Times New Roman" w:eastAsia="Calibri" w:hAnsi="Times New Roman" w:cs="Times New Roman"/>
          <w:bCs/>
          <w:lang w:val="en-GB"/>
        </w:rPr>
        <w:t>terdulini</w:t>
      </w:r>
      <w:r w:rsidR="00274E5C" w:rsidRPr="00274E5C">
        <w:rPr>
          <w:rFonts w:ascii="Times New Roman" w:hAnsi="Times New Roman"/>
          <w:lang w:val="en-GB"/>
        </w:rPr>
        <w:t>"</w:t>
      </w:r>
      <w:r w:rsidRPr="00494AC6">
        <w:rPr>
          <w:rFonts w:ascii="Times New Roman" w:hAnsi="Times New Roman"/>
        </w:rPr>
        <w:t xml:space="preserve"> (established?)’, (</w:t>
      </w:r>
      <w:r w:rsidRPr="00494AC6">
        <w:rPr>
          <w:rFonts w:ascii="Times New Roman" w:hAnsi="Times New Roman"/>
          <w:lang w:val="en-GB"/>
        </w:rPr>
        <w:t xml:space="preserve">CTU I. A 5-69; also see </w:t>
      </w:r>
      <w:r w:rsidRPr="000E3892">
        <w:rPr>
          <w:rFonts w:ascii="Times New Roman" w:eastAsia="Calibri" w:hAnsi="Times New Roman" w:cs="Times New Roman"/>
          <w:bCs/>
          <w:lang w:val="en-GB"/>
        </w:rPr>
        <w:t>Chapter</w:t>
      </w:r>
      <w:r w:rsidRPr="00494AC6">
        <w:rPr>
          <w:rFonts w:ascii="Times New Roman" w:hAnsi="Times New Roman"/>
          <w:lang w:val="en-GB"/>
        </w:rPr>
        <w:t xml:space="preserve"> 4, Fig. 28)</w:t>
      </w:r>
    </w:p>
    <w:p w14:paraId="2FFE241A" w14:textId="12D72EBE"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It is clearly stated in both inscriptions that the name of the rock room is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sidRPr="000E3892">
        <w:rPr>
          <w:rFonts w:ascii="Times New Roman" w:eastAsia="Calibri" w:hAnsi="Times New Roman" w:cs="Times New Roman"/>
          <w:bCs/>
          <w:lang w:val="en-GB"/>
        </w:rPr>
        <w:t>.</w:t>
      </w:r>
      <w:r w:rsidRPr="00427476">
        <w:rPr>
          <w:rFonts w:asciiTheme="majorBidi" w:hAnsiTheme="majorBidi" w:cstheme="majorBidi"/>
          <w:i/>
          <w:iCs/>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274E5C">
        <w:rPr>
          <w:lang w:val="en-GB"/>
        </w:rPr>
        <w:instrText>"</w:instrText>
      </w:r>
      <w:r w:rsidRPr="00427476">
        <w:rPr>
          <w:lang w:val="en-GB"/>
        </w:rPr>
        <w:instrText xml:space="preserve"> </w:instrText>
      </w:r>
      <w:r w:rsidRPr="00427476">
        <w:rPr>
          <w:rFonts w:asciiTheme="majorBidi" w:hAnsiTheme="majorBidi" w:cstheme="majorBidi"/>
          <w:i/>
          <w:iCs/>
          <w:lang w:val="en-GB"/>
        </w:rPr>
        <w:fldChar w:fldCharType="end"/>
      </w:r>
      <w:r w:rsidRPr="00494AC6">
        <w:rPr>
          <w:rFonts w:ascii="Times New Roman" w:hAnsi="Times New Roman"/>
          <w:lang w:val="en-GB"/>
        </w:rPr>
        <w:t xml:space="preserve"> Another </w:t>
      </w:r>
      <w:r w:rsidRPr="000E3892">
        <w:rPr>
          <w:rFonts w:ascii="Times New Roman" w:eastAsia="Calibri" w:hAnsi="Times New Roman" w:cs="Times New Roman"/>
          <w:bCs/>
          <w:lang w:val="en-GB"/>
        </w:rPr>
        <w:t xml:space="preserve">duplication text </w:t>
      </w:r>
      <w:r w:rsidRPr="00494AC6">
        <w:rPr>
          <w:rFonts w:ascii="Times New Roman" w:hAnsi="Times New Roman"/>
          <w:lang w:val="en-GB"/>
        </w:rPr>
        <w:t xml:space="preserve">expression refers to another action conducted </w:t>
      </w:r>
      <w:r w:rsidRPr="000E3892">
        <w:rPr>
          <w:rFonts w:ascii="Times New Roman" w:eastAsia="Calibri" w:hAnsi="Times New Roman" w:cs="Times New Roman"/>
          <w:bCs/>
          <w:lang w:val="en-GB"/>
        </w:rPr>
        <w:t>before</w:t>
      </w:r>
      <w:r w:rsidRPr="00494AC6">
        <w:rPr>
          <w:rFonts w:ascii="Times New Roman" w:hAnsi="Times New Roman"/>
          <w:lang w:val="en-GB"/>
        </w:rPr>
        <w:t xml:space="preserve"> this rock structure. Here, inukani esini = ‘in front of this place’; in(i)u= </w:t>
      </w:r>
      <w:r w:rsidRPr="000D4DBA">
        <w:rPr>
          <w:rFonts w:ascii="Times New Roman" w:hAnsi="Times New Roman"/>
          <w:lang w:val="en-GB"/>
        </w:rPr>
        <w:t>demonstrative</w:t>
      </w:r>
      <w:r w:rsidRPr="00494AC6">
        <w:rPr>
          <w:rFonts w:ascii="Times New Roman" w:hAnsi="Times New Roman"/>
          <w:lang w:val="en-GB"/>
        </w:rPr>
        <w:t xml:space="preserve"> ‘this’; -ka(ni) = postposition ‘before’; esi(ni)</w:t>
      </w:r>
      <w:r w:rsidR="00860408" w:rsidRPr="00494AC6">
        <w:rPr>
          <w:rFonts w:ascii="Times New Roman" w:hAnsi="Times New Roman"/>
          <w:lang w:val="en-GB"/>
        </w:rPr>
        <w:t>=</w:t>
      </w:r>
      <w:r w:rsidR="00860408" w:rsidRPr="000E3892">
        <w:rPr>
          <w:rFonts w:ascii="Times New Roman" w:eastAsia="Calibri" w:hAnsi="Times New Roman" w:cs="Times New Roman"/>
          <w:bCs/>
          <w:lang w:val="en-GB"/>
        </w:rPr>
        <w:t xml:space="preserve"> means</w:t>
      </w:r>
      <w:r w:rsidRPr="00494AC6">
        <w:rPr>
          <w:rFonts w:ascii="Times New Roman" w:hAnsi="Times New Roman"/>
          <w:lang w:val="en-GB"/>
        </w:rPr>
        <w:t xml:space="preserve"> ‘place’ (Salvini &amp; Wegner, 2012: 32,109).</w:t>
      </w:r>
    </w:p>
    <w:p w14:paraId="43BBBEC1"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1491CCA1"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38640026"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noProof/>
        </w:rPr>
        <w:lastRenderedPageBreak/>
        <w:drawing>
          <wp:inline distT="0" distB="0" distL="0" distR="0" wp14:anchorId="1A668229" wp14:editId="699C2374">
            <wp:extent cx="5471769" cy="3509633"/>
            <wp:effectExtent l="0" t="0" r="0" b="0"/>
            <wp:docPr id="1605552925" name="Resim 1" descr="el yazısı, siyah beyaz, monokrom, tek renk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52925" name="Resim 1" descr="el yazısı, siyah beyaz, monokrom, tek renkli içeren bir resim&#10;&#10;Açıklama otomatik olarak oluşturuldu"/>
                    <pic:cNvPicPr/>
                  </pic:nvPicPr>
                  <pic:blipFill>
                    <a:blip r:embed="rId216" cstate="email">
                      <a:extLst>
                        <a:ext uri="{28A0092B-C50C-407E-A947-70E740481C1C}">
                          <a14:useLocalDpi xmlns:a14="http://schemas.microsoft.com/office/drawing/2010/main"/>
                        </a:ext>
                      </a:extLst>
                    </a:blip>
                    <a:stretch>
                      <a:fillRect/>
                    </a:stretch>
                  </pic:blipFill>
                  <pic:spPr>
                    <a:xfrm>
                      <a:off x="0" y="0"/>
                      <a:ext cx="5473472" cy="3510725"/>
                    </a:xfrm>
                    <a:prstGeom prst="rect">
                      <a:avLst/>
                    </a:prstGeom>
                  </pic:spPr>
                </pic:pic>
              </a:graphicData>
            </a:graphic>
          </wp:inline>
        </w:drawing>
      </w:r>
    </w:p>
    <w:p w14:paraId="6F668C77" w14:textId="77777777" w:rsidR="00D02275" w:rsidRPr="00494AC6" w:rsidRDefault="00D02275" w:rsidP="00D02275">
      <w:pPr>
        <w:autoSpaceDE w:val="0"/>
        <w:autoSpaceDN w:val="0"/>
        <w:adjustRightInd w:val="0"/>
        <w:spacing w:line="276" w:lineRule="auto"/>
        <w:jc w:val="both"/>
        <w:rPr>
          <w:rFonts w:ascii="Times New Roman" w:hAnsi="Times New Roman"/>
          <w:b/>
          <w:lang w:val="en-GB"/>
        </w:rPr>
      </w:pPr>
      <w:r w:rsidRPr="00494AC6">
        <w:rPr>
          <w:rFonts w:ascii="Times New Roman" w:hAnsi="Times New Roman"/>
          <w:lang w:val="en-GB"/>
        </w:rPr>
        <w:t xml:space="preserve">           Fig. 3 </w:t>
      </w:r>
      <w:r w:rsidRPr="00494AC6">
        <w:rPr>
          <w:rFonts w:ascii="Times New Roman" w:hAnsi="Times New Roman"/>
          <w:i/>
          <w:lang w:val="en-GB"/>
        </w:rPr>
        <w:t xml:space="preserve">Siršini </w:t>
      </w:r>
      <w:r w:rsidRPr="00494AC6">
        <w:rPr>
          <w:rFonts w:ascii="Times New Roman" w:hAnsi="Times New Roman"/>
          <w:lang w:val="en-GB"/>
        </w:rPr>
        <w:t>Stone Inscription</w:t>
      </w:r>
      <w:r w:rsidRPr="00494AC6">
        <w:rPr>
          <w:rFonts w:ascii="Times New Roman" w:hAnsi="Times New Roman"/>
          <w:b/>
          <w:lang w:val="en-GB"/>
        </w:rPr>
        <w:t xml:space="preserve"> (</w:t>
      </w:r>
      <w:r w:rsidRPr="00494AC6">
        <w:rPr>
          <w:rFonts w:ascii="Times New Roman" w:hAnsi="Times New Roman"/>
          <w:lang w:val="en-GB"/>
        </w:rPr>
        <w:t>Tbilisi Museum</w:t>
      </w:r>
      <w:r w:rsidRPr="00494AC6">
        <w:rPr>
          <w:rFonts w:ascii="Times New Roman" w:hAnsi="Times New Roman"/>
          <w:lang w:val="en-GB"/>
        </w:rPr>
        <w:fldChar w:fldCharType="begin"/>
      </w:r>
      <w:r w:rsidRPr="00494AC6">
        <w:rPr>
          <w:rFonts w:ascii="Calibri" w:hAnsi="Calibri"/>
          <w:lang w:val="en-GB"/>
        </w:rPr>
        <w:instrText xml:space="preserve"> XE "</w:instrText>
      </w:r>
      <w:r w:rsidRPr="00494AC6">
        <w:rPr>
          <w:rFonts w:ascii="Times New Roman" w:hAnsi="Times New Roman"/>
        </w:rPr>
        <w:instrText>Tbilisi Museum</w:instrText>
      </w:r>
      <w:r w:rsidRPr="00494AC6">
        <w:rPr>
          <w:rFonts w:ascii="Calibri" w:hAnsi="Calibri"/>
          <w:lang w:val="en-GB"/>
        </w:rPr>
        <w:instrText xml:space="preserve">" </w:instrText>
      </w:r>
      <w:r w:rsidRPr="00494AC6">
        <w:rPr>
          <w:rFonts w:ascii="Times New Roman" w:hAnsi="Times New Roman"/>
          <w:lang w:val="en-GB"/>
        </w:rPr>
        <w:fldChar w:fldCharType="end"/>
      </w:r>
      <w:r w:rsidRPr="00494AC6">
        <w:rPr>
          <w:rFonts w:ascii="Times New Roman" w:hAnsi="Times New Roman"/>
          <w:lang w:val="en-GB"/>
        </w:rPr>
        <w:t>,</w:t>
      </w:r>
      <w:r w:rsidRPr="00494AC6">
        <w:rPr>
          <w:rFonts w:ascii="Times New Roman" w:hAnsi="Times New Roman"/>
          <w:b/>
          <w:lang w:val="en-GB"/>
        </w:rPr>
        <w:t xml:space="preserve"> </w:t>
      </w:r>
      <w:r w:rsidRPr="00494AC6">
        <w:rPr>
          <w:rFonts w:ascii="Times New Roman" w:hAnsi="Times New Roman"/>
          <w:lang w:val="en-GB"/>
        </w:rPr>
        <w:t>Tseretheli 1939: Pl.XVI/7).</w:t>
      </w:r>
    </w:p>
    <w:p w14:paraId="4C27A931"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 </w:t>
      </w:r>
    </w:p>
    <w:p w14:paraId="28928F4C" w14:textId="7EC9434A"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What is mentioned here is the </w:t>
      </w:r>
      <w:r w:rsidR="00274E5C" w:rsidRPr="00274E5C">
        <w:rPr>
          <w:rFonts w:ascii="Times New Roman" w:hAnsi="Times New Roman"/>
          <w:lang w:val="en-GB"/>
        </w:rPr>
        <w:t>"</w:t>
      </w:r>
      <w:r w:rsidRPr="00494AC6">
        <w:rPr>
          <w:rFonts w:ascii="Times New Roman" w:hAnsi="Times New Roman"/>
          <w:lang w:val="en-GB"/>
        </w:rPr>
        <w:t>ḫarnizi</w:t>
      </w:r>
      <w:r w:rsidR="00274E5C"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
          <w:iCs/>
          <w:lang w:val="en-GB"/>
        </w:rPr>
        <w:fldChar w:fldCharType="begin"/>
      </w:r>
      <w:r w:rsidRPr="00427476">
        <w:rPr>
          <w:lang w:val="en-GB"/>
        </w:rPr>
        <w:instrText xml:space="preserve"> XE "</w:instrText>
      </w:r>
      <w:r w:rsidRPr="00274E5C">
        <w:rPr>
          <w:rFonts w:asciiTheme="majorBidi" w:hAnsiTheme="majorBidi" w:cstheme="majorBidi"/>
          <w:lang w:val="en-GB"/>
        </w:rPr>
        <w:instrText>ḫarnizi</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 xml:space="preserve">of the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Pr>
          <w:rFonts w:ascii="Times New Roman" w:hAnsi="Times New Roman"/>
          <w:lang w:val="en-GB"/>
        </w:rPr>
        <w:fldChar w:fldCharType="begin"/>
      </w:r>
      <w:r>
        <w:instrText xml:space="preserve"> XE "</w:instrText>
      </w:r>
      <w:r w:rsidRPr="00494AC6">
        <w:rPr>
          <w:rFonts w:ascii="Times New Roman" w:hAnsi="Times New Roman"/>
          <w:lang w:val="en-GB"/>
        </w:rPr>
        <w:instrText>siršini</w:instrText>
      </w:r>
      <w:r>
        <w:instrText xml:space="preserve">" </w:instrText>
      </w:r>
      <w:r>
        <w:rPr>
          <w:rFonts w:ascii="Times New Roman" w:hAnsi="Times New Roman"/>
          <w:lang w:val="en-GB"/>
        </w:rPr>
        <w:fldChar w:fldCharType="end"/>
      </w:r>
      <w:r w:rsidRPr="000E3892">
        <w:rPr>
          <w:rFonts w:ascii="Times New Roman" w:eastAsia="Calibri" w:hAnsi="Times New Roman" w:cs="Times New Roman"/>
          <w:lang w:val="en-GB"/>
        </w:rPr>
        <w:t>. ''</w:t>
      </w:r>
      <w:r>
        <w:rPr>
          <w:rFonts w:ascii="Times New Roman" w:eastAsia="Calibri" w:hAnsi="Times New Roman" w:cs="Times New Roman"/>
          <w:lang w:val="en-GB"/>
        </w:rPr>
        <w:t>H</w:t>
      </w:r>
      <w:r w:rsidRPr="000E3892">
        <w:rPr>
          <w:rFonts w:ascii="Times New Roman" w:eastAsia="Calibri" w:hAnsi="Times New Roman" w:cs="Times New Roman"/>
          <w:lang w:val="en-GB"/>
        </w:rPr>
        <w:t>arnizi</w:t>
      </w:r>
      <w:r w:rsidR="00274E5C" w:rsidRPr="00274E5C">
        <w:rPr>
          <w:rFonts w:ascii="Times New Roman" w:hAnsi="Times New Roman"/>
          <w:lang w:val="en-GB"/>
        </w:rPr>
        <w:t>"</w:t>
      </w:r>
      <w:r>
        <w:rPr>
          <w:rFonts w:asciiTheme="majorBidi" w:hAnsiTheme="majorBidi" w:cstheme="majorBidi"/>
          <w:lang w:val="en-GB"/>
        </w:rPr>
        <w:t xml:space="preserve"> </w:t>
      </w:r>
      <w:r w:rsidRPr="00494AC6">
        <w:rPr>
          <w:rFonts w:ascii="Times New Roman" w:hAnsi="Times New Roman"/>
          <w:lang w:val="en-GB"/>
        </w:rPr>
        <w:t>is a word we encounter here for the first time in Urartian</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texts. According to the inscription, ḫarnizi must have been located on the platform (90 x 55 m) in front of the rock room.</w:t>
      </w:r>
    </w:p>
    <w:p w14:paraId="19902FED"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4B8B5E5B" w14:textId="238EDA29"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Expressions such as paḫanili= </w:t>
      </w:r>
      <w:r w:rsidRPr="000E3892">
        <w:rPr>
          <w:rFonts w:ascii="Times New Roman" w:eastAsia="Calibri" w:hAnsi="Times New Roman" w:cs="Times New Roman"/>
          <w:lang w:val="en-GB"/>
        </w:rPr>
        <w:t>''oxen'', and</w:t>
      </w:r>
      <w:r w:rsidRPr="00494AC6">
        <w:rPr>
          <w:rFonts w:ascii="Times New Roman" w:hAnsi="Times New Roman"/>
          <w:lang w:val="en-GB"/>
        </w:rPr>
        <w:t xml:space="preserve"> niribi= </w:t>
      </w:r>
      <w:r w:rsidRPr="000E3892">
        <w:rPr>
          <w:rFonts w:ascii="Times New Roman" w:eastAsia="Calibri" w:hAnsi="Times New Roman" w:cs="Times New Roman"/>
          <w:lang w:val="en-GB"/>
        </w:rPr>
        <w:t>''herd''</w:t>
      </w:r>
      <w:r w:rsidRPr="00494AC6">
        <w:rPr>
          <w:rFonts w:ascii="Times New Roman" w:hAnsi="Times New Roman"/>
          <w:lang w:val="en-GB"/>
        </w:rPr>
        <w:t xml:space="preserve"> mentioned in the curse parts of the inscription indicate that </w:t>
      </w:r>
      <w:r w:rsidR="00274E5C" w:rsidRPr="00274E5C">
        <w:rPr>
          <w:rFonts w:ascii="Times New Roman" w:hAnsi="Times New Roman"/>
          <w:lang w:val="en-GB"/>
        </w:rPr>
        <w:t>"</w:t>
      </w:r>
      <w:r w:rsidRPr="00494AC6">
        <w:rPr>
          <w:rFonts w:ascii="Times New Roman" w:hAnsi="Times New Roman"/>
          <w:lang w:val="en-GB"/>
        </w:rPr>
        <w:t>ḫarnizi</w:t>
      </w:r>
      <w:r w:rsidR="00274E5C" w:rsidRPr="00274E5C">
        <w:rPr>
          <w:rFonts w:ascii="Times New Roman" w:hAnsi="Times New Roman"/>
          <w:lang w:val="en-GB"/>
        </w:rPr>
        <w:t>"</w:t>
      </w:r>
      <w:r w:rsidRPr="000E3892">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274E5C">
        <w:rPr>
          <w:rFonts w:asciiTheme="majorBidi" w:hAnsiTheme="majorBidi" w:cstheme="majorBidi"/>
          <w:lang w:val="en-GB"/>
        </w:rPr>
        <w:instrText>ḫarnizi</w:instrText>
      </w:r>
      <w:r w:rsidRPr="00427476">
        <w:rPr>
          <w:lang w:val="en-GB"/>
        </w:rPr>
        <w:instrText xml:space="preserve">" </w:instrText>
      </w:r>
      <w:r w:rsidRPr="00427476">
        <w:rPr>
          <w:rFonts w:asciiTheme="majorBidi" w:hAnsiTheme="majorBidi" w:cstheme="majorBidi"/>
          <w:lang w:val="en-GB"/>
        </w:rPr>
        <w:fldChar w:fldCharType="end"/>
      </w:r>
      <w:r w:rsidRPr="00494AC6">
        <w:rPr>
          <w:rFonts w:ascii="Times New Roman" w:hAnsi="Times New Roman"/>
          <w:lang w:val="en-GB"/>
        </w:rPr>
        <w:t xml:space="preserve"> located in front of the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sidRPr="000E3892">
        <w:rPr>
          <w:rFonts w:ascii="Times New Roman" w:eastAsia="Calibri" w:hAnsi="Times New Roman" w:cs="Times New Roman"/>
          <w:lang w:val="en-GB"/>
        </w:rPr>
        <w:t>,</w:t>
      </w:r>
      <w:r w:rsidRPr="00427476">
        <w:rPr>
          <w:rFonts w:asciiTheme="majorBidi" w:hAnsiTheme="majorBidi" w:cstheme="majorBidi"/>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lang w:val="en-GB"/>
        </w:rPr>
        <w:fldChar w:fldCharType="end"/>
      </w:r>
      <w:r w:rsidRPr="00494AC6">
        <w:rPr>
          <w:rFonts w:ascii="Times New Roman" w:hAnsi="Times New Roman"/>
          <w:lang w:val="en-GB"/>
        </w:rPr>
        <w:t xml:space="preserve"> is also a place connected with animals. Nevertheless, the precise translation of the form ḫarnizi is </w:t>
      </w:r>
      <w:r w:rsidRPr="000E3892">
        <w:rPr>
          <w:rFonts w:ascii="Times New Roman" w:eastAsia="Calibri" w:hAnsi="Times New Roman" w:cs="Times New Roman"/>
          <w:lang w:val="en-GB"/>
        </w:rPr>
        <w:t>crucial</w:t>
      </w:r>
      <w:r w:rsidRPr="00494AC6">
        <w:rPr>
          <w:rFonts w:ascii="Times New Roman" w:hAnsi="Times New Roman"/>
          <w:lang w:val="en-GB"/>
        </w:rPr>
        <w:t xml:space="preserve"> when determining </w:t>
      </w:r>
      <w:r w:rsidRPr="000E3892">
        <w:rPr>
          <w:rFonts w:ascii="Times New Roman" w:eastAsia="Calibri" w:hAnsi="Times New Roman" w:cs="Times New Roman"/>
          <w:lang w:val="en-GB"/>
        </w:rPr>
        <w:t>this space's</w:t>
      </w:r>
      <w:r w:rsidRPr="00494AC6">
        <w:rPr>
          <w:rFonts w:ascii="Times New Roman" w:hAnsi="Times New Roman"/>
          <w:lang w:val="en-GB"/>
        </w:rPr>
        <w:t xml:space="preserve"> function. Another striking point in the rock inscription is the expressions in the curse text. We see anxiety reflected in the curse. The anxiety that even the animals gathered at the </w:t>
      </w:r>
      <w:r w:rsidRPr="000E3892">
        <w:rPr>
          <w:rFonts w:ascii="Times New Roman" w:eastAsia="Calibri" w:hAnsi="Times New Roman" w:cs="Times New Roman"/>
          <w:lang w:val="en-GB"/>
        </w:rPr>
        <w:t>center</w:t>
      </w:r>
      <w:r w:rsidRPr="00494AC6">
        <w:rPr>
          <w:rFonts w:ascii="Times New Roman" w:hAnsi="Times New Roman"/>
          <w:lang w:val="en-GB"/>
        </w:rPr>
        <w:t xml:space="preserve"> of a powerful </w:t>
      </w:r>
      <w:r w:rsidRPr="000E3892">
        <w:rPr>
          <w:rFonts w:ascii="Times New Roman" w:eastAsia="Calibri" w:hAnsi="Times New Roman" w:cs="Times New Roman"/>
          <w:lang w:val="en-GB"/>
        </w:rPr>
        <w:t>kingdom's</w:t>
      </w:r>
      <w:r w:rsidRPr="00494AC6">
        <w:rPr>
          <w:rFonts w:ascii="Times New Roman" w:hAnsi="Times New Roman"/>
          <w:lang w:val="en-GB"/>
        </w:rPr>
        <w:t xml:space="preserve"> capital could be stolen.</w:t>
      </w:r>
    </w:p>
    <w:p w14:paraId="3CAF98EF"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378AD46D" w14:textId="7EAACE4B"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However, instead of reflecting real concerns, this may very well be </w:t>
      </w:r>
      <w:r w:rsidRPr="000E3892">
        <w:rPr>
          <w:rFonts w:ascii="Times New Roman" w:eastAsia="Calibri" w:hAnsi="Times New Roman" w:cs="Times New Roman"/>
          <w:lang w:val="en-GB"/>
        </w:rPr>
        <w:t>Minua</w:t>
      </w:r>
      <w:r w:rsidR="00C1513A">
        <w:rPr>
          <w:rFonts w:ascii="Times New Roman" w:eastAsia="Calibri" w:hAnsi="Times New Roman" w:cs="Times New Roman"/>
          <w:lang w:val="en-GB"/>
        </w:rPr>
        <w:fldChar w:fldCharType="begin"/>
      </w:r>
      <w:r w:rsidR="00C1513A">
        <w:instrText xml:space="preserve"> XE "</w:instrText>
      </w:r>
      <w:r w:rsidR="00C1513A" w:rsidRPr="00FB3DDC">
        <w:rPr>
          <w:rFonts w:asciiTheme="majorBidi" w:eastAsia="Times New Roman" w:hAnsiTheme="majorBidi" w:cstheme="majorBidi"/>
          <w:iCs/>
        </w:rPr>
        <w:instrText>Minua</w:instrText>
      </w:r>
      <w:r w:rsidR="00C1513A">
        <w:instrText xml:space="preserve">" </w:instrText>
      </w:r>
      <w:r w:rsidR="00C1513A">
        <w:rPr>
          <w:rFonts w:ascii="Times New Roman" w:eastAsia="Calibri" w:hAnsi="Times New Roman" w:cs="Times New Roman"/>
          <w:lang w:val="en-GB"/>
        </w:rPr>
        <w:fldChar w:fldCharType="end"/>
      </w:r>
      <w:r w:rsidRPr="000E3892">
        <w:rPr>
          <w:rFonts w:ascii="Times New Roman" w:eastAsia="Calibri" w:hAnsi="Times New Roman" w:cs="Times New Roman"/>
          <w:lang w:val="en-GB"/>
        </w:rPr>
        <w:t>'s</w:t>
      </w:r>
      <w:r w:rsidRPr="00494AC6">
        <w:rPr>
          <w:rFonts w:ascii="Times New Roman" w:hAnsi="Times New Roman"/>
          <w:lang w:val="en-GB"/>
        </w:rPr>
        <w:t xml:space="preserve"> desire to intimidate those who came after him and the adaptation of the curse tradition in the Urartian</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 xml:space="preserve">inscriptions to the structure. </w:t>
      </w:r>
    </w:p>
    <w:p w14:paraId="64043E00"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11CB6F21" w14:textId="4F6E610F"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Apart from the </w:t>
      </w:r>
      <w:r w:rsidR="00274E5C" w:rsidRPr="00274E5C">
        <w:rPr>
          <w:rFonts w:ascii="Times New Roman" w:hAnsi="Times New Roman"/>
          <w:lang w:val="en-GB"/>
        </w:rPr>
        <w:t>"</w:t>
      </w:r>
      <w:r w:rsidRPr="000E3892">
        <w:rPr>
          <w:rFonts w:ascii="Times New Roman" w:eastAsia="Calibri" w:hAnsi="Times New Roman" w:cs="Times New Roman"/>
          <w:lang w:val="en-GB"/>
        </w:rPr>
        <w:t>siršini</w:t>
      </w:r>
      <w:r w:rsidR="00274E5C" w:rsidRPr="00274E5C">
        <w:rPr>
          <w:rFonts w:ascii="Times New Roman" w:hAnsi="Times New Roman"/>
          <w:lang w:val="en-GB"/>
        </w:rPr>
        <w:t>"</w:t>
      </w:r>
      <w:r>
        <w:rPr>
          <w:rFonts w:ascii="Times New Roman" w:eastAsia="Calibri" w:hAnsi="Times New Roman" w:cs="Times New Roman"/>
          <w:lang w:val="en-GB"/>
        </w:rPr>
        <w:fldChar w:fldCharType="begin"/>
      </w:r>
      <w:r>
        <w:instrText xml:space="preserve"> XE "</w:instrText>
      </w:r>
      <w:r w:rsidRPr="00494AC6">
        <w:rPr>
          <w:rFonts w:ascii="Times New Roman" w:hAnsi="Times New Roman"/>
          <w:lang w:val="en-GB"/>
        </w:rPr>
        <w:instrText>siršini</w:instrText>
      </w:r>
      <w:r>
        <w:instrText xml:space="preserve">" </w:instrText>
      </w:r>
      <w:r>
        <w:rPr>
          <w:rFonts w:ascii="Times New Roman" w:eastAsia="Calibri" w:hAnsi="Times New Roman" w:cs="Times New Roman"/>
          <w:lang w:val="en-GB"/>
        </w:rPr>
        <w:fldChar w:fldCharType="end"/>
      </w:r>
      <w:r w:rsidRPr="000E3892">
        <w:rPr>
          <w:rFonts w:ascii="Times New Roman" w:eastAsia="Calibri" w:hAnsi="Times New Roman" w:cs="Times New Roman"/>
          <w:lang w:val="en-GB"/>
        </w:rPr>
        <w:t xml:space="preserve">, as </w:t>
      </w:r>
      <w:r w:rsidRPr="00494AC6">
        <w:rPr>
          <w:rFonts w:ascii="Times New Roman" w:hAnsi="Times New Roman"/>
          <w:lang w:val="en-GB"/>
        </w:rPr>
        <w:t xml:space="preserve">mentioned </w:t>
      </w:r>
      <w:r w:rsidRPr="000E3892">
        <w:rPr>
          <w:rFonts w:ascii="Times New Roman" w:eastAsia="Calibri" w:hAnsi="Times New Roman" w:cs="Times New Roman"/>
          <w:lang w:val="en-GB"/>
        </w:rPr>
        <w:t>above,</w:t>
      </w:r>
      <w:r w:rsidRPr="00494AC6">
        <w:rPr>
          <w:rFonts w:ascii="Times New Roman" w:hAnsi="Times New Roman"/>
          <w:lang w:val="en-GB"/>
        </w:rPr>
        <w:t xml:space="preserve"> rock inscription and wall inscription, </w:t>
      </w:r>
      <w:r w:rsidRPr="00AA1737">
        <w:rPr>
          <w:rFonts w:ascii="Times New Roman" w:hAnsi="Times New Roman"/>
          <w:lang w:val="en-GB"/>
        </w:rPr>
        <w:t xml:space="preserve">other inscriptions with the </w:t>
      </w:r>
      <w:r w:rsidRPr="00AA1737">
        <w:rPr>
          <w:rFonts w:ascii="Times New Roman" w:eastAsia="Calibri" w:hAnsi="Times New Roman" w:cs="Times New Roman"/>
          <w:lang w:val="en-GB"/>
        </w:rPr>
        <w:t>exact</w:t>
      </w:r>
      <w:r w:rsidRPr="00AA1737">
        <w:rPr>
          <w:rFonts w:ascii="Times New Roman" w:hAnsi="Times New Roman"/>
          <w:lang w:val="en-GB"/>
        </w:rPr>
        <w:t xml:space="preserve"> text may have been placed in the area. The </w:t>
      </w:r>
      <w:r w:rsidR="00274E5C" w:rsidRPr="00274E5C">
        <w:rPr>
          <w:rFonts w:ascii="Times New Roman" w:hAnsi="Times New Roman"/>
          <w:lang w:val="en-GB"/>
        </w:rPr>
        <w:t>"</w:t>
      </w:r>
      <w:r w:rsidRPr="00AA1737">
        <w:rPr>
          <w:rFonts w:ascii="Times New Roman" w:hAnsi="Times New Roman"/>
          <w:lang w:val="en-GB"/>
        </w:rPr>
        <w:t>taramanili</w:t>
      </w:r>
      <w:r w:rsidR="00274E5C" w:rsidRPr="00274E5C">
        <w:rPr>
          <w:rFonts w:ascii="Times New Roman" w:hAnsi="Times New Roman"/>
          <w:lang w:val="en-GB"/>
        </w:rPr>
        <w:t>"</w:t>
      </w:r>
      <w:r w:rsidRPr="00AA1737">
        <w:rPr>
          <w:rFonts w:ascii="Times New Roman" w:eastAsia="Calibri" w:hAnsi="Times New Roman" w:cs="Times New Roman"/>
          <w:lang w:val="en-GB"/>
        </w:rPr>
        <w:t> </w:t>
      </w:r>
      <w:r w:rsidRPr="00AA1737">
        <w:rPr>
          <w:rFonts w:asciiTheme="majorBidi" w:hAnsiTheme="majorBidi" w:cstheme="majorBidi"/>
          <w:lang w:val="en-GB"/>
        </w:rPr>
        <w:fldChar w:fldCharType="begin"/>
      </w:r>
      <w:r w:rsidRPr="00AA1737">
        <w:rPr>
          <w:lang w:val="en-GB"/>
        </w:rPr>
        <w:instrText xml:space="preserve"> XE "</w:instrText>
      </w:r>
      <w:r w:rsidRPr="00AA1737">
        <w:rPr>
          <w:rFonts w:asciiTheme="majorBidi" w:hAnsiTheme="majorBidi" w:cstheme="majorBidi"/>
          <w:lang w:val="en-GB"/>
        </w:rPr>
        <w:instrText>taramanili</w:instrText>
      </w:r>
      <w:r w:rsidRPr="00AA1737">
        <w:rPr>
          <w:lang w:val="en-GB"/>
        </w:rPr>
        <w:instrText xml:space="preserve">" </w:instrText>
      </w:r>
      <w:r w:rsidRPr="00AA1737">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 xml:space="preserve">inscriptions that consist of three rock inscriptions with the </w:t>
      </w:r>
      <w:r w:rsidRPr="000E3892">
        <w:rPr>
          <w:rFonts w:ascii="Times New Roman" w:eastAsia="Calibri" w:hAnsi="Times New Roman" w:cs="Times New Roman"/>
          <w:lang w:val="en-GB"/>
        </w:rPr>
        <w:t>exact</w:t>
      </w:r>
      <w:r w:rsidRPr="00494AC6">
        <w:rPr>
          <w:rFonts w:ascii="Times New Roman" w:hAnsi="Times New Roman"/>
          <w:lang w:val="en-GB"/>
        </w:rPr>
        <w:t xml:space="preserve"> text are </w:t>
      </w:r>
      <w:r w:rsidRPr="000E3892">
        <w:rPr>
          <w:rFonts w:ascii="Times New Roman" w:eastAsia="Calibri" w:hAnsi="Times New Roman" w:cs="Times New Roman"/>
          <w:lang w:val="en-GB"/>
        </w:rPr>
        <w:t>an excellent</w:t>
      </w:r>
      <w:r w:rsidRPr="00494AC6">
        <w:rPr>
          <w:rFonts w:ascii="Times New Roman" w:hAnsi="Times New Roman"/>
          <w:lang w:val="en-GB"/>
        </w:rPr>
        <w:t xml:space="preserve"> example of the triple inscription tradition of the Minua</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Minua</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period</w:t>
      </w:r>
      <w:r>
        <w:rPr>
          <w:rFonts w:ascii="Times New Roman" w:eastAsia="Calibri" w:hAnsi="Times New Roman" w:cs="Times New Roman"/>
          <w:lang w:val="en-GB"/>
        </w:rPr>
        <w:t xml:space="preserve"> </w:t>
      </w:r>
      <w:r w:rsidRPr="00494AC6">
        <w:rPr>
          <w:rFonts w:ascii="Times New Roman" w:hAnsi="Times New Roman"/>
          <w:lang w:val="en-GB"/>
        </w:rPr>
        <w:t xml:space="preserve">(CTU I. A 5-58A-B-C). The stele slot, traces of which can be seen just outside the stone walled part of the siršini room, indicates that there may have been another inscription in this area. Thus, it is likely that the area in question was a ceremonial place arranged with rock, wall, and stele inscriptions. Apart from the bedrock inscription to the west of the entrance (Fig. 2), the possible locations of the inscribed block on the wall (Fig. 3) </w:t>
      </w:r>
      <w:r w:rsidRPr="00494AC6">
        <w:rPr>
          <w:rFonts w:ascii="Times New Roman" w:hAnsi="Times New Roman"/>
          <w:lang w:val="en-GB"/>
        </w:rPr>
        <w:lastRenderedPageBreak/>
        <w:t>and the stele in front of the wall (Fig. 10-11) or on the platform to the east (Fig. 1), at the entrance of the siršini can be constructed based on the archaeological data (Fig. 4-5).</w:t>
      </w:r>
    </w:p>
    <w:p w14:paraId="4472F265" w14:textId="77777777" w:rsidR="00D02275" w:rsidRDefault="00D02275" w:rsidP="00D02275">
      <w:pPr>
        <w:autoSpaceDE w:val="0"/>
        <w:autoSpaceDN w:val="0"/>
        <w:adjustRightInd w:val="0"/>
        <w:spacing w:line="276" w:lineRule="auto"/>
        <w:jc w:val="both"/>
        <w:rPr>
          <w:rFonts w:ascii="Times New Roman" w:eastAsia="Calibri" w:hAnsi="Times New Roman" w:cs="Times New Roman"/>
          <w:i/>
          <w:lang w:val="en-GB"/>
        </w:rPr>
      </w:pPr>
      <w:r w:rsidRPr="009D3CC4">
        <w:rPr>
          <w:rFonts w:ascii="Times New Roman" w:eastAsia="Calibri" w:hAnsi="Times New Roman" w:cs="Times New Roman"/>
          <w:i/>
          <w:noProof/>
        </w:rPr>
        <w:drawing>
          <wp:inline distT="0" distB="0" distL="0" distR="0" wp14:anchorId="2608FAB3" wp14:editId="41866B89">
            <wp:extent cx="3210560" cy="1830542"/>
            <wp:effectExtent l="12700" t="12700" r="15240" b="11430"/>
            <wp:docPr id="1727728797" name="Resim 12" descr="taslak, çizim,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5588" name="Resim 12" descr="taslak, çizim, siyah beyaz içeren bir resim&#10;&#10;Açıklama otomatik olarak oluşturuldu"/>
                    <pic:cNvPicPr/>
                  </pic:nvPicPr>
                  <pic:blipFill>
                    <a:blip r:embed="rId217" cstate="email">
                      <a:extLst>
                        <a:ext uri="{28A0092B-C50C-407E-A947-70E740481C1C}">
                          <a14:useLocalDpi xmlns:a14="http://schemas.microsoft.com/office/drawing/2010/main"/>
                        </a:ext>
                      </a:extLst>
                    </a:blip>
                    <a:stretch>
                      <a:fillRect/>
                    </a:stretch>
                  </pic:blipFill>
                  <pic:spPr>
                    <a:xfrm>
                      <a:off x="0" y="0"/>
                      <a:ext cx="3229456" cy="1841316"/>
                    </a:xfrm>
                    <a:prstGeom prst="rect">
                      <a:avLst/>
                    </a:prstGeom>
                    <a:ln>
                      <a:solidFill>
                        <a:sysClr val="windowText" lastClr="000000"/>
                      </a:solidFill>
                    </a:ln>
                  </pic:spPr>
                </pic:pic>
              </a:graphicData>
            </a:graphic>
          </wp:inline>
        </w:drawing>
      </w:r>
    </w:p>
    <w:p w14:paraId="08C9E962" w14:textId="695A31FD"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Fig. 4 The restitution of the entrance of the </w:t>
      </w:r>
      <w:r w:rsidR="00274E5C" w:rsidRPr="00274E5C">
        <w:rPr>
          <w:rFonts w:ascii="Times New Roman" w:hAnsi="Times New Roman"/>
          <w:lang w:val="en-GB"/>
        </w:rPr>
        <w:t>"</w:t>
      </w:r>
      <w:r w:rsidRPr="00274E5C">
        <w:rPr>
          <w:rFonts w:ascii="Times New Roman" w:hAnsi="Times New Roman"/>
          <w:iCs/>
          <w:lang w:val="en-GB"/>
        </w:rPr>
        <w:t>siršini</w:t>
      </w:r>
      <w:r w:rsidR="00274E5C" w:rsidRPr="00274E5C">
        <w:rPr>
          <w:rFonts w:ascii="Times New Roman" w:hAnsi="Times New Roman"/>
          <w:lang w:val="en-GB"/>
        </w:rPr>
        <w:t>"</w:t>
      </w:r>
      <w:r w:rsidRPr="00274E5C">
        <w:rPr>
          <w:rFonts w:ascii="Times New Roman" w:hAnsi="Times New Roman"/>
          <w:iCs/>
          <w:lang w:val="en-GB"/>
        </w:rPr>
        <w:fldChar w:fldCharType="begin"/>
      </w:r>
      <w:r w:rsidRPr="00274E5C">
        <w:rPr>
          <w:rFonts w:ascii="Calibri" w:hAnsi="Calibri"/>
          <w:iCs/>
          <w:lang w:val="en-GB"/>
        </w:rPr>
        <w:instrText xml:space="preserve"> XE "</w:instrText>
      </w:r>
      <w:r w:rsidRPr="00274E5C">
        <w:rPr>
          <w:rFonts w:ascii="Times New Roman" w:hAnsi="Times New Roman"/>
          <w:iCs/>
          <w:lang w:val="en-GB"/>
        </w:rPr>
        <w:instrText>siršini</w:instrText>
      </w:r>
      <w:r w:rsidRPr="00274E5C">
        <w:rPr>
          <w:rFonts w:ascii="Calibri" w:hAnsi="Calibri"/>
          <w:iCs/>
          <w:lang w:val="en-GB"/>
        </w:rPr>
        <w:instrText xml:space="preserve">" </w:instrText>
      </w:r>
      <w:r w:rsidRPr="00274E5C">
        <w:rPr>
          <w:rFonts w:ascii="Times New Roman" w:hAnsi="Times New Roman"/>
          <w:iCs/>
          <w:lang w:val="en-GB"/>
        </w:rPr>
        <w:fldChar w:fldCharType="end"/>
      </w:r>
      <w:r w:rsidRPr="00494AC6">
        <w:rPr>
          <w:rFonts w:ascii="Times New Roman" w:hAnsi="Times New Roman"/>
          <w:lang w:val="en-GB"/>
        </w:rPr>
        <w:t xml:space="preserve"> with the possible stele on the eastern platform.</w:t>
      </w:r>
    </w:p>
    <w:p w14:paraId="450AFC2A" w14:textId="77777777" w:rsidR="00D02275" w:rsidRPr="00494AC6" w:rsidRDefault="00D02275" w:rsidP="00D02275">
      <w:pPr>
        <w:autoSpaceDE w:val="0"/>
        <w:autoSpaceDN w:val="0"/>
        <w:adjustRightInd w:val="0"/>
        <w:spacing w:line="276" w:lineRule="auto"/>
        <w:jc w:val="both"/>
        <w:rPr>
          <w:rFonts w:ascii="Times New Roman" w:hAnsi="Times New Roman"/>
          <w:i/>
          <w:lang w:val="en-GB"/>
        </w:rPr>
      </w:pPr>
    </w:p>
    <w:p w14:paraId="5178AD80" w14:textId="77777777" w:rsidR="00D02275" w:rsidRPr="009D3CC4" w:rsidRDefault="00D02275" w:rsidP="00D02275">
      <w:pPr>
        <w:autoSpaceDE w:val="0"/>
        <w:autoSpaceDN w:val="0"/>
        <w:adjustRightInd w:val="0"/>
        <w:spacing w:line="276" w:lineRule="auto"/>
        <w:jc w:val="both"/>
        <w:rPr>
          <w:rFonts w:ascii="Times New Roman" w:eastAsia="Calibri" w:hAnsi="Times New Roman" w:cs="Times New Roman"/>
          <w:i/>
          <w:lang w:val="en-GB"/>
        </w:rPr>
      </w:pPr>
      <w:r w:rsidRPr="009D3CC4">
        <w:rPr>
          <w:rFonts w:ascii="Times New Roman" w:eastAsia="Calibri" w:hAnsi="Times New Roman" w:cs="Times New Roman"/>
          <w:i/>
          <w:noProof/>
        </w:rPr>
        <w:drawing>
          <wp:inline distT="0" distB="0" distL="0" distR="0" wp14:anchorId="5CD83DAF" wp14:editId="6EC35763">
            <wp:extent cx="3210716" cy="1734619"/>
            <wp:effectExtent l="12700" t="12700" r="15240" b="18415"/>
            <wp:docPr id="688526335" name="Resim 13" descr="taslak, sanat, siyah beyaz içeren bir resim&#10;&#10;Açıklama otomatik olarak orta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04780" name="Resim 13" descr="taslak, sanat, siyah beyaz içeren bir resim&#10;&#10;Açıklama otomatik olarak orta güvenilirlik düzeyiyle oluşturuldu"/>
                    <pic:cNvPicPr/>
                  </pic:nvPicPr>
                  <pic:blipFill>
                    <a:blip r:embed="rId218" cstate="email">
                      <a:extLst>
                        <a:ext uri="{28A0092B-C50C-407E-A947-70E740481C1C}">
                          <a14:useLocalDpi xmlns:a14="http://schemas.microsoft.com/office/drawing/2010/main"/>
                        </a:ext>
                      </a:extLst>
                    </a:blip>
                    <a:stretch>
                      <a:fillRect/>
                    </a:stretch>
                  </pic:blipFill>
                  <pic:spPr>
                    <a:xfrm>
                      <a:off x="0" y="0"/>
                      <a:ext cx="3211742" cy="1735173"/>
                    </a:xfrm>
                    <a:prstGeom prst="rect">
                      <a:avLst/>
                    </a:prstGeom>
                    <a:ln>
                      <a:solidFill>
                        <a:sysClr val="windowText" lastClr="000000"/>
                      </a:solidFill>
                    </a:ln>
                  </pic:spPr>
                </pic:pic>
              </a:graphicData>
            </a:graphic>
          </wp:inline>
        </w:drawing>
      </w:r>
    </w:p>
    <w:p w14:paraId="1DA4E3F7" w14:textId="67C28B49"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Fig. 5 The restitution of the entrance of the </w:t>
      </w:r>
      <w:r w:rsidR="00274E5C" w:rsidRPr="00274E5C">
        <w:rPr>
          <w:rFonts w:ascii="Times New Roman" w:hAnsi="Times New Roman"/>
          <w:lang w:val="en-GB"/>
        </w:rPr>
        <w:t>"</w:t>
      </w:r>
      <w:r w:rsidRPr="00274E5C">
        <w:rPr>
          <w:rFonts w:ascii="Times New Roman" w:hAnsi="Times New Roman"/>
          <w:iCs/>
          <w:lang w:val="en-GB"/>
        </w:rPr>
        <w:t>siršini</w:t>
      </w:r>
      <w:r w:rsidR="00274E5C" w:rsidRPr="00274E5C">
        <w:rPr>
          <w:rFonts w:ascii="Times New Roman" w:hAnsi="Times New Roman"/>
          <w:lang w:val="en-GB"/>
        </w:rPr>
        <w:t>"</w:t>
      </w:r>
      <w:r w:rsidRPr="00274E5C">
        <w:rPr>
          <w:rFonts w:ascii="Times New Roman" w:hAnsi="Times New Roman"/>
          <w:iCs/>
          <w:lang w:val="en-GB"/>
        </w:rPr>
        <w:t xml:space="preserve"> </w:t>
      </w:r>
      <w:r w:rsidRPr="00274E5C">
        <w:rPr>
          <w:rFonts w:ascii="Times New Roman" w:hAnsi="Times New Roman"/>
          <w:iCs/>
          <w:lang w:val="en-GB"/>
        </w:rPr>
        <w:fldChar w:fldCharType="begin"/>
      </w:r>
      <w:r w:rsidRPr="00274E5C">
        <w:rPr>
          <w:rFonts w:ascii="Calibri" w:hAnsi="Calibri"/>
          <w:iCs/>
          <w:lang w:val="en-GB"/>
        </w:rPr>
        <w:instrText xml:space="preserve"> XE "</w:instrText>
      </w:r>
      <w:r w:rsidRPr="00274E5C">
        <w:rPr>
          <w:rFonts w:ascii="Times New Roman" w:hAnsi="Times New Roman"/>
          <w:iCs/>
          <w:lang w:val="en-GB"/>
        </w:rPr>
        <w:instrText>siršini</w:instrText>
      </w:r>
      <w:r w:rsidRPr="00274E5C">
        <w:rPr>
          <w:rFonts w:ascii="Calibri" w:hAnsi="Calibri"/>
          <w:iCs/>
          <w:lang w:val="en-GB"/>
        </w:rPr>
        <w:instrText xml:space="preserve">" </w:instrText>
      </w:r>
      <w:r w:rsidRPr="00274E5C">
        <w:rPr>
          <w:rFonts w:ascii="Times New Roman" w:hAnsi="Times New Roman"/>
          <w:iCs/>
          <w:lang w:val="en-GB"/>
        </w:rPr>
        <w:fldChar w:fldCharType="end"/>
      </w:r>
      <w:r w:rsidRPr="00494AC6">
        <w:rPr>
          <w:rFonts w:ascii="Times New Roman" w:hAnsi="Times New Roman"/>
          <w:lang w:val="en-GB"/>
        </w:rPr>
        <w:t xml:space="preserve"> with possible stele in front of the entrance.</w:t>
      </w:r>
    </w:p>
    <w:p w14:paraId="59CA33C0" w14:textId="77777777" w:rsidR="00D02275" w:rsidRPr="00494AC6" w:rsidRDefault="00D02275" w:rsidP="00D02275">
      <w:pPr>
        <w:autoSpaceDE w:val="0"/>
        <w:autoSpaceDN w:val="0"/>
        <w:adjustRightInd w:val="0"/>
        <w:spacing w:line="276" w:lineRule="auto"/>
        <w:jc w:val="both"/>
        <w:rPr>
          <w:rFonts w:ascii="Times New Roman" w:hAnsi="Times New Roman"/>
          <w:i/>
          <w:lang w:val="en-GB"/>
        </w:rPr>
      </w:pPr>
    </w:p>
    <w:p w14:paraId="3D302F5B" w14:textId="77777777" w:rsidR="00D02275" w:rsidRPr="00494AC6" w:rsidRDefault="00D02275" w:rsidP="00D02275">
      <w:pPr>
        <w:keepNext/>
        <w:keepLines/>
        <w:spacing w:before="40"/>
        <w:jc w:val="both"/>
        <w:outlineLvl w:val="1"/>
        <w:rPr>
          <w:rFonts w:ascii="Times New Roman" w:hAnsi="Times New Roman"/>
          <w:b/>
          <w:color w:val="0D0D0D"/>
          <w:sz w:val="28"/>
          <w:szCs w:val="22"/>
          <w:lang w:val="en-GB"/>
        </w:rPr>
      </w:pPr>
      <w:bookmarkStart w:id="111" w:name="_Toc132072535"/>
      <w:bookmarkStart w:id="112" w:name="_Toc173231228"/>
      <w:r w:rsidRPr="00494AC6">
        <w:rPr>
          <w:rFonts w:ascii="Times New Roman" w:hAnsi="Times New Roman"/>
          <w:b/>
          <w:color w:val="0D0D0D"/>
          <w:sz w:val="28"/>
          <w:szCs w:val="22"/>
          <w:lang w:val="en-GB"/>
        </w:rPr>
        <w:t>7.3. Excavation and Documentation Studies</w:t>
      </w:r>
      <w:bookmarkEnd w:id="111"/>
      <w:bookmarkEnd w:id="112"/>
    </w:p>
    <w:p w14:paraId="7C959165" w14:textId="484FBDA3"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During the first scientific excavations in the </w:t>
      </w:r>
      <w:r w:rsidR="00274E5C" w:rsidRPr="00274E5C">
        <w:rPr>
          <w:rFonts w:ascii="Times New Roman" w:hAnsi="Times New Roman"/>
          <w:lang w:val="en-GB"/>
        </w:rPr>
        <w:t>"</w:t>
      </w:r>
      <w:r w:rsidRPr="00494AC6">
        <w:rPr>
          <w:rFonts w:ascii="Times New Roman" w:hAnsi="Times New Roman"/>
          <w:lang w:val="en-GB"/>
        </w:rPr>
        <w:t>siršini</w:t>
      </w:r>
      <w:r w:rsidR="00274E5C"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
          <w:lang w:val="en-GB"/>
        </w:rPr>
        <w:fldChar w:fldCharType="begin"/>
      </w:r>
      <w:r w:rsidRPr="00427476">
        <w:rPr>
          <w:lang w:val="en-GB"/>
        </w:rPr>
        <w:instrText xml:space="preserve"> XE "</w:instrText>
      </w:r>
      <w:r w:rsidRPr="00274E5C">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area between 1989-1990, a platform of 2.50-1.50x3.50m was discovered to the east of the building entrance, 90cm above ground level. In the middle of the platform, a stele slot measuring 60x50 cm and a depth of 20 cm was found (Tarhan &amp; Sevin, 1993: 844, Fig. 3), (Fig. 6).</w:t>
      </w:r>
    </w:p>
    <w:p w14:paraId="10F7B9A5"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0A999C47"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This rock structure, which has no other parallel in Urartian</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 xml:space="preserve">architecture, </w:t>
      </w:r>
      <w:r w:rsidRPr="000E3892">
        <w:rPr>
          <w:rFonts w:ascii="Times New Roman" w:eastAsia="Calibri" w:hAnsi="Times New Roman" w:cs="Times New Roman"/>
          <w:lang w:val="en-GB"/>
        </w:rPr>
        <w:t>was</w:t>
      </w:r>
      <w:r w:rsidRPr="00494AC6">
        <w:rPr>
          <w:rFonts w:ascii="Times New Roman" w:hAnsi="Times New Roman"/>
          <w:lang w:val="en-GB"/>
        </w:rPr>
        <w:t xml:space="preserve"> filled with dense stone-soil rubble and rubbish that formed over the years due to </w:t>
      </w:r>
      <w:r w:rsidRPr="000E3892">
        <w:rPr>
          <w:rFonts w:ascii="Times New Roman" w:eastAsia="Calibri" w:hAnsi="Times New Roman" w:cs="Times New Roman"/>
          <w:lang w:val="en-GB"/>
        </w:rPr>
        <w:t xml:space="preserve">a </w:t>
      </w:r>
      <w:r w:rsidRPr="00494AC6">
        <w:rPr>
          <w:rFonts w:ascii="Times New Roman" w:hAnsi="Times New Roman"/>
          <w:lang w:val="en-GB"/>
        </w:rPr>
        <w:t xml:space="preserve">lack of protection. As a result of the excavation and cleaning works we initiated in the area in 2018, it has been possible to document and examine the structure in more detail (Konyar, Genç, Avcı, &amp; Tan, 2019: 177-178, Fig. 20-22). </w:t>
      </w:r>
    </w:p>
    <w:p w14:paraId="420CFF26"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07A526DB"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noProof/>
        </w:rPr>
        <w:lastRenderedPageBreak/>
        <w:drawing>
          <wp:inline distT="0" distB="0" distL="0" distR="0" wp14:anchorId="56FC519F" wp14:editId="28D426BE">
            <wp:extent cx="4649638" cy="3218325"/>
            <wp:effectExtent l="0" t="0" r="0" b="1270"/>
            <wp:docPr id="1118742057" name="Resim 1118742057" descr="C:\Users\lenovo\Desktop\Tušpa Kitabı 2020\Minua and Siršini\Menua Sirşini\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Tušpa Kitabı 2020\Minua and Siršini\Menua Sirşini\IMG_0003.JP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4663918" cy="3228209"/>
                    </a:xfrm>
                    <a:prstGeom prst="rect">
                      <a:avLst/>
                    </a:prstGeom>
                    <a:noFill/>
                    <a:ln>
                      <a:noFill/>
                    </a:ln>
                  </pic:spPr>
                </pic:pic>
              </a:graphicData>
            </a:graphic>
          </wp:inline>
        </w:drawing>
      </w:r>
    </w:p>
    <w:p w14:paraId="65D04F10" w14:textId="27FA7E40" w:rsidR="00D02275" w:rsidRPr="00494AC6" w:rsidRDefault="00D02275" w:rsidP="00D02275">
      <w:pPr>
        <w:autoSpaceDE w:val="0"/>
        <w:autoSpaceDN w:val="0"/>
        <w:adjustRightInd w:val="0"/>
        <w:spacing w:line="276" w:lineRule="auto"/>
        <w:jc w:val="both"/>
        <w:rPr>
          <w:rFonts w:ascii="Times New Roman" w:hAnsi="Times New Roman"/>
          <w:i/>
          <w:lang w:val="en-GB"/>
        </w:rPr>
      </w:pPr>
      <w:r w:rsidRPr="00494AC6">
        <w:rPr>
          <w:rFonts w:ascii="Times New Roman" w:hAnsi="Times New Roman"/>
          <w:lang w:val="en-GB"/>
        </w:rPr>
        <w:t xml:space="preserve">Fig. 6 Niche/platform carved into the bedrock to the left of the entrance of </w:t>
      </w:r>
      <w:r w:rsidRPr="00494AC6">
        <w:rPr>
          <w:rFonts w:ascii="Times New Roman" w:hAnsi="Times New Roman"/>
        </w:rPr>
        <w:t>Minua</w:t>
      </w:r>
      <w:r w:rsidRPr="00494AC6">
        <w:rPr>
          <w:rFonts w:ascii="Times New Roman" w:hAnsi="Times New Roman"/>
        </w:rPr>
        <w:fldChar w:fldCharType="begin"/>
      </w:r>
      <w:r w:rsidRPr="00494AC6">
        <w:rPr>
          <w:rFonts w:ascii="Calibri" w:hAnsi="Calibri"/>
          <w:lang w:val="en-GB"/>
        </w:rPr>
        <w:instrText xml:space="preserve"> XE "</w:instrText>
      </w:r>
      <w:r w:rsidRPr="00494AC6">
        <w:rPr>
          <w:rFonts w:ascii="Times New Roman" w:hAnsi="Times New Roman"/>
          <w:lang w:val="en-GB"/>
        </w:rPr>
        <w:instrText>Minua</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rPr>
        <w:t xml:space="preserve">’s </w:t>
      </w:r>
      <w:r w:rsidR="00274E5C" w:rsidRPr="00274E5C">
        <w:rPr>
          <w:rFonts w:ascii="Times New Roman" w:hAnsi="Times New Roman"/>
          <w:lang w:val="en-GB"/>
        </w:rPr>
        <w:t>"</w:t>
      </w:r>
      <w:r w:rsidRPr="00494AC6">
        <w:rPr>
          <w:rFonts w:ascii="Times New Roman" w:hAnsi="Times New Roman"/>
        </w:rPr>
        <w:t>siršini</w:t>
      </w:r>
      <w:r w:rsidR="00274E5C" w:rsidRPr="00274E5C">
        <w:rPr>
          <w:rFonts w:ascii="Times New Roman" w:hAnsi="Times New Roman"/>
          <w:lang w:val="en-GB"/>
        </w:rPr>
        <w:t>"</w:t>
      </w:r>
      <w:r w:rsidRPr="00494AC6">
        <w:rPr>
          <w:rFonts w:ascii="Times New Roman" w:hAnsi="Times New Roman"/>
        </w:rPr>
        <w:fldChar w:fldCharType="begin"/>
      </w:r>
      <w:r w:rsidRPr="00494AC6">
        <w:rPr>
          <w:rFonts w:ascii="Calibri" w:hAnsi="Calibri"/>
          <w:lang w:val="en-GB"/>
        </w:rPr>
        <w:instrText xml:space="preserve"> XE "</w:instrText>
      </w:r>
      <w:r w:rsidRPr="00274E5C">
        <w:rPr>
          <w:rFonts w:ascii="Times New Roman" w:hAnsi="Times New Roman"/>
          <w:iCs/>
          <w:lang w:val="en-GB"/>
        </w:rPr>
        <w:instrText>siršini</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rPr>
        <w:t>.</w:t>
      </w:r>
    </w:p>
    <w:p w14:paraId="0375F8CD"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5FD677BC"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The study documented the natural and man-made destruction on the inscription at the entrance of the building and recorded its current state. Accordingly, the interior dimensions of the building were found to have a length of 20.30 meters in the east-west and a width of 8.20 meters in the north-south (Fig. 7). </w:t>
      </w:r>
    </w:p>
    <w:p w14:paraId="41BC4808"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6F24217C"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noProof/>
        </w:rPr>
        <w:drawing>
          <wp:inline distT="0" distB="0" distL="0" distR="0" wp14:anchorId="6DDF02AA" wp14:editId="1F762414">
            <wp:extent cx="4957591" cy="3305060"/>
            <wp:effectExtent l="0" t="0" r="0" b="0"/>
            <wp:docPr id="1064842932" name="Resim 1064842932" descr="dış mekan, yer, kay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2" name="Resim 1064842932" descr="dış mekan, yer, kaya, taş içeren bir resim&#10;&#10;Açıklama otomatik olarak oluşturuldu"/>
                    <pic:cNvPicPr/>
                  </pic:nvPicPr>
                  <pic:blipFill>
                    <a:blip r:embed="rId220" cstate="email">
                      <a:extLst>
                        <a:ext uri="{28A0092B-C50C-407E-A947-70E740481C1C}">
                          <a14:useLocalDpi xmlns:a14="http://schemas.microsoft.com/office/drawing/2010/main"/>
                        </a:ext>
                      </a:extLst>
                    </a:blip>
                    <a:stretch>
                      <a:fillRect/>
                    </a:stretch>
                  </pic:blipFill>
                  <pic:spPr>
                    <a:xfrm>
                      <a:off x="0" y="0"/>
                      <a:ext cx="5015449" cy="3343632"/>
                    </a:xfrm>
                    <a:prstGeom prst="rect">
                      <a:avLst/>
                    </a:prstGeom>
                  </pic:spPr>
                </pic:pic>
              </a:graphicData>
            </a:graphic>
          </wp:inline>
        </w:drawing>
      </w:r>
    </w:p>
    <w:p w14:paraId="5825964B" w14:textId="1B0C6667" w:rsidR="00D02275" w:rsidRPr="00494AC6" w:rsidRDefault="00D02275" w:rsidP="00D02275">
      <w:pPr>
        <w:autoSpaceDE w:val="0"/>
        <w:autoSpaceDN w:val="0"/>
        <w:adjustRightInd w:val="0"/>
        <w:spacing w:line="276" w:lineRule="auto"/>
        <w:jc w:val="both"/>
        <w:rPr>
          <w:rFonts w:ascii="Times New Roman" w:hAnsi="Times New Roman"/>
        </w:rPr>
      </w:pPr>
      <w:r w:rsidRPr="00494AC6">
        <w:rPr>
          <w:rFonts w:ascii="Times New Roman" w:hAnsi="Times New Roman"/>
          <w:lang w:val="en-GB"/>
        </w:rPr>
        <w:t xml:space="preserve">Fig. 7 Main Hall of </w:t>
      </w:r>
      <w:r w:rsidRPr="00494AC6">
        <w:rPr>
          <w:rFonts w:ascii="Times New Roman" w:hAnsi="Times New Roman"/>
        </w:rPr>
        <w:t>Minua</w:t>
      </w:r>
      <w:r w:rsidRPr="00494AC6">
        <w:rPr>
          <w:rFonts w:ascii="Times New Roman" w:hAnsi="Times New Roman"/>
        </w:rPr>
        <w:fldChar w:fldCharType="begin"/>
      </w:r>
      <w:r w:rsidRPr="00494AC6">
        <w:rPr>
          <w:rFonts w:ascii="Calibri" w:hAnsi="Calibri"/>
          <w:lang w:val="en-GB"/>
        </w:rPr>
        <w:instrText xml:space="preserve"> XE "</w:instrText>
      </w:r>
      <w:r w:rsidRPr="00494AC6">
        <w:rPr>
          <w:rFonts w:ascii="Times New Roman" w:hAnsi="Times New Roman"/>
          <w:lang w:val="en-GB"/>
        </w:rPr>
        <w:instrText>Minua</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rPr>
        <w:t xml:space="preserve">’s </w:t>
      </w:r>
      <w:r w:rsidR="00274E5C" w:rsidRPr="00274E5C">
        <w:rPr>
          <w:rFonts w:ascii="Times New Roman" w:hAnsi="Times New Roman"/>
          <w:lang w:val="en-GB"/>
        </w:rPr>
        <w:t>"</w:t>
      </w:r>
      <w:r w:rsidRPr="00494AC6">
        <w:rPr>
          <w:rFonts w:ascii="Times New Roman" w:hAnsi="Times New Roman"/>
        </w:rPr>
        <w:t>siršini</w:t>
      </w:r>
      <w:r w:rsidR="00274E5C" w:rsidRPr="00274E5C">
        <w:rPr>
          <w:rFonts w:ascii="Times New Roman" w:hAnsi="Times New Roman"/>
          <w:lang w:val="en-GB"/>
        </w:rPr>
        <w:t>"</w:t>
      </w:r>
      <w:r w:rsidRPr="00494AC6">
        <w:rPr>
          <w:rFonts w:ascii="Times New Roman" w:hAnsi="Times New Roman"/>
        </w:rPr>
        <w:fldChar w:fldCharType="begin"/>
      </w:r>
      <w:r w:rsidRPr="00494AC6">
        <w:rPr>
          <w:rFonts w:ascii="Calibri" w:hAnsi="Calibri"/>
          <w:lang w:val="en-GB"/>
        </w:rPr>
        <w:instrText xml:space="preserve"> XE "</w:instrText>
      </w:r>
      <w:r w:rsidRPr="00274E5C">
        <w:rPr>
          <w:rFonts w:ascii="Times New Roman" w:hAnsi="Times New Roman"/>
          <w:iCs/>
          <w:lang w:val="en-GB"/>
        </w:rPr>
        <w:instrText>siršini</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rPr>
        <w:t>.</w:t>
      </w:r>
    </w:p>
    <w:p w14:paraId="3503AC04"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68EAD717"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Its height was found to be 2.50 meters</w:t>
      </w:r>
      <w:r w:rsidRPr="000E3892">
        <w:rPr>
          <w:rFonts w:ascii="Times New Roman" w:eastAsia="Calibri" w:hAnsi="Times New Roman" w:cs="Times New Roman"/>
          <w:lang w:val="en-GB"/>
        </w:rPr>
        <w:t>, and it was lowered</w:t>
      </w:r>
      <w:r w:rsidRPr="00494AC6">
        <w:rPr>
          <w:rFonts w:ascii="Times New Roman" w:hAnsi="Times New Roman"/>
          <w:lang w:val="en-GB"/>
        </w:rPr>
        <w:t xml:space="preserve"> down to 2 meters at the entrance. It was seen that it had an interior area of 166 m2. Today, the east-west entrance of the building, </w:t>
      </w:r>
      <w:r w:rsidRPr="00494AC6">
        <w:rPr>
          <w:rFonts w:ascii="Times New Roman" w:hAnsi="Times New Roman"/>
          <w:lang w:val="en-GB"/>
        </w:rPr>
        <w:lastRenderedPageBreak/>
        <w:t>which is 8.45 meters wide and 2 meters high, has also been cleaned, and the traces on the floor have been revealed (Fig. 8). At the front of the entrance, there is a wide opening of approximately 90x55 meters with a slight inclination towards the north. It can be seen from the fractures that continue the floor and ceiling of the room that the bedrock does not have a solid structure. There are no niches or similar cavities that we are familiar with from other rock tombs</w:t>
      </w:r>
      <w:r w:rsidRPr="000E3892">
        <w:rPr>
          <w:rFonts w:ascii="Times New Roman" w:eastAsia="Calibri" w:hAnsi="Times New Roman" w:cs="Times New Roman"/>
          <w:lang w:val="en-GB"/>
        </w:rPr>
        <w:t>;</w:t>
      </w:r>
      <w:r w:rsidRPr="00494AC6">
        <w:rPr>
          <w:rFonts w:ascii="Times New Roman" w:hAnsi="Times New Roman"/>
          <w:lang w:val="en-GB"/>
        </w:rPr>
        <w:t xml:space="preserve"> only a rectangular recess in the </w:t>
      </w:r>
      <w:r w:rsidRPr="000E3892">
        <w:rPr>
          <w:rFonts w:ascii="Times New Roman" w:eastAsia="Calibri" w:hAnsi="Times New Roman" w:cs="Times New Roman"/>
          <w:lang w:val="en-GB"/>
        </w:rPr>
        <w:t xml:space="preserve">room's </w:t>
      </w:r>
      <w:r w:rsidRPr="00494AC6">
        <w:rPr>
          <w:rFonts w:ascii="Times New Roman" w:hAnsi="Times New Roman"/>
          <w:lang w:val="en-GB"/>
        </w:rPr>
        <w:t>southwest corner can be seen, which may or may not be a natural feature.</w:t>
      </w:r>
    </w:p>
    <w:p w14:paraId="144A6BB1"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noProof/>
        </w:rPr>
        <mc:AlternateContent>
          <mc:Choice Requires="wpi">
            <w:drawing>
              <wp:anchor distT="0" distB="0" distL="114300" distR="114300" simplePos="0" relativeHeight="251909120" behindDoc="0" locked="0" layoutInCell="1" allowOverlap="1" wp14:anchorId="1252D189" wp14:editId="0E3D2613">
                <wp:simplePos x="0" y="0"/>
                <wp:positionH relativeFrom="column">
                  <wp:posOffset>3108603</wp:posOffset>
                </wp:positionH>
                <wp:positionV relativeFrom="paragraph">
                  <wp:posOffset>1638648</wp:posOffset>
                </wp:positionV>
                <wp:extent cx="360" cy="360"/>
                <wp:effectExtent l="95250" t="152400" r="114300" b="152400"/>
                <wp:wrapNone/>
                <wp:docPr id="612424983" name="Mürekkep 55"/>
                <wp:cNvGraphicFramePr/>
                <a:graphic xmlns:a="http://schemas.openxmlformats.org/drawingml/2006/main">
                  <a:graphicData uri="http://schemas.microsoft.com/office/word/2010/wordprocessingInk">
                    <w14:contentPart bwMode="auto" r:id="rId221">
                      <w14:nvContentPartPr>
                        <w14:cNvContentPartPr/>
                      </w14:nvContentPartPr>
                      <w14:xfrm>
                        <a:off x="0" y="0"/>
                        <a:ext cx="360" cy="360"/>
                      </w14:xfrm>
                    </w14:contentPart>
                  </a:graphicData>
                </a:graphic>
              </wp:anchor>
            </w:drawing>
          </mc:Choice>
          <mc:Fallback>
            <w:pict>
              <v:shapetype w14:anchorId="020E983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Mürekkep 55" o:spid="_x0000_s1026" type="#_x0000_t75" style="position:absolute;margin-left:240.5pt;margin-top:120.55pt;width:8.55pt;height:17.05pt;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">
                <v:imagedata r:id="rId222" o:title=""/>
              </v:shape>
            </w:pict>
          </mc:Fallback>
        </mc:AlternateContent>
      </w:r>
      <w:r w:rsidRPr="00494AC6">
        <w:rPr>
          <w:rFonts w:ascii="Times New Roman" w:hAnsi="Times New Roman"/>
          <w:noProof/>
        </w:rPr>
        <mc:AlternateContent>
          <mc:Choice Requires="wpi">
            <w:drawing>
              <wp:anchor distT="0" distB="0" distL="114300" distR="114300" simplePos="0" relativeHeight="251908096" behindDoc="0" locked="0" layoutInCell="1" allowOverlap="1" wp14:anchorId="5AEA6E4F" wp14:editId="6E96AA82">
                <wp:simplePos x="0" y="0"/>
                <wp:positionH relativeFrom="column">
                  <wp:posOffset>2991603</wp:posOffset>
                </wp:positionH>
                <wp:positionV relativeFrom="paragraph">
                  <wp:posOffset>1558368</wp:posOffset>
                </wp:positionV>
                <wp:extent cx="360" cy="360"/>
                <wp:effectExtent l="76200" t="114300" r="95250" b="133350"/>
                <wp:wrapNone/>
                <wp:docPr id="307578658" name="Mürekkep 54"/>
                <wp:cNvGraphicFramePr/>
                <a:graphic xmlns:a="http://schemas.openxmlformats.org/drawingml/2006/main">
                  <a:graphicData uri="http://schemas.microsoft.com/office/word/2010/wordprocessingInk">
                    <w14:contentPart bwMode="auto" r:id="rId223">
                      <w14:nvContentPartPr>
                        <w14:cNvContentPartPr/>
                      </w14:nvContentPartPr>
                      <w14:xfrm>
                        <a:off x="0" y="0"/>
                        <a:ext cx="360" cy="360"/>
                      </w14:xfrm>
                    </w14:contentPart>
                  </a:graphicData>
                </a:graphic>
              </wp:anchor>
            </w:drawing>
          </mc:Choice>
          <mc:Fallback>
            <w:pict>
              <v:shape w14:anchorId="7DA4C1AD" id="Mürekkep 54" o:spid="_x0000_s1026" type="#_x0000_t75" style="position:absolute;margin-left:232.7pt;margin-top:117.05pt;width:5.7pt;height:11.4pt;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">
                <v:imagedata r:id="rId224" o:title=""/>
              </v:shape>
            </w:pict>
          </mc:Fallback>
        </mc:AlternateContent>
      </w:r>
      <w:r w:rsidRPr="00494AC6">
        <w:rPr>
          <w:rFonts w:ascii="Times New Roman" w:hAnsi="Times New Roman"/>
          <w:noProof/>
        </w:rPr>
        <mc:AlternateContent>
          <mc:Choice Requires="wpi">
            <w:drawing>
              <wp:anchor distT="0" distB="0" distL="114300" distR="114300" simplePos="0" relativeHeight="251907072" behindDoc="0" locked="0" layoutInCell="1" allowOverlap="1" wp14:anchorId="251826F4" wp14:editId="2A9B1D82">
                <wp:simplePos x="0" y="0"/>
                <wp:positionH relativeFrom="column">
                  <wp:posOffset>2991603</wp:posOffset>
                </wp:positionH>
                <wp:positionV relativeFrom="paragraph">
                  <wp:posOffset>1558368</wp:posOffset>
                </wp:positionV>
                <wp:extent cx="360" cy="360"/>
                <wp:effectExtent l="76200" t="114300" r="95250" b="133350"/>
                <wp:wrapNone/>
                <wp:docPr id="2062788833" name="Mürekkep 53"/>
                <wp:cNvGraphicFramePr/>
                <a:graphic xmlns:a="http://schemas.openxmlformats.org/drawingml/2006/main">
                  <a:graphicData uri="http://schemas.microsoft.com/office/word/2010/wordprocessingInk">
                    <w14:contentPart bwMode="auto" r:id="rId225">
                      <w14:nvContentPartPr>
                        <w14:cNvContentPartPr/>
                      </w14:nvContentPartPr>
                      <w14:xfrm>
                        <a:off x="0" y="0"/>
                        <a:ext cx="360" cy="360"/>
                      </w14:xfrm>
                    </w14:contentPart>
                  </a:graphicData>
                </a:graphic>
              </wp:anchor>
            </w:drawing>
          </mc:Choice>
          <mc:Fallback>
            <w:pict>
              <v:shape w14:anchorId="231C9AE8" id="Mürekkep 53" o:spid="_x0000_s1026" type="#_x0000_t75" style="position:absolute;margin-left:232.7pt;margin-top:117.05pt;width:5.7pt;height:11.4pt;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">
                <v:imagedata r:id="rId224" o:title=""/>
              </v:shape>
            </w:pict>
          </mc:Fallback>
        </mc:AlternateContent>
      </w:r>
      <w:r w:rsidRPr="00494AC6">
        <w:rPr>
          <w:rFonts w:ascii="Times New Roman" w:hAnsi="Times New Roman"/>
          <w:noProof/>
        </w:rPr>
        <mc:AlternateContent>
          <mc:Choice Requires="wpi">
            <w:drawing>
              <wp:anchor distT="0" distB="0" distL="114300" distR="114300" simplePos="0" relativeHeight="251906048" behindDoc="0" locked="0" layoutInCell="1" allowOverlap="1" wp14:anchorId="1BC7C6EA" wp14:editId="5A26CBCF">
                <wp:simplePos x="0" y="0"/>
                <wp:positionH relativeFrom="column">
                  <wp:posOffset>3035523</wp:posOffset>
                </wp:positionH>
                <wp:positionV relativeFrom="paragraph">
                  <wp:posOffset>1294848</wp:posOffset>
                </wp:positionV>
                <wp:extent cx="360" cy="360"/>
                <wp:effectExtent l="76200" t="114300" r="95250" b="133350"/>
                <wp:wrapNone/>
                <wp:docPr id="311479961" name="Mürekkep 52"/>
                <wp:cNvGraphicFramePr/>
                <a:graphic xmlns:a="http://schemas.openxmlformats.org/drawingml/2006/main">
                  <a:graphicData uri="http://schemas.microsoft.com/office/word/2010/wordprocessingInk">
                    <w14:contentPart bwMode="auto" r:id="rId226">
                      <w14:nvContentPartPr>
                        <w14:cNvContentPartPr/>
                      </w14:nvContentPartPr>
                      <w14:xfrm>
                        <a:off x="0" y="0"/>
                        <a:ext cx="360" cy="360"/>
                      </w14:xfrm>
                    </w14:contentPart>
                  </a:graphicData>
                </a:graphic>
              </wp:anchor>
            </w:drawing>
          </mc:Choice>
          <mc:Fallback>
            <w:pict>
              <v:shape w14:anchorId="12210E3A" id="Mürekkep 52" o:spid="_x0000_s1026" type="#_x0000_t75" style="position:absolute;margin-left:236.15pt;margin-top:96.3pt;width:5.7pt;height:11.4pt;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">
                <v:imagedata r:id="rId224" o:title=""/>
              </v:shape>
            </w:pict>
          </mc:Fallback>
        </mc:AlternateContent>
      </w:r>
      <w:r w:rsidRPr="00494AC6">
        <w:rPr>
          <w:rFonts w:ascii="Times New Roman" w:hAnsi="Times New Roman"/>
          <w:noProof/>
        </w:rPr>
        <mc:AlternateContent>
          <mc:Choice Requires="wpi">
            <w:drawing>
              <wp:anchor distT="0" distB="0" distL="114300" distR="114300" simplePos="0" relativeHeight="251905024" behindDoc="0" locked="0" layoutInCell="1" allowOverlap="1" wp14:anchorId="1D65A502" wp14:editId="5F780B47">
                <wp:simplePos x="0" y="0"/>
                <wp:positionH relativeFrom="column">
                  <wp:posOffset>2896563</wp:posOffset>
                </wp:positionH>
                <wp:positionV relativeFrom="paragraph">
                  <wp:posOffset>1302408</wp:posOffset>
                </wp:positionV>
                <wp:extent cx="259920" cy="10440"/>
                <wp:effectExtent l="76200" t="95250" r="83185" b="123190"/>
                <wp:wrapNone/>
                <wp:docPr id="1565407718" name="Mürekkep 51"/>
                <wp:cNvGraphicFramePr/>
                <a:graphic xmlns:a="http://schemas.openxmlformats.org/drawingml/2006/main">
                  <a:graphicData uri="http://schemas.microsoft.com/office/word/2010/wordprocessingInk">
                    <w14:contentPart bwMode="auto" r:id="rId227">
                      <w14:nvContentPartPr>
                        <w14:cNvContentPartPr/>
                      </w14:nvContentPartPr>
                      <w14:xfrm>
                        <a:off x="0" y="0"/>
                        <a:ext cx="259920" cy="10440"/>
                      </w14:xfrm>
                    </w14:contentPart>
                  </a:graphicData>
                </a:graphic>
              </wp:anchor>
            </w:drawing>
          </mc:Choice>
          <mc:Fallback>
            <w:pict>
              <v:shape w14:anchorId="73180D94" id="Mürekkep 51" o:spid="_x0000_s1026" type="#_x0000_t75" style="position:absolute;margin-left:225.25pt;margin-top:96.7pt;width:26.1pt;height:12.55pt;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">
                <v:imagedata r:id="rId228" o:title=""/>
              </v:shape>
            </w:pict>
          </mc:Fallback>
        </mc:AlternateContent>
      </w:r>
      <w:r w:rsidRPr="00494AC6">
        <w:rPr>
          <w:rFonts w:ascii="Times New Roman" w:hAnsi="Times New Roman"/>
          <w:noProof/>
        </w:rPr>
        <mc:AlternateContent>
          <mc:Choice Requires="wpi">
            <w:drawing>
              <wp:anchor distT="0" distB="0" distL="114300" distR="114300" simplePos="0" relativeHeight="251904000" behindDoc="0" locked="0" layoutInCell="1" allowOverlap="1" wp14:anchorId="1B557C8F" wp14:editId="399844A7">
                <wp:simplePos x="0" y="0"/>
                <wp:positionH relativeFrom="column">
                  <wp:posOffset>2954883</wp:posOffset>
                </wp:positionH>
                <wp:positionV relativeFrom="paragraph">
                  <wp:posOffset>1287648</wp:posOffset>
                </wp:positionV>
                <wp:extent cx="360" cy="360"/>
                <wp:effectExtent l="76200" t="114300" r="95250" b="133350"/>
                <wp:wrapNone/>
                <wp:docPr id="479203495" name="Mürekkep 50"/>
                <wp:cNvGraphicFramePr/>
                <a:graphic xmlns:a="http://schemas.openxmlformats.org/drawingml/2006/main">
                  <a:graphicData uri="http://schemas.microsoft.com/office/word/2010/wordprocessingInk">
                    <w14:contentPart bwMode="auto" r:id="rId229">
                      <w14:nvContentPartPr>
                        <w14:cNvContentPartPr/>
                      </w14:nvContentPartPr>
                      <w14:xfrm>
                        <a:off x="0" y="0"/>
                        <a:ext cx="360" cy="360"/>
                      </w14:xfrm>
                    </w14:contentPart>
                  </a:graphicData>
                </a:graphic>
              </wp:anchor>
            </w:drawing>
          </mc:Choice>
          <mc:Fallback>
            <w:pict>
              <v:shape w14:anchorId="7237E81D" id="Mürekkep 50" o:spid="_x0000_s1026" type="#_x0000_t75" style="position:absolute;margin-left:229.8pt;margin-top:95.75pt;width:5.7pt;height:11.4pt;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">
                <v:imagedata r:id="rId224" o:title=""/>
              </v:shape>
            </w:pict>
          </mc:Fallback>
        </mc:AlternateContent>
      </w:r>
      <w:r w:rsidRPr="00494AC6">
        <w:rPr>
          <w:rFonts w:ascii="Times New Roman" w:hAnsi="Times New Roman"/>
          <w:noProof/>
        </w:rPr>
        <mc:AlternateContent>
          <mc:Choice Requires="wpi">
            <w:drawing>
              <wp:anchor distT="0" distB="0" distL="114300" distR="114300" simplePos="0" relativeHeight="251902976" behindDoc="0" locked="0" layoutInCell="1" allowOverlap="1" wp14:anchorId="218E982E" wp14:editId="7670EA8F">
                <wp:simplePos x="0" y="0"/>
                <wp:positionH relativeFrom="column">
                  <wp:posOffset>2896563</wp:posOffset>
                </wp:positionH>
                <wp:positionV relativeFrom="paragraph">
                  <wp:posOffset>1250208</wp:posOffset>
                </wp:positionV>
                <wp:extent cx="233640" cy="23760"/>
                <wp:effectExtent l="76200" t="95250" r="90805" b="128905"/>
                <wp:wrapNone/>
                <wp:docPr id="55952324" name="Mürekkep 49"/>
                <wp:cNvGraphicFramePr/>
                <a:graphic xmlns:a="http://schemas.openxmlformats.org/drawingml/2006/main">
                  <a:graphicData uri="http://schemas.microsoft.com/office/word/2010/wordprocessingInk">
                    <w14:contentPart bwMode="auto" r:id="rId230">
                      <w14:nvContentPartPr>
                        <w14:cNvContentPartPr/>
                      </w14:nvContentPartPr>
                      <w14:xfrm>
                        <a:off x="0" y="0"/>
                        <a:ext cx="233640" cy="23760"/>
                      </w14:xfrm>
                    </w14:contentPart>
                  </a:graphicData>
                </a:graphic>
              </wp:anchor>
            </w:drawing>
          </mc:Choice>
          <mc:Fallback>
            <w:pict>
              <v:shape w14:anchorId="28D09A44" id="Mürekkep 49" o:spid="_x0000_s1026" type="#_x0000_t75" style="position:absolute;margin-left:225.25pt;margin-top:92.7pt;width:24.1pt;height:13.35pt;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">
                <v:imagedata r:id="rId231" o:title=""/>
              </v:shape>
            </w:pict>
          </mc:Fallback>
        </mc:AlternateContent>
      </w:r>
      <w:r w:rsidRPr="00494AC6">
        <w:rPr>
          <w:rFonts w:ascii="Times New Roman" w:hAnsi="Times New Roman"/>
          <w:noProof/>
        </w:rPr>
        <w:drawing>
          <wp:anchor distT="0" distB="0" distL="114300" distR="114300" simplePos="0" relativeHeight="251901952" behindDoc="0" locked="0" layoutInCell="1" allowOverlap="1" wp14:anchorId="64E36596" wp14:editId="02BD0C14">
            <wp:simplePos x="0" y="0"/>
            <wp:positionH relativeFrom="column">
              <wp:posOffset>716403</wp:posOffset>
            </wp:positionH>
            <wp:positionV relativeFrom="paragraph">
              <wp:posOffset>1185048</wp:posOffset>
            </wp:positionV>
            <wp:extent cx="360" cy="360"/>
            <wp:effectExtent l="57150" t="57150" r="57150" b="57150"/>
            <wp:wrapNone/>
            <wp:docPr id="1296733840" name="Mürekkep 16"/>
            <wp:cNvGraphicFramePr/>
            <a:graphic xmlns:a="http://schemas.openxmlformats.org/drawingml/2006/main">
              <a:graphicData uri="http://schemas.openxmlformats.org/drawingml/2006/picture">
                <pic:pic xmlns:pic="http://schemas.openxmlformats.org/drawingml/2006/picture">
                  <pic:nvPicPr>
                    <pic:cNvPr id="1296733840" name="Mürekkep 16"/>
                    <pic:cNvPicPr/>
                  </pic:nvPicPr>
                  <pic:blipFill>
                    <a:blip r:embed="rId232" cstate="email">
                      <a:extLst>
                        <a:ext uri="{28A0092B-C50C-407E-A947-70E740481C1C}">
                          <a14:useLocalDpi xmlns:a14="http://schemas.microsoft.com/office/drawing/2010/main"/>
                        </a:ext>
                      </a:extLst>
                    </a:blip>
                    <a:stretch>
                      <a:fillRect/>
                    </a:stretch>
                  </pic:blipFill>
                  <pic:spPr>
                    <a:xfrm>
                      <a:off x="0" y="0"/>
                      <a:ext cx="18000" cy="18000"/>
                    </a:xfrm>
                    <a:prstGeom prst="rect">
                      <a:avLst/>
                    </a:prstGeom>
                  </pic:spPr>
                </pic:pic>
              </a:graphicData>
            </a:graphic>
          </wp:anchor>
        </w:drawing>
      </w:r>
      <w:r w:rsidRPr="00494AC6">
        <w:rPr>
          <w:rFonts w:ascii="Times New Roman" w:hAnsi="Times New Roman"/>
          <w:noProof/>
        </w:rPr>
        <w:drawing>
          <wp:inline distT="0" distB="0" distL="0" distR="0" wp14:anchorId="298513EA" wp14:editId="7159B7C5">
            <wp:extent cx="5760720" cy="2765234"/>
            <wp:effectExtent l="0" t="0" r="5080" b="3810"/>
            <wp:docPr id="1064842933" name="Resim 1064842933" descr="mağara, yer, dış mekan, kömürlü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3" name="Resim 1064842933" descr="mağara, yer, dış mekan, kömürlük içeren bir resim&#10;&#10;Açıklama otomatik olarak oluşturuldu"/>
                    <pic:cNvPicPr/>
                  </pic:nvPicPr>
                  <pic:blipFill rotWithShape="1">
                    <a:blip r:embed="rId233" cstate="email">
                      <a:extLst>
                        <a:ext uri="{28A0092B-C50C-407E-A947-70E740481C1C}">
                          <a14:useLocalDpi xmlns:a14="http://schemas.microsoft.com/office/drawing/2010/main"/>
                        </a:ext>
                      </a:extLst>
                    </a:blip>
                    <a:srcRect/>
                    <a:stretch/>
                  </pic:blipFill>
                  <pic:spPr bwMode="auto">
                    <a:xfrm>
                      <a:off x="0" y="0"/>
                      <a:ext cx="5760720" cy="2765234"/>
                    </a:xfrm>
                    <a:prstGeom prst="rect">
                      <a:avLst/>
                    </a:prstGeom>
                    <a:ln>
                      <a:noFill/>
                    </a:ln>
                    <a:extLst>
                      <a:ext uri="{53640926-AAD7-44D8-BBD7-CCE9431645EC}">
                        <a14:shadowObscured xmlns:a14="http://schemas.microsoft.com/office/drawing/2010/main"/>
                      </a:ext>
                    </a:extLst>
                  </pic:spPr>
                </pic:pic>
              </a:graphicData>
            </a:graphic>
          </wp:inline>
        </w:drawing>
      </w:r>
    </w:p>
    <w:p w14:paraId="06123315" w14:textId="20216B7E" w:rsidR="00D02275" w:rsidRPr="00494AC6" w:rsidRDefault="00D02275" w:rsidP="00D02275">
      <w:pPr>
        <w:autoSpaceDE w:val="0"/>
        <w:autoSpaceDN w:val="0"/>
        <w:adjustRightInd w:val="0"/>
        <w:spacing w:line="276" w:lineRule="auto"/>
        <w:jc w:val="both"/>
        <w:rPr>
          <w:rFonts w:ascii="Times New Roman" w:hAnsi="Times New Roman"/>
        </w:rPr>
      </w:pPr>
      <w:r w:rsidRPr="00494AC6">
        <w:rPr>
          <w:rFonts w:ascii="Times New Roman" w:hAnsi="Times New Roman"/>
          <w:lang w:val="en-GB"/>
        </w:rPr>
        <w:t xml:space="preserve">Fig. 8 Entrance of </w:t>
      </w:r>
      <w:r w:rsidRPr="00494AC6">
        <w:rPr>
          <w:rFonts w:ascii="Times New Roman" w:hAnsi="Times New Roman"/>
        </w:rPr>
        <w:t>Minua</w:t>
      </w:r>
      <w:r w:rsidRPr="00494AC6">
        <w:rPr>
          <w:rFonts w:ascii="Times New Roman" w:hAnsi="Times New Roman"/>
        </w:rPr>
        <w:fldChar w:fldCharType="begin"/>
      </w:r>
      <w:r w:rsidRPr="00494AC6">
        <w:rPr>
          <w:rFonts w:ascii="Calibri" w:hAnsi="Calibri"/>
          <w:lang w:val="en-GB"/>
        </w:rPr>
        <w:instrText xml:space="preserve"> XE "</w:instrText>
      </w:r>
      <w:r w:rsidRPr="00494AC6">
        <w:rPr>
          <w:rFonts w:ascii="Times New Roman" w:hAnsi="Times New Roman"/>
          <w:lang w:val="en-GB"/>
        </w:rPr>
        <w:instrText>Minua</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rPr>
        <w:t xml:space="preserve">'s </w:t>
      </w:r>
      <w:r w:rsidR="00274E5C" w:rsidRPr="00274E5C">
        <w:rPr>
          <w:rFonts w:ascii="Times New Roman" w:hAnsi="Times New Roman"/>
          <w:lang w:val="en-GB"/>
        </w:rPr>
        <w:t>"</w:t>
      </w:r>
      <w:r w:rsidRPr="00494AC6">
        <w:rPr>
          <w:rFonts w:ascii="Times New Roman" w:hAnsi="Times New Roman"/>
        </w:rPr>
        <w:t>siršini</w:t>
      </w:r>
      <w:r w:rsidR="00274E5C" w:rsidRPr="00274E5C">
        <w:rPr>
          <w:rFonts w:ascii="Times New Roman" w:hAnsi="Times New Roman"/>
          <w:lang w:val="en-GB"/>
        </w:rPr>
        <w:t>"</w:t>
      </w:r>
      <w:r w:rsidRPr="00494AC6">
        <w:rPr>
          <w:rFonts w:ascii="Times New Roman" w:hAnsi="Times New Roman"/>
        </w:rPr>
        <w:fldChar w:fldCharType="begin"/>
      </w:r>
      <w:r w:rsidRPr="00494AC6">
        <w:rPr>
          <w:rFonts w:ascii="Calibri" w:hAnsi="Calibri"/>
          <w:lang w:val="en-GB"/>
        </w:rPr>
        <w:instrText xml:space="preserve"> XE "</w:instrText>
      </w:r>
      <w:r w:rsidRPr="00274E5C">
        <w:rPr>
          <w:rFonts w:ascii="Times New Roman" w:hAnsi="Times New Roman"/>
          <w:iCs/>
          <w:lang w:val="en-GB"/>
        </w:rPr>
        <w:instrText>siršini</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rPr>
        <w:t>.</w:t>
      </w:r>
    </w:p>
    <w:p w14:paraId="033E4E93"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08591BBF"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After </w:t>
      </w:r>
      <w:r w:rsidRPr="000E3892">
        <w:rPr>
          <w:rFonts w:ascii="Times New Roman" w:eastAsia="Calibri" w:hAnsi="Times New Roman" w:cs="Times New Roman"/>
          <w:lang w:val="en-GB"/>
        </w:rPr>
        <w:t xml:space="preserve">cleaning </w:t>
      </w:r>
      <w:r w:rsidRPr="00494AC6">
        <w:rPr>
          <w:rFonts w:ascii="Times New Roman" w:hAnsi="Times New Roman"/>
          <w:lang w:val="en-GB"/>
        </w:rPr>
        <w:t>the room, excavations continued in front of the north-facing entrance (trenches AL 67-68). As a result of the excavations, it was understood that the bedrock continued with a 70% slope towards the north</w:t>
      </w:r>
      <w:r w:rsidRPr="000E3892">
        <w:rPr>
          <w:rFonts w:ascii="Times New Roman" w:eastAsia="Calibri" w:hAnsi="Times New Roman" w:cs="Times New Roman"/>
          <w:lang w:val="en-GB"/>
        </w:rPr>
        <w:t>,</w:t>
      </w:r>
      <w:r w:rsidRPr="00494AC6">
        <w:rPr>
          <w:rFonts w:ascii="Times New Roman" w:hAnsi="Times New Roman"/>
          <w:lang w:val="en-GB"/>
        </w:rPr>
        <w:t xml:space="preserve"> about 1.5 meters in front of the entrance, and in the area where the slope begins, it was observed that there were two rows of small stones to the east and west of the entrance (Fig. 9). To better understand this area, a sounding was made in an area of 2.40 meters in the east-west direction and 7.50 meters in the north-south direction.</w:t>
      </w:r>
    </w:p>
    <w:p w14:paraId="5D8A26A9"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Among the rubble on the sloping bedrock, a dense stone filler of various sizes was identified, possibly indicating erosion of the bedrock. Stones arranged on the surface were scattered through the fill in the east and west sections</w:t>
      </w:r>
      <w:r w:rsidRPr="000E3892">
        <w:rPr>
          <w:rFonts w:ascii="Times New Roman" w:eastAsia="Calibri" w:hAnsi="Times New Roman" w:cs="Times New Roman"/>
          <w:lang w:val="en-GB"/>
        </w:rPr>
        <w:t xml:space="preserve"> at different elevations.</w:t>
      </w:r>
    </w:p>
    <w:p w14:paraId="17F9FBAD"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6C38E1AE"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noProof/>
        </w:rPr>
        <w:lastRenderedPageBreak/>
        <w:drawing>
          <wp:inline distT="0" distB="0" distL="0" distR="0" wp14:anchorId="19EC0784" wp14:editId="0EE90BAD">
            <wp:extent cx="5759450" cy="2853295"/>
            <wp:effectExtent l="0" t="0" r="0" b="4445"/>
            <wp:docPr id="1064842934" name="Resim 1064842934" descr="jeoloji, dış mekan, doğa,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4" name="Resim 1064842934" descr="jeoloji, dış mekan, doğa, yer içeren bir resim&#10;&#10;Açıklama otomatik olarak oluşturuldu"/>
                    <pic:cNvPicPr/>
                  </pic:nvPicPr>
                  <pic:blipFill rotWithShape="1">
                    <a:blip r:embed="rId234" cstate="email">
                      <a:extLst>
                        <a:ext uri="{28A0092B-C50C-407E-A947-70E740481C1C}">
                          <a14:useLocalDpi xmlns:a14="http://schemas.microsoft.com/office/drawing/2010/main"/>
                        </a:ext>
                      </a:extLst>
                    </a:blip>
                    <a:srcRect/>
                    <a:stretch/>
                  </pic:blipFill>
                  <pic:spPr bwMode="auto">
                    <a:xfrm>
                      <a:off x="0" y="0"/>
                      <a:ext cx="5842313" cy="2894346"/>
                    </a:xfrm>
                    <a:prstGeom prst="rect">
                      <a:avLst/>
                    </a:prstGeom>
                    <a:ln>
                      <a:noFill/>
                    </a:ln>
                    <a:extLst>
                      <a:ext uri="{53640926-AAD7-44D8-BBD7-CCE9431645EC}">
                        <a14:shadowObscured xmlns:a14="http://schemas.microsoft.com/office/drawing/2010/main"/>
                      </a:ext>
                    </a:extLst>
                  </pic:spPr>
                </pic:pic>
              </a:graphicData>
            </a:graphic>
          </wp:inline>
        </w:drawing>
      </w:r>
    </w:p>
    <w:p w14:paraId="5D36B523" w14:textId="1F90B9A5"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Fig. 9 </w:t>
      </w:r>
      <w:r>
        <w:rPr>
          <w:rFonts w:ascii="Times New Roman" w:eastAsia="Calibri" w:hAnsi="Times New Roman" w:cs="Times New Roman"/>
          <w:lang w:val="en-GB"/>
        </w:rPr>
        <w:t>Front view</w:t>
      </w:r>
      <w:r w:rsidRPr="00494AC6">
        <w:rPr>
          <w:rFonts w:ascii="Times New Roman" w:hAnsi="Times New Roman"/>
          <w:lang w:val="en-GB"/>
        </w:rPr>
        <w:t xml:space="preserve"> of the </w:t>
      </w:r>
      <w:r w:rsidRPr="00494AC6">
        <w:rPr>
          <w:rFonts w:ascii="Times New Roman" w:hAnsi="Times New Roman"/>
        </w:rPr>
        <w:t>Minua</w:t>
      </w:r>
      <w:r w:rsidRPr="00494AC6">
        <w:rPr>
          <w:rFonts w:ascii="Times New Roman" w:hAnsi="Times New Roman"/>
        </w:rPr>
        <w:fldChar w:fldCharType="begin"/>
      </w:r>
      <w:r w:rsidRPr="00494AC6">
        <w:rPr>
          <w:rFonts w:ascii="Calibri" w:hAnsi="Calibri"/>
          <w:lang w:val="en-GB"/>
        </w:rPr>
        <w:instrText xml:space="preserve"> XE "</w:instrText>
      </w:r>
      <w:r w:rsidRPr="00494AC6">
        <w:rPr>
          <w:rFonts w:ascii="Times New Roman" w:hAnsi="Times New Roman"/>
          <w:lang w:val="en-GB"/>
        </w:rPr>
        <w:instrText>Minua</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rPr>
        <w:t xml:space="preserve">'s </w:t>
      </w:r>
      <w:r w:rsidR="004B62B6" w:rsidRPr="00274E5C">
        <w:rPr>
          <w:rFonts w:ascii="Times New Roman" w:hAnsi="Times New Roman"/>
          <w:lang w:val="en-GB"/>
        </w:rPr>
        <w:t>"</w:t>
      </w:r>
      <w:r w:rsidRPr="00494AC6">
        <w:rPr>
          <w:rFonts w:ascii="Times New Roman" w:hAnsi="Times New Roman"/>
        </w:rPr>
        <w:t>siršini</w:t>
      </w:r>
      <w:r w:rsidR="004B62B6" w:rsidRPr="00274E5C">
        <w:rPr>
          <w:rFonts w:ascii="Times New Roman" w:hAnsi="Times New Roman"/>
          <w:lang w:val="en-GB"/>
        </w:rPr>
        <w:t>"</w:t>
      </w:r>
      <w:r w:rsidRPr="00494AC6">
        <w:rPr>
          <w:rFonts w:ascii="Times New Roman" w:hAnsi="Times New Roman"/>
        </w:rPr>
        <w:fldChar w:fldCharType="begin"/>
      </w:r>
      <w:r w:rsidRPr="00494AC6">
        <w:rPr>
          <w:rFonts w:ascii="Calibri" w:hAnsi="Calibri"/>
          <w:lang w:val="en-GB"/>
        </w:rPr>
        <w:instrText xml:space="preserve"> XE "</w:instrText>
      </w:r>
      <w:r w:rsidRPr="004B62B6">
        <w:rPr>
          <w:rFonts w:ascii="Times New Roman" w:hAnsi="Times New Roman"/>
          <w:iCs/>
          <w:lang w:val="en-GB"/>
        </w:rPr>
        <w:instrText>siršini</w:instrText>
      </w:r>
      <w:r w:rsidRPr="00494AC6">
        <w:rPr>
          <w:rFonts w:ascii="Calibri" w:hAnsi="Calibri"/>
          <w:lang w:val="en-GB"/>
        </w:rPr>
        <w:instrText xml:space="preserve">" </w:instrText>
      </w:r>
      <w:r w:rsidRPr="00494AC6">
        <w:rPr>
          <w:rFonts w:ascii="Times New Roman" w:hAnsi="Times New Roman"/>
        </w:rPr>
        <w:fldChar w:fldCharType="end"/>
      </w:r>
      <w:r w:rsidRPr="00494AC6">
        <w:rPr>
          <w:rFonts w:ascii="Times New Roman" w:hAnsi="Times New Roman"/>
          <w:lang w:val="en-GB"/>
        </w:rPr>
        <w:t xml:space="preserve"> entrance.</w:t>
      </w:r>
    </w:p>
    <w:p w14:paraId="16CFF355"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42B6C1C5" w14:textId="1092A9F5"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 xml:space="preserve">The fill from the sounding also revealed pottery pieces, </w:t>
      </w:r>
      <w:r w:rsidRPr="000E3892">
        <w:rPr>
          <w:rFonts w:ascii="Times New Roman" w:eastAsia="Calibri" w:hAnsi="Times New Roman" w:cs="Times New Roman"/>
          <w:lang w:val="en-GB"/>
        </w:rPr>
        <w:t>predominantly</w:t>
      </w:r>
      <w:r w:rsidRPr="00494AC6">
        <w:rPr>
          <w:rFonts w:ascii="Times New Roman" w:hAnsi="Times New Roman"/>
          <w:lang w:val="en-GB"/>
        </w:rPr>
        <w:t xml:space="preserve"> glazed and unglazed Ottoman</w:t>
      </w:r>
      <w:r w:rsidR="00647545">
        <w:rPr>
          <w:rFonts w:ascii="Times New Roman" w:hAnsi="Times New Roman"/>
          <w:lang w:val="en-GB"/>
        </w:rPr>
        <w:fldChar w:fldCharType="begin"/>
      </w:r>
      <w:r w:rsidR="00647545">
        <w:instrText xml:space="preserve"> XE "</w:instrText>
      </w:r>
      <w:r w:rsidR="00647545" w:rsidRPr="002B7AD2">
        <w:rPr>
          <w:rFonts w:asciiTheme="majorBidi" w:hAnsiTheme="majorBidi" w:cstheme="majorBidi"/>
        </w:rPr>
        <w:instrText>Ottoman</w:instrText>
      </w:r>
      <w:r w:rsidR="00647545">
        <w:instrText xml:space="preserve">" </w:instrText>
      </w:r>
      <w:r w:rsidR="00647545">
        <w:rPr>
          <w:rFonts w:ascii="Times New Roman" w:hAnsi="Times New Roman"/>
          <w:lang w:val="en-GB"/>
        </w:rPr>
        <w:fldChar w:fldCharType="end"/>
      </w:r>
      <w:r w:rsidRPr="000E3892">
        <w:rPr>
          <w:rFonts w:ascii="Times New Roman" w:eastAsia="Calibri" w:hAnsi="Times New Roman" w:cs="Times New Roman"/>
          <w:lang w:val="en-GB"/>
        </w:rPr>
        <w:t> </w:t>
      </w:r>
      <w:r w:rsidRPr="00494AC6">
        <w:rPr>
          <w:rFonts w:ascii="Times New Roman" w:hAnsi="Times New Roman"/>
          <w:lang w:val="en-GB"/>
        </w:rPr>
        <w:t>period</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eastAsia="Times New Roman" w:hAnsiTheme="majorBidi" w:cstheme="majorBidi"/>
          <w:lang w:val="en-GB"/>
        </w:rPr>
        <w:instrText>Ottoman period</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pieces</w:t>
      </w:r>
      <w:r w:rsidRPr="000E3892">
        <w:rPr>
          <w:rFonts w:ascii="Times New Roman" w:eastAsia="Calibri" w:hAnsi="Times New Roman" w:cs="Times New Roman"/>
          <w:lang w:val="en-GB"/>
        </w:rPr>
        <w:t>,</w:t>
      </w:r>
      <w:r w:rsidRPr="00494AC6">
        <w:rPr>
          <w:rFonts w:ascii="Times New Roman" w:hAnsi="Times New Roman"/>
          <w:lang w:val="en-GB"/>
        </w:rPr>
        <w:t xml:space="preserve"> with a small number of Urartian</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pieces. Many animal bones were also encountered in the fill. In the east of the drilling area, stone blocks of various sizes, one of which was utilized as a building block, were found just below the dense stone chips fill. The stone chips fill continues under the large stones, possibly placed for filling purposes. Considering the structure of this front area, it is seen that access to the rock chamber is provided by a ramp. In addition, it is understood that this place was filled and used again in the Ottoman period.</w:t>
      </w:r>
      <w:r w:rsidRPr="00494AC6">
        <w:rPr>
          <w:rFonts w:ascii="Times New Roman" w:hAnsi="Times New Roman"/>
          <w:noProof/>
        </w:rPr>
        <w:drawing>
          <wp:inline distT="0" distB="0" distL="0" distR="0" wp14:anchorId="1D71B295" wp14:editId="2DDCC397">
            <wp:extent cx="5756910" cy="3345446"/>
            <wp:effectExtent l="0" t="0" r="0" b="7620"/>
            <wp:docPr id="1064842935" name="Resim 1064842935" descr="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5" name="Resim 1064842935" descr="dış mekan, taş içeren bir resim&#10;&#10;Açıklama otomatik olarak oluşturuldu"/>
                    <pic:cNvPicPr/>
                  </pic:nvPicPr>
                  <pic:blipFill rotWithShape="1">
                    <a:blip r:embed="rId235" cstate="email">
                      <a:extLst>
                        <a:ext uri="{28A0092B-C50C-407E-A947-70E740481C1C}">
                          <a14:useLocalDpi xmlns:a14="http://schemas.microsoft.com/office/drawing/2010/main"/>
                        </a:ext>
                      </a:extLst>
                    </a:blip>
                    <a:srcRect/>
                    <a:stretch/>
                  </pic:blipFill>
                  <pic:spPr bwMode="auto">
                    <a:xfrm>
                      <a:off x="0" y="0"/>
                      <a:ext cx="5756910" cy="3345446"/>
                    </a:xfrm>
                    <a:prstGeom prst="rect">
                      <a:avLst/>
                    </a:prstGeom>
                    <a:ln>
                      <a:noFill/>
                    </a:ln>
                    <a:extLst>
                      <a:ext uri="{53640926-AAD7-44D8-BBD7-CCE9431645EC}">
                        <a14:shadowObscured xmlns:a14="http://schemas.microsoft.com/office/drawing/2010/main"/>
                      </a:ext>
                    </a:extLst>
                  </pic:spPr>
                </pic:pic>
              </a:graphicData>
            </a:graphic>
          </wp:inline>
        </w:drawing>
      </w:r>
    </w:p>
    <w:p w14:paraId="78347DC0" w14:textId="2DB7F8F1"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lang w:val="en-GB"/>
        </w:rPr>
        <w:t>Fig. 10 Possible plan of the entrance of Minua</w:t>
      </w:r>
      <w:r w:rsidRPr="00494AC6">
        <w:rPr>
          <w:rFonts w:ascii="Times New Roman" w:hAnsi="Times New Roman"/>
          <w:lang w:val="en-GB"/>
        </w:rPr>
        <w:fldChar w:fldCharType="begin"/>
      </w:r>
      <w:r w:rsidRPr="00494AC6">
        <w:rPr>
          <w:rFonts w:ascii="Calibri" w:hAnsi="Calibri"/>
          <w:lang w:val="en-GB"/>
        </w:rPr>
        <w:instrText xml:space="preserve"> XE "</w:instrText>
      </w:r>
      <w:r w:rsidRPr="00494AC6">
        <w:rPr>
          <w:rFonts w:ascii="Times New Roman" w:hAnsi="Times New Roman"/>
          <w:lang w:val="en-GB"/>
        </w:rPr>
        <w:instrText>Minua</w:instrText>
      </w:r>
      <w:r w:rsidRPr="00494AC6">
        <w:rPr>
          <w:rFonts w:ascii="Calibri" w:hAnsi="Calibri"/>
          <w:lang w:val="en-GB"/>
        </w:rPr>
        <w:instrText xml:space="preserve">" </w:instrText>
      </w:r>
      <w:r w:rsidRPr="00494AC6">
        <w:rPr>
          <w:rFonts w:ascii="Times New Roman" w:hAnsi="Times New Roman"/>
          <w:lang w:val="en-GB"/>
        </w:rPr>
        <w:fldChar w:fldCharType="end"/>
      </w:r>
      <w:r w:rsidRPr="00494AC6">
        <w:rPr>
          <w:rFonts w:ascii="Times New Roman" w:hAnsi="Times New Roman"/>
          <w:lang w:val="en-GB"/>
        </w:rPr>
        <w:t xml:space="preserve">'s </w:t>
      </w:r>
      <w:r w:rsidR="004B62B6" w:rsidRPr="00274E5C">
        <w:rPr>
          <w:rFonts w:ascii="Times New Roman" w:hAnsi="Times New Roman"/>
          <w:lang w:val="en-GB"/>
        </w:rPr>
        <w:t>"</w:t>
      </w:r>
      <w:r w:rsidRPr="004B62B6">
        <w:rPr>
          <w:rFonts w:ascii="Times New Roman" w:hAnsi="Times New Roman"/>
          <w:iCs/>
          <w:lang w:val="en-GB"/>
        </w:rPr>
        <w:t>siršini</w:t>
      </w:r>
      <w:r w:rsidR="004B62B6" w:rsidRPr="00274E5C">
        <w:rPr>
          <w:rFonts w:ascii="Times New Roman" w:hAnsi="Times New Roman"/>
          <w:lang w:val="en-GB"/>
        </w:rPr>
        <w:t>"</w:t>
      </w:r>
      <w:r w:rsidRPr="004B62B6">
        <w:rPr>
          <w:rFonts w:ascii="Times New Roman" w:hAnsi="Times New Roman"/>
          <w:iCs/>
          <w:lang w:val="en-GB"/>
        </w:rPr>
        <w:fldChar w:fldCharType="begin"/>
      </w:r>
      <w:r w:rsidRPr="004B62B6">
        <w:rPr>
          <w:rFonts w:ascii="Calibri" w:hAnsi="Calibri"/>
          <w:iCs/>
          <w:lang w:val="en-GB"/>
        </w:rPr>
        <w:instrText xml:space="preserve"> XE "</w:instrText>
      </w:r>
      <w:r w:rsidRPr="004B62B6">
        <w:rPr>
          <w:rFonts w:ascii="Times New Roman" w:hAnsi="Times New Roman"/>
          <w:iCs/>
          <w:lang w:val="en-GB"/>
        </w:rPr>
        <w:instrText>siršini</w:instrText>
      </w:r>
      <w:r w:rsidRPr="004B62B6">
        <w:rPr>
          <w:rFonts w:ascii="Calibri" w:hAnsi="Calibri"/>
          <w:iCs/>
          <w:lang w:val="en-GB"/>
        </w:rPr>
        <w:instrText xml:space="preserve">" </w:instrText>
      </w:r>
      <w:r w:rsidRPr="004B62B6">
        <w:rPr>
          <w:rFonts w:ascii="Times New Roman" w:hAnsi="Times New Roman"/>
          <w:iCs/>
          <w:lang w:val="en-GB"/>
        </w:rPr>
        <w:fldChar w:fldCharType="end"/>
      </w:r>
      <w:r w:rsidRPr="00494AC6">
        <w:rPr>
          <w:rFonts w:ascii="Times New Roman" w:hAnsi="Times New Roman"/>
          <w:lang w:val="en-GB"/>
        </w:rPr>
        <w:t xml:space="preserve">. </w:t>
      </w:r>
    </w:p>
    <w:p w14:paraId="10C93121"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r w:rsidRPr="00494AC6">
        <w:rPr>
          <w:rFonts w:ascii="Times New Roman" w:hAnsi="Times New Roman"/>
          <w:noProof/>
        </w:rPr>
        <w:lastRenderedPageBreak/>
        <w:drawing>
          <wp:inline distT="0" distB="0" distL="0" distR="0" wp14:anchorId="094839F2" wp14:editId="32E3B455">
            <wp:extent cx="4733925" cy="2935611"/>
            <wp:effectExtent l="0" t="0" r="0" b="0"/>
            <wp:docPr id="295953735" name="Resim 295953735" descr="C:\Users\lenovo\Desktop\Tušpa Kitabı 2020\Minua and Siršini\Menua Sirşini\IMG_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Tušpa Kitabı 2020\Minua and Siršini\Menua Sirşini\IMG_1250.JPG"/>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4735517" cy="2936598"/>
                    </a:xfrm>
                    <a:prstGeom prst="rect">
                      <a:avLst/>
                    </a:prstGeom>
                    <a:noFill/>
                    <a:ln>
                      <a:noFill/>
                    </a:ln>
                  </pic:spPr>
                </pic:pic>
              </a:graphicData>
            </a:graphic>
          </wp:inline>
        </w:drawing>
      </w:r>
    </w:p>
    <w:p w14:paraId="116E7491" w14:textId="7E0858CB" w:rsidR="00D02275" w:rsidRPr="00494AC6" w:rsidRDefault="00D02275" w:rsidP="00D02275">
      <w:pPr>
        <w:spacing w:before="100" w:beforeAutospacing="1" w:after="100" w:afterAutospacing="1"/>
        <w:jc w:val="both"/>
        <w:rPr>
          <w:rFonts w:ascii="Times New Roman" w:hAnsi="Times New Roman"/>
          <w:lang w:val="en-GB"/>
        </w:rPr>
      </w:pPr>
      <w:r w:rsidRPr="00494AC6">
        <w:rPr>
          <w:rFonts w:ascii="Times New Roman" w:hAnsi="Times New Roman"/>
          <w:lang w:val="en-GB"/>
        </w:rPr>
        <w:t xml:space="preserve">Fig. 11 The wall-foundation line at the entrance to the </w:t>
      </w:r>
      <w:r w:rsidR="004B62B6" w:rsidRPr="00274E5C">
        <w:rPr>
          <w:rFonts w:ascii="Times New Roman" w:hAnsi="Times New Roman"/>
          <w:lang w:val="en-GB"/>
        </w:rPr>
        <w:t>"</w:t>
      </w:r>
      <w:r w:rsidRPr="00494AC6">
        <w:rPr>
          <w:rFonts w:ascii="Times New Roman" w:hAnsi="Times New Roman"/>
        </w:rPr>
        <w:t>siršini</w:t>
      </w:r>
      <w:r w:rsidR="004B62B6" w:rsidRPr="00274E5C">
        <w:rPr>
          <w:rFonts w:ascii="Times New Roman" w:hAnsi="Times New Roman"/>
          <w:lang w:val="en-GB"/>
        </w:rPr>
        <w:t>"</w:t>
      </w:r>
      <w:r w:rsidRPr="00494AC6">
        <w:rPr>
          <w:rFonts w:ascii="Times New Roman" w:hAnsi="Times New Roman"/>
        </w:rPr>
        <w:fldChar w:fldCharType="begin"/>
      </w:r>
      <w:r w:rsidRPr="00494AC6">
        <w:rPr>
          <w:rFonts w:ascii="Times New Roman" w:hAnsi="Times New Roman"/>
          <w:lang w:val="en-GB"/>
        </w:rPr>
        <w:instrText xml:space="preserve"> XE "</w:instrText>
      </w:r>
      <w:r w:rsidRPr="004B62B6">
        <w:rPr>
          <w:rFonts w:ascii="Times New Roman" w:hAnsi="Times New Roman"/>
          <w:iCs/>
          <w:lang w:val="en-GB"/>
        </w:rPr>
        <w:instrText>siršini</w:instrText>
      </w:r>
      <w:r w:rsidRPr="00494AC6">
        <w:rPr>
          <w:rFonts w:ascii="Times New Roman" w:hAnsi="Times New Roman"/>
          <w:lang w:val="en-GB"/>
        </w:rPr>
        <w:instrText xml:space="preserve">" </w:instrText>
      </w:r>
      <w:r w:rsidRPr="00494AC6">
        <w:rPr>
          <w:rFonts w:ascii="Times New Roman" w:hAnsi="Times New Roman"/>
        </w:rPr>
        <w:fldChar w:fldCharType="end"/>
      </w:r>
      <w:r w:rsidRPr="00494AC6">
        <w:rPr>
          <w:rFonts w:ascii="Times New Roman" w:hAnsi="Times New Roman"/>
        </w:rPr>
        <w:t>.</w:t>
      </w:r>
    </w:p>
    <w:p w14:paraId="557A8D48" w14:textId="77777777" w:rsidR="00D02275" w:rsidRPr="00494AC6" w:rsidRDefault="00D02275" w:rsidP="00D02275">
      <w:pPr>
        <w:autoSpaceDE w:val="0"/>
        <w:autoSpaceDN w:val="0"/>
        <w:adjustRightInd w:val="0"/>
        <w:spacing w:line="276" w:lineRule="auto"/>
        <w:jc w:val="both"/>
        <w:rPr>
          <w:rFonts w:ascii="Times New Roman" w:hAnsi="Times New Roman"/>
          <w:lang w:val="en-GB"/>
        </w:rPr>
      </w:pPr>
    </w:p>
    <w:p w14:paraId="598ADC3F" w14:textId="2FF40352" w:rsidR="00D02275" w:rsidRPr="00494AC6" w:rsidRDefault="00D02275" w:rsidP="00D02275">
      <w:pPr>
        <w:spacing w:line="276" w:lineRule="auto"/>
        <w:jc w:val="both"/>
        <w:rPr>
          <w:rFonts w:ascii="Times New Roman" w:hAnsi="Times New Roman"/>
          <w:lang w:val="en-GB"/>
        </w:rPr>
      </w:pPr>
      <w:r w:rsidRPr="00494AC6">
        <w:rPr>
          <w:rFonts w:ascii="Times New Roman" w:hAnsi="Times New Roman"/>
          <w:lang w:val="en-GB"/>
        </w:rPr>
        <w:t xml:space="preserve">After the excavation and cleaning works, it was understood that the main entrance of the </w:t>
      </w:r>
      <w:r w:rsidR="004B62B6" w:rsidRPr="00274E5C">
        <w:rPr>
          <w:rFonts w:ascii="Times New Roman" w:hAnsi="Times New Roman"/>
          <w:lang w:val="en-GB"/>
        </w:rPr>
        <w:t>"</w:t>
      </w:r>
      <w:r w:rsidRPr="00494AC6">
        <w:rPr>
          <w:rFonts w:ascii="Times New Roman" w:hAnsi="Times New Roman"/>
          <w:lang w:val="en-GB"/>
        </w:rPr>
        <w:t>siršini</w:t>
      </w:r>
      <w:r w:rsidR="004B62B6"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B62B6">
        <w:rPr>
          <w:rFonts w:asciiTheme="majorBidi" w:hAnsiTheme="majorBidi" w:cstheme="majorBidi"/>
          <w:lang w:val="en-GB"/>
        </w:rPr>
        <w:instrText>siršini</w:instrText>
      </w:r>
      <w:r w:rsidRPr="004B62B6">
        <w:rPr>
          <w:lang w:val="en-GB"/>
        </w:rPr>
        <w:instrText>"</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 xml:space="preserve">rock room was not originally in the form of a wide opening as it is seen today. In the middle part of the entrance, it can be seen that it has a door opening measuring 3.40 m, which is understood to have traces of use. On the left and right sections of the doorway, traces of the walls are visible on the ground, the foundations of which seem to have been laid. These walls must </w:t>
      </w:r>
      <w:r w:rsidRPr="000E3892">
        <w:rPr>
          <w:rFonts w:ascii="Times New Roman" w:eastAsia="Calibri" w:hAnsi="Times New Roman" w:cs="Times New Roman"/>
          <w:lang w:val="en-GB"/>
        </w:rPr>
        <w:t>be</w:t>
      </w:r>
      <w:r w:rsidRPr="00494AC6">
        <w:rPr>
          <w:rFonts w:ascii="Times New Roman" w:hAnsi="Times New Roman"/>
          <w:lang w:val="en-GB"/>
        </w:rPr>
        <w:t xml:space="preserve"> combined with the bedrock to form the entrance facade of the building (Fig. 10-11). At this point, we understand that the wall on the facade of the masonry wall was built flat. Here, the question arises </w:t>
      </w:r>
      <w:r w:rsidRPr="000E3892">
        <w:rPr>
          <w:rFonts w:ascii="Times New Roman" w:eastAsia="Calibri" w:hAnsi="Times New Roman" w:cs="Times New Roman"/>
          <w:lang w:val="en-GB"/>
        </w:rPr>
        <w:t xml:space="preserve">as to </w:t>
      </w:r>
      <w:r w:rsidRPr="00494AC6">
        <w:rPr>
          <w:rFonts w:ascii="Times New Roman" w:hAnsi="Times New Roman"/>
          <w:lang w:val="en-GB"/>
        </w:rPr>
        <w:t xml:space="preserve">why this entrance, narrowed by knitting, was carved in such a wide opening. This practice is probably related to the type of bedrock in this area or the </w:t>
      </w:r>
      <w:r w:rsidRPr="000E3892">
        <w:rPr>
          <w:rFonts w:ascii="Times New Roman" w:eastAsia="Calibri" w:hAnsi="Times New Roman" w:cs="Times New Roman"/>
          <w:lang w:val="en-GB"/>
        </w:rPr>
        <w:t xml:space="preserve">room's </w:t>
      </w:r>
      <w:r w:rsidRPr="00494AC6">
        <w:rPr>
          <w:rFonts w:ascii="Times New Roman" w:hAnsi="Times New Roman"/>
          <w:lang w:val="en-GB"/>
        </w:rPr>
        <w:t>function.</w:t>
      </w:r>
    </w:p>
    <w:p w14:paraId="3F30359A" w14:textId="77777777" w:rsidR="00D02275" w:rsidRPr="00494AC6" w:rsidRDefault="00D02275" w:rsidP="00D02275">
      <w:pPr>
        <w:keepNext/>
        <w:keepLines/>
        <w:spacing w:before="40"/>
        <w:jc w:val="both"/>
        <w:outlineLvl w:val="1"/>
        <w:rPr>
          <w:rFonts w:ascii="Times New Roman" w:hAnsi="Times New Roman"/>
          <w:b/>
          <w:color w:val="0D0D0D"/>
          <w:sz w:val="28"/>
          <w:szCs w:val="22"/>
          <w:lang w:val="en-GB"/>
        </w:rPr>
      </w:pPr>
      <w:bookmarkStart w:id="113" w:name="_Toc132072536"/>
      <w:bookmarkStart w:id="114" w:name="_Toc173231229"/>
      <w:r w:rsidRPr="00494AC6">
        <w:rPr>
          <w:rFonts w:ascii="Times New Roman" w:hAnsi="Times New Roman"/>
          <w:b/>
          <w:color w:val="0D0D0D"/>
          <w:sz w:val="28"/>
          <w:szCs w:val="22"/>
          <w:lang w:val="en-GB"/>
        </w:rPr>
        <w:t>7.4. Conclusion</w:t>
      </w:r>
      <w:bookmarkEnd w:id="113"/>
      <w:bookmarkEnd w:id="114"/>
    </w:p>
    <w:p w14:paraId="3785312F" w14:textId="3693F7B0" w:rsidR="00D02275" w:rsidRPr="00494AC6" w:rsidRDefault="00D02275" w:rsidP="00D02275">
      <w:pPr>
        <w:jc w:val="both"/>
        <w:rPr>
          <w:rFonts w:ascii="Times New Roman" w:hAnsi="Times New Roman"/>
          <w:lang w:val="en-GB"/>
        </w:rPr>
      </w:pPr>
      <w:r w:rsidRPr="00494AC6">
        <w:rPr>
          <w:rFonts w:ascii="Times New Roman" w:hAnsi="Times New Roman"/>
          <w:lang w:val="en-GB"/>
        </w:rPr>
        <w:t xml:space="preserve">It is understood that the </w:t>
      </w:r>
      <w:r w:rsidR="004B62B6" w:rsidRPr="00274E5C">
        <w:rPr>
          <w:rFonts w:ascii="Times New Roman" w:hAnsi="Times New Roman"/>
          <w:lang w:val="en-GB"/>
        </w:rPr>
        <w:t>"</w:t>
      </w:r>
      <w:r w:rsidRPr="00494AC6">
        <w:rPr>
          <w:rFonts w:ascii="Times New Roman" w:hAnsi="Times New Roman"/>
          <w:lang w:val="en-GB"/>
        </w:rPr>
        <w:t>siršini</w:t>
      </w:r>
      <w:r w:rsidR="004B62B6"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
          <w:iCs/>
          <w:lang w:val="en-GB"/>
        </w:rPr>
        <w:fldChar w:fldCharType="begin"/>
      </w:r>
      <w:r w:rsidRPr="00427476">
        <w:rPr>
          <w:lang w:val="en-GB"/>
        </w:rPr>
        <w:instrText xml:space="preserve"> XE "</w:instrText>
      </w:r>
      <w:r w:rsidRPr="004B62B6">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i/>
          <w:iCs/>
          <w:lang w:val="en-GB"/>
        </w:rPr>
        <w:t xml:space="preserve"> </w:t>
      </w:r>
      <w:r w:rsidRPr="00494AC6">
        <w:rPr>
          <w:rFonts w:ascii="Times New Roman" w:hAnsi="Times New Roman"/>
          <w:lang w:val="en-GB"/>
        </w:rPr>
        <w:t>structure, which is unparalleled at any other Urartu</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eastAsia="Times New Roman"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settlement, was built during the Minua</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Minua</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period</w:t>
      </w:r>
      <w:r w:rsidRPr="000E3892">
        <w:rPr>
          <w:rFonts w:ascii="Times New Roman" w:eastAsia="Calibri" w:hAnsi="Times New Roman" w:cs="Times New Roman"/>
          <w:lang w:val="en-GB"/>
        </w:rPr>
        <w:t> </w:t>
      </w:r>
      <w:r w:rsidRPr="00427476">
        <w:rPr>
          <w:rFonts w:asciiTheme="majorBidi" w:hAnsiTheme="majorBidi" w:cstheme="majorBidi"/>
          <w:lang w:val="en-GB"/>
        </w:rPr>
        <w:t xml:space="preserve"> </w:t>
      </w:r>
      <w:r w:rsidRPr="00494AC6">
        <w:rPr>
          <w:rFonts w:ascii="Times New Roman" w:hAnsi="Times New Roman"/>
          <w:lang w:val="en-GB"/>
        </w:rPr>
        <w:t xml:space="preserve">due to the inscription on its entrance (Fig. 2). However, the expressions mentioned in the content of the inscription point to the existence of a much more complex structure here. In addition, </w:t>
      </w:r>
      <w:r w:rsidRPr="000E3892">
        <w:rPr>
          <w:rFonts w:ascii="Times New Roman" w:eastAsia="Calibri" w:hAnsi="Times New Roman" w:cs="Times New Roman"/>
          <w:lang w:val="en-GB"/>
        </w:rPr>
        <w:t>due to</w:t>
      </w:r>
      <w:r w:rsidRPr="00494AC6">
        <w:rPr>
          <w:rFonts w:ascii="Times New Roman" w:hAnsi="Times New Roman"/>
          <w:lang w:val="en-GB"/>
        </w:rPr>
        <w:t xml:space="preserve"> the excavation and cleaning work carried out in 2018, new findings were unearthed </w:t>
      </w:r>
      <w:r w:rsidRPr="000E3892">
        <w:rPr>
          <w:rFonts w:ascii="Times New Roman" w:eastAsia="Calibri" w:hAnsi="Times New Roman" w:cs="Times New Roman"/>
          <w:lang w:val="en-GB"/>
        </w:rPr>
        <w:t>concerning</w:t>
      </w:r>
      <w:r w:rsidRPr="00494AC6">
        <w:rPr>
          <w:rFonts w:ascii="Times New Roman" w:hAnsi="Times New Roman"/>
          <w:lang w:val="en-GB"/>
        </w:rPr>
        <w:t xml:space="preserve"> the entrance part of the rock room and the area in front of it.</w:t>
      </w:r>
    </w:p>
    <w:p w14:paraId="0BBCA28E" w14:textId="77777777" w:rsidR="00D02275" w:rsidRPr="00494AC6" w:rsidRDefault="00D02275" w:rsidP="00D02275">
      <w:pPr>
        <w:jc w:val="both"/>
        <w:rPr>
          <w:rFonts w:ascii="Times New Roman" w:hAnsi="Times New Roman"/>
          <w:lang w:val="en-GB"/>
        </w:rPr>
      </w:pPr>
    </w:p>
    <w:p w14:paraId="5EB4EA31" w14:textId="4E2D012F" w:rsidR="00D02275" w:rsidRPr="00494AC6" w:rsidRDefault="00D02275" w:rsidP="00D02275">
      <w:pPr>
        <w:jc w:val="both"/>
        <w:rPr>
          <w:rFonts w:ascii="Times New Roman" w:hAnsi="Times New Roman"/>
          <w:lang w:val="en-GB"/>
        </w:rPr>
      </w:pPr>
      <w:r w:rsidRPr="00494AC6">
        <w:rPr>
          <w:rFonts w:ascii="Times New Roman" w:hAnsi="Times New Roman"/>
          <w:lang w:val="en-GB"/>
        </w:rPr>
        <w:t xml:space="preserve">Based on the statements in the </w:t>
      </w:r>
      <w:r w:rsidR="004B62B6" w:rsidRPr="00274E5C">
        <w:rPr>
          <w:rFonts w:ascii="Times New Roman" w:hAnsi="Times New Roman"/>
          <w:lang w:val="en-GB"/>
        </w:rPr>
        <w:t>"</w:t>
      </w:r>
      <w:r w:rsidRPr="00494AC6">
        <w:rPr>
          <w:rFonts w:ascii="Times New Roman" w:hAnsi="Times New Roman"/>
          <w:lang w:val="en-GB"/>
        </w:rPr>
        <w:t>siršini</w:t>
      </w:r>
      <w:r w:rsidR="004B62B6"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
          <w:iCs/>
          <w:lang w:val="en-GB"/>
        </w:rPr>
        <w:fldChar w:fldCharType="begin"/>
      </w:r>
      <w:r w:rsidRPr="00427476">
        <w:rPr>
          <w:lang w:val="en-GB"/>
        </w:rPr>
        <w:instrText xml:space="preserve"> XE "</w:instrText>
      </w:r>
      <w:r w:rsidRPr="004B62B6">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 xml:space="preserve">inscriptions, it has been thought that the rock-room /siršini was used as an animal barn. However, further questions can be raised </w:t>
      </w:r>
      <w:r w:rsidRPr="000E3892">
        <w:rPr>
          <w:rFonts w:ascii="Times New Roman" w:eastAsia="Calibri" w:hAnsi="Times New Roman" w:cs="Times New Roman"/>
          <w:lang w:val="en-GB"/>
        </w:rPr>
        <w:t>regarding</w:t>
      </w:r>
      <w:r w:rsidRPr="00494AC6">
        <w:rPr>
          <w:rFonts w:ascii="Times New Roman" w:hAnsi="Times New Roman"/>
          <w:lang w:val="en-GB"/>
        </w:rPr>
        <w:t xml:space="preserve"> the function of the space. This area, which is quite difficult to reach today, would have been useless for a permanent and functional animal shelter. The water and feed needed for the animals would have to be transported up here regularly. Therefore, it is unlikely that the animals were kept here all year round., The structure plan, the fact that this area has inscriptions in its name, and its location on the slope of Van Fortress</w:t>
      </w:r>
      <w:r w:rsidRPr="00427476">
        <w:rPr>
          <w:rFonts w:asciiTheme="majorBidi" w:hAnsiTheme="majorBidi" w:cstheme="majorBidi"/>
          <w:lang w:val="en-GB"/>
        </w:rPr>
        <w:t>,</w:t>
      </w:r>
      <w:r w:rsidRPr="00494AC6">
        <w:rPr>
          <w:rFonts w:ascii="Times New Roman" w:hAnsi="Times New Roman"/>
          <w:lang w:val="en-GB"/>
        </w:rPr>
        <w:t xml:space="preserve"> the political-religious symbol of the Urartu</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eastAsia="Times New Roman"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 xml:space="preserve">kingdom, indicate that this place was </w:t>
      </w:r>
      <w:r w:rsidRPr="000E3892">
        <w:rPr>
          <w:rFonts w:ascii="Times New Roman" w:eastAsia="Calibri" w:hAnsi="Times New Roman" w:cs="Times New Roman"/>
          <w:lang w:val="en-GB"/>
        </w:rPr>
        <w:t>an extraordinary</w:t>
      </w:r>
      <w:r w:rsidRPr="00494AC6">
        <w:rPr>
          <w:rFonts w:ascii="Times New Roman" w:hAnsi="Times New Roman"/>
          <w:lang w:val="en-GB"/>
        </w:rPr>
        <w:t xml:space="preserve"> building. In addition, the siršini is a structure that </w:t>
      </w:r>
      <w:r w:rsidRPr="00494AC6">
        <w:rPr>
          <w:rFonts w:ascii="Times New Roman" w:hAnsi="Times New Roman"/>
          <w:lang w:val="en-GB"/>
        </w:rPr>
        <w:lastRenderedPageBreak/>
        <w:t>should be evaluated together with the 5000 m2 wide terrace</w:t>
      </w:r>
      <w:r w:rsidRPr="000E3892">
        <w:rPr>
          <w:rFonts w:ascii="Times New Roman" w:eastAsia="Calibri" w:hAnsi="Times New Roman" w:cs="Times New Roman"/>
          <w:lang w:val="en-GB"/>
        </w:rPr>
        <w:t xml:space="preserve"> </w:t>
      </w:r>
      <w:r w:rsidRPr="00494AC6">
        <w:rPr>
          <w:rFonts w:ascii="Times New Roman" w:hAnsi="Times New Roman"/>
          <w:lang w:val="en-GB"/>
        </w:rPr>
        <w:t>area/</w:t>
      </w:r>
      <w:r w:rsidR="004B62B6" w:rsidRPr="00274E5C">
        <w:rPr>
          <w:rFonts w:ascii="Times New Roman" w:hAnsi="Times New Roman"/>
          <w:lang w:val="en-GB"/>
        </w:rPr>
        <w:t>"</w:t>
      </w:r>
      <w:r w:rsidRPr="00494AC6">
        <w:rPr>
          <w:rFonts w:ascii="Times New Roman" w:hAnsi="Times New Roman"/>
          <w:lang w:val="en-GB"/>
        </w:rPr>
        <w:t>ḫarnizi</w:t>
      </w:r>
      <w:r w:rsidR="004B62B6"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
          <w:lang w:val="en-GB"/>
        </w:rPr>
        <w:fldChar w:fldCharType="begin"/>
      </w:r>
      <w:r w:rsidRPr="00427476">
        <w:rPr>
          <w:lang w:val="en-GB"/>
        </w:rPr>
        <w:instrText xml:space="preserve"> XE "</w:instrText>
      </w:r>
      <w:r w:rsidRPr="004B62B6">
        <w:rPr>
          <w:rFonts w:asciiTheme="majorBidi" w:hAnsiTheme="majorBidi" w:cstheme="majorBidi"/>
          <w:lang w:val="en-GB"/>
        </w:rPr>
        <w:instrText>ḫarnizi</w:instrText>
      </w:r>
      <w:r w:rsidRPr="00427476">
        <w:rPr>
          <w:lang w:val="en-GB"/>
        </w:rPr>
        <w:instrText xml:space="preserve">" </w:instrText>
      </w:r>
      <w:r w:rsidRPr="00427476">
        <w:rPr>
          <w:rFonts w:asciiTheme="majorBidi" w:hAnsiTheme="majorBidi" w:cstheme="majorBidi"/>
          <w:i/>
          <w:lang w:val="en-GB"/>
        </w:rPr>
        <w:fldChar w:fldCharType="end"/>
      </w:r>
      <w:r w:rsidRPr="00427476">
        <w:rPr>
          <w:rFonts w:asciiTheme="majorBidi" w:hAnsiTheme="majorBidi" w:cstheme="majorBidi"/>
          <w:iCs/>
          <w:lang w:val="en-GB"/>
        </w:rPr>
        <w:t xml:space="preserve"> </w:t>
      </w:r>
      <w:r w:rsidRPr="00494AC6">
        <w:rPr>
          <w:rFonts w:ascii="Times New Roman" w:hAnsi="Times New Roman"/>
          <w:lang w:val="en-GB"/>
        </w:rPr>
        <w:t>at its front rather than solely as a rock-cut structure.</w:t>
      </w:r>
    </w:p>
    <w:p w14:paraId="5D893403" w14:textId="77777777" w:rsidR="00D02275" w:rsidRPr="00494AC6" w:rsidRDefault="00D02275" w:rsidP="00D02275">
      <w:pPr>
        <w:jc w:val="both"/>
        <w:rPr>
          <w:rFonts w:ascii="Times New Roman" w:hAnsi="Times New Roman"/>
          <w:lang w:val="en-GB"/>
        </w:rPr>
      </w:pPr>
    </w:p>
    <w:p w14:paraId="739D4B9A" w14:textId="3E408C18" w:rsidR="00D02275" w:rsidRPr="00494AC6" w:rsidRDefault="00D02275" w:rsidP="00D02275">
      <w:pPr>
        <w:jc w:val="both"/>
        <w:rPr>
          <w:rFonts w:ascii="Times New Roman" w:hAnsi="Times New Roman"/>
          <w:lang w:val="en-GB"/>
        </w:rPr>
      </w:pPr>
      <w:r w:rsidRPr="00494AC6">
        <w:rPr>
          <w:rFonts w:ascii="Times New Roman" w:hAnsi="Times New Roman"/>
          <w:lang w:val="en-GB"/>
        </w:rPr>
        <w:t xml:space="preserve">It is understood that this area, which has a floor covering that was carefully tiled with round river stones, was designed as an outdoor space (Fig. 9). This area, whose boundaries are visible on the rock slope, </w:t>
      </w:r>
      <w:r w:rsidRPr="000E3892">
        <w:rPr>
          <w:rFonts w:ascii="Times New Roman" w:eastAsia="Calibri" w:hAnsi="Times New Roman" w:cs="Times New Roman"/>
          <w:lang w:val="en-GB"/>
        </w:rPr>
        <w:t>maybe</w:t>
      </w:r>
      <w:r w:rsidRPr="00494AC6">
        <w:rPr>
          <w:rFonts w:ascii="Times New Roman" w:hAnsi="Times New Roman"/>
          <w:lang w:val="en-GB"/>
        </w:rPr>
        <w:t xml:space="preserve"> the place where the animals brought for religious rituals were kept for a short time before being prepared for ceremonies and sacrificed. </w:t>
      </w:r>
      <w:r w:rsidRPr="000E3892">
        <w:rPr>
          <w:rFonts w:ascii="Times New Roman" w:eastAsia="Calibri" w:hAnsi="Times New Roman" w:cs="Times New Roman"/>
          <w:lang w:val="en-GB"/>
        </w:rPr>
        <w:t xml:space="preserve">The </w:t>
      </w:r>
      <w:r w:rsidRPr="00494AC6">
        <w:rPr>
          <w:rFonts w:ascii="Times New Roman" w:hAnsi="Times New Roman"/>
          <w:lang w:val="en-GB"/>
        </w:rPr>
        <w:t>animals taken to the rock of Van Fortress</w:t>
      </w:r>
      <w:r w:rsidRPr="00427476">
        <w:rPr>
          <w:rFonts w:asciiTheme="majorBidi" w:hAnsiTheme="majorBidi" w:cstheme="majorBidi"/>
          <w:lang w:val="en-GB"/>
        </w:rPr>
        <w:t>, which is</w:t>
      </w:r>
      <w:r w:rsidRPr="00494AC6">
        <w:rPr>
          <w:rFonts w:ascii="Times New Roman" w:hAnsi="Times New Roman"/>
          <w:lang w:val="en-GB"/>
        </w:rPr>
        <w:t xml:space="preserve"> considered sacred, where places such as Urartu</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eastAsia="Times New Roman"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 xml:space="preserve">temples and royal tombs, must have been sacrificial animals rather than ordinary animals. The mention of cattle instead of sheep, a sacrificial animal in Urartu, in the </w:t>
      </w:r>
      <w:r w:rsidR="004B62B6" w:rsidRPr="00274E5C">
        <w:rPr>
          <w:rFonts w:ascii="Times New Roman" w:hAnsi="Times New Roman"/>
          <w:lang w:val="en-GB"/>
        </w:rPr>
        <w:t>"</w:t>
      </w:r>
      <w:r w:rsidRPr="00494AC6">
        <w:rPr>
          <w:rFonts w:ascii="Times New Roman" w:hAnsi="Times New Roman"/>
          <w:lang w:val="en-GB"/>
        </w:rPr>
        <w:t>siršini</w:t>
      </w:r>
      <w:r w:rsidR="004B62B6"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
          <w:iCs/>
          <w:lang w:val="en-GB"/>
        </w:rPr>
        <w:fldChar w:fldCharType="begin"/>
      </w:r>
      <w:r w:rsidRPr="00427476">
        <w:rPr>
          <w:lang w:val="en-GB"/>
        </w:rPr>
        <w:instrText xml:space="preserve"> XE "</w:instrText>
      </w:r>
      <w:r w:rsidRPr="004B62B6">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i/>
          <w:iCs/>
          <w:lang w:val="en-GB"/>
        </w:rPr>
        <w:t xml:space="preserve"> </w:t>
      </w:r>
      <w:r w:rsidRPr="00494AC6">
        <w:rPr>
          <w:rFonts w:ascii="Times New Roman" w:hAnsi="Times New Roman"/>
          <w:lang w:val="en-GB"/>
        </w:rPr>
        <w:t>inscriptions shows that large animals, which would have difficulty climbing onto the rocky slope, were preferred. This further supports the idea that the animals taken to the slope were for sacrifice purposes</w:t>
      </w:r>
      <w:r w:rsidRPr="000E3892">
        <w:rPr>
          <w:rFonts w:ascii="Times New Roman" w:eastAsia="Calibri" w:hAnsi="Times New Roman" w:cs="Times New Roman"/>
          <w:lang w:val="en-GB"/>
        </w:rPr>
        <w:t>,</w:t>
      </w:r>
      <w:r w:rsidRPr="00494AC6">
        <w:rPr>
          <w:rFonts w:ascii="Times New Roman" w:hAnsi="Times New Roman"/>
          <w:lang w:val="en-GB"/>
        </w:rPr>
        <w:t xml:space="preserve"> and the area was used actively during some periods of the year.</w:t>
      </w:r>
    </w:p>
    <w:p w14:paraId="746A3E17" w14:textId="77777777" w:rsidR="00D02275" w:rsidRPr="00494AC6" w:rsidRDefault="00D02275" w:rsidP="00D02275">
      <w:pPr>
        <w:jc w:val="both"/>
        <w:rPr>
          <w:rFonts w:ascii="Times New Roman" w:hAnsi="Times New Roman"/>
          <w:lang w:val="en-GB"/>
        </w:rPr>
      </w:pPr>
    </w:p>
    <w:p w14:paraId="2ADCEED2" w14:textId="5ECC41B4" w:rsidR="00D02275" w:rsidRPr="00494AC6" w:rsidRDefault="00D02275" w:rsidP="00D02275">
      <w:pPr>
        <w:jc w:val="both"/>
        <w:rPr>
          <w:rFonts w:ascii="Times New Roman" w:hAnsi="Times New Roman"/>
          <w:lang w:val="en-GB"/>
        </w:rPr>
      </w:pPr>
      <w:r w:rsidRPr="00494AC6">
        <w:rPr>
          <w:rFonts w:ascii="Times New Roman" w:hAnsi="Times New Roman"/>
          <w:lang w:val="en-GB"/>
        </w:rPr>
        <w:t xml:space="preserve">It was understood that the entrance of the </w:t>
      </w:r>
      <w:r w:rsidR="004B62B6" w:rsidRPr="00274E5C">
        <w:rPr>
          <w:rFonts w:ascii="Times New Roman" w:hAnsi="Times New Roman"/>
          <w:lang w:val="en-GB"/>
        </w:rPr>
        <w:t>"</w:t>
      </w:r>
      <w:r w:rsidRPr="00494AC6">
        <w:rPr>
          <w:rFonts w:ascii="Times New Roman" w:hAnsi="Times New Roman"/>
          <w:lang w:val="en-GB"/>
        </w:rPr>
        <w:t>siršini</w:t>
      </w:r>
      <w:r w:rsidR="004B62B6"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Cs/>
          <w:lang w:val="en-GB"/>
        </w:rPr>
        <w:fldChar w:fldCharType="begin"/>
      </w:r>
      <w:r w:rsidRPr="00427476">
        <w:rPr>
          <w:lang w:val="en-GB"/>
        </w:rPr>
        <w:instrText xml:space="preserve"> XE "</w:instrText>
      </w:r>
      <w:r w:rsidRPr="004B62B6">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Cs/>
          <w:lang w:val="en-GB"/>
        </w:rPr>
        <w:fldChar w:fldCharType="end"/>
      </w:r>
      <w:r w:rsidRPr="00427476">
        <w:rPr>
          <w:rFonts w:asciiTheme="majorBidi" w:hAnsiTheme="majorBidi" w:cstheme="majorBidi"/>
          <w:iCs/>
          <w:lang w:val="en-GB"/>
        </w:rPr>
        <w:t xml:space="preserve"> </w:t>
      </w:r>
      <w:r w:rsidRPr="00494AC6">
        <w:rPr>
          <w:rFonts w:ascii="Times New Roman" w:hAnsi="Times New Roman"/>
          <w:lang w:val="en-GB"/>
        </w:rPr>
        <w:t>structure was not as wide as it is today from the wall traces on the rock surface.</w:t>
      </w:r>
      <w:r w:rsidRPr="000E3892">
        <w:rPr>
          <w:rFonts w:ascii="Times New Roman" w:eastAsia="Calibri" w:hAnsi="Times New Roman" w:cs="Times New Roman"/>
          <w:lang w:val="en-GB"/>
        </w:rPr>
        <w:t> </w:t>
      </w:r>
      <w:r w:rsidRPr="00494AC6">
        <w:rPr>
          <w:rFonts w:ascii="Times New Roman" w:hAnsi="Times New Roman"/>
          <w:lang w:val="en-GB"/>
        </w:rPr>
        <w:t xml:space="preserve"> A stele slot and niche marks on the north side of this narrowed entrance wall indicate that a stele might have been placed here (Fig. 5, 10-11). The stele erected here most likely featured duplicate text with other siršini inscriptions.</w:t>
      </w:r>
    </w:p>
    <w:p w14:paraId="78C2A881" w14:textId="77777777" w:rsidR="00D02275" w:rsidRPr="00494AC6" w:rsidRDefault="00D02275" w:rsidP="00D02275">
      <w:pPr>
        <w:jc w:val="both"/>
        <w:rPr>
          <w:rFonts w:ascii="Times New Roman" w:hAnsi="Times New Roman"/>
          <w:lang w:val="en-GB"/>
        </w:rPr>
      </w:pPr>
    </w:p>
    <w:p w14:paraId="10096F39" w14:textId="7B7AF2FB" w:rsidR="00D02275" w:rsidRDefault="00D02275" w:rsidP="00D02275">
      <w:pPr>
        <w:jc w:val="both"/>
        <w:rPr>
          <w:rFonts w:ascii="Times New Roman" w:hAnsi="Times New Roman"/>
          <w:lang w:val="en-GB"/>
        </w:rPr>
        <w:sectPr w:rsidR="00D02275" w:rsidSect="007F3733">
          <w:pgSz w:w="11909" w:h="16834"/>
          <w:pgMar w:top="1440" w:right="1440" w:bottom="1440" w:left="1440" w:header="720" w:footer="720" w:gutter="0"/>
          <w:cols w:space="708"/>
        </w:sectPr>
      </w:pPr>
      <w:r w:rsidRPr="00494AC6">
        <w:rPr>
          <w:rFonts w:ascii="Times New Roman" w:hAnsi="Times New Roman"/>
          <w:lang w:val="en-GB"/>
        </w:rPr>
        <w:t xml:space="preserve">This stele slot on a platform built into the bedrock east of the </w:t>
      </w:r>
      <w:r w:rsidR="004B62B6" w:rsidRPr="00274E5C">
        <w:rPr>
          <w:rFonts w:ascii="Times New Roman" w:hAnsi="Times New Roman"/>
          <w:lang w:val="en-GB"/>
        </w:rPr>
        <w:t>"</w:t>
      </w:r>
      <w:r w:rsidRPr="00494AC6">
        <w:rPr>
          <w:rFonts w:ascii="Times New Roman" w:hAnsi="Times New Roman"/>
          <w:lang w:val="en-GB"/>
        </w:rPr>
        <w:t>siršini</w:t>
      </w:r>
      <w:r w:rsidR="004B62B6"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
          <w:iCs/>
          <w:lang w:val="en-GB"/>
        </w:rPr>
        <w:fldChar w:fldCharType="begin"/>
      </w:r>
      <w:r w:rsidRPr="00427476">
        <w:rPr>
          <w:lang w:val="en-GB"/>
        </w:rPr>
        <w:instrText xml:space="preserve"> XE "</w:instrText>
      </w:r>
      <w:r w:rsidRPr="004B62B6">
        <w:rPr>
          <w:rFonts w:asciiTheme="majorBidi" w:hAnsiTheme="majorBidi" w:cstheme="majorBidi"/>
          <w:lang w:val="en-GB"/>
        </w:rPr>
        <w:instrText>siršini</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area indicates that a stele was erected here (Fig. 1, 4, 6). This platform is also a suitable place to place things other than steles. We know that sacrificial ceremonies were performed in addition to the wine libation in front of steles in Urartu</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eastAsia="Times New Roman" w:hAnsiTheme="majorBidi" w:cstheme="majorBidi"/>
          <w:lang w:val="en-GB"/>
        </w:rPr>
        <w:instrText>Urartu</w:instrText>
      </w:r>
      <w:r w:rsidRPr="00427476">
        <w:rPr>
          <w:lang w:val="en-GB"/>
        </w:rPr>
        <w:instrText xml:space="preserve">" </w:instrText>
      </w:r>
      <w:r w:rsidRPr="00427476">
        <w:rPr>
          <w:rFonts w:asciiTheme="majorBidi" w:hAnsiTheme="majorBidi" w:cstheme="majorBidi"/>
          <w:lang w:val="en-GB"/>
        </w:rPr>
        <w:fldChar w:fldCharType="end"/>
      </w:r>
      <w:r w:rsidRPr="00427476">
        <w:rPr>
          <w:rStyle w:val="DipnotBavurusu"/>
          <w:rFonts w:asciiTheme="majorBidi" w:hAnsiTheme="majorBidi" w:cstheme="majorBidi"/>
          <w:lang w:val="en-GB"/>
        </w:rPr>
        <w:footnoteReference w:id="57"/>
      </w:r>
      <w:r w:rsidRPr="00494AC6">
        <w:rPr>
          <w:rFonts w:ascii="Times New Roman" w:hAnsi="Times New Roman"/>
          <w:lang w:val="en-GB"/>
        </w:rPr>
        <w:t xml:space="preserve">. The same can be considered to be the case here. Furthermore, it can also be assumed that the </w:t>
      </w:r>
      <w:r w:rsidR="004B62B6" w:rsidRPr="00274E5C">
        <w:rPr>
          <w:rFonts w:ascii="Times New Roman" w:hAnsi="Times New Roman"/>
          <w:lang w:val="en-GB"/>
        </w:rPr>
        <w:t>"</w:t>
      </w:r>
      <w:r w:rsidRPr="00494AC6">
        <w:rPr>
          <w:rFonts w:ascii="Times New Roman" w:hAnsi="Times New Roman"/>
          <w:lang w:val="en-GB"/>
        </w:rPr>
        <w:t>ḫarnizi</w:t>
      </w:r>
      <w:r w:rsidR="004B62B6" w:rsidRPr="00274E5C">
        <w:rPr>
          <w:rFonts w:ascii="Times New Roman" w:hAnsi="Times New Roman"/>
          <w:lang w:val="en-GB"/>
        </w:rPr>
        <w:t>"</w:t>
      </w:r>
      <w:r w:rsidRPr="000E3892">
        <w:rPr>
          <w:rFonts w:ascii="Times New Roman" w:eastAsia="Calibri" w:hAnsi="Times New Roman" w:cs="Times New Roman"/>
          <w:lang w:val="en-GB"/>
        </w:rPr>
        <w:t> </w:t>
      </w:r>
      <w:r w:rsidRPr="00427476">
        <w:rPr>
          <w:rFonts w:asciiTheme="majorBidi" w:hAnsiTheme="majorBidi" w:cstheme="majorBidi"/>
          <w:i/>
          <w:iCs/>
          <w:lang w:val="en-GB"/>
        </w:rPr>
        <w:fldChar w:fldCharType="begin"/>
      </w:r>
      <w:r w:rsidRPr="00427476">
        <w:rPr>
          <w:lang w:val="en-GB"/>
        </w:rPr>
        <w:instrText xml:space="preserve"> XE "</w:instrText>
      </w:r>
      <w:r w:rsidRPr="004B62B6">
        <w:rPr>
          <w:rFonts w:asciiTheme="majorBidi" w:hAnsiTheme="majorBidi" w:cstheme="majorBidi"/>
          <w:lang w:val="en-GB"/>
        </w:rPr>
        <w:instrText>ḫarnizi</w:instrText>
      </w:r>
      <w:r w:rsidRPr="00427476">
        <w:rPr>
          <w:lang w:val="en-GB"/>
        </w:rPr>
        <w:instrText xml:space="preserve">" </w:instrText>
      </w:r>
      <w:r w:rsidRPr="00427476">
        <w:rPr>
          <w:rFonts w:asciiTheme="majorBidi" w:hAnsiTheme="majorBidi" w:cstheme="majorBidi"/>
          <w:i/>
          <w:iCs/>
          <w:lang w:val="en-GB"/>
        </w:rPr>
        <w:fldChar w:fldCharType="end"/>
      </w:r>
      <w:r w:rsidRPr="00427476">
        <w:rPr>
          <w:rFonts w:asciiTheme="majorBidi" w:hAnsiTheme="majorBidi" w:cstheme="majorBidi"/>
          <w:i/>
          <w:iCs/>
          <w:lang w:val="en-GB"/>
        </w:rPr>
        <w:t xml:space="preserve"> </w:t>
      </w:r>
      <w:r w:rsidRPr="00494AC6">
        <w:rPr>
          <w:rFonts w:ascii="Times New Roman" w:hAnsi="Times New Roman"/>
          <w:lang w:val="en-GB"/>
        </w:rPr>
        <w:t xml:space="preserve">area in front of the </w:t>
      </w:r>
      <w:r w:rsidRPr="000E3892">
        <w:rPr>
          <w:rFonts w:ascii="Times New Roman" w:eastAsia="Calibri" w:hAnsi="Times New Roman" w:cs="Times New Roman"/>
          <w:lang w:val="en-GB"/>
        </w:rPr>
        <w:t>siršini</w:t>
      </w:r>
      <w:r>
        <w:rPr>
          <w:rFonts w:ascii="Times New Roman" w:eastAsia="Calibri" w:hAnsi="Times New Roman" w:cs="Times New Roman"/>
          <w:lang w:val="en-GB"/>
        </w:rPr>
        <w:t xml:space="preserve"> </w:t>
      </w:r>
      <w:r w:rsidRPr="000E3892">
        <w:rPr>
          <w:rFonts w:ascii="Times New Roman" w:eastAsia="Calibri" w:hAnsi="Times New Roman" w:cs="Times New Roman"/>
          <w:lang w:val="en-GB"/>
        </w:rPr>
        <w:t>mentioned</w:t>
      </w:r>
      <w:r w:rsidRPr="00494AC6">
        <w:rPr>
          <w:rFonts w:ascii="Times New Roman" w:hAnsi="Times New Roman"/>
          <w:lang w:val="en-GB"/>
        </w:rPr>
        <w:t xml:space="preserve"> in the inscriptions was where the sacrificial animals kept in the siršini were sacrificed mass as offerings to gods or goddesses on religious ceremony days. As a matter of fact, in the first lines of the Meher Kapı</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Meher Kapı</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inscription, which lists the Urartian</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Urartian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gods/goddesses and the number of sacrificial animals to be slaughtered to them, the chief god Ḫaldi</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Ḫaldi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alone is indicated to be sacrificed 17 bulls and 34 sheep (CTU I. A 3-1, 4). It is also known from Assyrian</w:t>
      </w:r>
      <w:r w:rsidRPr="000E3892">
        <w:rPr>
          <w:rFonts w:ascii="Times New Roman" w:eastAsia="Calibri" w:hAnsi="Times New Roman" w:cs="Times New Roman"/>
          <w:lang w:val="en-GB"/>
        </w:rPr>
        <w:t>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Assyrian</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 xml:space="preserve"> </w:t>
      </w:r>
      <w:r w:rsidRPr="00494AC6">
        <w:rPr>
          <w:rFonts w:ascii="Times New Roman" w:hAnsi="Times New Roman"/>
          <w:lang w:val="en-GB"/>
        </w:rPr>
        <w:t>intelligence reports that the Urartian kings (</w:t>
      </w:r>
      <w:r w:rsidR="00DF2B14" w:rsidRPr="00494AC6">
        <w:rPr>
          <w:rFonts w:ascii="Times New Roman" w:hAnsi="Times New Roman"/>
          <w:lang w:val="en-GB"/>
        </w:rPr>
        <w:t>Rusa</w:t>
      </w:r>
      <w:r w:rsidR="00DF2B14" w:rsidRPr="000E3892">
        <w:rPr>
          <w:rFonts w:ascii="Times New Roman" w:eastAsia="Calibri" w:hAnsi="Times New Roman" w:cs="Times New Roman"/>
          <w:lang w:val="en-GB"/>
        </w:rPr>
        <w:t xml:space="preserve"> I</w:t>
      </w:r>
      <w:r>
        <w:rPr>
          <w:rFonts w:ascii="Times New Roman" w:eastAsia="Calibri" w:hAnsi="Times New Roman" w:cs="Times New Roman"/>
          <w:lang w:val="en-GB"/>
        </w:rPr>
        <w:t xml:space="preserve"> </w:t>
      </w:r>
      <w:r w:rsidRPr="00427476">
        <w:rPr>
          <w:rFonts w:asciiTheme="majorBidi" w:hAnsiTheme="majorBidi" w:cstheme="majorBidi"/>
          <w:lang w:val="en-GB"/>
        </w:rPr>
        <w:fldChar w:fldCharType="begin"/>
      </w:r>
      <w:r w:rsidRPr="00427476">
        <w:rPr>
          <w:lang w:val="en-GB"/>
        </w:rPr>
        <w:instrText xml:space="preserve"> XE "</w:instrText>
      </w:r>
      <w:r w:rsidRPr="00427476">
        <w:rPr>
          <w:rFonts w:asciiTheme="majorBidi" w:hAnsiTheme="majorBidi" w:cstheme="majorBidi"/>
          <w:lang w:val="en-GB"/>
        </w:rPr>
        <w:instrText>Rusa I</w:instrText>
      </w:r>
      <w:r w:rsidRPr="00427476">
        <w:rPr>
          <w:lang w:val="en-GB"/>
        </w:rPr>
        <w:instrText xml:space="preserve">" </w:instrText>
      </w:r>
      <w:r w:rsidRPr="00427476">
        <w:rPr>
          <w:rFonts w:asciiTheme="majorBidi" w:hAnsiTheme="majorBidi" w:cstheme="majorBidi"/>
          <w:lang w:val="en-GB"/>
        </w:rPr>
        <w:fldChar w:fldCharType="end"/>
      </w:r>
      <w:r w:rsidRPr="00427476">
        <w:rPr>
          <w:rFonts w:asciiTheme="majorBidi" w:hAnsiTheme="majorBidi" w:cstheme="majorBidi"/>
          <w:lang w:val="en-GB"/>
        </w:rPr>
        <w:t>)</w:t>
      </w:r>
      <w:r w:rsidRPr="00494AC6">
        <w:rPr>
          <w:rFonts w:ascii="Times New Roman" w:hAnsi="Times New Roman"/>
          <w:lang w:val="en-GB"/>
        </w:rPr>
        <w:t xml:space="preserve"> sacrificed animals before expeditions (Lanfranchi&amp; Parpola, 1990: 123). It may be assumed that these sacrifices were offered to the gods in the Urartian capital</w:t>
      </w:r>
      <w:r w:rsidRPr="000E3892">
        <w:rPr>
          <w:rFonts w:ascii="Times New Roman" w:eastAsia="Calibri" w:hAnsi="Times New Roman" w:cs="Times New Roman"/>
          <w:lang w:val="en-GB"/>
        </w:rPr>
        <w:t>,</w:t>
      </w:r>
      <w:r w:rsidRPr="00494AC6">
        <w:rPr>
          <w:rFonts w:ascii="Times New Roman" w:hAnsi="Times New Roman"/>
          <w:lang w:val="en-GB"/>
        </w:rPr>
        <w:t xml:space="preserve"> Ṭušpa</w:t>
      </w:r>
      <w:r w:rsidRPr="000E3892">
        <w:rPr>
          <w:rFonts w:ascii="Times New Roman" w:eastAsia="Calibri" w:hAnsi="Times New Roman" w:cs="Times New Roman"/>
          <w:lang w:val="en-GB"/>
        </w:rPr>
        <w:t>,</w:t>
      </w:r>
      <w:r>
        <w:rPr>
          <w:rFonts w:ascii="Times New Roman" w:eastAsia="Calibri" w:hAnsi="Times New Roman" w:cs="Times New Roman"/>
          <w:lang w:val="en-GB"/>
        </w:rPr>
        <w:t xml:space="preserve"> </w:t>
      </w:r>
      <w:r w:rsidRPr="00494AC6">
        <w:rPr>
          <w:rFonts w:ascii="Times New Roman" w:hAnsi="Times New Roman"/>
          <w:lang w:val="en-GB"/>
        </w:rPr>
        <w:t xml:space="preserve">before expeditions. </w:t>
      </w:r>
      <w:r w:rsidRPr="000E3892">
        <w:rPr>
          <w:rFonts w:ascii="Times New Roman" w:eastAsia="Calibri" w:hAnsi="Times New Roman" w:cs="Times New Roman"/>
          <w:lang w:val="en-GB"/>
        </w:rPr>
        <w:t>Unique</w:t>
      </w:r>
      <w:r w:rsidRPr="00494AC6">
        <w:rPr>
          <w:rFonts w:ascii="Times New Roman" w:hAnsi="Times New Roman"/>
          <w:lang w:val="en-GB"/>
        </w:rPr>
        <w:t xml:space="preserve"> places must have been needed for the slaughter of such many animals. It seems unlikely that these mass sacrifice rituals would be performed in Urartian temple spaces due to health and logistics complexities that would arise. When all the present data are evaluated together</w:t>
      </w:r>
      <w:r w:rsidRPr="000E3892">
        <w:rPr>
          <w:rFonts w:ascii="Times New Roman" w:eastAsia="Calibri" w:hAnsi="Times New Roman" w:cs="Times New Roman"/>
          <w:lang w:val="en-GB"/>
        </w:rPr>
        <w:t>,</w:t>
      </w:r>
      <w:r w:rsidRPr="00494AC6">
        <w:rPr>
          <w:rFonts w:ascii="Times New Roman" w:hAnsi="Times New Roman"/>
          <w:lang w:val="en-GB"/>
        </w:rPr>
        <w:t xml:space="preserve"> it is understood that the siršini, along with the rock platform in front and the steles, constitute a unique complex particular to the capital. This complex can be interpreted as a complete area with steles and inscriptions, where sacrificial animals were briefly held</w:t>
      </w:r>
      <w:r w:rsidRPr="000E3892">
        <w:rPr>
          <w:rFonts w:ascii="Times New Roman" w:eastAsia="Calibri" w:hAnsi="Times New Roman" w:cs="Times New Roman"/>
          <w:lang w:val="en-GB"/>
        </w:rPr>
        <w:t xml:space="preserve"> and</w:t>
      </w:r>
      <w:r w:rsidRPr="00494AC6">
        <w:rPr>
          <w:rFonts w:ascii="Times New Roman" w:hAnsi="Times New Roman"/>
          <w:lang w:val="en-GB"/>
        </w:rPr>
        <w:t xml:space="preserve"> sacrificed, and libation or other religious ceremonies were </w:t>
      </w:r>
      <w:r w:rsidRPr="00073767">
        <w:rPr>
          <w:rFonts w:ascii="Times New Roman" w:hAnsi="Times New Roman"/>
          <w:lang w:val="en-GB"/>
        </w:rPr>
        <w:t>performed</w:t>
      </w:r>
      <w:r>
        <w:rPr>
          <w:rFonts w:ascii="Times New Roman" w:hAnsi="Times New Roman"/>
          <w:lang w:val="en-GB"/>
        </w:rPr>
        <w:t>.</w:t>
      </w:r>
    </w:p>
    <w:p w14:paraId="643A8BBD" w14:textId="5EC7623C" w:rsidR="00FF0A5F" w:rsidRPr="00F03A26" w:rsidRDefault="00FF0A5F" w:rsidP="00D02275">
      <w:pPr>
        <w:jc w:val="both"/>
        <w:rPr>
          <w:rFonts w:asciiTheme="majorBidi" w:hAnsiTheme="majorBidi" w:cstheme="majorBidi"/>
          <w:lang w:val="en-GB"/>
        </w:rPr>
      </w:pPr>
    </w:p>
    <w:p w14:paraId="083FFD4A" w14:textId="78D4EC31" w:rsidR="00957B45" w:rsidRPr="00F03A26" w:rsidRDefault="00957B45" w:rsidP="00F03A26">
      <w:pPr>
        <w:keepNext/>
        <w:keepLines/>
        <w:spacing w:before="240"/>
        <w:jc w:val="both"/>
        <w:outlineLvl w:val="0"/>
        <w:rPr>
          <w:rFonts w:asciiTheme="majorBidi" w:eastAsia="Times New Roman" w:hAnsiTheme="majorBidi" w:cstheme="majorBidi"/>
          <w:b/>
          <w:bCs/>
          <w:color w:val="0D0D0D" w:themeColor="text1" w:themeTint="F2"/>
          <w:sz w:val="32"/>
          <w:szCs w:val="32"/>
          <w:lang w:val="en-GB"/>
        </w:rPr>
      </w:pPr>
      <w:bookmarkStart w:id="115" w:name="_Toc173231230"/>
      <w:r w:rsidRPr="00F03A26">
        <w:rPr>
          <w:rFonts w:asciiTheme="majorBidi" w:eastAsia="Times New Roman" w:hAnsiTheme="majorBidi" w:cstheme="majorBidi"/>
          <w:b/>
          <w:bCs/>
          <w:color w:val="0D0D0D" w:themeColor="text1" w:themeTint="F2"/>
          <w:sz w:val="32"/>
          <w:szCs w:val="32"/>
          <w:lang w:val="en-GB"/>
        </w:rPr>
        <w:t xml:space="preserve">CHAPTER </w:t>
      </w:r>
      <w:r w:rsidR="00DF039C" w:rsidRPr="00F03A26">
        <w:rPr>
          <w:rFonts w:asciiTheme="majorBidi" w:eastAsia="Times New Roman" w:hAnsiTheme="majorBidi" w:cstheme="majorBidi"/>
          <w:b/>
          <w:bCs/>
          <w:color w:val="0D0D0D" w:themeColor="text1" w:themeTint="F2"/>
          <w:sz w:val="32"/>
          <w:szCs w:val="32"/>
          <w:lang w:val="en-GB"/>
        </w:rPr>
        <w:t>VIII</w:t>
      </w:r>
      <w:bookmarkEnd w:id="115"/>
    </w:p>
    <w:p w14:paraId="19E4BA1B" w14:textId="32680C50" w:rsidR="00957B45" w:rsidRPr="00F03A26" w:rsidRDefault="00957B45" w:rsidP="00F03A26">
      <w:pPr>
        <w:keepNext/>
        <w:keepLines/>
        <w:spacing w:before="240"/>
        <w:jc w:val="both"/>
        <w:outlineLvl w:val="0"/>
        <w:rPr>
          <w:rFonts w:asciiTheme="majorBidi" w:eastAsia="Times New Roman" w:hAnsiTheme="majorBidi" w:cstheme="majorBidi"/>
          <w:b/>
          <w:bCs/>
          <w:color w:val="0D0D0D" w:themeColor="text1" w:themeTint="F2"/>
          <w:sz w:val="32"/>
          <w:szCs w:val="32"/>
          <w:lang w:val="en-GB"/>
        </w:rPr>
      </w:pPr>
      <w:bookmarkStart w:id="116" w:name="_Toc173231231"/>
      <w:r w:rsidRPr="00F03A26">
        <w:rPr>
          <w:rFonts w:asciiTheme="majorBidi" w:eastAsia="Times New Roman" w:hAnsiTheme="majorBidi" w:cstheme="majorBidi"/>
          <w:b/>
          <w:bCs/>
          <w:color w:val="0D0D0D" w:themeColor="text1" w:themeTint="F2"/>
          <w:sz w:val="32"/>
          <w:szCs w:val="32"/>
          <w:lang w:val="en-GB"/>
        </w:rPr>
        <w:t xml:space="preserve">8-Van Fortress: Areas </w:t>
      </w:r>
      <w:r w:rsidR="00665106" w:rsidRPr="00F03A26">
        <w:rPr>
          <w:rFonts w:asciiTheme="majorBidi" w:eastAsia="Times New Roman" w:hAnsiTheme="majorBidi" w:cstheme="majorBidi"/>
          <w:b/>
          <w:bCs/>
          <w:color w:val="0D0D0D" w:themeColor="text1" w:themeTint="F2"/>
          <w:sz w:val="32"/>
          <w:szCs w:val="32"/>
          <w:lang w:val="en-GB"/>
        </w:rPr>
        <w:t>w</w:t>
      </w:r>
      <w:r w:rsidRPr="00F03A26">
        <w:rPr>
          <w:rFonts w:asciiTheme="majorBidi" w:eastAsia="Times New Roman" w:hAnsiTheme="majorBidi" w:cstheme="majorBidi"/>
          <w:b/>
          <w:bCs/>
          <w:color w:val="0D0D0D" w:themeColor="text1" w:themeTint="F2"/>
          <w:sz w:val="32"/>
          <w:szCs w:val="32"/>
          <w:lang w:val="en-GB"/>
        </w:rPr>
        <w:t>est of the West Ditch</w:t>
      </w:r>
      <w:r w:rsidR="0002079A" w:rsidRPr="00F03A26">
        <w:rPr>
          <w:rFonts w:asciiTheme="majorBidi" w:eastAsia="Times New Roman" w:hAnsiTheme="majorBidi" w:cstheme="majorBidi"/>
          <w:b/>
          <w:bCs/>
          <w:color w:val="0D0D0D" w:themeColor="text1" w:themeTint="F2"/>
          <w:sz w:val="32"/>
          <w:szCs w:val="32"/>
          <w:lang w:val="en-GB"/>
        </w:rPr>
        <w:fldChar w:fldCharType="begin"/>
      </w:r>
      <w:r w:rsidR="0002079A" w:rsidRPr="00F03A26">
        <w:rPr>
          <w:rFonts w:asciiTheme="majorBidi" w:hAnsiTheme="majorBidi" w:cstheme="majorBidi"/>
          <w:b/>
          <w:bCs/>
          <w:color w:val="0D0D0D" w:themeColor="text1" w:themeTint="F2"/>
          <w:sz w:val="32"/>
          <w:szCs w:val="32"/>
          <w:lang w:val="en-GB"/>
        </w:rPr>
        <w:instrText xml:space="preserve"> XE "West Ditch" </w:instrText>
      </w:r>
      <w:r w:rsidR="0002079A" w:rsidRPr="00F03A26">
        <w:rPr>
          <w:rFonts w:asciiTheme="majorBidi" w:eastAsia="Times New Roman" w:hAnsiTheme="majorBidi" w:cstheme="majorBidi"/>
          <w:b/>
          <w:bCs/>
          <w:color w:val="0D0D0D" w:themeColor="text1" w:themeTint="F2"/>
          <w:sz w:val="32"/>
          <w:szCs w:val="32"/>
          <w:lang w:val="en-GB"/>
        </w:rPr>
        <w:fldChar w:fldCharType="end"/>
      </w:r>
      <w:r w:rsidRPr="00F03A26">
        <w:rPr>
          <w:rFonts w:asciiTheme="majorBidi" w:eastAsia="Times New Roman" w:hAnsiTheme="majorBidi" w:cstheme="majorBidi"/>
          <w:b/>
          <w:bCs/>
          <w:color w:val="0D0D0D" w:themeColor="text1" w:themeTint="F2"/>
          <w:sz w:val="32"/>
          <w:szCs w:val="32"/>
          <w:lang w:val="en-GB"/>
        </w:rPr>
        <w:t>, New Palace</w:t>
      </w:r>
      <w:r w:rsidR="0002079A" w:rsidRPr="00F03A26">
        <w:rPr>
          <w:rFonts w:asciiTheme="majorBidi" w:eastAsia="Times New Roman" w:hAnsiTheme="majorBidi" w:cstheme="majorBidi"/>
          <w:b/>
          <w:bCs/>
          <w:color w:val="0D0D0D" w:themeColor="text1" w:themeTint="F2"/>
          <w:sz w:val="32"/>
          <w:szCs w:val="32"/>
          <w:lang w:val="en-GB"/>
        </w:rPr>
        <w:fldChar w:fldCharType="begin"/>
      </w:r>
      <w:r w:rsidR="0002079A" w:rsidRPr="00F03A26">
        <w:rPr>
          <w:rFonts w:asciiTheme="majorBidi" w:hAnsiTheme="majorBidi" w:cstheme="majorBidi"/>
          <w:b/>
          <w:bCs/>
          <w:color w:val="0D0D0D" w:themeColor="text1" w:themeTint="F2"/>
          <w:sz w:val="32"/>
          <w:szCs w:val="32"/>
          <w:lang w:val="en-GB"/>
        </w:rPr>
        <w:instrText xml:space="preserve"> XE "New Palace" </w:instrText>
      </w:r>
      <w:r w:rsidR="0002079A" w:rsidRPr="00F03A26">
        <w:rPr>
          <w:rFonts w:asciiTheme="majorBidi" w:eastAsia="Times New Roman" w:hAnsiTheme="majorBidi" w:cstheme="majorBidi"/>
          <w:b/>
          <w:bCs/>
          <w:color w:val="0D0D0D" w:themeColor="text1" w:themeTint="F2"/>
          <w:sz w:val="32"/>
          <w:szCs w:val="32"/>
          <w:lang w:val="en-GB"/>
        </w:rPr>
        <w:fldChar w:fldCharType="end"/>
      </w:r>
      <w:r w:rsidRPr="00F03A26">
        <w:rPr>
          <w:rFonts w:asciiTheme="majorBidi" w:eastAsia="Times New Roman" w:hAnsiTheme="majorBidi" w:cstheme="majorBidi"/>
          <w:b/>
          <w:bCs/>
          <w:color w:val="0D0D0D" w:themeColor="text1" w:themeTint="F2"/>
          <w:sz w:val="32"/>
          <w:szCs w:val="32"/>
          <w:lang w:val="en-GB"/>
        </w:rPr>
        <w:t>?</w:t>
      </w:r>
      <w:bookmarkEnd w:id="116"/>
    </w:p>
    <w:p w14:paraId="7E48CB76" w14:textId="77777777" w:rsidR="001B5590" w:rsidRPr="00F03A26" w:rsidRDefault="001B5590" w:rsidP="00F03A26">
      <w:pPr>
        <w:jc w:val="both"/>
        <w:rPr>
          <w:rFonts w:asciiTheme="majorBidi" w:eastAsia="Times New Roman" w:hAnsiTheme="majorBidi" w:cstheme="majorBidi"/>
          <w:lang w:val="en-GB"/>
        </w:rPr>
      </w:pPr>
    </w:p>
    <w:p w14:paraId="49B25BF0" w14:textId="72DE3FCC" w:rsidR="001B5590" w:rsidRPr="00F03A26" w:rsidRDefault="001B5590" w:rsidP="00F03A26">
      <w:pPr>
        <w:jc w:val="both"/>
        <w:rPr>
          <w:rFonts w:asciiTheme="majorBidi" w:eastAsia="Times New Roman" w:hAnsiTheme="majorBidi" w:cstheme="majorBidi"/>
          <w:b/>
          <w:bCs/>
          <w:lang w:val="en-GB"/>
        </w:rPr>
      </w:pPr>
      <w:r w:rsidRPr="00F03A26">
        <w:rPr>
          <w:rFonts w:asciiTheme="majorBidi" w:eastAsia="Times New Roman" w:hAnsiTheme="majorBidi" w:cstheme="majorBidi"/>
          <w:b/>
          <w:bCs/>
          <w:lang w:val="en-GB"/>
        </w:rPr>
        <w:t>Erkan Konyar</w:t>
      </w:r>
      <w:r w:rsidR="00230497" w:rsidRPr="00F03A26">
        <w:rPr>
          <w:rFonts w:asciiTheme="majorBidi" w:eastAsia="Times New Roman" w:hAnsiTheme="majorBidi" w:cstheme="majorBidi"/>
          <w:b/>
          <w:bCs/>
          <w:lang w:val="en-GB"/>
        </w:rPr>
        <w:t xml:space="preserve">, </w:t>
      </w:r>
      <w:r w:rsidRPr="00F03A26">
        <w:rPr>
          <w:rFonts w:asciiTheme="majorBidi" w:eastAsia="Times New Roman" w:hAnsiTheme="majorBidi" w:cstheme="majorBidi"/>
          <w:b/>
          <w:bCs/>
          <w:lang w:val="en-GB"/>
        </w:rPr>
        <w:t>Can Avcı</w:t>
      </w:r>
      <w:r w:rsidR="00230497" w:rsidRPr="00F03A26">
        <w:rPr>
          <w:rFonts w:asciiTheme="majorBidi" w:eastAsia="Times New Roman" w:hAnsiTheme="majorBidi" w:cstheme="majorBidi"/>
          <w:b/>
          <w:bCs/>
          <w:lang w:val="en-GB"/>
        </w:rPr>
        <w:t xml:space="preserve"> and Şemsihan Kaya</w:t>
      </w:r>
    </w:p>
    <w:p w14:paraId="7EAD5BE9" w14:textId="77777777" w:rsidR="001C57DB" w:rsidRDefault="001C57DB" w:rsidP="00F03A26">
      <w:pPr>
        <w:jc w:val="both"/>
        <w:rPr>
          <w:rFonts w:asciiTheme="majorBidi" w:eastAsia="Times New Roman" w:hAnsiTheme="majorBidi" w:cstheme="majorBidi"/>
          <w:b/>
          <w:bCs/>
          <w:lang w:val="en-GB"/>
        </w:rPr>
      </w:pPr>
    </w:p>
    <w:p w14:paraId="5BABFDAB" w14:textId="77777777" w:rsidR="001C57DB" w:rsidRPr="00AB28D0" w:rsidRDefault="001C57DB" w:rsidP="00AB28D0">
      <w:pPr>
        <w:jc w:val="both"/>
        <w:rPr>
          <w:rFonts w:ascii="Times New Roman" w:hAnsi="Times New Roman"/>
          <w:b/>
          <w:lang w:val="en-GB"/>
        </w:rPr>
      </w:pPr>
      <w:r w:rsidRPr="00AB28D0">
        <w:rPr>
          <w:rFonts w:ascii="Times New Roman" w:hAnsi="Times New Roman"/>
          <w:b/>
          <w:lang w:val="en-GB"/>
        </w:rPr>
        <w:t>Abstract</w:t>
      </w:r>
    </w:p>
    <w:p w14:paraId="702F64E8" w14:textId="651FC004" w:rsidR="001C57DB" w:rsidRPr="00AB28D0" w:rsidRDefault="001C57DB" w:rsidP="001C57DB">
      <w:pPr>
        <w:jc w:val="both"/>
        <w:rPr>
          <w:rFonts w:ascii="Times New Roman" w:hAnsi="Times New Roman"/>
          <w:lang w:val="en-GB"/>
        </w:rPr>
      </w:pPr>
      <w:r w:rsidRPr="00AB28D0">
        <w:rPr>
          <w:rFonts w:ascii="Times New Roman" w:hAnsi="Times New Roman"/>
          <w:lang w:val="en-GB"/>
        </w:rPr>
        <w:t>The New Palace</w:t>
      </w:r>
      <w:r w:rsidRPr="006452D8">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Pr>
          <w:rFonts w:ascii="Times New Roman" w:hAnsi="Times New Roman"/>
          <w:lang w:val="en-GB"/>
        </w:rPr>
        <w:t>s</w:t>
      </w:r>
      <w:r w:rsidRPr="00AB28D0">
        <w:rPr>
          <w:rFonts w:ascii="Times New Roman" w:hAnsi="Times New Roman"/>
          <w:lang w:val="en-GB"/>
        </w:rPr>
        <w:t>ection of the Van Fortress, situated between the West Ditch</w:t>
      </w:r>
      <w:r w:rsidRPr="006452D8">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West Ditch</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and the Argišti I tomb</w:t>
      </w:r>
      <w:r w:rsidRPr="006452D8">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eastAsia="Times New Roman" w:hAnsiTheme="majorBidi" w:cstheme="majorBidi"/>
          <w:lang w:val="en-GB"/>
        </w:rPr>
        <w:instrText>Argišti</w:instrText>
      </w:r>
      <w:r w:rsidRPr="00F03A26">
        <w:rPr>
          <w:rFonts w:asciiTheme="majorBidi" w:eastAsia="Times New Roman" w:hAnsiTheme="majorBidi" w:cstheme="majorBidi"/>
          <w:lang w:val="en-GB"/>
        </w:rPr>
        <w:instrText xml:space="preserve"> I </w:instrText>
      </w:r>
      <w:r w:rsidR="00E769F1">
        <w:rPr>
          <w:rFonts w:asciiTheme="majorBidi" w:eastAsia="Times New Roman" w:hAnsiTheme="majorBidi" w:cstheme="majorBidi"/>
          <w:lang w:val="en-GB"/>
        </w:rPr>
        <w:instrText>t</w:instrText>
      </w:r>
      <w:r w:rsidRPr="00F03A26">
        <w:rPr>
          <w:rFonts w:asciiTheme="majorBidi" w:eastAsia="Times New Roman" w:hAnsiTheme="majorBidi" w:cstheme="majorBidi"/>
          <w:lang w:val="en-GB"/>
        </w:rPr>
        <w:instrText>omb</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eastAsia="Times New Roman" w:hAnsiTheme="majorBidi" w:cstheme="majorBidi"/>
          <w:lang w:val="en-GB"/>
        </w:rPr>
        <w:instrText>Argišti</w:instrText>
      </w:r>
      <w:r w:rsidRPr="00F03A26">
        <w:rPr>
          <w:rFonts w:asciiTheme="majorBidi" w:eastAsia="Times New Roman" w:hAnsiTheme="majorBidi" w:cstheme="majorBidi"/>
          <w:lang w:val="en-GB"/>
        </w:rPr>
        <w:instrText xml:space="preserve"> 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boasts a sprawling area of approximately 12,000 m2. </w:t>
      </w:r>
      <w:r w:rsidRPr="006452D8">
        <w:rPr>
          <w:rFonts w:ascii="Times New Roman" w:eastAsia="Times New Roman" w:hAnsi="Times New Roman" w:cs="Times New Roman"/>
          <w:lang w:val="en-GB"/>
        </w:rPr>
        <w:t>A</w:t>
      </w:r>
      <w:r w:rsidRPr="00AB28D0">
        <w:rPr>
          <w:rFonts w:ascii="Times New Roman" w:hAnsi="Times New Roman"/>
          <w:lang w:val="en-GB"/>
        </w:rPr>
        <w:t xml:space="preserve"> magnificent construction unfolds</w:t>
      </w:r>
      <w:r w:rsidRPr="006452D8">
        <w:rPr>
          <w:rFonts w:ascii="Times New Roman" w:eastAsia="Times New Roman" w:hAnsi="Times New Roman" w:cs="Times New Roman"/>
          <w:lang w:val="en-GB"/>
        </w:rPr>
        <w:t xml:space="preserve"> here</w:t>
      </w:r>
      <w:r w:rsidRPr="00AB28D0">
        <w:rPr>
          <w:rFonts w:ascii="Times New Roman" w:hAnsi="Times New Roman"/>
          <w:lang w:val="en-GB"/>
        </w:rPr>
        <w:t xml:space="preserve">, characterized by foundation pits and traces of reconstruction on the bedrock. The area's rock work exhibits a remarkable density and organic integrity, indicating that the project and construction were carried out concurrently, following a specific layout plan. In our article, in which the two main reasons for naming the section </w:t>
      </w:r>
      <w:r w:rsidRPr="006452D8">
        <w:rPr>
          <w:rFonts w:ascii="Times New Roman" w:eastAsia="Times New Roman" w:hAnsi="Times New Roman" w:cs="Times New Roman"/>
          <w:lang w:val="en-GB"/>
        </w:rPr>
        <w:t>"</w:t>
      </w:r>
      <w:r w:rsidRPr="00AB28D0">
        <w:rPr>
          <w:rFonts w:ascii="Times New Roman" w:hAnsi="Times New Roman"/>
          <w:lang w:val="en-GB"/>
        </w:rPr>
        <w:t>New Palace</w:t>
      </w:r>
      <w:r w:rsidRPr="006452D8">
        <w:rPr>
          <w:rFonts w:ascii="Times New Roman" w:eastAsia="Times New Roman" w:hAnsi="Times New Roman" w:cs="Times New Roman"/>
          <w:lang w:val="en-GB"/>
        </w:rPr>
        <w:t>"</w:t>
      </w:r>
      <w:r w:rsidRPr="00AB28D0">
        <w:rPr>
          <w:rFonts w:ascii="Times New Roman" w:hAnsi="Times New Roman"/>
          <w:lang w:val="en-GB"/>
        </w:rPr>
        <w:t xml:space="preserve"> are questioned, the area has been tried to be re-evaluated by considering the data of the archaeological excavations. </w:t>
      </w:r>
      <w:r w:rsidRPr="006452D8">
        <w:rPr>
          <w:rFonts w:ascii="Times New Roman" w:eastAsia="Times New Roman" w:hAnsi="Times New Roman" w:cs="Times New Roman"/>
          <w:lang w:val="en-GB"/>
        </w:rPr>
        <w:t>We</w:t>
      </w:r>
      <w:r w:rsidRPr="00AB28D0">
        <w:rPr>
          <w:rFonts w:ascii="Times New Roman" w:hAnsi="Times New Roman"/>
          <w:lang w:val="en-GB"/>
        </w:rPr>
        <w:t xml:space="preserve"> examine notable findings from earlier publications, such as the unearthing of votive discs in rock cavities during the 1988 excavation and </w:t>
      </w:r>
      <w:r w:rsidRPr="006452D8">
        <w:rPr>
          <w:rFonts w:ascii="Times New Roman" w:eastAsia="Times New Roman" w:hAnsi="Times New Roman" w:cs="Times New Roman"/>
          <w:lang w:val="en-GB"/>
        </w:rPr>
        <w:t>identifying</w:t>
      </w:r>
      <w:r w:rsidRPr="00AB28D0">
        <w:rPr>
          <w:rFonts w:ascii="Times New Roman" w:hAnsi="Times New Roman"/>
          <w:lang w:val="en-GB"/>
        </w:rPr>
        <w:t xml:space="preserve"> the tomb linked to Argišti I. These discoveries prompt essential inquiries into the building elements and functional aspects of the spaces discovered at the foundation level. Consequently, it becomes crucial to question the chosen location for construction on the rocky terrain and the buildings along the east-west axis, built atop walls rising from the foundation pits. With that, we draw attention to the intriguing flat platforms formed </w:t>
      </w:r>
      <w:r w:rsidRPr="006452D8">
        <w:rPr>
          <w:rFonts w:ascii="Times New Roman" w:eastAsia="Times New Roman" w:hAnsi="Times New Roman" w:cs="Times New Roman"/>
          <w:lang w:val="en-GB"/>
        </w:rPr>
        <w:t>due to</w:t>
      </w:r>
      <w:r w:rsidRPr="00AB28D0">
        <w:rPr>
          <w:rFonts w:ascii="Times New Roman" w:hAnsi="Times New Roman"/>
          <w:lang w:val="en-GB"/>
        </w:rPr>
        <w:t xml:space="preserve"> this construction approach.</w:t>
      </w:r>
      <w:bookmarkStart w:id="117" w:name="_1fob9te" w:colFirst="0" w:colLast="0"/>
      <w:bookmarkEnd w:id="117"/>
    </w:p>
    <w:p w14:paraId="653F05AD" w14:textId="77777777" w:rsidR="001C57DB" w:rsidRPr="00AB28D0" w:rsidRDefault="001C57DB" w:rsidP="00AB28D0">
      <w:pPr>
        <w:jc w:val="both"/>
        <w:rPr>
          <w:rFonts w:ascii="Times New Roman" w:hAnsi="Times New Roman"/>
          <w:lang w:val="en-GB"/>
        </w:rPr>
      </w:pPr>
    </w:p>
    <w:p w14:paraId="3DC99F2E" w14:textId="77777777" w:rsidR="001C57DB" w:rsidRPr="00AB28D0" w:rsidRDefault="001C57DB" w:rsidP="00AB28D0">
      <w:pPr>
        <w:keepNext/>
        <w:keepLines/>
        <w:spacing w:before="40"/>
        <w:jc w:val="both"/>
        <w:outlineLvl w:val="1"/>
        <w:rPr>
          <w:rFonts w:ascii="Times New Roman" w:hAnsi="Times New Roman"/>
          <w:b/>
          <w:color w:val="000000"/>
          <w:sz w:val="28"/>
          <w:lang w:val="en-GB"/>
        </w:rPr>
      </w:pPr>
      <w:bookmarkStart w:id="118" w:name="_Toc173231232"/>
      <w:r w:rsidRPr="00AB28D0">
        <w:rPr>
          <w:rFonts w:ascii="Times New Roman" w:hAnsi="Times New Roman"/>
          <w:b/>
          <w:color w:val="000000"/>
          <w:sz w:val="28"/>
          <w:lang w:val="en-GB"/>
        </w:rPr>
        <w:t>8.1. Introduction</w:t>
      </w:r>
      <w:bookmarkEnd w:id="118"/>
    </w:p>
    <w:p w14:paraId="7AEC7FAC" w14:textId="51352E3D" w:rsidR="001C57DB" w:rsidRPr="00AB28D0" w:rsidRDefault="001C57DB" w:rsidP="001C57DB">
      <w:pPr>
        <w:jc w:val="both"/>
        <w:rPr>
          <w:rFonts w:ascii="Times New Roman" w:hAnsi="Times New Roman"/>
          <w:lang w:val="en-GB"/>
        </w:rPr>
      </w:pPr>
      <w:r w:rsidRPr="00AB28D0">
        <w:rPr>
          <w:rFonts w:ascii="Times New Roman" w:hAnsi="Times New Roman"/>
          <w:lang w:val="en-GB"/>
        </w:rPr>
        <w:t>The section defined as the New Palace</w:t>
      </w:r>
      <w:r w:rsidRPr="006452D8">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in the literature is located </w:t>
      </w:r>
      <w:r w:rsidRPr="006452D8">
        <w:rPr>
          <w:rFonts w:ascii="Times New Roman" w:eastAsia="Times New Roman" w:hAnsi="Times New Roman" w:cs="Times New Roman"/>
          <w:lang w:val="en-GB"/>
        </w:rPr>
        <w:t>at</w:t>
      </w:r>
      <w:r w:rsidRPr="00AB28D0">
        <w:rPr>
          <w:rFonts w:ascii="Times New Roman" w:hAnsi="Times New Roman"/>
          <w:lang w:val="en-GB"/>
        </w:rPr>
        <w:t xml:space="preserve"> the west end of the West Ditch of the Ṭušpa</w:t>
      </w:r>
      <w:r>
        <w:rPr>
          <w:rFonts w:ascii="Times New Roman" w:eastAsia="Times New Roman" w:hAnsi="Times New Roman" w:cs="Times New Roman"/>
          <w:lang w:val="en-GB"/>
        </w:rPr>
        <w:t>/Van</w:t>
      </w:r>
      <w:r w:rsidRPr="00AB28D0">
        <w:rPr>
          <w:rFonts w:ascii="Times New Roman" w:hAnsi="Times New Roman"/>
          <w:lang w:val="en-GB"/>
        </w:rPr>
        <w:t xml:space="preserve"> Rock</w:t>
      </w:r>
      <w:r w:rsidR="00E2269D">
        <w:rPr>
          <w:rFonts w:ascii="Times New Roman" w:hAnsi="Times New Roman"/>
          <w:lang w:val="en-GB"/>
        </w:rPr>
        <w:fldChar w:fldCharType="begin"/>
      </w:r>
      <w:r w:rsidR="00E2269D">
        <w:instrText xml:space="preserve"> XE "</w:instrText>
      </w:r>
      <w:r w:rsidR="00E2269D" w:rsidRPr="007A7330">
        <w:rPr>
          <w:rFonts w:asciiTheme="majorBidi" w:hAnsiTheme="majorBidi"/>
          <w:lang w:val="en-GB"/>
        </w:rPr>
        <w:instrText>Ṭušpa/Van Rock</w:instrText>
      </w:r>
      <w:r w:rsidR="00E2269D">
        <w:instrText xml:space="preserve">" </w:instrText>
      </w:r>
      <w:r w:rsidR="00E2269D">
        <w:rPr>
          <w:rFonts w:ascii="Times New Roman" w:hAnsi="Times New Roman"/>
          <w:lang w:val="en-GB"/>
        </w:rPr>
        <w:fldChar w:fldCharType="end"/>
      </w:r>
      <w:r>
        <w:rPr>
          <w:rFonts w:ascii="Times New Roman" w:eastAsia="Times New Roman" w:hAnsi="Times New Roman" w:cs="Times New Roman"/>
          <w:lang w:val="en-GB"/>
        </w:rPr>
        <w:t xml:space="preserve">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4B62B6">
        <w:rPr>
          <w:rFonts w:asciiTheme="majorBidi" w:eastAsia="Times New Roman" w:hAnsiTheme="majorBidi" w:cstheme="majorBidi"/>
          <w:lang w:val="en-GB"/>
        </w:rPr>
        <w:instrText>Ṭušpa</w:instrText>
      </w:r>
      <w:r w:rsidRPr="00F03A26">
        <w:rPr>
          <w:rFonts w:asciiTheme="majorBidi" w:eastAsia="Times New Roman" w:hAnsiTheme="majorBidi" w:cstheme="majorBidi"/>
          <w:lang w:val="en-GB"/>
        </w:rPr>
        <w:instrText xml:space="preserve"> Rock</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The New Palace </w:t>
      </w:r>
      <w:r>
        <w:rPr>
          <w:rFonts w:ascii="Times New Roman" w:hAnsi="Times New Roman"/>
          <w:lang w:val="en-GB"/>
        </w:rPr>
        <w:t>s</w:t>
      </w:r>
      <w:r w:rsidRPr="00AB28D0">
        <w:rPr>
          <w:rFonts w:ascii="Times New Roman" w:hAnsi="Times New Roman"/>
          <w:lang w:val="en-GB"/>
        </w:rPr>
        <w:t>ection, extending between the West Ditch</w:t>
      </w:r>
      <w:r w:rsidRPr="006452D8">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West Ditch</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of the citadel of Van Fortress and the Argišti I tomb</w:t>
      </w:r>
      <w:r w:rsidRPr="006452D8">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eastAsia="Times New Roman" w:hAnsiTheme="majorBidi" w:cstheme="majorBidi"/>
          <w:lang w:val="en-GB"/>
        </w:rPr>
        <w:instrText>Argišti</w:instrText>
      </w:r>
      <w:r w:rsidRPr="00F03A26">
        <w:rPr>
          <w:rFonts w:asciiTheme="majorBidi" w:eastAsia="Times New Roman" w:hAnsiTheme="majorBidi" w:cstheme="majorBidi"/>
          <w:lang w:val="en-GB"/>
        </w:rPr>
        <w:instrText xml:space="preserve"> I </w:instrText>
      </w:r>
      <w:r>
        <w:rPr>
          <w:rFonts w:asciiTheme="majorBidi" w:eastAsia="Times New Roman" w:hAnsiTheme="majorBidi" w:cstheme="majorBidi"/>
          <w:lang w:val="en-GB"/>
        </w:rPr>
        <w:instrText>t</w:instrText>
      </w:r>
      <w:r w:rsidRPr="00F03A26">
        <w:rPr>
          <w:rFonts w:asciiTheme="majorBidi" w:eastAsia="Times New Roman" w:hAnsiTheme="majorBidi" w:cstheme="majorBidi"/>
          <w:lang w:val="en-GB"/>
        </w:rPr>
        <w:instrText>omb</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eastAsia="Times New Roman" w:hAnsiTheme="majorBidi" w:cstheme="majorBidi"/>
          <w:lang w:val="en-GB"/>
        </w:rPr>
        <w:instrText>Argišti</w:instrText>
      </w:r>
      <w:r w:rsidRPr="00F03A26">
        <w:rPr>
          <w:rFonts w:asciiTheme="majorBidi" w:eastAsia="Times New Roman" w:hAnsiTheme="majorBidi" w:cstheme="majorBidi"/>
          <w:lang w:val="en-GB"/>
        </w:rPr>
        <w:instrText xml:space="preserve"> 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encompasses an expansive area of approximately 12,000 m2. This remarkable expanse is marked by the deliberate distribution and organic interconnection of foundation pits and spaces carved into the bedrock. Terraces built by carving into the bedrock in almost all of this area, which we have evaluated by dividing it into A- B- C-D-E subgroups, form flat areas on which structures can rise (Fig. 1). To fit the terrace walls, the bedrock was processed and shaped into steps, and wall foundation pits extending for meters were created (Konyar, 2022: 177-181).</w:t>
      </w:r>
    </w:p>
    <w:p w14:paraId="197E0664"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drawing>
          <wp:inline distT="0" distB="0" distL="0" distR="0" wp14:anchorId="292CF8DC" wp14:editId="3D53D5D5">
            <wp:extent cx="5756910" cy="2421148"/>
            <wp:effectExtent l="0" t="0" r="0" b="0"/>
            <wp:docPr id="1374852799" name="image1.png" descr="harita, dış mekan, manzara,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 name="image1.png" descr="harita, dış mekan, manzara, dağ içeren bir resim&#10;&#10;Açıklama otomatik olarak oluşturuldu"/>
                    <pic:cNvPicPr preferRelativeResize="0"/>
                  </pic:nvPicPr>
                  <pic:blipFill>
                    <a:blip r:embed="rId237"/>
                    <a:srcRect/>
                    <a:stretch>
                      <a:fillRect/>
                    </a:stretch>
                  </pic:blipFill>
                  <pic:spPr>
                    <a:xfrm>
                      <a:off x="0" y="0"/>
                      <a:ext cx="5756910" cy="2421148"/>
                    </a:xfrm>
                    <a:prstGeom prst="rect">
                      <a:avLst/>
                    </a:prstGeom>
                    <a:ln/>
                  </pic:spPr>
                </pic:pic>
              </a:graphicData>
            </a:graphic>
          </wp:inline>
        </w:drawing>
      </w:r>
    </w:p>
    <w:p w14:paraId="12C7F629" w14:textId="0D98CCC6" w:rsidR="001C57DB" w:rsidRPr="00AB28D0" w:rsidRDefault="001C57DB" w:rsidP="00AB28D0">
      <w:pPr>
        <w:jc w:val="both"/>
        <w:rPr>
          <w:rFonts w:ascii="Times New Roman" w:hAnsi="Times New Roman"/>
          <w:lang w:val="en-GB"/>
        </w:rPr>
      </w:pPr>
      <w:r w:rsidRPr="00AB28D0">
        <w:rPr>
          <w:rFonts w:ascii="Times New Roman" w:hAnsi="Times New Roman"/>
          <w:lang w:val="en-GB"/>
        </w:rPr>
        <w:t xml:space="preserve">Fig. 1 </w:t>
      </w:r>
      <w:r w:rsidRPr="00AB28D0">
        <w:rPr>
          <w:rFonts w:ascii="Times New Roman" w:hAnsi="Times New Roman"/>
          <w:shd w:val="clear" w:color="auto" w:fill="FFFFFF"/>
          <w:lang w:val="en-GB"/>
        </w:rPr>
        <w:t>Ṭušpa</w:t>
      </w:r>
      <w:r w:rsidRPr="00AB28D0">
        <w:rPr>
          <w:rFonts w:ascii="Times New Roman" w:hAnsi="Times New Roman"/>
          <w:lang w:val="en-GB"/>
        </w:rPr>
        <w:t>,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Section and its surroundings.</w:t>
      </w:r>
    </w:p>
    <w:p w14:paraId="1C3B2F7B" w14:textId="77777777" w:rsidR="001C57DB" w:rsidRPr="00AB28D0" w:rsidRDefault="001C57DB" w:rsidP="00AB28D0">
      <w:pPr>
        <w:jc w:val="both"/>
        <w:rPr>
          <w:rFonts w:ascii="Times New Roman" w:hAnsi="Times New Roman"/>
          <w:lang w:val="en-GB"/>
        </w:rPr>
      </w:pPr>
    </w:p>
    <w:p w14:paraId="25993815" w14:textId="78D78B3B" w:rsidR="001C57DB" w:rsidRPr="00AB28D0" w:rsidRDefault="001C57DB" w:rsidP="001C57DB">
      <w:pPr>
        <w:jc w:val="both"/>
        <w:rPr>
          <w:rFonts w:ascii="Times New Roman" w:hAnsi="Times New Roman"/>
          <w:lang w:val="en-GB"/>
        </w:rPr>
      </w:pPr>
      <w:r w:rsidRPr="00AB28D0">
        <w:rPr>
          <w:rFonts w:ascii="Times New Roman" w:hAnsi="Times New Roman"/>
          <w:lang w:val="en-GB"/>
        </w:rPr>
        <w:lastRenderedPageBreak/>
        <w:t>The traceable density of the rock work in the area and the organic integrity indicate that the project and construction were carried out in the same period according to a specific settlement plan. The structural character and directions of the beds opening into the bedrock in areas A, B</w:t>
      </w:r>
      <w:r w:rsidRPr="00974267">
        <w:rPr>
          <w:rFonts w:ascii="Times New Roman" w:eastAsia="Times New Roman" w:hAnsi="Times New Roman" w:cs="Times New Roman"/>
          <w:lang w:val="en-GB"/>
        </w:rPr>
        <w:t>,</w:t>
      </w:r>
      <w:r w:rsidRPr="00AB28D0">
        <w:rPr>
          <w:rFonts w:ascii="Times New Roman" w:hAnsi="Times New Roman"/>
          <w:lang w:val="en-GB"/>
        </w:rPr>
        <w:t xml:space="preserve"> and C and the D and E areas extending to the north indicate that they are part of the same planning. Except for some local differences arising from the topographic structure of the rock, the foundation pits were carved in the east-west line. When we look at the general distribution, it is evident that we are faced with a large-sized, planned royal structures group, although these areas are concentrated in areas A-B-C. In area A, there are halls and rooms made by processing the bedrock and platforms formed by shaping the bedrock on which the </w:t>
      </w:r>
      <w:r w:rsidRPr="00974267">
        <w:rPr>
          <w:rFonts w:ascii="Times New Roman" w:eastAsia="Times New Roman" w:hAnsi="Times New Roman" w:cs="Times New Roman"/>
          <w:lang w:val="en-GB"/>
        </w:rPr>
        <w:t>essential</w:t>
      </w:r>
      <w:r w:rsidRPr="00AB28D0">
        <w:rPr>
          <w:rFonts w:ascii="Times New Roman" w:hAnsi="Times New Roman"/>
          <w:lang w:val="en-GB"/>
        </w:rPr>
        <w:t xml:space="preserve"> units of the palace are seated. In area B to the north of this section, there are spaces/storage rooms with high walls, which were also carved into the bedrock.</w:t>
      </w:r>
    </w:p>
    <w:p w14:paraId="02095287" w14:textId="77777777" w:rsidR="001C57DB" w:rsidRPr="00AB28D0" w:rsidRDefault="001C57DB" w:rsidP="00AB28D0">
      <w:pPr>
        <w:jc w:val="both"/>
        <w:rPr>
          <w:rFonts w:ascii="Times New Roman" w:hAnsi="Times New Roman"/>
          <w:lang w:val="en-GB"/>
        </w:rPr>
      </w:pPr>
    </w:p>
    <w:p w14:paraId="3AAFB0CD" w14:textId="00053FF0" w:rsidR="001C57DB" w:rsidRPr="00AB28D0" w:rsidRDefault="001C57DB" w:rsidP="001C57DB">
      <w:pPr>
        <w:jc w:val="both"/>
        <w:rPr>
          <w:rFonts w:ascii="Times New Roman" w:eastAsia="Times New Roman" w:hAnsi="Times New Roman" w:cs="Times New Roman"/>
          <w:lang w:val="en-GB"/>
        </w:rPr>
      </w:pPr>
      <w:r w:rsidRPr="00AB28D0">
        <w:rPr>
          <w:rFonts w:ascii="Times New Roman" w:hAnsi="Times New Roman"/>
          <w:lang w:val="en-GB"/>
        </w:rPr>
        <w:t xml:space="preserve">Areas A and C extend descending from east to west. In this respect, it is the sole area </w:t>
      </w:r>
      <w:r w:rsidRPr="00974267">
        <w:rPr>
          <w:rFonts w:ascii="Times New Roman" w:eastAsia="Times New Roman" w:hAnsi="Times New Roman" w:cs="Times New Roman"/>
          <w:lang w:val="en-GB"/>
        </w:rPr>
        <w:t>where</w:t>
      </w:r>
      <w:r w:rsidRPr="00AB28D0">
        <w:rPr>
          <w:rFonts w:ascii="Times New Roman" w:hAnsi="Times New Roman"/>
          <w:lang w:val="en-GB"/>
        </w:rPr>
        <w:t xml:space="preserve"> entry to the Fortress is easily accessible. Again, in this area. It is observed that the rock descends northward. These areas are defined as B, D</w:t>
      </w:r>
      <w:r w:rsidRPr="00974267">
        <w:rPr>
          <w:rFonts w:ascii="Times New Roman" w:eastAsia="Times New Roman" w:hAnsi="Times New Roman" w:cs="Times New Roman"/>
          <w:lang w:val="en-GB"/>
        </w:rPr>
        <w:t>,</w:t>
      </w:r>
      <w:r w:rsidRPr="00AB28D0">
        <w:rPr>
          <w:rFonts w:ascii="Times New Roman" w:hAnsi="Times New Roman"/>
          <w:lang w:val="en-GB"/>
        </w:rPr>
        <w:t xml:space="preserve"> and E towards the north.</w:t>
      </w:r>
      <w:r>
        <w:rPr>
          <w:rFonts w:ascii="Times New Roman" w:eastAsia="Times New Roman" w:hAnsi="Times New Roman" w:cs="Times New Roman"/>
          <w:lang w:val="en-GB"/>
        </w:rPr>
        <w:t xml:space="preserve"> </w:t>
      </w:r>
      <w:r w:rsidRPr="00AB28D0">
        <w:rPr>
          <w:rFonts w:ascii="Times New Roman" w:hAnsi="Times New Roman"/>
          <w:lang w:val="en-GB"/>
        </w:rPr>
        <w:t xml:space="preserve">Regarding </w:t>
      </w:r>
      <w:r w:rsidRPr="00974267">
        <w:rPr>
          <w:rFonts w:ascii="Times New Roman" w:eastAsia="Times New Roman" w:hAnsi="Times New Roman" w:cs="Times New Roman"/>
          <w:lang w:val="en-GB"/>
        </w:rPr>
        <w:t>defense</w:t>
      </w:r>
      <w:r w:rsidRPr="00AB28D0">
        <w:rPr>
          <w:rFonts w:ascii="Times New Roman" w:hAnsi="Times New Roman"/>
          <w:lang w:val="en-GB"/>
        </w:rPr>
        <w:t xml:space="preserve">, this section is one of the weak points. These areas are also the sections closest to the plain level. Therefore, a gradual </w:t>
      </w:r>
      <w:r w:rsidRPr="00974267">
        <w:rPr>
          <w:rFonts w:ascii="Times New Roman" w:eastAsia="Times New Roman" w:hAnsi="Times New Roman" w:cs="Times New Roman"/>
          <w:lang w:val="en-GB"/>
        </w:rPr>
        <w:t>defense</w:t>
      </w:r>
      <w:r w:rsidRPr="00AB28D0">
        <w:rPr>
          <w:rFonts w:ascii="Times New Roman" w:hAnsi="Times New Roman"/>
          <w:lang w:val="en-GB"/>
        </w:rPr>
        <w:t xml:space="preserve">/wall line was built in areas E and D. The narrow and east-west orientation of the bedrock beds in this section indicates this. In addition, the foundation deposits concentrated </w:t>
      </w:r>
      <w:r w:rsidRPr="00974267">
        <w:rPr>
          <w:rFonts w:ascii="Times New Roman" w:eastAsia="Times New Roman" w:hAnsi="Times New Roman" w:cs="Times New Roman"/>
          <w:lang w:val="en-GB"/>
        </w:rPr>
        <w:t>mainly</w:t>
      </w:r>
      <w:r w:rsidRPr="00AB28D0">
        <w:rPr>
          <w:rFonts w:ascii="Times New Roman" w:hAnsi="Times New Roman"/>
          <w:lang w:val="en-GB"/>
        </w:rPr>
        <w:t xml:space="preserve"> in the E area may indicate that structures with different functions may have been built in the areas closest to the plain level, on the terraces created to sit the stepped fortification system in these areas. Except for the foundation pits and spaces carved into the bedrock, no architectural traces can be observed on the surface of the New Palace</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Pr>
          <w:rFonts w:ascii="Times New Roman" w:hAnsi="Times New Roman"/>
          <w:lang w:val="en-GB"/>
        </w:rPr>
        <w:t>s</w:t>
      </w:r>
      <w:r w:rsidRPr="00AB28D0">
        <w:rPr>
          <w:rFonts w:ascii="Times New Roman" w:hAnsi="Times New Roman"/>
          <w:lang w:val="en-GB"/>
        </w:rPr>
        <w:t>ection. The stone masonry walls were removed and used as building material in the Middle Ages</w:t>
      </w:r>
      <w:r w:rsidRPr="00974267">
        <w:rPr>
          <w:rFonts w:ascii="Times New Roman" w:eastAsia="Times New Roman" w:hAnsi="Times New Roman" w:cs="Times New Roman"/>
          <w:lang w:val="en-GB"/>
        </w:rPr>
        <w:t>, as well as</w:t>
      </w:r>
      <w:r w:rsidRPr="00AB28D0">
        <w:rPr>
          <w:rFonts w:ascii="Times New Roman" w:hAnsi="Times New Roman"/>
          <w:lang w:val="en-GB"/>
        </w:rPr>
        <w:t xml:space="preserve"> later</w:t>
      </w:r>
      <w:r w:rsidRPr="00974267">
        <w:rPr>
          <w:rFonts w:ascii="Times New Roman" w:eastAsia="Times New Roman" w:hAnsi="Times New Roman" w:cs="Times New Roman"/>
          <w:lang w:val="en-GB"/>
        </w:rPr>
        <w:t xml:space="preserve"> walls</w:t>
      </w:r>
      <w:r w:rsidRPr="00AB28D0">
        <w:rPr>
          <w:rFonts w:ascii="Times New Roman" w:hAnsi="Times New Roman"/>
          <w:lang w:val="en-GB"/>
        </w:rPr>
        <w:t>.</w:t>
      </w:r>
    </w:p>
    <w:p w14:paraId="011E8551" w14:textId="77777777" w:rsidR="001C57DB" w:rsidRPr="00AB28D0" w:rsidRDefault="001C57DB" w:rsidP="00AB28D0">
      <w:pPr>
        <w:jc w:val="both"/>
        <w:rPr>
          <w:rFonts w:ascii="Times New Roman" w:hAnsi="Times New Roman"/>
          <w:lang w:val="en-GB"/>
        </w:rPr>
      </w:pPr>
    </w:p>
    <w:p w14:paraId="0AED1A91"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drawing>
          <wp:inline distT="0" distB="0" distL="0" distR="0" wp14:anchorId="543F11E9" wp14:editId="129F0711">
            <wp:extent cx="5497286" cy="3374571"/>
            <wp:effectExtent l="0" t="0" r="1905" b="3810"/>
            <wp:docPr id="972906986" name="image2.png" descr="kişi, açık hava, kaya tırmanış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2.png" descr="kişi, açık hava, kaya tırmanışı içeren bir resim&#10;&#10;Açıklama otomatik olarak oluşturuldu"/>
                    <pic:cNvPicPr preferRelativeResize="0"/>
                  </pic:nvPicPr>
                  <pic:blipFill>
                    <a:blip r:embed="rId238" cstate="email">
                      <a:extLst>
                        <a:ext uri="{28A0092B-C50C-407E-A947-70E740481C1C}">
                          <a14:useLocalDpi xmlns:a14="http://schemas.microsoft.com/office/drawing/2010/main"/>
                        </a:ext>
                      </a:extLst>
                    </a:blip>
                    <a:srcRect/>
                    <a:stretch>
                      <a:fillRect/>
                    </a:stretch>
                  </pic:blipFill>
                  <pic:spPr>
                    <a:xfrm>
                      <a:off x="0" y="0"/>
                      <a:ext cx="5497896" cy="3374945"/>
                    </a:xfrm>
                    <a:prstGeom prst="rect">
                      <a:avLst/>
                    </a:prstGeom>
                    <a:ln/>
                  </pic:spPr>
                </pic:pic>
              </a:graphicData>
            </a:graphic>
          </wp:inline>
        </w:drawing>
      </w:r>
    </w:p>
    <w:p w14:paraId="4520F19C" w14:textId="77777777" w:rsidR="001C57DB" w:rsidRPr="00AB28D0" w:rsidRDefault="001C57DB" w:rsidP="00AB28D0">
      <w:pPr>
        <w:autoSpaceDE w:val="0"/>
        <w:autoSpaceDN w:val="0"/>
        <w:adjustRightInd w:val="0"/>
        <w:jc w:val="both"/>
        <w:rPr>
          <w:rFonts w:ascii="Times New Roman" w:hAnsi="Times New Roman"/>
          <w:lang w:val="en-GB"/>
        </w:rPr>
      </w:pPr>
      <w:r w:rsidRPr="00AB28D0">
        <w:rPr>
          <w:rFonts w:ascii="Times New Roman" w:hAnsi="Times New Roman"/>
          <w:lang w:val="en-GB"/>
        </w:rPr>
        <w:t>Fig. 2 Bronze votive discs found in foundation pits carved into bedrock at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A (Tarhan &amp; Sevin, 1990: 357, Picture: 10-11).</w:t>
      </w:r>
    </w:p>
    <w:p w14:paraId="1BE1D736" w14:textId="77777777" w:rsidR="001C57DB" w:rsidRPr="00AB28D0" w:rsidRDefault="001C57DB" w:rsidP="00AB28D0">
      <w:pPr>
        <w:autoSpaceDE w:val="0"/>
        <w:autoSpaceDN w:val="0"/>
        <w:adjustRightInd w:val="0"/>
        <w:jc w:val="both"/>
        <w:rPr>
          <w:rFonts w:ascii="Times New Roman" w:hAnsi="Times New Roman"/>
          <w:lang w:val="en-GB"/>
        </w:rPr>
      </w:pPr>
    </w:p>
    <w:p w14:paraId="4209F335" w14:textId="7D008777" w:rsidR="001C57DB" w:rsidRPr="00AB28D0" w:rsidRDefault="001C57DB" w:rsidP="001C57DB">
      <w:pPr>
        <w:jc w:val="both"/>
        <w:rPr>
          <w:rFonts w:ascii="Times New Roman" w:hAnsi="Times New Roman"/>
          <w:lang w:val="en-GB"/>
        </w:rPr>
      </w:pPr>
      <w:r w:rsidRPr="00AB28D0">
        <w:rPr>
          <w:rFonts w:ascii="Times New Roman" w:hAnsi="Times New Roman"/>
          <w:lang w:val="en-GB"/>
        </w:rPr>
        <w:t xml:space="preserve">The section is named </w:t>
      </w:r>
      <w:r w:rsidR="00E85612">
        <w:rPr>
          <w:rFonts w:ascii="Times New Roman" w:eastAsia="Times New Roman" w:hAnsi="Times New Roman" w:cs="Times New Roman"/>
          <w:lang w:val="en-GB"/>
        </w:rPr>
        <w:t>‘</w:t>
      </w:r>
      <w:r w:rsidRPr="00974267">
        <w:rPr>
          <w:rFonts w:ascii="Times New Roman" w:eastAsia="Times New Roman" w:hAnsi="Times New Roman" w:cs="Times New Roman"/>
          <w:lang w:val="en-GB"/>
        </w:rPr>
        <w:t>New Palace</w:t>
      </w:r>
      <w:r w:rsidR="00E85612">
        <w:rPr>
          <w:rFonts w:ascii="Times New Roman" w:eastAsia="Times New Roman" w:hAnsi="Times New Roman" w:cs="Times New Roman"/>
          <w:lang w:val="en-GB"/>
        </w:rPr>
        <w:t>’</w:t>
      </w:r>
      <w:r w:rsidRPr="00AB28D0">
        <w:rPr>
          <w:rFonts w:ascii="Times New Roman" w:hAnsi="Times New Roman"/>
          <w:lang w:val="en-GB"/>
        </w:rPr>
        <w:t xml:space="preserve"> for two reasons (Tarhan, 1989; Tarhan &amp; Sevin, 1990: 357). </w:t>
      </w:r>
      <w:r w:rsidRPr="00974267">
        <w:rPr>
          <w:rFonts w:ascii="Times New Roman" w:eastAsia="Times New Roman" w:hAnsi="Times New Roman" w:cs="Times New Roman"/>
          <w:lang w:val="en-GB"/>
        </w:rPr>
        <w:t>The</w:t>
      </w:r>
      <w:r w:rsidRPr="00AB28D0">
        <w:rPr>
          <w:rFonts w:ascii="Times New Roman" w:hAnsi="Times New Roman"/>
          <w:lang w:val="en-GB"/>
        </w:rPr>
        <w:t xml:space="preserve"> discovery of bronze votive discs in rock cavities during the 1988 archaeological excavation suggested a construction activity associated with the area (Tarhan &amp; Sevin, 1990: 357, Picture: </w:t>
      </w:r>
      <w:r w:rsidRPr="00AB28D0">
        <w:rPr>
          <w:rFonts w:ascii="Times New Roman" w:hAnsi="Times New Roman"/>
          <w:lang w:val="en-GB"/>
        </w:rPr>
        <w:lastRenderedPageBreak/>
        <w:t>10-11). This finding, combined with the identification of bronze plates as votive offerings during the Toprakkale</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Toprakkale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excavations in 1960 (Erzen, 1962: 399, Abb.11), led to the possibility of the site being a new palace</w:t>
      </w:r>
      <w:r w:rsidRPr="00F03A26">
        <w:rPr>
          <w:rStyle w:val="DipnotBavurusu"/>
          <w:rFonts w:asciiTheme="majorBidi" w:eastAsia="Times New Roman" w:hAnsiTheme="majorBidi" w:cstheme="majorBidi"/>
          <w:lang w:val="en-GB"/>
        </w:rPr>
        <w:footnoteReference w:id="58"/>
      </w:r>
      <w:r w:rsidRPr="00AB28D0">
        <w:rPr>
          <w:rFonts w:ascii="Times New Roman" w:hAnsi="Times New Roman"/>
          <w:lang w:val="en-GB"/>
        </w:rPr>
        <w:t xml:space="preserve">. </w:t>
      </w:r>
    </w:p>
    <w:p w14:paraId="12C401C3" w14:textId="77777777" w:rsidR="001C57DB" w:rsidRPr="00AB28D0" w:rsidRDefault="001C57DB" w:rsidP="00AB28D0">
      <w:pPr>
        <w:jc w:val="both"/>
        <w:rPr>
          <w:rFonts w:ascii="Times New Roman" w:hAnsi="Times New Roman"/>
          <w:lang w:val="en-GB"/>
        </w:rPr>
      </w:pPr>
    </w:p>
    <w:p w14:paraId="04845096" w14:textId="77777777" w:rsidR="001C57DB" w:rsidRPr="00AB28D0" w:rsidRDefault="001C57DB" w:rsidP="001C57DB">
      <w:pPr>
        <w:jc w:val="both"/>
        <w:rPr>
          <w:rFonts w:ascii="Times New Roman" w:hAnsi="Times New Roman"/>
          <w:lang w:val="en-GB"/>
        </w:rPr>
      </w:pPr>
      <w:r w:rsidRPr="00AB28D0">
        <w:rPr>
          <w:rFonts w:ascii="Times New Roman" w:hAnsi="Times New Roman"/>
          <w:lang w:val="en-GB"/>
        </w:rPr>
        <w:t xml:space="preserve">Assyria is </w:t>
      </w:r>
      <w:r w:rsidRPr="00974267">
        <w:rPr>
          <w:rFonts w:ascii="Times New Roman" w:eastAsia="Times New Roman" w:hAnsi="Times New Roman" w:cs="Times New Roman"/>
          <w:lang w:val="en-GB"/>
        </w:rPr>
        <w:t>an excellent</w:t>
      </w:r>
      <w:r w:rsidRPr="00AB28D0">
        <w:rPr>
          <w:rFonts w:ascii="Times New Roman" w:hAnsi="Times New Roman"/>
          <w:lang w:val="en-GB"/>
        </w:rPr>
        <w:t xml:space="preserve"> example of the application of foundation plates in the Near East. Gold and silver tablets belonging to Shalmaneser I</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Shalmaneser 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(Grayson, 1972: no. 588-591, 91-92) and Tukultī-Ninurta I</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Tukultī-Ninurta 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(Grayson, 1972: nos. 755-758, 115) were found in the same box in the Temple of Ištar in Assyria. Ashurnasirpal II</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Ashurnasirpal II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mentions gold and silver tablets that he placed in the foundation of his royal palace at Apqu (Grayson, 1991: A.0.101.70). Shalmaneser III</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Shalmaneser III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mentions that he renovated the Assyrian</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city walls and placed various metals and stones such as gold, silver and lapis lazuli in their foundations (Grayson, 1996: A.0.102.10). In the Assyrian city, round plates bearing the inscription of Shalmaneser III were found on the southern corner of the ziggurat of Shalmaneser III (Haller &amp; Andrae, 1955: 3, Pl. 22-23). </w:t>
      </w:r>
      <w:r w:rsidRPr="00974267">
        <w:rPr>
          <w:rFonts w:ascii="Times New Roman" w:eastAsia="Times New Roman" w:hAnsi="Times New Roman" w:cs="Times New Roman"/>
          <w:lang w:val="en-GB"/>
        </w:rPr>
        <w:t>Similar</w:t>
      </w:r>
      <w:r w:rsidRPr="00AB28D0">
        <w:rPr>
          <w:rFonts w:ascii="Times New Roman" w:hAnsi="Times New Roman"/>
          <w:lang w:val="en-GB"/>
        </w:rPr>
        <w:t xml:space="preserve"> practices observed in Assyria during construction projects further supported the notion that this area could be a new palace built by a different ruler, serving as an alternative to the Old Palace</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Old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section.</w:t>
      </w:r>
    </w:p>
    <w:p w14:paraId="63144D8D" w14:textId="77777777" w:rsidR="001C57DB" w:rsidRPr="00AB28D0" w:rsidRDefault="001C57DB" w:rsidP="00AB28D0">
      <w:pPr>
        <w:jc w:val="both"/>
        <w:rPr>
          <w:rFonts w:ascii="Times New Roman" w:hAnsi="Times New Roman"/>
          <w:lang w:val="en-GB"/>
        </w:rPr>
      </w:pPr>
    </w:p>
    <w:p w14:paraId="1CF009DE" w14:textId="1F0B96F4" w:rsidR="001C57DB" w:rsidRPr="00AB28D0" w:rsidRDefault="001C57DB" w:rsidP="001C57DB">
      <w:pPr>
        <w:jc w:val="both"/>
        <w:rPr>
          <w:rFonts w:ascii="Times New Roman" w:hAnsi="Times New Roman"/>
          <w:lang w:val="en-GB"/>
        </w:rPr>
      </w:pPr>
      <w:r w:rsidRPr="00AB28D0">
        <w:rPr>
          <w:rFonts w:ascii="Times New Roman" w:hAnsi="Times New Roman"/>
          <w:lang w:val="en-GB"/>
        </w:rPr>
        <w:t>Another compelling rationale for dating the New Palace</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Pr>
          <w:rFonts w:ascii="Times New Roman" w:hAnsi="Times New Roman"/>
          <w:lang w:val="en-GB"/>
        </w:rPr>
        <w:t>s</w:t>
      </w:r>
      <w:r w:rsidRPr="00AB28D0">
        <w:rPr>
          <w:rFonts w:ascii="Times New Roman" w:hAnsi="Times New Roman"/>
          <w:lang w:val="en-GB"/>
        </w:rPr>
        <w:t>ection to the Argišti I</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eastAsia="Times New Roman" w:hAnsiTheme="majorBidi" w:cstheme="majorBidi"/>
          <w:lang w:val="en-GB"/>
        </w:rPr>
        <w:instrText>Argišti</w:instrText>
      </w:r>
      <w:r w:rsidRPr="00F03A26">
        <w:rPr>
          <w:rFonts w:asciiTheme="majorBidi" w:eastAsia="Times New Roman" w:hAnsiTheme="majorBidi" w:cstheme="majorBidi"/>
          <w:lang w:val="en-GB"/>
        </w:rPr>
        <w:instrText xml:space="preserve"> 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period arises from the discovery of both facade inscriptions and a burial chamber that can be unequivocally attributed to Argišti I. This perspective gains further support by drawing parallels with the tradition of subterranean burial chambers in Assyrian</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palaces, especially with the burial chamber of Ashurnasirpal II</w:t>
      </w:r>
      <w:r w:rsidRPr="00974267">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Ashurnasirpal II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(Haller, 1954; Lundström, 2012: 273, Fig. 4).</w:t>
      </w:r>
    </w:p>
    <w:p w14:paraId="3FB755DA" w14:textId="77777777" w:rsidR="001C57DB" w:rsidRPr="00AB28D0" w:rsidRDefault="001C57DB" w:rsidP="00AB28D0">
      <w:pPr>
        <w:jc w:val="both"/>
        <w:rPr>
          <w:rFonts w:ascii="Times New Roman" w:hAnsi="Times New Roman"/>
          <w:lang w:val="en-GB"/>
        </w:rPr>
      </w:pPr>
    </w:p>
    <w:p w14:paraId="77655B9E" w14:textId="77777777" w:rsidR="001C57DB" w:rsidRPr="00AB28D0" w:rsidRDefault="001C57DB" w:rsidP="001C57DB">
      <w:pPr>
        <w:jc w:val="both"/>
        <w:rPr>
          <w:rFonts w:ascii="Times New Roman" w:hAnsi="Times New Roman"/>
          <w:lang w:val="en-GB"/>
        </w:rPr>
      </w:pPr>
      <w:r w:rsidRPr="00AB28D0">
        <w:rPr>
          <w:rFonts w:ascii="Times New Roman" w:hAnsi="Times New Roman"/>
          <w:lang w:val="en-GB"/>
        </w:rPr>
        <w:t>Situated to the right (south) of the road leading to the Yukarı İç Kale</w:t>
      </w:r>
      <w:r w:rsidRPr="00974267">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İç Kale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this area showcases a remarkable display of rooms and halls intricately carved into the bedrock. </w:t>
      </w:r>
      <w:r w:rsidRPr="00974267">
        <w:rPr>
          <w:rFonts w:ascii="Times New Roman" w:eastAsia="Times New Roman" w:hAnsi="Times New Roman" w:cs="Times New Roman"/>
          <w:lang w:val="en-GB"/>
        </w:rPr>
        <w:t>Wall</w:t>
      </w:r>
      <w:r w:rsidRPr="00AB28D0">
        <w:rPr>
          <w:rFonts w:ascii="Times New Roman" w:hAnsi="Times New Roman"/>
          <w:lang w:val="en-GB"/>
        </w:rPr>
        <w:t xml:space="preserve"> foundation pits</w:t>
      </w:r>
      <w:r w:rsidRPr="00974267">
        <w:rPr>
          <w:rFonts w:ascii="Times New Roman" w:eastAsia="Times New Roman" w:hAnsi="Times New Roman" w:cs="Times New Roman"/>
          <w:lang w:val="en-GB"/>
        </w:rPr>
        <w:t xml:space="preserve"> are</w:t>
      </w:r>
      <w:r w:rsidRPr="00AB28D0">
        <w:rPr>
          <w:rFonts w:ascii="Times New Roman" w:hAnsi="Times New Roman"/>
          <w:lang w:val="en-GB"/>
        </w:rPr>
        <w:t xml:space="preserve"> scattered throughout, with their heights ranging from 30 to </w:t>
      </w:r>
      <w:bookmarkStart w:id="119" w:name="_Int_PdjIjdT2"/>
      <w:r w:rsidRPr="00AB28D0">
        <w:rPr>
          <w:rFonts w:ascii="Times New Roman" w:hAnsi="Times New Roman"/>
          <w:lang w:val="en-GB"/>
        </w:rPr>
        <w:t>40 cm</w:t>
      </w:r>
      <w:bookmarkEnd w:id="119"/>
      <w:r w:rsidRPr="00AB28D0">
        <w:rPr>
          <w:rFonts w:ascii="Times New Roman" w:hAnsi="Times New Roman"/>
          <w:lang w:val="en-GB"/>
        </w:rPr>
        <w:t xml:space="preserve">. These pits serve as markers, determining the precise alignment for </w:t>
      </w:r>
      <w:r w:rsidRPr="00974267">
        <w:rPr>
          <w:rFonts w:ascii="Times New Roman" w:eastAsia="Times New Roman" w:hAnsi="Times New Roman" w:cs="Times New Roman"/>
          <w:lang w:val="en-GB"/>
        </w:rPr>
        <w:t>placing</w:t>
      </w:r>
      <w:r w:rsidRPr="00AB28D0">
        <w:rPr>
          <w:rFonts w:ascii="Times New Roman" w:hAnsi="Times New Roman"/>
          <w:lang w:val="en-GB"/>
        </w:rPr>
        <w:t xml:space="preserve"> stones, ultimately forming the level surfaces or platforms upon which the walls are constructed. The strategically positioned walls rising from these beds, along with the resulting flat platforms, provide a solid foundation for the construction of buildings. The wall foundation pits and carved spaces in the bedrock follow an east-west axis, mirroring the area's topography (Fig. 3,4,5). Notably, a complex network of buildings emerges, primarily at the same elevation along the east-west line but gradually ascending on the north-south axis. This arrangement suggests a pyramidal structure, with each layer rising </w:t>
      </w:r>
      <w:r w:rsidRPr="00974267">
        <w:rPr>
          <w:rFonts w:ascii="Times New Roman" w:eastAsia="Times New Roman" w:hAnsi="Times New Roman" w:cs="Times New Roman"/>
          <w:lang w:val="en-GB"/>
        </w:rPr>
        <w:t>by</w:t>
      </w:r>
      <w:r w:rsidRPr="00AB28D0">
        <w:rPr>
          <w:rFonts w:ascii="Times New Roman" w:hAnsi="Times New Roman"/>
          <w:lang w:val="en-GB"/>
        </w:rPr>
        <w:t xml:space="preserve"> the depth of the rock. In the lowest part of the area, close to the plain level, the foundation pits, presumed to be associated with defensive purposes, become apparent. It is plausible to infer that defensive walls were erected atop these fortification foundation pits, serving both protective and structural functions. These defensive walls likely doubled as platforms, supporting the structures above them.</w:t>
      </w:r>
    </w:p>
    <w:p w14:paraId="0678AAEC" w14:textId="77777777" w:rsidR="001C57DB" w:rsidRDefault="001C57DB" w:rsidP="001C57DB">
      <w:pPr>
        <w:jc w:val="both"/>
        <w:rPr>
          <w:rFonts w:ascii="Times New Roman" w:eastAsia="Times New Roman" w:hAnsi="Times New Roman" w:cs="Times New Roman"/>
          <w:lang w:val="en-GB"/>
        </w:rPr>
      </w:pPr>
      <w:r w:rsidRPr="005F2220">
        <w:rPr>
          <w:rFonts w:ascii="Times New Roman" w:eastAsia="Times New Roman" w:hAnsi="Times New Roman" w:cs="Times New Roman"/>
          <w:noProof/>
        </w:rPr>
        <w:lastRenderedPageBreak/>
        <w:drawing>
          <wp:inline distT="0" distB="0" distL="0" distR="0" wp14:anchorId="79DECE78" wp14:editId="73A3D3BE">
            <wp:extent cx="4991100" cy="2752725"/>
            <wp:effectExtent l="19050" t="19050" r="19050" b="28575"/>
            <wp:docPr id="479962822" name="Resim 479962822" descr="çayır, gök, açık hava, doğ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2.png" descr="çayır, gök, açık hava, doğa içeren bir resim&#10;&#10;Açıklama otomatik olarak oluşturuldu"/>
                    <pic:cNvPicPr preferRelativeResize="0"/>
                  </pic:nvPicPr>
                  <pic:blipFill>
                    <a:blip r:embed="rId239" cstate="email">
                      <a:extLst>
                        <a:ext uri="{28A0092B-C50C-407E-A947-70E740481C1C}">
                          <a14:useLocalDpi xmlns:a14="http://schemas.microsoft.com/office/drawing/2010/main"/>
                        </a:ext>
                      </a:extLst>
                    </a:blip>
                    <a:srcRect/>
                    <a:stretch>
                      <a:fillRect/>
                    </a:stretch>
                  </pic:blipFill>
                  <pic:spPr>
                    <a:xfrm>
                      <a:off x="0" y="0"/>
                      <a:ext cx="4991100" cy="2752725"/>
                    </a:xfrm>
                    <a:prstGeom prst="rect">
                      <a:avLst/>
                    </a:prstGeom>
                    <a:ln>
                      <a:solidFill>
                        <a:sysClr val="windowText" lastClr="000000"/>
                      </a:solidFill>
                    </a:ln>
                  </pic:spPr>
                </pic:pic>
              </a:graphicData>
            </a:graphic>
          </wp:inline>
        </w:drawing>
      </w:r>
    </w:p>
    <w:p w14:paraId="5E41D036" w14:textId="77777777" w:rsidR="001C57DB" w:rsidRPr="00AB28D0" w:rsidRDefault="001C57DB" w:rsidP="001C57DB">
      <w:pPr>
        <w:jc w:val="both"/>
        <w:rPr>
          <w:rFonts w:ascii="Times New Roman" w:hAnsi="Times New Roman"/>
          <w:lang w:val="en-GB"/>
        </w:rPr>
      </w:pPr>
      <w:r w:rsidRPr="001774F3">
        <w:rPr>
          <w:rFonts w:ascii="Times New Roman" w:hAnsi="Times New Roman"/>
          <w:lang w:val="en-GB"/>
        </w:rPr>
        <w:t>Fig. 3 New Palace</w:t>
      </w:r>
      <w:r w:rsidRPr="001774F3">
        <w:rPr>
          <w:rFonts w:ascii="Times New Roman" w:hAnsi="Times New Roman"/>
          <w:lang w:val="en-GB"/>
        </w:rPr>
        <w:fldChar w:fldCharType="begin"/>
      </w:r>
      <w:r w:rsidRPr="00AB28D0">
        <w:rPr>
          <w:rFonts w:ascii="Calibri" w:hAnsi="Calibri"/>
          <w:lang w:val="en-GB"/>
        </w:rPr>
        <w:instrText xml:space="preserve"> XE "</w:instrText>
      </w:r>
      <w:r w:rsidRPr="001774F3">
        <w:rPr>
          <w:rFonts w:ascii="Times New Roman" w:hAnsi="Times New Roman"/>
          <w:lang w:val="en-GB"/>
        </w:rPr>
        <w:instrText>New Palace</w:instrText>
      </w:r>
      <w:r w:rsidRPr="00AB28D0">
        <w:rPr>
          <w:rFonts w:ascii="Calibri" w:hAnsi="Calibri"/>
          <w:lang w:val="en-GB"/>
        </w:rPr>
        <w:instrText xml:space="preserve">" </w:instrText>
      </w:r>
      <w:r w:rsidRPr="001774F3">
        <w:rPr>
          <w:rFonts w:ascii="Times New Roman" w:hAnsi="Times New Roman"/>
          <w:lang w:val="en-GB"/>
        </w:rPr>
        <w:fldChar w:fldCharType="end"/>
      </w:r>
      <w:r w:rsidRPr="00AB28D0">
        <w:rPr>
          <w:rFonts w:ascii="Times New Roman" w:hAnsi="Times New Roman"/>
          <w:lang w:val="en-GB"/>
        </w:rPr>
        <w:t xml:space="preserve"> Sections A, B and D. from the north.</w:t>
      </w:r>
    </w:p>
    <w:p w14:paraId="1DDD9577" w14:textId="77777777" w:rsidR="001C57DB" w:rsidRPr="00AB28D0" w:rsidRDefault="001C57DB" w:rsidP="00AB28D0">
      <w:pPr>
        <w:jc w:val="both"/>
        <w:rPr>
          <w:rFonts w:ascii="Times New Roman" w:hAnsi="Times New Roman"/>
          <w:lang w:val="en-GB"/>
        </w:rPr>
      </w:pPr>
    </w:p>
    <w:p w14:paraId="58BBB4A5" w14:textId="27D329E2" w:rsidR="001C57DB" w:rsidRPr="00AB28D0" w:rsidRDefault="001C57DB" w:rsidP="001C57DB">
      <w:pPr>
        <w:jc w:val="both"/>
        <w:rPr>
          <w:rFonts w:ascii="Times New Roman" w:hAnsi="Times New Roman"/>
          <w:i/>
          <w:color w:val="4472C4"/>
          <w:lang w:val="en-GB"/>
        </w:rPr>
      </w:pPr>
      <w:r w:rsidRPr="00AB28D0">
        <w:rPr>
          <w:rFonts w:ascii="Times New Roman" w:hAnsi="Times New Roman"/>
          <w:lang w:val="en-GB"/>
        </w:rPr>
        <w:t xml:space="preserve">The stepped wall structure in this area was filled with a combination of natural rock cavities, clay, and pebbles. This filling material </w:t>
      </w:r>
      <w:r w:rsidRPr="00974267">
        <w:rPr>
          <w:rFonts w:ascii="Times New Roman" w:eastAsia="Times New Roman" w:hAnsi="Times New Roman" w:cs="Times New Roman"/>
          <w:lang w:val="en-GB"/>
        </w:rPr>
        <w:t>prevented</w:t>
      </w:r>
      <w:r w:rsidRPr="00AB28D0">
        <w:rPr>
          <w:rFonts w:ascii="Times New Roman" w:hAnsi="Times New Roman"/>
          <w:lang w:val="en-GB"/>
        </w:rPr>
        <w:t xml:space="preserve"> wall </w:t>
      </w:r>
      <w:r w:rsidRPr="00974267">
        <w:rPr>
          <w:rFonts w:ascii="Times New Roman" w:eastAsia="Times New Roman" w:hAnsi="Times New Roman" w:cs="Times New Roman"/>
          <w:lang w:val="en-GB"/>
        </w:rPr>
        <w:t>overhangs</w:t>
      </w:r>
      <w:r w:rsidRPr="00AB28D0">
        <w:rPr>
          <w:rFonts w:ascii="Times New Roman" w:hAnsi="Times New Roman"/>
          <w:lang w:val="en-GB"/>
        </w:rPr>
        <w:t xml:space="preserve"> and </w:t>
      </w:r>
      <w:r w:rsidRPr="00974267">
        <w:rPr>
          <w:rFonts w:ascii="Times New Roman" w:eastAsia="Times New Roman" w:hAnsi="Times New Roman" w:cs="Times New Roman"/>
          <w:lang w:val="en-GB"/>
        </w:rPr>
        <w:t>created</w:t>
      </w:r>
      <w:r w:rsidRPr="00AB28D0">
        <w:rPr>
          <w:rFonts w:ascii="Times New Roman" w:hAnsi="Times New Roman"/>
          <w:lang w:val="en-GB"/>
        </w:rPr>
        <w:t xml:space="preserve"> terraces near the foundation pits. As a result, uninterrupted and ascending wall foundation pits were formed, providing suitable platforms for zoning activities. Additionally, a group of buildings in the area descends towards the Argišti I tomb</w:t>
      </w:r>
      <w:r w:rsidRPr="00974267">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iCs/>
          <w:lang w:val="en-GB"/>
        </w:rPr>
        <w:instrText>Argišti</w:instrText>
      </w:r>
      <w:r w:rsidRPr="00F03A26">
        <w:rPr>
          <w:rFonts w:asciiTheme="majorBidi" w:eastAsia="Times New Roman" w:hAnsiTheme="majorBidi" w:cstheme="majorBidi"/>
          <w:lang w:val="en-GB"/>
        </w:rPr>
        <w:instrText xml:space="preserve"> I </w:instrText>
      </w:r>
      <w:r>
        <w:rPr>
          <w:rFonts w:asciiTheme="majorBidi" w:eastAsia="Times New Roman" w:hAnsiTheme="majorBidi" w:cstheme="majorBidi"/>
          <w:lang w:val="en-GB"/>
        </w:rPr>
        <w:instrText>t</w:instrText>
      </w:r>
      <w:r w:rsidRPr="00F03A26">
        <w:rPr>
          <w:rFonts w:asciiTheme="majorBidi" w:eastAsia="Times New Roman" w:hAnsiTheme="majorBidi" w:cstheme="majorBidi"/>
          <w:lang w:val="en-GB"/>
        </w:rPr>
        <w:instrText>omb</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eastAsia="Times New Roman" w:hAnsiTheme="majorBidi" w:cstheme="majorBidi"/>
          <w:lang w:val="en-GB"/>
        </w:rPr>
        <w:instrText>Argišti</w:instrText>
      </w:r>
      <w:r w:rsidRPr="00F03A26">
        <w:rPr>
          <w:rFonts w:asciiTheme="majorBidi" w:eastAsia="Times New Roman" w:hAnsiTheme="majorBidi" w:cstheme="majorBidi"/>
          <w:lang w:val="en-GB"/>
        </w:rPr>
        <w:instrText xml:space="preserve"> 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utilizing terracing techniques to accommodate the topography. </w:t>
      </w:r>
      <w:r w:rsidRPr="00974267">
        <w:rPr>
          <w:rFonts w:ascii="Times New Roman" w:eastAsia="Times New Roman" w:hAnsi="Times New Roman" w:cs="Times New Roman"/>
          <w:lang w:val="en-GB"/>
        </w:rPr>
        <w:t>The steep Ṭušpa</w:t>
      </w:r>
      <w:r w:rsidR="00453E61">
        <w:rPr>
          <w:rFonts w:ascii="Times New Roman" w:eastAsia="Times New Roman" w:hAnsi="Times New Roman" w:cs="Times New Roman"/>
          <w:lang w:val="en-GB"/>
        </w:rPr>
        <w:t>/Van</w:t>
      </w:r>
      <w:r w:rsidRPr="00974267">
        <w:rPr>
          <w:rFonts w:ascii="Times New Roman" w:eastAsia="Times New Roman" w:hAnsi="Times New Roman" w:cs="Times New Roman"/>
          <w:lang w:val="en-GB"/>
        </w:rPr>
        <w:t xml:space="preserve"> Rock</w:t>
      </w:r>
      <w:r w:rsidR="00E2269D">
        <w:rPr>
          <w:rFonts w:ascii="Times New Roman" w:eastAsia="Times New Roman" w:hAnsi="Times New Roman" w:cs="Times New Roman"/>
          <w:lang w:val="en-GB"/>
        </w:rPr>
        <w:fldChar w:fldCharType="begin"/>
      </w:r>
      <w:r w:rsidR="00E2269D">
        <w:instrText xml:space="preserve"> XE "</w:instrText>
      </w:r>
      <w:r w:rsidR="00E2269D" w:rsidRPr="007A7330">
        <w:rPr>
          <w:rFonts w:asciiTheme="majorBidi" w:hAnsiTheme="majorBidi"/>
          <w:lang w:val="en-GB"/>
        </w:rPr>
        <w:instrText>Ṭušpa/Van Rock</w:instrText>
      </w:r>
      <w:r w:rsidR="00E2269D">
        <w:instrText xml:space="preserve">" </w:instrText>
      </w:r>
      <w:r w:rsidR="00E2269D">
        <w:rPr>
          <w:rFonts w:ascii="Times New Roman" w:eastAsia="Times New Roman" w:hAnsi="Times New Roman" w:cs="Times New Roman"/>
          <w:lang w:val="en-GB"/>
        </w:rPr>
        <w:fldChar w:fldCharType="end"/>
      </w:r>
      <w:r w:rsidRPr="00974267">
        <w:rPr>
          <w:rFonts w:ascii="Times New Roman" w:eastAsia="Times New Roman" w:hAnsi="Times New Roman" w:cs="Times New Roman"/>
          <w:lang w:val="en-GB"/>
        </w:rPr>
        <w:t xml:space="preserve"> marks the</w:t>
      </w:r>
      <w:r w:rsidRPr="00AB28D0">
        <w:rPr>
          <w:rFonts w:ascii="Times New Roman" w:hAnsi="Times New Roman"/>
          <w:lang w:val="en-GB"/>
        </w:rPr>
        <w:t xml:space="preserve"> southern boundary of the site</w:t>
      </w:r>
      <w:r w:rsidRPr="00974267">
        <w:rPr>
          <w:rFonts w:ascii="Times New Roman" w:eastAsia="Times New Roman" w:hAnsi="Times New Roman" w:cs="Times New Roman"/>
          <w:lang w:val="en-GB"/>
        </w:rPr>
        <w:t>.</w:t>
      </w:r>
      <w:r>
        <w:rPr>
          <w:rFonts w:asciiTheme="majorBidi" w:eastAsia="Times New Roman" w:hAnsiTheme="majorBidi" w:cstheme="majorBidi"/>
          <w:lang w:val="en-GB"/>
        </w:rPr>
        <w:t xml:space="preserve"> </w:t>
      </w:r>
    </w:p>
    <w:p w14:paraId="340E038C"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drawing>
          <wp:inline distT="0" distB="0" distL="0" distR="0" wp14:anchorId="6EFF0D7E" wp14:editId="49B58326">
            <wp:extent cx="5010150" cy="3240157"/>
            <wp:effectExtent l="0" t="0" r="0" b="0"/>
            <wp:docPr id="1064842938" name="Resim 1064842938"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png" descr="diyagram içeren bir resim&#10;&#10;Açıklama otomatik olarak oluşturuldu"/>
                    <pic:cNvPicPr preferRelativeResize="0"/>
                  </pic:nvPicPr>
                  <pic:blipFill>
                    <a:blip r:embed="rId240" cstate="email">
                      <a:extLst>
                        <a:ext uri="{28A0092B-C50C-407E-A947-70E740481C1C}">
                          <a14:useLocalDpi xmlns:a14="http://schemas.microsoft.com/office/drawing/2010/main"/>
                        </a:ext>
                      </a:extLst>
                    </a:blip>
                    <a:srcRect/>
                    <a:stretch>
                      <a:fillRect/>
                    </a:stretch>
                  </pic:blipFill>
                  <pic:spPr>
                    <a:xfrm>
                      <a:off x="0" y="0"/>
                      <a:ext cx="5024948" cy="3249727"/>
                    </a:xfrm>
                    <a:prstGeom prst="rect">
                      <a:avLst/>
                    </a:prstGeom>
                    <a:ln/>
                  </pic:spPr>
                </pic:pic>
              </a:graphicData>
            </a:graphic>
          </wp:inline>
        </w:drawing>
      </w:r>
    </w:p>
    <w:p w14:paraId="18AAD107"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4 Topographical plan of the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distribution of foundation deposits and A-E areas.</w:t>
      </w:r>
    </w:p>
    <w:p w14:paraId="6C21B1BD" w14:textId="77777777" w:rsidR="001C57DB" w:rsidRPr="00AB28D0" w:rsidRDefault="001C57DB" w:rsidP="00AB28D0">
      <w:pPr>
        <w:jc w:val="both"/>
        <w:rPr>
          <w:rFonts w:ascii="Times New Roman" w:hAnsi="Times New Roman"/>
          <w:lang w:val="en-GB"/>
        </w:rPr>
      </w:pPr>
    </w:p>
    <w:p w14:paraId="63AC8257"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lastRenderedPageBreak/>
        <w:drawing>
          <wp:inline distT="0" distB="0" distL="0" distR="0" wp14:anchorId="537523B1" wp14:editId="4FE723CD">
            <wp:extent cx="5733415" cy="2927350"/>
            <wp:effectExtent l="0" t="0" r="0" b="6350"/>
            <wp:docPr id="1613461219" name="Resim 14" descr="taslak, heykel, sanat,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61219" name="Resim 14" descr="taslak, heykel, sanat, çizim içeren bir resim&#10;&#10;Açıklama otomatik olarak oluşturuldu"/>
                    <pic:cNvPicPr/>
                  </pic:nvPicPr>
                  <pic:blipFill>
                    <a:blip r:embed="rId241" cstate="email">
                      <a:extLst>
                        <a:ext uri="{28A0092B-C50C-407E-A947-70E740481C1C}">
                          <a14:useLocalDpi xmlns:a14="http://schemas.microsoft.com/office/drawing/2010/main"/>
                        </a:ext>
                      </a:extLst>
                    </a:blip>
                    <a:stretch>
                      <a:fillRect/>
                    </a:stretch>
                  </pic:blipFill>
                  <pic:spPr>
                    <a:xfrm>
                      <a:off x="0" y="0"/>
                      <a:ext cx="5733415" cy="2927350"/>
                    </a:xfrm>
                    <a:prstGeom prst="rect">
                      <a:avLst/>
                    </a:prstGeom>
                  </pic:spPr>
                </pic:pic>
              </a:graphicData>
            </a:graphic>
          </wp:inline>
        </w:drawing>
      </w:r>
    </w:p>
    <w:p w14:paraId="6C1125FC" w14:textId="77777777" w:rsidR="001C57DB" w:rsidRPr="00AB28D0" w:rsidRDefault="001C57DB" w:rsidP="00AB28D0">
      <w:pPr>
        <w:spacing w:before="100" w:beforeAutospacing="1" w:after="100" w:afterAutospacing="1" w:line="480" w:lineRule="auto"/>
        <w:jc w:val="both"/>
        <w:rPr>
          <w:rFonts w:ascii="Times New Roman" w:hAnsi="Times New Roman"/>
          <w:lang w:val="en-GB"/>
        </w:rPr>
      </w:pPr>
      <w:r w:rsidRPr="00AB28D0">
        <w:rPr>
          <w:rFonts w:ascii="Times New Roman" w:hAnsi="Times New Roman"/>
          <w:lang w:val="en-GB"/>
        </w:rPr>
        <w:t>Fig. 5 Drawing of the New Palace</w:t>
      </w:r>
      <w:r w:rsidRPr="00AB28D0">
        <w:rPr>
          <w:rFonts w:ascii="Times New Roman" w:hAnsi="Times New Roman"/>
          <w:lang w:val="en-GB"/>
        </w:rPr>
        <w:fldChar w:fldCharType="begin"/>
      </w:r>
      <w:r w:rsidRPr="00AB28D0">
        <w:rPr>
          <w:rFonts w:ascii="Times New Roman" w:hAnsi="Times New Roman"/>
          <w:lang w:val="en-GB"/>
        </w:rPr>
        <w:instrText xml:space="preserve"> XE "New Palace" </w:instrText>
      </w:r>
      <w:r w:rsidRPr="00AB28D0">
        <w:rPr>
          <w:rFonts w:ascii="Times New Roman" w:hAnsi="Times New Roman"/>
          <w:lang w:val="en-GB"/>
        </w:rPr>
        <w:fldChar w:fldCharType="end"/>
      </w:r>
      <w:r w:rsidRPr="00AB28D0">
        <w:rPr>
          <w:rFonts w:ascii="Times New Roman" w:hAnsi="Times New Roman"/>
          <w:lang w:val="en-GB"/>
        </w:rPr>
        <w:t xml:space="preserve"> area and it’s sections</w:t>
      </w:r>
    </w:p>
    <w:p w14:paraId="68EB2157" w14:textId="77777777" w:rsidR="001C57DB" w:rsidRPr="00AB28D0" w:rsidRDefault="001C57DB" w:rsidP="00AB28D0">
      <w:pPr>
        <w:keepNext/>
        <w:keepLines/>
        <w:spacing w:before="40"/>
        <w:jc w:val="both"/>
        <w:outlineLvl w:val="1"/>
        <w:rPr>
          <w:rFonts w:ascii="Times New Roman" w:hAnsi="Times New Roman"/>
          <w:b/>
          <w:color w:val="000000"/>
          <w:sz w:val="28"/>
          <w:lang w:val="en-GB"/>
        </w:rPr>
      </w:pPr>
      <w:bookmarkStart w:id="120" w:name="_Toc173231233"/>
      <w:r w:rsidRPr="00AB28D0">
        <w:rPr>
          <w:rFonts w:ascii="Times New Roman" w:hAnsi="Times New Roman"/>
          <w:b/>
          <w:color w:val="000000"/>
          <w:sz w:val="28"/>
          <w:lang w:val="en-GB"/>
        </w:rPr>
        <w:t>8.2. Area A, B, C, D and E</w:t>
      </w:r>
      <w:bookmarkEnd w:id="120"/>
    </w:p>
    <w:p w14:paraId="1F6AFCEB" w14:textId="77777777" w:rsidR="001C57DB" w:rsidRPr="00AB28D0" w:rsidRDefault="001C57DB" w:rsidP="001C57DB">
      <w:pPr>
        <w:jc w:val="both"/>
        <w:rPr>
          <w:rFonts w:ascii="Times New Roman" w:hAnsi="Times New Roman"/>
          <w:lang w:val="en-GB"/>
        </w:rPr>
      </w:pPr>
      <w:r w:rsidRPr="00AB28D0">
        <w:rPr>
          <w:rFonts w:ascii="Times New Roman" w:hAnsi="Times New Roman"/>
          <w:lang w:val="en-GB"/>
        </w:rPr>
        <w:t>The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Section reveals a building complex primarily concentrated in the western portion of the area, oriented in an east-west direction. Architectural features and rockwork that are particularly notable can be observed in the central (Fig. 6, 7, A), western (Fig. 19, C), and northern (Fig. 14-17, B) parts of this approximately 190x70-meter region. In the northern section (B), there are rooms and storage chambers intricately carved into the bedrock, while in the southern part, the Argişti I</w:t>
      </w:r>
      <w:r>
        <w:rPr>
          <w:rFonts w:asciiTheme="majorBidi" w:eastAsia="Times New Roman" w:hAnsiTheme="majorBidi" w:cstheme="majorBidi"/>
          <w:lang w:val="en-GB"/>
        </w:rPr>
        <w:fldChar w:fldCharType="begin"/>
      </w:r>
      <w:r>
        <w:instrText xml:space="preserve"> XE "</w:instrText>
      </w:r>
      <w:r w:rsidRPr="00EA0CDA">
        <w:rPr>
          <w:rFonts w:asciiTheme="majorBidi" w:hAnsiTheme="majorBidi" w:cstheme="majorBidi"/>
        </w:rPr>
        <w:instrText>Argišti I</w:instrText>
      </w:r>
      <w:r>
        <w:instrText xml:space="preserve">" </w:instrText>
      </w:r>
      <w:r>
        <w:rPr>
          <w:rFonts w:asciiTheme="majorBidi" w:eastAsia="Times New Roman" w:hAnsiTheme="majorBidi" w:cstheme="majorBidi"/>
          <w:lang w:val="en-GB"/>
        </w:rPr>
        <w:fldChar w:fldCharType="end"/>
      </w:r>
      <w:r w:rsidRPr="00AB28D0">
        <w:rPr>
          <w:rFonts w:ascii="Times New Roman" w:hAnsi="Times New Roman"/>
          <w:lang w:val="en-GB"/>
        </w:rPr>
        <w:t xml:space="preserve"> tomb and the wall carved into the bedrock (C) in the west are the foundation stones (Fig. 8). </w:t>
      </w:r>
    </w:p>
    <w:p w14:paraId="667595F1" w14:textId="77777777" w:rsidR="001C57DB" w:rsidRPr="00AB28D0" w:rsidRDefault="001C57DB" w:rsidP="00AB28D0">
      <w:pPr>
        <w:keepNext/>
        <w:keepLines/>
        <w:spacing w:before="320" w:after="80" w:line="276" w:lineRule="auto"/>
        <w:jc w:val="both"/>
        <w:outlineLvl w:val="2"/>
        <w:rPr>
          <w:rFonts w:ascii="Times New Roman" w:hAnsi="Times New Roman"/>
          <w:b/>
          <w:color w:val="434343"/>
          <w:sz w:val="28"/>
          <w:lang w:val="en-GB"/>
        </w:rPr>
      </w:pPr>
      <w:bookmarkStart w:id="121" w:name="_3znysh7"/>
      <w:bookmarkStart w:id="122" w:name="_Toc173231234"/>
      <w:bookmarkEnd w:id="121"/>
      <w:r w:rsidRPr="00AB28D0">
        <w:rPr>
          <w:rFonts w:ascii="Times New Roman" w:hAnsi="Times New Roman"/>
          <w:b/>
          <w:color w:val="434343"/>
          <w:lang w:val="en-GB"/>
        </w:rPr>
        <w:t>8.2.1. Area A</w:t>
      </w:r>
      <w:bookmarkEnd w:id="122"/>
    </w:p>
    <w:p w14:paraId="48061ED5" w14:textId="77777777" w:rsidR="001C57DB" w:rsidRPr="00AB28D0" w:rsidRDefault="001C57DB" w:rsidP="00AB28D0">
      <w:pPr>
        <w:jc w:val="both"/>
        <w:rPr>
          <w:rFonts w:ascii="Times New Roman" w:hAnsi="Times New Roman"/>
          <w:b/>
          <w:lang w:val="en-GB"/>
        </w:rPr>
      </w:pPr>
    </w:p>
    <w:p w14:paraId="2DD9BAE1"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drawing>
          <wp:inline distT="0" distB="0" distL="0" distR="0" wp14:anchorId="71555BE4" wp14:editId="72B333A9">
            <wp:extent cx="4963886" cy="2797628"/>
            <wp:effectExtent l="0" t="0" r="1905" b="0"/>
            <wp:docPr id="1343539533" name="image6.png" descr="taş, doğ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png"/>
                    <pic:cNvPicPr/>
                  </pic:nvPicPr>
                  <pic:blipFill>
                    <a:blip r:embed="rId242" cstate="email">
                      <a:extLst>
                        <a:ext uri="{28A0092B-C50C-407E-A947-70E740481C1C}">
                          <a14:useLocalDpi xmlns:a14="http://schemas.microsoft.com/office/drawing/2010/main"/>
                        </a:ext>
                      </a:extLst>
                    </a:blip>
                    <a:stretch>
                      <a:fillRect/>
                    </a:stretch>
                  </pic:blipFill>
                  <pic:spPr>
                    <a:xfrm>
                      <a:off x="0" y="0"/>
                      <a:ext cx="4964395" cy="2797915"/>
                    </a:xfrm>
                    <a:prstGeom prst="rect">
                      <a:avLst/>
                    </a:prstGeom>
                    <a:ln/>
                  </pic:spPr>
                </pic:pic>
              </a:graphicData>
            </a:graphic>
          </wp:inline>
        </w:drawing>
      </w:r>
    </w:p>
    <w:p w14:paraId="14E319FD"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6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A from the air.</w:t>
      </w:r>
    </w:p>
    <w:p w14:paraId="6768C6FD" w14:textId="77777777" w:rsidR="001C57DB" w:rsidRPr="00AB28D0" w:rsidRDefault="001C57DB" w:rsidP="00AB28D0">
      <w:pPr>
        <w:jc w:val="both"/>
        <w:rPr>
          <w:rFonts w:ascii="Times New Roman" w:hAnsi="Times New Roman"/>
          <w:lang w:val="en-GB"/>
        </w:rPr>
      </w:pPr>
    </w:p>
    <w:p w14:paraId="39A6CE13" w14:textId="520BEAFF" w:rsidR="001C57DB" w:rsidRPr="00AB28D0" w:rsidRDefault="001C57DB" w:rsidP="001C57DB">
      <w:pPr>
        <w:jc w:val="both"/>
        <w:rPr>
          <w:rFonts w:ascii="Times New Roman" w:hAnsi="Times New Roman"/>
          <w:lang w:val="en-GB"/>
        </w:rPr>
      </w:pPr>
      <w:r w:rsidRPr="00AB28D0">
        <w:rPr>
          <w:rFonts w:ascii="Times New Roman" w:hAnsi="Times New Roman"/>
          <w:lang w:val="en-GB"/>
        </w:rPr>
        <w:lastRenderedPageBreak/>
        <w:t>Situated in the New Palace</w:t>
      </w:r>
      <w:r w:rsidRPr="00974267">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Section, this area represents the highest elevation and is characterized by a comprehensive and integrated design approach. It extends over a considerable area measuring 30x80 meters (Fig. 8). The construction of terraces is achieved through the strategic placement of foundation pits and walls, creating a stepped configuration on which the buildings are situated. Within this area, two distinct sections can be identified. The central part gradually ascends with narrow steps, leading to the highest point on the cliff. The terraces formed by these steps and foundation pits likely provided the spatial framework for a prominent tower-like structure. On the southern side, the area terminates abruptly with a cliff. Notably, the eastern and western parts exhibit distinct arrangements. In the western section, the most noteworthy feature is a rectangular planned space oriented along the north-south axis. This space is characterized by high walls meticulously formed by </w:t>
      </w:r>
      <w:r w:rsidRPr="00974267">
        <w:rPr>
          <w:rFonts w:ascii="Times New Roman" w:eastAsia="Times New Roman" w:hAnsi="Times New Roman" w:cs="Times New Roman"/>
          <w:lang w:val="en-GB"/>
        </w:rPr>
        <w:t>leveling</w:t>
      </w:r>
      <w:r w:rsidRPr="00AB28D0">
        <w:rPr>
          <w:rFonts w:ascii="Times New Roman" w:hAnsi="Times New Roman"/>
          <w:lang w:val="en-GB"/>
        </w:rPr>
        <w:t xml:space="preserve"> the bedrock. </w:t>
      </w:r>
    </w:p>
    <w:p w14:paraId="4F3C7389" w14:textId="77777777" w:rsidR="001C57DB" w:rsidRPr="00AB28D0" w:rsidRDefault="001C57DB" w:rsidP="00AB28D0">
      <w:pPr>
        <w:jc w:val="both"/>
        <w:rPr>
          <w:rFonts w:ascii="Times New Roman" w:hAnsi="Times New Roman"/>
          <w:lang w:val="en-GB"/>
        </w:rPr>
      </w:pPr>
    </w:p>
    <w:p w14:paraId="5D29374B" w14:textId="2E431074" w:rsidR="001C57DB" w:rsidRPr="001774F3" w:rsidRDefault="001C57DB" w:rsidP="001C57DB">
      <w:pPr>
        <w:jc w:val="both"/>
        <w:rPr>
          <w:rFonts w:ascii="Times New Roman" w:hAnsi="Times New Roman"/>
          <w:lang w:val="en-GB"/>
        </w:rPr>
      </w:pPr>
      <w:r w:rsidRPr="00AB28D0">
        <w:rPr>
          <w:rFonts w:ascii="Times New Roman" w:hAnsi="Times New Roman"/>
          <w:lang w:val="en-GB"/>
        </w:rPr>
        <w:t xml:space="preserve">To the west of this is a broader, </w:t>
      </w:r>
      <w:r w:rsidRPr="00974267">
        <w:rPr>
          <w:rFonts w:ascii="Times New Roman" w:eastAsia="Times New Roman" w:hAnsi="Times New Roman" w:cs="Times New Roman"/>
          <w:lang w:val="en-GB"/>
        </w:rPr>
        <w:t>leveled</w:t>
      </w:r>
      <w:r w:rsidRPr="00AB28D0">
        <w:rPr>
          <w:rFonts w:ascii="Times New Roman" w:hAnsi="Times New Roman"/>
          <w:lang w:val="en-GB"/>
        </w:rPr>
        <w:t xml:space="preserve"> area that can be attributed to </w:t>
      </w:r>
      <w:r w:rsidRPr="00974267">
        <w:rPr>
          <w:rFonts w:ascii="Times New Roman" w:eastAsia="Times New Roman" w:hAnsi="Times New Roman" w:cs="Times New Roman"/>
          <w:lang w:val="en-GB"/>
        </w:rPr>
        <w:t xml:space="preserve">manipulating </w:t>
      </w:r>
      <w:r w:rsidRPr="00AB28D0">
        <w:rPr>
          <w:rFonts w:ascii="Times New Roman" w:hAnsi="Times New Roman"/>
          <w:lang w:val="en-GB"/>
        </w:rPr>
        <w:t xml:space="preserve">the bedrock. The </w:t>
      </w:r>
      <w:r w:rsidRPr="00974267">
        <w:rPr>
          <w:rFonts w:ascii="Times New Roman" w:eastAsia="Times New Roman" w:hAnsi="Times New Roman" w:cs="Times New Roman"/>
          <w:lang w:val="en-GB"/>
        </w:rPr>
        <w:t xml:space="preserve">infrastructure system includes the </w:t>
      </w:r>
      <w:r w:rsidRPr="00AB28D0">
        <w:rPr>
          <w:rFonts w:ascii="Times New Roman" w:hAnsi="Times New Roman"/>
          <w:lang w:val="en-GB"/>
        </w:rPr>
        <w:t xml:space="preserve">ground’s drainage channels and </w:t>
      </w:r>
      <w:r w:rsidRPr="00974267">
        <w:rPr>
          <w:rFonts w:ascii="Times New Roman" w:eastAsia="Times New Roman" w:hAnsi="Times New Roman" w:cs="Times New Roman"/>
          <w:lang w:val="en-GB"/>
        </w:rPr>
        <w:t>particular</w:t>
      </w:r>
      <w:r w:rsidRPr="00AB28D0">
        <w:rPr>
          <w:rFonts w:ascii="Times New Roman" w:hAnsi="Times New Roman"/>
          <w:lang w:val="en-GB"/>
        </w:rPr>
        <w:t xml:space="preserve"> adjustments</w:t>
      </w:r>
      <w:r w:rsidRPr="00974267">
        <w:rPr>
          <w:rFonts w:ascii="Times New Roman" w:eastAsia="Times New Roman" w:hAnsi="Times New Roman" w:cs="Times New Roman"/>
          <w:lang w:val="en-GB"/>
        </w:rPr>
        <w:t>.</w:t>
      </w:r>
      <w:r w:rsidRPr="00AB28D0">
        <w:rPr>
          <w:rFonts w:ascii="Times New Roman" w:hAnsi="Times New Roman"/>
          <w:lang w:val="en-GB"/>
        </w:rPr>
        <w:t xml:space="preserve"> On the eastern side of the structure, which we speculate to have a tower-like arrangement, flat surfaces </w:t>
      </w:r>
      <w:r w:rsidRPr="00974267">
        <w:rPr>
          <w:rFonts w:ascii="Times New Roman" w:eastAsia="Times New Roman" w:hAnsi="Times New Roman" w:cs="Times New Roman"/>
          <w:lang w:val="en-GB"/>
        </w:rPr>
        <w:t>open</w:t>
      </w:r>
      <w:r w:rsidRPr="00AB28D0">
        <w:rPr>
          <w:rFonts w:ascii="Times New Roman" w:hAnsi="Times New Roman"/>
          <w:lang w:val="en-GB"/>
        </w:rPr>
        <w:t xml:space="preserve"> onto the </w:t>
      </w:r>
      <w:r w:rsidRPr="00974267">
        <w:rPr>
          <w:rFonts w:ascii="Times New Roman" w:eastAsia="Times New Roman" w:hAnsi="Times New Roman" w:cs="Times New Roman"/>
          <w:lang w:val="en-GB"/>
        </w:rPr>
        <w:t>primary</w:t>
      </w:r>
      <w:r w:rsidRPr="00AB28D0">
        <w:rPr>
          <w:rFonts w:ascii="Times New Roman" w:hAnsi="Times New Roman"/>
          <w:lang w:val="en-GB"/>
        </w:rPr>
        <w:t xml:space="preserve"> rock, similar to those in the west, along with rooms/halls carved into the </w:t>
      </w:r>
      <w:r w:rsidRPr="00974267">
        <w:rPr>
          <w:rFonts w:ascii="Times New Roman" w:eastAsia="Times New Roman" w:hAnsi="Times New Roman" w:cs="Times New Roman"/>
          <w:lang w:val="en-GB"/>
        </w:rPr>
        <w:t>primary</w:t>
      </w:r>
      <w:r w:rsidRPr="00AB28D0">
        <w:rPr>
          <w:rFonts w:ascii="Times New Roman" w:hAnsi="Times New Roman"/>
          <w:lang w:val="en-GB"/>
        </w:rPr>
        <w:t xml:space="preserve"> rock that define these areas in certain places. While there are indications of infrastructure-related arrangements in this area, it should be noted that these channels do not exhibit the same level of meticulous construction as the contemporary ones (Fig. 6-7).</w:t>
      </w:r>
      <w:r w:rsidRPr="00AB28D0">
        <w:rPr>
          <w:rFonts w:ascii="Times New Roman" w:hAnsi="Times New Roman"/>
          <w:noProof/>
        </w:rPr>
        <w:drawing>
          <wp:anchor distT="0" distB="0" distL="114300" distR="114300" simplePos="0" relativeHeight="251914240" behindDoc="0" locked="0" layoutInCell="1" hidden="0" allowOverlap="1" wp14:anchorId="5FD1C192" wp14:editId="0CFBDC87">
            <wp:simplePos x="0" y="0"/>
            <wp:positionH relativeFrom="margin">
              <wp:posOffset>0</wp:posOffset>
            </wp:positionH>
            <wp:positionV relativeFrom="margin">
              <wp:posOffset>583751</wp:posOffset>
            </wp:positionV>
            <wp:extent cx="5657850" cy="2009775"/>
            <wp:effectExtent l="0" t="0" r="6350" b="0"/>
            <wp:wrapSquare wrapText="bothSides"/>
            <wp:docPr id="1064842939" name="Resim 1064842939" descr="açık hava, zemin, taş, doğ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0.png" descr="açık hava, zemin, taş, doğa içeren bir resim&#10;&#10;Açıklama otomatik olarak oluşturuldu"/>
                    <pic:cNvPicPr preferRelativeResize="0"/>
                  </pic:nvPicPr>
                  <pic:blipFill rotWithShape="1">
                    <a:blip r:embed="rId243" cstate="email">
                      <a:extLst>
                        <a:ext uri="{28A0092B-C50C-407E-A947-70E740481C1C}">
                          <a14:useLocalDpi xmlns:a14="http://schemas.microsoft.com/office/drawing/2010/main"/>
                        </a:ext>
                      </a:extLst>
                    </a:blip>
                    <a:srcRect/>
                    <a:stretch/>
                  </pic:blipFill>
                  <pic:spPr bwMode="auto">
                    <a:xfrm>
                      <a:off x="0" y="0"/>
                      <a:ext cx="5657850" cy="2009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B2100" w14:textId="77777777" w:rsidR="001C57DB" w:rsidRDefault="001C57DB" w:rsidP="001C57DB">
      <w:pPr>
        <w:jc w:val="both"/>
        <w:rPr>
          <w:rFonts w:ascii="Times New Roman" w:hAnsi="Times New Roman"/>
          <w:lang w:val="en-GB"/>
        </w:rPr>
      </w:pPr>
    </w:p>
    <w:p w14:paraId="246DADEE"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7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A. Room 1 to the east and the platform formed by leveling the bedrock to the west.</w:t>
      </w:r>
    </w:p>
    <w:p w14:paraId="1EB64E64" w14:textId="77777777" w:rsidR="001C57DB" w:rsidRPr="00AB28D0" w:rsidRDefault="001C57DB" w:rsidP="00AB28D0">
      <w:pPr>
        <w:jc w:val="both"/>
        <w:rPr>
          <w:rFonts w:ascii="Times New Roman" w:hAnsi="Times New Roman"/>
          <w:lang w:val="en-GB"/>
        </w:rPr>
      </w:pPr>
    </w:p>
    <w:p w14:paraId="52EA1E61"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8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plan.</w:t>
      </w:r>
    </w:p>
    <w:p w14:paraId="7A9C5716" w14:textId="77777777" w:rsidR="001C57DB" w:rsidRDefault="001C57DB" w:rsidP="001C57DB">
      <w:pPr>
        <w:jc w:val="both"/>
        <w:rPr>
          <w:rFonts w:ascii="Times New Roman" w:hAnsi="Times New Roman"/>
          <w:lang w:val="en-GB"/>
        </w:rPr>
      </w:pPr>
    </w:p>
    <w:p w14:paraId="5AC5DDC1" w14:textId="61675FDA" w:rsidR="001C57DB" w:rsidRDefault="001C57DB" w:rsidP="001C57DB">
      <w:pPr>
        <w:jc w:val="both"/>
        <w:rPr>
          <w:rFonts w:ascii="Times New Roman" w:hAnsi="Times New Roman"/>
          <w:lang w:val="en-GB"/>
        </w:rPr>
      </w:pPr>
      <w:r w:rsidRPr="00AB28D0">
        <w:rPr>
          <w:rFonts w:ascii="Times New Roman" w:hAnsi="Times New Roman"/>
          <w:lang w:val="en-GB"/>
        </w:rPr>
        <w:t xml:space="preserve">This lack of precision becomes more </w:t>
      </w:r>
      <w:r w:rsidRPr="00B426C5">
        <w:rPr>
          <w:rFonts w:ascii="Times New Roman" w:eastAsia="Times New Roman" w:hAnsi="Times New Roman" w:cs="Times New Roman"/>
          <w:lang w:val="en-GB"/>
        </w:rPr>
        <w:t>apparent</w:t>
      </w:r>
      <w:r w:rsidRPr="00AB28D0">
        <w:rPr>
          <w:rFonts w:ascii="Times New Roman" w:hAnsi="Times New Roman"/>
          <w:lang w:val="en-GB"/>
        </w:rPr>
        <w:t xml:space="preserve"> when considering the infrastructure systems of royal cities like Çavuştepe</w:t>
      </w:r>
      <w:r w:rsidRPr="00B426C5">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Çavuştepe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Toprakkale</w:t>
      </w:r>
      <w:r>
        <w:rPr>
          <w:rFonts w:ascii="Times New Roman" w:hAnsi="Times New Roman"/>
          <w:lang w:val="en-GB"/>
        </w:rPr>
        <w:fldChar w:fldCharType="begin"/>
      </w:r>
      <w:r>
        <w:instrText xml:space="preserve"> XE "</w:instrText>
      </w:r>
      <w:r w:rsidRPr="00AB28D0">
        <w:rPr>
          <w:rFonts w:ascii="Times New Roman" w:hAnsi="Times New Roman"/>
          <w:lang w:val="en-GB"/>
        </w:rPr>
        <w:instrText>Toprakkale</w:instrText>
      </w:r>
      <w:r>
        <w:instrText xml:space="preserve">" </w:instrText>
      </w:r>
      <w:r>
        <w:rPr>
          <w:rFonts w:ascii="Times New Roman" w:hAnsi="Times New Roman"/>
          <w:lang w:val="en-GB"/>
        </w:rPr>
        <w:fldChar w:fldCharType="end"/>
      </w:r>
      <w:r w:rsidRPr="00B426C5">
        <w:rPr>
          <w:rFonts w:ascii="Times New Roman" w:eastAsia="Times New Roman" w:hAnsi="Times New Roman" w:cs="Times New Roman"/>
          <w:lang w:val="en-GB"/>
        </w:rPr>
        <w:t>, and</w:t>
      </w:r>
      <w:r w:rsidRPr="00AB28D0">
        <w:rPr>
          <w:rFonts w:ascii="Times New Roman" w:hAnsi="Times New Roman"/>
          <w:lang w:val="en-GB"/>
        </w:rPr>
        <w:t xml:space="preserve"> Ayanis</w:t>
      </w:r>
      <w:r w:rsidRPr="00B426C5">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"Ayanis"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as well as a significant tribal </w:t>
      </w:r>
      <w:r w:rsidRPr="00B426C5">
        <w:rPr>
          <w:rFonts w:ascii="Times New Roman" w:eastAsia="Times New Roman" w:hAnsi="Times New Roman" w:cs="Times New Roman"/>
          <w:lang w:val="en-GB"/>
        </w:rPr>
        <w:t>center</w:t>
      </w:r>
      <w:r w:rsidRPr="00AB28D0">
        <w:rPr>
          <w:rFonts w:ascii="Times New Roman" w:hAnsi="Times New Roman"/>
          <w:lang w:val="en-GB"/>
        </w:rPr>
        <w:t xml:space="preserve"> like Altıntepe</w:t>
      </w:r>
      <w:r w:rsidRPr="00B426C5">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(Danışmaz, 2020). In Urartu citadels, wastewater channels (also referred to as drainage systems or sewer channels) were created in the form of U-shaped rock cavities covered with stone lids, and the gaps between the stones were filled with plaster (Yılmaz, 2012: 229-244). Channels carved into the </w:t>
      </w:r>
      <w:r w:rsidRPr="00B426C5">
        <w:rPr>
          <w:rFonts w:ascii="Times New Roman" w:eastAsia="Times New Roman" w:hAnsi="Times New Roman" w:cs="Times New Roman"/>
          <w:lang w:val="en-GB"/>
        </w:rPr>
        <w:t>primary</w:t>
      </w:r>
      <w:r w:rsidRPr="00AB28D0">
        <w:rPr>
          <w:rFonts w:ascii="Times New Roman" w:hAnsi="Times New Roman"/>
          <w:lang w:val="en-GB"/>
        </w:rPr>
        <w:t xml:space="preserve"> rock and built to extend below ground level were extended from beneath the walls to outside the citadel or settlement area. It would not be incorrect to suggest that the canals and cavities found on the floor of the New Palace</w:t>
      </w:r>
      <w:r w:rsidRPr="00B426C5">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may belong to later periods (Fig. 9). With that, the Van Fortress, which played a significant role as both a military and logistical base in the Ottoman</w:t>
      </w:r>
      <w:r w:rsidRPr="00B426C5">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Ottoman</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Persian</w:t>
      </w:r>
      <w:r w:rsidRPr="00B426C5">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Persian</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conflict during the latter half of the 16th century, is worth mentioning. It is known that the fortress, supported by artillery, suffered damage and underwent multiple repairs. The complete removal of Urartu structures from the </w:t>
      </w:r>
      <w:r w:rsidRPr="00AB28D0">
        <w:rPr>
          <w:rFonts w:ascii="Times New Roman" w:hAnsi="Times New Roman"/>
          <w:lang w:val="en-GB"/>
        </w:rPr>
        <w:lastRenderedPageBreak/>
        <w:t xml:space="preserve">rocky ground in the New Palace section allows us to make informed inferences regarding the extent of damage caused by Ottoman artillery in the area. Consequently, existing depressions and pathways on the rocky terrain </w:t>
      </w:r>
      <w:r w:rsidRPr="00B426C5">
        <w:rPr>
          <w:rFonts w:ascii="Times New Roman" w:eastAsia="Times New Roman" w:hAnsi="Times New Roman" w:cs="Times New Roman"/>
          <w:lang w:val="en-GB"/>
        </w:rPr>
        <w:t>indicate</w:t>
      </w:r>
      <w:r w:rsidRPr="00AB28D0">
        <w:rPr>
          <w:rFonts w:ascii="Times New Roman" w:hAnsi="Times New Roman"/>
          <w:lang w:val="en-GB"/>
        </w:rPr>
        <w:t xml:space="preserve"> a primitive arrangement rather than a developed sewer or drainage system.</w:t>
      </w:r>
    </w:p>
    <w:p w14:paraId="73D90B34" w14:textId="77777777" w:rsidR="001C57DB" w:rsidRPr="00AB28D0" w:rsidRDefault="001C57DB" w:rsidP="001C57DB">
      <w:pPr>
        <w:jc w:val="both"/>
        <w:rPr>
          <w:rFonts w:ascii="Times New Roman" w:hAnsi="Times New Roman"/>
          <w:lang w:val="en-GB"/>
        </w:rPr>
      </w:pPr>
    </w:p>
    <w:p w14:paraId="688FBEC7" w14:textId="77777777" w:rsidR="001C57DB" w:rsidRPr="00AB28D0" w:rsidRDefault="001C57DB" w:rsidP="001C57DB">
      <w:pPr>
        <w:jc w:val="both"/>
        <w:rPr>
          <w:rFonts w:ascii="Times New Roman" w:hAnsi="Times New Roman"/>
          <w:lang w:val="en-GB"/>
        </w:rPr>
      </w:pPr>
      <w:r w:rsidRPr="00AB28D0">
        <w:rPr>
          <w:rFonts w:ascii="Times New Roman" w:hAnsi="Times New Roman"/>
          <w:lang w:val="en-GB"/>
        </w:rPr>
        <w:t>The eastern section of area A encompasses the span from the east-west oriented bedrock to the area located just below the Ottoman</w:t>
      </w:r>
      <w:r w:rsidRPr="00B426C5">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Ottoman</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tower. Previous assessments have identified the rockwork in this region as the southern portion of the western ditch, which is presumed to have been positioned in front of the Ottoman gate. However, this evaluation </w:t>
      </w:r>
      <w:r w:rsidRPr="00B426C5">
        <w:rPr>
          <w:rFonts w:ascii="Times New Roman" w:eastAsia="Times New Roman" w:hAnsi="Times New Roman" w:cs="Times New Roman"/>
          <w:lang w:val="en-GB"/>
        </w:rPr>
        <w:t>fails to comprehensively understand</w:t>
      </w:r>
      <w:r w:rsidRPr="00AB28D0">
        <w:rPr>
          <w:rFonts w:ascii="Times New Roman" w:hAnsi="Times New Roman"/>
          <w:lang w:val="en-GB"/>
        </w:rPr>
        <w:t xml:space="preserve"> the rockwork's structural features, form, function, and chronological context. In the southwest corner of the area, certain cavities have been designated as Urartian</w:t>
      </w:r>
      <w:r w:rsidRPr="00B426C5">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rock signs; however, they differ significantly in size and shape from the established Urartian rock signs. The observed structural characteristics in this area do not align with the distinctive features typically associated with Urartian rockwork. Thus, it is crucial to recognize this as a subsequent addition, separate from the Urartian period.</w:t>
      </w:r>
    </w:p>
    <w:p w14:paraId="4B4D7C3A"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br w:type="page"/>
      </w:r>
    </w:p>
    <w:p w14:paraId="76A39F73"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lastRenderedPageBreak/>
        <w:drawing>
          <wp:anchor distT="0" distB="0" distL="114300" distR="114300" simplePos="0" relativeHeight="251917312" behindDoc="0" locked="0" layoutInCell="1" hidden="0" allowOverlap="1" wp14:anchorId="1EAEA792" wp14:editId="2D5F3D45">
            <wp:simplePos x="0" y="0"/>
            <wp:positionH relativeFrom="margin">
              <wp:posOffset>0</wp:posOffset>
            </wp:positionH>
            <wp:positionV relativeFrom="margin">
              <wp:posOffset>173990</wp:posOffset>
            </wp:positionV>
            <wp:extent cx="5758815" cy="3248660"/>
            <wp:effectExtent l="0" t="0" r="0" b="2540"/>
            <wp:wrapSquare wrapText="bothSides" distT="0" distB="0" distL="114300" distR="114300"/>
            <wp:docPr id="1064842941" name="Resim 1064842941" descr="gök, açık hava, taş, zem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3.png" descr="gök, açık hava, taş, zemin içeren bir resim&#10;&#10;Açıklama otomatik olarak oluşturuldu"/>
                    <pic:cNvPicPr preferRelativeResize="0"/>
                  </pic:nvPicPr>
                  <pic:blipFill>
                    <a:blip r:embed="rId244"/>
                    <a:srcRect/>
                    <a:stretch>
                      <a:fillRect/>
                    </a:stretch>
                  </pic:blipFill>
                  <pic:spPr>
                    <a:xfrm>
                      <a:off x="0" y="0"/>
                      <a:ext cx="5758815" cy="3248660"/>
                    </a:xfrm>
                    <a:prstGeom prst="rect">
                      <a:avLst/>
                    </a:prstGeom>
                    <a:ln/>
                  </pic:spPr>
                </pic:pic>
              </a:graphicData>
            </a:graphic>
          </wp:anchor>
        </w:drawing>
      </w:r>
    </w:p>
    <w:p w14:paraId="7E28EB92"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9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traces of separating wall in bedrock? And drainage channels?</w:t>
      </w:r>
    </w:p>
    <w:p w14:paraId="02E2365B" w14:textId="77777777" w:rsidR="001C57DB" w:rsidRPr="00AB28D0" w:rsidRDefault="001C57DB" w:rsidP="00AB28D0">
      <w:pPr>
        <w:jc w:val="both"/>
        <w:rPr>
          <w:rFonts w:ascii="Times New Roman" w:hAnsi="Times New Roman"/>
          <w:lang w:val="en-GB"/>
        </w:rPr>
      </w:pPr>
    </w:p>
    <w:p w14:paraId="3B4BED58" w14:textId="77777777" w:rsidR="001C57DB" w:rsidRPr="00AB28D0" w:rsidRDefault="001C57DB" w:rsidP="001C57DB">
      <w:pPr>
        <w:jc w:val="both"/>
        <w:rPr>
          <w:rFonts w:ascii="Times New Roman" w:hAnsi="Times New Roman"/>
          <w:lang w:val="en-GB"/>
        </w:rPr>
      </w:pPr>
      <w:r w:rsidRPr="00AB28D0">
        <w:rPr>
          <w:rFonts w:ascii="Times New Roman" w:hAnsi="Times New Roman"/>
          <w:lang w:val="en-GB"/>
        </w:rPr>
        <w:t>Several noteworthy findings have emerged concerning the buildings in area A and our understanding of their architectural origins. First, it is crucial to acknowledge the lack of sufficient evidence to support the designation of this area as the New Palace</w:t>
      </w:r>
      <w:r w:rsidRPr="00B426C5">
        <w:rPr>
          <w:rFonts w:ascii="Times New Roman" w:eastAsia="Times New Roman" w:hAnsi="Times New Roman" w:cs="Times New Roman"/>
          <w:lang w:val="en-GB"/>
        </w:rPr>
        <w:t>. Despite</w:t>
      </w:r>
      <w:r w:rsidRPr="00AB28D0">
        <w:rPr>
          <w:rFonts w:ascii="Times New Roman" w:hAnsi="Times New Roman"/>
          <w:lang w:val="en-GB"/>
        </w:rPr>
        <w:t xml:space="preserve"> indicating the meticulous construction and size of the structures within the area, </w:t>
      </w:r>
      <w:r w:rsidRPr="00B426C5">
        <w:rPr>
          <w:rFonts w:ascii="Times New Roman" w:eastAsia="Times New Roman" w:hAnsi="Times New Roman" w:cs="Times New Roman"/>
          <w:lang w:val="en-GB"/>
        </w:rPr>
        <w:t>the existing surface evidence must</w:t>
      </w:r>
      <w:r w:rsidRPr="00AB28D0">
        <w:rPr>
          <w:rFonts w:ascii="Times New Roman" w:hAnsi="Times New Roman"/>
          <w:lang w:val="en-GB"/>
        </w:rPr>
        <w:t xml:space="preserve"> sufficiently attest to its qualification as a palace. Nonetheless, noteworthy observations were made during the excavation </w:t>
      </w:r>
      <w:r w:rsidRPr="00B426C5">
        <w:rPr>
          <w:rFonts w:ascii="Times New Roman" w:eastAsia="Times New Roman" w:hAnsi="Times New Roman" w:cs="Times New Roman"/>
          <w:lang w:val="en-GB"/>
        </w:rPr>
        <w:t>endeavors</w:t>
      </w:r>
      <w:r w:rsidRPr="00AB28D0">
        <w:rPr>
          <w:rFonts w:ascii="Times New Roman" w:hAnsi="Times New Roman"/>
          <w:lang w:val="en-GB"/>
        </w:rPr>
        <w:t xml:space="preserve"> led by Tarhan in the 1980s. Reports indicate </w:t>
      </w:r>
      <w:r w:rsidRPr="00B426C5">
        <w:rPr>
          <w:rFonts w:ascii="Times New Roman" w:eastAsia="Times New Roman" w:hAnsi="Times New Roman" w:cs="Times New Roman"/>
          <w:lang w:val="en-GB"/>
        </w:rPr>
        <w:t>identifying</w:t>
      </w:r>
      <w:r w:rsidRPr="00AB28D0">
        <w:rPr>
          <w:rFonts w:ascii="Times New Roman" w:hAnsi="Times New Roman"/>
          <w:lang w:val="en-GB"/>
        </w:rPr>
        <w:t xml:space="preserve"> areas on the lower floors of the building that featured benches, likely utilized as storage rooms or service units (Tarhan, 1989: 374-376; Tarhan &amp; Sevin, 1990: 356-358). The walls of most of the 12 warehouses and service rooms on this level were made by working from bedrock.</w:t>
      </w:r>
    </w:p>
    <w:p w14:paraId="3CD012F1"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drawing>
          <wp:inline distT="0" distB="0" distL="0" distR="0" wp14:anchorId="39BE4081" wp14:editId="52BD76CB">
            <wp:extent cx="5756910" cy="2275153"/>
            <wp:effectExtent l="0" t="0" r="0" b="0"/>
            <wp:docPr id="1064842942" name="Resim 1064842942" descr="açık hava, taş, gök, çayır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8.png" descr="açık hava, taş, gök, çayır içeren bir resim&#10;&#10;Açıklama otomatik olarak oluşturuldu"/>
                    <pic:cNvPicPr preferRelativeResize="0"/>
                  </pic:nvPicPr>
                  <pic:blipFill>
                    <a:blip r:embed="rId245"/>
                    <a:srcRect/>
                    <a:stretch>
                      <a:fillRect/>
                    </a:stretch>
                  </pic:blipFill>
                  <pic:spPr>
                    <a:xfrm>
                      <a:off x="0" y="0"/>
                      <a:ext cx="5756910" cy="2275153"/>
                    </a:xfrm>
                    <a:prstGeom prst="rect">
                      <a:avLst/>
                    </a:prstGeom>
                    <a:ln/>
                  </pic:spPr>
                </pic:pic>
              </a:graphicData>
            </a:graphic>
          </wp:inline>
        </w:drawing>
      </w:r>
      <w:r w:rsidRPr="00AB28D0">
        <w:rPr>
          <w:rFonts w:ascii="Times New Roman" w:hAnsi="Times New Roman"/>
          <w:lang w:val="en-GB"/>
        </w:rPr>
        <w:t>Fig. 10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No. 1 and the foundation deposits to its east.</w:t>
      </w:r>
    </w:p>
    <w:p w14:paraId="15736F1C" w14:textId="77777777" w:rsidR="001C57DB" w:rsidRPr="00AB28D0" w:rsidRDefault="001C57DB" w:rsidP="00AB28D0">
      <w:pPr>
        <w:jc w:val="both"/>
        <w:rPr>
          <w:rFonts w:ascii="Times New Roman" w:hAnsi="Times New Roman"/>
          <w:i/>
          <w:lang w:val="en-GB"/>
        </w:rPr>
      </w:pPr>
    </w:p>
    <w:p w14:paraId="087A4A8F" w14:textId="77777777" w:rsidR="001C57DB" w:rsidRDefault="001C57DB" w:rsidP="001C57DB">
      <w:pPr>
        <w:jc w:val="both"/>
        <w:rPr>
          <w:rFonts w:ascii="Times New Roman" w:eastAsia="Times New Roman" w:hAnsi="Times New Roman" w:cs="Times New Roman"/>
          <w:lang w:val="en-GB"/>
        </w:rPr>
      </w:pPr>
      <w:r w:rsidRPr="00AB28D0">
        <w:rPr>
          <w:rFonts w:ascii="Times New Roman" w:hAnsi="Times New Roman"/>
          <w:lang w:val="en-GB"/>
        </w:rPr>
        <w:t xml:space="preserve">Areas 1-9 denote the structures on the rock platform, encompassing an approximate area of 27x20 m (Fig. 8). In determining the layout and number of rooms, reference was made to drainage canals, wall foundation traces formed by the bedrock that separated the rooms, and </w:t>
      </w:r>
      <w:r w:rsidRPr="00AB28D0">
        <w:rPr>
          <w:rFonts w:ascii="Times New Roman" w:hAnsi="Times New Roman"/>
          <w:lang w:val="en-GB"/>
        </w:rPr>
        <w:lastRenderedPageBreak/>
        <w:t xml:space="preserve">shaft slots (Tarhan, 1989: 374-376; Tarhan &amp; Sevin, 1990: 356-358). However, the wall traces surrounding room 1 in this area display ambiguity, thereby permitting multiple interpretations. Room 1 extends in a north-south direction and measures approximately 12.50x6.40 m. The south and east walls consist entirely of bedrock, reaching a height of 7 m at the corner points. Evidence of the top cover system was found on </w:t>
      </w:r>
      <w:r w:rsidRPr="00B426C5">
        <w:rPr>
          <w:rFonts w:ascii="Times New Roman" w:eastAsia="Times New Roman" w:hAnsi="Times New Roman" w:cs="Times New Roman"/>
          <w:lang w:val="en-GB"/>
        </w:rPr>
        <w:t>this room's</w:t>
      </w:r>
      <w:r w:rsidRPr="00AB28D0">
        <w:rPr>
          <w:rFonts w:ascii="Times New Roman" w:hAnsi="Times New Roman"/>
          <w:lang w:val="en-GB"/>
        </w:rPr>
        <w:t xml:space="preserve"> eastern and southern walls</w:t>
      </w:r>
      <w:r w:rsidRPr="00B426C5">
        <w:rPr>
          <w:rFonts w:ascii="Times New Roman" w:eastAsia="Times New Roman" w:hAnsi="Times New Roman" w:cs="Times New Roman"/>
          <w:lang w:val="en-GB"/>
        </w:rPr>
        <w:t>.</w:t>
      </w:r>
    </w:p>
    <w:p w14:paraId="568B0B11" w14:textId="77777777" w:rsidR="001C57DB" w:rsidRPr="00B426C5" w:rsidRDefault="001C57DB" w:rsidP="001C57DB">
      <w:pPr>
        <w:jc w:val="both"/>
        <w:rPr>
          <w:rFonts w:ascii="Times New Roman" w:eastAsia="Times New Roman" w:hAnsi="Times New Roman" w:cs="Times New Roman"/>
          <w:lang w:val="en-GB"/>
        </w:rPr>
      </w:pPr>
    </w:p>
    <w:p w14:paraId="2F347114" w14:textId="77777777" w:rsidR="001C57DB" w:rsidRDefault="001C57DB" w:rsidP="001C57DB">
      <w:pPr>
        <w:jc w:val="both"/>
        <w:rPr>
          <w:rFonts w:ascii="Times New Roman" w:hAnsi="Times New Roman"/>
          <w:lang w:val="en-GB"/>
        </w:rPr>
      </w:pPr>
      <w:r w:rsidRPr="00AB28D0">
        <w:rPr>
          <w:rFonts w:ascii="Times New Roman" w:hAnsi="Times New Roman"/>
          <w:lang w:val="en-GB"/>
        </w:rPr>
        <w:t xml:space="preserve">Furthermore, grooves indicating the presence of stairs leading to the upper floor and beam slots for accommodating the stairs' supporting beams were observed (Fig. 10). Towards the west of the room, a 1.55 m thick wall was carved into the bedrock. The flattened area to the west of this section measures approximately 20x20 m. The north-south oriented bedrock, resembling a foundation pit, and the worked bedrock protrusions serve as remnants of the shared walls that divided the spaces. These divisions, running parallel to the west wall of room 1 towards the east, likely defined the eastern and western boundaries of the rooms in three rows, numbered 2-9. Adjacent to the wall constructed by manipulating the 1.55 m thick bedrock, rooms 2, 3, and 4 are aligned north-south to the west of room 1. The southernmost unit, numbered 2, spans approximately 3.20 m </w:t>
      </w:r>
      <w:r w:rsidRPr="00B426C5">
        <w:rPr>
          <w:rFonts w:ascii="Times New Roman" w:eastAsia="Times New Roman" w:hAnsi="Times New Roman" w:cs="Times New Roman"/>
          <w:lang w:val="en-GB"/>
        </w:rPr>
        <w:t>long</w:t>
      </w:r>
      <w:r w:rsidRPr="00AB28D0">
        <w:rPr>
          <w:rFonts w:ascii="Times New Roman" w:hAnsi="Times New Roman"/>
          <w:lang w:val="en-GB"/>
        </w:rPr>
        <w:t xml:space="preserve"> and 2.70 m </w:t>
      </w:r>
      <w:r w:rsidRPr="00B426C5">
        <w:rPr>
          <w:rFonts w:ascii="Times New Roman" w:eastAsia="Times New Roman" w:hAnsi="Times New Roman" w:cs="Times New Roman"/>
          <w:lang w:val="en-GB"/>
        </w:rPr>
        <w:t>wide</w:t>
      </w:r>
      <w:r w:rsidRPr="00AB28D0">
        <w:rPr>
          <w:rFonts w:ascii="Times New Roman" w:hAnsi="Times New Roman"/>
          <w:lang w:val="en-GB"/>
        </w:rPr>
        <w:t>. Traces on the bedrock floor suggest the potential division of the space into sections.</w:t>
      </w:r>
    </w:p>
    <w:p w14:paraId="422E6A68" w14:textId="77777777" w:rsidR="00453E61" w:rsidRPr="00B426C5" w:rsidRDefault="00453E61" w:rsidP="001C57DB">
      <w:pPr>
        <w:jc w:val="both"/>
        <w:rPr>
          <w:rFonts w:ascii="Times New Roman" w:eastAsia="Times New Roman" w:hAnsi="Times New Roman" w:cs="Times New Roman"/>
          <w:lang w:val="en-GB"/>
        </w:rPr>
      </w:pPr>
    </w:p>
    <w:p w14:paraId="09E2E74F" w14:textId="77777777" w:rsidR="001C57DB" w:rsidRPr="00AB28D0" w:rsidRDefault="001C57DB" w:rsidP="001C57DB">
      <w:pPr>
        <w:jc w:val="both"/>
        <w:rPr>
          <w:rFonts w:ascii="Times New Roman" w:hAnsi="Times New Roman"/>
          <w:lang w:val="en-GB"/>
        </w:rPr>
      </w:pPr>
      <w:r w:rsidRPr="00AB28D0">
        <w:rPr>
          <w:rFonts w:ascii="Times New Roman" w:hAnsi="Times New Roman"/>
          <w:lang w:val="en-GB"/>
        </w:rPr>
        <w:t xml:space="preserve">Given that the southern side of room 2 is bordered by a cliff and the west and east sides by bedrock, the only access point to the room is through the doorway connecting it to room 3. During the archaeological excavation conducted by Tarhan and his team, the sill and jamb shaft beds were further modified by shaping the bedrock. Room 3, situated north of room 2, measures 11.00x6.00 m. The existing bedrock protrusion was maximally </w:t>
      </w:r>
      <w:r w:rsidRPr="00B426C5">
        <w:rPr>
          <w:rFonts w:ascii="Times New Roman" w:eastAsia="Times New Roman" w:hAnsi="Times New Roman" w:cs="Times New Roman"/>
          <w:lang w:val="en-GB"/>
        </w:rPr>
        <w:t>utilized</w:t>
      </w:r>
      <w:r w:rsidRPr="00AB28D0">
        <w:rPr>
          <w:rFonts w:ascii="Times New Roman" w:hAnsi="Times New Roman"/>
          <w:lang w:val="en-GB"/>
        </w:rPr>
        <w:t xml:space="preserve"> to form the western wall of the space, resulting in the formation of a 1.55 m thick wall line. </w:t>
      </w:r>
      <w:r w:rsidRPr="00B426C5">
        <w:rPr>
          <w:rFonts w:ascii="Times New Roman" w:eastAsia="Times New Roman" w:hAnsi="Times New Roman" w:cs="Times New Roman"/>
          <w:lang w:val="en-GB"/>
        </w:rPr>
        <w:t xml:space="preserve">As reported in the previous excavation, </w:t>
      </w:r>
      <w:r w:rsidRPr="00AB28D0">
        <w:rPr>
          <w:rFonts w:ascii="Times New Roman" w:hAnsi="Times New Roman"/>
          <w:lang w:val="en-GB"/>
        </w:rPr>
        <w:t>a 0.8x1.</w:t>
      </w:r>
      <w:r w:rsidRPr="00B426C5">
        <w:rPr>
          <w:rFonts w:ascii="Times New Roman" w:eastAsia="Times New Roman" w:hAnsi="Times New Roman" w:cs="Times New Roman"/>
          <w:lang w:val="en-GB"/>
        </w:rPr>
        <w:t>70m</w:t>
      </w:r>
      <w:r w:rsidRPr="00AB28D0">
        <w:rPr>
          <w:rFonts w:ascii="Times New Roman" w:hAnsi="Times New Roman"/>
          <w:lang w:val="en-GB"/>
        </w:rPr>
        <w:t xml:space="preserve"> rock niche carved into the </w:t>
      </w:r>
      <w:r w:rsidRPr="00B426C5">
        <w:rPr>
          <w:rFonts w:ascii="Times New Roman" w:eastAsia="Times New Roman" w:hAnsi="Times New Roman" w:cs="Times New Roman"/>
          <w:lang w:val="en-GB"/>
        </w:rPr>
        <w:t>east</w:t>
      </w:r>
      <w:r w:rsidRPr="00AB28D0">
        <w:rPr>
          <w:rFonts w:ascii="Times New Roman" w:hAnsi="Times New Roman"/>
          <w:lang w:val="en-GB"/>
        </w:rPr>
        <w:t xml:space="preserve"> wall of the room and a rectangular groove located in the northwest corner of the floor</w:t>
      </w:r>
      <w:r w:rsidRPr="00B426C5">
        <w:rPr>
          <w:rFonts w:ascii="Times New Roman" w:eastAsia="Times New Roman" w:hAnsi="Times New Roman" w:cs="Times New Roman"/>
          <w:lang w:val="en-GB"/>
        </w:rPr>
        <w:t xml:space="preserve"> should be sufficient</w:t>
      </w:r>
      <w:r w:rsidRPr="00AB28D0">
        <w:rPr>
          <w:rFonts w:ascii="Times New Roman" w:hAnsi="Times New Roman"/>
          <w:lang w:val="en-GB"/>
        </w:rPr>
        <w:t xml:space="preserve"> to </w:t>
      </w:r>
      <w:r w:rsidRPr="00B426C5">
        <w:rPr>
          <w:rFonts w:ascii="Times New Roman" w:eastAsia="Times New Roman" w:hAnsi="Times New Roman" w:cs="Times New Roman"/>
          <w:lang w:val="en-GB"/>
        </w:rPr>
        <w:t>ensure</w:t>
      </w:r>
      <w:r w:rsidRPr="00AB28D0">
        <w:rPr>
          <w:rFonts w:ascii="Times New Roman" w:hAnsi="Times New Roman"/>
          <w:lang w:val="en-GB"/>
        </w:rPr>
        <w:t xml:space="preserve"> the </w:t>
      </w:r>
      <w:r w:rsidRPr="00B426C5">
        <w:rPr>
          <w:rFonts w:ascii="Times New Roman" w:eastAsia="Times New Roman" w:hAnsi="Times New Roman" w:cs="Times New Roman"/>
          <w:lang w:val="en-GB"/>
        </w:rPr>
        <w:t>room's functionality</w:t>
      </w:r>
      <w:r w:rsidRPr="00AB28D0">
        <w:rPr>
          <w:rFonts w:ascii="Times New Roman" w:hAnsi="Times New Roman"/>
          <w:lang w:val="en-GB"/>
        </w:rPr>
        <w:t>.</w:t>
      </w:r>
    </w:p>
    <w:p w14:paraId="60D06969" w14:textId="77777777" w:rsidR="001C57DB" w:rsidRPr="00AB28D0" w:rsidRDefault="001C57DB" w:rsidP="00AB28D0">
      <w:pPr>
        <w:jc w:val="both"/>
        <w:rPr>
          <w:rFonts w:ascii="Times New Roman" w:hAnsi="Times New Roman"/>
          <w:lang w:val="en-GB"/>
        </w:rPr>
      </w:pPr>
    </w:p>
    <w:p w14:paraId="3668C553"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lastRenderedPageBreak/>
        <w:drawing>
          <wp:inline distT="0" distB="0" distL="0" distR="0" wp14:anchorId="49833318" wp14:editId="494C0865">
            <wp:extent cx="5756910" cy="3828415"/>
            <wp:effectExtent l="0" t="0" r="0" b="0"/>
            <wp:docPr id="1064842943" name="Resim 1064842943" descr="açık hava, gök, dağ, ta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1.png" descr="açık hava, gök, dağ, taş içeren bir resim&#10;&#10;Açıklama otomatik olarak oluşturuldu"/>
                    <pic:cNvPicPr preferRelativeResize="0"/>
                  </pic:nvPicPr>
                  <pic:blipFill>
                    <a:blip r:embed="rId246"/>
                    <a:srcRect/>
                    <a:stretch>
                      <a:fillRect/>
                    </a:stretch>
                  </pic:blipFill>
                  <pic:spPr>
                    <a:xfrm>
                      <a:off x="0" y="0"/>
                      <a:ext cx="5756910" cy="3828415"/>
                    </a:xfrm>
                    <a:prstGeom prst="rect">
                      <a:avLst/>
                    </a:prstGeom>
                    <a:ln/>
                  </pic:spPr>
                </pic:pic>
              </a:graphicData>
            </a:graphic>
          </wp:inline>
        </w:drawing>
      </w:r>
      <w:bookmarkStart w:id="123" w:name="_2et92p0"/>
      <w:bookmarkEnd w:id="123"/>
      <w:r w:rsidRPr="00AB28D0">
        <w:rPr>
          <w:rFonts w:ascii="Times New Roman" w:hAnsi="Times New Roman"/>
          <w:lang w:val="en-GB"/>
        </w:rPr>
        <w:t>Fig .11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A, 11-12. Spaces and foundation pits.</w:t>
      </w:r>
    </w:p>
    <w:p w14:paraId="6C66D55F" w14:textId="77777777" w:rsidR="001C57DB" w:rsidRPr="00AB28D0" w:rsidRDefault="001C57DB" w:rsidP="00AB28D0">
      <w:pPr>
        <w:jc w:val="both"/>
        <w:rPr>
          <w:rFonts w:ascii="Times New Roman" w:hAnsi="Times New Roman"/>
          <w:i/>
          <w:color w:val="4472C4"/>
          <w:lang w:val="en-GB"/>
        </w:rPr>
      </w:pPr>
    </w:p>
    <w:p w14:paraId="40147DA5" w14:textId="77777777" w:rsidR="001C57DB" w:rsidRPr="00AB28D0" w:rsidRDefault="001C57DB" w:rsidP="00AB28D0">
      <w:pPr>
        <w:jc w:val="both"/>
        <w:rPr>
          <w:rFonts w:ascii="Times New Roman" w:hAnsi="Times New Roman"/>
          <w:i/>
          <w:color w:val="4472C4"/>
          <w:lang w:val="en-GB"/>
        </w:rPr>
      </w:pPr>
      <w:r w:rsidRPr="00AB28D0">
        <w:rPr>
          <w:rFonts w:ascii="Times New Roman" w:hAnsi="Times New Roman"/>
          <w:i/>
          <w:noProof/>
          <w:color w:val="4472C4"/>
        </w:rPr>
        <w:drawing>
          <wp:inline distT="0" distB="0" distL="0" distR="0" wp14:anchorId="04EADB05" wp14:editId="40E0F781">
            <wp:extent cx="6138304" cy="3195263"/>
            <wp:effectExtent l="0" t="0" r="0" b="5715"/>
            <wp:docPr id="860000220" name="Resim 15" descr="çizim, taslak,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00220" name="Resim 15" descr="çizim, taslak, sanat içeren bir resim&#10;&#10;Açıklama otomatik olarak oluşturuldu"/>
                    <pic:cNvPicPr/>
                  </pic:nvPicPr>
                  <pic:blipFill>
                    <a:blip r:embed="rId247" cstate="email">
                      <a:extLst>
                        <a:ext uri="{28A0092B-C50C-407E-A947-70E740481C1C}">
                          <a14:useLocalDpi xmlns:a14="http://schemas.microsoft.com/office/drawing/2010/main"/>
                        </a:ext>
                      </a:extLst>
                    </a:blip>
                    <a:stretch>
                      <a:fillRect/>
                    </a:stretch>
                  </pic:blipFill>
                  <pic:spPr>
                    <a:xfrm>
                      <a:off x="0" y="0"/>
                      <a:ext cx="6146380" cy="3199467"/>
                    </a:xfrm>
                    <a:prstGeom prst="rect">
                      <a:avLst/>
                    </a:prstGeom>
                  </pic:spPr>
                </pic:pic>
              </a:graphicData>
            </a:graphic>
          </wp:inline>
        </w:drawing>
      </w:r>
    </w:p>
    <w:p w14:paraId="6D24FE94"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12 Drawing of the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w:t>
      </w:r>
    </w:p>
    <w:p w14:paraId="3F47533A" w14:textId="77777777" w:rsidR="001C57DB" w:rsidRPr="00AB28D0" w:rsidRDefault="001C57DB" w:rsidP="00AB28D0">
      <w:pPr>
        <w:jc w:val="both"/>
        <w:rPr>
          <w:rFonts w:ascii="Times New Roman" w:hAnsi="Times New Roman"/>
          <w:i/>
          <w:color w:val="4472C4"/>
          <w:lang w:val="en-GB"/>
        </w:rPr>
      </w:pPr>
    </w:p>
    <w:p w14:paraId="2E509B48" w14:textId="30C4D106" w:rsidR="001C57DB" w:rsidRDefault="001C57DB" w:rsidP="001C57DB">
      <w:pPr>
        <w:jc w:val="both"/>
        <w:rPr>
          <w:rFonts w:ascii="Times New Roman" w:hAnsi="Times New Roman"/>
          <w:lang w:val="en-GB"/>
        </w:rPr>
      </w:pPr>
      <w:r w:rsidRPr="00AB28D0">
        <w:rPr>
          <w:rFonts w:ascii="Times New Roman" w:hAnsi="Times New Roman"/>
          <w:lang w:val="en-GB"/>
        </w:rPr>
        <w:t>Located to the north of room 3</w:t>
      </w:r>
      <w:r w:rsidRPr="00D04632">
        <w:rPr>
          <w:rFonts w:ascii="Times New Roman" w:eastAsia="Times New Roman" w:hAnsi="Times New Roman" w:cs="Times New Roman"/>
          <w:lang w:val="en-GB"/>
        </w:rPr>
        <w:t xml:space="preserve"> and</w:t>
      </w:r>
      <w:r w:rsidRPr="00AB28D0">
        <w:rPr>
          <w:rFonts w:ascii="Times New Roman" w:hAnsi="Times New Roman"/>
          <w:lang w:val="en-GB"/>
        </w:rPr>
        <w:t xml:space="preserve"> Room 4 is separated from the southern room by a poorly defined bed embedded in the bedrock. The western wall of Room 4 is a continuation of the wall bordering the southern area, extending towards the north. To the west of these spaces are three narrower rectangular spaces aligned along the north-south axis. These spaces, approximately 3-3.5 m wide, are bounded by a foundation line carved into the bedrock, measuring </w:t>
      </w:r>
      <w:r w:rsidRPr="00AB28D0">
        <w:rPr>
          <w:rFonts w:ascii="Times New Roman" w:hAnsi="Times New Roman"/>
          <w:lang w:val="en-GB"/>
        </w:rPr>
        <w:lastRenderedPageBreak/>
        <w:t>approximately 1.00 m in width. Faint traces of this line can be observed from the bedrock, again towards the west.</w:t>
      </w:r>
    </w:p>
    <w:p w14:paraId="3AC8E5BA" w14:textId="77777777" w:rsidR="00453E61" w:rsidRPr="00D04632" w:rsidRDefault="00453E61" w:rsidP="001C57DB">
      <w:pPr>
        <w:jc w:val="both"/>
        <w:rPr>
          <w:rFonts w:ascii="Times New Roman" w:eastAsia="Times New Roman" w:hAnsi="Times New Roman" w:cs="Times New Roman"/>
          <w:lang w:val="en-GB"/>
        </w:rPr>
      </w:pPr>
    </w:p>
    <w:p w14:paraId="6561F05F" w14:textId="0993A5FB" w:rsidR="001C57DB" w:rsidRPr="00AB28D0" w:rsidRDefault="001C57DB" w:rsidP="00AB28D0">
      <w:pPr>
        <w:jc w:val="both"/>
        <w:rPr>
          <w:rFonts w:ascii="Times New Roman" w:hAnsi="Times New Roman"/>
          <w:lang w:val="en-GB"/>
        </w:rPr>
      </w:pPr>
      <w:r w:rsidRPr="00AB28D0">
        <w:rPr>
          <w:rFonts w:ascii="Times New Roman" w:hAnsi="Times New Roman"/>
          <w:lang w:val="en-GB"/>
        </w:rPr>
        <w:t xml:space="preserve">Further west, in the north-south direction, is Room 8, which measures 3.40 m in width and is delineated by a wall foundation line approximately 1.00 m wide along its western border. There have been reports of Room 9's presence, although the exact layout of its walls remains unclear. It has been determined that the channels carved into the floors of spaces 5, 6, 7, and 8, in both north and south directions, are related to the utilization of these spaces; however, it is evident that these rudimentary canals were added later. </w:t>
      </w:r>
    </w:p>
    <w:p w14:paraId="794F56D5" w14:textId="77777777" w:rsidR="001C57DB" w:rsidRPr="00AB28D0" w:rsidRDefault="001C57DB" w:rsidP="00AB28D0">
      <w:pPr>
        <w:jc w:val="both"/>
        <w:rPr>
          <w:rFonts w:ascii="Times New Roman" w:hAnsi="Times New Roman"/>
          <w:lang w:val="en-GB"/>
        </w:rPr>
      </w:pPr>
    </w:p>
    <w:p w14:paraId="73C31FEA" w14:textId="77777777" w:rsidR="001C57DB" w:rsidRPr="00AB28D0" w:rsidRDefault="001C57DB" w:rsidP="001C57DB">
      <w:pPr>
        <w:jc w:val="both"/>
        <w:rPr>
          <w:rFonts w:ascii="Times New Roman" w:hAnsi="Times New Roman"/>
          <w:lang w:val="en-GB"/>
        </w:rPr>
      </w:pPr>
      <w:r w:rsidRPr="00D04632">
        <w:rPr>
          <w:rFonts w:ascii="Times New Roman" w:eastAsia="Times New Roman" w:hAnsi="Times New Roman" w:cs="Times New Roman"/>
          <w:lang w:val="en-GB"/>
        </w:rPr>
        <w:t>Areas 11 and 12 lie on</w:t>
      </w:r>
      <w:r w:rsidRPr="00AB28D0">
        <w:rPr>
          <w:rFonts w:ascii="Times New Roman" w:hAnsi="Times New Roman"/>
          <w:lang w:val="en-GB"/>
        </w:rPr>
        <w:t xml:space="preserve"> the eastern and northeastern sides of the elevated rock formation, </w:t>
      </w:r>
      <w:r w:rsidRPr="00D04632">
        <w:rPr>
          <w:rFonts w:ascii="Times New Roman" w:eastAsia="Times New Roman" w:hAnsi="Times New Roman" w:cs="Times New Roman"/>
          <w:lang w:val="en-GB"/>
        </w:rPr>
        <w:t>representing</w:t>
      </w:r>
      <w:r w:rsidRPr="00AB28D0">
        <w:rPr>
          <w:rFonts w:ascii="Times New Roman" w:hAnsi="Times New Roman"/>
          <w:lang w:val="en-GB"/>
        </w:rPr>
        <w:t xml:space="preserve"> the </w:t>
      </w:r>
      <w:r w:rsidRPr="00D04632">
        <w:rPr>
          <w:rFonts w:ascii="Times New Roman" w:eastAsia="Times New Roman" w:hAnsi="Times New Roman" w:cs="Times New Roman"/>
          <w:lang w:val="en-GB"/>
        </w:rPr>
        <w:t xml:space="preserve">New Palace's </w:t>
      </w:r>
      <w:r w:rsidRPr="00AB28D0">
        <w:rPr>
          <w:rFonts w:ascii="Times New Roman" w:hAnsi="Times New Roman"/>
          <w:lang w:val="en-GB"/>
        </w:rPr>
        <w:t xml:space="preserve">highest point (Fig. 13). Room 11 exhibits more discernible structural characteristics. This structure measures approximately 4.50x11 m and extends in the east-west direction. The walls, formed by modifying the bedrock, reach a height of 4-4.30 m (Fig. 11-12). </w:t>
      </w:r>
    </w:p>
    <w:p w14:paraId="1FAC3B7C" w14:textId="77777777" w:rsidR="001C57DB" w:rsidRPr="00AB28D0" w:rsidRDefault="001C57DB" w:rsidP="00AB28D0">
      <w:pPr>
        <w:jc w:val="both"/>
        <w:rPr>
          <w:rFonts w:ascii="Times New Roman" w:hAnsi="Times New Roman"/>
          <w:lang w:val="en-GB"/>
        </w:rPr>
      </w:pPr>
    </w:p>
    <w:p w14:paraId="34BE17A2" w14:textId="734F5365" w:rsidR="001C57DB" w:rsidRPr="00AB28D0" w:rsidRDefault="001C57DB" w:rsidP="00453E61">
      <w:pPr>
        <w:jc w:val="both"/>
        <w:rPr>
          <w:rFonts w:ascii="Times New Roman" w:hAnsi="Times New Roman"/>
          <w:lang w:val="en-GB"/>
        </w:rPr>
      </w:pPr>
      <w:r w:rsidRPr="00AB28D0">
        <w:rPr>
          <w:rFonts w:ascii="Times New Roman" w:hAnsi="Times New Roman"/>
          <w:lang w:val="en-GB"/>
        </w:rPr>
        <w:t xml:space="preserve">The platforms created by the walls, built upon foundation pits carved into the bedrock in Room 11, support multi-story structures. As these platforms/terraces were constructed, wall foundation pits gradually ascending from north to south were excavated, upon which walls were erected, aligned along the east-west axis, and integrated with the bedrock. </w:t>
      </w:r>
      <w:r w:rsidRPr="00D04632">
        <w:rPr>
          <w:rFonts w:ascii="Times New Roman" w:eastAsia="Times New Roman" w:hAnsi="Times New Roman" w:cs="Times New Roman"/>
          <w:lang w:val="en-GB"/>
        </w:rPr>
        <w:t>The</w:t>
      </w:r>
      <w:r w:rsidRPr="00AB28D0">
        <w:rPr>
          <w:rFonts w:ascii="Times New Roman" w:hAnsi="Times New Roman"/>
          <w:lang w:val="en-GB"/>
        </w:rPr>
        <w:t xml:space="preserve"> interconnected walls forming the platform or terrace at the summit could accommodate two or three floors. Ground floors in citadel palaces such as Yukarı Anzaf</w:t>
      </w:r>
      <w:r w:rsidR="00CD0F5D">
        <w:rPr>
          <w:rFonts w:ascii="Times New Roman" w:eastAsia="Times New Roman" w:hAnsi="Times New Roman" w:cs="Times New Roman"/>
          <w:lang w:val="en-GB"/>
        </w:rPr>
        <w:t>/</w:t>
      </w:r>
      <w:r w:rsidRPr="00AB28D0">
        <w:rPr>
          <w:rFonts w:ascii="Times New Roman" w:hAnsi="Times New Roman"/>
          <w:lang w:val="en-GB"/>
        </w:rPr>
        <w:t>Upper Anzaf (Belli, 2003), Çavuştepe</w:t>
      </w:r>
      <w:r w:rsidRPr="00D04632">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Çavuştepe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(Erzen, 1988), and Kef Fortress</w:t>
      </w:r>
      <w:r w:rsidRPr="00D04632">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Kef Fortress</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(Öğün, 1984) were typically utilized as workshops, storage areas, and similar service rooms</w:t>
      </w:r>
      <w:r w:rsidRPr="00D04632">
        <w:rPr>
          <w:rFonts w:ascii="Times New Roman" w:eastAsia="Times New Roman" w:hAnsi="Times New Roman" w:cs="Times New Roman"/>
          <w:lang w:val="en-GB"/>
        </w:rPr>
        <w:t>;</w:t>
      </w:r>
      <w:r w:rsidRPr="00AB28D0">
        <w:rPr>
          <w:rFonts w:ascii="Times New Roman" w:hAnsi="Times New Roman"/>
          <w:lang w:val="en-GB"/>
        </w:rPr>
        <w:t xml:space="preserve"> examples suggest that upper floors also comprised royal residences and other associated units (Çifçi, 2017: 73-89).</w:t>
      </w:r>
      <w:r w:rsidRPr="00AB28D0">
        <w:rPr>
          <w:rFonts w:ascii="Times New Roman" w:hAnsi="Times New Roman"/>
          <w:noProof/>
        </w:rPr>
        <w:drawing>
          <wp:anchor distT="0" distB="0" distL="114300" distR="114300" simplePos="0" relativeHeight="251915264" behindDoc="0" locked="0" layoutInCell="1" hidden="0" allowOverlap="1" wp14:anchorId="1183DB8B" wp14:editId="0A8A2882">
            <wp:simplePos x="0" y="0"/>
            <wp:positionH relativeFrom="margin">
              <wp:posOffset>-13363</wp:posOffset>
            </wp:positionH>
            <wp:positionV relativeFrom="margin">
              <wp:posOffset>4587903</wp:posOffset>
            </wp:positionV>
            <wp:extent cx="5711825" cy="3194050"/>
            <wp:effectExtent l="0" t="0" r="3175" b="6350"/>
            <wp:wrapTopAndBottom distT="0" distB="0"/>
            <wp:docPr id="834033331" name="Resim 834033331" descr="dış mekan, dağ, dip kaya, jeoloji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74" name="Resim 74" descr="dış mekan, dağ, dip kaya, jeoloji içeren bir resim&#10;&#10;Açıklama otomatik olarak oluşturuldu"/>
                    <pic:cNvPicPr preferRelativeResize="0"/>
                  </pic:nvPicPr>
                  <pic:blipFill>
                    <a:blip r:embed="rId248"/>
                    <a:srcRect/>
                    <a:stretch>
                      <a:fillRect/>
                    </a:stretch>
                  </pic:blipFill>
                  <pic:spPr>
                    <a:xfrm>
                      <a:off x="0" y="0"/>
                      <a:ext cx="5711825" cy="3194050"/>
                    </a:xfrm>
                    <a:prstGeom prst="rect">
                      <a:avLst/>
                    </a:prstGeom>
                    <a:ln/>
                  </pic:spPr>
                </pic:pic>
              </a:graphicData>
            </a:graphic>
            <wp14:sizeRelH relativeFrom="margin">
              <wp14:pctWidth>0</wp14:pctWidth>
            </wp14:sizeRelH>
            <wp14:sizeRelV relativeFrom="margin">
              <wp14:pctHeight>0</wp14:pctHeight>
            </wp14:sizeRelV>
          </wp:anchor>
        </w:drawing>
      </w:r>
    </w:p>
    <w:p w14:paraId="7B9D7937" w14:textId="77777777" w:rsidR="001C57DB" w:rsidRPr="00AB28D0" w:rsidRDefault="001C57DB" w:rsidP="001C57DB">
      <w:pPr>
        <w:jc w:val="both"/>
        <w:rPr>
          <w:rFonts w:ascii="Times New Roman" w:hAnsi="Times New Roman"/>
          <w:lang w:val="en-GB"/>
        </w:rPr>
      </w:pPr>
      <w:r w:rsidRPr="00AB28D0">
        <w:rPr>
          <w:rFonts w:ascii="Times New Roman" w:hAnsi="Times New Roman"/>
          <w:lang w:val="en-GB"/>
        </w:rPr>
        <w:t>Fig. 13 New Palace</w:t>
      </w:r>
      <w:r>
        <w:rPr>
          <w:rFonts w:asciiTheme="majorBidi" w:eastAsia="Times New Roman" w:hAnsiTheme="majorBidi" w:cstheme="majorBidi"/>
          <w:lang w:val="en-GB"/>
        </w:rPr>
        <w:fldChar w:fldCharType="begin"/>
      </w:r>
      <w:r>
        <w:instrText xml:space="preserve"> XE "</w:instrText>
      </w:r>
      <w:r w:rsidRPr="002C033A">
        <w:rPr>
          <w:rFonts w:asciiTheme="majorBidi" w:eastAsia="Times New Roman" w:hAnsiTheme="majorBidi" w:cstheme="majorBidi"/>
          <w:lang w:val="en-GB"/>
        </w:rPr>
        <w:instrText>New Palace</w:instrText>
      </w:r>
      <w:r>
        <w:instrText xml:space="preserve">" </w:instrText>
      </w:r>
      <w:r>
        <w:rPr>
          <w:rFonts w:asciiTheme="majorBidi" w:eastAsia="Times New Roman" w:hAnsiTheme="majorBidi" w:cstheme="majorBidi"/>
          <w:lang w:val="en-GB"/>
        </w:rPr>
        <w:fldChar w:fldCharType="end"/>
      </w:r>
      <w:r w:rsidRPr="00AB28D0">
        <w:rPr>
          <w:rFonts w:ascii="Times New Roman" w:hAnsi="Times New Roman"/>
          <w:lang w:val="en-GB"/>
        </w:rPr>
        <w:t xml:space="preserve"> areas A and B. from the north.</w:t>
      </w:r>
    </w:p>
    <w:p w14:paraId="63402B3D" w14:textId="77777777" w:rsidR="001C57DB" w:rsidRPr="00AB28D0" w:rsidRDefault="001C57DB" w:rsidP="00AB28D0">
      <w:pPr>
        <w:jc w:val="both"/>
        <w:rPr>
          <w:rFonts w:ascii="Times New Roman" w:hAnsi="Times New Roman"/>
          <w:lang w:val="en-GB"/>
        </w:rPr>
      </w:pPr>
    </w:p>
    <w:p w14:paraId="2FC7B188" w14:textId="77777777" w:rsidR="001C57DB" w:rsidRDefault="001C57DB" w:rsidP="001C57DB">
      <w:pPr>
        <w:jc w:val="both"/>
        <w:rPr>
          <w:rFonts w:ascii="Times New Roman" w:hAnsi="Times New Roman"/>
          <w:lang w:val="en-GB"/>
        </w:rPr>
      </w:pPr>
      <w:r w:rsidRPr="00AB28D0">
        <w:rPr>
          <w:rFonts w:ascii="Times New Roman" w:hAnsi="Times New Roman"/>
          <w:lang w:val="en-GB"/>
        </w:rPr>
        <w:t>As previously mentioned, the discovery of three bronze discs measuring 17 cm in diameter within the four cavities carved into the bedrock foundation pit north of Room 12 in the New Palace</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is considered the most significant criterion for assessing the structure's quality. Such practices in the Near East evoke images of votive discs placed at the foundations of royal and sacred structures. Examining Urartian</w:t>
      </w:r>
      <w:r w:rsidRPr="00D04632">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examples, such as Toprakkale</w:t>
      </w:r>
      <w:r w:rsidRPr="00D04632">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Toprakkale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(Erzen, 1962: 399, </w:t>
      </w:r>
      <w:r w:rsidRPr="00AB28D0">
        <w:rPr>
          <w:rFonts w:ascii="Times New Roman" w:hAnsi="Times New Roman"/>
          <w:lang w:val="en-GB"/>
        </w:rPr>
        <w:lastRenderedPageBreak/>
        <w:t>Abb.11), Altıntepe</w:t>
      </w:r>
      <w:r w:rsidRPr="00D04632">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(Karaosmanoğlu, 2007: 70; 2011: 367), Ayanis</w:t>
      </w:r>
      <w:r w:rsidRPr="00D04632">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"Ayanis"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(Sağlamtimur, Kozbe &amp; Çevik, 2001: 222, Fig. 6; Salvini, 2001: 275; CTU B 12-13 A-B), and the rings and plates found in the foundation pits of the Upper Anzaf</w:t>
      </w:r>
      <w:r w:rsidRPr="00D04632">
        <w:rPr>
          <w:rFonts w:ascii="Times New Roman" w:eastAsia="Times New Roman" w:hAnsi="Times New Roman" w:cs="Times New Roman"/>
          <w:lang w:val="en-GB"/>
        </w:rPr>
        <w:t> </w:t>
      </w:r>
      <w:r w:rsidRPr="00F03A26">
        <w:rPr>
          <w:rFonts w:asciiTheme="majorBidi" w:eastAsia="Times New Roman"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Anzaf</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color w:val="000000" w:themeColor="text1"/>
          <w:lang w:val="en-GB"/>
        </w:rPr>
        <w:fldChar w:fldCharType="end"/>
      </w:r>
      <w:r w:rsidRPr="00F03A26">
        <w:rPr>
          <w:rFonts w:asciiTheme="majorBidi" w:eastAsia="Times New Roman" w:hAnsiTheme="majorBidi" w:cstheme="majorBidi"/>
          <w:color w:val="000000" w:themeColor="text1"/>
          <w:lang w:val="en-GB"/>
        </w:rPr>
        <w:t xml:space="preserve"> </w:t>
      </w:r>
      <w:r w:rsidRPr="00AB28D0">
        <w:rPr>
          <w:rFonts w:ascii="Times New Roman" w:hAnsi="Times New Roman"/>
          <w:lang w:val="en-GB"/>
        </w:rPr>
        <w:t>Ḫaldi</w:t>
      </w:r>
      <w:r w:rsidRPr="00D04632">
        <w:rPr>
          <w:rFonts w:ascii="Times New Roman" w:eastAsia="Times New Roman" w:hAnsi="Times New Roman" w:cs="Times New Roman"/>
          <w:lang w:val="en-GB"/>
        </w:rPr>
        <w:t> </w:t>
      </w:r>
      <w:r w:rsidRPr="00F03A26">
        <w:rPr>
          <w:rFonts w:asciiTheme="majorBidi" w:eastAsia="Times New Roman" w:hAnsiTheme="majorBidi" w:cstheme="majorBidi"/>
          <w:iCs/>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iCs/>
          <w:color w:val="000000" w:themeColor="text1"/>
          <w:lang w:val="en-GB"/>
        </w:rPr>
        <w:instrText>Ḫaldi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iCs/>
          <w:color w:val="000000" w:themeColor="text1"/>
          <w:lang w:val="en-GB"/>
        </w:rPr>
        <w:fldChar w:fldCharType="end"/>
      </w:r>
      <w:r w:rsidRPr="00F03A26">
        <w:rPr>
          <w:rFonts w:asciiTheme="majorBidi" w:eastAsia="Times New Roman" w:hAnsiTheme="majorBidi" w:cstheme="majorBidi"/>
          <w:color w:val="000000" w:themeColor="text1"/>
          <w:lang w:val="en-GB"/>
        </w:rPr>
        <w:t xml:space="preserve"> </w:t>
      </w:r>
      <w:r w:rsidRPr="00AB28D0">
        <w:rPr>
          <w:rFonts w:ascii="Times New Roman" w:hAnsi="Times New Roman"/>
          <w:lang w:val="en-GB"/>
        </w:rPr>
        <w:t xml:space="preserve">temples (Belli &amp; Dinçol, 2009: 91-124), these bronze objects were also interpreted as votive items placed within the foundation. However, it should be noted that the presence of these bronze objects in the foundation pits does not provide sufficient evidence to </w:t>
      </w:r>
      <w:r w:rsidRPr="00D04632">
        <w:rPr>
          <w:rFonts w:ascii="Times New Roman" w:eastAsia="Times New Roman" w:hAnsi="Times New Roman" w:cs="Times New Roman"/>
          <w:lang w:val="en-GB"/>
        </w:rPr>
        <w:t>conclude</w:t>
      </w:r>
      <w:r w:rsidRPr="00AB28D0">
        <w:rPr>
          <w:rFonts w:ascii="Times New Roman" w:hAnsi="Times New Roman"/>
          <w:lang w:val="en-GB"/>
        </w:rPr>
        <w:t xml:space="preserve"> the quality of the structure. Furthermore, based on its location characteristics, it is suggested that this area may have been a palace structure attributed to Argišti I</w:t>
      </w:r>
      <w:r w:rsidRPr="00D04632">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eastAsia="Times New Roman" w:hAnsiTheme="majorBidi" w:cstheme="majorBidi"/>
          <w:lang w:val="en-GB"/>
        </w:rPr>
        <w:instrText>Argišti</w:instrText>
      </w:r>
      <w:r w:rsidRPr="00F03A26">
        <w:rPr>
          <w:rFonts w:asciiTheme="majorBidi" w:eastAsia="Times New Roman" w:hAnsiTheme="majorBidi" w:cstheme="majorBidi"/>
          <w:lang w:val="en-GB"/>
        </w:rPr>
        <w:instrText xml:space="preserve"> 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(Tarhan, 1989: 377). This speculation is supported by the presence of </w:t>
      </w:r>
      <w:r w:rsidRPr="00D04632">
        <w:rPr>
          <w:rFonts w:ascii="Times New Roman" w:eastAsia="Times New Roman" w:hAnsi="Times New Roman" w:cs="Times New Roman"/>
          <w:lang w:val="en-GB"/>
        </w:rPr>
        <w:t>Argišti</w:t>
      </w:r>
      <w:r>
        <w:rPr>
          <w:rFonts w:ascii="Times New Roman" w:eastAsia="Times New Roman" w:hAnsi="Times New Roman" w:cs="Times New Roman"/>
          <w:lang w:val="en-GB"/>
        </w:rPr>
        <w:t xml:space="preserve"> </w:t>
      </w:r>
      <w:r w:rsidRPr="00D04632">
        <w:rPr>
          <w:rFonts w:ascii="Times New Roman" w:eastAsia="Times New Roman" w:hAnsi="Times New Roman" w:cs="Times New Roman"/>
          <w:lang w:val="en-GB"/>
        </w:rPr>
        <w:t>I's</w:t>
      </w:r>
      <w:r w:rsidRPr="00AB28D0">
        <w:rPr>
          <w:rFonts w:ascii="Times New Roman" w:hAnsi="Times New Roman"/>
          <w:lang w:val="en-GB"/>
        </w:rPr>
        <w:t xml:space="preserve"> tomb directly beneath this architectural complex</w:t>
      </w:r>
      <w:r w:rsidRPr="00D04632">
        <w:rPr>
          <w:rFonts w:ascii="Times New Roman" w:eastAsia="Times New Roman" w:hAnsi="Times New Roman" w:cs="Times New Roman"/>
          <w:lang w:val="en-GB"/>
        </w:rPr>
        <w:t xml:space="preserve"> and</w:t>
      </w:r>
      <w:r w:rsidRPr="00AB28D0">
        <w:rPr>
          <w:rFonts w:ascii="Times New Roman" w:hAnsi="Times New Roman"/>
          <w:lang w:val="en-GB"/>
        </w:rPr>
        <w:t xml:space="preserve"> the practice of burying kings in chamber tombs beneath royal palaces, particularly in Assyrian</w:t>
      </w:r>
      <w:r w:rsidRPr="00D04632">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contexts. However, </w:t>
      </w:r>
      <w:r w:rsidRPr="00D04632">
        <w:rPr>
          <w:rFonts w:ascii="Times New Roman" w:eastAsia="Times New Roman" w:hAnsi="Times New Roman" w:cs="Times New Roman"/>
          <w:lang w:val="en-GB"/>
        </w:rPr>
        <w:t>equating</w:t>
      </w:r>
      <w:r w:rsidRPr="00AB28D0">
        <w:rPr>
          <w:rFonts w:ascii="Times New Roman" w:hAnsi="Times New Roman"/>
          <w:lang w:val="en-GB"/>
        </w:rPr>
        <w:t xml:space="preserve"> the Assyrian practices with those of Urartu </w:t>
      </w:r>
      <w:r w:rsidRPr="00D04632">
        <w:rPr>
          <w:rFonts w:ascii="Times New Roman" w:eastAsia="Times New Roman" w:hAnsi="Times New Roman" w:cs="Times New Roman"/>
          <w:lang w:val="en-GB"/>
        </w:rPr>
        <w:t xml:space="preserve">is challenging </w:t>
      </w:r>
      <w:r w:rsidRPr="00AB28D0">
        <w:rPr>
          <w:rFonts w:ascii="Times New Roman" w:hAnsi="Times New Roman"/>
          <w:lang w:val="en-GB"/>
        </w:rPr>
        <w:t>due to differences in settlement patterns and building materials.</w:t>
      </w:r>
    </w:p>
    <w:p w14:paraId="1AF2773D" w14:textId="77777777" w:rsidR="001C57DB" w:rsidRPr="00D04632" w:rsidRDefault="001C57DB" w:rsidP="001C57DB">
      <w:pPr>
        <w:jc w:val="both"/>
        <w:rPr>
          <w:rFonts w:ascii="Times New Roman" w:eastAsia="Times New Roman" w:hAnsi="Times New Roman" w:cs="Times New Roman"/>
          <w:lang w:val="en-GB"/>
        </w:rPr>
      </w:pPr>
    </w:p>
    <w:p w14:paraId="4ACA56A8" w14:textId="5E647BCD" w:rsidR="00E85612" w:rsidRDefault="001C57DB" w:rsidP="006A38F9">
      <w:pPr>
        <w:rPr>
          <w:rFonts w:ascii="Times New Roman" w:hAnsi="Times New Roman"/>
          <w:lang w:val="en-GB"/>
        </w:rPr>
      </w:pPr>
      <w:r w:rsidRPr="00AB28D0">
        <w:rPr>
          <w:rFonts w:ascii="Times New Roman" w:hAnsi="Times New Roman"/>
          <w:lang w:val="en-GB"/>
        </w:rPr>
        <w:t xml:space="preserve">Additionally, in Assyria, the burial chambers were directly accessible from the lower floor rooms of the palace. In contrast, the Argišti I tomb, located west of the New Palace section, could be accessed from the floor level by utilizing the bedrock in Urartu. The choice of an application with stairs, a north-facing facade, and an impression of an independent architectural group </w:t>
      </w:r>
      <w:r w:rsidRPr="00D04632">
        <w:rPr>
          <w:rFonts w:ascii="Times New Roman" w:eastAsia="Times New Roman" w:hAnsi="Times New Roman" w:cs="Times New Roman"/>
          <w:lang w:val="en-GB"/>
        </w:rPr>
        <w:t>weaken</w:t>
      </w:r>
      <w:r w:rsidRPr="00AB28D0">
        <w:rPr>
          <w:rFonts w:ascii="Times New Roman" w:hAnsi="Times New Roman"/>
          <w:lang w:val="en-GB"/>
        </w:rPr>
        <w:t xml:space="preserve"> the connection to the Assyrian</w:t>
      </w:r>
      <w:r w:rsidR="005C68BB">
        <w:rPr>
          <w:rFonts w:ascii="Times New Roman" w:hAnsi="Times New Roman"/>
          <w:lang w:val="en-GB"/>
        </w:rPr>
        <w:fldChar w:fldCharType="begin"/>
      </w:r>
      <w:r w:rsidR="005C68BB">
        <w:instrText xml:space="preserve"> XE "</w:instrText>
      </w:r>
      <w:r w:rsidR="005C68BB" w:rsidRPr="00091793">
        <w:rPr>
          <w:rFonts w:asciiTheme="majorBidi" w:eastAsia="Calibri" w:hAnsiTheme="majorBidi" w:cstheme="majorBidi"/>
        </w:rPr>
        <w:instrText>Assyrian</w:instrText>
      </w:r>
      <w:r w:rsidR="005C68BB">
        <w:instrText xml:space="preserve">" </w:instrText>
      </w:r>
      <w:r w:rsidR="005C68BB">
        <w:rPr>
          <w:rFonts w:ascii="Times New Roman" w:hAnsi="Times New Roman"/>
          <w:lang w:val="en-GB"/>
        </w:rPr>
        <w:fldChar w:fldCharType="end"/>
      </w:r>
      <w:r w:rsidRPr="00AB28D0">
        <w:rPr>
          <w:rFonts w:ascii="Times New Roman" w:hAnsi="Times New Roman"/>
          <w:lang w:val="en-GB"/>
        </w:rPr>
        <w:t xml:space="preserve"> examples.</w:t>
      </w:r>
    </w:p>
    <w:p w14:paraId="26692429" w14:textId="1859DEF0" w:rsidR="001C57DB" w:rsidRPr="00AB28D0" w:rsidRDefault="001C57DB" w:rsidP="00AB28D0">
      <w:pPr>
        <w:keepNext/>
        <w:keepLines/>
        <w:spacing w:before="320" w:after="80" w:line="276" w:lineRule="auto"/>
        <w:jc w:val="both"/>
        <w:outlineLvl w:val="2"/>
        <w:rPr>
          <w:rFonts w:ascii="Times New Roman" w:hAnsi="Times New Roman"/>
          <w:b/>
          <w:color w:val="434343"/>
          <w:lang w:val="en-GB"/>
        </w:rPr>
      </w:pPr>
      <w:bookmarkStart w:id="124" w:name="_Toc173231235"/>
      <w:r w:rsidRPr="00AB28D0">
        <w:rPr>
          <w:rFonts w:ascii="Times New Roman" w:hAnsi="Times New Roman"/>
          <w:b/>
          <w:color w:val="434343"/>
          <w:lang w:val="en-GB"/>
        </w:rPr>
        <w:t>8.2.2. Areas B and D</w:t>
      </w:r>
      <w:bookmarkEnd w:id="124"/>
    </w:p>
    <w:p w14:paraId="2A9CFECE" w14:textId="77777777" w:rsidR="001C57DB" w:rsidRPr="00AB28D0" w:rsidRDefault="001C57DB" w:rsidP="001C57DB">
      <w:pPr>
        <w:jc w:val="both"/>
        <w:rPr>
          <w:rFonts w:ascii="Times New Roman" w:hAnsi="Times New Roman"/>
          <w:lang w:val="en-GB"/>
        </w:rPr>
      </w:pPr>
      <w:r w:rsidRPr="0011142E">
        <w:rPr>
          <w:rFonts w:ascii="Times New Roman" w:hAnsi="Times New Roman"/>
        </w:rPr>
        <w:t>The foundation pits and excavated spaces within the bedrock in the northern region, associated with the New Palace</w:t>
      </w:r>
      <w:r w:rsidRPr="00BE79B4">
        <w:rPr>
          <w:rFonts w:ascii="Times New Roman" w:eastAsia="Calibri" w:hAnsi="Times New Roman" w:cs="Times New Roman"/>
          <w:noProof/>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Pr>
          <w:rFonts w:ascii="Times New Roman" w:hAnsi="Times New Roman"/>
        </w:rPr>
        <w:t>s</w:t>
      </w:r>
      <w:r w:rsidRPr="00AB28D0">
        <w:rPr>
          <w:rFonts w:ascii="Times New Roman" w:hAnsi="Times New Roman"/>
        </w:rPr>
        <w:t xml:space="preserve">ection, </w:t>
      </w:r>
      <w:r w:rsidRPr="00BE79B4">
        <w:rPr>
          <w:rFonts w:ascii="Times New Roman" w:eastAsia="Calibri" w:hAnsi="Times New Roman" w:cs="Times New Roman"/>
          <w:noProof/>
        </w:rPr>
        <w:t>reveal</w:t>
      </w:r>
      <w:r w:rsidRPr="00AB28D0">
        <w:rPr>
          <w:rFonts w:ascii="Times New Roman" w:hAnsi="Times New Roman"/>
        </w:rPr>
        <w:t xml:space="preserve"> discernible architectural arrangements and structures. In this area, noteworthy progress has been made in the construction of the </w:t>
      </w:r>
      <w:r w:rsidRPr="00BE79B4">
        <w:rPr>
          <w:rFonts w:ascii="Times New Roman" w:eastAsia="Calibri" w:hAnsi="Times New Roman" w:cs="Times New Roman"/>
          <w:noProof/>
        </w:rPr>
        <w:t xml:space="preserve">palace's </w:t>
      </w:r>
      <w:r w:rsidRPr="00AB28D0">
        <w:rPr>
          <w:rFonts w:ascii="Times New Roman" w:hAnsi="Times New Roman"/>
        </w:rPr>
        <w:t>ground</w:t>
      </w:r>
      <w:r w:rsidRPr="00BE79B4">
        <w:rPr>
          <w:rFonts w:ascii="Times New Roman" w:eastAsia="Calibri" w:hAnsi="Times New Roman" w:cs="Times New Roman"/>
          <w:noProof/>
        </w:rPr>
        <w:t>-</w:t>
      </w:r>
      <w:r w:rsidRPr="00AB28D0">
        <w:rPr>
          <w:rFonts w:ascii="Times New Roman" w:hAnsi="Times New Roman"/>
        </w:rPr>
        <w:t>floor structures, encompassing warehouses, service units, and workshops, as evident from Figures 13, 14, and 18. In addition to the rooms</w:t>
      </w:r>
      <w:r w:rsidRPr="00BE79B4">
        <w:rPr>
          <w:rFonts w:ascii="Times New Roman" w:eastAsia="Calibri" w:hAnsi="Times New Roman" w:cs="Times New Roman"/>
          <w:noProof/>
        </w:rPr>
        <w:t>,</w:t>
      </w:r>
      <w:r w:rsidRPr="00AB28D0">
        <w:rPr>
          <w:rFonts w:ascii="Times New Roman" w:hAnsi="Times New Roman"/>
        </w:rPr>
        <w:t xml:space="preserve"> all</w:t>
      </w:r>
      <w:r w:rsidRPr="00BE79B4">
        <w:rPr>
          <w:rFonts w:ascii="Times New Roman" w:eastAsia="Calibri" w:hAnsi="Times New Roman" w:cs="Times New Roman"/>
          <w:noProof/>
        </w:rPr>
        <w:t xml:space="preserve"> were</w:t>
      </w:r>
      <w:r w:rsidRPr="00AB28D0">
        <w:rPr>
          <w:rFonts w:ascii="Times New Roman" w:hAnsi="Times New Roman"/>
        </w:rPr>
        <w:t xml:space="preserve"> created by cutting the bedrock in an area measuring.</w:t>
      </w:r>
    </w:p>
    <w:p w14:paraId="63E7EA5E" w14:textId="77777777" w:rsidR="001C57DB" w:rsidRPr="00AB28D0" w:rsidRDefault="001C57DB" w:rsidP="001C57DB">
      <w:pPr>
        <w:jc w:val="both"/>
        <w:rPr>
          <w:rFonts w:ascii="Times New Roman" w:hAnsi="Times New Roman"/>
          <w:lang w:val="en-GB"/>
        </w:rPr>
      </w:pPr>
      <w:r w:rsidRPr="0011142E">
        <w:rPr>
          <w:rFonts w:ascii="Times New Roman" w:hAnsi="Times New Roman"/>
          <w:noProof/>
        </w:rPr>
        <w:drawing>
          <wp:anchor distT="0" distB="0" distL="114300" distR="114300" simplePos="0" relativeHeight="251913216" behindDoc="0" locked="0" layoutInCell="1" allowOverlap="1" wp14:anchorId="7140C1DD" wp14:editId="5C5A35CB">
            <wp:simplePos x="0" y="0"/>
            <wp:positionH relativeFrom="column">
              <wp:posOffset>-3175</wp:posOffset>
            </wp:positionH>
            <wp:positionV relativeFrom="paragraph">
              <wp:posOffset>234671</wp:posOffset>
            </wp:positionV>
            <wp:extent cx="5808346" cy="2400300"/>
            <wp:effectExtent l="0" t="0" r="0" b="0"/>
            <wp:wrapThrough wrapText="bothSides">
              <wp:wrapPolygon edited="0">
                <wp:start x="0" y="0"/>
                <wp:lineTo x="0" y="21486"/>
                <wp:lineTo x="21536" y="21486"/>
                <wp:lineTo x="21536" y="0"/>
                <wp:lineTo x="0" y="0"/>
              </wp:wrapPolygon>
            </wp:wrapThrough>
            <wp:docPr id="460841514" name="Resim 460841514" descr="açık hava, doğa, taş, dağ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5"/>
                    <pic:cNvPicPr/>
                  </pic:nvPicPr>
                  <pic:blipFill>
                    <a:blip r:embed="rId249">
                      <a:extLst>
                        <a:ext uri="{28A0092B-C50C-407E-A947-70E740481C1C}">
                          <a14:useLocalDpi xmlns:a14="http://schemas.microsoft.com/office/drawing/2010/main"/>
                        </a:ext>
                      </a:extLst>
                    </a:blip>
                    <a:stretch>
                      <a:fillRect/>
                    </a:stretch>
                  </pic:blipFill>
                  <pic:spPr>
                    <a:xfrm>
                      <a:off x="0" y="0"/>
                      <a:ext cx="5808346" cy="2400300"/>
                    </a:xfrm>
                    <a:prstGeom prst="rect">
                      <a:avLst/>
                    </a:prstGeom>
                    <a:ln/>
                  </pic:spPr>
                </pic:pic>
              </a:graphicData>
            </a:graphic>
            <wp14:sizeRelH relativeFrom="page">
              <wp14:pctWidth>0</wp14:pctWidth>
            </wp14:sizeRelH>
            <wp14:sizeRelV relativeFrom="page">
              <wp14:pctHeight>0</wp14:pctHeight>
            </wp14:sizeRelV>
          </wp:anchor>
        </w:drawing>
      </w:r>
    </w:p>
    <w:p w14:paraId="53170791" w14:textId="77777777" w:rsidR="001C57DB" w:rsidRPr="00AB28D0" w:rsidRDefault="001C57DB" w:rsidP="001C57DB">
      <w:pPr>
        <w:jc w:val="both"/>
        <w:rPr>
          <w:rFonts w:ascii="Times New Roman" w:hAnsi="Times New Roman"/>
          <w:i/>
          <w:color w:val="4472C4"/>
          <w:lang w:val="en-GB"/>
        </w:rPr>
      </w:pPr>
      <w:r w:rsidRPr="00AB28D0">
        <w:rPr>
          <w:rFonts w:ascii="Times New Roman" w:hAnsi="Times New Roman"/>
          <w:lang w:val="en-GB"/>
        </w:rPr>
        <w:t>Fig. 14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B, spaces 2 and 3 carved into the bedrock.</w:t>
      </w:r>
    </w:p>
    <w:p w14:paraId="358A2356" w14:textId="630F4CCE" w:rsidR="001C57DB" w:rsidRPr="00AB28D0" w:rsidRDefault="00453E61" w:rsidP="00AB28D0">
      <w:pPr>
        <w:jc w:val="both"/>
        <w:rPr>
          <w:rFonts w:ascii="Times New Roman" w:hAnsi="Times New Roman"/>
          <w:color w:val="FF0000"/>
          <w:lang w:val="en-GB"/>
        </w:rPr>
      </w:pPr>
      <w:r w:rsidRPr="00AB28D0">
        <w:rPr>
          <w:rFonts w:ascii="Times New Roman" w:hAnsi="Times New Roman"/>
          <w:noProof/>
          <w:color w:val="FF0000"/>
        </w:rPr>
        <w:lastRenderedPageBreak/>
        <w:drawing>
          <wp:anchor distT="0" distB="0" distL="114300" distR="114300" simplePos="0" relativeHeight="251916288" behindDoc="0" locked="0" layoutInCell="1" hidden="0" allowOverlap="1" wp14:anchorId="0BCE85FD" wp14:editId="62AC5564">
            <wp:simplePos x="0" y="0"/>
            <wp:positionH relativeFrom="margin">
              <wp:posOffset>0</wp:posOffset>
            </wp:positionH>
            <wp:positionV relativeFrom="margin">
              <wp:posOffset>45720</wp:posOffset>
            </wp:positionV>
            <wp:extent cx="5728970" cy="1828800"/>
            <wp:effectExtent l="0" t="0" r="0" b="0"/>
            <wp:wrapThrough wrapText="bothSides">
              <wp:wrapPolygon edited="0">
                <wp:start x="0" y="0"/>
                <wp:lineTo x="0" y="21450"/>
                <wp:lineTo x="21547" y="21450"/>
                <wp:lineTo x="21547" y="0"/>
                <wp:lineTo x="0" y="0"/>
              </wp:wrapPolygon>
            </wp:wrapThrough>
            <wp:docPr id="1922012978" name="Resim 1922012978"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9.png" descr="diyagram içeren bir resim&#10;&#10;Açıklama otomatik olarak oluşturuldu"/>
                    <pic:cNvPicPr preferRelativeResize="0"/>
                  </pic:nvPicPr>
                  <pic:blipFill>
                    <a:blip r:embed="rId250"/>
                    <a:srcRect/>
                    <a:stretch>
                      <a:fillRect/>
                    </a:stretch>
                  </pic:blipFill>
                  <pic:spPr>
                    <a:xfrm>
                      <a:off x="0" y="0"/>
                      <a:ext cx="5728970" cy="1828800"/>
                    </a:xfrm>
                    <a:prstGeom prst="rect">
                      <a:avLst/>
                    </a:prstGeom>
                    <a:ln/>
                  </pic:spPr>
                </pic:pic>
              </a:graphicData>
            </a:graphic>
            <wp14:sizeRelH relativeFrom="margin">
              <wp14:pctWidth>0</wp14:pctWidth>
            </wp14:sizeRelH>
            <wp14:sizeRelV relativeFrom="margin">
              <wp14:pctHeight>0</wp14:pctHeight>
            </wp14:sizeRelV>
          </wp:anchor>
        </w:drawing>
      </w:r>
    </w:p>
    <w:p w14:paraId="0F7A7608" w14:textId="0F8B036E" w:rsidR="001C57DB" w:rsidRPr="00AB28D0" w:rsidRDefault="001C57DB" w:rsidP="00AB28D0">
      <w:pPr>
        <w:jc w:val="both"/>
        <w:rPr>
          <w:rFonts w:ascii="Times New Roman" w:hAnsi="Times New Roman"/>
          <w:lang w:val="en-GB"/>
        </w:rPr>
      </w:pPr>
      <w:r w:rsidRPr="00AB28D0">
        <w:rPr>
          <w:rFonts w:ascii="Times New Roman" w:hAnsi="Times New Roman"/>
          <w:lang w:val="en-GB"/>
        </w:rPr>
        <w:t>Fig. 15 Restitution of ground floor structures carved into bedrock in the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B.</w:t>
      </w:r>
    </w:p>
    <w:p w14:paraId="680ED7F0" w14:textId="35FFCEE6" w:rsidR="001C57DB" w:rsidRPr="00AB28D0" w:rsidRDefault="001C57DB" w:rsidP="00AB28D0">
      <w:pPr>
        <w:jc w:val="both"/>
        <w:rPr>
          <w:rFonts w:ascii="Times New Roman" w:hAnsi="Times New Roman"/>
          <w:i/>
          <w:color w:val="4472C4"/>
          <w:lang w:val="en-GB"/>
        </w:rPr>
      </w:pPr>
    </w:p>
    <w:p w14:paraId="4D510D48" w14:textId="4ADA655C" w:rsidR="001C57DB" w:rsidRPr="00AB28D0" w:rsidRDefault="001C57DB" w:rsidP="00AB28D0">
      <w:pPr>
        <w:jc w:val="both"/>
        <w:rPr>
          <w:rFonts w:ascii="Times New Roman" w:hAnsi="Times New Roman"/>
          <w:lang w:val="en-GB"/>
        </w:rPr>
      </w:pPr>
      <w:r w:rsidRPr="00AB28D0">
        <w:rPr>
          <w:rFonts w:ascii="Times New Roman" w:hAnsi="Times New Roman"/>
          <w:lang w:val="en-GB"/>
        </w:rPr>
        <w:t xml:space="preserve">On the east-west axis, the walls that divide these spaces, approximately measuring 51×8 </w:t>
      </w:r>
      <w:r w:rsidRPr="00BE79B4">
        <w:rPr>
          <w:rFonts w:ascii="Times New Roman" w:eastAsia="Times New Roman" w:hAnsi="Times New Roman" w:cs="Times New Roman"/>
          <w:lang w:val="en-GB"/>
        </w:rPr>
        <w:t>meters</w:t>
      </w:r>
      <w:r w:rsidRPr="00AB28D0">
        <w:rPr>
          <w:rFonts w:ascii="Times New Roman" w:hAnsi="Times New Roman"/>
          <w:lang w:val="en-GB"/>
        </w:rPr>
        <w:t xml:space="preserve"> (125 x 15), were constructed by carving into the bedrock. Within this context, five spaces or halls </w:t>
      </w:r>
      <w:r w:rsidRPr="00BE79B4">
        <w:rPr>
          <w:rFonts w:ascii="Times New Roman" w:eastAsia="Times New Roman" w:hAnsi="Times New Roman" w:cs="Times New Roman"/>
          <w:lang w:val="en-GB"/>
        </w:rPr>
        <w:t xml:space="preserve">are </w:t>
      </w:r>
      <w:r w:rsidRPr="00AB28D0">
        <w:rPr>
          <w:rFonts w:ascii="Times New Roman" w:hAnsi="Times New Roman"/>
          <w:lang w:val="en-GB"/>
        </w:rPr>
        <w:t>situated along the same axis, numbered from west to east as 1-5 (Fig. 15).</w:t>
      </w:r>
    </w:p>
    <w:p w14:paraId="39776670"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drawing>
          <wp:inline distT="0" distB="0" distL="0" distR="0" wp14:anchorId="7A0FA785" wp14:editId="459A8AE8">
            <wp:extent cx="4076570" cy="2933996"/>
            <wp:effectExtent l="0" t="0" r="0" b="0"/>
            <wp:docPr id="1850334329" name="Resim 1850334329"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3.png" descr="diyagram içeren bir resim&#10;&#10;Açıklama otomatik olarak oluşturuldu"/>
                    <pic:cNvPicPr preferRelativeResize="0"/>
                  </pic:nvPicPr>
                  <pic:blipFill>
                    <a:blip r:embed="rId251"/>
                    <a:srcRect/>
                    <a:stretch>
                      <a:fillRect/>
                    </a:stretch>
                  </pic:blipFill>
                  <pic:spPr>
                    <a:xfrm>
                      <a:off x="0" y="0"/>
                      <a:ext cx="4076570" cy="2933996"/>
                    </a:xfrm>
                    <a:prstGeom prst="rect">
                      <a:avLst/>
                    </a:prstGeom>
                    <a:ln/>
                  </pic:spPr>
                </pic:pic>
              </a:graphicData>
            </a:graphic>
          </wp:inline>
        </w:drawing>
      </w:r>
    </w:p>
    <w:p w14:paraId="34A1A404"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16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B, plan and sections of Hall 4.</w:t>
      </w:r>
    </w:p>
    <w:p w14:paraId="381DF250" w14:textId="77777777" w:rsidR="001C57DB" w:rsidRPr="00AB28D0" w:rsidRDefault="001C57DB" w:rsidP="00AB28D0">
      <w:pPr>
        <w:jc w:val="both"/>
        <w:rPr>
          <w:rFonts w:ascii="Times New Roman" w:hAnsi="Times New Roman"/>
          <w:lang w:val="en-GB"/>
        </w:rPr>
      </w:pPr>
    </w:p>
    <w:p w14:paraId="6FE5BE20" w14:textId="268FE7C8" w:rsidR="001C57DB" w:rsidRPr="00AB28D0" w:rsidRDefault="00453E61" w:rsidP="001C57DB">
      <w:pPr>
        <w:jc w:val="both"/>
        <w:rPr>
          <w:rFonts w:ascii="Times New Roman" w:hAnsi="Times New Roman"/>
          <w:lang w:val="en-GB"/>
        </w:rPr>
      </w:pPr>
      <w:r w:rsidRPr="00AB28D0">
        <w:rPr>
          <w:rFonts w:ascii="Times New Roman" w:hAnsi="Times New Roman"/>
          <w:i/>
          <w:noProof/>
          <w:color w:val="4472C4"/>
        </w:rPr>
        <w:lastRenderedPageBreak/>
        <w:drawing>
          <wp:anchor distT="0" distB="0" distL="114300" distR="114300" simplePos="0" relativeHeight="251912192" behindDoc="0" locked="0" layoutInCell="1" hidden="0" allowOverlap="1" wp14:anchorId="54CFCE35" wp14:editId="741BD163">
            <wp:simplePos x="0" y="0"/>
            <wp:positionH relativeFrom="margin">
              <wp:posOffset>-60960</wp:posOffset>
            </wp:positionH>
            <wp:positionV relativeFrom="margin">
              <wp:posOffset>2339340</wp:posOffset>
            </wp:positionV>
            <wp:extent cx="5609590" cy="2167255"/>
            <wp:effectExtent l="0" t="0" r="3810" b="4445"/>
            <wp:wrapThrough wrapText="bothSides">
              <wp:wrapPolygon edited="0">
                <wp:start x="0" y="0"/>
                <wp:lineTo x="0" y="21518"/>
                <wp:lineTo x="21566" y="21518"/>
                <wp:lineTo x="21566" y="0"/>
                <wp:lineTo x="0" y="0"/>
              </wp:wrapPolygon>
            </wp:wrapThrough>
            <wp:docPr id="690366137" name="Resim 690366137" descr="açık hava, doğa, ta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8.png" descr="açık hava, doğa, taş içeren bir resim&#10;&#10;Açıklama otomatik olarak oluşturuldu"/>
                    <pic:cNvPicPr preferRelativeResize="0"/>
                  </pic:nvPicPr>
                  <pic:blipFill rotWithShape="1">
                    <a:blip r:embed="rId252" cstate="email">
                      <a:extLst>
                        <a:ext uri="{28A0092B-C50C-407E-A947-70E740481C1C}">
                          <a14:useLocalDpi xmlns:a14="http://schemas.microsoft.com/office/drawing/2010/main"/>
                        </a:ext>
                      </a:extLst>
                    </a:blip>
                    <a:srcRect b="6621"/>
                    <a:stretch/>
                  </pic:blipFill>
                  <pic:spPr bwMode="auto">
                    <a:xfrm>
                      <a:off x="0" y="0"/>
                      <a:ext cx="5609590" cy="2167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57DB" w:rsidRPr="00AB28D0">
        <w:rPr>
          <w:rFonts w:ascii="Times New Roman" w:hAnsi="Times New Roman"/>
          <w:lang w:val="en-GB"/>
        </w:rPr>
        <w:t xml:space="preserve">Although some of these halls may not be discernible, all of them are separated by walls meticulously carved out of the bedrock. The dimensions of these halls are as follows: Hall/Space 1 measures 6.90 meters, Hall/Space 2 measures 6.00 meters, Hall/Space 3 measures 5.84 meters, Hall/Space 4 spans 17.75 meters, and Hall/Space 5 extends for 2.65 meters. The walls that separate these halls and spaces are approximately 2.00-2.70 meters wide and 2.60-3.00 meters deep. </w:t>
      </w:r>
      <w:r w:rsidR="001C57DB" w:rsidRPr="00876233">
        <w:rPr>
          <w:rFonts w:ascii="Times New Roman" w:eastAsia="Times New Roman" w:hAnsi="Times New Roman" w:cs="Times New Roman"/>
          <w:lang w:val="en-GB"/>
        </w:rPr>
        <w:t>Considering</w:t>
      </w:r>
      <w:r w:rsidR="001C57DB" w:rsidRPr="00AB28D0">
        <w:rPr>
          <w:rFonts w:ascii="Times New Roman" w:hAnsi="Times New Roman"/>
          <w:lang w:val="en-GB"/>
        </w:rPr>
        <w:t xml:space="preserve"> the </w:t>
      </w:r>
      <w:r w:rsidR="001C57DB" w:rsidRPr="00876233">
        <w:rPr>
          <w:rFonts w:ascii="Times New Roman" w:eastAsia="Times New Roman" w:hAnsi="Times New Roman" w:cs="Times New Roman"/>
          <w:lang w:val="en-GB"/>
        </w:rPr>
        <w:t xml:space="preserve">spaces' </w:t>
      </w:r>
      <w:r w:rsidR="001C57DB" w:rsidRPr="00AB28D0">
        <w:rPr>
          <w:rFonts w:ascii="Times New Roman" w:hAnsi="Times New Roman"/>
          <w:lang w:val="en-GB"/>
        </w:rPr>
        <w:t xml:space="preserve">width, it can be estimated to be around 8.00-8.50 meters, based on the reference points of the bedrock's termination and the foundation pits. </w:t>
      </w:r>
      <w:r w:rsidR="001C57DB" w:rsidRPr="00876233">
        <w:rPr>
          <w:rFonts w:ascii="Times New Roman" w:eastAsia="Times New Roman" w:hAnsi="Times New Roman" w:cs="Times New Roman"/>
          <w:lang w:val="en-GB"/>
        </w:rPr>
        <w:t>Like</w:t>
      </w:r>
      <w:r w:rsidR="001C57DB" w:rsidRPr="00AB28D0">
        <w:rPr>
          <w:rFonts w:ascii="Times New Roman" w:hAnsi="Times New Roman"/>
          <w:lang w:val="en-GB"/>
        </w:rPr>
        <w:t xml:space="preserve"> the lateral walls,</w:t>
      </w:r>
      <w:r w:rsidR="001C57DB" w:rsidRPr="00876233">
        <w:rPr>
          <w:rFonts w:ascii="Times New Roman" w:eastAsia="Times New Roman" w:hAnsi="Times New Roman" w:cs="Times New Roman"/>
          <w:lang w:val="en-GB"/>
        </w:rPr>
        <w:t xml:space="preserve"> the southern walls</w:t>
      </w:r>
      <w:r w:rsidR="001C57DB" w:rsidRPr="00AB28D0">
        <w:rPr>
          <w:rFonts w:ascii="Times New Roman" w:hAnsi="Times New Roman"/>
          <w:lang w:val="en-GB"/>
        </w:rPr>
        <w:t xml:space="preserve"> were constructed by carving into the bedrock. Reflecting the natural slope of the rock, the height of these walls is 3.30 meters at the eastern end, gradually decreasing to 80 </w:t>
      </w:r>
      <w:r w:rsidR="001C57DB" w:rsidRPr="00876233">
        <w:rPr>
          <w:rFonts w:ascii="Times New Roman" w:eastAsia="Times New Roman" w:hAnsi="Times New Roman" w:cs="Times New Roman"/>
          <w:lang w:val="en-GB"/>
        </w:rPr>
        <w:t>centimeters</w:t>
      </w:r>
      <w:r w:rsidR="001C57DB" w:rsidRPr="00AB28D0">
        <w:rPr>
          <w:rFonts w:ascii="Times New Roman" w:hAnsi="Times New Roman"/>
          <w:lang w:val="en-GB"/>
        </w:rPr>
        <w:t xml:space="preserve"> at the westernmost point. The varying elevation of the wall foundations suggests optimal </w:t>
      </w:r>
      <w:r w:rsidR="001C57DB" w:rsidRPr="00876233">
        <w:rPr>
          <w:rFonts w:ascii="Times New Roman" w:eastAsia="Times New Roman" w:hAnsi="Times New Roman" w:cs="Times New Roman"/>
          <w:lang w:val="en-GB"/>
        </w:rPr>
        <w:t>utilization</w:t>
      </w:r>
      <w:r w:rsidR="001C57DB" w:rsidRPr="00AB28D0">
        <w:rPr>
          <w:rFonts w:ascii="Times New Roman" w:hAnsi="Times New Roman"/>
          <w:lang w:val="en-GB"/>
        </w:rPr>
        <w:t xml:space="preserve"> of the natural elevation of the bedrock. In addition, foundation pits were excavated at higher levels of the walls formed from the bedrock in the south in preparation for the construction of stone walls on top.</w:t>
      </w:r>
    </w:p>
    <w:p w14:paraId="5BBBD460"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17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B, Hall 4.</w:t>
      </w:r>
    </w:p>
    <w:p w14:paraId="4FCF3F5D" w14:textId="42CE5618" w:rsidR="001C57DB" w:rsidRPr="00AB28D0" w:rsidRDefault="001C57DB" w:rsidP="00AB28D0">
      <w:pPr>
        <w:jc w:val="both"/>
        <w:rPr>
          <w:rFonts w:ascii="Times New Roman" w:hAnsi="Times New Roman"/>
          <w:lang w:val="en-GB"/>
        </w:rPr>
      </w:pPr>
    </w:p>
    <w:p w14:paraId="5CBEC07B" w14:textId="79BB9F12" w:rsidR="001C57DB" w:rsidRPr="00AB28D0" w:rsidRDefault="001C57DB" w:rsidP="001C57DB">
      <w:pPr>
        <w:jc w:val="both"/>
        <w:rPr>
          <w:rFonts w:ascii="Times New Roman" w:hAnsi="Times New Roman"/>
          <w:lang w:val="en-GB"/>
        </w:rPr>
      </w:pPr>
      <w:r w:rsidRPr="00AB28D0">
        <w:rPr>
          <w:rFonts w:ascii="Times New Roman" w:hAnsi="Times New Roman"/>
          <w:lang w:val="en-GB"/>
        </w:rPr>
        <w:t xml:space="preserve">Number 4 in this complex differs in its dimensions and interior arrangement (Fig.16,17). The niches of 5.5-6.00 m wide, dug into the southern wall of the </w:t>
      </w:r>
      <w:r w:rsidRPr="00876233">
        <w:rPr>
          <w:rFonts w:ascii="Times New Roman" w:eastAsia="Times New Roman" w:hAnsi="Times New Roman" w:cs="Times New Roman"/>
          <w:lang w:val="en-GB"/>
        </w:rPr>
        <w:t>primary</w:t>
      </w:r>
      <w:r w:rsidRPr="00AB28D0">
        <w:rPr>
          <w:rFonts w:ascii="Times New Roman" w:hAnsi="Times New Roman"/>
          <w:lang w:val="en-GB"/>
        </w:rPr>
        <w:t xml:space="preserve"> rock, are approximately 50 cm deep. Room 3, located just west of the mentioned niche arrangement, exhibits a similar architectural feature. In Room 2, a comparable arrangement is observed, but this time with a bench extending from the bedrock. Examining the overall layout of this complex, we encounter a structure in which the southern portion is entirely carved into the bedrock</w:t>
      </w:r>
      <w:r w:rsidRPr="00876233">
        <w:rPr>
          <w:rFonts w:ascii="Times New Roman" w:eastAsia="Times New Roman" w:hAnsi="Times New Roman" w:cs="Times New Roman"/>
          <w:lang w:val="en-GB"/>
        </w:rPr>
        <w:t>. At the same time,</w:t>
      </w:r>
      <w:r w:rsidRPr="00AB28D0">
        <w:rPr>
          <w:rFonts w:ascii="Times New Roman" w:hAnsi="Times New Roman"/>
          <w:lang w:val="en-GB"/>
        </w:rPr>
        <w:t xml:space="preserve"> the northern part is constructed with walls that rise above the foundation pits. The complex comprises three </w:t>
      </w:r>
      <w:r w:rsidRPr="00876233">
        <w:rPr>
          <w:rFonts w:ascii="Times New Roman" w:eastAsia="Times New Roman" w:hAnsi="Times New Roman" w:cs="Times New Roman"/>
          <w:lang w:val="en-GB"/>
        </w:rPr>
        <w:t xml:space="preserve">nearly identical </w:t>
      </w:r>
      <w:r w:rsidRPr="00AB28D0">
        <w:rPr>
          <w:rFonts w:ascii="Times New Roman" w:hAnsi="Times New Roman"/>
          <w:lang w:val="en-GB"/>
        </w:rPr>
        <w:t xml:space="preserve">square-shaped spaces, interconnected by doors in the eastern direction (designated as 1-3). The space at the easternmost end </w:t>
      </w:r>
      <w:r w:rsidRPr="00876233">
        <w:rPr>
          <w:rFonts w:ascii="Times New Roman" w:eastAsia="Times New Roman" w:hAnsi="Times New Roman" w:cs="Times New Roman"/>
          <w:lang w:val="en-GB"/>
        </w:rPr>
        <w:t>has</w:t>
      </w:r>
      <w:r w:rsidRPr="00AB28D0">
        <w:rPr>
          <w:rFonts w:ascii="Times New Roman" w:hAnsi="Times New Roman"/>
          <w:lang w:val="en-GB"/>
        </w:rPr>
        <w:t xml:space="preserve"> been designed as the main western entrance to the building complex. Adjacent to this group is</w:t>
      </w:r>
      <w:r w:rsidRPr="00876233">
        <w:rPr>
          <w:rFonts w:ascii="Times New Roman" w:eastAsia="Times New Roman" w:hAnsi="Times New Roman" w:cs="Times New Roman"/>
          <w:lang w:val="en-GB"/>
        </w:rPr>
        <w:t xml:space="preserve"> an</w:t>
      </w:r>
      <w:r w:rsidRPr="00AB28D0">
        <w:rPr>
          <w:rFonts w:ascii="Times New Roman" w:hAnsi="Times New Roman"/>
          <w:lang w:val="en-GB"/>
        </w:rPr>
        <w:t xml:space="preserve"> elongated hall with a rectangular floor plan (</w:t>
      </w:r>
      <w:r w:rsidRPr="00876233">
        <w:rPr>
          <w:rFonts w:ascii="Times New Roman" w:eastAsia="Times New Roman" w:hAnsi="Times New Roman" w:cs="Times New Roman"/>
          <w:lang w:val="en-GB"/>
        </w:rPr>
        <w:t>labeled</w:t>
      </w:r>
      <w:r w:rsidRPr="00AB28D0">
        <w:rPr>
          <w:rFonts w:ascii="Times New Roman" w:hAnsi="Times New Roman"/>
          <w:lang w:val="en-GB"/>
        </w:rPr>
        <w:t xml:space="preserve"> as 4), followed by a front entrance section (identified as 5) to the east, completing the arrangement of the building complex. </w:t>
      </w:r>
    </w:p>
    <w:p w14:paraId="1CEB0587" w14:textId="77777777" w:rsidR="001C57DB" w:rsidRPr="00AB28D0" w:rsidRDefault="001C57DB" w:rsidP="00AB28D0">
      <w:pPr>
        <w:jc w:val="both"/>
        <w:rPr>
          <w:rFonts w:ascii="Times New Roman" w:hAnsi="Times New Roman"/>
          <w:lang w:val="en-GB"/>
        </w:rPr>
      </w:pPr>
    </w:p>
    <w:p w14:paraId="7F3FD385" w14:textId="05560D8A" w:rsidR="001C57DB" w:rsidRPr="00AB28D0" w:rsidRDefault="001C57DB" w:rsidP="001C57DB">
      <w:pPr>
        <w:jc w:val="both"/>
        <w:rPr>
          <w:rFonts w:ascii="Times New Roman" w:hAnsi="Times New Roman"/>
          <w:lang w:val="en-GB"/>
        </w:rPr>
      </w:pPr>
      <w:r w:rsidRPr="00AB28D0">
        <w:rPr>
          <w:rFonts w:ascii="Times New Roman" w:hAnsi="Times New Roman"/>
          <w:lang w:val="en-GB"/>
        </w:rPr>
        <w:t xml:space="preserve">Tarhan and his team have made another intriguing observation regarding this area (Tarhan, 1988: 369-428; Tarhan &amp; Sevin, 1990: 355-375). They noted that Room 1 features a raised floor in the form of a platform, accompanied by a basin carved into the bedrock measuring 90 x 140 cm. The purpose of the 41 cm deep hollow area remains unclear; however, the cavities dug into the wall of the same room might be associated with a wooden structure). While information about the </w:t>
      </w:r>
      <w:r w:rsidRPr="00876233">
        <w:rPr>
          <w:rFonts w:ascii="Times New Roman" w:eastAsia="Times New Roman" w:hAnsi="Times New Roman" w:cs="Times New Roman"/>
          <w:lang w:val="en-GB"/>
        </w:rPr>
        <w:t>room's</w:t>
      </w:r>
      <w:r w:rsidRPr="00AB28D0">
        <w:rPr>
          <w:rFonts w:ascii="Times New Roman" w:hAnsi="Times New Roman"/>
          <w:lang w:val="en-GB"/>
        </w:rPr>
        <w:t xml:space="preserve"> ceiling height is unavailable, it is reasonable to speculate that this </w:t>
      </w:r>
      <w:r w:rsidRPr="00876233">
        <w:rPr>
          <w:rFonts w:ascii="Times New Roman" w:eastAsia="Times New Roman" w:hAnsi="Times New Roman" w:cs="Times New Roman"/>
          <w:lang w:val="en-GB"/>
        </w:rPr>
        <w:t>room</w:t>
      </w:r>
      <w:r w:rsidRPr="00AB28D0">
        <w:rPr>
          <w:rFonts w:ascii="Times New Roman" w:hAnsi="Times New Roman"/>
          <w:lang w:val="en-GB"/>
        </w:rPr>
        <w:t xml:space="preserve">, measuring 3.60 x 3.55 m, could serve as a workshop. This assumption is supported by </w:t>
      </w:r>
      <w:r w:rsidRPr="00876233">
        <w:rPr>
          <w:rFonts w:ascii="Times New Roman" w:eastAsia="Times New Roman" w:hAnsi="Times New Roman" w:cs="Times New Roman"/>
          <w:lang w:val="en-GB"/>
        </w:rPr>
        <w:t>a</w:t>
      </w:r>
      <w:r w:rsidRPr="00AB28D0">
        <w:rPr>
          <w:rFonts w:ascii="Times New Roman" w:hAnsi="Times New Roman"/>
          <w:lang w:val="en-GB"/>
        </w:rPr>
        <w:t xml:space="preserve"> 40 x 60 x 7 cm</w:t>
      </w:r>
      <w:r w:rsidRPr="00876233">
        <w:rPr>
          <w:rFonts w:ascii="Times New Roman" w:eastAsia="Times New Roman" w:hAnsi="Times New Roman" w:cs="Times New Roman"/>
          <w:lang w:val="en-GB"/>
        </w:rPr>
        <w:t xml:space="preserve"> bench</w:t>
      </w:r>
      <w:r w:rsidRPr="00AB28D0">
        <w:rPr>
          <w:rFonts w:ascii="Times New Roman" w:hAnsi="Times New Roman"/>
          <w:lang w:val="en-GB"/>
        </w:rPr>
        <w:t xml:space="preserve"> and a rectangular pit area adjacent to the south wall. </w:t>
      </w:r>
    </w:p>
    <w:p w14:paraId="4EA2A075" w14:textId="77777777" w:rsidR="001C57DB" w:rsidRPr="00AB28D0" w:rsidRDefault="001C57DB" w:rsidP="00AB28D0">
      <w:pPr>
        <w:jc w:val="both"/>
        <w:rPr>
          <w:rFonts w:ascii="Times New Roman" w:hAnsi="Times New Roman"/>
          <w:lang w:val="en-GB"/>
        </w:rPr>
      </w:pPr>
    </w:p>
    <w:p w14:paraId="4FF28E2E" w14:textId="6A3CC257" w:rsidR="001C57DB" w:rsidRPr="00AB28D0" w:rsidRDefault="001C57DB" w:rsidP="001C57DB">
      <w:pPr>
        <w:jc w:val="both"/>
        <w:rPr>
          <w:rFonts w:ascii="Times New Roman" w:hAnsi="Times New Roman"/>
          <w:lang w:val="en-GB"/>
        </w:rPr>
      </w:pPr>
      <w:r w:rsidRPr="00876233">
        <w:rPr>
          <w:rFonts w:ascii="Times New Roman" w:eastAsia="Times New Roman" w:hAnsi="Times New Roman" w:cs="Times New Roman"/>
          <w:lang w:val="en-GB"/>
        </w:rPr>
        <w:lastRenderedPageBreak/>
        <w:t>Like</w:t>
      </w:r>
      <w:r w:rsidRPr="00AB28D0">
        <w:rPr>
          <w:rFonts w:ascii="Times New Roman" w:hAnsi="Times New Roman"/>
          <w:lang w:val="en-GB"/>
        </w:rPr>
        <w:t xml:space="preserve"> the side walls, </w:t>
      </w:r>
      <w:r w:rsidRPr="00876233">
        <w:rPr>
          <w:rFonts w:ascii="Times New Roman" w:eastAsia="Times New Roman" w:hAnsi="Times New Roman" w:cs="Times New Roman"/>
          <w:lang w:val="en-GB"/>
        </w:rPr>
        <w:t xml:space="preserve">the southern walls </w:t>
      </w:r>
      <w:r w:rsidRPr="00AB28D0">
        <w:rPr>
          <w:rFonts w:ascii="Times New Roman" w:hAnsi="Times New Roman"/>
          <w:lang w:val="en-GB"/>
        </w:rPr>
        <w:t xml:space="preserve">were built by processing the bedrock and are </w:t>
      </w:r>
      <w:r w:rsidRPr="00876233">
        <w:rPr>
          <w:rFonts w:ascii="Times New Roman" w:eastAsia="Times New Roman" w:hAnsi="Times New Roman" w:cs="Times New Roman"/>
          <w:lang w:val="en-GB"/>
        </w:rPr>
        <w:t>pretty</w:t>
      </w:r>
      <w:r w:rsidRPr="00AB28D0">
        <w:rPr>
          <w:rFonts w:ascii="Times New Roman" w:hAnsi="Times New Roman"/>
          <w:lang w:val="en-GB"/>
        </w:rPr>
        <w:t xml:space="preserve"> high. We can understand that the </w:t>
      </w:r>
      <w:r w:rsidRPr="00876233">
        <w:rPr>
          <w:rFonts w:ascii="Times New Roman" w:eastAsia="Times New Roman" w:hAnsi="Times New Roman" w:cs="Times New Roman"/>
          <w:lang w:val="en-GB"/>
        </w:rPr>
        <w:t xml:space="preserve">bedrock's </w:t>
      </w:r>
      <w:r w:rsidRPr="00AB28D0">
        <w:rPr>
          <w:rFonts w:ascii="Times New Roman" w:hAnsi="Times New Roman"/>
          <w:lang w:val="en-GB"/>
        </w:rPr>
        <w:t xml:space="preserve">natural elevation is maximally </w:t>
      </w:r>
      <w:r w:rsidRPr="00876233">
        <w:rPr>
          <w:rFonts w:ascii="Times New Roman" w:eastAsia="Times New Roman" w:hAnsi="Times New Roman" w:cs="Times New Roman"/>
          <w:lang w:val="en-GB"/>
        </w:rPr>
        <w:t>utilized because</w:t>
      </w:r>
      <w:r w:rsidRPr="00AB28D0">
        <w:rPr>
          <w:rFonts w:ascii="Times New Roman" w:hAnsi="Times New Roman"/>
          <w:lang w:val="en-GB"/>
        </w:rPr>
        <w:t xml:space="preserve"> the wall foundations are at different elevations. The purposeful cavities on the upper sections of these processed walls suggest their intended placement as stone blocks. Notably, the benches extending along the bottom of these bedrock-carved areas, measuring 60 cm in width and 50 cm in height, are reminiscent of stone and mud brick </w:t>
      </w:r>
      <w:r w:rsidRPr="00876233">
        <w:rPr>
          <w:rFonts w:ascii="Times New Roman" w:eastAsia="Times New Roman" w:hAnsi="Times New Roman" w:cs="Times New Roman"/>
          <w:lang w:val="en-GB"/>
        </w:rPr>
        <w:t>practices</w:t>
      </w:r>
      <w:r w:rsidRPr="00AB28D0">
        <w:rPr>
          <w:rFonts w:ascii="Times New Roman" w:hAnsi="Times New Roman"/>
          <w:lang w:val="en-GB"/>
        </w:rPr>
        <w:t xml:space="preserve"> observed in Urartian</w:t>
      </w:r>
      <w:r w:rsidRPr="00876233">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palaces. These bench-adorned spaces, often serving as warehouses, share similarities with structures found in Van Fortress, such as the Doğu Odaları</w:t>
      </w:r>
      <w:r>
        <w:rPr>
          <w:rFonts w:asciiTheme="majorBidi" w:eastAsia="Times New Roman"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eastAsia="Times New Roman" w:hAnsiTheme="majorBidi" w:cstheme="majorBidi"/>
          <w:lang w:val="en-GB"/>
        </w:rPr>
        <w:fldChar w:fldCharType="end"/>
      </w:r>
      <w:r w:rsidRPr="00AB28D0">
        <w:rPr>
          <w:rFonts w:ascii="Times New Roman" w:hAnsi="Times New Roman"/>
          <w:lang w:val="en-GB"/>
        </w:rPr>
        <w:t xml:space="preserve"> tomb</w:t>
      </w:r>
      <w:r w:rsidRPr="00876233">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Doğu Odaları</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Neft Kuyu</w:t>
      </w:r>
      <w:r>
        <w:rPr>
          <w:rFonts w:asciiTheme="majorBidi" w:eastAsia="Times New Roman"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eastAsia="Times New Roman" w:hAnsiTheme="majorBidi" w:cstheme="majorBidi"/>
          <w:lang w:val="en-GB"/>
        </w:rPr>
        <w:fldChar w:fldCharType="end"/>
      </w:r>
      <w:r w:rsidRPr="00AB28D0">
        <w:rPr>
          <w:rFonts w:ascii="Times New Roman" w:hAnsi="Times New Roman"/>
          <w:lang w:val="en-GB"/>
        </w:rPr>
        <w:t xml:space="preserve"> tomb</w:t>
      </w:r>
      <w:r w:rsidRPr="00876233">
        <w:rPr>
          <w:rFonts w:ascii="Times New Roman" w:eastAsia="Times New Roman" w:hAnsi="Times New Roman" w:cs="Times New Roman"/>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Neft Kuyu</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and Analıkız</w:t>
      </w:r>
      <w:r w:rsidRPr="00876233">
        <w:rPr>
          <w:rFonts w:ascii="Times New Roman" w:eastAsia="Times New Roman" w:hAnsi="Times New Roman" w:cs="Times New Roman"/>
          <w:lang w:val="en-GB"/>
        </w:rPr>
        <w:t> </w:t>
      </w:r>
      <w:r w:rsidRPr="00AB28D0">
        <w:rPr>
          <w:rFonts w:ascii="Times New Roman" w:hAnsi="Times New Roman"/>
          <w:lang w:val="en-GB"/>
        </w:rPr>
        <w:t>building. Van Fortress Mound</w:t>
      </w:r>
      <w:r w:rsidRPr="00876233">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Van Fortress Mound</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mansions also feature terraces crafted from adobe and stone within their warehouse and hall areas. </w:t>
      </w:r>
      <w:r w:rsidRPr="00876233">
        <w:rPr>
          <w:rFonts w:ascii="Times New Roman" w:eastAsia="Times New Roman" w:hAnsi="Times New Roman" w:cs="Times New Roman"/>
          <w:lang w:val="en-GB"/>
        </w:rPr>
        <w:t>In</w:t>
      </w:r>
      <w:r w:rsidRPr="00AB28D0">
        <w:rPr>
          <w:rFonts w:ascii="Times New Roman" w:hAnsi="Times New Roman"/>
          <w:lang w:val="en-GB"/>
        </w:rPr>
        <w:t xml:space="preserve"> Yoncatepe</w:t>
      </w:r>
      <w:r w:rsidRPr="00876233">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Yoncatepe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(Belli, 2012)</w:t>
      </w:r>
      <w:r w:rsidRPr="00876233">
        <w:rPr>
          <w:rFonts w:ascii="Times New Roman" w:eastAsia="Times New Roman" w:hAnsi="Times New Roman" w:cs="Times New Roman"/>
          <w:lang w:val="en-GB"/>
        </w:rPr>
        <w:t>  </w:t>
      </w:r>
      <w:r w:rsidRPr="00AB28D0">
        <w:rPr>
          <w:rFonts w:ascii="Times New Roman" w:hAnsi="Times New Roman"/>
          <w:lang w:val="en-GB"/>
        </w:rPr>
        <w:t xml:space="preserve"> and Ayanis</w:t>
      </w:r>
      <w:r w:rsidRPr="00876233">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"Ayanis"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(Erdem &amp; Çilingiroğlu, 2010</w:t>
      </w:r>
      <w:r w:rsidRPr="00876233">
        <w:rPr>
          <w:rFonts w:ascii="Times New Roman" w:eastAsia="Times New Roman" w:hAnsi="Times New Roman" w:cs="Times New Roman"/>
          <w:lang w:val="en-GB"/>
        </w:rPr>
        <w:t>), domestic spaces</w:t>
      </w:r>
      <w:r w:rsidRPr="00AB28D0">
        <w:rPr>
          <w:rFonts w:ascii="Times New Roman" w:hAnsi="Times New Roman"/>
          <w:lang w:val="en-GB"/>
        </w:rPr>
        <w:t xml:space="preserve"> also frequently incorporate benches along their walls. These architectural elements, showcasing the careful processing of bedrock and the integration of benches and terraces, provide valuable insights into the design and functionality of these structures.</w:t>
      </w:r>
    </w:p>
    <w:p w14:paraId="2C9536B2"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drawing>
          <wp:inline distT="0" distB="0" distL="0" distR="0" wp14:anchorId="3BA00BA9" wp14:editId="05EC1A54">
            <wp:extent cx="5756910" cy="3828415"/>
            <wp:effectExtent l="0" t="0" r="0" b="0"/>
            <wp:docPr id="1858684527" name="Resim 1858684527" descr="açık hava, gök, çayır, ta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4.png" descr="açık hava, gök, çayır, taş içeren bir resim&#10;&#10;Açıklama otomatik olarak oluşturuldu"/>
                    <pic:cNvPicPr preferRelativeResize="0"/>
                  </pic:nvPicPr>
                  <pic:blipFill>
                    <a:blip r:embed="rId253"/>
                    <a:srcRect/>
                    <a:stretch>
                      <a:fillRect/>
                    </a:stretch>
                  </pic:blipFill>
                  <pic:spPr>
                    <a:xfrm>
                      <a:off x="0" y="0"/>
                      <a:ext cx="5756910" cy="3828415"/>
                    </a:xfrm>
                    <a:prstGeom prst="rect">
                      <a:avLst/>
                    </a:prstGeom>
                    <a:ln/>
                  </pic:spPr>
                </pic:pic>
              </a:graphicData>
            </a:graphic>
          </wp:inline>
        </w:drawing>
      </w:r>
    </w:p>
    <w:p w14:paraId="7360075A"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18 View of the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areas D, B, and A from the north.</w:t>
      </w:r>
    </w:p>
    <w:p w14:paraId="46070CD8" w14:textId="77777777" w:rsidR="001C57DB" w:rsidRPr="00AB28D0" w:rsidRDefault="001C57DB" w:rsidP="00AB28D0">
      <w:pPr>
        <w:keepNext/>
        <w:keepLines/>
        <w:spacing w:before="320" w:after="80" w:line="276" w:lineRule="auto"/>
        <w:jc w:val="both"/>
        <w:outlineLvl w:val="2"/>
        <w:rPr>
          <w:rFonts w:ascii="Times New Roman" w:hAnsi="Times New Roman"/>
          <w:b/>
          <w:color w:val="434343"/>
          <w:lang w:val="en-GB"/>
        </w:rPr>
      </w:pPr>
      <w:bookmarkStart w:id="125" w:name="_3dy6vkm" w:colFirst="0" w:colLast="0"/>
      <w:bookmarkStart w:id="126" w:name="_Toc173231236"/>
      <w:bookmarkEnd w:id="125"/>
      <w:r w:rsidRPr="00AB28D0">
        <w:rPr>
          <w:rFonts w:ascii="Times New Roman" w:hAnsi="Times New Roman"/>
          <w:b/>
          <w:color w:val="434343"/>
          <w:lang w:val="en-GB"/>
        </w:rPr>
        <w:lastRenderedPageBreak/>
        <w:t>8.2.3. Area C</w:t>
      </w:r>
      <w:bookmarkEnd w:id="126"/>
    </w:p>
    <w:p w14:paraId="17848BC5"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drawing>
          <wp:inline distT="0" distB="0" distL="0" distR="0" wp14:anchorId="4DBACA61" wp14:editId="11F2B81E">
            <wp:extent cx="4797287" cy="3313043"/>
            <wp:effectExtent l="0" t="0" r="3810" b="1905"/>
            <wp:docPr id="1860528432" name="Resim 1860528432" descr="açık hava, taş, doğa, taşl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5.png" descr="açık hava, taş, doğa, taşlı içeren bir resim&#10;&#10;Açıklama otomatik olarak oluşturuldu"/>
                    <pic:cNvPicPr preferRelativeResize="0"/>
                  </pic:nvPicPr>
                  <pic:blipFill>
                    <a:blip r:embed="rId254" cstate="email">
                      <a:extLst>
                        <a:ext uri="{28A0092B-C50C-407E-A947-70E740481C1C}">
                          <a14:useLocalDpi xmlns:a14="http://schemas.microsoft.com/office/drawing/2010/main"/>
                        </a:ext>
                      </a:extLst>
                    </a:blip>
                    <a:srcRect/>
                    <a:stretch>
                      <a:fillRect/>
                    </a:stretch>
                  </pic:blipFill>
                  <pic:spPr>
                    <a:xfrm>
                      <a:off x="0" y="0"/>
                      <a:ext cx="4823780" cy="3331339"/>
                    </a:xfrm>
                    <a:prstGeom prst="rect">
                      <a:avLst/>
                    </a:prstGeom>
                    <a:ln/>
                  </pic:spPr>
                </pic:pic>
              </a:graphicData>
            </a:graphic>
          </wp:inline>
        </w:drawing>
      </w:r>
    </w:p>
    <w:p w14:paraId="58C32207" w14:textId="104A4971" w:rsidR="001C57DB" w:rsidRPr="00AB28D0" w:rsidRDefault="001C57DB" w:rsidP="00AB28D0">
      <w:pPr>
        <w:jc w:val="both"/>
        <w:rPr>
          <w:rFonts w:ascii="Times New Roman" w:hAnsi="Times New Roman"/>
          <w:lang w:val="en-GB"/>
        </w:rPr>
      </w:pPr>
      <w:r w:rsidRPr="00AB28D0">
        <w:rPr>
          <w:rFonts w:ascii="Times New Roman" w:hAnsi="Times New Roman"/>
          <w:lang w:val="en-GB"/>
        </w:rPr>
        <w:t>Fig. 19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 C, foundation pits carved into bedrock from the north.</w:t>
      </w:r>
    </w:p>
    <w:p w14:paraId="50FD4421" w14:textId="60AE0D8A" w:rsidR="001C57DB" w:rsidRPr="00AB28D0" w:rsidRDefault="001C57DB" w:rsidP="001C57DB">
      <w:pPr>
        <w:jc w:val="both"/>
        <w:rPr>
          <w:rFonts w:ascii="Times New Roman" w:hAnsi="Times New Roman"/>
          <w:lang w:val="en-GB"/>
        </w:rPr>
      </w:pPr>
      <w:r w:rsidRPr="00AB28D0">
        <w:rPr>
          <w:rFonts w:ascii="Times New Roman" w:hAnsi="Times New Roman"/>
          <w:lang w:val="en-GB"/>
        </w:rPr>
        <w:t>Considering the location, spread of the foundation pits, and directions of the areas extending to the Argišti I</w:t>
      </w:r>
      <w:r w:rsidRPr="00876233">
        <w:rPr>
          <w:rFonts w:ascii="Times New Roman" w:eastAsia="Times New Roman" w:hAnsi="Times New Roman" w:cs="Times New Roman"/>
          <w:iCs/>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iCs/>
          <w:lang w:val="en-GB"/>
        </w:rPr>
        <w:instrText>Argišti</w:instrText>
      </w:r>
      <w:r w:rsidRPr="00F03A26">
        <w:rPr>
          <w:rFonts w:asciiTheme="majorBidi" w:eastAsia="Times New Roman" w:hAnsiTheme="majorBidi" w:cstheme="majorBidi"/>
          <w:lang w:val="en-GB"/>
        </w:rPr>
        <w:instrText xml:space="preserve"> 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tomb</w:t>
      </w:r>
      <w:r w:rsidRPr="00876233">
        <w:rPr>
          <w:rFonts w:ascii="Times New Roman" w:eastAsia="Times New Roman" w:hAnsi="Times New Roman" w:cs="Times New Roman"/>
          <w:iCs/>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iCs/>
          <w:lang w:val="en-GB"/>
        </w:rPr>
        <w:instrText>Argišti</w:instrText>
      </w:r>
      <w:r w:rsidRPr="00F03A26">
        <w:rPr>
          <w:rFonts w:asciiTheme="majorBidi" w:eastAsia="Times New Roman" w:hAnsiTheme="majorBidi" w:cstheme="majorBidi"/>
          <w:lang w:val="en-GB"/>
        </w:rPr>
        <w:instrText xml:space="preserve"> I </w:instrText>
      </w:r>
      <w:r>
        <w:rPr>
          <w:rFonts w:asciiTheme="majorBidi" w:eastAsia="Times New Roman" w:hAnsiTheme="majorBidi" w:cstheme="majorBidi"/>
          <w:lang w:val="en-GB"/>
        </w:rPr>
        <w:instrText>t</w:instrText>
      </w:r>
      <w:r w:rsidRPr="00F03A26">
        <w:rPr>
          <w:rFonts w:asciiTheme="majorBidi" w:eastAsia="Times New Roman" w:hAnsiTheme="majorBidi" w:cstheme="majorBidi"/>
          <w:lang w:val="en-GB"/>
        </w:rPr>
        <w:instrText>omb</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to the west of the second part of the New Palace</w:t>
      </w:r>
      <w:r w:rsidRPr="00876233">
        <w:rPr>
          <w:rFonts w:ascii="Times New Roman" w:eastAsia="Times New Roman" w:hAnsi="Times New Roman" w:cs="Times New Roman"/>
          <w:iCs/>
          <w:lang w:val="en-GB"/>
        </w:rPr>
        <w: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AB28D0">
        <w:rPr>
          <w:rFonts w:ascii="Times New Roman" w:hAnsi="Times New Roman"/>
          <w:lang w:val="en-GB"/>
        </w:rPr>
        <w:t xml:space="preserve"> we can say that these areas were planned with area A as their function and usage period. The foundation pits opened into the cliff in the south of the area</w:t>
      </w:r>
      <w:r w:rsidRPr="00876233">
        <w:rPr>
          <w:rFonts w:ascii="Times New Roman" w:eastAsia="Times New Roman" w:hAnsi="Times New Roman" w:cs="Times New Roman"/>
          <w:iCs/>
          <w:lang w:val="en-GB"/>
        </w:rPr>
        <w:t>, indicating</w:t>
      </w:r>
      <w:r w:rsidRPr="00AB28D0">
        <w:rPr>
          <w:rFonts w:ascii="Times New Roman" w:hAnsi="Times New Roman"/>
          <w:lang w:val="en-GB"/>
        </w:rPr>
        <w:t xml:space="preserve"> that this section was also bounded by terrace/support walls in the same direction. Considering both its location and the dimensions of the rock work, </w:t>
      </w:r>
      <w:r w:rsidRPr="00876233">
        <w:rPr>
          <w:rFonts w:ascii="Times New Roman" w:eastAsia="Times New Roman" w:hAnsi="Times New Roman" w:cs="Times New Roman"/>
          <w:iCs/>
          <w:lang w:val="en-GB"/>
        </w:rPr>
        <w:t>significant</w:t>
      </w:r>
      <w:r w:rsidRPr="00AB28D0">
        <w:rPr>
          <w:rFonts w:ascii="Times New Roman" w:hAnsi="Times New Roman"/>
          <w:lang w:val="en-GB"/>
        </w:rPr>
        <w:t xml:space="preserve"> building groups were </w:t>
      </w:r>
      <w:r w:rsidRPr="00876233">
        <w:rPr>
          <w:rFonts w:ascii="Times New Roman" w:eastAsia="Times New Roman" w:hAnsi="Times New Roman" w:cs="Times New Roman"/>
          <w:iCs/>
          <w:lang w:val="en-GB"/>
        </w:rPr>
        <w:t xml:space="preserve">undoubtedly </w:t>
      </w:r>
      <w:r w:rsidRPr="00AB28D0">
        <w:rPr>
          <w:rFonts w:ascii="Times New Roman" w:hAnsi="Times New Roman"/>
          <w:lang w:val="en-GB"/>
        </w:rPr>
        <w:t xml:space="preserve">built in this area (Fig. 19). More </w:t>
      </w:r>
      <w:r w:rsidR="00AB28D0" w:rsidRPr="00AB28D0">
        <w:rPr>
          <w:rFonts w:ascii="Times New Roman" w:hAnsi="Times New Roman"/>
          <w:lang w:val="en-GB"/>
        </w:rPr>
        <w:t>importantly</w:t>
      </w:r>
      <w:r w:rsidR="00AB28D0" w:rsidRPr="00876233">
        <w:rPr>
          <w:rFonts w:ascii="Times New Roman" w:eastAsia="Times New Roman" w:hAnsi="Times New Roman" w:cs="Times New Roman"/>
          <w:iCs/>
          <w:lang w:val="en-GB"/>
        </w:rPr>
        <w:t>,</w:t>
      </w:r>
      <w:r w:rsidRPr="00AB28D0">
        <w:rPr>
          <w:rFonts w:ascii="Times New Roman" w:hAnsi="Times New Roman"/>
          <w:lang w:val="en-GB"/>
        </w:rPr>
        <w:t xml:space="preserve"> it is the presence of the Argišti I tomb, which was dug into the rocky area to the southeast</w:t>
      </w:r>
      <w:r w:rsidRPr="00876233">
        <w:rPr>
          <w:rFonts w:ascii="Times New Roman" w:eastAsia="Times New Roman" w:hAnsi="Times New Roman" w:cs="Times New Roman"/>
          <w:iCs/>
          <w:lang w:val="en-GB"/>
        </w:rPr>
        <w:t>.</w:t>
      </w:r>
      <w:r w:rsidRPr="00AB28D0">
        <w:rPr>
          <w:rFonts w:ascii="Times New Roman" w:hAnsi="Times New Roman"/>
          <w:lang w:val="en-GB"/>
        </w:rPr>
        <w:t xml:space="preserve"> The south-facing bedrock surface was completely </w:t>
      </w:r>
      <w:r w:rsidRPr="00876233">
        <w:rPr>
          <w:rFonts w:ascii="Times New Roman" w:eastAsia="Times New Roman" w:hAnsi="Times New Roman" w:cs="Times New Roman"/>
          <w:iCs/>
          <w:lang w:val="en-GB"/>
        </w:rPr>
        <w:t>leveled</w:t>
      </w:r>
      <w:r w:rsidRPr="00AB28D0">
        <w:rPr>
          <w:rFonts w:ascii="Times New Roman" w:hAnsi="Times New Roman"/>
          <w:lang w:val="en-GB"/>
        </w:rPr>
        <w:t xml:space="preserve"> to form a facade</w:t>
      </w:r>
      <w:r w:rsidRPr="00876233">
        <w:rPr>
          <w:rFonts w:ascii="Times New Roman" w:eastAsia="Times New Roman" w:hAnsi="Times New Roman" w:cs="Times New Roman"/>
          <w:iCs/>
          <w:lang w:val="en-GB"/>
        </w:rPr>
        <w:t>,</w:t>
      </w:r>
      <w:r w:rsidRPr="00AB28D0">
        <w:rPr>
          <w:rFonts w:ascii="Times New Roman" w:hAnsi="Times New Roman"/>
          <w:lang w:val="en-GB"/>
        </w:rPr>
        <w:t xml:space="preserve"> and the </w:t>
      </w:r>
      <w:r w:rsidRPr="00876233">
        <w:rPr>
          <w:rFonts w:ascii="Times New Roman" w:eastAsia="Times New Roman" w:hAnsi="Times New Roman" w:cs="Times New Roman"/>
          <w:iCs/>
          <w:lang w:val="en-GB"/>
        </w:rPr>
        <w:t>Argišti</w:t>
      </w:r>
      <w:r>
        <w:rPr>
          <w:rFonts w:ascii="Times New Roman" w:eastAsia="Times New Roman" w:hAnsi="Times New Roman" w:cs="Times New Roman"/>
          <w:iCs/>
          <w:lang w:val="en-GB"/>
        </w:rPr>
        <w:t xml:space="preserve"> </w:t>
      </w:r>
      <w:r w:rsidRPr="00876233">
        <w:rPr>
          <w:rFonts w:ascii="Times New Roman" w:eastAsia="Times New Roman" w:hAnsi="Times New Roman" w:cs="Times New Roman"/>
          <w:iCs/>
          <w:lang w:val="en-GB"/>
        </w:rPr>
        <w:t>I</w:t>
      </w:r>
      <w:r w:rsidRPr="00AB28D0">
        <w:rPr>
          <w:rFonts w:ascii="Times New Roman" w:hAnsi="Times New Roman"/>
          <w:lang w:val="en-GB"/>
        </w:rPr>
        <w:t xml:space="preserve"> tomb complex was carved under the site (to the north). The density of the bedrock traces in this area</w:t>
      </w:r>
      <w:r w:rsidRPr="00876233">
        <w:rPr>
          <w:rFonts w:ascii="Times New Roman" w:eastAsia="Times New Roman" w:hAnsi="Times New Roman" w:cs="Times New Roman"/>
          <w:iCs/>
          <w:lang w:val="en-GB"/>
        </w:rPr>
        <w:t>,</w:t>
      </w:r>
      <w:r w:rsidRPr="00AB28D0">
        <w:rPr>
          <w:rFonts w:ascii="Times New Roman" w:hAnsi="Times New Roman"/>
          <w:lang w:val="en-GB"/>
        </w:rPr>
        <w:t xml:space="preserve"> and the </w:t>
      </w:r>
      <w:r w:rsidRPr="00876233">
        <w:rPr>
          <w:rFonts w:ascii="Times New Roman" w:eastAsia="Times New Roman" w:hAnsi="Times New Roman" w:cs="Times New Roman"/>
          <w:iCs/>
          <w:lang w:val="en-GB"/>
        </w:rPr>
        <w:t>primary</w:t>
      </w:r>
      <w:r w:rsidRPr="00AB28D0">
        <w:rPr>
          <w:rFonts w:ascii="Times New Roman" w:hAnsi="Times New Roman"/>
          <w:lang w:val="en-GB"/>
        </w:rPr>
        <w:t xml:space="preserve"> organization chart on the east-west axis </w:t>
      </w:r>
      <w:r w:rsidRPr="00876233">
        <w:rPr>
          <w:rFonts w:ascii="Times New Roman" w:eastAsia="Times New Roman" w:hAnsi="Times New Roman" w:cs="Times New Roman"/>
          <w:iCs/>
          <w:lang w:val="en-GB"/>
        </w:rPr>
        <w:t>shows</w:t>
      </w:r>
      <w:r w:rsidRPr="00AB28D0">
        <w:rPr>
          <w:rFonts w:ascii="Times New Roman" w:hAnsi="Times New Roman"/>
          <w:lang w:val="en-GB"/>
        </w:rPr>
        <w:t xml:space="preserve"> an </w:t>
      </w:r>
      <w:r w:rsidRPr="00876233">
        <w:rPr>
          <w:rFonts w:ascii="Times New Roman" w:eastAsia="Times New Roman" w:hAnsi="Times New Roman" w:cs="Times New Roman"/>
          <w:iCs/>
          <w:lang w:val="en-GB"/>
        </w:rPr>
        <w:t>essential</w:t>
      </w:r>
      <w:r w:rsidRPr="00AB28D0">
        <w:rPr>
          <w:rFonts w:ascii="Times New Roman" w:hAnsi="Times New Roman"/>
          <w:lang w:val="en-GB"/>
        </w:rPr>
        <w:t xml:space="preserve"> construction on the upper part of the Argišti I tomb.</w:t>
      </w:r>
    </w:p>
    <w:p w14:paraId="1F2B7ACF" w14:textId="77777777" w:rsidR="001C57DB" w:rsidRPr="00AB28D0" w:rsidRDefault="001C57DB" w:rsidP="00AB28D0">
      <w:pPr>
        <w:keepNext/>
        <w:keepLines/>
        <w:tabs>
          <w:tab w:val="right" w:pos="9029"/>
        </w:tabs>
        <w:spacing w:before="320" w:after="80" w:line="276" w:lineRule="auto"/>
        <w:jc w:val="both"/>
        <w:outlineLvl w:val="2"/>
        <w:rPr>
          <w:rFonts w:ascii="Times New Roman" w:hAnsi="Times New Roman"/>
          <w:b/>
          <w:color w:val="434343"/>
          <w:lang w:val="en-GB"/>
        </w:rPr>
      </w:pPr>
      <w:bookmarkStart w:id="127" w:name="_1t3h5sf"/>
      <w:bookmarkStart w:id="128" w:name="_Toc173231237"/>
      <w:bookmarkEnd w:id="127"/>
      <w:r w:rsidRPr="00AB28D0">
        <w:rPr>
          <w:rFonts w:ascii="Times New Roman" w:hAnsi="Times New Roman"/>
          <w:b/>
          <w:color w:val="434343"/>
          <w:lang w:val="en-GB"/>
        </w:rPr>
        <w:t>8.2.4. Area E</w:t>
      </w:r>
      <w:bookmarkEnd w:id="128"/>
      <w:r w:rsidRPr="00AB28D0">
        <w:rPr>
          <w:rFonts w:ascii="Times New Roman" w:hAnsi="Times New Roman"/>
          <w:b/>
          <w:color w:val="434343"/>
          <w:lang w:val="en-GB"/>
        </w:rPr>
        <w:tab/>
      </w:r>
    </w:p>
    <w:p w14:paraId="1319B7A8" w14:textId="2312705F" w:rsidR="001C57DB" w:rsidRPr="00AB28D0" w:rsidRDefault="001C57DB" w:rsidP="00AB28D0">
      <w:pPr>
        <w:jc w:val="both"/>
        <w:rPr>
          <w:rFonts w:ascii="Times New Roman" w:hAnsi="Times New Roman"/>
          <w:lang w:val="en-GB"/>
        </w:rPr>
      </w:pPr>
      <w:r w:rsidRPr="00AB28D0">
        <w:rPr>
          <w:rFonts w:ascii="Times New Roman" w:hAnsi="Times New Roman"/>
          <w:lang w:val="en-GB"/>
        </w:rPr>
        <w:t xml:space="preserve">As mentioned above, area E is closest to the plain level. The foundation pits can be viewed from the surface in an area of 90 x 20 m. As in other areas, the </w:t>
      </w:r>
      <w:r w:rsidRPr="00876233">
        <w:rPr>
          <w:rFonts w:ascii="Times New Roman" w:eastAsia="Times New Roman" w:hAnsi="Times New Roman" w:cs="Times New Roman"/>
          <w:lang w:val="en-GB"/>
        </w:rPr>
        <w:t>central</w:t>
      </w:r>
      <w:r w:rsidRPr="00AB28D0">
        <w:rPr>
          <w:rFonts w:ascii="Times New Roman" w:hAnsi="Times New Roman"/>
          <w:lang w:val="en-GB"/>
        </w:rPr>
        <w:t xml:space="preserve"> axis of the foundation deposits is east-west oriented. Therefore, in addition</w:t>
      </w:r>
      <w:r w:rsidRPr="00876233">
        <w:rPr>
          <w:rFonts w:ascii="Times New Roman" w:eastAsia="Times New Roman" w:hAnsi="Times New Roman" w:cs="Times New Roman"/>
          <w:lang w:val="en-GB"/>
        </w:rPr>
        <w:t xml:space="preserve"> to</w:t>
      </w:r>
      <w:r w:rsidRPr="00AB28D0">
        <w:rPr>
          <w:rFonts w:ascii="Times New Roman" w:hAnsi="Times New Roman"/>
          <w:lang w:val="en-GB"/>
        </w:rPr>
        <w:t xml:space="preserve"> its structural character, it indicates that buildings extend in the same direction as in other areas of the New Palace</w:t>
      </w:r>
      <w:r w:rsidRPr="00876233">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Section were built here as well (Fig. 20). On the other hand, we previously stated that the fact that the beds are in this direction may be related to the topography of the rock in the east-west direction. The positioning of the rock along the border with the plain suggests the possibility of establishing a </w:t>
      </w:r>
      <w:r w:rsidRPr="00876233">
        <w:rPr>
          <w:rFonts w:ascii="Times New Roman" w:eastAsia="Times New Roman" w:hAnsi="Times New Roman" w:cs="Times New Roman"/>
          <w:lang w:val="en-GB"/>
        </w:rPr>
        <w:t>defense</w:t>
      </w:r>
      <w:r w:rsidRPr="00AB28D0">
        <w:rPr>
          <w:rFonts w:ascii="Times New Roman" w:hAnsi="Times New Roman"/>
          <w:lang w:val="en-GB"/>
        </w:rPr>
        <w:t xml:space="preserve"> system in this particular area, given the inherent vulnerability of the natural </w:t>
      </w:r>
      <w:r w:rsidRPr="00876233">
        <w:rPr>
          <w:rFonts w:ascii="Times New Roman" w:eastAsia="Times New Roman" w:hAnsi="Times New Roman" w:cs="Times New Roman"/>
          <w:lang w:val="en-GB"/>
        </w:rPr>
        <w:t>defense</w:t>
      </w:r>
      <w:r w:rsidRPr="00AB28D0">
        <w:rPr>
          <w:rFonts w:ascii="Times New Roman" w:hAnsi="Times New Roman"/>
          <w:lang w:val="en-GB"/>
        </w:rPr>
        <w:t>. However, consistent with comparable Urartian</w:t>
      </w:r>
      <w:r w:rsidRPr="00876233">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practices, it can be inferred that structures serving diverse functions were likely constructed atop this </w:t>
      </w:r>
      <w:r w:rsidRPr="00876233">
        <w:rPr>
          <w:rFonts w:ascii="Times New Roman" w:eastAsia="Times New Roman" w:hAnsi="Times New Roman" w:cs="Times New Roman"/>
          <w:lang w:val="en-GB"/>
        </w:rPr>
        <w:t>defense</w:t>
      </w:r>
      <w:r w:rsidRPr="00AB28D0">
        <w:rPr>
          <w:rFonts w:ascii="Times New Roman" w:hAnsi="Times New Roman"/>
          <w:lang w:val="en-GB"/>
        </w:rPr>
        <w:t xml:space="preserve"> system or wall.</w:t>
      </w:r>
    </w:p>
    <w:p w14:paraId="5CA75D27" w14:textId="77777777" w:rsidR="001C57DB" w:rsidRPr="00AB28D0" w:rsidRDefault="001C57DB" w:rsidP="00AB28D0">
      <w:pPr>
        <w:jc w:val="both"/>
        <w:rPr>
          <w:rFonts w:ascii="Times New Roman" w:hAnsi="Times New Roman"/>
          <w:lang w:val="en-GB"/>
        </w:rPr>
      </w:pPr>
      <w:r w:rsidRPr="00AB28D0">
        <w:rPr>
          <w:rFonts w:ascii="Times New Roman" w:hAnsi="Times New Roman"/>
          <w:noProof/>
        </w:rPr>
        <w:lastRenderedPageBreak/>
        <w:drawing>
          <wp:inline distT="0" distB="0" distL="0" distR="0" wp14:anchorId="278E1850" wp14:editId="11477E7F">
            <wp:extent cx="5756910" cy="2528570"/>
            <wp:effectExtent l="0" t="0" r="0" b="0"/>
            <wp:docPr id="376681260" name="Resim 376681260" descr="taş,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6.png" descr="taş, dağ içeren bir resim&#10;&#10;Açıklama otomatik olarak oluşturuldu"/>
                    <pic:cNvPicPr preferRelativeResize="0"/>
                  </pic:nvPicPr>
                  <pic:blipFill>
                    <a:blip r:embed="rId255"/>
                    <a:srcRect/>
                    <a:stretch>
                      <a:fillRect/>
                    </a:stretch>
                  </pic:blipFill>
                  <pic:spPr>
                    <a:xfrm>
                      <a:off x="0" y="0"/>
                      <a:ext cx="5756910" cy="2528570"/>
                    </a:xfrm>
                    <a:prstGeom prst="rect">
                      <a:avLst/>
                    </a:prstGeom>
                    <a:ln/>
                  </pic:spPr>
                </pic:pic>
              </a:graphicData>
            </a:graphic>
          </wp:inline>
        </w:drawing>
      </w:r>
    </w:p>
    <w:p w14:paraId="1BAD990E" w14:textId="77777777" w:rsidR="001C57DB" w:rsidRPr="00AB28D0" w:rsidRDefault="001C57DB" w:rsidP="00AB28D0">
      <w:pPr>
        <w:jc w:val="both"/>
        <w:rPr>
          <w:rFonts w:ascii="Times New Roman" w:hAnsi="Times New Roman"/>
          <w:lang w:val="en-GB"/>
        </w:rPr>
      </w:pPr>
      <w:r w:rsidRPr="00AB28D0">
        <w:rPr>
          <w:rFonts w:ascii="Times New Roman" w:hAnsi="Times New Roman"/>
          <w:lang w:val="en-GB"/>
        </w:rPr>
        <w:t>Fig. 20 Possible appearance of structures in the New Palace</w:t>
      </w:r>
      <w:r w:rsidRPr="00AB28D0">
        <w:rPr>
          <w:rFonts w:ascii="Times New Roman" w:hAnsi="Times New Roman"/>
          <w:lang w:val="en-GB"/>
        </w:rPr>
        <w:fldChar w:fldCharType="begin"/>
      </w:r>
      <w:r w:rsidRPr="00AB28D0">
        <w:rPr>
          <w:rFonts w:ascii="Calibri" w:hAnsi="Calibri"/>
          <w:lang w:val="en-GB"/>
        </w:rPr>
        <w:instrText xml:space="preserve"> XE "</w:instrText>
      </w:r>
      <w:r w:rsidRPr="00AB28D0">
        <w:rPr>
          <w:rFonts w:ascii="Times New Roman" w:hAnsi="Times New Roman"/>
          <w:lang w:val="en-GB"/>
        </w:rPr>
        <w:instrText>New Palace</w:instrText>
      </w:r>
      <w:r w:rsidRPr="00AB28D0">
        <w:rPr>
          <w:rFonts w:ascii="Calibri" w:hAnsi="Calibri"/>
          <w:lang w:val="en-GB"/>
        </w:rPr>
        <w:instrText xml:space="preserve">" </w:instrText>
      </w:r>
      <w:r w:rsidRPr="00AB28D0">
        <w:rPr>
          <w:rFonts w:ascii="Times New Roman" w:hAnsi="Times New Roman"/>
          <w:lang w:val="en-GB"/>
        </w:rPr>
        <w:fldChar w:fldCharType="end"/>
      </w:r>
      <w:r w:rsidRPr="00AB28D0">
        <w:rPr>
          <w:rFonts w:ascii="Times New Roman" w:hAnsi="Times New Roman"/>
          <w:lang w:val="en-GB"/>
        </w:rPr>
        <w:t xml:space="preserve"> areas E, B and A, from the west.</w:t>
      </w:r>
    </w:p>
    <w:p w14:paraId="6DD57989" w14:textId="77777777" w:rsidR="001C57DB" w:rsidRPr="00AB28D0" w:rsidRDefault="001C57DB" w:rsidP="00AB28D0">
      <w:pPr>
        <w:jc w:val="both"/>
        <w:rPr>
          <w:rFonts w:ascii="Times New Roman" w:hAnsi="Times New Roman"/>
          <w:lang w:val="en-GB"/>
        </w:rPr>
      </w:pPr>
    </w:p>
    <w:p w14:paraId="31A4799A" w14:textId="77777777" w:rsidR="001C57DB" w:rsidRPr="00AB28D0" w:rsidRDefault="001C57DB" w:rsidP="00AB28D0">
      <w:pPr>
        <w:keepNext/>
        <w:keepLines/>
        <w:spacing w:before="40"/>
        <w:jc w:val="both"/>
        <w:outlineLvl w:val="1"/>
        <w:rPr>
          <w:rFonts w:ascii="Times New Roman" w:hAnsi="Times New Roman"/>
          <w:b/>
          <w:color w:val="000000"/>
          <w:sz w:val="28"/>
          <w:lang w:val="en-GB"/>
        </w:rPr>
      </w:pPr>
      <w:bookmarkStart w:id="129" w:name="_4d34og8" w:colFirst="0" w:colLast="0"/>
      <w:bookmarkStart w:id="130" w:name="_Toc173231238"/>
      <w:bookmarkEnd w:id="129"/>
      <w:r w:rsidRPr="00AB28D0">
        <w:rPr>
          <w:rFonts w:ascii="Times New Roman" w:hAnsi="Times New Roman"/>
          <w:b/>
          <w:color w:val="000000"/>
          <w:sz w:val="28"/>
          <w:lang w:val="en-GB"/>
        </w:rPr>
        <w:t>8.3. Conclusion</w:t>
      </w:r>
      <w:bookmarkEnd w:id="130"/>
    </w:p>
    <w:p w14:paraId="0DD9D3F4" w14:textId="29796DC9" w:rsidR="001C57DB" w:rsidRDefault="001C57DB" w:rsidP="001C57DB">
      <w:pPr>
        <w:jc w:val="both"/>
        <w:rPr>
          <w:rFonts w:ascii="Times New Roman" w:hAnsi="Times New Roman"/>
          <w:lang w:val="en-GB"/>
        </w:rPr>
      </w:pPr>
      <w:r w:rsidRPr="00AB28D0">
        <w:rPr>
          <w:rFonts w:ascii="Times New Roman" w:hAnsi="Times New Roman"/>
          <w:lang w:val="en-GB"/>
        </w:rPr>
        <w:t>A small portion of the area known as the Old Palace</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Old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has been excavated within the Ṭušpa</w:t>
      </w:r>
      <w:r w:rsidRPr="00E73186">
        <w:rPr>
          <w:rFonts w:ascii="Times New Roman" w:eastAsia="Times New Roman" w:hAnsi="Times New Roman" w:cs="Times New Roman"/>
          <w:lang w:val="en-GB"/>
        </w:rPr>
        <w:t> </w:t>
      </w:r>
      <w:r w:rsidRPr="00F03A26">
        <w:rPr>
          <w:rFonts w:asciiTheme="majorBidi" w:eastAsia="Times New Roman" w:hAnsiTheme="majorBidi" w:cstheme="majorBidi"/>
          <w:i/>
          <w:iCs/>
          <w:lang w:val="en-GB"/>
        </w:rPr>
        <w:t xml:space="preserve"> </w:t>
      </w:r>
      <w:r w:rsidRPr="00AB28D0">
        <w:rPr>
          <w:rFonts w:ascii="Times New Roman" w:hAnsi="Times New Roman"/>
          <w:lang w:val="en-GB"/>
        </w:rPr>
        <w:t>İç Kale</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İç Kale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w:t>
      </w:r>
      <w:r w:rsidRPr="00AB28D0">
        <w:rPr>
          <w:rFonts w:ascii="Times New Roman" w:hAnsi="Times New Roman"/>
          <w:lang w:val="en-GB"/>
        </w:rPr>
        <w:t xml:space="preserve"> Surrounded by walls and displaying structural features of the city wall</w:t>
      </w:r>
      <w:r w:rsidRPr="00E73186">
        <w:rPr>
          <w:rFonts w:ascii="Times New Roman" w:eastAsia="Times New Roman" w:hAnsi="Times New Roman" w:cs="Times New Roman"/>
          <w:lang w:val="en-GB"/>
        </w:rPr>
        <w:t xml:space="preserve"> and</w:t>
      </w:r>
      <w:r w:rsidRPr="00AB28D0">
        <w:rPr>
          <w:rFonts w:ascii="Times New Roman" w:hAnsi="Times New Roman"/>
          <w:lang w:val="en-GB"/>
        </w:rPr>
        <w:t xml:space="preserve"> traces of the wall on the bedrock within its interior, this section contains remnants of a rocky area speculated to be a </w:t>
      </w:r>
      <w:r w:rsidRPr="00E73186">
        <w:rPr>
          <w:rFonts w:ascii="Times New Roman" w:eastAsia="Times New Roman" w:hAnsi="Times New Roman" w:cs="Times New Roman"/>
          <w:lang w:val="en-GB"/>
        </w:rPr>
        <w:t>'temple.'</w:t>
      </w:r>
      <w:r w:rsidRPr="00AB28D0">
        <w:rPr>
          <w:rFonts w:ascii="Times New Roman" w:hAnsi="Times New Roman"/>
          <w:lang w:val="en-GB"/>
        </w:rPr>
        <w:t xml:space="preserve"> Adjacent to this area, a 4x4 meter wall was discovered through excavation. However, </w:t>
      </w:r>
      <w:r w:rsidRPr="00E73186">
        <w:rPr>
          <w:rFonts w:ascii="Times New Roman" w:eastAsia="Times New Roman" w:hAnsi="Times New Roman" w:cs="Times New Roman"/>
          <w:lang w:val="en-GB"/>
        </w:rPr>
        <w:t>the Urartian</w:t>
      </w:r>
      <w:r w:rsidR="00EA6C63">
        <w:rPr>
          <w:rFonts w:ascii="Times New Roman" w:eastAsia="Times New Roman" w:hAnsi="Times New Roman" w:cs="Times New Roman"/>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imes New Roman" w:eastAsia="Times New Roman" w:hAnsi="Times New Roman" w:cs="Times New Roman"/>
          <w:lang w:val="en-GB"/>
        </w:rPr>
        <w:fldChar w:fldCharType="end"/>
      </w:r>
      <w:r w:rsidRPr="00E73186">
        <w:rPr>
          <w:rFonts w:ascii="Times New Roman" w:eastAsia="Times New Roman" w:hAnsi="Times New Roman" w:cs="Times New Roman"/>
          <w:lang w:val="en-GB"/>
        </w:rPr>
        <w:t xml:space="preserve"> layers and structures lie beneath almost 5 meters of sediment </w:t>
      </w:r>
      <w:r w:rsidRPr="00AB28D0">
        <w:rPr>
          <w:rFonts w:ascii="Times New Roman" w:hAnsi="Times New Roman"/>
          <w:lang w:val="en-GB"/>
        </w:rPr>
        <w:t>due to significant fillings, predominantly from the medieval and Ottoman</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Ottoman</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AB28D0">
        <w:rPr>
          <w:rFonts w:ascii="Times New Roman" w:hAnsi="Times New Roman"/>
          <w:lang w:val="en-GB"/>
        </w:rPr>
        <w:t xml:space="preserve"> periods. Based on the construction activities in this region, it is suggested that this area can be attributed to Sarduri I</w:t>
      </w:r>
      <w:r w:rsidR="005C68BB">
        <w:rPr>
          <w:rFonts w:ascii="Times New Roman" w:hAnsi="Times New Roman"/>
          <w:lang w:val="en-GB"/>
        </w:rPr>
        <w:fldChar w:fldCharType="begin"/>
      </w:r>
      <w:r w:rsidR="005C68BB">
        <w:instrText xml:space="preserve"> XE "</w:instrText>
      </w:r>
      <w:r w:rsidR="005C68BB" w:rsidRPr="009D6EA9">
        <w:rPr>
          <w:rFonts w:asciiTheme="majorBidi" w:eastAsia="Calibri" w:hAnsiTheme="majorBidi" w:cstheme="majorBidi"/>
        </w:rPr>
        <w:instrText>Sarduri I</w:instrText>
      </w:r>
      <w:r w:rsidR="005C68BB">
        <w:instrText xml:space="preserve">" </w:instrText>
      </w:r>
      <w:r w:rsidR="005C68BB">
        <w:rPr>
          <w:rFonts w:ascii="Times New Roman" w:hAnsi="Times New Roman"/>
          <w:lang w:val="en-GB"/>
        </w:rPr>
        <w:fldChar w:fldCharType="end"/>
      </w:r>
      <w:r w:rsidRPr="00AB28D0">
        <w:rPr>
          <w:rFonts w:ascii="Times New Roman" w:hAnsi="Times New Roman"/>
          <w:lang w:val="en-GB"/>
        </w:rPr>
        <w:t>, the founding king of Ṭušpa, especially considering the presence of the temple-like structure.</w:t>
      </w:r>
    </w:p>
    <w:p w14:paraId="0A26B9B2" w14:textId="77777777" w:rsidR="00AB28D0" w:rsidRPr="00E73186" w:rsidRDefault="00AB28D0" w:rsidP="001C57DB">
      <w:pPr>
        <w:jc w:val="both"/>
        <w:rPr>
          <w:rFonts w:ascii="Times New Roman" w:eastAsia="Times New Roman" w:hAnsi="Times New Roman" w:cs="Times New Roman"/>
          <w:lang w:val="en-GB"/>
        </w:rPr>
      </w:pPr>
    </w:p>
    <w:p w14:paraId="78A4E44B" w14:textId="1B707238" w:rsidR="001C57DB" w:rsidRPr="00AB28D0" w:rsidRDefault="001C57DB" w:rsidP="001C57DB">
      <w:pPr>
        <w:jc w:val="both"/>
        <w:rPr>
          <w:rFonts w:ascii="Times New Roman" w:hAnsi="Times New Roman"/>
          <w:lang w:val="en-GB"/>
        </w:rPr>
      </w:pPr>
      <w:r w:rsidRPr="00AB28D0">
        <w:rPr>
          <w:rFonts w:ascii="Times New Roman" w:hAnsi="Times New Roman"/>
          <w:lang w:val="en-GB"/>
        </w:rPr>
        <w:t>Consequently, it becomes apparent that this section, situated at the highest point of the rock known as İç Kale or Upper Citadel, represents the citadel's foundation period. Notably, the dimensions of the palace in this area were considerably smaller compared to the later Urartian</w:t>
      </w:r>
      <w:r w:rsidR="00EA6C63">
        <w:rPr>
          <w:rFonts w:ascii="Times New Roman" w:hAnsi="Times New Roman"/>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imes New Roman" w:hAnsi="Times New Roman"/>
          <w:lang w:val="en-GB"/>
        </w:rPr>
        <w:fldChar w:fldCharType="end"/>
      </w:r>
      <w:r w:rsidRPr="00AB28D0">
        <w:rPr>
          <w:rFonts w:ascii="Times New Roman" w:hAnsi="Times New Roman"/>
          <w:lang w:val="en-GB"/>
        </w:rPr>
        <w:t xml:space="preserve"> palaces and royal complexes. The subsequent enlargement of the citadel became a necessity over time. It is worth noting that the construction of buildings outside the trench appears to have commenced from both directions. However, the presence of the Sardurburç</w:t>
      </w:r>
      <w:r>
        <w:rPr>
          <w:rFonts w:asciiTheme="majorBidi" w:eastAsia="Times New Roman" w:hAnsiTheme="majorBidi" w:cstheme="majorBidi"/>
          <w:lang w:val="en-GB"/>
        </w:rPr>
        <w:fldChar w:fldCharType="begin"/>
      </w:r>
      <w:r>
        <w:instrText xml:space="preserve"> XE "</w:instrText>
      </w:r>
      <w:r w:rsidRPr="00034943">
        <w:rPr>
          <w:rFonts w:asciiTheme="majorBidi" w:hAnsiTheme="majorBidi" w:cstheme="majorBidi"/>
        </w:rPr>
        <w:instrText>Sardurburç</w:instrText>
      </w:r>
      <w:r>
        <w:instrText xml:space="preserve">" </w:instrText>
      </w:r>
      <w:r>
        <w:rPr>
          <w:rFonts w:asciiTheme="majorBidi" w:eastAsia="Times New Roman" w:hAnsiTheme="majorBidi" w:cstheme="majorBidi"/>
          <w:lang w:val="en-GB"/>
        </w:rPr>
        <w:fldChar w:fldCharType="end"/>
      </w:r>
      <w:r w:rsidRPr="00AB28D0">
        <w:rPr>
          <w:rFonts w:ascii="Times New Roman" w:hAnsi="Times New Roman"/>
          <w:lang w:val="en-GB"/>
        </w:rPr>
        <w:t xml:space="preserve"> structure raises some contradictions within this theory. As elaborated in more detail in the relevant section, Sardurburç is regarded as the earliest structure of the kingdom due to an inscription. Its precise function remains unknown, but it was constructed far outside the citadel, even at the plain level. Consequently, it would be inaccurate to consider the presence of </w:t>
      </w:r>
      <w:r w:rsidRPr="00E73186">
        <w:rPr>
          <w:rFonts w:ascii="Times New Roman" w:eastAsia="Times New Roman" w:hAnsi="Times New Roman" w:cs="Times New Roman"/>
          <w:lang w:val="en-GB"/>
        </w:rPr>
        <w:t>specific</w:t>
      </w:r>
      <w:r w:rsidRPr="00AB28D0">
        <w:rPr>
          <w:rFonts w:ascii="Times New Roman" w:hAnsi="Times New Roman"/>
          <w:lang w:val="en-GB"/>
        </w:rPr>
        <w:t xml:space="preserve"> structures outside the trenches as a general rule when determining their chronology.</w:t>
      </w:r>
    </w:p>
    <w:p w14:paraId="68D71B56" w14:textId="77777777" w:rsidR="001C57DB" w:rsidRPr="00AB28D0" w:rsidRDefault="001C57DB" w:rsidP="001C57DB">
      <w:pPr>
        <w:jc w:val="both"/>
        <w:rPr>
          <w:rFonts w:ascii="Times New Roman" w:hAnsi="Times New Roman"/>
          <w:lang w:val="en-GB"/>
        </w:rPr>
      </w:pPr>
    </w:p>
    <w:p w14:paraId="1F40A975" w14:textId="77777777" w:rsidR="001C57DB" w:rsidRPr="00AB28D0" w:rsidRDefault="001C57DB" w:rsidP="001C57DB">
      <w:pPr>
        <w:jc w:val="both"/>
        <w:rPr>
          <w:rFonts w:ascii="Times New Roman" w:hAnsi="Times New Roman"/>
          <w:lang w:val="en-GB"/>
        </w:rPr>
      </w:pPr>
      <w:r w:rsidRPr="00AB28D0">
        <w:rPr>
          <w:rFonts w:ascii="Times New Roman" w:hAnsi="Times New Roman"/>
          <w:lang w:val="en-GB"/>
        </w:rPr>
        <w:t xml:space="preserve">Hypothetically, it is conceivable that an early palace </w:t>
      </w:r>
      <w:r w:rsidRPr="00E73186">
        <w:rPr>
          <w:rFonts w:ascii="Times New Roman" w:eastAsia="Times New Roman" w:hAnsi="Times New Roman" w:cs="Times New Roman"/>
          <w:lang w:val="en-GB"/>
        </w:rPr>
        <w:t xml:space="preserve">initially </w:t>
      </w:r>
      <w:r w:rsidRPr="00AB28D0">
        <w:rPr>
          <w:rFonts w:ascii="Times New Roman" w:hAnsi="Times New Roman"/>
          <w:lang w:val="en-GB"/>
        </w:rPr>
        <w:t>existed in the Upper Citadel/İç Kale</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İç Kale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initially</w:t>
      </w:r>
      <w:r w:rsidRPr="00AB28D0">
        <w:rPr>
          <w:rFonts w:ascii="Times New Roman" w:hAnsi="Times New Roman"/>
          <w:lang w:val="en-GB"/>
        </w:rPr>
        <w:t xml:space="preserve">. As the kingdom developed, a larger palace complex may have been constructed in a new area, chosen for its logistical advantages and better </w:t>
      </w:r>
      <w:r w:rsidRPr="00E73186">
        <w:rPr>
          <w:rFonts w:ascii="Times New Roman" w:eastAsia="Times New Roman" w:hAnsi="Times New Roman" w:cs="Times New Roman"/>
          <w:lang w:val="en-GB"/>
        </w:rPr>
        <w:t>accommodating its</w:t>
      </w:r>
      <w:r w:rsidRPr="00AB28D0">
        <w:rPr>
          <w:rFonts w:ascii="Times New Roman" w:hAnsi="Times New Roman"/>
          <w:lang w:val="en-GB"/>
        </w:rPr>
        <w:t xml:space="preserve"> evolving needs. The presence of the Argišti I</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 xml:space="preserve">Argišti </w:instrText>
      </w:r>
      <w:r w:rsidRPr="00F03A26">
        <w:rPr>
          <w:rFonts w:asciiTheme="majorBidi" w:hAnsiTheme="majorBidi" w:cstheme="majorBidi"/>
          <w:lang w:val="en-GB"/>
        </w:rPr>
        <w:instrText xml:space="preserve">I"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tomb</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iCs/>
          <w:lang w:val="en-GB"/>
        </w:rPr>
        <w:instrText xml:space="preserve">Argišti </w:instrText>
      </w:r>
      <w:r w:rsidRPr="00F03A26">
        <w:rPr>
          <w:rFonts w:asciiTheme="majorBidi" w:eastAsia="Times New Roman" w:hAnsiTheme="majorBidi" w:cstheme="majorBidi"/>
          <w:lang w:val="en-GB"/>
        </w:rPr>
        <w:instrText xml:space="preserve">I </w:instrText>
      </w:r>
      <w:r>
        <w:rPr>
          <w:rFonts w:asciiTheme="majorBidi" w:eastAsia="Times New Roman" w:hAnsiTheme="majorBidi" w:cstheme="majorBidi"/>
          <w:lang w:val="en-GB"/>
        </w:rPr>
        <w:instrText>t</w:instrText>
      </w:r>
      <w:r w:rsidRPr="00F03A26">
        <w:rPr>
          <w:rFonts w:asciiTheme="majorBidi" w:eastAsia="Times New Roman" w:hAnsiTheme="majorBidi" w:cstheme="majorBidi"/>
          <w:lang w:val="en-GB"/>
        </w:rPr>
        <w:instrText>omb</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 indicates that the construction of the section known as the New Palace</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could be attributed to the same king (Fig. 4, 8). This practice of building new palaces </w:t>
      </w:r>
      <w:r w:rsidRPr="00E73186">
        <w:rPr>
          <w:rFonts w:ascii="Times New Roman" w:eastAsia="Times New Roman" w:hAnsi="Times New Roman" w:cs="Times New Roman"/>
          <w:lang w:val="en-GB"/>
        </w:rPr>
        <w:t>by</w:t>
      </w:r>
      <w:r w:rsidRPr="00AB28D0">
        <w:rPr>
          <w:rFonts w:ascii="Times New Roman" w:hAnsi="Times New Roman"/>
          <w:lang w:val="en-GB"/>
        </w:rPr>
        <w:t xml:space="preserve"> the development of the kingdom was frequently observed in Assyria. </w:t>
      </w:r>
      <w:r w:rsidRPr="00E73186">
        <w:rPr>
          <w:rFonts w:ascii="Times New Roman" w:eastAsia="Times New Roman" w:hAnsi="Times New Roman" w:cs="Times New Roman"/>
          <w:lang w:val="en-GB"/>
        </w:rPr>
        <w:t>It</w:t>
      </w:r>
      <w:r w:rsidRPr="00AB28D0">
        <w:rPr>
          <w:rFonts w:ascii="Times New Roman" w:hAnsi="Times New Roman"/>
          <w:lang w:val="en-GB"/>
        </w:rPr>
        <w:t xml:space="preserve"> is important to note that Urartian</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tombs differ significantly from their Assyrian</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counterparts </w:t>
      </w:r>
      <w:r w:rsidRPr="00E73186">
        <w:rPr>
          <w:rFonts w:ascii="Times New Roman" w:eastAsia="Times New Roman" w:hAnsi="Times New Roman" w:cs="Times New Roman"/>
          <w:lang w:val="en-GB"/>
        </w:rPr>
        <w:t>regarding</w:t>
      </w:r>
      <w:r w:rsidRPr="00AB28D0">
        <w:rPr>
          <w:rFonts w:ascii="Times New Roman" w:hAnsi="Times New Roman"/>
          <w:lang w:val="en-GB"/>
        </w:rPr>
        <w:t xml:space="preserve"> their location, structural features, and</w:t>
      </w:r>
      <w:r w:rsidRPr="00E73186">
        <w:rPr>
          <w:rFonts w:ascii="Times New Roman" w:eastAsia="Times New Roman" w:hAnsi="Times New Roman" w:cs="Times New Roman"/>
          <w:lang w:val="en-GB"/>
        </w:rPr>
        <w:t>,</w:t>
      </w:r>
      <w:r w:rsidRPr="00AB28D0">
        <w:rPr>
          <w:rFonts w:ascii="Times New Roman" w:hAnsi="Times New Roman"/>
          <w:lang w:val="en-GB"/>
        </w:rPr>
        <w:t xml:space="preserve"> most notably, their dimensions. The distinct visibility of the tomb and its facade suggests a markedly different approach to burial practices in Urartu.</w:t>
      </w:r>
    </w:p>
    <w:p w14:paraId="0EB1A09C" w14:textId="77777777" w:rsidR="001C57DB" w:rsidRPr="00AB28D0" w:rsidRDefault="001C57DB" w:rsidP="001C57DB">
      <w:pPr>
        <w:jc w:val="both"/>
        <w:rPr>
          <w:rFonts w:ascii="Times New Roman" w:hAnsi="Times New Roman"/>
          <w:lang w:val="en-GB"/>
        </w:rPr>
      </w:pPr>
    </w:p>
    <w:p w14:paraId="4F6B2F80" w14:textId="283C255A" w:rsidR="001C57DB" w:rsidRPr="00AB28D0" w:rsidRDefault="001C57DB" w:rsidP="001C57DB">
      <w:pPr>
        <w:jc w:val="both"/>
        <w:rPr>
          <w:rFonts w:ascii="Times New Roman" w:hAnsi="Times New Roman"/>
          <w:lang w:val="en-GB"/>
        </w:rPr>
      </w:pPr>
      <w:r w:rsidRPr="00AB28D0">
        <w:rPr>
          <w:rFonts w:ascii="Times New Roman" w:hAnsi="Times New Roman"/>
          <w:lang w:val="en-GB"/>
        </w:rPr>
        <w:lastRenderedPageBreak/>
        <w:t>Interconnection between Urartian</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palaces and temple areas is well-established. This organic</w:t>
      </w:r>
      <w:r w:rsidR="00CD3D5E">
        <w:rPr>
          <w:rFonts w:ascii="Times New Roman" w:hAnsi="Times New Roman"/>
          <w:lang w:val="en-GB"/>
        </w:rPr>
        <w:t xml:space="preserve"> </w:t>
      </w:r>
      <w:r w:rsidRPr="00AB28D0">
        <w:rPr>
          <w:rFonts w:ascii="Times New Roman" w:hAnsi="Times New Roman"/>
          <w:lang w:val="en-GB"/>
        </w:rPr>
        <w:t>relationship is evident in the excavated sites of Arin-</w:t>
      </w:r>
      <w:r w:rsidRPr="00F03A26">
        <w:rPr>
          <w:rFonts w:asciiTheme="majorBidi" w:eastAsia="Times New Roman" w:hAnsiTheme="majorBidi" w:cstheme="majorBidi"/>
          <w:lang w:val="en-GB"/>
        </w:rPr>
        <w:t>berd</w:t>
      </w:r>
      <w:r w:rsidR="00CD3D5E">
        <w:rPr>
          <w:rFonts w:asciiTheme="majorBidi" w:eastAsia="Times New Roman" w:hAnsiTheme="majorBidi" w:cstheme="majorBidi"/>
          <w:lang w:val="en-GB"/>
        </w:rPr>
        <w:t xml:space="preserve">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Arin-berd</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AB28D0">
        <w:rPr>
          <w:rFonts w:ascii="Times New Roman" w:hAnsi="Times New Roman"/>
          <w:lang w:val="en-GB"/>
        </w:rPr>
        <w:t>(Oganesjan, 1961),</w:t>
      </w:r>
      <w:r w:rsidR="00CD3D5E">
        <w:rPr>
          <w:rFonts w:ascii="Times New Roman" w:hAnsi="Times New Roman"/>
          <w:lang w:val="en-GB"/>
        </w:rPr>
        <w:t xml:space="preserve"> </w:t>
      </w:r>
      <w:r w:rsidRPr="00AB28D0">
        <w:rPr>
          <w:rFonts w:ascii="Times New Roman" w:hAnsi="Times New Roman"/>
          <w:lang w:val="en-GB"/>
        </w:rPr>
        <w:t>Armavir</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Armavir</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(Martirosyan, 1974), Karmir Blur</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Karmir Blur</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(Piotrovsky, 1970), Ayanis</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"Ayanis"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(Çilingiroğlu-Salvini, 2001</w:t>
      </w:r>
      <w:r w:rsidRPr="00E73186">
        <w:rPr>
          <w:rFonts w:ascii="Times New Roman" w:eastAsia="Times New Roman" w:hAnsi="Times New Roman" w:cs="Times New Roman"/>
          <w:lang w:val="en-GB"/>
        </w:rPr>
        <w:t>),</w:t>
      </w:r>
      <w:r w:rsidRPr="00AB28D0">
        <w:rPr>
          <w:rFonts w:ascii="Times New Roman" w:hAnsi="Times New Roman"/>
          <w:lang w:val="en-GB"/>
        </w:rPr>
        <w:t xml:space="preserve"> and Çavuştepe</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Çavuştepe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(Erzen, 1988). While the palace plans may vary </w:t>
      </w:r>
      <w:r w:rsidRPr="00E73186">
        <w:rPr>
          <w:rFonts w:ascii="Times New Roman" w:eastAsia="Times New Roman" w:hAnsi="Times New Roman" w:cs="Times New Roman"/>
          <w:lang w:val="en-GB"/>
        </w:rPr>
        <w:t>somewhat</w:t>
      </w:r>
      <w:r w:rsidRPr="00AB28D0">
        <w:rPr>
          <w:rFonts w:ascii="Times New Roman" w:hAnsi="Times New Roman"/>
          <w:lang w:val="en-GB"/>
        </w:rPr>
        <w:t>, there are observable similarities in the architectural features, dimensions, and construction techniques employed. During the Minua</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period, citadels were constructed, with structures rising above terraces created by </w:t>
      </w:r>
      <w:r w:rsidRPr="00E73186">
        <w:rPr>
          <w:rFonts w:ascii="Times New Roman" w:eastAsia="Times New Roman" w:hAnsi="Times New Roman" w:cs="Times New Roman"/>
          <w:lang w:val="en-GB"/>
        </w:rPr>
        <w:t>leveling</w:t>
      </w:r>
      <w:r w:rsidRPr="00AB28D0">
        <w:rPr>
          <w:rFonts w:ascii="Times New Roman" w:hAnsi="Times New Roman"/>
          <w:lang w:val="en-GB"/>
        </w:rPr>
        <w:t xml:space="preserve"> the bedrock. This involved cutting and shaping the bedrock to form these terraced areas. </w:t>
      </w:r>
      <w:r w:rsidRPr="00E73186">
        <w:rPr>
          <w:rFonts w:ascii="Times New Roman" w:eastAsia="Times New Roman" w:hAnsi="Times New Roman" w:cs="Times New Roman"/>
          <w:lang w:val="en-GB"/>
        </w:rPr>
        <w:t>Extensive</w:t>
      </w:r>
      <w:r w:rsidRPr="00AB28D0">
        <w:rPr>
          <w:rFonts w:ascii="Times New Roman" w:hAnsi="Times New Roman"/>
          <w:lang w:val="en-GB"/>
        </w:rPr>
        <w:t xml:space="preserve"> foundation pits, stone walls, terraces, and building foundations within these areas </w:t>
      </w:r>
      <w:r w:rsidRPr="00E73186">
        <w:rPr>
          <w:rFonts w:ascii="Times New Roman" w:eastAsia="Times New Roman" w:hAnsi="Times New Roman" w:cs="Times New Roman"/>
          <w:lang w:val="en-GB"/>
        </w:rPr>
        <w:t>suggest</w:t>
      </w:r>
      <w:r w:rsidRPr="00AB28D0">
        <w:rPr>
          <w:rFonts w:ascii="Times New Roman" w:hAnsi="Times New Roman"/>
          <w:lang w:val="en-GB"/>
        </w:rPr>
        <w:t xml:space="preserve"> a post-Minua chronology. For instance, in the Upper Anzaf</w:t>
      </w:r>
      <w:r w:rsidR="00CD0F5D">
        <w:rPr>
          <w:rFonts w:ascii="Times New Roman" w:eastAsia="Times New Roman" w:hAnsi="Times New Roman" w:cs="Times New Roman"/>
          <w:lang w:val="en-GB"/>
        </w:rPr>
        <w:t>/</w:t>
      </w:r>
      <w:r w:rsidRPr="00AB28D0">
        <w:rPr>
          <w:rFonts w:ascii="Times New Roman" w:hAnsi="Times New Roman"/>
          <w:lang w:val="en-GB"/>
        </w:rPr>
        <w:t>Yukarı Anzaf citadel (Belli, 2003</w:t>
      </w:r>
      <w:r w:rsidRPr="00E73186">
        <w:rPr>
          <w:rFonts w:ascii="Times New Roman" w:eastAsia="Times New Roman" w:hAnsi="Times New Roman" w:cs="Times New Roman"/>
          <w:lang w:val="en-GB"/>
        </w:rPr>
        <w:t>),</w:t>
      </w:r>
      <w:r w:rsidRPr="00AB28D0">
        <w:rPr>
          <w:rFonts w:ascii="Times New Roman" w:hAnsi="Times New Roman"/>
          <w:lang w:val="en-GB"/>
        </w:rPr>
        <w:t xml:space="preserve"> it has been determined that spaces formed by mudbrick walls with stone foundations rise on terraces created by </w:t>
      </w:r>
      <w:r w:rsidRPr="00E73186">
        <w:rPr>
          <w:rFonts w:ascii="Times New Roman" w:eastAsia="Times New Roman" w:hAnsi="Times New Roman" w:cs="Times New Roman"/>
          <w:lang w:val="en-GB"/>
        </w:rPr>
        <w:t>leveling</w:t>
      </w:r>
      <w:r w:rsidRPr="00AB28D0">
        <w:rPr>
          <w:rFonts w:ascii="Times New Roman" w:hAnsi="Times New Roman"/>
          <w:lang w:val="en-GB"/>
        </w:rPr>
        <w:t xml:space="preserve"> the bedrock on the northern slope. The walls of these structures, ascending from north to south, convey a sense of monolithic architecture. Similarly, in </w:t>
      </w:r>
      <w:r w:rsidRPr="00E73186">
        <w:rPr>
          <w:rFonts w:ascii="Times New Roman" w:eastAsia="Times New Roman" w:hAnsi="Times New Roman" w:cs="Times New Roman"/>
          <w:lang w:val="en-GB"/>
        </w:rPr>
        <w:t>centers</w:t>
      </w:r>
      <w:r w:rsidRPr="00AB28D0">
        <w:rPr>
          <w:rFonts w:ascii="Times New Roman" w:hAnsi="Times New Roman"/>
          <w:lang w:val="en-GB"/>
        </w:rPr>
        <w:t xml:space="preserve"> like Körzüt</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Körzüt</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and Bostankaya</w:t>
      </w:r>
      <w:r>
        <w:rPr>
          <w:rFonts w:ascii="Times New Roman" w:hAnsi="Times New Roman"/>
          <w:lang w:val="en-GB"/>
        </w:rPr>
        <w:fldChar w:fldCharType="begin"/>
      </w:r>
      <w:r>
        <w:instrText xml:space="preserve"> XE "</w:instrText>
      </w:r>
      <w:r w:rsidRPr="00AB28D0">
        <w:rPr>
          <w:rFonts w:ascii="Times New Roman" w:hAnsi="Times New Roman"/>
          <w:lang w:val="en-GB"/>
        </w:rPr>
        <w:instrText>Bostankaya</w:instrText>
      </w:r>
      <w:r>
        <w:instrText xml:space="preserve">" </w:instrText>
      </w:r>
      <w:r>
        <w:rPr>
          <w:rFonts w:ascii="Times New Roman" w:hAnsi="Times New Roman"/>
          <w:lang w:val="en-GB"/>
        </w:rPr>
        <w:fldChar w:fldCharType="end"/>
      </w:r>
      <w:r w:rsidRPr="00E73186">
        <w:rPr>
          <w:rFonts w:ascii="Times New Roman" w:eastAsia="Times New Roman" w:hAnsi="Times New Roman" w:cs="Times New Roman"/>
          <w:lang w:val="en-GB"/>
        </w:rPr>
        <w:t>, dating</w:t>
      </w:r>
      <w:r w:rsidRPr="00AB28D0">
        <w:rPr>
          <w:rFonts w:ascii="Times New Roman" w:hAnsi="Times New Roman"/>
          <w:lang w:val="en-GB"/>
        </w:rPr>
        <w:t xml:space="preserve"> back to the Minua period, foundation pits dug into the bedrock to establish terraces are frequently observed in steep areas. </w:t>
      </w:r>
      <w:r w:rsidRPr="00E73186">
        <w:rPr>
          <w:rFonts w:ascii="Times New Roman" w:eastAsia="Times New Roman" w:hAnsi="Times New Roman" w:cs="Times New Roman"/>
          <w:lang w:val="en-GB"/>
        </w:rPr>
        <w:t>Flat spaces were carved into the bedrock to</w:t>
      </w:r>
      <w:r w:rsidRPr="00AB28D0">
        <w:rPr>
          <w:rFonts w:ascii="Times New Roman" w:hAnsi="Times New Roman"/>
          <w:lang w:val="en-GB"/>
        </w:rPr>
        <w:t xml:space="preserve"> facilitate construction, particularly in elongated and narrow rocky areas</w:t>
      </w:r>
      <w:r w:rsidRPr="00E73186">
        <w:rPr>
          <w:rFonts w:ascii="Times New Roman" w:eastAsia="Times New Roman" w:hAnsi="Times New Roman" w:cs="Times New Roman"/>
          <w:lang w:val="en-GB"/>
        </w:rPr>
        <w:t>. Terraces</w:t>
      </w:r>
      <w:r w:rsidRPr="00AB28D0">
        <w:rPr>
          <w:rFonts w:ascii="Times New Roman" w:hAnsi="Times New Roman"/>
          <w:lang w:val="en-GB"/>
        </w:rPr>
        <w:t xml:space="preserve"> were formed, and walls were built on the foundation pits created by shaping the bedrock. In some cases, platforms were constructed on cliffs, with filling material to bridge the gaps between them. This approach becomes a defining characteristic of Urartian architecture.</w:t>
      </w:r>
    </w:p>
    <w:p w14:paraId="5E0A2F7E" w14:textId="77777777" w:rsidR="001C57DB" w:rsidRPr="00AB28D0" w:rsidRDefault="001C57DB" w:rsidP="001C57DB">
      <w:pPr>
        <w:jc w:val="both"/>
        <w:rPr>
          <w:rFonts w:ascii="Times New Roman" w:hAnsi="Times New Roman"/>
          <w:lang w:val="en-GB"/>
        </w:rPr>
      </w:pPr>
    </w:p>
    <w:p w14:paraId="47CCE77D" w14:textId="1F844EC9" w:rsidR="001C57DB" w:rsidRPr="00AB28D0" w:rsidRDefault="001C57DB" w:rsidP="001C57DB">
      <w:pPr>
        <w:jc w:val="both"/>
        <w:rPr>
          <w:rFonts w:ascii="Times New Roman" w:hAnsi="Times New Roman"/>
          <w:lang w:val="en-GB"/>
        </w:rPr>
      </w:pPr>
      <w:r w:rsidRPr="00AB28D0">
        <w:rPr>
          <w:rFonts w:ascii="Times New Roman" w:hAnsi="Times New Roman"/>
          <w:lang w:val="en-GB"/>
        </w:rPr>
        <w:t>The New Palace</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Section employed a terracing or building system characterized by structures rising on platforms (Fig. 1, 3-5). The extensive use of terracing can be observed in Çavuştepe</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Çavuştepe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particularly in the lower citadel, as well as in Bastam</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Bastam</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(Kleiss, 1979; Kleiss, 1988), both in the lower and upper fortresses, where palace structures are claimed to have existed (Avcı, 2013; Kleiss, 1988: 80). Within the upper citadel, the ground floor buildings extend across a narrow and elongated topography. These structures predominantly comprise small rooms and halls with thick walls and narrow corridors. The substantial thickness of the walls in the ground floor spaces suggests the presence of multi-</w:t>
      </w:r>
      <w:r w:rsidRPr="00E73186">
        <w:rPr>
          <w:rFonts w:ascii="Times New Roman" w:eastAsia="Times New Roman" w:hAnsi="Times New Roman" w:cs="Times New Roman"/>
          <w:lang w:val="en-GB"/>
        </w:rPr>
        <w:t>story</w:t>
      </w:r>
      <w:r w:rsidRPr="00AB28D0">
        <w:rPr>
          <w:rFonts w:ascii="Times New Roman" w:hAnsi="Times New Roman"/>
          <w:lang w:val="en-GB"/>
        </w:rPr>
        <w:t xml:space="preserve"> buildings.</w:t>
      </w:r>
    </w:p>
    <w:p w14:paraId="1AD983C6" w14:textId="77777777" w:rsidR="001C57DB" w:rsidRPr="00AB28D0" w:rsidRDefault="001C57DB" w:rsidP="001C57DB">
      <w:pPr>
        <w:jc w:val="both"/>
        <w:rPr>
          <w:rFonts w:ascii="Times New Roman" w:hAnsi="Times New Roman"/>
          <w:lang w:val="en-GB"/>
        </w:rPr>
      </w:pPr>
    </w:p>
    <w:p w14:paraId="25A102D8" w14:textId="77777777" w:rsidR="001C57DB" w:rsidRPr="00AB28D0" w:rsidRDefault="001C57DB" w:rsidP="001C57DB">
      <w:pPr>
        <w:jc w:val="both"/>
        <w:rPr>
          <w:rFonts w:ascii="Times New Roman" w:hAnsi="Times New Roman"/>
          <w:lang w:val="en-GB"/>
        </w:rPr>
      </w:pPr>
      <w:r w:rsidRPr="00AB28D0">
        <w:rPr>
          <w:rFonts w:ascii="Times New Roman" w:hAnsi="Times New Roman"/>
          <w:lang w:val="en-GB"/>
        </w:rPr>
        <w:t>The New Palace</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area A allows us to </w:t>
      </w:r>
      <w:r w:rsidRPr="00E73186">
        <w:rPr>
          <w:rFonts w:ascii="Times New Roman" w:eastAsia="Times New Roman" w:hAnsi="Times New Roman" w:cs="Times New Roman"/>
          <w:lang w:val="en-GB"/>
        </w:rPr>
        <w:t>predict</w:t>
      </w:r>
      <w:r w:rsidRPr="00AB28D0">
        <w:rPr>
          <w:rFonts w:ascii="Times New Roman" w:hAnsi="Times New Roman"/>
          <w:lang w:val="en-GB"/>
        </w:rPr>
        <w:t xml:space="preserve"> the 3 m thick separator/bearing walls carved into the bedrock, the stone walls rising on these foundations, and the nature of the structures (Fig. 6, 11-12). </w:t>
      </w:r>
      <w:r w:rsidRPr="00E73186">
        <w:rPr>
          <w:rFonts w:ascii="Times New Roman" w:eastAsia="Times New Roman" w:hAnsi="Times New Roman" w:cs="Times New Roman"/>
          <w:lang w:val="en-GB"/>
        </w:rPr>
        <w:t xml:space="preserve">By examining </w:t>
      </w:r>
      <w:r w:rsidRPr="00AB28D0">
        <w:rPr>
          <w:rFonts w:ascii="Times New Roman" w:hAnsi="Times New Roman"/>
          <w:lang w:val="en-GB"/>
        </w:rPr>
        <w:t xml:space="preserve">the foundation pits, it </w:t>
      </w:r>
      <w:r w:rsidRPr="00E73186">
        <w:rPr>
          <w:rFonts w:ascii="Times New Roman" w:eastAsia="Times New Roman" w:hAnsi="Times New Roman" w:cs="Times New Roman"/>
          <w:lang w:val="en-GB"/>
        </w:rPr>
        <w:t>can be</w:t>
      </w:r>
      <w:r w:rsidRPr="00AB28D0">
        <w:rPr>
          <w:rFonts w:ascii="Times New Roman" w:hAnsi="Times New Roman"/>
          <w:lang w:val="en-GB"/>
        </w:rPr>
        <w:t xml:space="preserve"> understood that the terraces starting from area D also form the ground codes of area B (</w:t>
      </w:r>
      <w:r w:rsidRPr="00F03A26">
        <w:rPr>
          <w:rFonts w:asciiTheme="majorBidi" w:eastAsia="Times New Roman" w:hAnsiTheme="majorBidi" w:cstheme="majorBidi"/>
          <w:lang w:val="en-GB"/>
        </w:rPr>
        <w:t>Fig.</w:t>
      </w:r>
      <w:r w:rsidRPr="00AB28D0">
        <w:rPr>
          <w:rFonts w:ascii="Times New Roman" w:hAnsi="Times New Roman"/>
          <w:lang w:val="en-GB"/>
        </w:rPr>
        <w:t xml:space="preserve"> 13-14). area B is where the main buildings of the New Palace Section rise. It is understood that there were halls and rooms on the ground floor, with at least east and west entrances, the southern sections carved from the bedrock, </w:t>
      </w:r>
      <w:r w:rsidRPr="00E73186">
        <w:rPr>
          <w:rFonts w:ascii="Times New Roman" w:eastAsia="Times New Roman" w:hAnsi="Times New Roman" w:cs="Times New Roman"/>
          <w:lang w:val="en-GB"/>
        </w:rPr>
        <w:t>and</w:t>
      </w:r>
      <w:r w:rsidRPr="00AB28D0">
        <w:rPr>
          <w:rFonts w:ascii="Times New Roman" w:hAnsi="Times New Roman"/>
          <w:lang w:val="en-GB"/>
        </w:rPr>
        <w:t xml:space="preserve"> a terrace. As mentioned, such terraced areas are frequently encountered in the workshop, kitchen</w:t>
      </w:r>
      <w:r w:rsidRPr="00E73186">
        <w:rPr>
          <w:rFonts w:ascii="Times New Roman" w:eastAsia="Times New Roman" w:hAnsi="Times New Roman" w:cs="Times New Roman"/>
          <w:lang w:val="en-GB"/>
        </w:rPr>
        <w:t>,</w:t>
      </w:r>
      <w:r w:rsidRPr="00AB28D0">
        <w:rPr>
          <w:rFonts w:ascii="Times New Roman" w:hAnsi="Times New Roman"/>
          <w:lang w:val="en-GB"/>
        </w:rPr>
        <w:t xml:space="preserve"> and storage areas on the lower floor of the multi-</w:t>
      </w:r>
      <w:r w:rsidRPr="00E73186">
        <w:rPr>
          <w:rFonts w:ascii="Times New Roman" w:eastAsia="Times New Roman" w:hAnsi="Times New Roman" w:cs="Times New Roman"/>
          <w:lang w:val="en-GB"/>
        </w:rPr>
        <w:t>story</w:t>
      </w:r>
      <w:r w:rsidRPr="00AB28D0">
        <w:rPr>
          <w:rFonts w:ascii="Times New Roman" w:hAnsi="Times New Roman"/>
          <w:lang w:val="en-GB"/>
        </w:rPr>
        <w:t xml:space="preserve"> Urartian</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palaces and mansions.</w:t>
      </w:r>
    </w:p>
    <w:p w14:paraId="2CF6EFFD" w14:textId="77777777" w:rsidR="001C57DB" w:rsidRPr="00AB28D0" w:rsidRDefault="001C57DB" w:rsidP="001C57DB">
      <w:pPr>
        <w:jc w:val="both"/>
        <w:rPr>
          <w:rFonts w:ascii="Times New Roman" w:hAnsi="Times New Roman"/>
          <w:lang w:val="en-GB"/>
        </w:rPr>
      </w:pPr>
    </w:p>
    <w:p w14:paraId="18617662" w14:textId="5638515C" w:rsidR="001C57DB" w:rsidRPr="00AB28D0" w:rsidRDefault="001C57DB" w:rsidP="001C57DB">
      <w:pPr>
        <w:jc w:val="both"/>
        <w:rPr>
          <w:rFonts w:ascii="Times New Roman" w:hAnsi="Times New Roman"/>
          <w:lang w:val="en-GB"/>
        </w:rPr>
      </w:pPr>
      <w:r w:rsidRPr="00AB28D0">
        <w:rPr>
          <w:rFonts w:ascii="Times New Roman" w:hAnsi="Times New Roman"/>
          <w:lang w:val="en-GB"/>
        </w:rPr>
        <w:t>Construction of the spreading area of dense foundation deposits in the New Palace</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 xml:space="preserve">Section, incorporating the topographic structure, results in a building ensemble gradually ascending on terraces from north to south, establishing its dominant silhouette (Fig. 18-20). </w:t>
      </w:r>
      <w:r w:rsidRPr="00E73186">
        <w:rPr>
          <w:rFonts w:ascii="Times New Roman" w:eastAsia="Times New Roman" w:hAnsi="Times New Roman" w:cs="Times New Roman"/>
          <w:lang w:val="en-GB"/>
        </w:rPr>
        <w:t>Mainly</w:t>
      </w:r>
      <w:r w:rsidRPr="00AB28D0">
        <w:rPr>
          <w:rFonts w:ascii="Times New Roman" w:hAnsi="Times New Roman"/>
          <w:lang w:val="en-GB"/>
        </w:rPr>
        <w:t xml:space="preserve"> when observed from the north and west, the highest point of the building complex in area A, which originated in area E, reveals a prominent cluster of multi-story buildings due to variations in elevation (Fig. 4). Additionally, the building ensemble extends in the east-west direction but descends towards the west, this time utilizing </w:t>
      </w:r>
      <w:r w:rsidRPr="00E73186">
        <w:rPr>
          <w:rFonts w:ascii="Times New Roman" w:eastAsia="Times New Roman" w:hAnsi="Times New Roman" w:cs="Times New Roman"/>
          <w:lang w:val="en-GB"/>
        </w:rPr>
        <w:t>extended</w:t>
      </w:r>
      <w:r w:rsidRPr="00AB28D0">
        <w:rPr>
          <w:rFonts w:ascii="Times New Roman" w:hAnsi="Times New Roman"/>
          <w:lang w:val="en-GB"/>
        </w:rPr>
        <w:t xml:space="preserve"> terraces.</w:t>
      </w:r>
    </w:p>
    <w:p w14:paraId="6E074D4A" w14:textId="4F6B5115" w:rsidR="001C57DB" w:rsidRDefault="001C57DB" w:rsidP="001C57DB">
      <w:pPr>
        <w:jc w:val="both"/>
      </w:pPr>
      <w:r w:rsidRPr="00AB28D0">
        <w:rPr>
          <w:rFonts w:ascii="Times New Roman" w:hAnsi="Times New Roman"/>
          <w:lang w:val="en-GB"/>
        </w:rPr>
        <w:t>The New Palace</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New Palace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Section and the encompassing building complex, descending from the West Trench to the plain level and employing terraces towards the north and west, house the most extensive distribution of buildings in Ṭušpa</w:t>
      </w:r>
      <w:r w:rsidRPr="00E73186">
        <w:rPr>
          <w:rFonts w:ascii="Times New Roman" w:eastAsia="Times New Roman" w:hAnsi="Times New Roman" w:cs="Times New Roman"/>
          <w:lang w:val="en-GB"/>
        </w:rPr>
        <w:t> </w:t>
      </w:r>
      <w:r w:rsidRPr="00AB28D0">
        <w:rPr>
          <w:rFonts w:ascii="Times New Roman" w:hAnsi="Times New Roman"/>
          <w:lang w:val="en-GB"/>
        </w:rPr>
        <w:t xml:space="preserve">(Fig. 8). Again, especially the spread and character of the foundation deposits gives the impression that this area was shaped in the </w:t>
      </w:r>
      <w:r w:rsidRPr="00E73186">
        <w:rPr>
          <w:rFonts w:ascii="Times New Roman" w:eastAsia="Times New Roman" w:hAnsi="Times New Roman" w:cs="Times New Roman"/>
          <w:lang w:val="en-GB"/>
        </w:rPr>
        <w:t>exact</w:t>
      </w:r>
      <w:r w:rsidRPr="00AB28D0">
        <w:rPr>
          <w:rFonts w:ascii="Times New Roman" w:hAnsi="Times New Roman"/>
          <w:lang w:val="en-GB"/>
        </w:rPr>
        <w:t xml:space="preserve"> chronology and by determining its quality beforehand. However, the New Palace Section lacks </w:t>
      </w:r>
      <w:r w:rsidRPr="00AB28D0">
        <w:rPr>
          <w:rFonts w:ascii="Times New Roman" w:hAnsi="Times New Roman"/>
          <w:lang w:val="en-GB"/>
        </w:rPr>
        <w:lastRenderedPageBreak/>
        <w:t>well-organized infrastructure systems in similar structures, particularly in Urartian</w:t>
      </w:r>
      <w:r w:rsidRPr="00E73186">
        <w:rPr>
          <w:rFonts w:ascii="Times New Roman" w:eastAsia="Times New Roman" w:hAnsi="Times New Roman" w:cs="Times New Roman"/>
          <w:lang w:val="en-GB"/>
        </w:rPr>
        <w:t> </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AB28D0">
        <w:rPr>
          <w:rFonts w:ascii="Times New Roman" w:hAnsi="Times New Roman"/>
          <w:lang w:val="en-GB"/>
        </w:rPr>
        <w:t>palaces and citadels, which possess more discernible structural features.</w:t>
      </w:r>
    </w:p>
    <w:p w14:paraId="2EEC25CE" w14:textId="5192BAD9" w:rsidR="001C57DB" w:rsidRPr="00F03A26" w:rsidRDefault="001C57DB" w:rsidP="00F03A26">
      <w:pPr>
        <w:jc w:val="both"/>
        <w:rPr>
          <w:rFonts w:asciiTheme="majorBidi" w:eastAsia="Times New Roman" w:hAnsiTheme="majorBidi" w:cstheme="majorBidi"/>
          <w:lang w:val="en-GB"/>
        </w:rPr>
        <w:sectPr w:rsidR="001C57DB" w:rsidRPr="00F03A26" w:rsidSect="007F3733">
          <w:pgSz w:w="11909" w:h="16834"/>
          <w:pgMar w:top="1440" w:right="1440" w:bottom="1440" w:left="1440" w:header="720" w:footer="720" w:gutter="0"/>
          <w:cols w:space="708"/>
        </w:sectPr>
      </w:pPr>
    </w:p>
    <w:p w14:paraId="5AAFE149" w14:textId="34730902" w:rsidR="00957B45" w:rsidRPr="00F03A26" w:rsidRDefault="00957B45" w:rsidP="00860408">
      <w:pPr>
        <w:pStyle w:val="Balk1"/>
      </w:pPr>
      <w:bookmarkStart w:id="131" w:name="_Toc173231239"/>
      <w:r w:rsidRPr="00F03A26">
        <w:lastRenderedPageBreak/>
        <w:t xml:space="preserve">CHAPTER </w:t>
      </w:r>
      <w:r w:rsidR="00375308" w:rsidRPr="00F03A26">
        <w:t>IX</w:t>
      </w:r>
      <w:bookmarkEnd w:id="131"/>
    </w:p>
    <w:p w14:paraId="67423DCF" w14:textId="0CC7754B" w:rsidR="00DF039C" w:rsidRPr="006B23DC" w:rsidRDefault="00957B45" w:rsidP="006B23DC">
      <w:pPr>
        <w:pStyle w:val="Balk1"/>
      </w:pPr>
      <w:bookmarkStart w:id="132" w:name="_Toc132072546"/>
      <w:bookmarkStart w:id="133" w:name="_Toc173231240"/>
      <w:r w:rsidRPr="00F03A26">
        <w:t>9-Buried in the Rock: The Royal Tombs of Ṭušpa</w:t>
      </w:r>
      <w:bookmarkEnd w:id="132"/>
      <w:bookmarkEnd w:id="133"/>
    </w:p>
    <w:p w14:paraId="587897A1" w14:textId="1D4E8568" w:rsidR="0051046F" w:rsidRPr="00193308" w:rsidRDefault="00957B45" w:rsidP="00193308">
      <w:pPr>
        <w:spacing w:before="100" w:beforeAutospacing="1" w:after="100" w:afterAutospacing="1"/>
        <w:ind w:firstLine="708"/>
        <w:jc w:val="right"/>
        <w:rPr>
          <w:rFonts w:asciiTheme="majorBidi" w:hAnsiTheme="majorBidi" w:cstheme="majorBidi"/>
          <w:b/>
          <w:lang w:val="en-GB"/>
        </w:rPr>
      </w:pPr>
      <w:r w:rsidRPr="00F03A26">
        <w:rPr>
          <w:rFonts w:asciiTheme="majorBidi" w:hAnsiTheme="majorBidi" w:cstheme="majorBidi"/>
          <w:b/>
          <w:lang w:val="en-GB"/>
        </w:rPr>
        <w:t>Erkan Konyar-Bülent Genç</w:t>
      </w:r>
    </w:p>
    <w:p w14:paraId="649E8DDC" w14:textId="77777777" w:rsidR="006B23DC" w:rsidRPr="009B28FE" w:rsidRDefault="006B23DC" w:rsidP="006B23DC">
      <w:pPr>
        <w:spacing w:before="100" w:beforeAutospacing="1" w:after="100" w:afterAutospacing="1"/>
        <w:jc w:val="both"/>
        <w:rPr>
          <w:rFonts w:ascii="Times New Roman" w:eastAsia="Calibri" w:hAnsi="Times New Roman" w:cs="Times New Roman"/>
          <w:lang w:val="en-GB"/>
        </w:rPr>
      </w:pPr>
      <w:r w:rsidRPr="002B4DAC">
        <w:rPr>
          <w:rFonts w:ascii="Times New Roman" w:hAnsi="Times New Roman"/>
          <w:b/>
          <w:lang w:val="en-GB"/>
        </w:rPr>
        <w:t>Abstract:</w:t>
      </w:r>
      <w:r w:rsidRPr="002B4DAC">
        <w:rPr>
          <w:rFonts w:ascii="Times New Roman" w:hAnsi="Times New Roman"/>
          <w:lang w:val="en-GB"/>
        </w:rPr>
        <w:t xml:space="preserve"> Royal rock-cut tombs of </w:t>
      </w:r>
      <w:r w:rsidRPr="009B28FE">
        <w:rPr>
          <w:rFonts w:ascii="Times New Roman" w:eastAsia="Calibri" w:hAnsi="Times New Roman" w:cs="Times New Roman"/>
          <w:lang w:val="en-GB"/>
        </w:rPr>
        <w:t>the</w:t>
      </w:r>
      <w:r>
        <w:rPr>
          <w:rFonts w:ascii="Times New Roman" w:eastAsia="Calibri" w:hAnsi="Times New Roman" w:cs="Times New Roman"/>
          <w:lang w:val="en-GB"/>
        </w:rPr>
        <w:t xml:space="preserve"> </w:t>
      </w:r>
      <w:r w:rsidRPr="009B28FE">
        <w:rPr>
          <w:rFonts w:ascii="Times New Roman" w:eastAsia="Calibri" w:hAnsi="Times New Roman" w:cs="Times New Roman"/>
          <w:lang w:val="en-GB"/>
        </w:rPr>
        <w:t>Ṭušpa </w:t>
      </w:r>
      <w:r w:rsidRPr="002B4DAC">
        <w:rPr>
          <w:rFonts w:ascii="Times New Roman" w:hAnsi="Times New Roman"/>
          <w:lang w:val="en-GB"/>
        </w:rPr>
        <w:t xml:space="preserve">citadel are </w:t>
      </w:r>
      <w:r w:rsidRPr="009B28FE">
        <w:rPr>
          <w:rFonts w:ascii="Times New Roman" w:eastAsia="Calibri" w:hAnsi="Times New Roman" w:cs="Times New Roman"/>
          <w:lang w:val="en-GB"/>
        </w:rPr>
        <w:t>significant</w:t>
      </w:r>
      <w:r w:rsidRPr="002B4DAC">
        <w:rPr>
          <w:rFonts w:ascii="Times New Roman" w:hAnsi="Times New Roman"/>
          <w:lang w:val="en-GB"/>
        </w:rPr>
        <w:t xml:space="preserve"> to </w:t>
      </w:r>
      <w:r w:rsidRPr="009B28FE">
        <w:rPr>
          <w:rFonts w:ascii="Times New Roman" w:eastAsia="Calibri" w:hAnsi="Times New Roman" w:cs="Times New Roman"/>
          <w:lang w:val="en-GB"/>
        </w:rPr>
        <w:t>understanding</w:t>
      </w:r>
      <w:r w:rsidRPr="002B4DAC">
        <w:rPr>
          <w:rFonts w:ascii="Times New Roman" w:hAnsi="Times New Roman"/>
          <w:lang w:val="en-GB"/>
        </w:rPr>
        <w:t xml:space="preserve"> the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 xml:space="preserve">funerary architecture. </w:t>
      </w:r>
      <w:r w:rsidRPr="009B28FE">
        <w:rPr>
          <w:rFonts w:ascii="Times New Roman" w:eastAsia="Calibri" w:hAnsi="Times New Roman" w:cs="Times New Roman"/>
          <w:lang w:val="en-GB"/>
        </w:rPr>
        <w:t>As</w:t>
      </w:r>
      <w:r w:rsidRPr="002B4DAC">
        <w:rPr>
          <w:rFonts w:ascii="Times New Roman" w:hAnsi="Times New Roman"/>
          <w:lang w:val="en-GB"/>
        </w:rPr>
        <w:t xml:space="preserve"> the most prominent examples of the Urartian royal funerary architecture tradition,</w:t>
      </w:r>
      <w:r w:rsidRPr="009B28FE">
        <w:rPr>
          <w:rFonts w:ascii="Times New Roman" w:eastAsia="Calibri" w:hAnsi="Times New Roman" w:cs="Times New Roman"/>
          <w:lang w:val="en-GB"/>
        </w:rPr>
        <w:t xml:space="preserve"> the rock-cut tombs</w:t>
      </w:r>
      <w:r w:rsidRPr="002B4DAC">
        <w:rPr>
          <w:rFonts w:ascii="Times New Roman" w:hAnsi="Times New Roman"/>
          <w:lang w:val="en-GB"/>
        </w:rPr>
        <w:t xml:space="preserve"> were located along the southern edges of the citadel. This part of the citadel rises vertically with a 90° angle, providing a suitable location for the Urartian craftsperson to carve the rock, construct tomb chambers, and work the </w:t>
      </w:r>
      <w:r w:rsidRPr="009B28FE">
        <w:rPr>
          <w:rFonts w:ascii="Times New Roman" w:eastAsia="Calibri" w:hAnsi="Times New Roman" w:cs="Times New Roman"/>
          <w:lang w:val="en-GB"/>
        </w:rPr>
        <w:t xml:space="preserve">citadel's </w:t>
      </w:r>
      <w:r w:rsidRPr="002B4DAC">
        <w:rPr>
          <w:rFonts w:ascii="Times New Roman" w:hAnsi="Times New Roman"/>
          <w:lang w:val="en-GB"/>
        </w:rPr>
        <w:t>facade</w:t>
      </w:r>
      <w:r w:rsidRPr="009B28FE">
        <w:rPr>
          <w:rFonts w:ascii="Times New Roman" w:eastAsia="Calibri" w:hAnsi="Times New Roman" w:cs="Times New Roman"/>
          <w:lang w:val="en-GB"/>
        </w:rPr>
        <w:t>.</w:t>
      </w:r>
      <w:r w:rsidRPr="002B4DAC">
        <w:rPr>
          <w:rFonts w:ascii="Times New Roman" w:hAnsi="Times New Roman"/>
          <w:lang w:val="en-GB"/>
        </w:rPr>
        <w:t xml:space="preserve"> The </w:t>
      </w:r>
      <w:r w:rsidRPr="009A3120">
        <w:rPr>
          <w:rFonts w:ascii="Times New Roman" w:eastAsia="Calibri" w:hAnsi="Times New Roman" w:cs="Times New Roman"/>
          <w:lang w:val="en-GB"/>
        </w:rPr>
        <w:t>cliff's</w:t>
      </w:r>
      <w:r w:rsidRPr="009B28FE">
        <w:rPr>
          <w:rFonts w:ascii="Times New Roman" w:eastAsia="Calibri" w:hAnsi="Times New Roman" w:cs="Times New Roman"/>
          <w:lang w:val="en-GB"/>
        </w:rPr>
        <w:t xml:space="preserve"> </w:t>
      </w:r>
      <w:r w:rsidRPr="002B4DAC">
        <w:rPr>
          <w:rFonts w:ascii="Times New Roman" w:hAnsi="Times New Roman"/>
          <w:lang w:val="en-GB"/>
        </w:rPr>
        <w:t xml:space="preserve">relatively straight and steep surfaces allowed the construction of monumental facades with relatively </w:t>
      </w:r>
      <w:r w:rsidRPr="009B28FE">
        <w:rPr>
          <w:rFonts w:ascii="Times New Roman" w:eastAsia="Calibri" w:hAnsi="Times New Roman" w:cs="Times New Roman"/>
          <w:lang w:val="en-GB"/>
        </w:rPr>
        <w:t>little effort.</w:t>
      </w:r>
      <w:r w:rsidRPr="002B4DAC">
        <w:rPr>
          <w:rFonts w:ascii="Times New Roman" w:hAnsi="Times New Roman"/>
          <w:lang w:val="en-GB"/>
        </w:rPr>
        <w:t xml:space="preserve"> In this regard, the Argišti I</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"Argišti 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tomb</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(or the Great Horhor</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Cave</w:t>
      </w:r>
      <w:r w:rsidRPr="009B28FE">
        <w:rPr>
          <w:rFonts w:ascii="Times New Roman" w:eastAsia="Calibri" w:hAnsi="Times New Roman" w:cs="Times New Roman"/>
          <w:lang w:val="en-GB"/>
        </w:rPr>
        <w:t>)</w:t>
      </w:r>
      <w:r w:rsidRPr="009A3120">
        <w:rPr>
          <w:rFonts w:ascii="Times New Roman" w:hAnsi="Times New Roman"/>
          <w:lang w:val="en-GB"/>
        </w:rPr>
        <w:t xml:space="preserve"> and the İç Kale</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lang w:val="en-GB"/>
        </w:rPr>
        <w:t xml:space="preserve"> Neft Kuyu</w:t>
      </w:r>
      <w:r w:rsidRPr="009B28FE">
        <w:rPr>
          <w:rFonts w:ascii="Times New Roman" w:eastAsia="Calibri" w:hAnsi="Times New Roman" w:cs="Times New Roman"/>
          <w:lang w:val="en-GB"/>
        </w:rPr>
        <w:t>,</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and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tombs exhibit similar characteristics with their multi-chamber arrangements that can be accessed with a stairway from within the citadel. </w:t>
      </w:r>
      <w:r w:rsidRPr="009B28FE">
        <w:rPr>
          <w:rFonts w:ascii="Times New Roman" w:eastAsia="Calibri" w:hAnsi="Times New Roman" w:cs="Times New Roman"/>
          <w:lang w:val="en-GB"/>
        </w:rPr>
        <w:t>These tombs'</w:t>
      </w:r>
      <w:r w:rsidRPr="002B4DAC">
        <w:rPr>
          <w:rFonts w:ascii="Times New Roman" w:hAnsi="Times New Roman"/>
          <w:lang w:val="en-GB"/>
        </w:rPr>
        <w:t xml:space="preserve"> monumental sizes, facades</w:t>
      </w:r>
      <w:r w:rsidRPr="009B28FE">
        <w:rPr>
          <w:rFonts w:ascii="Times New Roman" w:eastAsia="Calibri" w:hAnsi="Times New Roman" w:cs="Times New Roman"/>
          <w:lang w:val="en-GB"/>
        </w:rPr>
        <w:t>,</w:t>
      </w:r>
      <w:r w:rsidRPr="002B4DAC">
        <w:rPr>
          <w:rFonts w:ascii="Times New Roman" w:hAnsi="Times New Roman"/>
          <w:lang w:val="en-GB"/>
        </w:rPr>
        <w:t xml:space="preserve"> and frontal platforms reflect royal architectural features peculiar to the </w:t>
      </w:r>
      <w:r w:rsidRPr="009B28FE">
        <w:rPr>
          <w:rFonts w:ascii="Times New Roman" w:eastAsia="Calibri" w:hAnsi="Times New Roman" w:cs="Times New Roman"/>
          <w:lang w:val="en-GB"/>
        </w:rPr>
        <w:t>kingdom's</w:t>
      </w:r>
      <w:r w:rsidRPr="002B4DAC">
        <w:rPr>
          <w:rFonts w:ascii="Times New Roman" w:hAnsi="Times New Roman"/>
          <w:lang w:val="en-GB"/>
        </w:rPr>
        <w:t xml:space="preserve"> capital. The extant examples of Urartian rock-cut tombs exhibit similar characteristics, </w:t>
      </w:r>
      <w:r w:rsidRPr="009B28FE">
        <w:rPr>
          <w:rFonts w:ascii="Times New Roman" w:eastAsia="Calibri" w:hAnsi="Times New Roman" w:cs="Times New Roman"/>
          <w:lang w:val="en-GB"/>
        </w:rPr>
        <w:t xml:space="preserve">also </w:t>
      </w:r>
      <w:r w:rsidRPr="002B4DAC">
        <w:rPr>
          <w:rFonts w:ascii="Times New Roman" w:hAnsi="Times New Roman"/>
          <w:lang w:val="en-GB"/>
        </w:rPr>
        <w:t xml:space="preserve">allowing a </w:t>
      </w:r>
      <w:r w:rsidRPr="009B28FE">
        <w:rPr>
          <w:rFonts w:ascii="Times New Roman" w:eastAsia="Calibri" w:hAnsi="Times New Roman" w:cs="Times New Roman"/>
          <w:lang w:val="en-GB"/>
        </w:rPr>
        <w:t>particular</w:t>
      </w:r>
      <w:r w:rsidRPr="002B4DAC">
        <w:rPr>
          <w:rFonts w:ascii="Times New Roman" w:hAnsi="Times New Roman"/>
          <w:lang w:val="en-GB"/>
        </w:rPr>
        <w:t xml:space="preserve"> classification. These examples, some of which can be classified as the royal rock-cut tombs and the underground-carved burial chambers, were widespread along a vast region throughout the </w:t>
      </w:r>
      <w:r w:rsidRPr="009B28FE">
        <w:rPr>
          <w:rFonts w:ascii="Times New Roman" w:eastAsia="Calibri" w:hAnsi="Times New Roman" w:cs="Times New Roman"/>
          <w:lang w:val="en-GB"/>
        </w:rPr>
        <w:t>kingdom's</w:t>
      </w:r>
      <w:r w:rsidRPr="002B4DAC">
        <w:rPr>
          <w:rFonts w:ascii="Times New Roman" w:hAnsi="Times New Roman"/>
          <w:lang w:val="en-GB"/>
        </w:rPr>
        <w:t xml:space="preserve"> reign. The chronologies of the rock-cut tombs are among the ongoing scholarly debates. Accept the Argišti I tomb, where his chronicles were inscribed</w:t>
      </w:r>
      <w:r w:rsidRPr="009B28FE">
        <w:rPr>
          <w:rFonts w:ascii="Times New Roman" w:eastAsia="Calibri" w:hAnsi="Times New Roman" w:cs="Times New Roman"/>
          <w:lang w:val="en-GB"/>
        </w:rPr>
        <w:t>;</w:t>
      </w:r>
      <w:r w:rsidRPr="002B4DAC">
        <w:rPr>
          <w:rFonts w:ascii="Times New Roman" w:hAnsi="Times New Roman"/>
          <w:lang w:val="en-GB"/>
        </w:rPr>
        <w:t xml:space="preserve"> other funerary architecture examples lack evidence for chronological assessments. However, suggestions can be made based on their planning and structural features. </w:t>
      </w:r>
      <w:r w:rsidRPr="009B28FE">
        <w:rPr>
          <w:rFonts w:ascii="Times New Roman" w:eastAsia="Calibri" w:hAnsi="Times New Roman" w:cs="Times New Roman"/>
          <w:lang w:val="en-GB"/>
        </w:rPr>
        <w:t>On the other hand, the</w:t>
      </w:r>
      <w:r w:rsidRPr="002B4DAC">
        <w:rPr>
          <w:rFonts w:ascii="Times New Roman" w:hAnsi="Times New Roman"/>
          <w:lang w:val="en-GB"/>
        </w:rPr>
        <w:t xml:space="preserve"> underground burial chambers</w:t>
      </w:r>
      <w:r w:rsidRPr="009B28FE">
        <w:rPr>
          <w:rFonts w:ascii="Times New Roman" w:eastAsia="Calibri" w:hAnsi="Times New Roman" w:cs="Times New Roman"/>
          <w:lang w:val="en-GB"/>
        </w:rPr>
        <w:t xml:space="preserve"> </w:t>
      </w:r>
      <w:r w:rsidRPr="002B4DAC">
        <w:rPr>
          <w:rFonts w:ascii="Times New Roman" w:hAnsi="Times New Roman"/>
          <w:lang w:val="en-GB"/>
        </w:rPr>
        <w:t>were the most widespread form of funerary architecture throughout the Urartian geography.</w:t>
      </w:r>
    </w:p>
    <w:p w14:paraId="31B51C25" w14:textId="6A2CBD32"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 xml:space="preserve">Regarding its location and planning, the BG90 underground rock-cut tomb </w:t>
      </w:r>
      <w:r w:rsidRPr="009B28FE">
        <w:rPr>
          <w:rFonts w:ascii="Times New Roman" w:eastAsia="Calibri" w:hAnsi="Times New Roman" w:cs="Times New Roman"/>
          <w:lang w:val="en-GB"/>
        </w:rPr>
        <w:t>is</w:t>
      </w:r>
      <w:r w:rsidRPr="002B4DAC">
        <w:rPr>
          <w:rFonts w:ascii="Times New Roman" w:hAnsi="Times New Roman"/>
          <w:lang w:val="en-GB"/>
        </w:rPr>
        <w:t xml:space="preserve"> a unique example of this form discovered in the capital</w:t>
      </w:r>
      <w:r w:rsidRPr="009B28FE">
        <w:rPr>
          <w:rFonts w:ascii="Times New Roman" w:eastAsia="Calibri" w:hAnsi="Times New Roman" w:cs="Times New Roman"/>
          <w:lang w:val="en-GB"/>
        </w:rPr>
        <w:t>. Regarding</w:t>
      </w:r>
      <w:r w:rsidRPr="002B4DAC">
        <w:rPr>
          <w:rFonts w:ascii="Times New Roman" w:hAnsi="Times New Roman"/>
          <w:lang w:val="en-GB"/>
        </w:rPr>
        <w:t xml:space="preserve"> planning, similar examples are known from the Karagündüz</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"Karagündüz"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and Altıntepe</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settlements in the Van Lake</w:t>
      </w:r>
      <w:r w:rsidR="00CA7B2B">
        <w:rPr>
          <w:rFonts w:ascii="Times New Roman" w:hAnsi="Times New Roman"/>
          <w:lang w:val="en-GB"/>
        </w:rPr>
        <w:fldChar w:fldCharType="begin"/>
      </w:r>
      <w:r w:rsidR="00CA7B2B">
        <w:instrText xml:space="preserve"> XE "</w:instrText>
      </w:r>
      <w:r w:rsidR="00CA7B2B" w:rsidRPr="00BC55E8">
        <w:rPr>
          <w:rFonts w:ascii="Times New Roman" w:hAnsi="Times New Roman"/>
          <w:lang w:val="en-GB"/>
        </w:rPr>
        <w:instrText>Van Lake</w:instrText>
      </w:r>
      <w:r w:rsidR="00CA7B2B">
        <w:instrText xml:space="preserve">" </w:instrText>
      </w:r>
      <w:r w:rsidR="00CA7B2B">
        <w:rPr>
          <w:rFonts w:ascii="Times New Roman" w:hAnsi="Times New Roman"/>
          <w:lang w:val="en-GB"/>
        </w:rPr>
        <w:fldChar w:fldCharType="end"/>
      </w:r>
      <w:r w:rsidRPr="009B28FE">
        <w:rPr>
          <w:rFonts w:ascii="Times New Roman" w:eastAsia="Calibri" w:hAnsi="Times New Roman" w:cs="Times New Roman"/>
          <w:lang w:val="en-GB"/>
        </w:rPr>
        <w:t> </w:t>
      </w:r>
      <w:r w:rsidRPr="00F03A26">
        <w:rPr>
          <w:rFonts w:asciiTheme="majorBidi" w:hAnsiTheme="majorBidi" w:cstheme="majorBidi"/>
          <w:lang w:val="en-GB"/>
        </w:rPr>
        <w:t xml:space="preserve"> </w:t>
      </w:r>
      <w:r w:rsidRPr="002B4DAC">
        <w:rPr>
          <w:rFonts w:ascii="Times New Roman" w:hAnsi="Times New Roman"/>
          <w:lang w:val="en-GB"/>
        </w:rPr>
        <w:t>basin; however, it is noteworthy that this grave type was built in larger sizes in the Van Fortress. In this regard, the tomb provides new insights into the evolution of the Urartian</w:t>
      </w:r>
      <w:r w:rsidR="00EA6C63">
        <w:rPr>
          <w:rFonts w:ascii="Times New Roman" w:hAnsi="Times New Roman"/>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imes New Roman" w:hAnsi="Times New Roman"/>
          <w:lang w:val="en-GB"/>
        </w:rPr>
        <w:fldChar w:fldCharType="end"/>
      </w:r>
      <w:r w:rsidRPr="002B4DAC">
        <w:rPr>
          <w:rFonts w:ascii="Times New Roman" w:hAnsi="Times New Roman"/>
          <w:lang w:val="en-GB"/>
        </w:rPr>
        <w:t xml:space="preserve"> royal funerary architecture.</w:t>
      </w:r>
    </w:p>
    <w:p w14:paraId="0C058E83" w14:textId="77777777" w:rsidR="006B23DC" w:rsidRPr="002B4DAC" w:rsidRDefault="006B23DC" w:rsidP="006B23DC">
      <w:pPr>
        <w:keepNext/>
        <w:keepLines/>
        <w:spacing w:before="40"/>
        <w:jc w:val="both"/>
        <w:outlineLvl w:val="1"/>
        <w:rPr>
          <w:rFonts w:ascii="Times New Roman" w:hAnsi="Times New Roman"/>
          <w:b/>
          <w:sz w:val="28"/>
          <w:szCs w:val="22"/>
          <w:lang w:val="en-GB"/>
        </w:rPr>
      </w:pPr>
      <w:bookmarkStart w:id="134" w:name="_Toc132072547"/>
      <w:bookmarkStart w:id="135" w:name="_Toc173231241"/>
      <w:r w:rsidRPr="002B4DAC">
        <w:rPr>
          <w:rFonts w:ascii="Times New Roman" w:hAnsi="Times New Roman"/>
          <w:b/>
          <w:sz w:val="28"/>
          <w:szCs w:val="22"/>
          <w:lang w:val="en-GB"/>
        </w:rPr>
        <w:t>9.1. Introduction</w:t>
      </w:r>
      <w:bookmarkEnd w:id="134"/>
      <w:bookmarkEnd w:id="135"/>
    </w:p>
    <w:p w14:paraId="4C38ED9D"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After the Urartians</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 xml:space="preserve">emerged as a state during the second half of the 9th century BCE, they adopted and developed the cultural life of the local populations residing in the same geography before their arrival. </w:t>
      </w:r>
      <w:r w:rsidRPr="009B28FE">
        <w:rPr>
          <w:rFonts w:ascii="Times New Roman" w:eastAsia="Calibri" w:hAnsi="Times New Roman" w:cs="Times New Roman"/>
          <w:lang w:val="en-GB"/>
        </w:rPr>
        <w:t>These people's</w:t>
      </w:r>
      <w:r w:rsidRPr="002B4DAC">
        <w:rPr>
          <w:rFonts w:ascii="Times New Roman" w:hAnsi="Times New Roman"/>
          <w:lang w:val="en-GB"/>
        </w:rPr>
        <w:t xml:space="preserve"> cultural structures and traditions</w:t>
      </w:r>
      <w:r w:rsidRPr="009B28FE">
        <w:rPr>
          <w:rFonts w:ascii="Times New Roman" w:eastAsia="Calibri" w:hAnsi="Times New Roman" w:cs="Times New Roman"/>
          <w:lang w:val="en-GB"/>
        </w:rPr>
        <w:t>,</w:t>
      </w:r>
      <w:r w:rsidRPr="002B4DAC">
        <w:rPr>
          <w:rFonts w:ascii="Times New Roman" w:hAnsi="Times New Roman"/>
          <w:lang w:val="en-GB"/>
        </w:rPr>
        <w:t xml:space="preserve"> from architecture to small-scale crafts, were transformed in the public sphere. Radical changes were made in the cultural and technological aspects of architecture, pottery, crafts, religion, and funerary customs. </w:t>
      </w:r>
      <w:r w:rsidRPr="009B28FE">
        <w:rPr>
          <w:rFonts w:ascii="Times New Roman" w:eastAsia="Calibri" w:hAnsi="Times New Roman" w:cs="Times New Roman"/>
          <w:lang w:val="en-GB"/>
        </w:rPr>
        <w:t>Assessing how</w:t>
      </w:r>
      <w:r w:rsidRPr="002B4DAC">
        <w:rPr>
          <w:rFonts w:ascii="Times New Roman" w:hAnsi="Times New Roman"/>
          <w:lang w:val="en-GB"/>
        </w:rPr>
        <w:t xml:space="preserve"> this new </w:t>
      </w:r>
      <w:r w:rsidRPr="009B28FE">
        <w:rPr>
          <w:rFonts w:ascii="Times New Roman" w:eastAsia="Calibri" w:hAnsi="Times New Roman" w:cs="Times New Roman"/>
          <w:lang w:val="en-GB"/>
        </w:rPr>
        <w:t>kingdom's</w:t>
      </w:r>
      <w:r w:rsidRPr="002B4DAC">
        <w:rPr>
          <w:rFonts w:ascii="Times New Roman" w:hAnsi="Times New Roman"/>
          <w:lang w:val="en-GB"/>
        </w:rPr>
        <w:t xml:space="preserve"> ideology affected the local </w:t>
      </w:r>
      <w:r w:rsidRPr="009B28FE">
        <w:rPr>
          <w:rFonts w:ascii="Times New Roman" w:eastAsia="Calibri" w:hAnsi="Times New Roman" w:cs="Times New Roman"/>
          <w:lang w:val="en-GB"/>
        </w:rPr>
        <w:t>people's</w:t>
      </w:r>
      <w:r w:rsidRPr="002B4DAC">
        <w:rPr>
          <w:rFonts w:ascii="Times New Roman" w:hAnsi="Times New Roman"/>
          <w:lang w:val="en-GB"/>
        </w:rPr>
        <w:t xml:space="preserve"> way of life, traditions, and religious beliefs</w:t>
      </w:r>
      <w:r w:rsidRPr="009B28FE">
        <w:rPr>
          <w:rFonts w:ascii="Times New Roman" w:eastAsia="Calibri" w:hAnsi="Times New Roman" w:cs="Times New Roman"/>
          <w:lang w:val="en-GB"/>
        </w:rPr>
        <w:t xml:space="preserve"> is challenging.</w:t>
      </w:r>
      <w:r w:rsidRPr="002B4DAC">
        <w:rPr>
          <w:rFonts w:ascii="Times New Roman" w:hAnsi="Times New Roman"/>
          <w:lang w:val="en-GB"/>
        </w:rPr>
        <w:t xml:space="preserve"> Undoubtedly, most of the populations living in rural areas far afield </w:t>
      </w:r>
      <w:r w:rsidRPr="009B28FE">
        <w:rPr>
          <w:rFonts w:ascii="Times New Roman" w:eastAsia="Calibri" w:hAnsi="Times New Roman" w:cs="Times New Roman"/>
          <w:lang w:val="en-GB"/>
        </w:rPr>
        <w:t xml:space="preserve">from </w:t>
      </w:r>
      <w:r w:rsidRPr="002B4DAC">
        <w:rPr>
          <w:rFonts w:ascii="Times New Roman" w:hAnsi="Times New Roman"/>
          <w:lang w:val="en-GB"/>
        </w:rPr>
        <w:t xml:space="preserve">the </w:t>
      </w:r>
      <w:r w:rsidRPr="009B28FE">
        <w:rPr>
          <w:rFonts w:ascii="Times New Roman" w:eastAsia="Calibri" w:hAnsi="Times New Roman" w:cs="Times New Roman"/>
          <w:lang w:val="en-GB"/>
        </w:rPr>
        <w:t>kingdom's center</w:t>
      </w:r>
      <w:r w:rsidRPr="002B4DAC">
        <w:rPr>
          <w:rFonts w:ascii="Times New Roman" w:hAnsi="Times New Roman"/>
          <w:lang w:val="en-GB"/>
        </w:rPr>
        <w:t xml:space="preserve"> maintained their deep-rooted traditions.</w:t>
      </w:r>
    </w:p>
    <w:p w14:paraId="3F007873" w14:textId="77777777" w:rsidR="006B23DC" w:rsidRPr="002B4DAC" w:rsidRDefault="006B23DC" w:rsidP="006B23DC">
      <w:pPr>
        <w:spacing w:before="100" w:beforeAutospacing="1" w:after="100" w:afterAutospacing="1"/>
        <w:jc w:val="both"/>
        <w:rPr>
          <w:rFonts w:ascii="Times New Roman" w:hAnsi="Times New Roman"/>
          <w:lang w:val="en-GB"/>
        </w:rPr>
      </w:pPr>
      <w:r w:rsidRPr="009B28FE">
        <w:rPr>
          <w:rFonts w:ascii="Times New Roman" w:eastAsia="Calibri" w:hAnsi="Times New Roman" w:cs="Times New Roman"/>
          <w:lang w:val="en-GB"/>
        </w:rPr>
        <w:t>Funerary</w:t>
      </w:r>
      <w:r w:rsidRPr="002B4DAC">
        <w:rPr>
          <w:rFonts w:ascii="Times New Roman" w:hAnsi="Times New Roman"/>
          <w:lang w:val="en-GB"/>
        </w:rPr>
        <w:t xml:space="preserve"> architecture and burial customs, </w:t>
      </w:r>
      <w:r w:rsidRPr="009B28FE">
        <w:rPr>
          <w:rFonts w:ascii="Times New Roman" w:eastAsia="Calibri" w:hAnsi="Times New Roman" w:cs="Times New Roman"/>
          <w:lang w:val="en-GB"/>
        </w:rPr>
        <w:t>mainly</w:t>
      </w:r>
      <w:r w:rsidRPr="002B4DAC">
        <w:rPr>
          <w:rFonts w:ascii="Times New Roman" w:hAnsi="Times New Roman"/>
          <w:lang w:val="en-GB"/>
        </w:rPr>
        <w:t xml:space="preserve"> underground burial chambers, simple earthen graves, and stone sarcophagi</w:t>
      </w:r>
      <w:r w:rsidRPr="009B28FE">
        <w:rPr>
          <w:rFonts w:ascii="Times New Roman" w:eastAsia="Calibri" w:hAnsi="Times New Roman" w:cs="Times New Roman"/>
          <w:lang w:val="en-GB"/>
        </w:rPr>
        <w:t>,</w:t>
      </w:r>
      <w:r w:rsidRPr="002B4DAC">
        <w:rPr>
          <w:rFonts w:ascii="Times New Roman" w:hAnsi="Times New Roman"/>
          <w:lang w:val="en-GB"/>
        </w:rPr>
        <w:t xml:space="preserve"> endured under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 xml:space="preserve">rule, clearly </w:t>
      </w:r>
      <w:r w:rsidRPr="009B28FE">
        <w:rPr>
          <w:rFonts w:ascii="Times New Roman" w:eastAsia="Calibri" w:hAnsi="Times New Roman" w:cs="Times New Roman"/>
          <w:lang w:val="en-GB"/>
        </w:rPr>
        <w:t>continuing</w:t>
      </w:r>
      <w:r w:rsidRPr="002B4DAC">
        <w:rPr>
          <w:rFonts w:ascii="Times New Roman" w:hAnsi="Times New Roman"/>
          <w:lang w:val="en-GB"/>
        </w:rPr>
        <w:t xml:space="preserve"> the traditional structure. The kurgan-type tombs of the semi-nomadic/highland cultures of the region dating to the 2nd millennium BCE also continued to be widespread during this period.</w:t>
      </w:r>
    </w:p>
    <w:p w14:paraId="1019BA82" w14:textId="61CDA65D"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lastRenderedPageBreak/>
        <w:t>Royal rock-cut tombs of the Urartian</w:t>
      </w:r>
      <w:r w:rsidRPr="009B28FE">
        <w:rPr>
          <w:rFonts w:ascii="Times New Roman" w:eastAsia="Calibri" w:hAnsi="Times New Roman" w:cs="Times New Roman"/>
          <w:lang w:val="en-GB"/>
        </w:rPr>
        <w:t> kingdom's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kingdom</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0012277B">
        <w:rPr>
          <w:rFonts w:asciiTheme="majorBidi" w:hAnsiTheme="majorBidi" w:cstheme="majorBidi"/>
          <w:lang w:val="en-GB"/>
        </w:rPr>
        <w:instrText>k</w:instrText>
      </w:r>
      <w:r w:rsidRPr="00F03A26">
        <w:rPr>
          <w:rFonts w:asciiTheme="majorBidi" w:hAnsiTheme="majorBidi" w:cstheme="majorBidi"/>
          <w:lang w:val="en-GB"/>
        </w:rPr>
        <w:instrText xml:space="preserve">ingdom" </w:instrText>
      </w:r>
      <w:r w:rsidRPr="00F03A26">
        <w:rPr>
          <w:rFonts w:asciiTheme="majorBidi" w:hAnsiTheme="majorBidi" w:cstheme="majorBidi"/>
          <w:lang w:val="en-GB"/>
        </w:rPr>
        <w:fldChar w:fldCharType="end"/>
      </w:r>
      <w:r w:rsidRPr="00F03A26">
        <w:rPr>
          <w:rFonts w:asciiTheme="majorBidi" w:hAnsiTheme="majorBidi" w:cstheme="majorBidi"/>
          <w:lang w:val="en-GB"/>
        </w:rPr>
        <w:t>’s</w:t>
      </w:r>
      <w:r w:rsidRPr="002B4DAC">
        <w:rPr>
          <w:rFonts w:ascii="Times New Roman" w:hAnsi="Times New Roman"/>
          <w:lang w:val="en-GB"/>
        </w:rPr>
        <w:t xml:space="preserve"> capital Ṭušpa, </w:t>
      </w:r>
      <w:r w:rsidRPr="009B28FE">
        <w:rPr>
          <w:rFonts w:ascii="Times New Roman" w:eastAsia="Calibri" w:hAnsi="Times New Roman" w:cs="Times New Roman"/>
          <w:lang w:val="en-GB"/>
        </w:rPr>
        <w:t>which</w:t>
      </w:r>
      <w:r w:rsidRPr="002B4DAC">
        <w:rPr>
          <w:rFonts w:ascii="Times New Roman" w:hAnsi="Times New Roman"/>
          <w:lang w:val="en-GB"/>
        </w:rPr>
        <w:t xml:space="preserve"> is the focus of this study, appeared as a newly developed practice and a product of monumentality. </w:t>
      </w:r>
      <w:r w:rsidRPr="009B28FE">
        <w:rPr>
          <w:rFonts w:ascii="Times New Roman" w:eastAsia="Calibri" w:hAnsi="Times New Roman" w:cs="Times New Roman"/>
          <w:lang w:val="en-GB"/>
        </w:rPr>
        <w:t>Because</w:t>
      </w:r>
      <w:r w:rsidRPr="002B4DAC">
        <w:rPr>
          <w:rFonts w:ascii="Times New Roman" w:hAnsi="Times New Roman"/>
          <w:lang w:val="en-GB"/>
        </w:rPr>
        <w:t xml:space="preserve"> the </w:t>
      </w:r>
      <w:r w:rsidRPr="009B28FE">
        <w:rPr>
          <w:rFonts w:ascii="Times New Roman" w:eastAsia="Calibri" w:hAnsi="Times New Roman" w:cs="Times New Roman"/>
          <w:lang w:val="en-GB"/>
        </w:rPr>
        <w:t>historical</w:t>
      </w:r>
      <w:r w:rsidRPr="002B4DAC">
        <w:rPr>
          <w:rFonts w:ascii="Times New Roman" w:hAnsi="Times New Roman"/>
          <w:lang w:val="en-GB"/>
        </w:rPr>
        <w:t xml:space="preserve"> versions of underground chamber </w:t>
      </w:r>
      <w:r w:rsidRPr="009B28FE">
        <w:rPr>
          <w:rFonts w:ascii="Times New Roman" w:eastAsia="Calibri" w:hAnsi="Times New Roman" w:cs="Times New Roman"/>
          <w:lang w:val="en-GB"/>
        </w:rPr>
        <w:t xml:space="preserve">tombs were also </w:t>
      </w:r>
      <w:r w:rsidRPr="002B4DAC">
        <w:rPr>
          <w:rFonts w:ascii="Times New Roman" w:hAnsi="Times New Roman"/>
          <w:lang w:val="en-GB"/>
        </w:rPr>
        <w:t xml:space="preserve">known as </w:t>
      </w:r>
      <w:r w:rsidRPr="009B28FE">
        <w:rPr>
          <w:rFonts w:ascii="Times New Roman" w:eastAsia="Calibri" w:hAnsi="Times New Roman" w:cs="Times New Roman"/>
          <w:lang w:val="en-GB"/>
        </w:rPr>
        <w:t>"public tombs"—burial places for the public</w:t>
      </w:r>
      <w:r w:rsidRPr="002B4DAC">
        <w:rPr>
          <w:rFonts w:ascii="Times New Roman" w:hAnsi="Times New Roman"/>
          <w:lang w:val="en-GB"/>
        </w:rPr>
        <w:t xml:space="preserve">—the royal rock tombs were </w:t>
      </w:r>
      <w:r w:rsidRPr="009B28FE">
        <w:rPr>
          <w:rFonts w:ascii="Times New Roman" w:eastAsia="Calibri" w:hAnsi="Times New Roman" w:cs="Times New Roman"/>
          <w:lang w:val="en-GB"/>
        </w:rPr>
        <w:t>unique to</w:t>
      </w:r>
      <w:r w:rsidRPr="002B4DAC">
        <w:rPr>
          <w:rFonts w:ascii="Times New Roman" w:hAnsi="Times New Roman"/>
          <w:lang w:val="en-GB"/>
        </w:rPr>
        <w:t xml:space="preserve"> the citadel. The underground burial chambers, represented by the main grave chamber and side chambers or burial pits, reached a monumental scale in the royal tombs. These structures were designed as </w:t>
      </w:r>
      <w:r w:rsidRPr="009B28FE">
        <w:rPr>
          <w:rFonts w:ascii="Times New Roman" w:eastAsia="Calibri" w:hAnsi="Times New Roman" w:cs="Times New Roman"/>
          <w:lang w:val="en-GB"/>
        </w:rPr>
        <w:t>houses</w:t>
      </w:r>
      <w:r w:rsidRPr="002B4DAC">
        <w:rPr>
          <w:rFonts w:ascii="Times New Roman" w:hAnsi="Times New Roman"/>
          <w:lang w:val="en-GB"/>
        </w:rPr>
        <w:t xml:space="preserve"> for the dead, including the main chamber and multiple burial chambers opening towards the main one. In this regard, there was an apparent interaction and transition between the public funerary architecture tradition, which appeared in underground chamber graves, and the Urartian rock-cut tombs.</w:t>
      </w:r>
    </w:p>
    <w:p w14:paraId="4614C1D4" w14:textId="77777777" w:rsidR="006B23DC" w:rsidRPr="002B4DAC" w:rsidRDefault="006B23DC" w:rsidP="006B23DC">
      <w:pPr>
        <w:spacing w:before="100" w:beforeAutospacing="1" w:after="100" w:afterAutospacing="1"/>
        <w:jc w:val="both"/>
        <w:outlineLvl w:val="1"/>
        <w:rPr>
          <w:rFonts w:ascii="Times New Roman" w:hAnsi="Times New Roman"/>
          <w:b/>
          <w:sz w:val="28"/>
          <w:szCs w:val="22"/>
          <w:lang w:val="en-GB"/>
        </w:rPr>
      </w:pPr>
      <w:bookmarkStart w:id="136" w:name="_Toc132072548"/>
      <w:bookmarkStart w:id="137" w:name="_Toc173231242"/>
      <w:r w:rsidRPr="002B4DAC">
        <w:rPr>
          <w:rFonts w:ascii="Times New Roman" w:hAnsi="Times New Roman"/>
          <w:b/>
          <w:sz w:val="28"/>
          <w:szCs w:val="22"/>
          <w:lang w:val="en-GB"/>
        </w:rPr>
        <w:t>9.2. Ṭušpa Rock-Cut Tombs</w:t>
      </w:r>
      <w:bookmarkEnd w:id="136"/>
      <w:bookmarkEnd w:id="137"/>
    </w:p>
    <w:p w14:paraId="255CA920" w14:textId="76204304"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The Van Fortress, identified with the Urartian</w:t>
      </w:r>
      <w:r w:rsidRPr="00BE2A5D">
        <w:rPr>
          <w:rFonts w:ascii="Times New Roman" w:eastAsia="Calibri" w:hAnsi="Times New Roman" w:cs="Times New Roman"/>
          <w:lang w:val="en-GB"/>
        </w:rPr>
        <w:t> kingdom's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kingdom</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Kingdom" </w:instrText>
      </w:r>
      <w:r w:rsidRPr="00F03A26">
        <w:rPr>
          <w:rFonts w:asciiTheme="majorBidi" w:hAnsiTheme="majorBidi" w:cstheme="majorBidi"/>
          <w:lang w:val="en-GB"/>
        </w:rPr>
        <w:fldChar w:fldCharType="end"/>
      </w:r>
      <w:r w:rsidRPr="00F03A26">
        <w:rPr>
          <w:rFonts w:asciiTheme="majorBidi" w:hAnsiTheme="majorBidi" w:cstheme="majorBidi"/>
          <w:lang w:val="en-GB"/>
        </w:rPr>
        <w:t>’s</w:t>
      </w:r>
      <w:r w:rsidRPr="002B4DAC">
        <w:rPr>
          <w:rFonts w:ascii="Times New Roman" w:hAnsi="Times New Roman"/>
          <w:szCs w:val="22"/>
          <w:lang w:val="en-GB"/>
        </w:rPr>
        <w:t xml:space="preserve"> capital</w:t>
      </w:r>
      <w:r w:rsidRPr="00BE2A5D">
        <w:rPr>
          <w:rFonts w:ascii="Times New Roman" w:eastAsia="Calibri" w:hAnsi="Times New Roman" w:cs="Times New Roman"/>
          <w:lang w:val="en-GB"/>
        </w:rPr>
        <w:t>,</w:t>
      </w:r>
      <w:r w:rsidRPr="002B4DAC">
        <w:rPr>
          <w:rFonts w:ascii="Times New Roman" w:hAnsi="Times New Roman"/>
          <w:szCs w:val="22"/>
          <w:lang w:val="en-GB"/>
        </w:rPr>
        <w:t xml:space="preserve"> Ṭušpa, is home </w:t>
      </w:r>
      <w:r w:rsidRPr="00BE2A5D">
        <w:rPr>
          <w:rFonts w:ascii="Times New Roman" w:eastAsia="Calibri" w:hAnsi="Times New Roman" w:cs="Times New Roman"/>
          <w:lang w:val="en-GB"/>
        </w:rPr>
        <w:t>to</w:t>
      </w:r>
      <w:r w:rsidRPr="002B4DAC">
        <w:rPr>
          <w:rFonts w:ascii="Times New Roman" w:hAnsi="Times New Roman"/>
          <w:szCs w:val="22"/>
          <w:lang w:val="en-GB"/>
        </w:rPr>
        <w:t xml:space="preserve"> the</w:t>
      </w:r>
      <w:r w:rsidRPr="00BE2A5D">
        <w:rPr>
          <w:rFonts w:ascii="Times New Roman" w:eastAsia="Calibri" w:hAnsi="Times New Roman" w:cs="Times New Roman"/>
          <w:lang w:val="en-GB"/>
        </w:rPr>
        <w:t xml:space="preserve"> kingdom's</w:t>
      </w:r>
      <w:r w:rsidRPr="002B4DAC">
        <w:rPr>
          <w:rFonts w:ascii="Times New Roman" w:hAnsi="Times New Roman"/>
          <w:szCs w:val="22"/>
          <w:lang w:val="en-GB"/>
        </w:rPr>
        <w:t xml:space="preserve"> most significant structures and monumental features. As the focus of this study, the royal tombs constitute the majority of these structural features. The royal rock-cut tombs dating to the Urartian Period at the Ṭušpa citadel are located </w:t>
      </w:r>
      <w:r w:rsidRPr="00BE2A5D">
        <w:rPr>
          <w:rFonts w:ascii="Times New Roman" w:eastAsia="Calibri" w:hAnsi="Times New Roman" w:cs="Times New Roman"/>
          <w:lang w:val="en-GB"/>
        </w:rPr>
        <w:t>on</w:t>
      </w:r>
      <w:r w:rsidRPr="002B4DAC">
        <w:rPr>
          <w:rFonts w:ascii="Times New Roman" w:hAnsi="Times New Roman"/>
          <w:szCs w:val="22"/>
          <w:lang w:val="en-GB"/>
        </w:rPr>
        <w:t xml:space="preserve"> the southern side of the hill (Fig. 1). They were planned as multi-chambered features. Some of these tombs, such as the Horhor</w:t>
      </w:r>
      <w:r w:rsidR="00CD0F5D">
        <w:rPr>
          <w:rFonts w:ascii="Times New Roman" w:eastAsia="Calibri" w:hAnsi="Times New Roman" w:cs="Times New Roman"/>
          <w:lang w:val="en-GB"/>
        </w:rPr>
        <w:t>/</w:t>
      </w:r>
      <w:r w:rsidRPr="002B4DAC">
        <w:rPr>
          <w:rFonts w:ascii="Times New Roman" w:hAnsi="Times New Roman"/>
          <w:szCs w:val="22"/>
          <w:lang w:val="en-GB"/>
        </w:rPr>
        <w:t>Argišti I</w:t>
      </w:r>
      <w:r w:rsidRPr="00BE2A5D">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"Argišti 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sidRPr="00BE2A5D">
        <w:rPr>
          <w:rFonts w:ascii="Times New Roman" w:eastAsia="Calibri" w:hAnsi="Times New Roman" w:cs="Times New Roman"/>
          <w:lang w:val="en-GB"/>
        </w:rPr>
        <w:t> </w:t>
      </w:r>
      <w:r w:rsidRPr="002B4DAC">
        <w:rPr>
          <w:rFonts w:ascii="Times New Roman" w:hAnsi="Times New Roman"/>
          <w:szCs w:val="22"/>
          <w:lang w:val="en-GB"/>
        </w:rPr>
        <w:t>and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sidRPr="00BE2A5D">
        <w:rPr>
          <w:rFonts w:ascii="Times New Roman" w:eastAsia="Calibri" w:hAnsi="Times New Roman" w:cs="Times New Roman"/>
          <w:lang w:val="en-GB"/>
        </w:rPr>
        <w:t>,</w:t>
      </w:r>
      <w:r w:rsidRPr="002B4DAC">
        <w:rPr>
          <w:rFonts w:ascii="Times New Roman" w:hAnsi="Times New Roman"/>
          <w:szCs w:val="22"/>
          <w:lang w:val="en-GB"/>
        </w:rPr>
        <w:t xml:space="preserve"> have monumental facades (Piotrovsky, 1966: 302-303; Köroğlu, 2008: 23-28; Konyar, 2011: 206-216; Genç, 2015: 266-284). These rock facades </w:t>
      </w:r>
      <w:r w:rsidRPr="00BE2A5D">
        <w:rPr>
          <w:rFonts w:ascii="Times New Roman" w:eastAsia="Calibri" w:hAnsi="Times New Roman" w:cs="Times New Roman"/>
          <w:lang w:val="en-GB"/>
        </w:rPr>
        <w:t>on</w:t>
      </w:r>
      <w:r w:rsidRPr="002B4DAC">
        <w:rPr>
          <w:rFonts w:ascii="Times New Roman" w:hAnsi="Times New Roman"/>
          <w:szCs w:val="22"/>
          <w:lang w:val="en-GB"/>
        </w:rPr>
        <w:t xml:space="preserve"> the southern edge of the citadel have provided suitable surfaces for carving and constructing rock-cut tombs and monumental facades. Stairways carved into the bedrock enabled entrance to these burial chambers. Platforms, built by leveling the bedrock, are </w:t>
      </w:r>
      <w:r w:rsidRPr="00BE2A5D">
        <w:rPr>
          <w:rFonts w:ascii="Times New Roman" w:eastAsia="Calibri" w:hAnsi="Times New Roman" w:cs="Times New Roman"/>
          <w:lang w:val="en-GB"/>
        </w:rPr>
        <w:t>before</w:t>
      </w:r>
      <w:r w:rsidRPr="002B4DAC">
        <w:rPr>
          <w:rFonts w:ascii="Times New Roman" w:hAnsi="Times New Roman"/>
          <w:szCs w:val="22"/>
          <w:lang w:val="en-GB"/>
        </w:rPr>
        <w:t xml:space="preserve"> the tombs. In terms of the planning of the façades and the multi-chambered arrangements, the royal tombs of the citadel are in monumental scales.</w:t>
      </w:r>
    </w:p>
    <w:p w14:paraId="6ED0F28F" w14:textId="5BA875F1" w:rsidR="006B23DC" w:rsidRPr="00EB77F4"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7D1C2C0F" wp14:editId="3CD33B47">
            <wp:extent cx="5905640" cy="1588456"/>
            <wp:effectExtent l="0" t="0" r="0" b="0"/>
            <wp:docPr id="175" name="Resim 175" descr="gökyüzü, dış mekan, manzar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Resim 175" descr="gökyüzü, dış mekan, manzara, dağ içeren bir resim&#10;&#10;Açıklama otomatik olarak oluşturuldu"/>
                    <pic:cNvPicPr/>
                  </pic:nvPicPr>
                  <pic:blipFill rotWithShape="1">
                    <a:blip r:embed="rId256" cstate="email">
                      <a:extLst>
                        <a:ext uri="{28A0092B-C50C-407E-A947-70E740481C1C}">
                          <a14:useLocalDpi xmlns:a14="http://schemas.microsoft.com/office/drawing/2010/main"/>
                        </a:ext>
                      </a:extLst>
                    </a:blip>
                    <a:srcRect t="18967"/>
                    <a:stretch/>
                  </pic:blipFill>
                  <pic:spPr bwMode="auto">
                    <a:xfrm>
                      <a:off x="0" y="0"/>
                      <a:ext cx="5934155" cy="1596126"/>
                    </a:xfrm>
                    <a:prstGeom prst="rect">
                      <a:avLst/>
                    </a:prstGeom>
                    <a:ln>
                      <a:noFill/>
                    </a:ln>
                    <a:extLst>
                      <a:ext uri="{53640926-AAD7-44D8-BBD7-CCE9431645EC}">
                        <a14:shadowObscured xmlns:a14="http://schemas.microsoft.com/office/drawing/2010/main"/>
                      </a:ext>
                    </a:extLst>
                  </pic:spPr>
                </pic:pic>
              </a:graphicData>
            </a:graphic>
          </wp:inline>
        </w:drawing>
      </w:r>
      <w:r w:rsidRPr="002B4DAC">
        <w:rPr>
          <w:rFonts w:ascii="Times New Roman" w:hAnsi="Times New Roman"/>
          <w:szCs w:val="22"/>
          <w:lang w:val="en-GB"/>
        </w:rPr>
        <w:t xml:space="preserve"> Fig. 1 Royal tombs on the south facade of the Van Rock. From left to right: Arsenal</w:t>
      </w:r>
      <w:r w:rsidRPr="0035595C">
        <w:rPr>
          <w:rFonts w:ascii="Times New Roman" w:eastAsia="Calibri" w:hAnsi="Times New Roman" w:cs="Times New Roman"/>
          <w:lang w:val="en-GB"/>
        </w:rPr>
        <w:t>/</w:t>
      </w:r>
      <w:r w:rsidRPr="002B4DAC">
        <w:rPr>
          <w:rFonts w:ascii="Times New Roman" w:hAnsi="Times New Roman"/>
          <w:szCs w:val="22"/>
          <w:lang w:val="en-GB"/>
        </w:rPr>
        <w:t>BD78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 xml:space="preserve">Arsenal/BD78 </w:instrText>
      </w:r>
      <w:r w:rsidR="00AA1737">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tomb underneath the Great Platform</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Great Platform</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and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w:t>
      </w:r>
    </w:p>
    <w:p w14:paraId="60F65228" w14:textId="77777777" w:rsidR="006B23DC" w:rsidRPr="002B4DAC" w:rsidRDefault="006B23DC" w:rsidP="000A5F5D">
      <w:pPr>
        <w:jc w:val="both"/>
        <w:rPr>
          <w:rFonts w:ascii="Times New Roman" w:hAnsi="Times New Roman"/>
          <w:lang w:val="en-GB"/>
        </w:rPr>
      </w:pPr>
      <w:r w:rsidRPr="002B4DAC">
        <w:rPr>
          <w:rFonts w:ascii="Times New Roman" w:hAnsi="Times New Roman"/>
          <w:lang w:val="en-GB"/>
        </w:rPr>
        <w:t>Public graves can be found outside the citadel or in rural areas, varying from stone-lined</w:t>
      </w:r>
    </w:p>
    <w:p w14:paraId="64BAAC42" w14:textId="77777777" w:rsidR="006B23DC" w:rsidRPr="002B4DAC" w:rsidRDefault="006B23DC" w:rsidP="000A5F5D">
      <w:pPr>
        <w:jc w:val="both"/>
        <w:rPr>
          <w:rFonts w:ascii="Times New Roman" w:hAnsi="Times New Roman"/>
          <w:lang w:val="en-GB"/>
        </w:rPr>
      </w:pPr>
      <w:r w:rsidRPr="002B4DAC">
        <w:rPr>
          <w:rFonts w:ascii="Times New Roman" w:hAnsi="Times New Roman"/>
          <w:lang w:val="en-GB"/>
        </w:rPr>
        <w:t xml:space="preserve">Earthen pit graves to single or multi-roomed graves dug into the tufa bedrock. These examples </w:t>
      </w:r>
    </w:p>
    <w:p w14:paraId="686F571C" w14:textId="65A707B3" w:rsidR="006B23DC" w:rsidRPr="002B4DAC" w:rsidRDefault="006B23DC" w:rsidP="000A5F5D">
      <w:pPr>
        <w:jc w:val="both"/>
        <w:rPr>
          <w:rFonts w:ascii="Times New Roman" w:hAnsi="Times New Roman"/>
          <w:lang w:val="en-GB"/>
        </w:rPr>
      </w:pPr>
      <w:r w:rsidRPr="002B4DAC">
        <w:rPr>
          <w:rFonts w:ascii="Times New Roman" w:hAnsi="Times New Roman"/>
          <w:lang w:val="en-GB"/>
        </w:rPr>
        <w:t>are typical of the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period and had a widespread occurrence. Specifically, the stone-lined graves with walls constructed by the superposition technique and well-shaped dromos are the most typical tombs throughout the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 xml:space="preserve">geography. These graves had multiple burials and are thought to reflect the </w:t>
      </w:r>
      <w:r w:rsidRPr="009B28FE">
        <w:rPr>
          <w:rFonts w:ascii="Times New Roman" w:eastAsia="Calibri" w:hAnsi="Times New Roman" w:cs="Times New Roman"/>
          <w:lang w:val="en-GB"/>
        </w:rPr>
        <w:t xml:space="preserve">Urartian kingdom's </w:t>
      </w:r>
      <w:r w:rsidRPr="002B4DAC">
        <w:rPr>
          <w:rFonts w:ascii="Times New Roman" w:hAnsi="Times New Roman"/>
          <w:lang w:val="en-GB"/>
        </w:rPr>
        <w:t>earliest grave typology and funerary perspective</w:t>
      </w:r>
      <w:r w:rsidRPr="009B28FE">
        <w:rPr>
          <w:rFonts w:ascii="Times New Roman" w:eastAsia="Calibri" w:hAnsi="Times New Roman" w:cs="Times New Roman"/>
          <w:lang w:val="en-GB"/>
        </w:rPr>
        <w:t>.</w:t>
      </w:r>
      <w:r w:rsidRPr="002B4DAC">
        <w:rPr>
          <w:rFonts w:ascii="Times New Roman" w:hAnsi="Times New Roman"/>
          <w:lang w:val="en-GB"/>
        </w:rPr>
        <w:t xml:space="preserve"> Notwithstanding certain debates, examples from the Ernis necropolis (Erzen</w:t>
      </w:r>
      <w:r w:rsidRPr="009B28FE">
        <w:rPr>
          <w:rFonts w:ascii="Times New Roman" w:eastAsia="Calibri" w:hAnsi="Times New Roman" w:cs="Times New Roman"/>
          <w:lang w:val="en-GB"/>
        </w:rPr>
        <w:t>,</w:t>
      </w:r>
      <w:r w:rsidRPr="00F03A26">
        <w:rPr>
          <w:rFonts w:asciiTheme="majorBidi" w:hAnsiTheme="majorBidi" w:cstheme="majorBidi"/>
          <w:lang w:val="en-GB"/>
        </w:rPr>
        <w:t xml:space="preserve"> </w:t>
      </w:r>
      <w:r w:rsidRPr="002B4DAC">
        <w:rPr>
          <w:rFonts w:ascii="Times New Roman" w:hAnsi="Times New Roman"/>
          <w:lang w:val="en-GB"/>
        </w:rPr>
        <w:t>1964: 570-572) are evaluated within this category. On the other hand, examples from other necropolises such as Yoncatepe</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"Yoncatepe"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(Belli, 2006: 405-406), Karagündüz</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"Karagündüz"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(Sevin &amp; Kavaklı, 1996a: 1-20), and Dilkaya</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"Dilkaya"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(Çilingiroğlu &amp; Derin, 1992: 403-422), also follow the characteristics of the</w:t>
      </w:r>
      <w:r w:rsidRPr="009B28FE">
        <w:rPr>
          <w:rFonts w:ascii="Times New Roman" w:eastAsia="Calibri" w:hAnsi="Times New Roman" w:cs="Times New Roman"/>
          <w:lang w:val="en-GB"/>
        </w:rPr>
        <w:t> </w:t>
      </w:r>
      <w:r w:rsidRPr="002B4DAC">
        <w:rPr>
          <w:rFonts w:ascii="Times New Roman" w:hAnsi="Times New Roman"/>
          <w:lang w:val="en-GB"/>
        </w:rPr>
        <w:t>Urartian</w:t>
      </w:r>
      <w:r w:rsidRPr="009B28FE">
        <w:rPr>
          <w:rFonts w:ascii="Times New Roman" w:eastAsia="Calibri" w:hAnsi="Times New Roman" w:cs="Times New Roman"/>
          <w:lang w:val="en-GB"/>
        </w:rPr>
        <w:t> </w:t>
      </w:r>
      <w:r w:rsidRPr="002B4DAC">
        <w:rPr>
          <w:rFonts w:ascii="Times New Roman" w:hAnsi="Times New Roman"/>
          <w:lang w:val="en-GB"/>
        </w:rPr>
        <w:t xml:space="preserve">period, especially </w:t>
      </w:r>
      <w:r w:rsidRPr="009B28FE">
        <w:rPr>
          <w:rFonts w:ascii="Times New Roman" w:eastAsia="Calibri" w:hAnsi="Times New Roman" w:cs="Times New Roman"/>
          <w:lang w:val="en-GB"/>
        </w:rPr>
        <w:t>regarding</w:t>
      </w:r>
      <w:r w:rsidRPr="002B4DAC">
        <w:rPr>
          <w:rFonts w:ascii="Times New Roman" w:hAnsi="Times New Roman"/>
          <w:lang w:val="en-GB"/>
        </w:rPr>
        <w:t xml:space="preserve"> the finds and their contexts.</w:t>
      </w:r>
    </w:p>
    <w:p w14:paraId="126DC609" w14:textId="042E456A"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lastRenderedPageBreak/>
        <w:t xml:space="preserve">As is well known, constructing and shaping the bedrock </w:t>
      </w:r>
      <w:r w:rsidRPr="009B28FE">
        <w:rPr>
          <w:rFonts w:ascii="Times New Roman" w:eastAsia="Calibri" w:hAnsi="Times New Roman" w:cs="Times New Roman"/>
          <w:lang w:val="en-GB"/>
        </w:rPr>
        <w:t>was</w:t>
      </w:r>
      <w:r w:rsidRPr="002B4DAC">
        <w:rPr>
          <w:rFonts w:ascii="Times New Roman" w:hAnsi="Times New Roman"/>
          <w:szCs w:val="22"/>
          <w:lang w:val="en-GB"/>
        </w:rPr>
        <w:t xml:space="preserve"> important as a </w:t>
      </w:r>
      <w:r w:rsidRPr="009B28FE">
        <w:rPr>
          <w:rFonts w:ascii="Times New Roman" w:eastAsia="Calibri" w:hAnsi="Times New Roman" w:cs="Times New Roman"/>
          <w:lang w:val="en-GB"/>
        </w:rPr>
        <w:t>significant</w:t>
      </w:r>
      <w:r w:rsidRPr="002B4DAC">
        <w:rPr>
          <w:rFonts w:ascii="Times New Roman" w:hAnsi="Times New Roman"/>
          <w:szCs w:val="22"/>
          <w:lang w:val="en-GB"/>
        </w:rPr>
        <w:t xml:space="preserve"> technical and architectural solution for the </w:t>
      </w:r>
      <w:r w:rsidRPr="009B28FE">
        <w:rPr>
          <w:rFonts w:ascii="Times New Roman" w:eastAsia="Calibri" w:hAnsi="Times New Roman" w:cs="Times New Roman"/>
          <w:lang w:val="en-GB"/>
        </w:rPr>
        <w:t>Urartian</w:t>
      </w:r>
      <w:r w:rsidR="00EA6C63">
        <w:rPr>
          <w:rFonts w:ascii="Times New Roman" w:eastAsia="Calibri" w:hAnsi="Times New Roman" w:cs="Times New Roman"/>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imes New Roman" w:eastAsia="Calibri" w:hAnsi="Times New Roman" w:cs="Times New Roman"/>
          <w:lang w:val="en-GB"/>
        </w:rPr>
        <w:fldChar w:fldCharType="end"/>
      </w:r>
      <w:r w:rsidRPr="009B28FE">
        <w:rPr>
          <w:rFonts w:ascii="Times New Roman" w:eastAsia="Calibri" w:hAnsi="Times New Roman" w:cs="Times New Roman"/>
          <w:lang w:val="en-GB"/>
        </w:rPr>
        <w:t xml:space="preserve"> </w:t>
      </w:r>
      <w:r w:rsidRPr="002B4DAC">
        <w:rPr>
          <w:rFonts w:ascii="Times New Roman" w:hAnsi="Times New Roman"/>
          <w:szCs w:val="22"/>
          <w:lang w:val="en-GB"/>
        </w:rPr>
        <w:t>military and public architecture</w:t>
      </w:r>
      <w:r w:rsidRPr="009B28FE">
        <w:rPr>
          <w:rFonts w:ascii="Times New Roman" w:eastAsia="Calibri" w:hAnsi="Times New Roman" w:cs="Times New Roman"/>
          <w:lang w:val="en-GB"/>
        </w:rPr>
        <w:t>.</w:t>
      </w:r>
      <w:r w:rsidRPr="001B7CB7">
        <w:rPr>
          <w:rFonts w:ascii="Times New Roman" w:hAnsi="Times New Roman"/>
          <w:lang w:val="en-GB"/>
        </w:rPr>
        <w:t xml:space="preserve"> Existing rocky areas in the settled lands were shaped to become a principal component of their architecture. The products of their talents in this field can be seen in the wall beds, walls, monumental niches, steps, fountains</w:t>
      </w:r>
      <w:r w:rsidRPr="009B28FE">
        <w:rPr>
          <w:rFonts w:ascii="Times New Roman" w:eastAsia="Calibri" w:hAnsi="Times New Roman" w:cs="Times New Roman"/>
          <w:lang w:val="en-GB"/>
        </w:rPr>
        <w:t>,</w:t>
      </w:r>
      <w:r w:rsidRPr="002B4DAC">
        <w:rPr>
          <w:rFonts w:ascii="Times New Roman" w:hAnsi="Times New Roman"/>
          <w:szCs w:val="22"/>
          <w:lang w:val="en-GB"/>
        </w:rPr>
        <w:t xml:space="preserve"> and inscriptions built by hewing, carving, and manipulating the bedrock.</w:t>
      </w:r>
    </w:p>
    <w:p w14:paraId="1852FA39"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Reflections of their architectural talents and perfection can be observed through the monumental rock-cut tombs at the Ṭušpa</w:t>
      </w:r>
      <w:r w:rsidRPr="009B28FE">
        <w:rPr>
          <w:rFonts w:ascii="Times New Roman" w:eastAsia="Calibri" w:hAnsi="Times New Roman" w:cs="Times New Roman"/>
          <w:lang w:val="en-GB"/>
        </w:rPr>
        <w:t> </w:t>
      </w:r>
      <w:r w:rsidRPr="002B4DAC">
        <w:rPr>
          <w:rFonts w:ascii="Times New Roman" w:hAnsi="Times New Roman"/>
          <w:szCs w:val="22"/>
          <w:lang w:val="en-GB"/>
        </w:rPr>
        <w:t>citadel. Considering their structural features, locations, and functions, the royal rock-cut tombs of the citadel can be put into five main categories.</w:t>
      </w:r>
    </w:p>
    <w:p w14:paraId="425623F7"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 Structural features and some details </w:t>
      </w:r>
      <w:r w:rsidRPr="009B28FE">
        <w:rPr>
          <w:rFonts w:ascii="Times New Roman" w:eastAsia="Calibri" w:hAnsi="Times New Roman" w:cs="Times New Roman"/>
          <w:lang w:val="en-GB"/>
        </w:rPr>
        <w:t>about</w:t>
      </w:r>
      <w:r w:rsidRPr="002B4DAC">
        <w:rPr>
          <w:rFonts w:ascii="Times New Roman" w:hAnsi="Times New Roman"/>
          <w:szCs w:val="22"/>
          <w:lang w:val="en-GB"/>
        </w:rPr>
        <w:t xml:space="preserve"> internal arrangements of the İç Kale</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sidRPr="009B28FE">
        <w:rPr>
          <w:rFonts w:ascii="Times New Roman" w:eastAsia="Calibri" w:hAnsi="Times New Roman" w:cs="Times New Roman"/>
          <w:lang w:val="en-GB"/>
        </w:rPr>
        <w:t>,</w:t>
      </w:r>
      <w:r w:rsidRPr="002B4DAC">
        <w:rPr>
          <w:rFonts w:ascii="Times New Roman" w:hAnsi="Times New Roman"/>
          <w:szCs w:val="22"/>
          <w:lang w:val="en-GB"/>
        </w:rPr>
        <w:t xml:space="preserve"> and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sidRPr="009B28FE">
        <w:rPr>
          <w:rFonts w:ascii="Times New Roman" w:eastAsia="Calibri" w:hAnsi="Times New Roman" w:cs="Times New Roman"/>
          <w:lang w:val="en-GB"/>
        </w:rPr>
        <w:t> </w:t>
      </w:r>
      <w:r w:rsidRPr="002B4DAC">
        <w:rPr>
          <w:rFonts w:ascii="Times New Roman" w:hAnsi="Times New Roman"/>
          <w:szCs w:val="22"/>
          <w:lang w:val="en-GB"/>
        </w:rPr>
        <w:t>reflect a common approach, thus indicating a chronological relationship between these monuments. The bedrock craftsmanship, the stairs and the large platforms at the entrance, the monumental facades, and other applications inside the tombs</w:t>
      </w:r>
      <w:r w:rsidRPr="009B28FE">
        <w:rPr>
          <w:rFonts w:ascii="Times New Roman" w:eastAsia="Calibri" w:hAnsi="Times New Roman" w:cs="Times New Roman"/>
          <w:lang w:val="en-GB"/>
        </w:rPr>
        <w:t>,</w:t>
      </w:r>
      <w:r w:rsidRPr="002B4DAC">
        <w:rPr>
          <w:rFonts w:ascii="Times New Roman" w:hAnsi="Times New Roman"/>
          <w:szCs w:val="22"/>
          <w:lang w:val="en-GB"/>
        </w:rPr>
        <w:t xml:space="preserve"> such as the cornices on the ceilings, the burial beds, vessels</w:t>
      </w:r>
      <w:r w:rsidRPr="009B28FE">
        <w:rPr>
          <w:rFonts w:ascii="Times New Roman" w:eastAsia="Calibri" w:hAnsi="Times New Roman" w:cs="Times New Roman"/>
          <w:lang w:val="en-GB"/>
        </w:rPr>
        <w:t>,</w:t>
      </w:r>
      <w:r w:rsidRPr="002B4DAC">
        <w:rPr>
          <w:rFonts w:ascii="Times New Roman" w:hAnsi="Times New Roman"/>
          <w:szCs w:val="22"/>
          <w:lang w:val="en-GB"/>
        </w:rPr>
        <w:t xml:space="preserve"> and the platforms</w:t>
      </w:r>
      <w:r w:rsidRPr="009B28FE">
        <w:rPr>
          <w:rFonts w:ascii="Times New Roman" w:eastAsia="Calibri" w:hAnsi="Times New Roman" w:cs="Times New Roman"/>
          <w:lang w:val="en-GB"/>
        </w:rPr>
        <w:t>,</w:t>
      </w:r>
      <w:r w:rsidRPr="002B4DAC">
        <w:rPr>
          <w:rFonts w:ascii="Times New Roman" w:hAnsi="Times New Roman"/>
          <w:szCs w:val="22"/>
          <w:lang w:val="en-GB"/>
        </w:rPr>
        <w:t xml:space="preserve"> all constitute the common features between these monuments.</w:t>
      </w:r>
    </w:p>
    <w:p w14:paraId="7DAE8A9A"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9B28FE">
        <w:rPr>
          <w:rFonts w:ascii="Times New Roman" w:eastAsia="Calibri" w:hAnsi="Times New Roman" w:cs="Times New Roman"/>
          <w:lang w:val="en-GB"/>
        </w:rPr>
        <w:t>The Argišti I</w:t>
      </w:r>
      <w:r>
        <w:rPr>
          <w:rFonts w:ascii="Times New Roman" w:eastAsia="Calibri" w:hAnsi="Times New Roman" w:cs="Times New Roman"/>
          <w:lang w:val="en-GB"/>
        </w:rPr>
        <w:fldChar w:fldCharType="begin"/>
      </w:r>
      <w:r>
        <w:instrText xml:space="preserve"> XE "</w:instrText>
      </w:r>
      <w:r w:rsidRPr="00AF7725">
        <w:rPr>
          <w:rFonts w:ascii="Times New Roman" w:eastAsia="Calibri" w:hAnsi="Times New Roman" w:cs="Times New Roman"/>
          <w:lang w:val="en-GB"/>
        </w:rPr>
        <w:instrText>Argišti I</w:instrText>
      </w:r>
      <w:r>
        <w:instrText xml:space="preserve">" </w:instrText>
      </w:r>
      <w:r>
        <w:rPr>
          <w:rFonts w:ascii="Times New Roman" w:eastAsia="Calibri" w:hAnsi="Times New Roman" w:cs="Times New Roman"/>
          <w:lang w:val="en-GB"/>
        </w:rPr>
        <w:fldChar w:fldCharType="end"/>
      </w:r>
      <w:r w:rsidRPr="009B28FE">
        <w:rPr>
          <w:rFonts w:ascii="Times New Roman" w:eastAsia="Calibri" w:hAnsi="Times New Roman" w:cs="Times New Roman"/>
          <w:lang w:val="en-GB"/>
        </w:rPr>
        <w:t xml:space="preserve"> tomb</w:t>
      </w:r>
      <w:r>
        <w:rPr>
          <w:rFonts w:ascii="Times New Roman" w:eastAsia="Calibri" w:hAnsi="Times New Roman" w:cs="Times New Roman"/>
          <w:lang w:val="en-GB"/>
        </w:rPr>
        <w:fldChar w:fldCharType="begin"/>
      </w:r>
      <w:r>
        <w:instrText xml:space="preserve"> XE "</w:instrText>
      </w:r>
      <w:r w:rsidRPr="002B4DAC">
        <w:rPr>
          <w:rFonts w:ascii="Times New Roman" w:hAnsi="Times New Roman"/>
          <w:szCs w:val="22"/>
          <w:lang w:val="en-GB"/>
        </w:rPr>
        <w:instrText>Argišti I tomb</w:instrText>
      </w:r>
      <w:r>
        <w:instrText xml:space="preserve">" </w:instrText>
      </w:r>
      <w:r>
        <w:rPr>
          <w:rFonts w:ascii="Times New Roman" w:eastAsia="Calibri" w:hAnsi="Times New Roman" w:cs="Times New Roman"/>
          <w:lang w:val="en-GB"/>
        </w:rPr>
        <w:fldChar w:fldCharType="end"/>
      </w:r>
      <w:r w:rsidRPr="009B28FE">
        <w:rPr>
          <w:rFonts w:ascii="Times New Roman" w:eastAsia="Calibri" w:hAnsi="Times New Roman" w:cs="Times New Roman"/>
          <w:lang w:val="en-GB"/>
        </w:rPr>
        <w:t xml:space="preserve"> differs from the Group 1 tombs due</w:t>
      </w:r>
      <w:r w:rsidRPr="002B4DAC">
        <w:rPr>
          <w:rFonts w:ascii="Times New Roman" w:hAnsi="Times New Roman"/>
          <w:szCs w:val="22"/>
          <w:lang w:val="en-GB"/>
        </w:rPr>
        <w:t xml:space="preserve"> to its location and several structural features.</w:t>
      </w:r>
    </w:p>
    <w:p w14:paraId="2C0827EA"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Several aspects of the rock-cut tomb</w:t>
      </w:r>
      <w:r w:rsidRPr="009B28FE">
        <w:rPr>
          <w:rFonts w:ascii="Times New Roman" w:eastAsia="Calibri" w:hAnsi="Times New Roman" w:cs="Times New Roman"/>
          <w:lang w:val="en-GB"/>
        </w:rPr>
        <w:t>,</w:t>
      </w:r>
      <w:r w:rsidRPr="002B4DAC">
        <w:rPr>
          <w:rFonts w:ascii="Times New Roman" w:hAnsi="Times New Roman"/>
          <w:szCs w:val="22"/>
          <w:lang w:val="en-GB"/>
        </w:rPr>
        <w:t xml:space="preserve"> defined as </w:t>
      </w:r>
      <w:r w:rsidRPr="009B28FE">
        <w:rPr>
          <w:rFonts w:ascii="Times New Roman" w:eastAsia="Calibri" w:hAnsi="Times New Roman" w:cs="Times New Roman"/>
          <w:lang w:val="en-GB"/>
        </w:rPr>
        <w:t xml:space="preserve">a </w:t>
      </w:r>
      <w:r w:rsidRPr="002B4DAC">
        <w:rPr>
          <w:rFonts w:ascii="Times New Roman" w:hAnsi="Times New Roman"/>
          <w:szCs w:val="22"/>
          <w:lang w:val="en-GB"/>
        </w:rPr>
        <w:t xml:space="preserve">cremation tomb, </w:t>
      </w:r>
      <w:r w:rsidRPr="009B28FE">
        <w:rPr>
          <w:rFonts w:ascii="Times New Roman" w:eastAsia="Calibri" w:hAnsi="Times New Roman" w:cs="Times New Roman"/>
          <w:lang w:val="en-GB"/>
        </w:rPr>
        <w:t>make</w:t>
      </w:r>
      <w:r w:rsidRPr="002B4DAC">
        <w:rPr>
          <w:rFonts w:ascii="Times New Roman" w:hAnsi="Times New Roman"/>
          <w:szCs w:val="22"/>
          <w:lang w:val="en-GB"/>
        </w:rPr>
        <w:t xml:space="preserve"> it a unique place.</w:t>
      </w:r>
    </w:p>
    <w:p w14:paraId="4FEFFA1F" w14:textId="62BB5469"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The Small Horhor</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tomb</w:t>
      </w:r>
      <w:r w:rsidRPr="009B28FE">
        <w:rPr>
          <w:rFonts w:ascii="Times New Roman" w:eastAsia="Calibri" w:hAnsi="Times New Roman" w:cs="Times New Roman"/>
          <w:lang w:val="en-GB"/>
        </w:rPr>
        <w:t>,</w:t>
      </w:r>
      <w:r w:rsidRPr="002B4DAC">
        <w:rPr>
          <w:rFonts w:ascii="Times New Roman" w:hAnsi="Times New Roman"/>
          <w:szCs w:val="22"/>
          <w:lang w:val="en-GB"/>
        </w:rPr>
        <w:t xml:space="preserve"> the Arsenal</w:t>
      </w:r>
      <w:r w:rsidRPr="009B28FE">
        <w:rPr>
          <w:rFonts w:ascii="Times New Roman" w:eastAsia="Calibri" w:hAnsi="Times New Roman" w:cs="Times New Roman"/>
          <w:lang w:val="en-GB"/>
        </w:rPr>
        <w:t>/</w:t>
      </w:r>
      <w:r w:rsidRPr="002B4DAC">
        <w:rPr>
          <w:rFonts w:ascii="Times New Roman" w:hAnsi="Times New Roman"/>
          <w:szCs w:val="22"/>
          <w:lang w:val="en-GB"/>
        </w:rPr>
        <w:t>BD78 tomb</w:t>
      </w:r>
      <w:r w:rsidR="00F60AA2">
        <w:rPr>
          <w:rFonts w:ascii="Times New Roman" w:hAnsi="Times New Roman"/>
          <w:szCs w:val="22"/>
          <w:lang w:val="en-GB"/>
        </w:rPr>
        <w:fldChar w:fldCharType="begin"/>
      </w:r>
      <w:r w:rsidR="00F60AA2">
        <w:instrText xml:space="preserve"> XE "</w:instrText>
      </w:r>
      <w:r w:rsidR="00F60AA2" w:rsidRPr="00DD2FE1">
        <w:rPr>
          <w:rFonts w:ascii="Times New Roman" w:hAnsi="Times New Roman"/>
          <w:lang w:val="en-GB"/>
        </w:rPr>
        <w:instrText>Arsenal</w:instrText>
      </w:r>
      <w:r w:rsidR="00F60AA2" w:rsidRPr="00DD2FE1">
        <w:rPr>
          <w:rFonts w:ascii="Times New Roman" w:eastAsia="Calibri" w:hAnsi="Times New Roman" w:cs="Times New Roman"/>
          <w:lang w:val="en-GB"/>
        </w:rPr>
        <w:instrText>/</w:instrText>
      </w:r>
      <w:r w:rsidR="00F60AA2" w:rsidRPr="00DD2FE1">
        <w:rPr>
          <w:rFonts w:ascii="Times New Roman" w:hAnsi="Times New Roman"/>
          <w:szCs w:val="22"/>
          <w:lang w:val="en-GB"/>
        </w:rPr>
        <w:instrText>BD78 tomb</w:instrText>
      </w:r>
      <w:r w:rsidR="00F60AA2">
        <w:instrText xml:space="preserve">" </w:instrText>
      </w:r>
      <w:r w:rsidR="00F60AA2">
        <w:rPr>
          <w:rFonts w:ascii="Times New Roman" w:hAnsi="Times New Roman"/>
          <w:szCs w:val="22"/>
          <w:lang w:val="en-GB"/>
        </w:rPr>
        <w:fldChar w:fldCharType="end"/>
      </w:r>
      <w:r w:rsidRPr="009B28FE">
        <w:rPr>
          <w:rFonts w:ascii="Times New Roman" w:eastAsia="Calibri" w:hAnsi="Times New Roman" w:cs="Times New Roman"/>
          <w:lang w:val="en-GB"/>
        </w:rPr>
        <w:t>,</w:t>
      </w:r>
      <w:r w:rsidRPr="002B4DAC">
        <w:rPr>
          <w:rFonts w:ascii="Times New Roman" w:hAnsi="Times New Roman"/>
          <w:szCs w:val="22"/>
          <w:lang w:val="en-GB"/>
        </w:rPr>
        <w:t xml:space="preserve"> and the small tomb located under the Great Platform</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"Great Platform"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on the other hand, constitute another group </w:t>
      </w:r>
      <w:r w:rsidRPr="009B28FE">
        <w:rPr>
          <w:rFonts w:ascii="Times New Roman" w:eastAsia="Calibri" w:hAnsi="Times New Roman" w:cs="Times New Roman"/>
          <w:lang w:val="en-GB"/>
        </w:rPr>
        <w:t>regarding</w:t>
      </w:r>
      <w:r w:rsidRPr="002B4DAC">
        <w:rPr>
          <w:rFonts w:ascii="Times New Roman" w:hAnsi="Times New Roman"/>
          <w:szCs w:val="22"/>
          <w:lang w:val="en-GB"/>
        </w:rPr>
        <w:t xml:space="preserve"> their plans, sizes, and single-roomed arrangements. Their chronologies are also a topic of debate. However, the locations and niches of these tombs may provide new insights into these debates.</w:t>
      </w:r>
    </w:p>
    <w:p w14:paraId="445B675B" w14:textId="39A855E8"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The BG90 tomb</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"BG90 </w:instrText>
      </w:r>
      <w:r w:rsidR="00CE5397">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 xml:space="preserve"> discovered in 2016 reflects a different modality within the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royal funerary architecture. It was built underground by carving the bedrock and constitutes the sole example of the Urartian tradition of underground chamber graves inside the citadel.</w:t>
      </w:r>
    </w:p>
    <w:p w14:paraId="0198DDB6"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Besides the monuments at Van Fortress, examples from Varto/Kayalıdere</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Kayalıdere</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(Burney, 1966), Palu</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"Palu"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(Charlesworth, 1980; Sevin, 1994), Mazgirt/Kaleköy</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"Mazgirt/Kaleköy"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(Sevin, 1987; Çevik, 2000), Tatvan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"Tatvan"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(Özfırat, 2002; Kılıç, 2008), Doğubeyazıt</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"Doğubeyazıt"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(Huff, 1968; Huff, 1990), Ağrı/Atabindi</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"Atabindi"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(Başgelen, 1987), Kemah/Taşbulak (Ceylan &amp; Üngör, 2018: 192), Sarıkamış-Yoğunhasan/Karapınar</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"Sarıkamış-Yoğunhasan/Karapınar"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(Ceylan, 2008: 116), Hakkari/Yamaç</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"Hakkari/Yamaç"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(Sevin, 2015: 22), and the Hasankale Fortress</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"Hasankale Fortress"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are other rock-cut tombs located outside the central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region that can be dated to this period through their architectural characteristics, locations, and interior arrangements. In Northwest Iran</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"Northwest Iran"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examples that conform to the criteria of the multi-chambered Urartian royal tombs have been encountered in </w:t>
      </w:r>
      <w:r w:rsidRPr="009B28FE">
        <w:rPr>
          <w:rFonts w:ascii="Times New Roman" w:eastAsia="Calibri" w:hAnsi="Times New Roman" w:cs="Times New Roman"/>
          <w:lang w:val="en-GB"/>
        </w:rPr>
        <w:t>centers</w:t>
      </w:r>
      <w:r w:rsidRPr="002B4DAC">
        <w:rPr>
          <w:rFonts w:ascii="Times New Roman" w:hAnsi="Times New Roman"/>
          <w:szCs w:val="22"/>
          <w:lang w:val="en-GB"/>
        </w:rPr>
        <w:t xml:space="preserve"> such as Sharik</w:t>
      </w:r>
      <w:r w:rsidRPr="009B28FE">
        <w:rPr>
          <w:rFonts w:ascii="Times New Roman" w:eastAsia="Calibri" w:hAnsi="Times New Roman" w:cs="Times New Roman"/>
          <w:lang w:val="en-GB"/>
        </w:rPr>
        <w:t> </w:t>
      </w:r>
      <w:r w:rsidRPr="002B4DAC">
        <w:rPr>
          <w:rFonts w:ascii="Times New Roman" w:hAnsi="Times New Roman"/>
          <w:szCs w:val="22"/>
          <w:lang w:val="en-GB"/>
        </w:rPr>
        <w:t>(Kleiss &amp; Kroll, 1980: 212, Abb. 40) and Sangar</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"Sangar"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(Kleiss, 1968: 6-11, Abb. 4-7). Representing the Urartian tradition, the underground chamber grave from Qala Ismail Agha</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"Qala Ismail Agha"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is of importance as well (Kleiss, 1976: 28, Abb. 11; Genç, 2011: 31). Notwithstanding some structural differences, the single-roomed rock-cut tombs from Kal Kharabe</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"Kal Kharabe"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Qala Takht/Nanas</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"Qala Takht/Nanas"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and Seedk</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"Seedk"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in the Urmia</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202124"/>
          <w:lang w:val="en-GB"/>
        </w:rPr>
        <w:instrText>Urmia</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Pr>
          <w:rFonts w:ascii="Times New Roman" w:hAnsi="Times New Roman"/>
          <w:lang w:val="en-GB"/>
        </w:rPr>
        <w:t>r</w:t>
      </w:r>
      <w:r w:rsidRPr="002B4DAC">
        <w:rPr>
          <w:rFonts w:ascii="Times New Roman" w:hAnsi="Times New Roman"/>
          <w:szCs w:val="22"/>
          <w:lang w:val="en-GB"/>
        </w:rPr>
        <w:t>egion (Biscione &amp; Dan, 2019) and Vayots Dzor</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"Vayots Dzor"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in Armenia</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Armenia</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(Kroll, 2019) are among other examples that bear elements of the Urartian tradition.</w:t>
      </w:r>
    </w:p>
    <w:p w14:paraId="607E45D0"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Some suggestions have been made for the multi-chambered rock-cut tombs located outside the capital Ṭušpa, proposing that these tombs belonged to local governors or princes who emulated </w:t>
      </w:r>
      <w:r w:rsidRPr="002B4DAC">
        <w:rPr>
          <w:rFonts w:ascii="Times New Roman" w:hAnsi="Times New Roman"/>
          <w:szCs w:val="22"/>
          <w:lang w:val="en-GB"/>
        </w:rPr>
        <w:lastRenderedPageBreak/>
        <w:t>the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 xml:space="preserve">traditions (Köroğlu, 2005; Köroğlu, 2007). However, the lack of archaeological finds inside these tombs prevents any further hypothesis on this matter. In fact, besides comparisons and critiques based on the styles and types of these tomb chambers, we have no sources or data </w:t>
      </w:r>
      <w:r w:rsidRPr="009B28FE">
        <w:rPr>
          <w:rFonts w:ascii="Times New Roman" w:eastAsia="Calibri" w:hAnsi="Times New Roman" w:cs="Times New Roman"/>
          <w:lang w:val="en-GB"/>
        </w:rPr>
        <w:t>regarding</w:t>
      </w:r>
      <w:r w:rsidRPr="002B4DAC">
        <w:rPr>
          <w:rFonts w:ascii="Times New Roman" w:hAnsi="Times New Roman"/>
          <w:szCs w:val="22"/>
          <w:lang w:val="en-GB"/>
        </w:rPr>
        <w:t xml:space="preserve"> their chronologies.</w:t>
      </w:r>
    </w:p>
    <w:p w14:paraId="67492D54" w14:textId="32F95121"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In recent years, single-chambered tombs were discovered during surveys conducted in the Van </w:t>
      </w:r>
      <w:r w:rsidRPr="007005F4">
        <w:rPr>
          <w:rFonts w:ascii="Times New Roman" w:hAnsi="Times New Roman"/>
          <w:lang w:val="en-GB"/>
        </w:rPr>
        <w:t>Lake</w:t>
      </w:r>
      <w:r w:rsidR="00CA7B2B">
        <w:rPr>
          <w:rFonts w:ascii="Times New Roman" w:hAnsi="Times New Roman"/>
          <w:lang w:val="en-GB"/>
        </w:rPr>
        <w:fldChar w:fldCharType="begin"/>
      </w:r>
      <w:r w:rsidR="00CA7B2B">
        <w:instrText xml:space="preserve"> XE "</w:instrText>
      </w:r>
      <w:r w:rsidR="00CA7B2B" w:rsidRPr="00BC55E8">
        <w:rPr>
          <w:rFonts w:ascii="Times New Roman" w:hAnsi="Times New Roman"/>
          <w:lang w:val="en-GB"/>
        </w:rPr>
        <w:instrText>Van Lake</w:instrText>
      </w:r>
      <w:r w:rsidR="00CA7B2B">
        <w:instrText xml:space="preserve">" </w:instrText>
      </w:r>
      <w:r w:rsidR="00CA7B2B">
        <w:rPr>
          <w:rFonts w:ascii="Times New Roman" w:hAnsi="Times New Roman"/>
          <w:lang w:val="en-GB"/>
        </w:rPr>
        <w:fldChar w:fldCharType="end"/>
      </w:r>
      <w:r w:rsidRPr="009B28FE">
        <w:rPr>
          <w:rFonts w:ascii="Times New Roman" w:eastAsia="Calibri" w:hAnsi="Times New Roman" w:cs="Times New Roman"/>
          <w:lang w:val="en-GB"/>
        </w:rPr>
        <w:t xml:space="preserve"> basin</w:t>
      </w:r>
      <w:r w:rsidRPr="002B4DAC">
        <w:rPr>
          <w:rFonts w:ascii="Times New Roman" w:hAnsi="Times New Roman"/>
          <w:szCs w:val="22"/>
          <w:lang w:val="en-GB"/>
        </w:rPr>
        <w:t xml:space="preserve"> (</w:t>
      </w:r>
      <w:r w:rsidRPr="002B4DAC">
        <w:rPr>
          <w:rFonts w:ascii="Times New Roman" w:hAnsi="Times New Roman"/>
          <w:szCs w:val="22"/>
          <w:lang w:val="en-GB"/>
          <w14:ligatures w14:val="none"/>
        </w:rPr>
        <w:t>Gökce, Genç &amp; Levent, 2019: 333)</w:t>
      </w:r>
      <w:r w:rsidRPr="002B4DAC">
        <w:rPr>
          <w:rFonts w:ascii="Times New Roman" w:hAnsi="Times New Roman"/>
          <w:szCs w:val="22"/>
          <w:lang w:val="en-GB"/>
        </w:rPr>
        <w:t>. These tombs contained burial beds, were built in areas out of easy reach</w:t>
      </w:r>
      <w:r w:rsidRPr="009B28FE">
        <w:rPr>
          <w:rFonts w:ascii="Times New Roman" w:eastAsia="Calibri" w:hAnsi="Times New Roman" w:cs="Times New Roman"/>
          <w:lang w:val="en-GB"/>
        </w:rPr>
        <w:t>,</w:t>
      </w:r>
      <w:r w:rsidRPr="002B4DAC">
        <w:rPr>
          <w:rFonts w:ascii="Times New Roman" w:hAnsi="Times New Roman"/>
          <w:szCs w:val="22"/>
          <w:lang w:val="en-GB"/>
        </w:rPr>
        <w:t xml:space="preserve"> and had access from narrow doors. An evaluation of their architectural plans and locations </w:t>
      </w:r>
      <w:r w:rsidRPr="009B28FE">
        <w:rPr>
          <w:rFonts w:ascii="Times New Roman" w:eastAsia="Calibri" w:hAnsi="Times New Roman" w:cs="Times New Roman"/>
          <w:lang w:val="en-GB"/>
        </w:rPr>
        <w:t>shows</w:t>
      </w:r>
      <w:r w:rsidRPr="002B4DAC">
        <w:rPr>
          <w:rFonts w:ascii="Times New Roman" w:hAnsi="Times New Roman"/>
          <w:szCs w:val="22"/>
          <w:lang w:val="en-GB"/>
        </w:rPr>
        <w:t xml:space="preserve"> that they do not conform to the characteristics of the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rock-cut tombs as outlined above. Similar debates are also present for the Small Horhor</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tomb</w:t>
      </w:r>
      <w:r w:rsidRPr="009B28FE">
        <w:rPr>
          <w:rFonts w:ascii="Times New Roman" w:eastAsia="Calibri" w:hAnsi="Times New Roman" w:cs="Times New Roman"/>
          <w:lang w:val="en-GB"/>
        </w:rPr>
        <w:t>,</w:t>
      </w:r>
      <w:r w:rsidRPr="002B4DAC">
        <w:rPr>
          <w:rFonts w:ascii="Times New Roman" w:hAnsi="Times New Roman"/>
          <w:szCs w:val="22"/>
          <w:lang w:val="en-GB"/>
        </w:rPr>
        <w:t xml:space="preserve"> the Arsenal</w:t>
      </w:r>
      <w:r w:rsidRPr="009B28FE">
        <w:rPr>
          <w:rFonts w:ascii="Times New Roman" w:eastAsia="Calibri" w:hAnsi="Times New Roman" w:cs="Times New Roman"/>
          <w:lang w:val="en-GB"/>
        </w:rPr>
        <w:t>/</w:t>
      </w:r>
      <w:r w:rsidRPr="002B4DAC">
        <w:rPr>
          <w:rFonts w:ascii="Times New Roman" w:hAnsi="Times New Roman"/>
          <w:szCs w:val="22"/>
          <w:lang w:val="en-GB"/>
        </w:rPr>
        <w:t xml:space="preserve">BD78 </w:t>
      </w:r>
      <w:r w:rsidRPr="007005F4">
        <w:rPr>
          <w:rFonts w:ascii="Times New Roman" w:hAnsi="Times New Roman"/>
          <w:lang w:val="en-GB"/>
        </w:rPr>
        <w:t>tomb</w:t>
      </w:r>
      <w:r w:rsidR="00F60AA2">
        <w:rPr>
          <w:rFonts w:ascii="Times New Roman" w:hAnsi="Times New Roman"/>
          <w:lang w:val="en-GB"/>
        </w:rPr>
        <w:fldChar w:fldCharType="begin"/>
      </w:r>
      <w:r w:rsidR="00F60AA2">
        <w:instrText xml:space="preserve"> XE "</w:instrText>
      </w:r>
      <w:r w:rsidR="00F60AA2" w:rsidRPr="00DD2FE1">
        <w:rPr>
          <w:rFonts w:ascii="Times New Roman" w:hAnsi="Times New Roman"/>
          <w:lang w:val="en-GB"/>
        </w:rPr>
        <w:instrText>Arsenal</w:instrText>
      </w:r>
      <w:r w:rsidR="00F60AA2" w:rsidRPr="00DD2FE1">
        <w:rPr>
          <w:rFonts w:ascii="Times New Roman" w:eastAsia="Calibri" w:hAnsi="Times New Roman" w:cs="Times New Roman"/>
          <w:lang w:val="en-GB"/>
        </w:rPr>
        <w:instrText>/</w:instrText>
      </w:r>
      <w:r w:rsidR="00F60AA2" w:rsidRPr="00DD2FE1">
        <w:rPr>
          <w:rFonts w:ascii="Times New Roman" w:hAnsi="Times New Roman"/>
          <w:szCs w:val="22"/>
          <w:lang w:val="en-GB"/>
        </w:rPr>
        <w:instrText>BD78 tomb</w:instrText>
      </w:r>
      <w:r w:rsidR="00F60AA2">
        <w:instrText xml:space="preserve">" </w:instrText>
      </w:r>
      <w:r w:rsidR="00F60AA2">
        <w:rPr>
          <w:rFonts w:ascii="Times New Roman" w:hAnsi="Times New Roman"/>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and the small tomb under the Great Platform</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"Great Platform"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 xml:space="preserve">in the Van Fortress. These are quite distinct from the </w:t>
      </w:r>
      <w:r w:rsidRPr="009B28FE">
        <w:rPr>
          <w:rFonts w:ascii="Times New Roman" w:eastAsia="Calibri" w:hAnsi="Times New Roman" w:cs="Times New Roman"/>
          <w:lang w:val="en-GB"/>
        </w:rPr>
        <w:t xml:space="preserve">citadel's </w:t>
      </w:r>
      <w:r w:rsidRPr="002B4DAC">
        <w:rPr>
          <w:rFonts w:ascii="Times New Roman" w:hAnsi="Times New Roman"/>
          <w:szCs w:val="22"/>
          <w:lang w:val="en-GB"/>
        </w:rPr>
        <w:t xml:space="preserve">royal tombs, especially </w:t>
      </w:r>
      <w:r w:rsidRPr="009B28FE">
        <w:rPr>
          <w:rFonts w:ascii="Times New Roman" w:eastAsia="Calibri" w:hAnsi="Times New Roman" w:cs="Times New Roman"/>
          <w:lang w:val="en-GB"/>
        </w:rPr>
        <w:t>regarding</w:t>
      </w:r>
      <w:r w:rsidRPr="002B4DAC">
        <w:rPr>
          <w:rFonts w:ascii="Times New Roman" w:hAnsi="Times New Roman"/>
          <w:szCs w:val="22"/>
          <w:lang w:val="en-GB"/>
        </w:rPr>
        <w:t xml:space="preserve"> their plans and sizes. The chronologies of these tombs, which are smaller in size with single</w:t>
      </w:r>
      <w:r w:rsidRPr="009B28FE">
        <w:rPr>
          <w:rFonts w:ascii="Times New Roman" w:eastAsia="Calibri" w:hAnsi="Times New Roman" w:cs="Times New Roman"/>
          <w:lang w:val="en-GB"/>
        </w:rPr>
        <w:t xml:space="preserve"> </w:t>
      </w:r>
      <w:r w:rsidRPr="002B4DAC">
        <w:rPr>
          <w:rFonts w:ascii="Times New Roman" w:hAnsi="Times New Roman"/>
          <w:szCs w:val="22"/>
          <w:lang w:val="en-GB"/>
        </w:rPr>
        <w:t xml:space="preserve">chambers and large niches that open to the chamber, are </w:t>
      </w:r>
      <w:r w:rsidRPr="009B28FE">
        <w:rPr>
          <w:rFonts w:ascii="Times New Roman" w:eastAsia="Calibri" w:hAnsi="Times New Roman" w:cs="Times New Roman"/>
          <w:lang w:val="en-GB"/>
        </w:rPr>
        <w:t xml:space="preserve">also </w:t>
      </w:r>
      <w:r w:rsidRPr="002B4DAC">
        <w:rPr>
          <w:rFonts w:ascii="Times New Roman" w:hAnsi="Times New Roman"/>
          <w:szCs w:val="22"/>
          <w:lang w:val="en-GB"/>
        </w:rPr>
        <w:t>debatable (Köroğlu, 2007).</w:t>
      </w:r>
    </w:p>
    <w:p w14:paraId="7D5CE2FA"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0E95E7FD" wp14:editId="27F19C8B">
            <wp:extent cx="5863286" cy="2805194"/>
            <wp:effectExtent l="0" t="0" r="4445" b="1905"/>
            <wp:docPr id="176" name="Resim 176" descr="dış mekan, gökyüzü, bulut,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Resim 176" descr="dış mekan, gökyüzü, bulut, dağ içeren bir resim&#10;&#10;Açıklama otomatik olarak oluşturuldu"/>
                    <pic:cNvPicPr/>
                  </pic:nvPicPr>
                  <pic:blipFill>
                    <a:blip r:embed="rId257" cstate="email">
                      <a:extLst>
                        <a:ext uri="{28A0092B-C50C-407E-A947-70E740481C1C}">
                          <a14:useLocalDpi xmlns:a14="http://schemas.microsoft.com/office/drawing/2010/main"/>
                        </a:ext>
                      </a:extLst>
                    </a:blip>
                    <a:stretch>
                      <a:fillRect/>
                    </a:stretch>
                  </pic:blipFill>
                  <pic:spPr>
                    <a:xfrm>
                      <a:off x="0" y="0"/>
                      <a:ext cx="5894432" cy="2820095"/>
                    </a:xfrm>
                    <a:prstGeom prst="rect">
                      <a:avLst/>
                    </a:prstGeom>
                  </pic:spPr>
                </pic:pic>
              </a:graphicData>
            </a:graphic>
          </wp:inline>
        </w:drawing>
      </w:r>
      <w:r w:rsidRPr="002B4DAC">
        <w:rPr>
          <w:rFonts w:ascii="Times New Roman" w:hAnsi="Times New Roman"/>
          <w:szCs w:val="22"/>
          <w:lang w:val="en-GB"/>
        </w:rPr>
        <w:t xml:space="preserve"> Fig. 2 The tomb group around the Great Platform</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Great Platform</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and the BG90 and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tombs to the east.</w:t>
      </w:r>
    </w:p>
    <w:p w14:paraId="6F7C8D80" w14:textId="77777777" w:rsidR="006B23DC" w:rsidRPr="002B4DAC" w:rsidRDefault="006B23DC" w:rsidP="006B23DC">
      <w:pPr>
        <w:spacing w:before="100" w:beforeAutospacing="1" w:after="100" w:afterAutospacing="1"/>
        <w:jc w:val="both"/>
        <w:outlineLvl w:val="1"/>
        <w:rPr>
          <w:rFonts w:ascii="Times New Roman" w:hAnsi="Times New Roman"/>
          <w:b/>
          <w:sz w:val="28"/>
          <w:szCs w:val="22"/>
          <w:lang w:val="en-GB"/>
        </w:rPr>
      </w:pPr>
      <w:bookmarkStart w:id="138" w:name="_Toc132072549"/>
      <w:bookmarkStart w:id="139" w:name="_Toc173231243"/>
      <w:r w:rsidRPr="002B4DAC">
        <w:rPr>
          <w:rFonts w:ascii="Times New Roman" w:hAnsi="Times New Roman"/>
          <w:b/>
          <w:sz w:val="28"/>
          <w:szCs w:val="22"/>
          <w:lang w:val="en-GB"/>
        </w:rPr>
        <w:t>9.3. Royal Rock-Cut Tombs in the Ṭušpa Citadel</w:t>
      </w:r>
      <w:bookmarkEnd w:id="138"/>
      <w:bookmarkEnd w:id="139"/>
    </w:p>
    <w:p w14:paraId="184D4AEF" w14:textId="5CAE4108"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There are nine rock-cut tombs in the Ṭušpa</w:t>
      </w:r>
      <w:r w:rsidRPr="009B28FE">
        <w:rPr>
          <w:rFonts w:ascii="Times New Roman" w:eastAsia="Calibri" w:hAnsi="Times New Roman" w:cs="Times New Roman"/>
          <w:lang w:val="en-GB"/>
        </w:rPr>
        <w:t> </w:t>
      </w:r>
      <w:r w:rsidR="00CE5397" w:rsidRPr="002B4DAC">
        <w:rPr>
          <w:rFonts w:ascii="Times New Roman" w:hAnsi="Times New Roman"/>
          <w:szCs w:val="22"/>
          <w:lang w:val="en-GB"/>
        </w:rPr>
        <w:t>citadel</w:t>
      </w:r>
      <w:r w:rsidR="00CE5397" w:rsidRPr="009B28FE">
        <w:rPr>
          <w:rFonts w:ascii="Times New Roman" w:eastAsia="Calibri" w:hAnsi="Times New Roman" w:cs="Times New Roman"/>
          <w:lang w:val="en-GB"/>
        </w:rPr>
        <w:t>:</w:t>
      </w:r>
      <w:r w:rsidRPr="002B4DAC">
        <w:rPr>
          <w:rFonts w:ascii="Times New Roman" w:hAnsi="Times New Roman"/>
          <w:szCs w:val="22"/>
          <w:lang w:val="en-GB"/>
        </w:rPr>
        <w:t xml:space="preserve"> all carved onto the southern facade of the natural rock of the Van Fortress. Among these,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the İç Kale</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tomb</w:t>
      </w:r>
      <w:r w:rsidR="00DF3B77">
        <w:rPr>
          <w:rFonts w:ascii="Times New Roman" w:hAnsi="Times New Roman"/>
          <w:szCs w:val="22"/>
          <w:lang w:val="en-GB"/>
        </w:rPr>
        <w:fldChar w:fldCharType="begin"/>
      </w:r>
      <w:r w:rsidR="00DF3B77">
        <w:instrText xml:space="preserve"> XE "</w:instrText>
      </w:r>
      <w:r w:rsidR="00DF3B77" w:rsidRPr="00C058CA">
        <w:rPr>
          <w:rFonts w:ascii="Times New Roman" w:hAnsi="Times New Roman"/>
          <w:lang w:val="en-GB"/>
        </w:rPr>
        <w:instrText>İç Kale</w:instrText>
      </w:r>
      <w:r w:rsidR="00DF3B77" w:rsidRPr="00C058CA">
        <w:rPr>
          <w:rFonts w:ascii="Times New Roman" w:eastAsia="Calibri" w:hAnsi="Times New Roman" w:cs="Times New Roman"/>
          <w:lang w:val="en-GB"/>
        </w:rPr>
        <w:instrText> </w:instrText>
      </w:r>
      <w:r w:rsidR="00DF3B77" w:rsidRPr="00C058CA">
        <w:rPr>
          <w:rFonts w:ascii="Times New Roman" w:hAnsi="Times New Roman"/>
          <w:lang w:val="en-GB"/>
        </w:rPr>
        <w:instrText>tomb</w:instrText>
      </w:r>
      <w:r w:rsidR="00DF3B77">
        <w:instrText xml:space="preserve">" </w:instrText>
      </w:r>
      <w:r w:rsidR="00DF3B77">
        <w:rPr>
          <w:rFonts w:ascii="Times New Roman" w:hAnsi="Times New Roman"/>
          <w:szCs w:val="22"/>
          <w:lang w:val="en-GB"/>
        </w:rPr>
        <w:fldChar w:fldCharType="end"/>
      </w:r>
      <w:r w:rsidRPr="002B4DAC">
        <w:rPr>
          <w:rFonts w:ascii="Times New Roman" w:hAnsi="Times New Roman"/>
          <w:szCs w:val="22"/>
          <w:lang w:val="en-GB"/>
        </w:rPr>
        <w:t>,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sidRPr="009B28FE">
        <w:rPr>
          <w:rFonts w:ascii="Times New Roman" w:eastAsia="Calibri" w:hAnsi="Times New Roman" w:cs="Times New Roman"/>
          <w:lang w:val="en-GB"/>
        </w:rPr>
        <w:t>,</w:t>
      </w:r>
      <w:r w:rsidRPr="002B4DAC">
        <w:rPr>
          <w:rFonts w:ascii="Times New Roman" w:hAnsi="Times New Roman"/>
          <w:szCs w:val="22"/>
          <w:lang w:val="en-GB"/>
        </w:rPr>
        <w:t xml:space="preserve"> and the Argišti I tomb</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573B62">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2B4DAC">
        <w:rPr>
          <w:rFonts w:ascii="Times New Roman" w:hAnsi="Times New Roman"/>
          <w:szCs w:val="22"/>
          <w:lang w:val="en-GB"/>
        </w:rPr>
        <w:t xml:space="preserve"> exhibit similar characteristics in terms of size and architectural planning (Fig. 1-2). The Cremation tomb</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"Cremation Tomb"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 xml:space="preserve">can also be evaluated within this group. </w:t>
      </w:r>
      <w:r w:rsidRPr="009B28FE">
        <w:rPr>
          <w:rFonts w:ascii="Times New Roman" w:eastAsia="Calibri" w:hAnsi="Times New Roman" w:cs="Times New Roman"/>
          <w:lang w:val="en-GB"/>
        </w:rPr>
        <w:t>On the other hand, the</w:t>
      </w:r>
      <w:r w:rsidRPr="002B4DAC">
        <w:rPr>
          <w:rFonts w:ascii="Times New Roman" w:hAnsi="Times New Roman"/>
          <w:szCs w:val="22"/>
          <w:lang w:val="en-GB"/>
        </w:rPr>
        <w:t xml:space="preserve"> underground chamber tomb (BG90</w:t>
      </w:r>
      <w:r w:rsidRPr="009B28FE">
        <w:rPr>
          <w:rFonts w:ascii="Times New Roman" w:eastAsia="Calibri" w:hAnsi="Times New Roman" w:cs="Times New Roman"/>
          <w:lang w:val="en-GB"/>
        </w:rPr>
        <w:t>)</w:t>
      </w:r>
      <w:r w:rsidRPr="002B4DAC">
        <w:rPr>
          <w:rFonts w:ascii="Times New Roman" w:hAnsi="Times New Roman"/>
          <w:szCs w:val="22"/>
          <w:lang w:val="en-GB"/>
        </w:rPr>
        <w:t xml:space="preserve"> hints at earlier periods as a representative of the public tradition at the citadel (Fig. 3).</w:t>
      </w:r>
    </w:p>
    <w:p w14:paraId="684067CC"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7B0F4CD8" wp14:editId="1503FE32">
            <wp:extent cx="5823684" cy="2200760"/>
            <wp:effectExtent l="0" t="0" r="0" b="0"/>
            <wp:docPr id="177" name="Resim 177" descr="taş, kir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Resim 177" descr="taş, kirli içeren bir resim&#10;&#10;Açıklama otomatik olarak oluşturuldu"/>
                    <pic:cNvPicPr/>
                  </pic:nvPicPr>
                  <pic:blipFill rotWithShape="1">
                    <a:blip r:embed="rId258" cstate="email">
                      <a:extLst>
                        <a:ext uri="{28A0092B-C50C-407E-A947-70E740481C1C}">
                          <a14:useLocalDpi xmlns:a14="http://schemas.microsoft.com/office/drawing/2010/main"/>
                        </a:ext>
                      </a:extLst>
                    </a:blip>
                    <a:srcRect/>
                    <a:stretch/>
                  </pic:blipFill>
                  <pic:spPr bwMode="auto">
                    <a:xfrm>
                      <a:off x="0" y="0"/>
                      <a:ext cx="5852642" cy="2211703"/>
                    </a:xfrm>
                    <a:prstGeom prst="rect">
                      <a:avLst/>
                    </a:prstGeom>
                    <a:ln>
                      <a:noFill/>
                    </a:ln>
                    <a:extLst>
                      <a:ext uri="{53640926-AAD7-44D8-BBD7-CCE9431645EC}">
                        <a14:shadowObscured xmlns:a14="http://schemas.microsoft.com/office/drawing/2010/main"/>
                      </a:ext>
                    </a:extLst>
                  </pic:spPr>
                </pic:pic>
              </a:graphicData>
            </a:graphic>
          </wp:inline>
        </w:drawing>
      </w:r>
    </w:p>
    <w:p w14:paraId="09DAE710" w14:textId="59A75316" w:rsidR="006B23DC" w:rsidRPr="002B4DAC" w:rsidRDefault="006B23DC" w:rsidP="009C4734">
      <w:pPr>
        <w:jc w:val="both"/>
        <w:rPr>
          <w:rFonts w:ascii="Times New Roman" w:hAnsi="Times New Roman"/>
          <w:szCs w:val="22"/>
          <w:lang w:val="en-GB"/>
        </w:rPr>
      </w:pPr>
      <w:r w:rsidRPr="002B4DAC">
        <w:rPr>
          <w:rFonts w:ascii="Times New Roman" w:hAnsi="Times New Roman"/>
          <w:szCs w:val="22"/>
          <w:lang w:val="en-GB"/>
        </w:rPr>
        <w:t>Fig. 3 The tomb excavated in 2015 at the Van Fortress</w:t>
      </w:r>
      <w:r w:rsidRPr="009B28FE">
        <w:rPr>
          <w:rFonts w:ascii="Times New Roman" w:eastAsia="Calibri" w:hAnsi="Times New Roman" w:cs="Times New Roman"/>
          <w:lang w:val="en-GB"/>
        </w:rPr>
        <w:t> </w:t>
      </w:r>
      <w:r w:rsidRPr="002B4DAC">
        <w:rPr>
          <w:rFonts w:ascii="Times New Roman" w:hAnsi="Times New Roman"/>
          <w:szCs w:val="22"/>
          <w:lang w:val="en-GB"/>
        </w:rPr>
        <w:t>is an underground burial chamber with a dromos (BG90 tomb</w:t>
      </w:r>
      <w:r w:rsidR="00CE5397">
        <w:rPr>
          <w:rFonts w:ascii="Times New Roman" w:hAnsi="Times New Roman"/>
          <w:szCs w:val="22"/>
          <w:lang w:val="en-GB"/>
        </w:rPr>
        <w:fldChar w:fldCharType="begin"/>
      </w:r>
      <w:r w:rsidR="00CE5397">
        <w:instrText xml:space="preserve"> XE "</w:instrText>
      </w:r>
      <w:r w:rsidR="00CE5397" w:rsidRPr="006F6315">
        <w:rPr>
          <w:rFonts w:ascii="Times New Roman" w:hAnsi="Times New Roman"/>
          <w:szCs w:val="22"/>
          <w:lang w:val="en-GB"/>
        </w:rPr>
        <w:instrText>BG90 tomb</w:instrText>
      </w:r>
      <w:r w:rsidR="00CE5397">
        <w:instrText xml:space="preserve">" </w:instrText>
      </w:r>
      <w:r w:rsidR="00CE5397">
        <w:rPr>
          <w:rFonts w:ascii="Times New Roman" w:hAnsi="Times New Roman"/>
          <w:szCs w:val="22"/>
          <w:lang w:val="en-GB"/>
        </w:rPr>
        <w:fldChar w:fldCharType="end"/>
      </w:r>
      <w:r w:rsidRPr="009B28FE">
        <w:rPr>
          <w:rFonts w:ascii="Times New Roman" w:eastAsia="Calibri" w:hAnsi="Times New Roman" w:cs="Times New Roman"/>
          <w:lang w:val="en-GB"/>
        </w:rPr>
        <w:t>)</w:t>
      </w:r>
      <w:r w:rsidRPr="00F03A26">
        <w:rPr>
          <w:rFonts w:asciiTheme="majorBidi" w:hAnsiTheme="majorBidi" w:cstheme="majorBidi"/>
          <w:lang w:val="en-GB"/>
        </w:rPr>
        <w:t>.</w:t>
      </w:r>
      <w:r w:rsidRPr="002B4DAC">
        <w:rPr>
          <w:rFonts w:ascii="Times New Roman" w:hAnsi="Times New Roman"/>
          <w:szCs w:val="22"/>
          <w:lang w:val="en-GB"/>
        </w:rPr>
        <w:t xml:space="preserve"> It is a unique example in the citadel between the East Ditch</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"East Ditch"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and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Pr>
          <w:rFonts w:ascii="Times New Roman" w:eastAsia="Calibri" w:hAnsi="Times New Roman" w:cs="Times New Roman"/>
          <w:lang w:val="en-GB"/>
        </w:rPr>
        <w:t>.</w:t>
      </w:r>
    </w:p>
    <w:p w14:paraId="2DDEFE25" w14:textId="77777777" w:rsidR="006B23DC" w:rsidRPr="002B4DAC" w:rsidRDefault="006B23DC" w:rsidP="009C4734">
      <w:pPr>
        <w:jc w:val="both"/>
        <w:rPr>
          <w:rFonts w:ascii="Times New Roman" w:hAnsi="Times New Roman"/>
          <w:szCs w:val="22"/>
          <w:lang w:val="en-GB"/>
        </w:rPr>
      </w:pPr>
      <w:r w:rsidRPr="002B4DAC">
        <w:rPr>
          <w:rFonts w:ascii="Times New Roman" w:hAnsi="Times New Roman"/>
          <w:szCs w:val="22"/>
          <w:lang w:val="en-GB"/>
        </w:rPr>
        <w:t>There is a consensus that the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kings were buried in the Van Fortress. Even if the kings resided or died elsewhere, their tombs were most probably cut into the Ṭušpa</w:t>
      </w:r>
      <w:r>
        <w:rPr>
          <w:rFonts w:asciiTheme="majorBidi" w:hAnsiTheme="majorBidi" w:cstheme="majorBidi"/>
          <w:iCs/>
          <w:lang w:val="en-GB"/>
        </w:rPr>
        <w:t>/Van</w:t>
      </w:r>
      <w:r w:rsidRPr="002B4DAC">
        <w:rPr>
          <w:rFonts w:ascii="Times New Roman" w:hAnsi="Times New Roman"/>
          <w:szCs w:val="22"/>
          <w:lang w:val="en-GB"/>
        </w:rPr>
        <w:t xml:space="preserve"> Rock</w:t>
      </w:r>
      <w:r>
        <w:rPr>
          <w:rFonts w:ascii="Times New Roman" w:hAnsi="Times New Roman"/>
          <w:lang w:val="en-GB"/>
        </w:rPr>
        <w:fldChar w:fldCharType="begin"/>
      </w:r>
      <w:r>
        <w:instrText xml:space="preserve"> XE "</w:instrText>
      </w:r>
      <w:r w:rsidRPr="002B4DAC">
        <w:rPr>
          <w:rFonts w:ascii="Times New Roman" w:hAnsi="Times New Roman"/>
          <w:szCs w:val="22"/>
          <w:lang w:val="en-GB"/>
        </w:rPr>
        <w:instrText>Ṭušpa</w:instrText>
      </w:r>
      <w:r w:rsidRPr="00980FAB">
        <w:rPr>
          <w:rFonts w:asciiTheme="majorBidi" w:hAnsiTheme="majorBidi" w:cstheme="majorBidi"/>
          <w:iCs/>
          <w:lang w:val="en-GB"/>
        </w:rPr>
        <w:instrText>/Van</w:instrText>
      </w:r>
      <w:r w:rsidRPr="002B4DAC">
        <w:rPr>
          <w:rFonts w:ascii="Times New Roman" w:hAnsi="Times New Roman"/>
          <w:szCs w:val="22"/>
          <w:lang w:val="en-GB"/>
        </w:rPr>
        <w:instrText xml:space="preserve"> Rock</w:instrText>
      </w:r>
      <w:r>
        <w:instrText xml:space="preserve">" </w:instrText>
      </w:r>
      <w:r>
        <w:rPr>
          <w:rFonts w:ascii="Times New Roman" w:hAnsi="Times New Roman"/>
          <w:lang w:val="en-GB"/>
        </w:rPr>
        <w:fldChar w:fldCharType="end"/>
      </w:r>
      <w:r w:rsidRPr="009B28FE">
        <w:rPr>
          <w:rFonts w:ascii="Times New Roman" w:eastAsia="Calibri" w:hAnsi="Times New Roman" w:cs="Times New Roman"/>
          <w:lang w:val="en-GB"/>
        </w:rPr>
        <w:t>,</w:t>
      </w:r>
      <w:r w:rsidRPr="002B4DAC">
        <w:rPr>
          <w:rFonts w:ascii="Times New Roman" w:hAnsi="Times New Roman"/>
          <w:szCs w:val="22"/>
          <w:lang w:val="en-GB"/>
        </w:rPr>
        <w:t xml:space="preserve"> or they were buried in one of the existing burial chambers (Köroğlu, 2007; Köroğlu, 2008). The main argument for this proposition is the lack of any contradictory evidence—such as similar rock-cut tombs—in any other major royal </w:t>
      </w:r>
      <w:r w:rsidRPr="009B28FE">
        <w:rPr>
          <w:rFonts w:ascii="Times New Roman" w:eastAsia="Calibri" w:hAnsi="Times New Roman" w:cs="Times New Roman"/>
          <w:lang w:val="en-GB"/>
        </w:rPr>
        <w:t>centers</w:t>
      </w:r>
      <w:r w:rsidRPr="002B4DAC">
        <w:rPr>
          <w:rFonts w:ascii="Times New Roman" w:hAnsi="Times New Roman"/>
          <w:szCs w:val="22"/>
          <w:lang w:val="en-GB"/>
        </w:rPr>
        <w:t xml:space="preserve"> of the Urartian</w:t>
      </w:r>
      <w:r w:rsidRPr="009B28FE">
        <w:rPr>
          <w:rFonts w:ascii="Times New Roman" w:eastAsia="Calibri" w:hAnsi="Times New Roman" w:cs="Times New Roman"/>
          <w:lang w:val="en-GB"/>
        </w:rPr>
        <w:t>,</w:t>
      </w:r>
      <w:r w:rsidRPr="002B4DAC">
        <w:rPr>
          <w:rFonts w:ascii="Times New Roman" w:hAnsi="Times New Roman"/>
          <w:szCs w:val="22"/>
          <w:lang w:val="en-GB"/>
        </w:rPr>
        <w:t xml:space="preserve"> including Karmir-Blur</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hd w:val="clear" w:color="auto" w:fill="FFFFFF"/>
          <w:lang w:val="en-GB"/>
        </w:rPr>
        <w:instrText>Karmir-Blur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Arin</w:t>
      </w:r>
      <w:r>
        <w:rPr>
          <w:rFonts w:ascii="Times New Roman" w:hAnsi="Times New Roman"/>
          <w:lang w:val="en-GB"/>
        </w:rPr>
        <w:t>-</w:t>
      </w:r>
      <w:r w:rsidRPr="00F03A26">
        <w:rPr>
          <w:rFonts w:asciiTheme="majorBidi" w:hAnsiTheme="majorBidi" w:cstheme="majorBidi"/>
          <w:lang w:val="en-GB"/>
        </w:rPr>
        <w:t>berd</w:t>
      </w:r>
      <w:r>
        <w:rPr>
          <w:rFonts w:asciiTheme="majorBidi" w:hAnsiTheme="majorBidi" w:cstheme="majorBidi"/>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Arin-berd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Çavuştepe</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"Çavuştepe"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Ayanis</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"Ayanis"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Anzaf</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"Anzaf"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and Toprakkale</w:t>
      </w:r>
      <w:r>
        <w:rPr>
          <w:rFonts w:ascii="Times New Roman" w:eastAsia="Calibri" w:hAnsi="Times New Roman" w:cs="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"Toprakkale" </w:instrText>
      </w:r>
      <w:r w:rsidRPr="00F03A26">
        <w:rPr>
          <w:rFonts w:asciiTheme="majorBidi" w:hAnsiTheme="majorBidi" w:cstheme="majorBidi"/>
          <w:lang w:val="en-GB"/>
        </w:rPr>
        <w:fldChar w:fldCharType="end"/>
      </w:r>
      <w:r w:rsidRPr="00F03A26">
        <w:rPr>
          <w:rFonts w:asciiTheme="majorBidi" w:hAnsiTheme="majorBidi" w:cstheme="majorBidi"/>
          <w:lang w:val="en-GB"/>
        </w:rPr>
        <w:t>.</w:t>
      </w:r>
    </w:p>
    <w:p w14:paraId="5EC8A728" w14:textId="77777777" w:rsidR="006B23DC" w:rsidRPr="002B4DAC" w:rsidRDefault="006B23DC" w:rsidP="009C4734">
      <w:pPr>
        <w:jc w:val="both"/>
        <w:rPr>
          <w:rFonts w:ascii="Times New Roman" w:hAnsi="Times New Roman"/>
          <w:szCs w:val="22"/>
          <w:lang w:val="en-GB"/>
        </w:rPr>
      </w:pPr>
      <w:r w:rsidRPr="002B4DAC">
        <w:rPr>
          <w:rFonts w:ascii="Times New Roman" w:hAnsi="Times New Roman"/>
          <w:szCs w:val="22"/>
          <w:lang w:val="en-GB"/>
        </w:rPr>
        <w:t>However, considering that the so-far</w:t>
      </w:r>
      <w:r w:rsidRPr="009B28FE">
        <w:rPr>
          <w:rFonts w:ascii="Times New Roman" w:eastAsia="Calibri" w:hAnsi="Times New Roman" w:cs="Times New Roman"/>
          <w:lang w:val="en-GB"/>
        </w:rPr>
        <w:t>-</w:t>
      </w:r>
      <w:r w:rsidRPr="002B4DAC">
        <w:rPr>
          <w:rFonts w:ascii="Times New Roman" w:hAnsi="Times New Roman"/>
          <w:szCs w:val="22"/>
          <w:lang w:val="en-GB"/>
        </w:rPr>
        <w:t>known number of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 xml:space="preserve">kings is 11, it should </w:t>
      </w:r>
      <w:r w:rsidRPr="009B28FE">
        <w:rPr>
          <w:rFonts w:ascii="Times New Roman" w:eastAsia="Calibri" w:hAnsi="Times New Roman" w:cs="Times New Roman"/>
          <w:lang w:val="en-GB"/>
        </w:rPr>
        <w:t xml:space="preserve">also </w:t>
      </w:r>
      <w:r w:rsidRPr="002B4DAC">
        <w:rPr>
          <w:rFonts w:ascii="Times New Roman" w:hAnsi="Times New Roman"/>
          <w:szCs w:val="22"/>
          <w:lang w:val="en-GB"/>
        </w:rPr>
        <w:t>be taken into account that more than one king might have been buried in some of the chambers or that not all kings were buried in the Ṭušpa.</w:t>
      </w:r>
    </w:p>
    <w:p w14:paraId="52C1A1F1" w14:textId="032B577A" w:rsidR="006B23DC" w:rsidRPr="002B4DAC" w:rsidRDefault="006B23DC" w:rsidP="009C4734">
      <w:pPr>
        <w:jc w:val="both"/>
        <w:rPr>
          <w:rFonts w:ascii="Times New Roman" w:hAnsi="Times New Roman"/>
          <w:szCs w:val="22"/>
          <w:lang w:val="en-GB"/>
        </w:rPr>
      </w:pPr>
      <w:bookmarkStart w:id="140" w:name="_Toc132072550"/>
      <w:r w:rsidRPr="002B4DAC">
        <w:rPr>
          <w:rFonts w:ascii="Times New Roman" w:hAnsi="Times New Roman"/>
          <w:szCs w:val="22"/>
          <w:lang w:val="en-GB"/>
        </w:rPr>
        <w:t xml:space="preserve">When the dimensions of these burial chambers located within the citadel are considered, it becomes apparent that the king </w:t>
      </w:r>
      <w:r w:rsidRPr="009B28FE">
        <w:rPr>
          <w:rFonts w:ascii="Times New Roman" w:eastAsia="Calibri" w:hAnsi="Times New Roman" w:cs="Times New Roman"/>
          <w:lang w:val="en-GB"/>
        </w:rPr>
        <w:t>and</w:t>
      </w:r>
      <w:r w:rsidRPr="002B4DAC">
        <w:rPr>
          <w:rFonts w:ascii="Times New Roman" w:hAnsi="Times New Roman"/>
          <w:szCs w:val="22"/>
          <w:lang w:val="en-GB"/>
        </w:rPr>
        <w:t xml:space="preserve"> other members of the royal family must have been buried inside these tombs. The platforms and entry systems in front of these tombs, built in secluded areas, accommodate multiple functions. These spaces must have also been used during funerals or commemorative ceremonies at certain times of the year. In particular, the area called ‘the Great Platform</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"Great Platform"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onto which the burial chambers south of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sidRPr="009B28FE">
        <w:rPr>
          <w:rFonts w:ascii="Times New Roman" w:eastAsia="Calibri" w:hAnsi="Times New Roman" w:cs="Times New Roman"/>
          <w:lang w:val="en-GB"/>
        </w:rPr>
        <w:t> </w:t>
      </w:r>
      <w:r w:rsidRPr="002B4DAC">
        <w:rPr>
          <w:rFonts w:ascii="Times New Roman" w:hAnsi="Times New Roman"/>
          <w:szCs w:val="22"/>
          <w:lang w:val="en-GB"/>
        </w:rPr>
        <w:t>and east of the İç Kale</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tomb</w:t>
      </w:r>
      <w:r w:rsidR="00DF3B77">
        <w:rPr>
          <w:rFonts w:ascii="Times New Roman" w:hAnsi="Times New Roman"/>
          <w:szCs w:val="22"/>
          <w:lang w:val="en-GB"/>
        </w:rPr>
        <w:fldChar w:fldCharType="begin"/>
      </w:r>
      <w:r w:rsidR="00DF3B77">
        <w:instrText xml:space="preserve"> XE "</w:instrText>
      </w:r>
      <w:r w:rsidR="00DF3B77" w:rsidRPr="00C058CA">
        <w:rPr>
          <w:rFonts w:ascii="Times New Roman" w:hAnsi="Times New Roman"/>
          <w:lang w:val="en-GB"/>
        </w:rPr>
        <w:instrText>İç Kale</w:instrText>
      </w:r>
      <w:r w:rsidR="00DF3B77" w:rsidRPr="00C058CA">
        <w:rPr>
          <w:rFonts w:asciiTheme="majorBidi" w:hAnsiTheme="majorBidi" w:cstheme="majorBidi"/>
          <w:lang w:val="en-GB"/>
        </w:rPr>
        <w:instrText xml:space="preserve"> </w:instrText>
      </w:r>
      <w:r w:rsidR="00DF3B77" w:rsidRPr="00C058CA">
        <w:rPr>
          <w:rFonts w:ascii="Times New Roman" w:hAnsi="Times New Roman"/>
          <w:lang w:val="en-GB"/>
        </w:rPr>
        <w:instrText>tomb</w:instrText>
      </w:r>
      <w:r w:rsidR="00DF3B77">
        <w:instrText xml:space="preserve">" </w:instrText>
      </w:r>
      <w:r w:rsidR="00DF3B77">
        <w:rPr>
          <w:rFonts w:ascii="Times New Roman" w:hAnsi="Times New Roman"/>
          <w:szCs w:val="22"/>
          <w:lang w:val="en-GB"/>
        </w:rPr>
        <w:fldChar w:fldCharType="end"/>
      </w:r>
      <w:r w:rsidRPr="002B4DAC">
        <w:rPr>
          <w:rFonts w:ascii="Times New Roman" w:hAnsi="Times New Roman"/>
          <w:szCs w:val="22"/>
          <w:lang w:val="en-GB"/>
        </w:rPr>
        <w:t xml:space="preserve"> open is quite suitable for such functions.</w:t>
      </w:r>
    </w:p>
    <w:p w14:paraId="696E706B" w14:textId="112A42BA" w:rsidR="006B23DC" w:rsidRPr="002B4DAC" w:rsidRDefault="006B23DC" w:rsidP="006B23DC">
      <w:pPr>
        <w:spacing w:before="100" w:beforeAutospacing="1" w:after="100" w:afterAutospacing="1"/>
        <w:jc w:val="both"/>
        <w:outlineLvl w:val="2"/>
        <w:rPr>
          <w:rFonts w:ascii="Times New Roman" w:hAnsi="Times New Roman"/>
          <w:b/>
          <w:szCs w:val="22"/>
          <w:lang w:val="en-GB"/>
        </w:rPr>
      </w:pPr>
      <w:bookmarkStart w:id="141" w:name="_Toc173231244"/>
      <w:r w:rsidRPr="002B4DAC">
        <w:rPr>
          <w:rFonts w:ascii="Times New Roman" w:hAnsi="Times New Roman"/>
          <w:b/>
          <w:szCs w:val="22"/>
          <w:lang w:val="en-GB"/>
        </w:rPr>
        <w:t>9.3.1. The Argišti I Tomb</w:t>
      </w:r>
      <w:r w:rsidRPr="002B4DAC">
        <w:rPr>
          <w:rFonts w:ascii="Times New Roman" w:hAnsi="Times New Roman"/>
          <w:b/>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b/>
          <w:szCs w:val="22"/>
          <w:lang w:val="en-GB"/>
        </w:rPr>
        <w:instrText xml:space="preserve">Argišti I </w:instrText>
      </w:r>
      <w:r w:rsidR="00193308">
        <w:rPr>
          <w:rFonts w:ascii="Times New Roman" w:hAnsi="Times New Roman"/>
          <w:b/>
          <w:szCs w:val="22"/>
          <w:lang w:val="en-GB"/>
        </w:rPr>
        <w:instrText>t</w:instrText>
      </w:r>
      <w:r w:rsidRPr="002B4DAC">
        <w:rPr>
          <w:rFonts w:ascii="Times New Roman" w:hAnsi="Times New Roman"/>
          <w:b/>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b/>
          <w:szCs w:val="22"/>
          <w:lang w:val="en-GB"/>
        </w:rPr>
        <w:fldChar w:fldCharType="end"/>
      </w:r>
      <w:r w:rsidRPr="002B4DAC">
        <w:rPr>
          <w:rFonts w:ascii="Times New Roman" w:hAnsi="Times New Roman"/>
          <w:b/>
          <w:szCs w:val="22"/>
          <w:lang w:val="en-GB"/>
        </w:rPr>
        <w:t xml:space="preserve"> </w:t>
      </w:r>
      <w:bookmarkEnd w:id="140"/>
      <w:r w:rsidRPr="002B4DAC">
        <w:rPr>
          <w:rFonts w:ascii="Times New Roman" w:hAnsi="Times New Roman"/>
          <w:b/>
          <w:szCs w:val="22"/>
          <w:lang w:val="en-GB"/>
        </w:rPr>
        <w:fldChar w:fldCharType="begin"/>
      </w:r>
      <w:r w:rsidRPr="002B4DAC">
        <w:rPr>
          <w:rFonts w:ascii="Times New Roman" w:hAnsi="Times New Roman"/>
          <w:szCs w:val="22"/>
          <w:lang w:val="en-GB"/>
        </w:rPr>
        <w:instrText xml:space="preserve"> XE "Argišti I" </w:instrText>
      </w:r>
      <w:r w:rsidRPr="002B4DAC">
        <w:rPr>
          <w:rFonts w:ascii="Times New Roman" w:hAnsi="Times New Roman"/>
          <w:b/>
          <w:szCs w:val="22"/>
          <w:lang w:val="en-GB"/>
        </w:rPr>
        <w:fldChar w:fldCharType="end"/>
      </w:r>
      <w:r w:rsidRPr="002B4DAC">
        <w:rPr>
          <w:rFonts w:ascii="Times New Roman" w:hAnsi="Times New Roman"/>
          <w:b/>
          <w:szCs w:val="22"/>
          <w:lang w:val="en-GB"/>
        </w:rPr>
        <w:t>: AL20-21</w:t>
      </w:r>
      <w:bookmarkEnd w:id="141"/>
    </w:p>
    <w:p w14:paraId="4CDB98DB"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The Argišti I tomb</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(785-756 BCE) is the sole burial chamber in Van Fortress</w:t>
      </w:r>
      <w:r w:rsidRPr="009B28FE">
        <w:rPr>
          <w:rFonts w:ascii="Times New Roman" w:eastAsia="Calibri" w:hAnsi="Times New Roman" w:cs="Times New Roman"/>
          <w:lang w:val="en-GB"/>
        </w:rPr>
        <w:t> </w:t>
      </w:r>
      <w:r w:rsidRPr="002B4DAC">
        <w:rPr>
          <w:rFonts w:ascii="Times New Roman" w:hAnsi="Times New Roman"/>
          <w:szCs w:val="22"/>
          <w:lang w:val="en-GB"/>
        </w:rPr>
        <w:t>that can be dated accurately owing to the annals carved onto its facades (Fig. 4-5</w:t>
      </w:r>
      <w:r w:rsidRPr="009B28FE">
        <w:rPr>
          <w:rFonts w:ascii="Times New Roman" w:eastAsia="Calibri" w:hAnsi="Times New Roman" w:cs="Times New Roman"/>
          <w:lang w:val="en-GB"/>
        </w:rPr>
        <w:t>) and on</w:t>
      </w:r>
      <w:r w:rsidRPr="002B4DAC">
        <w:rPr>
          <w:rFonts w:ascii="Times New Roman" w:hAnsi="Times New Roman"/>
          <w:szCs w:val="22"/>
          <w:lang w:val="en-GB"/>
        </w:rPr>
        <w:t xml:space="preserve"> the facade of the chamber, drawn by Layard</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Layard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(1853: 396), the chronicles of Argišti I are found. The tomb on a southeast-northwest axis consists of a main hall and five other connected chambers (Piotrovsky, 1959: 208-209, Fig. 58) (Fig. 6-7).</w:t>
      </w:r>
    </w:p>
    <w:p w14:paraId="1F83D730" w14:textId="77777777" w:rsidR="006B23DC" w:rsidRPr="0035595C" w:rsidRDefault="006B23DC" w:rsidP="006B23DC">
      <w:pPr>
        <w:spacing w:before="100" w:beforeAutospacing="1" w:after="100" w:afterAutospacing="1"/>
        <w:jc w:val="both"/>
        <w:rPr>
          <w:rFonts w:ascii="Times New Roman" w:eastAsia="Calibri" w:hAnsi="Times New Roman" w:cs="Times New Roman"/>
          <w:lang w:val="en-GB"/>
        </w:rPr>
      </w:pPr>
      <w:r w:rsidRPr="0035595C">
        <w:rPr>
          <w:rFonts w:ascii="Times New Roman" w:eastAsia="Calibri" w:hAnsi="Times New Roman" w:cs="Times New Roman"/>
          <w:noProof/>
        </w:rPr>
        <w:lastRenderedPageBreak/>
        <w:drawing>
          <wp:inline distT="0" distB="0" distL="0" distR="0" wp14:anchorId="553B8414" wp14:editId="6746CAC8">
            <wp:extent cx="3729919" cy="5506423"/>
            <wp:effectExtent l="0" t="0" r="4445" b="5715"/>
            <wp:docPr id="683182701"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37816" name="Resim 1791337816"/>
                    <pic:cNvPicPr/>
                  </pic:nvPicPr>
                  <pic:blipFill>
                    <a:blip r:embed="rId259" cstate="email">
                      <a:extLst>
                        <a:ext uri="{28A0092B-C50C-407E-A947-70E740481C1C}">
                          <a14:useLocalDpi xmlns:a14="http://schemas.microsoft.com/office/drawing/2010/main"/>
                        </a:ext>
                      </a:extLst>
                    </a:blip>
                    <a:stretch>
                      <a:fillRect/>
                    </a:stretch>
                  </pic:blipFill>
                  <pic:spPr>
                    <a:xfrm>
                      <a:off x="0" y="0"/>
                      <a:ext cx="3778233" cy="5577749"/>
                    </a:xfrm>
                    <a:prstGeom prst="rect">
                      <a:avLst/>
                    </a:prstGeom>
                  </pic:spPr>
                </pic:pic>
              </a:graphicData>
            </a:graphic>
          </wp:inline>
        </w:drawing>
      </w:r>
    </w:p>
    <w:p w14:paraId="1FE306CF" w14:textId="7186DD96"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4 Chronicles of Argišti I</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573B62">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on the facade of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573B62">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00193308">
        <w:rPr>
          <w:rFonts w:ascii="Times New Roman" w:hAnsi="Times New Roman"/>
          <w:sz w:val="20"/>
          <w:szCs w:val="22"/>
          <w:lang w:val="en-GB"/>
        </w:rPr>
        <w:instrText>t</w:instrText>
      </w:r>
      <w:r w:rsidRPr="002B4DAC">
        <w:rPr>
          <w:rFonts w:ascii="Times New Roman" w:hAnsi="Times New Roman"/>
          <w:sz w:val="20"/>
          <w:szCs w:val="22"/>
          <w:lang w:val="en-GB"/>
        </w:rPr>
        <w:instrText xml:space="preserve">omb"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(Great Horhor</w:t>
      </w:r>
      <w:r w:rsidRPr="0035595C">
        <w:rPr>
          <w:rFonts w:ascii="Times New Roman" w:eastAsia="Calibri" w:hAnsi="Times New Roman" w:cs="Times New Roman"/>
          <w:lang w:val="en-GB"/>
        </w:rPr>
        <w:t>)</w:t>
      </w:r>
      <w:r w:rsidR="00CE5397">
        <w:rPr>
          <w:rFonts w:ascii="Times New Roman" w:eastAsia="Calibri" w:hAnsi="Times New Roman" w:cs="Times New Roman"/>
          <w:lang w:val="en-GB"/>
        </w:rPr>
        <w:t xml:space="preserve"> </w:t>
      </w:r>
      <w:r>
        <w:rPr>
          <w:rFonts w:asciiTheme="majorBidi" w:hAnsiTheme="majorBidi" w:cstheme="majorBidi"/>
          <w:lang w:val="en-GB"/>
        </w:rPr>
        <w:fldChar w:fldCharType="begin"/>
      </w:r>
      <w:r>
        <w:instrText xml:space="preserve"> XE "</w:instrText>
      </w:r>
      <w:r w:rsidRPr="00164852">
        <w:rPr>
          <w:rFonts w:asciiTheme="majorBidi" w:hAnsiTheme="majorBidi" w:cstheme="majorBidi"/>
        </w:rPr>
        <w:instrText>Horhor</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Views showing the distribution of the chronicles on the tomb’s façade.</w:t>
      </w:r>
    </w:p>
    <w:p w14:paraId="6388F9C8"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21DE3A7E" wp14:editId="6576B376">
            <wp:extent cx="5270018" cy="3045105"/>
            <wp:effectExtent l="0" t="0" r="0" b="5715"/>
            <wp:docPr id="179" name="Resim 179" descr="duvar, kaya, dağ,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duvar, kaya, dağ, dış mekan içeren bir resim&#10;&#10;Açıklama otomatik olarak oluşturuldu"/>
                    <pic:cNvPicPr/>
                  </pic:nvPicPr>
                  <pic:blipFill rotWithShape="1">
                    <a:blip r:embed="rId260" cstate="email">
                      <a:extLst>
                        <a:ext uri="{28A0092B-C50C-407E-A947-70E740481C1C}">
                          <a14:useLocalDpi xmlns:a14="http://schemas.microsoft.com/office/drawing/2010/main"/>
                        </a:ext>
                      </a:extLst>
                    </a:blip>
                    <a:srcRect/>
                    <a:stretch/>
                  </pic:blipFill>
                  <pic:spPr bwMode="auto">
                    <a:xfrm>
                      <a:off x="0" y="0"/>
                      <a:ext cx="5270018" cy="3045105"/>
                    </a:xfrm>
                    <a:prstGeom prst="rect">
                      <a:avLst/>
                    </a:prstGeom>
                    <a:ln>
                      <a:noFill/>
                    </a:ln>
                    <a:extLst>
                      <a:ext uri="{53640926-AAD7-44D8-BBD7-CCE9431645EC}">
                        <a14:shadowObscured xmlns:a14="http://schemas.microsoft.com/office/drawing/2010/main"/>
                      </a:ext>
                    </a:extLst>
                  </pic:spPr>
                </pic:pic>
              </a:graphicData>
            </a:graphic>
          </wp:inline>
        </w:drawing>
      </w:r>
      <w:r w:rsidRPr="002B4DAC">
        <w:rPr>
          <w:rFonts w:ascii="Times New Roman" w:hAnsi="Times New Roman"/>
          <w:szCs w:val="22"/>
          <w:lang w:val="en-GB"/>
        </w:rPr>
        <w:t xml:space="preserve"> </w:t>
      </w:r>
    </w:p>
    <w:p w14:paraId="18E34B8B" w14:textId="1E81674B"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5 Front view of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573B62">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sidR="00573B62">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E85612">
        <w:rPr>
          <w:rFonts w:ascii="Times New Roman" w:hAnsi="Times New Roman"/>
          <w:iCs/>
          <w:sz w:val="20"/>
          <w:szCs w:val="22"/>
          <w:lang w:val="en-GB"/>
        </w:rPr>
        <w:instrText xml:space="preserve">Argišti </w:instrText>
      </w:r>
      <w:r w:rsidRPr="002B4DAC">
        <w:rPr>
          <w:rFonts w:ascii="Times New Roman" w:hAnsi="Times New Roman"/>
          <w:sz w:val="20"/>
          <w:szCs w:val="22"/>
          <w:lang w:val="en-GB"/>
        </w:rPr>
        <w:instrText xml:space="preserve">I"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and the steps leading to the Small Horhor</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rPr>
        <w:instrText>Horhor</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 xml:space="preserve">Small Horhor </w:instrText>
      </w:r>
      <w:r w:rsidR="00193308">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and its entrance located in the same axis right below.</w:t>
      </w:r>
    </w:p>
    <w:p w14:paraId="62D5DDD3"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15CF9ED8" wp14:editId="590D8A4D">
            <wp:extent cx="5756910" cy="7549515"/>
            <wp:effectExtent l="0" t="0" r="0" b="0"/>
            <wp:docPr id="674579130" name="Resim 8" descr="metin, diyagram,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79130" name="Resim 8" descr="metin, diyagram, harita içeren bir resim&#10;&#10;Açıklama otomatik olarak oluşturuldu"/>
                    <pic:cNvPicPr/>
                  </pic:nvPicPr>
                  <pic:blipFill>
                    <a:blip r:embed="rId261" cstate="email">
                      <a:extLst>
                        <a:ext uri="{28A0092B-C50C-407E-A947-70E740481C1C}">
                          <a14:useLocalDpi xmlns:a14="http://schemas.microsoft.com/office/drawing/2010/main"/>
                        </a:ext>
                      </a:extLst>
                    </a:blip>
                    <a:stretch>
                      <a:fillRect/>
                    </a:stretch>
                  </pic:blipFill>
                  <pic:spPr>
                    <a:xfrm>
                      <a:off x="0" y="0"/>
                      <a:ext cx="5756910" cy="7549515"/>
                    </a:xfrm>
                    <a:prstGeom prst="rect">
                      <a:avLst/>
                    </a:prstGeom>
                  </pic:spPr>
                </pic:pic>
              </a:graphicData>
            </a:graphic>
          </wp:inline>
        </w:drawing>
      </w:r>
    </w:p>
    <w:p w14:paraId="41ABC8AF" w14:textId="60947F0D"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6 Section, plan, and views of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sidR="00193308">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i/>
          <w:szCs w:val="22"/>
          <w:lang w:val="en-GB"/>
        </w:rPr>
        <w:t xml:space="preserve"> </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"Argišti I" </w:instrText>
      </w:r>
      <w:r w:rsidRPr="002B4DAC">
        <w:rPr>
          <w:rFonts w:ascii="Times New Roman" w:hAnsi="Times New Roman"/>
          <w:szCs w:val="22"/>
          <w:lang w:val="en-GB"/>
        </w:rPr>
        <w:fldChar w:fldCharType="end"/>
      </w:r>
      <w:r w:rsidRPr="002B4DAC">
        <w:rPr>
          <w:rFonts w:ascii="Times New Roman" w:hAnsi="Times New Roman"/>
          <w:szCs w:val="22"/>
          <w:lang w:val="en-GB"/>
        </w:rPr>
        <w:t>.</w:t>
      </w:r>
    </w:p>
    <w:p w14:paraId="763EC407"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lastRenderedPageBreak/>
        <w:drawing>
          <wp:inline distT="0" distB="0" distL="0" distR="0" wp14:anchorId="777F90E6" wp14:editId="73E6BB17">
            <wp:extent cx="4507225" cy="4521835"/>
            <wp:effectExtent l="0" t="0" r="8255" b="0"/>
            <wp:docPr id="722260590" name="Resim 722260590" descr="C:\Users\lenovo\AppData\Local\Packages\Microsoft.Windows.Photos_8wekyb3d8bbwe\TempState\ShareServiceTempFolder\argisti_mez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Packages\Microsoft.Windows.Photos_8wekyb3d8bbwe\TempState\ShareServiceTempFolder\argisti_mezar.jpeg"/>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4515634" cy="4530271"/>
                    </a:xfrm>
                    <a:prstGeom prst="rect">
                      <a:avLst/>
                    </a:prstGeom>
                    <a:noFill/>
                    <a:ln>
                      <a:noFill/>
                    </a:ln>
                  </pic:spPr>
                </pic:pic>
              </a:graphicData>
            </a:graphic>
          </wp:inline>
        </w:drawing>
      </w:r>
    </w:p>
    <w:p w14:paraId="60F3344E"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7 The isometric perspective of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Pr>
          <w:rFonts w:ascii="Times New Roman" w:hAnsi="Times New Roman"/>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(R. Yıldız).</w:t>
      </w:r>
    </w:p>
    <w:p w14:paraId="6D2A8699"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75A46500" wp14:editId="3EC3B6BF">
            <wp:extent cx="4624876" cy="3070249"/>
            <wp:effectExtent l="0" t="0" r="0" b="3175"/>
            <wp:docPr id="182" name="Resim 182" descr="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descr="dış mekan, taş içeren bir resim&#10;&#10;Açıklama otomatik olarak oluşturuldu"/>
                    <pic:cNvPicPr/>
                  </pic:nvPicPr>
                  <pic:blipFill>
                    <a:blip r:embed="rId263" cstate="email">
                      <a:extLst>
                        <a:ext uri="{28A0092B-C50C-407E-A947-70E740481C1C}">
                          <a14:useLocalDpi xmlns:a14="http://schemas.microsoft.com/office/drawing/2010/main"/>
                        </a:ext>
                      </a:extLst>
                    </a:blip>
                    <a:stretch>
                      <a:fillRect/>
                    </a:stretch>
                  </pic:blipFill>
                  <pic:spPr>
                    <a:xfrm>
                      <a:off x="0" y="0"/>
                      <a:ext cx="4650266" cy="3087104"/>
                    </a:xfrm>
                    <a:prstGeom prst="rect">
                      <a:avLst/>
                    </a:prstGeom>
                  </pic:spPr>
                </pic:pic>
              </a:graphicData>
            </a:graphic>
          </wp:inline>
        </w:drawing>
      </w:r>
    </w:p>
    <w:p w14:paraId="137A9BDD"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8 Steps carved into the bedrock leading to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Pr>
          <w:rFonts w:ascii="Times New Roman" w:hAnsi="Times New Roman"/>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Pr="002B4DAC">
        <w:rPr>
          <w:rFonts w:ascii="Times New Roman" w:hAnsi="Times New Roman"/>
          <w:szCs w:val="22"/>
          <w:lang w:val="en-GB"/>
        </w:rPr>
        <w:fldChar w:fldCharType="end"/>
      </w:r>
      <w:r w:rsidRPr="002B4DAC">
        <w:rPr>
          <w:rFonts w:ascii="Times New Roman" w:hAnsi="Times New Roman"/>
          <w:szCs w:val="22"/>
          <w:lang w:val="en-GB"/>
        </w:rPr>
        <w:t>.</w:t>
      </w:r>
    </w:p>
    <w:p w14:paraId="61BA1F8F"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lastRenderedPageBreak/>
        <w:t>The tomb is reached by steps carved into the bedrock (Fig. 7-8). At the foot of the steps is a small room with an unknown function. Its chronology is also not determined. The room is approximately 60-70 cm to the side of the stairs and measures 1.63 m in width, 0.90 m in depth, and 1.60 m in height. The stairs at the beginning measure approximately 1.25 m in width and reach approximately 8.75 m at the end when they are adjacent to the facade of the burial chamber, forming a corridor and widening towards a platform that should be in front of the burial chamber (Fig. 8). The foundations carved into the bedrock just to the south of the entrance indicate a platform in front of the burial chamber. Considering the tomb facade and the location of the foundations, it is plausible to suggest that a platform measuring approximately 3.5 x 5.75 m was built in front of the tomb. The annals of Argišti I</w:t>
      </w:r>
      <w:r w:rsidRPr="009B28FE">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written in columns on the rock along the stairs on the south-facing facade of the tomb, are also known as the “Horhor</w:t>
      </w:r>
      <w:r>
        <w:rPr>
          <w:rFonts w:ascii="Times New Roman" w:hAnsi="Times New Roman"/>
          <w:lang w:val="en-GB"/>
        </w:rPr>
        <w:fldChar w:fldCharType="begin"/>
      </w:r>
      <w:r>
        <w:instrText xml:space="preserve"> XE "</w:instrText>
      </w:r>
      <w:r w:rsidRPr="002B4DAC">
        <w:rPr>
          <w:rFonts w:ascii="Times New Roman" w:hAnsi="Times New Roman"/>
          <w:szCs w:val="22"/>
          <w:lang w:val="en-GB"/>
        </w:rPr>
        <w:instrText>Horhor</w:instrText>
      </w:r>
      <w:r>
        <w:instrText xml:space="preserve">" </w:instrText>
      </w:r>
      <w:r>
        <w:rPr>
          <w:rFonts w:ascii="Times New Roman" w:hAnsi="Times New Roman"/>
          <w:lang w:val="en-GB"/>
        </w:rPr>
        <w:fldChar w:fldCharType="end"/>
      </w:r>
      <w:r w:rsidRPr="009B28FE">
        <w:rPr>
          <w:rFonts w:ascii="Times New Roman" w:eastAsia="Calibri" w:hAnsi="Times New Roman" w:cs="Times New Roman"/>
          <w:lang w:val="en-GB"/>
        </w:rPr>
        <w:t> </w:t>
      </w:r>
      <w:r w:rsidRPr="002B4DAC">
        <w:rPr>
          <w:rFonts w:ascii="Times New Roman" w:hAnsi="Times New Roman"/>
          <w:szCs w:val="22"/>
          <w:lang w:val="en-GB"/>
        </w:rPr>
        <w:t>Inscriptions</w:t>
      </w:r>
      <w:r w:rsidRPr="009B28FE">
        <w:rPr>
          <w:rFonts w:ascii="Times New Roman" w:eastAsia="Calibri" w:hAnsi="Times New Roman" w:cs="Times New Roman"/>
          <w:lang w:val="en-GB"/>
        </w:rPr>
        <w:t>”</w:t>
      </w:r>
      <w:r w:rsidRPr="002B4DAC">
        <w:rPr>
          <w:rFonts w:ascii="Times New Roman" w:hAnsi="Times New Roman"/>
          <w:szCs w:val="22"/>
          <w:lang w:val="en-GB"/>
        </w:rPr>
        <w:t xml:space="preserve"> These inscriptions, the </w:t>
      </w:r>
      <w:r w:rsidRPr="009B28FE">
        <w:rPr>
          <w:rFonts w:ascii="Times New Roman" w:eastAsia="Calibri" w:hAnsi="Times New Roman" w:cs="Times New Roman"/>
          <w:lang w:val="en-GB"/>
        </w:rPr>
        <w:t>most extended</w:t>
      </w:r>
      <w:r w:rsidRPr="002B4DAC">
        <w:rPr>
          <w:rFonts w:ascii="Times New Roman" w:hAnsi="Times New Roman"/>
          <w:szCs w:val="22"/>
          <w:lang w:val="en-GB"/>
        </w:rPr>
        <w:t xml:space="preserve"> text from the Urartian</w:t>
      </w:r>
      <w:r w:rsidRPr="009B28FE">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period, continue</w:t>
      </w:r>
      <w:r w:rsidRPr="009B28FE">
        <w:rPr>
          <w:rFonts w:ascii="Times New Roman" w:eastAsia="Calibri" w:hAnsi="Times New Roman" w:cs="Times New Roman"/>
          <w:lang w:val="en-GB"/>
        </w:rPr>
        <w:t xml:space="preserve"> on</w:t>
      </w:r>
      <w:r w:rsidRPr="002B4DAC">
        <w:rPr>
          <w:rFonts w:ascii="Times New Roman" w:hAnsi="Times New Roman"/>
          <w:szCs w:val="22"/>
          <w:lang w:val="en-GB"/>
        </w:rPr>
        <w:t xml:space="preserve"> both sides of the doorway.</w:t>
      </w:r>
    </w:p>
    <w:p w14:paraId="3C59AC95"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7546A010" wp14:editId="31778E7C">
            <wp:extent cx="3322955" cy="4792436"/>
            <wp:effectExtent l="0" t="0" r="4445" b="0"/>
            <wp:docPr id="183" name="Resim 183" descr="kay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kaya, taş içeren bir resim&#10;&#10;Açıklama otomatik olarak oluşturuldu"/>
                    <pic:cNvPicPr/>
                  </pic:nvPicPr>
                  <pic:blipFill rotWithShape="1">
                    <a:blip r:embed="rId264" cstate="email">
                      <a:extLst>
                        <a:ext uri="{28A0092B-C50C-407E-A947-70E740481C1C}">
                          <a14:useLocalDpi xmlns:a14="http://schemas.microsoft.com/office/drawing/2010/main"/>
                        </a:ext>
                      </a:extLst>
                    </a:blip>
                    <a:srcRect/>
                    <a:stretch/>
                  </pic:blipFill>
                  <pic:spPr bwMode="auto">
                    <a:xfrm>
                      <a:off x="0" y="0"/>
                      <a:ext cx="3326971" cy="4798228"/>
                    </a:xfrm>
                    <a:prstGeom prst="rect">
                      <a:avLst/>
                    </a:prstGeom>
                    <a:ln>
                      <a:noFill/>
                    </a:ln>
                    <a:extLst>
                      <a:ext uri="{53640926-AAD7-44D8-BBD7-CCE9431645EC}">
                        <a14:shadowObscured xmlns:a14="http://schemas.microsoft.com/office/drawing/2010/main"/>
                      </a:ext>
                    </a:extLst>
                  </pic:spPr>
                </pic:pic>
              </a:graphicData>
            </a:graphic>
          </wp:inline>
        </w:drawing>
      </w:r>
    </w:p>
    <w:p w14:paraId="573E9EBA" w14:textId="4DA2EE60"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9 Entrance of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sidR="00663FD0">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Pr="002B4DAC">
        <w:rPr>
          <w:rFonts w:ascii="Times New Roman" w:hAnsi="Times New Roman"/>
          <w:szCs w:val="22"/>
          <w:lang w:val="en-GB"/>
        </w:rPr>
        <w:fldChar w:fldCharType="end"/>
      </w:r>
      <w:r w:rsidRPr="002B4DAC">
        <w:rPr>
          <w:rFonts w:ascii="Times New Roman" w:hAnsi="Times New Roman"/>
          <w:szCs w:val="22"/>
          <w:lang w:val="en-GB"/>
        </w:rPr>
        <w:t>. Chronicles of Argišti I around the door.</w:t>
      </w:r>
    </w:p>
    <w:p w14:paraId="185C342B"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anchor distT="0" distB="0" distL="114300" distR="114300" simplePos="0" relativeHeight="251919360" behindDoc="0" locked="0" layoutInCell="1" allowOverlap="1" wp14:anchorId="52A1EA83" wp14:editId="28AE77A9">
            <wp:simplePos x="0" y="0"/>
            <wp:positionH relativeFrom="margin">
              <wp:posOffset>-149</wp:posOffset>
            </wp:positionH>
            <wp:positionV relativeFrom="margin">
              <wp:posOffset>940733</wp:posOffset>
            </wp:positionV>
            <wp:extent cx="4702175" cy="2992755"/>
            <wp:effectExtent l="0" t="0" r="0" b="4445"/>
            <wp:wrapTopAndBottom/>
            <wp:docPr id="184" name="Resim 184" descr="bina, taş, tuğla,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bina, taş, tuğla, beton içeren bir resim&#10;&#10;Açıklama otomatik olarak oluşturuldu"/>
                    <pic:cNvPicPr/>
                  </pic:nvPicPr>
                  <pic:blipFill>
                    <a:blip r:embed="rId265" cstate="email">
                      <a:extLst>
                        <a:ext uri="{28A0092B-C50C-407E-A947-70E740481C1C}">
                          <a14:useLocalDpi xmlns:a14="http://schemas.microsoft.com/office/drawing/2010/main"/>
                        </a:ext>
                      </a:extLst>
                    </a:blip>
                    <a:stretch>
                      <a:fillRect/>
                    </a:stretch>
                  </pic:blipFill>
                  <pic:spPr>
                    <a:xfrm>
                      <a:off x="0" y="0"/>
                      <a:ext cx="4702175" cy="2992755"/>
                    </a:xfrm>
                    <a:prstGeom prst="rect">
                      <a:avLst/>
                    </a:prstGeom>
                  </pic:spPr>
                </pic:pic>
              </a:graphicData>
            </a:graphic>
          </wp:anchor>
        </w:drawing>
      </w:r>
      <w:r w:rsidRPr="00CC6A44">
        <w:rPr>
          <w:rFonts w:ascii="Times New Roman" w:eastAsia="Calibri" w:hAnsi="Times New Roman" w:cs="Times New Roman"/>
          <w:lang w:val="en-GB"/>
        </w:rPr>
        <w:t>Reaching</w:t>
      </w:r>
      <w:r w:rsidRPr="002B4DAC">
        <w:rPr>
          <w:rFonts w:ascii="Times New Roman" w:hAnsi="Times New Roman"/>
          <w:szCs w:val="22"/>
          <w:lang w:val="en-GB"/>
        </w:rPr>
        <w:t xml:space="preserve"> through a passage measuring approximately 2.00 m in height, 1.75 m in depth, and in some sections 1.15 m in width (Fig. 9), the main hall has a flat ceiling (approximately 6.15 x 10.38 m) (Fig. 10). Four rooms—two in the north, one in the east and one in the west—connect to the main hall through a doorway, each measuring 11 m2. </w:t>
      </w:r>
      <w:r w:rsidRPr="00CC6A44">
        <w:rPr>
          <w:rFonts w:ascii="Times New Roman" w:eastAsia="Calibri" w:hAnsi="Times New Roman" w:cs="Times New Roman"/>
          <w:lang w:val="en-GB"/>
        </w:rPr>
        <w:t>A further room is reached through</w:t>
      </w:r>
      <w:r w:rsidRPr="002B4DAC">
        <w:rPr>
          <w:rFonts w:ascii="Times New Roman" w:hAnsi="Times New Roman"/>
          <w:szCs w:val="22"/>
          <w:lang w:val="en-GB"/>
        </w:rPr>
        <w:t xml:space="preserve"> a doorway from inside the room to the west. </w:t>
      </w:r>
    </w:p>
    <w:p w14:paraId="244A0CFF" w14:textId="5180922B"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10 Main Hall of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sidR="00663FD0">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Pr="002B4DAC">
        <w:rPr>
          <w:rFonts w:ascii="Times New Roman" w:hAnsi="Times New Roman"/>
          <w:szCs w:val="22"/>
          <w:lang w:val="en-GB"/>
        </w:rPr>
        <w:fldChar w:fldCharType="end"/>
      </w:r>
      <w:r w:rsidRPr="002B4DAC">
        <w:rPr>
          <w:rFonts w:ascii="Times New Roman" w:hAnsi="Times New Roman"/>
          <w:szCs w:val="22"/>
          <w:lang w:val="en-GB"/>
        </w:rPr>
        <w:t>. Niches, doors and the square/rectangular sockets carved into the floor.</w:t>
      </w:r>
    </w:p>
    <w:p w14:paraId="47E14F07"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48316097" wp14:editId="295364A9">
            <wp:extent cx="2671482" cy="3768440"/>
            <wp:effectExtent l="0" t="0" r="0" b="3810"/>
            <wp:docPr id="185" name="Resim 185" descr="mağara, kahverengi, kay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Resim 185" descr="mağara, kahverengi, kaya, dış mekan içeren bir resim&#10;&#10;Açıklama otomatik olarak oluşturuldu"/>
                    <pic:cNvPicPr/>
                  </pic:nvPicPr>
                  <pic:blipFill rotWithShape="1">
                    <a:blip r:embed="rId266" cstate="email">
                      <a:extLst>
                        <a:ext uri="{28A0092B-C50C-407E-A947-70E740481C1C}">
                          <a14:useLocalDpi xmlns:a14="http://schemas.microsoft.com/office/drawing/2010/main"/>
                        </a:ext>
                      </a:extLst>
                    </a:blip>
                    <a:srcRect/>
                    <a:stretch/>
                  </pic:blipFill>
                  <pic:spPr bwMode="auto">
                    <a:xfrm>
                      <a:off x="0" y="0"/>
                      <a:ext cx="2711494" cy="3824881"/>
                    </a:xfrm>
                    <a:prstGeom prst="rect">
                      <a:avLst/>
                    </a:prstGeom>
                    <a:ln>
                      <a:noFill/>
                    </a:ln>
                    <a:extLst>
                      <a:ext uri="{53640926-AAD7-44D8-BBD7-CCE9431645EC}">
                        <a14:shadowObscured xmlns:a14="http://schemas.microsoft.com/office/drawing/2010/main"/>
                      </a:ext>
                    </a:extLst>
                  </pic:spPr>
                </pic:pic>
              </a:graphicData>
            </a:graphic>
          </wp:inline>
        </w:drawing>
      </w:r>
    </w:p>
    <w:p w14:paraId="29A1A8D2"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11 Deep chamber in the northeast of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Pr>
          <w:rFonts w:ascii="Times New Roman" w:hAnsi="Times New Roman"/>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i/>
          <w:szCs w:val="22"/>
          <w:lang w:val="en-GB"/>
        </w:rPr>
        <w:t xml:space="preserve"> </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and the niches carved into the walls of the room.</w:t>
      </w:r>
    </w:p>
    <w:p w14:paraId="39D63BA2" w14:textId="77777777" w:rsidR="006B23DC" w:rsidRPr="002B4DAC" w:rsidRDefault="006B23DC" w:rsidP="006B23DC">
      <w:pPr>
        <w:spacing w:before="100" w:beforeAutospacing="1" w:after="100" w:afterAutospacing="1"/>
        <w:jc w:val="both"/>
        <w:rPr>
          <w:rFonts w:ascii="Times New Roman" w:hAnsi="Times New Roman"/>
          <w:szCs w:val="22"/>
          <w:lang w:val="en-GB"/>
        </w:rPr>
      </w:pPr>
    </w:p>
    <w:p w14:paraId="6ABA8A4B"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Whose floor level is approximately 4 m deeper (Fig. 11). The structural attributes of this room, measuring 5.10 x 4.10 m, are noteworthy. On the sidewalls of the room are niches, similar to other rooms. However, the niches here are deeper</w:t>
      </w:r>
      <w:r w:rsidRPr="00CC6A44">
        <w:rPr>
          <w:rFonts w:ascii="Times New Roman" w:eastAsia="Calibri" w:hAnsi="Times New Roman" w:cs="Times New Roman"/>
          <w:lang w:val="en-GB"/>
        </w:rPr>
        <w:t>;</w:t>
      </w:r>
      <w:r w:rsidRPr="002B4DAC">
        <w:rPr>
          <w:rFonts w:ascii="Times New Roman" w:hAnsi="Times New Roman"/>
          <w:szCs w:val="22"/>
          <w:lang w:val="en-GB"/>
        </w:rPr>
        <w:t xml:space="preserve"> contrary to previous publications, there are ten of them. One niche, to the left of the entrance, was previously unnoticed as no one could descend to the burial chamber. Considering the depth of the floor level of this burial chamber, it would have been impossible to access and notice the niches from the floor level, as in the other chambers. Perhaps a wooden platform, reached by a ladder, was used as a solution. </w:t>
      </w:r>
      <w:r w:rsidRPr="00CC6A44">
        <w:rPr>
          <w:rFonts w:ascii="Times New Roman" w:eastAsia="Calibri" w:hAnsi="Times New Roman" w:cs="Times New Roman"/>
          <w:lang w:val="en-GB"/>
        </w:rPr>
        <w:t>Again,</w:t>
      </w:r>
      <w:r w:rsidRPr="002B4DAC">
        <w:rPr>
          <w:rFonts w:ascii="Times New Roman" w:hAnsi="Times New Roman"/>
          <w:szCs w:val="22"/>
          <w:lang w:val="en-GB"/>
        </w:rPr>
        <w:t xml:space="preserve"> building activities during later periods</w:t>
      </w:r>
      <w:r w:rsidRPr="00CC6A44">
        <w:rPr>
          <w:rFonts w:ascii="Times New Roman" w:eastAsia="Calibri" w:hAnsi="Times New Roman" w:cs="Times New Roman"/>
          <w:lang w:val="en-GB"/>
        </w:rPr>
        <w:t xml:space="preserve"> might have deepened the burial chamber</w:t>
      </w:r>
      <w:r w:rsidRPr="002B4DAC">
        <w:rPr>
          <w:rFonts w:ascii="Times New Roman" w:hAnsi="Times New Roman"/>
          <w:szCs w:val="22"/>
          <w:lang w:val="en-GB"/>
        </w:rPr>
        <w:t>. In this regard, here we propose an alternative approach.</w:t>
      </w:r>
    </w:p>
    <w:p w14:paraId="1158544A"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7F497F22" wp14:editId="419F3017">
            <wp:extent cx="4032575" cy="3016703"/>
            <wp:effectExtent l="0" t="0" r="0" b="6350"/>
            <wp:docPr id="186" name="Resim 186" descr="bina, taş, kir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bina, taş, kirli içeren bir resim&#10;&#10;Açıklama otomatik olarak oluşturuldu"/>
                    <pic:cNvPicPr/>
                  </pic:nvPicPr>
                  <pic:blipFill rotWithShape="1">
                    <a:blip r:embed="rId267" cstate="email">
                      <a:extLst>
                        <a:ext uri="{28A0092B-C50C-407E-A947-70E740481C1C}">
                          <a14:useLocalDpi xmlns:a14="http://schemas.microsoft.com/office/drawing/2010/main"/>
                        </a:ext>
                      </a:extLst>
                    </a:blip>
                    <a:srcRect/>
                    <a:stretch/>
                  </pic:blipFill>
                  <pic:spPr bwMode="auto">
                    <a:xfrm>
                      <a:off x="0" y="0"/>
                      <a:ext cx="4042903" cy="3024429"/>
                    </a:xfrm>
                    <a:prstGeom prst="rect">
                      <a:avLst/>
                    </a:prstGeom>
                    <a:ln>
                      <a:noFill/>
                    </a:ln>
                    <a:extLst>
                      <a:ext uri="{53640926-AAD7-44D8-BBD7-CCE9431645EC}">
                        <a14:shadowObscured xmlns:a14="http://schemas.microsoft.com/office/drawing/2010/main"/>
                      </a:ext>
                    </a:extLst>
                  </pic:spPr>
                </pic:pic>
              </a:graphicData>
            </a:graphic>
          </wp:inline>
        </w:drawing>
      </w:r>
    </w:p>
    <w:p w14:paraId="04A643B9"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12 Niches carved into the walls of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Pr>
          <w:rFonts w:ascii="Times New Roman" w:hAnsi="Times New Roman"/>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Pr="002B4DAC">
        <w:rPr>
          <w:rFonts w:ascii="Times New Roman" w:hAnsi="Times New Roman"/>
          <w:szCs w:val="22"/>
          <w:lang w:val="en-GB"/>
        </w:rPr>
        <w:fldChar w:fldCharType="end"/>
      </w:r>
      <w:r w:rsidRPr="002B4DAC">
        <w:rPr>
          <w:rFonts w:ascii="Times New Roman" w:hAnsi="Times New Roman"/>
          <w:szCs w:val="22"/>
          <w:lang w:val="en-GB"/>
        </w:rPr>
        <w:t>. These niches located between the entrances of rooms A04 and A05 right in front of (to the north) of the entrance differ from other examples with their frames.</w:t>
      </w:r>
    </w:p>
    <w:p w14:paraId="7980C374"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1304BC0C" wp14:editId="37AEDC18">
            <wp:extent cx="2145553" cy="2265877"/>
            <wp:effectExtent l="0" t="0" r="1270" b="0"/>
            <wp:docPr id="187" name="Resim 187" descr="mağara, doğa,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Resim 187" descr="mağara, doğa, yer içeren bir resim&#10;&#10;Açıklama otomatik olarak oluşturuldu"/>
                    <pic:cNvPicPr/>
                  </pic:nvPicPr>
                  <pic:blipFill rotWithShape="1">
                    <a:blip r:embed="rId268" cstate="email">
                      <a:extLst>
                        <a:ext uri="{28A0092B-C50C-407E-A947-70E740481C1C}">
                          <a14:useLocalDpi xmlns:a14="http://schemas.microsoft.com/office/drawing/2010/main"/>
                        </a:ext>
                      </a:extLst>
                    </a:blip>
                    <a:srcRect/>
                    <a:stretch/>
                  </pic:blipFill>
                  <pic:spPr bwMode="auto">
                    <a:xfrm>
                      <a:off x="0" y="0"/>
                      <a:ext cx="2214222" cy="2338397"/>
                    </a:xfrm>
                    <a:prstGeom prst="rect">
                      <a:avLst/>
                    </a:prstGeom>
                    <a:ln>
                      <a:noFill/>
                    </a:ln>
                    <a:extLst>
                      <a:ext uri="{53640926-AAD7-44D8-BBD7-CCE9431645EC}">
                        <a14:shadowObscured xmlns:a14="http://schemas.microsoft.com/office/drawing/2010/main"/>
                      </a:ext>
                    </a:extLst>
                  </pic:spPr>
                </pic:pic>
              </a:graphicData>
            </a:graphic>
          </wp:inline>
        </w:drawing>
      </w:r>
    </w:p>
    <w:p w14:paraId="5BD742A2"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13 Symmetrically placed concave hollows between the niches in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Pr>
          <w:rFonts w:ascii="Times New Roman" w:hAnsi="Times New Roman"/>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i/>
          <w:szCs w:val="22"/>
          <w:lang w:val="en-GB"/>
        </w:rPr>
        <w:t xml:space="preserve"> </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Pr="002B4DAC">
        <w:rPr>
          <w:rFonts w:ascii="Times New Roman" w:hAnsi="Times New Roman"/>
          <w:szCs w:val="22"/>
          <w:lang w:val="en-GB"/>
        </w:rPr>
        <w:fldChar w:fldCharType="end"/>
      </w:r>
      <w:r w:rsidRPr="002B4DAC">
        <w:rPr>
          <w:rFonts w:ascii="Times New Roman" w:hAnsi="Times New Roman"/>
          <w:szCs w:val="22"/>
          <w:lang w:val="en-GB"/>
        </w:rPr>
        <w:t>.</w:t>
      </w:r>
    </w:p>
    <w:p w14:paraId="6C2426AD" w14:textId="77777777" w:rsidR="006B23DC" w:rsidRPr="002B4DAC" w:rsidRDefault="006B23DC" w:rsidP="006B23DC">
      <w:pPr>
        <w:jc w:val="both"/>
        <w:rPr>
          <w:rFonts w:ascii="Times New Roman" w:hAnsi="Times New Roman"/>
          <w:lang w:val="en-GB"/>
        </w:rPr>
      </w:pPr>
    </w:p>
    <w:p w14:paraId="41ECB548" w14:textId="77777777" w:rsidR="006B23DC" w:rsidRPr="002B4DAC" w:rsidRDefault="006B23DC" w:rsidP="006B23DC">
      <w:pPr>
        <w:jc w:val="both"/>
        <w:rPr>
          <w:rFonts w:ascii="Times New Roman" w:hAnsi="Times New Roman"/>
          <w:lang w:val="en-GB"/>
        </w:rPr>
      </w:pPr>
    </w:p>
    <w:p w14:paraId="30F35D5B" w14:textId="77777777" w:rsidR="006B23DC" w:rsidRPr="002B4DAC" w:rsidRDefault="006B23DC" w:rsidP="006B23DC">
      <w:pPr>
        <w:jc w:val="both"/>
        <w:rPr>
          <w:rFonts w:ascii="Times New Roman" w:hAnsi="Times New Roman"/>
          <w:lang w:val="en-GB"/>
        </w:rPr>
      </w:pPr>
      <w:r w:rsidRPr="002B4DAC">
        <w:rPr>
          <w:rFonts w:ascii="Times New Roman" w:hAnsi="Times New Roman"/>
          <w:noProof/>
        </w:rPr>
        <w:drawing>
          <wp:inline distT="0" distB="0" distL="0" distR="0" wp14:anchorId="4A3E665A" wp14:editId="56E9582C">
            <wp:extent cx="5733415" cy="3839845"/>
            <wp:effectExtent l="0" t="0" r="0" b="0"/>
            <wp:docPr id="431540686" name="Resim 2" descr="taslak, duvar, sanat,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40686" name="Resim 2" descr="taslak, duvar, sanat, iç mekan içeren bir resim&#10;&#10;Açıklama otomatik olarak oluşturuldu"/>
                    <pic:cNvPicPr/>
                  </pic:nvPicPr>
                  <pic:blipFill>
                    <a:blip r:embed="rId269" cstate="email">
                      <a:extLst>
                        <a:ext uri="{28A0092B-C50C-407E-A947-70E740481C1C}">
                          <a14:useLocalDpi xmlns:a14="http://schemas.microsoft.com/office/drawing/2010/main"/>
                        </a:ext>
                      </a:extLst>
                    </a:blip>
                    <a:stretch>
                      <a:fillRect/>
                    </a:stretch>
                  </pic:blipFill>
                  <pic:spPr>
                    <a:xfrm>
                      <a:off x="0" y="0"/>
                      <a:ext cx="5733415" cy="3839845"/>
                    </a:xfrm>
                    <a:prstGeom prst="rect">
                      <a:avLst/>
                    </a:prstGeom>
                  </pic:spPr>
                </pic:pic>
              </a:graphicData>
            </a:graphic>
          </wp:inline>
        </w:drawing>
      </w:r>
    </w:p>
    <w:p w14:paraId="03512981" w14:textId="77777777" w:rsidR="006B23DC" w:rsidRPr="002B4DAC" w:rsidRDefault="006B23DC" w:rsidP="006B23DC">
      <w:pPr>
        <w:jc w:val="both"/>
        <w:rPr>
          <w:rFonts w:ascii="Times New Roman" w:hAnsi="Times New Roman"/>
          <w:lang w:val="en-GB"/>
        </w:rPr>
      </w:pPr>
      <w:r w:rsidRPr="002B4DAC">
        <w:rPr>
          <w:rFonts w:ascii="Times New Roman" w:hAnsi="Times New Roman"/>
          <w:lang w:val="en-GB"/>
        </w:rPr>
        <w:t>Fig. 14 Main Hall of the tomb of Argišti</w:t>
      </w:r>
      <w:r>
        <w:rPr>
          <w:rFonts w:ascii="Times New Roman" w:hAnsi="Times New Roman"/>
          <w:lang w:val="en-GB"/>
        </w:rPr>
        <w:t xml:space="preserve"> I</w:t>
      </w:r>
      <w:r w:rsidRPr="002B4DAC">
        <w:rPr>
          <w:rFonts w:ascii="Times New Roman" w:hAnsi="Times New Roman"/>
          <w:lang w:val="en-GB"/>
        </w:rPr>
        <w:t xml:space="preserve">. There are square holes in the walls, probably made for bronze plates. The quadrangular cavities at the base were created to place pedestals or platforms. </w:t>
      </w:r>
      <w:r w:rsidRPr="002B4DAC">
        <w:rPr>
          <w:rFonts w:ascii="Times New Roman" w:hAnsi="Times New Roman"/>
          <w:lang w:val="en-GB"/>
        </w:rPr>
        <w:br w:type="page"/>
      </w:r>
    </w:p>
    <w:p w14:paraId="5BB1EB3D" w14:textId="77777777" w:rsidR="006B23DC" w:rsidRPr="002B4DAC" w:rsidRDefault="006B23DC" w:rsidP="006B23DC">
      <w:pPr>
        <w:jc w:val="both"/>
        <w:rPr>
          <w:rFonts w:ascii="Times New Roman" w:hAnsi="Times New Roman"/>
          <w:lang w:val="en-GB"/>
        </w:rPr>
      </w:pPr>
    </w:p>
    <w:p w14:paraId="539A77E6" w14:textId="16BB8A2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In the main hall and side chambers of the Argišti I tomb</w:t>
      </w:r>
      <w:r w:rsidRPr="00CC6A44">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i/>
          <w:iCs/>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there are 35 symmetrically carved niches (Fig. 12). Burial gifts and cremation vessels (urns) were probably placed inside these niches. Between the niches are rectangular hollows with concave sides and a hole in the </w:t>
      </w:r>
      <w:r w:rsidRPr="00CC6A44">
        <w:rPr>
          <w:rFonts w:ascii="Times New Roman" w:eastAsia="Calibri" w:hAnsi="Times New Roman" w:cs="Times New Roman"/>
          <w:lang w:val="en-GB"/>
        </w:rPr>
        <w:t>center</w:t>
      </w:r>
      <w:r w:rsidRPr="002B4DAC">
        <w:rPr>
          <w:rFonts w:ascii="Times New Roman" w:hAnsi="Times New Roman"/>
          <w:szCs w:val="22"/>
          <w:lang w:val="en-GB"/>
        </w:rPr>
        <w:t xml:space="preserve"> (Fig. 13, 14). These were first mentioned and documented by Schulz</w:t>
      </w:r>
      <w:r w:rsidRPr="00CC6A44">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"Schulz"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(1840: 272). Based on some reliefs and murals, one can suggest that decorated bronze plaques, lighting fixtures, burial gifts</w:t>
      </w:r>
      <w:r w:rsidRPr="00CC6A44">
        <w:rPr>
          <w:rFonts w:ascii="Times New Roman" w:eastAsia="Calibri" w:hAnsi="Times New Roman" w:cs="Times New Roman"/>
          <w:lang w:val="en-GB"/>
        </w:rPr>
        <w:t>,</w:t>
      </w:r>
      <w:r w:rsidRPr="002B4DAC">
        <w:rPr>
          <w:rFonts w:ascii="Times New Roman" w:hAnsi="Times New Roman"/>
          <w:szCs w:val="22"/>
          <w:lang w:val="en-GB"/>
        </w:rPr>
        <w:t xml:space="preserve"> and objects of cult significance were set inside or hung from these features. Also, for decorative purposes, baked clay plaques with holes in their </w:t>
      </w:r>
      <w:r w:rsidRPr="00CC6A44">
        <w:rPr>
          <w:rFonts w:ascii="Times New Roman" w:eastAsia="Calibri" w:hAnsi="Times New Roman" w:cs="Times New Roman"/>
          <w:lang w:val="en-GB"/>
        </w:rPr>
        <w:t>centers</w:t>
      </w:r>
      <w:r w:rsidRPr="002B4DAC">
        <w:rPr>
          <w:rFonts w:ascii="Times New Roman" w:hAnsi="Times New Roman"/>
          <w:szCs w:val="22"/>
          <w:lang w:val="en-GB"/>
        </w:rPr>
        <w:t xml:space="preserve"> were applied onto the walls through the </w:t>
      </w:r>
      <w:r w:rsidR="00E85612">
        <w:rPr>
          <w:rFonts w:ascii="Times New Roman" w:hAnsi="Times New Roman"/>
          <w:szCs w:val="22"/>
          <w:lang w:val="en-GB"/>
        </w:rPr>
        <w:t>‘</w:t>
      </w:r>
      <w:r w:rsidRPr="00CC6A44">
        <w:rPr>
          <w:rFonts w:ascii="Times New Roman" w:eastAsia="Calibri" w:hAnsi="Times New Roman" w:cs="Times New Roman"/>
          <w:lang w:val="en-GB"/>
        </w:rPr>
        <w:t>siqqatu</w:t>
      </w:r>
      <w:r w:rsidR="00E85612">
        <w:rPr>
          <w:rFonts w:ascii="Times New Roman" w:eastAsia="Calibri" w:hAnsi="Times New Roman" w:cs="Times New Roman"/>
          <w:lang w:val="en-GB"/>
        </w:rPr>
        <w:t>’</w:t>
      </w:r>
      <w:r>
        <w:rPr>
          <w:rFonts w:ascii="Times New Roman" w:eastAsia="Calibri" w:hAnsi="Times New Roman" w:cs="Times New Roman"/>
          <w:lang w:val="en-GB"/>
        </w:rPr>
        <w:t>.</w:t>
      </w:r>
    </w:p>
    <w:p w14:paraId="67F6A33F"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50E862C8" wp14:editId="7E22617A">
            <wp:extent cx="5270500" cy="3513455"/>
            <wp:effectExtent l="0" t="0" r="0" b="4445"/>
            <wp:docPr id="188" name="Resim 188" descr="duvar, hafif, aydınlatma,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Resim 188" descr="duvar, hafif, aydınlatma, beton içeren bir resim&#10;&#10;Açıklama otomatik olarak oluşturuldu"/>
                    <pic:cNvPicPr/>
                  </pic:nvPicPr>
                  <pic:blipFill>
                    <a:blip r:embed="rId270"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7BE188EA"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15 A hollow built for a sarcophagus (?) on the floor in front of the eastern wall of the burial chamber (A06) to the east of the main hall in the Argišti I</w:t>
      </w:r>
      <w:r>
        <w:rPr>
          <w:rFonts w:asciiTheme="majorBidi" w:hAnsiTheme="majorBidi" w:cstheme="majorBidi"/>
          <w:lang w:val="en-GB"/>
        </w:rPr>
        <w:fldChar w:fldCharType="begin"/>
      </w:r>
      <w:r>
        <w:instrText xml:space="preserve"> XE "</w:instrText>
      </w:r>
      <w:r w:rsidRPr="00EA0CDA">
        <w:rPr>
          <w:rFonts w:asciiTheme="majorBidi" w:hAnsiTheme="majorBidi" w:cstheme="majorBidi"/>
        </w:rPr>
        <w:instrText>Argišti I</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 xml:space="preserve">Argišti I </w:instrText>
      </w:r>
      <w:r>
        <w:rPr>
          <w:rFonts w:ascii="Times New Roman" w:hAnsi="Times New Roman"/>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w:t>
      </w:r>
    </w:p>
    <w:p w14:paraId="164E81D4"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A hollow adjacent to the long northern wall of the main hall, extending southward and measuring 2.60 x 2.00 m</w:t>
      </w:r>
      <w:r w:rsidRPr="00CC6A44">
        <w:rPr>
          <w:rFonts w:ascii="Times New Roman" w:eastAsia="Calibri" w:hAnsi="Times New Roman" w:cs="Times New Roman"/>
          <w:lang w:val="en-GB"/>
        </w:rPr>
        <w:t>,</w:t>
      </w:r>
      <w:r w:rsidRPr="002B4DAC">
        <w:rPr>
          <w:rFonts w:ascii="Times New Roman" w:hAnsi="Times New Roman"/>
          <w:szCs w:val="22"/>
          <w:lang w:val="en-GB"/>
        </w:rPr>
        <w:t xml:space="preserve"> is also worth mentioning. The fine workmanship of the niches carved in the northern wall and the dynamic effect created by the frames around them </w:t>
      </w:r>
      <w:r w:rsidRPr="00CC6A44">
        <w:rPr>
          <w:rFonts w:ascii="Times New Roman" w:eastAsia="Calibri" w:hAnsi="Times New Roman" w:cs="Times New Roman"/>
          <w:lang w:val="en-GB"/>
        </w:rPr>
        <w:t>make</w:t>
      </w:r>
      <w:r w:rsidRPr="002B4DAC">
        <w:rPr>
          <w:rFonts w:ascii="Times New Roman" w:hAnsi="Times New Roman"/>
          <w:szCs w:val="22"/>
          <w:lang w:val="en-GB"/>
        </w:rPr>
        <w:t xml:space="preserve"> this area special. To the west is another area that was carved loosely in a square shape and </w:t>
      </w:r>
      <w:r w:rsidRPr="00CC6A44">
        <w:rPr>
          <w:rFonts w:ascii="Times New Roman" w:eastAsia="Calibri" w:hAnsi="Times New Roman" w:cs="Times New Roman"/>
          <w:lang w:val="en-GB"/>
        </w:rPr>
        <w:t>measures</w:t>
      </w:r>
      <w:r w:rsidRPr="002B4DAC">
        <w:rPr>
          <w:rFonts w:ascii="Times New Roman" w:hAnsi="Times New Roman"/>
          <w:szCs w:val="22"/>
          <w:lang w:val="en-GB"/>
        </w:rPr>
        <w:t xml:space="preserve"> 1.10 x 1.10 m.</w:t>
      </w:r>
    </w:p>
    <w:p w14:paraId="5CD76F6A"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CC6A44">
        <w:rPr>
          <w:rFonts w:ascii="Times New Roman" w:eastAsia="Calibri" w:hAnsi="Times New Roman" w:cs="Times New Roman"/>
          <w:lang w:val="en-GB"/>
        </w:rPr>
        <w:t>The</w:t>
      </w:r>
      <w:r w:rsidRPr="002B4DAC">
        <w:rPr>
          <w:rFonts w:ascii="Times New Roman" w:hAnsi="Times New Roman"/>
          <w:szCs w:val="22"/>
          <w:lang w:val="en-GB"/>
        </w:rPr>
        <w:t xml:space="preserve"> burial chamber with four niches</w:t>
      </w:r>
      <w:r w:rsidRPr="00CC6A44">
        <w:rPr>
          <w:rFonts w:ascii="Times New Roman" w:eastAsia="Calibri" w:hAnsi="Times New Roman" w:cs="Times New Roman"/>
          <w:lang w:val="en-GB"/>
        </w:rPr>
        <w:t xml:space="preserve"> is east of the main hall. A hollow was carved along</w:t>
      </w:r>
      <w:r w:rsidRPr="002B4DAC">
        <w:rPr>
          <w:rFonts w:ascii="Times New Roman" w:hAnsi="Times New Roman"/>
          <w:szCs w:val="22"/>
          <w:lang w:val="en-GB"/>
        </w:rPr>
        <w:t xml:space="preserve"> the eastern wall of this chamber, measuring approximately 1 m in width, 3.55 m in length</w:t>
      </w:r>
      <w:r w:rsidRPr="00CC6A44">
        <w:rPr>
          <w:rFonts w:ascii="Times New Roman" w:eastAsia="Calibri" w:hAnsi="Times New Roman" w:cs="Times New Roman"/>
          <w:lang w:val="en-GB"/>
        </w:rPr>
        <w:t>,</w:t>
      </w:r>
      <w:r w:rsidRPr="002B4DAC">
        <w:rPr>
          <w:rFonts w:ascii="Times New Roman" w:hAnsi="Times New Roman"/>
          <w:szCs w:val="22"/>
          <w:lang w:val="en-GB"/>
        </w:rPr>
        <w:t xml:space="preserve"> and 2-5 cm in depth (Fig.15). This hollow was possibly a burial bed or a space to place a sarcophagus.</w:t>
      </w:r>
    </w:p>
    <w:p w14:paraId="4FDA27B3"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The research carried out by the authors </w:t>
      </w:r>
      <w:r w:rsidRPr="00CC6A44">
        <w:rPr>
          <w:rFonts w:ascii="Times New Roman" w:eastAsia="Calibri" w:hAnsi="Times New Roman" w:cs="Times New Roman"/>
          <w:lang w:val="en-GB"/>
        </w:rPr>
        <w:t>in</w:t>
      </w:r>
      <w:r w:rsidRPr="002B4DAC">
        <w:rPr>
          <w:rFonts w:ascii="Times New Roman" w:hAnsi="Times New Roman"/>
          <w:szCs w:val="22"/>
          <w:lang w:val="en-GB"/>
        </w:rPr>
        <w:t xml:space="preserve"> 2012 in the Argišti I tomb</w:t>
      </w:r>
      <w:r>
        <w:rPr>
          <w:rFonts w:ascii="Times New Roman" w:hAnsi="Times New Roman"/>
          <w:lang w:val="en-GB"/>
        </w:rPr>
        <w:fldChar w:fldCharType="begin"/>
      </w:r>
      <w:r>
        <w:instrText xml:space="preserve"> XE "</w:instrText>
      </w:r>
      <w:r w:rsidRPr="002B4DAC">
        <w:rPr>
          <w:rFonts w:ascii="Times New Roman" w:hAnsi="Times New Roman"/>
          <w:szCs w:val="22"/>
          <w:lang w:val="en-GB"/>
        </w:rPr>
        <w:instrText>Argišti I tomb</w:instrText>
      </w:r>
      <w:r>
        <w:instrText xml:space="preserve">" </w:instrText>
      </w:r>
      <w:r>
        <w:rPr>
          <w:rFonts w:ascii="Times New Roman" w:hAnsi="Times New Roman"/>
          <w:lang w:val="en-GB"/>
        </w:rPr>
        <w:fldChar w:fldCharType="end"/>
      </w:r>
      <w:r w:rsidRPr="002B4DAC">
        <w:rPr>
          <w:rFonts w:ascii="Times New Roman" w:hAnsi="Times New Roman"/>
          <w:szCs w:val="22"/>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in Van Fortress</w:t>
      </w:r>
      <w:r w:rsidRPr="00CC6A44">
        <w:rPr>
          <w:rFonts w:ascii="Times New Roman" w:eastAsia="Calibri" w:hAnsi="Times New Roman" w:cs="Times New Roman"/>
          <w:lang w:val="en-GB"/>
        </w:rPr>
        <w:t> </w:t>
      </w:r>
      <w:r w:rsidRPr="002B4DAC">
        <w:rPr>
          <w:rFonts w:ascii="Times New Roman" w:hAnsi="Times New Roman"/>
          <w:szCs w:val="22"/>
          <w:lang w:val="en-GB"/>
        </w:rPr>
        <w:t xml:space="preserve">contributed to developing new approaches to </w:t>
      </w:r>
      <w:r w:rsidRPr="00CC6A44">
        <w:rPr>
          <w:rFonts w:ascii="Times New Roman" w:eastAsia="Calibri" w:hAnsi="Times New Roman" w:cs="Times New Roman"/>
          <w:lang w:val="en-GB"/>
        </w:rPr>
        <w:t>understanding</w:t>
      </w:r>
      <w:r w:rsidRPr="002B4DAC">
        <w:rPr>
          <w:rFonts w:ascii="Times New Roman" w:hAnsi="Times New Roman"/>
          <w:szCs w:val="22"/>
          <w:lang w:val="en-GB"/>
        </w:rPr>
        <w:t xml:space="preserve"> the durations, chronologies, building techniques, and design of the tombs. The main hall of the </w:t>
      </w:r>
      <w:r w:rsidRPr="00CC6A44">
        <w:rPr>
          <w:rFonts w:ascii="Times New Roman" w:eastAsia="Calibri" w:hAnsi="Times New Roman" w:cs="Times New Roman"/>
          <w:lang w:val="en-GB"/>
        </w:rPr>
        <w:t>Argišti</w:t>
      </w:r>
      <w:r>
        <w:rPr>
          <w:rFonts w:ascii="Times New Roman" w:eastAsia="Calibri" w:hAnsi="Times New Roman" w:cs="Times New Roman"/>
          <w:lang w:val="en-GB"/>
        </w:rPr>
        <w:t xml:space="preserve"> </w:t>
      </w:r>
      <w:r w:rsidRPr="00CC6A44">
        <w:rPr>
          <w:rFonts w:ascii="Times New Roman" w:eastAsia="Calibri" w:hAnsi="Times New Roman" w:cs="Times New Roman"/>
          <w:lang w:val="en-GB"/>
        </w:rPr>
        <w:t>I</w:t>
      </w:r>
      <w:r w:rsidRPr="002B4DAC">
        <w:rPr>
          <w:rFonts w:ascii="Times New Roman" w:hAnsi="Times New Roman"/>
          <w:szCs w:val="22"/>
          <w:lang w:val="en-GB"/>
        </w:rPr>
        <w:t xml:space="preserve"> tomb</w:t>
      </w:r>
      <w:r w:rsidRPr="00CC6A44">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 xml:space="preserve">especially gave </w:t>
      </w:r>
      <w:r w:rsidRPr="00CC6A44">
        <w:rPr>
          <w:rFonts w:ascii="Times New Roman" w:eastAsia="Calibri" w:hAnsi="Times New Roman" w:cs="Times New Roman"/>
          <w:lang w:val="en-GB"/>
        </w:rPr>
        <w:t>essential</w:t>
      </w:r>
      <w:r w:rsidRPr="002B4DAC">
        <w:rPr>
          <w:rFonts w:ascii="Times New Roman" w:hAnsi="Times New Roman"/>
          <w:szCs w:val="22"/>
          <w:lang w:val="en-GB"/>
        </w:rPr>
        <w:t xml:space="preserve"> insights in this regard. In the northwest corner of the long wall across the </w:t>
      </w:r>
      <w:r w:rsidRPr="00CC6A44">
        <w:rPr>
          <w:rFonts w:ascii="Times New Roman" w:eastAsia="Calibri" w:hAnsi="Times New Roman" w:cs="Times New Roman"/>
          <w:lang w:val="en-GB"/>
        </w:rPr>
        <w:t xml:space="preserve">hall </w:t>
      </w:r>
      <w:r w:rsidRPr="002B4DAC">
        <w:rPr>
          <w:rFonts w:ascii="Times New Roman" w:hAnsi="Times New Roman"/>
          <w:szCs w:val="22"/>
          <w:lang w:val="en-GB"/>
        </w:rPr>
        <w:t>entrance</w:t>
      </w:r>
      <w:r w:rsidRPr="00CC6A44">
        <w:rPr>
          <w:rFonts w:ascii="Times New Roman" w:eastAsia="Calibri" w:hAnsi="Times New Roman" w:cs="Times New Roman"/>
          <w:lang w:val="en-GB"/>
        </w:rPr>
        <w:t>,</w:t>
      </w:r>
      <w:r w:rsidRPr="002B4DAC">
        <w:rPr>
          <w:rFonts w:ascii="Times New Roman" w:hAnsi="Times New Roman"/>
          <w:szCs w:val="22"/>
          <w:lang w:val="en-GB"/>
        </w:rPr>
        <w:t xml:space="preserve"> the bedrock </w:t>
      </w:r>
      <w:r w:rsidRPr="00CC6A44">
        <w:rPr>
          <w:rFonts w:ascii="Times New Roman" w:eastAsia="Calibri" w:hAnsi="Times New Roman" w:cs="Times New Roman"/>
          <w:lang w:val="en-GB"/>
        </w:rPr>
        <w:t xml:space="preserve">deformation </w:t>
      </w:r>
      <w:r w:rsidRPr="002B4DAC">
        <w:rPr>
          <w:rFonts w:ascii="Times New Roman" w:hAnsi="Times New Roman"/>
          <w:szCs w:val="22"/>
          <w:lang w:val="en-GB"/>
        </w:rPr>
        <w:t>had to be fixed. Thus, the rock was carved into steps</w:t>
      </w:r>
      <w:r w:rsidRPr="00CC6A44">
        <w:rPr>
          <w:rFonts w:ascii="Times New Roman" w:eastAsia="Calibri" w:hAnsi="Times New Roman" w:cs="Times New Roman"/>
          <w:lang w:val="en-GB"/>
        </w:rPr>
        <w:t>;</w:t>
      </w:r>
      <w:r w:rsidRPr="002B4DAC">
        <w:rPr>
          <w:rFonts w:ascii="Times New Roman" w:hAnsi="Times New Roman"/>
          <w:szCs w:val="22"/>
          <w:lang w:val="en-GB"/>
        </w:rPr>
        <w:t xml:space="preserve"> beds were </w:t>
      </w:r>
      <w:r w:rsidRPr="002B4DAC">
        <w:rPr>
          <w:rFonts w:ascii="Times New Roman" w:hAnsi="Times New Roman"/>
          <w:szCs w:val="22"/>
          <w:lang w:val="en-GB"/>
        </w:rPr>
        <w:lastRenderedPageBreak/>
        <w:t xml:space="preserve">prepared to place new stones, and stone blocks cut straight were probably placed here to complete this section (Fig. 16). </w:t>
      </w:r>
    </w:p>
    <w:p w14:paraId="7F31D0F8"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080288D3" wp14:editId="6447B1BC">
            <wp:extent cx="5270500" cy="7258050"/>
            <wp:effectExtent l="0" t="0" r="0" b="6350"/>
            <wp:docPr id="189" name="Resim 189" descr="harabeler, mağara,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Resim 189" descr="harabeler, mağara, duvar içeren bir resim&#10;&#10;Açıklama otomatik olarak oluşturuldu"/>
                    <pic:cNvPicPr/>
                  </pic:nvPicPr>
                  <pic:blipFill>
                    <a:blip r:embed="rId271" cstate="email">
                      <a:extLst>
                        <a:ext uri="{28A0092B-C50C-407E-A947-70E740481C1C}">
                          <a14:useLocalDpi xmlns:a14="http://schemas.microsoft.com/office/drawing/2010/main"/>
                        </a:ext>
                      </a:extLst>
                    </a:blip>
                    <a:stretch>
                      <a:fillRect/>
                    </a:stretch>
                  </pic:blipFill>
                  <pic:spPr>
                    <a:xfrm>
                      <a:off x="0" y="0"/>
                      <a:ext cx="5270500" cy="7258050"/>
                    </a:xfrm>
                    <a:prstGeom prst="rect">
                      <a:avLst/>
                    </a:prstGeom>
                  </pic:spPr>
                </pic:pic>
              </a:graphicData>
            </a:graphic>
          </wp:inline>
        </w:drawing>
      </w:r>
    </w:p>
    <w:p w14:paraId="352ABD38"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16 Eastern part of the northern section of the main hall in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Cs w:val="22"/>
          <w:lang w:val="en-GB"/>
        </w:rPr>
        <w:instrText>Argišti</w:instrText>
      </w:r>
      <w:r w:rsidRPr="002B4DAC">
        <w:rPr>
          <w:rFonts w:ascii="Times New Roman" w:hAnsi="Times New Roman"/>
          <w:szCs w:val="22"/>
          <w:lang w:val="en-GB"/>
        </w:rPr>
        <w:instrText xml:space="preserve"> I </w:instrText>
      </w:r>
      <w:r>
        <w:rPr>
          <w:rFonts w:ascii="Times New Roman" w:hAnsi="Times New Roman"/>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663FD0">
        <w:rPr>
          <w:rFonts w:ascii="Times New Roman" w:hAnsi="Times New Roman"/>
          <w:iCs/>
          <w:sz w:val="20"/>
          <w:szCs w:val="22"/>
          <w:lang w:val="en-GB"/>
        </w:rPr>
        <w:instrText>Argišti</w:instrText>
      </w:r>
      <w:r w:rsidRPr="002B4DAC">
        <w:rPr>
          <w:rFonts w:ascii="Times New Roman" w:hAnsi="Times New Roman"/>
          <w:sz w:val="20"/>
          <w:szCs w:val="22"/>
          <w:lang w:val="en-GB"/>
        </w:rPr>
        <w:instrText xml:space="preserve"> I"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was cascaded to create steps. This technique was utilized due to the cracks and deformations on the bedrock and this section was possibly covered with stone blocks. </w:t>
      </w:r>
    </w:p>
    <w:p w14:paraId="43A9E23D"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lastRenderedPageBreak/>
        <w:t xml:space="preserve">The continuation of this </w:t>
      </w:r>
      <w:r w:rsidRPr="00CC6A44">
        <w:rPr>
          <w:rFonts w:ascii="Times New Roman" w:eastAsia="Calibri" w:hAnsi="Times New Roman" w:cs="Times New Roman"/>
          <w:lang w:val="en-GB"/>
        </w:rPr>
        <w:t>practice</w:t>
      </w:r>
      <w:r w:rsidRPr="002B4DAC">
        <w:rPr>
          <w:rFonts w:ascii="Times New Roman" w:hAnsi="Times New Roman"/>
          <w:szCs w:val="22"/>
          <w:lang w:val="en-GB"/>
        </w:rPr>
        <w:t xml:space="preserve"> can be tracked in the room lying to the northwest of the main hall. </w:t>
      </w:r>
      <w:r w:rsidRPr="00CC6A44">
        <w:rPr>
          <w:rFonts w:ascii="Times New Roman" w:eastAsia="Calibri" w:hAnsi="Times New Roman" w:cs="Times New Roman"/>
          <w:lang w:val="en-GB"/>
        </w:rPr>
        <w:t>The</w:t>
      </w:r>
      <w:r w:rsidRPr="002B4DAC">
        <w:rPr>
          <w:rFonts w:ascii="Times New Roman" w:hAnsi="Times New Roman"/>
          <w:szCs w:val="22"/>
          <w:lang w:val="en-GB"/>
        </w:rPr>
        <w:t xml:space="preserve"> same intervention was undertaken</w:t>
      </w:r>
      <w:r w:rsidRPr="00CC6A44">
        <w:rPr>
          <w:rFonts w:ascii="Times New Roman" w:eastAsia="Calibri" w:hAnsi="Times New Roman" w:cs="Times New Roman"/>
          <w:lang w:val="en-GB"/>
        </w:rPr>
        <w:t xml:space="preserve"> here</w:t>
      </w:r>
      <w:r w:rsidRPr="002B4DAC">
        <w:rPr>
          <w:rFonts w:ascii="Times New Roman" w:hAnsi="Times New Roman"/>
          <w:szCs w:val="22"/>
          <w:lang w:val="en-GB"/>
        </w:rPr>
        <w:t xml:space="preserve">, most likely to refortify the ceiling. The question here is, at what stage </w:t>
      </w:r>
      <w:r w:rsidRPr="00CC6A44">
        <w:rPr>
          <w:rFonts w:ascii="Times New Roman" w:eastAsia="Calibri" w:hAnsi="Times New Roman" w:cs="Times New Roman"/>
          <w:lang w:val="en-GB"/>
        </w:rPr>
        <w:t xml:space="preserve">was </w:t>
      </w:r>
      <w:r w:rsidRPr="002B4DAC">
        <w:rPr>
          <w:rFonts w:ascii="Times New Roman" w:hAnsi="Times New Roman"/>
          <w:szCs w:val="22"/>
          <w:lang w:val="en-GB"/>
        </w:rPr>
        <w:t>this intervention made</w:t>
      </w:r>
      <w:r w:rsidRPr="00CC6A44">
        <w:rPr>
          <w:rFonts w:ascii="Times New Roman" w:eastAsia="Calibri" w:hAnsi="Times New Roman" w:cs="Times New Roman"/>
          <w:lang w:val="en-GB"/>
        </w:rPr>
        <w:t>?</w:t>
      </w:r>
      <w:r w:rsidRPr="002B4DAC">
        <w:rPr>
          <w:rFonts w:ascii="Times New Roman" w:hAnsi="Times New Roman"/>
          <w:szCs w:val="22"/>
          <w:lang w:val="en-GB"/>
        </w:rPr>
        <w:t xml:space="preserve"> The general opinion is that while the bedrock was possibly deformed during the burial chamber</w:t>
      </w:r>
      <w:r w:rsidRPr="00CC6A44">
        <w:rPr>
          <w:rFonts w:ascii="Times New Roman" w:eastAsia="Calibri" w:hAnsi="Times New Roman" w:cs="Times New Roman"/>
          <w:lang w:val="en-GB"/>
        </w:rPr>
        <w:t xml:space="preserve"> construction</w:t>
      </w:r>
      <w:r w:rsidRPr="002B4DAC">
        <w:rPr>
          <w:rFonts w:ascii="Times New Roman" w:hAnsi="Times New Roman"/>
          <w:szCs w:val="22"/>
          <w:lang w:val="en-GB"/>
        </w:rPr>
        <w:t xml:space="preserve">, the deformed sections were cut, and stone claddings were applied. However, the </w:t>
      </w:r>
      <w:r w:rsidRPr="00CC6A44">
        <w:rPr>
          <w:rFonts w:ascii="Times New Roman" w:eastAsia="Calibri" w:hAnsi="Times New Roman" w:cs="Times New Roman"/>
          <w:lang w:val="en-GB"/>
        </w:rPr>
        <w:t>moldings</w:t>
      </w:r>
      <w:r w:rsidRPr="002B4DAC">
        <w:rPr>
          <w:rFonts w:ascii="Times New Roman" w:hAnsi="Times New Roman"/>
          <w:szCs w:val="22"/>
          <w:lang w:val="en-GB"/>
        </w:rPr>
        <w:t xml:space="preserve"> on which the decorative concave square plaques were placed occurred during the last phase of the construction (Fig. 14, 17). </w:t>
      </w:r>
    </w:p>
    <w:p w14:paraId="67591048"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2D7A6425" wp14:editId="4B60BA08">
            <wp:extent cx="3984648" cy="2504568"/>
            <wp:effectExtent l="0" t="0" r="3175" b="0"/>
            <wp:docPr id="190" name="Resim 190" descr="bina, taş, sarp kayalık, yalıyar,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Resim 190" descr="bina, taş, sarp kayalık, yalıyar, beton içeren bir resim&#10;&#10;Açıklama otomatik olarak oluşturuldu"/>
                    <pic:cNvPicPr/>
                  </pic:nvPicPr>
                  <pic:blipFill>
                    <a:blip r:embed="rId272" cstate="email">
                      <a:extLst>
                        <a:ext uri="{28A0092B-C50C-407E-A947-70E740481C1C}">
                          <a14:useLocalDpi xmlns:a14="http://schemas.microsoft.com/office/drawing/2010/main"/>
                        </a:ext>
                      </a:extLst>
                    </a:blip>
                    <a:stretch>
                      <a:fillRect/>
                    </a:stretch>
                  </pic:blipFill>
                  <pic:spPr>
                    <a:xfrm>
                      <a:off x="0" y="0"/>
                      <a:ext cx="4048612" cy="2544773"/>
                    </a:xfrm>
                    <a:prstGeom prst="rect">
                      <a:avLst/>
                    </a:prstGeom>
                  </pic:spPr>
                </pic:pic>
              </a:graphicData>
            </a:graphic>
          </wp:inline>
        </w:drawing>
      </w:r>
    </w:p>
    <w:p w14:paraId="5ED276FE"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Fig. 17 Concave hollows carved on the eastern section of the northern wall of the main hall in the </w:t>
      </w:r>
      <w:r w:rsidRPr="00CC6A44">
        <w:rPr>
          <w:rFonts w:ascii="Times New Roman" w:eastAsia="Calibri" w:hAnsi="Times New Roman" w:cs="Times New Roman"/>
          <w:lang w:val="en-GB"/>
        </w:rPr>
        <w:t>Argišti</w:t>
      </w:r>
      <w:r>
        <w:rPr>
          <w:rFonts w:ascii="Times New Roman" w:eastAsia="Calibri" w:hAnsi="Times New Roman" w:cs="Times New Roman"/>
          <w:lang w:val="en-GB"/>
        </w:rPr>
        <w:t xml:space="preserve"> </w:t>
      </w:r>
      <w:r w:rsidRPr="00CC6A44">
        <w:rPr>
          <w:rFonts w:ascii="Times New Roman" w:eastAsia="Calibri" w:hAnsi="Times New Roman" w:cs="Times New Roman"/>
          <w:lang w:val="en-GB"/>
        </w:rPr>
        <w:t>I</w:t>
      </w:r>
      <w:r w:rsidRPr="002B4DAC">
        <w:rPr>
          <w:rFonts w:ascii="Times New Roman" w:hAnsi="Times New Roman"/>
          <w:szCs w:val="22"/>
          <w:lang w:val="en-GB"/>
        </w:rPr>
        <w:t xml:space="preserve"> tomb</w:t>
      </w:r>
      <w:r w:rsidRPr="00CC6A44">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i/>
          <w:iCs/>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possibly to place the siqqatu. This indicates a later architectural intervention after the internal arrangement of the tomb was completed.</w:t>
      </w:r>
    </w:p>
    <w:p w14:paraId="4B2BCA23"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58CD8F89" wp14:editId="6108514F">
            <wp:extent cx="4287795" cy="2858358"/>
            <wp:effectExtent l="0" t="0" r="5080" b="0"/>
            <wp:docPr id="191" name="Resim 191" descr="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esim 191" descr="dış mekan, taş içeren bir resim&#10;&#10;Açıklama otomatik olarak oluşturuldu"/>
                    <pic:cNvPicPr/>
                  </pic:nvPicPr>
                  <pic:blipFill>
                    <a:blip r:embed="rId273" cstate="email">
                      <a:extLst>
                        <a:ext uri="{28A0092B-C50C-407E-A947-70E740481C1C}">
                          <a14:useLocalDpi xmlns:a14="http://schemas.microsoft.com/office/drawing/2010/main"/>
                        </a:ext>
                      </a:extLst>
                    </a:blip>
                    <a:stretch>
                      <a:fillRect/>
                    </a:stretch>
                  </pic:blipFill>
                  <pic:spPr>
                    <a:xfrm>
                      <a:off x="0" y="0"/>
                      <a:ext cx="4316168" cy="2877272"/>
                    </a:xfrm>
                    <a:prstGeom prst="rect">
                      <a:avLst/>
                    </a:prstGeom>
                  </pic:spPr>
                </pic:pic>
              </a:graphicData>
            </a:graphic>
          </wp:inline>
        </w:drawing>
      </w:r>
    </w:p>
    <w:p w14:paraId="69F66EB7" w14:textId="3C7DCDE8"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18 Entrance door of the A03 northeastern room of the Argišti I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 xml:space="preserve">Argišti I </w:instrText>
      </w:r>
      <w:r w:rsidR="00193308">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"Argišti I" </w:instrText>
      </w:r>
      <w:r w:rsidRPr="002B4DAC">
        <w:rPr>
          <w:rFonts w:ascii="Times New Roman" w:hAnsi="Times New Roman"/>
          <w:szCs w:val="22"/>
          <w:lang w:val="en-GB"/>
        </w:rPr>
        <w:fldChar w:fldCharType="end"/>
      </w:r>
      <w:r w:rsidRPr="002B4DAC">
        <w:rPr>
          <w:rFonts w:ascii="Times New Roman" w:hAnsi="Times New Roman"/>
          <w:szCs w:val="22"/>
          <w:lang w:val="en-GB"/>
        </w:rPr>
        <w:t>. Its structural aspects indicate a later architectural intervention. This suggests that this room may have been a later addition to the tomb.</w:t>
      </w:r>
    </w:p>
    <w:p w14:paraId="2E023FB1"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lastRenderedPageBreak/>
        <w:t>These applications provide insights into the stratigraphy that can be tracked through the bedrock. After this point, a later intervention was made inside the burial chamber. After the tomb was built</w:t>
      </w:r>
      <w:r w:rsidRPr="00CC6A44">
        <w:rPr>
          <w:rFonts w:ascii="Times New Roman" w:eastAsia="Calibri" w:hAnsi="Times New Roman" w:cs="Times New Roman"/>
          <w:lang w:val="en-GB"/>
        </w:rPr>
        <w:t xml:space="preserve"> entirely</w:t>
      </w:r>
      <w:r w:rsidRPr="002B4DAC">
        <w:rPr>
          <w:rFonts w:ascii="Times New Roman" w:hAnsi="Times New Roman"/>
          <w:szCs w:val="22"/>
          <w:lang w:val="en-GB"/>
        </w:rPr>
        <w:t xml:space="preserve">, cracks and deformations on the bedrock were repaired with stone blocks. However, it is not possible to determine the chronology of this maintenance activity. </w:t>
      </w:r>
      <w:r w:rsidRPr="00CC6A44">
        <w:rPr>
          <w:rFonts w:ascii="Times New Roman" w:eastAsia="Calibri" w:hAnsi="Times New Roman" w:cs="Times New Roman"/>
          <w:lang w:val="en-GB"/>
        </w:rPr>
        <w:t>Another intervention is observed in</w:t>
      </w:r>
      <w:r w:rsidRPr="002B4DAC">
        <w:rPr>
          <w:rFonts w:ascii="Times New Roman" w:hAnsi="Times New Roman"/>
          <w:szCs w:val="22"/>
          <w:lang w:val="en-GB"/>
        </w:rPr>
        <w:t xml:space="preserve"> the area known as the hollow room in the </w:t>
      </w:r>
      <w:r w:rsidRPr="00CC6A44">
        <w:rPr>
          <w:rFonts w:ascii="Times New Roman" w:eastAsia="Calibri" w:hAnsi="Times New Roman" w:cs="Times New Roman"/>
          <w:lang w:val="en-GB"/>
        </w:rPr>
        <w:t>Argišti</w:t>
      </w:r>
      <w:r>
        <w:rPr>
          <w:rFonts w:ascii="Times New Roman" w:eastAsia="Calibri" w:hAnsi="Times New Roman" w:cs="Times New Roman"/>
          <w:lang w:val="en-GB"/>
        </w:rPr>
        <w:t xml:space="preserve"> </w:t>
      </w:r>
      <w:r w:rsidRPr="00CC6A44">
        <w:rPr>
          <w:rFonts w:ascii="Times New Roman" w:eastAsia="Calibri" w:hAnsi="Times New Roman" w:cs="Times New Roman"/>
          <w:lang w:val="en-GB"/>
        </w:rPr>
        <w:t>I</w:t>
      </w:r>
      <w:r w:rsidRPr="002B4DAC">
        <w:rPr>
          <w:rFonts w:ascii="Times New Roman" w:hAnsi="Times New Roman"/>
          <w:szCs w:val="22"/>
          <w:lang w:val="en-GB"/>
        </w:rPr>
        <w:t xml:space="preserve"> tomb</w:t>
      </w:r>
      <w:r>
        <w:rPr>
          <w:rFonts w:ascii="Times New Roman" w:eastAsia="Calibri" w:hAnsi="Times New Roman" w:cs="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 another intervention is observed.</w:t>
      </w:r>
      <w:r w:rsidRPr="002B4DAC">
        <w:rPr>
          <w:rFonts w:ascii="Times New Roman" w:hAnsi="Times New Roman"/>
          <w:szCs w:val="22"/>
          <w:lang w:val="en-GB"/>
        </w:rPr>
        <w:t xml:space="preserve"> The doorway providing entry to this area is </w:t>
      </w:r>
      <w:r w:rsidRPr="00CC6A44">
        <w:rPr>
          <w:rFonts w:ascii="Times New Roman" w:eastAsia="Calibri" w:hAnsi="Times New Roman" w:cs="Times New Roman"/>
          <w:lang w:val="en-GB"/>
        </w:rPr>
        <w:t>low,</w:t>
      </w:r>
      <w:r w:rsidRPr="002B4DAC">
        <w:rPr>
          <w:rFonts w:ascii="Times New Roman" w:hAnsi="Times New Roman"/>
          <w:szCs w:val="22"/>
          <w:lang w:val="en-GB"/>
        </w:rPr>
        <w:t xml:space="preserve"> and in contrast to other maintenance activities inside the burial chamber, there is a lighting application above it. Considering the design of the burial chamber in the front and its niches, at first glance, it can be assumed that the hollow room originally had a niche as well. In our view, this unit was added later to the Argišti I tomb</w:t>
      </w:r>
      <w:r>
        <w:rPr>
          <w:rFonts w:ascii="Times New Roman" w:hAnsi="Times New Roman"/>
          <w:lang w:val="en-GB"/>
        </w:rPr>
        <w:fldChar w:fldCharType="begin"/>
      </w:r>
      <w:r>
        <w:instrText xml:space="preserve"> XE "</w:instrText>
      </w:r>
      <w:r w:rsidRPr="002B4DAC">
        <w:rPr>
          <w:rFonts w:ascii="Times New Roman" w:hAnsi="Times New Roman"/>
          <w:szCs w:val="22"/>
          <w:lang w:val="en-GB"/>
        </w:rPr>
        <w:instrText>Argišti I tomb</w:instrText>
      </w:r>
      <w:r>
        <w:instrText xml:space="preserve">" </w:instrText>
      </w:r>
      <w:r>
        <w:rPr>
          <w:rFonts w:ascii="Times New Roman" w:hAnsi="Times New Roman"/>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 xml:space="preserve"> initially designed to have four chambers. The existing niche was opened to create a door. The doorway here is narrower than other doorways</w:t>
      </w:r>
      <w:r w:rsidRPr="00CC6A44">
        <w:rPr>
          <w:rFonts w:ascii="Times New Roman" w:eastAsia="Calibri" w:hAnsi="Times New Roman" w:cs="Times New Roman"/>
          <w:lang w:val="en-GB"/>
        </w:rPr>
        <w:t>. It</w:t>
      </w:r>
      <w:r w:rsidRPr="002B4DAC">
        <w:rPr>
          <w:rFonts w:ascii="Times New Roman" w:hAnsi="Times New Roman"/>
          <w:szCs w:val="22"/>
          <w:lang w:val="en-GB"/>
        </w:rPr>
        <w:t xml:space="preserve"> has the same width as the niches (75 cm) (Fig. 18). Furthermore, this newly added unit is not aligned with the </w:t>
      </w:r>
      <w:r w:rsidRPr="00CC6A44">
        <w:rPr>
          <w:rFonts w:ascii="Times New Roman" w:eastAsia="Calibri" w:hAnsi="Times New Roman" w:cs="Times New Roman"/>
          <w:lang w:val="en-GB"/>
        </w:rPr>
        <w:t>central</w:t>
      </w:r>
      <w:r w:rsidRPr="002B4DAC">
        <w:rPr>
          <w:rFonts w:ascii="Times New Roman" w:hAnsi="Times New Roman"/>
          <w:szCs w:val="22"/>
          <w:lang w:val="en-GB"/>
        </w:rPr>
        <w:t xml:space="preserve"> axis of the tomb and exhibits a different approach </w:t>
      </w:r>
      <w:r w:rsidRPr="00CC6A44">
        <w:rPr>
          <w:rFonts w:ascii="Times New Roman" w:eastAsia="Calibri" w:hAnsi="Times New Roman" w:cs="Times New Roman"/>
          <w:lang w:val="en-GB"/>
        </w:rPr>
        <w:t>regarding</w:t>
      </w:r>
      <w:r w:rsidRPr="002B4DAC">
        <w:rPr>
          <w:rFonts w:ascii="Times New Roman" w:hAnsi="Times New Roman"/>
          <w:szCs w:val="22"/>
          <w:lang w:val="en-GB"/>
        </w:rPr>
        <w:t xml:space="preserve"> its plan and workmanship.</w:t>
      </w:r>
    </w:p>
    <w:p w14:paraId="275241A5"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17243C09" wp14:editId="641FF42B">
            <wp:extent cx="5169535" cy="2890157"/>
            <wp:effectExtent l="0" t="0" r="0" b="5715"/>
            <wp:docPr id="192" name="Resim 192" descr="jeoloji, formasyon,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Resim 192" descr="jeoloji, formasyon, doğa, dağ içeren bir resim&#10;&#10;Açıklama otomatik olarak oluşturuldu"/>
                    <pic:cNvPicPr/>
                  </pic:nvPicPr>
                  <pic:blipFill rotWithShape="1">
                    <a:blip r:embed="rId274" cstate="email">
                      <a:extLst>
                        <a:ext uri="{28A0092B-C50C-407E-A947-70E740481C1C}">
                          <a14:useLocalDpi xmlns:a14="http://schemas.microsoft.com/office/drawing/2010/main"/>
                        </a:ext>
                      </a:extLst>
                    </a:blip>
                    <a:srcRect/>
                    <a:stretch/>
                  </pic:blipFill>
                  <pic:spPr bwMode="auto">
                    <a:xfrm>
                      <a:off x="0" y="0"/>
                      <a:ext cx="5195333" cy="2904580"/>
                    </a:xfrm>
                    <a:prstGeom prst="rect">
                      <a:avLst/>
                    </a:prstGeom>
                    <a:ln>
                      <a:noFill/>
                    </a:ln>
                    <a:extLst>
                      <a:ext uri="{53640926-AAD7-44D8-BBD7-CCE9431645EC}">
                        <a14:shadowObscured xmlns:a14="http://schemas.microsoft.com/office/drawing/2010/main"/>
                      </a:ext>
                    </a:extLst>
                  </pic:spPr>
                </pic:pic>
              </a:graphicData>
            </a:graphic>
          </wp:inline>
        </w:drawing>
      </w:r>
    </w:p>
    <w:p w14:paraId="19AD1057"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19 Aerial view of the steps leading down to the Argišti I tomb</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iCs/>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2B4DAC">
        <w:rPr>
          <w:rFonts w:ascii="Times New Roman" w:hAnsi="Times New Roman"/>
          <w:szCs w:val="22"/>
          <w:lang w:val="en-GB"/>
        </w:rPr>
        <w:t xml:space="preserve"> and the Small Horhor</w:t>
      </w:r>
      <w:r w:rsidRPr="00CC6A44">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tomb</w:t>
      </w:r>
      <w:r w:rsidRPr="00CC6A44">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"Small Horhor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Their location and the symmetry between the steps and the entrance doors indicate they belong to the same chronological phase; however, their planning and design differ strikingly. This may relate to different tomb types within the citadel that may have belonged to individuals </w:t>
      </w:r>
      <w:r w:rsidRPr="00CC6A44">
        <w:rPr>
          <w:rFonts w:ascii="Times New Roman" w:eastAsia="Calibri" w:hAnsi="Times New Roman" w:cs="Times New Roman"/>
          <w:lang w:val="en-GB"/>
        </w:rPr>
        <w:t>from</w:t>
      </w:r>
      <w:r w:rsidRPr="002B4DAC">
        <w:rPr>
          <w:rFonts w:ascii="Times New Roman" w:hAnsi="Times New Roman"/>
          <w:szCs w:val="22"/>
          <w:lang w:val="en-GB"/>
        </w:rPr>
        <w:t xml:space="preserve"> different socio-economic classes.</w:t>
      </w:r>
    </w:p>
    <w:p w14:paraId="1F589254"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38E6F9BA" wp14:editId="100721D3">
            <wp:extent cx="5733415" cy="4300220"/>
            <wp:effectExtent l="0" t="0" r="0" b="5080"/>
            <wp:docPr id="1113323069" name="Resim 3" descr="taslak, çizim, resim,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23069" name="Resim 3" descr="taslak, çizim, resim, çocukların yaptığı resimler içeren bir resim&#10;&#10;Açıklama otomatik olarak oluşturuldu"/>
                    <pic:cNvPicPr/>
                  </pic:nvPicPr>
                  <pic:blipFill>
                    <a:blip r:embed="rId275" cstate="email">
                      <a:extLst>
                        <a:ext uri="{28A0092B-C50C-407E-A947-70E740481C1C}">
                          <a14:useLocalDpi xmlns:a14="http://schemas.microsoft.com/office/drawing/2010/main"/>
                        </a:ext>
                      </a:extLst>
                    </a:blip>
                    <a:stretch>
                      <a:fillRect/>
                    </a:stretch>
                  </pic:blipFill>
                  <pic:spPr>
                    <a:xfrm>
                      <a:off x="0" y="0"/>
                      <a:ext cx="5733415" cy="4300220"/>
                    </a:xfrm>
                    <a:prstGeom prst="rect">
                      <a:avLst/>
                    </a:prstGeom>
                  </pic:spPr>
                </pic:pic>
              </a:graphicData>
            </a:graphic>
          </wp:inline>
        </w:drawing>
      </w:r>
    </w:p>
    <w:p w14:paraId="23F26740" w14:textId="716609A6"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20 Facade drawing of the Argišti I tomb</w:t>
      </w:r>
      <w:r w:rsidRPr="002B4DAC">
        <w:rPr>
          <w:rFonts w:ascii="Times New Roman" w:hAnsi="Times New Roman"/>
          <w:szCs w:val="22"/>
          <w:lang w:val="en-GB"/>
        </w:rPr>
        <w:fldChar w:fldCharType="begin"/>
      </w:r>
      <w:r w:rsidRPr="002B4DAC">
        <w:rPr>
          <w:rFonts w:ascii="Times New Roman" w:hAnsi="Times New Roman"/>
          <w:szCs w:val="22"/>
          <w:lang w:val="en-GB"/>
        </w:rPr>
        <w:instrText xml:space="preserve"> XE "Argišti I </w:instrText>
      </w:r>
      <w:r>
        <w:rPr>
          <w:rFonts w:ascii="Times New Roman" w:hAnsi="Times New Roman"/>
          <w:lang w:val="en-GB"/>
        </w:rPr>
        <w:instrText>t</w:instrText>
      </w:r>
      <w:r w:rsidRPr="002B4DAC">
        <w:rPr>
          <w:rFonts w:ascii="Times New Roman" w:hAnsi="Times New Roman"/>
          <w:szCs w:val="22"/>
          <w:lang w:val="en-GB"/>
        </w:rPr>
        <w:instrText xml:space="preserve">omb"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w:t>
      </w:r>
      <w:r w:rsidRPr="002B4DAC">
        <w:rPr>
          <w:rFonts w:ascii="Times New Roman" w:hAnsi="Times New Roman"/>
          <w:szCs w:val="22"/>
          <w:lang w:val="en-GB"/>
        </w:rPr>
        <w:fldChar w:fldCharType="begin"/>
      </w:r>
      <w:r w:rsidRPr="002B4DAC">
        <w:rPr>
          <w:rFonts w:ascii="Times New Roman" w:hAnsi="Times New Roman"/>
          <w:szCs w:val="22"/>
          <w:lang w:val="en-GB"/>
        </w:rPr>
        <w:instrText xml:space="preserve"> XE "Argišti I"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and the Small Horhor</w:t>
      </w:r>
      <w:r w:rsidRPr="002B4DAC">
        <w:rPr>
          <w:rFonts w:ascii="Times New Roman" w:hAnsi="Times New Roman"/>
          <w:szCs w:val="22"/>
          <w:lang w:val="en-GB"/>
        </w:rPr>
        <w:fldChar w:fldCharType="begin"/>
      </w:r>
      <w:r w:rsidRPr="002B4DAC">
        <w:rPr>
          <w:rFonts w:ascii="Times New Roman" w:hAnsi="Times New Roman"/>
          <w:szCs w:val="22"/>
          <w:lang w:val="en-GB"/>
        </w:rPr>
        <w:instrText xml:space="preserve"> XE "</w:instrText>
      </w:r>
      <w:r w:rsidRPr="002B4DAC">
        <w:rPr>
          <w:rFonts w:ascii="Times New Roman" w:hAnsi="Times New Roman"/>
          <w:szCs w:val="22"/>
        </w:rPr>
        <w:instrText>Horhor</w:instrText>
      </w:r>
      <w:r w:rsidRPr="002B4DAC">
        <w:rPr>
          <w:rFonts w:ascii="Times New Roman" w:hAnsi="Times New Roman"/>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tombs</w:t>
      </w:r>
      <w:r w:rsidR="00EA6C63">
        <w:rPr>
          <w:rFonts w:ascii="Times New Roman" w:hAnsi="Times New Roman"/>
          <w:szCs w:val="22"/>
          <w:lang w:val="en-GB"/>
        </w:rPr>
        <w:fldChar w:fldCharType="begin"/>
      </w:r>
      <w:r w:rsidR="00EA6C63">
        <w:instrText xml:space="preserve"> XE "</w:instrText>
      </w:r>
      <w:r w:rsidR="00EA6C63" w:rsidRPr="00F94AA5">
        <w:rPr>
          <w:rFonts w:asciiTheme="majorBidi" w:hAnsiTheme="majorBidi" w:cstheme="majorBidi"/>
        </w:rPr>
        <w:instrText>Horhor tombs</w:instrText>
      </w:r>
      <w:r w:rsidR="00EA6C63">
        <w:instrText xml:space="preserve">" </w:instrText>
      </w:r>
      <w:r w:rsidR="00EA6C63">
        <w:rPr>
          <w:rFonts w:ascii="Times New Roman" w:hAnsi="Times New Roman"/>
          <w:szCs w:val="22"/>
          <w:lang w:val="en-GB"/>
        </w:rPr>
        <w:fldChar w:fldCharType="end"/>
      </w:r>
      <w:r w:rsidRPr="002B4DAC">
        <w:rPr>
          <w:rFonts w:ascii="Times New Roman" w:hAnsi="Times New Roman"/>
          <w:szCs w:val="22"/>
          <w:lang w:val="en-GB"/>
        </w:rPr>
        <w:t>.</w:t>
      </w:r>
    </w:p>
    <w:p w14:paraId="256FC7B6" w14:textId="0FCBF90C" w:rsidR="006B23DC" w:rsidRPr="002B4DAC" w:rsidRDefault="006B23DC" w:rsidP="006B23DC">
      <w:pPr>
        <w:spacing w:before="100" w:beforeAutospacing="1" w:after="100" w:afterAutospacing="1"/>
        <w:jc w:val="both"/>
        <w:outlineLvl w:val="2"/>
        <w:rPr>
          <w:rFonts w:ascii="Times New Roman" w:hAnsi="Times New Roman"/>
          <w:b/>
          <w:szCs w:val="22"/>
          <w:lang w:val="en-GB"/>
        </w:rPr>
      </w:pPr>
      <w:bookmarkStart w:id="142" w:name="_Toc132072551"/>
      <w:bookmarkStart w:id="143" w:name="_Toc173231245"/>
      <w:r w:rsidRPr="002B4DAC">
        <w:rPr>
          <w:rFonts w:ascii="Times New Roman" w:hAnsi="Times New Roman"/>
          <w:b/>
          <w:szCs w:val="22"/>
          <w:lang w:val="en-GB"/>
        </w:rPr>
        <w:t>9.3.2. The Small Horhor</w:t>
      </w:r>
      <w:r w:rsidRPr="002B4DAC">
        <w:rPr>
          <w:rFonts w:ascii="Times New Roman" w:hAnsi="Times New Roman"/>
          <w:b/>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rPr>
        <w:instrText>Horhor</w:instrText>
      </w:r>
      <w:r w:rsidRPr="002B4DAC">
        <w:rPr>
          <w:rFonts w:ascii="Times New Roman" w:hAnsi="Times New Roman"/>
          <w:sz w:val="20"/>
          <w:szCs w:val="22"/>
          <w:lang w:val="en-GB"/>
        </w:rPr>
        <w:instrText xml:space="preserve">" </w:instrText>
      </w:r>
      <w:r w:rsidRPr="002B4DAC">
        <w:rPr>
          <w:rFonts w:ascii="Times New Roman" w:hAnsi="Times New Roman"/>
          <w:b/>
          <w:szCs w:val="22"/>
          <w:lang w:val="en-GB"/>
        </w:rPr>
        <w:fldChar w:fldCharType="end"/>
      </w:r>
      <w:r w:rsidRPr="002B4DAC">
        <w:rPr>
          <w:rFonts w:ascii="Times New Roman" w:hAnsi="Times New Roman"/>
          <w:b/>
          <w:szCs w:val="22"/>
          <w:lang w:val="en-GB"/>
        </w:rPr>
        <w:t xml:space="preserve"> </w:t>
      </w:r>
      <w:r w:rsidR="00AA1737">
        <w:rPr>
          <w:rFonts w:ascii="Times New Roman" w:hAnsi="Times New Roman"/>
          <w:b/>
          <w:szCs w:val="22"/>
          <w:lang w:val="en-GB"/>
        </w:rPr>
        <w:t>t</w:t>
      </w:r>
      <w:r w:rsidRPr="002B4DAC">
        <w:rPr>
          <w:rFonts w:ascii="Times New Roman" w:hAnsi="Times New Roman"/>
          <w:b/>
          <w:szCs w:val="22"/>
          <w:lang w:val="en-GB"/>
        </w:rPr>
        <w:t>omb</w:t>
      </w:r>
      <w:bookmarkEnd w:id="142"/>
      <w:r w:rsidRPr="002B4DAC">
        <w:rPr>
          <w:rFonts w:ascii="Times New Roman" w:hAnsi="Times New Roman"/>
          <w:b/>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b/>
          <w:szCs w:val="22"/>
          <w:lang w:val="en-GB"/>
        </w:rPr>
        <w:instrText xml:space="preserve">Small Horhor </w:instrText>
      </w:r>
      <w:r w:rsidR="00AA1737">
        <w:rPr>
          <w:rFonts w:ascii="Times New Roman" w:hAnsi="Times New Roman"/>
          <w:b/>
          <w:szCs w:val="22"/>
          <w:lang w:val="en-GB"/>
        </w:rPr>
        <w:instrText>t</w:instrText>
      </w:r>
      <w:r w:rsidRPr="002B4DAC">
        <w:rPr>
          <w:rFonts w:ascii="Times New Roman" w:hAnsi="Times New Roman"/>
          <w:b/>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b/>
          <w:szCs w:val="22"/>
          <w:lang w:val="en-GB"/>
        </w:rPr>
        <w:fldChar w:fldCharType="end"/>
      </w:r>
      <w:r w:rsidRPr="002B4DAC">
        <w:rPr>
          <w:rFonts w:ascii="Times New Roman" w:hAnsi="Times New Roman"/>
          <w:b/>
          <w:szCs w:val="22"/>
          <w:lang w:val="en-GB"/>
        </w:rPr>
        <w:t>: AL20</w:t>
      </w:r>
      <w:bookmarkEnd w:id="143"/>
    </w:p>
    <w:p w14:paraId="4C4D5334" w14:textId="654C6F30"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Several </w:t>
      </w:r>
      <w:r w:rsidRPr="00372E83">
        <w:rPr>
          <w:rFonts w:ascii="Times New Roman" w:eastAsia="Calibri" w:hAnsi="Times New Roman" w:cs="Times New Roman"/>
          <w:lang w:val="en-GB"/>
        </w:rPr>
        <w:t>meters</w:t>
      </w:r>
      <w:r w:rsidRPr="002B4DAC">
        <w:rPr>
          <w:rFonts w:ascii="Times New Roman" w:hAnsi="Times New Roman"/>
          <w:szCs w:val="22"/>
          <w:lang w:val="en-GB"/>
        </w:rPr>
        <w:t xml:space="preserve"> to the south of the steps leading to the Argišti I tomb</w:t>
      </w:r>
      <w:r>
        <w:rPr>
          <w:rFonts w:ascii="Times New Roman" w:hAnsi="Times New Roman"/>
          <w:lang w:val="en-GB"/>
        </w:rPr>
        <w:fldChar w:fldCharType="begin"/>
      </w:r>
      <w:r>
        <w:instrText xml:space="preserve"> XE "</w:instrText>
      </w:r>
      <w:r w:rsidRPr="002B4DAC">
        <w:rPr>
          <w:rFonts w:ascii="Times New Roman" w:hAnsi="Times New Roman"/>
          <w:szCs w:val="22"/>
          <w:lang w:val="en-GB"/>
        </w:rPr>
        <w:instrText>Argišti I tomb</w:instrText>
      </w:r>
      <w:r>
        <w:instrText xml:space="preserve">" </w:instrText>
      </w:r>
      <w:r>
        <w:rPr>
          <w:rFonts w:ascii="Times New Roman" w:hAnsi="Times New Roman"/>
          <w:lang w:val="en-GB"/>
        </w:rPr>
        <w:fldChar w:fldCharType="end"/>
      </w:r>
      <w:r w:rsidRPr="00372E83">
        <w:rPr>
          <w:rFonts w:ascii="Times New Roman" w:eastAsia="Calibri" w:hAnsi="Times New Roman" w:cs="Times New Roman"/>
          <w:lang w:val="en-GB"/>
        </w:rPr>
        <w:t>,</w:t>
      </w:r>
      <w:r w:rsidRPr="00F03A26">
        <w:rPr>
          <w:rFonts w:asciiTheme="majorBidi" w:hAnsiTheme="majorBidi" w:cstheme="majorBidi"/>
          <w:iCs/>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located </w:t>
      </w:r>
      <w:r w:rsidRPr="00372E83">
        <w:rPr>
          <w:rFonts w:ascii="Times New Roman" w:eastAsia="Calibri" w:hAnsi="Times New Roman" w:cs="Times New Roman"/>
          <w:lang w:val="en-GB"/>
        </w:rPr>
        <w:t>on</w:t>
      </w:r>
      <w:r w:rsidRPr="002B4DAC">
        <w:rPr>
          <w:rFonts w:ascii="Times New Roman" w:hAnsi="Times New Roman"/>
          <w:szCs w:val="22"/>
          <w:lang w:val="en-GB"/>
        </w:rPr>
        <w:t xml:space="preserve"> the same axis, is another stairway oriented towards a second burial chamber (Piotrovsky, 1966: 304, Fig. 59) (Fig. 5, Fig. 19-20). The entrance of this tomb, named the Small Horhor</w:t>
      </w:r>
      <w:r w:rsidRPr="00372E83">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tomb</w:t>
      </w:r>
      <w:r w:rsidRPr="00372E83">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"Small Horhor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faces south as well. Its doorway measures approximately 1 m in width</w:t>
      </w:r>
      <w:r w:rsidRPr="00372E83">
        <w:rPr>
          <w:rFonts w:ascii="Times New Roman" w:eastAsia="Calibri" w:hAnsi="Times New Roman" w:cs="Times New Roman"/>
          <w:lang w:val="en-GB"/>
        </w:rPr>
        <w:t xml:space="preserve"> and</w:t>
      </w:r>
      <w:r w:rsidRPr="002B4DAC">
        <w:rPr>
          <w:rFonts w:ascii="Times New Roman" w:hAnsi="Times New Roman"/>
          <w:szCs w:val="22"/>
          <w:lang w:val="en-GB"/>
        </w:rPr>
        <w:t xml:space="preserve"> 1.60 m in height and depth. </w:t>
      </w:r>
      <w:r w:rsidRPr="00372E83">
        <w:rPr>
          <w:rFonts w:ascii="Times New Roman" w:eastAsia="Calibri" w:hAnsi="Times New Roman" w:cs="Times New Roman"/>
          <w:lang w:val="en-GB"/>
        </w:rPr>
        <w:t>The location</w:t>
      </w:r>
      <w:r w:rsidRPr="002B4DAC">
        <w:rPr>
          <w:rFonts w:ascii="Times New Roman" w:hAnsi="Times New Roman"/>
          <w:szCs w:val="22"/>
          <w:lang w:val="en-GB"/>
        </w:rPr>
        <w:t xml:space="preserve"> of the burial chamber and the steps descending downwards </w:t>
      </w:r>
      <w:r w:rsidRPr="00372E83">
        <w:rPr>
          <w:rFonts w:ascii="Times New Roman" w:eastAsia="Calibri" w:hAnsi="Times New Roman" w:cs="Times New Roman"/>
          <w:lang w:val="en-GB"/>
        </w:rPr>
        <w:t>indicate</w:t>
      </w:r>
      <w:r w:rsidRPr="002B4DAC">
        <w:rPr>
          <w:rFonts w:ascii="Times New Roman" w:hAnsi="Times New Roman"/>
          <w:szCs w:val="22"/>
          <w:lang w:val="en-GB"/>
        </w:rPr>
        <w:t xml:space="preserve"> that this tomb was built later than the Argišti I tomb</w:t>
      </w:r>
      <w:r w:rsidRPr="00372E83">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00F60AA2">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However, </w:t>
      </w:r>
      <w:r w:rsidRPr="00372E83">
        <w:rPr>
          <w:rFonts w:ascii="Times New Roman" w:eastAsia="Calibri" w:hAnsi="Times New Roman" w:cs="Times New Roman"/>
          <w:lang w:val="en-GB"/>
        </w:rPr>
        <w:t>using</w:t>
      </w:r>
      <w:r w:rsidRPr="002B4DAC">
        <w:rPr>
          <w:rFonts w:ascii="Times New Roman" w:hAnsi="Times New Roman"/>
          <w:szCs w:val="22"/>
          <w:lang w:val="en-GB"/>
        </w:rPr>
        <w:t xml:space="preserve"> a stairway at the entrance of the burial chambers is a characteristic of the Urartian</w:t>
      </w:r>
      <w:r w:rsidRPr="00372E83">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funerary tradition.</w:t>
      </w:r>
    </w:p>
    <w:p w14:paraId="4D7DD3AC"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The rectangular tomb, located in </w:t>
      </w:r>
      <w:r w:rsidRPr="00372E83">
        <w:rPr>
          <w:rFonts w:ascii="Times New Roman" w:eastAsia="Calibri" w:hAnsi="Times New Roman" w:cs="Times New Roman"/>
          <w:lang w:val="en-GB"/>
        </w:rPr>
        <w:t xml:space="preserve">an </w:t>
      </w:r>
      <w:r w:rsidRPr="002B4DAC">
        <w:rPr>
          <w:rFonts w:ascii="Times New Roman" w:hAnsi="Times New Roman"/>
          <w:szCs w:val="22"/>
          <w:lang w:val="en-GB"/>
        </w:rPr>
        <w:t>east-west orientation</w:t>
      </w:r>
      <w:r w:rsidRPr="00372E83">
        <w:rPr>
          <w:rFonts w:ascii="Times New Roman" w:eastAsia="Calibri" w:hAnsi="Times New Roman" w:cs="Times New Roman"/>
          <w:lang w:val="en-GB"/>
        </w:rPr>
        <w:t>,</w:t>
      </w:r>
      <w:r w:rsidRPr="002B4DAC">
        <w:rPr>
          <w:rFonts w:ascii="Times New Roman" w:hAnsi="Times New Roman"/>
          <w:szCs w:val="22"/>
          <w:lang w:val="en-GB"/>
        </w:rPr>
        <w:t xml:space="preserve"> measures 12.67 m in length and approximately 3 m in depth (Fig. 21). Its flat ceiling measures 1.98 m in height. </w:t>
      </w:r>
      <w:r w:rsidRPr="00372E83">
        <w:rPr>
          <w:rFonts w:ascii="Times New Roman" w:eastAsia="Calibri" w:hAnsi="Times New Roman" w:cs="Times New Roman"/>
          <w:lang w:val="en-GB"/>
        </w:rPr>
        <w:t>There are four niches on</w:t>
      </w:r>
      <w:r w:rsidRPr="002B4DAC">
        <w:rPr>
          <w:rFonts w:ascii="Times New Roman" w:hAnsi="Times New Roman"/>
          <w:szCs w:val="22"/>
          <w:lang w:val="en-GB"/>
        </w:rPr>
        <w:t xml:space="preserve"> the northern wall of the burial chamber, 20 cm above the floor level and </w:t>
      </w:r>
      <w:r w:rsidRPr="00372E83">
        <w:rPr>
          <w:rFonts w:ascii="Times New Roman" w:eastAsia="Calibri" w:hAnsi="Times New Roman" w:cs="Times New Roman"/>
          <w:lang w:val="en-GB"/>
        </w:rPr>
        <w:t>at</w:t>
      </w:r>
      <w:r w:rsidRPr="002B4DAC">
        <w:rPr>
          <w:rFonts w:ascii="Times New Roman" w:hAnsi="Times New Roman"/>
          <w:szCs w:val="22"/>
          <w:lang w:val="en-GB"/>
        </w:rPr>
        <w:t xml:space="preserve"> 1.75 m </w:t>
      </w:r>
      <w:r w:rsidRPr="00372E83">
        <w:rPr>
          <w:rFonts w:ascii="Times New Roman" w:eastAsia="Calibri" w:hAnsi="Times New Roman" w:cs="Times New Roman"/>
          <w:lang w:val="en-GB"/>
        </w:rPr>
        <w:t xml:space="preserve">in </w:t>
      </w:r>
      <w:r w:rsidRPr="002B4DAC">
        <w:rPr>
          <w:rFonts w:ascii="Times New Roman" w:hAnsi="Times New Roman"/>
          <w:szCs w:val="22"/>
          <w:lang w:val="en-GB"/>
        </w:rPr>
        <w:t>height</w:t>
      </w:r>
      <w:r w:rsidRPr="00372E83">
        <w:rPr>
          <w:rFonts w:ascii="Times New Roman" w:eastAsia="Calibri" w:hAnsi="Times New Roman" w:cs="Times New Roman"/>
          <w:lang w:val="en-GB"/>
        </w:rPr>
        <w:t>.</w:t>
      </w:r>
      <w:r w:rsidRPr="002B4DAC">
        <w:rPr>
          <w:rFonts w:ascii="Times New Roman" w:hAnsi="Times New Roman"/>
          <w:szCs w:val="22"/>
          <w:lang w:val="en-GB"/>
        </w:rPr>
        <w:t xml:space="preserve"> The niche in the </w:t>
      </w:r>
      <w:r w:rsidRPr="00372E83">
        <w:rPr>
          <w:rFonts w:ascii="Times New Roman" w:eastAsia="Calibri" w:hAnsi="Times New Roman" w:cs="Times New Roman"/>
          <w:lang w:val="en-GB"/>
        </w:rPr>
        <w:t xml:space="preserve">wall's </w:t>
      </w:r>
      <w:r w:rsidRPr="002B4DAC">
        <w:rPr>
          <w:rFonts w:ascii="Times New Roman" w:hAnsi="Times New Roman"/>
          <w:szCs w:val="22"/>
          <w:lang w:val="en-GB"/>
        </w:rPr>
        <w:t>easternmost part is smaller than the others. The width of the rest of the three niches ranges between 1.95-2.05 m, while their depth range between 1.87-2.0 m. Their dimensions suggest that each niche might have been used also as a burial bed. The plan of the tomb resembles the Persian</w:t>
      </w:r>
      <w:r w:rsidRPr="00372E83">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"Persian"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royal tombs in Naqsh-i Rustam</w:t>
      </w:r>
      <w:r w:rsidRPr="00372E83">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"Naqsh-i Rustam"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in Persepolis</w:t>
      </w:r>
      <w:r w:rsidRPr="00372E83">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Persepolis</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However, the steps carved into the bedrock, leading the way into the entrance of the burial chamber, and the square niches inside</w:t>
      </w:r>
      <w:r w:rsidRPr="00372E83">
        <w:rPr>
          <w:rFonts w:ascii="Times New Roman" w:eastAsia="Calibri" w:hAnsi="Times New Roman" w:cs="Times New Roman"/>
          <w:lang w:val="en-GB"/>
        </w:rPr>
        <w:t xml:space="preserve"> strengthen</w:t>
      </w:r>
      <w:r w:rsidRPr="002B4DAC">
        <w:rPr>
          <w:rFonts w:ascii="Times New Roman" w:hAnsi="Times New Roman"/>
          <w:szCs w:val="22"/>
          <w:lang w:val="en-GB"/>
        </w:rPr>
        <w:t xml:space="preserve"> the Urartian</w:t>
      </w:r>
      <w:r w:rsidRPr="00372E83">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identity of this monument. Although the planning of this single-chambered tomb adheres closely to the tombs known from later periods, the typical grave type of a niche with an arch above, known as the arcosolium, does not apply to this tomb.</w:t>
      </w:r>
    </w:p>
    <w:p w14:paraId="6F2E48E5"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7CA9598A" wp14:editId="07DD04B0">
            <wp:extent cx="5756910" cy="4655185"/>
            <wp:effectExtent l="0" t="0" r="0" b="5715"/>
            <wp:docPr id="1471615255" name="Resim 9" descr="metin, diyagram, pla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15255" name="Resim 9" descr="metin, diyagram, plan, ekran görüntüsü içeren bir resim&#10;&#10;Açıklama otomatik olarak oluşturuldu"/>
                    <pic:cNvPicPr/>
                  </pic:nvPicPr>
                  <pic:blipFill>
                    <a:blip r:embed="rId276" cstate="email">
                      <a:extLst>
                        <a:ext uri="{28A0092B-C50C-407E-A947-70E740481C1C}">
                          <a14:useLocalDpi xmlns:a14="http://schemas.microsoft.com/office/drawing/2010/main"/>
                        </a:ext>
                      </a:extLst>
                    </a:blip>
                    <a:stretch>
                      <a:fillRect/>
                    </a:stretch>
                  </pic:blipFill>
                  <pic:spPr>
                    <a:xfrm>
                      <a:off x="0" y="0"/>
                      <a:ext cx="5756910" cy="4655185"/>
                    </a:xfrm>
                    <a:prstGeom prst="rect">
                      <a:avLst/>
                    </a:prstGeom>
                  </pic:spPr>
                </pic:pic>
              </a:graphicData>
            </a:graphic>
          </wp:inline>
        </w:drawing>
      </w:r>
    </w:p>
    <w:p w14:paraId="5DAF6A1B" w14:textId="5061AA5C"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21 Plan and section drawings of the Small Horhor</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rPr>
        <w:instrText>Horhor</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 xml:space="preserve">Small Horhor </w:instrText>
      </w:r>
      <w:r w:rsidR="00CE5397">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w:t>
      </w:r>
    </w:p>
    <w:p w14:paraId="2D8683D2" w14:textId="77777777" w:rsidR="006B23DC" w:rsidRPr="002B4DAC" w:rsidRDefault="006B23DC" w:rsidP="006B23DC">
      <w:pPr>
        <w:spacing w:before="100" w:beforeAutospacing="1" w:after="100" w:afterAutospacing="1"/>
        <w:jc w:val="both"/>
        <w:outlineLvl w:val="2"/>
        <w:rPr>
          <w:rFonts w:ascii="Times New Roman" w:hAnsi="Times New Roman"/>
          <w:b/>
          <w:szCs w:val="22"/>
          <w:lang w:val="en-GB"/>
        </w:rPr>
      </w:pPr>
      <w:bookmarkStart w:id="144" w:name="_Toc132072552"/>
      <w:bookmarkStart w:id="145" w:name="_Toc173231246"/>
      <w:r w:rsidRPr="002B4DAC">
        <w:rPr>
          <w:rFonts w:ascii="Times New Roman" w:hAnsi="Times New Roman"/>
          <w:b/>
          <w:szCs w:val="22"/>
          <w:lang w:val="en-GB"/>
        </w:rPr>
        <w:t>9.3.3. Tombs around the Great Platform</w:t>
      </w:r>
      <w:bookmarkEnd w:id="144"/>
      <w:bookmarkEnd w:id="145"/>
      <w:r w:rsidRPr="002B4DAC">
        <w:rPr>
          <w:rFonts w:ascii="Times New Roman" w:hAnsi="Times New Roman"/>
          <w:b/>
          <w:szCs w:val="22"/>
          <w:lang w:val="en-GB"/>
        </w:rPr>
        <w:fldChar w:fldCharType="begin"/>
      </w:r>
      <w:r w:rsidRPr="002B4DAC">
        <w:rPr>
          <w:rFonts w:ascii="Times New Roman" w:hAnsi="Times New Roman"/>
          <w:b/>
          <w:szCs w:val="22"/>
          <w:lang w:val="en-GB"/>
        </w:rPr>
        <w:instrText xml:space="preserve"> XE "Great Platform" </w:instrText>
      </w:r>
      <w:r w:rsidRPr="002B4DAC">
        <w:rPr>
          <w:rFonts w:ascii="Times New Roman" w:hAnsi="Times New Roman"/>
          <w:b/>
          <w:szCs w:val="22"/>
          <w:lang w:val="en-GB"/>
        </w:rPr>
        <w:fldChar w:fldCharType="end"/>
      </w:r>
    </w:p>
    <w:p w14:paraId="1C7BEC5A" w14:textId="1A78F7B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The Great </w:t>
      </w:r>
      <w:r w:rsidRPr="00372E83">
        <w:rPr>
          <w:rFonts w:ascii="Times New Roman" w:eastAsia="Calibri" w:hAnsi="Times New Roman" w:cs="Times New Roman"/>
          <w:lang w:val="en-GB"/>
        </w:rPr>
        <w:t>Platform</w:t>
      </w:r>
      <w:r w:rsidRPr="002B4DAC">
        <w:rPr>
          <w:rFonts w:ascii="Times New Roman" w:hAnsi="Times New Roman"/>
          <w:szCs w:val="22"/>
          <w:lang w:val="en-GB"/>
        </w:rPr>
        <w:t xml:space="preserve"> in Van Fortress is rectangular </w:t>
      </w:r>
      <w:r w:rsidRPr="00372E83">
        <w:rPr>
          <w:rFonts w:ascii="Times New Roman" w:eastAsia="Calibri" w:hAnsi="Times New Roman" w:cs="Times New Roman"/>
          <w:lang w:val="en-GB"/>
        </w:rPr>
        <w:t xml:space="preserve">and measures approximately 38.00 x 17.00 m </w:t>
      </w:r>
      <w:r w:rsidRPr="002B4DAC">
        <w:rPr>
          <w:rFonts w:ascii="Times New Roman" w:hAnsi="Times New Roman"/>
          <w:szCs w:val="22"/>
          <w:lang w:val="en-GB"/>
        </w:rPr>
        <w:t>in a northwest</w:t>
      </w:r>
      <w:r w:rsidRPr="00372E83">
        <w:rPr>
          <w:rFonts w:ascii="Times New Roman" w:eastAsia="Calibri" w:hAnsi="Times New Roman" w:cs="Times New Roman"/>
          <w:lang w:val="en-GB"/>
        </w:rPr>
        <w:t>-</w:t>
      </w:r>
      <w:r w:rsidRPr="002B4DAC">
        <w:rPr>
          <w:rFonts w:ascii="Times New Roman" w:hAnsi="Times New Roman"/>
          <w:szCs w:val="22"/>
          <w:lang w:val="en-GB"/>
        </w:rPr>
        <w:t>to</w:t>
      </w:r>
      <w:r w:rsidRPr="00372E83">
        <w:rPr>
          <w:rFonts w:ascii="Times New Roman" w:eastAsia="Calibri" w:hAnsi="Times New Roman" w:cs="Times New Roman"/>
          <w:lang w:val="en-GB"/>
        </w:rPr>
        <w:t>-</w:t>
      </w:r>
      <w:r w:rsidRPr="002B4DAC">
        <w:rPr>
          <w:rFonts w:ascii="Times New Roman" w:hAnsi="Times New Roman"/>
          <w:szCs w:val="22"/>
          <w:lang w:val="en-GB"/>
        </w:rPr>
        <w:t xml:space="preserve">southeast orientation </w:t>
      </w:r>
      <w:r w:rsidRPr="00372E83">
        <w:rPr>
          <w:rFonts w:ascii="Times New Roman" w:eastAsia="Calibri" w:hAnsi="Times New Roman" w:cs="Times New Roman"/>
          <w:lang w:val="en-GB"/>
        </w:rPr>
        <w:t xml:space="preserve">(see </w:t>
      </w:r>
      <w:r w:rsidRPr="002B4DAC">
        <w:rPr>
          <w:rFonts w:ascii="Times New Roman" w:hAnsi="Times New Roman"/>
          <w:szCs w:val="22"/>
          <w:lang w:val="en-GB"/>
        </w:rPr>
        <w:t xml:space="preserve">Fig. 22-23). </w:t>
      </w:r>
      <w:r w:rsidRPr="00372E83">
        <w:rPr>
          <w:rFonts w:ascii="Times New Roman" w:eastAsia="Calibri" w:hAnsi="Times New Roman" w:cs="Times New Roman"/>
          <w:lang w:val="en-GB"/>
        </w:rPr>
        <w:t>It is located</w:t>
      </w:r>
      <w:r w:rsidRPr="002B4DAC">
        <w:rPr>
          <w:rFonts w:ascii="Times New Roman" w:hAnsi="Times New Roman"/>
          <w:szCs w:val="22"/>
          <w:lang w:val="en-GB"/>
        </w:rPr>
        <w:t xml:space="preserve"> to the east of the İç Kale</w:t>
      </w:r>
      <w:r w:rsidRPr="00372E83">
        <w:rPr>
          <w:rFonts w:ascii="Times New Roman" w:eastAsia="Calibri" w:hAnsi="Times New Roman" w:cs="Times New Roman"/>
          <w:lang w:val="en-GB"/>
        </w:rPr>
        <w:t xml:space="preserve">, </w:t>
      </w:r>
      <w:r w:rsidRPr="002B4DAC">
        <w:rPr>
          <w:rFonts w:ascii="Times New Roman" w:hAnsi="Times New Roman"/>
          <w:szCs w:val="22"/>
          <w:lang w:val="en-GB"/>
        </w:rPr>
        <w:t xml:space="preserve">about 34 m below the İç Kale walls, </w:t>
      </w:r>
      <w:r w:rsidRPr="00372E83">
        <w:rPr>
          <w:rFonts w:ascii="Times New Roman" w:eastAsia="Calibri" w:hAnsi="Times New Roman" w:cs="Times New Roman"/>
          <w:lang w:val="en-GB"/>
        </w:rPr>
        <w:t>and is</w:t>
      </w:r>
      <w:r w:rsidRPr="002B4DAC">
        <w:rPr>
          <w:rFonts w:ascii="Times New Roman" w:hAnsi="Times New Roman"/>
          <w:szCs w:val="22"/>
          <w:lang w:val="en-GB"/>
        </w:rPr>
        <w:t xml:space="preserve"> an </w:t>
      </w:r>
      <w:r w:rsidRPr="00372E83">
        <w:rPr>
          <w:rFonts w:ascii="Times New Roman" w:eastAsia="Calibri" w:hAnsi="Times New Roman" w:cs="Times New Roman"/>
          <w:lang w:val="en-GB"/>
        </w:rPr>
        <w:t xml:space="preserve">essential area </w:t>
      </w:r>
      <w:r w:rsidRPr="002B4DAC">
        <w:rPr>
          <w:rFonts w:ascii="Times New Roman" w:hAnsi="Times New Roman"/>
          <w:szCs w:val="22"/>
          <w:lang w:val="en-GB"/>
        </w:rPr>
        <w:t>for chronological studies</w:t>
      </w:r>
      <w:r w:rsidRPr="00372E83">
        <w:rPr>
          <w:rFonts w:ascii="Times New Roman" w:eastAsia="Calibri" w:hAnsi="Times New Roman" w:cs="Times New Roman"/>
          <w:lang w:val="en-GB"/>
        </w:rPr>
        <w:t xml:space="preserve"> of Van Fortress. Adjacent to</w:t>
      </w:r>
      <w:r w:rsidRPr="002B4DAC">
        <w:rPr>
          <w:rFonts w:ascii="Times New Roman" w:hAnsi="Times New Roman"/>
          <w:szCs w:val="22"/>
          <w:lang w:val="en-GB"/>
        </w:rPr>
        <w:t xml:space="preserve"> the area</w:t>
      </w:r>
      <w:r w:rsidRPr="00372E83">
        <w:rPr>
          <w:rFonts w:ascii="Times New Roman" w:eastAsia="Calibri" w:hAnsi="Times New Roman" w:cs="Times New Roman"/>
          <w:lang w:val="en-GB"/>
        </w:rPr>
        <w:t>,</w:t>
      </w:r>
      <w:r w:rsidRPr="002B4DAC">
        <w:rPr>
          <w:rFonts w:ascii="Times New Roman" w:hAnsi="Times New Roman"/>
          <w:szCs w:val="22"/>
          <w:lang w:val="en-GB"/>
        </w:rPr>
        <w:t xml:space="preserve">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sidRPr="00372E83">
        <w:rPr>
          <w:rFonts w:ascii="Times New Roman" w:eastAsia="Calibri" w:hAnsi="Times New Roman" w:cs="Times New Roman"/>
          <w:lang w:val="en-GB"/>
        </w:rPr>
        <w:t xml:space="preserve"> is northeast, while</w:t>
      </w:r>
      <w:r w:rsidRPr="00F03A26">
        <w:rPr>
          <w:rFonts w:asciiTheme="majorBidi" w:hAnsiTheme="majorBidi" w:cstheme="majorBidi"/>
          <w:lang w:val="en-GB"/>
        </w:rPr>
        <w:t>, and to its northwest,</w:t>
      </w:r>
      <w:r w:rsidRPr="002B4DAC">
        <w:rPr>
          <w:rFonts w:ascii="Times New Roman" w:hAnsi="Times New Roman"/>
          <w:szCs w:val="22"/>
          <w:lang w:val="en-GB"/>
        </w:rPr>
        <w:t xml:space="preserve"> the İç Kale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2B4DAC">
        <w:rPr>
          <w:rFonts w:ascii="Times New Roman" w:hAnsi="Times New Roman"/>
          <w:szCs w:val="22"/>
          <w:lang w:val="en-GB"/>
        </w:rPr>
        <w:t xml:space="preserve"> tomb</w:t>
      </w:r>
      <w:r>
        <w:rPr>
          <w:rFonts w:ascii="Times New Roman" w:hAnsi="Times New Roman"/>
          <w:szCs w:val="22"/>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szCs w:val="22"/>
          <w:lang w:val="en-GB"/>
        </w:rPr>
        <w:fldChar w:fldCharType="end"/>
      </w:r>
      <w:r w:rsidRPr="00372E83">
        <w:rPr>
          <w:rFonts w:ascii="Times New Roman" w:eastAsia="Calibri" w:hAnsi="Times New Roman" w:cs="Times New Roman"/>
          <w:lang w:val="en-GB"/>
        </w:rPr>
        <w:t xml:space="preserve"> is northwest (see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00F60AA2">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lies (</w:t>
      </w:r>
      <w:r w:rsidRPr="002B4DAC">
        <w:rPr>
          <w:rFonts w:ascii="Times New Roman" w:hAnsi="Times New Roman"/>
          <w:szCs w:val="22"/>
          <w:lang w:val="en-GB"/>
        </w:rPr>
        <w:t xml:space="preserve">Fig. 24-25). </w:t>
      </w:r>
      <w:r w:rsidRPr="00372E83">
        <w:rPr>
          <w:rFonts w:ascii="Times New Roman" w:eastAsia="Calibri" w:hAnsi="Times New Roman" w:cs="Times New Roman"/>
          <w:lang w:val="en-GB"/>
        </w:rPr>
        <w:t>A</w:t>
      </w:r>
      <w:r w:rsidRPr="002B4DAC">
        <w:rPr>
          <w:rFonts w:ascii="Times New Roman" w:hAnsi="Times New Roman"/>
          <w:szCs w:val="22"/>
          <w:lang w:val="en-GB"/>
        </w:rPr>
        <w:t xml:space="preserve"> small burial chamber is </w:t>
      </w:r>
      <w:r w:rsidRPr="00372E83">
        <w:rPr>
          <w:rFonts w:ascii="Times New Roman" w:eastAsia="Calibri" w:hAnsi="Times New Roman" w:cs="Times New Roman"/>
          <w:lang w:val="en-GB"/>
        </w:rPr>
        <w:t xml:space="preserve">also </w:t>
      </w:r>
      <w:r w:rsidRPr="002B4DAC">
        <w:rPr>
          <w:rFonts w:ascii="Times New Roman" w:hAnsi="Times New Roman"/>
          <w:szCs w:val="22"/>
          <w:lang w:val="en-GB"/>
        </w:rPr>
        <w:t xml:space="preserve">located under the rock platform to </w:t>
      </w:r>
      <w:r w:rsidRPr="00372E83">
        <w:rPr>
          <w:rFonts w:ascii="Times New Roman" w:eastAsia="Calibri" w:hAnsi="Times New Roman" w:cs="Times New Roman"/>
          <w:lang w:val="en-GB"/>
        </w:rPr>
        <w:t>the</w:t>
      </w:r>
      <w:r w:rsidRPr="002B4DAC">
        <w:rPr>
          <w:rFonts w:ascii="Times New Roman" w:hAnsi="Times New Roman"/>
          <w:szCs w:val="22"/>
          <w:lang w:val="en-GB"/>
        </w:rPr>
        <w:t xml:space="preserve"> southwest. </w:t>
      </w:r>
    </w:p>
    <w:p w14:paraId="59270319"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anchor distT="0" distB="0" distL="114300" distR="114300" simplePos="0" relativeHeight="251920384" behindDoc="0" locked="0" layoutInCell="1" allowOverlap="1" wp14:anchorId="450989A9" wp14:editId="19F2FB4D">
            <wp:simplePos x="0" y="0"/>
            <wp:positionH relativeFrom="margin">
              <wp:posOffset>442595</wp:posOffset>
            </wp:positionH>
            <wp:positionV relativeFrom="margin">
              <wp:posOffset>-80645</wp:posOffset>
            </wp:positionV>
            <wp:extent cx="4772025" cy="3562985"/>
            <wp:effectExtent l="0" t="0" r="9525" b="0"/>
            <wp:wrapTopAndBottom/>
            <wp:docPr id="194" name="Resim 194" descr="dış mekan, kaya,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dış mekan, kaya, doğa, dağ içeren bir resim&#10;&#10;Açıklama otomatik olarak oluşturuldu"/>
                    <pic:cNvPicPr/>
                  </pic:nvPicPr>
                  <pic:blipFill rotWithShape="1">
                    <a:blip r:embed="rId277" cstate="email">
                      <a:extLst>
                        <a:ext uri="{28A0092B-C50C-407E-A947-70E740481C1C}">
                          <a14:useLocalDpi xmlns:a14="http://schemas.microsoft.com/office/drawing/2010/main"/>
                        </a:ext>
                      </a:extLst>
                    </a:blip>
                    <a:srcRect/>
                    <a:stretch/>
                  </pic:blipFill>
                  <pic:spPr bwMode="auto">
                    <a:xfrm>
                      <a:off x="0" y="0"/>
                      <a:ext cx="4772025" cy="3562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4DAC">
        <w:rPr>
          <w:rFonts w:ascii="Times New Roman" w:hAnsi="Times New Roman"/>
          <w:szCs w:val="22"/>
          <w:lang w:val="en-GB"/>
        </w:rPr>
        <w:t>Fig. 22 Aerial view of the area named the Great Platform</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Great Platform</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and the tombs around it.</w:t>
      </w:r>
    </w:p>
    <w:p w14:paraId="48AEBE15"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199F89D3" wp14:editId="187716C2">
            <wp:extent cx="4526733" cy="4260226"/>
            <wp:effectExtent l="0" t="0" r="0" b="0"/>
            <wp:docPr id="1396157111" name="Resim 4" descr="taslak, çizim,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57111" name="Resim 4" descr="taslak, çizim, sanat içeren bir resim&#10;&#10;Açıklama otomatik olarak oluşturuldu"/>
                    <pic:cNvPicPr/>
                  </pic:nvPicPr>
                  <pic:blipFill rotWithShape="1">
                    <a:blip r:embed="rId278" cstate="email">
                      <a:extLst>
                        <a:ext uri="{28A0092B-C50C-407E-A947-70E740481C1C}">
                          <a14:useLocalDpi xmlns:a14="http://schemas.microsoft.com/office/drawing/2010/main"/>
                        </a:ext>
                      </a:extLst>
                    </a:blip>
                    <a:srcRect/>
                    <a:stretch/>
                  </pic:blipFill>
                  <pic:spPr bwMode="auto">
                    <a:xfrm>
                      <a:off x="0" y="0"/>
                      <a:ext cx="4527403" cy="4260856"/>
                    </a:xfrm>
                    <a:prstGeom prst="rect">
                      <a:avLst/>
                    </a:prstGeom>
                    <a:ln>
                      <a:noFill/>
                    </a:ln>
                    <a:extLst>
                      <a:ext uri="{53640926-AAD7-44D8-BBD7-CCE9431645EC}">
                        <a14:shadowObscured xmlns:a14="http://schemas.microsoft.com/office/drawing/2010/main"/>
                      </a:ext>
                    </a:extLst>
                  </pic:spPr>
                </pic:pic>
              </a:graphicData>
            </a:graphic>
          </wp:inline>
        </w:drawing>
      </w:r>
    </w:p>
    <w:p w14:paraId="72BF09F6"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23 General drawing of the steps leading down to the Great Platform</w:t>
      </w:r>
      <w:r w:rsidRPr="002B4DAC">
        <w:rPr>
          <w:rFonts w:ascii="Times New Roman" w:hAnsi="Times New Roman"/>
          <w:szCs w:val="22"/>
          <w:lang w:val="en-GB"/>
        </w:rPr>
        <w:fldChar w:fldCharType="begin"/>
      </w:r>
      <w:r w:rsidRPr="002B4DAC">
        <w:rPr>
          <w:rFonts w:ascii="Times New Roman" w:hAnsi="Times New Roman"/>
          <w:szCs w:val="22"/>
          <w:lang w:val="en-GB"/>
        </w:rPr>
        <w:instrText xml:space="preserve"> XE "Great Platform"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and the tombs around this area.</w:t>
      </w:r>
    </w:p>
    <w:p w14:paraId="25EE1682" w14:textId="1B2D64DC"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szCs w:val="22"/>
          <w:lang w:val="en-GB"/>
        </w:rPr>
        <w:lastRenderedPageBreak/>
        <w:t xml:space="preserve">To the west of the platform, approximately 28.50 </w:t>
      </w:r>
      <w:r w:rsidRPr="00372E83">
        <w:rPr>
          <w:rFonts w:ascii="Times New Roman" w:eastAsia="Calibri" w:hAnsi="Times New Roman" w:cs="Times New Roman"/>
          <w:lang w:val="en-GB"/>
        </w:rPr>
        <w:t>meters</w:t>
      </w:r>
      <w:r w:rsidRPr="00A107CD">
        <w:rPr>
          <w:rFonts w:ascii="Times New Roman" w:hAnsi="Times New Roman"/>
          <w:lang w:val="en-GB"/>
        </w:rPr>
        <w:t xml:space="preserve"> above the Arsenal</w:t>
      </w:r>
      <w:r w:rsidRPr="00372E83">
        <w:rPr>
          <w:rFonts w:ascii="Times New Roman" w:eastAsia="Calibri" w:hAnsi="Times New Roman" w:cs="Times New Roman"/>
          <w:lang w:val="en-GB"/>
        </w:rPr>
        <w:t>/</w:t>
      </w:r>
      <w:r w:rsidRPr="002B4DAC">
        <w:rPr>
          <w:rFonts w:ascii="Times New Roman" w:hAnsi="Times New Roman"/>
          <w:szCs w:val="22"/>
          <w:lang w:val="en-GB"/>
        </w:rPr>
        <w:t>BD78 tomb</w:t>
      </w:r>
      <w:r w:rsidR="00F60AA2">
        <w:rPr>
          <w:rFonts w:ascii="Times New Roman" w:hAnsi="Times New Roman"/>
          <w:szCs w:val="22"/>
          <w:lang w:val="en-GB"/>
        </w:rPr>
        <w:fldChar w:fldCharType="begin"/>
      </w:r>
      <w:r w:rsidR="00F60AA2">
        <w:instrText xml:space="preserve"> XE "</w:instrText>
      </w:r>
      <w:r w:rsidR="00F60AA2" w:rsidRPr="00DD2FE1">
        <w:rPr>
          <w:rFonts w:ascii="Times New Roman" w:hAnsi="Times New Roman"/>
          <w:lang w:val="en-GB"/>
        </w:rPr>
        <w:instrText>Arsenal</w:instrText>
      </w:r>
      <w:r w:rsidR="00F60AA2" w:rsidRPr="00DD2FE1">
        <w:rPr>
          <w:rFonts w:asciiTheme="majorBidi" w:hAnsiTheme="majorBidi" w:cstheme="majorBidi"/>
          <w:lang w:val="en-GB"/>
        </w:rPr>
        <w:instrText>/</w:instrText>
      </w:r>
      <w:r w:rsidR="00F60AA2" w:rsidRPr="00DD2FE1">
        <w:rPr>
          <w:rFonts w:ascii="Times New Roman" w:hAnsi="Times New Roman"/>
          <w:szCs w:val="22"/>
          <w:lang w:val="en-GB"/>
        </w:rPr>
        <w:instrText>BD78 tomb</w:instrText>
      </w:r>
      <w:r w:rsidR="00F60AA2">
        <w:instrText xml:space="preserve">" </w:instrText>
      </w:r>
      <w:r w:rsidR="00F60AA2">
        <w:rPr>
          <w:rFonts w:ascii="Times New Roman" w:hAnsi="Times New Roman"/>
          <w:szCs w:val="22"/>
          <w:lang w:val="en-GB"/>
        </w:rPr>
        <w:fldChar w:fldCharType="end"/>
      </w:r>
      <w:r w:rsidRPr="00372E83">
        <w:rPr>
          <w:rFonts w:ascii="Times New Roman" w:eastAsia="Calibri" w:hAnsi="Times New Roman" w:cs="Times New Roman"/>
          <w:lang w:val="en-GB"/>
        </w:rPr>
        <w:t>, there is a</w:t>
      </w:r>
      <w:r w:rsidRPr="00F03A26">
        <w:rPr>
          <w:rFonts w:asciiTheme="majorBidi" w:hAnsiTheme="majorBidi" w:cstheme="majorBidi"/>
          <w:lang w:val="en-GB"/>
        </w:rPr>
        <w:t xml:space="preserve">. Among the </w:t>
      </w:r>
      <w:r w:rsidRPr="002B4DAC">
        <w:rPr>
          <w:rFonts w:ascii="Times New Roman" w:hAnsi="Times New Roman"/>
          <w:szCs w:val="22"/>
          <w:lang w:val="en-GB"/>
        </w:rPr>
        <w:t>group of tombs located to the east of the İç Kale</w:t>
      </w:r>
      <w:r w:rsidRPr="00372E83">
        <w:rPr>
          <w:rFonts w:ascii="Times New Roman" w:eastAsia="Calibri" w:hAnsi="Times New Roman" w:cs="Times New Roman"/>
          <w:lang w:val="en-GB"/>
        </w:rPr>
        <w:t>. The</w:t>
      </w:r>
      <w:r>
        <w:rPr>
          <w:rFonts w:asciiTheme="majorBidi" w:hAnsiTheme="majorBidi" w:cstheme="majorBidi"/>
          <w:lang w:val="en-GB"/>
        </w:rPr>
        <w:t xml:space="preserve"> </w:t>
      </w:r>
      <w:r w:rsidRPr="002B4DAC">
        <w:rPr>
          <w:rFonts w:ascii="Times New Roman" w:hAnsi="Times New Roman"/>
          <w:szCs w:val="22"/>
          <w:lang w:val="en-GB"/>
        </w:rPr>
        <w:t>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and the İç Kale tombs are linked directly to the platform.</w:t>
      </w:r>
    </w:p>
    <w:p w14:paraId="39E24188"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2BB0BF4F" wp14:editId="36A80155">
            <wp:extent cx="5756910" cy="4655185"/>
            <wp:effectExtent l="0" t="0" r="0" b="5715"/>
            <wp:docPr id="718562439" name="Resim 10" descr="metin, harita, ekran görüntüsü,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62439" name="Resim 10" descr="metin, harita, ekran görüntüsü, diyagram içeren bir resim&#10;&#10;Açıklama otomatik olarak oluşturuldu"/>
                    <pic:cNvPicPr/>
                  </pic:nvPicPr>
                  <pic:blipFill>
                    <a:blip r:embed="rId279" cstate="email">
                      <a:extLst>
                        <a:ext uri="{28A0092B-C50C-407E-A947-70E740481C1C}">
                          <a14:useLocalDpi xmlns:a14="http://schemas.microsoft.com/office/drawing/2010/main"/>
                        </a:ext>
                      </a:extLst>
                    </a:blip>
                    <a:stretch>
                      <a:fillRect/>
                    </a:stretch>
                  </pic:blipFill>
                  <pic:spPr>
                    <a:xfrm>
                      <a:off x="0" y="0"/>
                      <a:ext cx="5756910" cy="4655185"/>
                    </a:xfrm>
                    <a:prstGeom prst="rect">
                      <a:avLst/>
                    </a:prstGeom>
                  </pic:spPr>
                </pic:pic>
              </a:graphicData>
            </a:graphic>
          </wp:inline>
        </w:drawing>
      </w:r>
    </w:p>
    <w:p w14:paraId="37F8E31C"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24 Layout plan showing the Great Platform</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Great Platform</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Neft Kuyu</w:t>
      </w:r>
      <w:r>
        <w:rPr>
          <w:rFonts w:ascii="Times New Roman" w:hAnsi="Times New Roman"/>
          <w:lang w:val="en-GB"/>
        </w:rPr>
        <w:t xml:space="preserve"> </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and the İç Kale</w:t>
      </w:r>
      <w:r>
        <w:rPr>
          <w:rFonts w:ascii="Times New Roman" w:hAnsi="Times New Roman"/>
          <w:lang w:val="en-GB"/>
        </w:rPr>
        <w:t xml:space="preserve"> </w:t>
      </w:r>
      <w:r>
        <w:rPr>
          <w:rFonts w:asciiTheme="majorBidi" w:hAnsiTheme="majorBidi" w:cstheme="majorBidi"/>
          <w:lang w:val="en-GB"/>
        </w:rPr>
        <w:fldChar w:fldCharType="begin"/>
      </w:r>
      <w:r>
        <w:instrText xml:space="preserve"> XE "</w:instrText>
      </w:r>
      <w:r w:rsidRPr="00F87406">
        <w:rPr>
          <w:rFonts w:asciiTheme="majorBidi" w:hAnsiTheme="majorBidi" w:cstheme="majorBidi"/>
        </w:rPr>
        <w:instrText>İç Kale</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tombs</w:t>
      </w:r>
    </w:p>
    <w:p w14:paraId="622D87CE"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6647E63B" wp14:editId="6F5842CB">
            <wp:extent cx="3183943" cy="2122324"/>
            <wp:effectExtent l="0" t="2540" r="1270" b="1270"/>
            <wp:docPr id="197" name="Resim 197" descr="dış mekan, doğa, gökyüzü,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Resim 197" descr="dış mekan, doğa, gökyüzü, dip kaya içeren bir resim&#10;&#10;Açıklama otomatik olarak oluşturuldu"/>
                    <pic:cNvPicPr/>
                  </pic:nvPicPr>
                  <pic:blipFill>
                    <a:blip r:embed="rId280" cstate="email">
                      <a:extLst>
                        <a:ext uri="{28A0092B-C50C-407E-A947-70E740481C1C}">
                          <a14:useLocalDpi xmlns:a14="http://schemas.microsoft.com/office/drawing/2010/main"/>
                        </a:ext>
                      </a:extLst>
                    </a:blip>
                    <a:stretch>
                      <a:fillRect/>
                    </a:stretch>
                  </pic:blipFill>
                  <pic:spPr>
                    <a:xfrm rot="16200000">
                      <a:off x="0" y="0"/>
                      <a:ext cx="3236829" cy="2157577"/>
                    </a:xfrm>
                    <a:prstGeom prst="rect">
                      <a:avLst/>
                    </a:prstGeom>
                  </pic:spPr>
                </pic:pic>
              </a:graphicData>
            </a:graphic>
          </wp:inline>
        </w:drawing>
      </w:r>
    </w:p>
    <w:p w14:paraId="07BFD37D"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25 Steps leading to the Great Platform</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Great Platform</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from the north are today in a severely destroyed state.</w:t>
      </w:r>
    </w:p>
    <w:p w14:paraId="65211A3B"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28074C06" wp14:editId="3AFC59C6">
            <wp:extent cx="5189855" cy="3459480"/>
            <wp:effectExtent l="0" t="0" r="0" b="7620"/>
            <wp:docPr id="196" name="Resim 196" descr="dış mekan, Çorak arazi, jeoloji,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Resim 196" descr="dış mekan, Çorak arazi, jeoloji, dip kaya içeren bir resim&#10;&#10;Açıklama otomatik olarak oluşturuldu"/>
                    <pic:cNvPicPr/>
                  </pic:nvPicPr>
                  <pic:blipFill>
                    <a:blip r:embed="rId281" cstate="email">
                      <a:extLst>
                        <a:ext uri="{28A0092B-C50C-407E-A947-70E740481C1C}">
                          <a14:useLocalDpi xmlns:a14="http://schemas.microsoft.com/office/drawing/2010/main"/>
                        </a:ext>
                      </a:extLst>
                    </a:blip>
                    <a:stretch>
                      <a:fillRect/>
                    </a:stretch>
                  </pic:blipFill>
                  <pic:spPr>
                    <a:xfrm>
                      <a:off x="0" y="0"/>
                      <a:ext cx="5189855" cy="3459480"/>
                    </a:xfrm>
                    <a:prstGeom prst="rect">
                      <a:avLst/>
                    </a:prstGeom>
                  </pic:spPr>
                </pic:pic>
              </a:graphicData>
            </a:graphic>
          </wp:inline>
        </w:drawing>
      </w:r>
    </w:p>
    <w:p w14:paraId="41F82FA3" w14:textId="59331414"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26 Different than the other tombs, the facade of the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00F60AA2">
        <w:rPr>
          <w:rFonts w:ascii="Times New Roman" w:hAnsi="Times New Roman"/>
          <w:sz w:val="20"/>
          <w:szCs w:val="22"/>
          <w:lang w:val="en-GB"/>
        </w:rPr>
        <w:instrText>t</w:instrText>
      </w:r>
      <w:r w:rsidRPr="002B4DAC">
        <w:rPr>
          <w:rFonts w:ascii="Times New Roman" w:hAnsi="Times New Roman"/>
          <w:sz w:val="20"/>
          <w:szCs w:val="22"/>
          <w:lang w:val="en-GB"/>
        </w:rPr>
        <w:instrText xml:space="preserve">omb"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faces eastwards. The work on some sections indicates that the facade was damaged due to later natural destruction on the rock surface.</w:t>
      </w:r>
    </w:p>
    <w:p w14:paraId="694850C3" w14:textId="37831F05"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szCs w:val="22"/>
          <w:lang w:val="en-GB"/>
        </w:rPr>
        <w:t>In addition, in terms of structural properties and size, they have been evaluated within the same group. The entrance of the burial chamber below the Great Platform was most likely through the Great Platform</w:t>
      </w:r>
      <w:r w:rsidRPr="00372E83">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Great Platform</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However, its size and planning distinguish this tomb from other </w:t>
      </w:r>
      <w:r w:rsidRPr="002B4DAC">
        <w:rPr>
          <w:rFonts w:ascii="Times New Roman" w:hAnsi="Times New Roman"/>
          <w:szCs w:val="22"/>
          <w:lang w:val="en-GB"/>
        </w:rPr>
        <w:lastRenderedPageBreak/>
        <w:t>Urartian</w:t>
      </w:r>
      <w:r w:rsidRPr="00372E83">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funerary monuments. Arsenal</w:t>
      </w:r>
      <w:r w:rsidRPr="00372E83">
        <w:rPr>
          <w:rFonts w:ascii="Times New Roman" w:eastAsia="Calibri" w:hAnsi="Times New Roman" w:cs="Times New Roman"/>
          <w:lang w:val="en-GB"/>
        </w:rPr>
        <w:t>/</w:t>
      </w:r>
      <w:r w:rsidRPr="002B4DAC">
        <w:rPr>
          <w:rFonts w:ascii="Times New Roman" w:hAnsi="Times New Roman"/>
          <w:szCs w:val="22"/>
          <w:lang w:val="en-GB"/>
        </w:rPr>
        <w:t>BD78 tomb</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"Arsenal/BD78 </w:instrText>
      </w:r>
      <w:r w:rsidR="00AA1737">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on the other hand, does not exhibit any similarities with this </w:t>
      </w:r>
      <w:r w:rsidRPr="00857A1E">
        <w:rPr>
          <w:rFonts w:ascii="Times New Roman" w:hAnsi="Times New Roman"/>
          <w:lang w:val="en-GB"/>
        </w:rPr>
        <w:t>group planning</w:t>
      </w:r>
      <w:r w:rsidRPr="002B4DAC">
        <w:rPr>
          <w:rFonts w:ascii="Times New Roman" w:hAnsi="Times New Roman"/>
          <w:szCs w:val="22"/>
          <w:lang w:val="en-GB"/>
        </w:rPr>
        <w:t xml:space="preserve"> or workmanship, except that it is accessible through the flat surface of the İç Kale</w:t>
      </w:r>
      <w:r>
        <w:rPr>
          <w:rFonts w:asciiTheme="majorBidi" w:hAnsiTheme="majorBidi" w:cstheme="majorBidi"/>
          <w:lang w:val="en-GB"/>
        </w:rPr>
        <w:fldChar w:fldCharType="begin"/>
      </w:r>
      <w:r>
        <w:instrText xml:space="preserve"> XE "</w:instrText>
      </w:r>
      <w:r w:rsidRPr="00F87406">
        <w:rPr>
          <w:rFonts w:asciiTheme="majorBidi" w:hAnsiTheme="majorBidi" w:cstheme="majorBidi"/>
        </w:rPr>
        <w:instrText>İç Kale</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and it is located under the İç Kale. The location of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and İç Kale tombs allows them to be categorized as the early Urartian rock-cut tombs. This is further supported by the fact that they are under the Inner Fortress, among the ditches built during the early period. However, the fact that one of the earliest structures of the Urartian kingdom</w:t>
      </w:r>
      <w:r w:rsidRPr="00372E83">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Pr>
          <w:rFonts w:asciiTheme="majorBidi" w:hAnsiTheme="majorBidi" w:cstheme="majorBidi"/>
          <w:lang w:val="en-GB"/>
        </w:rPr>
        <w:instrText>k</w:instrText>
      </w:r>
      <w:r w:rsidRPr="00F03A26">
        <w:rPr>
          <w:rFonts w:asciiTheme="majorBidi" w:hAnsiTheme="majorBidi" w:cstheme="majorBidi"/>
          <w:lang w:val="en-GB"/>
        </w:rPr>
        <w:instrText xml:space="preserve">ingdom"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in Ṭušpa, the Sardurburç</w:t>
      </w:r>
      <w:r w:rsidRPr="00372E83">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"Sardurburç"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is located outside the ditch, at the plain level, opens these approaches into question. Considering the pre-Urartian settlement chronology in Ṭušpa as well, it is difficult to suggest a chronological evolution of the Urartian structures based solely on their locations (Işık &amp; Genç, 2012: 72-79).</w:t>
      </w:r>
    </w:p>
    <w:p w14:paraId="164F2CCC"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7E0CC15D" wp14:editId="4A631514">
            <wp:extent cx="5756910" cy="2439035"/>
            <wp:effectExtent l="0" t="0" r="0" b="0"/>
            <wp:docPr id="887547651" name="Resim 11" descr="harita, diyagram, beyaz,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47651" name="Resim 11" descr="harita, diyagram, beyaz, metin içeren bir resim&#10;&#10;Açıklama otomatik olarak oluşturuldu"/>
                    <pic:cNvPicPr/>
                  </pic:nvPicPr>
                  <pic:blipFill>
                    <a:blip r:embed="rId282" cstate="email">
                      <a:extLst>
                        <a:ext uri="{28A0092B-C50C-407E-A947-70E740481C1C}">
                          <a14:useLocalDpi xmlns:a14="http://schemas.microsoft.com/office/drawing/2010/main"/>
                        </a:ext>
                      </a:extLst>
                    </a:blip>
                    <a:stretch>
                      <a:fillRect/>
                    </a:stretch>
                  </pic:blipFill>
                  <pic:spPr>
                    <a:xfrm>
                      <a:off x="0" y="0"/>
                      <a:ext cx="5756910" cy="2439035"/>
                    </a:xfrm>
                    <a:prstGeom prst="rect">
                      <a:avLst/>
                    </a:prstGeom>
                  </pic:spPr>
                </pic:pic>
              </a:graphicData>
            </a:graphic>
          </wp:inline>
        </w:drawing>
      </w:r>
    </w:p>
    <w:p w14:paraId="76764D6C" w14:textId="46B9051F"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27 Plan, section, and view drawings of the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Pr>
          <w:rFonts w:ascii="Times New Roman" w:hAnsi="Times New Roman"/>
          <w:szCs w:val="22"/>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szCs w:val="22"/>
          <w:lang w:val="en-GB"/>
        </w:rPr>
        <w:fldChar w:fldCharType="end"/>
      </w:r>
      <w:r w:rsidRPr="002B4DAC">
        <w:rPr>
          <w:rFonts w:ascii="Times New Roman" w:hAnsi="Times New Roman"/>
          <w:szCs w:val="22"/>
          <w:lang w:val="en-GB"/>
        </w:rPr>
        <w:t>.</w:t>
      </w:r>
    </w:p>
    <w:p w14:paraId="338514BB" w14:textId="4FB8E4B2" w:rsidR="006B23DC" w:rsidRPr="002B4DAC" w:rsidRDefault="006B23DC" w:rsidP="006B23DC">
      <w:pPr>
        <w:spacing w:before="100" w:beforeAutospacing="1" w:after="100" w:afterAutospacing="1"/>
        <w:jc w:val="both"/>
        <w:outlineLvl w:val="3"/>
        <w:rPr>
          <w:rFonts w:ascii="Times New Roman" w:hAnsi="Times New Roman"/>
          <w:b/>
          <w:szCs w:val="22"/>
          <w:lang w:val="en-GB"/>
        </w:rPr>
      </w:pPr>
      <w:r w:rsidRPr="002B4DAC">
        <w:rPr>
          <w:rFonts w:ascii="Times New Roman" w:hAnsi="Times New Roman"/>
          <w:b/>
          <w:noProof/>
          <w:szCs w:val="22"/>
          <w:lang w:val="en-US"/>
        </w:rPr>
        <w:drawing>
          <wp:anchor distT="0" distB="0" distL="114300" distR="114300" simplePos="0" relativeHeight="251921408" behindDoc="0" locked="0" layoutInCell="1" allowOverlap="1" wp14:anchorId="562C89B0" wp14:editId="05AB1496">
            <wp:simplePos x="0" y="0"/>
            <wp:positionH relativeFrom="margin">
              <wp:posOffset>53975</wp:posOffset>
            </wp:positionH>
            <wp:positionV relativeFrom="margin">
              <wp:posOffset>471976</wp:posOffset>
            </wp:positionV>
            <wp:extent cx="4015740" cy="3325495"/>
            <wp:effectExtent l="0" t="0" r="0" b="1905"/>
            <wp:wrapTopAndBottom/>
            <wp:docPr id="181742768" name="Resim 181742768" descr="C:\Users\lenovo\Desktop\Mezar Çizimleri\ickale_mez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Mezar Çizimleri\ickale_mezar.png"/>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4015740" cy="3325495"/>
                    </a:xfrm>
                    <a:prstGeom prst="rect">
                      <a:avLst/>
                    </a:prstGeom>
                    <a:noFill/>
                    <a:ln>
                      <a:noFill/>
                    </a:ln>
                  </pic:spPr>
                </pic:pic>
              </a:graphicData>
            </a:graphic>
          </wp:anchor>
        </w:drawing>
      </w:r>
      <w:r w:rsidRPr="002B4DAC">
        <w:rPr>
          <w:rFonts w:ascii="Times New Roman" w:hAnsi="Times New Roman"/>
          <w:b/>
          <w:szCs w:val="22"/>
          <w:lang w:val="en-GB"/>
        </w:rPr>
        <w:t>9.3.3.1. The İç Kale</w:t>
      </w:r>
      <w:r w:rsidRPr="002B4DAC">
        <w:rPr>
          <w:rFonts w:ascii="Times New Roman" w:hAnsi="Times New Roman"/>
          <w:b/>
          <w:szCs w:val="22"/>
          <w:lang w:val="en-GB"/>
        </w:rPr>
        <w:fldChar w:fldCharType="begin"/>
      </w:r>
      <w:r w:rsidRPr="002B4DAC">
        <w:rPr>
          <w:rFonts w:ascii="Times New Roman" w:hAnsi="Times New Roman"/>
          <w:b/>
          <w:szCs w:val="22"/>
          <w:lang w:val="en-GB"/>
        </w:rPr>
        <w:instrText xml:space="preserve"> XE "İç Kale" </w:instrText>
      </w:r>
      <w:r w:rsidRPr="002B4DAC">
        <w:rPr>
          <w:rFonts w:ascii="Times New Roman" w:hAnsi="Times New Roman"/>
          <w:b/>
          <w:szCs w:val="22"/>
          <w:lang w:val="en-GB"/>
        </w:rPr>
        <w:fldChar w:fldCharType="end"/>
      </w:r>
      <w:r w:rsidRPr="002B4DAC">
        <w:rPr>
          <w:rFonts w:ascii="Times New Roman" w:hAnsi="Times New Roman"/>
          <w:b/>
          <w:szCs w:val="22"/>
          <w:lang w:val="en-GB"/>
        </w:rPr>
        <w:t xml:space="preserve"> </w:t>
      </w:r>
      <w:r w:rsidR="00DF3B77">
        <w:rPr>
          <w:rFonts w:ascii="Times New Roman" w:hAnsi="Times New Roman"/>
          <w:b/>
          <w:szCs w:val="22"/>
          <w:lang w:val="en-GB"/>
        </w:rPr>
        <w:t>t</w:t>
      </w:r>
      <w:r w:rsidRPr="002B4DAC">
        <w:rPr>
          <w:rFonts w:ascii="Times New Roman" w:hAnsi="Times New Roman"/>
          <w:b/>
          <w:szCs w:val="22"/>
          <w:lang w:val="en-GB"/>
        </w:rPr>
        <w:t>omb</w:t>
      </w:r>
      <w:r w:rsidR="00DF3B77">
        <w:rPr>
          <w:rFonts w:ascii="Times New Roman" w:hAnsi="Times New Roman"/>
          <w:b/>
          <w:szCs w:val="22"/>
          <w:lang w:val="en-GB"/>
        </w:rPr>
        <w:fldChar w:fldCharType="begin"/>
      </w:r>
      <w:r w:rsidR="00DF3B77">
        <w:instrText xml:space="preserve"> XE "</w:instrText>
      </w:r>
      <w:r w:rsidR="00DF3B77" w:rsidRPr="00935F39">
        <w:rPr>
          <w:rFonts w:ascii="Times New Roman" w:hAnsi="Times New Roman"/>
          <w:b/>
          <w:szCs w:val="22"/>
          <w:lang w:val="en-GB"/>
        </w:rPr>
        <w:instrText>İç Kale tomb</w:instrText>
      </w:r>
      <w:r w:rsidR="00DF3B77">
        <w:instrText xml:space="preserve">" </w:instrText>
      </w:r>
      <w:r w:rsidR="00DF3B77">
        <w:rPr>
          <w:rFonts w:ascii="Times New Roman" w:hAnsi="Times New Roman"/>
          <w:b/>
          <w:szCs w:val="22"/>
          <w:lang w:val="en-GB"/>
        </w:rPr>
        <w:fldChar w:fldCharType="end"/>
      </w:r>
      <w:r w:rsidRPr="002B4DAC">
        <w:rPr>
          <w:rFonts w:ascii="Times New Roman" w:hAnsi="Times New Roman"/>
          <w:b/>
          <w:szCs w:val="22"/>
          <w:lang w:val="en-GB"/>
        </w:rPr>
        <w:t>: BB79-80/BC79-80</w:t>
      </w:r>
    </w:p>
    <w:p w14:paraId="13792460" w14:textId="513755E4"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lastRenderedPageBreak/>
        <w:t>Fig. 28 Isometric perspective of the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Pr>
          <w:rFonts w:ascii="Times New Roman" w:hAnsi="Times New Roman"/>
          <w:szCs w:val="22"/>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szCs w:val="22"/>
          <w:lang w:val="en-GB"/>
        </w:rPr>
        <w:fldChar w:fldCharType="end"/>
      </w:r>
      <w:r w:rsidRPr="002B4DAC">
        <w:rPr>
          <w:rFonts w:ascii="Times New Roman" w:hAnsi="Times New Roman"/>
          <w:szCs w:val="22"/>
          <w:lang w:val="en-GB"/>
        </w:rPr>
        <w:t xml:space="preserve"> (R. Yıldız).</w:t>
      </w:r>
    </w:p>
    <w:p w14:paraId="29753392" w14:textId="4EFA5A00"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The İç Kale</w:t>
      </w:r>
      <w:r w:rsidRPr="00372E83">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tomb</w:t>
      </w:r>
      <w:r w:rsidR="00DF3B77">
        <w:rPr>
          <w:rFonts w:ascii="Times New Roman" w:hAnsi="Times New Roman"/>
          <w:szCs w:val="22"/>
          <w:lang w:val="en-GB"/>
        </w:rPr>
        <w:fldChar w:fldCharType="begin"/>
      </w:r>
      <w:r w:rsidR="00DF3B77">
        <w:instrText xml:space="preserve"> XE "</w:instrText>
      </w:r>
      <w:r w:rsidR="00DF3B77" w:rsidRPr="00C058CA">
        <w:rPr>
          <w:rFonts w:ascii="Times New Roman" w:hAnsi="Times New Roman"/>
          <w:lang w:val="en-GB"/>
        </w:rPr>
        <w:instrText>İç Kale</w:instrText>
      </w:r>
      <w:r w:rsidR="00DF3B77" w:rsidRPr="00C058CA">
        <w:rPr>
          <w:rFonts w:ascii="Times New Roman" w:eastAsia="Calibri" w:hAnsi="Times New Roman" w:cs="Times New Roman"/>
          <w:lang w:val="en-GB"/>
        </w:rPr>
        <w:instrText> </w:instrText>
      </w:r>
      <w:r w:rsidR="00DF3B77" w:rsidRPr="00C058CA">
        <w:rPr>
          <w:rFonts w:ascii="Times New Roman" w:hAnsi="Times New Roman"/>
          <w:lang w:val="en-GB"/>
        </w:rPr>
        <w:instrText>tomb</w:instrText>
      </w:r>
      <w:r w:rsidR="00DF3B77">
        <w:instrText xml:space="preserve">" </w:instrText>
      </w:r>
      <w:r w:rsidR="00DF3B77">
        <w:rPr>
          <w:rFonts w:ascii="Times New Roman" w:hAnsi="Times New Roman"/>
          <w:szCs w:val="22"/>
          <w:lang w:val="en-GB"/>
        </w:rPr>
        <w:fldChar w:fldCharType="end"/>
      </w:r>
      <w:r w:rsidRPr="002B4DAC">
        <w:rPr>
          <w:rFonts w:ascii="Times New Roman" w:hAnsi="Times New Roman"/>
          <w:szCs w:val="22"/>
          <w:lang w:val="en-GB"/>
        </w:rPr>
        <w:t xml:space="preserve"> located to the west of the Great Platform</w:t>
      </w:r>
      <w:r w:rsidRPr="00372E83">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"Great Platform"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szCs w:val="22"/>
          <w:lang w:val="en-GB"/>
        </w:rPr>
        <w:t xml:space="preserve"> was carved onto the bedrock in an east-west orientation (Fig. 26). Its orientation differs the İç Kale tomb</w:t>
      </w:r>
      <w:r>
        <w:rPr>
          <w:rFonts w:ascii="Times New Roman" w:hAnsi="Times New Roman"/>
          <w:szCs w:val="22"/>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szCs w:val="22"/>
          <w:lang w:val="en-GB"/>
        </w:rPr>
        <w:fldChar w:fldCharType="end"/>
      </w:r>
      <w:r w:rsidRPr="002B4DAC">
        <w:rPr>
          <w:rFonts w:ascii="Times New Roman" w:hAnsi="Times New Roman"/>
          <w:szCs w:val="22"/>
          <w:lang w:val="en-GB"/>
        </w:rPr>
        <w:t xml:space="preserve"> from other burial chambers in the Van Fortress. Including the main hall, the tomb consists of seven rooms (Piotrovsky, 1959: 214, Fig. 62) (Fig. 27-28). The eastward-facing doorway of the tomb measures 2.85 m in width and 2.66 m in height. Its threshold is approximately 1.25 m deep. The doorway is substantially damaged and broken in places and is understood not to be in its original state. Maintenance activities must have been done inside the burial chamber according to the needs of its later users. The burial chamber entered from the east consists of two main halls interconnected by a doorway and lying along the same axis (Fig. 28). The front hall is </w:t>
      </w:r>
      <w:r w:rsidRPr="00372E83">
        <w:rPr>
          <w:rFonts w:ascii="Times New Roman" w:eastAsia="Calibri" w:hAnsi="Times New Roman" w:cs="Times New Roman"/>
          <w:lang w:val="en-GB"/>
        </w:rPr>
        <w:t>more extensive</w:t>
      </w:r>
      <w:r w:rsidRPr="002B4DAC">
        <w:rPr>
          <w:rFonts w:ascii="Times New Roman" w:hAnsi="Times New Roman"/>
          <w:szCs w:val="22"/>
          <w:lang w:val="en-GB"/>
        </w:rPr>
        <w:t xml:space="preserve">, measuring roughly 9.50 x 6.00 m, and exhibits </w:t>
      </w:r>
      <w:r w:rsidRPr="00372E83">
        <w:rPr>
          <w:rFonts w:ascii="Times New Roman" w:eastAsia="Calibri" w:hAnsi="Times New Roman" w:cs="Times New Roman"/>
          <w:lang w:val="en-GB"/>
        </w:rPr>
        <w:t>relatively</w:t>
      </w:r>
      <w:r w:rsidRPr="002B4DAC">
        <w:rPr>
          <w:rFonts w:ascii="Times New Roman" w:hAnsi="Times New Roman"/>
          <w:szCs w:val="22"/>
          <w:lang w:val="en-GB"/>
        </w:rPr>
        <w:t xml:space="preserve"> poor rock-cutting workmanship (Fig. 29). The top cover of this hall is built in the shape of a barrel vault and measures approximately 5.63 m in height. This superstructure sits on the walls with a flat molding/cornice, making a one-step protrusion. Rectangular rooms are located on both sides of the rectangular main hall</w:t>
      </w:r>
      <w:r w:rsidRPr="00372E83">
        <w:rPr>
          <w:rFonts w:ascii="Times New Roman" w:eastAsia="Calibri" w:hAnsi="Times New Roman" w:cs="Times New Roman"/>
          <w:lang w:val="en-GB"/>
        </w:rPr>
        <w:t>, which</w:t>
      </w:r>
      <w:r w:rsidRPr="002B4DAC">
        <w:rPr>
          <w:rFonts w:ascii="Times New Roman" w:hAnsi="Times New Roman"/>
          <w:szCs w:val="22"/>
          <w:lang w:val="en-GB"/>
        </w:rPr>
        <w:t xml:space="preserve"> measures approximately 57 m2. Both of these rooms exhibit poor workmanship as well. The corners of the walls are not well defined; either rounded off at some places or the rock was deformed. These flat-ceiling burial chambers are about 2.80 m in height. The southern room measures 3.70 x 2.68 m</w:t>
      </w:r>
      <w:r w:rsidRPr="00372E83">
        <w:rPr>
          <w:rFonts w:ascii="Times New Roman" w:eastAsia="Calibri" w:hAnsi="Times New Roman" w:cs="Times New Roman"/>
          <w:lang w:val="en-GB"/>
        </w:rPr>
        <w:t>,</w:t>
      </w:r>
      <w:r w:rsidRPr="002B4DAC">
        <w:rPr>
          <w:rFonts w:ascii="Times New Roman" w:hAnsi="Times New Roman"/>
          <w:szCs w:val="22"/>
          <w:lang w:val="en-GB"/>
        </w:rPr>
        <w:t xml:space="preserve"> while the northern room measures 3.80 x 1.65 m. In both rooms, the burial beds/klines, which are not very high from the ground, run along the short wall (Fig. 30). </w:t>
      </w:r>
    </w:p>
    <w:p w14:paraId="10482077"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0F416456" wp14:editId="5AB2E04D">
            <wp:extent cx="4800600" cy="3200207"/>
            <wp:effectExtent l="0" t="0" r="0" b="635"/>
            <wp:docPr id="199" name="Resim 199" descr="dış mekan, doğa, delik,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dış mekan, doğa, delik, mağara içeren bir resim&#10;&#10;Açıklama otomatik olarak oluşturuldu"/>
                    <pic:cNvPicPr/>
                  </pic:nvPicPr>
                  <pic:blipFill>
                    <a:blip r:embed="rId284" cstate="email">
                      <a:extLst>
                        <a:ext uri="{28A0092B-C50C-407E-A947-70E740481C1C}">
                          <a14:useLocalDpi xmlns:a14="http://schemas.microsoft.com/office/drawing/2010/main"/>
                        </a:ext>
                      </a:extLst>
                    </a:blip>
                    <a:stretch>
                      <a:fillRect/>
                    </a:stretch>
                  </pic:blipFill>
                  <pic:spPr>
                    <a:xfrm>
                      <a:off x="0" y="0"/>
                      <a:ext cx="4824903" cy="3216408"/>
                    </a:xfrm>
                    <a:prstGeom prst="rect">
                      <a:avLst/>
                    </a:prstGeom>
                  </pic:spPr>
                </pic:pic>
              </a:graphicData>
            </a:graphic>
          </wp:inline>
        </w:drawing>
      </w:r>
    </w:p>
    <w:p w14:paraId="3A122017" w14:textId="386053FD"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29 Main Hall of the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Pr>
          <w:rFonts w:ascii="Times New Roman" w:hAnsi="Times New Roman"/>
          <w:szCs w:val="22"/>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szCs w:val="22"/>
          <w:lang w:val="en-GB"/>
        </w:rPr>
        <w:fldChar w:fldCharType="end"/>
      </w:r>
      <w:r w:rsidRPr="002B4DAC">
        <w:rPr>
          <w:rFonts w:ascii="Times New Roman" w:hAnsi="Times New Roman"/>
          <w:szCs w:val="22"/>
          <w:lang w:val="en-GB"/>
        </w:rPr>
        <w:t>. The top of the hall was carved in barrel vault shape.</w:t>
      </w:r>
    </w:p>
    <w:p w14:paraId="6465E84C"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1B53D87F" wp14:editId="7AA5308A">
            <wp:extent cx="4740442" cy="3148110"/>
            <wp:effectExtent l="0" t="0" r="0" b="1905"/>
            <wp:docPr id="200" name="Resim 200" descr="taş, doğa, çimento,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taş, doğa, çimento, beton içeren bir resim&#10;&#10;Açıklama otomatik olarak oluşturuldu"/>
                    <pic:cNvPicPr/>
                  </pic:nvPicPr>
                  <pic:blipFill>
                    <a:blip r:embed="rId285" cstate="email">
                      <a:extLst>
                        <a:ext uri="{28A0092B-C50C-407E-A947-70E740481C1C}">
                          <a14:useLocalDpi xmlns:a14="http://schemas.microsoft.com/office/drawing/2010/main"/>
                        </a:ext>
                      </a:extLst>
                    </a:blip>
                    <a:stretch>
                      <a:fillRect/>
                    </a:stretch>
                  </pic:blipFill>
                  <pic:spPr>
                    <a:xfrm>
                      <a:off x="0" y="0"/>
                      <a:ext cx="4753255" cy="3156619"/>
                    </a:xfrm>
                    <a:prstGeom prst="rect">
                      <a:avLst/>
                    </a:prstGeom>
                  </pic:spPr>
                </pic:pic>
              </a:graphicData>
            </a:graphic>
          </wp:inline>
        </w:drawing>
      </w:r>
    </w:p>
    <w:p w14:paraId="348D9290" w14:textId="7810824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30 Burial bed in room İK02 in the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Pr>
          <w:rFonts w:ascii="Times New Roman" w:hAnsi="Times New Roman"/>
          <w:szCs w:val="22"/>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szCs w:val="22"/>
          <w:lang w:val="en-GB"/>
        </w:rPr>
        <w:fldChar w:fldCharType="end"/>
      </w:r>
      <w:r w:rsidRPr="002B4DAC">
        <w:rPr>
          <w:rFonts w:ascii="Times New Roman" w:hAnsi="Times New Roman"/>
          <w:szCs w:val="22"/>
          <w:lang w:val="en-GB"/>
        </w:rPr>
        <w:t>. A similar arrangement can be seen in other burial chambers inside the tomb as well.</w:t>
      </w:r>
    </w:p>
    <w:p w14:paraId="363C67D1"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From a doorway measuring 1.60 m in width and 2.00 m in height located to the west of the main hall, one enters the area that could be defined as the second hall (Fig. 31). This rectangular hall measures 6.30 x 4.35 m with a ceiling height of 3.83 m. At the meeting point of the walls and ceiling, a 2-3 cm deep relief was carved. Thus, a panel of 50 cm height and 2-3 cm depth was formed through </w:t>
      </w:r>
      <w:r w:rsidRPr="00A232A9">
        <w:rPr>
          <w:rFonts w:ascii="Times New Roman" w:eastAsia="Calibri" w:hAnsi="Times New Roman" w:cs="Times New Roman"/>
          <w:lang w:val="en-GB"/>
        </w:rPr>
        <w:t xml:space="preserve">the </w:t>
      </w:r>
      <w:r w:rsidRPr="002B4DAC">
        <w:rPr>
          <w:rFonts w:ascii="Times New Roman" w:hAnsi="Times New Roman"/>
          <w:szCs w:val="22"/>
          <w:lang w:val="en-GB"/>
        </w:rPr>
        <w:t xml:space="preserve">ceiling. </w:t>
      </w:r>
      <w:r w:rsidRPr="00A232A9">
        <w:rPr>
          <w:rFonts w:ascii="Times New Roman" w:eastAsia="Calibri" w:hAnsi="Times New Roman" w:cs="Times New Roman"/>
          <w:lang w:val="en-GB"/>
        </w:rPr>
        <w:t xml:space="preserve">A burial chamber </w:t>
      </w:r>
      <w:r w:rsidRPr="002B4DAC">
        <w:rPr>
          <w:rFonts w:ascii="Times New Roman" w:hAnsi="Times New Roman"/>
          <w:szCs w:val="22"/>
          <w:lang w:val="en-GB"/>
        </w:rPr>
        <w:t>with a flat ceiling</w:t>
      </w:r>
      <w:r w:rsidRPr="00A232A9">
        <w:rPr>
          <w:rFonts w:ascii="Times New Roman" w:eastAsia="Calibri" w:hAnsi="Times New Roman" w:cs="Times New Roman"/>
          <w:lang w:val="en-GB"/>
        </w:rPr>
        <w:t xml:space="preserve"> </w:t>
      </w:r>
      <w:r w:rsidRPr="002B4DAC">
        <w:rPr>
          <w:rFonts w:ascii="Times New Roman" w:hAnsi="Times New Roman"/>
          <w:szCs w:val="22"/>
          <w:lang w:val="en-GB"/>
        </w:rPr>
        <w:t>was opened</w:t>
      </w:r>
      <w:r w:rsidRPr="00A232A9">
        <w:rPr>
          <w:rFonts w:ascii="Times New Roman" w:eastAsia="Calibri" w:hAnsi="Times New Roman" w:cs="Times New Roman"/>
          <w:lang w:val="en-GB"/>
        </w:rPr>
        <w:t xml:space="preserve"> on both sides of this hall.</w:t>
      </w:r>
      <w:r w:rsidRPr="002B4DAC">
        <w:rPr>
          <w:rFonts w:ascii="Times New Roman" w:hAnsi="Times New Roman"/>
          <w:szCs w:val="22"/>
          <w:lang w:val="en-GB"/>
        </w:rPr>
        <w:t xml:space="preserve"> The craftsmanship observed in these chambers is comparably better than the side</w:t>
      </w:r>
      <w:r w:rsidRPr="00A232A9">
        <w:rPr>
          <w:rFonts w:ascii="Times New Roman" w:eastAsia="Calibri" w:hAnsi="Times New Roman" w:cs="Times New Roman"/>
          <w:lang w:val="en-GB"/>
        </w:rPr>
        <w:t xml:space="preserve"> </w:t>
      </w:r>
      <w:r w:rsidRPr="002B4DAC">
        <w:rPr>
          <w:rFonts w:ascii="Times New Roman" w:hAnsi="Times New Roman"/>
          <w:szCs w:val="22"/>
          <w:lang w:val="en-GB"/>
        </w:rPr>
        <w:t>rooms in the main hall. These rooms, measuring approximately 9.5 m2, also had flat ceilings with a 2. 85 m height. There are burial beds/</w:t>
      </w:r>
      <w:r w:rsidRPr="00A232A9">
        <w:rPr>
          <w:rFonts w:ascii="Times New Roman" w:eastAsia="Calibri" w:hAnsi="Times New Roman" w:cs="Times New Roman"/>
          <w:lang w:val="en-GB"/>
        </w:rPr>
        <w:t>lines</w:t>
      </w:r>
      <w:r w:rsidRPr="002B4DAC">
        <w:rPr>
          <w:rFonts w:ascii="Times New Roman" w:hAnsi="Times New Roman"/>
          <w:szCs w:val="22"/>
          <w:lang w:val="en-GB"/>
        </w:rPr>
        <w:t xml:space="preserve"> in these two rooms. (Fig. 32).</w:t>
      </w:r>
    </w:p>
    <w:p w14:paraId="46679E08"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2E440503" wp14:editId="028106B5">
            <wp:extent cx="3815862" cy="2534099"/>
            <wp:effectExtent l="0" t="0" r="0" b="6350"/>
            <wp:docPr id="201" name="Resim 201" descr="mağara, harabeler, duvar,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Resim 201" descr="mağara, harabeler, duvar, taş içeren bir resim&#10;&#10;Açıklama otomatik olarak oluşturuldu"/>
                    <pic:cNvPicPr/>
                  </pic:nvPicPr>
                  <pic:blipFill>
                    <a:blip r:embed="rId286" cstate="email">
                      <a:extLst>
                        <a:ext uri="{28A0092B-C50C-407E-A947-70E740481C1C}">
                          <a14:useLocalDpi xmlns:a14="http://schemas.microsoft.com/office/drawing/2010/main"/>
                        </a:ext>
                      </a:extLst>
                    </a:blip>
                    <a:stretch>
                      <a:fillRect/>
                    </a:stretch>
                  </pic:blipFill>
                  <pic:spPr>
                    <a:xfrm>
                      <a:off x="0" y="0"/>
                      <a:ext cx="3890705" cy="2583802"/>
                    </a:xfrm>
                    <a:prstGeom prst="rect">
                      <a:avLst/>
                    </a:prstGeom>
                  </pic:spPr>
                </pic:pic>
              </a:graphicData>
            </a:graphic>
          </wp:inline>
        </w:drawing>
      </w:r>
    </w:p>
    <w:p w14:paraId="10268255" w14:textId="756CE356"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31 Second hall (İK03) to the west in the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00193308">
        <w:rPr>
          <w:rFonts w:ascii="Times New Roman" w:hAnsi="Times New Roman"/>
          <w:sz w:val="20"/>
          <w:szCs w:val="22"/>
          <w:lang w:val="en-GB"/>
        </w:rPr>
        <w:instrText>t</w:instrText>
      </w:r>
      <w:r w:rsidRPr="002B4DAC">
        <w:rPr>
          <w:rFonts w:ascii="Times New Roman" w:hAnsi="Times New Roman"/>
          <w:sz w:val="20"/>
          <w:szCs w:val="22"/>
          <w:lang w:val="en-GB"/>
        </w:rPr>
        <w:instrText xml:space="preserve">omb" </w:instrText>
      </w:r>
      <w:r w:rsidRPr="002B4DAC">
        <w:rPr>
          <w:rFonts w:ascii="Times New Roman" w:hAnsi="Times New Roman"/>
          <w:szCs w:val="22"/>
          <w:lang w:val="en-GB"/>
        </w:rPr>
        <w:fldChar w:fldCharType="end"/>
      </w:r>
      <w:r w:rsidRPr="002B4DAC">
        <w:rPr>
          <w:rFonts w:ascii="Times New Roman" w:hAnsi="Times New Roman"/>
          <w:szCs w:val="22"/>
          <w:lang w:val="en-GB"/>
        </w:rPr>
        <w:t>. Similar molding/cornice applications are known from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as well.</w:t>
      </w:r>
    </w:p>
    <w:p w14:paraId="3062C029"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2AEAED3A" wp14:editId="119B88A4">
            <wp:extent cx="3808224" cy="2538663"/>
            <wp:effectExtent l="0" t="0" r="1905" b="1905"/>
            <wp:docPr id="202" name="Resim 202" descr="yer,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yer, dış mekan içeren bir resim&#10;&#10;Açıklama otomatik olarak oluşturuldu"/>
                    <pic:cNvPicPr/>
                  </pic:nvPicPr>
                  <pic:blipFill>
                    <a:blip r:embed="rId287" cstate="email">
                      <a:extLst>
                        <a:ext uri="{28A0092B-C50C-407E-A947-70E740481C1C}">
                          <a14:useLocalDpi xmlns:a14="http://schemas.microsoft.com/office/drawing/2010/main"/>
                        </a:ext>
                      </a:extLst>
                    </a:blip>
                    <a:stretch>
                      <a:fillRect/>
                    </a:stretch>
                  </pic:blipFill>
                  <pic:spPr>
                    <a:xfrm>
                      <a:off x="0" y="0"/>
                      <a:ext cx="3827890" cy="2551773"/>
                    </a:xfrm>
                    <a:prstGeom prst="rect">
                      <a:avLst/>
                    </a:prstGeom>
                  </pic:spPr>
                </pic:pic>
              </a:graphicData>
            </a:graphic>
          </wp:inline>
        </w:drawing>
      </w:r>
    </w:p>
    <w:p w14:paraId="5772B118" w14:textId="1577417A"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32 Burial bed inside room İK06 to the south of the second hall in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00193308">
        <w:rPr>
          <w:rFonts w:ascii="Times New Roman" w:hAnsi="Times New Roman"/>
          <w:sz w:val="20"/>
          <w:szCs w:val="22"/>
          <w:lang w:val="en-GB"/>
        </w:rPr>
        <w:instrText>t</w:instrText>
      </w:r>
      <w:r w:rsidRPr="002B4DAC">
        <w:rPr>
          <w:rFonts w:ascii="Times New Roman" w:hAnsi="Times New Roman"/>
          <w:sz w:val="20"/>
          <w:szCs w:val="22"/>
          <w:lang w:val="en-GB"/>
        </w:rPr>
        <w:instrText xml:space="preserve">omb" </w:instrText>
      </w:r>
      <w:r w:rsidRPr="002B4DAC">
        <w:rPr>
          <w:rFonts w:ascii="Times New Roman" w:hAnsi="Times New Roman"/>
          <w:szCs w:val="22"/>
          <w:lang w:val="en-GB"/>
        </w:rPr>
        <w:fldChar w:fldCharType="end"/>
      </w:r>
      <w:r w:rsidRPr="002B4DAC">
        <w:rPr>
          <w:rFonts w:ascii="Times New Roman" w:hAnsi="Times New Roman"/>
          <w:szCs w:val="22"/>
          <w:lang w:val="en-GB"/>
        </w:rPr>
        <w:t>.</w:t>
      </w:r>
    </w:p>
    <w:p w14:paraId="6600DB81" w14:textId="77777777"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szCs w:val="22"/>
          <w:lang w:val="en-GB"/>
        </w:rPr>
        <w:t xml:space="preserve">A third burial chamber is entered through a 0.80 m wide and 0.98 m deep doorway carved into the west wall of the second main hall. Stairs measuring 0.30 m in depth and 0.60 m in width are in front of this doorway. This room is noteworthy </w:t>
      </w:r>
      <w:r w:rsidRPr="00A232A9">
        <w:rPr>
          <w:rFonts w:ascii="Times New Roman" w:eastAsia="Calibri" w:hAnsi="Times New Roman" w:cs="Times New Roman"/>
          <w:lang w:val="en-GB"/>
        </w:rPr>
        <w:t>regarding</w:t>
      </w:r>
      <w:r w:rsidRPr="002B4DAC">
        <w:rPr>
          <w:rFonts w:ascii="Times New Roman" w:hAnsi="Times New Roman"/>
          <w:szCs w:val="22"/>
          <w:lang w:val="en-GB"/>
        </w:rPr>
        <w:t xml:space="preserve"> its distinct arrangement: it has a 2.80 m high flat ceiling, measures 4.80 x 2.67 m, and </w:t>
      </w:r>
      <w:r w:rsidRPr="00A232A9">
        <w:rPr>
          <w:rFonts w:ascii="Times New Roman" w:eastAsia="Calibri" w:hAnsi="Times New Roman" w:cs="Times New Roman"/>
          <w:lang w:val="en-GB"/>
        </w:rPr>
        <w:t>is</w:t>
      </w:r>
      <w:r w:rsidRPr="002B4DAC">
        <w:rPr>
          <w:rFonts w:ascii="Times New Roman" w:hAnsi="Times New Roman"/>
          <w:szCs w:val="22"/>
          <w:lang w:val="en-GB"/>
        </w:rPr>
        <w:t xml:space="preserve"> located horizontally. To the north of the chamber is a rock-carved platform that measures 75 cm in width </w:t>
      </w:r>
      <w:r w:rsidRPr="00A232A9">
        <w:rPr>
          <w:rFonts w:ascii="Times New Roman" w:eastAsia="Calibri" w:hAnsi="Times New Roman" w:cs="Times New Roman"/>
          <w:lang w:val="en-GB"/>
        </w:rPr>
        <w:t>and</w:t>
      </w:r>
      <w:r w:rsidRPr="002B4DAC">
        <w:rPr>
          <w:rFonts w:ascii="Times New Roman" w:hAnsi="Times New Roman"/>
          <w:szCs w:val="22"/>
          <w:lang w:val="en-GB"/>
        </w:rPr>
        <w:t xml:space="preserve"> can be reached through three uneven steps. A rectangular burial bed (0.90 x 1.70 m) was carved into this platform</w:t>
      </w:r>
      <w:r w:rsidRPr="00A232A9">
        <w:rPr>
          <w:rFonts w:ascii="Times New Roman" w:eastAsia="Calibri" w:hAnsi="Times New Roman" w:cs="Times New Roman"/>
          <w:lang w:val="en-GB"/>
        </w:rPr>
        <w:t>,</w:t>
      </w:r>
      <w:r w:rsidRPr="002B4DAC">
        <w:rPr>
          <w:rFonts w:ascii="Times New Roman" w:hAnsi="Times New Roman"/>
          <w:szCs w:val="22"/>
          <w:lang w:val="en-GB"/>
        </w:rPr>
        <w:t xml:space="preserve"> measuring 1.25 x 2.75 m (Fig. 33-34). Hollows at approximately 70 cm intervals, where nails were </w:t>
      </w:r>
      <w:r w:rsidRPr="00A232A9">
        <w:rPr>
          <w:rFonts w:ascii="Times New Roman" w:eastAsia="Calibri" w:hAnsi="Times New Roman" w:cs="Times New Roman"/>
          <w:lang w:val="en-GB"/>
        </w:rPr>
        <w:t>placed</w:t>
      </w:r>
      <w:r w:rsidRPr="002B4DAC">
        <w:rPr>
          <w:rFonts w:ascii="Times New Roman" w:hAnsi="Times New Roman"/>
          <w:szCs w:val="22"/>
          <w:lang w:val="en-GB"/>
        </w:rPr>
        <w:t xml:space="preserve"> possibly to hang burial gifts, were carved onto the chamber</w:t>
      </w:r>
      <w:r w:rsidRPr="00A232A9">
        <w:rPr>
          <w:rFonts w:ascii="Times New Roman" w:eastAsia="Calibri" w:hAnsi="Times New Roman" w:cs="Times New Roman"/>
          <w:lang w:val="en-GB"/>
        </w:rPr>
        <w:t xml:space="preserve"> walls</w:t>
      </w:r>
      <w:r w:rsidRPr="002B4DAC">
        <w:rPr>
          <w:rFonts w:ascii="Times New Roman" w:hAnsi="Times New Roman"/>
          <w:szCs w:val="22"/>
          <w:lang w:val="en-GB"/>
        </w:rPr>
        <w:t>.</w:t>
      </w:r>
    </w:p>
    <w:p w14:paraId="49F1D262"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16D5B966" wp14:editId="20362BEA">
            <wp:extent cx="5035639" cy="3356892"/>
            <wp:effectExtent l="0" t="0" r="0" b="0"/>
            <wp:docPr id="203" name="Resim 203" descr="doğa, mağara, taş, çiment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doğa, mağara, taş, çimento içeren bir resim&#10;&#10;Açıklama otomatik olarak oluşturuldu"/>
                    <pic:cNvPicPr/>
                  </pic:nvPicPr>
                  <pic:blipFill>
                    <a:blip r:embed="rId288" cstate="email">
                      <a:extLst>
                        <a:ext uri="{28A0092B-C50C-407E-A947-70E740481C1C}">
                          <a14:useLocalDpi xmlns:a14="http://schemas.microsoft.com/office/drawing/2010/main"/>
                        </a:ext>
                      </a:extLst>
                    </a:blip>
                    <a:stretch>
                      <a:fillRect/>
                    </a:stretch>
                  </pic:blipFill>
                  <pic:spPr>
                    <a:xfrm>
                      <a:off x="0" y="0"/>
                      <a:ext cx="5119765" cy="3412973"/>
                    </a:xfrm>
                    <a:prstGeom prst="rect">
                      <a:avLst/>
                    </a:prstGeom>
                  </pic:spPr>
                </pic:pic>
              </a:graphicData>
            </a:graphic>
          </wp:inline>
        </w:drawing>
      </w:r>
    </w:p>
    <w:p w14:paraId="5D20D05E"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33 Burial bed in room İK05 to the west of the second hall in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Tomb" </w:instrText>
      </w:r>
      <w:r w:rsidRPr="002B4DAC">
        <w:rPr>
          <w:rFonts w:ascii="Times New Roman" w:hAnsi="Times New Roman"/>
          <w:szCs w:val="22"/>
          <w:lang w:val="en-GB"/>
        </w:rPr>
        <w:fldChar w:fldCharType="end"/>
      </w:r>
      <w:r w:rsidRPr="002B4DAC">
        <w:rPr>
          <w:rFonts w:ascii="Times New Roman" w:hAnsi="Times New Roman"/>
          <w:szCs w:val="22"/>
          <w:lang w:val="en-GB"/>
        </w:rPr>
        <w:t>. Its cascaded design differs this feature from similar examples inside the same tomb, while it adheres closely to the example (DO03) from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p>
    <w:p w14:paraId="4EE68D06"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593F69C7" wp14:editId="7B8A8E42">
            <wp:extent cx="2895600" cy="3600818"/>
            <wp:effectExtent l="0" t="0" r="0" b="6350"/>
            <wp:docPr id="872938980" name="Resim 5" descr="duvar, iç mekan, siyah beyaz,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38980" name="Resim 5" descr="duvar, iç mekan, siyah beyaz, sanat içeren bir resim&#10;&#10;Açıklama otomatik olarak oluşturuldu"/>
                    <pic:cNvPicPr/>
                  </pic:nvPicPr>
                  <pic:blipFill>
                    <a:blip r:embed="rId289" cstate="email">
                      <a:extLst>
                        <a:ext uri="{28A0092B-C50C-407E-A947-70E740481C1C}">
                          <a14:useLocalDpi xmlns:a14="http://schemas.microsoft.com/office/drawing/2010/main"/>
                        </a:ext>
                      </a:extLst>
                    </a:blip>
                    <a:stretch>
                      <a:fillRect/>
                    </a:stretch>
                  </pic:blipFill>
                  <pic:spPr>
                    <a:xfrm>
                      <a:off x="0" y="0"/>
                      <a:ext cx="2903833" cy="3611056"/>
                    </a:xfrm>
                    <a:prstGeom prst="rect">
                      <a:avLst/>
                    </a:prstGeom>
                  </pic:spPr>
                </pic:pic>
              </a:graphicData>
            </a:graphic>
          </wp:inline>
        </w:drawing>
      </w:r>
    </w:p>
    <w:p w14:paraId="7DBD0813" w14:textId="513C5FB1"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34 Drawing of burial chamber İK05 and the burial bed/kline</w:t>
      </w:r>
      <w:r w:rsidRPr="002B4DAC">
        <w:rPr>
          <w:rFonts w:ascii="Times New Roman" w:hAnsi="Times New Roman"/>
          <w:i/>
          <w:szCs w:val="22"/>
          <w:lang w:val="en-GB"/>
        </w:rPr>
        <w:t xml:space="preserve"> </w:t>
      </w:r>
      <w:r w:rsidRPr="002B4DAC">
        <w:rPr>
          <w:rFonts w:ascii="Times New Roman" w:hAnsi="Times New Roman"/>
          <w:szCs w:val="22"/>
          <w:lang w:val="en-GB"/>
        </w:rPr>
        <w:t>west of the second hall in the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Pr>
          <w:rFonts w:ascii="Times New Roman" w:hAnsi="Times New Roman"/>
          <w:szCs w:val="22"/>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szCs w:val="22"/>
          <w:lang w:val="en-GB"/>
        </w:rPr>
        <w:fldChar w:fldCharType="end"/>
      </w:r>
      <w:r w:rsidRPr="002B4DAC">
        <w:rPr>
          <w:rFonts w:ascii="Times New Roman" w:hAnsi="Times New Roman"/>
          <w:szCs w:val="22"/>
          <w:lang w:val="en-GB"/>
        </w:rPr>
        <w:t>.</w:t>
      </w:r>
    </w:p>
    <w:p w14:paraId="57EBCC7E"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09AAF40D" wp14:editId="7E615E20">
            <wp:extent cx="5756910" cy="5211445"/>
            <wp:effectExtent l="0" t="0" r="0" b="0"/>
            <wp:docPr id="556183565" name="Resim 12" descr="tasla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83565" name="Resim 12" descr="taslak, çizim içeren bir resim&#10;&#10;Açıklama otomatik olarak oluşturuldu"/>
                    <pic:cNvPicPr/>
                  </pic:nvPicPr>
                  <pic:blipFill>
                    <a:blip r:embed="rId290" cstate="email">
                      <a:extLst>
                        <a:ext uri="{28A0092B-C50C-407E-A947-70E740481C1C}">
                          <a14:useLocalDpi xmlns:a14="http://schemas.microsoft.com/office/drawing/2010/main"/>
                        </a:ext>
                      </a:extLst>
                    </a:blip>
                    <a:stretch>
                      <a:fillRect/>
                    </a:stretch>
                  </pic:blipFill>
                  <pic:spPr>
                    <a:xfrm>
                      <a:off x="0" y="0"/>
                      <a:ext cx="5756910" cy="5211445"/>
                    </a:xfrm>
                    <a:prstGeom prst="rect">
                      <a:avLst/>
                    </a:prstGeom>
                  </pic:spPr>
                </pic:pic>
              </a:graphicData>
            </a:graphic>
          </wp:inline>
        </w:drawing>
      </w:r>
    </w:p>
    <w:p w14:paraId="0C10E6E7"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35 Plan, section, and view drawings of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w:t>
      </w:r>
    </w:p>
    <w:p w14:paraId="7F76D952"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7864F5CC" wp14:editId="54367CD5">
            <wp:extent cx="4808220" cy="3205287"/>
            <wp:effectExtent l="0" t="0" r="5080" b="0"/>
            <wp:docPr id="205" name="Resim 205" descr="bina, dış mekan, gökyüzü,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descr="bina, dış mekan, gökyüzü, kaya içeren bir resim&#10;&#10;Açıklama otomatik olarak oluşturuldu"/>
                    <pic:cNvPicPr/>
                  </pic:nvPicPr>
                  <pic:blipFill>
                    <a:blip r:embed="rId291" cstate="email">
                      <a:extLst>
                        <a:ext uri="{28A0092B-C50C-407E-A947-70E740481C1C}">
                          <a14:useLocalDpi xmlns:a14="http://schemas.microsoft.com/office/drawing/2010/main"/>
                        </a:ext>
                      </a:extLst>
                    </a:blip>
                    <a:stretch>
                      <a:fillRect/>
                    </a:stretch>
                  </pic:blipFill>
                  <pic:spPr>
                    <a:xfrm>
                      <a:off x="0" y="0"/>
                      <a:ext cx="4825185" cy="3216597"/>
                    </a:xfrm>
                    <a:prstGeom prst="rect">
                      <a:avLst/>
                    </a:prstGeom>
                  </pic:spPr>
                </pic:pic>
              </a:graphicData>
            </a:graphic>
          </wp:inline>
        </w:drawing>
      </w:r>
    </w:p>
    <w:p w14:paraId="0D7C21D8"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36 Front view of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From this view, the facade arrangement of the tomb resembles an Urartian</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"Urartian"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structure.</w:t>
      </w:r>
    </w:p>
    <w:p w14:paraId="6E2B031A"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495FDC9B" wp14:editId="7D9F0F5B">
            <wp:extent cx="5365819" cy="3553243"/>
            <wp:effectExtent l="0" t="0" r="0" b="3175"/>
            <wp:docPr id="600711104" name="Resim 6" descr="taslak, çizim, sanat,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11104" name="Resim 6" descr="taslak, çizim, sanat, çocukların yaptığı resimler içeren bir resim&#10;&#10;Açıklama otomatik olarak oluşturuldu"/>
                    <pic:cNvPicPr/>
                  </pic:nvPicPr>
                  <pic:blipFill>
                    <a:blip r:embed="rId292" cstate="email">
                      <a:extLst>
                        <a:ext uri="{28A0092B-C50C-407E-A947-70E740481C1C}">
                          <a14:useLocalDpi xmlns:a14="http://schemas.microsoft.com/office/drawing/2010/main"/>
                        </a:ext>
                      </a:extLst>
                    </a:blip>
                    <a:stretch>
                      <a:fillRect/>
                    </a:stretch>
                  </pic:blipFill>
                  <pic:spPr>
                    <a:xfrm>
                      <a:off x="0" y="0"/>
                      <a:ext cx="5390520" cy="3569600"/>
                    </a:xfrm>
                    <a:prstGeom prst="rect">
                      <a:avLst/>
                    </a:prstGeom>
                  </pic:spPr>
                </pic:pic>
              </a:graphicData>
            </a:graphic>
          </wp:inline>
        </w:drawing>
      </w:r>
    </w:p>
    <w:p w14:paraId="03230006"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37</w:t>
      </w:r>
      <w:r w:rsidRPr="002B4DAC">
        <w:rPr>
          <w:rFonts w:ascii="Times New Roman" w:hAnsi="Times New Roman"/>
          <w:color w:val="FF0000"/>
          <w:szCs w:val="22"/>
          <w:lang w:val="en-GB"/>
        </w:rPr>
        <w:t xml:space="preserve"> </w:t>
      </w:r>
      <w:r w:rsidRPr="002B4DAC">
        <w:rPr>
          <w:rFonts w:ascii="Times New Roman" w:hAnsi="Times New Roman"/>
          <w:szCs w:val="22"/>
          <w:lang w:val="en-GB"/>
        </w:rPr>
        <w:t>Facade drawing of the area named the Great Platform</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Great Platform</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and the surrounding tombs and the tower-shaped facade restitution of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p>
    <w:p w14:paraId="70C49827" w14:textId="77777777" w:rsidR="006B23DC" w:rsidRPr="002B4DAC" w:rsidRDefault="006B23DC" w:rsidP="006B23DC">
      <w:pPr>
        <w:spacing w:before="100" w:beforeAutospacing="1" w:after="100" w:afterAutospacing="1"/>
        <w:jc w:val="both"/>
        <w:rPr>
          <w:rFonts w:ascii="Times New Roman" w:hAnsi="Times New Roman"/>
          <w:szCs w:val="22"/>
          <w:lang w:val="en-GB"/>
        </w:rPr>
      </w:pPr>
    </w:p>
    <w:p w14:paraId="410E164B"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5A1D0939" wp14:editId="26F7B097">
            <wp:extent cx="2588079" cy="3880247"/>
            <wp:effectExtent l="0" t="0" r="3175" b="0"/>
            <wp:docPr id="206" name="Resim 206" descr="kaya, taş, beton, del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descr="kaya, taş, beton, delik içeren bir resim&#10;&#10;Açıklama otomatik olarak oluşturuldu"/>
                    <pic:cNvPicPr/>
                  </pic:nvPicPr>
                  <pic:blipFill>
                    <a:blip r:embed="rId293" cstate="email">
                      <a:extLst>
                        <a:ext uri="{28A0092B-C50C-407E-A947-70E740481C1C}">
                          <a14:useLocalDpi xmlns:a14="http://schemas.microsoft.com/office/drawing/2010/main"/>
                        </a:ext>
                      </a:extLst>
                    </a:blip>
                    <a:stretch>
                      <a:fillRect/>
                    </a:stretch>
                  </pic:blipFill>
                  <pic:spPr>
                    <a:xfrm>
                      <a:off x="0" y="0"/>
                      <a:ext cx="2622218" cy="3931431"/>
                    </a:xfrm>
                    <a:prstGeom prst="rect">
                      <a:avLst/>
                    </a:prstGeom>
                  </pic:spPr>
                </pic:pic>
              </a:graphicData>
            </a:graphic>
          </wp:inline>
        </w:drawing>
      </w:r>
    </w:p>
    <w:p w14:paraId="547A0AE5" w14:textId="74893B14"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38 Steps leading upward to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and the arched door carved onto the bedrock. This aspect of the door makes it unique among the examples from the citadel.</w:t>
      </w:r>
    </w:p>
    <w:p w14:paraId="6900D040"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073E6561" wp14:editId="7FC3E984">
            <wp:extent cx="5270500" cy="3513455"/>
            <wp:effectExtent l="0" t="0" r="0" b="4445"/>
            <wp:docPr id="207" name="Resim 207" descr="dış mekan, taş, yol, yönte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33" descr="dış mekan, taş, yol, yöntem içeren bir resim&#10;&#10;Açıklama otomatik olarak oluşturuldu"/>
                    <pic:cNvPicPr/>
                  </pic:nvPicPr>
                  <pic:blipFill>
                    <a:blip r:embed="rId294"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5F421804" w14:textId="7FE260ED"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39 Main Hall of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Similar to the İç Kale</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"İç Kale"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tomb</w:t>
      </w:r>
      <w:r>
        <w:rPr>
          <w:rFonts w:ascii="Times New Roman" w:hAnsi="Times New Roman"/>
          <w:szCs w:val="22"/>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szCs w:val="22"/>
          <w:lang w:val="en-GB"/>
        </w:rPr>
        <w:fldChar w:fldCharType="end"/>
      </w:r>
      <w:r w:rsidRPr="002B4DAC">
        <w:rPr>
          <w:rFonts w:ascii="Times New Roman" w:hAnsi="Times New Roman"/>
          <w:szCs w:val="22"/>
          <w:lang w:val="en-GB"/>
        </w:rPr>
        <w:t>, the ceiling was carved in barrel vault shape.</w:t>
      </w:r>
    </w:p>
    <w:p w14:paraId="05A03975"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19E25E66" wp14:editId="1C4C22AF">
            <wp:extent cx="4813160" cy="3196402"/>
            <wp:effectExtent l="0" t="0" r="635" b="4445"/>
            <wp:docPr id="208" name="Resim 208" descr="dış mekan, doğ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im 34" descr="dış mekan, doğa, taş içeren bir resim&#10;&#10;Açıklama otomatik olarak oluşturuldu"/>
                    <pic:cNvPicPr/>
                  </pic:nvPicPr>
                  <pic:blipFill>
                    <a:blip r:embed="rId295" cstate="email">
                      <a:extLst>
                        <a:ext uri="{28A0092B-C50C-407E-A947-70E740481C1C}">
                          <a14:useLocalDpi xmlns:a14="http://schemas.microsoft.com/office/drawing/2010/main"/>
                        </a:ext>
                      </a:extLst>
                    </a:blip>
                    <a:stretch>
                      <a:fillRect/>
                    </a:stretch>
                  </pic:blipFill>
                  <pic:spPr>
                    <a:xfrm>
                      <a:off x="0" y="0"/>
                      <a:ext cx="4836032" cy="3211591"/>
                    </a:xfrm>
                    <a:prstGeom prst="rect">
                      <a:avLst/>
                    </a:prstGeom>
                  </pic:spPr>
                </pic:pic>
              </a:graphicData>
            </a:graphic>
          </wp:inline>
        </w:drawing>
      </w:r>
    </w:p>
    <w:p w14:paraId="6EC8F579" w14:textId="33AFBD61"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40 Burial chamber (NK04) to the northeast of the main hall in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stands out with its unique design. The western section where the platform lies was designed narrower.</w:t>
      </w:r>
    </w:p>
    <w:p w14:paraId="2E7E1719"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2FDB4CD2" wp14:editId="0B1EE571">
            <wp:extent cx="4744016" cy="3312247"/>
            <wp:effectExtent l="0" t="0" r="6350" b="2540"/>
            <wp:docPr id="689223022" name="Resim 7" descr="bina, simetri, bakışım, alçı,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23022" name="Resim 7" descr="bina, simetri, bakışım, alçı, duvar içeren bir resim&#10;&#10;Açıklama otomatik olarak oluşturuldu"/>
                    <pic:cNvPicPr/>
                  </pic:nvPicPr>
                  <pic:blipFill>
                    <a:blip r:embed="rId296" cstate="email">
                      <a:extLst>
                        <a:ext uri="{28A0092B-C50C-407E-A947-70E740481C1C}">
                          <a14:useLocalDpi xmlns:a14="http://schemas.microsoft.com/office/drawing/2010/main"/>
                        </a:ext>
                      </a:extLst>
                    </a:blip>
                    <a:stretch>
                      <a:fillRect/>
                    </a:stretch>
                  </pic:blipFill>
                  <pic:spPr>
                    <a:xfrm>
                      <a:off x="0" y="0"/>
                      <a:ext cx="4744016" cy="3312247"/>
                    </a:xfrm>
                    <a:prstGeom prst="rect">
                      <a:avLst/>
                    </a:prstGeom>
                  </pic:spPr>
                </pic:pic>
              </a:graphicData>
            </a:graphic>
          </wp:inline>
        </w:drawing>
      </w:r>
    </w:p>
    <w:p w14:paraId="3648E264"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41 Restitution of the burial chamber (NK04) northeast of the main hall in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w:t>
      </w:r>
    </w:p>
    <w:p w14:paraId="2521D4AC" w14:textId="77777777" w:rsidR="006B23DC" w:rsidRPr="002B4DAC" w:rsidRDefault="006B23DC" w:rsidP="006B23DC">
      <w:pPr>
        <w:jc w:val="both"/>
        <w:rPr>
          <w:rFonts w:ascii="Times New Roman" w:hAnsi="Times New Roman"/>
          <w:b/>
          <w:lang w:val="en-GB"/>
        </w:rPr>
      </w:pPr>
      <w:r w:rsidRPr="002B4DAC">
        <w:rPr>
          <w:rFonts w:ascii="Times New Roman" w:hAnsi="Times New Roman"/>
          <w:b/>
          <w:lang w:val="en-GB"/>
        </w:rPr>
        <w:br w:type="page"/>
      </w:r>
    </w:p>
    <w:p w14:paraId="1DE882C2" w14:textId="77777777" w:rsidR="006B23DC" w:rsidRPr="002B4DAC" w:rsidRDefault="006B23DC" w:rsidP="006B23DC">
      <w:pPr>
        <w:spacing w:before="100" w:beforeAutospacing="1" w:after="100" w:afterAutospacing="1"/>
        <w:jc w:val="both"/>
        <w:outlineLvl w:val="3"/>
        <w:rPr>
          <w:rFonts w:ascii="Times New Roman" w:hAnsi="Times New Roman"/>
          <w:b/>
          <w:lang w:val="en-GB"/>
        </w:rPr>
      </w:pPr>
      <w:r w:rsidRPr="002B4DAC">
        <w:rPr>
          <w:rFonts w:ascii="Times New Roman" w:hAnsi="Times New Roman"/>
          <w:b/>
          <w:lang w:val="en-GB"/>
        </w:rPr>
        <w:lastRenderedPageBreak/>
        <w:t>9.3.3.2. The Neft Kuyu</w:t>
      </w:r>
      <w:r>
        <w:rPr>
          <w:rFonts w:asciiTheme="majorBidi" w:hAnsiTheme="majorBidi" w:cstheme="majorBidi"/>
          <w:b/>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b/>
          <w:lang w:val="en-GB"/>
        </w:rPr>
        <w:fldChar w:fldCharType="end"/>
      </w:r>
      <w:r w:rsidRPr="002B4DAC">
        <w:rPr>
          <w:rFonts w:ascii="Times New Roman" w:hAnsi="Times New Roman"/>
          <w:b/>
          <w:lang w:val="en-GB"/>
        </w:rPr>
        <w:t xml:space="preserve"> Tomb</w:t>
      </w:r>
    </w:p>
    <w:p w14:paraId="7BED0FC2" w14:textId="77777777"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lang w:val="en-GB"/>
        </w:rPr>
        <w:t>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tomb</w:t>
      </w:r>
      <w:r w:rsidRPr="00A232A9">
        <w:rPr>
          <w:rFonts w:ascii="Times New Roman" w:eastAsia="Calibri" w:hAnsi="Times New Roman" w:cs="Times New Roman"/>
          <w:lang w:val="en-GB"/>
        </w:rPr>
        <w:t> </w:t>
      </w:r>
      <w:r w:rsidRPr="002B4DAC">
        <w:rPr>
          <w:rFonts w:ascii="Times New Roman" w:hAnsi="Times New Roman"/>
          <w:lang w:val="en-GB"/>
        </w:rPr>
        <w:t>is located to the north of the Great Platform</w:t>
      </w:r>
      <w:r>
        <w:rPr>
          <w:rFonts w:ascii="Times New Roman" w:eastAsia="Calibri" w:hAnsi="Times New Roman" w:cs="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"Great Platform"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lang w:val="en-GB"/>
        </w:rPr>
        <w:t xml:space="preserve"> It was carved into the bedrock on a northeast-southwest axis (Fig. 35). The tomb is striking and unique due to its monumental façade, overlooking the Old </w:t>
      </w:r>
      <w:r>
        <w:rPr>
          <w:rFonts w:ascii="Times New Roman" w:hAnsi="Times New Roman"/>
          <w:lang w:val="en-GB"/>
        </w:rPr>
        <w:t xml:space="preserve">Van </w:t>
      </w:r>
      <w:r w:rsidRPr="002B4DAC">
        <w:rPr>
          <w:rFonts w:ascii="Times New Roman" w:hAnsi="Times New Roman"/>
          <w:lang w:val="en-GB"/>
        </w:rPr>
        <w:t>City</w:t>
      </w:r>
      <w:r>
        <w:rPr>
          <w:rFonts w:ascii="Times New Roman" w:eastAsia="Calibri" w:hAnsi="Times New Roman" w:cs="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Pr>
          <w:rFonts w:asciiTheme="majorBidi" w:hAnsiTheme="majorBidi" w:cstheme="majorBidi"/>
          <w:color w:val="000000" w:themeColor="text1"/>
          <w:lang w:val="en-GB"/>
        </w:rPr>
        <w:instrText>Old Van City</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towards the south (Fig. 36-37). The facade, measuring 26 x 24.50 m, was carved into the bedrock in two panels at about 0.50 cm depth.</w:t>
      </w:r>
    </w:p>
    <w:p w14:paraId="50828A06"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drawing>
          <wp:inline distT="0" distB="0" distL="0" distR="0" wp14:anchorId="3B54C8AA" wp14:editId="3EA2E678">
            <wp:extent cx="4174958" cy="2783138"/>
            <wp:effectExtent l="0" t="0" r="3810" b="0"/>
            <wp:docPr id="209" name="Resim 209" descr="doğa, kireç taşı,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Resim 209" descr="doğa, kireç taşı, mağara içeren bir resim&#10;&#10;Açıklama otomatik olarak oluşturuldu"/>
                    <pic:cNvPicPr/>
                  </pic:nvPicPr>
                  <pic:blipFill>
                    <a:blip r:embed="rId297" cstate="email">
                      <a:extLst>
                        <a:ext uri="{28A0092B-C50C-407E-A947-70E740481C1C}">
                          <a14:useLocalDpi xmlns:a14="http://schemas.microsoft.com/office/drawing/2010/main"/>
                        </a:ext>
                      </a:extLst>
                    </a:blip>
                    <a:stretch>
                      <a:fillRect/>
                    </a:stretch>
                  </pic:blipFill>
                  <pic:spPr>
                    <a:xfrm>
                      <a:off x="0" y="0"/>
                      <a:ext cx="4194820" cy="2796379"/>
                    </a:xfrm>
                    <a:prstGeom prst="rect">
                      <a:avLst/>
                    </a:prstGeom>
                  </pic:spPr>
                </pic:pic>
              </a:graphicData>
            </a:graphic>
          </wp:inline>
        </w:drawing>
      </w:r>
    </w:p>
    <w:p w14:paraId="3AF5EE75"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Fig. 42 Moulding/cornice arrangement in burial chamber NK04 in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tomb.</w:t>
      </w:r>
    </w:p>
    <w:p w14:paraId="07C9D606" w14:textId="77777777"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lang w:val="en-GB"/>
        </w:rPr>
        <w:t>The lower panel measures approximately 24.00 x 10.20 m. An approximately 2.77 m thick line separates this lower panel from the second panel above. The second panel measures 22.5 x 4.25 m. This dynamic facade was most probably shaped by inspiration from the monumental buildings of the Urartian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kingdom</w:t>
      </w:r>
      <w:r w:rsidRPr="00A232A9">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Pr>
          <w:rFonts w:asciiTheme="majorBidi" w:hAnsiTheme="majorBidi" w:cstheme="majorBidi"/>
          <w:lang w:val="en-GB"/>
        </w:rPr>
        <w:instrText>k</w:instrText>
      </w:r>
      <w:r w:rsidRPr="00F03A26">
        <w:rPr>
          <w:rFonts w:asciiTheme="majorBidi" w:hAnsiTheme="majorBidi" w:cstheme="majorBidi"/>
          <w:lang w:val="en-GB"/>
        </w:rPr>
        <w:instrText xml:space="preserve">ingdom"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lang w:val="en-GB"/>
        </w:rPr>
        <w:t xml:space="preserve"> Along the edge, where the </w:t>
      </w:r>
      <w:r w:rsidRPr="00A232A9">
        <w:rPr>
          <w:rFonts w:ascii="Times New Roman" w:eastAsia="Calibri" w:hAnsi="Times New Roman" w:cs="Times New Roman"/>
          <w:lang w:val="en-GB"/>
        </w:rPr>
        <w:t xml:space="preserve">burial chamber's </w:t>
      </w:r>
      <w:r w:rsidRPr="002B4DAC">
        <w:rPr>
          <w:rFonts w:ascii="Times New Roman" w:hAnsi="Times New Roman"/>
          <w:lang w:val="en-GB"/>
        </w:rPr>
        <w:t xml:space="preserve">southern facade meets the </w:t>
      </w:r>
      <w:r w:rsidRPr="00A232A9">
        <w:rPr>
          <w:rFonts w:ascii="Times New Roman" w:eastAsia="Calibri" w:hAnsi="Times New Roman" w:cs="Times New Roman"/>
          <w:lang w:val="en-GB"/>
        </w:rPr>
        <w:t xml:space="preserve">platform's </w:t>
      </w:r>
      <w:r w:rsidRPr="002B4DAC">
        <w:rPr>
          <w:rFonts w:ascii="Times New Roman" w:hAnsi="Times New Roman"/>
          <w:lang w:val="en-GB"/>
        </w:rPr>
        <w:t>floor level, a bench of 50-60 cm width was carved into the bedrock.</w:t>
      </w:r>
    </w:p>
    <w:p w14:paraId="65245DA6"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lastRenderedPageBreak/>
        <w:drawing>
          <wp:inline distT="0" distB="0" distL="0" distR="0" wp14:anchorId="0A7052BA" wp14:editId="122267D7">
            <wp:extent cx="3040406" cy="4171950"/>
            <wp:effectExtent l="0" t="0" r="0" b="0"/>
            <wp:docPr id="210" name="Resim 210" descr="dış mekan, kaya, mağara,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Resim 210" descr="dış mekan, kaya, mağara, dip kaya içeren bir resim&#10;&#10;Açıklama otomatik olarak oluşturuldu"/>
                    <pic:cNvPicPr/>
                  </pic:nvPicPr>
                  <pic:blipFill>
                    <a:blip r:embed="rId298" cstate="email">
                      <a:extLst>
                        <a:ext uri="{28A0092B-C50C-407E-A947-70E740481C1C}">
                          <a14:useLocalDpi xmlns:a14="http://schemas.microsoft.com/office/drawing/2010/main"/>
                        </a:ext>
                      </a:extLst>
                    </a:blip>
                    <a:stretch>
                      <a:fillRect/>
                    </a:stretch>
                  </pic:blipFill>
                  <pic:spPr>
                    <a:xfrm>
                      <a:off x="0" y="0"/>
                      <a:ext cx="3056439" cy="4193950"/>
                    </a:xfrm>
                    <a:prstGeom prst="rect">
                      <a:avLst/>
                    </a:prstGeom>
                  </pic:spPr>
                </pic:pic>
              </a:graphicData>
            </a:graphic>
          </wp:inline>
        </w:drawing>
      </w:r>
    </w:p>
    <w:p w14:paraId="3F298F5B"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Fig. 43 The short western wall of burial chamber NK04 in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tomb and the molding/cornice arrangement in the platform section.</w:t>
      </w:r>
    </w:p>
    <w:p w14:paraId="386D7F09"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 xml:space="preserve">The main hall is reached from the platform through a flight of six steps carved into the bedrock. The arched door with a lightning fixture (?) was carved in two sectors. Its outer face is </w:t>
      </w:r>
      <w:r w:rsidRPr="00A232A9">
        <w:rPr>
          <w:rFonts w:ascii="Times New Roman" w:eastAsia="Calibri" w:hAnsi="Times New Roman" w:cs="Times New Roman"/>
          <w:lang w:val="en-GB"/>
        </w:rPr>
        <w:t>narrow</w:t>
      </w:r>
      <w:r w:rsidRPr="002B4DAC">
        <w:rPr>
          <w:rFonts w:ascii="Times New Roman" w:hAnsi="Times New Roman"/>
          <w:lang w:val="en-GB"/>
        </w:rPr>
        <w:t xml:space="preserve"> (1.57 m wide, 0. 94 m deep, and about 3.70 m high) (Fig. 38). Behind this area is another space measuring 2.05 m in width and 1.17 m in depth. The two sectors combine to make an entrance corridor in 2.11 m depth. To the left of the second sector, one finds an L-shaped hollow</w:t>
      </w:r>
      <w:r w:rsidRPr="00A232A9">
        <w:rPr>
          <w:rFonts w:ascii="Times New Roman" w:eastAsia="Calibri" w:hAnsi="Times New Roman" w:cs="Times New Roman"/>
          <w:lang w:val="en-GB"/>
        </w:rPr>
        <w:t>,</w:t>
      </w:r>
      <w:r w:rsidRPr="002B4DAC">
        <w:rPr>
          <w:rFonts w:ascii="Times New Roman" w:hAnsi="Times New Roman"/>
          <w:lang w:val="en-GB"/>
        </w:rPr>
        <w:t xml:space="preserve"> and just above it is a door pivot bearing lying on the same axis. These indicate that the door was single-winged. </w:t>
      </w:r>
      <w:r w:rsidRPr="00A232A9">
        <w:rPr>
          <w:rFonts w:ascii="Times New Roman" w:eastAsia="Calibri" w:hAnsi="Times New Roman" w:cs="Times New Roman"/>
          <w:lang w:val="en-GB"/>
        </w:rPr>
        <w:t>The</w:t>
      </w:r>
      <w:r w:rsidRPr="002B4DAC">
        <w:rPr>
          <w:rFonts w:ascii="Times New Roman" w:hAnsi="Times New Roman"/>
          <w:lang w:val="en-GB"/>
        </w:rPr>
        <w:t xml:space="preserve"> hollows on the left face of the doorframe could be related to the </w:t>
      </w:r>
      <w:r w:rsidRPr="00A232A9">
        <w:rPr>
          <w:rFonts w:ascii="Times New Roman" w:eastAsia="Calibri" w:hAnsi="Times New Roman" w:cs="Times New Roman"/>
          <w:lang w:val="en-GB"/>
        </w:rPr>
        <w:t xml:space="preserve">door's </w:t>
      </w:r>
      <w:r w:rsidRPr="002B4DAC">
        <w:rPr>
          <w:rFonts w:ascii="Times New Roman" w:hAnsi="Times New Roman"/>
          <w:lang w:val="en-GB"/>
        </w:rPr>
        <w:t>locking mechanism. However, as mentioned earlier, the tombs discussed here have been used for other purposes long after losing their original function. Thus, it would be appropriate to re-evaluate some of the elements discussed here,</w:t>
      </w:r>
      <w:r w:rsidRPr="00A232A9">
        <w:rPr>
          <w:rFonts w:ascii="Times New Roman" w:eastAsia="Calibri" w:hAnsi="Times New Roman" w:cs="Times New Roman"/>
          <w:lang w:val="en-GB"/>
        </w:rPr>
        <w:t xml:space="preserve"> especially</w:t>
      </w:r>
      <w:r w:rsidRPr="002B4DAC">
        <w:rPr>
          <w:rFonts w:ascii="Times New Roman" w:hAnsi="Times New Roman"/>
          <w:lang w:val="en-GB"/>
        </w:rPr>
        <w:t xml:space="preserve"> with such an approach. By nature of their function, the lock systems, in particular, are inevitably prone to several maintenance activities.</w:t>
      </w:r>
    </w:p>
    <w:p w14:paraId="5BAF421A" w14:textId="755B8099"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lang w:val="en-GB"/>
        </w:rPr>
        <w:t>The main hall</w:t>
      </w:r>
      <w:r w:rsidRPr="00A232A9">
        <w:rPr>
          <w:rFonts w:ascii="Times New Roman" w:eastAsia="Calibri" w:hAnsi="Times New Roman" w:cs="Times New Roman"/>
          <w:lang w:val="en-GB"/>
        </w:rPr>
        <w:t>,</w:t>
      </w:r>
      <w:r w:rsidRPr="002B4DAC">
        <w:rPr>
          <w:rFonts w:ascii="Times New Roman" w:hAnsi="Times New Roman"/>
          <w:lang w:val="en-GB"/>
        </w:rPr>
        <w:t xml:space="preserve"> measuring approximately 12.40 x 7.20 m with a height of 8.50 m</w:t>
      </w:r>
      <w:r w:rsidRPr="00A232A9">
        <w:rPr>
          <w:rFonts w:ascii="Times New Roman" w:eastAsia="Calibri" w:hAnsi="Times New Roman" w:cs="Times New Roman"/>
          <w:lang w:val="en-GB"/>
        </w:rPr>
        <w:t>,</w:t>
      </w:r>
      <w:r w:rsidRPr="002B4DAC">
        <w:rPr>
          <w:rFonts w:ascii="Times New Roman" w:hAnsi="Times New Roman"/>
          <w:lang w:val="en-GB"/>
        </w:rPr>
        <w:t xml:space="preserve"> is covered with a barrel vault</w:t>
      </w:r>
      <w:r w:rsidRPr="00A232A9">
        <w:rPr>
          <w:rFonts w:ascii="Times New Roman" w:eastAsia="Calibri" w:hAnsi="Times New Roman" w:cs="Times New Roman"/>
          <w:lang w:val="en-GB"/>
        </w:rPr>
        <w:t>-</w:t>
      </w:r>
      <w:r w:rsidRPr="002B4DAC">
        <w:rPr>
          <w:rFonts w:ascii="Times New Roman" w:hAnsi="Times New Roman"/>
          <w:lang w:val="en-GB"/>
        </w:rPr>
        <w:t>shaped ceiling (Fig. 39). the tomb bears similarities with the İç Kale</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tomb</w:t>
      </w:r>
      <w:r w:rsidR="00DF3B77">
        <w:rPr>
          <w:rFonts w:ascii="Times New Roman" w:hAnsi="Times New Roman"/>
          <w:lang w:val="en-GB"/>
        </w:rPr>
        <w:fldChar w:fldCharType="begin"/>
      </w:r>
      <w:r w:rsidR="00DF3B77">
        <w:instrText xml:space="preserve"> XE "</w:instrText>
      </w:r>
      <w:r w:rsidR="00DF3B77" w:rsidRPr="00C058CA">
        <w:rPr>
          <w:rFonts w:ascii="Times New Roman" w:hAnsi="Times New Roman"/>
          <w:lang w:val="en-GB"/>
        </w:rPr>
        <w:instrText>İç Kale</w:instrText>
      </w:r>
      <w:r w:rsidR="00DF3B77" w:rsidRPr="00C058CA">
        <w:rPr>
          <w:rFonts w:ascii="Times New Roman" w:eastAsia="Calibri" w:hAnsi="Times New Roman" w:cs="Times New Roman"/>
          <w:lang w:val="en-GB"/>
        </w:rPr>
        <w:instrText> </w:instrText>
      </w:r>
      <w:r w:rsidR="00DF3B77" w:rsidRPr="00C058CA">
        <w:rPr>
          <w:rFonts w:ascii="Times New Roman" w:hAnsi="Times New Roman"/>
          <w:lang w:val="en-GB"/>
        </w:rPr>
        <w:instrText>tomb</w:instrText>
      </w:r>
      <w:r w:rsidR="00DF3B77">
        <w:instrText xml:space="preserve">" </w:instrText>
      </w:r>
      <w:r w:rsidR="00DF3B77">
        <w:rPr>
          <w:rFonts w:ascii="Times New Roman" w:hAnsi="Times New Roman"/>
          <w:lang w:val="en-GB"/>
        </w:rPr>
        <w:fldChar w:fldCharType="end"/>
      </w:r>
      <w:r w:rsidRPr="00A232A9">
        <w:rPr>
          <w:rFonts w:ascii="Times New Roman" w:eastAsia="Calibri" w:hAnsi="Times New Roman" w:cs="Times New Roman"/>
          <w:lang w:val="en-GB"/>
        </w:rPr>
        <w:t>.</w:t>
      </w:r>
      <w:r w:rsidRPr="002B4DAC">
        <w:rPr>
          <w:rFonts w:ascii="Times New Roman" w:hAnsi="Times New Roman"/>
          <w:lang w:val="en-GB"/>
        </w:rPr>
        <w:t xml:space="preserve"> The edges where the vault meets the long sidewalls were adorned with a double-layered cornice with scallops (semi-circular notches </w:t>
      </w:r>
      <w:r w:rsidRPr="00A232A9">
        <w:rPr>
          <w:rFonts w:ascii="Times New Roman" w:eastAsia="Calibri" w:hAnsi="Times New Roman" w:cs="Times New Roman"/>
          <w:lang w:val="en-GB"/>
        </w:rPr>
        <w:t>moldings</w:t>
      </w:r>
      <w:r w:rsidRPr="002B4DAC">
        <w:rPr>
          <w:rFonts w:ascii="Times New Roman" w:hAnsi="Times New Roman"/>
          <w:lang w:val="en-GB"/>
        </w:rPr>
        <w:t>). These are thought to be representative of the wooden beams (Sevin, 2012).</w:t>
      </w:r>
    </w:p>
    <w:p w14:paraId="6D87C45F"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lastRenderedPageBreak/>
        <w:drawing>
          <wp:inline distT="0" distB="0" distL="0" distR="0" wp14:anchorId="4CF65468" wp14:editId="2111078E">
            <wp:extent cx="5270500" cy="3513455"/>
            <wp:effectExtent l="0" t="0" r="0" b="4445"/>
            <wp:docPr id="211" name="Resim 211" descr="doğa, duvar, iç meka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esim 211" descr="doğa, duvar, iç mekan, mağara içeren bir resim&#10;&#10;Açıklama otomatik olarak oluşturuldu"/>
                    <pic:cNvPicPr/>
                  </pic:nvPicPr>
                  <pic:blipFill>
                    <a:blip r:embed="rId299"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0C85640E"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Fig. 44 Room (NK03) northwest of the hall in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tomb. The dimensions of the niches inside the room are unique.</w:t>
      </w:r>
    </w:p>
    <w:p w14:paraId="745C2401"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 xml:space="preserve">The main hall has one other chamber on each side, while two other burial chambers are located north of the main hall (Piotrovsky, 1966: 305, Fig. 60). The poor </w:t>
      </w:r>
      <w:r w:rsidRPr="00A232A9">
        <w:rPr>
          <w:rFonts w:ascii="Times New Roman" w:eastAsia="Calibri" w:hAnsi="Times New Roman" w:cs="Times New Roman"/>
          <w:lang w:val="en-GB"/>
        </w:rPr>
        <w:t>quality</w:t>
      </w:r>
      <w:r w:rsidRPr="002B4DAC">
        <w:rPr>
          <w:rFonts w:ascii="Times New Roman" w:hAnsi="Times New Roman"/>
          <w:lang w:val="en-GB"/>
        </w:rPr>
        <w:t xml:space="preserve"> of the burial chamber to the east of the main hall is noteworthy. A passage measuring 0.80 m in width and 1.85 m in depth was built to reach this section. The section has an irregular plan, implying the possibility that it was left unfinished, with a surface area ranging between 2.75-3.30 m (Fig. 35). The burial chamber to the west of the main hall, on the other hand, is reached by </w:t>
      </w:r>
      <w:r w:rsidRPr="00A232A9">
        <w:rPr>
          <w:rFonts w:ascii="Times New Roman" w:eastAsia="Calibri" w:hAnsi="Times New Roman" w:cs="Times New Roman"/>
          <w:lang w:val="en-GB"/>
        </w:rPr>
        <w:t xml:space="preserve">the </w:t>
      </w:r>
      <w:r w:rsidRPr="002B4DAC">
        <w:rPr>
          <w:rFonts w:ascii="Times New Roman" w:hAnsi="Times New Roman"/>
          <w:lang w:val="en-GB"/>
        </w:rPr>
        <w:t>opening of 0.90 m width and 2.00 m depth. This rectangular planned chamber, measuring 3.00 x 6.00 m, exhibits another example of poor workmanship.</w:t>
      </w:r>
    </w:p>
    <w:p w14:paraId="0DDE400A"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 xml:space="preserve">The two burial chambers north of the main hall stand out with better workmanship. </w:t>
      </w:r>
      <w:r w:rsidRPr="00A232A9">
        <w:rPr>
          <w:rFonts w:ascii="Times New Roman" w:eastAsia="Calibri" w:hAnsi="Times New Roman" w:cs="Times New Roman"/>
          <w:lang w:val="en-GB"/>
        </w:rPr>
        <w:t>A</w:t>
      </w:r>
      <w:r w:rsidRPr="002B4DAC">
        <w:rPr>
          <w:rFonts w:ascii="Times New Roman" w:hAnsi="Times New Roman"/>
          <w:lang w:val="en-GB"/>
        </w:rPr>
        <w:t xml:space="preserve"> doorway measuring 0.92-0.97 m in width and 1.35 m in depth</w:t>
      </w:r>
      <w:r w:rsidRPr="00A232A9">
        <w:rPr>
          <w:rFonts w:ascii="Times New Roman" w:eastAsia="Calibri" w:hAnsi="Times New Roman" w:cs="Times New Roman"/>
          <w:lang w:val="en-GB"/>
        </w:rPr>
        <w:t xml:space="preserve"> reaches the chamber to the east</w:t>
      </w:r>
      <w:r w:rsidRPr="002B4DAC">
        <w:rPr>
          <w:rFonts w:ascii="Times New Roman" w:hAnsi="Times New Roman"/>
          <w:lang w:val="en-GB"/>
        </w:rPr>
        <w:t xml:space="preserve">. The chamber measures 3.98 x 6.78 m and has a flat ceiling at 4.00 m height (Fig. 40-41). As in the main hall, the edge where the ceiling meets the sidewalls was also adorned with a two-layered notched </w:t>
      </w:r>
      <w:r w:rsidRPr="00A232A9">
        <w:rPr>
          <w:rFonts w:ascii="Times New Roman" w:eastAsia="Calibri" w:hAnsi="Times New Roman" w:cs="Times New Roman"/>
          <w:lang w:val="en-GB"/>
        </w:rPr>
        <w:t>molding</w:t>
      </w:r>
      <w:r w:rsidRPr="002B4DAC">
        <w:rPr>
          <w:rFonts w:ascii="Times New Roman" w:hAnsi="Times New Roman"/>
          <w:lang w:val="en-GB"/>
        </w:rPr>
        <w:t xml:space="preserve"> in this chamber as well (Fig. 41-43). The two layers protrude the upper layer by 33 cm and the lower layer by 17 cm. Adjacent to the short western wall of this chamber is a platform 1.50 m high. It was possibly used as a burial bed. However, the Ottoman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Ottoman</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tiled wall that was a later addition inside this chamber makes it difficult to observe the original construction of this feature.</w:t>
      </w:r>
    </w:p>
    <w:p w14:paraId="224B74E9" w14:textId="77777777"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lang w:val="en-GB"/>
        </w:rPr>
        <w:t>A doorway measuring 1.65 m in depth, 95 cm in width</w:t>
      </w:r>
      <w:r w:rsidRPr="00A232A9">
        <w:rPr>
          <w:rFonts w:ascii="Times New Roman" w:eastAsia="Calibri" w:hAnsi="Times New Roman" w:cs="Times New Roman"/>
          <w:lang w:val="en-GB"/>
        </w:rPr>
        <w:t>,</w:t>
      </w:r>
      <w:r w:rsidRPr="002B4DAC">
        <w:rPr>
          <w:rFonts w:ascii="Times New Roman" w:hAnsi="Times New Roman"/>
          <w:lang w:val="en-GB"/>
        </w:rPr>
        <w:t xml:space="preserve"> and 1.70 m in height gives access to another chamber adjacent to </w:t>
      </w:r>
      <w:r w:rsidRPr="00A232A9">
        <w:rPr>
          <w:rFonts w:ascii="Times New Roman" w:eastAsia="Calibri" w:hAnsi="Times New Roman" w:cs="Times New Roman"/>
          <w:lang w:val="en-GB"/>
        </w:rPr>
        <w:t>those above</w:t>
      </w:r>
      <w:r w:rsidRPr="002B4DAC">
        <w:rPr>
          <w:rFonts w:ascii="Times New Roman" w:hAnsi="Times New Roman"/>
          <w:lang w:val="en-GB"/>
        </w:rPr>
        <w:t xml:space="preserve"> one. This square planned room measures 4.06 x 3.67 m. The northern and western walls of this burial chamber each have a niche in the </w:t>
      </w:r>
      <w:r w:rsidRPr="00A232A9">
        <w:rPr>
          <w:rFonts w:ascii="Times New Roman" w:eastAsia="Calibri" w:hAnsi="Times New Roman" w:cs="Times New Roman"/>
          <w:lang w:val="en-GB"/>
        </w:rPr>
        <w:t>center</w:t>
      </w:r>
      <w:r w:rsidRPr="002B4DAC">
        <w:rPr>
          <w:rFonts w:ascii="Times New Roman" w:hAnsi="Times New Roman"/>
          <w:lang w:val="en-GB"/>
        </w:rPr>
        <w:t xml:space="preserve">, both at identical heights from the floor level (Fig. 44). Except for minor variations, their dimensions are identical as well: 1.50-57 m width, 1.45-50 m in depth and 1.43-46 m in height. The niches inside this chamber are </w:t>
      </w:r>
      <w:r w:rsidRPr="00A232A9">
        <w:rPr>
          <w:rFonts w:ascii="Times New Roman" w:eastAsia="Calibri" w:hAnsi="Times New Roman" w:cs="Times New Roman"/>
          <w:lang w:val="en-GB"/>
        </w:rPr>
        <w:t>pretty large compared</w:t>
      </w:r>
      <w:r w:rsidRPr="002B4DAC">
        <w:rPr>
          <w:rFonts w:ascii="Times New Roman" w:hAnsi="Times New Roman"/>
          <w:lang w:val="en-GB"/>
        </w:rPr>
        <w:t xml:space="preserve"> to the examples from other Urartian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 xml:space="preserve">royal tombs. </w:t>
      </w:r>
      <w:r w:rsidRPr="002B4DAC">
        <w:rPr>
          <w:rFonts w:ascii="Times New Roman" w:hAnsi="Times New Roman"/>
          <w:lang w:val="en-GB"/>
        </w:rPr>
        <w:lastRenderedPageBreak/>
        <w:t xml:space="preserve">In this regard, a plausible interpretation could be that these niches were constructed to place burials </w:t>
      </w:r>
      <w:r w:rsidRPr="00A232A9">
        <w:rPr>
          <w:rFonts w:ascii="Times New Roman" w:eastAsia="Calibri" w:hAnsi="Times New Roman" w:cs="Times New Roman"/>
          <w:lang w:val="en-GB"/>
        </w:rPr>
        <w:t>and</w:t>
      </w:r>
      <w:r w:rsidRPr="002B4DAC">
        <w:rPr>
          <w:rFonts w:ascii="Times New Roman" w:hAnsi="Times New Roman"/>
          <w:lang w:val="en-GB"/>
        </w:rPr>
        <w:t xml:space="preserve"> burial gifts.</w:t>
      </w:r>
    </w:p>
    <w:p w14:paraId="43D0C7BD"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drawing>
          <wp:inline distT="0" distB="0" distL="0" distR="0" wp14:anchorId="255B8A09" wp14:editId="43CB3EA1">
            <wp:extent cx="5756910" cy="5428615"/>
            <wp:effectExtent l="0" t="0" r="0" b="0"/>
            <wp:docPr id="1404732625" name="Resim 13" descr="diyagram, 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32625" name="Resim 13" descr="diyagram, metin, harita içeren bir resim&#10;&#10;Açıklama otomatik olarak oluşturuldu"/>
                    <pic:cNvPicPr/>
                  </pic:nvPicPr>
                  <pic:blipFill>
                    <a:blip r:embed="rId300" cstate="email">
                      <a:extLst>
                        <a:ext uri="{28A0092B-C50C-407E-A947-70E740481C1C}">
                          <a14:useLocalDpi xmlns:a14="http://schemas.microsoft.com/office/drawing/2010/main"/>
                        </a:ext>
                      </a:extLst>
                    </a:blip>
                    <a:stretch>
                      <a:fillRect/>
                    </a:stretch>
                  </pic:blipFill>
                  <pic:spPr>
                    <a:xfrm>
                      <a:off x="0" y="0"/>
                      <a:ext cx="5756910" cy="5428615"/>
                    </a:xfrm>
                    <a:prstGeom prst="rect">
                      <a:avLst/>
                    </a:prstGeom>
                  </pic:spPr>
                </pic:pic>
              </a:graphicData>
            </a:graphic>
          </wp:inline>
        </w:drawing>
      </w:r>
    </w:p>
    <w:p w14:paraId="3B8B873C" w14:textId="5177EA94"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Fig. 45 Plan and section drawings of the BD80 tomb</w:t>
      </w:r>
      <w:r w:rsidRPr="002B4DAC">
        <w:rPr>
          <w:rFonts w:ascii="Times New Roman" w:hAnsi="Times New Roman"/>
          <w:lang w:val="en-GB"/>
        </w:rPr>
        <w:fldChar w:fldCharType="begin"/>
      </w:r>
      <w:r w:rsidRPr="002B4DAC">
        <w:rPr>
          <w:rFonts w:ascii="Times New Roman" w:hAnsi="Times New Roman"/>
          <w:sz w:val="20"/>
          <w:lang w:val="en-GB"/>
        </w:rPr>
        <w:instrText xml:space="preserve"> XE "</w:instrText>
      </w:r>
      <w:r w:rsidRPr="002B4DAC">
        <w:rPr>
          <w:rFonts w:ascii="Times New Roman" w:hAnsi="Times New Roman"/>
          <w:lang w:val="en-GB"/>
        </w:rPr>
        <w:instrText xml:space="preserve">BD80 </w:instrText>
      </w:r>
      <w:r>
        <w:rPr>
          <w:rFonts w:ascii="Times New Roman" w:hAnsi="Times New Roman"/>
          <w:lang w:val="en-GB"/>
        </w:rPr>
        <w:instrText>t</w:instrText>
      </w:r>
      <w:r w:rsidRPr="002B4DAC">
        <w:rPr>
          <w:rFonts w:ascii="Times New Roman" w:hAnsi="Times New Roman"/>
          <w:lang w:val="en-GB"/>
        </w:rPr>
        <w:instrText>omb</w:instrText>
      </w:r>
      <w:r w:rsidRPr="002B4DAC">
        <w:rPr>
          <w:rFonts w:ascii="Times New Roman" w:hAnsi="Times New Roman"/>
          <w:sz w:val="20"/>
          <w:lang w:val="en-GB"/>
        </w:rPr>
        <w:instrText xml:space="preserve">" </w:instrText>
      </w:r>
      <w:r w:rsidRPr="002B4DAC">
        <w:rPr>
          <w:rFonts w:ascii="Times New Roman" w:hAnsi="Times New Roman"/>
          <w:lang w:val="en-GB"/>
        </w:rPr>
        <w:fldChar w:fldCharType="end"/>
      </w:r>
      <w:r w:rsidRPr="002B4DAC">
        <w:rPr>
          <w:rFonts w:ascii="Times New Roman" w:hAnsi="Times New Roman"/>
          <w:lang w:val="en-GB"/>
        </w:rPr>
        <w:t>.</w:t>
      </w:r>
    </w:p>
    <w:p w14:paraId="72CFE003" w14:textId="23780D94" w:rsidR="006B23DC" w:rsidRPr="002B4DAC" w:rsidRDefault="006B23DC" w:rsidP="006B23DC">
      <w:pPr>
        <w:spacing w:before="100" w:beforeAutospacing="1" w:after="100" w:afterAutospacing="1"/>
        <w:jc w:val="both"/>
        <w:outlineLvl w:val="3"/>
        <w:rPr>
          <w:rFonts w:ascii="Times New Roman" w:hAnsi="Times New Roman"/>
          <w:b/>
          <w:lang w:val="en-GB"/>
        </w:rPr>
      </w:pPr>
      <w:r w:rsidRPr="002B4DAC">
        <w:rPr>
          <w:rFonts w:ascii="Times New Roman" w:hAnsi="Times New Roman"/>
          <w:b/>
          <w:lang w:val="en-GB"/>
        </w:rPr>
        <w:t xml:space="preserve">9.3.3.3. BD80 </w:t>
      </w:r>
      <w:r w:rsidR="00DF3B77">
        <w:rPr>
          <w:rFonts w:ascii="Times New Roman" w:hAnsi="Times New Roman"/>
          <w:b/>
          <w:lang w:val="en-GB"/>
        </w:rPr>
        <w:t>t</w:t>
      </w:r>
      <w:r w:rsidRPr="002B4DAC">
        <w:rPr>
          <w:rFonts w:ascii="Times New Roman" w:hAnsi="Times New Roman"/>
          <w:b/>
          <w:lang w:val="en-GB"/>
        </w:rPr>
        <w:t>omb</w:t>
      </w:r>
      <w:r w:rsidRPr="002B4DAC">
        <w:rPr>
          <w:rFonts w:ascii="Times New Roman" w:hAnsi="Times New Roman"/>
          <w:b/>
          <w:lang w:val="en-GB"/>
        </w:rPr>
        <w:fldChar w:fldCharType="begin"/>
      </w:r>
      <w:r w:rsidRPr="002B4DAC">
        <w:rPr>
          <w:rFonts w:ascii="Times New Roman" w:hAnsi="Times New Roman"/>
          <w:sz w:val="20"/>
          <w:lang w:val="en-GB"/>
        </w:rPr>
        <w:instrText xml:space="preserve"> XE "</w:instrText>
      </w:r>
      <w:r w:rsidRPr="002B4DAC">
        <w:rPr>
          <w:rFonts w:ascii="Times New Roman" w:hAnsi="Times New Roman"/>
          <w:b/>
          <w:lang w:val="en-GB"/>
        </w:rPr>
        <w:instrText xml:space="preserve">BD80 </w:instrText>
      </w:r>
      <w:r w:rsidR="00DF3B77">
        <w:rPr>
          <w:rFonts w:ascii="Times New Roman" w:hAnsi="Times New Roman"/>
          <w:b/>
          <w:lang w:val="en-GB"/>
        </w:rPr>
        <w:instrText>t</w:instrText>
      </w:r>
      <w:r w:rsidRPr="002B4DAC">
        <w:rPr>
          <w:rFonts w:ascii="Times New Roman" w:hAnsi="Times New Roman"/>
          <w:b/>
          <w:lang w:val="en-GB"/>
        </w:rPr>
        <w:instrText>omb</w:instrText>
      </w:r>
      <w:r w:rsidRPr="002B4DAC">
        <w:rPr>
          <w:rFonts w:ascii="Times New Roman" w:hAnsi="Times New Roman"/>
          <w:sz w:val="20"/>
          <w:lang w:val="en-GB"/>
        </w:rPr>
        <w:instrText xml:space="preserve">" </w:instrText>
      </w:r>
      <w:r w:rsidRPr="002B4DAC">
        <w:rPr>
          <w:rFonts w:ascii="Times New Roman" w:hAnsi="Times New Roman"/>
          <w:b/>
          <w:lang w:val="en-GB"/>
        </w:rPr>
        <w:fldChar w:fldCharType="end"/>
      </w:r>
      <w:r w:rsidRPr="002B4DAC">
        <w:rPr>
          <w:rFonts w:ascii="Times New Roman" w:hAnsi="Times New Roman"/>
          <w:b/>
          <w:lang w:val="en-GB"/>
        </w:rPr>
        <w:t xml:space="preserve"> (The Burial Chamber under the Great Platform</w:t>
      </w:r>
      <w:r w:rsidRPr="002B4DAC">
        <w:rPr>
          <w:rFonts w:ascii="Times New Roman" w:hAnsi="Times New Roman"/>
          <w:b/>
          <w:lang w:val="en-GB"/>
        </w:rPr>
        <w:fldChar w:fldCharType="begin"/>
      </w:r>
      <w:r w:rsidRPr="002B4DAC">
        <w:rPr>
          <w:rFonts w:ascii="Times New Roman" w:hAnsi="Times New Roman"/>
          <w:sz w:val="20"/>
          <w:lang w:val="en-GB"/>
        </w:rPr>
        <w:instrText xml:space="preserve"> XE "</w:instrText>
      </w:r>
      <w:r w:rsidRPr="002B4DAC">
        <w:rPr>
          <w:rFonts w:ascii="Times New Roman" w:hAnsi="Times New Roman"/>
          <w:b/>
          <w:lang w:val="en-GB"/>
        </w:rPr>
        <w:instrText>Great Platform</w:instrText>
      </w:r>
      <w:r w:rsidRPr="002B4DAC">
        <w:rPr>
          <w:rFonts w:ascii="Times New Roman" w:hAnsi="Times New Roman"/>
          <w:sz w:val="20"/>
          <w:lang w:val="en-GB"/>
        </w:rPr>
        <w:instrText xml:space="preserve">" </w:instrText>
      </w:r>
      <w:r w:rsidRPr="002B4DAC">
        <w:rPr>
          <w:rFonts w:ascii="Times New Roman" w:hAnsi="Times New Roman"/>
          <w:b/>
          <w:lang w:val="en-GB"/>
        </w:rPr>
        <w:fldChar w:fldCharType="end"/>
      </w:r>
    </w:p>
    <w:p w14:paraId="2BD1BD6A" w14:textId="540E36A8"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Access to this burial chamber, which was opened under the platform in the southwest of the area called “Great Platform</w:t>
      </w:r>
      <w:r w:rsidRPr="00A232A9">
        <w:rPr>
          <w:rFonts w:ascii="Times New Roman" w:eastAsia="Calibri" w:hAnsi="Times New Roman" w:cs="Times New Roman"/>
          <w:lang w:val="en-GB"/>
        </w:rPr>
        <w:t>,”</w:t>
      </w:r>
      <w:r w:rsidRPr="00B07002">
        <w:rPr>
          <w:rFonts w:ascii="Times New Roman" w:hAnsi="Times New Roman"/>
          <w:lang w:val="en-GB"/>
        </w:rPr>
        <w:t xml:space="preserve"> was probably from the east (BD80 tomb</w:t>
      </w:r>
      <w:r w:rsidRPr="00A232A9">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"BD80 </w:instrText>
      </w:r>
      <w:r w:rsidR="00DF3B77">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lang w:val="en-GB"/>
        </w:rPr>
        <w:t xml:space="preserve"> (Fig. 22-23). The arrangement of this rocky area at the lower code of the large platform and eastward along the platform provided access to this tomb. It is plausible that this section, now a narrow pathway, was designed with the Great Platform</w:t>
      </w:r>
      <w:r w:rsidRPr="00A232A9">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Great Platform</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lang w:val="en-GB"/>
        </w:rPr>
        <w:t xml:space="preserve"> This design and planning </w:t>
      </w:r>
      <w:r w:rsidRPr="00A232A9">
        <w:rPr>
          <w:rFonts w:ascii="Times New Roman" w:eastAsia="Calibri" w:hAnsi="Times New Roman" w:cs="Times New Roman"/>
          <w:lang w:val="en-GB"/>
        </w:rPr>
        <w:t>are</w:t>
      </w:r>
      <w:r w:rsidRPr="002B4DAC">
        <w:rPr>
          <w:rFonts w:ascii="Times New Roman" w:hAnsi="Times New Roman"/>
          <w:lang w:val="en-GB"/>
        </w:rPr>
        <w:t xml:space="preserve"> a</w:t>
      </w:r>
      <w:r w:rsidRPr="00A232A9">
        <w:rPr>
          <w:rFonts w:ascii="Times New Roman" w:eastAsia="Calibri" w:hAnsi="Times New Roman" w:cs="Times New Roman"/>
          <w:lang w:val="en-GB"/>
        </w:rPr>
        <w:t xml:space="preserve"> source of</w:t>
      </w:r>
      <w:r w:rsidRPr="002B4DAC">
        <w:rPr>
          <w:rFonts w:ascii="Times New Roman" w:hAnsi="Times New Roman"/>
          <w:lang w:val="en-GB"/>
        </w:rPr>
        <w:t xml:space="preserve"> unity for the tombs in this area. The southward</w:t>
      </w:r>
      <w:r w:rsidRPr="00A232A9">
        <w:rPr>
          <w:rFonts w:ascii="Times New Roman" w:eastAsia="Calibri" w:hAnsi="Times New Roman" w:cs="Times New Roman"/>
          <w:lang w:val="en-GB"/>
        </w:rPr>
        <w:t>-</w:t>
      </w:r>
      <w:r w:rsidRPr="002B4DAC">
        <w:rPr>
          <w:rFonts w:ascii="Times New Roman" w:hAnsi="Times New Roman"/>
          <w:lang w:val="en-GB"/>
        </w:rPr>
        <w:t xml:space="preserve">facing door of the room measures 1.48 m in width and 1.43 m in height. The depth of the doorway reaches approximately 1.00 m. Behind the door is a rectangular planned room measuring 3.55 m x 2.40 m (Piotrovsky, 1959: 213, Fig. 61) (Fig. 45). The flat ceiling of the chamber is approximately 1.85 m high. Three large niches were carved on three sides of the room. The niches have a rough rectangular form that narrows downwards (Fig. 46). The northern niche, facing directly </w:t>
      </w:r>
      <w:r w:rsidRPr="00A232A9">
        <w:rPr>
          <w:rFonts w:ascii="Times New Roman" w:eastAsia="Calibri" w:hAnsi="Times New Roman" w:cs="Times New Roman"/>
          <w:lang w:val="en-GB"/>
        </w:rPr>
        <w:t xml:space="preserve">at </w:t>
      </w:r>
      <w:r w:rsidRPr="002B4DAC">
        <w:rPr>
          <w:rFonts w:ascii="Times New Roman" w:hAnsi="Times New Roman"/>
          <w:lang w:val="en-GB"/>
        </w:rPr>
        <w:t xml:space="preserve">the entrance, measures 2.10 in </w:t>
      </w:r>
      <w:r w:rsidRPr="002B4DAC">
        <w:rPr>
          <w:rFonts w:ascii="Times New Roman" w:hAnsi="Times New Roman"/>
          <w:lang w:val="en-GB"/>
        </w:rPr>
        <w:lastRenderedPageBreak/>
        <w:t>width (the narrow end measures 2.51 m), 1.85 m in depth</w:t>
      </w:r>
      <w:r w:rsidRPr="00A232A9">
        <w:rPr>
          <w:rFonts w:ascii="Times New Roman" w:eastAsia="Calibri" w:hAnsi="Times New Roman" w:cs="Times New Roman"/>
          <w:lang w:val="en-GB"/>
        </w:rPr>
        <w:t>,</w:t>
      </w:r>
      <w:r w:rsidRPr="002B4DAC">
        <w:rPr>
          <w:rFonts w:ascii="Times New Roman" w:hAnsi="Times New Roman"/>
          <w:lang w:val="en-GB"/>
        </w:rPr>
        <w:t xml:space="preserve"> and 1.23 m in height. The eastern niche is approximately 1.90 m in width, 1.12 m in depth</w:t>
      </w:r>
      <w:r w:rsidRPr="00A232A9">
        <w:rPr>
          <w:rFonts w:ascii="Times New Roman" w:eastAsia="Calibri" w:hAnsi="Times New Roman" w:cs="Times New Roman"/>
          <w:lang w:val="en-GB"/>
        </w:rPr>
        <w:t>,</w:t>
      </w:r>
      <w:r w:rsidRPr="002B4DAC">
        <w:rPr>
          <w:rFonts w:ascii="Times New Roman" w:hAnsi="Times New Roman"/>
          <w:lang w:val="en-GB"/>
        </w:rPr>
        <w:t xml:space="preserve"> and approximately 1.05 m </w:t>
      </w:r>
      <w:r w:rsidRPr="00A232A9">
        <w:rPr>
          <w:rFonts w:ascii="Times New Roman" w:eastAsia="Calibri" w:hAnsi="Times New Roman" w:cs="Times New Roman"/>
          <w:lang w:val="en-GB"/>
        </w:rPr>
        <w:t xml:space="preserve">in </w:t>
      </w:r>
      <w:r w:rsidRPr="002B4DAC">
        <w:rPr>
          <w:rFonts w:ascii="Times New Roman" w:hAnsi="Times New Roman"/>
          <w:lang w:val="en-GB"/>
        </w:rPr>
        <w:t>height. The western niche, on the other hand, exhibits a more irregular plan. The part of the niche that faces the burial chamber measures 2.03 m in width, while on its lower end</w:t>
      </w:r>
      <w:r w:rsidRPr="00A232A9">
        <w:rPr>
          <w:rFonts w:ascii="Times New Roman" w:eastAsia="Calibri" w:hAnsi="Times New Roman" w:cs="Times New Roman"/>
          <w:lang w:val="en-GB"/>
        </w:rPr>
        <w:t>,</w:t>
      </w:r>
      <w:r w:rsidRPr="002B4DAC">
        <w:rPr>
          <w:rFonts w:ascii="Times New Roman" w:hAnsi="Times New Roman"/>
          <w:lang w:val="en-GB"/>
        </w:rPr>
        <w:t xml:space="preserve"> it is </w:t>
      </w:r>
      <w:r w:rsidRPr="00A232A9">
        <w:rPr>
          <w:rFonts w:ascii="Times New Roman" w:eastAsia="Calibri" w:hAnsi="Times New Roman" w:cs="Times New Roman"/>
          <w:lang w:val="en-GB"/>
        </w:rPr>
        <w:t>broader</w:t>
      </w:r>
      <w:r w:rsidRPr="002B4DAC">
        <w:rPr>
          <w:rFonts w:ascii="Times New Roman" w:hAnsi="Times New Roman"/>
          <w:lang w:val="en-GB"/>
        </w:rPr>
        <w:t>, reaching 2.32 m. It has a 1.27 m depth and 1.05 m height. Its dimensions, single-room arrangement, doorway</w:t>
      </w:r>
      <w:r w:rsidRPr="00A232A9">
        <w:rPr>
          <w:rFonts w:ascii="Times New Roman" w:eastAsia="Calibri" w:hAnsi="Times New Roman" w:cs="Times New Roman"/>
          <w:lang w:val="en-GB"/>
        </w:rPr>
        <w:t>,</w:t>
      </w:r>
      <w:r w:rsidRPr="002B4DAC">
        <w:rPr>
          <w:rFonts w:ascii="Times New Roman" w:hAnsi="Times New Roman"/>
          <w:lang w:val="en-GB"/>
        </w:rPr>
        <w:t xml:space="preserve"> and niches used as burial beds differ this burial chamber from the typical Urartian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rock-cut tombs. Thus, this chamber was dated to the post-Urartian period in Ṭušpa. The single</w:t>
      </w:r>
      <w:r w:rsidRPr="00A232A9">
        <w:rPr>
          <w:rFonts w:ascii="Times New Roman" w:eastAsia="Calibri" w:hAnsi="Times New Roman" w:cs="Times New Roman"/>
          <w:lang w:val="en-GB"/>
        </w:rPr>
        <w:t>-</w:t>
      </w:r>
      <w:r w:rsidRPr="002B4DAC">
        <w:rPr>
          <w:rFonts w:ascii="Times New Roman" w:hAnsi="Times New Roman"/>
          <w:lang w:val="en-GB"/>
        </w:rPr>
        <w:t xml:space="preserve">room planning of the tomb adheres closely to the Hellenistic and Roman period examples (Köroğlu, 2007: 445-456). However, </w:t>
      </w:r>
      <w:r w:rsidRPr="00A232A9">
        <w:rPr>
          <w:rFonts w:ascii="Times New Roman" w:eastAsia="Calibri" w:hAnsi="Times New Roman" w:cs="Times New Roman"/>
          <w:lang w:val="en-GB"/>
        </w:rPr>
        <w:t xml:space="preserve">the </w:t>
      </w:r>
      <w:r w:rsidRPr="002B4DAC">
        <w:rPr>
          <w:rFonts w:ascii="Times New Roman" w:hAnsi="Times New Roman"/>
          <w:lang w:val="en-GB"/>
        </w:rPr>
        <w:t>characteristics of niche-shaped arched tombs named arcosolium, typical of these late periods, do not apply to this chamber. Especially when faced from the south, the Great Platform, the Neft Kuyu</w:t>
      </w:r>
      <w:r w:rsidRPr="00A232A9">
        <w:rPr>
          <w:rFonts w:ascii="Times New Roman" w:eastAsia="Calibri" w:hAnsi="Times New Roman" w:cs="Times New Roman"/>
          <w:lang w:val="en-GB"/>
        </w:rPr>
        <w:t xml:space="preserve"> tomb,</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 xml:space="preserve"> tomb</w:t>
      </w:r>
      <w:r w:rsidRPr="002B4DAC">
        <w:rPr>
          <w:rFonts w:ascii="Times New Roman" w:hAnsi="Times New Roman"/>
          <w:lang w:val="en-GB"/>
        </w:rPr>
        <w:t xml:space="preserve"> and this burial chamber give the impression that this single-roomed burial chamber was designed following these monuments.</w:t>
      </w:r>
    </w:p>
    <w:p w14:paraId="285C5BC2"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drawing>
          <wp:inline distT="0" distB="0" distL="0" distR="0" wp14:anchorId="672E8BA4" wp14:editId="7FAFF4A8">
            <wp:extent cx="3209906" cy="5233307"/>
            <wp:effectExtent l="0" t="0" r="3810" b="0"/>
            <wp:docPr id="213" name="Resim 213" descr="mağara, harabeler, dış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Resim 213" descr="mağara, harabeler, dış mekan, doğa içeren bir resim&#10;&#10;Açıklama otomatik olarak oluşturuldu"/>
                    <pic:cNvPicPr/>
                  </pic:nvPicPr>
                  <pic:blipFill>
                    <a:blip r:embed="rId301" cstate="email">
                      <a:extLst>
                        <a:ext uri="{28A0092B-C50C-407E-A947-70E740481C1C}">
                          <a14:useLocalDpi xmlns:a14="http://schemas.microsoft.com/office/drawing/2010/main"/>
                        </a:ext>
                      </a:extLst>
                    </a:blip>
                    <a:stretch>
                      <a:fillRect/>
                    </a:stretch>
                  </pic:blipFill>
                  <pic:spPr>
                    <a:xfrm>
                      <a:off x="0" y="0"/>
                      <a:ext cx="3222286" cy="5253491"/>
                    </a:xfrm>
                    <a:prstGeom prst="rect">
                      <a:avLst/>
                    </a:prstGeom>
                  </pic:spPr>
                </pic:pic>
              </a:graphicData>
            </a:graphic>
          </wp:inline>
        </w:drawing>
      </w:r>
    </w:p>
    <w:p w14:paraId="7A38E98E" w14:textId="666CB3B6"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Fig. 46 Entrance of the BD80 tomb</w:t>
      </w:r>
      <w:r w:rsidRPr="002B4DAC">
        <w:rPr>
          <w:rFonts w:ascii="Times New Roman" w:hAnsi="Times New Roman"/>
          <w:lang w:val="en-GB"/>
        </w:rPr>
        <w:fldChar w:fldCharType="begin"/>
      </w:r>
      <w:r w:rsidRPr="002B4DAC">
        <w:rPr>
          <w:rFonts w:ascii="Times New Roman" w:hAnsi="Times New Roman"/>
          <w:sz w:val="20"/>
          <w:lang w:val="en-GB"/>
        </w:rPr>
        <w:instrText xml:space="preserve"> XE "</w:instrText>
      </w:r>
      <w:r w:rsidRPr="002B4DAC">
        <w:rPr>
          <w:rFonts w:ascii="Times New Roman" w:hAnsi="Times New Roman"/>
          <w:lang w:val="en-GB"/>
        </w:rPr>
        <w:instrText xml:space="preserve">BD80 </w:instrText>
      </w:r>
      <w:r w:rsidR="00DF3B77">
        <w:rPr>
          <w:rFonts w:ascii="Times New Roman" w:hAnsi="Times New Roman"/>
          <w:lang w:val="en-GB"/>
        </w:rPr>
        <w:instrText>t</w:instrText>
      </w:r>
      <w:r w:rsidRPr="002B4DAC">
        <w:rPr>
          <w:rFonts w:ascii="Times New Roman" w:hAnsi="Times New Roman"/>
          <w:lang w:val="en-GB"/>
        </w:rPr>
        <w:instrText>omb</w:instrText>
      </w:r>
      <w:r w:rsidRPr="002B4DAC">
        <w:rPr>
          <w:rFonts w:ascii="Times New Roman" w:hAnsi="Times New Roman"/>
          <w:sz w:val="20"/>
          <w:lang w:val="en-GB"/>
        </w:rPr>
        <w:instrText xml:space="preserve">" </w:instrText>
      </w:r>
      <w:r w:rsidRPr="002B4DAC">
        <w:rPr>
          <w:rFonts w:ascii="Times New Roman" w:hAnsi="Times New Roman"/>
          <w:lang w:val="en-GB"/>
        </w:rPr>
        <w:fldChar w:fldCharType="end"/>
      </w:r>
      <w:r w:rsidRPr="002B4DAC">
        <w:rPr>
          <w:rFonts w:ascii="Times New Roman" w:hAnsi="Times New Roman"/>
          <w:lang w:val="en-GB"/>
        </w:rPr>
        <w:t>. The Z01 main room and the N01, N02 niches.</w:t>
      </w:r>
    </w:p>
    <w:p w14:paraId="7464E2BF" w14:textId="77777777" w:rsidR="006B23DC" w:rsidRPr="002B4DAC" w:rsidRDefault="006B23DC" w:rsidP="006B23DC">
      <w:pPr>
        <w:jc w:val="both"/>
        <w:rPr>
          <w:rFonts w:ascii="Times New Roman" w:hAnsi="Times New Roman"/>
          <w:b/>
          <w:lang w:val="en-GB"/>
        </w:rPr>
      </w:pPr>
      <w:r w:rsidRPr="002B4DAC">
        <w:rPr>
          <w:rFonts w:ascii="Times New Roman" w:hAnsi="Times New Roman"/>
          <w:b/>
          <w:lang w:val="en-GB"/>
        </w:rPr>
        <w:br w:type="page"/>
      </w:r>
    </w:p>
    <w:p w14:paraId="5D5BA475" w14:textId="7569EFD1" w:rsidR="006B23DC" w:rsidRPr="002B4DAC" w:rsidRDefault="006B23DC" w:rsidP="006B23DC">
      <w:pPr>
        <w:spacing w:before="100" w:beforeAutospacing="1" w:after="100" w:afterAutospacing="1"/>
        <w:jc w:val="both"/>
        <w:outlineLvl w:val="3"/>
        <w:rPr>
          <w:rFonts w:ascii="Times New Roman" w:hAnsi="Times New Roman"/>
          <w:b/>
          <w:lang w:val="en-GB"/>
        </w:rPr>
      </w:pPr>
      <w:r w:rsidRPr="002B4DAC">
        <w:rPr>
          <w:rFonts w:ascii="Times New Roman" w:hAnsi="Times New Roman"/>
          <w:b/>
          <w:lang w:val="en-GB"/>
        </w:rPr>
        <w:lastRenderedPageBreak/>
        <w:t>9.3.3.4. Arsenal</w:t>
      </w:r>
      <w:r w:rsidRPr="00F03A26">
        <w:rPr>
          <w:rFonts w:asciiTheme="majorBidi" w:hAnsiTheme="majorBidi" w:cstheme="majorBidi"/>
          <w:b/>
          <w:lang w:val="en-GB"/>
        </w:rPr>
        <w:t>/</w:t>
      </w:r>
      <w:r w:rsidRPr="002B4DAC">
        <w:rPr>
          <w:rFonts w:ascii="Times New Roman" w:hAnsi="Times New Roman"/>
          <w:b/>
          <w:lang w:val="en-GB"/>
        </w:rPr>
        <w:t xml:space="preserve">BD78 </w:t>
      </w:r>
      <w:r w:rsidR="00DF3B77">
        <w:rPr>
          <w:rFonts w:ascii="Times New Roman" w:hAnsi="Times New Roman"/>
          <w:b/>
          <w:lang w:val="en-GB"/>
        </w:rPr>
        <w:t>t</w:t>
      </w:r>
      <w:r w:rsidRPr="002B4DAC">
        <w:rPr>
          <w:rFonts w:ascii="Times New Roman" w:hAnsi="Times New Roman"/>
          <w:b/>
          <w:lang w:val="en-GB"/>
        </w:rPr>
        <w:t>omb</w:t>
      </w:r>
      <w:r w:rsidR="00DF3B77">
        <w:rPr>
          <w:rFonts w:ascii="Times New Roman" w:hAnsi="Times New Roman"/>
          <w:b/>
          <w:lang w:val="en-GB"/>
        </w:rPr>
        <w:fldChar w:fldCharType="begin"/>
      </w:r>
      <w:r w:rsidR="00DF3B77">
        <w:instrText xml:space="preserve"> XE "</w:instrText>
      </w:r>
      <w:r w:rsidR="00DF3B77" w:rsidRPr="009B0689">
        <w:rPr>
          <w:rFonts w:ascii="Times New Roman" w:hAnsi="Times New Roman"/>
          <w:b/>
          <w:lang w:val="en-GB"/>
        </w:rPr>
        <w:instrText>Arsenal</w:instrText>
      </w:r>
      <w:r w:rsidR="00DF3B77" w:rsidRPr="009B0689">
        <w:rPr>
          <w:rFonts w:ascii="Times New Roman" w:eastAsia="Calibri" w:hAnsi="Times New Roman" w:cs="Times New Roman"/>
          <w:b/>
          <w:lang w:val="en-GB"/>
        </w:rPr>
        <w:instrText>/</w:instrText>
      </w:r>
      <w:r w:rsidR="00DF3B77" w:rsidRPr="009B0689">
        <w:rPr>
          <w:rFonts w:ascii="Times New Roman" w:hAnsi="Times New Roman"/>
          <w:b/>
          <w:lang w:val="en-GB"/>
        </w:rPr>
        <w:instrText>BD78 tomb</w:instrText>
      </w:r>
      <w:r w:rsidR="00DF3B77">
        <w:instrText xml:space="preserve">" </w:instrText>
      </w:r>
      <w:r w:rsidR="00DF3B77">
        <w:rPr>
          <w:rFonts w:ascii="Times New Roman" w:hAnsi="Times New Roman"/>
          <w:b/>
          <w:lang w:val="en-GB"/>
        </w:rPr>
        <w:fldChar w:fldCharType="end"/>
      </w:r>
    </w:p>
    <w:p w14:paraId="1FC10C13"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This burial chamber is reached through the southeast of the flat area of the İç Kale</w:t>
      </w:r>
      <w:r w:rsidRPr="00A232A9">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lang w:val="en-GB"/>
        </w:rPr>
        <w:t xml:space="preserve"> No arrangements were made in this area to access the chamber. The earliest publications of this tomb, including detailed drawings, were made in 1916 (Piotrovsky, 1959: 217, Fig. 65). As in other examples, the southward</w:t>
      </w:r>
      <w:r w:rsidRPr="00A232A9">
        <w:rPr>
          <w:rFonts w:ascii="Times New Roman" w:eastAsia="Calibri" w:hAnsi="Times New Roman" w:cs="Times New Roman"/>
          <w:lang w:val="en-GB"/>
        </w:rPr>
        <w:t>-</w:t>
      </w:r>
      <w:r w:rsidRPr="002B4DAC">
        <w:rPr>
          <w:rFonts w:ascii="Times New Roman" w:hAnsi="Times New Roman"/>
          <w:lang w:val="en-GB"/>
        </w:rPr>
        <w:t xml:space="preserve">facing doorway of the burial chamber is rectangular planned, measuring 80 cm in width and 1.25 m in height (Fig. 22, 47). </w:t>
      </w:r>
    </w:p>
    <w:p w14:paraId="4BF8FA23"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drawing>
          <wp:inline distT="0" distB="0" distL="0" distR="0" wp14:anchorId="1C49C852" wp14:editId="5596ABDC">
            <wp:extent cx="3610712" cy="2702378"/>
            <wp:effectExtent l="0" t="0" r="0" b="3175"/>
            <wp:docPr id="969338245" name="Resim 969338245" descr="harabeler, bina, mağara,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40" descr="harabeler, bina, mağara, yer içeren bir resim&#10;&#10;Açıklama otomatik olarak oluşturuldu"/>
                    <pic:cNvPicPr/>
                  </pic:nvPicPr>
                  <pic:blipFill>
                    <a:blip r:embed="rId302" cstate="email">
                      <a:extLst>
                        <a:ext uri="{28A0092B-C50C-407E-A947-70E740481C1C}">
                          <a14:useLocalDpi xmlns:a14="http://schemas.microsoft.com/office/drawing/2010/main"/>
                        </a:ext>
                      </a:extLst>
                    </a:blip>
                    <a:stretch>
                      <a:fillRect/>
                    </a:stretch>
                  </pic:blipFill>
                  <pic:spPr>
                    <a:xfrm>
                      <a:off x="0" y="0"/>
                      <a:ext cx="3644188" cy="2727432"/>
                    </a:xfrm>
                    <a:prstGeom prst="rect">
                      <a:avLst/>
                    </a:prstGeom>
                  </pic:spPr>
                </pic:pic>
              </a:graphicData>
            </a:graphic>
          </wp:inline>
        </w:drawing>
      </w:r>
    </w:p>
    <w:p w14:paraId="29A0E443" w14:textId="7C221E28"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Fig. 47 Entrance door of the Arsenal</w:t>
      </w:r>
      <w:r w:rsidRPr="0035595C">
        <w:rPr>
          <w:rFonts w:ascii="Times New Roman" w:eastAsia="Calibri" w:hAnsi="Times New Roman" w:cs="Times New Roman"/>
          <w:lang w:val="en-GB"/>
        </w:rPr>
        <w:t>/</w:t>
      </w:r>
      <w:r w:rsidRPr="002B4DAC">
        <w:rPr>
          <w:rFonts w:ascii="Times New Roman" w:hAnsi="Times New Roman"/>
          <w:lang w:val="en-GB"/>
        </w:rPr>
        <w:t>BD78 tomb</w:t>
      </w:r>
      <w:r w:rsidRPr="002B4DAC">
        <w:rPr>
          <w:rFonts w:ascii="Times New Roman" w:hAnsi="Times New Roman"/>
          <w:lang w:val="en-GB"/>
        </w:rPr>
        <w:fldChar w:fldCharType="begin"/>
      </w:r>
      <w:r w:rsidRPr="002B4DAC">
        <w:rPr>
          <w:rFonts w:ascii="Times New Roman" w:hAnsi="Times New Roman"/>
          <w:sz w:val="20"/>
          <w:lang w:val="en-GB"/>
        </w:rPr>
        <w:instrText xml:space="preserve"> XE "</w:instrText>
      </w:r>
      <w:r w:rsidRPr="002B4DAC">
        <w:rPr>
          <w:rFonts w:ascii="Times New Roman" w:hAnsi="Times New Roman"/>
          <w:lang w:val="en-GB"/>
        </w:rPr>
        <w:instrText xml:space="preserve">Arsenal/BD78 </w:instrText>
      </w:r>
      <w:r w:rsidR="00AA1737">
        <w:rPr>
          <w:rFonts w:ascii="Times New Roman" w:hAnsi="Times New Roman"/>
          <w:lang w:val="en-GB"/>
        </w:rPr>
        <w:instrText>t</w:instrText>
      </w:r>
      <w:r w:rsidRPr="002B4DAC">
        <w:rPr>
          <w:rFonts w:ascii="Times New Roman" w:hAnsi="Times New Roman"/>
          <w:lang w:val="en-GB"/>
        </w:rPr>
        <w:instrText>omb</w:instrText>
      </w:r>
      <w:r w:rsidRPr="002B4DAC">
        <w:rPr>
          <w:rFonts w:ascii="Times New Roman" w:hAnsi="Times New Roman"/>
          <w:sz w:val="20"/>
          <w:lang w:val="en-GB"/>
        </w:rPr>
        <w:instrText xml:space="preserve">" </w:instrText>
      </w:r>
      <w:r w:rsidRPr="002B4DAC">
        <w:rPr>
          <w:rFonts w:ascii="Times New Roman" w:hAnsi="Times New Roman"/>
          <w:lang w:val="en-GB"/>
        </w:rPr>
        <w:fldChar w:fldCharType="end"/>
      </w:r>
      <w:r w:rsidRPr="002B4DAC">
        <w:rPr>
          <w:rFonts w:ascii="Times New Roman" w:hAnsi="Times New Roman"/>
          <w:lang w:val="en-GB"/>
        </w:rPr>
        <w:t>, facing south.</w:t>
      </w:r>
    </w:p>
    <w:p w14:paraId="1C61A620"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drawing>
          <wp:inline distT="0" distB="0" distL="0" distR="0" wp14:anchorId="104BE7FF" wp14:editId="4B0FE9A4">
            <wp:extent cx="5270500" cy="2367280"/>
            <wp:effectExtent l="0" t="0" r="0" b="0"/>
            <wp:docPr id="214" name="Resim 214" descr="taslak, diyagram, çizim, tekni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Resim 214" descr="taslak, diyagram, çizim, teknik çizim içeren bir resim&#10;&#10;Açıklama otomatik olarak oluşturuldu"/>
                    <pic:cNvPicPr/>
                  </pic:nvPicPr>
                  <pic:blipFill>
                    <a:blip r:embed="rId303" cstate="email">
                      <a:extLst>
                        <a:ext uri="{28A0092B-C50C-407E-A947-70E740481C1C}">
                          <a14:useLocalDpi xmlns:a14="http://schemas.microsoft.com/office/drawing/2010/main"/>
                        </a:ext>
                      </a:extLst>
                    </a:blip>
                    <a:stretch>
                      <a:fillRect/>
                    </a:stretch>
                  </pic:blipFill>
                  <pic:spPr>
                    <a:xfrm>
                      <a:off x="0" y="0"/>
                      <a:ext cx="5270500" cy="2367280"/>
                    </a:xfrm>
                    <a:prstGeom prst="rect">
                      <a:avLst/>
                    </a:prstGeom>
                  </pic:spPr>
                </pic:pic>
              </a:graphicData>
            </a:graphic>
          </wp:inline>
        </w:drawing>
      </w:r>
    </w:p>
    <w:p w14:paraId="692ECD8C" w14:textId="43EBE0B0"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Fig. 48 Plan and section drawings of the Arsenal</w:t>
      </w:r>
      <w:r w:rsidRPr="0035595C">
        <w:rPr>
          <w:rFonts w:ascii="Times New Roman" w:eastAsia="Calibri" w:hAnsi="Times New Roman" w:cs="Times New Roman"/>
          <w:lang w:val="en-GB"/>
        </w:rPr>
        <w:t>/</w:t>
      </w:r>
      <w:r w:rsidRPr="002B4DAC">
        <w:rPr>
          <w:rFonts w:ascii="Times New Roman" w:hAnsi="Times New Roman"/>
          <w:lang w:val="en-GB"/>
        </w:rPr>
        <w:t>BD78 tomb</w:t>
      </w:r>
      <w:r w:rsidRPr="002B4DAC">
        <w:rPr>
          <w:rFonts w:ascii="Times New Roman" w:hAnsi="Times New Roman"/>
          <w:lang w:val="en-GB"/>
        </w:rPr>
        <w:fldChar w:fldCharType="begin"/>
      </w:r>
      <w:r w:rsidRPr="002B4DAC">
        <w:rPr>
          <w:rFonts w:ascii="Times New Roman" w:hAnsi="Times New Roman"/>
          <w:sz w:val="20"/>
          <w:lang w:val="en-GB"/>
        </w:rPr>
        <w:instrText xml:space="preserve"> XE "</w:instrText>
      </w:r>
      <w:r w:rsidRPr="002B4DAC">
        <w:rPr>
          <w:rFonts w:ascii="Times New Roman" w:hAnsi="Times New Roman"/>
          <w:lang w:val="en-GB"/>
        </w:rPr>
        <w:instrText xml:space="preserve">Arsenal/BD78 </w:instrText>
      </w:r>
      <w:r w:rsidR="00AA1737">
        <w:rPr>
          <w:rFonts w:ascii="Times New Roman" w:hAnsi="Times New Roman"/>
          <w:lang w:val="en-GB"/>
        </w:rPr>
        <w:instrText>t</w:instrText>
      </w:r>
      <w:r w:rsidRPr="002B4DAC">
        <w:rPr>
          <w:rFonts w:ascii="Times New Roman" w:hAnsi="Times New Roman"/>
          <w:lang w:val="en-GB"/>
        </w:rPr>
        <w:instrText>omb</w:instrText>
      </w:r>
      <w:r w:rsidRPr="002B4DAC">
        <w:rPr>
          <w:rFonts w:ascii="Times New Roman" w:hAnsi="Times New Roman"/>
          <w:sz w:val="20"/>
          <w:lang w:val="en-GB"/>
        </w:rPr>
        <w:instrText xml:space="preserve">" </w:instrText>
      </w:r>
      <w:r w:rsidRPr="002B4DAC">
        <w:rPr>
          <w:rFonts w:ascii="Times New Roman" w:hAnsi="Times New Roman"/>
          <w:lang w:val="en-GB"/>
        </w:rPr>
        <w:fldChar w:fldCharType="end"/>
      </w:r>
      <w:r w:rsidRPr="002B4DAC">
        <w:rPr>
          <w:rFonts w:ascii="Times New Roman" w:hAnsi="Times New Roman"/>
          <w:lang w:val="en-GB"/>
        </w:rPr>
        <w:t>.</w:t>
      </w:r>
    </w:p>
    <w:p w14:paraId="43906F57" w14:textId="77777777"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lang w:val="en-GB"/>
        </w:rPr>
        <w:t xml:space="preserve">The door was built in two sections. The outward-facing part is 50 cm deep and 1.25 m high. The inward face, on the other hand, is 40 cm deep and 1.60 m high. Thus, a short passage for entrance was made, consisting of two sections measuring 90 cm in depth. The sockets on the eastern corner of the interior that the door had a single wing. This square planned chamber has a flat ceiling and measures 4.65 x 4.60 m with a 2.60 m height (Fig. 48). Through a 1.66 m wide and 1.12 m high opening on the western wall of this room, one enters the niche-shaped Section II (Fig. 49). This area is 1.85 m long, 1.25 m wide and approximately 0.95 m high. </w:t>
      </w:r>
      <w:r w:rsidRPr="00A232A9">
        <w:rPr>
          <w:rFonts w:ascii="Times New Roman" w:eastAsia="Calibri" w:hAnsi="Times New Roman" w:cs="Times New Roman"/>
          <w:lang w:val="en-GB"/>
        </w:rPr>
        <w:t>A</w:t>
      </w:r>
      <w:r w:rsidRPr="002B4DAC">
        <w:rPr>
          <w:rFonts w:ascii="Times New Roman" w:hAnsi="Times New Roman"/>
          <w:lang w:val="en-GB"/>
        </w:rPr>
        <w:t xml:space="preserve"> </w:t>
      </w:r>
      <w:r w:rsidRPr="002B4DAC">
        <w:rPr>
          <w:rFonts w:ascii="Times New Roman" w:hAnsi="Times New Roman"/>
          <w:lang w:val="en-GB"/>
        </w:rPr>
        <w:lastRenderedPageBreak/>
        <w:t>door-shaped opening (0.90 x 0.80 m) opens through Section III</w:t>
      </w:r>
      <w:r w:rsidRPr="00A232A9">
        <w:rPr>
          <w:rFonts w:ascii="Times New Roman" w:eastAsia="Calibri" w:hAnsi="Times New Roman" w:cs="Times New Roman"/>
          <w:lang w:val="en-GB"/>
        </w:rPr>
        <w:t xml:space="preserve"> from this section</w:t>
      </w:r>
      <w:r w:rsidRPr="002B4DAC">
        <w:rPr>
          <w:rFonts w:ascii="Times New Roman" w:hAnsi="Times New Roman"/>
          <w:lang w:val="en-GB"/>
        </w:rPr>
        <w:t xml:space="preserve">. This section was arranged in two different spaces. The upper area measures 2.33 m x 1.20 m with a height of 1.30 m. In the lower levels is a second section carved into the bedrock, measuring 1.32 x 1.24 m with a height of 1.12 m. </w:t>
      </w:r>
      <w:r w:rsidRPr="00A232A9">
        <w:rPr>
          <w:rFonts w:ascii="Times New Roman" w:eastAsia="Calibri" w:hAnsi="Times New Roman" w:cs="Times New Roman"/>
          <w:lang w:val="en-GB"/>
        </w:rPr>
        <w:t>A</w:t>
      </w:r>
      <w:r w:rsidRPr="002B4DAC">
        <w:rPr>
          <w:rFonts w:ascii="Times New Roman" w:hAnsi="Times New Roman"/>
          <w:lang w:val="en-GB"/>
        </w:rPr>
        <w:t xml:space="preserve"> protruding line was carved on the bedrock</w:t>
      </w:r>
      <w:r w:rsidRPr="00A232A9">
        <w:rPr>
          <w:rFonts w:ascii="Times New Roman" w:eastAsia="Calibri" w:hAnsi="Times New Roman" w:cs="Times New Roman"/>
          <w:lang w:val="en-GB"/>
        </w:rPr>
        <w:t xml:space="preserve"> on the upper edges</w:t>
      </w:r>
      <w:r w:rsidRPr="00F03A26">
        <w:rPr>
          <w:rFonts w:asciiTheme="majorBidi" w:hAnsiTheme="majorBidi" w:cstheme="majorBidi"/>
          <w:lang w:val="en-GB"/>
        </w:rPr>
        <w:t xml:space="preserve">, </w:t>
      </w:r>
      <w:r w:rsidRPr="002B4DAC">
        <w:rPr>
          <w:rFonts w:ascii="Times New Roman" w:hAnsi="Times New Roman"/>
          <w:lang w:val="en-GB"/>
        </w:rPr>
        <w:t>possibly to place the stones to cover this section. To the north of this section</w:t>
      </w:r>
      <w:r w:rsidRPr="00A232A9">
        <w:rPr>
          <w:rFonts w:ascii="Times New Roman" w:eastAsia="Calibri" w:hAnsi="Times New Roman" w:cs="Times New Roman"/>
          <w:lang w:val="en-GB"/>
        </w:rPr>
        <w:t>,</w:t>
      </w:r>
      <w:r w:rsidRPr="002B4DAC">
        <w:rPr>
          <w:rFonts w:ascii="Times New Roman" w:hAnsi="Times New Roman"/>
          <w:lang w:val="en-GB"/>
        </w:rPr>
        <w:t xml:space="preserve"> a square-planned passage, measuring 0.75 x 0.76 m, opens through Section IV, measuring 1.00 x 0.85 m with approximately 1.00 m height.</w:t>
      </w:r>
    </w:p>
    <w:p w14:paraId="170C43A2"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drawing>
          <wp:inline distT="0" distB="0" distL="0" distR="0" wp14:anchorId="3C8327C6" wp14:editId="0E999FB0">
            <wp:extent cx="5270500" cy="3944620"/>
            <wp:effectExtent l="0" t="0" r="0" b="5080"/>
            <wp:docPr id="215" name="Resim 215" descr="doğa, mağara, formasy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Resim 215" descr="doğa, mağara, formasyon, yer içeren bir resim&#10;&#10;Açıklama otomatik olarak oluşturuldu"/>
                    <pic:cNvPicPr/>
                  </pic:nvPicPr>
                  <pic:blipFill>
                    <a:blip r:embed="rId304" cstate="email">
                      <a:extLst>
                        <a:ext uri="{28A0092B-C50C-407E-A947-70E740481C1C}">
                          <a14:useLocalDpi xmlns:a14="http://schemas.microsoft.com/office/drawing/2010/main"/>
                        </a:ext>
                      </a:extLst>
                    </a:blip>
                    <a:stretch>
                      <a:fillRect/>
                    </a:stretch>
                  </pic:blipFill>
                  <pic:spPr>
                    <a:xfrm>
                      <a:off x="0" y="0"/>
                      <a:ext cx="5270500" cy="3944620"/>
                    </a:xfrm>
                    <a:prstGeom prst="rect">
                      <a:avLst/>
                    </a:prstGeom>
                  </pic:spPr>
                </pic:pic>
              </a:graphicData>
            </a:graphic>
          </wp:inline>
        </w:drawing>
      </w:r>
    </w:p>
    <w:p w14:paraId="4C8B6E53" w14:textId="4B17990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Fig. 49 Hollow/niche (?) carved into the second section in the western wall of the Arsenal</w:t>
      </w:r>
      <w:r w:rsidRPr="0035595C">
        <w:rPr>
          <w:rFonts w:ascii="Times New Roman" w:eastAsia="Calibri" w:hAnsi="Times New Roman" w:cs="Times New Roman"/>
          <w:lang w:val="en-GB"/>
        </w:rPr>
        <w:t>/</w:t>
      </w:r>
      <w:r w:rsidRPr="002B4DAC">
        <w:rPr>
          <w:rFonts w:ascii="Times New Roman" w:hAnsi="Times New Roman"/>
          <w:lang w:val="en-GB"/>
        </w:rPr>
        <w:t>BD78 tomb</w:t>
      </w:r>
      <w:r w:rsidRPr="002B4DAC">
        <w:rPr>
          <w:rFonts w:ascii="Times New Roman" w:hAnsi="Times New Roman"/>
          <w:lang w:val="en-GB"/>
        </w:rPr>
        <w:fldChar w:fldCharType="begin"/>
      </w:r>
      <w:r w:rsidRPr="002B4DAC">
        <w:rPr>
          <w:rFonts w:ascii="Times New Roman" w:hAnsi="Times New Roman"/>
          <w:sz w:val="20"/>
          <w:lang w:val="en-GB"/>
        </w:rPr>
        <w:instrText xml:space="preserve"> XE "</w:instrText>
      </w:r>
      <w:r w:rsidRPr="002B4DAC">
        <w:rPr>
          <w:rFonts w:ascii="Times New Roman" w:hAnsi="Times New Roman"/>
          <w:lang w:val="en-GB"/>
        </w:rPr>
        <w:instrText xml:space="preserve">Arsenal/BD78 </w:instrText>
      </w:r>
      <w:r w:rsidR="00AA1737">
        <w:rPr>
          <w:rFonts w:ascii="Times New Roman" w:hAnsi="Times New Roman"/>
          <w:lang w:val="en-GB"/>
        </w:rPr>
        <w:instrText>t</w:instrText>
      </w:r>
      <w:r w:rsidRPr="002B4DAC">
        <w:rPr>
          <w:rFonts w:ascii="Times New Roman" w:hAnsi="Times New Roman"/>
          <w:lang w:val="en-GB"/>
        </w:rPr>
        <w:instrText>omb</w:instrText>
      </w:r>
      <w:r w:rsidRPr="002B4DAC">
        <w:rPr>
          <w:rFonts w:ascii="Times New Roman" w:hAnsi="Times New Roman"/>
          <w:sz w:val="20"/>
          <w:lang w:val="en-GB"/>
        </w:rPr>
        <w:instrText xml:space="preserve">" </w:instrText>
      </w:r>
      <w:r w:rsidRPr="002B4DAC">
        <w:rPr>
          <w:rFonts w:ascii="Times New Roman" w:hAnsi="Times New Roman"/>
          <w:lang w:val="en-GB"/>
        </w:rPr>
        <w:fldChar w:fldCharType="end"/>
      </w:r>
      <w:r w:rsidRPr="002B4DAC">
        <w:rPr>
          <w:rFonts w:ascii="Times New Roman" w:hAnsi="Times New Roman"/>
          <w:lang w:val="en-GB"/>
        </w:rPr>
        <w:t>.</w:t>
      </w:r>
    </w:p>
    <w:p w14:paraId="1C144324" w14:textId="77777777" w:rsidR="006B23DC" w:rsidRDefault="006B23DC" w:rsidP="006B23DC">
      <w:pPr>
        <w:spacing w:before="100" w:beforeAutospacing="1" w:after="100" w:afterAutospacing="1"/>
        <w:jc w:val="both"/>
        <w:rPr>
          <w:rFonts w:ascii="Times New Roman" w:hAnsi="Times New Roman"/>
          <w:lang w:val="en-GB"/>
        </w:rPr>
      </w:pPr>
      <w:bookmarkStart w:id="146" w:name="_Toc132072553"/>
      <w:r w:rsidRPr="002B4DAC">
        <w:rPr>
          <w:rFonts w:ascii="Times New Roman" w:hAnsi="Times New Roman"/>
          <w:lang w:val="en-GB"/>
        </w:rPr>
        <w:t xml:space="preserve">The burial chamber, consisting of different sections with different levels and dimensions, </w:t>
      </w:r>
      <w:r w:rsidRPr="00A232A9">
        <w:rPr>
          <w:rFonts w:ascii="Times New Roman" w:eastAsia="Calibri" w:hAnsi="Times New Roman" w:cs="Times New Roman"/>
          <w:lang w:val="en-GB"/>
        </w:rPr>
        <w:t>mainly</w:t>
      </w:r>
      <w:r w:rsidRPr="002B4DAC">
        <w:rPr>
          <w:rFonts w:ascii="Times New Roman" w:hAnsi="Times New Roman"/>
          <w:lang w:val="en-GB"/>
        </w:rPr>
        <w:t xml:space="preserve"> resembles the structural and planning aspects of underground burial chambers known from Van/Altıntepe</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(Sevin, 2012a: 114).</w:t>
      </w:r>
    </w:p>
    <w:p w14:paraId="50607F83" w14:textId="77777777" w:rsidR="006B23DC" w:rsidRPr="002B4DAC" w:rsidRDefault="006B23DC" w:rsidP="006B23DC">
      <w:pPr>
        <w:spacing w:before="100" w:beforeAutospacing="1" w:after="100" w:afterAutospacing="1"/>
        <w:jc w:val="both"/>
        <w:rPr>
          <w:rFonts w:ascii="Times New Roman" w:hAnsi="Times New Roman"/>
          <w:lang w:val="en-GB"/>
        </w:rPr>
      </w:pPr>
    </w:p>
    <w:p w14:paraId="2108B0B7" w14:textId="77777777" w:rsidR="006B23DC" w:rsidRPr="002B4DAC" w:rsidRDefault="006B23DC" w:rsidP="006B23DC">
      <w:pPr>
        <w:spacing w:before="100" w:beforeAutospacing="1" w:after="100" w:afterAutospacing="1"/>
        <w:jc w:val="both"/>
        <w:outlineLvl w:val="2"/>
        <w:rPr>
          <w:rFonts w:ascii="Times New Roman" w:hAnsi="Times New Roman"/>
          <w:b/>
          <w:color w:val="0D0D0D"/>
          <w:lang w:val="en-GB"/>
        </w:rPr>
      </w:pPr>
      <w:bookmarkStart w:id="147" w:name="_Toc173231247"/>
      <w:r w:rsidRPr="002B4DAC">
        <w:rPr>
          <w:rFonts w:ascii="Times New Roman" w:hAnsi="Times New Roman"/>
          <w:b/>
          <w:color w:val="0D0D0D"/>
          <w:lang w:val="en-GB"/>
        </w:rPr>
        <w:t>9.3.4. The Doğu Odaları</w:t>
      </w:r>
      <w:r>
        <w:rPr>
          <w:rFonts w:asciiTheme="majorBidi" w:hAnsiTheme="majorBidi" w:cstheme="majorBidi"/>
          <w:b/>
          <w:color w:val="0D0D0D" w:themeColor="text1" w:themeTint="F2"/>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b/>
          <w:color w:val="0D0D0D" w:themeColor="text1" w:themeTint="F2"/>
          <w:lang w:val="en-GB"/>
        </w:rPr>
        <w:fldChar w:fldCharType="end"/>
      </w:r>
      <w:r w:rsidRPr="002B4DAC">
        <w:rPr>
          <w:rFonts w:ascii="Times New Roman" w:hAnsi="Times New Roman"/>
          <w:b/>
          <w:color w:val="0D0D0D"/>
          <w:lang w:val="en-GB"/>
        </w:rPr>
        <w:t xml:space="preserve"> Tomb</w:t>
      </w:r>
      <w:bookmarkEnd w:id="146"/>
      <w:r w:rsidRPr="002B4DAC">
        <w:rPr>
          <w:rFonts w:ascii="Times New Roman" w:hAnsi="Times New Roman"/>
          <w:b/>
          <w:color w:val="0D0D0D"/>
          <w:lang w:val="en-GB"/>
        </w:rPr>
        <w:t>: BG9899/BH 9899</w:t>
      </w:r>
      <w:bookmarkEnd w:id="147"/>
    </w:p>
    <w:p w14:paraId="65701413" w14:textId="77777777" w:rsidR="006B23DC" w:rsidRPr="002B4DAC" w:rsidRDefault="006B23DC" w:rsidP="006B23DC">
      <w:pPr>
        <w:spacing w:before="100" w:beforeAutospacing="1" w:after="100" w:afterAutospacing="1"/>
        <w:jc w:val="both"/>
        <w:rPr>
          <w:rFonts w:ascii="Times New Roman" w:hAnsi="Times New Roman"/>
          <w:lang w:val="en-GB"/>
        </w:rPr>
      </w:pPr>
      <w:r w:rsidRPr="00A232A9">
        <w:rPr>
          <w:rFonts w:ascii="Times New Roman" w:eastAsia="Calibri" w:hAnsi="Times New Roman" w:cs="Times New Roman"/>
          <w:lang w:val="en-GB"/>
        </w:rPr>
        <w:t>The area</w:t>
      </w:r>
      <w:r w:rsidRPr="002B4DAC">
        <w:rPr>
          <w:rFonts w:ascii="Times New Roman" w:hAnsi="Times New Roman"/>
          <w:lang w:val="en-GB"/>
        </w:rPr>
        <w:t xml:space="preserve"> east of the East Ditch</w:t>
      </w:r>
      <w:r>
        <w:rPr>
          <w:rFonts w:asciiTheme="majorBidi" w:hAnsiTheme="majorBidi" w:cstheme="majorBidi"/>
          <w:lang w:val="en-GB"/>
        </w:rPr>
        <w:fldChar w:fldCharType="begin"/>
      </w:r>
      <w:r>
        <w:instrText xml:space="preserve"> XE "</w:instrText>
      </w:r>
      <w:r w:rsidRPr="00085214">
        <w:rPr>
          <w:rFonts w:asciiTheme="majorBidi" w:hAnsiTheme="majorBidi" w:cstheme="majorBidi"/>
        </w:rPr>
        <w:instrText>East Ditch</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of the Ṭušpa</w:t>
      </w:r>
      <w:r>
        <w:rPr>
          <w:rFonts w:ascii="Times New Roman" w:hAnsi="Times New Roman"/>
          <w:lang w:val="en-GB"/>
        </w:rPr>
        <w:t>/Van</w:t>
      </w:r>
      <w:r w:rsidRPr="002B4DAC">
        <w:rPr>
          <w:rFonts w:ascii="Times New Roman" w:hAnsi="Times New Roman"/>
          <w:lang w:val="en-GB"/>
        </w:rPr>
        <w:t xml:space="preserve"> Rock</w:t>
      </w:r>
      <w:r w:rsidRPr="00A232A9">
        <w:rPr>
          <w:rFonts w:ascii="Times New Roman" w:eastAsia="Calibri" w:hAnsi="Times New Roman" w:cs="Times New Roman"/>
          <w:lang w:val="en-GB"/>
        </w:rPr>
        <w:t> </w:t>
      </w:r>
      <w:r w:rsidRPr="00DF3B77">
        <w:rPr>
          <w:rFonts w:asciiTheme="majorBidi" w:hAnsiTheme="majorBidi" w:cstheme="majorBidi"/>
          <w:lang w:val="en-GB"/>
        </w:rPr>
        <w:fldChar w:fldCharType="begin"/>
      </w:r>
      <w:r w:rsidRPr="00DF3B77">
        <w:rPr>
          <w:rFonts w:asciiTheme="majorBidi" w:hAnsiTheme="majorBidi" w:cstheme="majorBidi"/>
          <w:lang w:val="en-GB"/>
        </w:rPr>
        <w:instrText xml:space="preserve"> XE "</w:instrText>
      </w:r>
      <w:r w:rsidRPr="00DF3B77">
        <w:rPr>
          <w:rFonts w:asciiTheme="majorBidi" w:eastAsia="Times New Roman" w:hAnsiTheme="majorBidi" w:cstheme="majorBidi"/>
          <w:lang w:val="en-GB"/>
        </w:rPr>
        <w:instrText>Ṭušpa/Van Rock</w:instrText>
      </w:r>
      <w:r w:rsidRPr="00DF3B77">
        <w:rPr>
          <w:rFonts w:asciiTheme="majorBidi" w:hAnsiTheme="majorBidi" w:cstheme="majorBidi"/>
          <w:lang w:val="en-GB"/>
        </w:rPr>
        <w:instrText xml:space="preserve">" </w:instrText>
      </w:r>
      <w:r w:rsidRPr="00DF3B77">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yields fewer structures and remains dating to the Urartian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period. The Minua</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lang w:val="en-GB"/>
        </w:rPr>
        <w:t>fountain and the ‘</w:t>
      </w:r>
      <w:r w:rsidRPr="00A232A9">
        <w:rPr>
          <w:rFonts w:ascii="Times New Roman" w:eastAsia="Calibri" w:hAnsi="Times New Roman" w:cs="Times New Roman"/>
          <w:lang w:val="en-GB"/>
        </w:rPr>
        <w:t>Analıkız</w:t>
      </w:r>
      <w:r>
        <w:rPr>
          <w:rFonts w:ascii="Times New Roman" w:eastAsia="Calibri" w:hAnsi="Times New Roman" w:cs="Times New Roman"/>
          <w:lang w:val="en-GB"/>
        </w:rPr>
        <w:fldChar w:fldCharType="begin"/>
      </w:r>
      <w:r>
        <w:instrText xml:space="preserve"> XE "</w:instrText>
      </w:r>
      <w:r w:rsidRPr="004A2815">
        <w:rPr>
          <w:rFonts w:ascii="Times New Roman" w:eastAsia="Calibri" w:hAnsi="Times New Roman" w:cs="Times New Roman"/>
          <w:lang w:val="en-GB"/>
        </w:rPr>
        <w:instrText>Analıkız</w:instrText>
      </w:r>
      <w:r>
        <w:instrText xml:space="preserve">" </w:instrText>
      </w:r>
      <w:r>
        <w:rPr>
          <w:rFonts w:ascii="Times New Roman" w:eastAsia="Calibri" w:hAnsi="Times New Roman" w:cs="Times New Roman"/>
          <w:lang w:val="en-GB"/>
        </w:rPr>
        <w:fldChar w:fldCharType="end"/>
      </w:r>
      <w:r w:rsidRPr="00A232A9">
        <w:rPr>
          <w:rFonts w:ascii="Times New Roman" w:eastAsia="Calibri" w:hAnsi="Times New Roman" w:cs="Times New Roman"/>
          <w:lang w:val="en-GB"/>
        </w:rPr>
        <w:t>’</w:t>
      </w:r>
      <w:r w:rsidRPr="002B4DAC">
        <w:rPr>
          <w:rFonts w:ascii="Times New Roman" w:hAnsi="Times New Roman"/>
          <w:lang w:val="en-GB"/>
        </w:rPr>
        <w:t xml:space="preserve"> monumental rock niches on the northern slopes,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tomb </w:t>
      </w:r>
      <w:r w:rsidRPr="00A232A9">
        <w:rPr>
          <w:rFonts w:ascii="Times New Roman" w:eastAsia="Calibri" w:hAnsi="Times New Roman" w:cs="Times New Roman"/>
          <w:lang w:val="en-GB"/>
        </w:rPr>
        <w:t>on</w:t>
      </w:r>
      <w:r w:rsidRPr="002B4DAC">
        <w:rPr>
          <w:rFonts w:ascii="Times New Roman" w:hAnsi="Times New Roman"/>
          <w:lang w:val="en-GB"/>
        </w:rPr>
        <w:t xml:space="preserve"> the southern front, and the cremation tomb further to the east constitute the main Urartian remains in this area (Fig. 50-51).</w:t>
      </w:r>
    </w:p>
    <w:p w14:paraId="17BF1491" w14:textId="77777777"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lang w:val="en-GB"/>
        </w:rPr>
        <w:t>In many respects, the tomb complex is defined as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tomb</w:t>
      </w:r>
      <w:r w:rsidRPr="00A232A9">
        <w:rPr>
          <w:rFonts w:ascii="Times New Roman" w:eastAsia="Calibri" w:hAnsi="Times New Roman" w:cs="Times New Roman"/>
          <w:lang w:val="en-GB"/>
        </w:rPr>
        <w:t> </w:t>
      </w:r>
      <w:r w:rsidRPr="002B4DAC">
        <w:rPr>
          <w:rFonts w:ascii="Times New Roman" w:hAnsi="Times New Roman"/>
          <w:lang w:val="en-GB"/>
        </w:rPr>
        <w:t xml:space="preserve">exhibits similar characteristics </w:t>
      </w:r>
      <w:r w:rsidRPr="00A232A9">
        <w:rPr>
          <w:rFonts w:ascii="Times New Roman" w:eastAsia="Calibri" w:hAnsi="Times New Roman" w:cs="Times New Roman"/>
          <w:lang w:val="en-GB"/>
        </w:rPr>
        <w:t>to</w:t>
      </w:r>
      <w:r w:rsidRPr="002B4DAC">
        <w:rPr>
          <w:rFonts w:ascii="Times New Roman" w:hAnsi="Times New Roman"/>
          <w:lang w:val="en-GB"/>
        </w:rPr>
        <w:t xml:space="preserve">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and İç Kale</w:t>
      </w:r>
      <w:r>
        <w:rPr>
          <w:rFonts w:asciiTheme="majorBidi" w:hAnsiTheme="majorBidi" w:cstheme="majorBidi"/>
          <w:lang w:val="en-GB"/>
        </w:rPr>
        <w:fldChar w:fldCharType="begin"/>
      </w:r>
      <w:r>
        <w:instrText xml:space="preserve"> XE "</w:instrText>
      </w:r>
      <w:r w:rsidRPr="00F87406">
        <w:rPr>
          <w:rFonts w:asciiTheme="majorBidi" w:hAnsiTheme="majorBidi" w:cstheme="majorBidi"/>
        </w:rPr>
        <w:instrText>İç Kale</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tombs located around the “Great Platform</w:t>
      </w:r>
      <w:r>
        <w:rPr>
          <w:rFonts w:ascii="Times New Roman" w:eastAsia="Calibri" w:hAnsi="Times New Roman" w:cs="Times New Roman"/>
          <w:lang w:val="en-GB"/>
        </w:rPr>
        <w:t>”</w:t>
      </w:r>
      <w:r w:rsidRPr="00F03A26">
        <w:rPr>
          <w:rFonts w:asciiTheme="majorBidi" w:hAnsiTheme="majorBidi" w:cstheme="majorBidi"/>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"Great Platform"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B4DAC">
        <w:rPr>
          <w:rFonts w:ascii="Times New Roman" w:hAnsi="Times New Roman"/>
          <w:lang w:val="en-GB"/>
        </w:rPr>
        <w:t xml:space="preserve"> The </w:t>
      </w:r>
      <w:r w:rsidRPr="002B4DAC">
        <w:rPr>
          <w:rFonts w:ascii="Times New Roman" w:hAnsi="Times New Roman"/>
          <w:lang w:val="en-GB"/>
        </w:rPr>
        <w:lastRenderedPageBreak/>
        <w:t>location of this tomb complex outside the East Ditch</w:t>
      </w:r>
      <w:r>
        <w:rPr>
          <w:rFonts w:asciiTheme="majorBidi" w:hAnsiTheme="majorBidi" w:cstheme="majorBidi"/>
          <w:lang w:val="en-GB"/>
        </w:rPr>
        <w:fldChar w:fldCharType="begin"/>
      </w:r>
      <w:r>
        <w:instrText xml:space="preserve"> XE "</w:instrText>
      </w:r>
      <w:r w:rsidRPr="00085214">
        <w:rPr>
          <w:rFonts w:asciiTheme="majorBidi" w:hAnsiTheme="majorBidi" w:cstheme="majorBidi"/>
        </w:rPr>
        <w:instrText>East Ditch</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seems to be related mainly to the need </w:t>
      </w:r>
      <w:r w:rsidRPr="00A232A9">
        <w:rPr>
          <w:rFonts w:ascii="Times New Roman" w:eastAsia="Calibri" w:hAnsi="Times New Roman" w:cs="Times New Roman"/>
          <w:lang w:val="en-GB"/>
        </w:rPr>
        <w:t>to benefit</w:t>
      </w:r>
      <w:r w:rsidRPr="002B4DAC">
        <w:rPr>
          <w:rFonts w:ascii="Times New Roman" w:hAnsi="Times New Roman"/>
          <w:lang w:val="en-GB"/>
        </w:rPr>
        <w:t xml:space="preserve"> from the structural properties of the rocky terrain. The southward</w:t>
      </w:r>
      <w:r w:rsidRPr="00A232A9">
        <w:rPr>
          <w:rFonts w:ascii="Times New Roman" w:eastAsia="Calibri" w:hAnsi="Times New Roman" w:cs="Times New Roman"/>
          <w:lang w:val="en-GB"/>
        </w:rPr>
        <w:t>-</w:t>
      </w:r>
      <w:r w:rsidRPr="002B4DAC">
        <w:rPr>
          <w:rFonts w:ascii="Times New Roman" w:hAnsi="Times New Roman"/>
          <w:lang w:val="en-GB"/>
        </w:rPr>
        <w:t xml:space="preserve">facing flattened monumental facade measures 12.60 m in height and approximately 29.30 m in width (Fig. 52). A large platform is in front of the burial chamber, measuring approximately 17.50 x 7.50 m. This platform is accessed through a monumental stairway. The stair is made of steps carved into the bedrock. Each step measures 20-25 cm in height. On the higher levels, the steps are 50-60 cm wide. Through the middle section of the stairway, the steps are as wide as 3.00 m. </w:t>
      </w:r>
    </w:p>
    <w:p w14:paraId="1884B53A"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noProof/>
        </w:rPr>
        <w:drawing>
          <wp:inline distT="0" distB="0" distL="0" distR="0" wp14:anchorId="368FE4BA" wp14:editId="4946797A">
            <wp:extent cx="5024673" cy="3367041"/>
            <wp:effectExtent l="0" t="0" r="5080" b="0"/>
            <wp:docPr id="216" name="Resim 216" descr="gökyüzü, dış mekan, Çorak arazi,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Resim 216" descr="gökyüzü, dış mekan, Çorak arazi, jeoloji içeren bir resim&#10;&#10;Açıklama otomatik olarak oluşturuldu"/>
                    <pic:cNvPicPr/>
                  </pic:nvPicPr>
                  <pic:blipFill rotWithShape="1">
                    <a:blip r:embed="rId305" cstate="email">
                      <a:extLst>
                        <a:ext uri="{28A0092B-C50C-407E-A947-70E740481C1C}">
                          <a14:useLocalDpi xmlns:a14="http://schemas.microsoft.com/office/drawing/2010/main"/>
                        </a:ext>
                      </a:extLst>
                    </a:blip>
                    <a:srcRect/>
                    <a:stretch/>
                  </pic:blipFill>
                  <pic:spPr bwMode="auto">
                    <a:xfrm>
                      <a:off x="0" y="0"/>
                      <a:ext cx="5025434" cy="3367551"/>
                    </a:xfrm>
                    <a:prstGeom prst="rect">
                      <a:avLst/>
                    </a:prstGeom>
                    <a:ln>
                      <a:noFill/>
                    </a:ln>
                    <a:extLst>
                      <a:ext uri="{53640926-AAD7-44D8-BBD7-CCE9431645EC}">
                        <a14:shadowObscured xmlns:a14="http://schemas.microsoft.com/office/drawing/2010/main"/>
                      </a:ext>
                    </a:extLst>
                  </pic:spPr>
                </pic:pic>
              </a:graphicData>
            </a:graphic>
          </wp:inline>
        </w:drawing>
      </w:r>
    </w:p>
    <w:p w14:paraId="36292E8A" w14:textId="77777777" w:rsidR="006B23DC" w:rsidRPr="002B4DAC" w:rsidRDefault="006B23DC" w:rsidP="006B23DC">
      <w:pPr>
        <w:spacing w:before="100" w:beforeAutospacing="1" w:after="100" w:afterAutospacing="1"/>
        <w:jc w:val="both"/>
        <w:rPr>
          <w:rFonts w:ascii="Times New Roman" w:hAnsi="Times New Roman"/>
          <w:lang w:val="en-GB"/>
        </w:rPr>
      </w:pPr>
      <w:r w:rsidRPr="002B4DAC">
        <w:rPr>
          <w:rFonts w:ascii="Times New Roman" w:hAnsi="Times New Roman"/>
          <w:lang w:val="en-GB"/>
        </w:rPr>
        <w:t>Fig. 50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lang w:val="en-GB"/>
        </w:rPr>
        <w:t xml:space="preserve"> tomb. It is the only multi-chambered tomb in the east of the East Ditch</w:t>
      </w:r>
      <w:r w:rsidRPr="002B4DAC">
        <w:rPr>
          <w:rFonts w:ascii="Times New Roman" w:hAnsi="Times New Roman"/>
          <w:lang w:val="en-GB"/>
        </w:rPr>
        <w:fldChar w:fldCharType="begin"/>
      </w:r>
      <w:r w:rsidRPr="002B4DAC">
        <w:rPr>
          <w:rFonts w:ascii="Times New Roman" w:hAnsi="Times New Roman"/>
          <w:sz w:val="20"/>
          <w:lang w:val="en-GB"/>
        </w:rPr>
        <w:instrText xml:space="preserve"> XE "East Ditch" </w:instrText>
      </w:r>
      <w:r w:rsidRPr="002B4DAC">
        <w:rPr>
          <w:rFonts w:ascii="Times New Roman" w:hAnsi="Times New Roman"/>
          <w:lang w:val="en-GB"/>
        </w:rPr>
        <w:fldChar w:fldCharType="end"/>
      </w:r>
      <w:r w:rsidRPr="002B4DAC">
        <w:rPr>
          <w:rFonts w:ascii="Times New Roman" w:hAnsi="Times New Roman"/>
          <w:lang w:val="en-GB"/>
        </w:rPr>
        <w:t>.</w:t>
      </w:r>
    </w:p>
    <w:p w14:paraId="64EB2E03" w14:textId="77777777" w:rsidR="006B23DC" w:rsidRDefault="006B23DC" w:rsidP="006B23DC">
      <w:pPr>
        <w:spacing w:before="100" w:beforeAutospacing="1" w:after="100" w:afterAutospacing="1"/>
        <w:jc w:val="both"/>
        <w:rPr>
          <w:rFonts w:ascii="Times New Roman" w:hAnsi="Times New Roman"/>
          <w:lang w:val="en-GB"/>
        </w:rPr>
      </w:pPr>
      <w:r w:rsidRPr="0035595C">
        <w:rPr>
          <w:rFonts w:ascii="Times New Roman" w:eastAsia="Times New Roman" w:hAnsi="Times New Roman" w:cs="Times New Roman"/>
          <w:noProof/>
        </w:rPr>
        <w:drawing>
          <wp:inline distT="0" distB="0" distL="0" distR="0" wp14:anchorId="2FAF2938" wp14:editId="6DCD1265">
            <wp:extent cx="4333432" cy="3250194"/>
            <wp:effectExtent l="12700" t="12700" r="10160" b="13970"/>
            <wp:docPr id="791274707" name="Resim 8" descr="taslak, çizim, sanat,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7588" name="Resim 8" descr="taslak, çizim, sanat, manzara içeren bir resim&#10;&#10;Açıklama otomatik olarak oluşturuldu"/>
                    <pic:cNvPicPr/>
                  </pic:nvPicPr>
                  <pic:blipFill>
                    <a:blip r:embed="rId306" cstate="email">
                      <a:extLst>
                        <a:ext uri="{28A0092B-C50C-407E-A947-70E740481C1C}">
                          <a14:useLocalDpi xmlns:a14="http://schemas.microsoft.com/office/drawing/2010/main"/>
                        </a:ext>
                      </a:extLst>
                    </a:blip>
                    <a:stretch>
                      <a:fillRect/>
                    </a:stretch>
                  </pic:blipFill>
                  <pic:spPr>
                    <a:xfrm>
                      <a:off x="0" y="0"/>
                      <a:ext cx="4333901" cy="3250546"/>
                    </a:xfrm>
                    <a:prstGeom prst="rect">
                      <a:avLst/>
                    </a:prstGeom>
                    <a:ln>
                      <a:solidFill>
                        <a:sysClr val="windowText" lastClr="000000"/>
                      </a:solidFill>
                    </a:ln>
                  </pic:spPr>
                </pic:pic>
              </a:graphicData>
            </a:graphic>
          </wp:inline>
        </w:drawing>
      </w:r>
    </w:p>
    <w:p w14:paraId="2D5106AD"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lastRenderedPageBreak/>
        <w:t>Fig. 51 Facade drawing of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p>
    <w:p w14:paraId="1879EFAB"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6F47B0B6" wp14:editId="2C533845">
            <wp:extent cx="4585063" cy="3056525"/>
            <wp:effectExtent l="0" t="0" r="0" b="4445"/>
            <wp:docPr id="217" name="Resim 217" descr="dış mekan, dağ, kaya,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descr="dış mekan, dağ, kaya, doğa içeren bir resim&#10;&#10;Açıklama otomatik olarak oluşturuldu"/>
                    <pic:cNvPicPr/>
                  </pic:nvPicPr>
                  <pic:blipFill>
                    <a:blip r:embed="rId307" cstate="email">
                      <a:extLst>
                        <a:ext uri="{28A0092B-C50C-407E-A947-70E740481C1C}">
                          <a14:useLocalDpi xmlns:a14="http://schemas.microsoft.com/office/drawing/2010/main"/>
                        </a:ext>
                      </a:extLst>
                    </a:blip>
                    <a:stretch>
                      <a:fillRect/>
                    </a:stretch>
                  </pic:blipFill>
                  <pic:spPr>
                    <a:xfrm>
                      <a:off x="0" y="0"/>
                      <a:ext cx="4621209" cy="3080621"/>
                    </a:xfrm>
                    <a:prstGeom prst="rect">
                      <a:avLst/>
                    </a:prstGeom>
                  </pic:spPr>
                </pic:pic>
              </a:graphicData>
            </a:graphic>
          </wp:inline>
        </w:drawing>
      </w:r>
    </w:p>
    <w:p w14:paraId="18EC3E47" w14:textId="77777777" w:rsidR="006B23DC" w:rsidRPr="002B4DAC" w:rsidRDefault="006B23DC" w:rsidP="006B23DC">
      <w:pPr>
        <w:pStyle w:val="AklamaMetni"/>
        <w:spacing w:before="100" w:beforeAutospacing="1" w:after="100" w:afterAutospacing="1"/>
        <w:jc w:val="both"/>
        <w:rPr>
          <w:sz w:val="24"/>
          <w:lang w:val="en-GB"/>
        </w:rPr>
      </w:pPr>
      <w:r w:rsidRPr="002B4DAC">
        <w:rPr>
          <w:sz w:val="24"/>
          <w:lang w:val="en-GB"/>
        </w:rPr>
        <w:t>Fig. 52 Doğu Odaları</w:t>
      </w:r>
      <w:r>
        <w:rPr>
          <w:rFonts w:asciiTheme="majorBidi" w:hAnsiTheme="majorBidi" w:cstheme="majorBidi"/>
          <w:sz w:val="24"/>
          <w:szCs w:val="24"/>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sz w:val="24"/>
          <w:szCs w:val="24"/>
          <w:lang w:val="en-GB"/>
        </w:rPr>
        <w:fldChar w:fldCharType="end"/>
      </w:r>
      <w:r w:rsidRPr="00940A0E">
        <w:rPr>
          <w:rFonts w:asciiTheme="majorBidi" w:hAnsiTheme="majorBidi" w:cstheme="majorBidi"/>
          <w:sz w:val="24"/>
          <w:szCs w:val="24"/>
          <w:lang w:val="en-GB"/>
        </w:rPr>
        <w:t xml:space="preserve"> </w:t>
      </w:r>
      <w:r w:rsidRPr="002B4DAC">
        <w:rPr>
          <w:sz w:val="24"/>
          <w:lang w:val="en-GB"/>
        </w:rPr>
        <w:t>tomb. Its facade arrangement, the steps leading from the citadel and the platform in front reflect the characteristics of the Urartian</w:t>
      </w:r>
      <w:r w:rsidRPr="002B4DAC">
        <w:rPr>
          <w:sz w:val="24"/>
          <w:lang w:val="en-GB"/>
        </w:rPr>
        <w:fldChar w:fldCharType="begin"/>
      </w:r>
      <w:r w:rsidRPr="002B4DAC">
        <w:rPr>
          <w:lang w:val="en-GB"/>
        </w:rPr>
        <w:instrText xml:space="preserve"> XE "Urartian" </w:instrText>
      </w:r>
      <w:r w:rsidRPr="002B4DAC">
        <w:rPr>
          <w:sz w:val="24"/>
          <w:lang w:val="en-GB"/>
        </w:rPr>
        <w:fldChar w:fldCharType="end"/>
      </w:r>
      <w:r w:rsidRPr="002B4DAC">
        <w:rPr>
          <w:sz w:val="24"/>
          <w:lang w:val="en-GB"/>
        </w:rPr>
        <w:t xml:space="preserve"> royal tombs.</w:t>
      </w:r>
    </w:p>
    <w:p w14:paraId="3A1DE463"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0FA2762D" wp14:editId="669C5E48">
            <wp:extent cx="3298371" cy="3753785"/>
            <wp:effectExtent l="0" t="0" r="3810" b="5715"/>
            <wp:docPr id="218" name="Resim 218" descr="dış mekan, harabeler, kaya,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Resim 218" descr="dış mekan, harabeler, kaya, mağara içeren bir resim&#10;&#10;Açıklama otomatik olarak oluşturuldu"/>
                    <pic:cNvPicPr/>
                  </pic:nvPicPr>
                  <pic:blipFill>
                    <a:blip r:embed="rId308" cstate="email">
                      <a:extLst>
                        <a:ext uri="{28A0092B-C50C-407E-A947-70E740481C1C}">
                          <a14:useLocalDpi xmlns:a14="http://schemas.microsoft.com/office/drawing/2010/main"/>
                        </a:ext>
                      </a:extLst>
                    </a:blip>
                    <a:stretch>
                      <a:fillRect/>
                    </a:stretch>
                  </pic:blipFill>
                  <pic:spPr>
                    <a:xfrm>
                      <a:off x="0" y="0"/>
                      <a:ext cx="3301128" cy="3756922"/>
                    </a:xfrm>
                    <a:prstGeom prst="rect">
                      <a:avLst/>
                    </a:prstGeom>
                  </pic:spPr>
                </pic:pic>
              </a:graphicData>
            </a:graphic>
          </wp:inline>
        </w:drawing>
      </w:r>
    </w:p>
    <w:p w14:paraId="27CF8574"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53 Main entrance door of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and the steps reaching towards the door from the platform.</w:t>
      </w:r>
    </w:p>
    <w:p w14:paraId="5F3F84A9"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17D9EA5E" wp14:editId="1E00D571">
            <wp:extent cx="2563149" cy="3861707"/>
            <wp:effectExtent l="0" t="0" r="2540" b="0"/>
            <wp:docPr id="219" name="Resim 219" descr="mağara, harabeler, bet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Resim 219" descr="mağara, harabeler, beton, yer içeren bir resim&#10;&#10;Açıklama otomatik olarak oluşturuldu"/>
                    <pic:cNvPicPr/>
                  </pic:nvPicPr>
                  <pic:blipFill>
                    <a:blip r:embed="rId309" cstate="email">
                      <a:extLst>
                        <a:ext uri="{28A0092B-C50C-407E-A947-70E740481C1C}">
                          <a14:useLocalDpi xmlns:a14="http://schemas.microsoft.com/office/drawing/2010/main"/>
                        </a:ext>
                      </a:extLst>
                    </a:blip>
                    <a:stretch>
                      <a:fillRect/>
                    </a:stretch>
                  </pic:blipFill>
                  <pic:spPr>
                    <a:xfrm>
                      <a:off x="0" y="0"/>
                      <a:ext cx="2576118" cy="3881247"/>
                    </a:xfrm>
                    <a:prstGeom prst="rect">
                      <a:avLst/>
                    </a:prstGeom>
                  </pic:spPr>
                </pic:pic>
              </a:graphicData>
            </a:graphic>
          </wp:inline>
        </w:drawing>
      </w:r>
    </w:p>
    <w:p w14:paraId="22D13936"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54 Main Hall of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p>
    <w:p w14:paraId="4F8CA315"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210919DB" wp14:editId="7531BD2C">
            <wp:extent cx="4586334" cy="7767376"/>
            <wp:effectExtent l="0" t="0" r="0" b="5080"/>
            <wp:docPr id="320110900" name="Resim 14" descr="metin, diyagram, pla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10900" name="Resim 14" descr="metin, diyagram, plan, harita içeren bir resim&#10;&#10;Açıklama otomatik olarak oluşturuldu"/>
                    <pic:cNvPicPr/>
                  </pic:nvPicPr>
                  <pic:blipFill>
                    <a:blip r:embed="rId310" cstate="email">
                      <a:extLst>
                        <a:ext uri="{28A0092B-C50C-407E-A947-70E740481C1C}">
                          <a14:useLocalDpi xmlns:a14="http://schemas.microsoft.com/office/drawing/2010/main"/>
                        </a:ext>
                      </a:extLst>
                    </a:blip>
                    <a:stretch>
                      <a:fillRect/>
                    </a:stretch>
                  </pic:blipFill>
                  <pic:spPr>
                    <a:xfrm>
                      <a:off x="0" y="0"/>
                      <a:ext cx="4621757" cy="7827368"/>
                    </a:xfrm>
                    <a:prstGeom prst="rect">
                      <a:avLst/>
                    </a:prstGeom>
                  </pic:spPr>
                </pic:pic>
              </a:graphicData>
            </a:graphic>
          </wp:inline>
        </w:drawing>
      </w:r>
    </w:p>
    <w:p w14:paraId="61594DFE"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55 Plan, section, and views of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p>
    <w:p w14:paraId="3A1202A8" w14:textId="77777777" w:rsidR="006B23DC" w:rsidRPr="002B4DAC" w:rsidRDefault="006B23DC" w:rsidP="006B23DC">
      <w:pPr>
        <w:spacing w:before="100" w:beforeAutospacing="1" w:after="100" w:afterAutospacing="1"/>
        <w:jc w:val="both"/>
        <w:rPr>
          <w:rFonts w:ascii="Times New Roman" w:hAnsi="Times New Roman"/>
          <w:szCs w:val="22"/>
          <w:lang w:val="en-GB"/>
        </w:rPr>
      </w:pPr>
    </w:p>
    <w:p w14:paraId="5FFCCAC2" w14:textId="77777777" w:rsidR="006B23DC" w:rsidRPr="002B4DAC" w:rsidRDefault="006B23DC" w:rsidP="006B23DC">
      <w:pPr>
        <w:spacing w:before="100" w:beforeAutospacing="1" w:after="100" w:afterAutospacing="1"/>
        <w:jc w:val="both"/>
        <w:rPr>
          <w:rFonts w:ascii="Times New Roman" w:hAnsi="Times New Roman"/>
          <w:color w:val="FF0000"/>
          <w:szCs w:val="22"/>
          <w:lang w:val="en-GB"/>
        </w:rPr>
      </w:pPr>
      <w:r w:rsidRPr="002B4DAC">
        <w:rPr>
          <w:rFonts w:ascii="Times New Roman" w:hAnsi="Times New Roman"/>
          <w:noProof/>
          <w:color w:val="FF0000"/>
          <w:szCs w:val="22"/>
          <w:lang w:val="en-US"/>
        </w:rPr>
        <w:lastRenderedPageBreak/>
        <w:drawing>
          <wp:inline distT="0" distB="0" distL="0" distR="0" wp14:anchorId="1033404A" wp14:editId="193621BD">
            <wp:extent cx="4213555" cy="3024401"/>
            <wp:effectExtent l="0" t="0" r="0" b="5080"/>
            <wp:docPr id="696381674" name="Resim 696381674" descr="C:\Users\lenovo\Desktop\Mezar Çizimleri\dogu_mez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Mezar Çizimleri\dogu_mezar.png"/>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4216678" cy="3026642"/>
                    </a:xfrm>
                    <a:prstGeom prst="rect">
                      <a:avLst/>
                    </a:prstGeom>
                    <a:noFill/>
                    <a:ln>
                      <a:noFill/>
                    </a:ln>
                  </pic:spPr>
                </pic:pic>
              </a:graphicData>
            </a:graphic>
          </wp:inline>
        </w:drawing>
      </w:r>
    </w:p>
    <w:p w14:paraId="7FFB6B9C"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56 Isometric perspective of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(R. Yıldız).</w:t>
      </w:r>
    </w:p>
    <w:p w14:paraId="6B5C3887"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4CB914BE" wp14:editId="735DA8FE">
            <wp:extent cx="3780064" cy="2519891"/>
            <wp:effectExtent l="0" t="0" r="5080" b="0"/>
            <wp:docPr id="221" name="Resim 221" descr="doğa, kahverengi, formasyo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Resim 221" descr="doğa, kahverengi, formasyon, mağara içeren bir resim&#10;&#10;Açıklama otomatik olarak oluşturuldu"/>
                    <pic:cNvPicPr/>
                  </pic:nvPicPr>
                  <pic:blipFill>
                    <a:blip r:embed="rId312" cstate="email">
                      <a:extLst>
                        <a:ext uri="{28A0092B-C50C-407E-A947-70E740481C1C}">
                          <a14:useLocalDpi xmlns:a14="http://schemas.microsoft.com/office/drawing/2010/main"/>
                        </a:ext>
                      </a:extLst>
                    </a:blip>
                    <a:stretch>
                      <a:fillRect/>
                    </a:stretch>
                  </pic:blipFill>
                  <pic:spPr>
                    <a:xfrm>
                      <a:off x="0" y="0"/>
                      <a:ext cx="3800966" cy="2533825"/>
                    </a:xfrm>
                    <a:prstGeom prst="rect">
                      <a:avLst/>
                    </a:prstGeom>
                  </pic:spPr>
                </pic:pic>
              </a:graphicData>
            </a:graphic>
          </wp:inline>
        </w:drawing>
      </w:r>
    </w:p>
    <w:p w14:paraId="4BF192CC" w14:textId="505603C3"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57 The flat moulding/cornice arrangement on the ceiling of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 A similar arrangement was made in the second hall of the İç Kale tomb</w:t>
      </w:r>
      <w:r>
        <w:rPr>
          <w:rFonts w:ascii="Times New Roman" w:hAnsi="Times New Roman"/>
          <w:szCs w:val="22"/>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szCs w:val="22"/>
          <w:lang w:val="en-GB"/>
        </w:rPr>
        <w:fldChar w:fldCharType="end"/>
      </w:r>
      <w:r w:rsidRPr="002B4DAC">
        <w:rPr>
          <w:rFonts w:ascii="Times New Roman" w:hAnsi="Times New Roman"/>
          <w:szCs w:val="22"/>
          <w:lang w:val="en-GB"/>
        </w:rPr>
        <w:t xml:space="preserve"> as well.</w:t>
      </w:r>
    </w:p>
    <w:p w14:paraId="0D996A6A"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6B290EA8" wp14:editId="212442F0">
            <wp:extent cx="2808347" cy="4229100"/>
            <wp:effectExtent l="0" t="0" r="0" b="0"/>
            <wp:docPr id="222" name="Resim 222" descr="mağara, doğ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Resim 222" descr="mağara, doğa, taş içeren bir resim&#10;&#10;Açıklama otomatik olarak oluşturuldu"/>
                    <pic:cNvPicPr/>
                  </pic:nvPicPr>
                  <pic:blipFill>
                    <a:blip r:embed="rId313" cstate="email">
                      <a:extLst>
                        <a:ext uri="{28A0092B-C50C-407E-A947-70E740481C1C}">
                          <a14:useLocalDpi xmlns:a14="http://schemas.microsoft.com/office/drawing/2010/main"/>
                        </a:ext>
                      </a:extLst>
                    </a:blip>
                    <a:stretch>
                      <a:fillRect/>
                    </a:stretch>
                  </pic:blipFill>
                  <pic:spPr>
                    <a:xfrm>
                      <a:off x="0" y="0"/>
                      <a:ext cx="2816231" cy="4240973"/>
                    </a:xfrm>
                    <a:prstGeom prst="rect">
                      <a:avLst/>
                    </a:prstGeom>
                  </pic:spPr>
                </pic:pic>
              </a:graphicData>
            </a:graphic>
          </wp:inline>
        </w:drawing>
      </w:r>
    </w:p>
    <w:p w14:paraId="519410DD"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Fig. 58 </w:t>
      </w:r>
      <w:r w:rsidRPr="00A232A9">
        <w:rPr>
          <w:rFonts w:ascii="Times New Roman" w:eastAsia="Calibri" w:hAnsi="Times New Roman" w:cs="Times New Roman"/>
          <w:lang w:val="en-GB"/>
        </w:rPr>
        <w:t xml:space="preserve">The </w:t>
      </w:r>
      <w:r w:rsidRPr="002B4DAC">
        <w:rPr>
          <w:rFonts w:ascii="Times New Roman" w:hAnsi="Times New Roman"/>
          <w:szCs w:val="22"/>
          <w:lang w:val="en-GB"/>
        </w:rPr>
        <w:t>Plan of the room (DO02) west of the main hall in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sidRPr="00A232A9">
        <w:rPr>
          <w:rFonts w:ascii="Times New Roman" w:eastAsia="Calibri" w:hAnsi="Times New Roman" w:cs="Times New Roman"/>
          <w:lang w:val="en-GB"/>
        </w:rPr>
        <w:t>”</w:t>
      </w:r>
      <w:r w:rsidRPr="002B4DAC">
        <w:rPr>
          <w:rFonts w:ascii="Times New Roman" w:hAnsi="Times New Roman"/>
          <w:szCs w:val="22"/>
          <w:lang w:val="en-GB"/>
        </w:rPr>
        <w:t xml:space="preserve"> differs from other rooms. It was designed as a narrow and long hall in </w:t>
      </w:r>
      <w:r w:rsidRPr="00A232A9">
        <w:rPr>
          <w:rFonts w:ascii="Times New Roman" w:eastAsia="Calibri" w:hAnsi="Times New Roman" w:cs="Times New Roman"/>
          <w:lang w:val="en-GB"/>
        </w:rPr>
        <w:t xml:space="preserve">a </w:t>
      </w:r>
      <w:r w:rsidRPr="002B4DAC">
        <w:rPr>
          <w:rFonts w:ascii="Times New Roman" w:hAnsi="Times New Roman"/>
          <w:szCs w:val="22"/>
          <w:lang w:val="en-GB"/>
        </w:rPr>
        <w:t xml:space="preserve">north-south direction. Niches that reflect two different </w:t>
      </w:r>
      <w:r w:rsidRPr="00A232A9">
        <w:rPr>
          <w:rFonts w:ascii="Times New Roman" w:eastAsia="Calibri" w:hAnsi="Times New Roman" w:cs="Times New Roman"/>
          <w:lang w:val="en-GB"/>
        </w:rPr>
        <w:t>design</w:t>
      </w:r>
      <w:r w:rsidRPr="002B4DAC">
        <w:rPr>
          <w:rFonts w:ascii="Times New Roman" w:hAnsi="Times New Roman"/>
          <w:szCs w:val="22"/>
          <w:lang w:val="en-GB"/>
        </w:rPr>
        <w:t xml:space="preserve"> systems were built in the </w:t>
      </w:r>
      <w:r w:rsidRPr="00A232A9">
        <w:rPr>
          <w:rFonts w:ascii="Times New Roman" w:eastAsia="Calibri" w:hAnsi="Times New Roman" w:cs="Times New Roman"/>
          <w:lang w:val="en-GB"/>
        </w:rPr>
        <w:t xml:space="preserve">room's </w:t>
      </w:r>
      <w:r w:rsidRPr="002B4DAC">
        <w:rPr>
          <w:rFonts w:ascii="Times New Roman" w:hAnsi="Times New Roman"/>
          <w:szCs w:val="22"/>
          <w:lang w:val="en-GB"/>
        </w:rPr>
        <w:t>short north and south walls. The northern niche is about 1.00 meters high from the floor level. It is 0.90 meters high and 0.70 meters deep. The southern niche is 1.80 meters high from the floor level and about 0.80 meters deep (shown in the figure).</w:t>
      </w:r>
    </w:p>
    <w:p w14:paraId="3857DC81"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 xml:space="preserve">A 70-80 cm wide and 16.70 m long bench was carved into the bedrock. This bench lies through the long southern edge of the facade, facing the platform. From the platform, one reaches the burial chamber through six steps carved into the bedrock. The stairs measure 2.62 m wide and approximately 2.00 m long. The rectangular door of the burial chamber measures 2.72 m in height and 1.36 m in width (Fig. 53). The outer face of the door was framed with a 25 cm thick </w:t>
      </w:r>
      <w:r w:rsidRPr="00A232A9">
        <w:rPr>
          <w:rFonts w:ascii="Times New Roman" w:eastAsia="Calibri" w:hAnsi="Times New Roman" w:cs="Times New Roman"/>
          <w:lang w:val="en-GB"/>
        </w:rPr>
        <w:t>mold</w:t>
      </w:r>
      <w:r w:rsidRPr="002B4DAC">
        <w:rPr>
          <w:rFonts w:ascii="Times New Roman" w:hAnsi="Times New Roman"/>
          <w:szCs w:val="22"/>
          <w:lang w:val="en-GB"/>
        </w:rPr>
        <w:t xml:space="preserve">. The outer face is larger than the inner face. The total depth of each section is 2.07 m. On the left of the interior face of the doorway, a socket was carved into the floor. The alignment of the sockets on the floor and the upper level of the door </w:t>
      </w:r>
      <w:r w:rsidRPr="00A232A9">
        <w:rPr>
          <w:rFonts w:ascii="Times New Roman" w:eastAsia="Calibri" w:hAnsi="Times New Roman" w:cs="Times New Roman"/>
          <w:lang w:val="en-GB"/>
        </w:rPr>
        <w:t>on</w:t>
      </w:r>
      <w:r w:rsidRPr="002B4DAC">
        <w:rPr>
          <w:rFonts w:ascii="Times New Roman" w:hAnsi="Times New Roman"/>
          <w:szCs w:val="22"/>
          <w:lang w:val="en-GB"/>
        </w:rPr>
        <w:t xml:space="preserve"> the same axis suggests that similar to other examples, the door was single</w:t>
      </w:r>
      <w:r w:rsidRPr="00A232A9">
        <w:rPr>
          <w:rFonts w:ascii="Times New Roman" w:eastAsia="Calibri" w:hAnsi="Times New Roman" w:cs="Times New Roman"/>
          <w:lang w:val="en-GB"/>
        </w:rPr>
        <w:t>-</w:t>
      </w:r>
      <w:r w:rsidRPr="002B4DAC">
        <w:rPr>
          <w:rFonts w:ascii="Times New Roman" w:hAnsi="Times New Roman"/>
          <w:szCs w:val="22"/>
          <w:lang w:val="en-GB"/>
        </w:rPr>
        <w:t xml:space="preserve">leafed. The tomb complex consists of a 9.05 x 5.95 m </w:t>
      </w:r>
      <w:r w:rsidRPr="00A232A9">
        <w:rPr>
          <w:rFonts w:ascii="Times New Roman" w:eastAsia="Calibri" w:hAnsi="Times New Roman" w:cs="Times New Roman"/>
          <w:lang w:val="en-GB"/>
        </w:rPr>
        <w:t xml:space="preserve">main hall </w:t>
      </w:r>
      <w:r w:rsidRPr="002B4DAC">
        <w:rPr>
          <w:rFonts w:ascii="Times New Roman" w:hAnsi="Times New Roman"/>
          <w:szCs w:val="22"/>
          <w:lang w:val="en-GB"/>
        </w:rPr>
        <w:t xml:space="preserve">and three rectangular-planned rooms on each side of the main hall (Fig. 54-56). The main hall has a flat ceiling measuring 5.96 m in height, and the edge where the ceiling meets the sidewalls was adorned with a flat cornice approximately 55 cm in height (Fig. 57). Similar to other tombs, holes were carved into the wall at </w:t>
      </w:r>
      <w:r w:rsidRPr="00A232A9">
        <w:rPr>
          <w:rFonts w:ascii="Times New Roman" w:eastAsia="Calibri" w:hAnsi="Times New Roman" w:cs="Times New Roman"/>
          <w:lang w:val="en-GB"/>
        </w:rPr>
        <w:t>specific</w:t>
      </w:r>
      <w:r w:rsidRPr="002B4DAC">
        <w:rPr>
          <w:rFonts w:ascii="Times New Roman" w:hAnsi="Times New Roman"/>
          <w:szCs w:val="22"/>
          <w:lang w:val="en-GB"/>
        </w:rPr>
        <w:t xml:space="preserve"> intervals.</w:t>
      </w:r>
    </w:p>
    <w:p w14:paraId="1DB3221F" w14:textId="77777777"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szCs w:val="22"/>
          <w:lang w:val="en-GB"/>
        </w:rPr>
        <w:t xml:space="preserve">The room east of the main hall measures 2.40 x 5.05 m and reached through a doorway </w:t>
      </w:r>
      <w:r w:rsidRPr="00A232A9">
        <w:rPr>
          <w:rFonts w:ascii="Times New Roman" w:eastAsia="Calibri" w:hAnsi="Times New Roman" w:cs="Times New Roman"/>
          <w:lang w:val="en-GB"/>
        </w:rPr>
        <w:t>at</w:t>
      </w:r>
      <w:r w:rsidRPr="002B4DAC">
        <w:rPr>
          <w:rFonts w:ascii="Times New Roman" w:hAnsi="Times New Roman"/>
          <w:szCs w:val="22"/>
          <w:lang w:val="en-GB"/>
        </w:rPr>
        <w:t xml:space="preserve"> approximately 1.00 m depth. The room to the west, on the other hand, stands out with its less regular plan and workmanship. Differences in depth on the lower and upper levels of the room </w:t>
      </w:r>
      <w:r w:rsidRPr="002B4DAC">
        <w:rPr>
          <w:rFonts w:ascii="Times New Roman" w:hAnsi="Times New Roman"/>
          <w:szCs w:val="22"/>
          <w:lang w:val="en-GB"/>
        </w:rPr>
        <w:lastRenderedPageBreak/>
        <w:t xml:space="preserve">are noteworthy. This chamber measures approximately 7.00-8.00 m in length and 2.50-60 m in width (Fig. 58). </w:t>
      </w:r>
    </w:p>
    <w:p w14:paraId="7C30D041"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0728A711" wp14:editId="3D9DDB4B">
            <wp:extent cx="4735286" cy="3041993"/>
            <wp:effectExtent l="0" t="0" r="1905" b="6350"/>
            <wp:docPr id="223" name="Resim 223" descr="doğa, mağara,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Resim 223" descr="doğa, mağara, formasyon içeren bir resim&#10;&#10;Açıklama otomatik olarak oluşturuldu"/>
                    <pic:cNvPicPr/>
                  </pic:nvPicPr>
                  <pic:blipFill>
                    <a:blip r:embed="rId314" cstate="email">
                      <a:extLst>
                        <a:ext uri="{28A0092B-C50C-407E-A947-70E740481C1C}">
                          <a14:useLocalDpi xmlns:a14="http://schemas.microsoft.com/office/drawing/2010/main"/>
                        </a:ext>
                      </a:extLst>
                    </a:blip>
                    <a:stretch>
                      <a:fillRect/>
                    </a:stretch>
                  </pic:blipFill>
                  <pic:spPr>
                    <a:xfrm>
                      <a:off x="0" y="0"/>
                      <a:ext cx="4744453" cy="3047882"/>
                    </a:xfrm>
                    <a:prstGeom prst="rect">
                      <a:avLst/>
                    </a:prstGeom>
                  </pic:spPr>
                </pic:pic>
              </a:graphicData>
            </a:graphic>
          </wp:inline>
        </w:drawing>
      </w:r>
    </w:p>
    <w:p w14:paraId="77B25B60"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59 A platform that is reached through a step on the short wall of the room (DO03) to the north of the main hall in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p>
    <w:p w14:paraId="10686531" w14:textId="77777777" w:rsidR="006B23DC" w:rsidRDefault="006B23DC" w:rsidP="006B23DC">
      <w:pPr>
        <w:spacing w:before="100" w:beforeAutospacing="1" w:after="100" w:afterAutospacing="1"/>
        <w:jc w:val="both"/>
        <w:rPr>
          <w:rFonts w:ascii="Times New Roman" w:hAnsi="Times New Roman"/>
          <w:lang w:val="en-GB"/>
        </w:rPr>
      </w:pPr>
      <w:r w:rsidRPr="0035595C">
        <w:rPr>
          <w:rFonts w:ascii="Times New Roman" w:eastAsia="Times New Roman" w:hAnsi="Times New Roman" w:cs="Times New Roman"/>
          <w:noProof/>
        </w:rPr>
        <w:drawing>
          <wp:inline distT="0" distB="0" distL="0" distR="0" wp14:anchorId="6BF294D9" wp14:editId="56466AC1">
            <wp:extent cx="3080603" cy="3830880"/>
            <wp:effectExtent l="12700" t="12700" r="18415" b="17780"/>
            <wp:docPr id="589184635" name="Resim 9" descr="duvar, taslak, iç mekan,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84635" name="Resim 9" descr="duvar, taslak, iç mekan, siyah beyaz içeren bir resim&#10;&#10;Açıklama otomatik olarak oluşturuldu"/>
                    <pic:cNvPicPr/>
                  </pic:nvPicPr>
                  <pic:blipFill>
                    <a:blip r:embed="rId315" cstate="email">
                      <a:extLst>
                        <a:ext uri="{28A0092B-C50C-407E-A947-70E740481C1C}">
                          <a14:useLocalDpi xmlns:a14="http://schemas.microsoft.com/office/drawing/2010/main"/>
                        </a:ext>
                      </a:extLst>
                    </a:blip>
                    <a:stretch>
                      <a:fillRect/>
                    </a:stretch>
                  </pic:blipFill>
                  <pic:spPr>
                    <a:xfrm>
                      <a:off x="0" y="0"/>
                      <a:ext cx="3084785" cy="3836081"/>
                    </a:xfrm>
                    <a:prstGeom prst="rect">
                      <a:avLst/>
                    </a:prstGeom>
                    <a:ln>
                      <a:solidFill>
                        <a:sysClr val="windowText" lastClr="000000"/>
                      </a:solidFill>
                    </a:ln>
                  </pic:spPr>
                </pic:pic>
              </a:graphicData>
            </a:graphic>
          </wp:inline>
        </w:drawing>
      </w:r>
    </w:p>
    <w:p w14:paraId="0FFED142"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60 Restitution of the burial chamber (DO04) east of the main hall in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p>
    <w:p w14:paraId="3DAE9D41"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lastRenderedPageBreak/>
        <w:t xml:space="preserve">The northern room can be reached through a doorway from the main hall. The internal arrangement of the chamber exhibits different characteristics. This rectangular-planned room narrows through the west and measures 5.10 x 3.40-05 m. The angle of the room has shifted noticeably towards the south compared to the </w:t>
      </w:r>
      <w:r w:rsidRPr="00A232A9">
        <w:rPr>
          <w:rFonts w:ascii="Times New Roman" w:eastAsia="Calibri" w:hAnsi="Times New Roman" w:cs="Times New Roman"/>
          <w:lang w:val="en-GB"/>
        </w:rPr>
        <w:t>central</w:t>
      </w:r>
      <w:r w:rsidRPr="00940A0E">
        <w:rPr>
          <w:rFonts w:ascii="Times New Roman" w:hAnsi="Times New Roman"/>
          <w:lang w:val="en-GB"/>
        </w:rPr>
        <w:t xml:space="preserve"> </w:t>
      </w:r>
      <w:r w:rsidRPr="002B4DAC">
        <w:rPr>
          <w:rFonts w:ascii="Times New Roman" w:hAnsi="Times New Roman"/>
          <w:szCs w:val="22"/>
          <w:lang w:val="en-GB"/>
        </w:rPr>
        <w:t>axis. Similar to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tomb</w:t>
      </w:r>
      <w:r>
        <w:rPr>
          <w:rFonts w:ascii="Times New Roman" w:eastAsia="Calibri" w:hAnsi="Times New Roman" w:cs="Times New Roman"/>
          <w:lang w:val="en-GB"/>
        </w:rPr>
        <w:t xml:space="preserve"> </w:t>
      </w:r>
      <w:r w:rsidRPr="002B4DAC">
        <w:rPr>
          <w:rFonts w:ascii="Times New Roman" w:hAnsi="Times New Roman"/>
          <w:szCs w:val="22"/>
          <w:lang w:val="en-GB"/>
        </w:rPr>
        <w:t>(Fig. 40-41) and İç Kale</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(Fig. 32-34) examples, a platform was carved into the bedrock in the short western wall of the room (Fig. 59). The platform measures 1.25 m in height, 1.60 m in depth and approximately 3.00 m in width. It is reached through three steps carved into the bedrock, each measuring 0.90 m in width. Such platforms have most likely been used to place the body inside or without a sarcophagus.</w:t>
      </w:r>
    </w:p>
    <w:p w14:paraId="6ED39D01" w14:textId="6036A736" w:rsidR="006B23DC" w:rsidRPr="002B4DAC" w:rsidRDefault="006B23DC" w:rsidP="006B23DC">
      <w:pPr>
        <w:spacing w:before="100" w:beforeAutospacing="1" w:after="100" w:afterAutospacing="1"/>
        <w:jc w:val="both"/>
        <w:outlineLvl w:val="2"/>
        <w:rPr>
          <w:rFonts w:ascii="Times New Roman" w:hAnsi="Times New Roman"/>
          <w:b/>
          <w:szCs w:val="22"/>
          <w:lang w:val="en-GB"/>
        </w:rPr>
      </w:pPr>
      <w:bookmarkStart w:id="148" w:name="_Toc132072554"/>
      <w:bookmarkStart w:id="149" w:name="_Toc173231248"/>
      <w:r w:rsidRPr="002B4DAC">
        <w:rPr>
          <w:rFonts w:ascii="Times New Roman" w:hAnsi="Times New Roman"/>
          <w:b/>
          <w:szCs w:val="22"/>
          <w:lang w:val="en-GB"/>
        </w:rPr>
        <w:t>9.3.5. The Cremation Tomb</w:t>
      </w:r>
      <w:bookmarkEnd w:id="148"/>
      <w:r w:rsidRPr="002B4DAC">
        <w:rPr>
          <w:rFonts w:ascii="Times New Roman" w:hAnsi="Times New Roman"/>
          <w:b/>
          <w:szCs w:val="22"/>
          <w:lang w:val="en-GB"/>
        </w:rPr>
        <w:fldChar w:fldCharType="begin"/>
      </w:r>
      <w:r w:rsidRPr="002B4DAC">
        <w:rPr>
          <w:rFonts w:ascii="Times New Roman" w:hAnsi="Times New Roman"/>
          <w:sz w:val="20"/>
          <w:szCs w:val="22"/>
          <w:lang w:val="en-GB"/>
        </w:rPr>
        <w:instrText xml:space="preserve"> XE "Cremation </w:instrText>
      </w:r>
      <w:r>
        <w:rPr>
          <w:rFonts w:ascii="Times New Roman" w:hAnsi="Times New Roman"/>
          <w:sz w:val="20"/>
          <w:szCs w:val="22"/>
          <w:lang w:val="en-GB"/>
        </w:rPr>
        <w:instrText>t</w:instrText>
      </w:r>
      <w:r w:rsidRPr="002B4DAC">
        <w:rPr>
          <w:rFonts w:ascii="Times New Roman" w:hAnsi="Times New Roman"/>
          <w:sz w:val="20"/>
          <w:szCs w:val="22"/>
          <w:lang w:val="en-GB"/>
        </w:rPr>
        <w:instrText xml:space="preserve">omb" </w:instrText>
      </w:r>
      <w:r w:rsidRPr="002B4DAC">
        <w:rPr>
          <w:rFonts w:ascii="Times New Roman" w:hAnsi="Times New Roman"/>
          <w:b/>
          <w:szCs w:val="22"/>
          <w:lang w:val="en-GB"/>
        </w:rPr>
        <w:fldChar w:fldCharType="end"/>
      </w:r>
      <w:r w:rsidRPr="002B4DAC">
        <w:rPr>
          <w:rFonts w:ascii="Times New Roman" w:hAnsi="Times New Roman"/>
          <w:b/>
          <w:szCs w:val="22"/>
          <w:lang w:val="en-GB"/>
        </w:rPr>
        <w:t>: BO115</w:t>
      </w:r>
      <w:bookmarkEnd w:id="149"/>
    </w:p>
    <w:p w14:paraId="473B19C3"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011E0F4D" wp14:editId="793D9B64">
            <wp:extent cx="3183317" cy="4237264"/>
            <wp:effectExtent l="0" t="0" r="4445" b="5080"/>
            <wp:docPr id="224" name="Resim 224" descr="doğa, jeoloji, formasyon, eroz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Resim 224" descr="doğa, jeoloji, formasyon, erozyon içeren bir resim&#10;&#10;Açıklama otomatik olarak oluşturuldu"/>
                    <pic:cNvPicPr/>
                  </pic:nvPicPr>
                  <pic:blipFill>
                    <a:blip r:embed="rId316" cstate="email">
                      <a:extLst>
                        <a:ext uri="{28A0092B-C50C-407E-A947-70E740481C1C}">
                          <a14:useLocalDpi xmlns:a14="http://schemas.microsoft.com/office/drawing/2010/main"/>
                        </a:ext>
                      </a:extLst>
                    </a:blip>
                    <a:stretch>
                      <a:fillRect/>
                    </a:stretch>
                  </pic:blipFill>
                  <pic:spPr>
                    <a:xfrm>
                      <a:off x="0" y="0"/>
                      <a:ext cx="3192142" cy="4249011"/>
                    </a:xfrm>
                    <a:prstGeom prst="rect">
                      <a:avLst/>
                    </a:prstGeom>
                  </pic:spPr>
                </pic:pic>
              </a:graphicData>
            </a:graphic>
          </wp:inline>
        </w:drawing>
      </w:r>
    </w:p>
    <w:p w14:paraId="415824FB" w14:textId="7D19DECB" w:rsidR="006B23DC" w:rsidRPr="002B4DAC" w:rsidRDefault="006B23DC" w:rsidP="006B23DC">
      <w:pPr>
        <w:spacing w:before="100" w:beforeAutospacing="1" w:after="100" w:afterAutospacing="1"/>
        <w:jc w:val="both"/>
        <w:rPr>
          <w:rFonts w:ascii="Times New Roman" w:hAnsi="Times New Roman" w:cs="Times New Roman"/>
          <w:lang w:val="en-GB"/>
        </w:rPr>
      </w:pPr>
      <w:r w:rsidRPr="002B4DAC">
        <w:rPr>
          <w:rFonts w:ascii="Times New Roman" w:hAnsi="Times New Roman"/>
          <w:szCs w:val="22"/>
          <w:lang w:val="en-GB"/>
        </w:rPr>
        <w:t>Fig. 61 The Cremation tomb</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"Cremation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is the easternmost burial chamber in the Van Fortress. The burial chamber can be reached through the steps leading from the citadel</w:t>
      </w:r>
      <w:r w:rsidRPr="00A232A9">
        <w:rPr>
          <w:rFonts w:ascii="Times New Roman" w:eastAsia="Calibri" w:hAnsi="Times New Roman" w:cs="Times New Roman"/>
          <w:lang w:val="en-GB"/>
        </w:rPr>
        <w:t>;</w:t>
      </w:r>
      <w:r w:rsidRPr="002B4DAC">
        <w:rPr>
          <w:rFonts w:ascii="Times New Roman" w:hAnsi="Times New Roman"/>
          <w:szCs w:val="22"/>
          <w:lang w:val="en-GB"/>
        </w:rPr>
        <w:t xml:space="preserve"> however, in contrast to other tombs</w:t>
      </w:r>
      <w:r w:rsidRPr="00A232A9">
        <w:rPr>
          <w:rFonts w:ascii="Times New Roman" w:eastAsia="Calibri" w:hAnsi="Times New Roman" w:cs="Times New Roman"/>
          <w:lang w:val="en-GB"/>
        </w:rPr>
        <w:t>,</w:t>
      </w:r>
      <w:r w:rsidRPr="002B4DAC">
        <w:rPr>
          <w:rFonts w:ascii="Times New Roman" w:hAnsi="Times New Roman"/>
          <w:szCs w:val="22"/>
          <w:lang w:val="en-GB"/>
        </w:rPr>
        <w:t xml:space="preserve"> it was built </w:t>
      </w:r>
      <w:r w:rsidRPr="00A232A9">
        <w:rPr>
          <w:rFonts w:ascii="Times New Roman" w:eastAsia="Calibri" w:hAnsi="Times New Roman" w:cs="Times New Roman"/>
          <w:lang w:val="en-GB"/>
        </w:rPr>
        <w:t>near</w:t>
      </w:r>
      <w:r w:rsidRPr="002B4DAC">
        <w:rPr>
          <w:rFonts w:ascii="Times New Roman" w:hAnsi="Times New Roman"/>
          <w:szCs w:val="22"/>
          <w:lang w:val="en-GB"/>
        </w:rPr>
        <w:t xml:space="preserve"> the plain level.</w:t>
      </w:r>
    </w:p>
    <w:p w14:paraId="6D8F9489" w14:textId="77777777" w:rsidR="006B23DC" w:rsidRPr="00940A0E" w:rsidRDefault="006B23DC" w:rsidP="006B23DC">
      <w:pPr>
        <w:spacing w:before="100" w:beforeAutospacing="1" w:after="100" w:afterAutospacing="1"/>
        <w:jc w:val="both"/>
        <w:rPr>
          <w:rFonts w:ascii="Times New Roman" w:hAnsi="Times New Roman"/>
          <w:lang w:val="en-GB"/>
        </w:rPr>
      </w:pPr>
      <w:r w:rsidRPr="00940A0E">
        <w:rPr>
          <w:rFonts w:ascii="Times New Roman" w:hAnsi="Times New Roman"/>
          <w:lang w:val="en-GB"/>
        </w:rPr>
        <w:t xml:space="preserve">The </w:t>
      </w:r>
      <w:r w:rsidRPr="00A232A9">
        <w:rPr>
          <w:rFonts w:ascii="Times New Roman" w:eastAsia="Calibri" w:hAnsi="Times New Roman" w:cs="Times New Roman"/>
          <w:lang w:val="en-GB"/>
        </w:rPr>
        <w:t>cremation</w:t>
      </w:r>
      <w:r w:rsidRPr="00940A0E">
        <w:rPr>
          <w:rFonts w:ascii="Times New Roman" w:hAnsi="Times New Roman"/>
          <w:lang w:val="en-GB"/>
        </w:rPr>
        <w:t xml:space="preserve"> tomb</w:t>
      </w:r>
      <w:r w:rsidRPr="00A232A9">
        <w:rPr>
          <w:rFonts w:ascii="Times New Roman" w:eastAsia="Calibri" w:hAnsi="Times New Roman" w:cs="Times New Roman"/>
          <w:lang w:val="en-GB"/>
        </w:rPr>
        <w:t>, situated</w:t>
      </w:r>
      <w:r w:rsidRPr="00940A0E">
        <w:rPr>
          <w:rFonts w:ascii="Times New Roman" w:hAnsi="Times New Roman"/>
          <w:lang w:val="en-GB"/>
        </w:rPr>
        <w:t xml:space="preserve"> on the southern slopes of the Van Fortress</w:t>
      </w:r>
      <w:r w:rsidRPr="00A232A9">
        <w:rPr>
          <w:rFonts w:ascii="Times New Roman" w:eastAsia="Calibri" w:hAnsi="Times New Roman" w:cs="Times New Roman"/>
          <w:lang w:val="en-GB"/>
        </w:rPr>
        <w:t>, is known for</w:t>
      </w:r>
      <w:r w:rsidRPr="00940A0E">
        <w:rPr>
          <w:rFonts w:ascii="Times New Roman" w:hAnsi="Times New Roman"/>
          <w:lang w:val="en-GB"/>
        </w:rPr>
        <w:t xml:space="preserve"> its </w:t>
      </w:r>
      <w:r w:rsidRPr="00A232A9">
        <w:rPr>
          <w:rFonts w:ascii="Times New Roman" w:eastAsia="Calibri" w:hAnsi="Times New Roman" w:cs="Times New Roman"/>
          <w:lang w:val="en-GB"/>
        </w:rPr>
        <w:t>unique</w:t>
      </w:r>
      <w:r w:rsidRPr="00940A0E">
        <w:rPr>
          <w:rFonts w:ascii="Times New Roman" w:hAnsi="Times New Roman"/>
          <w:lang w:val="en-GB"/>
        </w:rPr>
        <w:t xml:space="preserve"> planning and design. It can be easily </w:t>
      </w:r>
      <w:r w:rsidRPr="00A232A9">
        <w:rPr>
          <w:rFonts w:ascii="Times New Roman" w:eastAsia="Calibri" w:hAnsi="Times New Roman" w:cs="Times New Roman"/>
          <w:lang w:val="en-GB"/>
        </w:rPr>
        <w:t>accessed from</w:t>
      </w:r>
      <w:r w:rsidRPr="00940A0E">
        <w:rPr>
          <w:rFonts w:ascii="Times New Roman" w:hAnsi="Times New Roman"/>
          <w:lang w:val="en-GB"/>
        </w:rPr>
        <w:t xml:space="preserve"> the lower city, </w:t>
      </w:r>
      <w:r w:rsidRPr="00A232A9">
        <w:rPr>
          <w:rFonts w:ascii="Times New Roman" w:eastAsia="Calibri" w:hAnsi="Times New Roman" w:cs="Times New Roman"/>
          <w:lang w:val="en-GB"/>
        </w:rPr>
        <w:t>making it a distinct</w:t>
      </w:r>
      <w:r w:rsidRPr="00940A0E">
        <w:rPr>
          <w:rFonts w:ascii="Times New Roman" w:hAnsi="Times New Roman"/>
          <w:lang w:val="en-GB"/>
        </w:rPr>
        <w:t xml:space="preserve"> case. The burial chamber, </w:t>
      </w:r>
      <w:r w:rsidRPr="00A232A9">
        <w:rPr>
          <w:rFonts w:ascii="Times New Roman" w:eastAsia="Calibri" w:hAnsi="Times New Roman" w:cs="Times New Roman"/>
          <w:lang w:val="en-GB"/>
        </w:rPr>
        <w:t xml:space="preserve">facing south, is </w:t>
      </w:r>
      <w:r w:rsidRPr="00940A0E">
        <w:rPr>
          <w:rFonts w:ascii="Times New Roman" w:hAnsi="Times New Roman"/>
          <w:lang w:val="en-GB"/>
        </w:rPr>
        <w:t>similar to other examples</w:t>
      </w:r>
      <w:r w:rsidRPr="00A232A9">
        <w:rPr>
          <w:rFonts w:ascii="Times New Roman" w:eastAsia="Calibri" w:hAnsi="Times New Roman" w:cs="Times New Roman"/>
          <w:lang w:val="en-GB"/>
        </w:rPr>
        <w:t xml:space="preserve">. In front of the chamber is a </w:t>
      </w:r>
      <w:r w:rsidRPr="00940A0E">
        <w:rPr>
          <w:rFonts w:ascii="Times New Roman" w:hAnsi="Times New Roman"/>
          <w:lang w:val="en-GB"/>
        </w:rPr>
        <w:t>two-</w:t>
      </w:r>
      <w:r w:rsidRPr="00A232A9">
        <w:rPr>
          <w:rFonts w:ascii="Times New Roman" w:eastAsia="Calibri" w:hAnsi="Times New Roman" w:cs="Times New Roman"/>
          <w:lang w:val="en-GB"/>
        </w:rPr>
        <w:t>leveled</w:t>
      </w:r>
      <w:r w:rsidRPr="00940A0E">
        <w:rPr>
          <w:rFonts w:ascii="Times New Roman" w:hAnsi="Times New Roman"/>
          <w:lang w:val="en-GB"/>
        </w:rPr>
        <w:t xml:space="preserve"> platform</w:t>
      </w:r>
      <w:r w:rsidRPr="00A232A9">
        <w:rPr>
          <w:rFonts w:ascii="Times New Roman" w:eastAsia="Calibri" w:hAnsi="Times New Roman" w:cs="Times New Roman"/>
          <w:lang w:val="en-GB"/>
        </w:rPr>
        <w:t xml:space="preserve"> that</w:t>
      </w:r>
      <w:r w:rsidRPr="00940A0E">
        <w:rPr>
          <w:rFonts w:ascii="Times New Roman" w:hAnsi="Times New Roman"/>
          <w:lang w:val="en-GB"/>
        </w:rPr>
        <w:t xml:space="preserve"> is not aligned </w:t>
      </w:r>
      <w:r w:rsidRPr="00A232A9">
        <w:rPr>
          <w:rFonts w:ascii="Times New Roman" w:eastAsia="Calibri" w:hAnsi="Times New Roman" w:cs="Times New Roman"/>
          <w:lang w:val="en-GB"/>
        </w:rPr>
        <w:t>on</w:t>
      </w:r>
      <w:r w:rsidRPr="00940A0E">
        <w:rPr>
          <w:rFonts w:ascii="Times New Roman" w:hAnsi="Times New Roman"/>
          <w:lang w:val="en-GB"/>
        </w:rPr>
        <w:t xml:space="preserve"> the same axis</w:t>
      </w:r>
      <w:r w:rsidRPr="00A232A9">
        <w:rPr>
          <w:rFonts w:ascii="Times New Roman" w:eastAsia="Calibri" w:hAnsi="Times New Roman" w:cs="Times New Roman"/>
          <w:lang w:val="en-GB"/>
        </w:rPr>
        <w:t>.</w:t>
      </w:r>
      <w:r w:rsidRPr="00940A0E">
        <w:rPr>
          <w:rFonts w:ascii="Times New Roman" w:hAnsi="Times New Roman"/>
          <w:lang w:val="en-GB"/>
        </w:rPr>
        <w:t xml:space="preserve"> The upper platform measures 5.73 x 3.55 m</w:t>
      </w:r>
      <w:r w:rsidRPr="00A232A9">
        <w:rPr>
          <w:rFonts w:ascii="Times New Roman" w:eastAsia="Calibri" w:hAnsi="Times New Roman" w:cs="Times New Roman"/>
          <w:lang w:val="en-GB"/>
        </w:rPr>
        <w:t>,</w:t>
      </w:r>
      <w:r w:rsidRPr="00940A0E">
        <w:rPr>
          <w:rFonts w:ascii="Times New Roman" w:hAnsi="Times New Roman"/>
          <w:lang w:val="en-GB"/>
        </w:rPr>
        <w:t xml:space="preserve"> while the lower platform measures approximately 6.50 x 2.10 m. </w:t>
      </w:r>
      <w:r w:rsidRPr="00A232A9">
        <w:rPr>
          <w:rFonts w:ascii="Times New Roman" w:eastAsia="Calibri" w:hAnsi="Times New Roman" w:cs="Times New Roman"/>
          <w:lang w:val="en-GB"/>
        </w:rPr>
        <w:t>A</w:t>
      </w:r>
      <w:r w:rsidRPr="00940A0E">
        <w:rPr>
          <w:rFonts w:ascii="Times New Roman" w:hAnsi="Times New Roman"/>
          <w:lang w:val="en-GB"/>
        </w:rPr>
        <w:t xml:space="preserve"> stairway carved into the bedrock, consisting of steps measuring about 1.30 m in width and 7.15 m in length, </w:t>
      </w:r>
      <w:r w:rsidRPr="00A232A9">
        <w:rPr>
          <w:rFonts w:ascii="Times New Roman" w:eastAsia="Calibri" w:hAnsi="Times New Roman" w:cs="Times New Roman"/>
          <w:lang w:val="en-GB"/>
        </w:rPr>
        <w:t>presumably provided</w:t>
      </w:r>
      <w:r w:rsidRPr="00940A0E">
        <w:rPr>
          <w:rFonts w:ascii="Times New Roman" w:hAnsi="Times New Roman"/>
          <w:lang w:val="en-GB"/>
        </w:rPr>
        <w:t xml:space="preserve"> access to these platforms</w:t>
      </w:r>
      <w:r w:rsidRPr="00A232A9">
        <w:rPr>
          <w:rFonts w:ascii="Times New Roman" w:eastAsia="Calibri" w:hAnsi="Times New Roman" w:cs="Times New Roman"/>
          <w:lang w:val="en-GB"/>
        </w:rPr>
        <w:t>.</w:t>
      </w:r>
      <w:r w:rsidRPr="00940A0E">
        <w:rPr>
          <w:rFonts w:ascii="Times New Roman" w:hAnsi="Times New Roman"/>
          <w:lang w:val="en-GB"/>
        </w:rPr>
        <w:t xml:space="preserve"> The </w:t>
      </w:r>
      <w:r w:rsidRPr="00A232A9">
        <w:rPr>
          <w:rFonts w:ascii="Times New Roman" w:eastAsia="Calibri" w:hAnsi="Times New Roman" w:cs="Times New Roman"/>
          <w:lang w:val="en-GB"/>
        </w:rPr>
        <w:t xml:space="preserve">entrance to the </w:t>
      </w:r>
      <w:r w:rsidRPr="00940A0E">
        <w:rPr>
          <w:rFonts w:ascii="Times New Roman" w:hAnsi="Times New Roman"/>
          <w:lang w:val="en-GB"/>
        </w:rPr>
        <w:t xml:space="preserve">burial chamber was </w:t>
      </w:r>
      <w:r w:rsidRPr="00A232A9">
        <w:rPr>
          <w:rFonts w:ascii="Times New Roman" w:eastAsia="Calibri" w:hAnsi="Times New Roman" w:cs="Times New Roman"/>
          <w:lang w:val="en-GB"/>
        </w:rPr>
        <w:t>found</w:t>
      </w:r>
      <w:r w:rsidRPr="00940A0E">
        <w:rPr>
          <w:rFonts w:ascii="Times New Roman" w:hAnsi="Times New Roman"/>
          <w:lang w:val="en-GB"/>
        </w:rPr>
        <w:t xml:space="preserve"> in a severely destroyed state</w:t>
      </w:r>
      <w:r w:rsidRPr="00A232A9">
        <w:rPr>
          <w:rFonts w:ascii="Times New Roman" w:eastAsia="Calibri" w:hAnsi="Times New Roman" w:cs="Times New Roman"/>
          <w:lang w:val="en-GB"/>
        </w:rPr>
        <w:t>, with</w:t>
      </w:r>
      <w:r w:rsidRPr="00940A0E">
        <w:rPr>
          <w:rFonts w:ascii="Times New Roman" w:hAnsi="Times New Roman"/>
          <w:lang w:val="en-GB"/>
        </w:rPr>
        <w:t xml:space="preserve"> hollows carved </w:t>
      </w:r>
      <w:r w:rsidRPr="00A232A9">
        <w:rPr>
          <w:rFonts w:ascii="Times New Roman" w:eastAsia="Calibri" w:hAnsi="Times New Roman" w:cs="Times New Roman"/>
          <w:lang w:val="en-GB"/>
        </w:rPr>
        <w:t>above it, indicating</w:t>
      </w:r>
      <w:r w:rsidRPr="00940A0E">
        <w:rPr>
          <w:rFonts w:ascii="Times New Roman" w:hAnsi="Times New Roman"/>
          <w:lang w:val="en-GB"/>
        </w:rPr>
        <w:t xml:space="preserve"> the use of a single-leafed door.</w:t>
      </w:r>
    </w:p>
    <w:p w14:paraId="3842466E" w14:textId="77777777" w:rsidR="006B23DC" w:rsidRPr="002B4DAC" w:rsidRDefault="006B23DC" w:rsidP="006B23DC">
      <w:pPr>
        <w:spacing w:before="100" w:beforeAutospacing="1" w:after="100" w:afterAutospacing="1"/>
        <w:jc w:val="both"/>
        <w:rPr>
          <w:rFonts w:ascii="Times New Roman" w:hAnsi="Times New Roman"/>
          <w:lang w:val="en-GB"/>
        </w:rPr>
      </w:pPr>
      <w:r w:rsidRPr="00940A0E">
        <w:rPr>
          <w:rFonts w:ascii="Times New Roman" w:hAnsi="Times New Roman"/>
          <w:lang w:val="en-GB"/>
        </w:rPr>
        <w:lastRenderedPageBreak/>
        <w:t xml:space="preserve">The main hall </w:t>
      </w:r>
      <w:r w:rsidRPr="00A232A9">
        <w:rPr>
          <w:rFonts w:ascii="Times New Roman" w:eastAsia="Calibri" w:hAnsi="Times New Roman" w:cs="Times New Roman"/>
          <w:lang w:val="en-GB"/>
        </w:rPr>
        <w:t>accessed</w:t>
      </w:r>
      <w:r w:rsidRPr="00940A0E">
        <w:rPr>
          <w:rFonts w:ascii="Times New Roman" w:hAnsi="Times New Roman"/>
          <w:lang w:val="en-GB"/>
        </w:rPr>
        <w:t xml:space="preserve"> through the doorway lies </w:t>
      </w:r>
      <w:r w:rsidRPr="00A232A9">
        <w:rPr>
          <w:rFonts w:ascii="Times New Roman" w:eastAsia="Calibri" w:hAnsi="Times New Roman" w:cs="Times New Roman"/>
          <w:lang w:val="en-GB"/>
        </w:rPr>
        <w:t>on</w:t>
      </w:r>
      <w:r w:rsidRPr="00940A0E">
        <w:rPr>
          <w:rFonts w:ascii="Times New Roman" w:hAnsi="Times New Roman"/>
          <w:lang w:val="en-GB"/>
        </w:rPr>
        <w:t xml:space="preserve"> an east-west axis, has a flat ceiling, and measures 4.23 x 7.15 m</w:t>
      </w:r>
      <w:r w:rsidRPr="00A232A9">
        <w:rPr>
          <w:rFonts w:ascii="Times New Roman" w:eastAsia="Calibri" w:hAnsi="Times New Roman" w:cs="Times New Roman"/>
          <w:lang w:val="en-GB"/>
        </w:rPr>
        <w:t>.</w:t>
      </w:r>
      <w:r w:rsidRPr="00940A0E">
        <w:rPr>
          <w:rFonts w:ascii="Times New Roman" w:hAnsi="Times New Roman"/>
          <w:lang w:val="en-GB"/>
        </w:rPr>
        <w:t xml:space="preserve"> The burial chamber </w:t>
      </w:r>
      <w:r w:rsidRPr="00A232A9">
        <w:rPr>
          <w:rFonts w:ascii="Times New Roman" w:eastAsia="Calibri" w:hAnsi="Times New Roman" w:cs="Times New Roman"/>
          <w:lang w:val="en-GB"/>
        </w:rPr>
        <w:t>is</w:t>
      </w:r>
      <w:r w:rsidRPr="00940A0E">
        <w:rPr>
          <w:rFonts w:ascii="Times New Roman" w:hAnsi="Times New Roman"/>
          <w:lang w:val="en-GB"/>
        </w:rPr>
        <w:t xml:space="preserve"> a single room</w:t>
      </w:r>
      <w:r w:rsidRPr="00A232A9">
        <w:rPr>
          <w:rFonts w:ascii="Times New Roman" w:eastAsia="Calibri" w:hAnsi="Times New Roman" w:cs="Times New Roman"/>
          <w:lang w:val="en-GB"/>
        </w:rPr>
        <w:t xml:space="preserve"> with rectangular</w:t>
      </w:r>
      <w:r w:rsidRPr="00940A0E">
        <w:rPr>
          <w:rFonts w:ascii="Times New Roman" w:hAnsi="Times New Roman"/>
          <w:lang w:val="en-GB"/>
        </w:rPr>
        <w:t xml:space="preserve"> niches carved along the northern and short western and eastern walls. Each niche is about 1 m high from the floor level, </w:t>
      </w:r>
      <w:r w:rsidRPr="00A232A9">
        <w:rPr>
          <w:rFonts w:ascii="Times New Roman" w:eastAsia="Calibri" w:hAnsi="Times New Roman" w:cs="Times New Roman"/>
          <w:lang w:val="en-GB"/>
        </w:rPr>
        <w:t>with</w:t>
      </w:r>
      <w:r w:rsidRPr="00940A0E">
        <w:rPr>
          <w:rFonts w:ascii="Times New Roman" w:hAnsi="Times New Roman"/>
          <w:lang w:val="en-GB"/>
        </w:rPr>
        <w:t xml:space="preserve"> a height of 0.70 m and</w:t>
      </w:r>
      <w:r w:rsidRPr="00A232A9">
        <w:rPr>
          <w:rFonts w:ascii="Times New Roman" w:eastAsia="Calibri" w:hAnsi="Times New Roman" w:cs="Times New Roman"/>
          <w:lang w:val="en-GB"/>
        </w:rPr>
        <w:t xml:space="preserve"> a</w:t>
      </w:r>
      <w:r w:rsidRPr="00940A0E">
        <w:rPr>
          <w:rFonts w:ascii="Times New Roman" w:hAnsi="Times New Roman"/>
          <w:lang w:val="en-GB"/>
        </w:rPr>
        <w:t xml:space="preserve"> depth of about 0.75 m. </w:t>
      </w:r>
      <w:r w:rsidRPr="00A232A9">
        <w:rPr>
          <w:rFonts w:ascii="Times New Roman" w:eastAsia="Calibri" w:hAnsi="Times New Roman" w:cs="Times New Roman"/>
          <w:lang w:val="en-GB"/>
        </w:rPr>
        <w:t>Two</w:t>
      </w:r>
      <w:r w:rsidRPr="00940A0E">
        <w:rPr>
          <w:rFonts w:ascii="Times New Roman" w:hAnsi="Times New Roman"/>
          <w:lang w:val="en-GB"/>
        </w:rPr>
        <w:t xml:space="preserve"> rows of sockets were carved into the bases of these </w:t>
      </w:r>
      <w:r w:rsidRPr="00A232A9">
        <w:rPr>
          <w:rFonts w:ascii="Times New Roman" w:eastAsia="Calibri" w:hAnsi="Times New Roman" w:cs="Times New Roman"/>
          <w:lang w:val="en-GB"/>
        </w:rPr>
        <w:t>niches to place the urns</w:t>
      </w:r>
      <w:r w:rsidRPr="00940A0E">
        <w:rPr>
          <w:rFonts w:ascii="Times New Roman" w:hAnsi="Times New Roman"/>
          <w:lang w:val="en-GB"/>
        </w:rPr>
        <w:t xml:space="preserve">, which </w:t>
      </w:r>
      <w:r w:rsidRPr="00A232A9">
        <w:rPr>
          <w:rFonts w:ascii="Times New Roman" w:eastAsia="Calibri" w:hAnsi="Times New Roman" w:cs="Times New Roman"/>
          <w:lang w:val="en-GB"/>
        </w:rPr>
        <w:t>run</w:t>
      </w:r>
      <w:r w:rsidRPr="00940A0E">
        <w:rPr>
          <w:rFonts w:ascii="Times New Roman" w:hAnsi="Times New Roman"/>
          <w:lang w:val="en-GB"/>
        </w:rPr>
        <w:t xml:space="preserve"> parallel along the length of the walls</w:t>
      </w:r>
      <w:r w:rsidRPr="00A232A9">
        <w:rPr>
          <w:rFonts w:ascii="Times New Roman" w:eastAsia="Calibri" w:hAnsi="Times New Roman" w:cs="Times New Roman"/>
          <w:lang w:val="en-GB"/>
        </w:rPr>
        <w:t>.</w:t>
      </w:r>
      <w:r w:rsidRPr="00940A0E">
        <w:rPr>
          <w:rFonts w:ascii="Times New Roman" w:hAnsi="Times New Roman"/>
          <w:lang w:val="en-GB"/>
        </w:rPr>
        <w:t xml:space="preserve"> These </w:t>
      </w:r>
      <w:r w:rsidRPr="00A232A9">
        <w:rPr>
          <w:rFonts w:ascii="Times New Roman" w:eastAsia="Calibri" w:hAnsi="Times New Roman" w:cs="Times New Roman"/>
          <w:lang w:val="en-GB"/>
        </w:rPr>
        <w:t>sockets</w:t>
      </w:r>
      <w:r w:rsidRPr="00940A0E">
        <w:rPr>
          <w:rFonts w:ascii="Times New Roman" w:hAnsi="Times New Roman"/>
          <w:lang w:val="en-GB"/>
        </w:rPr>
        <w:t xml:space="preserve"> were used to place urns </w:t>
      </w:r>
      <w:r w:rsidRPr="00A232A9">
        <w:rPr>
          <w:rFonts w:ascii="Times New Roman" w:eastAsia="Calibri" w:hAnsi="Times New Roman" w:cs="Times New Roman"/>
          <w:lang w:val="en-GB"/>
        </w:rPr>
        <w:t>containing</w:t>
      </w:r>
      <w:r w:rsidRPr="00940A0E">
        <w:rPr>
          <w:rFonts w:ascii="Times New Roman" w:hAnsi="Times New Roman"/>
          <w:lang w:val="en-GB"/>
        </w:rPr>
        <w:t xml:space="preserve"> the</w:t>
      </w:r>
      <w:r w:rsidRPr="00A232A9">
        <w:rPr>
          <w:rFonts w:ascii="Times New Roman" w:eastAsia="Calibri" w:hAnsi="Times New Roman" w:cs="Times New Roman"/>
          <w:lang w:val="en-GB"/>
        </w:rPr>
        <w:t xml:space="preserve"> deceased's</w:t>
      </w:r>
      <w:r w:rsidRPr="00940A0E">
        <w:rPr>
          <w:rFonts w:ascii="Times New Roman" w:hAnsi="Times New Roman"/>
          <w:lang w:val="en-GB"/>
        </w:rPr>
        <w:t xml:space="preserve"> ashes (Öğün, 1978a: 645; Sevin, 1980: 157).</w:t>
      </w:r>
    </w:p>
    <w:p w14:paraId="6194AAC6"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4B7F41CA" wp14:editId="6C0BCE5A">
            <wp:extent cx="5756910" cy="3609340"/>
            <wp:effectExtent l="0" t="0" r="0" b="0"/>
            <wp:docPr id="88041170" name="Resim 15" descr="metin, diyagram, pla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1170" name="Resim 15" descr="metin, diyagram, plan, harita içeren bir resim&#10;&#10;Açıklama otomatik olarak oluşturuldu"/>
                    <pic:cNvPicPr/>
                  </pic:nvPicPr>
                  <pic:blipFill>
                    <a:blip r:embed="rId317" cstate="email">
                      <a:extLst>
                        <a:ext uri="{28A0092B-C50C-407E-A947-70E740481C1C}">
                          <a14:useLocalDpi xmlns:a14="http://schemas.microsoft.com/office/drawing/2010/main"/>
                        </a:ext>
                      </a:extLst>
                    </a:blip>
                    <a:stretch>
                      <a:fillRect/>
                    </a:stretch>
                  </pic:blipFill>
                  <pic:spPr>
                    <a:xfrm>
                      <a:off x="0" y="0"/>
                      <a:ext cx="5756910" cy="3609340"/>
                    </a:xfrm>
                    <a:prstGeom prst="rect">
                      <a:avLst/>
                    </a:prstGeom>
                  </pic:spPr>
                </pic:pic>
              </a:graphicData>
            </a:graphic>
          </wp:inline>
        </w:drawing>
      </w:r>
    </w:p>
    <w:p w14:paraId="1F684C57" w14:textId="56F9AB99"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62 Cremation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"Cremation </w:instrText>
      </w:r>
      <w:r>
        <w:rPr>
          <w:rFonts w:ascii="Times New Roman" w:hAnsi="Times New Roman"/>
          <w:sz w:val="20"/>
          <w:szCs w:val="22"/>
          <w:lang w:val="en-GB"/>
        </w:rPr>
        <w:instrText>t</w:instrText>
      </w:r>
      <w:r w:rsidRPr="002B4DAC">
        <w:rPr>
          <w:rFonts w:ascii="Times New Roman" w:hAnsi="Times New Roman"/>
          <w:sz w:val="20"/>
          <w:szCs w:val="22"/>
          <w:lang w:val="en-GB"/>
        </w:rPr>
        <w:instrText xml:space="preserve">omb" </w:instrText>
      </w:r>
      <w:r w:rsidRPr="002B4DAC">
        <w:rPr>
          <w:rFonts w:ascii="Times New Roman" w:hAnsi="Times New Roman"/>
          <w:szCs w:val="22"/>
          <w:lang w:val="en-GB"/>
        </w:rPr>
        <w:fldChar w:fldCharType="end"/>
      </w:r>
      <w:r w:rsidRPr="002B4DAC">
        <w:rPr>
          <w:rFonts w:ascii="Times New Roman" w:hAnsi="Times New Roman"/>
          <w:szCs w:val="22"/>
          <w:lang w:val="en-GB"/>
        </w:rPr>
        <w:t>, plan, section, and views.</w:t>
      </w:r>
    </w:p>
    <w:p w14:paraId="7F457A59"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1BF84916" wp14:editId="1F18842C">
            <wp:extent cx="5270500" cy="3513455"/>
            <wp:effectExtent l="0" t="0" r="0" b="4445"/>
            <wp:docPr id="226" name="Resim 226" descr="taş, beton, çimento,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descr="taş, beton, çimento, mağara içeren bir resim&#10;&#10;Açıklama otomatik olarak oluşturuldu"/>
                    <pic:cNvPicPr/>
                  </pic:nvPicPr>
                  <pic:blipFill>
                    <a:blip r:embed="rId318"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277392E2" w14:textId="659847D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63 Main Hall and niches in the Cremation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"Cremation </w:instrText>
      </w:r>
      <w:r>
        <w:rPr>
          <w:rFonts w:ascii="Times New Roman" w:hAnsi="Times New Roman"/>
          <w:sz w:val="20"/>
          <w:szCs w:val="22"/>
          <w:lang w:val="en-GB"/>
        </w:rPr>
        <w:instrText>t</w:instrText>
      </w:r>
      <w:r w:rsidRPr="002B4DAC">
        <w:rPr>
          <w:rFonts w:ascii="Times New Roman" w:hAnsi="Times New Roman"/>
          <w:sz w:val="20"/>
          <w:szCs w:val="22"/>
          <w:lang w:val="en-GB"/>
        </w:rPr>
        <w:instrText xml:space="preserve">omb"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w:t>
      </w:r>
    </w:p>
    <w:p w14:paraId="17D6A6D2"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drawing>
          <wp:inline distT="0" distB="0" distL="0" distR="0" wp14:anchorId="0A9341C9" wp14:editId="4E4F7F88">
            <wp:extent cx="3800103" cy="4115188"/>
            <wp:effectExtent l="0" t="0" r="0" b="0"/>
            <wp:docPr id="1261509722" name="Resim 1261509722" descr="C:\Users\lenovo\Desktop\Mezar Çizimleri\kremasyon_mez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Mezar Çizimleri\kremasyon_mezar.png"/>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3803816" cy="4119209"/>
                    </a:xfrm>
                    <a:prstGeom prst="rect">
                      <a:avLst/>
                    </a:prstGeom>
                    <a:noFill/>
                    <a:ln>
                      <a:noFill/>
                    </a:ln>
                  </pic:spPr>
                </pic:pic>
              </a:graphicData>
            </a:graphic>
          </wp:inline>
        </w:drawing>
      </w:r>
    </w:p>
    <w:p w14:paraId="20CA7B0A"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64 The isometric perspective of the Cremation tomb</w:t>
      </w:r>
      <w:r>
        <w:rPr>
          <w:rFonts w:asciiTheme="majorBidi" w:hAnsiTheme="majorBidi" w:cstheme="majorBidi"/>
          <w:lang w:val="en-GB"/>
        </w:rPr>
        <w:fldChar w:fldCharType="begin"/>
      </w:r>
      <w:r>
        <w:instrText xml:space="preserve"> XE "</w:instrText>
      </w:r>
      <w:r w:rsidRPr="00041C3F">
        <w:rPr>
          <w:rFonts w:asciiTheme="majorBidi" w:eastAsia="Times New Roman" w:hAnsiTheme="majorBidi" w:cstheme="majorBidi"/>
          <w:lang w:val="en-GB"/>
        </w:rPr>
        <w:instrText>Cremation tomb</w:instrText>
      </w:r>
      <w:r>
        <w:instrText xml:space="preserve">" </w:instrText>
      </w:r>
      <w:r>
        <w:rPr>
          <w:rFonts w:asciiTheme="majorBidi" w:hAnsiTheme="majorBidi" w:cstheme="majorBidi"/>
          <w:lang w:val="en-GB"/>
        </w:rPr>
        <w:fldChar w:fldCharType="end"/>
      </w:r>
      <w:r w:rsidRPr="002B4DAC">
        <w:rPr>
          <w:rFonts w:ascii="Times New Roman" w:hAnsi="Times New Roman"/>
          <w:szCs w:val="22"/>
          <w:lang w:val="en-GB"/>
        </w:rPr>
        <w:t xml:space="preserve"> (R. Yıldız).</w:t>
      </w:r>
    </w:p>
    <w:p w14:paraId="12DF03AE" w14:textId="77777777" w:rsidR="006B23DC" w:rsidRPr="002B4DAC" w:rsidRDefault="006B23DC" w:rsidP="006B23DC">
      <w:pPr>
        <w:spacing w:before="100" w:beforeAutospacing="1" w:after="100" w:afterAutospacing="1"/>
        <w:jc w:val="both"/>
        <w:rPr>
          <w:rFonts w:ascii="Times New Roman" w:hAnsi="Times New Roman"/>
          <w:b/>
          <w:szCs w:val="22"/>
          <w:lang w:val="en-GB"/>
        </w:rPr>
      </w:pPr>
    </w:p>
    <w:p w14:paraId="109CE3E9" w14:textId="0C40302B" w:rsidR="006B23DC" w:rsidRPr="002B4DAC" w:rsidRDefault="006B23DC" w:rsidP="006B23DC">
      <w:pPr>
        <w:spacing w:before="100" w:beforeAutospacing="1" w:after="100" w:afterAutospacing="1"/>
        <w:jc w:val="both"/>
        <w:outlineLvl w:val="2"/>
        <w:rPr>
          <w:rFonts w:ascii="Times New Roman" w:hAnsi="Times New Roman"/>
          <w:b/>
          <w:szCs w:val="22"/>
          <w:lang w:val="en-GB"/>
        </w:rPr>
      </w:pPr>
      <w:bookmarkStart w:id="150" w:name="_Toc132072555"/>
      <w:bookmarkStart w:id="151" w:name="_Toc173231249"/>
      <w:r w:rsidRPr="002B4DAC">
        <w:rPr>
          <w:rFonts w:ascii="Times New Roman" w:hAnsi="Times New Roman"/>
          <w:b/>
          <w:szCs w:val="22"/>
          <w:lang w:val="en-GB"/>
        </w:rPr>
        <w:t>9.3.6. BG90 Tomb</w:t>
      </w:r>
      <w:r w:rsidRPr="002B4DAC">
        <w:rPr>
          <w:rFonts w:ascii="Times New Roman" w:hAnsi="Times New Roman"/>
          <w:b/>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b/>
          <w:szCs w:val="22"/>
          <w:lang w:val="en-GB"/>
        </w:rPr>
        <w:instrText xml:space="preserve">BG90 </w:instrText>
      </w:r>
      <w:r w:rsidR="00DF3B77">
        <w:rPr>
          <w:rFonts w:ascii="Times New Roman" w:hAnsi="Times New Roman"/>
          <w:b/>
          <w:szCs w:val="22"/>
          <w:lang w:val="en-GB"/>
        </w:rPr>
        <w:instrText>t</w:instrText>
      </w:r>
      <w:r w:rsidRPr="002B4DAC">
        <w:rPr>
          <w:rFonts w:ascii="Times New Roman" w:hAnsi="Times New Roman"/>
          <w:b/>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b/>
          <w:szCs w:val="22"/>
          <w:lang w:val="en-GB"/>
        </w:rPr>
        <w:fldChar w:fldCharType="end"/>
      </w:r>
      <w:r w:rsidRPr="002B4DAC">
        <w:rPr>
          <w:rFonts w:ascii="Times New Roman" w:hAnsi="Times New Roman"/>
          <w:b/>
          <w:szCs w:val="22"/>
          <w:lang w:val="en-GB"/>
        </w:rPr>
        <w:t xml:space="preserve"> (Underground Burial Chamber</w:t>
      </w:r>
      <w:bookmarkEnd w:id="150"/>
      <w:r w:rsidRPr="002B4DAC">
        <w:rPr>
          <w:rFonts w:ascii="Times New Roman" w:hAnsi="Times New Roman"/>
          <w:b/>
          <w:szCs w:val="22"/>
          <w:lang w:val="en-GB"/>
        </w:rPr>
        <w:t>)</w:t>
      </w:r>
      <w:bookmarkEnd w:id="151"/>
    </w:p>
    <w:p w14:paraId="6DE00FDF" w14:textId="77777777" w:rsidR="006B23DC" w:rsidRPr="00940A0E" w:rsidRDefault="006B23DC" w:rsidP="006B23DC">
      <w:pPr>
        <w:spacing w:before="100" w:beforeAutospacing="1" w:after="100" w:afterAutospacing="1"/>
        <w:jc w:val="both"/>
        <w:rPr>
          <w:rFonts w:ascii="Times New Roman" w:hAnsi="Times New Roman"/>
          <w:lang w:val="en-GB"/>
        </w:rPr>
      </w:pPr>
      <w:r w:rsidRPr="00940A0E">
        <w:rPr>
          <w:rFonts w:ascii="Times New Roman" w:hAnsi="Times New Roman"/>
          <w:lang w:val="en-GB"/>
        </w:rPr>
        <w:t xml:space="preserve">The underground-carved burial chamber uncovered in 2016, </w:t>
      </w:r>
      <w:r w:rsidRPr="00A232A9">
        <w:rPr>
          <w:rFonts w:ascii="Times New Roman" w:eastAsia="Calibri" w:hAnsi="Times New Roman" w:cs="Times New Roman"/>
          <w:lang w:val="en-GB"/>
        </w:rPr>
        <w:t>located</w:t>
      </w:r>
      <w:r w:rsidRPr="00940A0E">
        <w:rPr>
          <w:rFonts w:ascii="Times New Roman" w:hAnsi="Times New Roman"/>
          <w:lang w:val="en-GB"/>
        </w:rPr>
        <w:t xml:space="preserve"> close to the East Ditch</w:t>
      </w:r>
      <w:r>
        <w:rPr>
          <w:rFonts w:asciiTheme="majorBidi" w:hAnsiTheme="majorBidi" w:cstheme="majorBidi"/>
          <w:lang w:val="en-GB"/>
        </w:rPr>
        <w:fldChar w:fldCharType="begin"/>
      </w:r>
      <w:r>
        <w:instrText xml:space="preserve"> XE "</w:instrText>
      </w:r>
      <w:r w:rsidRPr="00085214">
        <w:rPr>
          <w:rFonts w:asciiTheme="majorBidi" w:hAnsiTheme="majorBidi" w:cstheme="majorBidi"/>
        </w:rPr>
        <w:instrText>East Ditch</w:instrText>
      </w:r>
      <w:r>
        <w:instrText xml:space="preserve">" </w:instrText>
      </w:r>
      <w:r>
        <w:rPr>
          <w:rFonts w:asciiTheme="majorBidi" w:hAnsiTheme="majorBidi" w:cstheme="majorBidi"/>
          <w:lang w:val="en-GB"/>
        </w:rPr>
        <w:fldChar w:fldCharType="end"/>
      </w:r>
      <w:r w:rsidRPr="00940A0E">
        <w:rPr>
          <w:rFonts w:ascii="Times New Roman" w:hAnsi="Times New Roman"/>
          <w:lang w:val="en-GB"/>
        </w:rPr>
        <w:t xml:space="preserve"> of the Ṭušpa</w:t>
      </w:r>
      <w:r w:rsidRPr="00A232A9">
        <w:rPr>
          <w:rFonts w:ascii="Times New Roman" w:eastAsia="Calibri" w:hAnsi="Times New Roman" w:cs="Times New Roman"/>
          <w:lang w:val="en-GB"/>
        </w:rPr>
        <w:t> </w:t>
      </w:r>
      <w:r w:rsidRPr="00940A0E">
        <w:rPr>
          <w:rFonts w:ascii="Times New Roman" w:hAnsi="Times New Roman"/>
          <w:lang w:val="en-GB"/>
        </w:rPr>
        <w:t>citadel, reflects a different aspect of the Urartian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940A0E">
        <w:rPr>
          <w:rFonts w:ascii="Times New Roman" w:hAnsi="Times New Roman"/>
          <w:lang w:val="en-GB"/>
        </w:rPr>
        <w:t>royal funerary architecture (Konyar, Genç &amp; Tan, 2018). The BG90 rock-cut tomb was carved into the bedrock and built underground (Fig. 3, Fig. 65-66). Its location and planning</w:t>
      </w:r>
      <w:r w:rsidRPr="00A232A9">
        <w:rPr>
          <w:rFonts w:ascii="Times New Roman" w:eastAsia="Calibri" w:hAnsi="Times New Roman" w:cs="Times New Roman"/>
          <w:lang w:val="en-GB"/>
        </w:rPr>
        <w:t xml:space="preserve"> brought forth new debates</w:t>
      </w:r>
      <w:r w:rsidRPr="00940A0E">
        <w:rPr>
          <w:rFonts w:ascii="Times New Roman" w:hAnsi="Times New Roman"/>
          <w:lang w:val="en-GB"/>
        </w:rPr>
        <w:t xml:space="preserve"> when compared to the other royal tombs</w:t>
      </w:r>
      <w:r w:rsidRPr="00A232A9">
        <w:rPr>
          <w:rFonts w:ascii="Times New Roman" w:eastAsia="Calibri" w:hAnsi="Times New Roman" w:cs="Times New Roman"/>
          <w:lang w:val="en-GB"/>
        </w:rPr>
        <w:t>. In order to</w:t>
      </w:r>
      <w:r w:rsidRPr="00940A0E">
        <w:rPr>
          <w:rFonts w:ascii="Times New Roman" w:hAnsi="Times New Roman"/>
          <w:lang w:val="en-GB"/>
        </w:rPr>
        <w:t xml:space="preserve"> understand the </w:t>
      </w:r>
      <w:r w:rsidRPr="00A232A9">
        <w:rPr>
          <w:rFonts w:ascii="Times New Roman" w:eastAsia="Calibri" w:hAnsi="Times New Roman" w:cs="Times New Roman"/>
          <w:lang w:val="en-GB"/>
        </w:rPr>
        <w:t>sequence</w:t>
      </w:r>
      <w:r w:rsidRPr="00940A0E">
        <w:rPr>
          <w:rFonts w:ascii="Times New Roman" w:hAnsi="Times New Roman"/>
          <w:lang w:val="en-GB"/>
        </w:rPr>
        <w:t xml:space="preserve"> of the BG90 rock-cut tomb and its </w:t>
      </w:r>
      <w:r w:rsidRPr="00A232A9">
        <w:rPr>
          <w:rFonts w:ascii="Times New Roman" w:eastAsia="Calibri" w:hAnsi="Times New Roman" w:cs="Times New Roman"/>
          <w:lang w:val="en-GB"/>
        </w:rPr>
        <w:t>position</w:t>
      </w:r>
      <w:r w:rsidRPr="00940A0E">
        <w:rPr>
          <w:rFonts w:ascii="Times New Roman" w:hAnsi="Times New Roman"/>
          <w:lang w:val="en-GB"/>
        </w:rPr>
        <w:t xml:space="preserve"> and </w:t>
      </w:r>
      <w:r w:rsidRPr="00A232A9">
        <w:rPr>
          <w:rFonts w:ascii="Times New Roman" w:eastAsia="Calibri" w:hAnsi="Times New Roman" w:cs="Times New Roman"/>
          <w:lang w:val="en-GB"/>
        </w:rPr>
        <w:t>significance</w:t>
      </w:r>
      <w:r w:rsidRPr="00940A0E">
        <w:rPr>
          <w:rFonts w:ascii="Times New Roman" w:hAnsi="Times New Roman"/>
          <w:lang w:val="en-GB"/>
        </w:rPr>
        <w:t xml:space="preserve"> within Urartian funerary architecture and typology, it is important to </w:t>
      </w:r>
      <w:r w:rsidRPr="00A232A9">
        <w:rPr>
          <w:rFonts w:ascii="Times New Roman" w:eastAsia="Calibri" w:hAnsi="Times New Roman" w:cs="Times New Roman"/>
          <w:lang w:val="en-GB"/>
        </w:rPr>
        <w:t>compare</w:t>
      </w:r>
      <w:r w:rsidRPr="00940A0E">
        <w:rPr>
          <w:rFonts w:ascii="Times New Roman" w:hAnsi="Times New Roman"/>
          <w:lang w:val="en-GB"/>
        </w:rPr>
        <w:t xml:space="preserve"> its similarities and differences with other royal tombs inside the citadel.</w:t>
      </w:r>
    </w:p>
    <w:p w14:paraId="47CDE0FC" w14:textId="06359736" w:rsidR="006B23DC" w:rsidRPr="00940A0E" w:rsidRDefault="006B23DC" w:rsidP="006B23DC">
      <w:pPr>
        <w:spacing w:before="100" w:beforeAutospacing="1" w:after="100" w:afterAutospacing="1"/>
        <w:jc w:val="both"/>
        <w:rPr>
          <w:rFonts w:ascii="Times New Roman" w:hAnsi="Times New Roman"/>
          <w:lang w:val="en-GB"/>
        </w:rPr>
      </w:pPr>
      <w:r w:rsidRPr="00940A0E">
        <w:rPr>
          <w:rFonts w:ascii="Times New Roman" w:hAnsi="Times New Roman"/>
          <w:lang w:val="en-GB"/>
        </w:rPr>
        <w:t>The BG90 rock-cut tomb lies approximately 40 m to the east of the East Ditch</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"East Ditch"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940A0E">
        <w:rPr>
          <w:rFonts w:ascii="Times New Roman" w:hAnsi="Times New Roman"/>
          <w:lang w:val="en-GB"/>
        </w:rPr>
        <w:t>of the Van Fortress</w:t>
      </w:r>
      <w:r w:rsidRPr="00A232A9">
        <w:rPr>
          <w:rFonts w:ascii="Times New Roman" w:eastAsia="Calibri" w:hAnsi="Times New Roman" w:cs="Times New Roman"/>
          <w:lang w:val="en-GB"/>
        </w:rPr>
        <w:t> </w:t>
      </w:r>
      <w:r w:rsidRPr="00940A0E">
        <w:rPr>
          <w:rFonts w:ascii="Times New Roman" w:hAnsi="Times New Roman"/>
          <w:lang w:val="en-GB"/>
        </w:rPr>
        <w:t>and 35 m to the south of the area where the stele and the Assyrian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940A0E">
        <w:rPr>
          <w:rFonts w:ascii="Times New Roman" w:hAnsi="Times New Roman"/>
          <w:lang w:val="en-GB"/>
        </w:rPr>
        <w:t xml:space="preserve">inscription inside the niche are located. It is the first rock-cut tomb in the Van Fortress uncovered through archaeological excavations. </w:t>
      </w:r>
      <w:r w:rsidRPr="00A232A9">
        <w:rPr>
          <w:rFonts w:ascii="Times New Roman" w:eastAsia="Calibri" w:hAnsi="Times New Roman" w:cs="Times New Roman"/>
          <w:lang w:val="en-GB"/>
        </w:rPr>
        <w:t>Regarding</w:t>
      </w:r>
      <w:r w:rsidRPr="00940A0E">
        <w:rPr>
          <w:rFonts w:ascii="Times New Roman" w:hAnsi="Times New Roman"/>
          <w:lang w:val="en-GB"/>
        </w:rPr>
        <w:t xml:space="preserve"> its underground construction and planning, the tomb reflects the same characteristics as the Urartian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00DF3B77">
        <w:rPr>
          <w:rFonts w:ascii="Times New Roman" w:hAnsi="Times New Roman"/>
          <w:lang w:val="en-GB"/>
        </w:rPr>
        <w:t>p</w:t>
      </w:r>
      <w:r w:rsidRPr="00940A0E">
        <w:rPr>
          <w:rFonts w:ascii="Times New Roman" w:hAnsi="Times New Roman"/>
          <w:lang w:val="en-GB"/>
        </w:rPr>
        <w:t xml:space="preserve">ublic </w:t>
      </w:r>
      <w:r w:rsidR="00DF3B77">
        <w:rPr>
          <w:rFonts w:ascii="Times New Roman" w:hAnsi="Times New Roman"/>
          <w:lang w:val="en-GB"/>
        </w:rPr>
        <w:t>g</w:t>
      </w:r>
      <w:r w:rsidRPr="00940A0E">
        <w:rPr>
          <w:rFonts w:ascii="Times New Roman" w:hAnsi="Times New Roman"/>
          <w:lang w:val="en-GB"/>
        </w:rPr>
        <w:t xml:space="preserve">raves (Fig. 64). In front of the tomb is a well-shaped, 2.5 m </w:t>
      </w:r>
      <w:r w:rsidRPr="002B4DAC">
        <w:rPr>
          <w:rFonts w:ascii="Times New Roman" w:hAnsi="Times New Roman"/>
          <w:lang w:val="en-GB"/>
        </w:rPr>
        <w:t xml:space="preserve">deep dromos, measuring 2.28 x 2.15 cm, which was carved into the bedrock. The dromos leads to a 32 cm deep frame measuring </w:t>
      </w:r>
      <w:r w:rsidRPr="00940A0E">
        <w:rPr>
          <w:rFonts w:ascii="Times New Roman" w:hAnsi="Times New Roman"/>
          <w:lang w:val="en-GB"/>
        </w:rPr>
        <w:t xml:space="preserve">1.60 x 1.30 m, through which one reaches a doorway measuring 108 x 76 cm that opens into the main hall (Fig. 65). The rectangular-planned burial chamber measures 5.80 x 3.15 m with a depth ranging from 2.60 to 2.80 m. A niche located approximately 1 m high above the </w:t>
      </w:r>
      <w:r w:rsidRPr="00A232A9">
        <w:rPr>
          <w:rFonts w:ascii="Times New Roman" w:eastAsia="Calibri" w:hAnsi="Times New Roman" w:cs="Times New Roman"/>
          <w:lang w:val="en-GB"/>
        </w:rPr>
        <w:t xml:space="preserve">tomb's </w:t>
      </w:r>
      <w:r w:rsidRPr="00940A0E">
        <w:rPr>
          <w:rFonts w:ascii="Times New Roman" w:hAnsi="Times New Roman"/>
          <w:lang w:val="en-GB"/>
        </w:rPr>
        <w:t xml:space="preserve">floor level lies through the </w:t>
      </w:r>
      <w:r w:rsidRPr="00A232A9">
        <w:rPr>
          <w:rFonts w:ascii="Times New Roman" w:eastAsia="Calibri" w:hAnsi="Times New Roman" w:cs="Times New Roman"/>
          <w:lang w:val="en-GB"/>
        </w:rPr>
        <w:t xml:space="preserve">burial chamber's </w:t>
      </w:r>
      <w:r w:rsidRPr="00940A0E">
        <w:rPr>
          <w:rFonts w:ascii="Times New Roman" w:hAnsi="Times New Roman"/>
          <w:lang w:val="en-GB"/>
        </w:rPr>
        <w:t>southern, eastern</w:t>
      </w:r>
      <w:r w:rsidRPr="00A232A9">
        <w:rPr>
          <w:rFonts w:ascii="Times New Roman" w:eastAsia="Calibri" w:hAnsi="Times New Roman" w:cs="Times New Roman"/>
          <w:lang w:val="en-GB"/>
        </w:rPr>
        <w:t>,</w:t>
      </w:r>
      <w:r w:rsidRPr="00940A0E">
        <w:rPr>
          <w:rFonts w:ascii="Times New Roman" w:hAnsi="Times New Roman"/>
          <w:lang w:val="en-GB"/>
        </w:rPr>
        <w:t xml:space="preserve"> and partially northern walls (Fig. 67). The niche measures 50 cm in depth and 40 cm in height. The upper part of the niche rises with a concave slope </w:t>
      </w:r>
      <w:r w:rsidRPr="00A232A9">
        <w:rPr>
          <w:rFonts w:ascii="Times New Roman" w:eastAsia="Calibri" w:hAnsi="Times New Roman" w:cs="Times New Roman"/>
          <w:lang w:val="en-GB"/>
        </w:rPr>
        <w:t>of</w:t>
      </w:r>
      <w:r w:rsidRPr="00940A0E">
        <w:rPr>
          <w:rFonts w:ascii="Times New Roman" w:hAnsi="Times New Roman"/>
          <w:lang w:val="en-GB"/>
        </w:rPr>
        <w:t xml:space="preserve"> about 70 cm. After the end of the niche, the sidewalls continue upwards to the ceiling and downwards to the floor level for about 80 cm. Thus, in some parts, the depth of the chamber reaches 2.80 m.</w:t>
      </w:r>
    </w:p>
    <w:p w14:paraId="403D10DE" w14:textId="77777777" w:rsidR="006B23DC" w:rsidRPr="00940A0E" w:rsidRDefault="006B23DC" w:rsidP="006B23DC">
      <w:pPr>
        <w:spacing w:before="100" w:beforeAutospacing="1" w:after="100" w:afterAutospacing="1"/>
        <w:jc w:val="both"/>
        <w:rPr>
          <w:rFonts w:ascii="Times New Roman" w:hAnsi="Times New Roman"/>
          <w:lang w:val="en-GB"/>
        </w:rPr>
      </w:pPr>
      <w:r w:rsidRPr="00940A0E">
        <w:rPr>
          <w:rFonts w:ascii="Times New Roman" w:hAnsi="Times New Roman"/>
          <w:lang w:val="en-GB"/>
        </w:rPr>
        <w:t>The location and structural features of the tomb suggest that it belongs to a different understanding of Urartian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940A0E">
        <w:rPr>
          <w:rFonts w:ascii="Times New Roman" w:hAnsi="Times New Roman"/>
          <w:lang w:val="en-GB"/>
        </w:rPr>
        <w:t xml:space="preserve">funerary architecture. In this regard, its place within the Urartian grave typology and chronology is debatable. The lack of </w:t>
      </w:r>
      <w:r w:rsidRPr="00EB2684">
        <w:rPr>
          <w:rFonts w:ascii="Times New Roman" w:hAnsi="Times New Roman"/>
          <w:i/>
          <w:iCs/>
          <w:lang w:val="en-GB"/>
        </w:rPr>
        <w:t>in situ</w:t>
      </w:r>
      <w:r w:rsidRPr="00940A0E">
        <w:rPr>
          <w:rFonts w:ascii="Times New Roman" w:hAnsi="Times New Roman"/>
          <w:lang w:val="en-GB"/>
        </w:rPr>
        <w:t xml:space="preserve"> finds inside the tomb allows only an evaluation based on typological and architectural aspects. Furthermore, the relationship of this tomb with the Assyrian</w:t>
      </w:r>
      <w:r w:rsidRPr="00A232A9">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940A0E">
        <w:rPr>
          <w:rFonts w:ascii="Times New Roman" w:hAnsi="Times New Roman"/>
          <w:lang w:val="en-GB"/>
        </w:rPr>
        <w:t xml:space="preserve">inscription located to its north (CTU I. A 1-2) and the fact that these two monuments are found in the same area should also be </w:t>
      </w:r>
      <w:r w:rsidRPr="00A232A9">
        <w:rPr>
          <w:rFonts w:ascii="Times New Roman" w:eastAsia="Calibri" w:hAnsi="Times New Roman" w:cs="Times New Roman"/>
          <w:lang w:val="en-GB"/>
        </w:rPr>
        <w:t>considered</w:t>
      </w:r>
      <w:r w:rsidRPr="00940A0E">
        <w:rPr>
          <w:rFonts w:ascii="Times New Roman" w:hAnsi="Times New Roman"/>
          <w:lang w:val="en-GB"/>
        </w:rPr>
        <w:t>.</w:t>
      </w:r>
    </w:p>
    <w:p w14:paraId="01BCEF04"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5ADC5122" wp14:editId="51215F31">
            <wp:extent cx="2722104" cy="3862137"/>
            <wp:effectExtent l="0" t="0" r="0" b="0"/>
            <wp:docPr id="227" name="Resim 227" descr="mağara, dış mekan, jeoloji,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Resim 227" descr="mağara, dış mekan, jeoloji, yer içeren bir resim&#10;&#10;Açıklama otomatik olarak oluşturuldu"/>
                    <pic:cNvPicPr/>
                  </pic:nvPicPr>
                  <pic:blipFill rotWithShape="1">
                    <a:blip r:embed="rId320" cstate="email">
                      <a:extLst>
                        <a:ext uri="{28A0092B-C50C-407E-A947-70E740481C1C}">
                          <a14:useLocalDpi xmlns:a14="http://schemas.microsoft.com/office/drawing/2010/main"/>
                        </a:ext>
                      </a:extLst>
                    </a:blip>
                    <a:srcRect/>
                    <a:stretch/>
                  </pic:blipFill>
                  <pic:spPr bwMode="auto">
                    <a:xfrm>
                      <a:off x="0" y="0"/>
                      <a:ext cx="2747733" cy="3898499"/>
                    </a:xfrm>
                    <a:prstGeom prst="rect">
                      <a:avLst/>
                    </a:prstGeom>
                    <a:ln>
                      <a:noFill/>
                    </a:ln>
                    <a:extLst>
                      <a:ext uri="{53640926-AAD7-44D8-BBD7-CCE9431645EC}">
                        <a14:shadowObscured xmlns:a14="http://schemas.microsoft.com/office/drawing/2010/main"/>
                      </a:ext>
                    </a:extLst>
                  </pic:spPr>
                </pic:pic>
              </a:graphicData>
            </a:graphic>
          </wp:inline>
        </w:drawing>
      </w:r>
    </w:p>
    <w:p w14:paraId="482A222D" w14:textId="5857A9D9"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65 Single-roomed BG90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 xml:space="preserve">BG90 </w:instrText>
      </w:r>
      <w:r>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built underground into the bedrock.</w:t>
      </w:r>
    </w:p>
    <w:p w14:paraId="136DFB42" w14:textId="4976E0AF" w:rsidR="006B23DC" w:rsidRPr="002B4DAC" w:rsidRDefault="006B23DC" w:rsidP="006B23DC">
      <w:pPr>
        <w:spacing w:before="100" w:beforeAutospacing="1" w:after="100" w:afterAutospacing="1"/>
        <w:jc w:val="both"/>
        <w:rPr>
          <w:rFonts w:ascii="Times New Roman" w:hAnsi="Times New Roman"/>
          <w:szCs w:val="22"/>
          <w:lang w:val="en-GB"/>
        </w:rPr>
      </w:pPr>
      <w:r w:rsidRPr="0035595C">
        <w:rPr>
          <w:rFonts w:ascii="Times New Roman" w:eastAsia="Times New Roman" w:hAnsi="Times New Roman" w:cs="Times New Roman"/>
          <w:noProof/>
        </w:rPr>
        <w:drawing>
          <wp:inline distT="0" distB="0" distL="0" distR="0" wp14:anchorId="084DAC7A" wp14:editId="26DE7759">
            <wp:extent cx="5733415" cy="3813175"/>
            <wp:effectExtent l="12700" t="12700" r="6985" b="9525"/>
            <wp:docPr id="898432006" name="Resim 10" descr="taslak, sanat, zem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17644" name="Resim 10" descr="taslak, sanat, zemin içeren bir resim&#10;&#10;Açıklama otomatik olarak oluşturuldu"/>
                    <pic:cNvPicPr/>
                  </pic:nvPicPr>
                  <pic:blipFill>
                    <a:blip r:embed="rId321" cstate="email">
                      <a:extLst>
                        <a:ext uri="{28A0092B-C50C-407E-A947-70E740481C1C}">
                          <a14:useLocalDpi xmlns:a14="http://schemas.microsoft.com/office/drawing/2010/main"/>
                        </a:ext>
                      </a:extLst>
                    </a:blip>
                    <a:stretch>
                      <a:fillRect/>
                    </a:stretch>
                  </pic:blipFill>
                  <pic:spPr>
                    <a:xfrm>
                      <a:off x="0" y="0"/>
                      <a:ext cx="5733415" cy="3813175"/>
                    </a:xfrm>
                    <a:prstGeom prst="rect">
                      <a:avLst/>
                    </a:prstGeom>
                    <a:ln>
                      <a:solidFill>
                        <a:sysClr val="windowText" lastClr="000000"/>
                      </a:solidFill>
                    </a:ln>
                  </pic:spPr>
                </pic:pic>
              </a:graphicData>
            </a:graphic>
          </wp:inline>
        </w:drawing>
      </w:r>
      <w:r w:rsidRPr="002B4DAC">
        <w:rPr>
          <w:rFonts w:ascii="Times New Roman" w:hAnsi="Times New Roman"/>
          <w:szCs w:val="22"/>
          <w:lang w:val="en-GB"/>
        </w:rPr>
        <w:t>Fig. 66 Restitution of the BG90 tomb</w:t>
      </w:r>
      <w:r w:rsidRPr="002B4DAC">
        <w:rPr>
          <w:rFonts w:ascii="Times New Roman" w:hAnsi="Times New Roman"/>
          <w:szCs w:val="22"/>
          <w:lang w:val="en-GB"/>
        </w:rPr>
        <w:fldChar w:fldCharType="begin"/>
      </w:r>
      <w:r w:rsidRPr="002B4DAC">
        <w:rPr>
          <w:rFonts w:ascii="Times New Roman" w:hAnsi="Times New Roman"/>
          <w:szCs w:val="22"/>
          <w:lang w:val="en-GB"/>
        </w:rPr>
        <w:instrText xml:space="preserve"> XE "BG90 </w:instrText>
      </w:r>
      <w:r>
        <w:rPr>
          <w:rFonts w:ascii="Times New Roman" w:hAnsi="Times New Roman"/>
          <w:szCs w:val="22"/>
          <w:lang w:val="en-GB"/>
        </w:rPr>
        <w:instrText>t</w:instrText>
      </w:r>
      <w:r w:rsidRPr="002B4DAC">
        <w:rPr>
          <w:rFonts w:ascii="Times New Roman" w:hAnsi="Times New Roman"/>
          <w:szCs w:val="22"/>
          <w:lang w:val="en-GB"/>
        </w:rPr>
        <w:instrText xml:space="preserve">omb" </w:instrText>
      </w:r>
      <w:r w:rsidRPr="002B4DAC">
        <w:rPr>
          <w:rFonts w:ascii="Times New Roman" w:hAnsi="Times New Roman"/>
          <w:szCs w:val="22"/>
          <w:lang w:val="en-GB"/>
        </w:rPr>
        <w:fldChar w:fldCharType="end"/>
      </w:r>
      <w:r w:rsidRPr="002B4DAC">
        <w:rPr>
          <w:rFonts w:ascii="Times New Roman" w:hAnsi="Times New Roman"/>
          <w:szCs w:val="22"/>
          <w:lang w:val="en-GB"/>
        </w:rPr>
        <w:t>.</w:t>
      </w:r>
    </w:p>
    <w:p w14:paraId="7D4CD476" w14:textId="77777777" w:rsidR="006B23DC" w:rsidRPr="002B4DAC" w:rsidRDefault="006B23DC" w:rsidP="006B23DC">
      <w:pPr>
        <w:spacing w:before="100" w:beforeAutospacing="1" w:after="100" w:afterAutospacing="1"/>
        <w:jc w:val="both"/>
        <w:rPr>
          <w:rFonts w:ascii="Times New Roman" w:hAnsi="Times New Roman"/>
          <w:szCs w:val="22"/>
          <w:lang w:val="en-GB"/>
        </w:rPr>
      </w:pPr>
    </w:p>
    <w:p w14:paraId="077FA9A2"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3F955F8F" wp14:editId="607FBCB3">
            <wp:extent cx="2775857" cy="2852778"/>
            <wp:effectExtent l="0" t="0" r="5715" b="5080"/>
            <wp:docPr id="228" name="Resim 22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descr="diyagram içeren bir resim&#10;&#10;Açıklama otomatik olarak oluşturuldu"/>
                    <pic:cNvPicPr/>
                  </pic:nvPicPr>
                  <pic:blipFill>
                    <a:blip r:embed="rId322" cstate="email">
                      <a:extLst>
                        <a:ext uri="{28A0092B-C50C-407E-A947-70E740481C1C}">
                          <a14:useLocalDpi xmlns:a14="http://schemas.microsoft.com/office/drawing/2010/main"/>
                        </a:ext>
                      </a:extLst>
                    </a:blip>
                    <a:stretch>
                      <a:fillRect/>
                    </a:stretch>
                  </pic:blipFill>
                  <pic:spPr>
                    <a:xfrm>
                      <a:off x="0" y="0"/>
                      <a:ext cx="2786475" cy="2863690"/>
                    </a:xfrm>
                    <a:prstGeom prst="rect">
                      <a:avLst/>
                    </a:prstGeom>
                  </pic:spPr>
                </pic:pic>
              </a:graphicData>
            </a:graphic>
          </wp:inline>
        </w:drawing>
      </w:r>
    </w:p>
    <w:p w14:paraId="2E1531A8" w14:textId="2300C4DD"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67 Plan and section drawings of the BG90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 xml:space="preserve">BG90 </w:instrText>
      </w:r>
      <w:r w:rsidR="00DF3B77">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w:t>
      </w:r>
    </w:p>
    <w:p w14:paraId="7E1EBB4A" w14:textId="148C88B1" w:rsidR="006B23DC" w:rsidRPr="006B5329" w:rsidRDefault="006B23DC" w:rsidP="006B23DC">
      <w:pPr>
        <w:spacing w:before="100" w:beforeAutospacing="1" w:after="100" w:afterAutospacing="1"/>
        <w:jc w:val="both"/>
        <w:rPr>
          <w:rFonts w:ascii="Times New Roman" w:hAnsi="Times New Roman"/>
          <w:lang w:val="en-GB"/>
        </w:rPr>
      </w:pPr>
      <w:r w:rsidRPr="006B5329">
        <w:rPr>
          <w:rFonts w:ascii="Times New Roman" w:hAnsi="Times New Roman"/>
          <w:lang w:val="en-GB"/>
        </w:rPr>
        <w:t>A comparison between the dimensions of the BG90 tomb</w:t>
      </w:r>
      <w:r w:rsidR="00EA6C63">
        <w:rPr>
          <w:rFonts w:ascii="Times New Roman" w:hAnsi="Times New Roman"/>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imes New Roman" w:hAnsi="Times New Roman"/>
          <w:lang w:val="en-GB"/>
        </w:rPr>
        <w:fldChar w:fldCharType="end"/>
      </w:r>
      <w:r w:rsidRPr="006B5329">
        <w:rPr>
          <w:rFonts w:ascii="Times New Roman" w:hAnsi="Times New Roman"/>
          <w:lang w:val="en-GB"/>
        </w:rPr>
        <w:t xml:space="preserve"> and other underground burial chambers puts it in a unique place. Stone masonry tombs of Karagündüz</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"Karagündüz"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(Sevin &amp; Kavaklı, 1996a: 1-12; Sevin &amp; Kavaklı, 1996b: 13-21) and the underground burial chambers of Altıntepe</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(Sevin, 2012a: 107-134) and Kalecik</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"Kalecik"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 xml:space="preserve">(Çavuşoğlu, Biber &amp; Başar, 2009: 269-276) do not have such large dimensions. The dimensions of these chambers range between 2.50-1.00 m </w:t>
      </w:r>
      <w:r w:rsidRPr="00AC428A">
        <w:rPr>
          <w:rFonts w:ascii="Times New Roman" w:eastAsia="Calibri" w:hAnsi="Times New Roman" w:cs="Times New Roman"/>
          <w:lang w:val="en-GB"/>
        </w:rPr>
        <w:t xml:space="preserve">in </w:t>
      </w:r>
      <w:r w:rsidRPr="006B5329">
        <w:rPr>
          <w:rFonts w:ascii="Times New Roman" w:hAnsi="Times New Roman"/>
          <w:lang w:val="en-GB"/>
        </w:rPr>
        <w:t xml:space="preserve">height, 6.50-1.50 m </w:t>
      </w:r>
      <w:r w:rsidRPr="00AC428A">
        <w:rPr>
          <w:rFonts w:ascii="Times New Roman" w:eastAsia="Calibri" w:hAnsi="Times New Roman" w:cs="Times New Roman"/>
          <w:lang w:val="en-GB"/>
        </w:rPr>
        <w:t xml:space="preserve">in </w:t>
      </w:r>
      <w:r w:rsidRPr="006B5329">
        <w:rPr>
          <w:rFonts w:ascii="Times New Roman" w:hAnsi="Times New Roman"/>
          <w:lang w:val="en-GB"/>
        </w:rPr>
        <w:t>length</w:t>
      </w:r>
      <w:r w:rsidRPr="00AC428A">
        <w:rPr>
          <w:rFonts w:ascii="Times New Roman" w:eastAsia="Calibri" w:hAnsi="Times New Roman" w:cs="Times New Roman"/>
          <w:lang w:val="en-GB"/>
        </w:rPr>
        <w:t>,</w:t>
      </w:r>
      <w:r w:rsidRPr="006B5329">
        <w:rPr>
          <w:rFonts w:ascii="Times New Roman" w:hAnsi="Times New Roman"/>
          <w:lang w:val="en-GB"/>
        </w:rPr>
        <w:t xml:space="preserve"> and 1.80-2.50 m </w:t>
      </w:r>
      <w:r w:rsidRPr="00AC428A">
        <w:rPr>
          <w:rFonts w:ascii="Times New Roman" w:eastAsia="Calibri" w:hAnsi="Times New Roman" w:cs="Times New Roman"/>
          <w:lang w:val="en-GB"/>
        </w:rPr>
        <w:t xml:space="preserve">in </w:t>
      </w:r>
      <w:r w:rsidRPr="006B5329">
        <w:rPr>
          <w:rFonts w:ascii="Times New Roman" w:hAnsi="Times New Roman"/>
          <w:lang w:val="en-GB"/>
        </w:rPr>
        <w:t>width. The BG90 tomb</w:t>
      </w:r>
      <w:r w:rsidRPr="00AC428A">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"BG90 </w:instrText>
      </w:r>
      <w:r w:rsidR="00DF3B77">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6B5329">
        <w:rPr>
          <w:rFonts w:ascii="Times New Roman" w:hAnsi="Times New Roman"/>
          <w:lang w:val="en-GB"/>
        </w:rPr>
        <w:t xml:space="preserve"> on the other hand, exceeds 9 m and was carved into the hard calcareous bedrock and opened underground. However, </w:t>
      </w:r>
      <w:r w:rsidRPr="00AC428A">
        <w:rPr>
          <w:rFonts w:ascii="Times New Roman" w:eastAsia="Calibri" w:hAnsi="Times New Roman" w:cs="Times New Roman"/>
          <w:lang w:val="en-GB"/>
        </w:rPr>
        <w:t>regarding</w:t>
      </w:r>
      <w:r w:rsidRPr="006B5329">
        <w:rPr>
          <w:rFonts w:ascii="Times New Roman" w:hAnsi="Times New Roman"/>
          <w:lang w:val="en-GB"/>
        </w:rPr>
        <w:t xml:space="preserve"> planning, especially with its dromos and the main hall behind, the BG90 tomb exhibits some parallel characteristics with the Karagündüz examples (Sevin &amp; Kavaklı, 1996b: 14-21, Fig. 2, 4, 5, 7).</w:t>
      </w:r>
    </w:p>
    <w:p w14:paraId="7C040E19" w14:textId="77777777" w:rsidR="006B23DC" w:rsidRPr="006B5329" w:rsidRDefault="006B23DC" w:rsidP="006B23DC">
      <w:pPr>
        <w:spacing w:before="100" w:beforeAutospacing="1" w:after="100" w:afterAutospacing="1"/>
        <w:jc w:val="both"/>
        <w:rPr>
          <w:rFonts w:ascii="Times New Roman" w:hAnsi="Times New Roman"/>
          <w:lang w:val="en-GB"/>
        </w:rPr>
      </w:pPr>
      <w:r w:rsidRPr="006B5329">
        <w:rPr>
          <w:rFonts w:ascii="Times New Roman" w:hAnsi="Times New Roman"/>
          <w:lang w:val="en-GB"/>
        </w:rPr>
        <w:t xml:space="preserve">With a doorway opening from the dromos-shaped front hall, the main hall is reached </w:t>
      </w:r>
      <w:r w:rsidRPr="00AC428A">
        <w:rPr>
          <w:rFonts w:ascii="Times New Roman" w:eastAsia="Calibri" w:hAnsi="Times New Roman" w:cs="Times New Roman"/>
          <w:lang w:val="en-GB"/>
        </w:rPr>
        <w:t xml:space="preserve">by one step </w:t>
      </w:r>
      <w:r w:rsidRPr="006B5329">
        <w:rPr>
          <w:rFonts w:ascii="Times New Roman" w:hAnsi="Times New Roman"/>
          <w:lang w:val="en-GB"/>
        </w:rPr>
        <w:t>through a framed door</w:t>
      </w:r>
      <w:r w:rsidRPr="00AC428A">
        <w:rPr>
          <w:rFonts w:ascii="Times New Roman" w:eastAsia="Calibri" w:hAnsi="Times New Roman" w:cs="Times New Roman"/>
          <w:lang w:val="en-GB"/>
        </w:rPr>
        <w:t>.</w:t>
      </w:r>
      <w:r w:rsidRPr="006B5329">
        <w:rPr>
          <w:rFonts w:ascii="Times New Roman" w:hAnsi="Times New Roman"/>
          <w:lang w:val="en-GB"/>
        </w:rPr>
        <w:t xml:space="preserve"> Another aspect of the door is that it possesses a socket, which suggests it was a wooden single-leafed door. The doors of most burial chambers outside the citadel were reached through the dromos. However, most of these were blocked with a flagstone. </w:t>
      </w:r>
      <w:r w:rsidRPr="00AC428A">
        <w:rPr>
          <w:rFonts w:ascii="Times New Roman" w:eastAsia="Calibri" w:hAnsi="Times New Roman" w:cs="Times New Roman"/>
          <w:lang w:val="en-GB"/>
        </w:rPr>
        <w:t>On the other hand, this</w:t>
      </w:r>
      <w:r w:rsidRPr="006B5329">
        <w:rPr>
          <w:rFonts w:ascii="Times New Roman" w:hAnsi="Times New Roman"/>
          <w:lang w:val="en-GB"/>
        </w:rPr>
        <w:t xml:space="preserve"> example from the citadel exhibits a more advanced entrance system. Such an entrance system was applied to other royal tombs in the Van Fortress. The İç Kale</w:t>
      </w:r>
      <w:r w:rsidRPr="00AC428A">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6B5329">
        <w:rPr>
          <w:rFonts w:ascii="Times New Roman" w:hAnsi="Times New Roman"/>
          <w:lang w:val="en-GB"/>
        </w:rPr>
        <w:t xml:space="preserve"> Neft Kuyu</w:t>
      </w:r>
      <w:r w:rsidRPr="00AC428A">
        <w:rPr>
          <w:rFonts w:ascii="Times New Roman" w:eastAsia="Calibri" w:hAnsi="Times New Roman" w:cs="Times New Roman"/>
          <w:lang w:val="en-GB"/>
        </w:rPr>
        <w:t>,</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6B5329">
        <w:rPr>
          <w:rFonts w:ascii="Times New Roman" w:hAnsi="Times New Roman"/>
          <w:lang w:val="en-GB"/>
        </w:rPr>
        <w:t xml:space="preserve"> and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6B5329">
        <w:rPr>
          <w:rFonts w:ascii="Times New Roman" w:hAnsi="Times New Roman"/>
          <w:lang w:val="en-GB"/>
        </w:rPr>
        <w:t xml:space="preserve"> tombs, for example, exhibit a similar entrance system</w:t>
      </w:r>
      <w:r w:rsidRPr="00AC428A">
        <w:rPr>
          <w:rFonts w:ascii="Times New Roman" w:eastAsia="Calibri" w:hAnsi="Times New Roman" w:cs="Times New Roman"/>
          <w:lang w:val="en-GB"/>
        </w:rPr>
        <w:t>. However</w:t>
      </w:r>
      <w:r w:rsidRPr="006B5329">
        <w:rPr>
          <w:rFonts w:ascii="Times New Roman" w:hAnsi="Times New Roman"/>
          <w:lang w:val="en-GB"/>
        </w:rPr>
        <w:t>, they had larger door</w:t>
      </w:r>
      <w:r w:rsidRPr="00AC428A">
        <w:rPr>
          <w:rFonts w:ascii="Times New Roman" w:eastAsia="Calibri" w:hAnsi="Times New Roman" w:cs="Times New Roman"/>
          <w:lang w:val="en-GB"/>
        </w:rPr>
        <w:t xml:space="preserve"> </w:t>
      </w:r>
      <w:r w:rsidRPr="006B5329">
        <w:rPr>
          <w:rFonts w:ascii="Times New Roman" w:hAnsi="Times New Roman"/>
          <w:lang w:val="en-GB"/>
        </w:rPr>
        <w:t>leafs and façades.</w:t>
      </w:r>
    </w:p>
    <w:p w14:paraId="429DDDD4" w14:textId="77777777"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noProof/>
          <w:szCs w:val="22"/>
          <w:lang w:val="en-US"/>
        </w:rPr>
        <w:lastRenderedPageBreak/>
        <w:drawing>
          <wp:inline distT="0" distB="0" distL="0" distR="0" wp14:anchorId="1F77115F" wp14:editId="35E22408">
            <wp:extent cx="5270500" cy="3505200"/>
            <wp:effectExtent l="0" t="0" r="0" b="0"/>
            <wp:docPr id="229" name="Resim 229" descr="yer, dış mekan, mağar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Resim 229" descr="yer, dış mekan, mağara, harabeler içeren bir resim&#10;&#10;Açıklama otomatik olarak oluşturuldu"/>
                    <pic:cNvPicPr/>
                  </pic:nvPicPr>
                  <pic:blipFill>
                    <a:blip r:embed="rId323" cstate="email">
                      <a:extLst>
                        <a:ext uri="{28A0092B-C50C-407E-A947-70E740481C1C}">
                          <a14:useLocalDpi xmlns:a14="http://schemas.microsoft.com/office/drawing/2010/main"/>
                        </a:ext>
                      </a:extLst>
                    </a:blip>
                    <a:stretch>
                      <a:fillRect/>
                    </a:stretch>
                  </pic:blipFill>
                  <pic:spPr>
                    <a:xfrm>
                      <a:off x="0" y="0"/>
                      <a:ext cx="5270500" cy="3505200"/>
                    </a:xfrm>
                    <a:prstGeom prst="rect">
                      <a:avLst/>
                    </a:prstGeom>
                  </pic:spPr>
                </pic:pic>
              </a:graphicData>
            </a:graphic>
          </wp:inline>
        </w:drawing>
      </w:r>
    </w:p>
    <w:p w14:paraId="540CEF98" w14:textId="246CF3A6" w:rsidR="006B23DC" w:rsidRPr="002B4DAC" w:rsidRDefault="006B23DC" w:rsidP="006B23DC">
      <w:pPr>
        <w:spacing w:before="100" w:beforeAutospacing="1" w:after="100" w:afterAutospacing="1"/>
        <w:jc w:val="both"/>
        <w:rPr>
          <w:rFonts w:ascii="Times New Roman" w:hAnsi="Times New Roman"/>
          <w:szCs w:val="22"/>
          <w:lang w:val="en-GB"/>
        </w:rPr>
      </w:pPr>
      <w:r w:rsidRPr="002B4DAC">
        <w:rPr>
          <w:rFonts w:ascii="Times New Roman" w:hAnsi="Times New Roman"/>
          <w:szCs w:val="22"/>
          <w:lang w:val="en-GB"/>
        </w:rPr>
        <w:t>Fig. 68 Niche lying along the side walls of the BG90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w:instrText>
      </w:r>
      <w:r w:rsidRPr="002B4DAC">
        <w:rPr>
          <w:rFonts w:ascii="Times New Roman" w:hAnsi="Times New Roman"/>
          <w:szCs w:val="22"/>
          <w:lang w:val="en-GB"/>
        </w:rPr>
        <w:instrText xml:space="preserve">BG90 </w:instrText>
      </w:r>
      <w:r w:rsidR="00663FD0">
        <w:rPr>
          <w:rFonts w:ascii="Times New Roman" w:hAnsi="Times New Roman"/>
          <w:szCs w:val="22"/>
          <w:lang w:val="en-GB"/>
        </w:rPr>
        <w:instrText>t</w:instrText>
      </w:r>
      <w:r w:rsidRPr="002B4DAC">
        <w:rPr>
          <w:rFonts w:ascii="Times New Roman" w:hAnsi="Times New Roman"/>
          <w:szCs w:val="22"/>
          <w:lang w:val="en-GB"/>
        </w:rPr>
        <w:instrText>omb</w:instrText>
      </w:r>
      <w:r w:rsidRPr="002B4DAC">
        <w:rPr>
          <w:rFonts w:ascii="Times New Roman" w:hAnsi="Times New Roman"/>
          <w:sz w:val="20"/>
          <w:szCs w:val="22"/>
          <w:lang w:val="en-GB"/>
        </w:rPr>
        <w:instrText xml:space="preserve">" </w:instrText>
      </w:r>
      <w:r w:rsidRPr="002B4DAC">
        <w:rPr>
          <w:rFonts w:ascii="Times New Roman" w:hAnsi="Times New Roman"/>
          <w:szCs w:val="22"/>
          <w:lang w:val="en-GB"/>
        </w:rPr>
        <w:fldChar w:fldCharType="end"/>
      </w:r>
      <w:r w:rsidRPr="002B4DAC">
        <w:rPr>
          <w:rFonts w:ascii="Times New Roman" w:hAnsi="Times New Roman"/>
          <w:szCs w:val="22"/>
          <w:lang w:val="en-GB"/>
        </w:rPr>
        <w:t xml:space="preserve"> that is similar to the example in the Cremation tomb</w:t>
      </w:r>
      <w:r w:rsidRPr="002B4DAC">
        <w:rPr>
          <w:rFonts w:ascii="Times New Roman" w:hAnsi="Times New Roman"/>
          <w:szCs w:val="22"/>
          <w:lang w:val="en-GB"/>
        </w:rPr>
        <w:fldChar w:fldCharType="begin"/>
      </w:r>
      <w:r w:rsidRPr="002B4DAC">
        <w:rPr>
          <w:rFonts w:ascii="Times New Roman" w:hAnsi="Times New Roman"/>
          <w:sz w:val="20"/>
          <w:szCs w:val="22"/>
          <w:lang w:val="en-GB"/>
        </w:rPr>
        <w:instrText xml:space="preserve"> XE "Cremation </w:instrText>
      </w:r>
      <w:r>
        <w:rPr>
          <w:rFonts w:ascii="Times New Roman" w:hAnsi="Times New Roman"/>
          <w:sz w:val="20"/>
          <w:szCs w:val="22"/>
          <w:lang w:val="en-GB"/>
        </w:rPr>
        <w:instrText>t</w:instrText>
      </w:r>
      <w:r w:rsidRPr="002B4DAC">
        <w:rPr>
          <w:rFonts w:ascii="Times New Roman" w:hAnsi="Times New Roman"/>
          <w:sz w:val="20"/>
          <w:szCs w:val="22"/>
          <w:lang w:val="en-GB"/>
        </w:rPr>
        <w:instrText xml:space="preserve">omb" </w:instrText>
      </w:r>
      <w:r w:rsidRPr="002B4DAC">
        <w:rPr>
          <w:rFonts w:ascii="Times New Roman" w:hAnsi="Times New Roman"/>
          <w:szCs w:val="22"/>
          <w:lang w:val="en-GB"/>
        </w:rPr>
        <w:fldChar w:fldCharType="end"/>
      </w:r>
      <w:r w:rsidRPr="002B4DAC">
        <w:rPr>
          <w:rFonts w:ascii="Times New Roman" w:hAnsi="Times New Roman"/>
          <w:szCs w:val="22"/>
          <w:lang w:val="en-GB"/>
        </w:rPr>
        <w:t>.</w:t>
      </w:r>
    </w:p>
    <w:p w14:paraId="0F508F09" w14:textId="6CD881CD" w:rsidR="006B23DC" w:rsidRPr="006B5329" w:rsidRDefault="006B23DC" w:rsidP="009C4734">
      <w:pPr>
        <w:jc w:val="both"/>
        <w:rPr>
          <w:rFonts w:ascii="Times New Roman" w:hAnsi="Times New Roman"/>
          <w:lang w:val="en-GB"/>
        </w:rPr>
      </w:pPr>
      <w:r w:rsidRPr="006B5329">
        <w:rPr>
          <w:rFonts w:ascii="Times New Roman" w:hAnsi="Times New Roman"/>
          <w:lang w:val="en-GB"/>
        </w:rPr>
        <w:t>The niche inside the burial chamber lies along the entire southern and eastern walls and the eastern section of the northern wall and bears similarities with the niche known from the Cremation tomb</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"Cremation </w:instrText>
      </w:r>
      <w:r w:rsidR="00663FD0">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in the Van Fortress</w:t>
      </w:r>
      <w:r w:rsidRPr="00AC428A">
        <w:rPr>
          <w:rFonts w:ascii="Times New Roman" w:eastAsia="Calibri" w:hAnsi="Times New Roman" w:cs="Times New Roman"/>
          <w:lang w:val="en-GB"/>
        </w:rPr>
        <w:t> </w:t>
      </w:r>
      <w:r w:rsidRPr="006B5329">
        <w:rPr>
          <w:rFonts w:ascii="Times New Roman" w:hAnsi="Times New Roman"/>
          <w:lang w:val="en-GB"/>
        </w:rPr>
        <w:t>(Konyar, 2011: 216) (Fig. 67). The deterioration of the bedrock on the northern wall may explain why the niche was not completed along this wall, which is not an uncommon practice for Urartian</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funerary architecture as also known from the Argišti I tomb</w:t>
      </w:r>
      <w:r>
        <w:rPr>
          <w:rFonts w:ascii="Times New Roman" w:hAnsi="Times New Roman"/>
          <w:lang w:val="en-GB"/>
        </w:rPr>
        <w:fldChar w:fldCharType="begin"/>
      </w:r>
      <w:r>
        <w:instrText xml:space="preserve"> XE "</w:instrText>
      </w:r>
      <w:r w:rsidRPr="006B5329">
        <w:rPr>
          <w:rFonts w:ascii="Times New Roman" w:hAnsi="Times New Roman"/>
          <w:lang w:val="en-GB"/>
        </w:rPr>
        <w:instrText>Argišti I tomb</w:instrText>
      </w:r>
      <w:r>
        <w:instrText xml:space="preserve">" </w:instrText>
      </w:r>
      <w:r>
        <w:rPr>
          <w:rFonts w:ascii="Times New Roman" w:hAnsi="Times New Roman"/>
          <w:lang w:val="en-GB"/>
        </w:rPr>
        <w:fldChar w:fldCharType="end"/>
      </w:r>
      <w:r w:rsidRPr="00AC428A">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C54B28">
        <w:rPr>
          <w:rFonts w:asciiTheme="majorBidi" w:hAnsiTheme="majorBidi" w:cstheme="majorBidi"/>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"Argišti 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6B5329">
        <w:rPr>
          <w:rFonts w:ascii="Times New Roman" w:hAnsi="Times New Roman"/>
          <w:lang w:val="en-GB"/>
        </w:rPr>
        <w:t xml:space="preserve"> It is known from the Cremation tomb</w:t>
      </w:r>
      <w:r>
        <w:rPr>
          <w:rFonts w:asciiTheme="majorBidi" w:hAnsiTheme="majorBidi" w:cstheme="majorBidi"/>
          <w:lang w:val="en-GB"/>
        </w:rPr>
        <w:fldChar w:fldCharType="begin"/>
      </w:r>
      <w:r>
        <w:instrText xml:space="preserve"> XE "</w:instrText>
      </w:r>
      <w:r w:rsidRPr="00041C3F">
        <w:rPr>
          <w:rFonts w:asciiTheme="majorBidi" w:eastAsia="Times New Roman" w:hAnsiTheme="majorBidi" w:cstheme="majorBidi"/>
          <w:lang w:val="en-GB"/>
        </w:rPr>
        <w:instrText>Cremation tomb</w:instrText>
      </w:r>
      <w:r>
        <w:instrText xml:space="preserve">" </w:instrText>
      </w:r>
      <w:r>
        <w:rPr>
          <w:rFonts w:asciiTheme="majorBidi" w:hAnsiTheme="majorBidi" w:cstheme="majorBidi"/>
          <w:lang w:val="en-GB"/>
        </w:rPr>
        <w:fldChar w:fldCharType="end"/>
      </w:r>
      <w:r w:rsidRPr="006B5329">
        <w:rPr>
          <w:rFonts w:ascii="Times New Roman" w:hAnsi="Times New Roman"/>
          <w:lang w:val="en-GB"/>
        </w:rPr>
        <w:t xml:space="preserve"> that urns or burial gifts were placed inside such niches. Similarly, it would be plausible to think that the niche inside the BG90 rock-cut tomb </w:t>
      </w:r>
      <w:r w:rsidRPr="00AC428A">
        <w:rPr>
          <w:rFonts w:ascii="Times New Roman" w:eastAsia="Calibri" w:hAnsi="Times New Roman" w:cs="Times New Roman"/>
          <w:lang w:val="en-GB"/>
        </w:rPr>
        <w:t xml:space="preserve">also </w:t>
      </w:r>
      <w:r w:rsidRPr="006B5329">
        <w:rPr>
          <w:rFonts w:ascii="Times New Roman" w:hAnsi="Times New Roman"/>
          <w:lang w:val="en-GB"/>
        </w:rPr>
        <w:t>served such purposes. An evaluation of the BG90 tomb</w:t>
      </w:r>
      <w:r w:rsidR="00EA6C63">
        <w:rPr>
          <w:rFonts w:ascii="Times New Roman" w:hAnsi="Times New Roman"/>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imes New Roman" w:hAnsi="Times New Roman"/>
          <w:lang w:val="en-GB"/>
        </w:rPr>
        <w:fldChar w:fldCharType="end"/>
      </w:r>
      <w:r w:rsidRPr="00AC428A">
        <w:rPr>
          <w:rFonts w:ascii="Times New Roman" w:eastAsia="Calibri" w:hAnsi="Times New Roman" w:cs="Times New Roman"/>
          <w:lang w:val="en-GB"/>
        </w:rPr>
        <w:t> </w:t>
      </w:r>
      <w:r w:rsidRPr="00F03A26">
        <w:rPr>
          <w:rFonts w:asciiTheme="majorBidi" w:hAnsiTheme="majorBidi" w:cstheme="majorBidi"/>
          <w:lang w:val="en-GB"/>
        </w:rPr>
        <w:t xml:space="preserve"> </w:t>
      </w:r>
      <w:r w:rsidRPr="006B5329">
        <w:rPr>
          <w:rFonts w:ascii="Times New Roman" w:hAnsi="Times New Roman"/>
          <w:lang w:val="en-GB"/>
        </w:rPr>
        <w:t>with the Cremation tomb aptly suggests that various grave types serving different burial traditions were used complimentarily at the Ṭušpa</w:t>
      </w:r>
      <w:r w:rsidRPr="00AC428A">
        <w:rPr>
          <w:rFonts w:ascii="Times New Roman" w:eastAsia="Calibri" w:hAnsi="Times New Roman" w:cs="Times New Roman"/>
          <w:lang w:val="en-GB"/>
        </w:rPr>
        <w:t> </w:t>
      </w:r>
      <w:r w:rsidRPr="006B5329">
        <w:rPr>
          <w:rFonts w:ascii="Times New Roman" w:hAnsi="Times New Roman"/>
          <w:lang w:val="en-GB"/>
        </w:rPr>
        <w:t>citadel during the Urartian period.</w:t>
      </w:r>
    </w:p>
    <w:p w14:paraId="208C0691" w14:textId="121472C4" w:rsidR="006B23DC" w:rsidRPr="006B5329" w:rsidRDefault="006B23DC" w:rsidP="009C4734">
      <w:pPr>
        <w:jc w:val="both"/>
        <w:rPr>
          <w:rFonts w:ascii="Times New Roman" w:hAnsi="Times New Roman"/>
          <w:lang w:val="en-GB"/>
        </w:rPr>
      </w:pPr>
      <w:r w:rsidRPr="006B5329">
        <w:rPr>
          <w:rFonts w:ascii="Times New Roman" w:hAnsi="Times New Roman"/>
          <w:lang w:val="en-GB"/>
        </w:rPr>
        <w:t xml:space="preserve">The superstructure of the burial chamber is </w:t>
      </w:r>
      <w:r w:rsidRPr="00AC428A">
        <w:rPr>
          <w:rFonts w:ascii="Times New Roman" w:eastAsia="Calibri" w:hAnsi="Times New Roman" w:cs="Times New Roman"/>
          <w:lang w:val="en-GB"/>
        </w:rPr>
        <w:t>debatable</w:t>
      </w:r>
      <w:r w:rsidRPr="006B5329">
        <w:rPr>
          <w:rFonts w:ascii="Times New Roman" w:hAnsi="Times New Roman"/>
          <w:lang w:val="en-GB"/>
        </w:rPr>
        <w:t>. Superstructures such</w:t>
      </w:r>
      <w:r w:rsidRPr="00AC428A">
        <w:rPr>
          <w:rFonts w:ascii="Times New Roman" w:eastAsia="Calibri" w:hAnsi="Times New Roman" w:cs="Times New Roman"/>
          <w:lang w:val="en-GB"/>
        </w:rPr>
        <w:t xml:space="preserve"> as</w:t>
      </w:r>
      <w:r w:rsidRPr="006B5329">
        <w:rPr>
          <w:rFonts w:ascii="Times New Roman" w:hAnsi="Times New Roman"/>
          <w:lang w:val="en-GB"/>
        </w:rPr>
        <w:t xml:space="preserve"> rock-cut tombs were constructed by carving the bedrock as well. However, no bedrock layers could have served as a ceiling or roof for the BG90 tomb</w:t>
      </w:r>
      <w:r w:rsidR="00EA6C63">
        <w:rPr>
          <w:rFonts w:ascii="Times New Roman" w:hAnsi="Times New Roman"/>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imes New Roman" w:hAnsi="Times New Roman"/>
          <w:lang w:val="en-GB"/>
        </w:rPr>
        <w:fldChar w:fldCharType="end"/>
      </w:r>
      <w:r w:rsidRPr="00AC428A">
        <w:rPr>
          <w:rFonts w:ascii="Times New Roman" w:eastAsia="Calibri" w:hAnsi="Times New Roman" w:cs="Times New Roman"/>
          <w:lang w:val="en-GB"/>
        </w:rPr>
        <w:t>.</w:t>
      </w:r>
      <w:r w:rsidR="00DF3B77">
        <w:rPr>
          <w:rFonts w:asciiTheme="majorBidi" w:hAnsiTheme="majorBidi" w:cstheme="majorBidi"/>
          <w:lang w:val="en-GB"/>
        </w:rPr>
        <w:t xml:space="preserve"> </w:t>
      </w:r>
      <w:r w:rsidRPr="006B5329">
        <w:rPr>
          <w:rFonts w:ascii="Times New Roman" w:hAnsi="Times New Roman"/>
          <w:lang w:val="en-GB"/>
        </w:rPr>
        <w:t>There are no surface finds suggesting the later destruction of a possible superstructure</w:t>
      </w:r>
      <w:r w:rsidRPr="00AC428A">
        <w:rPr>
          <w:rFonts w:ascii="Times New Roman" w:eastAsia="Calibri" w:hAnsi="Times New Roman" w:cs="Times New Roman"/>
          <w:lang w:val="en-GB"/>
        </w:rPr>
        <w:t>. However</w:t>
      </w:r>
      <w:r w:rsidRPr="006B5329">
        <w:rPr>
          <w:rFonts w:ascii="Times New Roman" w:hAnsi="Times New Roman"/>
          <w:lang w:val="en-GB"/>
        </w:rPr>
        <w:t xml:space="preserve">, broken and fragmented stones of various sizes were scattered inside the burial chamber. </w:t>
      </w:r>
      <w:r w:rsidRPr="00AC428A">
        <w:rPr>
          <w:rFonts w:ascii="Times New Roman" w:eastAsia="Calibri" w:hAnsi="Times New Roman" w:cs="Times New Roman"/>
          <w:lang w:val="en-GB"/>
        </w:rPr>
        <w:t>The</w:t>
      </w:r>
      <w:r w:rsidRPr="006B5329">
        <w:rPr>
          <w:rFonts w:ascii="Times New Roman" w:hAnsi="Times New Roman"/>
          <w:lang w:val="en-GB"/>
        </w:rPr>
        <w:t xml:space="preserve"> bedrock in this area is weak and could easily be fragmented. The underground stone masonry tombs were constructed through the superposition technique by putting flat and long flagstones on each other in a fake-arch shape. However, the 3.5 m opening of this tomb eliminates this technique. </w:t>
      </w:r>
      <w:r w:rsidRPr="00AC428A">
        <w:rPr>
          <w:rFonts w:ascii="Times New Roman" w:eastAsia="Calibri" w:hAnsi="Times New Roman" w:cs="Times New Roman"/>
          <w:lang w:val="en-GB"/>
        </w:rPr>
        <w:t>On the other hand, the</w:t>
      </w:r>
      <w:r w:rsidRPr="006B5329">
        <w:rPr>
          <w:rFonts w:ascii="Times New Roman" w:hAnsi="Times New Roman"/>
          <w:lang w:val="en-GB"/>
        </w:rPr>
        <w:t xml:space="preserve"> floor level of the tomb</w:t>
      </w:r>
      <w:r w:rsidRPr="00AC428A">
        <w:rPr>
          <w:rFonts w:ascii="Times New Roman" w:eastAsia="Calibri" w:hAnsi="Times New Roman" w:cs="Times New Roman"/>
          <w:lang w:val="en-GB"/>
        </w:rPr>
        <w:t xml:space="preserve"> </w:t>
      </w:r>
      <w:r w:rsidRPr="006B5329">
        <w:rPr>
          <w:rFonts w:ascii="Times New Roman" w:hAnsi="Times New Roman"/>
          <w:lang w:val="en-GB"/>
        </w:rPr>
        <w:t>was cut flat</w:t>
      </w:r>
      <w:r w:rsidRPr="00AC428A">
        <w:rPr>
          <w:rFonts w:ascii="Times New Roman" w:eastAsia="Calibri" w:hAnsi="Times New Roman" w:cs="Times New Roman"/>
          <w:lang w:val="en-GB"/>
        </w:rPr>
        <w:t>,</w:t>
      </w:r>
      <w:r w:rsidRPr="006B5329">
        <w:rPr>
          <w:rFonts w:ascii="Times New Roman" w:hAnsi="Times New Roman"/>
          <w:lang w:val="en-GB"/>
        </w:rPr>
        <w:t xml:space="preserve"> and there </w:t>
      </w:r>
      <w:r w:rsidRPr="00AC428A">
        <w:rPr>
          <w:rFonts w:ascii="Times New Roman" w:eastAsia="Calibri" w:hAnsi="Times New Roman" w:cs="Times New Roman"/>
          <w:lang w:val="en-GB"/>
        </w:rPr>
        <w:t>was</w:t>
      </w:r>
      <w:r w:rsidRPr="006B5329">
        <w:rPr>
          <w:rFonts w:ascii="Times New Roman" w:hAnsi="Times New Roman"/>
          <w:lang w:val="en-GB"/>
        </w:rPr>
        <w:t xml:space="preserve"> a drainage system along the eastern edge of the tomb </w:t>
      </w:r>
      <w:r w:rsidRPr="00AC428A">
        <w:rPr>
          <w:rFonts w:ascii="Times New Roman" w:eastAsia="Calibri" w:hAnsi="Times New Roman" w:cs="Times New Roman"/>
          <w:lang w:val="en-GB"/>
        </w:rPr>
        <w:t>that reached</w:t>
      </w:r>
      <w:r w:rsidRPr="006B5329">
        <w:rPr>
          <w:rFonts w:ascii="Times New Roman" w:hAnsi="Times New Roman"/>
          <w:lang w:val="en-GB"/>
        </w:rPr>
        <w:t xml:space="preserve"> the south of the outcrop.</w:t>
      </w:r>
    </w:p>
    <w:p w14:paraId="36E4A84A" w14:textId="007B9B83" w:rsidR="006B23DC" w:rsidRPr="006B5329" w:rsidRDefault="006B23DC" w:rsidP="009C4734">
      <w:pPr>
        <w:jc w:val="both"/>
        <w:rPr>
          <w:rFonts w:ascii="Times New Roman" w:hAnsi="Times New Roman"/>
          <w:lang w:val="en-GB"/>
        </w:rPr>
      </w:pPr>
      <w:r w:rsidRPr="006B5329">
        <w:rPr>
          <w:rFonts w:ascii="Times New Roman" w:hAnsi="Times New Roman"/>
          <w:lang w:val="en-GB"/>
        </w:rPr>
        <w:t>Another example exhibiting similar planning to the BG90 tomb</w:t>
      </w:r>
      <w:r w:rsidR="00EA6C63">
        <w:rPr>
          <w:rFonts w:ascii="Times New Roman" w:hAnsi="Times New Roman"/>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imes New Roman" w:hAnsi="Times New Roman"/>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is known from the Qala Ismail Agha</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"Qala Ismail Agha"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in Northwest Iran</w:t>
      </w:r>
      <w:r w:rsidRPr="00AC428A">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"Northwest Iran"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6B5329">
        <w:rPr>
          <w:rFonts w:ascii="Times New Roman" w:hAnsi="Times New Roman"/>
          <w:lang w:val="en-GB"/>
        </w:rPr>
        <w:t xml:space="preserve"> Qala Ismail Agha holds an </w:t>
      </w:r>
      <w:r w:rsidRPr="00AC428A">
        <w:rPr>
          <w:rFonts w:ascii="Times New Roman" w:eastAsia="Calibri" w:hAnsi="Times New Roman" w:cs="Times New Roman"/>
          <w:lang w:val="en-GB"/>
        </w:rPr>
        <w:t>essential</w:t>
      </w:r>
      <w:r w:rsidRPr="006B5329">
        <w:rPr>
          <w:rFonts w:ascii="Times New Roman" w:hAnsi="Times New Roman"/>
          <w:lang w:val="en-GB"/>
        </w:rPr>
        <w:t xml:space="preserve"> place by providing parallels to the burial chambers with dromos inside the citadels of the Urartian</w:t>
      </w:r>
      <w:r w:rsidRPr="00AC428A">
        <w:rPr>
          <w:rFonts w:ascii="Times New Roman" w:eastAsia="Calibri" w:hAnsi="Times New Roman" w:cs="Times New Roman"/>
          <w:lang w:val="en-GB"/>
        </w:rPr>
        <w:t> centers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centres</w:t>
      </w:r>
      <w:r w:rsidRPr="006B5329">
        <w:rPr>
          <w:rFonts w:ascii="Times New Roman" w:hAnsi="Times New Roman"/>
          <w:lang w:val="en-GB"/>
        </w:rPr>
        <w:t xml:space="preserve"> (Kleiss, 1976: 28, Abb. 11). The ceiling of the burial chamber that was reached through a well-shaped dromos at Qala Ismail Agha was built by carving the bedrock as well. Its underground planning resembles the BG90 tomb</w:t>
      </w:r>
      <w:r w:rsidRPr="00AC428A">
        <w:rPr>
          <w:rFonts w:ascii="Times New Roman" w:eastAsia="Calibri" w:hAnsi="Times New Roman" w:cs="Times New Roman"/>
          <w:lang w:val="en-GB"/>
        </w:rPr>
        <w:t>;</w:t>
      </w:r>
      <w:r w:rsidRPr="006B5329">
        <w:rPr>
          <w:rFonts w:ascii="Times New Roman" w:hAnsi="Times New Roman"/>
          <w:lang w:val="en-GB"/>
        </w:rPr>
        <w:t xml:space="preserve"> however, this example</w:t>
      </w:r>
      <w:r w:rsidRPr="00AC428A">
        <w:rPr>
          <w:rFonts w:ascii="Times New Roman" w:eastAsia="Calibri" w:hAnsi="Times New Roman" w:cs="Times New Roman"/>
          <w:lang w:val="en-GB"/>
        </w:rPr>
        <w:t>, which</w:t>
      </w:r>
      <w:r w:rsidRPr="006B5329">
        <w:rPr>
          <w:rFonts w:ascii="Times New Roman" w:hAnsi="Times New Roman"/>
          <w:lang w:val="en-GB"/>
        </w:rPr>
        <w:t xml:space="preserve"> measures 3 x 1.80 cm</w:t>
      </w:r>
      <w:r w:rsidRPr="00AC428A">
        <w:rPr>
          <w:rFonts w:ascii="Times New Roman" w:eastAsia="Calibri" w:hAnsi="Times New Roman" w:cs="Times New Roman"/>
          <w:lang w:val="en-GB"/>
        </w:rPr>
        <w:t>, lacks</w:t>
      </w:r>
      <w:r w:rsidRPr="006B5329">
        <w:rPr>
          <w:rFonts w:ascii="Times New Roman" w:hAnsi="Times New Roman"/>
          <w:lang w:val="en-GB"/>
        </w:rPr>
        <w:t xml:space="preserve"> niches. </w:t>
      </w:r>
      <w:r w:rsidRPr="006B5329">
        <w:rPr>
          <w:rFonts w:ascii="Times New Roman" w:hAnsi="Times New Roman"/>
          <w:lang w:val="en-GB"/>
        </w:rPr>
        <w:lastRenderedPageBreak/>
        <w:t xml:space="preserve">This aspect differs this tomb from the examples in the Van Fortress. The graves outside the citadel were usually built in plain </w:t>
      </w:r>
      <w:r w:rsidRPr="00AC428A">
        <w:rPr>
          <w:rFonts w:ascii="Times New Roman" w:eastAsia="Calibri" w:hAnsi="Times New Roman" w:cs="Times New Roman"/>
          <w:lang w:val="en-GB"/>
        </w:rPr>
        <w:t>areas</w:t>
      </w:r>
      <w:r w:rsidRPr="006B5329">
        <w:rPr>
          <w:rFonts w:ascii="Times New Roman" w:hAnsi="Times New Roman"/>
          <w:lang w:val="en-GB"/>
        </w:rPr>
        <w:t xml:space="preserve"> and outside settlements. Although with some degree of diversity, this preference of location can be observed in Urartian </w:t>
      </w:r>
      <w:r w:rsidRPr="00AC428A">
        <w:rPr>
          <w:rFonts w:ascii="Times New Roman" w:eastAsia="Calibri" w:hAnsi="Times New Roman" w:cs="Times New Roman"/>
          <w:lang w:val="en-GB"/>
        </w:rPr>
        <w:t>centers</w:t>
      </w:r>
      <w:r w:rsidRPr="006B5329">
        <w:rPr>
          <w:rFonts w:ascii="Times New Roman" w:hAnsi="Times New Roman"/>
          <w:lang w:val="en-GB"/>
        </w:rPr>
        <w:t xml:space="preserve"> in the Van region, such as Karagündüz</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"Karagündüz"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(Sevin &amp; Kavaklı, 1996a: 1-20), Yoncatepe</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"Yoncatepe"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(Konyar, 2004), Ernis (Erzen</w:t>
      </w:r>
      <w:r w:rsidRPr="00F03A26">
        <w:rPr>
          <w:rFonts w:asciiTheme="majorBidi" w:hAnsiTheme="majorBidi" w:cstheme="majorBidi"/>
          <w:lang w:val="en-GB"/>
        </w:rPr>
        <w:t>,</w:t>
      </w:r>
      <w:r w:rsidRPr="006B5329">
        <w:rPr>
          <w:rFonts w:ascii="Times New Roman" w:hAnsi="Times New Roman"/>
          <w:lang w:val="en-GB"/>
        </w:rPr>
        <w:t xml:space="preserve"> 1964: 570-572) and Dilkaya</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"Dilkaya"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(Çilingiroğlu, 1986: 217-218; Çilingiroğlu, 1997: 95-98). The underground-carved burial chambers in Van Altıntepe</w:t>
      </w:r>
      <w:r w:rsidRPr="00AC428A">
        <w:rPr>
          <w:rFonts w:ascii="Times New Roman" w:eastAsia="Calibri" w:hAnsi="Times New Roman" w:cs="Times New Roman"/>
          <w:lang w:val="en-GB"/>
        </w:rPr>
        <w:t>, also</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6B5329">
        <w:rPr>
          <w:rFonts w:ascii="Times New Roman" w:hAnsi="Times New Roman"/>
          <w:lang w:val="en-GB"/>
        </w:rPr>
        <w:t xml:space="preserve"> known as the necropolis of Ṭušpa, were also located together outside the settlement (Işık &amp; Genç, 2012: 75-76). A similar pattern also emerges from the recently excavated necropolis at Kalecik</w:t>
      </w:r>
      <w:r w:rsidR="00CD0F5D">
        <w:rPr>
          <w:rFonts w:ascii="Times New Roman" w:eastAsia="Calibri" w:hAnsi="Times New Roman" w:cs="Times New Roman"/>
          <w:lang w:val="en-GB"/>
        </w:rPr>
        <w:t>/</w:t>
      </w:r>
      <w:r w:rsidRPr="006B5329">
        <w:rPr>
          <w:rFonts w:ascii="Times New Roman" w:hAnsi="Times New Roman"/>
          <w:lang w:val="en-GB"/>
        </w:rPr>
        <w:t>Van. The burial gifts inside the graves indicate that these tombs belonged to wealthy or royal Urartians</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 xml:space="preserve"> </w:t>
      </w:r>
    </w:p>
    <w:p w14:paraId="7D1900E3" w14:textId="52615C2D" w:rsidR="006B23DC" w:rsidRPr="002B4DAC" w:rsidRDefault="006B23DC" w:rsidP="009C4734">
      <w:pPr>
        <w:jc w:val="both"/>
        <w:rPr>
          <w:rFonts w:ascii="Times New Roman" w:hAnsi="Times New Roman"/>
          <w:szCs w:val="22"/>
          <w:lang w:val="en-GB"/>
        </w:rPr>
      </w:pPr>
      <w:r w:rsidRPr="002B4DAC">
        <w:rPr>
          <w:rFonts w:ascii="Times New Roman" w:hAnsi="Times New Roman"/>
          <w:szCs w:val="22"/>
          <w:lang w:val="en-GB"/>
        </w:rPr>
        <w:t>Alongside the BG90 tomb</w:t>
      </w:r>
      <w:r w:rsidR="00EA6C63">
        <w:rPr>
          <w:rFonts w:ascii="Times New Roman" w:hAnsi="Times New Roman"/>
          <w:szCs w:val="22"/>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imes New Roman" w:hAnsi="Times New Roman"/>
          <w:szCs w:val="22"/>
          <w:lang w:val="en-GB"/>
        </w:rPr>
        <w:fldChar w:fldCharType="end"/>
      </w:r>
      <w:r w:rsidRPr="00AC428A">
        <w:rPr>
          <w:rFonts w:ascii="Times New Roman" w:eastAsia="Calibri" w:hAnsi="Times New Roman" w:cs="Times New Roman"/>
          <w:lang w:val="en-GB"/>
        </w:rPr>
        <w:t> </w:t>
      </w:r>
      <w:r w:rsidRPr="00F03A26">
        <w:rPr>
          <w:rFonts w:asciiTheme="majorBidi" w:hAnsiTheme="majorBidi" w:cstheme="majorBidi"/>
          <w:lang w:val="en-GB"/>
        </w:rPr>
        <w:t xml:space="preserve"> </w:t>
      </w:r>
      <w:r w:rsidRPr="002B4DAC">
        <w:rPr>
          <w:rFonts w:ascii="Times New Roman" w:hAnsi="Times New Roman"/>
          <w:szCs w:val="22"/>
          <w:lang w:val="en-GB"/>
        </w:rPr>
        <w:t>that was uncovered in 2016 at the capital of Ṭušpa</w:t>
      </w:r>
      <w:r w:rsidRPr="00AC428A">
        <w:rPr>
          <w:rFonts w:ascii="Times New Roman" w:eastAsia="Calibri" w:hAnsi="Times New Roman" w:cs="Times New Roman"/>
          <w:lang w:val="en-GB"/>
        </w:rPr>
        <w:t> </w:t>
      </w:r>
      <w:r w:rsidRPr="002B4DAC">
        <w:rPr>
          <w:rFonts w:ascii="Times New Roman" w:hAnsi="Times New Roman"/>
          <w:szCs w:val="22"/>
          <w:lang w:val="en-GB"/>
        </w:rPr>
        <w:t>in Van Lake</w:t>
      </w:r>
      <w:r w:rsidR="00CA7B2B">
        <w:rPr>
          <w:rFonts w:ascii="Times New Roman" w:hAnsi="Times New Roman"/>
          <w:szCs w:val="22"/>
          <w:lang w:val="en-GB"/>
        </w:rPr>
        <w:fldChar w:fldCharType="begin"/>
      </w:r>
      <w:r w:rsidR="00CA7B2B">
        <w:instrText xml:space="preserve"> XE "</w:instrText>
      </w:r>
      <w:r w:rsidR="00CA7B2B" w:rsidRPr="00BC55E8">
        <w:rPr>
          <w:rFonts w:ascii="Times New Roman" w:hAnsi="Times New Roman"/>
          <w:lang w:val="en-GB"/>
        </w:rPr>
        <w:instrText>Van Lake</w:instrText>
      </w:r>
      <w:r w:rsidR="00CA7B2B">
        <w:instrText xml:space="preserve">" </w:instrText>
      </w:r>
      <w:r w:rsidR="00CA7B2B">
        <w:rPr>
          <w:rFonts w:ascii="Times New Roman" w:hAnsi="Times New Roman"/>
          <w:szCs w:val="22"/>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basin (Konyar, Genç &amp; Tan, 2018), several underground burial chambers were uncovered during the archaeological excavations conducted at Karagündüz</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"Karagündüz"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(Sevin &amp; Kavaklı, 1996), Dilkaya</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"Dilkaya"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(Çilingiroğlu, 1993), Ernis-Evditepe (Erzen</w:t>
      </w:r>
      <w:r w:rsidRPr="00F03A26">
        <w:rPr>
          <w:rFonts w:asciiTheme="majorBidi" w:hAnsiTheme="majorBidi" w:cstheme="majorBidi"/>
          <w:lang w:val="en-GB"/>
        </w:rPr>
        <w:t>,</w:t>
      </w:r>
      <w:r w:rsidRPr="002B4DAC">
        <w:rPr>
          <w:rFonts w:ascii="Times New Roman" w:hAnsi="Times New Roman"/>
          <w:szCs w:val="22"/>
          <w:lang w:val="en-GB"/>
        </w:rPr>
        <w:t xml:space="preserve"> 1963; Belli &amp; Konyar, 2003), Adilcevaz</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Adilcevaz</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(Öğün, 1978b), Yoncatepe</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"Yoncatepe"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(Konyar, 2004), Altıntepe</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and Kalecik</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"Kalecik"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 xml:space="preserve">(Sevin &amp; Özfırat, 2000; Çavuşoğlu, Biber &amp; Başar, 2009; Sevin, 2012). Among these, the archaeologically documented examples from Ernis, Karagündüz, Yoncatepe, and Dilkaya provided </w:t>
      </w:r>
      <w:r w:rsidRPr="00AC428A">
        <w:rPr>
          <w:rFonts w:ascii="Times New Roman" w:eastAsia="Calibri" w:hAnsi="Times New Roman" w:cs="Times New Roman"/>
          <w:lang w:val="en-GB"/>
        </w:rPr>
        <w:t>essential</w:t>
      </w:r>
      <w:r w:rsidRPr="002B4DAC">
        <w:rPr>
          <w:rFonts w:ascii="Times New Roman" w:hAnsi="Times New Roman"/>
          <w:szCs w:val="22"/>
          <w:lang w:val="en-GB"/>
        </w:rPr>
        <w:t xml:space="preserve"> insights to determine a grave typology and chronology for the Urartian</w:t>
      </w:r>
      <w:r w:rsidRPr="00AC428A">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B4DAC">
        <w:rPr>
          <w:rFonts w:ascii="Times New Roman" w:hAnsi="Times New Roman"/>
          <w:szCs w:val="22"/>
          <w:lang w:val="en-GB"/>
        </w:rPr>
        <w:t>funerary architecture.</w:t>
      </w:r>
    </w:p>
    <w:p w14:paraId="4343F4C8" w14:textId="77777777" w:rsidR="006B23DC" w:rsidRPr="006B5329" w:rsidRDefault="006B23DC" w:rsidP="006B23DC">
      <w:pPr>
        <w:spacing w:before="100" w:beforeAutospacing="1" w:after="100" w:afterAutospacing="1"/>
        <w:jc w:val="both"/>
        <w:outlineLvl w:val="1"/>
        <w:rPr>
          <w:rFonts w:ascii="Times New Roman" w:hAnsi="Times New Roman"/>
          <w:b/>
          <w:lang w:val="en-GB"/>
        </w:rPr>
      </w:pPr>
      <w:bookmarkStart w:id="152" w:name="_Toc132072556"/>
      <w:bookmarkStart w:id="153" w:name="_Toc173231250"/>
      <w:r w:rsidRPr="006B5329">
        <w:rPr>
          <w:rFonts w:ascii="Times New Roman" w:hAnsi="Times New Roman"/>
          <w:b/>
          <w:lang w:val="en-GB"/>
        </w:rPr>
        <w:t>9.4.</w:t>
      </w:r>
      <w:bookmarkEnd w:id="152"/>
      <w:r w:rsidRPr="006B5329">
        <w:rPr>
          <w:rFonts w:ascii="Times New Roman" w:hAnsi="Times New Roman"/>
          <w:b/>
          <w:lang w:val="en-GB"/>
        </w:rPr>
        <w:t xml:space="preserve"> Conclusion</w:t>
      </w:r>
      <w:bookmarkEnd w:id="153"/>
    </w:p>
    <w:p w14:paraId="2112814A" w14:textId="77777777" w:rsidR="006B23DC" w:rsidRDefault="006B23DC" w:rsidP="006B23DC">
      <w:pPr>
        <w:jc w:val="both"/>
        <w:rPr>
          <w:rFonts w:ascii="Times New Roman" w:hAnsi="Times New Roman"/>
          <w:lang w:val="en-GB"/>
        </w:rPr>
      </w:pPr>
      <w:r w:rsidRPr="006B5329">
        <w:rPr>
          <w:rFonts w:ascii="Times New Roman" w:hAnsi="Times New Roman"/>
          <w:lang w:val="en-GB"/>
        </w:rPr>
        <w:t>The multi-chambered rock-cut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tombs in Ṭušpa</w:t>
      </w:r>
      <w:r w:rsidRPr="00F43097">
        <w:rPr>
          <w:rFonts w:ascii="Times New Roman" w:eastAsia="Calibri" w:hAnsi="Times New Roman" w:cs="Times New Roman"/>
          <w:lang w:val="en-GB"/>
        </w:rPr>
        <w:t> </w:t>
      </w:r>
      <w:r w:rsidRPr="006B5329">
        <w:rPr>
          <w:rFonts w:ascii="Times New Roman" w:hAnsi="Times New Roman"/>
          <w:lang w:val="en-GB"/>
        </w:rPr>
        <w:t>reveal a unique development. These tombs were functioned possibly as a house for the dead (Fig. 1-2). The arrangement of the main halls, side rooms opening to the main hall, and the facade applications in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6B5329">
        <w:rPr>
          <w:rFonts w:ascii="Times New Roman" w:hAnsi="Times New Roman"/>
          <w:lang w:val="en-GB"/>
        </w:rPr>
        <w:t xml:space="preserve"> and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6B5329">
        <w:rPr>
          <w:rFonts w:ascii="Times New Roman" w:hAnsi="Times New Roman"/>
          <w:lang w:val="en-GB"/>
        </w:rPr>
        <w:t xml:space="preserve"> tombs suggest that this type of Urartian funerary architecture reflects a sort of palatial architecture (Fig. 6, 24, 27, 35, 55). These structures were generally built inside the citadel walls and most commonly had an organic relationship with the citadel. Stone platforms were built </w:t>
      </w:r>
      <w:r w:rsidRPr="00F43097">
        <w:rPr>
          <w:rFonts w:ascii="Times New Roman" w:eastAsia="Calibri" w:hAnsi="Times New Roman" w:cs="Times New Roman"/>
          <w:lang w:val="en-GB"/>
        </w:rPr>
        <w:t>before</w:t>
      </w:r>
      <w:r w:rsidRPr="006B5329">
        <w:rPr>
          <w:rFonts w:ascii="Times New Roman" w:hAnsi="Times New Roman"/>
          <w:lang w:val="en-GB"/>
        </w:rPr>
        <w:t xml:space="preserve"> these structures</w:t>
      </w:r>
      <w:r w:rsidRPr="00F43097">
        <w:rPr>
          <w:rFonts w:ascii="Times New Roman" w:eastAsia="Calibri" w:hAnsi="Times New Roman" w:cs="Times New Roman"/>
          <w:lang w:val="en-GB"/>
        </w:rPr>
        <w:t>, reaching</w:t>
      </w:r>
      <w:r w:rsidRPr="006B5329">
        <w:rPr>
          <w:rFonts w:ascii="Times New Roman" w:hAnsi="Times New Roman"/>
          <w:lang w:val="en-GB"/>
        </w:rPr>
        <w:t xml:space="preserve"> through a stairway (Fig. 19, 22, 25, 50). From these platforms, the single-leafed doors opening into the main halls were reached via steps carved into the bedrock. This entrance system</w:t>
      </w:r>
      <w:r w:rsidRPr="00F43097">
        <w:rPr>
          <w:rFonts w:ascii="Times New Roman" w:eastAsia="Calibri" w:hAnsi="Times New Roman" w:cs="Times New Roman"/>
          <w:lang w:val="en-GB"/>
        </w:rPr>
        <w:t>,</w:t>
      </w:r>
      <w:r w:rsidRPr="006B5329">
        <w:rPr>
          <w:rFonts w:ascii="Times New Roman" w:hAnsi="Times New Roman"/>
          <w:lang w:val="en-GB"/>
        </w:rPr>
        <w:t xml:space="preserve"> alongside the arrangement of large main halls and side halls</w:t>
      </w:r>
      <w:r w:rsidRPr="00F43097">
        <w:rPr>
          <w:rFonts w:ascii="Times New Roman" w:eastAsia="Calibri" w:hAnsi="Times New Roman" w:cs="Times New Roman"/>
          <w:lang w:val="en-GB"/>
        </w:rPr>
        <w:t>,</w:t>
      </w:r>
      <w:r w:rsidRPr="006B5329">
        <w:rPr>
          <w:rFonts w:ascii="Times New Roman" w:hAnsi="Times New Roman"/>
          <w:lang w:val="en-GB"/>
        </w:rPr>
        <w:t xml:space="preserve"> reached through doorways from the main hall</w:t>
      </w:r>
      <w:r w:rsidRPr="00F43097">
        <w:rPr>
          <w:rFonts w:ascii="Times New Roman" w:eastAsia="Calibri" w:hAnsi="Times New Roman" w:cs="Times New Roman"/>
          <w:lang w:val="en-GB"/>
        </w:rPr>
        <w:t>, hinting</w:t>
      </w:r>
      <w:r w:rsidRPr="006B5329">
        <w:rPr>
          <w:rFonts w:ascii="Times New Roman" w:hAnsi="Times New Roman"/>
          <w:lang w:val="en-GB"/>
        </w:rPr>
        <w:t xml:space="preserve"> at complex monuments rather than being simple burial chambers (Fig. 24). The lack of </w:t>
      </w:r>
      <w:r w:rsidRPr="00EB2684">
        <w:rPr>
          <w:rFonts w:ascii="Times New Roman" w:hAnsi="Times New Roman"/>
          <w:i/>
          <w:iCs/>
          <w:lang w:val="en-GB"/>
        </w:rPr>
        <w:t>in situ</w:t>
      </w:r>
      <w:r w:rsidRPr="006B5329">
        <w:rPr>
          <w:rFonts w:ascii="Times New Roman" w:hAnsi="Times New Roman"/>
          <w:lang w:val="en-GB"/>
        </w:rPr>
        <w:t xml:space="preserve"> finds inside these tombs </w:t>
      </w:r>
      <w:r w:rsidRPr="00F43097">
        <w:rPr>
          <w:rFonts w:ascii="Times New Roman" w:eastAsia="Calibri" w:hAnsi="Times New Roman" w:cs="Times New Roman"/>
          <w:lang w:val="en-GB"/>
        </w:rPr>
        <w:t>prevents</w:t>
      </w:r>
      <w:r w:rsidRPr="006B5329">
        <w:rPr>
          <w:rFonts w:ascii="Times New Roman" w:hAnsi="Times New Roman"/>
          <w:lang w:val="en-GB"/>
        </w:rPr>
        <w:t xml:space="preserve"> further evaluations on the internal arrangements and uses of these tombs</w:t>
      </w:r>
      <w:r w:rsidRPr="00F43097">
        <w:rPr>
          <w:rFonts w:ascii="Times New Roman" w:eastAsia="Calibri" w:hAnsi="Times New Roman" w:cs="Times New Roman"/>
          <w:lang w:val="en-GB"/>
        </w:rPr>
        <w:t>. However</w:t>
      </w:r>
      <w:r w:rsidRPr="006B5329">
        <w:rPr>
          <w:rFonts w:ascii="Times New Roman" w:hAnsi="Times New Roman"/>
          <w:lang w:val="en-GB"/>
        </w:rPr>
        <w:t>, architectural details allow</w:t>
      </w:r>
      <w:r w:rsidRPr="00F43097">
        <w:rPr>
          <w:rFonts w:ascii="Times New Roman" w:eastAsia="Calibri" w:hAnsi="Times New Roman" w:cs="Times New Roman"/>
          <w:lang w:val="en-GB"/>
        </w:rPr>
        <w:t xml:space="preserve"> for</w:t>
      </w:r>
      <w:r w:rsidRPr="006B5329">
        <w:rPr>
          <w:rFonts w:ascii="Times New Roman" w:hAnsi="Times New Roman"/>
          <w:lang w:val="en-GB"/>
        </w:rPr>
        <w:t xml:space="preserve"> some limited interpretations.</w:t>
      </w:r>
    </w:p>
    <w:p w14:paraId="65CC2A65" w14:textId="77777777" w:rsidR="006B23DC" w:rsidRPr="006B5329" w:rsidRDefault="006B23DC" w:rsidP="006B23DC">
      <w:pPr>
        <w:jc w:val="both"/>
        <w:rPr>
          <w:rFonts w:ascii="Times New Roman" w:hAnsi="Times New Roman"/>
          <w:lang w:val="en-GB"/>
        </w:rPr>
      </w:pPr>
    </w:p>
    <w:p w14:paraId="5DF6A52F" w14:textId="77777777" w:rsidR="006B23DC" w:rsidRDefault="006B23DC" w:rsidP="006B23DC">
      <w:pPr>
        <w:jc w:val="both"/>
        <w:rPr>
          <w:rFonts w:ascii="Times New Roman" w:hAnsi="Times New Roman"/>
          <w:lang w:val="en-GB"/>
        </w:rPr>
      </w:pPr>
      <w:r w:rsidRPr="006B5329">
        <w:rPr>
          <w:rFonts w:ascii="Times New Roman" w:hAnsi="Times New Roman"/>
          <w:lang w:val="en-GB"/>
        </w:rPr>
        <w:t>To date,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6B5329">
        <w:rPr>
          <w:rFonts w:ascii="Times New Roman" w:hAnsi="Times New Roman"/>
          <w:lang w:val="en-GB"/>
        </w:rPr>
        <w:t>funerary architecture has been subject to certain classifications. These tombs have been defined based on their architectural aspects</w:t>
      </w:r>
      <w:r w:rsidRPr="00F43097">
        <w:rPr>
          <w:rFonts w:ascii="Times New Roman" w:eastAsia="Calibri" w:hAnsi="Times New Roman" w:cs="Times New Roman"/>
          <w:lang w:val="en-GB"/>
        </w:rPr>
        <w:t>,</w:t>
      </w:r>
      <w:r w:rsidRPr="006B5329">
        <w:rPr>
          <w:rFonts w:ascii="Times New Roman" w:hAnsi="Times New Roman"/>
          <w:lang w:val="en-GB"/>
        </w:rPr>
        <w:t xml:space="preserve"> dimensions, construction materials and techniques, and plans. They have also been defined through terms related to the royal burial chambers, graves belonging to the ruling class or the public, the locations of the tombs, and the social status of the deceased buried. The Urartian royal tombs </w:t>
      </w:r>
      <w:r w:rsidRPr="00DF3B77">
        <w:rPr>
          <w:rFonts w:ascii="Times New Roman" w:hAnsi="Times New Roman"/>
          <w:lang w:val="en-GB"/>
        </w:rPr>
        <w:t>were built inside the citadel at a location that could be reached through stairways. It has been suggested that the Assyrian</w:t>
      </w:r>
      <w:r w:rsidRPr="00DF3B77">
        <w:rPr>
          <w:rFonts w:ascii="Times New Roman" w:eastAsia="Calibri" w:hAnsi="Times New Roman" w:cs="Times New Roman"/>
          <w:lang w:val="en-GB"/>
        </w:rPr>
        <w:t> </w:t>
      </w:r>
      <w:r w:rsidRPr="00DF3B77">
        <w:rPr>
          <w:rFonts w:asciiTheme="majorBidi" w:hAnsiTheme="majorBidi" w:cstheme="majorBidi"/>
          <w:lang w:val="en-GB"/>
        </w:rPr>
        <w:fldChar w:fldCharType="begin"/>
      </w:r>
      <w:r w:rsidRPr="00DF3B77">
        <w:rPr>
          <w:rFonts w:asciiTheme="majorBidi" w:hAnsiTheme="majorBidi" w:cstheme="majorBidi"/>
          <w:lang w:val="en-GB"/>
        </w:rPr>
        <w:instrText xml:space="preserve"> XE "Assyrian" </w:instrText>
      </w:r>
      <w:r w:rsidRPr="00DF3B77">
        <w:rPr>
          <w:rFonts w:asciiTheme="majorBidi" w:hAnsiTheme="majorBidi" w:cstheme="majorBidi"/>
          <w:lang w:val="en-GB"/>
        </w:rPr>
        <w:fldChar w:fldCharType="end"/>
      </w:r>
      <w:r w:rsidRPr="00DF3B77">
        <w:rPr>
          <w:rFonts w:asciiTheme="majorBidi" w:hAnsiTheme="majorBidi" w:cstheme="majorBidi"/>
          <w:lang w:val="en-GB"/>
        </w:rPr>
        <w:t xml:space="preserve"> </w:t>
      </w:r>
      <w:r w:rsidRPr="00DF3B77">
        <w:rPr>
          <w:rFonts w:ascii="Times New Roman" w:hAnsi="Times New Roman"/>
          <w:lang w:val="en-GB"/>
        </w:rPr>
        <w:t>traditions may have been referenced in the location preferences of the Urartian royal tombs. In the capitals of Assur</w:t>
      </w:r>
      <w:r w:rsidRPr="00DF3B77">
        <w:rPr>
          <w:rFonts w:ascii="Times New Roman" w:eastAsia="Calibri" w:hAnsi="Times New Roman" w:cs="Times New Roman"/>
          <w:lang w:val="en-GB"/>
        </w:rPr>
        <w:t> </w:t>
      </w:r>
      <w:r w:rsidRPr="00DF3B77">
        <w:rPr>
          <w:rFonts w:asciiTheme="majorBidi" w:hAnsiTheme="majorBidi" w:cstheme="majorBidi"/>
          <w:lang w:val="en-GB"/>
        </w:rPr>
        <w:fldChar w:fldCharType="begin"/>
      </w:r>
      <w:r w:rsidRPr="00DF3B77">
        <w:rPr>
          <w:rFonts w:asciiTheme="majorBidi" w:hAnsiTheme="majorBidi" w:cstheme="majorBidi"/>
          <w:lang w:val="en-GB"/>
        </w:rPr>
        <w:instrText xml:space="preserve"> XE "</w:instrText>
      </w:r>
      <w:r w:rsidRPr="00DF3B77">
        <w:rPr>
          <w:rStyle w:val="y2iqfc"/>
          <w:rFonts w:asciiTheme="majorBidi" w:eastAsia="Arial" w:hAnsiTheme="majorBidi" w:cstheme="majorBidi"/>
          <w:color w:val="202124"/>
          <w:lang w:val="en-GB"/>
        </w:rPr>
        <w:instrText>Assur</w:instrText>
      </w:r>
      <w:r w:rsidRPr="00DF3B77">
        <w:rPr>
          <w:rFonts w:asciiTheme="majorBidi" w:hAnsiTheme="majorBidi" w:cstheme="majorBidi"/>
          <w:lang w:val="en-GB"/>
        </w:rPr>
        <w:instrText xml:space="preserve">" </w:instrText>
      </w:r>
      <w:r w:rsidRPr="00DF3B77">
        <w:rPr>
          <w:rFonts w:asciiTheme="majorBidi" w:hAnsiTheme="majorBidi" w:cstheme="majorBidi"/>
          <w:lang w:val="en-GB"/>
        </w:rPr>
        <w:fldChar w:fldCharType="end"/>
      </w:r>
      <w:r w:rsidRPr="00DF3B77">
        <w:rPr>
          <w:rFonts w:asciiTheme="majorBidi" w:hAnsiTheme="majorBidi" w:cstheme="majorBidi"/>
          <w:lang w:val="en-GB"/>
        </w:rPr>
        <w:t xml:space="preserve"> </w:t>
      </w:r>
      <w:r w:rsidRPr="00DF3B77">
        <w:rPr>
          <w:rFonts w:ascii="Times New Roman" w:hAnsi="Times New Roman"/>
          <w:lang w:val="en-GB"/>
        </w:rPr>
        <w:t>and Nimrud</w:t>
      </w:r>
      <w:r w:rsidRPr="00DF3B77">
        <w:rPr>
          <w:rFonts w:ascii="Times New Roman" w:eastAsia="Calibri" w:hAnsi="Times New Roman" w:cs="Times New Roman"/>
          <w:lang w:val="en-GB"/>
        </w:rPr>
        <w:t>,</w:t>
      </w:r>
      <w:r w:rsidRPr="00DF3B77">
        <w:rPr>
          <w:rFonts w:asciiTheme="majorBidi" w:hAnsiTheme="majorBidi" w:cstheme="majorBidi"/>
          <w:lang w:val="en-GB"/>
        </w:rPr>
        <w:fldChar w:fldCharType="begin"/>
      </w:r>
      <w:r w:rsidRPr="00DF3B77">
        <w:rPr>
          <w:rFonts w:asciiTheme="majorBidi" w:hAnsiTheme="majorBidi" w:cstheme="majorBidi"/>
          <w:lang w:val="en-GB"/>
        </w:rPr>
        <w:instrText xml:space="preserve"> XE "</w:instrText>
      </w:r>
      <w:r w:rsidRPr="00DF3B77">
        <w:rPr>
          <w:rFonts w:asciiTheme="majorBidi" w:eastAsia="Times New Roman" w:hAnsiTheme="majorBidi" w:cstheme="majorBidi"/>
          <w:lang w:val="en-GB"/>
        </w:rPr>
        <w:instrText>Nimrud</w:instrText>
      </w:r>
      <w:r w:rsidRPr="00DF3B77">
        <w:rPr>
          <w:rFonts w:asciiTheme="majorBidi" w:hAnsiTheme="majorBidi" w:cstheme="majorBidi"/>
          <w:lang w:val="en-GB"/>
        </w:rPr>
        <w:instrText xml:space="preserve">" </w:instrText>
      </w:r>
      <w:r w:rsidRPr="00DF3B77">
        <w:rPr>
          <w:rFonts w:asciiTheme="majorBidi" w:hAnsiTheme="majorBidi" w:cstheme="majorBidi"/>
          <w:lang w:val="en-GB"/>
        </w:rPr>
        <w:fldChar w:fldCharType="end"/>
      </w:r>
      <w:r w:rsidRPr="00DF3B77">
        <w:rPr>
          <w:rFonts w:asciiTheme="majorBidi" w:hAnsiTheme="majorBidi" w:cstheme="majorBidi"/>
          <w:lang w:val="en-GB"/>
        </w:rPr>
        <w:t>,</w:t>
      </w:r>
      <w:r w:rsidRPr="00DF3B77">
        <w:rPr>
          <w:rFonts w:ascii="Times New Roman" w:hAnsi="Times New Roman"/>
          <w:lang w:val="en-GB"/>
        </w:rPr>
        <w:t xml:space="preserve"> inside the citadel walls, burial chambers that were connected through passages have been found underneath the palatial structures (Haller, 1954; Damerji, 1999; Oates &amp; Oates, 2001; Damerji, 2008; Lundström, 2009; Genç, 2015). These burial chambers include both single- and multi-roomed examples. The burial chambers in Assur have small niches on their walls</w:t>
      </w:r>
      <w:r w:rsidRPr="00DF3B77">
        <w:rPr>
          <w:rFonts w:ascii="Times New Roman" w:eastAsia="Calibri" w:hAnsi="Times New Roman" w:cs="Times New Roman"/>
          <w:lang w:val="en-GB"/>
        </w:rPr>
        <w:t>,</w:t>
      </w:r>
      <w:r w:rsidRPr="00DF3B77">
        <w:rPr>
          <w:rFonts w:ascii="Times New Roman" w:hAnsi="Times New Roman"/>
          <w:lang w:val="en-GB"/>
        </w:rPr>
        <w:t xml:space="preserve"> and the deceased were buried inside stone sarcophagi. Through the inscriptions found inside, these graves were dated to the Aššur</w:t>
      </w:r>
      <w:r w:rsidRPr="00DF3B77">
        <w:rPr>
          <w:rFonts w:ascii="Times New Roman" w:eastAsia="Calibri" w:hAnsi="Times New Roman" w:cs="Times New Roman"/>
          <w:lang w:val="en-GB"/>
        </w:rPr>
        <w:t>-</w:t>
      </w:r>
      <w:r w:rsidRPr="00DF3B77">
        <w:rPr>
          <w:rFonts w:asciiTheme="majorBidi" w:hAnsiTheme="majorBidi" w:cstheme="majorBidi"/>
          <w:lang w:val="en-GB"/>
        </w:rPr>
        <w:fldChar w:fldCharType="begin"/>
      </w:r>
      <w:r w:rsidRPr="00DF3B77">
        <w:rPr>
          <w:rFonts w:asciiTheme="majorBidi" w:hAnsiTheme="majorBidi" w:cstheme="majorBidi"/>
          <w:lang w:val="en-GB"/>
        </w:rPr>
        <w:instrText xml:space="preserve"> XE "</w:instrText>
      </w:r>
      <w:r w:rsidRPr="00DF3B77">
        <w:rPr>
          <w:rStyle w:val="y2iqfc"/>
          <w:rFonts w:asciiTheme="majorBidi" w:eastAsia="Arial" w:hAnsiTheme="majorBidi" w:cstheme="majorBidi"/>
          <w:color w:val="202124"/>
          <w:lang w:val="en-GB"/>
        </w:rPr>
        <w:instrText>Aššur</w:instrText>
      </w:r>
      <w:r w:rsidRPr="00DF3B77">
        <w:rPr>
          <w:rFonts w:asciiTheme="majorBidi" w:hAnsiTheme="majorBidi" w:cstheme="majorBidi"/>
          <w:lang w:val="en-GB"/>
        </w:rPr>
        <w:instrText xml:space="preserve">" </w:instrText>
      </w:r>
      <w:r w:rsidRPr="00DF3B77">
        <w:rPr>
          <w:rFonts w:asciiTheme="majorBidi" w:hAnsiTheme="majorBidi" w:cstheme="majorBidi"/>
          <w:lang w:val="en-GB"/>
        </w:rPr>
        <w:fldChar w:fldCharType="end"/>
      </w:r>
      <w:r w:rsidRPr="00DF3B77">
        <w:rPr>
          <w:rFonts w:asciiTheme="majorBidi" w:hAnsiTheme="majorBidi" w:cstheme="majorBidi"/>
          <w:lang w:val="en-GB"/>
        </w:rPr>
        <w:t>-</w:t>
      </w:r>
      <w:r w:rsidRPr="00DF3B77">
        <w:rPr>
          <w:rFonts w:ascii="Times New Roman" w:hAnsi="Times New Roman"/>
          <w:lang w:val="en-GB"/>
        </w:rPr>
        <w:t>bēl-kala</w:t>
      </w:r>
      <w:r w:rsidRPr="00DF3B77">
        <w:rPr>
          <w:rFonts w:ascii="Times New Roman" w:eastAsia="Calibri" w:hAnsi="Times New Roman" w:cs="Times New Roman"/>
          <w:lang w:val="en-GB"/>
        </w:rPr>
        <w:t> </w:t>
      </w:r>
      <w:r w:rsidRPr="00DF3B77">
        <w:rPr>
          <w:rFonts w:asciiTheme="majorBidi" w:hAnsiTheme="majorBidi" w:cstheme="majorBidi"/>
          <w:lang w:val="en-GB"/>
        </w:rPr>
        <w:fldChar w:fldCharType="begin"/>
      </w:r>
      <w:r w:rsidRPr="00DF3B77">
        <w:rPr>
          <w:rFonts w:asciiTheme="majorBidi" w:hAnsiTheme="majorBidi" w:cstheme="majorBidi"/>
          <w:lang w:val="en-GB"/>
        </w:rPr>
        <w:instrText xml:space="preserve"> XE "Aššur-bēl-kala" </w:instrText>
      </w:r>
      <w:r w:rsidRPr="00DF3B77">
        <w:rPr>
          <w:rFonts w:asciiTheme="majorBidi" w:hAnsiTheme="majorBidi" w:cstheme="majorBidi"/>
          <w:lang w:val="en-GB"/>
        </w:rPr>
        <w:fldChar w:fldCharType="end"/>
      </w:r>
      <w:r w:rsidRPr="00DF3B77">
        <w:rPr>
          <w:rFonts w:asciiTheme="majorBidi" w:hAnsiTheme="majorBidi" w:cstheme="majorBidi"/>
          <w:lang w:val="en-GB"/>
        </w:rPr>
        <w:t xml:space="preserve"> </w:t>
      </w:r>
      <w:r w:rsidRPr="00DF3B77">
        <w:rPr>
          <w:rFonts w:ascii="Times New Roman" w:hAnsi="Times New Roman"/>
          <w:lang w:val="en-GB"/>
        </w:rPr>
        <w:t>(1073-1056 BCE), Ashurnasirpal II</w:t>
      </w:r>
      <w:r w:rsidRPr="00DF3B77">
        <w:rPr>
          <w:rFonts w:ascii="Times New Roman" w:eastAsia="Calibri" w:hAnsi="Times New Roman" w:cs="Times New Roman"/>
          <w:lang w:val="en-GB"/>
        </w:rPr>
        <w:t> </w:t>
      </w:r>
      <w:r w:rsidRPr="00DF3B77">
        <w:rPr>
          <w:rFonts w:asciiTheme="majorBidi" w:hAnsiTheme="majorBidi" w:cstheme="majorBidi"/>
          <w:i/>
          <w:iCs/>
          <w:lang w:val="en-GB"/>
        </w:rPr>
        <w:fldChar w:fldCharType="begin"/>
      </w:r>
      <w:r w:rsidRPr="00DF3B77">
        <w:rPr>
          <w:rFonts w:asciiTheme="majorBidi" w:hAnsiTheme="majorBidi" w:cstheme="majorBidi"/>
          <w:i/>
          <w:iCs/>
          <w:lang w:val="en-GB"/>
        </w:rPr>
        <w:instrText xml:space="preserve"> XE </w:instrText>
      </w:r>
      <w:r w:rsidRPr="00C54B28">
        <w:rPr>
          <w:rFonts w:asciiTheme="majorBidi" w:hAnsiTheme="majorBidi" w:cstheme="majorBidi"/>
          <w:lang w:val="en-GB"/>
        </w:rPr>
        <w:instrText>"</w:instrText>
      </w:r>
      <w:r w:rsidRPr="00DF3B77">
        <w:rPr>
          <w:rStyle w:val="Vurgu"/>
          <w:rFonts w:asciiTheme="majorBidi" w:hAnsiTheme="majorBidi" w:cstheme="majorBidi"/>
          <w:i w:val="0"/>
          <w:iCs w:val="0"/>
          <w:shd w:val="clear" w:color="auto" w:fill="FFFFFF"/>
          <w:lang w:val="en-GB"/>
        </w:rPr>
        <w:instrText>Ashurnasirpal</w:instrText>
      </w:r>
      <w:r w:rsidRPr="00DF3B77">
        <w:rPr>
          <w:rFonts w:asciiTheme="majorBidi" w:hAnsiTheme="majorBidi" w:cstheme="majorBidi"/>
          <w:i/>
          <w:iCs/>
          <w:shd w:val="clear" w:color="auto" w:fill="FFFFFF"/>
          <w:lang w:val="en-GB"/>
        </w:rPr>
        <w:instrText xml:space="preserve"> </w:instrText>
      </w:r>
      <w:r w:rsidRPr="00C54B28">
        <w:rPr>
          <w:rFonts w:asciiTheme="majorBidi" w:hAnsiTheme="majorBidi" w:cstheme="majorBidi"/>
          <w:lang w:val="en-GB"/>
        </w:rPr>
        <w:instrText>II"</w:instrText>
      </w:r>
      <w:r w:rsidRPr="00DF3B77">
        <w:rPr>
          <w:rFonts w:asciiTheme="majorBidi" w:hAnsiTheme="majorBidi" w:cstheme="majorBidi"/>
          <w:i/>
          <w:iCs/>
          <w:lang w:val="en-GB"/>
        </w:rPr>
        <w:instrText xml:space="preserve"> </w:instrText>
      </w:r>
      <w:r w:rsidRPr="00DF3B77">
        <w:rPr>
          <w:rFonts w:asciiTheme="majorBidi" w:hAnsiTheme="majorBidi" w:cstheme="majorBidi"/>
          <w:i/>
          <w:iCs/>
          <w:lang w:val="en-GB"/>
        </w:rPr>
        <w:fldChar w:fldCharType="end"/>
      </w:r>
      <w:r w:rsidRPr="00DF3B77">
        <w:rPr>
          <w:rFonts w:asciiTheme="majorBidi" w:hAnsiTheme="majorBidi" w:cstheme="majorBidi"/>
          <w:lang w:val="en-GB"/>
        </w:rPr>
        <w:t xml:space="preserve"> </w:t>
      </w:r>
      <w:r w:rsidRPr="00DF3B77">
        <w:rPr>
          <w:rFonts w:ascii="Times New Roman" w:hAnsi="Times New Roman"/>
          <w:lang w:val="en-GB"/>
        </w:rPr>
        <w:t>(883-859 BCE) and the Šamši-Adad V</w:t>
      </w:r>
      <w:r w:rsidRPr="00DF3B77">
        <w:rPr>
          <w:rFonts w:ascii="Times New Roman" w:eastAsia="Calibri" w:hAnsi="Times New Roman" w:cs="Times New Roman"/>
          <w:lang w:val="en-GB"/>
        </w:rPr>
        <w:t> </w:t>
      </w:r>
      <w:r w:rsidRPr="00DF3B77">
        <w:rPr>
          <w:rFonts w:asciiTheme="majorBidi" w:hAnsiTheme="majorBidi" w:cstheme="majorBidi"/>
          <w:lang w:val="en-GB"/>
        </w:rPr>
        <w:fldChar w:fldCharType="begin"/>
      </w:r>
      <w:r w:rsidRPr="00DF3B77">
        <w:rPr>
          <w:rFonts w:asciiTheme="majorBidi" w:hAnsiTheme="majorBidi" w:cstheme="majorBidi"/>
          <w:lang w:val="en-GB"/>
        </w:rPr>
        <w:instrText xml:space="preserve"> XE "</w:instrText>
      </w:r>
      <w:r w:rsidRPr="00DF3B77">
        <w:rPr>
          <w:rFonts w:asciiTheme="majorBidi" w:eastAsia="Times New Roman" w:hAnsiTheme="majorBidi" w:cstheme="majorBidi"/>
          <w:lang w:val="en-GB"/>
        </w:rPr>
        <w:instrText>Šamši-Adad V</w:instrText>
      </w:r>
      <w:r w:rsidRPr="00DF3B77">
        <w:rPr>
          <w:rFonts w:asciiTheme="majorBidi" w:hAnsiTheme="majorBidi" w:cstheme="majorBidi"/>
          <w:lang w:val="en-GB"/>
        </w:rPr>
        <w:instrText xml:space="preserve">" </w:instrText>
      </w:r>
      <w:r w:rsidRPr="00DF3B77">
        <w:rPr>
          <w:rFonts w:asciiTheme="majorBidi" w:hAnsiTheme="majorBidi" w:cstheme="majorBidi"/>
          <w:lang w:val="en-GB"/>
        </w:rPr>
        <w:fldChar w:fldCharType="end"/>
      </w:r>
      <w:r w:rsidRPr="00DF3B77">
        <w:rPr>
          <w:rFonts w:asciiTheme="majorBidi" w:hAnsiTheme="majorBidi" w:cstheme="majorBidi"/>
          <w:lang w:val="en-GB"/>
        </w:rPr>
        <w:t xml:space="preserve"> </w:t>
      </w:r>
      <w:r w:rsidRPr="00DF3B77">
        <w:rPr>
          <w:rFonts w:ascii="Times New Roman" w:hAnsi="Times New Roman"/>
          <w:lang w:val="en-GB"/>
        </w:rPr>
        <w:t xml:space="preserve">(823-811 BCE) periods. The possible burial chambers recently uncovered inside the citadel in Nimrud, </w:t>
      </w:r>
      <w:r w:rsidRPr="00DF3B77">
        <w:rPr>
          <w:rFonts w:ascii="Times New Roman" w:eastAsia="Calibri" w:hAnsi="Times New Roman" w:cs="Times New Roman"/>
          <w:lang w:val="en-GB"/>
        </w:rPr>
        <w:t>mainly</w:t>
      </w:r>
      <w:r w:rsidRPr="00DF3B77">
        <w:rPr>
          <w:rFonts w:ascii="Times New Roman" w:hAnsi="Times New Roman"/>
          <w:lang w:val="en-GB"/>
        </w:rPr>
        <w:t xml:space="preserve"> since </w:t>
      </w:r>
      <w:r w:rsidRPr="00DF3B77">
        <w:rPr>
          <w:rFonts w:ascii="Times New Roman" w:hAnsi="Times New Roman"/>
          <w:lang w:val="en-GB"/>
        </w:rPr>
        <w:lastRenderedPageBreak/>
        <w:t xml:space="preserve">they were not found in a collapsed state, provide important insights as well (Damerji, 1999; Oates &amp; Oates, 2001; Damerji, 2008). These burial chambers also </w:t>
      </w:r>
      <w:r w:rsidRPr="00DF3B77">
        <w:rPr>
          <w:rFonts w:ascii="Times New Roman" w:eastAsia="Calibri" w:hAnsi="Times New Roman" w:cs="Times New Roman"/>
          <w:lang w:val="en-GB"/>
        </w:rPr>
        <w:t>have</w:t>
      </w:r>
      <w:r w:rsidRPr="00DF3B77">
        <w:rPr>
          <w:rFonts w:ascii="Times New Roman" w:hAnsi="Times New Roman"/>
          <w:lang w:val="en-GB"/>
        </w:rPr>
        <w:t xml:space="preserve"> an entrance through stairs and a </w:t>
      </w:r>
      <w:r w:rsidRPr="00DF3B77">
        <w:rPr>
          <w:rFonts w:ascii="Times New Roman" w:eastAsia="Calibri" w:hAnsi="Times New Roman" w:cs="Times New Roman"/>
          <w:lang w:val="en-GB"/>
        </w:rPr>
        <w:t>central</w:t>
      </w:r>
      <w:r w:rsidRPr="00DF3B77">
        <w:rPr>
          <w:rFonts w:ascii="Times New Roman" w:hAnsi="Times New Roman"/>
          <w:lang w:val="en-GB"/>
        </w:rPr>
        <w:t xml:space="preserve"> hall behind. Again, small niches were carved to place the burial gifts and stone sarcophagi were used inside these tombs.</w:t>
      </w:r>
    </w:p>
    <w:p w14:paraId="75CFA027" w14:textId="77777777" w:rsidR="006B23DC" w:rsidRPr="002B4DAC" w:rsidRDefault="006B23DC" w:rsidP="006B23DC">
      <w:pPr>
        <w:jc w:val="both"/>
        <w:rPr>
          <w:rFonts w:ascii="Times New Roman" w:hAnsi="Times New Roman"/>
          <w:lang w:val="en-GB"/>
        </w:rPr>
      </w:pPr>
    </w:p>
    <w:p w14:paraId="5A2BE9D8" w14:textId="77777777" w:rsidR="006B23DC" w:rsidRDefault="006B23DC" w:rsidP="006B23DC">
      <w:pPr>
        <w:jc w:val="both"/>
        <w:rPr>
          <w:rFonts w:ascii="Times New Roman" w:hAnsi="Times New Roman"/>
          <w:lang w:val="en-GB"/>
        </w:rPr>
      </w:pPr>
      <w:r w:rsidRPr="00583564">
        <w:rPr>
          <w:rFonts w:ascii="Times New Roman" w:hAnsi="Times New Roman"/>
          <w:lang w:val="en-GB"/>
        </w:rPr>
        <w:t>It has been suggested that a multi-chambered structure in Nimrud</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583564">
        <w:rPr>
          <w:rFonts w:ascii="Times New Roman" w:hAnsi="Times New Roman"/>
          <w:lang w:val="en-GB"/>
        </w:rPr>
        <w:t xml:space="preserve"> located under </w:t>
      </w:r>
      <w:r w:rsidRPr="00F43097">
        <w:rPr>
          <w:rFonts w:ascii="Times New Roman" w:eastAsia="Calibri" w:hAnsi="Times New Roman" w:cs="Times New Roman"/>
          <w:lang w:val="en-GB"/>
        </w:rPr>
        <w:t>chamber</w:t>
      </w:r>
      <w:r w:rsidRPr="00583564">
        <w:rPr>
          <w:rFonts w:ascii="Times New Roman" w:hAnsi="Times New Roman"/>
          <w:lang w:val="en-GB"/>
        </w:rPr>
        <w:t xml:space="preserve"> no. 74 and 75 are thought to be parts of the harem</w:t>
      </w:r>
      <w:r w:rsidRPr="00F43097">
        <w:rPr>
          <w:rFonts w:ascii="Times New Roman" w:eastAsia="Calibri" w:hAnsi="Times New Roman" w:cs="Times New Roman"/>
          <w:lang w:val="en-GB"/>
        </w:rPr>
        <w:t xml:space="preserve"> that</w:t>
      </w:r>
      <w:r w:rsidRPr="00583564">
        <w:rPr>
          <w:rFonts w:ascii="Times New Roman" w:hAnsi="Times New Roman"/>
          <w:lang w:val="en-GB"/>
        </w:rPr>
        <w:t xml:space="preserve"> could be a prototype for the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multi-chambered tombs (Genç, 2015: 313-317). Here, three rectangular-planned chambers are found to be lined up next to each other, with approximate dimensions of 10 x 2 m, entered through barrel-vaulted passages (Hussein, 2008: 88-89, Fig. 12-k). The chambers that are barrel-vaulted as well have niches on their walls.</w:t>
      </w:r>
    </w:p>
    <w:p w14:paraId="389774D7" w14:textId="77777777" w:rsidR="006B23DC" w:rsidRPr="00583564" w:rsidRDefault="006B23DC" w:rsidP="006B23DC">
      <w:pPr>
        <w:jc w:val="both"/>
        <w:rPr>
          <w:rFonts w:ascii="Times New Roman" w:hAnsi="Times New Roman"/>
          <w:lang w:val="en-GB"/>
        </w:rPr>
      </w:pPr>
    </w:p>
    <w:p w14:paraId="61B6E147" w14:textId="77777777" w:rsidR="006B23DC" w:rsidRDefault="006B23DC" w:rsidP="006B23DC">
      <w:pPr>
        <w:jc w:val="both"/>
        <w:rPr>
          <w:rFonts w:ascii="Times New Roman" w:hAnsi="Times New Roman"/>
          <w:lang w:val="en-GB"/>
        </w:rPr>
      </w:pPr>
      <w:r w:rsidRPr="00583564">
        <w:rPr>
          <w:rFonts w:ascii="Times New Roman" w:hAnsi="Times New Roman"/>
          <w:lang w:val="en-GB"/>
        </w:rPr>
        <w:t xml:space="preserve">Barrel-vault </w:t>
      </w:r>
      <w:r w:rsidRPr="00F43097">
        <w:rPr>
          <w:rFonts w:ascii="Times New Roman" w:eastAsia="Calibri" w:hAnsi="Times New Roman" w:cs="Times New Roman"/>
          <w:lang w:val="en-GB"/>
        </w:rPr>
        <w:t>carvings</w:t>
      </w:r>
      <w:r w:rsidRPr="00583564">
        <w:rPr>
          <w:rFonts w:ascii="Times New Roman" w:hAnsi="Times New Roman"/>
          <w:lang w:val="en-GB"/>
        </w:rPr>
        <w:t xml:space="preserve"> of the ceilings in the main halls of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583564">
        <w:rPr>
          <w:rFonts w:ascii="Times New Roman" w:hAnsi="Times New Roman"/>
          <w:lang w:val="en-GB"/>
        </w:rPr>
        <w:t xml:space="preserve"> tomb</w:t>
      </w:r>
      <w:r w:rsidRPr="00F43097">
        <w:rPr>
          <w:rFonts w:ascii="Times New Roman" w:eastAsia="Calibri" w:hAnsi="Times New Roman" w:cs="Times New Roman"/>
          <w:lang w:val="en-GB"/>
        </w:rPr>
        <w:t> </w:t>
      </w:r>
      <w:r w:rsidRPr="00583564">
        <w:rPr>
          <w:rFonts w:ascii="Times New Roman" w:hAnsi="Times New Roman"/>
          <w:lang w:val="en-GB"/>
        </w:rPr>
        <w:t>(Fig. 39) and İç Kale</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(Fig. 29) tombs have been associated with Assyrian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influence (Sevin, 2012a: 97-98). Likewise, the underground burial chambers inside the citadels of Assyrian capitals such as Assur</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Assur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and Nimrud</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were covered with a superstructure constructed in the barrel-vault shape with bricks.</w:t>
      </w:r>
    </w:p>
    <w:p w14:paraId="238D1A28" w14:textId="77777777" w:rsidR="006B23DC" w:rsidRPr="00583564" w:rsidRDefault="006B23DC" w:rsidP="006B23DC">
      <w:pPr>
        <w:jc w:val="both"/>
        <w:rPr>
          <w:rFonts w:ascii="Times New Roman" w:hAnsi="Times New Roman"/>
          <w:lang w:val="en-GB"/>
        </w:rPr>
      </w:pPr>
    </w:p>
    <w:p w14:paraId="3FED4A84" w14:textId="57FF20A3" w:rsidR="006B23DC" w:rsidRDefault="006B23DC" w:rsidP="006B23DC">
      <w:pPr>
        <w:jc w:val="both"/>
        <w:rPr>
          <w:rFonts w:ascii="Times New Roman" w:hAnsi="Times New Roman"/>
          <w:lang w:val="en-GB"/>
        </w:rPr>
      </w:pPr>
      <w:r w:rsidRPr="00583564">
        <w:rPr>
          <w:rFonts w:ascii="Times New Roman" w:hAnsi="Times New Roman"/>
          <w:lang w:val="en-GB"/>
        </w:rPr>
        <w:t>Among the tombs in the Ṭušpa</w:t>
      </w:r>
      <w:r w:rsidRPr="00F43097">
        <w:rPr>
          <w:rFonts w:ascii="Times New Roman" w:eastAsia="Calibri" w:hAnsi="Times New Roman" w:cs="Times New Roman"/>
          <w:lang w:val="en-GB"/>
        </w:rPr>
        <w:t> </w:t>
      </w:r>
      <w:r w:rsidRPr="00583564">
        <w:rPr>
          <w:rFonts w:ascii="Times New Roman" w:hAnsi="Times New Roman"/>
          <w:lang w:val="en-GB"/>
        </w:rPr>
        <w:t>citadel,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583564">
        <w:rPr>
          <w:rFonts w:ascii="Times New Roman" w:hAnsi="Times New Roman"/>
          <w:lang w:val="en-GB"/>
        </w:rPr>
        <w:t xml:space="preserve"> tomb</w:t>
      </w:r>
      <w:r w:rsidRPr="00F43097">
        <w:rPr>
          <w:rFonts w:ascii="Times New Roman" w:eastAsia="Calibri" w:hAnsi="Times New Roman" w:cs="Times New Roman"/>
          <w:lang w:val="en-GB"/>
        </w:rPr>
        <w:t> </w:t>
      </w:r>
      <w:r w:rsidRPr="00583564">
        <w:rPr>
          <w:rFonts w:ascii="Times New Roman" w:hAnsi="Times New Roman"/>
          <w:lang w:val="en-GB"/>
        </w:rPr>
        <w:t>(Fig. 53-55),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583564">
        <w:rPr>
          <w:rFonts w:ascii="Times New Roman" w:hAnsi="Times New Roman"/>
          <w:lang w:val="en-GB"/>
        </w:rPr>
        <w:t xml:space="preserve"> tomb</w:t>
      </w:r>
      <w:r w:rsidRPr="00F43097">
        <w:rPr>
          <w:rFonts w:ascii="Times New Roman" w:eastAsia="Calibri" w:hAnsi="Times New Roman" w:cs="Times New Roman"/>
          <w:lang w:val="en-GB"/>
        </w:rPr>
        <w:t> </w:t>
      </w:r>
      <w:r w:rsidRPr="00583564">
        <w:rPr>
          <w:rFonts w:ascii="Times New Roman" w:hAnsi="Times New Roman"/>
          <w:lang w:val="en-GB"/>
        </w:rPr>
        <w:t>(Fig. 42-43), and İç Kale</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 xml:space="preserve">tombs (Fig. 29, 31) exhibit rock-cut cornices located between the sidewalls and the ceiling, consisting of semi-circular reliefs and </w:t>
      </w:r>
      <w:r w:rsidRPr="00F43097">
        <w:rPr>
          <w:rFonts w:ascii="Times New Roman" w:eastAsia="Calibri" w:hAnsi="Times New Roman" w:cs="Times New Roman"/>
          <w:lang w:val="en-GB"/>
        </w:rPr>
        <w:t>moldings</w:t>
      </w:r>
      <w:r w:rsidRPr="00583564">
        <w:rPr>
          <w:rFonts w:ascii="Times New Roman" w:hAnsi="Times New Roman"/>
          <w:lang w:val="en-GB"/>
        </w:rPr>
        <w:t xml:space="preserve">. These remarkable details provide insights into </w:t>
      </w:r>
      <w:r w:rsidRPr="00F43097">
        <w:rPr>
          <w:rFonts w:ascii="Times New Roman" w:eastAsia="Calibri" w:hAnsi="Times New Roman" w:cs="Times New Roman"/>
          <w:lang w:val="en-GB"/>
        </w:rPr>
        <w:t>these tombs'</w:t>
      </w:r>
      <w:r w:rsidRPr="00583564">
        <w:rPr>
          <w:rFonts w:ascii="Times New Roman" w:hAnsi="Times New Roman"/>
          <w:lang w:val="en-GB"/>
        </w:rPr>
        <w:t xml:space="preserve"> architectural origins. The carving of these single or double-lined cornices where the sidewalls meet the ceiling of the tombs was probably related to the construction style of the superstructure. It is well known that in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architecture, wooden beams laid side by side formed the superstructures of the buildings. These cornices could reflect an attempt to reflect this construction style. This arrangement can be observed in the İç Kale tomb</w:t>
      </w:r>
      <w:r>
        <w:rPr>
          <w:rFonts w:ascii="Times New Roman" w:hAnsi="Times New Roman"/>
          <w:lang w:val="en-GB"/>
        </w:rPr>
        <w:fldChar w:fldCharType="begin"/>
      </w:r>
      <w:r>
        <w:instrText xml:space="preserve"> XE "</w:instrText>
      </w:r>
      <w:r w:rsidRPr="0072234F">
        <w:rPr>
          <w:rFonts w:ascii="Times New Roman" w:hAnsi="Times New Roman"/>
          <w:szCs w:val="22"/>
          <w:lang w:val="en-GB"/>
        </w:rPr>
        <w:instrText>İç Kale tomb</w:instrText>
      </w:r>
      <w:r>
        <w:instrText xml:space="preserve">" </w:instrText>
      </w:r>
      <w:r>
        <w:rPr>
          <w:rFonts w:ascii="Times New Roman" w:hAnsi="Times New Roman"/>
          <w:lang w:val="en-GB"/>
        </w:rPr>
        <w:fldChar w:fldCharType="end"/>
      </w:r>
      <w:r w:rsidRPr="00583564">
        <w:rPr>
          <w:rFonts w:ascii="Times New Roman" w:hAnsi="Times New Roman"/>
          <w:lang w:val="en-GB"/>
        </w:rPr>
        <w:t xml:space="preserve"> and the main hall of the Doğu Odaları tomb</w:t>
      </w:r>
      <w:r w:rsidRPr="00F43097">
        <w:rPr>
          <w:rFonts w:ascii="Times New Roman" w:eastAsia="Calibri" w:hAnsi="Times New Roman" w:cs="Times New Roman"/>
          <w:lang w:val="en-GB"/>
        </w:rPr>
        <w:t>.</w:t>
      </w:r>
      <w:r w:rsidRPr="00583564">
        <w:rPr>
          <w:rFonts w:ascii="Times New Roman" w:hAnsi="Times New Roman"/>
          <w:lang w:val="en-GB"/>
        </w:rPr>
        <w:t xml:space="preserve"> The Neft Kuyu tomb, on the other hand, reflects a different design where the cornices in the main hall and the burial chamber no. 2 were carved in double-lined semi-circular rows (Fig. 42). The cornices in the Neft Kuyu tomb bear similarities with the rock-cut tombs in Mazgirt-Kaleköy</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"Mazgirt-Kaleköy"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583564">
        <w:rPr>
          <w:rFonts w:ascii="Times New Roman" w:hAnsi="Times New Roman"/>
          <w:lang w:val="en-GB"/>
        </w:rPr>
        <w:t xml:space="preserve"> where an inscription belonging to Rusai Argištiḫi</w:t>
      </w:r>
      <w:r w:rsidRPr="00F43097">
        <w:rPr>
          <w:rFonts w:ascii="Times New Roman" w:eastAsia="Calibri" w:hAnsi="Times New Roman" w:cs="Times New Roman"/>
          <w:lang w:val="en-GB"/>
        </w:rPr>
        <w:t> </w:t>
      </w:r>
      <w:r w:rsidRPr="00F03A26">
        <w:rPr>
          <w:rFonts w:asciiTheme="majorBidi" w:hAnsiTheme="majorBidi" w:cstheme="majorBidi"/>
          <w:lang w:val="en-GB"/>
        </w:rPr>
        <w:t xml:space="preserve"> </w:t>
      </w:r>
      <w:r w:rsidRPr="00583564">
        <w:rPr>
          <w:rFonts w:ascii="Times New Roman" w:hAnsi="Times New Roman"/>
          <w:lang w:val="en-GB"/>
        </w:rPr>
        <w:t xml:space="preserve">was found at the entrance. At this point, it would be worth discussing a possible chronological association between the Neft Kuyu tomb and the period of Rusai Argištiḫi. </w:t>
      </w:r>
    </w:p>
    <w:p w14:paraId="060FE8FF" w14:textId="77777777" w:rsidR="006B23DC" w:rsidRPr="00583564" w:rsidRDefault="006B23DC" w:rsidP="006B23DC">
      <w:pPr>
        <w:jc w:val="both"/>
        <w:rPr>
          <w:rFonts w:ascii="Times New Roman" w:hAnsi="Times New Roman"/>
          <w:lang w:val="en-GB"/>
        </w:rPr>
      </w:pPr>
    </w:p>
    <w:p w14:paraId="0D508F1C" w14:textId="77777777" w:rsidR="006B23DC" w:rsidRPr="002B4DAC" w:rsidRDefault="006B23DC" w:rsidP="006B23DC">
      <w:pPr>
        <w:jc w:val="both"/>
        <w:rPr>
          <w:rFonts w:ascii="Times New Roman" w:hAnsi="Times New Roman"/>
          <w:lang w:val="en-GB"/>
        </w:rPr>
      </w:pPr>
      <w:r w:rsidRPr="00583564">
        <w:rPr>
          <w:rFonts w:ascii="Times New Roman" w:hAnsi="Times New Roman"/>
          <w:lang w:val="en-GB"/>
        </w:rPr>
        <w:t>Square hollows with concave sides and a central hole found inside the Argišti I tomb</w:t>
      </w:r>
      <w:r>
        <w:rPr>
          <w:rFonts w:ascii="Times New Roman" w:hAnsi="Times New Roman"/>
          <w:lang w:val="en-GB"/>
        </w:rPr>
        <w:fldChar w:fldCharType="begin"/>
      </w:r>
      <w:r>
        <w:instrText xml:space="preserve"> XE "</w:instrText>
      </w:r>
      <w:r w:rsidRPr="00583564">
        <w:rPr>
          <w:rFonts w:ascii="Times New Roman" w:hAnsi="Times New Roman"/>
          <w:lang w:val="en-GB"/>
        </w:rPr>
        <w:instrText>Argišti I tomb</w:instrText>
      </w:r>
      <w:r>
        <w:instrText xml:space="preserve">" </w:instrText>
      </w:r>
      <w:r>
        <w:rPr>
          <w:rFonts w:ascii="Times New Roman" w:hAnsi="Times New Roman"/>
          <w:lang w:val="en-GB"/>
        </w:rPr>
        <w:fldChar w:fldCharType="end"/>
      </w:r>
      <w:r w:rsidRPr="00F43097">
        <w:rPr>
          <w:rFonts w:ascii="Times New Roman" w:eastAsia="Calibri" w:hAnsi="Times New Roman" w:cs="Times New Roman"/>
          <w:lang w:val="en-GB"/>
        </w:rPr>
        <w:t xml:space="preserve"> yield</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 yields</w:t>
      </w:r>
      <w:r w:rsidRPr="00583564">
        <w:rPr>
          <w:rFonts w:ascii="Times New Roman" w:hAnsi="Times New Roman"/>
          <w:lang w:val="en-GB"/>
        </w:rPr>
        <w:t xml:space="preserve"> another piece of evidence related to the internal arrangements of the rock-cut tombs. Friedrich Eduard Schulz</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"Schulz"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(Schulz, 1840: 272) was the first to mention these hollows, measuring approximately 30 x 30 cm (Fig. 13-16). Some murals and finds from the Assyrian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and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 xml:space="preserve">periods provide </w:t>
      </w:r>
      <w:r w:rsidRPr="00F43097">
        <w:rPr>
          <w:rFonts w:ascii="Times New Roman" w:eastAsia="Calibri" w:hAnsi="Times New Roman" w:cs="Times New Roman"/>
          <w:lang w:val="en-GB"/>
        </w:rPr>
        <w:t>essential</w:t>
      </w:r>
      <w:r w:rsidRPr="00583564">
        <w:rPr>
          <w:rFonts w:ascii="Times New Roman" w:hAnsi="Times New Roman"/>
          <w:lang w:val="en-GB"/>
        </w:rPr>
        <w:t xml:space="preserve"> reference points </w:t>
      </w:r>
      <w:r w:rsidRPr="00F43097">
        <w:rPr>
          <w:rFonts w:ascii="Times New Roman" w:eastAsia="Calibri" w:hAnsi="Times New Roman" w:cs="Times New Roman"/>
          <w:lang w:val="en-GB"/>
        </w:rPr>
        <w:t>for interpretation</w:t>
      </w:r>
      <w:r w:rsidRPr="00583564">
        <w:rPr>
          <w:rFonts w:ascii="Times New Roman" w:hAnsi="Times New Roman"/>
          <w:lang w:val="en-GB"/>
        </w:rPr>
        <w:t>. It has been suggested that the bronze or clay fixtures could have been placed inside these hollows, serving both functional and decorative purposes and giving the space a visual dynamism (Genç, 2015: 267). Others have argued that these hollows may have been used for a suspension system to carry the swords, shields, and other heavy objects left as burial gifts (Forbes, 1983: 102; Ussishkin, 1994; Sevin, 2012a: 26</w:t>
      </w:r>
      <w:r w:rsidRPr="00F43097">
        <w:rPr>
          <w:rFonts w:ascii="Times New Roman" w:eastAsia="Calibri" w:hAnsi="Times New Roman" w:cs="Times New Roman"/>
          <w:lang w:val="en-GB"/>
        </w:rPr>
        <w:t>)</w:t>
      </w:r>
      <w:r w:rsidRPr="00583564">
        <w:rPr>
          <w:rFonts w:ascii="Times New Roman" w:hAnsi="Times New Roman"/>
          <w:lang w:val="en-GB"/>
        </w:rPr>
        <w:t xml:space="preserve"> and that the protrusions at the edges of the hollows could have carried lightning fixtures or perhaps the protrusions themselves served to illuminate the space (Layard</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Layard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583564">
        <w:rPr>
          <w:rFonts w:ascii="Times New Roman" w:hAnsi="Times New Roman"/>
          <w:lang w:val="en-GB"/>
        </w:rPr>
        <w:t xml:space="preserve"> 1853: 396). This arrangement observed in the </w:t>
      </w:r>
      <w:r w:rsidRPr="00F43097">
        <w:rPr>
          <w:rFonts w:ascii="Times New Roman" w:eastAsia="Calibri" w:hAnsi="Times New Roman" w:cs="Times New Roman"/>
          <w:lang w:val="en-GB"/>
        </w:rPr>
        <w:t>Argišti</w:t>
      </w:r>
      <w:r>
        <w:rPr>
          <w:rFonts w:ascii="Times New Roman" w:eastAsia="Calibri" w:hAnsi="Times New Roman" w:cs="Times New Roman"/>
          <w:lang w:val="en-GB"/>
        </w:rPr>
        <w:t xml:space="preserve"> </w:t>
      </w:r>
      <w:r w:rsidRPr="00F43097">
        <w:rPr>
          <w:rFonts w:ascii="Times New Roman" w:eastAsia="Calibri" w:hAnsi="Times New Roman" w:cs="Times New Roman"/>
          <w:lang w:val="en-GB"/>
        </w:rPr>
        <w:t>I</w:t>
      </w:r>
      <w:r w:rsidRPr="00583564">
        <w:rPr>
          <w:rFonts w:ascii="Times New Roman" w:hAnsi="Times New Roman"/>
          <w:lang w:val="en-GB"/>
        </w:rPr>
        <w:t xml:space="preserve"> tomb</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is significant in that it demonstrates the dynamism of the interiors of the burial chambers. In this regard, it is worth noting that the regular placement of the hollows at the same level further suggests their place in enhancing the visuality of the burial chamber. An inscribed concave plaque of clay was found inside a temple in Nimrud</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583564">
        <w:rPr>
          <w:rFonts w:ascii="Times New Roman" w:hAnsi="Times New Roman"/>
          <w:lang w:val="en-GB"/>
        </w:rPr>
        <w:t xml:space="preserve"> It is dated to the reign of </w:t>
      </w:r>
      <w:r w:rsidRPr="00F03A26">
        <w:rPr>
          <w:rStyle w:val="Vurgu"/>
          <w:rFonts w:asciiTheme="majorBidi" w:hAnsiTheme="majorBidi" w:cstheme="majorBidi"/>
          <w:i w:val="0"/>
          <w:shd w:val="clear" w:color="auto" w:fill="FFFFFF"/>
          <w:lang w:val="en-GB"/>
        </w:rPr>
        <w:t>Ashurnasirpal</w:t>
      </w:r>
      <w:r w:rsidRPr="00F03A26">
        <w:rPr>
          <w:rFonts w:asciiTheme="majorBidi" w:hAnsiTheme="majorBidi" w:cstheme="majorBidi"/>
          <w:lang w:val="en-GB"/>
        </w:rPr>
        <w:t xml:space="preserve"> II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w:instrText>
      </w:r>
      <w:r w:rsidRPr="00DF3B77">
        <w:rPr>
          <w:rFonts w:asciiTheme="majorBidi" w:hAnsiTheme="majorBidi" w:cstheme="majorBidi"/>
          <w:i/>
          <w:iCs/>
          <w:lang w:val="en-GB"/>
        </w:rPr>
        <w:instrText>XE "</w:instrText>
      </w:r>
      <w:r w:rsidRPr="00DF3B77">
        <w:rPr>
          <w:rStyle w:val="Vurgu"/>
          <w:rFonts w:asciiTheme="majorBidi" w:hAnsiTheme="majorBidi" w:cstheme="majorBidi"/>
          <w:i w:val="0"/>
          <w:iCs w:val="0"/>
          <w:shd w:val="clear" w:color="auto" w:fill="FFFFFF"/>
          <w:lang w:val="en-GB"/>
        </w:rPr>
        <w:instrText>Ashurnasirpal</w:instrText>
      </w:r>
      <w:r w:rsidRPr="00DF3B77">
        <w:rPr>
          <w:rFonts w:asciiTheme="majorBidi" w:hAnsiTheme="majorBidi" w:cstheme="majorBidi"/>
          <w:i/>
          <w:iCs/>
          <w:shd w:val="clear" w:color="auto" w:fill="FFFFFF"/>
          <w:lang w:val="en-GB"/>
        </w:rPr>
        <w:instrText xml:space="preserve"> </w:instrText>
      </w:r>
      <w:r w:rsidRPr="00DF3B77">
        <w:rPr>
          <w:rFonts w:asciiTheme="majorBidi" w:hAnsiTheme="majorBidi" w:cstheme="majorBidi"/>
          <w:lang w:val="en-GB"/>
        </w:rPr>
        <w:instrText>II</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 xml:space="preserve">by the inscription and </w:t>
      </w:r>
      <w:r w:rsidRPr="00583564">
        <w:rPr>
          <w:rFonts w:ascii="Times New Roman" w:hAnsi="Times New Roman"/>
          <w:lang w:val="en-GB"/>
        </w:rPr>
        <w:lastRenderedPageBreak/>
        <w:t xml:space="preserve">provides </w:t>
      </w:r>
      <w:r w:rsidRPr="00F43097">
        <w:rPr>
          <w:rFonts w:ascii="Times New Roman" w:eastAsia="Calibri" w:hAnsi="Times New Roman" w:cs="Times New Roman"/>
          <w:lang w:val="en-GB"/>
        </w:rPr>
        <w:t>essential</w:t>
      </w:r>
      <w:r w:rsidRPr="00583564">
        <w:rPr>
          <w:rFonts w:ascii="Times New Roman" w:hAnsi="Times New Roman"/>
          <w:lang w:val="en-GB"/>
        </w:rPr>
        <w:t xml:space="preserve"> information about the function of these hollows (Oates &amp; Oates, 2001: Pl.12b; Genç, 2015: 316-317). It is understood that these decorated clay plaques, measuring 28 x 28 cm and of similar size to the hollows in the Argišti I tomb, had decorative purposes. Some remains of murals and the depictions on some of the finds from Assyrian and Urartian palaces also indicate that these hollows were most likely decorative elements, possibly used as a part of a frieze.</w:t>
      </w:r>
    </w:p>
    <w:p w14:paraId="668EE0E3" w14:textId="77777777" w:rsidR="006B23DC" w:rsidRDefault="006B23DC" w:rsidP="006B23DC">
      <w:pPr>
        <w:jc w:val="both"/>
        <w:rPr>
          <w:rFonts w:ascii="Times New Roman" w:hAnsi="Times New Roman"/>
          <w:lang w:val="en-GB"/>
        </w:rPr>
      </w:pPr>
      <w:r w:rsidRPr="00583564">
        <w:rPr>
          <w:rFonts w:ascii="Times New Roman" w:hAnsi="Times New Roman"/>
          <w:lang w:val="en-GB"/>
        </w:rPr>
        <w:t>Niches inside the burial chambers constitute another group of architectural features that enhance the dynamism inside these tombs (Fig. 6). The niches of the rock-cut tombs inside the citadel indicate that the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 xml:space="preserve">niches were planned either in a square or rectangular shape (Fig. 10-12). This architectural design and detail reflect the Urartian character. In this regard, the planning and shapes of the niches could be criteria </w:t>
      </w:r>
      <w:r w:rsidRPr="00F43097">
        <w:rPr>
          <w:rFonts w:ascii="Times New Roman" w:eastAsia="Calibri" w:hAnsi="Times New Roman" w:cs="Times New Roman"/>
          <w:lang w:val="en-GB"/>
        </w:rPr>
        <w:t>for</w:t>
      </w:r>
      <w:r w:rsidRPr="00583564">
        <w:rPr>
          <w:rFonts w:ascii="Times New Roman" w:hAnsi="Times New Roman"/>
          <w:lang w:val="en-GB"/>
        </w:rPr>
        <w:t xml:space="preserve"> establishing a chronology for the tombs and their dating. The standardized niches carved in each wall of the Argišti I tomb</w:t>
      </w:r>
      <w:r>
        <w:rPr>
          <w:rFonts w:ascii="Times New Roman" w:hAnsi="Times New Roman"/>
          <w:lang w:val="en-GB"/>
        </w:rPr>
        <w:fldChar w:fldCharType="begin"/>
      </w:r>
      <w:r>
        <w:instrText xml:space="preserve"> XE "</w:instrText>
      </w:r>
      <w:r w:rsidRPr="00583564">
        <w:rPr>
          <w:rFonts w:ascii="Times New Roman" w:hAnsi="Times New Roman"/>
          <w:lang w:val="en-GB"/>
        </w:rPr>
        <w:instrText>Argišti I tomb</w:instrText>
      </w:r>
      <w:r>
        <w:instrText xml:space="preserve">" </w:instrText>
      </w:r>
      <w:r>
        <w:rPr>
          <w:rFonts w:ascii="Times New Roman" w:hAnsi="Times New Roman"/>
          <w:lang w:val="en-GB"/>
        </w:rPr>
        <w:fldChar w:fldCharType="end"/>
      </w:r>
      <w:r w:rsidRPr="00583564">
        <w:rPr>
          <w:rFonts w:ascii="Times New Roman" w:hAnsi="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 xml:space="preserve">particularly stand out. </w:t>
      </w:r>
      <w:r w:rsidRPr="00F43097">
        <w:rPr>
          <w:rFonts w:ascii="Times New Roman" w:eastAsia="Calibri" w:hAnsi="Times New Roman" w:cs="Times New Roman"/>
          <w:lang w:val="en-GB"/>
        </w:rPr>
        <w:t>The frames</w:t>
      </w:r>
      <w:r w:rsidRPr="00583564">
        <w:rPr>
          <w:rFonts w:ascii="Times New Roman" w:hAnsi="Times New Roman"/>
          <w:lang w:val="en-GB"/>
        </w:rPr>
        <w:t xml:space="preserve"> of the two niches across the entrance differ from </w:t>
      </w:r>
      <w:r w:rsidRPr="00F43097">
        <w:rPr>
          <w:rFonts w:ascii="Times New Roman" w:eastAsia="Calibri" w:hAnsi="Times New Roman" w:cs="Times New Roman"/>
          <w:lang w:val="en-GB"/>
        </w:rPr>
        <w:t xml:space="preserve">those of </w:t>
      </w:r>
      <w:r w:rsidRPr="00583564">
        <w:rPr>
          <w:rFonts w:ascii="Times New Roman" w:hAnsi="Times New Roman"/>
          <w:lang w:val="en-GB"/>
        </w:rPr>
        <w:t xml:space="preserve">the rest (Fig. 12). Their location and structural aspects indicate a different function. It has been suggested that urns or burial gifts were placed inside such niches (Sevin, 2012a: 24). Similar archaeological findings suggesting the use of these niches for burial gifts </w:t>
      </w:r>
      <w:r w:rsidRPr="00F43097">
        <w:rPr>
          <w:rFonts w:ascii="Times New Roman" w:eastAsia="Calibri" w:hAnsi="Times New Roman" w:cs="Times New Roman"/>
          <w:lang w:val="en-GB"/>
        </w:rPr>
        <w:t>come</w:t>
      </w:r>
      <w:r w:rsidRPr="00583564">
        <w:rPr>
          <w:rFonts w:ascii="Times New Roman" w:hAnsi="Times New Roman"/>
          <w:lang w:val="en-GB"/>
        </w:rPr>
        <w:t xml:space="preserve"> from the tombs uncovered in Assur</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Assur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and Nimrud</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 xml:space="preserve">as well (Hussein, 2008: 89; Reade, 2008: 101; Genç, 2015). The examples inside the </w:t>
      </w:r>
      <w:r w:rsidRPr="00F43097">
        <w:rPr>
          <w:rFonts w:ascii="Times New Roman" w:eastAsia="Calibri" w:hAnsi="Times New Roman" w:cs="Times New Roman"/>
          <w:lang w:val="en-GB"/>
        </w:rPr>
        <w:t>Argišti</w:t>
      </w:r>
      <w:r>
        <w:rPr>
          <w:rFonts w:ascii="Times New Roman" w:eastAsia="Calibri" w:hAnsi="Times New Roman" w:cs="Times New Roman"/>
          <w:lang w:val="en-GB"/>
        </w:rPr>
        <w:t xml:space="preserve"> </w:t>
      </w:r>
      <w:r w:rsidRPr="00F43097">
        <w:rPr>
          <w:rFonts w:ascii="Times New Roman" w:eastAsia="Calibri" w:hAnsi="Times New Roman" w:cs="Times New Roman"/>
          <w:lang w:val="en-GB"/>
        </w:rPr>
        <w:t>I</w:t>
      </w:r>
      <w:r w:rsidRPr="00583564">
        <w:rPr>
          <w:rFonts w:ascii="Times New Roman" w:hAnsi="Times New Roman"/>
          <w:lang w:val="en-GB"/>
        </w:rPr>
        <w:t xml:space="preserve"> tomb</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 xml:space="preserve">could also have been used </w:t>
      </w:r>
      <w:r w:rsidRPr="00F43097">
        <w:rPr>
          <w:rFonts w:ascii="Times New Roman" w:eastAsia="Calibri" w:hAnsi="Times New Roman" w:cs="Times New Roman"/>
          <w:lang w:val="en-GB"/>
        </w:rPr>
        <w:t>for</w:t>
      </w:r>
      <w:r w:rsidRPr="00583564">
        <w:rPr>
          <w:rFonts w:ascii="Times New Roman" w:hAnsi="Times New Roman"/>
          <w:lang w:val="en-GB"/>
        </w:rPr>
        <w:t xml:space="preserve"> such a function. Niches of various sizes are known from several tombs found in the periphery of Urartu</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as well, such as in Varto-Kayalıdere</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Kayalıdere</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(Burney, 1966: 101-108), Palu</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"Palu"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III (Sevin, 1994: 65), Tutak-Atabindi</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"Atabindi"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(Başgelen, 1987), Kemah-Taşbulak (Ceylan &amp; Üngör, 2018) and Sarıkamış-Yoğunhasan/Karapınar</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"Sarıkamış-Yoğunhasan/Karapınar"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(Alpaslan, 2008), Tatvan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"Tatvan"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(Özfırat, 2002), Hakkari-Yamaç (Sevin, 2015), Kal Kharabe</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"Kal Kharabe"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583564">
        <w:rPr>
          <w:rFonts w:ascii="Times New Roman" w:hAnsi="Times New Roman"/>
          <w:lang w:val="en-GB"/>
        </w:rPr>
        <w:t xml:space="preserve"> Qala Takht/Nanas</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"Qala Takht/Nanas"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(Biscione &amp; Dan, 2019) and Sangar</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"Sangar"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in northwestern Iran.</w:t>
      </w:r>
    </w:p>
    <w:p w14:paraId="14696D86" w14:textId="77777777" w:rsidR="006B23DC" w:rsidRPr="00583564" w:rsidRDefault="006B23DC" w:rsidP="006B23DC">
      <w:pPr>
        <w:jc w:val="both"/>
        <w:rPr>
          <w:rFonts w:ascii="Times New Roman" w:hAnsi="Times New Roman"/>
          <w:lang w:val="en-GB"/>
        </w:rPr>
      </w:pPr>
    </w:p>
    <w:p w14:paraId="12565BC1" w14:textId="5632C64B" w:rsidR="006B23DC" w:rsidRDefault="006B23DC" w:rsidP="006B23DC">
      <w:pPr>
        <w:jc w:val="both"/>
        <w:rPr>
          <w:rFonts w:ascii="Times New Roman" w:hAnsi="Times New Roman"/>
          <w:lang w:val="en-GB"/>
        </w:rPr>
      </w:pPr>
      <w:r w:rsidRPr="00583564">
        <w:rPr>
          <w:rFonts w:ascii="Times New Roman" w:hAnsi="Times New Roman"/>
          <w:lang w:val="en-GB"/>
        </w:rPr>
        <w:t xml:space="preserve">Niches are also well known </w:t>
      </w:r>
      <w:r w:rsidRPr="00F43097">
        <w:rPr>
          <w:rFonts w:ascii="Times New Roman" w:eastAsia="Calibri" w:hAnsi="Times New Roman" w:cs="Times New Roman"/>
          <w:lang w:val="en-GB"/>
        </w:rPr>
        <w:t>for</w:t>
      </w:r>
      <w:r w:rsidRPr="00583564">
        <w:rPr>
          <w:rFonts w:ascii="Times New Roman" w:hAnsi="Times New Roman"/>
          <w:lang w:val="en-GB"/>
        </w:rPr>
        <w:t xml:space="preserve"> the underground-carved burial chambers in Altıntepe</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583564">
        <w:rPr>
          <w:rFonts w:ascii="Times New Roman" w:hAnsi="Times New Roman"/>
          <w:lang w:val="en-GB"/>
        </w:rPr>
        <w:t>and Kalecik</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"Kalecik"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583564">
        <w:rPr>
          <w:rFonts w:ascii="Times New Roman" w:hAnsi="Times New Roman"/>
          <w:lang w:val="en-GB"/>
        </w:rPr>
        <w:t xml:space="preserve"> located right to the northeast of the Van Fortress</w:t>
      </w:r>
      <w:r w:rsidRPr="00F43097">
        <w:rPr>
          <w:rFonts w:ascii="Times New Roman" w:eastAsia="Calibri" w:hAnsi="Times New Roman" w:cs="Times New Roman"/>
          <w:lang w:val="en-GB"/>
        </w:rPr>
        <w:t> </w:t>
      </w:r>
      <w:r w:rsidRPr="00583564">
        <w:rPr>
          <w:rFonts w:ascii="Times New Roman" w:hAnsi="Times New Roman"/>
          <w:lang w:val="en-GB"/>
        </w:rPr>
        <w:t xml:space="preserve">(Çavuşoğlu, Biber &amp; Başar, 2009; Sevin, 2012). </w:t>
      </w:r>
      <w:r w:rsidRPr="00F43097">
        <w:rPr>
          <w:rFonts w:ascii="Times New Roman" w:eastAsia="Calibri" w:hAnsi="Times New Roman" w:cs="Times New Roman"/>
          <w:lang w:val="en-GB"/>
        </w:rPr>
        <w:t xml:space="preserve">However, </w:t>
      </w:r>
      <w:r w:rsidR="00233A43" w:rsidRPr="00583564">
        <w:rPr>
          <w:rFonts w:ascii="Times New Roman" w:hAnsi="Times New Roman"/>
          <w:lang w:val="en-GB"/>
        </w:rPr>
        <w:t>considering</w:t>
      </w:r>
      <w:r w:rsidRPr="00583564">
        <w:rPr>
          <w:rFonts w:ascii="Times New Roman" w:hAnsi="Times New Roman"/>
          <w:lang w:val="en-GB"/>
        </w:rPr>
        <w:t xml:space="preserve"> their sizes, </w:t>
      </w:r>
      <w:r w:rsidRPr="00F43097">
        <w:rPr>
          <w:rFonts w:ascii="Times New Roman" w:eastAsia="Calibri" w:hAnsi="Times New Roman" w:cs="Times New Roman"/>
          <w:lang w:val="en-GB"/>
        </w:rPr>
        <w:t>these examples</w:t>
      </w:r>
      <w:r w:rsidRPr="00583564">
        <w:rPr>
          <w:rFonts w:ascii="Times New Roman" w:hAnsi="Times New Roman"/>
          <w:lang w:val="en-GB"/>
        </w:rPr>
        <w:t xml:space="preserve"> could be attributed to </w:t>
      </w:r>
      <w:r w:rsidRPr="00F43097">
        <w:rPr>
          <w:rFonts w:ascii="Times New Roman" w:eastAsia="Calibri" w:hAnsi="Times New Roman" w:cs="Times New Roman"/>
          <w:lang w:val="en-GB"/>
        </w:rPr>
        <w:t>a different function</w:t>
      </w:r>
      <w:r w:rsidRPr="00583564">
        <w:rPr>
          <w:rFonts w:ascii="Times New Roman" w:hAnsi="Times New Roman"/>
          <w:lang w:val="en-GB"/>
        </w:rPr>
        <w:t>.</w:t>
      </w:r>
    </w:p>
    <w:p w14:paraId="5861A9E5" w14:textId="77777777" w:rsidR="006B23DC" w:rsidRPr="00583564" w:rsidRDefault="006B23DC" w:rsidP="006B23DC">
      <w:pPr>
        <w:jc w:val="both"/>
        <w:rPr>
          <w:rFonts w:ascii="Times New Roman" w:hAnsi="Times New Roman"/>
          <w:lang w:val="en-GB"/>
        </w:rPr>
      </w:pPr>
    </w:p>
    <w:p w14:paraId="160AB530" w14:textId="74EE1AD0" w:rsidR="006B23DC" w:rsidRDefault="006B23DC" w:rsidP="006B23DC">
      <w:pPr>
        <w:jc w:val="both"/>
        <w:rPr>
          <w:rFonts w:ascii="Times New Roman" w:hAnsi="Times New Roman"/>
          <w:lang w:val="en-GB"/>
        </w:rPr>
      </w:pPr>
      <w:r w:rsidRPr="00583564">
        <w:rPr>
          <w:rFonts w:ascii="Times New Roman" w:hAnsi="Times New Roman"/>
          <w:lang w:val="en-GB"/>
        </w:rPr>
        <w:t xml:space="preserve">The </w:t>
      </w:r>
      <w:r w:rsidRPr="00F43097">
        <w:rPr>
          <w:rFonts w:ascii="Times New Roman" w:eastAsia="Calibri" w:hAnsi="Times New Roman" w:cs="Times New Roman"/>
          <w:lang w:val="en-GB"/>
        </w:rPr>
        <w:t>moldings</w:t>
      </w:r>
      <w:r w:rsidRPr="00583564">
        <w:rPr>
          <w:rFonts w:ascii="Times New Roman" w:hAnsi="Times New Roman"/>
          <w:lang w:val="en-GB"/>
        </w:rPr>
        <w:t xml:space="preserve"> on the floors of the main hall and the side rooms of the Argišti I tomb</w:t>
      </w:r>
      <w:r>
        <w:rPr>
          <w:rFonts w:ascii="Times New Roman" w:hAnsi="Times New Roman"/>
          <w:lang w:val="en-GB"/>
        </w:rPr>
        <w:fldChar w:fldCharType="begin"/>
      </w:r>
      <w:r>
        <w:instrText xml:space="preserve"> XE "</w:instrText>
      </w:r>
      <w:r w:rsidRPr="00583564">
        <w:rPr>
          <w:rFonts w:ascii="Times New Roman" w:hAnsi="Times New Roman"/>
          <w:lang w:val="en-GB"/>
        </w:rPr>
        <w:instrText>Argišti I tomb</w:instrText>
      </w:r>
      <w:r>
        <w:instrText xml:space="preserve">" </w:instrText>
      </w:r>
      <w:r>
        <w:rPr>
          <w:rFonts w:ascii="Times New Roman" w:hAnsi="Times New Roman"/>
          <w:lang w:val="en-GB"/>
        </w:rPr>
        <w:fldChar w:fldCharType="end"/>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583564">
        <w:rPr>
          <w:rFonts w:ascii="Times New Roman" w:hAnsi="Times New Roman"/>
          <w:lang w:val="en-GB"/>
        </w:rPr>
        <w:t xml:space="preserve"> and the burial beds/klines inside the grave provide </w:t>
      </w:r>
      <w:r w:rsidRPr="00F43097">
        <w:rPr>
          <w:rFonts w:ascii="Times New Roman" w:eastAsia="Calibri" w:hAnsi="Times New Roman" w:cs="Times New Roman"/>
          <w:lang w:val="en-GB"/>
        </w:rPr>
        <w:t>essential</w:t>
      </w:r>
      <w:r w:rsidRPr="00583564">
        <w:rPr>
          <w:rFonts w:ascii="Times New Roman" w:hAnsi="Times New Roman"/>
          <w:lang w:val="en-GB"/>
        </w:rPr>
        <w:t xml:space="preserve"> references </w:t>
      </w:r>
      <w:r w:rsidRPr="00F43097">
        <w:rPr>
          <w:rFonts w:ascii="Times New Roman" w:eastAsia="Calibri" w:hAnsi="Times New Roman" w:cs="Times New Roman"/>
          <w:lang w:val="en-GB"/>
        </w:rPr>
        <w:t>regarding</w:t>
      </w:r>
      <w:r w:rsidRPr="00583564">
        <w:rPr>
          <w:rFonts w:ascii="Times New Roman" w:hAnsi="Times New Roman"/>
          <w:lang w:val="en-GB"/>
        </w:rPr>
        <w:t xml:space="preserve"> the internal arrangement of the tomb (Fig. 10). An outstanding feature is the hollow measuring 2.60 x 2.00 m, carved next to the northern </w:t>
      </w:r>
      <w:r w:rsidRPr="00E92650">
        <w:rPr>
          <w:rFonts w:ascii="Times New Roman" w:hAnsi="Times New Roman"/>
          <w:lang w:val="en-GB"/>
        </w:rPr>
        <w:t xml:space="preserve">wall of the main hall. Another distinguishing feature </w:t>
      </w:r>
      <w:r w:rsidRPr="00F43097">
        <w:rPr>
          <w:rFonts w:ascii="Times New Roman" w:eastAsia="Calibri" w:hAnsi="Times New Roman" w:cs="Times New Roman"/>
          <w:lang w:val="en-GB"/>
        </w:rPr>
        <w:t>of</w:t>
      </w:r>
      <w:r w:rsidRPr="00E92650">
        <w:rPr>
          <w:rFonts w:ascii="Times New Roman" w:hAnsi="Times New Roman"/>
          <w:lang w:val="en-GB"/>
        </w:rPr>
        <w:t xml:space="preserve"> the burial chamber is the </w:t>
      </w:r>
      <w:r w:rsidRPr="00F43097">
        <w:rPr>
          <w:rFonts w:ascii="Times New Roman" w:eastAsia="Calibri" w:hAnsi="Times New Roman" w:cs="Times New Roman"/>
          <w:lang w:val="en-GB"/>
        </w:rPr>
        <w:t>excellent quality</w:t>
      </w:r>
      <w:r w:rsidRPr="00E92650">
        <w:rPr>
          <w:rFonts w:ascii="Times New Roman" w:hAnsi="Times New Roman"/>
          <w:lang w:val="en-GB"/>
        </w:rPr>
        <w:t xml:space="preserve"> of the framed niches. To the west of the main hall is another area, crudely carved into the bedrock </w:t>
      </w:r>
      <w:r w:rsidRPr="00F43097">
        <w:rPr>
          <w:rFonts w:ascii="Times New Roman" w:eastAsia="Calibri" w:hAnsi="Times New Roman" w:cs="Times New Roman"/>
          <w:lang w:val="en-GB"/>
        </w:rPr>
        <w:t>squarely</w:t>
      </w:r>
      <w:r w:rsidRPr="00E92650">
        <w:rPr>
          <w:rFonts w:ascii="Times New Roman" w:hAnsi="Times New Roman"/>
          <w:lang w:val="en-GB"/>
        </w:rPr>
        <w:t xml:space="preserve">, measuring 1.10 x 1.10 m. </w:t>
      </w:r>
      <w:r w:rsidRPr="00F43097">
        <w:rPr>
          <w:rFonts w:ascii="Times New Roman" w:eastAsia="Calibri" w:hAnsi="Times New Roman" w:cs="Times New Roman"/>
          <w:lang w:val="en-GB"/>
        </w:rPr>
        <w:t>Several</w:t>
      </w:r>
      <w:r w:rsidRPr="00E92650">
        <w:rPr>
          <w:rFonts w:ascii="Times New Roman" w:hAnsi="Times New Roman"/>
          <w:lang w:val="en-GB"/>
        </w:rPr>
        <w:t xml:space="preserve"> researchers</w:t>
      </w:r>
      <w:r w:rsidRPr="00F43097">
        <w:rPr>
          <w:rFonts w:ascii="Times New Roman" w:eastAsia="Calibri" w:hAnsi="Times New Roman" w:cs="Times New Roman"/>
          <w:lang w:val="en-GB"/>
        </w:rPr>
        <w:t xml:space="preserve"> have suggested</w:t>
      </w:r>
      <w:r w:rsidRPr="00E92650">
        <w:rPr>
          <w:rFonts w:ascii="Times New Roman" w:hAnsi="Times New Roman"/>
          <w:lang w:val="en-GB"/>
        </w:rPr>
        <w:t xml:space="preserve"> that these hollows were built to place the sarcophagus and other related equipment. The burial chamber with four niches to the east of the main hall of the Argišti I tomb</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has a hollow carved along its eastern wall, measuring approximately 1 m in width and 3.55 m in length (Fig. 6). This area could have also served as a burial bed or a space to place the sarcophagus.</w:t>
      </w:r>
    </w:p>
    <w:p w14:paraId="2AACDB6F" w14:textId="77777777" w:rsidR="006B23DC" w:rsidRPr="00E92650" w:rsidRDefault="006B23DC" w:rsidP="006B23DC">
      <w:pPr>
        <w:jc w:val="both"/>
        <w:rPr>
          <w:rFonts w:ascii="Times New Roman" w:hAnsi="Times New Roman"/>
          <w:lang w:val="en-GB"/>
        </w:rPr>
      </w:pPr>
    </w:p>
    <w:p w14:paraId="33D59D26" w14:textId="0DB4F063" w:rsidR="006B23DC" w:rsidRDefault="006B23DC" w:rsidP="006B23DC">
      <w:pPr>
        <w:jc w:val="both"/>
        <w:rPr>
          <w:rFonts w:ascii="Times New Roman" w:hAnsi="Times New Roman"/>
          <w:lang w:val="en-GB"/>
        </w:rPr>
      </w:pPr>
      <w:r w:rsidRPr="00E92650">
        <w:rPr>
          <w:rFonts w:ascii="Times New Roman" w:hAnsi="Times New Roman"/>
          <w:lang w:val="en-GB"/>
        </w:rPr>
        <w:t xml:space="preserve">It is important to note that such arrangements could have </w:t>
      </w:r>
      <w:r w:rsidRPr="00F43097">
        <w:rPr>
          <w:rFonts w:ascii="Times New Roman" w:eastAsia="Calibri" w:hAnsi="Times New Roman" w:cs="Times New Roman"/>
          <w:lang w:val="en-GB"/>
        </w:rPr>
        <w:t xml:space="preserve">also </w:t>
      </w:r>
      <w:r w:rsidRPr="00E92650">
        <w:rPr>
          <w:rFonts w:ascii="Times New Roman" w:hAnsi="Times New Roman"/>
          <w:lang w:val="en-GB"/>
        </w:rPr>
        <w:t>been added inside the tombs</w:t>
      </w:r>
      <w:r w:rsidRPr="00F43097">
        <w:rPr>
          <w:rFonts w:ascii="Times New Roman" w:eastAsia="Calibri" w:hAnsi="Times New Roman" w:cs="Times New Roman"/>
          <w:lang w:val="en-GB"/>
        </w:rPr>
        <w:t>.</w:t>
      </w:r>
      <w:r w:rsidRPr="00E92650">
        <w:rPr>
          <w:rFonts w:ascii="Times New Roman" w:hAnsi="Times New Roman"/>
          <w:lang w:val="en-GB"/>
        </w:rPr>
        <w:t xml:space="preserve"> The general scholarly tendency has been to focus on possible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characteristics of these graves</w:t>
      </w:r>
      <w:r w:rsidRPr="00F43097">
        <w:rPr>
          <w:rFonts w:ascii="Times New Roman" w:eastAsia="Calibri" w:hAnsi="Times New Roman" w:cs="Times New Roman"/>
          <w:lang w:val="en-GB"/>
        </w:rPr>
        <w:t>,</w:t>
      </w:r>
      <w:r w:rsidRPr="00E92650">
        <w:rPr>
          <w:rFonts w:ascii="Times New Roman" w:hAnsi="Times New Roman"/>
          <w:lang w:val="en-GB"/>
        </w:rPr>
        <w:t xml:space="preserve"> and several aspects, such as the workmanship and structural arrangements of these rock-cut tombs</w:t>
      </w:r>
      <w:r w:rsidRPr="00F43097">
        <w:rPr>
          <w:rFonts w:ascii="Times New Roman" w:eastAsia="Calibri" w:hAnsi="Times New Roman" w:cs="Times New Roman"/>
          <w:lang w:val="en-GB"/>
        </w:rPr>
        <w:t>,</w:t>
      </w:r>
      <w:r w:rsidRPr="00E92650">
        <w:rPr>
          <w:rFonts w:ascii="Times New Roman" w:hAnsi="Times New Roman"/>
          <w:lang w:val="en-GB"/>
        </w:rPr>
        <w:t xml:space="preserve"> have been limited to the Urartian chronology. However, it should be kept in mind that the use of such durable structures continued throughout the occupation of the Van Fortress by other states, civilizations, and communities that inhabited the area during</w:t>
      </w:r>
      <w:r w:rsidRPr="00F43097">
        <w:rPr>
          <w:rFonts w:ascii="Times New Roman" w:eastAsia="Calibri" w:hAnsi="Times New Roman" w:cs="Times New Roman"/>
          <w:lang w:val="en-GB"/>
        </w:rPr>
        <w:t xml:space="preserve"> the</w:t>
      </w:r>
      <w:r w:rsidRPr="00E92650">
        <w:rPr>
          <w:rFonts w:ascii="Times New Roman" w:hAnsi="Times New Roman"/>
          <w:lang w:val="en-GB"/>
        </w:rPr>
        <w:t xml:space="preserve"> post-Urartian periods. Several sources confirm the use of these tombs as storage facilities and workshops during the Ottoman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Ottoman</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 xml:space="preserve">period until the </w:t>
      </w:r>
      <w:r w:rsidRPr="00F43097">
        <w:rPr>
          <w:rFonts w:ascii="Times New Roman" w:eastAsia="Calibri" w:hAnsi="Times New Roman" w:cs="Times New Roman"/>
          <w:lang w:val="en-GB"/>
        </w:rPr>
        <w:t>beginning</w:t>
      </w:r>
      <w:r w:rsidRPr="00E92650">
        <w:rPr>
          <w:rFonts w:ascii="Times New Roman" w:hAnsi="Times New Roman"/>
          <w:lang w:val="en-GB"/>
        </w:rPr>
        <w:t xml:space="preserve"> of the 20th century. Thus, apart from </w:t>
      </w:r>
      <w:r w:rsidRPr="00E92650">
        <w:rPr>
          <w:rFonts w:ascii="Times New Roman" w:hAnsi="Times New Roman"/>
          <w:lang w:val="en-GB"/>
        </w:rPr>
        <w:lastRenderedPageBreak/>
        <w:t>the principal structural aspects—which constitute the main character of the Urartian architecture—the possibility that some platforms, doors, door equipment, and even some hollows that do not provide well-established planning could have been related to later reuse and rearrangements of these tombs should not be overlooked. The door equipment, in particular, could have been subject to several changes throughout such a long</w:t>
      </w:r>
      <w:r w:rsidR="00C54B28">
        <w:rPr>
          <w:rFonts w:ascii="Times New Roman" w:hAnsi="Times New Roman"/>
          <w:lang w:val="en-GB"/>
        </w:rPr>
        <w:t xml:space="preserve"> </w:t>
      </w:r>
      <w:r w:rsidRPr="00E92650">
        <w:rPr>
          <w:rFonts w:ascii="Times New Roman" w:hAnsi="Times New Roman"/>
          <w:lang w:val="en-GB"/>
        </w:rPr>
        <w:t>life span. It is crucial to consider this aspect</w:t>
      </w:r>
      <w:r w:rsidRPr="00F43097">
        <w:rPr>
          <w:rFonts w:ascii="Times New Roman" w:eastAsia="Calibri" w:hAnsi="Times New Roman" w:cs="Times New Roman"/>
          <w:lang w:val="en-GB"/>
        </w:rPr>
        <w:t>,</w:t>
      </w:r>
      <w:r w:rsidRPr="00E92650">
        <w:rPr>
          <w:rFonts w:ascii="Times New Roman" w:hAnsi="Times New Roman"/>
          <w:lang w:val="en-GB"/>
        </w:rPr>
        <w:t xml:space="preserve"> especially when interpreting the arrangements related to the locking systems of these doors.</w:t>
      </w:r>
    </w:p>
    <w:p w14:paraId="2075EE4C" w14:textId="77777777" w:rsidR="006B23DC" w:rsidRPr="00E92650" w:rsidRDefault="006B23DC" w:rsidP="006B23DC">
      <w:pPr>
        <w:jc w:val="both"/>
        <w:rPr>
          <w:rFonts w:ascii="Times New Roman" w:hAnsi="Times New Roman"/>
          <w:lang w:val="en-GB"/>
        </w:rPr>
      </w:pPr>
    </w:p>
    <w:p w14:paraId="24FA82D0" w14:textId="12164993" w:rsidR="006B23DC" w:rsidRDefault="006B23DC" w:rsidP="006B23DC">
      <w:pPr>
        <w:jc w:val="both"/>
        <w:rPr>
          <w:rFonts w:ascii="Times New Roman" w:hAnsi="Times New Roman"/>
          <w:lang w:val="en-GB"/>
        </w:rPr>
      </w:pPr>
      <w:r w:rsidRPr="00E92650">
        <w:rPr>
          <w:rFonts w:ascii="Times New Roman" w:hAnsi="Times New Roman"/>
          <w:lang w:val="en-GB"/>
        </w:rPr>
        <w:t>From this perspective, an evaluation of the arrangement of burial chambers, the northeast room (NK04) of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E92650">
        <w:rPr>
          <w:rFonts w:ascii="Times New Roman" w:hAnsi="Times New Roman"/>
          <w:lang w:val="en-GB"/>
        </w:rPr>
        <w:t xml:space="preserve"> tomb</w:t>
      </w:r>
      <w:r w:rsidRPr="00F43097">
        <w:rPr>
          <w:rFonts w:ascii="Times New Roman" w:eastAsia="Calibri" w:hAnsi="Times New Roman" w:cs="Times New Roman"/>
          <w:lang w:val="en-GB"/>
        </w:rPr>
        <w:t> </w:t>
      </w:r>
      <w:r w:rsidRPr="00E92650">
        <w:rPr>
          <w:rFonts w:ascii="Times New Roman" w:hAnsi="Times New Roman"/>
          <w:lang w:val="en-GB"/>
        </w:rPr>
        <w:t>(Fig. 39-40), the bottom room (İK05) of the İç Kale</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tomb</w:t>
      </w:r>
      <w:r w:rsidR="00DF3B77">
        <w:rPr>
          <w:rFonts w:ascii="Times New Roman" w:hAnsi="Times New Roman"/>
          <w:lang w:val="en-GB"/>
        </w:rPr>
        <w:fldChar w:fldCharType="begin"/>
      </w:r>
      <w:r w:rsidR="00DF3B77">
        <w:instrText xml:space="preserve"> XE "</w:instrText>
      </w:r>
      <w:r w:rsidR="00DF3B77" w:rsidRPr="00C058CA">
        <w:rPr>
          <w:rFonts w:ascii="Times New Roman" w:hAnsi="Times New Roman"/>
          <w:lang w:val="en-GB"/>
        </w:rPr>
        <w:instrText>İç Kale</w:instrText>
      </w:r>
      <w:r w:rsidR="00DF3B77" w:rsidRPr="00C058CA">
        <w:rPr>
          <w:rFonts w:ascii="Times New Roman" w:eastAsia="Calibri" w:hAnsi="Times New Roman" w:cs="Times New Roman"/>
          <w:lang w:val="en-GB"/>
        </w:rPr>
        <w:instrText> </w:instrText>
      </w:r>
      <w:r w:rsidR="00DF3B77" w:rsidRPr="00C058CA">
        <w:rPr>
          <w:rFonts w:asciiTheme="majorBidi" w:hAnsiTheme="majorBidi" w:cstheme="majorBidi"/>
          <w:lang w:val="en-GB"/>
        </w:rPr>
        <w:instrText xml:space="preserve"> </w:instrText>
      </w:r>
      <w:r w:rsidR="00DF3B77" w:rsidRPr="00C058CA">
        <w:rPr>
          <w:rFonts w:ascii="Times New Roman" w:hAnsi="Times New Roman"/>
          <w:lang w:val="en-GB"/>
        </w:rPr>
        <w:instrText>tomb</w:instrText>
      </w:r>
      <w:r w:rsidR="00DF3B77">
        <w:instrText xml:space="preserve">" </w:instrText>
      </w:r>
      <w:r w:rsidR="00DF3B77">
        <w:rPr>
          <w:rFonts w:ascii="Times New Roman" w:hAnsi="Times New Roman"/>
          <w:lang w:val="en-GB"/>
        </w:rPr>
        <w:fldChar w:fldCharType="end"/>
      </w:r>
      <w:r w:rsidRPr="00E92650">
        <w:rPr>
          <w:rFonts w:ascii="Times New Roman" w:hAnsi="Times New Roman"/>
          <w:lang w:val="en-GB"/>
        </w:rPr>
        <w:t xml:space="preserve"> (Fig. 29, 32-33) and the northern and east rooms (DO03-04) of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E92650">
        <w:rPr>
          <w:rFonts w:ascii="Times New Roman" w:hAnsi="Times New Roman"/>
          <w:lang w:val="en-GB"/>
        </w:rPr>
        <w:t xml:space="preserve"> tomb</w:t>
      </w:r>
      <w:r w:rsidRPr="00F43097">
        <w:rPr>
          <w:rFonts w:ascii="Times New Roman" w:eastAsia="Calibri" w:hAnsi="Times New Roman" w:cs="Times New Roman"/>
          <w:lang w:val="en-GB"/>
        </w:rPr>
        <w:t> </w:t>
      </w:r>
      <w:r w:rsidRPr="00E92650">
        <w:rPr>
          <w:rFonts w:ascii="Times New Roman" w:hAnsi="Times New Roman"/>
          <w:lang w:val="en-GB"/>
        </w:rPr>
        <w:t xml:space="preserve">(Fig. 59-60) reveals that the steps and burial beds carved directly into the bedrock belonged to the construction processes of these graves. In the case of the Doğu Odaları tomb, the burial bed and the platform </w:t>
      </w:r>
      <w:r w:rsidRPr="00F43097">
        <w:rPr>
          <w:rFonts w:ascii="Times New Roman" w:eastAsia="Calibri" w:hAnsi="Times New Roman" w:cs="Times New Roman"/>
          <w:lang w:val="en-GB"/>
        </w:rPr>
        <w:t>are</w:t>
      </w:r>
      <w:r w:rsidRPr="00E92650">
        <w:rPr>
          <w:rFonts w:ascii="Times New Roman" w:hAnsi="Times New Roman"/>
          <w:lang w:val="en-GB"/>
        </w:rPr>
        <w:t xml:space="preserve"> reached through the steps.</w:t>
      </w:r>
    </w:p>
    <w:p w14:paraId="75051B14" w14:textId="77777777" w:rsidR="00C54B28" w:rsidRPr="00E92650" w:rsidRDefault="00C54B28" w:rsidP="006B23DC">
      <w:pPr>
        <w:jc w:val="both"/>
        <w:rPr>
          <w:rFonts w:ascii="Times New Roman" w:hAnsi="Times New Roman"/>
          <w:lang w:val="en-GB"/>
        </w:rPr>
      </w:pPr>
    </w:p>
    <w:p w14:paraId="39792E65" w14:textId="77777777" w:rsidR="006B23DC" w:rsidRDefault="006B23DC" w:rsidP="006B23DC">
      <w:pPr>
        <w:jc w:val="both"/>
        <w:rPr>
          <w:rFonts w:ascii="Times New Roman" w:hAnsi="Times New Roman"/>
          <w:lang w:val="en-GB"/>
        </w:rPr>
      </w:pPr>
      <w:r w:rsidRPr="00E92650">
        <w:rPr>
          <w:rFonts w:ascii="Times New Roman" w:hAnsi="Times New Roman"/>
          <w:lang w:val="en-GB"/>
        </w:rPr>
        <w:t>Interpretations of the internal arrangements of the burial chambers are generally based on the characteristics of the features carved into the bedrock. However, additional, destroyed, or perished construction materials, such as mud brick and wood, could also have been used. It should also be noted that the walls could have been plastered and painted. The mythological and fantastic elements employed</w:t>
      </w:r>
      <w:r w:rsidRPr="00F43097">
        <w:rPr>
          <w:rFonts w:ascii="Times New Roman" w:eastAsia="Calibri" w:hAnsi="Times New Roman" w:cs="Times New Roman"/>
          <w:lang w:val="en-GB"/>
        </w:rPr>
        <w:t>,</w:t>
      </w:r>
      <w:r w:rsidRPr="00E92650">
        <w:rPr>
          <w:rFonts w:ascii="Times New Roman" w:hAnsi="Times New Roman"/>
          <w:lang w:val="en-GB"/>
        </w:rPr>
        <w:t xml:space="preserve"> especially in iconography</w:t>
      </w:r>
      <w:r w:rsidRPr="00F43097">
        <w:rPr>
          <w:rFonts w:ascii="Times New Roman" w:eastAsia="Calibri" w:hAnsi="Times New Roman" w:cs="Times New Roman"/>
          <w:lang w:val="en-GB"/>
        </w:rPr>
        <w:t>,</w:t>
      </w:r>
      <w:r w:rsidRPr="00E92650">
        <w:rPr>
          <w:rFonts w:ascii="Times New Roman" w:hAnsi="Times New Roman"/>
          <w:lang w:val="en-GB"/>
        </w:rPr>
        <w:t xml:space="preserve"> for various decorative purposes could also </w:t>
      </w:r>
      <w:r w:rsidRPr="00F43097">
        <w:rPr>
          <w:rFonts w:ascii="Times New Roman" w:eastAsia="Calibri" w:hAnsi="Times New Roman" w:cs="Times New Roman"/>
          <w:lang w:val="en-GB"/>
        </w:rPr>
        <w:t xml:space="preserve">have </w:t>
      </w:r>
      <w:r w:rsidRPr="00E92650">
        <w:rPr>
          <w:rFonts w:ascii="Times New Roman" w:hAnsi="Times New Roman"/>
          <w:lang w:val="en-GB"/>
        </w:rPr>
        <w:t xml:space="preserve">been used </w:t>
      </w:r>
      <w:r w:rsidRPr="00F43097">
        <w:rPr>
          <w:rFonts w:ascii="Times New Roman" w:eastAsia="Calibri" w:hAnsi="Times New Roman" w:cs="Times New Roman"/>
          <w:lang w:val="en-GB"/>
        </w:rPr>
        <w:t>to decorate</w:t>
      </w:r>
      <w:r w:rsidRPr="00E92650">
        <w:rPr>
          <w:rFonts w:ascii="Times New Roman" w:hAnsi="Times New Roman"/>
          <w:lang w:val="en-GB"/>
        </w:rPr>
        <w:t xml:space="preserve"> the walls of the burial chambers.</w:t>
      </w:r>
    </w:p>
    <w:p w14:paraId="04556BB3" w14:textId="77777777" w:rsidR="006B23DC" w:rsidRPr="00E92650" w:rsidRDefault="006B23DC" w:rsidP="006B23DC">
      <w:pPr>
        <w:jc w:val="both"/>
        <w:rPr>
          <w:rFonts w:ascii="Times New Roman" w:hAnsi="Times New Roman"/>
          <w:lang w:val="en-GB"/>
        </w:rPr>
      </w:pPr>
    </w:p>
    <w:p w14:paraId="78F5A172" w14:textId="77777777" w:rsidR="006B23DC" w:rsidRDefault="006B23DC" w:rsidP="006B23DC">
      <w:pPr>
        <w:jc w:val="both"/>
        <w:rPr>
          <w:rFonts w:ascii="Times New Roman" w:hAnsi="Times New Roman"/>
          <w:lang w:val="en-GB"/>
        </w:rPr>
      </w:pPr>
      <w:r w:rsidRPr="00E92650">
        <w:rPr>
          <w:rFonts w:ascii="Times New Roman" w:hAnsi="Times New Roman"/>
          <w:lang w:val="en-GB"/>
        </w:rPr>
        <w:t xml:space="preserve">The chronologies of the burial chambers are </w:t>
      </w:r>
      <w:r w:rsidRPr="00F43097">
        <w:rPr>
          <w:rFonts w:ascii="Times New Roman" w:eastAsia="Calibri" w:hAnsi="Times New Roman" w:cs="Times New Roman"/>
          <w:lang w:val="en-GB"/>
        </w:rPr>
        <w:t>pretty debatable</w:t>
      </w:r>
      <w:r w:rsidRPr="00F03A26">
        <w:rPr>
          <w:rStyle w:val="DipnotBavurusu"/>
          <w:rFonts w:asciiTheme="majorBidi" w:hAnsiTheme="majorBidi"/>
          <w:lang w:val="en-GB"/>
        </w:rPr>
        <w:footnoteReference w:id="59"/>
      </w:r>
      <w:r w:rsidRPr="00F03A26">
        <w:rPr>
          <w:rFonts w:asciiTheme="majorBidi" w:hAnsiTheme="majorBidi" w:cstheme="majorBidi"/>
          <w:lang w:val="en-GB"/>
        </w:rPr>
        <w:t>.</w:t>
      </w:r>
      <w:r w:rsidRPr="00E92650">
        <w:rPr>
          <w:rFonts w:ascii="Times New Roman" w:hAnsi="Times New Roman"/>
          <w:lang w:val="en-GB"/>
        </w:rPr>
        <w:t xml:space="preserve"> Apart from the Great Horhor</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tomb, where the annuals of Argišti I</w:t>
      </w:r>
      <w:r w:rsidRPr="00F43097">
        <w:rPr>
          <w:rFonts w:ascii="Times New Roman" w:eastAsia="Calibri" w:hAnsi="Times New Roman" w:cs="Times New Roman"/>
          <w:lang w:val="en-GB"/>
        </w:rPr>
        <w:t> were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 ere</w:t>
      </w:r>
      <w:r w:rsidRPr="00E92650">
        <w:rPr>
          <w:rFonts w:ascii="Times New Roman" w:hAnsi="Times New Roman"/>
          <w:lang w:val="en-GB"/>
        </w:rPr>
        <w:t xml:space="preserve"> inscribed, the structural aspects, architectural layouts, and locations of other tombs allow some evaluations </w:t>
      </w:r>
      <w:r w:rsidRPr="00F43097">
        <w:rPr>
          <w:rFonts w:ascii="Times New Roman" w:eastAsia="Calibri" w:hAnsi="Times New Roman" w:cs="Times New Roman"/>
          <w:lang w:val="en-GB"/>
        </w:rPr>
        <w:t>of</w:t>
      </w:r>
      <w:r w:rsidRPr="00E92650">
        <w:rPr>
          <w:rFonts w:ascii="Times New Roman" w:hAnsi="Times New Roman"/>
          <w:lang w:val="en-GB"/>
        </w:rPr>
        <w:t xml:space="preserve"> their chronologies (Fig. 4, 8-9).</w:t>
      </w:r>
    </w:p>
    <w:p w14:paraId="277C4E8F" w14:textId="77777777" w:rsidR="006B23DC" w:rsidRPr="00E92650" w:rsidRDefault="006B23DC" w:rsidP="006B23DC">
      <w:pPr>
        <w:jc w:val="both"/>
        <w:rPr>
          <w:rFonts w:ascii="Times New Roman" w:hAnsi="Times New Roman"/>
          <w:lang w:val="en-GB"/>
        </w:rPr>
      </w:pPr>
    </w:p>
    <w:p w14:paraId="023F7A92" w14:textId="77777777" w:rsidR="006B23DC" w:rsidRDefault="006B23DC" w:rsidP="006B23DC">
      <w:pPr>
        <w:jc w:val="both"/>
        <w:rPr>
          <w:rFonts w:ascii="Times New Roman" w:hAnsi="Times New Roman"/>
          <w:lang w:val="en-GB"/>
        </w:rPr>
      </w:pPr>
      <w:r w:rsidRPr="00E92650">
        <w:rPr>
          <w:rFonts w:ascii="Times New Roman" w:hAnsi="Times New Roman"/>
          <w:lang w:val="en-GB"/>
        </w:rPr>
        <w:t>Although the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kings have left inscriptions dealing with various contents in different locations, we have not yet reached a consensus on explaining the concept of a grave for the Urartians</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 xml:space="preserve">and </w:t>
      </w:r>
      <w:r w:rsidRPr="00F43097">
        <w:rPr>
          <w:rFonts w:ascii="Times New Roman" w:eastAsia="Calibri" w:hAnsi="Times New Roman" w:cs="Times New Roman"/>
          <w:lang w:val="en-GB"/>
        </w:rPr>
        <w:t>understanding</w:t>
      </w:r>
      <w:r w:rsidRPr="00E92650">
        <w:rPr>
          <w:rFonts w:ascii="Times New Roman" w:hAnsi="Times New Roman"/>
          <w:lang w:val="en-GB"/>
        </w:rPr>
        <w:t xml:space="preserve"> their definition of it. How did the Urartians term the graves, burial chambers, or monumental tombs in the capital Ṭušpa</w:t>
      </w:r>
      <w:r w:rsidRPr="00F43097">
        <w:rPr>
          <w:rFonts w:ascii="Times New Roman" w:eastAsia="Calibri" w:hAnsi="Times New Roman" w:cs="Times New Roman"/>
          <w:lang w:val="en-GB"/>
        </w:rPr>
        <w:t>,</w:t>
      </w:r>
      <w:r w:rsidRPr="00E92650">
        <w:rPr>
          <w:rFonts w:ascii="Times New Roman" w:hAnsi="Times New Roman"/>
          <w:lang w:val="en-GB"/>
        </w:rPr>
        <w:t xml:space="preserve"> the citadel</w:t>
      </w:r>
      <w:r w:rsidRPr="00F43097">
        <w:rPr>
          <w:rFonts w:ascii="Times New Roman" w:eastAsia="Calibri" w:hAnsi="Times New Roman" w:cs="Times New Roman"/>
          <w:lang w:val="en-GB"/>
        </w:rPr>
        <w:t>,</w:t>
      </w:r>
      <w:r w:rsidRPr="00E92650">
        <w:rPr>
          <w:rFonts w:ascii="Times New Roman" w:hAnsi="Times New Roman"/>
          <w:lang w:val="en-GB"/>
        </w:rPr>
        <w:t xml:space="preserve"> and other areas under the </w:t>
      </w:r>
      <w:r w:rsidRPr="00F43097">
        <w:rPr>
          <w:rFonts w:ascii="Times New Roman" w:eastAsia="Calibri" w:hAnsi="Times New Roman" w:cs="Times New Roman"/>
          <w:lang w:val="en-GB"/>
        </w:rPr>
        <w:t xml:space="preserve">kingdom's </w:t>
      </w:r>
      <w:r w:rsidRPr="00E92650">
        <w:rPr>
          <w:rFonts w:ascii="Times New Roman" w:hAnsi="Times New Roman"/>
          <w:lang w:val="en-GB"/>
        </w:rPr>
        <w:t>reign</w:t>
      </w:r>
      <w:r w:rsidRPr="00F43097">
        <w:rPr>
          <w:rFonts w:ascii="Times New Roman" w:eastAsia="Calibri" w:hAnsi="Times New Roman" w:cs="Times New Roman"/>
          <w:lang w:val="en-GB"/>
        </w:rPr>
        <w:t>?</w:t>
      </w:r>
      <w:r w:rsidRPr="00E92650">
        <w:rPr>
          <w:rFonts w:ascii="Times New Roman" w:hAnsi="Times New Roman"/>
          <w:lang w:val="en-GB"/>
        </w:rPr>
        <w:t xml:space="preserve"> Is it possible to relate </w:t>
      </w:r>
      <w:r w:rsidRPr="00F43097">
        <w:rPr>
          <w:rFonts w:ascii="Times New Roman" w:eastAsia="Calibri" w:hAnsi="Times New Roman" w:cs="Times New Roman"/>
          <w:lang w:val="en-GB"/>
        </w:rPr>
        <w:t>an</w:t>
      </w:r>
      <w:r w:rsidRPr="00E92650">
        <w:rPr>
          <w:rFonts w:ascii="Times New Roman" w:hAnsi="Times New Roman"/>
          <w:lang w:val="en-GB"/>
        </w:rPr>
        <w:t xml:space="preserve"> unidentified word or a term </w:t>
      </w:r>
      <w:r w:rsidRPr="00F43097">
        <w:rPr>
          <w:rFonts w:ascii="Times New Roman" w:eastAsia="Calibri" w:hAnsi="Times New Roman" w:cs="Times New Roman"/>
          <w:lang w:val="en-GB"/>
        </w:rPr>
        <w:t>from</w:t>
      </w:r>
      <w:r w:rsidRPr="00E92650">
        <w:rPr>
          <w:rFonts w:ascii="Times New Roman" w:hAnsi="Times New Roman"/>
          <w:lang w:val="en-GB"/>
        </w:rPr>
        <w:t xml:space="preserve"> Urartian </w:t>
      </w:r>
      <w:r w:rsidRPr="00F43097">
        <w:rPr>
          <w:rFonts w:ascii="Times New Roman" w:eastAsia="Calibri" w:hAnsi="Times New Roman" w:cs="Times New Roman"/>
          <w:lang w:val="en-GB"/>
        </w:rPr>
        <w:t>to</w:t>
      </w:r>
      <w:r w:rsidRPr="00E92650">
        <w:rPr>
          <w:rFonts w:ascii="Times New Roman" w:hAnsi="Times New Roman"/>
          <w:lang w:val="en-GB"/>
        </w:rPr>
        <w:t xml:space="preserve"> the graves? In either case, despite the presence of inscriptions in several Urartian monuments and </w:t>
      </w:r>
      <w:r w:rsidRPr="00F43097">
        <w:rPr>
          <w:rFonts w:ascii="Times New Roman" w:eastAsia="Calibri" w:hAnsi="Times New Roman" w:cs="Times New Roman"/>
          <w:lang w:val="en-GB"/>
        </w:rPr>
        <w:t>centers</w:t>
      </w:r>
      <w:r w:rsidRPr="00E92650">
        <w:rPr>
          <w:rFonts w:ascii="Times New Roman" w:hAnsi="Times New Roman"/>
          <w:lang w:val="en-GB"/>
        </w:rPr>
        <w:t xml:space="preserve">, it is intriguing that they have not recorded to whom the graves belonged or by whom they were built. A similar case applies to the lack of data </w:t>
      </w:r>
      <w:r w:rsidRPr="00F43097">
        <w:rPr>
          <w:rFonts w:ascii="Times New Roman" w:eastAsia="Calibri" w:hAnsi="Times New Roman" w:cs="Times New Roman"/>
          <w:lang w:val="en-GB"/>
        </w:rPr>
        <w:t>regarding</w:t>
      </w:r>
      <w:r w:rsidRPr="00E92650">
        <w:rPr>
          <w:rFonts w:ascii="Times New Roman" w:hAnsi="Times New Roman"/>
          <w:lang w:val="en-GB"/>
        </w:rPr>
        <w:t xml:space="preserve"> their burial traditions and how </w:t>
      </w:r>
      <w:r w:rsidRPr="00F43097">
        <w:rPr>
          <w:rFonts w:ascii="Times New Roman" w:eastAsia="Calibri" w:hAnsi="Times New Roman" w:cs="Times New Roman"/>
          <w:lang w:val="en-GB"/>
        </w:rPr>
        <w:t>they</w:t>
      </w:r>
      <w:r w:rsidRPr="00E92650">
        <w:rPr>
          <w:rFonts w:ascii="Times New Roman" w:hAnsi="Times New Roman"/>
          <w:lang w:val="en-GB"/>
        </w:rPr>
        <w:t xml:space="preserve"> were performed.</w:t>
      </w:r>
    </w:p>
    <w:p w14:paraId="24E4CABD" w14:textId="77777777" w:rsidR="006B23DC" w:rsidRPr="00E92650" w:rsidRDefault="006B23DC" w:rsidP="006B23DC">
      <w:pPr>
        <w:jc w:val="both"/>
        <w:rPr>
          <w:rFonts w:ascii="Times New Roman" w:hAnsi="Times New Roman"/>
          <w:lang w:val="en-GB"/>
        </w:rPr>
      </w:pPr>
    </w:p>
    <w:p w14:paraId="584DD295" w14:textId="77777777" w:rsidR="006B23DC" w:rsidRPr="00E92650" w:rsidRDefault="006B23DC" w:rsidP="006B23DC">
      <w:pPr>
        <w:jc w:val="both"/>
        <w:rPr>
          <w:rFonts w:ascii="Times New Roman" w:hAnsi="Times New Roman"/>
          <w:lang w:val="en-GB"/>
        </w:rPr>
      </w:pPr>
      <w:r w:rsidRPr="00E92650">
        <w:rPr>
          <w:rFonts w:ascii="Times New Roman" w:hAnsi="Times New Roman"/>
          <w:lang w:val="en-GB"/>
        </w:rPr>
        <w:t>However, dating based on style critiques and the architectural layouts of the tombs bring forth certain debates. For instance, if the location of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E92650">
        <w:rPr>
          <w:rFonts w:ascii="Times New Roman" w:hAnsi="Times New Roman"/>
          <w:lang w:val="en-GB"/>
        </w:rPr>
        <w:t xml:space="preserve"> tomb</w:t>
      </w:r>
      <w:r w:rsidRPr="00F43097">
        <w:rPr>
          <w:rFonts w:ascii="Times New Roman" w:eastAsia="Calibri" w:hAnsi="Times New Roman" w:cs="Times New Roman"/>
          <w:lang w:val="en-GB"/>
        </w:rPr>
        <w:t> suggests</w:t>
      </w:r>
      <w:r w:rsidRPr="00E92650">
        <w:rPr>
          <w:rFonts w:ascii="Times New Roman" w:hAnsi="Times New Roman"/>
          <w:lang w:val="en-GB"/>
        </w:rPr>
        <w:t xml:space="preserve"> that it could be dated to the reign of Sarduri</w:t>
      </w:r>
      <w:r w:rsidRPr="00F43097">
        <w:rPr>
          <w:rFonts w:ascii="Times New Roman" w:eastAsia="Calibri" w:hAnsi="Times New Roman" w:cs="Times New Roman"/>
          <w:lang w:val="en-GB"/>
        </w:rPr>
        <w:t> </w:t>
      </w:r>
      <w:r w:rsidRPr="00E92650">
        <w:rPr>
          <w:rFonts w:ascii="Times New Roman" w:hAnsi="Times New Roman"/>
          <w:lang w:val="en-GB"/>
        </w:rPr>
        <w:t>II</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E92650">
        <w:rPr>
          <w:rFonts w:ascii="Times New Roman" w:hAnsi="Times New Roman"/>
          <w:lang w:val="en-GB"/>
        </w:rPr>
        <w:t xml:space="preserve"> the lack of any inscriptions becomes further interesting, considering that Sarduri II embraced the same writing tradition with his father Argišti I</w:t>
      </w:r>
      <w:r w:rsidRPr="00F43097">
        <w:rPr>
          <w:rFonts w:ascii="Times New Roman" w:eastAsia="Calibri" w:hAnsi="Times New Roman" w:cs="Times New Roman"/>
          <w:lang w:val="en-GB"/>
        </w:rPr>
        <w:t>.</w:t>
      </w:r>
      <w:r w:rsidRPr="00E92650">
        <w:rPr>
          <w:rFonts w:ascii="Times New Roman" w:hAnsi="Times New Roman"/>
          <w:lang w:val="en-GB"/>
        </w:rPr>
        <w:t xml:space="preserve"> The lack of tomb inscriptions becomes further interesting if we consider that during the reign of Minua</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the use of </w:t>
      </w:r>
      <w:r w:rsidRPr="00E92650">
        <w:rPr>
          <w:rFonts w:ascii="Times New Roman" w:hAnsi="Times New Roman"/>
          <w:lang w:val="en-GB"/>
        </w:rPr>
        <w:t>writing became intensive</w:t>
      </w:r>
      <w:r w:rsidRPr="00F43097">
        <w:rPr>
          <w:rFonts w:ascii="Times New Roman" w:eastAsia="Calibri" w:hAnsi="Times New Roman" w:cs="Times New Roman"/>
          <w:lang w:val="en-GB"/>
        </w:rPr>
        <w:t>,</w:t>
      </w:r>
      <w:r w:rsidRPr="00E92650">
        <w:rPr>
          <w:rFonts w:ascii="Times New Roman" w:hAnsi="Times New Roman"/>
          <w:lang w:val="en-GB"/>
        </w:rPr>
        <w:t xml:space="preserve"> architectural advancement gained pace, and the </w:t>
      </w:r>
      <w:r w:rsidRPr="00E92650">
        <w:rPr>
          <w:rFonts w:ascii="Times New Roman" w:hAnsi="Times New Roman"/>
          <w:lang w:val="en-GB"/>
        </w:rPr>
        <w:lastRenderedPageBreak/>
        <w:t xml:space="preserve">presence of long and detailed inscriptions in the royal </w:t>
      </w:r>
      <w:r w:rsidRPr="00F43097">
        <w:rPr>
          <w:rFonts w:ascii="Times New Roman" w:eastAsia="Calibri" w:hAnsi="Times New Roman" w:cs="Times New Roman"/>
          <w:lang w:val="en-GB"/>
        </w:rPr>
        <w:t>centers</w:t>
      </w:r>
      <w:r w:rsidRPr="00E92650">
        <w:rPr>
          <w:rFonts w:ascii="Times New Roman" w:hAnsi="Times New Roman"/>
          <w:lang w:val="en-GB"/>
        </w:rPr>
        <w:t xml:space="preserve"> dating to the reign of Rusai Argištiḫi</w:t>
      </w:r>
      <w:r w:rsidRPr="00F43097">
        <w:rPr>
          <w:rFonts w:ascii="Times New Roman" w:eastAsia="Calibri" w:hAnsi="Times New Roman" w:cs="Times New Roman"/>
          <w:lang w:val="en-GB"/>
        </w:rPr>
        <w:t>.</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Rusai Argištiḫi</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iCs/>
          <w:lang w:val="en-GB"/>
        </w:rPr>
        <w:t>.</w:t>
      </w:r>
    </w:p>
    <w:p w14:paraId="3C948A07" w14:textId="03A5BD72" w:rsidR="006B23DC" w:rsidRDefault="006B23DC" w:rsidP="006B23DC">
      <w:pPr>
        <w:jc w:val="both"/>
        <w:rPr>
          <w:rFonts w:ascii="Times New Roman" w:hAnsi="Times New Roman"/>
          <w:lang w:val="en-GB"/>
        </w:rPr>
      </w:pPr>
      <w:r w:rsidRPr="00E92650">
        <w:rPr>
          <w:rFonts w:ascii="Times New Roman" w:hAnsi="Times New Roman"/>
          <w:lang w:val="en-GB"/>
        </w:rPr>
        <w:t xml:space="preserve">This paradox </w:t>
      </w:r>
      <w:r w:rsidRPr="00F43097">
        <w:rPr>
          <w:rFonts w:ascii="Times New Roman" w:eastAsia="Calibri" w:hAnsi="Times New Roman" w:cs="Times New Roman"/>
          <w:lang w:val="en-GB"/>
        </w:rPr>
        <w:t xml:space="preserve">about </w:t>
      </w:r>
      <w:r w:rsidRPr="00E92650">
        <w:rPr>
          <w:rFonts w:ascii="Times New Roman" w:hAnsi="Times New Roman"/>
          <w:lang w:val="en-GB"/>
        </w:rPr>
        <w:t xml:space="preserve">the dating of these tombs becomes more </w:t>
      </w:r>
      <w:r w:rsidRPr="00F43097">
        <w:rPr>
          <w:rFonts w:ascii="Times New Roman" w:eastAsia="Calibri" w:hAnsi="Times New Roman" w:cs="Times New Roman"/>
          <w:lang w:val="en-GB"/>
        </w:rPr>
        <w:t>emphasized</w:t>
      </w:r>
      <w:r w:rsidRPr="00E92650">
        <w:rPr>
          <w:rFonts w:ascii="Times New Roman" w:hAnsi="Times New Roman"/>
          <w:lang w:val="en-GB"/>
        </w:rPr>
        <w:t xml:space="preserve"> compared to such details. However, available archaeological and philological data complicate </w:t>
      </w:r>
      <w:r w:rsidRPr="00F43097">
        <w:rPr>
          <w:rFonts w:ascii="Times New Roman" w:eastAsia="Calibri" w:hAnsi="Times New Roman" w:cs="Times New Roman"/>
          <w:lang w:val="en-GB"/>
        </w:rPr>
        <w:t>establishing</w:t>
      </w:r>
      <w:r w:rsidRPr="00E92650">
        <w:rPr>
          <w:rFonts w:ascii="Times New Roman" w:hAnsi="Times New Roman"/>
          <w:lang w:val="en-GB"/>
        </w:rPr>
        <w:t xml:space="preserve"> a chronological relationship between the tombs and the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 xml:space="preserve">kings. </w:t>
      </w:r>
      <w:r w:rsidRPr="00F43097">
        <w:rPr>
          <w:rFonts w:ascii="Times New Roman" w:eastAsia="Calibri" w:hAnsi="Times New Roman" w:cs="Times New Roman"/>
          <w:lang w:val="en-GB"/>
        </w:rPr>
        <w:t>We could also debate the dating</w:t>
      </w:r>
      <w:r w:rsidRPr="00E92650">
        <w:rPr>
          <w:rFonts w:ascii="Times New Roman" w:hAnsi="Times New Roman"/>
          <w:lang w:val="en-GB"/>
        </w:rPr>
        <w:t xml:space="preserve"> of the Great Horhor</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E92650">
        <w:rPr>
          <w:rFonts w:ascii="Times New Roman" w:hAnsi="Times New Roman"/>
          <w:lang w:val="en-GB"/>
        </w:rPr>
        <w:t xml:space="preserve"> cave, where only the political activities of Argišti I</w:t>
      </w:r>
      <w:r w:rsidRPr="00F43097">
        <w:rPr>
          <w:rFonts w:ascii="Times New Roman" w:eastAsia="Calibri" w:hAnsi="Times New Roman" w:cs="Times New Roman"/>
          <w:lang w:val="en-GB"/>
        </w:rPr>
        <w:t xml:space="preserve"> were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Argišti</w:instrText>
      </w:r>
      <w:r w:rsidRPr="00F03A26">
        <w:rPr>
          <w:rFonts w:asciiTheme="majorBidi" w:hAnsiTheme="majorBidi" w:cstheme="majorBidi"/>
          <w:lang w:val="en-GB"/>
        </w:rPr>
        <w:instrText xml:space="preserve"> 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was </w:t>
      </w:r>
      <w:r w:rsidRPr="00E92650">
        <w:rPr>
          <w:rFonts w:ascii="Times New Roman" w:hAnsi="Times New Roman"/>
          <w:lang w:val="en-GB"/>
        </w:rPr>
        <w:t>inscribed</w:t>
      </w:r>
      <w:r w:rsidRPr="00F43097">
        <w:rPr>
          <w:rFonts w:ascii="Times New Roman" w:eastAsia="Calibri" w:hAnsi="Times New Roman" w:cs="Times New Roman"/>
          <w:lang w:val="en-GB"/>
        </w:rPr>
        <w:t>.</w:t>
      </w:r>
      <w:r w:rsidRPr="00E92650">
        <w:rPr>
          <w:rFonts w:ascii="Times New Roman" w:hAnsi="Times New Roman"/>
          <w:lang w:val="en-GB"/>
        </w:rPr>
        <w:t xml:space="preserve"> The </w:t>
      </w:r>
      <w:r w:rsidRPr="00F43097">
        <w:rPr>
          <w:rFonts w:ascii="Times New Roman" w:eastAsia="Calibri" w:hAnsi="Times New Roman" w:cs="Times New Roman"/>
          <w:lang w:val="en-GB"/>
        </w:rPr>
        <w:t>tomb's</w:t>
      </w:r>
      <w:r w:rsidRPr="00E92650">
        <w:rPr>
          <w:rFonts w:ascii="Times New Roman" w:hAnsi="Times New Roman"/>
          <w:lang w:val="en-GB"/>
        </w:rPr>
        <w:t xml:space="preserve"> construction technique and design are akin to the </w:t>
      </w:r>
      <w:r w:rsidRPr="00F43097">
        <w:rPr>
          <w:rFonts w:ascii="Times New Roman" w:eastAsia="Calibri" w:hAnsi="Times New Roman" w:cs="Times New Roman"/>
          <w:lang w:val="en-GB"/>
        </w:rPr>
        <w:t>Minua</w:t>
      </w:r>
      <w:r w:rsidR="00AA1737">
        <w:rPr>
          <w:rFonts w:ascii="Times New Roman" w:eastAsia="Calibri" w:hAnsi="Times New Roman" w:cs="Times New Roman"/>
          <w:lang w:val="en-GB"/>
        </w:rPr>
        <w:fldChar w:fldCharType="begin"/>
      </w:r>
      <w:r w:rsidR="00AA1737">
        <w:instrText xml:space="preserve"> XE "</w:instrText>
      </w:r>
      <w:r w:rsidR="00AA1737" w:rsidRPr="0097777E">
        <w:rPr>
          <w:rFonts w:asciiTheme="majorBidi" w:hAnsiTheme="majorBidi" w:cstheme="majorBidi"/>
          <w:lang w:val="en-GB"/>
        </w:rPr>
        <w:instrText>Minua</w:instrText>
      </w:r>
      <w:r w:rsidR="00AA1737">
        <w:instrText xml:space="preserve">" </w:instrText>
      </w:r>
      <w:r w:rsidR="00AA1737">
        <w:rPr>
          <w:rFonts w:ascii="Times New Roman" w:eastAsia="Calibri" w:hAnsi="Times New Roman" w:cs="Times New Roman"/>
          <w:lang w:val="en-GB"/>
        </w:rPr>
        <w:fldChar w:fldCharType="end"/>
      </w:r>
      <w:r w:rsidRPr="00F43097">
        <w:rPr>
          <w:rFonts w:ascii="Times New Roman" w:eastAsia="Calibri" w:hAnsi="Times New Roman" w:cs="Times New Roman"/>
          <w:lang w:val="en-GB"/>
        </w:rPr>
        <w:t>'s</w:t>
      </w:r>
      <w:r w:rsidRPr="00E92650">
        <w:rPr>
          <w:rFonts w:ascii="Times New Roman" w:hAnsi="Times New Roman"/>
          <w:lang w:val="en-GB"/>
        </w:rPr>
        <w:t xml:space="preserve"> </w:t>
      </w:r>
      <w:r w:rsidR="00233A43" w:rsidRPr="00274E5C">
        <w:rPr>
          <w:rFonts w:ascii="Times New Roman" w:hAnsi="Times New Roman"/>
          <w:lang w:val="en-GB"/>
        </w:rPr>
        <w:t>"</w:t>
      </w:r>
      <w:r w:rsidRPr="00E92650">
        <w:rPr>
          <w:rFonts w:ascii="Times New Roman" w:hAnsi="Times New Roman"/>
          <w:lang w:val="en-GB"/>
        </w:rPr>
        <w:t>siršini</w:t>
      </w:r>
      <w:r w:rsidR="00233A43" w:rsidRPr="00274E5C">
        <w:rPr>
          <w:rFonts w:ascii="Times New Roman" w:hAnsi="Times New Roman"/>
          <w:lang w:val="en-GB"/>
        </w:rPr>
        <w:t>"</w:t>
      </w:r>
      <w:r w:rsidRPr="00F43097">
        <w:rPr>
          <w:rFonts w:ascii="Times New Roman" w:eastAsia="Calibri" w:hAnsi="Times New Roman" w:cs="Times New Roman"/>
          <w:lang w:val="en-GB"/>
        </w:rPr>
        <w:t>,</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siršini</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lang w:val="en-GB"/>
        </w:rPr>
        <w:t>,</w:t>
      </w:r>
      <w:r w:rsidRPr="00E92650">
        <w:rPr>
          <w:rFonts w:ascii="Times New Roman" w:hAnsi="Times New Roman"/>
          <w:lang w:val="en-GB"/>
        </w:rPr>
        <w:t xml:space="preserve"> which was carved as a large hall into the bedrock (see </w:t>
      </w:r>
      <w:r w:rsidRPr="00F43097">
        <w:rPr>
          <w:rFonts w:ascii="Times New Roman" w:eastAsia="Calibri" w:hAnsi="Times New Roman" w:cs="Times New Roman"/>
          <w:lang w:val="en-GB"/>
        </w:rPr>
        <w:t>Chapter</w:t>
      </w:r>
      <w:r w:rsidRPr="00E92650">
        <w:rPr>
          <w:rFonts w:ascii="Times New Roman" w:hAnsi="Times New Roman"/>
          <w:lang w:val="en-GB"/>
        </w:rPr>
        <w:t xml:space="preserve"> 7). This monument is dated to the reign of Minua due to an inscription at its entrance. Such arguments should be taken into consideration in chronological debates of the tombs. This monument and its inscription suggest that Minua was the first king who made architectural arrangements in the Ṭušpa</w:t>
      </w:r>
      <w:r>
        <w:rPr>
          <w:rFonts w:asciiTheme="majorBidi" w:hAnsiTheme="majorBidi" w:cstheme="majorBidi"/>
          <w:iCs/>
          <w:lang w:val="en-GB"/>
        </w:rPr>
        <w:t>/Van</w:t>
      </w:r>
      <w:r w:rsidRPr="00F03A26">
        <w:rPr>
          <w:rFonts w:asciiTheme="majorBidi" w:hAnsiTheme="majorBidi" w:cstheme="majorBidi"/>
          <w:lang w:val="en-GB"/>
        </w:rPr>
        <w:t xml:space="preserve"> </w:t>
      </w:r>
      <w:r>
        <w:rPr>
          <w:rFonts w:asciiTheme="majorBidi" w:hAnsiTheme="majorBidi" w:cstheme="majorBidi"/>
          <w:lang w:val="en-GB"/>
        </w:rPr>
        <w:t>Rock</w:t>
      </w:r>
      <w:r>
        <w:rPr>
          <w:rFonts w:asciiTheme="majorBidi" w:hAnsiTheme="majorBidi" w:cstheme="majorBidi"/>
          <w:lang w:val="en-GB"/>
        </w:rPr>
        <w:fldChar w:fldCharType="begin"/>
      </w:r>
      <w:r>
        <w:instrText xml:space="preserve"> XE "</w:instrText>
      </w:r>
      <w:r w:rsidRPr="00AE200A">
        <w:rPr>
          <w:rFonts w:asciiTheme="majorBidi" w:hAnsiTheme="majorBidi" w:cstheme="majorBidi"/>
          <w:iCs/>
          <w:lang w:val="en-GB"/>
        </w:rPr>
        <w:instrText>Ṭušpa/Van Rock</w:instrText>
      </w:r>
      <w:r>
        <w:instrText xml:space="preserve">" </w:instrText>
      </w:r>
      <w:r>
        <w:rPr>
          <w:rFonts w:asciiTheme="majorBidi" w:hAnsiTheme="majorBidi" w:cstheme="majorBidi"/>
          <w:lang w:val="en-GB"/>
        </w:rPr>
        <w:fldChar w:fldCharType="end"/>
      </w:r>
      <w:r w:rsidRPr="00E92650">
        <w:rPr>
          <w:rFonts w:ascii="Times New Roman" w:hAnsi="Times New Roman"/>
          <w:lang w:val="en-GB"/>
        </w:rPr>
        <w:t xml:space="preserve"> (Genç, 2015: 279). However, the lack of any defining inscriptions in its possible tomb becomes interesting, considering that Minua defined the siršini with an inscription. It is also quite apparent that more than one king was buried inside these tombs, especially if one considers the presence of 11 Urartian kings and that all of them were possibly buried inside the </w:t>
      </w:r>
      <w:r w:rsidRPr="00F43097">
        <w:rPr>
          <w:rFonts w:ascii="Times New Roman" w:eastAsia="Calibri" w:hAnsi="Times New Roman" w:cs="Times New Roman"/>
          <w:lang w:val="en-GB"/>
        </w:rPr>
        <w:t>Ṭušpa</w:t>
      </w:r>
      <w:r>
        <w:rPr>
          <w:rFonts w:ascii="Times New Roman" w:eastAsia="Calibri" w:hAnsi="Times New Roman" w:cs="Times New Roman"/>
          <w:lang w:val="en-GB"/>
        </w:rPr>
        <w:t xml:space="preserve"> </w:t>
      </w:r>
      <w:r w:rsidRPr="00F43097">
        <w:rPr>
          <w:rFonts w:ascii="Times New Roman" w:eastAsia="Calibri" w:hAnsi="Times New Roman" w:cs="Times New Roman"/>
          <w:lang w:val="en-GB"/>
        </w:rPr>
        <w:t>citadel.</w:t>
      </w:r>
      <w:r w:rsidRPr="00E92650">
        <w:rPr>
          <w:rFonts w:ascii="Times New Roman" w:hAnsi="Times New Roman"/>
          <w:lang w:val="en-GB"/>
        </w:rPr>
        <w:t xml:space="preserve"> However, </w:t>
      </w:r>
      <w:r w:rsidRPr="00F43097">
        <w:rPr>
          <w:rFonts w:ascii="Times New Roman" w:eastAsia="Calibri" w:hAnsi="Times New Roman" w:cs="Times New Roman"/>
          <w:lang w:val="en-GB"/>
        </w:rPr>
        <w:t xml:space="preserve">as mentioned above, </w:t>
      </w:r>
      <w:r w:rsidRPr="00E92650">
        <w:rPr>
          <w:rFonts w:ascii="Times New Roman" w:hAnsi="Times New Roman"/>
          <w:lang w:val="en-GB"/>
        </w:rPr>
        <w:t>the lack of inscriptions</w:t>
      </w:r>
      <w:r w:rsidRPr="00F43097">
        <w:rPr>
          <w:rFonts w:ascii="Times New Roman" w:eastAsia="Calibri" w:hAnsi="Times New Roman" w:cs="Times New Roman"/>
          <w:lang w:val="en-GB"/>
        </w:rPr>
        <w:t xml:space="preserve"> </w:t>
      </w:r>
      <w:r w:rsidRPr="00E92650">
        <w:rPr>
          <w:rFonts w:ascii="Times New Roman" w:hAnsi="Times New Roman"/>
          <w:lang w:val="en-GB"/>
        </w:rPr>
        <w:t xml:space="preserve">makes </w:t>
      </w:r>
      <w:r w:rsidRPr="00F43097">
        <w:rPr>
          <w:rFonts w:ascii="Times New Roman" w:eastAsia="Calibri" w:hAnsi="Times New Roman" w:cs="Times New Roman"/>
          <w:lang w:val="en-GB"/>
        </w:rPr>
        <w:t>establishing</w:t>
      </w:r>
      <w:r w:rsidRPr="00E92650">
        <w:rPr>
          <w:rFonts w:ascii="Times New Roman" w:hAnsi="Times New Roman"/>
          <w:lang w:val="en-GB"/>
        </w:rPr>
        <w:t xml:space="preserve"> a relationship between the kings and the royal tombs</w:t>
      </w:r>
      <w:r w:rsidRPr="00F43097">
        <w:rPr>
          <w:rFonts w:ascii="Times New Roman" w:eastAsia="Calibri" w:hAnsi="Times New Roman" w:cs="Times New Roman"/>
          <w:lang w:val="en-GB"/>
        </w:rPr>
        <w:t xml:space="preserve"> challenging</w:t>
      </w:r>
      <w:r w:rsidRPr="00E92650">
        <w:rPr>
          <w:rFonts w:ascii="Times New Roman" w:hAnsi="Times New Roman"/>
          <w:lang w:val="en-GB"/>
        </w:rPr>
        <w:t>.</w:t>
      </w:r>
    </w:p>
    <w:p w14:paraId="25E0B2AD" w14:textId="77777777" w:rsidR="006B23DC" w:rsidRPr="00E92650" w:rsidRDefault="006B23DC" w:rsidP="006B23DC">
      <w:pPr>
        <w:jc w:val="both"/>
        <w:rPr>
          <w:rFonts w:ascii="Times New Roman" w:hAnsi="Times New Roman"/>
          <w:lang w:val="en-GB"/>
        </w:rPr>
      </w:pPr>
    </w:p>
    <w:p w14:paraId="29800E9A" w14:textId="77777777" w:rsidR="006B23DC" w:rsidRDefault="006B23DC" w:rsidP="006B23DC">
      <w:pPr>
        <w:jc w:val="both"/>
        <w:rPr>
          <w:rFonts w:ascii="Times New Roman" w:hAnsi="Times New Roman"/>
          <w:lang w:val="en-GB"/>
        </w:rPr>
      </w:pPr>
      <w:r w:rsidRPr="00E92650">
        <w:rPr>
          <w:rFonts w:ascii="Times New Roman" w:hAnsi="Times New Roman"/>
          <w:lang w:val="en-GB"/>
        </w:rPr>
        <w:t>General structural aspects and decorative elements of the İç Kale</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(Fig. 25-26),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E92650">
        <w:rPr>
          <w:rFonts w:ascii="Times New Roman" w:hAnsi="Times New Roman"/>
          <w:lang w:val="en-GB"/>
        </w:rPr>
        <w:t xml:space="preserve"> (Fig. 21-22</w:t>
      </w:r>
      <w:r w:rsidRPr="00F43097">
        <w:rPr>
          <w:rFonts w:ascii="Times New Roman" w:eastAsia="Calibri" w:hAnsi="Times New Roman" w:cs="Times New Roman"/>
          <w:lang w:val="en-GB"/>
        </w:rPr>
        <w:t>),</w:t>
      </w:r>
      <w:r w:rsidRPr="00E92650">
        <w:rPr>
          <w:rFonts w:ascii="Times New Roman" w:hAnsi="Times New Roman"/>
          <w:lang w:val="en-GB"/>
        </w:rPr>
        <w:t xml:space="preserve"> and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E92650">
        <w:rPr>
          <w:rFonts w:ascii="Times New Roman" w:hAnsi="Times New Roman"/>
          <w:lang w:val="en-GB"/>
        </w:rPr>
        <w:t xml:space="preserve"> tombs (Fig. 50-52) allow a general categorization. All three examples have facades. The </w:t>
      </w:r>
      <w:r w:rsidRPr="00F43097">
        <w:rPr>
          <w:rFonts w:ascii="Times New Roman" w:eastAsia="Calibri" w:hAnsi="Times New Roman" w:cs="Times New Roman"/>
          <w:lang w:val="en-GB"/>
        </w:rPr>
        <w:t>paneled</w:t>
      </w:r>
      <w:r w:rsidRPr="00E92650">
        <w:rPr>
          <w:rFonts w:ascii="Times New Roman" w:hAnsi="Times New Roman"/>
          <w:lang w:val="en-GB"/>
        </w:rPr>
        <w:t xml:space="preserve"> facade construction of the Neft Kuyu tomb</w:t>
      </w:r>
      <w:r w:rsidRPr="00F43097">
        <w:rPr>
          <w:rFonts w:ascii="Times New Roman" w:eastAsia="Calibri" w:hAnsi="Times New Roman" w:cs="Times New Roman"/>
          <w:lang w:val="en-GB"/>
        </w:rPr>
        <w:t> </w:t>
      </w:r>
      <w:r w:rsidRPr="00E92650">
        <w:rPr>
          <w:rFonts w:ascii="Times New Roman" w:hAnsi="Times New Roman"/>
          <w:lang w:val="en-GB"/>
        </w:rPr>
        <w:t>could reflect an attempt to represent the facade of an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monument (Fig. 35-37).</w:t>
      </w:r>
    </w:p>
    <w:p w14:paraId="3305C79D" w14:textId="77777777" w:rsidR="006B23DC" w:rsidRPr="00E92650" w:rsidRDefault="006B23DC" w:rsidP="006B23DC">
      <w:pPr>
        <w:jc w:val="both"/>
        <w:rPr>
          <w:rFonts w:ascii="Times New Roman" w:hAnsi="Times New Roman"/>
          <w:lang w:val="en-GB"/>
        </w:rPr>
      </w:pPr>
    </w:p>
    <w:p w14:paraId="30BCFE8A" w14:textId="32967EEF" w:rsidR="006B23DC" w:rsidRDefault="006B23DC" w:rsidP="006B23DC">
      <w:pPr>
        <w:jc w:val="both"/>
        <w:rPr>
          <w:rFonts w:asciiTheme="majorBidi" w:hAnsiTheme="majorBidi" w:cstheme="majorBidi"/>
          <w:lang w:val="en-GB"/>
        </w:rPr>
      </w:pPr>
      <w:r w:rsidRPr="00E92650">
        <w:rPr>
          <w:rFonts w:ascii="Times New Roman" w:hAnsi="Times New Roman"/>
          <w:lang w:val="en-GB"/>
        </w:rPr>
        <w:t xml:space="preserve">Especially on bronze </w:t>
      </w:r>
      <w:r w:rsidRPr="00F43097">
        <w:rPr>
          <w:rFonts w:ascii="Times New Roman" w:eastAsia="Calibri" w:hAnsi="Times New Roman" w:cs="Times New Roman"/>
          <w:lang w:val="en-GB"/>
        </w:rPr>
        <w:t>artifacts</w:t>
      </w:r>
      <w:r w:rsidRPr="00E92650">
        <w:rPr>
          <w:rFonts w:ascii="Times New Roman" w:hAnsi="Times New Roman"/>
          <w:lang w:val="en-GB"/>
        </w:rPr>
        <w:t xml:space="preserve"> such as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arches and votive plaques, two-story buildings with towers on both sides or with towers placed at certain intervals are depicted (Kleiss, 1982: 53-77). A consideration of the details of the facade arrangement of the Neft Kuyu</w:t>
      </w:r>
      <w:r w:rsidR="00E340E0">
        <w:rPr>
          <w:rFonts w:ascii="Times New Roman" w:hAnsi="Times New Roman"/>
          <w:lang w:val="en-GB"/>
        </w:rPr>
        <w:fldChar w:fldCharType="begin"/>
      </w:r>
      <w:r w:rsidR="00E340E0">
        <w:instrText xml:space="preserve"> XE "</w:instrText>
      </w:r>
      <w:r w:rsidR="00E340E0" w:rsidRPr="008E58F4">
        <w:rPr>
          <w:rFonts w:asciiTheme="majorBidi" w:hAnsiTheme="majorBidi" w:cstheme="majorBidi"/>
          <w:color w:val="000000" w:themeColor="text1"/>
          <w:lang w:val="en-GB"/>
        </w:rPr>
        <w:instrText>Neft Kuyu</w:instrText>
      </w:r>
      <w:r w:rsidR="00E340E0">
        <w:instrText xml:space="preserve">" </w:instrText>
      </w:r>
      <w:r w:rsidR="00E340E0">
        <w:rPr>
          <w:rFonts w:ascii="Times New Roman" w:hAnsi="Times New Roman"/>
          <w:lang w:val="en-GB"/>
        </w:rPr>
        <w:fldChar w:fldCharType="end"/>
      </w:r>
      <w:r w:rsidRPr="00F43097">
        <w:rPr>
          <w:rFonts w:ascii="Times New Roman" w:eastAsia="Calibri" w:hAnsi="Times New Roman" w:cs="Times New Roman"/>
          <w:lang w:val="en-GB"/>
        </w:rPr>
        <w:t xml:space="preserve"> tomb </w:t>
      </w:r>
      <w:r w:rsidRPr="00E92650">
        <w:rPr>
          <w:rFonts w:ascii="Times New Roman" w:hAnsi="Times New Roman"/>
          <w:lang w:val="en-GB"/>
        </w:rPr>
        <w:t>suggests a similarity with the depictions of the Urartian monuments (Fig. 35-37). The vertical and horizontal lines carved into the bedrock are among other lines of evidence that strengthen this interpretation. As previously indicated, there are striking similarities between the beam in the northeast room of the Neft Kuyu tomb and the beam depictions in a tomb with an inscription of Rusai Argištiḫi</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Rusai Argištiḫi</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E92650">
        <w:rPr>
          <w:rFonts w:ascii="Times New Roman" w:hAnsi="Times New Roman"/>
          <w:lang w:val="en-GB"/>
        </w:rPr>
        <w:t xml:space="preserve"> found in Mazgirt/Kaleköy</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"Mazgirt/Kaleköy" </w:instrText>
      </w:r>
      <w:r w:rsidRPr="00F03A26">
        <w:rPr>
          <w:rFonts w:asciiTheme="majorBidi" w:hAnsiTheme="majorBidi" w:cstheme="majorBidi"/>
          <w:lang w:val="en-GB"/>
        </w:rPr>
        <w:fldChar w:fldCharType="end"/>
      </w:r>
      <w:r w:rsidRPr="00F03A26">
        <w:rPr>
          <w:rFonts w:asciiTheme="majorBidi" w:hAnsiTheme="majorBidi" w:cstheme="majorBidi"/>
          <w:lang w:val="en-GB"/>
        </w:rPr>
        <w:t>.</w:t>
      </w:r>
    </w:p>
    <w:p w14:paraId="42ABE043" w14:textId="77777777" w:rsidR="006B23DC" w:rsidRPr="00E92650" w:rsidRDefault="006B23DC" w:rsidP="006B23DC">
      <w:pPr>
        <w:jc w:val="both"/>
        <w:rPr>
          <w:rFonts w:ascii="Times New Roman" w:hAnsi="Times New Roman"/>
          <w:lang w:val="en-GB"/>
        </w:rPr>
      </w:pPr>
    </w:p>
    <w:p w14:paraId="5D7DD0BE" w14:textId="77777777" w:rsidR="006B23DC" w:rsidRDefault="006B23DC" w:rsidP="006B23DC">
      <w:pPr>
        <w:jc w:val="both"/>
        <w:rPr>
          <w:rFonts w:ascii="Times New Roman" w:hAnsi="Times New Roman"/>
          <w:lang w:val="en-GB"/>
        </w:rPr>
      </w:pPr>
      <w:r w:rsidRPr="00E92650">
        <w:rPr>
          <w:rFonts w:ascii="Times New Roman" w:hAnsi="Times New Roman"/>
          <w:lang w:val="en-GB"/>
        </w:rPr>
        <w:t>Among other similarities between the tombs are the presence of platforms reached via steps where the dead might have been placed and the lack of niches—except the large niches inside the northwest room of the Neft Kuyu</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E92650">
        <w:rPr>
          <w:rFonts w:ascii="Times New Roman" w:hAnsi="Times New Roman"/>
          <w:lang w:val="en-GB"/>
        </w:rPr>
        <w:t xml:space="preserve"> tomb</w:t>
      </w:r>
      <w:r w:rsidRPr="00F43097">
        <w:rPr>
          <w:rFonts w:ascii="Times New Roman" w:eastAsia="Calibri" w:hAnsi="Times New Roman" w:cs="Times New Roman"/>
          <w:lang w:val="en-GB"/>
        </w:rPr>
        <w:t> </w:t>
      </w:r>
      <w:r w:rsidRPr="00E92650">
        <w:rPr>
          <w:rFonts w:ascii="Times New Roman" w:hAnsi="Times New Roman"/>
          <w:lang w:val="en-GB"/>
        </w:rPr>
        <w:t>(Fig. 40-41). Platforms and main halls reached through descending stairs, and the application of cornices in the main halls and some other rooms indicate more commonalities (Fig. 42-43). This detail applied in the main halls is encountered in another instance</w:t>
      </w:r>
      <w:r w:rsidRPr="00F43097">
        <w:rPr>
          <w:rFonts w:ascii="Times New Roman" w:eastAsia="Calibri" w:hAnsi="Times New Roman" w:cs="Times New Roman"/>
          <w:lang w:val="en-GB"/>
        </w:rPr>
        <w:t>, such</w:t>
      </w:r>
      <w:r w:rsidRPr="00E92650">
        <w:rPr>
          <w:rFonts w:ascii="Times New Roman" w:hAnsi="Times New Roman"/>
          <w:lang w:val="en-GB"/>
        </w:rPr>
        <w:t xml:space="preserve"> as the double-lined semi-circular </w:t>
      </w:r>
      <w:r w:rsidRPr="00F43097">
        <w:rPr>
          <w:rFonts w:ascii="Times New Roman" w:eastAsia="Calibri" w:hAnsi="Times New Roman" w:cs="Times New Roman"/>
          <w:lang w:val="en-GB"/>
        </w:rPr>
        <w:t>moldings</w:t>
      </w:r>
      <w:r w:rsidRPr="00E92650">
        <w:rPr>
          <w:rFonts w:ascii="Times New Roman" w:hAnsi="Times New Roman"/>
          <w:lang w:val="en-GB"/>
        </w:rPr>
        <w:t xml:space="preserve"> in the northwest room of the Neft Kuyu tomb. The main halls of the Neft Kuyu and İç Kale</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"İç 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tombs have been carved in the barrel vault</w:t>
      </w:r>
      <w:r w:rsidRPr="00F43097">
        <w:rPr>
          <w:rFonts w:ascii="Times New Roman" w:eastAsia="Calibri" w:hAnsi="Times New Roman" w:cs="Times New Roman"/>
          <w:lang w:val="en-GB"/>
        </w:rPr>
        <w:t xml:space="preserve"> </w:t>
      </w:r>
      <w:r w:rsidRPr="00E92650">
        <w:rPr>
          <w:rFonts w:ascii="Times New Roman" w:hAnsi="Times New Roman"/>
          <w:lang w:val="en-GB"/>
        </w:rPr>
        <w:t>shape, while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E92650">
        <w:rPr>
          <w:rFonts w:ascii="Times New Roman" w:hAnsi="Times New Roman"/>
          <w:lang w:val="en-GB"/>
        </w:rPr>
        <w:t xml:space="preserve"> tomb</w:t>
      </w:r>
      <w:r w:rsidRPr="00F43097">
        <w:rPr>
          <w:rFonts w:ascii="Times New Roman" w:eastAsia="Calibri" w:hAnsi="Times New Roman" w:cs="Times New Roman"/>
          <w:lang w:val="en-GB"/>
        </w:rPr>
        <w:t> </w:t>
      </w:r>
      <w:r w:rsidRPr="00E92650">
        <w:rPr>
          <w:rFonts w:ascii="Times New Roman" w:hAnsi="Times New Roman"/>
          <w:lang w:val="en-GB"/>
        </w:rPr>
        <w:t>was flat.</w:t>
      </w:r>
    </w:p>
    <w:p w14:paraId="43E37E17" w14:textId="77777777" w:rsidR="005563F2" w:rsidRPr="00E92650" w:rsidRDefault="005563F2" w:rsidP="006B23DC">
      <w:pPr>
        <w:jc w:val="both"/>
        <w:rPr>
          <w:rFonts w:ascii="Times New Roman" w:hAnsi="Times New Roman"/>
          <w:lang w:val="en-GB"/>
        </w:rPr>
      </w:pPr>
    </w:p>
    <w:p w14:paraId="3EBDF658" w14:textId="5AEE58D6" w:rsidR="006B23DC" w:rsidRDefault="006B23DC" w:rsidP="006B23DC">
      <w:pPr>
        <w:jc w:val="both"/>
        <w:rPr>
          <w:rFonts w:ascii="Times New Roman" w:hAnsi="Times New Roman"/>
          <w:lang w:val="en-GB"/>
        </w:rPr>
      </w:pPr>
      <w:r w:rsidRPr="00E92650">
        <w:rPr>
          <w:rFonts w:ascii="Times New Roman" w:hAnsi="Times New Roman"/>
          <w:lang w:val="en-GB"/>
        </w:rPr>
        <w:t>Because of their single-chamber planning, a post-Urartian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chronological suggestion for the Small Horhor</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tomb</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"Small Horhor </w:instrText>
      </w:r>
      <w:r>
        <w:rPr>
          <w:rFonts w:asciiTheme="majorBidi" w:hAnsiTheme="majorBidi" w:cstheme="majorBidi"/>
          <w:lang w:val="en-GB"/>
        </w:rPr>
        <w:instrText>t</w:instrText>
      </w:r>
      <w:r w:rsidRPr="00F03A26">
        <w:rPr>
          <w:rFonts w:asciiTheme="majorBidi" w:hAnsiTheme="majorBidi" w:cstheme="majorBidi"/>
          <w:lang w:val="en-GB"/>
        </w:rPr>
        <w:instrText xml:space="preserve">omb"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(Fig. 20), the Arsenal</w:t>
      </w:r>
      <w:r w:rsidRPr="00F03A26">
        <w:rPr>
          <w:rFonts w:asciiTheme="majorBidi" w:hAnsiTheme="majorBidi" w:cstheme="majorBidi"/>
          <w:lang w:val="en-GB"/>
        </w:rPr>
        <w:t>/</w:t>
      </w:r>
      <w:r w:rsidRPr="00E92650">
        <w:rPr>
          <w:rFonts w:ascii="Times New Roman" w:hAnsi="Times New Roman"/>
          <w:lang w:val="en-GB"/>
        </w:rPr>
        <w:t>BD78 tomb</w:t>
      </w:r>
      <w:r w:rsidRPr="00F43097">
        <w:rPr>
          <w:rFonts w:ascii="Times New Roman" w:eastAsia="Calibri" w:hAnsi="Times New Roman" w:cs="Times New Roman"/>
          <w:lang w:val="en-GB"/>
        </w:rPr>
        <w:t> </w:t>
      </w:r>
      <w:r w:rsidRPr="00F03A26">
        <w:rPr>
          <w:rFonts w:asciiTheme="majorBidi" w:hAnsiTheme="majorBidi" w:cstheme="majorBidi"/>
          <w:bCs/>
          <w:lang w:val="en-GB"/>
        </w:rPr>
        <w:fldChar w:fldCharType="begin"/>
      </w:r>
      <w:r w:rsidRPr="00F03A26">
        <w:rPr>
          <w:rFonts w:asciiTheme="majorBidi" w:hAnsiTheme="majorBidi" w:cstheme="majorBidi"/>
          <w:lang w:val="en-GB"/>
        </w:rPr>
        <w:instrText xml:space="preserve"> XE "Arsenal/</w:instrText>
      </w:r>
      <w:r w:rsidRPr="00F03A26">
        <w:rPr>
          <w:rFonts w:asciiTheme="majorBidi" w:hAnsiTheme="majorBidi" w:cstheme="majorBidi"/>
          <w:bCs/>
          <w:lang w:val="en-GB"/>
        </w:rPr>
        <w:instrText xml:space="preserve">BD78 </w:instrText>
      </w:r>
      <w:r w:rsidR="00AA1737">
        <w:rPr>
          <w:rFonts w:asciiTheme="majorBidi" w:hAnsiTheme="majorBidi" w:cstheme="majorBidi"/>
          <w:bCs/>
          <w:lang w:val="en-GB"/>
        </w:rPr>
        <w:instrText>t</w:instrText>
      </w:r>
      <w:r w:rsidRPr="00F03A26">
        <w:rPr>
          <w:rFonts w:asciiTheme="majorBidi" w:hAnsiTheme="majorBidi" w:cstheme="majorBidi"/>
          <w:bCs/>
          <w:lang w:val="en-GB"/>
        </w:rPr>
        <w:instrText>omb</w:instrText>
      </w:r>
      <w:r w:rsidRPr="00F03A26">
        <w:rPr>
          <w:rFonts w:asciiTheme="majorBidi" w:hAnsiTheme="majorBidi" w:cstheme="majorBidi"/>
          <w:lang w:val="en-GB"/>
        </w:rPr>
        <w:instrText xml:space="preserve">" </w:instrText>
      </w:r>
      <w:r w:rsidRPr="00F03A26">
        <w:rPr>
          <w:rFonts w:asciiTheme="majorBidi" w:hAnsiTheme="majorBidi" w:cstheme="majorBidi"/>
          <w:bCs/>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(Fig. 48</w:t>
      </w:r>
      <w:r w:rsidRPr="00F43097">
        <w:rPr>
          <w:rFonts w:ascii="Times New Roman" w:eastAsia="Calibri" w:hAnsi="Times New Roman" w:cs="Times New Roman"/>
          <w:lang w:val="en-GB"/>
        </w:rPr>
        <w:t>),</w:t>
      </w:r>
      <w:r w:rsidRPr="00E92650">
        <w:rPr>
          <w:rFonts w:ascii="Times New Roman" w:hAnsi="Times New Roman"/>
          <w:lang w:val="en-GB"/>
        </w:rPr>
        <w:t xml:space="preserve"> and the small burial chambers located underneath the Great Platform</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"Great Platform"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is a matter of debate (Fig. 45). The lack of niches with an arch above, a widespread application during later periods, suggests a re-evaluation of the dating of these tombs.</w:t>
      </w:r>
    </w:p>
    <w:p w14:paraId="1C177201" w14:textId="77777777" w:rsidR="006B23DC" w:rsidRPr="00E92650" w:rsidRDefault="006B23DC" w:rsidP="006B23DC">
      <w:pPr>
        <w:jc w:val="both"/>
        <w:rPr>
          <w:rFonts w:ascii="Times New Roman" w:hAnsi="Times New Roman"/>
          <w:lang w:val="en-GB"/>
        </w:rPr>
      </w:pPr>
    </w:p>
    <w:p w14:paraId="18A06856" w14:textId="203C2AB5" w:rsidR="006B23DC" w:rsidRDefault="006B23DC" w:rsidP="006B23DC">
      <w:pPr>
        <w:jc w:val="both"/>
        <w:rPr>
          <w:rFonts w:ascii="Times New Roman" w:hAnsi="Times New Roman"/>
          <w:lang w:val="en-GB"/>
        </w:rPr>
      </w:pPr>
      <w:r w:rsidRPr="00E92650">
        <w:rPr>
          <w:rFonts w:ascii="Times New Roman" w:hAnsi="Times New Roman"/>
          <w:lang w:val="en-GB"/>
        </w:rPr>
        <w:t>BG90 tomb</w:t>
      </w:r>
      <w:r w:rsidR="00EA6C63">
        <w:rPr>
          <w:rFonts w:ascii="Times New Roman" w:hAnsi="Times New Roman"/>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imes New Roman" w:hAnsi="Times New Roman"/>
          <w:lang w:val="en-GB"/>
        </w:rPr>
        <w:fldChar w:fldCharType="end"/>
      </w:r>
      <w:r w:rsidRPr="00F43097">
        <w:rPr>
          <w:rFonts w:ascii="Times New Roman" w:eastAsia="Calibri" w:hAnsi="Times New Roman" w:cs="Times New Roman"/>
          <w:lang w:val="en-GB"/>
        </w:rPr>
        <w:t> </w:t>
      </w:r>
      <w:r w:rsidRPr="00E92650">
        <w:rPr>
          <w:rFonts w:ascii="Times New Roman" w:hAnsi="Times New Roman"/>
          <w:lang w:val="en-GB"/>
        </w:rPr>
        <w:t>uncovered in the area known as the East Ditch</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"East Ditch"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of the Ṭušpa</w:t>
      </w:r>
      <w:r w:rsidRPr="00F43097">
        <w:rPr>
          <w:rFonts w:ascii="Times New Roman" w:eastAsia="Calibri" w:hAnsi="Times New Roman" w:cs="Times New Roman"/>
          <w:lang w:val="en-GB"/>
        </w:rPr>
        <w:t> </w:t>
      </w:r>
      <w:r w:rsidRPr="00E92650">
        <w:rPr>
          <w:rFonts w:ascii="Times New Roman" w:hAnsi="Times New Roman"/>
          <w:lang w:val="en-GB"/>
        </w:rPr>
        <w:t xml:space="preserve">citadel has a different architectural planning than the so-far known rock-cut tombs (Fig. 65-67). The niche system lying along the walls of the main hall and the possible superstructure of the tomb put it in a </w:t>
      </w:r>
      <w:r w:rsidRPr="00E92650">
        <w:rPr>
          <w:rFonts w:ascii="Times New Roman" w:hAnsi="Times New Roman"/>
          <w:lang w:val="en-GB"/>
        </w:rPr>
        <w:lastRenderedPageBreak/>
        <w:t>unique place (Fig. 68). This underground rock-cut tomb constructed by carving the bedrock differs from the rock-cut tombs inside the citadel, which are known and began to be documented since the 19th century onwards. The Neft Kuyu</w:t>
      </w:r>
      <w:r w:rsidRPr="00F43097">
        <w:rPr>
          <w:rFonts w:ascii="Times New Roman" w:eastAsia="Calibri" w:hAnsi="Times New Roman" w:cs="Times New Roman"/>
          <w:lang w:val="en-GB"/>
        </w:rPr>
        <w:t>,</w:t>
      </w:r>
      <w:r>
        <w:rPr>
          <w:rFonts w:asciiTheme="majorBidi" w:hAnsiTheme="majorBidi" w:cstheme="majorBidi"/>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w:t>
      </w:r>
      <w:r w:rsidRPr="00E92650">
        <w:rPr>
          <w:rFonts w:ascii="Times New Roman" w:hAnsi="Times New Roman"/>
          <w:lang w:val="en-GB"/>
        </w:rPr>
        <w:t xml:space="preserve"> İç Kale</w:t>
      </w:r>
      <w:r w:rsidRPr="00F43097">
        <w:rPr>
          <w:rFonts w:ascii="Times New Roman" w:eastAsia="Calibri" w:hAnsi="Times New Roman" w:cs="Times New Roman"/>
          <w:lang w:val="en-GB"/>
        </w:rPr>
        <w:t>,</w:t>
      </w:r>
      <w:r>
        <w:rPr>
          <w:rFonts w:asciiTheme="majorBidi" w:hAnsiTheme="majorBidi" w:cstheme="majorBidi"/>
          <w:lang w:val="en-GB"/>
        </w:rPr>
        <w:fldChar w:fldCharType="begin"/>
      </w:r>
      <w:r>
        <w:instrText xml:space="preserve"> XE "</w:instrText>
      </w:r>
      <w:r w:rsidRPr="00F87406">
        <w:rPr>
          <w:rFonts w:asciiTheme="majorBidi" w:hAnsiTheme="majorBidi" w:cstheme="majorBidi"/>
        </w:rPr>
        <w:instrText>İç Kale</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w:t>
      </w:r>
      <w:r w:rsidRPr="00E92650">
        <w:rPr>
          <w:rFonts w:ascii="Times New Roman" w:hAnsi="Times New Roman"/>
          <w:lang w:val="en-GB"/>
        </w:rPr>
        <w:t xml:space="preserve"> Argišti I</w:t>
      </w:r>
      <w:r w:rsidRPr="00F4309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 xml:space="preserve">Argišti </w:instrText>
      </w:r>
      <w:r w:rsidRPr="00F03A26">
        <w:rPr>
          <w:rFonts w:asciiTheme="majorBidi" w:hAnsiTheme="majorBidi" w:cstheme="majorBidi"/>
          <w:lang w:val="en-GB"/>
        </w:rPr>
        <w:instrText xml:space="preserve">I" </w:instrText>
      </w:r>
      <w:r w:rsidRPr="00F03A26">
        <w:rPr>
          <w:rFonts w:asciiTheme="majorBidi" w:hAnsiTheme="majorBidi" w:cstheme="majorBidi"/>
          <w:lang w:val="en-GB"/>
        </w:rPr>
        <w:fldChar w:fldCharType="end"/>
      </w:r>
      <w:r w:rsidRPr="00E92650">
        <w:rPr>
          <w:rFonts w:ascii="Times New Roman" w:hAnsi="Times New Roman"/>
          <w:lang w:val="en-GB"/>
        </w:rPr>
        <w:t xml:space="preserve"> and the Doğu Odaları</w:t>
      </w:r>
      <w:r>
        <w:rPr>
          <w:rFonts w:asciiTheme="majorBidi" w:hAnsiTheme="majorBidi" w:cstheme="majorBidi"/>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heme="majorBidi" w:hAnsiTheme="majorBidi" w:cstheme="majorBidi"/>
          <w:lang w:val="en-GB"/>
        </w:rPr>
        <w:fldChar w:fldCharType="end"/>
      </w:r>
      <w:r w:rsidRPr="00E92650">
        <w:rPr>
          <w:rFonts w:ascii="Times New Roman" w:hAnsi="Times New Roman"/>
          <w:lang w:val="en-GB"/>
        </w:rPr>
        <w:t xml:space="preserve"> tombs are multi-chambered graves, and each has a facade. However, the recently uncovered BG90 tomb was built underground and consists of a dromos-type front room and a main hall behind</w:t>
      </w:r>
      <w:r w:rsidRPr="00F43097">
        <w:rPr>
          <w:rFonts w:ascii="Times New Roman" w:eastAsia="Calibri" w:hAnsi="Times New Roman" w:cs="Times New Roman"/>
          <w:lang w:val="en-GB"/>
        </w:rPr>
        <w:t xml:space="preserve"> it</w:t>
      </w:r>
      <w:r w:rsidRPr="00E92650">
        <w:rPr>
          <w:rFonts w:ascii="Times New Roman" w:hAnsi="Times New Roman"/>
          <w:lang w:val="en-GB"/>
        </w:rPr>
        <w:t>. In this regard, this tomb is akin to the Qala Ismail Agha</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"Qala Ismail Agha"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 xml:space="preserve">example. Differing from other rock-cut tombs in the Ṭušpa citadel, it represents the first example of its kind in Ṭušpa. From the </w:t>
      </w:r>
      <w:r w:rsidRPr="00F43097">
        <w:rPr>
          <w:rFonts w:ascii="Times New Roman" w:eastAsia="Calibri" w:hAnsi="Times New Roman" w:cs="Times New Roman"/>
          <w:lang w:val="en-GB"/>
        </w:rPr>
        <w:t xml:space="preserve">planning </w:t>
      </w:r>
      <w:r w:rsidRPr="00E92650">
        <w:rPr>
          <w:rFonts w:ascii="Times New Roman" w:hAnsi="Times New Roman"/>
          <w:lang w:val="en-GB"/>
        </w:rPr>
        <w:t>perspective, underground rock-cut and stone-lined tombs, known as public graves, are present in the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geography. However, when one considers the Urartian royal tombs in the capital of Ṭušpa, the location, workmanship, and design of the BG90 tomb suggest a different interpretation.</w:t>
      </w:r>
    </w:p>
    <w:p w14:paraId="2BECA890" w14:textId="77777777" w:rsidR="006B23DC" w:rsidRPr="00E92650" w:rsidRDefault="006B23DC" w:rsidP="006B23DC">
      <w:pPr>
        <w:jc w:val="both"/>
        <w:rPr>
          <w:rFonts w:ascii="Times New Roman" w:hAnsi="Times New Roman"/>
          <w:lang w:val="en-GB"/>
        </w:rPr>
      </w:pPr>
    </w:p>
    <w:p w14:paraId="5CCF60F7" w14:textId="3F3F2557" w:rsidR="006B23DC" w:rsidRDefault="006B23DC" w:rsidP="006B23DC">
      <w:pPr>
        <w:jc w:val="both"/>
        <w:rPr>
          <w:rFonts w:ascii="Times New Roman" w:hAnsi="Times New Roman"/>
          <w:lang w:val="en-GB"/>
        </w:rPr>
      </w:pPr>
      <w:r w:rsidRPr="00E92650">
        <w:rPr>
          <w:rFonts w:ascii="Times New Roman" w:hAnsi="Times New Roman"/>
          <w:lang w:val="en-GB"/>
        </w:rPr>
        <w:t>The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 xml:space="preserve">rock-cut tomb tradition is related to the underground burial chambers with dromos, which </w:t>
      </w:r>
      <w:r w:rsidRPr="00F43097">
        <w:rPr>
          <w:rFonts w:ascii="Times New Roman" w:eastAsia="Calibri" w:hAnsi="Times New Roman" w:cs="Times New Roman"/>
          <w:lang w:val="en-GB"/>
        </w:rPr>
        <w:t>were</w:t>
      </w:r>
      <w:r w:rsidRPr="00E92650">
        <w:rPr>
          <w:rFonts w:ascii="Times New Roman" w:hAnsi="Times New Roman"/>
          <w:lang w:val="en-GB"/>
        </w:rPr>
        <w:t xml:space="preserve"> interpreted as public graves and had been used since the Early Iron Age</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"Early Iron Age"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into the Urartian period (Erzen</w:t>
      </w:r>
      <w:r w:rsidRPr="00F43097">
        <w:rPr>
          <w:rFonts w:ascii="Times New Roman" w:eastAsia="Calibri" w:hAnsi="Times New Roman" w:cs="Times New Roman"/>
          <w:lang w:val="en-GB"/>
        </w:rPr>
        <w:t>,</w:t>
      </w:r>
      <w:r w:rsidRPr="00E92650">
        <w:rPr>
          <w:rFonts w:ascii="Times New Roman" w:hAnsi="Times New Roman"/>
          <w:lang w:val="en-GB"/>
        </w:rPr>
        <w:t xml:space="preserve"> 1964: 570-571; Sevin &amp; Kavaklı, 1996b: 47-48). At this point, the location and typological characteristics of the BG90 tomb</w:t>
      </w:r>
      <w:r w:rsidR="00EA6C63">
        <w:rPr>
          <w:rFonts w:ascii="Times New Roman" w:hAnsi="Times New Roman"/>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imes New Roman" w:hAnsi="Times New Roman"/>
          <w:lang w:val="en-GB"/>
        </w:rPr>
        <w:fldChar w:fldCharType="end"/>
      </w:r>
      <w:r w:rsidRPr="00F43097">
        <w:rPr>
          <w:rFonts w:ascii="Times New Roman" w:eastAsia="Calibri" w:hAnsi="Times New Roman" w:cs="Times New Roman"/>
          <w:lang w:val="en-GB"/>
        </w:rPr>
        <w:t> make</w:t>
      </w:r>
      <w:r w:rsidRPr="00F03A26">
        <w:rPr>
          <w:rFonts w:asciiTheme="majorBidi" w:hAnsiTheme="majorBidi" w:cstheme="majorBidi"/>
          <w:lang w:val="en-GB"/>
        </w:rPr>
        <w:t xml:space="preserve"> makes</w:t>
      </w:r>
      <w:r w:rsidRPr="00E92650">
        <w:rPr>
          <w:rFonts w:ascii="Times New Roman" w:hAnsi="Times New Roman"/>
          <w:lang w:val="en-GB"/>
        </w:rPr>
        <w:t xml:space="preserve"> it plausible to interpret it as a transitional tomb between the Urartian underground burial chamber tradition and the royal rock-cut tomb tradition. Thus, it could be suggested that the multi-chambered burial chambers at the citadel, with their monumental facades and entrances, did not appear suddenly but transformed through time from the underground burial chambers with specific entrance systems. This brings forth the question of when this transition from the underground burial chambers known as the Urartian Public Graves to the monumental multi-chambered tomb types of which striking examples are known from the Urartian capital Ṭušpa</w:t>
      </w:r>
      <w:r w:rsidRPr="00F43097">
        <w:rPr>
          <w:rFonts w:ascii="Times New Roman" w:eastAsia="Calibri" w:hAnsi="Times New Roman" w:cs="Times New Roman"/>
          <w:lang w:val="en-GB"/>
        </w:rPr>
        <w:t> </w:t>
      </w:r>
      <w:r w:rsidRPr="00E92650">
        <w:rPr>
          <w:rFonts w:ascii="Times New Roman" w:hAnsi="Times New Roman"/>
          <w:lang w:val="en-GB"/>
        </w:rPr>
        <w:t xml:space="preserve">occur. Although some explanations have been proposed for the architectural origins and evolution of these monumental tombs, which </w:t>
      </w:r>
      <w:r w:rsidRPr="00F43097">
        <w:rPr>
          <w:rFonts w:ascii="Times New Roman" w:eastAsia="Calibri" w:hAnsi="Times New Roman" w:cs="Times New Roman"/>
          <w:lang w:val="en-GB"/>
        </w:rPr>
        <w:t>initially</w:t>
      </w:r>
      <w:r w:rsidRPr="00E92650">
        <w:rPr>
          <w:rFonts w:ascii="Times New Roman" w:hAnsi="Times New Roman"/>
          <w:lang w:val="en-GB"/>
        </w:rPr>
        <w:t xml:space="preserve"> appear to have lacked pioneering examples, today</w:t>
      </w:r>
      <w:r w:rsidRPr="00F43097">
        <w:rPr>
          <w:rFonts w:ascii="Times New Roman" w:eastAsia="Calibri" w:hAnsi="Times New Roman" w:cs="Times New Roman"/>
          <w:lang w:val="en-GB"/>
        </w:rPr>
        <w:t>,</w:t>
      </w:r>
      <w:r w:rsidRPr="00E92650">
        <w:rPr>
          <w:rFonts w:ascii="Times New Roman" w:hAnsi="Times New Roman"/>
          <w:lang w:val="en-GB"/>
        </w:rPr>
        <w:t xml:space="preserve"> we are presented with a more solid example to understand this relationship.</w:t>
      </w:r>
    </w:p>
    <w:p w14:paraId="50CB890E" w14:textId="77777777" w:rsidR="006B23DC" w:rsidRPr="00E92650" w:rsidRDefault="006B23DC" w:rsidP="006B23DC">
      <w:pPr>
        <w:jc w:val="both"/>
        <w:rPr>
          <w:rFonts w:ascii="Times New Roman" w:hAnsi="Times New Roman"/>
          <w:lang w:val="en-GB"/>
        </w:rPr>
      </w:pPr>
    </w:p>
    <w:p w14:paraId="1AC7C6A3" w14:textId="74884E4C" w:rsidR="006B23DC" w:rsidRDefault="006B23DC" w:rsidP="006B23DC">
      <w:pPr>
        <w:jc w:val="both"/>
      </w:pPr>
      <w:r w:rsidRPr="00E92650">
        <w:rPr>
          <w:rFonts w:ascii="Times New Roman" w:hAnsi="Times New Roman"/>
          <w:lang w:val="en-GB"/>
        </w:rPr>
        <w:t>Rock-cut tombs of Ṭušpa</w:t>
      </w:r>
      <w:r w:rsidRPr="00F43097">
        <w:rPr>
          <w:rFonts w:ascii="Times New Roman" w:eastAsia="Calibri" w:hAnsi="Times New Roman" w:cs="Times New Roman"/>
          <w:lang w:val="en-GB"/>
        </w:rPr>
        <w:t> </w:t>
      </w:r>
      <w:r w:rsidRPr="00E92650">
        <w:rPr>
          <w:rFonts w:ascii="Times New Roman" w:hAnsi="Times New Roman"/>
          <w:lang w:val="en-GB"/>
        </w:rPr>
        <w:t xml:space="preserve">reflect royal characteristics </w:t>
      </w:r>
      <w:r w:rsidRPr="00F43097">
        <w:rPr>
          <w:rFonts w:ascii="Times New Roman" w:eastAsia="Calibri" w:hAnsi="Times New Roman" w:cs="Times New Roman"/>
          <w:lang w:val="en-GB"/>
        </w:rPr>
        <w:t>regarding</w:t>
      </w:r>
      <w:r w:rsidRPr="00E92650">
        <w:rPr>
          <w:rFonts w:ascii="Times New Roman" w:hAnsi="Times New Roman"/>
          <w:lang w:val="en-GB"/>
        </w:rPr>
        <w:t xml:space="preserve"> their location and planning. The lack of terms defining the graves in the Urartian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culture and any inscriptions or written records defining who was buried inside these tombs make it impossible to determine for which king or royal family these tombs were built. However, especially the concept of burying the kings and royals inside the citadel and some structural aspects of these tombs, such as planning and decoration, bear similarities with the contemporaneous Assyrian</w:t>
      </w:r>
      <w:r w:rsidRPr="00F4309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E92650">
        <w:rPr>
          <w:rFonts w:ascii="Times New Roman" w:hAnsi="Times New Roman"/>
          <w:lang w:val="en-GB"/>
        </w:rPr>
        <w:t>culture. The Assyrian kings were buried inside single- or multi-chambered tombs built underneath the citadels or palaces. In addition to the multi-chambered rock-cut tombs in the Ṭušpa citadel, the BG90 tomb</w:t>
      </w:r>
      <w:r w:rsidR="00EA6C63">
        <w:rPr>
          <w:rFonts w:ascii="Times New Roman" w:hAnsi="Times New Roman"/>
          <w:lang w:val="en-GB"/>
        </w:rPr>
        <w:fldChar w:fldCharType="begin"/>
      </w:r>
      <w:r w:rsidR="00EA6C63">
        <w:instrText xml:space="preserve"> XE "</w:instrText>
      </w:r>
      <w:r w:rsidR="00EA6C63" w:rsidRPr="002F2F81">
        <w:rPr>
          <w:rFonts w:asciiTheme="majorBidi" w:hAnsiTheme="majorBidi" w:cstheme="majorBidi"/>
          <w:color w:val="000000" w:themeColor="text1"/>
          <w:lang w:val="en-GB"/>
        </w:rPr>
        <w:instrText>BG90 tomb</w:instrText>
      </w:r>
      <w:r w:rsidR="00EA6C63">
        <w:instrText xml:space="preserve">" </w:instrText>
      </w:r>
      <w:r w:rsidR="00EA6C63">
        <w:rPr>
          <w:rFonts w:ascii="Times New Roman" w:hAnsi="Times New Roman"/>
          <w:lang w:val="en-GB"/>
        </w:rPr>
        <w:fldChar w:fldCharType="end"/>
      </w:r>
      <w:r w:rsidRPr="00F43097">
        <w:rPr>
          <w:rFonts w:ascii="Times New Roman" w:eastAsia="Calibri" w:hAnsi="Times New Roman" w:cs="Times New Roman"/>
          <w:lang w:val="en-GB"/>
        </w:rPr>
        <w:t> </w:t>
      </w:r>
      <w:r w:rsidRPr="00F03A26">
        <w:rPr>
          <w:rFonts w:asciiTheme="majorBidi" w:hAnsiTheme="majorBidi" w:cstheme="majorBidi"/>
          <w:lang w:val="en-GB"/>
        </w:rPr>
        <w:t xml:space="preserve"> </w:t>
      </w:r>
      <w:r w:rsidRPr="00E92650">
        <w:rPr>
          <w:rFonts w:ascii="Times New Roman" w:hAnsi="Times New Roman"/>
          <w:lang w:val="en-GB"/>
        </w:rPr>
        <w:t>suggests that the Urartian kings might have been buried in single-chambered tombs as well. The structural characteristics of this burial chamber also exhibit a pioneering type for the transition to the monumental rock-cut tombs in the citadel.</w:t>
      </w:r>
    </w:p>
    <w:p w14:paraId="037F0795" w14:textId="30C6947D" w:rsidR="006B23DC" w:rsidRPr="00F03A26" w:rsidRDefault="006B23DC" w:rsidP="00F03A26">
      <w:pPr>
        <w:pStyle w:val="AklamaMetni"/>
        <w:spacing w:before="100" w:beforeAutospacing="1" w:after="100" w:afterAutospacing="1"/>
        <w:jc w:val="both"/>
        <w:rPr>
          <w:rFonts w:asciiTheme="majorBidi" w:hAnsiTheme="majorBidi" w:cstheme="majorBidi"/>
          <w:sz w:val="24"/>
          <w:szCs w:val="24"/>
          <w:lang w:val="en-GB"/>
        </w:rPr>
        <w:sectPr w:rsidR="006B23DC" w:rsidRPr="00F03A26" w:rsidSect="007F3733">
          <w:pgSz w:w="11909" w:h="16834"/>
          <w:pgMar w:top="1440" w:right="1440" w:bottom="1440" w:left="1440" w:header="720" w:footer="720" w:gutter="0"/>
          <w:cols w:space="708"/>
        </w:sectPr>
      </w:pPr>
    </w:p>
    <w:p w14:paraId="636051EF" w14:textId="3D125621" w:rsidR="00957B45" w:rsidRPr="00F03A26" w:rsidRDefault="0051046F"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lastRenderedPageBreak/>
        <w:t xml:space="preserve"> </w:t>
      </w:r>
    </w:p>
    <w:p w14:paraId="07F13A14" w14:textId="6042511D" w:rsidR="00957B45" w:rsidRPr="00F03A26" w:rsidRDefault="00957B45" w:rsidP="00860408">
      <w:pPr>
        <w:pStyle w:val="Balk1"/>
      </w:pPr>
      <w:bookmarkStart w:id="154" w:name="_Toc132072557"/>
      <w:bookmarkStart w:id="155" w:name="_Toc173231251"/>
      <w:r w:rsidRPr="00F03A26">
        <w:t xml:space="preserve">CHAPTER </w:t>
      </w:r>
      <w:bookmarkEnd w:id="154"/>
      <w:r w:rsidR="007F268B" w:rsidRPr="00F03A26">
        <w:t>X</w:t>
      </w:r>
      <w:bookmarkEnd w:id="155"/>
    </w:p>
    <w:p w14:paraId="4C4DC963" w14:textId="443C2DE0" w:rsidR="00957B45" w:rsidRPr="00F03A26" w:rsidRDefault="00957B45" w:rsidP="00860408">
      <w:pPr>
        <w:pStyle w:val="Balk1"/>
      </w:pPr>
      <w:bookmarkStart w:id="156" w:name="_Toc132072558"/>
      <w:bookmarkStart w:id="157" w:name="_Toc173231252"/>
      <w:r w:rsidRPr="00F03A26">
        <w:t>The Archaeology, Description, and Possible Functions of the Monumental Memory of Ṭušpa, Analıkız</w:t>
      </w:r>
      <w:bookmarkEnd w:id="156"/>
      <w:bookmarkEnd w:id="157"/>
      <w:r w:rsidR="005F421B" w:rsidRPr="00F03A26">
        <w:fldChar w:fldCharType="begin"/>
      </w:r>
      <w:r w:rsidR="005F421B" w:rsidRPr="00F03A26">
        <w:instrText xml:space="preserve"> XE "Analıkız" </w:instrText>
      </w:r>
      <w:r w:rsidR="005F421B" w:rsidRPr="00F03A26">
        <w:fldChar w:fldCharType="end"/>
      </w:r>
    </w:p>
    <w:p w14:paraId="149105EB" w14:textId="77777777" w:rsidR="002F4530" w:rsidRPr="00F03A26" w:rsidRDefault="002F4530" w:rsidP="00AC3B15">
      <w:pPr>
        <w:spacing w:before="100" w:beforeAutospacing="1" w:after="100" w:afterAutospacing="1"/>
        <w:jc w:val="right"/>
        <w:rPr>
          <w:rFonts w:asciiTheme="majorBidi" w:hAnsiTheme="majorBidi" w:cstheme="majorBidi"/>
          <w:b/>
          <w:lang w:val="en-GB"/>
        </w:rPr>
      </w:pPr>
      <w:bookmarkStart w:id="158" w:name="_Hlk173019617"/>
      <w:r w:rsidRPr="00F03A26">
        <w:rPr>
          <w:rFonts w:asciiTheme="majorBidi" w:hAnsiTheme="majorBidi" w:cstheme="majorBidi"/>
          <w:b/>
          <w:lang w:val="en-GB"/>
        </w:rPr>
        <w:t>Bülent Genç</w:t>
      </w:r>
    </w:p>
    <w:bookmarkEnd w:id="158"/>
    <w:p w14:paraId="40DB0AB6" w14:textId="77777777" w:rsidR="0051046F" w:rsidRDefault="0051046F" w:rsidP="00F03A26">
      <w:pPr>
        <w:spacing w:before="100" w:beforeAutospacing="1" w:after="100" w:afterAutospacing="1"/>
        <w:jc w:val="both"/>
        <w:rPr>
          <w:rFonts w:asciiTheme="majorBidi" w:hAnsiTheme="majorBidi" w:cstheme="majorBidi"/>
          <w:b/>
          <w:lang w:val="en-GB"/>
        </w:rPr>
      </w:pPr>
    </w:p>
    <w:p w14:paraId="44C48687"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b/>
          <w:lang w:val="en-GB"/>
        </w:rPr>
        <w:t xml:space="preserve">Abstract: </w:t>
      </w:r>
      <w:r w:rsidRPr="00C724E9">
        <w:rPr>
          <w:rFonts w:ascii="Times New Roman" w:hAnsi="Times New Roman"/>
          <w:lang w:val="en-GB"/>
        </w:rPr>
        <w:t xml:space="preserve">On a hill </w:t>
      </w:r>
      <w:r w:rsidRPr="008C67C7">
        <w:rPr>
          <w:rFonts w:ascii="Times New Roman" w:eastAsia="Calibri" w:hAnsi="Times New Roman" w:cs="Times New Roman"/>
          <w:lang w:val="en-GB"/>
        </w:rPr>
        <w:t>near</w:t>
      </w:r>
      <w:r w:rsidRPr="00C724E9">
        <w:rPr>
          <w:rFonts w:ascii="Times New Roman" w:hAnsi="Times New Roman"/>
          <w:lang w:val="en-GB"/>
        </w:rPr>
        <w:t xml:space="preserve"> the plain, to the northern slopes of the Van Fortress, is the rock monument named Analıkız</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or Hazine Kapısı. The monument consists of a rock-carved platform and two monumental rock-cut niches behind. Since the excavations of Layard</w:t>
      </w:r>
      <w:r>
        <w:rPr>
          <w:rFonts w:asciiTheme="majorBidi" w:hAnsiTheme="majorBidi" w:cstheme="majorBidi"/>
          <w:lang w:val="en-GB"/>
        </w:rPr>
        <w:fldChar w:fldCharType="begin"/>
      </w:r>
      <w:r>
        <w:instrText xml:space="preserve"> XE "</w:instrText>
      </w:r>
      <w:r w:rsidRPr="00995E06">
        <w:rPr>
          <w:rFonts w:asciiTheme="majorBidi" w:hAnsiTheme="majorBidi" w:cstheme="majorBidi"/>
          <w:kern w:val="0"/>
          <w:sz w:val="22"/>
          <w:szCs w:val="22"/>
          <w:lang w:val="en-US"/>
          <w14:ligatures w14:val="none"/>
        </w:rPr>
        <w:instrText>Layard</w:instrText>
      </w:r>
      <w:r>
        <w:instrText xml:space="preserve">" </w:instrText>
      </w:r>
      <w:r>
        <w:rPr>
          <w:rFonts w:asciiTheme="majorBidi" w:hAnsiTheme="majorBidi" w:cstheme="majorBidi"/>
          <w:lang w:val="en-GB"/>
        </w:rPr>
        <w:fldChar w:fldCharType="end"/>
      </w:r>
      <w:r w:rsidRPr="00C724E9">
        <w:rPr>
          <w:rFonts w:ascii="Times New Roman" w:hAnsi="Times New Roman"/>
          <w:lang w:val="en-GB"/>
        </w:rPr>
        <w:t xml:space="preserve"> in 1849, Marr and Orbeli in 1916, and Lake in 1938, detailed evaluations on the function of the Analıkız monument, its relationship with the citadel, and importance for the kingdom, and its construction phases and architectural design are lacking. In the literature, this monument was generally defined as an </w:t>
      </w:r>
      <w:r w:rsidRPr="008C67C7">
        <w:rPr>
          <w:rFonts w:ascii="Times New Roman" w:eastAsia="Calibri" w:hAnsi="Times New Roman" w:cs="Times New Roman"/>
          <w:lang w:val="en-GB"/>
        </w:rPr>
        <w:t>'open</w:t>
      </w:r>
      <w:r w:rsidRPr="00C724E9">
        <w:rPr>
          <w:rFonts w:ascii="Times New Roman" w:hAnsi="Times New Roman"/>
          <w:lang w:val="en-GB"/>
        </w:rPr>
        <w:t xml:space="preserve">-air </w:t>
      </w:r>
      <w:r w:rsidRPr="008C67C7">
        <w:rPr>
          <w:rFonts w:ascii="Times New Roman" w:eastAsia="Calibri" w:hAnsi="Times New Roman" w:cs="Times New Roman"/>
          <w:lang w:val="en-GB"/>
        </w:rPr>
        <w:t>sanctuary'</w:t>
      </w:r>
      <w:r>
        <w:rPr>
          <w:rFonts w:ascii="Times New Roman" w:eastAsia="Calibri" w:hAnsi="Times New Roman" w:cs="Times New Roman"/>
          <w:lang w:val="en-GB"/>
        </w:rPr>
        <w:t>.</w:t>
      </w:r>
      <w:r w:rsidRPr="00C724E9">
        <w:rPr>
          <w:rFonts w:ascii="Times New Roman" w:hAnsi="Times New Roman"/>
          <w:lang w:val="en-GB"/>
        </w:rPr>
        <w:t xml:space="preserve"> In 1898, Lehmann-</w:t>
      </w:r>
      <w:r w:rsidRPr="008C67C7">
        <w:rPr>
          <w:rFonts w:ascii="Times New Roman" w:eastAsia="Calibri" w:hAnsi="Times New Roman" w:cs="Times New Roman"/>
          <w:lang w:val="en-GB"/>
        </w:rPr>
        <w:t>Haupt identified</w:t>
      </w:r>
      <w:r w:rsidRPr="00C724E9">
        <w:rPr>
          <w:rFonts w:ascii="Times New Roman" w:hAnsi="Times New Roman"/>
          <w:lang w:val="en-GB"/>
        </w:rPr>
        <w:t xml:space="preserve"> the drainages to the north of this monument as sacrificial channels</w:t>
      </w:r>
      <w:r w:rsidRPr="008C67C7">
        <w:rPr>
          <w:rFonts w:ascii="Times New Roman" w:eastAsia="Calibri" w:hAnsi="Times New Roman" w:cs="Times New Roman"/>
          <w:lang w:val="en-GB"/>
        </w:rPr>
        <w:t>, which</w:t>
      </w:r>
      <w:r w:rsidRPr="00C724E9">
        <w:rPr>
          <w:rFonts w:ascii="Times New Roman" w:hAnsi="Times New Roman"/>
          <w:lang w:val="en-GB"/>
        </w:rPr>
        <w:t xml:space="preserve"> provided the </w:t>
      </w:r>
      <w:r w:rsidRPr="008C67C7">
        <w:rPr>
          <w:rFonts w:ascii="Times New Roman" w:eastAsia="Calibri" w:hAnsi="Times New Roman" w:cs="Times New Roman"/>
          <w:lang w:val="en-GB"/>
        </w:rPr>
        <w:t>primary</w:t>
      </w:r>
      <w:r w:rsidRPr="00C724E9">
        <w:rPr>
          <w:rFonts w:ascii="Times New Roman" w:hAnsi="Times New Roman"/>
          <w:lang w:val="en-GB"/>
        </w:rPr>
        <w:t xml:space="preserve"> reference for later studies. </w:t>
      </w:r>
      <w:r w:rsidRPr="008C67C7">
        <w:rPr>
          <w:rFonts w:ascii="Times New Roman" w:eastAsia="Calibri" w:hAnsi="Times New Roman" w:cs="Times New Roman"/>
          <w:lang w:val="en-GB"/>
        </w:rPr>
        <w:t>This</w:t>
      </w:r>
      <w:r w:rsidRPr="00C724E9">
        <w:rPr>
          <w:rFonts w:ascii="Times New Roman" w:hAnsi="Times New Roman"/>
          <w:lang w:val="en-GB"/>
        </w:rPr>
        <w:t xml:space="preserve"> study</w:t>
      </w:r>
      <w:r w:rsidRPr="008C67C7">
        <w:rPr>
          <w:rFonts w:ascii="Times New Roman" w:eastAsia="Calibri" w:hAnsi="Times New Roman" w:cs="Times New Roman"/>
          <w:lang w:val="en-GB"/>
        </w:rPr>
        <w:t xml:space="preserve"> aims</w:t>
      </w:r>
      <w:r w:rsidRPr="00C724E9">
        <w:rPr>
          <w:rFonts w:ascii="Times New Roman" w:hAnsi="Times New Roman"/>
          <w:lang w:val="en-GB"/>
        </w:rPr>
        <w:t xml:space="preserve"> to redefine and identify the Analıkız monument </w:t>
      </w:r>
      <w:r w:rsidRPr="008C67C7">
        <w:rPr>
          <w:rFonts w:ascii="Times New Roman" w:eastAsia="Calibri" w:hAnsi="Times New Roman" w:cs="Times New Roman"/>
          <w:lang w:val="en-GB"/>
        </w:rPr>
        <w:t>by evaluating</w:t>
      </w:r>
      <w:r w:rsidRPr="00C724E9">
        <w:rPr>
          <w:rFonts w:ascii="Times New Roman" w:hAnsi="Times New Roman"/>
          <w:lang w:val="en-GB"/>
        </w:rPr>
        <w:t xml:space="preserve"> relevant literature and stories about this area. In light of the architectural phases of the monument, we also reconsider earlier proposals dating the first architectural activities in this area to the reign of Minua</w:t>
      </w:r>
      <w:r w:rsidRPr="008C67C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C724E9">
        <w:rPr>
          <w:rFonts w:ascii="Times New Roman" w:hAnsi="Times New Roman"/>
          <w:lang w:val="en-GB"/>
        </w:rPr>
        <w:t xml:space="preserve"> which continued during the reigns of </w:t>
      </w:r>
      <w:r w:rsidRPr="008C67C7">
        <w:rPr>
          <w:rFonts w:ascii="Times New Roman" w:eastAsia="Calibri" w:hAnsi="Times New Roman" w:cs="Times New Roman"/>
          <w:lang w:val="en-GB"/>
        </w:rPr>
        <w:t>Argišti</w:t>
      </w:r>
      <w:r>
        <w:rPr>
          <w:rFonts w:ascii="Times New Roman" w:eastAsia="Calibri" w:hAnsi="Times New Roman" w:cs="Times New Roman"/>
          <w:lang w:val="en-GB"/>
        </w:rPr>
        <w:t xml:space="preserve"> </w:t>
      </w:r>
      <w:r w:rsidRPr="008C67C7">
        <w:rPr>
          <w:rFonts w:ascii="Times New Roman" w:eastAsia="Calibri" w:hAnsi="Times New Roman" w:cs="Times New Roman"/>
          <w:lang w:val="en-GB"/>
        </w:rPr>
        <w:t>I</w:t>
      </w:r>
      <w:r>
        <w:rPr>
          <w:rFonts w:ascii="Times New Roman" w:eastAsia="Calibri" w:hAnsi="Times New Roman" w:cs="Times New Roman"/>
          <w:lang w:val="en-GB"/>
        </w:rPr>
        <w:fldChar w:fldCharType="begin"/>
      </w:r>
      <w:r>
        <w:instrText xml:space="preserve"> XE "</w:instrText>
      </w:r>
      <w:r w:rsidRPr="0056457B">
        <w:rPr>
          <w:rFonts w:ascii="Times New Roman" w:eastAsia="Calibri" w:hAnsi="Times New Roman" w:cs="Times New Roman"/>
          <w:lang w:val="en-GB"/>
        </w:rPr>
        <w:instrText>Argišti I</w:instrText>
      </w:r>
      <w:r>
        <w:instrText xml:space="preserve">" </w:instrText>
      </w:r>
      <w:r>
        <w:rPr>
          <w:rFonts w:ascii="Times New Roman" w:eastAsia="Calibri" w:hAnsi="Times New Roman" w:cs="Times New Roman"/>
          <w:lang w:val="en-GB"/>
        </w:rPr>
        <w:fldChar w:fldCharType="end"/>
      </w:r>
      <w:r w:rsidRPr="008C67C7">
        <w:rPr>
          <w:rFonts w:ascii="Times New Roman" w:eastAsia="Calibri" w:hAnsi="Times New Roman" w:cs="Times New Roman"/>
          <w:lang w:val="en-GB"/>
        </w:rPr>
        <w:t> </w:t>
      </w:r>
      <w:r w:rsidRPr="00C724E9">
        <w:rPr>
          <w:rFonts w:ascii="Times New Roman" w:hAnsi="Times New Roman"/>
          <w:lang w:val="en-GB"/>
        </w:rPr>
        <w:t>and Sarduri II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We also evaluate the possibility that the Analıkız monument was not necessarily an open-air sanctuary but a unique </w:t>
      </w:r>
      <w:r w:rsidRPr="008C67C7">
        <w:rPr>
          <w:rFonts w:ascii="Times New Roman" w:eastAsia="Calibri" w:hAnsi="Times New Roman" w:cs="Times New Roman"/>
          <w:lang w:val="en-GB"/>
        </w:rPr>
        <w:t xml:space="preserve">unit </w:t>
      </w:r>
      <w:r w:rsidRPr="00C724E9">
        <w:rPr>
          <w:rFonts w:ascii="Times New Roman" w:hAnsi="Times New Roman"/>
          <w:lang w:val="en-GB"/>
        </w:rPr>
        <w:t xml:space="preserve">of the </w:t>
      </w:r>
      <w:r w:rsidRPr="008C67C7">
        <w:rPr>
          <w:rFonts w:ascii="Times New Roman" w:eastAsia="Calibri" w:hAnsi="Times New Roman" w:cs="Times New Roman"/>
          <w:lang w:val="en-GB"/>
        </w:rPr>
        <w:t>kingdom's capital</w:t>
      </w:r>
      <w:r w:rsidRPr="00C724E9">
        <w:rPr>
          <w:rFonts w:ascii="Times New Roman" w:hAnsi="Times New Roman"/>
          <w:lang w:val="en-GB"/>
        </w:rPr>
        <w:t>. Through archaeological and philological evidence, we discuss that this unit possibly incorporated stelae on which royal Annals were inscribed</w:t>
      </w:r>
      <w:r w:rsidRPr="008C67C7">
        <w:rPr>
          <w:rFonts w:ascii="Times New Roman" w:eastAsia="Calibri" w:hAnsi="Times New Roman" w:cs="Times New Roman"/>
          <w:lang w:val="en-GB"/>
        </w:rPr>
        <w:t>,</w:t>
      </w:r>
      <w:r w:rsidRPr="00C724E9">
        <w:rPr>
          <w:rFonts w:ascii="Times New Roman" w:hAnsi="Times New Roman"/>
          <w:lang w:val="en-GB"/>
        </w:rPr>
        <w:t xml:space="preserve"> and within its landscape, it could have been an enclosed area.</w:t>
      </w:r>
    </w:p>
    <w:p w14:paraId="4269B53F" w14:textId="77777777" w:rsidR="00BC2CE3" w:rsidRPr="00A54AA2" w:rsidRDefault="00BC2CE3" w:rsidP="00BC2CE3">
      <w:pPr>
        <w:spacing w:before="100" w:beforeAutospacing="1" w:after="100" w:afterAutospacing="1"/>
        <w:jc w:val="both"/>
        <w:rPr>
          <w:rFonts w:ascii="Times New Roman" w:eastAsia="Calibri" w:hAnsi="Times New Roman" w:cs="Times New Roman"/>
          <w:lang w:val="en-GB"/>
        </w:rPr>
      </w:pPr>
      <w:r w:rsidRPr="00A54AA2">
        <w:rPr>
          <w:rFonts w:ascii="Times New Roman" w:eastAsia="Calibri" w:hAnsi="Times New Roman" w:cs="Times New Roman"/>
          <w:noProof/>
        </w:rPr>
        <w:drawing>
          <wp:inline distT="0" distB="0" distL="0" distR="0" wp14:anchorId="782BD0B0" wp14:editId="43F1F4DC">
            <wp:extent cx="6004503" cy="2988297"/>
            <wp:effectExtent l="0" t="0" r="3175" b="0"/>
            <wp:docPr id="328449914" name="Resim 328449914" descr="harita, dış mekan, havadan, anten,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Resim 230" descr="harita, dış mekan, havadan, anten, dağ içeren bir resim&#10;&#10;Açıklama otomatik olarak oluşturuldu"/>
                    <pic:cNvPicPr/>
                  </pic:nvPicPr>
                  <pic:blipFill rotWithShape="1">
                    <a:blip r:embed="rId324" cstate="email">
                      <a:extLst>
                        <a:ext uri="{28A0092B-C50C-407E-A947-70E740481C1C}">
                          <a14:useLocalDpi xmlns:a14="http://schemas.microsoft.com/office/drawing/2010/main"/>
                        </a:ext>
                      </a:extLst>
                    </a:blip>
                    <a:srcRect/>
                    <a:stretch/>
                  </pic:blipFill>
                  <pic:spPr bwMode="auto">
                    <a:xfrm>
                      <a:off x="0" y="0"/>
                      <a:ext cx="6103319" cy="3037475"/>
                    </a:xfrm>
                    <a:prstGeom prst="rect">
                      <a:avLst/>
                    </a:prstGeom>
                    <a:ln>
                      <a:noFill/>
                    </a:ln>
                    <a:extLst>
                      <a:ext uri="{53640926-AAD7-44D8-BBD7-CCE9431645EC}">
                        <a14:shadowObscured xmlns:a14="http://schemas.microsoft.com/office/drawing/2010/main"/>
                      </a:ext>
                    </a:extLst>
                  </pic:spPr>
                </pic:pic>
              </a:graphicData>
            </a:graphic>
          </wp:inline>
        </w:drawing>
      </w:r>
    </w:p>
    <w:p w14:paraId="6C5B014F"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and its vicinity, air view.</w:t>
      </w:r>
    </w:p>
    <w:p w14:paraId="7A4E2237" w14:textId="77777777" w:rsidR="00BC2CE3" w:rsidRPr="00C724E9" w:rsidRDefault="00BC2CE3" w:rsidP="00BC2CE3">
      <w:pPr>
        <w:spacing w:before="100" w:beforeAutospacing="1" w:after="100" w:afterAutospacing="1"/>
        <w:jc w:val="both"/>
        <w:rPr>
          <w:rFonts w:ascii="Times New Roman" w:hAnsi="Times New Roman"/>
          <w:b/>
          <w:lang w:val="en-GB"/>
        </w:rPr>
      </w:pPr>
    </w:p>
    <w:p w14:paraId="22839530"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inline distT="0" distB="0" distL="0" distR="0" wp14:anchorId="344B7E9A" wp14:editId="4F44BC40">
            <wp:extent cx="5270500" cy="3952875"/>
            <wp:effectExtent l="0" t="0" r="0" b="0"/>
            <wp:docPr id="231" name="Resim 231" descr="dış mekan, dağ, manzara,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Resim 231" descr="dış mekan, dağ, manzara, jeoloji içeren bir resim&#10;&#10;Açıklama otomatik olarak oluşturuldu"/>
                    <pic:cNvPicPr/>
                  </pic:nvPicPr>
                  <pic:blipFill>
                    <a:blip r:embed="rId325" cstate="email">
                      <a:extLst>
                        <a:ext uri="{28A0092B-C50C-407E-A947-70E740481C1C}">
                          <a14:useLocalDpi xmlns:a14="http://schemas.microsoft.com/office/drawing/2010/main"/>
                        </a:ext>
                      </a:extLst>
                    </a:blip>
                    <a:stretch>
                      <a:fillRect/>
                    </a:stretch>
                  </pic:blipFill>
                  <pic:spPr>
                    <a:xfrm>
                      <a:off x="0" y="0"/>
                      <a:ext cx="5270500" cy="3952875"/>
                    </a:xfrm>
                    <a:prstGeom prst="rect">
                      <a:avLst/>
                    </a:prstGeom>
                  </pic:spPr>
                </pic:pic>
              </a:graphicData>
            </a:graphic>
          </wp:inline>
        </w:drawing>
      </w:r>
    </w:p>
    <w:p w14:paraId="2CFF19FF"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2 General view of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from the north.</w:t>
      </w:r>
    </w:p>
    <w:p w14:paraId="51951105"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drawing>
          <wp:inline distT="0" distB="0" distL="0" distR="0" wp14:anchorId="1AF6C915" wp14:editId="088CD857">
            <wp:extent cx="5733415" cy="2663190"/>
            <wp:effectExtent l="0" t="0" r="0" b="3810"/>
            <wp:docPr id="955058404" name="Resim 1" descr="taslak, çizim,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58404" name="Resim 1" descr="taslak, çizim, siyah beyaz içeren bir resim&#10;&#10;Açıklama otomatik olarak oluşturuldu"/>
                    <pic:cNvPicPr/>
                  </pic:nvPicPr>
                  <pic:blipFill>
                    <a:blip r:embed="rId326" cstate="email">
                      <a:extLst>
                        <a:ext uri="{28A0092B-C50C-407E-A947-70E740481C1C}">
                          <a14:useLocalDpi xmlns:a14="http://schemas.microsoft.com/office/drawing/2010/main"/>
                        </a:ext>
                      </a:extLst>
                    </a:blip>
                    <a:stretch>
                      <a:fillRect/>
                    </a:stretch>
                  </pic:blipFill>
                  <pic:spPr>
                    <a:xfrm>
                      <a:off x="0" y="0"/>
                      <a:ext cx="5733415" cy="2663190"/>
                    </a:xfrm>
                    <a:prstGeom prst="rect">
                      <a:avLst/>
                    </a:prstGeom>
                  </pic:spPr>
                </pic:pic>
              </a:graphicData>
            </a:graphic>
          </wp:inline>
        </w:drawing>
      </w:r>
    </w:p>
    <w:p w14:paraId="5EBACE4C" w14:textId="77777777" w:rsidR="00BC2CE3" w:rsidRPr="00C724E9" w:rsidRDefault="00BC2CE3" w:rsidP="00BC2CE3">
      <w:pPr>
        <w:spacing w:before="100" w:beforeAutospacing="1" w:after="100" w:afterAutospacing="1"/>
        <w:jc w:val="both"/>
        <w:rPr>
          <w:rFonts w:ascii="Times New Roman" w:hAnsi="Times New Roman"/>
          <w:lang w:val="en-GB"/>
        </w:rPr>
      </w:pPr>
    </w:p>
    <w:p w14:paraId="3F891F83"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3 The plan of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w:t>
      </w:r>
    </w:p>
    <w:p w14:paraId="0A8ABFA2" w14:textId="77777777" w:rsidR="00BC2CE3" w:rsidRPr="00C724E9" w:rsidRDefault="00BC2CE3" w:rsidP="00BC2CE3">
      <w:pPr>
        <w:spacing w:before="100" w:beforeAutospacing="1" w:after="100" w:afterAutospacing="1"/>
        <w:jc w:val="both"/>
        <w:rPr>
          <w:rFonts w:ascii="Times New Roman" w:hAnsi="Times New Roman"/>
          <w:lang w:val="en-GB"/>
        </w:rPr>
      </w:pPr>
    </w:p>
    <w:p w14:paraId="07E65191" w14:textId="77777777" w:rsidR="00BC2CE3" w:rsidRPr="00C724E9" w:rsidRDefault="00BC2CE3" w:rsidP="00BC2CE3">
      <w:pPr>
        <w:keepNext/>
        <w:keepLines/>
        <w:spacing w:before="40"/>
        <w:jc w:val="both"/>
        <w:outlineLvl w:val="1"/>
        <w:rPr>
          <w:rFonts w:ascii="Times New Roman" w:hAnsi="Times New Roman"/>
          <w:b/>
          <w:color w:val="000000"/>
          <w:sz w:val="28"/>
          <w:lang w:val="en-GB"/>
        </w:rPr>
      </w:pPr>
      <w:bookmarkStart w:id="159" w:name="_Toc132072559"/>
      <w:bookmarkStart w:id="160" w:name="_Toc173231253"/>
      <w:r w:rsidRPr="00C724E9">
        <w:rPr>
          <w:rFonts w:ascii="Times New Roman" w:hAnsi="Times New Roman"/>
          <w:b/>
          <w:color w:val="000000"/>
          <w:sz w:val="28"/>
          <w:lang w:val="en-GB"/>
        </w:rPr>
        <w:lastRenderedPageBreak/>
        <w:t>10.1. Introduction</w:t>
      </w:r>
      <w:bookmarkEnd w:id="159"/>
      <w:bookmarkEnd w:id="160"/>
    </w:p>
    <w:p w14:paraId="29D3E57E"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 xml:space="preserve">On the northeast slopes of Van Fortress, two monumental, vaulted niches </w:t>
      </w:r>
      <w:r w:rsidRPr="008C67C7">
        <w:rPr>
          <w:rFonts w:ascii="Times New Roman" w:eastAsia="Calibri" w:hAnsi="Times New Roman" w:cs="Times New Roman"/>
          <w:lang w:val="en-GB"/>
        </w:rPr>
        <w:t xml:space="preserve">are </w:t>
      </w:r>
      <w:r w:rsidRPr="00C724E9">
        <w:rPr>
          <w:rFonts w:ascii="Times New Roman" w:hAnsi="Times New Roman"/>
          <w:lang w:val="en-GB"/>
        </w:rPr>
        <w:t>carved onto the rock façade, resembling the silhouettes of Urartian</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stelae. Today</w:t>
      </w:r>
      <w:r w:rsidRPr="008C67C7">
        <w:rPr>
          <w:rFonts w:ascii="Times New Roman" w:eastAsia="Calibri" w:hAnsi="Times New Roman" w:cs="Times New Roman"/>
          <w:lang w:val="en-GB"/>
        </w:rPr>
        <w:t>,</w:t>
      </w:r>
      <w:r w:rsidRPr="00C724E9">
        <w:rPr>
          <w:rFonts w:ascii="Times New Roman" w:hAnsi="Times New Roman"/>
          <w:lang w:val="en-GB"/>
        </w:rPr>
        <w:t xml:space="preserve"> this area is known as the Hazine Kapısı or Analıkız</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(Fig. 1). Inscribed stelae that could be defined as “obelisks” were set up within these monumental niches. Analıkız is approximately 51 meters long in an east-west orientation. In</w:t>
      </w:r>
      <w:r w:rsidRPr="008C67C7">
        <w:rPr>
          <w:rFonts w:ascii="Times New Roman" w:eastAsia="Calibri" w:hAnsi="Times New Roman" w:cs="Times New Roman"/>
          <w:lang w:val="en-GB"/>
        </w:rPr>
        <w:t xml:space="preserve"> the</w:t>
      </w:r>
      <w:r w:rsidRPr="00C724E9">
        <w:rPr>
          <w:rFonts w:ascii="Times New Roman" w:hAnsi="Times New Roman"/>
          <w:lang w:val="en-GB"/>
        </w:rPr>
        <w:t xml:space="preserve"> north-south direction, its maximum width measures about 13.50 meters, constituting an area of 450 m2 built by carving the bedrock in front of these niches. To the south of this area, two monumental niches were opened into the façade built by carving and flattening the bedrock (Fig. 2-5). </w:t>
      </w:r>
      <w:r w:rsidRPr="008C67C7">
        <w:rPr>
          <w:rFonts w:ascii="Times New Roman" w:eastAsia="Calibri" w:hAnsi="Times New Roman" w:cs="Times New Roman"/>
          <w:lang w:val="en-GB"/>
        </w:rPr>
        <w:t>A bench is again carved into the bedrock at</w:t>
      </w:r>
      <w:r w:rsidRPr="00C724E9">
        <w:rPr>
          <w:rFonts w:ascii="Times New Roman" w:hAnsi="Times New Roman"/>
          <w:lang w:val="en-GB"/>
        </w:rPr>
        <w:t xml:space="preserve"> the meeting point of these niches and the platform. These benches are about 45-50 cm in depth and 45-60 cm in height. To the east of the eastern niche is an 80-90 cm deep hole carved into the façade, approximately 8.60 meters wide. Its height ranges between 1.10-1.20 meters (Fig. 6). Notwithstanding the uncertainties on the functions of such holes, similar examples are known from the Meher Kapı</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"Meher Kapı"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monument dating to the Išpuini</w:t>
      </w:r>
      <w:r w:rsidRPr="008C67C7">
        <w:rPr>
          <w:rFonts w:ascii="Times New Roman" w:eastAsia="Calibri" w:hAnsi="Times New Roman" w:cs="Times New Roman"/>
          <w:lang w:val="en-GB"/>
        </w:rPr>
        <w:t>-</w:t>
      </w:r>
      <w:r>
        <w:rPr>
          <w:rFonts w:asciiTheme="majorBidi" w:hAnsiTheme="majorBidi" w:cstheme="majorBidi"/>
          <w:iCs/>
          <w:lang w:val="en-GB"/>
        </w:rPr>
        <w:fldChar w:fldCharType="begin"/>
      </w:r>
      <w:r>
        <w:instrText xml:space="preserve"> XE "</w:instrText>
      </w:r>
      <w:r w:rsidRPr="00F31B27">
        <w:rPr>
          <w:rFonts w:asciiTheme="majorBidi" w:eastAsia="Times New Roman" w:hAnsiTheme="majorBidi" w:cstheme="majorBidi"/>
          <w:iCs/>
        </w:rPr>
        <w:instrText>Išpuini</w:instrText>
      </w:r>
      <w:r>
        <w:instrText xml:space="preserve">" </w:instrText>
      </w:r>
      <w:r>
        <w:rPr>
          <w:rFonts w:asciiTheme="majorBidi" w:hAnsiTheme="majorBidi" w:cstheme="majorBidi"/>
          <w:iCs/>
          <w:lang w:val="en-GB"/>
        </w:rPr>
        <w:fldChar w:fldCharType="end"/>
      </w:r>
      <w:r w:rsidRPr="00F03A26">
        <w:rPr>
          <w:rFonts w:asciiTheme="majorBidi" w:hAnsiTheme="majorBidi" w:cstheme="majorBidi"/>
          <w:lang w:val="en-GB"/>
        </w:rPr>
        <w:t>-</w:t>
      </w:r>
      <w:r w:rsidRPr="00C724E9">
        <w:rPr>
          <w:rFonts w:ascii="Times New Roman" w:hAnsi="Times New Roman"/>
          <w:lang w:val="en-GB"/>
        </w:rPr>
        <w:t>Minua</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co-regency (Fig. 7). The platform in front of the eastern niche lies at the same level. The area in front of the western niche, on the other hand, was arranged as a higher platform. Throughout the platform is a bench facing the niche, extending to the north and east of this area. In front of the short façade to the east, at the meeting point of the platform, is another bench (Fig. 8).</w:t>
      </w:r>
    </w:p>
    <w:p w14:paraId="4117E6FE"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drawing>
          <wp:inline distT="0" distB="0" distL="0" distR="0" wp14:anchorId="1E542D71" wp14:editId="1E60057F">
            <wp:extent cx="5733415" cy="1733550"/>
            <wp:effectExtent l="0" t="0" r="0" b="6350"/>
            <wp:docPr id="1628620480" name="Resim 2" descr="taslak, çizim, diyagram,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20480" name="Resim 2" descr="taslak, çizim, diyagram, çizgi içeren bir resim&#10;&#10;Açıklama otomatik olarak oluşturuldu"/>
                    <pic:cNvPicPr/>
                  </pic:nvPicPr>
                  <pic:blipFill>
                    <a:blip r:embed="rId327" cstate="email">
                      <a:extLst>
                        <a:ext uri="{28A0092B-C50C-407E-A947-70E740481C1C}">
                          <a14:useLocalDpi xmlns:a14="http://schemas.microsoft.com/office/drawing/2010/main"/>
                        </a:ext>
                      </a:extLst>
                    </a:blip>
                    <a:stretch>
                      <a:fillRect/>
                    </a:stretch>
                  </pic:blipFill>
                  <pic:spPr>
                    <a:xfrm>
                      <a:off x="0" y="0"/>
                      <a:ext cx="5733415" cy="1733550"/>
                    </a:xfrm>
                    <a:prstGeom prst="rect">
                      <a:avLst/>
                    </a:prstGeom>
                  </pic:spPr>
                </pic:pic>
              </a:graphicData>
            </a:graphic>
          </wp:inline>
        </w:drawing>
      </w:r>
    </w:p>
    <w:p w14:paraId="4D057E68"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4 Front view of the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area.</w:t>
      </w:r>
    </w:p>
    <w:p w14:paraId="66CF3757"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inline distT="0" distB="0" distL="0" distR="0" wp14:anchorId="64BF8A83" wp14:editId="2331B855">
            <wp:extent cx="4107051" cy="3863694"/>
            <wp:effectExtent l="0" t="0" r="0" b="0"/>
            <wp:docPr id="705770289" name="Resim 3" descr="taslak, diyagram, çizim,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70289" name="Resim 3" descr="taslak, diyagram, çizim, metin içeren bir resim&#10;&#10;Açıklama otomatik olarak oluşturuldu"/>
                    <pic:cNvPicPr/>
                  </pic:nvPicPr>
                  <pic:blipFill>
                    <a:blip r:embed="rId328" cstate="email">
                      <a:extLst>
                        <a:ext uri="{28A0092B-C50C-407E-A947-70E740481C1C}">
                          <a14:useLocalDpi xmlns:a14="http://schemas.microsoft.com/office/drawing/2010/main"/>
                        </a:ext>
                      </a:extLst>
                    </a:blip>
                    <a:stretch>
                      <a:fillRect/>
                    </a:stretch>
                  </pic:blipFill>
                  <pic:spPr>
                    <a:xfrm>
                      <a:off x="0" y="0"/>
                      <a:ext cx="4144416" cy="3898845"/>
                    </a:xfrm>
                    <a:prstGeom prst="rect">
                      <a:avLst/>
                    </a:prstGeom>
                  </pic:spPr>
                </pic:pic>
              </a:graphicData>
            </a:graphic>
          </wp:inline>
        </w:drawing>
      </w:r>
      <w:r w:rsidRPr="00C724E9">
        <w:rPr>
          <w:rFonts w:ascii="Times New Roman" w:hAnsi="Times New Roman"/>
          <w:lang w:val="en-GB"/>
        </w:rPr>
        <w:t xml:space="preserve"> </w:t>
      </w:r>
    </w:p>
    <w:p w14:paraId="368B0376" w14:textId="77777777" w:rsidR="00BC2CE3" w:rsidRPr="00C724E9" w:rsidRDefault="00BC2CE3" w:rsidP="00BC2CE3">
      <w:pPr>
        <w:tabs>
          <w:tab w:val="left" w:pos="7615"/>
        </w:tabs>
        <w:spacing w:before="100" w:beforeAutospacing="1" w:after="100" w:afterAutospacing="1"/>
        <w:jc w:val="both"/>
        <w:rPr>
          <w:rFonts w:ascii="Times New Roman" w:hAnsi="Times New Roman"/>
          <w:lang w:val="en-GB"/>
        </w:rPr>
      </w:pPr>
      <w:r w:rsidRPr="00C724E9">
        <w:rPr>
          <w:rFonts w:ascii="Times New Roman" w:hAnsi="Times New Roman"/>
          <w:noProof/>
        </w:rPr>
        <w:drawing>
          <wp:anchor distT="0" distB="0" distL="114300" distR="114300" simplePos="0" relativeHeight="251923456" behindDoc="0" locked="0" layoutInCell="1" allowOverlap="1" wp14:anchorId="45794834" wp14:editId="58D3DCFD">
            <wp:simplePos x="0" y="0"/>
            <wp:positionH relativeFrom="margin">
              <wp:posOffset>111125</wp:posOffset>
            </wp:positionH>
            <wp:positionV relativeFrom="margin">
              <wp:posOffset>4356735</wp:posOffset>
            </wp:positionV>
            <wp:extent cx="4603750" cy="3055620"/>
            <wp:effectExtent l="0" t="0" r="6350" b="5080"/>
            <wp:wrapTopAndBottom/>
            <wp:docPr id="236" name="Resim 236" descr="yer, dış mekan, kireç taşı,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Resim 236" descr="yer, dış mekan, kireç taşı, harabeler içeren bir resim&#10;&#10;Açıklama otomatik olarak oluşturuldu"/>
                    <pic:cNvPicPr/>
                  </pic:nvPicPr>
                  <pic:blipFill>
                    <a:blip r:embed="rId329" cstate="email">
                      <a:extLst>
                        <a:ext uri="{28A0092B-C50C-407E-A947-70E740481C1C}">
                          <a14:useLocalDpi xmlns:a14="http://schemas.microsoft.com/office/drawing/2010/main"/>
                        </a:ext>
                      </a:extLst>
                    </a:blip>
                    <a:stretch>
                      <a:fillRect/>
                    </a:stretch>
                  </pic:blipFill>
                  <pic:spPr>
                    <a:xfrm>
                      <a:off x="0" y="0"/>
                      <a:ext cx="4603750" cy="3055620"/>
                    </a:xfrm>
                    <a:prstGeom prst="rect">
                      <a:avLst/>
                    </a:prstGeom>
                  </pic:spPr>
                </pic:pic>
              </a:graphicData>
            </a:graphic>
            <wp14:sizeRelH relativeFrom="margin">
              <wp14:pctWidth>0</wp14:pctWidth>
            </wp14:sizeRelH>
            <wp14:sizeRelV relativeFrom="margin">
              <wp14:pctHeight>0</wp14:pctHeight>
            </wp14:sizeRelV>
          </wp:anchor>
        </w:drawing>
      </w:r>
      <w:r w:rsidRPr="00C724E9">
        <w:rPr>
          <w:rFonts w:ascii="Times New Roman" w:hAnsi="Times New Roman"/>
          <w:lang w:val="en-GB"/>
        </w:rPr>
        <w:t>Fig. 5 Sections of the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area.</w:t>
      </w:r>
      <w:r w:rsidRPr="00C724E9">
        <w:rPr>
          <w:rFonts w:ascii="Times New Roman" w:hAnsi="Times New Roman"/>
          <w:lang w:val="en-GB"/>
        </w:rPr>
        <w:tab/>
      </w:r>
    </w:p>
    <w:p w14:paraId="0E108D34"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6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area, the hollow and benches to the left of the eastern niche.</w:t>
      </w:r>
    </w:p>
    <w:p w14:paraId="2C05B45F"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anchor distT="0" distB="0" distL="114300" distR="114300" simplePos="0" relativeHeight="251924480" behindDoc="0" locked="0" layoutInCell="1" allowOverlap="1" wp14:anchorId="52D1B78A" wp14:editId="527B1CF9">
            <wp:simplePos x="0" y="0"/>
            <wp:positionH relativeFrom="margin">
              <wp:posOffset>0</wp:posOffset>
            </wp:positionH>
            <wp:positionV relativeFrom="margin">
              <wp:posOffset>-127635</wp:posOffset>
            </wp:positionV>
            <wp:extent cx="5270500" cy="3513455"/>
            <wp:effectExtent l="0" t="0" r="0" b="4445"/>
            <wp:wrapTopAndBottom/>
            <wp:docPr id="235" name="Resim 235" descr="dış mekan, gökyüzü, harabeler,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Resim 235" descr="dış mekan, gökyüzü, harabeler, dip kaya içeren bir resim&#10;&#10;Açıklama otomatik olarak oluşturuldu"/>
                    <pic:cNvPicPr/>
                  </pic:nvPicPr>
                  <pic:blipFill>
                    <a:blip r:embed="rId330"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anchor>
        </w:drawing>
      </w:r>
      <w:r w:rsidRPr="00C724E9">
        <w:rPr>
          <w:rFonts w:ascii="Times New Roman" w:hAnsi="Times New Roman"/>
          <w:lang w:val="en-GB"/>
        </w:rPr>
        <w:t>Fig. 7 The Meher Kapı</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Meher Kapı</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Rock Monument.</w:t>
      </w:r>
    </w:p>
    <w:p w14:paraId="71E567FE"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 xml:space="preserve">The niche to the east is 6.15 meters high, 2.60 meters wide, and 2.15 meters deep (Fig. 9). A square-shaped bed was carved into the bedrock in the </w:t>
      </w:r>
      <w:r w:rsidRPr="008C67C7">
        <w:rPr>
          <w:rFonts w:ascii="Times New Roman" w:eastAsia="Calibri" w:hAnsi="Times New Roman" w:cs="Times New Roman"/>
          <w:lang w:val="en-GB"/>
        </w:rPr>
        <w:t>center</w:t>
      </w:r>
      <w:r w:rsidRPr="00C724E9">
        <w:rPr>
          <w:rFonts w:ascii="Times New Roman" w:hAnsi="Times New Roman"/>
          <w:lang w:val="en-GB"/>
        </w:rPr>
        <w:t xml:space="preserve"> of this niche, measuring 147.9 x 147.30 cm with a stele bed in the </w:t>
      </w:r>
      <w:r w:rsidRPr="008C67C7">
        <w:rPr>
          <w:rFonts w:ascii="Times New Roman" w:eastAsia="Calibri" w:hAnsi="Times New Roman" w:cs="Times New Roman"/>
          <w:lang w:val="en-GB"/>
        </w:rPr>
        <w:t>center</w:t>
      </w:r>
      <w:r w:rsidRPr="00C724E9">
        <w:rPr>
          <w:rFonts w:ascii="Times New Roman" w:hAnsi="Times New Roman"/>
          <w:lang w:val="en-GB"/>
        </w:rPr>
        <w:t>, measuring 70.40 x 47.40 cm with about 25 cm depth (Fig. 5, 10). However, there are no in situ finds relating to the stele itself. This will be discussed in detail below.</w:t>
      </w:r>
    </w:p>
    <w:p w14:paraId="08D3600E"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drawing>
          <wp:inline distT="0" distB="0" distL="0" distR="0" wp14:anchorId="58134F40" wp14:editId="77D43F6F">
            <wp:extent cx="5057030" cy="3043997"/>
            <wp:effectExtent l="0" t="0" r="0" b="4445"/>
            <wp:docPr id="237" name="Resim 237" descr="dış mekan, kaya, dip kaya,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Resim 237" descr="dış mekan, kaya, dip kaya, jeoloji içeren bir resim&#10;&#10;Açıklama otomatik olarak oluşturuldu"/>
                    <pic:cNvPicPr/>
                  </pic:nvPicPr>
                  <pic:blipFill rotWithShape="1">
                    <a:blip r:embed="rId331" cstate="email">
                      <a:extLst>
                        <a:ext uri="{28A0092B-C50C-407E-A947-70E740481C1C}">
                          <a14:useLocalDpi xmlns:a14="http://schemas.microsoft.com/office/drawing/2010/main"/>
                        </a:ext>
                      </a:extLst>
                    </a:blip>
                    <a:srcRect/>
                    <a:stretch/>
                  </pic:blipFill>
                  <pic:spPr bwMode="auto">
                    <a:xfrm>
                      <a:off x="0" y="0"/>
                      <a:ext cx="5105210" cy="3072998"/>
                    </a:xfrm>
                    <a:prstGeom prst="rect">
                      <a:avLst/>
                    </a:prstGeom>
                    <a:ln>
                      <a:noFill/>
                    </a:ln>
                    <a:extLst>
                      <a:ext uri="{53640926-AAD7-44D8-BBD7-CCE9431645EC}">
                        <a14:shadowObscured xmlns:a14="http://schemas.microsoft.com/office/drawing/2010/main"/>
                      </a:ext>
                    </a:extLst>
                  </pic:spPr>
                </pic:pic>
              </a:graphicData>
            </a:graphic>
          </wp:inline>
        </w:drawing>
      </w:r>
    </w:p>
    <w:p w14:paraId="3018B867"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8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area, platform and benches in front of the western niche.</w:t>
      </w:r>
    </w:p>
    <w:p w14:paraId="3F670D8D"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inline distT="0" distB="0" distL="0" distR="0" wp14:anchorId="249288D3" wp14:editId="2497D81A">
            <wp:extent cx="5270500" cy="3513455"/>
            <wp:effectExtent l="0" t="0" r="0" b="4445"/>
            <wp:docPr id="238" name="Resim 238" descr="dış mekan, gökyüzü, harabeler,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Resim 238" descr="dış mekan, gökyüzü, harabeler, jeoloji içeren bir resim&#10;&#10;Açıklama otomatik olarak oluşturuldu"/>
                    <pic:cNvPicPr/>
                  </pic:nvPicPr>
                  <pic:blipFill>
                    <a:blip r:embed="rId332"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6F7FB4A9"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9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area, eastern and western niches, from the west.</w:t>
      </w:r>
    </w:p>
    <w:p w14:paraId="11429A74"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drawing>
          <wp:inline distT="0" distB="0" distL="0" distR="0" wp14:anchorId="704A21ED" wp14:editId="6704820C">
            <wp:extent cx="4649491" cy="3099474"/>
            <wp:effectExtent l="0" t="0" r="0" b="0"/>
            <wp:docPr id="239" name="Resim 239" descr="bina, duvar, çimento,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bina, duvar, çimento, taş içeren bir resim&#10;&#10;Açıklama otomatik olarak oluşturuldu"/>
                    <pic:cNvPicPr/>
                  </pic:nvPicPr>
                  <pic:blipFill>
                    <a:blip r:embed="rId333" cstate="email">
                      <a:extLst>
                        <a:ext uri="{28A0092B-C50C-407E-A947-70E740481C1C}">
                          <a14:useLocalDpi xmlns:a14="http://schemas.microsoft.com/office/drawing/2010/main"/>
                        </a:ext>
                      </a:extLst>
                    </a:blip>
                    <a:stretch>
                      <a:fillRect/>
                    </a:stretch>
                  </pic:blipFill>
                  <pic:spPr>
                    <a:xfrm>
                      <a:off x="0" y="0"/>
                      <a:ext cx="4662513" cy="3108155"/>
                    </a:xfrm>
                    <a:prstGeom prst="rect">
                      <a:avLst/>
                    </a:prstGeom>
                  </pic:spPr>
                </pic:pic>
              </a:graphicData>
            </a:graphic>
          </wp:inline>
        </w:drawing>
      </w:r>
    </w:p>
    <w:p w14:paraId="432C0C90"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10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stele bed in the eastern niche.</w:t>
      </w:r>
    </w:p>
    <w:p w14:paraId="0BEAC18A" w14:textId="59346FE1" w:rsidR="00BC2CE3" w:rsidRDefault="00BC2CE3" w:rsidP="00BC2CE3">
      <w:pPr>
        <w:spacing w:before="100" w:beforeAutospacing="1" w:after="100" w:afterAutospacing="1"/>
        <w:jc w:val="both"/>
        <w:rPr>
          <w:rFonts w:ascii="Times New Roman" w:hAnsi="Times New Roman"/>
          <w:lang w:val="en-GB"/>
        </w:rPr>
      </w:pPr>
    </w:p>
    <w:p w14:paraId="0FCAB0E9" w14:textId="2A33BC12" w:rsidR="00BC2CE3" w:rsidRPr="00C724E9" w:rsidRDefault="00BC2CE3" w:rsidP="00BC2CE3">
      <w:pPr>
        <w:spacing w:before="100" w:beforeAutospacing="1" w:after="100" w:afterAutospacing="1"/>
        <w:jc w:val="both"/>
        <w:rPr>
          <w:rFonts w:ascii="Times New Roman" w:hAnsi="Times New Roman"/>
          <w:lang w:val="en-GB"/>
        </w:rPr>
      </w:pPr>
    </w:p>
    <w:p w14:paraId="4952C035" w14:textId="4BB4E780" w:rsidR="00BC2CE3"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anchor distT="0" distB="0" distL="114300" distR="114300" simplePos="0" relativeHeight="251926528" behindDoc="0" locked="0" layoutInCell="1" allowOverlap="1" wp14:anchorId="32FDF76D" wp14:editId="74092542">
            <wp:simplePos x="0" y="0"/>
            <wp:positionH relativeFrom="margin">
              <wp:posOffset>-8255</wp:posOffset>
            </wp:positionH>
            <wp:positionV relativeFrom="margin">
              <wp:posOffset>834390</wp:posOffset>
            </wp:positionV>
            <wp:extent cx="5270500" cy="3513455"/>
            <wp:effectExtent l="0" t="0" r="0" b="4445"/>
            <wp:wrapTopAndBottom/>
            <wp:docPr id="240" name="Resim 240" descr="dış mekan, harabeler, gökyüzü,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Resim 240" descr="dış mekan, harabeler, gökyüzü, mağara içeren bir resim&#10;&#10;Açıklama otomatik olarak oluşturuldu"/>
                    <pic:cNvPicPr/>
                  </pic:nvPicPr>
                  <pic:blipFill>
                    <a:blip r:embed="rId334" cstate="email">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anchor>
        </w:drawing>
      </w:r>
    </w:p>
    <w:p w14:paraId="3A1DC8D8" w14:textId="6E7E8395" w:rsidR="00BC2CE3" w:rsidRDefault="00BC2CE3" w:rsidP="00BC2CE3">
      <w:pPr>
        <w:spacing w:before="100" w:beforeAutospacing="1" w:after="100" w:afterAutospacing="1"/>
        <w:jc w:val="both"/>
        <w:rPr>
          <w:rFonts w:ascii="Times New Roman" w:hAnsi="Times New Roman"/>
          <w:lang w:val="en-GB"/>
        </w:rPr>
      </w:pPr>
    </w:p>
    <w:p w14:paraId="480F7AB6" w14:textId="0B4E3EF3"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11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western niche.</w:t>
      </w:r>
    </w:p>
    <w:p w14:paraId="14E37F12" w14:textId="297CDB3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drawing>
          <wp:anchor distT="0" distB="0" distL="114300" distR="114300" simplePos="0" relativeHeight="251925504" behindDoc="0" locked="0" layoutInCell="1" allowOverlap="1" wp14:anchorId="1C007606" wp14:editId="22FA3582">
            <wp:simplePos x="0" y="0"/>
            <wp:positionH relativeFrom="margin">
              <wp:posOffset>-55963</wp:posOffset>
            </wp:positionH>
            <wp:positionV relativeFrom="margin">
              <wp:posOffset>5701030</wp:posOffset>
            </wp:positionV>
            <wp:extent cx="5152390" cy="2604770"/>
            <wp:effectExtent l="0" t="0" r="3810" b="0"/>
            <wp:wrapTopAndBottom/>
            <wp:docPr id="86" name="Resim 86" descr="gri, beton, çiment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sim 86" descr="gri, beton, çimento içeren bir resim&#10;&#10;Açıklama otomatik olarak oluşturuldu"/>
                    <pic:cNvPicPr/>
                  </pic:nvPicPr>
                  <pic:blipFill rotWithShape="1">
                    <a:blip r:embed="rId335" cstate="email">
                      <a:extLst>
                        <a:ext uri="{28A0092B-C50C-407E-A947-70E740481C1C}">
                          <a14:useLocalDpi xmlns:a14="http://schemas.microsoft.com/office/drawing/2010/main"/>
                        </a:ext>
                      </a:extLst>
                    </a:blip>
                    <a:srcRect/>
                    <a:stretch/>
                  </pic:blipFill>
                  <pic:spPr bwMode="auto">
                    <a:xfrm>
                      <a:off x="0" y="0"/>
                      <a:ext cx="5152390" cy="2604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24E9">
        <w:rPr>
          <w:rFonts w:ascii="Times New Roman" w:hAnsi="Times New Roman"/>
          <w:lang w:val="en-GB"/>
        </w:rPr>
        <w:t>The niche to the west is 8.10 meters high and 2.60 meters wide (Fig. 11). With an inclination towards the south, it is 2.56 meters deep on the floor level and narrows down to 2.24 meters towards the top. While there is no inscription on the eastern niche, the western niche is inscribed on the interior with 13 lines of cuneiform text on the back wall (CTU I. A 9-3 VII</w:t>
      </w:r>
      <w:r w:rsidRPr="008C67C7">
        <w:rPr>
          <w:rFonts w:ascii="Times New Roman" w:eastAsia="Calibri" w:hAnsi="Times New Roman" w:cs="Times New Roman"/>
          <w:lang w:val="en-GB"/>
        </w:rPr>
        <w:t>)</w:t>
      </w:r>
      <w:r w:rsidRPr="00C724E9">
        <w:rPr>
          <w:rFonts w:ascii="Times New Roman" w:hAnsi="Times New Roman"/>
          <w:lang w:val="en-GB"/>
        </w:rPr>
        <w:t xml:space="preserve"> and with 29 lines of cuneiform text on the upper eastern face (CTU I. A 9-3 I), (Fig. 12-13).</w:t>
      </w:r>
    </w:p>
    <w:p w14:paraId="768E9F0A" w14:textId="487AC8F9" w:rsidR="00BC2CE3" w:rsidRPr="00200356" w:rsidRDefault="00BC2CE3" w:rsidP="00BC2CE3">
      <w:pPr>
        <w:spacing w:before="100" w:beforeAutospacing="1" w:after="100" w:afterAutospacing="1" w:line="259" w:lineRule="auto"/>
        <w:jc w:val="both"/>
        <w:rPr>
          <w:rFonts w:asciiTheme="majorBidi" w:hAnsiTheme="majorBidi" w:cstheme="majorBidi"/>
          <w:kern w:val="0"/>
          <w:sz w:val="22"/>
          <w:lang w:val="en-GB"/>
          <w14:ligatures w14:val="none"/>
        </w:rPr>
      </w:pPr>
    </w:p>
    <w:p w14:paraId="58784A1A"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12 The cuneiform inscription on the back wall of the western niche.</w:t>
      </w:r>
    </w:p>
    <w:p w14:paraId="19BFB0DF"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inline distT="0" distB="0" distL="0" distR="0" wp14:anchorId="5571A9B9" wp14:editId="0488FD38">
            <wp:extent cx="5630074" cy="3736877"/>
            <wp:effectExtent l="0" t="0" r="0" b="0"/>
            <wp:docPr id="242" name="Resim 242" descr="dış mekan, jeoloji, kireç taşı,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Resim 242" descr="dış mekan, jeoloji, kireç taşı, formasyon içeren bir resim&#10;&#10;Açıklama otomatik olarak oluşturuldu"/>
                    <pic:cNvPicPr/>
                  </pic:nvPicPr>
                  <pic:blipFill>
                    <a:blip r:embed="rId336" cstate="email">
                      <a:extLst>
                        <a:ext uri="{28A0092B-C50C-407E-A947-70E740481C1C}">
                          <a14:useLocalDpi xmlns:a14="http://schemas.microsoft.com/office/drawing/2010/main"/>
                        </a:ext>
                      </a:extLst>
                    </a:blip>
                    <a:stretch>
                      <a:fillRect/>
                    </a:stretch>
                  </pic:blipFill>
                  <pic:spPr>
                    <a:xfrm>
                      <a:off x="0" y="0"/>
                      <a:ext cx="5648973" cy="3749421"/>
                    </a:xfrm>
                    <a:prstGeom prst="rect">
                      <a:avLst/>
                    </a:prstGeom>
                  </pic:spPr>
                </pic:pic>
              </a:graphicData>
            </a:graphic>
          </wp:inline>
        </w:drawing>
      </w:r>
    </w:p>
    <w:p w14:paraId="69F1244A"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13 The cuneiform inscription on the eastern (left) face of the western niche (CTU I. A 9-3 I).</w:t>
      </w:r>
    </w:p>
    <w:p w14:paraId="630A1D72" w14:textId="77777777" w:rsidR="00BC2CE3" w:rsidRPr="00C724E9" w:rsidRDefault="00BC2CE3" w:rsidP="00BC2CE3">
      <w:pPr>
        <w:spacing w:before="100" w:beforeAutospacing="1" w:after="100" w:afterAutospacing="1"/>
        <w:jc w:val="both"/>
        <w:rPr>
          <w:rFonts w:ascii="Times New Roman" w:hAnsi="Times New Roman"/>
          <w:lang w:val="en-GB"/>
        </w:rPr>
      </w:pPr>
    </w:p>
    <w:p w14:paraId="16189434"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drawing>
          <wp:inline distT="0" distB="0" distL="0" distR="0" wp14:anchorId="16670D1C" wp14:editId="0A6EB4C1">
            <wp:extent cx="5270500" cy="2878024"/>
            <wp:effectExtent l="0" t="0" r="0" b="5080"/>
            <wp:docPr id="243" name="Resim 243" descr="dış mekan, heykel, duva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Resim 243" descr="dış mekan, heykel, duvar, bina içeren bir resim&#10;&#10;Açıklama otomatik olarak oluşturuldu"/>
                    <pic:cNvPicPr/>
                  </pic:nvPicPr>
                  <pic:blipFill rotWithShape="1">
                    <a:blip r:embed="rId337" cstate="email">
                      <a:extLst>
                        <a:ext uri="{28A0092B-C50C-407E-A947-70E740481C1C}">
                          <a14:useLocalDpi xmlns:a14="http://schemas.microsoft.com/office/drawing/2010/main"/>
                        </a:ext>
                      </a:extLst>
                    </a:blip>
                    <a:srcRect/>
                    <a:stretch/>
                  </pic:blipFill>
                  <pic:spPr bwMode="auto">
                    <a:xfrm>
                      <a:off x="0" y="0"/>
                      <a:ext cx="5270500" cy="2878024"/>
                    </a:xfrm>
                    <a:prstGeom prst="rect">
                      <a:avLst/>
                    </a:prstGeom>
                    <a:ln>
                      <a:noFill/>
                    </a:ln>
                    <a:extLst>
                      <a:ext uri="{53640926-AAD7-44D8-BBD7-CCE9431645EC}">
                        <a14:shadowObscured xmlns:a14="http://schemas.microsoft.com/office/drawing/2010/main"/>
                      </a:ext>
                    </a:extLst>
                  </pic:spPr>
                </pic:pic>
              </a:graphicData>
            </a:graphic>
          </wp:inline>
        </w:drawing>
      </w:r>
    </w:p>
    <w:p w14:paraId="47FA570C"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14 The stele base in front of the western niche of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w:t>
      </w:r>
    </w:p>
    <w:p w14:paraId="69EA3E20" w14:textId="77777777" w:rsidR="00BC2CE3" w:rsidRPr="00C724E9" w:rsidRDefault="00BC2CE3" w:rsidP="00BC2CE3">
      <w:pPr>
        <w:spacing w:before="100" w:beforeAutospacing="1" w:after="100" w:afterAutospacing="1"/>
        <w:jc w:val="both"/>
        <w:rPr>
          <w:rFonts w:ascii="Times New Roman" w:hAnsi="Times New Roman"/>
          <w:lang w:val="en-GB"/>
        </w:rPr>
      </w:pPr>
      <w:r w:rsidRPr="00200356">
        <w:rPr>
          <w:rFonts w:ascii="Times New Roman" w:eastAsia="Calibri" w:hAnsi="Times New Roman" w:cs="Times New Roman"/>
          <w:lang w:val="en-GB"/>
        </w:rPr>
        <w:t>The inscription</w:t>
      </w:r>
      <w:r w:rsidRPr="00C724E9">
        <w:rPr>
          <w:rFonts w:ascii="Times New Roman" w:hAnsi="Times New Roman"/>
          <w:lang w:val="en-GB"/>
        </w:rPr>
        <w:t xml:space="preserve"> on the façade</w:t>
      </w:r>
      <w:r w:rsidRPr="00200356">
        <w:rPr>
          <w:rFonts w:ascii="Times New Roman" w:eastAsia="Calibri" w:hAnsi="Times New Roman" w:cs="Times New Roman"/>
          <w:lang w:val="en-GB"/>
        </w:rPr>
        <w:t xml:space="preserve"> tells us that </w:t>
      </w:r>
      <w:r w:rsidRPr="00200356">
        <w:rPr>
          <w:rFonts w:ascii="Times New Roman" w:hAnsi="Times New Roman"/>
          <w:lang w:val="en-GB"/>
        </w:rPr>
        <w:t>Sarduri II</w:t>
      </w:r>
      <w:r w:rsidRPr="00200356">
        <w:rPr>
          <w:rFonts w:ascii="Times New Roman" w:eastAsia="Calibri" w:hAnsi="Times New Roman" w:cs="Times New Roman"/>
          <w:lang w:val="en-GB"/>
        </w:rPr>
        <w:t xml:space="preserve"> took over after </w:t>
      </w:r>
      <w:r w:rsidRPr="00200356">
        <w:rPr>
          <w:rFonts w:asciiTheme="majorBidi" w:hAnsiTheme="majorBidi" w:cstheme="majorBidi"/>
          <w:lang w:val="en-GB"/>
        </w:rPr>
        <w:fldChar w:fldCharType="begin"/>
      </w:r>
      <w:r w:rsidRPr="00200356">
        <w:rPr>
          <w:rFonts w:asciiTheme="majorBidi" w:hAnsiTheme="majorBidi" w:cstheme="majorBidi"/>
          <w:lang w:val="en-GB"/>
        </w:rPr>
        <w:instrText xml:space="preserve"> XE "Sarduri II" </w:instrText>
      </w:r>
      <w:r w:rsidRPr="00200356">
        <w:rPr>
          <w:rFonts w:asciiTheme="majorBidi" w:hAnsiTheme="majorBidi" w:cstheme="majorBidi"/>
          <w:lang w:val="en-GB"/>
        </w:rPr>
        <w:fldChar w:fldCharType="end"/>
      </w:r>
      <w:r w:rsidRPr="00200356">
        <w:rPr>
          <w:rFonts w:asciiTheme="majorBidi" w:hAnsiTheme="majorBidi" w:cstheme="majorBidi"/>
          <w:lang w:val="en-GB"/>
        </w:rPr>
        <w:t xml:space="preserve"> states that he sat on the throne of </w:t>
      </w:r>
      <w:r w:rsidRPr="00C724E9">
        <w:rPr>
          <w:rFonts w:ascii="Times New Roman" w:hAnsi="Times New Roman"/>
          <w:lang w:val="en-GB"/>
        </w:rPr>
        <w:t>his father</w:t>
      </w:r>
      <w:r w:rsidRPr="00200356">
        <w:rPr>
          <w:rFonts w:ascii="Times New Roman" w:eastAsia="Calibri" w:hAnsi="Times New Roman" w:cs="Times New Roman"/>
          <w:lang w:val="en-GB"/>
        </w:rPr>
        <w:t xml:space="preserve">. He also lists the possessions he obtained, such as </w:t>
      </w:r>
      <w:r w:rsidRPr="00C724E9">
        <w:rPr>
          <w:rFonts w:ascii="Times New Roman" w:hAnsi="Times New Roman"/>
          <w:lang w:val="en-GB"/>
        </w:rPr>
        <w:t xml:space="preserve">chariots, cavalry, soldiers, </w:t>
      </w:r>
      <w:r w:rsidRPr="00200356">
        <w:rPr>
          <w:rFonts w:asciiTheme="majorBidi" w:hAnsiTheme="majorBidi" w:cstheme="majorBidi"/>
          <w:lang w:val="en-GB"/>
        </w:rPr>
        <w:t>horses, mules, sheep and cattle</w:t>
      </w:r>
      <w:r w:rsidRPr="00C724E9">
        <w:rPr>
          <w:rFonts w:ascii="Times New Roman" w:hAnsi="Times New Roman"/>
          <w:lang w:val="en-GB"/>
        </w:rPr>
        <w:t>, grains, bronze, and slaves</w:t>
      </w:r>
      <w:r w:rsidRPr="00200356">
        <w:rPr>
          <w:rFonts w:ascii="Times New Roman" w:eastAsia="Calibri" w:hAnsi="Times New Roman" w:cs="Times New Roman"/>
          <w:lang w:val="en-GB"/>
        </w:rPr>
        <w:t>. The goal seems</w:t>
      </w:r>
      <w:r w:rsidRPr="00200356">
        <w:rPr>
          <w:rFonts w:asciiTheme="majorBidi" w:hAnsiTheme="majorBidi" w:cstheme="majorBidi"/>
          <w:lang w:val="en-GB"/>
        </w:rPr>
        <w:t xml:space="preserve"> that he possessed </w:t>
      </w:r>
      <w:r w:rsidRPr="00200356">
        <w:rPr>
          <w:rFonts w:asciiTheme="majorBidi" w:hAnsiTheme="majorBidi" w:cstheme="majorBidi"/>
          <w:lang w:val="en-GB"/>
        </w:rPr>
        <w:lastRenderedPageBreak/>
        <w:t>(CTU I. A 9-3 VII). By doing so, Sarduri II should have intended</w:t>
      </w:r>
      <w:r w:rsidRPr="00C724E9">
        <w:rPr>
          <w:rFonts w:ascii="Times New Roman" w:hAnsi="Times New Roman"/>
          <w:lang w:val="en-GB"/>
        </w:rPr>
        <w:t xml:space="preserve"> to </w:t>
      </w:r>
      <w:r w:rsidRPr="00200356">
        <w:rPr>
          <w:rFonts w:ascii="Times New Roman" w:eastAsia="Calibri" w:hAnsi="Times New Roman" w:cs="Times New Roman"/>
          <w:lang w:val="en-GB"/>
        </w:rPr>
        <w:t xml:space="preserve">be comparing the kingdom's wealth under </w:t>
      </w:r>
      <w:r w:rsidRPr="00C724E9">
        <w:rPr>
          <w:rFonts w:ascii="Times New Roman" w:hAnsi="Times New Roman"/>
          <w:lang w:val="en-GB"/>
        </w:rPr>
        <w:t xml:space="preserve">his </w:t>
      </w:r>
      <w:r w:rsidRPr="00200356">
        <w:rPr>
          <w:rFonts w:ascii="Times New Roman" w:eastAsia="Calibri" w:hAnsi="Times New Roman" w:cs="Times New Roman"/>
          <w:lang w:val="en-GB"/>
        </w:rPr>
        <w:t>father's rule to what</w:t>
      </w:r>
      <w:r w:rsidRPr="00C724E9">
        <w:rPr>
          <w:rFonts w:ascii="Times New Roman" w:hAnsi="Times New Roman"/>
          <w:lang w:val="en-GB"/>
        </w:rPr>
        <w:t xml:space="preserve"> he </w:t>
      </w:r>
      <w:r w:rsidRPr="00200356">
        <w:rPr>
          <w:rFonts w:ascii="Times New Roman" w:eastAsia="Calibri" w:hAnsi="Times New Roman" w:cs="Times New Roman"/>
          <w:lang w:val="en-GB"/>
        </w:rPr>
        <w:t>acquired</w:t>
      </w:r>
      <w:r w:rsidRPr="00C724E9">
        <w:rPr>
          <w:rFonts w:ascii="Times New Roman" w:hAnsi="Times New Roman"/>
          <w:lang w:val="en-GB"/>
        </w:rPr>
        <w:t xml:space="preserve"> through military campaigns. This inscription </w:t>
      </w:r>
      <w:r w:rsidRPr="00200356">
        <w:rPr>
          <w:rFonts w:ascii="Times New Roman" w:eastAsia="Calibri" w:hAnsi="Times New Roman" w:cs="Times New Roman"/>
          <w:lang w:val="en-GB"/>
        </w:rPr>
        <w:t>likely marks</w:t>
      </w:r>
      <w:r w:rsidRPr="00C724E9">
        <w:rPr>
          <w:rFonts w:ascii="Times New Roman" w:hAnsi="Times New Roman"/>
          <w:lang w:val="en-GB"/>
        </w:rPr>
        <w:t xml:space="preserve"> the </w:t>
      </w:r>
      <w:r w:rsidRPr="00200356">
        <w:rPr>
          <w:rFonts w:ascii="Times New Roman" w:eastAsia="Calibri" w:hAnsi="Times New Roman" w:cs="Times New Roman"/>
          <w:lang w:val="en-GB"/>
        </w:rPr>
        <w:t>start</w:t>
      </w:r>
      <w:r w:rsidRPr="00C724E9">
        <w:rPr>
          <w:rFonts w:ascii="Times New Roman" w:hAnsi="Times New Roman"/>
          <w:lang w:val="en-GB"/>
        </w:rPr>
        <w:t xml:space="preserve"> of Sarduri </w:t>
      </w:r>
      <w:r w:rsidRPr="00200356">
        <w:rPr>
          <w:rFonts w:ascii="Times New Roman" w:eastAsia="Calibri" w:hAnsi="Times New Roman" w:cs="Times New Roman"/>
          <w:lang w:val="en-GB"/>
        </w:rPr>
        <w:t>II's records</w:t>
      </w:r>
      <w:r w:rsidRPr="00C724E9">
        <w:rPr>
          <w:rFonts w:ascii="Times New Roman" w:hAnsi="Times New Roman"/>
          <w:lang w:val="en-GB"/>
        </w:rPr>
        <w:t xml:space="preserve"> in this area. </w:t>
      </w:r>
      <w:r w:rsidRPr="00200356">
        <w:rPr>
          <w:rFonts w:ascii="Times New Roman" w:eastAsia="Calibri" w:hAnsi="Times New Roman" w:cs="Times New Roman"/>
          <w:lang w:val="en-GB"/>
        </w:rPr>
        <w:t>The</w:t>
      </w:r>
      <w:r w:rsidRPr="00C724E9">
        <w:rPr>
          <w:rFonts w:ascii="Times New Roman" w:hAnsi="Times New Roman"/>
          <w:lang w:val="en-GB"/>
        </w:rPr>
        <w:t xml:space="preserve"> expression </w:t>
      </w:r>
      <w:r w:rsidRPr="00200356">
        <w:rPr>
          <w:rFonts w:asciiTheme="majorBidi" w:hAnsiTheme="majorBidi" w:cstheme="majorBidi"/>
          <w:lang w:val="en-GB"/>
        </w:rPr>
        <w:t>“</w:t>
      </w:r>
      <w:r w:rsidRPr="00200356">
        <w:rPr>
          <w:rFonts w:asciiTheme="majorBidi" w:hAnsiTheme="majorBidi" w:cstheme="majorBidi"/>
          <w:vertAlign w:val="superscript"/>
          <w:lang w:val="en-GB"/>
        </w:rPr>
        <w:t>D</w:t>
      </w:r>
      <w:r w:rsidRPr="00200356">
        <w:rPr>
          <w:rFonts w:asciiTheme="majorBidi" w:hAnsiTheme="majorBidi" w:cstheme="majorBidi"/>
          <w:lang w:val="en-GB"/>
        </w:rPr>
        <w:t>Ḫaldišme MAN-tuḫi aruni naḫadi ‘</w:t>
      </w:r>
      <w:r w:rsidRPr="00200356">
        <w:rPr>
          <w:rFonts w:asciiTheme="majorBidi" w:hAnsiTheme="majorBidi" w:cstheme="majorBidi"/>
          <w:vertAlign w:val="superscript"/>
          <w:lang w:val="en-GB"/>
        </w:rPr>
        <w:t>LÚ</w:t>
      </w:r>
      <w:r w:rsidRPr="00200356">
        <w:rPr>
          <w:rFonts w:asciiTheme="majorBidi" w:hAnsiTheme="majorBidi" w:cstheme="majorBidi"/>
          <w:lang w:val="en-GB"/>
        </w:rPr>
        <w:t xml:space="preserve">AD-sini esi MAN-tuḫini’ = </w:t>
      </w:r>
      <w:r w:rsidRPr="00C724E9">
        <w:rPr>
          <w:rFonts w:ascii="Times New Roman" w:hAnsi="Times New Roman"/>
          <w:lang w:val="en-GB"/>
        </w:rPr>
        <w:t>God Ḫaldi</w:t>
      </w:r>
      <w:r w:rsidRPr="00200356">
        <w:rPr>
          <w:rFonts w:ascii="Times New Roman" w:hAnsi="Times New Roman"/>
          <w:lang w:val="en-GB"/>
        </w:rPr>
        <w:t xml:space="preserve"> </w:t>
      </w:r>
      <w:r w:rsidRPr="00200356">
        <w:rPr>
          <w:rFonts w:asciiTheme="majorBidi" w:hAnsiTheme="majorBidi" w:cstheme="majorBidi"/>
          <w:lang w:val="en-GB"/>
        </w:rPr>
        <w:fldChar w:fldCharType="begin"/>
      </w:r>
      <w:r w:rsidRPr="00200356">
        <w:rPr>
          <w:rFonts w:asciiTheme="majorBidi" w:hAnsiTheme="majorBidi" w:cstheme="majorBidi"/>
          <w:lang w:val="en-GB"/>
        </w:rPr>
        <w:instrText xml:space="preserve"> XE "Ḫaldi" </w:instrText>
      </w:r>
      <w:r w:rsidRPr="00200356">
        <w:rPr>
          <w:rFonts w:asciiTheme="majorBidi" w:hAnsiTheme="majorBidi" w:cstheme="majorBidi"/>
          <w:lang w:val="en-GB"/>
        </w:rPr>
        <w:fldChar w:fldCharType="end"/>
      </w:r>
      <w:r w:rsidRPr="00C724E9">
        <w:rPr>
          <w:rFonts w:ascii="Times New Roman" w:hAnsi="Times New Roman"/>
          <w:lang w:val="en-GB"/>
        </w:rPr>
        <w:t xml:space="preserve"> gave (me) the kingdom</w:t>
      </w:r>
      <w:r w:rsidRPr="00200356">
        <w:rPr>
          <w:rFonts w:ascii="Times New Roman" w:eastAsia="Calibri" w:hAnsi="Times New Roman" w:cs="Times New Roman"/>
          <w:lang w:val="en-GB"/>
        </w:rPr>
        <w:t>,</w:t>
      </w:r>
      <w:r w:rsidRPr="00C724E9">
        <w:rPr>
          <w:rFonts w:ascii="Times New Roman" w:hAnsi="Times New Roman"/>
          <w:lang w:val="en-GB"/>
        </w:rPr>
        <w:t xml:space="preserve"> and thus I ascended the throne of my </w:t>
      </w:r>
      <w:r w:rsidRPr="00200356">
        <w:rPr>
          <w:rFonts w:ascii="Times New Roman" w:eastAsia="Calibri" w:hAnsi="Times New Roman" w:cs="Times New Roman"/>
          <w:lang w:val="en-GB"/>
        </w:rPr>
        <w:t>father" appears</w:t>
      </w:r>
      <w:r w:rsidRPr="00C724E9">
        <w:rPr>
          <w:rFonts w:ascii="Times New Roman" w:hAnsi="Times New Roman"/>
          <w:lang w:val="en-GB"/>
        </w:rPr>
        <w:t xml:space="preserve"> at the beginning of the inscription </w:t>
      </w:r>
      <w:r w:rsidRPr="00200356">
        <w:rPr>
          <w:rFonts w:ascii="Times New Roman" w:eastAsia="Calibri" w:hAnsi="Times New Roman" w:cs="Times New Roman"/>
          <w:lang w:val="en-GB"/>
        </w:rPr>
        <w:t>and in</w:t>
      </w:r>
      <w:r w:rsidRPr="00C724E9">
        <w:rPr>
          <w:rFonts w:ascii="Times New Roman" w:hAnsi="Times New Roman"/>
          <w:lang w:val="en-GB"/>
        </w:rPr>
        <w:t xml:space="preserve"> other Urartian</w:t>
      </w:r>
      <w:r w:rsidRPr="00200356">
        <w:rPr>
          <w:rFonts w:asciiTheme="majorBidi" w:hAnsiTheme="majorBidi" w:cstheme="majorBidi"/>
          <w:lang w:val="en-GB"/>
        </w:rPr>
        <w:fldChar w:fldCharType="begin"/>
      </w:r>
      <w:r w:rsidRPr="00200356">
        <w:rPr>
          <w:rFonts w:asciiTheme="majorBidi" w:hAnsiTheme="majorBidi" w:cstheme="majorBidi"/>
          <w:lang w:val="en-GB"/>
        </w:rPr>
        <w:instrText xml:space="preserve"> XE "Urartian" </w:instrText>
      </w:r>
      <w:r w:rsidRPr="00200356">
        <w:rPr>
          <w:rFonts w:asciiTheme="majorBidi" w:hAnsiTheme="majorBidi" w:cstheme="majorBidi"/>
          <w:lang w:val="en-GB"/>
        </w:rPr>
        <w:fldChar w:fldCharType="end"/>
      </w:r>
      <w:r w:rsidRPr="00C724E9">
        <w:rPr>
          <w:rFonts w:ascii="Times New Roman" w:hAnsi="Times New Roman"/>
          <w:lang w:val="en-GB"/>
        </w:rPr>
        <w:t xml:space="preserve"> inscriptions</w:t>
      </w:r>
      <w:r w:rsidRPr="00200356">
        <w:rPr>
          <w:rFonts w:ascii="Times New Roman" w:eastAsia="Calibri" w:hAnsi="Times New Roman" w:cs="Times New Roman"/>
          <w:lang w:val="en-GB"/>
        </w:rPr>
        <w:t>.</w:t>
      </w:r>
      <w:r w:rsidRPr="00200356">
        <w:rPr>
          <w:rFonts w:asciiTheme="majorBidi" w:hAnsiTheme="majorBidi" w:cstheme="majorBidi"/>
          <w:lang w:val="en-GB"/>
        </w:rPr>
        <w:t xml:space="preserve"> (CTU I. A 9-10, 3-4; CTU I. A 12-2 I, 3-4; CTU I. A 14-1 Ro, 8-9; A 14-2 Ro, 7-8).</w:t>
      </w:r>
      <w:r w:rsidRPr="00C724E9">
        <w:rPr>
          <w:rFonts w:ascii="Times New Roman" w:hAnsi="Times New Roman"/>
          <w:lang w:val="en-GB"/>
        </w:rPr>
        <w:t xml:space="preserve"> This </w:t>
      </w:r>
      <w:r w:rsidRPr="00200356">
        <w:rPr>
          <w:rFonts w:ascii="Times New Roman" w:eastAsia="Calibri" w:hAnsi="Times New Roman" w:cs="Times New Roman"/>
          <w:lang w:val="en-GB"/>
        </w:rPr>
        <w:t>suggests a</w:t>
      </w:r>
      <w:r w:rsidRPr="00C724E9">
        <w:rPr>
          <w:rFonts w:ascii="Times New Roman" w:hAnsi="Times New Roman"/>
          <w:lang w:val="en-GB"/>
        </w:rPr>
        <w:t xml:space="preserve"> need to </w:t>
      </w:r>
      <w:r w:rsidRPr="00200356">
        <w:rPr>
          <w:rFonts w:ascii="Times New Roman" w:eastAsia="Calibri" w:hAnsi="Times New Roman" w:cs="Times New Roman"/>
          <w:lang w:val="en-GB"/>
        </w:rPr>
        <w:t>reassess</w:t>
      </w:r>
      <w:r w:rsidRPr="00C724E9">
        <w:rPr>
          <w:rFonts w:ascii="Times New Roman" w:hAnsi="Times New Roman"/>
          <w:lang w:val="en-GB"/>
        </w:rPr>
        <w:t xml:space="preserve"> the Annals of Sarduri II at Analıkız</w:t>
      </w:r>
      <w:r w:rsidRPr="00200356">
        <w:rPr>
          <w:rFonts w:ascii="Times New Roman" w:eastAsia="Calibri" w:hAnsi="Times New Roman" w:cs="Times New Roman"/>
          <w:lang w:val="en-GB"/>
        </w:rPr>
        <w:t>.</w:t>
      </w:r>
      <w:r w:rsidRPr="00200356">
        <w:rPr>
          <w:rFonts w:asciiTheme="majorBidi" w:hAnsiTheme="majorBidi" w:cstheme="majorBidi"/>
          <w:lang w:val="en-GB"/>
        </w:rPr>
        <w:fldChar w:fldCharType="begin"/>
      </w:r>
      <w:r w:rsidRPr="00200356">
        <w:rPr>
          <w:rFonts w:asciiTheme="majorBidi" w:hAnsiTheme="majorBidi" w:cstheme="majorBidi"/>
          <w:lang w:val="en-GB"/>
        </w:rPr>
        <w:instrText xml:space="preserve"> XE "Analıkız" </w:instrText>
      </w:r>
      <w:r w:rsidRPr="00200356">
        <w:rPr>
          <w:rFonts w:asciiTheme="majorBidi" w:hAnsiTheme="majorBidi" w:cstheme="majorBidi"/>
          <w:lang w:val="en-GB"/>
        </w:rPr>
        <w:fldChar w:fldCharType="end"/>
      </w:r>
      <w:r w:rsidRPr="00200356">
        <w:rPr>
          <w:rFonts w:asciiTheme="majorBidi" w:hAnsiTheme="majorBidi" w:cstheme="majorBidi"/>
          <w:lang w:val="en-GB"/>
        </w:rPr>
        <w:t>.</w:t>
      </w:r>
    </w:p>
    <w:p w14:paraId="5A5E3880"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drawing>
          <wp:inline distT="0" distB="0" distL="0" distR="0" wp14:anchorId="541911D3" wp14:editId="60CDB0F4">
            <wp:extent cx="3816626" cy="2118420"/>
            <wp:effectExtent l="0" t="0" r="6350" b="2540"/>
            <wp:docPr id="244" name="Resim 244" descr="dış mekan, kar, bet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Resim 244" descr="dış mekan, kar, beton, yer içeren bir resim&#10;&#10;Açıklama otomatik olarak oluşturuldu"/>
                    <pic:cNvPicPr/>
                  </pic:nvPicPr>
                  <pic:blipFill rotWithShape="1">
                    <a:blip r:embed="rId338" cstate="email">
                      <a:extLst>
                        <a:ext uri="{28A0092B-C50C-407E-A947-70E740481C1C}">
                          <a14:useLocalDpi xmlns:a14="http://schemas.microsoft.com/office/drawing/2010/main"/>
                        </a:ext>
                      </a:extLst>
                    </a:blip>
                    <a:srcRect/>
                    <a:stretch/>
                  </pic:blipFill>
                  <pic:spPr bwMode="auto">
                    <a:xfrm>
                      <a:off x="0" y="0"/>
                      <a:ext cx="3868080" cy="2146979"/>
                    </a:xfrm>
                    <a:prstGeom prst="rect">
                      <a:avLst/>
                    </a:prstGeom>
                    <a:ln>
                      <a:noFill/>
                    </a:ln>
                    <a:extLst>
                      <a:ext uri="{53640926-AAD7-44D8-BBD7-CCE9431645EC}">
                        <a14:shadowObscured xmlns:a14="http://schemas.microsoft.com/office/drawing/2010/main"/>
                      </a:ext>
                    </a:extLst>
                  </pic:spPr>
                </pic:pic>
              </a:graphicData>
            </a:graphic>
          </wp:inline>
        </w:drawing>
      </w:r>
    </w:p>
    <w:p w14:paraId="6BAA6F66"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15 The inscription (CTU I. A 9-3 VI) on the destroyed stele base in front of the western niche of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w:t>
      </w:r>
    </w:p>
    <w:p w14:paraId="04808149" w14:textId="77777777" w:rsidR="00BC2CE3" w:rsidRPr="00C724E9" w:rsidRDefault="00BC2CE3" w:rsidP="00BC2CE3">
      <w:pPr>
        <w:spacing w:before="100" w:beforeAutospacing="1" w:after="100" w:afterAutospacing="1"/>
        <w:jc w:val="both"/>
        <w:rPr>
          <w:rFonts w:ascii="Times New Roman" w:hAnsi="Times New Roman"/>
          <w:lang w:val="en-GB"/>
        </w:rPr>
      </w:pPr>
    </w:p>
    <w:p w14:paraId="50EC9048"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inline distT="0" distB="0" distL="0" distR="0" wp14:anchorId="4E0A70A8" wp14:editId="0190CC14">
            <wp:extent cx="4546600" cy="6299200"/>
            <wp:effectExtent l="0" t="0" r="0" b="0"/>
            <wp:docPr id="245" name="Resim 245" descr="harabeler, bina, dış meka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Resim 245" descr="harabeler, bina, dış mekan, mağara içeren bir resim&#10;&#10;Açıklama otomatik olarak oluşturuldu"/>
                    <pic:cNvPicPr/>
                  </pic:nvPicPr>
                  <pic:blipFill>
                    <a:blip r:embed="rId339" cstate="email">
                      <a:extLst>
                        <a:ext uri="{28A0092B-C50C-407E-A947-70E740481C1C}">
                          <a14:useLocalDpi xmlns:a14="http://schemas.microsoft.com/office/drawing/2010/main"/>
                        </a:ext>
                      </a:extLst>
                    </a:blip>
                    <a:stretch>
                      <a:fillRect/>
                    </a:stretch>
                  </pic:blipFill>
                  <pic:spPr>
                    <a:xfrm>
                      <a:off x="0" y="0"/>
                      <a:ext cx="4546600" cy="6299200"/>
                    </a:xfrm>
                    <a:prstGeom prst="rect">
                      <a:avLst/>
                    </a:prstGeom>
                  </pic:spPr>
                </pic:pic>
              </a:graphicData>
            </a:graphic>
          </wp:inline>
        </w:drawing>
      </w:r>
    </w:p>
    <w:p w14:paraId="1E67EDEE"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16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western niche, the stele of the Annals of Sarduri II</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Sarduri II</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and its base, unearthed during the 1916 excavations (Marr &amp; Orbeli, 1922).</w:t>
      </w:r>
    </w:p>
    <w:p w14:paraId="141F79C9" w14:textId="77777777" w:rsidR="00BC2CE3" w:rsidRPr="00C724E9" w:rsidRDefault="00BC2CE3" w:rsidP="00D73826">
      <w:pPr>
        <w:spacing w:before="100" w:beforeAutospacing="1" w:after="100" w:afterAutospacing="1"/>
        <w:jc w:val="both"/>
        <w:rPr>
          <w:rFonts w:ascii="Times New Roman" w:hAnsi="Times New Roman"/>
          <w:lang w:val="en-GB"/>
        </w:rPr>
      </w:pPr>
      <w:r w:rsidRPr="00C724E9">
        <w:rPr>
          <w:rFonts w:ascii="Times New Roman" w:hAnsi="Times New Roman"/>
          <w:lang w:val="en-GB"/>
        </w:rPr>
        <w:t xml:space="preserve">The niche to the west also </w:t>
      </w:r>
      <w:r w:rsidRPr="008C67C7">
        <w:rPr>
          <w:rFonts w:ascii="Times New Roman" w:eastAsia="Calibri" w:hAnsi="Times New Roman" w:cs="Times New Roman"/>
          <w:lang w:val="en-GB"/>
        </w:rPr>
        <w:t xml:space="preserve">has </w:t>
      </w:r>
      <w:r w:rsidRPr="00C724E9">
        <w:rPr>
          <w:rFonts w:ascii="Times New Roman" w:hAnsi="Times New Roman"/>
          <w:lang w:val="en-GB"/>
        </w:rPr>
        <w:t xml:space="preserve">a stele or obelisk base. In front of the niche, three pieces (the three pieces </w:t>
      </w:r>
      <w:r w:rsidRPr="008C67C7">
        <w:rPr>
          <w:rFonts w:ascii="Times New Roman" w:eastAsia="Calibri" w:hAnsi="Times New Roman" w:cs="Times New Roman"/>
          <w:lang w:val="en-GB"/>
        </w:rPr>
        <w:t>derived</w:t>
      </w:r>
      <w:r w:rsidRPr="00C724E9">
        <w:rPr>
          <w:rFonts w:ascii="Times New Roman" w:hAnsi="Times New Roman"/>
          <w:lang w:val="en-GB"/>
        </w:rPr>
        <w:t xml:space="preserve"> from the destruction of the base</w:t>
      </w:r>
      <w:r w:rsidRPr="008C67C7">
        <w:rPr>
          <w:rFonts w:ascii="Times New Roman" w:eastAsia="Calibri" w:hAnsi="Times New Roman" w:cs="Times New Roman"/>
          <w:lang w:val="en-GB"/>
        </w:rPr>
        <w:t>,</w:t>
      </w:r>
      <w:r w:rsidRPr="00C724E9">
        <w:rPr>
          <w:rFonts w:ascii="Times New Roman" w:hAnsi="Times New Roman"/>
          <w:lang w:val="en-GB"/>
        </w:rPr>
        <w:t xml:space="preserve"> which was discovered </w:t>
      </w:r>
      <w:r w:rsidRPr="008C67C7">
        <w:rPr>
          <w:rFonts w:ascii="Times New Roman" w:eastAsia="Calibri" w:hAnsi="Times New Roman" w:cs="Times New Roman"/>
          <w:lang w:val="en-GB"/>
        </w:rPr>
        <w:t>wholly</w:t>
      </w:r>
      <w:r w:rsidRPr="00C724E9">
        <w:rPr>
          <w:rFonts w:ascii="Times New Roman" w:hAnsi="Times New Roman"/>
          <w:lang w:val="en-GB"/>
        </w:rPr>
        <w:t xml:space="preserve"> by the Russians!) of a basalt base for a stele or obelisk </w:t>
      </w:r>
      <w:r w:rsidRPr="008C67C7">
        <w:rPr>
          <w:rFonts w:ascii="Times New Roman" w:eastAsia="Calibri" w:hAnsi="Times New Roman" w:cs="Times New Roman"/>
          <w:lang w:val="en-GB"/>
        </w:rPr>
        <w:t>were</w:t>
      </w:r>
      <w:r w:rsidRPr="00C724E9">
        <w:rPr>
          <w:rFonts w:ascii="Times New Roman" w:hAnsi="Times New Roman"/>
          <w:lang w:val="en-GB"/>
        </w:rPr>
        <w:t xml:space="preserve"> found in situ</w:t>
      </w:r>
      <w:r w:rsidRPr="008C67C7">
        <w:rPr>
          <w:rFonts w:ascii="Times New Roman" w:eastAsia="Calibri" w:hAnsi="Times New Roman" w:cs="Times New Roman"/>
          <w:lang w:val="en-GB"/>
        </w:rPr>
        <w:t>. In contrast,</w:t>
      </w:r>
      <w:r w:rsidRPr="00C724E9">
        <w:rPr>
          <w:rFonts w:ascii="Times New Roman" w:hAnsi="Times New Roman"/>
          <w:lang w:val="en-GB"/>
        </w:rPr>
        <w:t xml:space="preserve"> pieces of its upper part were found scattered (Fig. 14). These three basalt blocks belong together and are inscribed on their front faces</w:t>
      </w:r>
      <w:r>
        <w:rPr>
          <w:rFonts w:ascii="Times New Roman" w:eastAsia="Calibri" w:hAnsi="Times New Roman" w:cs="Times New Roman"/>
          <w:lang w:val="en-GB"/>
        </w:rPr>
        <w:t xml:space="preserve"> </w:t>
      </w:r>
      <w:r w:rsidRPr="008C67C7">
        <w:rPr>
          <w:rFonts w:ascii="Times New Roman" w:eastAsia="Calibri" w:hAnsi="Times New Roman" w:cs="Times New Roman"/>
          <w:lang w:val="en-GB"/>
        </w:rPr>
        <w:t>the</w:t>
      </w:r>
      <w:r w:rsidRPr="00C724E9">
        <w:rPr>
          <w:rFonts w:ascii="Times New Roman" w:hAnsi="Times New Roman"/>
          <w:lang w:val="en-GB"/>
        </w:rPr>
        <w:t xml:space="preserve"> square </w:t>
      </w:r>
      <w:r w:rsidRPr="008C67C7">
        <w:rPr>
          <w:rFonts w:ascii="Times New Roman" w:eastAsia="Calibri" w:hAnsi="Times New Roman" w:cs="Times New Roman"/>
          <w:lang w:val="en-GB"/>
        </w:rPr>
        <w:t>base</w:t>
      </w:r>
      <w:r w:rsidRPr="00C724E9">
        <w:rPr>
          <w:rFonts w:ascii="Times New Roman" w:hAnsi="Times New Roman"/>
          <w:lang w:val="en-GB"/>
        </w:rPr>
        <w:t xml:space="preserve"> measures 1.56 x 1.54 meters, with a 109 cm height. The depression carved for the stele to sit in measures 56 x 46 cm and is 60 cm deep. A tall stele/obelisk and its basalt base were found here. Lake indicates that during the excavations in 1938</w:t>
      </w:r>
      <w:r w:rsidRPr="008C67C7">
        <w:rPr>
          <w:rFonts w:ascii="Times New Roman" w:eastAsia="Calibri" w:hAnsi="Times New Roman" w:cs="Times New Roman"/>
          <w:lang w:val="en-GB"/>
        </w:rPr>
        <w:t>,</w:t>
      </w:r>
      <w:r w:rsidRPr="00C724E9">
        <w:rPr>
          <w:rFonts w:ascii="Times New Roman" w:hAnsi="Times New Roman"/>
          <w:lang w:val="en-GB"/>
        </w:rPr>
        <w:t xml:space="preserve"> a broken stele and its base </w:t>
      </w:r>
      <w:r w:rsidRPr="008C67C7">
        <w:rPr>
          <w:rFonts w:ascii="Times New Roman" w:eastAsia="Calibri" w:hAnsi="Times New Roman" w:cs="Times New Roman"/>
          <w:lang w:val="en-GB"/>
        </w:rPr>
        <w:t>were</w:t>
      </w:r>
      <w:r w:rsidRPr="00C724E9">
        <w:rPr>
          <w:rFonts w:ascii="Times New Roman" w:hAnsi="Times New Roman"/>
          <w:lang w:val="en-GB"/>
        </w:rPr>
        <w:t xml:space="preserve"> discovered in this area; the stele was destroyed, and its base was smashed in three pieces by the local people living there (Korfmann, 1977: 184).</w:t>
      </w:r>
    </w:p>
    <w:p w14:paraId="168FE1F3"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lastRenderedPageBreak/>
        <w:t>The inscriptions on the western niche and the (only one stele, destroyed in many pieces) found there contain various reports of the activities of Sarduri II</w:t>
      </w:r>
      <w:r w:rsidRPr="008C67C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such as the lands targeted in military campaigns, relocated populations, building and construction activities in these areas, the spoils, state of the army and the number of the military equipment that the kingdom possessed (CTU I. A 9-3 VI), (Fig. 15). (see Chapter 4)</w:t>
      </w:r>
    </w:p>
    <w:p w14:paraId="28DBD729"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drawing>
          <wp:inline distT="0" distB="0" distL="0" distR="0" wp14:anchorId="2AF1D616" wp14:editId="1AAED406">
            <wp:extent cx="3951605" cy="2433234"/>
            <wp:effectExtent l="0" t="0" r="0" b="5715"/>
            <wp:docPr id="246" name="Resim 246" descr="dış mekan, mezarlık, mezar,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Resim 246" descr="dış mekan, mezarlık, mezar, çim içeren bir resim&#10;&#10;Açıklama otomatik olarak oluşturuldu"/>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3978974" cy="2450087"/>
                    </a:xfrm>
                    <a:prstGeom prst="rect">
                      <a:avLst/>
                    </a:prstGeom>
                    <a:ln>
                      <a:noFill/>
                    </a:ln>
                    <a:extLst>
                      <a:ext uri="{53640926-AAD7-44D8-BBD7-CCE9431645EC}">
                        <a14:shadowObscured xmlns:a14="http://schemas.microsoft.com/office/drawing/2010/main"/>
                      </a:ext>
                    </a:extLst>
                  </pic:spPr>
                </pic:pic>
              </a:graphicData>
            </a:graphic>
          </wp:inline>
        </w:drawing>
      </w:r>
    </w:p>
    <w:p w14:paraId="14D9F5FF"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17 Top of the stele in the eastern niche at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used as a construction material at the Surp Boğos Church</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Surp Boğos Church</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the half-steles reassembled in CTU I. A 9-1 come from the east niche (Salvini, 2010: 343-352).</w:t>
      </w:r>
    </w:p>
    <w:p w14:paraId="08BEF0A9"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drawing>
          <wp:inline distT="0" distB="0" distL="0" distR="0" wp14:anchorId="4008BAD7" wp14:editId="29F4A555">
            <wp:extent cx="4525505" cy="3394129"/>
            <wp:effectExtent l="0" t="0" r="0" b="0"/>
            <wp:docPr id="247" name="Resim 247" descr="dış mekan, jeoloji, yer,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Resim 247" descr="dış mekan, jeoloji, yer, dağ içeren bir resim&#10;&#10;Açıklama otomatik olarak oluşturuldu"/>
                    <pic:cNvPicPr/>
                  </pic:nvPicPr>
                  <pic:blipFill>
                    <a:blip r:embed="rId341" cstate="email">
                      <a:extLst>
                        <a:ext uri="{28A0092B-C50C-407E-A947-70E740481C1C}">
                          <a14:useLocalDpi xmlns:a14="http://schemas.microsoft.com/office/drawing/2010/main"/>
                        </a:ext>
                      </a:extLst>
                    </a:blip>
                    <a:stretch>
                      <a:fillRect/>
                    </a:stretch>
                  </pic:blipFill>
                  <pic:spPr>
                    <a:xfrm>
                      <a:off x="0" y="0"/>
                      <a:ext cx="4542393" cy="3406795"/>
                    </a:xfrm>
                    <a:prstGeom prst="rect">
                      <a:avLst/>
                    </a:prstGeom>
                  </pic:spPr>
                </pic:pic>
              </a:graphicData>
            </a:graphic>
          </wp:inline>
        </w:drawing>
      </w:r>
    </w:p>
    <w:p w14:paraId="20233FA4"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18 Canal lying towards the north of the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area.</w:t>
      </w:r>
    </w:p>
    <w:p w14:paraId="034D2B8E"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inline distT="0" distB="0" distL="0" distR="0" wp14:anchorId="29777A3C" wp14:editId="679906CB">
            <wp:extent cx="1445985" cy="1239864"/>
            <wp:effectExtent l="0" t="0" r="1905" b="5080"/>
            <wp:docPr id="248" name="Resim 24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diyagram içeren bir resim&#10;&#10;Açıklama otomatik olarak oluşturuldu"/>
                    <pic:cNvPicPr/>
                  </pic:nvPicPr>
                  <pic:blipFill rotWithShape="1">
                    <a:blip r:embed="rId342" cstate="email">
                      <a:extLst>
                        <a:ext uri="{28A0092B-C50C-407E-A947-70E740481C1C}">
                          <a14:useLocalDpi xmlns:a14="http://schemas.microsoft.com/office/drawing/2010/main"/>
                        </a:ext>
                      </a:extLst>
                    </a:blip>
                    <a:srcRect/>
                    <a:stretch/>
                  </pic:blipFill>
                  <pic:spPr bwMode="auto">
                    <a:xfrm>
                      <a:off x="0" y="0"/>
                      <a:ext cx="1474712" cy="1264496"/>
                    </a:xfrm>
                    <a:prstGeom prst="rect">
                      <a:avLst/>
                    </a:prstGeom>
                    <a:ln>
                      <a:noFill/>
                    </a:ln>
                    <a:extLst>
                      <a:ext uri="{53640926-AAD7-44D8-BBD7-CCE9431645EC}">
                        <a14:shadowObscured xmlns:a14="http://schemas.microsoft.com/office/drawing/2010/main"/>
                      </a:ext>
                    </a:extLst>
                  </pic:spPr>
                </pic:pic>
              </a:graphicData>
            </a:graphic>
          </wp:inline>
        </w:drawing>
      </w:r>
    </w:p>
    <w:p w14:paraId="428CAA2C"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19 Cross-section of the drainage canal.</w:t>
      </w:r>
    </w:p>
    <w:p w14:paraId="29692DAF"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 xml:space="preserve">The long rectangular stele piece </w:t>
      </w:r>
      <w:r w:rsidRPr="008C67C7">
        <w:rPr>
          <w:rFonts w:ascii="Times New Roman" w:eastAsia="Calibri" w:hAnsi="Times New Roman" w:cs="Times New Roman"/>
          <w:lang w:val="en-GB"/>
        </w:rPr>
        <w:t>on</w:t>
      </w:r>
      <w:r w:rsidRPr="00C724E9">
        <w:rPr>
          <w:rFonts w:ascii="Times New Roman" w:hAnsi="Times New Roman"/>
          <w:lang w:val="en-GB"/>
        </w:rPr>
        <w:t xml:space="preserve"> this base was inscribed on all four faces. This stele was found during the excavations of Nicholas Yakovlevich Marr and Iosif Abragovich Orbeli during the beginnings of the century (Marr &amp; Orbeli, 1922</w:t>
      </w:r>
      <w:r w:rsidRPr="008C67C7">
        <w:rPr>
          <w:rFonts w:ascii="Times New Roman" w:eastAsia="Calibri" w:hAnsi="Times New Roman" w:cs="Times New Roman"/>
          <w:lang w:val="en-GB"/>
        </w:rPr>
        <w:t>),</w:t>
      </w:r>
      <w:r w:rsidRPr="00C724E9">
        <w:rPr>
          <w:rFonts w:ascii="Times New Roman" w:hAnsi="Times New Roman"/>
          <w:lang w:val="en-GB"/>
        </w:rPr>
        <w:t xml:space="preserve"> (Fig. 16). It was destroyed during the early years of the Republic and now its parts are stored in the Van Museum. The apsidal top of the stele was nicely separated in two, possibly during the Middle Age, and used as a spolia material in the Surp Boğos Church</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"Surp Boğos Church"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in the Old </w:t>
      </w:r>
      <w:r>
        <w:rPr>
          <w:rFonts w:asciiTheme="majorBidi" w:hAnsiTheme="majorBidi" w:cstheme="majorBidi"/>
          <w:lang w:val="en-GB"/>
        </w:rPr>
        <w:t xml:space="preserve">Van </w:t>
      </w:r>
      <w:r w:rsidRPr="00C724E9">
        <w:rPr>
          <w:rFonts w:ascii="Times New Roman" w:hAnsi="Times New Roman"/>
          <w:lang w:val="en-GB"/>
        </w:rPr>
        <w:t>City</w:t>
      </w:r>
      <w:r>
        <w:rPr>
          <w:rFonts w:ascii="Times New Roman" w:eastAsia="Calibri" w:hAnsi="Times New Roman" w:cs="Times New Roman"/>
          <w:lang w:val="en-GB"/>
        </w:rPr>
        <w:t xml:space="preserve"> </w:t>
      </w:r>
      <w:r>
        <w:rPr>
          <w:rFonts w:asciiTheme="majorBidi" w:hAnsiTheme="majorBidi" w:cstheme="majorBidi"/>
          <w:lang w:val="en-GB"/>
        </w:rPr>
        <w:fldChar w:fldCharType="begin"/>
      </w:r>
      <w:r>
        <w:instrText xml:space="preserve"> XE "</w:instrText>
      </w:r>
      <w:r w:rsidRPr="00613193">
        <w:rPr>
          <w:rFonts w:asciiTheme="majorBidi" w:hAnsiTheme="majorBidi" w:cstheme="majorBidi"/>
        </w:rPr>
        <w:instrText>Old Van City</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One of the pieces was taken to the Van Museum during the Republic period (CTU I. A 9-1, </w:t>
      </w:r>
      <w:r w:rsidRPr="00F03A26">
        <w:rPr>
          <w:rFonts w:asciiTheme="majorBidi" w:hAnsiTheme="majorBidi" w:cstheme="majorBidi"/>
          <w:lang w:val="en-GB"/>
        </w:rPr>
        <w:t>destro</w:t>
      </w:r>
      <w:r w:rsidRPr="00C724E9">
        <w:rPr>
          <w:rFonts w:ascii="Times New Roman" w:hAnsi="Times New Roman"/>
          <w:lang w:val="en-GB"/>
        </w:rPr>
        <w:t>). Another piece that was used as a construction material in the Surp Boğos Church was unearthed during an illegal dig; this piece was excavated by our team in 2010 and delivered to the Van Museum (CTU I. A 9-1, sinistro), (Fig. 17).</w:t>
      </w:r>
    </w:p>
    <w:p w14:paraId="430A58EF" w14:textId="66117C6F" w:rsidR="00BC2CE3" w:rsidRPr="008C67C7" w:rsidRDefault="00BC2CE3" w:rsidP="00BC2CE3">
      <w:pPr>
        <w:spacing w:before="100" w:beforeAutospacing="1" w:after="100" w:afterAutospacing="1"/>
        <w:jc w:val="both"/>
        <w:rPr>
          <w:rFonts w:ascii="Times New Roman" w:eastAsia="Calibri" w:hAnsi="Times New Roman" w:cs="Times New Roman"/>
          <w:lang w:val="en-GB"/>
        </w:rPr>
      </w:pPr>
      <w:r w:rsidRPr="00C724E9">
        <w:rPr>
          <w:rFonts w:ascii="Times New Roman" w:hAnsi="Times New Roman"/>
          <w:lang w:val="en-GB"/>
        </w:rPr>
        <w:t>The Annals of Sarduri II</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on the stele/obelisk were a kind of inventory of the kingdom’s wealth and carry further importance as they show the capacity and power of the period. These Annals do not include a statement about the construction of this place. However, the inscription on the two pieces in Surp Boğos Church</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"Surp Boğos Church"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that belong to the stele is accepted as the beginning of the annals, and it defines the stele as </w:t>
      </w:r>
      <w:r w:rsidRPr="00C724E9">
        <w:rPr>
          <w:rFonts w:ascii="Times New Roman" w:hAnsi="Times New Roman"/>
          <w:vertAlign w:val="superscript"/>
          <w:lang w:val="en-GB"/>
        </w:rPr>
        <w:t>NA4</w:t>
      </w:r>
      <w:r w:rsidRPr="00C724E9">
        <w:rPr>
          <w:rFonts w:ascii="Times New Roman" w:hAnsi="Times New Roman"/>
          <w:lang w:val="en-GB"/>
        </w:rPr>
        <w:t>pulusi (CTU I. A 9-1 Ro; 2,15). This definition was used for other distinct Urartian</w:t>
      </w:r>
      <w:r w:rsidRPr="008C67C7">
        <w:rPr>
          <w:rFonts w:ascii="Times New Roman" w:eastAsia="Calibri" w:hAnsi="Times New Roman" w:cs="Times New Roman"/>
          <w:lang w:val="en-GB"/>
        </w:rPr>
        <w:t> </w:t>
      </w:r>
      <w:r w:rsidRPr="0064377A">
        <w:rPr>
          <w:rFonts w:asciiTheme="majorBidi" w:hAnsiTheme="majorBidi" w:cstheme="majorBidi"/>
          <w:lang w:val="en-GB"/>
        </w:rPr>
        <w:fldChar w:fldCharType="begin"/>
      </w:r>
      <w:r w:rsidRPr="0064377A">
        <w:rPr>
          <w:rFonts w:asciiTheme="majorBidi" w:hAnsiTheme="majorBidi" w:cstheme="majorBidi"/>
          <w:lang w:val="en-GB"/>
        </w:rPr>
        <w:instrText xml:space="preserve"> XE "Urartian" </w:instrText>
      </w:r>
      <w:r w:rsidRPr="0064377A">
        <w:rPr>
          <w:rFonts w:asciiTheme="majorBidi" w:hAnsiTheme="majorBidi" w:cstheme="majorBidi"/>
          <w:lang w:val="en-GB"/>
        </w:rPr>
        <w:fldChar w:fldCharType="end"/>
      </w:r>
      <w:r w:rsidRPr="0064377A">
        <w:rPr>
          <w:rFonts w:asciiTheme="majorBidi" w:hAnsiTheme="majorBidi" w:cstheme="majorBidi"/>
          <w:lang w:val="en-GB"/>
        </w:rPr>
        <w:t xml:space="preserve"> </w:t>
      </w:r>
      <w:r w:rsidRPr="00C724E9">
        <w:rPr>
          <w:rFonts w:ascii="Times New Roman" w:hAnsi="Times New Roman"/>
          <w:lang w:val="en-GB"/>
        </w:rPr>
        <w:t xml:space="preserve">stelae that are vaulted and sit on a base with inscriptions featuring the activities of the associated kings and curses on their front and back sides (CTU II. 175-176). Here, the word </w:t>
      </w:r>
      <w:r w:rsidRPr="001D012D">
        <w:rPr>
          <w:rFonts w:ascii="Times New Roman" w:hAnsi="Times New Roman"/>
          <w:lang w:val="en-GB"/>
        </w:rPr>
        <w:t>"</w:t>
      </w:r>
      <w:r w:rsidRPr="00C724E9">
        <w:rPr>
          <w:rFonts w:ascii="Times New Roman" w:hAnsi="Times New Roman"/>
          <w:lang w:val="en-GB"/>
        </w:rPr>
        <w:t>pulusi</w:t>
      </w:r>
      <w:r w:rsidRPr="001D012D">
        <w:rPr>
          <w:rFonts w:ascii="Times New Roman" w:hAnsi="Times New Roman"/>
          <w:lang w:val="en-GB"/>
        </w:rPr>
        <w:t>"</w:t>
      </w:r>
      <w:r>
        <w:rPr>
          <w:rFonts w:ascii="Times New Roman" w:eastAsia="Calibri" w:hAnsi="Times New Roman" w:cs="Times New Roman"/>
          <w:lang w:val="en-GB"/>
        </w:rPr>
        <w:t xml:space="preserve"> </w:t>
      </w:r>
      <w:r w:rsidRPr="00C724E9">
        <w:rPr>
          <w:rFonts w:ascii="Times New Roman" w:hAnsi="Times New Roman"/>
          <w:lang w:val="en-GB"/>
        </w:rPr>
        <w:t xml:space="preserve">which the </w:t>
      </w:r>
      <w:r w:rsidRPr="0064377A">
        <w:rPr>
          <w:rFonts w:asciiTheme="majorBidi" w:hAnsiTheme="majorBidi" w:cstheme="majorBidi"/>
          <w:lang w:val="en-GB"/>
        </w:rPr>
        <w:t>NA</w:t>
      </w:r>
      <w:r w:rsidRPr="0064377A">
        <w:rPr>
          <w:rFonts w:asciiTheme="majorBidi" w:hAnsiTheme="majorBidi" w:cstheme="majorBidi"/>
          <w:vertAlign w:val="subscript"/>
          <w:lang w:val="en-GB"/>
        </w:rPr>
        <w:t>4</w:t>
      </w:r>
      <w:r w:rsidRPr="0064377A">
        <w:rPr>
          <w:rFonts w:asciiTheme="majorBidi" w:hAnsiTheme="majorBidi" w:cstheme="majorBidi"/>
          <w:lang w:val="en-GB"/>
        </w:rPr>
        <w:t xml:space="preserve"> determinative</w:t>
      </w:r>
      <w:r w:rsidRPr="00C724E9">
        <w:rPr>
          <w:rFonts w:ascii="Times New Roman" w:hAnsi="Times New Roman"/>
          <w:lang w:val="en-GB"/>
        </w:rPr>
        <w:t xml:space="preserve"> for stone, refers not to the inscription itself</w:t>
      </w:r>
      <w:r w:rsidRPr="001D012D">
        <w:rPr>
          <w:rFonts w:ascii="Times New Roman" w:hAnsi="Times New Roman"/>
          <w:lang w:val="en-GB"/>
        </w:rPr>
        <w:t xml:space="preserve"> but</w:t>
      </w:r>
      <w:r w:rsidRPr="008C67C7">
        <w:rPr>
          <w:rFonts w:ascii="Times New Roman" w:eastAsia="Calibri" w:hAnsi="Times New Roman" w:cs="Times New Roman"/>
          <w:lang w:val="en-GB"/>
        </w:rPr>
        <w:t xml:space="preserve"> to</w:t>
      </w:r>
      <w:r w:rsidRPr="00C724E9">
        <w:rPr>
          <w:rFonts w:ascii="Times New Roman" w:hAnsi="Times New Roman"/>
          <w:lang w:val="en-GB"/>
        </w:rPr>
        <w:t xml:space="preserve"> the stele in the form described above. The Urartian scribes referred to the inscribed text by the DUB Sumerogram. The best example of the difference between </w:t>
      </w:r>
      <w:r w:rsidRPr="0064377A">
        <w:rPr>
          <w:rFonts w:asciiTheme="majorBidi" w:hAnsiTheme="majorBidi" w:cstheme="majorBidi"/>
          <w:lang w:val="en-GB"/>
        </w:rPr>
        <w:t>pulusi and</w:t>
      </w:r>
      <w:r w:rsidRPr="00C724E9">
        <w:rPr>
          <w:rFonts w:ascii="Times New Roman" w:hAnsi="Times New Roman"/>
          <w:lang w:val="en-GB"/>
        </w:rPr>
        <w:t xml:space="preserve"> DUB in Urartian inscriptions is the Karahan stelae inscription. The inscription on the stelae includes the phrase “on these stelae I have placed an inscription” (ina pulusina DUB-terubi) (CTU I. A 5-30 Vo. 5; CTU I. A 5-31 Vo. 7). The </w:t>
      </w:r>
      <w:r w:rsidRPr="001D012D">
        <w:rPr>
          <w:rFonts w:ascii="Times New Roman" w:hAnsi="Times New Roman"/>
          <w:lang w:val="en-GB"/>
        </w:rPr>
        <w:t>"</w:t>
      </w:r>
      <w:r w:rsidRPr="00C724E9">
        <w:rPr>
          <w:rFonts w:ascii="Times New Roman" w:hAnsi="Times New Roman"/>
          <w:lang w:val="en-GB"/>
        </w:rPr>
        <w:t>pulusi</w:t>
      </w:r>
      <w:r w:rsidRPr="001D012D">
        <w:rPr>
          <w:rFonts w:ascii="Times New Roman" w:hAnsi="Times New Roman"/>
          <w:lang w:val="en-GB"/>
        </w:rPr>
        <w:t>"</w:t>
      </w:r>
      <w:r w:rsidRPr="00C724E9">
        <w:rPr>
          <w:rFonts w:ascii="Times New Roman" w:hAnsi="Times New Roman"/>
          <w:lang w:val="en-GB"/>
        </w:rPr>
        <w:t xml:space="preserve"> were often dedicated to the main god Ḫaldi</w:t>
      </w:r>
      <w:r w:rsidRPr="008C67C7">
        <w:rPr>
          <w:rFonts w:ascii="Times New Roman" w:eastAsia="Calibri" w:hAnsi="Times New Roman" w:cs="Times New Roman"/>
          <w:lang w:val="en-GB"/>
        </w:rPr>
        <w:t> </w:t>
      </w:r>
      <w:r w:rsidRPr="0064377A">
        <w:rPr>
          <w:rFonts w:asciiTheme="majorBidi" w:hAnsiTheme="majorBidi" w:cstheme="majorBidi"/>
          <w:lang w:val="en-GB"/>
        </w:rPr>
        <w:fldChar w:fldCharType="begin"/>
      </w:r>
      <w:r w:rsidRPr="0064377A">
        <w:rPr>
          <w:rFonts w:asciiTheme="majorBidi" w:hAnsiTheme="majorBidi" w:cstheme="majorBidi"/>
          <w:lang w:val="en-GB"/>
        </w:rPr>
        <w:instrText xml:space="preserve"> XE "Ḫaldi" </w:instrText>
      </w:r>
      <w:r w:rsidRPr="0064377A">
        <w:rPr>
          <w:rFonts w:asciiTheme="majorBidi" w:hAnsiTheme="majorBidi" w:cstheme="majorBidi"/>
          <w:lang w:val="en-GB"/>
        </w:rPr>
        <w:fldChar w:fldCharType="end"/>
      </w:r>
      <w:r w:rsidRPr="0064377A">
        <w:rPr>
          <w:rFonts w:asciiTheme="majorBidi" w:hAnsiTheme="majorBidi" w:cstheme="majorBidi"/>
          <w:lang w:val="en-GB"/>
        </w:rPr>
        <w:t xml:space="preserve"> </w:t>
      </w:r>
      <w:r w:rsidRPr="00C724E9">
        <w:rPr>
          <w:rFonts w:ascii="Times New Roman" w:hAnsi="Times New Roman"/>
          <w:lang w:val="en-GB"/>
        </w:rPr>
        <w:t>in Urartu. Often, stelae (</w:t>
      </w:r>
      <w:r w:rsidRPr="001D012D">
        <w:rPr>
          <w:rFonts w:ascii="Times New Roman" w:hAnsi="Times New Roman"/>
          <w:lang w:val="en-GB"/>
        </w:rPr>
        <w:t>"</w:t>
      </w:r>
      <w:r w:rsidRPr="00C724E9">
        <w:rPr>
          <w:rFonts w:ascii="Times New Roman" w:hAnsi="Times New Roman"/>
          <w:lang w:val="en-GB"/>
        </w:rPr>
        <w:t>pulusi</w:t>
      </w:r>
      <w:r w:rsidRPr="001D012D">
        <w:rPr>
          <w:rFonts w:ascii="Times New Roman" w:hAnsi="Times New Roman"/>
          <w:lang w:val="en-GB"/>
        </w:rPr>
        <w:t>"</w:t>
      </w:r>
      <w:r w:rsidRPr="00C724E9">
        <w:rPr>
          <w:rFonts w:ascii="Times New Roman" w:hAnsi="Times New Roman"/>
          <w:lang w:val="en-GB"/>
        </w:rPr>
        <w:t xml:space="preserve">) were </w:t>
      </w:r>
      <w:r w:rsidRPr="008C67C7">
        <w:rPr>
          <w:rFonts w:ascii="Times New Roman" w:eastAsia="Calibri" w:hAnsi="Times New Roman" w:cs="Times New Roman"/>
          <w:lang w:val="en-GB"/>
        </w:rPr>
        <w:t xml:space="preserve">also </w:t>
      </w:r>
      <w:r w:rsidRPr="00C724E9">
        <w:rPr>
          <w:rFonts w:ascii="Times New Roman" w:hAnsi="Times New Roman"/>
          <w:lang w:val="en-GB"/>
        </w:rPr>
        <w:t>dedicated to several other gods, such as the storm god, Šebitu</w:t>
      </w:r>
      <w:r w:rsidRPr="008C67C7">
        <w:rPr>
          <w:rFonts w:ascii="Times New Roman" w:eastAsia="Calibri" w:hAnsi="Times New Roman" w:cs="Times New Roman"/>
          <w:lang w:val="en-GB"/>
        </w:rPr>
        <w:t>,</w:t>
      </w:r>
      <w:r w:rsidRPr="0064377A">
        <w:rPr>
          <w:rFonts w:asciiTheme="majorBidi" w:hAnsiTheme="majorBidi" w:cstheme="majorBidi"/>
          <w:lang w:val="en-GB"/>
        </w:rPr>
        <w:fldChar w:fldCharType="begin"/>
      </w:r>
      <w:r w:rsidRPr="0064377A">
        <w:rPr>
          <w:rFonts w:asciiTheme="majorBidi" w:hAnsiTheme="majorBidi" w:cstheme="majorBidi"/>
          <w:lang w:val="en-GB"/>
        </w:rPr>
        <w:instrText xml:space="preserve"> XE "Šebitu" </w:instrText>
      </w:r>
      <w:r w:rsidRPr="0064377A">
        <w:rPr>
          <w:rFonts w:asciiTheme="majorBidi" w:hAnsiTheme="majorBidi" w:cstheme="majorBidi"/>
          <w:lang w:val="en-GB"/>
        </w:rPr>
        <w:fldChar w:fldCharType="end"/>
      </w:r>
      <w:r w:rsidRPr="0064377A">
        <w:rPr>
          <w:rFonts w:asciiTheme="majorBidi" w:hAnsiTheme="majorBidi" w:cstheme="majorBidi"/>
          <w:lang w:val="en-GB"/>
        </w:rPr>
        <w:t>,</w:t>
      </w:r>
      <w:r w:rsidRPr="00C724E9">
        <w:rPr>
          <w:rFonts w:ascii="Times New Roman" w:hAnsi="Times New Roman"/>
          <w:lang w:val="en-GB"/>
        </w:rPr>
        <w:t xml:space="preserve"> Quera</w:t>
      </w:r>
      <w:r w:rsidRPr="008C67C7">
        <w:rPr>
          <w:rFonts w:ascii="Times New Roman" w:eastAsia="Calibri" w:hAnsi="Times New Roman" w:cs="Times New Roman"/>
          <w:lang w:val="en-GB"/>
        </w:rPr>
        <w:t>,</w:t>
      </w:r>
      <w:r w:rsidRPr="0064377A">
        <w:rPr>
          <w:rFonts w:asciiTheme="majorBidi" w:hAnsiTheme="majorBidi" w:cstheme="majorBidi"/>
          <w:lang w:val="en-GB"/>
        </w:rPr>
        <w:fldChar w:fldCharType="begin"/>
      </w:r>
      <w:r w:rsidRPr="0064377A">
        <w:rPr>
          <w:rFonts w:asciiTheme="majorBidi" w:hAnsiTheme="majorBidi" w:cstheme="majorBidi"/>
          <w:lang w:val="en-GB"/>
        </w:rPr>
        <w:instrText xml:space="preserve"> XE "Quera" </w:instrText>
      </w:r>
      <w:r w:rsidRPr="0064377A">
        <w:rPr>
          <w:rFonts w:asciiTheme="majorBidi" w:hAnsiTheme="majorBidi" w:cstheme="majorBidi"/>
          <w:lang w:val="en-GB"/>
        </w:rPr>
        <w:fldChar w:fldCharType="end"/>
      </w:r>
      <w:r w:rsidRPr="00C724E9">
        <w:rPr>
          <w:rFonts w:ascii="Times New Roman" w:hAnsi="Times New Roman"/>
          <w:lang w:val="en-GB"/>
        </w:rPr>
        <w:t xml:space="preserve"> and Elipru</w:t>
      </w:r>
      <w:r w:rsidRPr="008C67C7">
        <w:rPr>
          <w:rFonts w:ascii="Times New Roman" w:eastAsia="Calibri" w:hAnsi="Times New Roman" w:cs="Times New Roman"/>
          <w:lang w:val="en-GB"/>
        </w:rPr>
        <w:t>.</w:t>
      </w:r>
      <w:r w:rsidRPr="0064377A">
        <w:rPr>
          <w:rFonts w:asciiTheme="majorBidi" w:hAnsiTheme="majorBidi" w:cstheme="majorBidi"/>
          <w:lang w:val="en-GB"/>
        </w:rPr>
        <w:fldChar w:fldCharType="begin"/>
      </w:r>
      <w:r w:rsidRPr="0064377A">
        <w:rPr>
          <w:rFonts w:asciiTheme="majorBidi" w:hAnsiTheme="majorBidi" w:cstheme="majorBidi"/>
          <w:lang w:val="en-GB"/>
        </w:rPr>
        <w:instrText xml:space="preserve"> XE "Elipru" </w:instrText>
      </w:r>
      <w:r w:rsidRPr="0064377A">
        <w:rPr>
          <w:rFonts w:asciiTheme="majorBidi" w:hAnsiTheme="majorBidi" w:cstheme="majorBidi"/>
          <w:lang w:val="en-GB"/>
        </w:rPr>
        <w:fldChar w:fldCharType="end"/>
      </w:r>
      <w:r w:rsidRPr="0064377A">
        <w:rPr>
          <w:rFonts w:asciiTheme="majorBidi" w:hAnsiTheme="majorBidi" w:cstheme="majorBidi"/>
          <w:lang w:val="en-GB"/>
        </w:rPr>
        <w:t>.</w:t>
      </w:r>
      <w:r w:rsidRPr="00C724E9">
        <w:rPr>
          <w:rFonts w:ascii="Times New Roman" w:hAnsi="Times New Roman"/>
          <w:lang w:val="en-GB"/>
        </w:rPr>
        <w:t xml:space="preserve"> The Güsak Stele</w:t>
      </w:r>
      <w:r w:rsidRPr="0064377A">
        <w:rPr>
          <w:rFonts w:asciiTheme="majorBidi" w:hAnsiTheme="majorBidi" w:cstheme="majorBidi"/>
          <w:lang w:val="en-GB"/>
        </w:rPr>
        <w:fldChar w:fldCharType="begin"/>
      </w:r>
      <w:r w:rsidRPr="0064377A">
        <w:rPr>
          <w:rFonts w:asciiTheme="majorBidi" w:hAnsiTheme="majorBidi" w:cstheme="majorBidi"/>
          <w:lang w:val="en-GB"/>
        </w:rPr>
        <w:instrText xml:space="preserve"> XE "Güsak Stele" </w:instrText>
      </w:r>
      <w:r w:rsidRPr="0064377A">
        <w:rPr>
          <w:rFonts w:asciiTheme="majorBidi" w:hAnsiTheme="majorBidi" w:cstheme="majorBidi"/>
          <w:lang w:val="en-GB"/>
        </w:rPr>
        <w:fldChar w:fldCharType="end"/>
      </w:r>
      <w:r w:rsidRPr="0064377A">
        <w:rPr>
          <w:rFonts w:asciiTheme="majorBidi" w:hAnsiTheme="majorBidi" w:cstheme="majorBidi"/>
          <w:lang w:val="en-GB"/>
        </w:rPr>
        <w:t xml:space="preserve"> </w:t>
      </w:r>
      <w:r w:rsidRPr="00C724E9">
        <w:rPr>
          <w:rFonts w:ascii="Times New Roman" w:hAnsi="Times New Roman"/>
          <w:lang w:val="en-GB"/>
        </w:rPr>
        <w:t xml:space="preserve"> inscription gives insights into the religious ceremonies performed </w:t>
      </w:r>
      <w:r w:rsidRPr="008C67C7">
        <w:rPr>
          <w:rFonts w:ascii="Times New Roman" w:eastAsia="Calibri" w:hAnsi="Times New Roman" w:cs="Times New Roman"/>
          <w:lang w:val="en-GB"/>
        </w:rPr>
        <w:t>before</w:t>
      </w:r>
      <w:r w:rsidRPr="00C724E9">
        <w:rPr>
          <w:rFonts w:ascii="Times New Roman" w:hAnsi="Times New Roman"/>
          <w:lang w:val="en-GB"/>
        </w:rPr>
        <w:t xml:space="preserve"> these </w:t>
      </w:r>
      <w:r w:rsidRPr="001D012D">
        <w:rPr>
          <w:rFonts w:ascii="Times New Roman" w:hAnsi="Times New Roman"/>
          <w:lang w:val="en-GB"/>
        </w:rPr>
        <w:t>"</w:t>
      </w:r>
      <w:r w:rsidRPr="00C724E9">
        <w:rPr>
          <w:rFonts w:ascii="Times New Roman" w:hAnsi="Times New Roman"/>
          <w:lang w:val="en-GB"/>
        </w:rPr>
        <w:t>pulusi</w:t>
      </w:r>
      <w:r w:rsidRPr="001D012D">
        <w:rPr>
          <w:rFonts w:ascii="Times New Roman" w:hAnsi="Times New Roman"/>
          <w:lang w:val="en-GB"/>
        </w:rPr>
        <w:t>"</w:t>
      </w:r>
      <w:r w:rsidRPr="00C724E9">
        <w:rPr>
          <w:rFonts w:ascii="Times New Roman" w:hAnsi="Times New Roman"/>
          <w:lang w:val="en-GB"/>
        </w:rPr>
        <w:t>. The inscription notes the cutting of sacrificial animals to the vineyard in front of god Ḫaldi and the stele (CTU I. A 5-33, 23-36).</w:t>
      </w:r>
    </w:p>
    <w:p w14:paraId="7F0291CD" w14:textId="77777777" w:rsidR="00BC2CE3" w:rsidRPr="001D012D" w:rsidRDefault="00BC2CE3" w:rsidP="00BC2CE3">
      <w:pPr>
        <w:spacing w:before="100" w:beforeAutospacing="1" w:after="100" w:afterAutospacing="1"/>
        <w:jc w:val="both"/>
        <w:rPr>
          <w:rFonts w:ascii="Times New Roman" w:hAnsi="Times New Roman"/>
          <w:lang w:val="en-GB"/>
        </w:rPr>
      </w:pPr>
      <w:r w:rsidRPr="001D012D">
        <w:rPr>
          <w:rFonts w:ascii="Times New Roman" w:hAnsi="Times New Roman"/>
          <w:lang w:val="en-GB"/>
        </w:rPr>
        <w:t>Furthermore, the Erzincan/Altıntepe</w:t>
      </w:r>
      <w:r w:rsidRPr="008C67C7">
        <w:rPr>
          <w:rFonts w:ascii="Times New Roman" w:eastAsia="Calibri" w:hAnsi="Times New Roman" w:cs="Times New Roman"/>
          <w:lang w:val="en-GB"/>
        </w:rPr>
        <w:t> </w:t>
      </w:r>
      <w:r w:rsidRPr="0064377A">
        <w:rPr>
          <w:rFonts w:asciiTheme="majorBidi" w:hAnsiTheme="majorBidi" w:cstheme="majorBidi"/>
          <w:lang w:val="en-GB"/>
        </w:rPr>
        <w:fldChar w:fldCharType="begin"/>
      </w:r>
      <w:r w:rsidRPr="0064377A">
        <w:rPr>
          <w:rFonts w:asciiTheme="majorBidi" w:hAnsiTheme="majorBidi" w:cstheme="majorBidi"/>
          <w:lang w:val="en-GB"/>
        </w:rPr>
        <w:instrText xml:space="preserve"> XE "Altıntepe" </w:instrText>
      </w:r>
      <w:r w:rsidRPr="0064377A">
        <w:rPr>
          <w:rFonts w:asciiTheme="majorBidi" w:hAnsiTheme="majorBidi" w:cstheme="majorBidi"/>
          <w:lang w:val="en-GB"/>
        </w:rPr>
        <w:fldChar w:fldCharType="end"/>
      </w:r>
      <w:r w:rsidRPr="0064377A">
        <w:rPr>
          <w:rFonts w:asciiTheme="majorBidi" w:hAnsiTheme="majorBidi" w:cstheme="majorBidi"/>
          <w:lang w:val="en-GB"/>
        </w:rPr>
        <w:t xml:space="preserve"> </w:t>
      </w:r>
      <w:r w:rsidRPr="001D012D">
        <w:rPr>
          <w:rFonts w:ascii="Times New Roman" w:hAnsi="Times New Roman"/>
          <w:lang w:val="en-GB"/>
        </w:rPr>
        <w:t xml:space="preserve">examples suggest that the uninscribed pulusi were also regarded as sacred, and various ritual ceremonies took place in front of them (Özgüç, 1969: 28-33). Libation scenes in front of the stelae were depicted especially on the stamp seals (Lehmann-Haupt, 1906: 82, Fig. 54; Piotrovsky, 1969: 211, Pl. 40; Işık, 1986: 4-6). These scenes could be evaluated within the stele-cult relationships </w:t>
      </w:r>
      <w:r w:rsidRPr="008C67C7">
        <w:rPr>
          <w:rFonts w:ascii="Times New Roman" w:eastAsia="Calibri" w:hAnsi="Times New Roman" w:cs="Times New Roman"/>
          <w:lang w:val="en-GB"/>
        </w:rPr>
        <w:t>referring</w:t>
      </w:r>
      <w:r w:rsidRPr="001D012D">
        <w:rPr>
          <w:rFonts w:ascii="Times New Roman" w:hAnsi="Times New Roman"/>
          <w:lang w:val="en-GB"/>
        </w:rPr>
        <w:t xml:space="preserve"> to the gods. At this point, it can be suggested that such rituals were performed in front of the Analıkız</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1D012D">
        <w:rPr>
          <w:rFonts w:ascii="Times New Roman" w:hAnsi="Times New Roman"/>
          <w:lang w:val="en-GB"/>
        </w:rPr>
        <w:t>stele as well. Indeed, the introduction of the Analıkız stele inscription includes phrases about sacrificing animals. The part specifying for whom the first of these animals (1 UDU = 1 sheep) would be sacrificed is broken away. It has been restored as God Ḫaldi</w:t>
      </w:r>
      <w:r w:rsidRPr="008C67C7">
        <w:rPr>
          <w:rFonts w:ascii="Times New Roman" w:eastAsia="Calibri" w:hAnsi="Times New Roman" w:cs="Times New Roman"/>
          <w:lang w:val="en-GB"/>
        </w:rPr>
        <w:t>.</w:t>
      </w:r>
      <w:r>
        <w:rPr>
          <w:rFonts w:asciiTheme="majorBidi" w:hAnsiTheme="majorBidi" w:cstheme="majorBidi"/>
          <w:iCs/>
          <w:lang w:val="en-GB"/>
        </w:rPr>
        <w:fldChar w:fldCharType="begin"/>
      </w:r>
      <w:r>
        <w:instrText xml:space="preserve"> XE "</w:instrText>
      </w:r>
      <w:r w:rsidRPr="009F22E3">
        <w:rPr>
          <w:rFonts w:asciiTheme="majorBidi" w:eastAsia="Times New Roman" w:hAnsiTheme="majorBidi" w:cstheme="majorBidi"/>
          <w:lang w:val="en-GB"/>
        </w:rPr>
        <w:instrText>God Ḫaldi</w:instrText>
      </w:r>
      <w:r>
        <w:instrText xml:space="preserve">" </w:instrText>
      </w:r>
      <w:r>
        <w:rPr>
          <w:rFonts w:asciiTheme="majorBidi" w:hAnsiTheme="majorBidi" w:cstheme="majorBidi"/>
          <w:iCs/>
          <w:lang w:val="en-GB"/>
        </w:rPr>
        <w:fldChar w:fldCharType="end"/>
      </w:r>
      <w:r w:rsidRPr="00F03A26">
        <w:rPr>
          <w:rFonts w:asciiTheme="majorBidi" w:hAnsiTheme="majorBidi" w:cstheme="majorBidi"/>
          <w:lang w:val="en-GB"/>
        </w:rPr>
        <w:t>.</w:t>
      </w:r>
      <w:r w:rsidRPr="001D012D">
        <w:rPr>
          <w:rFonts w:ascii="Times New Roman" w:hAnsi="Times New Roman"/>
          <w:lang w:val="en-GB"/>
        </w:rPr>
        <w:t xml:space="preserve"> The part about for which god the second animal (1 UDU) would be sacrificed is restored and interpreted as follows:</w:t>
      </w:r>
    </w:p>
    <w:p w14:paraId="20A06288"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lastRenderedPageBreak/>
        <w:t xml:space="preserve">1 UDU </w:t>
      </w:r>
      <w:r w:rsidRPr="00C724E9">
        <w:rPr>
          <w:rFonts w:ascii="Times New Roman" w:hAnsi="Times New Roman"/>
          <w:vertAlign w:val="superscript"/>
          <w:lang w:val="en-GB"/>
        </w:rPr>
        <w:t>mD</w:t>
      </w:r>
      <w:r w:rsidRPr="00C724E9">
        <w:rPr>
          <w:rFonts w:ascii="Times New Roman" w:hAnsi="Times New Roman"/>
          <w:lang w:val="en-GB"/>
        </w:rPr>
        <w:t>[sar</w:t>
      </w:r>
      <w:r w:rsidRPr="00C724E9">
        <w:rPr>
          <w:rFonts w:ascii="Times New Roman" w:hAnsi="Times New Roman"/>
          <w:vertAlign w:val="subscript"/>
          <w:lang w:val="en-GB"/>
        </w:rPr>
        <w:t>5</w:t>
      </w:r>
      <w:r w:rsidRPr="00C724E9">
        <w:rPr>
          <w:rFonts w:ascii="Times New Roman" w:hAnsi="Times New Roman"/>
          <w:lang w:val="en-GB"/>
        </w:rPr>
        <w:t xml:space="preserve">?-du?-ri?]-i-na-u-e DINGIR-i-e ‘one sheep for Sarduri’s (?) gods (?)’ (UKN. 156AII+AI; KUKN. 242 AII+AI; CTU I. A 9-1 Ro). </w:t>
      </w:r>
    </w:p>
    <w:p w14:paraId="43F0B507"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These expressions discuss a sacrificial ceremony. The inscription continues with a curse formula for the protection of the stele</w:t>
      </w:r>
      <w:r w:rsidRPr="008C67C7">
        <w:rPr>
          <w:rFonts w:ascii="Times New Roman" w:eastAsia="Calibri" w:hAnsi="Times New Roman" w:cs="Times New Roman"/>
          <w:lang w:val="en-GB"/>
        </w:rPr>
        <w:t>,</w:t>
      </w:r>
      <w:r w:rsidRPr="00C724E9">
        <w:rPr>
          <w:rFonts w:ascii="Times New Roman" w:hAnsi="Times New Roman"/>
          <w:lang w:val="en-GB"/>
        </w:rPr>
        <w:t xml:space="preserve"> and then Sarduri </w:t>
      </w:r>
      <w:r w:rsidRPr="008C67C7">
        <w:rPr>
          <w:rFonts w:ascii="Times New Roman" w:eastAsia="Calibri" w:hAnsi="Times New Roman" w:cs="Times New Roman"/>
          <w:lang w:val="en-GB"/>
        </w:rPr>
        <w:t>II’s</w:t>
      </w:r>
      <w:r>
        <w:rPr>
          <w:rFonts w:ascii="Times New Roman" w:eastAsia="Calibri" w:hAnsi="Times New Roman" w:cs="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C724E9">
        <w:rPr>
          <w:rFonts w:ascii="Times New Roman" w:hAnsi="Times New Roman"/>
          <w:lang w:val="en-GB"/>
        </w:rPr>
        <w:t xml:space="preserve"> military campaigns, which make up the </w:t>
      </w:r>
      <w:r w:rsidRPr="008C67C7">
        <w:rPr>
          <w:rFonts w:ascii="Times New Roman" w:eastAsia="Calibri" w:hAnsi="Times New Roman" w:cs="Times New Roman"/>
          <w:lang w:val="en-GB"/>
        </w:rPr>
        <w:t>central</w:t>
      </w:r>
      <w:r w:rsidRPr="00C724E9">
        <w:rPr>
          <w:rFonts w:ascii="Times New Roman" w:hAnsi="Times New Roman"/>
          <w:lang w:val="en-GB"/>
        </w:rPr>
        <w:t xml:space="preserve"> theme of the annals, begin. </w:t>
      </w:r>
      <w:r w:rsidRPr="008C67C7">
        <w:rPr>
          <w:rFonts w:ascii="Times New Roman" w:eastAsia="Calibri" w:hAnsi="Times New Roman" w:cs="Times New Roman"/>
          <w:lang w:val="en-GB"/>
        </w:rPr>
        <w:t>Whether</w:t>
      </w:r>
      <w:r w:rsidRPr="00C724E9">
        <w:rPr>
          <w:rFonts w:ascii="Times New Roman" w:hAnsi="Times New Roman"/>
          <w:lang w:val="en-GB"/>
        </w:rPr>
        <w:t xml:space="preserve"> these sacrificial ceremonies were conducted once for the inauguration of the Analıkız</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monument or periodically</w:t>
      </w:r>
      <w:r w:rsidRPr="008C67C7">
        <w:rPr>
          <w:rFonts w:ascii="Times New Roman" w:eastAsia="Calibri" w:hAnsi="Times New Roman" w:cs="Times New Roman"/>
          <w:lang w:val="en-GB"/>
        </w:rPr>
        <w:t>, such</w:t>
      </w:r>
      <w:r w:rsidRPr="00C724E9">
        <w:rPr>
          <w:rFonts w:ascii="Times New Roman" w:hAnsi="Times New Roman"/>
          <w:lang w:val="en-GB"/>
        </w:rPr>
        <w:t xml:space="preserve"> ceremonies were possibly performed when the construction of the monument and the stelae were completed (Fig. 20). Apart from that, we do not yet know whether the kings after Sarduri II made sacrifices for the annals at the Horhor</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Burial Chamber or the annals at the niches in the Analıkız area, as a continuation of the ancestor cult tradition. This discussion is </w:t>
      </w:r>
      <w:r w:rsidRPr="008C67C7">
        <w:rPr>
          <w:rFonts w:ascii="Times New Roman" w:eastAsia="Calibri" w:hAnsi="Times New Roman" w:cs="Times New Roman"/>
          <w:lang w:val="en-GB"/>
        </w:rPr>
        <w:t>essential</w:t>
      </w:r>
      <w:r w:rsidRPr="00C724E9">
        <w:rPr>
          <w:rFonts w:ascii="Times New Roman" w:hAnsi="Times New Roman"/>
          <w:lang w:val="en-GB"/>
        </w:rPr>
        <w:t xml:space="preserve"> to define whether </w:t>
      </w:r>
      <w:r w:rsidRPr="008C67C7">
        <w:rPr>
          <w:rFonts w:ascii="Times New Roman" w:eastAsia="Calibri" w:hAnsi="Times New Roman" w:cs="Times New Roman"/>
          <w:lang w:val="en-GB"/>
        </w:rPr>
        <w:t xml:space="preserve">or not </w:t>
      </w:r>
      <w:r w:rsidRPr="00C724E9">
        <w:rPr>
          <w:rFonts w:ascii="Times New Roman" w:hAnsi="Times New Roman"/>
          <w:lang w:val="en-GB"/>
        </w:rPr>
        <w:t>the Analıkız area was a religious space.</w:t>
      </w:r>
    </w:p>
    <w:p w14:paraId="045D9B2C" w14:textId="77777777" w:rsidR="00BC2CE3" w:rsidRPr="00A54AA2" w:rsidRDefault="00BC2CE3" w:rsidP="00BC2CE3">
      <w:pPr>
        <w:spacing w:before="100" w:beforeAutospacing="1" w:after="100" w:afterAutospacing="1"/>
        <w:rPr>
          <w:rFonts w:ascii="Times New Roman" w:eastAsia="Times New Roman" w:hAnsi="Times New Roman" w:cs="Times New Roman"/>
          <w:lang w:val="en-GB" w:eastAsia="tr-TR"/>
        </w:rPr>
      </w:pPr>
      <w:r w:rsidRPr="00A54AA2">
        <w:rPr>
          <w:rFonts w:ascii="Times New Roman" w:eastAsia="Times New Roman" w:hAnsi="Times New Roman" w:cs="Times New Roman"/>
          <w:noProof/>
        </w:rPr>
        <w:drawing>
          <wp:inline distT="0" distB="0" distL="0" distR="0" wp14:anchorId="74A68005" wp14:editId="328A3DB2">
            <wp:extent cx="5733415" cy="2463165"/>
            <wp:effectExtent l="12700" t="12700" r="6985" b="13335"/>
            <wp:docPr id="126775557" name="Resim 11" descr="taslak, çizim, çocukların yaptığı resimler,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75200" name="Resim 11" descr="taslak, çizim, çocukların yaptığı resimler, sanat içeren bir resim&#10;&#10;Açıklama otomatik olarak oluşturuldu"/>
                    <pic:cNvPicPr/>
                  </pic:nvPicPr>
                  <pic:blipFill>
                    <a:blip r:embed="rId343" cstate="email">
                      <a:extLst>
                        <a:ext uri="{28A0092B-C50C-407E-A947-70E740481C1C}">
                          <a14:useLocalDpi xmlns:a14="http://schemas.microsoft.com/office/drawing/2010/main"/>
                        </a:ext>
                      </a:extLst>
                    </a:blip>
                    <a:stretch>
                      <a:fillRect/>
                    </a:stretch>
                  </pic:blipFill>
                  <pic:spPr>
                    <a:xfrm>
                      <a:off x="0" y="0"/>
                      <a:ext cx="5733415" cy="2463165"/>
                    </a:xfrm>
                    <a:prstGeom prst="rect">
                      <a:avLst/>
                    </a:prstGeom>
                    <a:ln>
                      <a:solidFill>
                        <a:sysClr val="windowText" lastClr="000000"/>
                      </a:solidFill>
                    </a:ln>
                  </pic:spPr>
                </pic:pic>
              </a:graphicData>
            </a:graphic>
          </wp:inline>
        </w:drawing>
      </w:r>
    </w:p>
    <w:p w14:paraId="1616A15B" w14:textId="77777777" w:rsidR="00BC2CE3" w:rsidRPr="00C724E9" w:rsidRDefault="00BC2CE3" w:rsidP="00BC2CE3">
      <w:pPr>
        <w:spacing w:before="100" w:beforeAutospacing="1" w:after="100" w:afterAutospacing="1"/>
        <w:rPr>
          <w:rFonts w:ascii="Times New Roman" w:hAnsi="Times New Roman"/>
          <w:lang w:val="en-GB"/>
        </w:rPr>
      </w:pPr>
      <w:r w:rsidRPr="00C724E9">
        <w:rPr>
          <w:rFonts w:ascii="Times New Roman" w:hAnsi="Times New Roman"/>
          <w:lang w:val="en-GB"/>
        </w:rPr>
        <w:t>Fig. 20 Drawing of the Analıkız</w:t>
      </w:r>
      <w:r w:rsidRPr="00C724E9">
        <w:rPr>
          <w:rFonts w:ascii="Times New Roman" w:hAnsi="Times New Roman"/>
          <w:lang w:val="en-GB"/>
        </w:rPr>
        <w:fldChar w:fldCharType="begin"/>
      </w:r>
      <w:r w:rsidRPr="00C724E9">
        <w:rPr>
          <w:rFonts w:ascii="Times New Roman" w:hAnsi="Times New Roman"/>
          <w:lang w:val="en-GB"/>
        </w:rPr>
        <w:instrText xml:space="preserve"> XE "Analıkız" </w:instrText>
      </w:r>
      <w:r w:rsidRPr="00C724E9">
        <w:rPr>
          <w:rFonts w:ascii="Times New Roman" w:hAnsi="Times New Roman"/>
          <w:lang w:val="en-GB"/>
        </w:rPr>
        <w:fldChar w:fldCharType="end"/>
      </w:r>
      <w:r w:rsidRPr="00C724E9">
        <w:rPr>
          <w:rFonts w:ascii="Times New Roman" w:hAnsi="Times New Roman"/>
          <w:lang w:val="en-GB"/>
        </w:rPr>
        <w:t xml:space="preserve"> area with stele.</w:t>
      </w:r>
    </w:p>
    <w:p w14:paraId="7D38E6A3" w14:textId="77777777" w:rsidR="00BC2CE3" w:rsidRPr="00C724E9" w:rsidRDefault="00BC2CE3" w:rsidP="00BC2CE3">
      <w:pPr>
        <w:keepNext/>
        <w:keepLines/>
        <w:spacing w:before="40"/>
        <w:jc w:val="both"/>
        <w:outlineLvl w:val="1"/>
        <w:rPr>
          <w:rFonts w:ascii="Times New Roman" w:hAnsi="Times New Roman"/>
          <w:b/>
          <w:color w:val="000000"/>
          <w:sz w:val="28"/>
          <w:lang w:val="en-GB"/>
        </w:rPr>
      </w:pPr>
      <w:bookmarkStart w:id="161" w:name="_Toc132072560"/>
      <w:bookmarkStart w:id="162" w:name="_Toc173231254"/>
      <w:r w:rsidRPr="00C724E9">
        <w:rPr>
          <w:rFonts w:ascii="Times New Roman" w:hAnsi="Times New Roman"/>
          <w:b/>
          <w:color w:val="000000"/>
          <w:sz w:val="28"/>
          <w:lang w:val="en-GB"/>
        </w:rPr>
        <w:t>10.2. First Excavations at Ṭušpa</w:t>
      </w:r>
      <w:bookmarkEnd w:id="161"/>
      <w:bookmarkEnd w:id="162"/>
    </w:p>
    <w:p w14:paraId="0AF4FF78"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Notwithstanding they were not systematic and scientific, the excavations at the Hazine Kapısı/Analıkız</w:t>
      </w:r>
      <w:r w:rsidRPr="001D012D">
        <w:rPr>
          <w:rFonts w:ascii="Times New Roman" w:eastAsia="Calibri" w:hAnsi="Times New Roman" w:cs="Times New Roman"/>
          <w:lang w:val="en-GB"/>
        </w:rPr>
        <w:t> </w:t>
      </w:r>
      <w:r w:rsidRPr="001D012D">
        <w:rPr>
          <w:rFonts w:asciiTheme="majorBidi" w:hAnsiTheme="majorBidi" w:cstheme="majorBidi"/>
          <w:lang w:val="en-GB"/>
        </w:rPr>
        <w:fldChar w:fldCharType="begin"/>
      </w:r>
      <w:r w:rsidRPr="001D012D">
        <w:rPr>
          <w:rFonts w:asciiTheme="majorBidi" w:hAnsiTheme="majorBidi" w:cstheme="majorBidi"/>
          <w:lang w:val="en-GB"/>
        </w:rPr>
        <w:instrText xml:space="preserve"> XE "Analıkız" </w:instrText>
      </w:r>
      <w:r w:rsidRPr="001D012D">
        <w:rPr>
          <w:rFonts w:asciiTheme="majorBidi" w:hAnsiTheme="majorBidi" w:cstheme="majorBidi"/>
          <w:lang w:val="en-GB"/>
        </w:rPr>
        <w:fldChar w:fldCharType="end"/>
      </w:r>
      <w:r w:rsidRPr="001D012D">
        <w:rPr>
          <w:rFonts w:asciiTheme="majorBidi" w:hAnsiTheme="majorBidi" w:cstheme="majorBidi"/>
          <w:lang w:val="en-GB"/>
        </w:rPr>
        <w:t xml:space="preserve"> </w:t>
      </w:r>
      <w:r w:rsidRPr="00C724E9">
        <w:rPr>
          <w:rFonts w:ascii="Times New Roman" w:hAnsi="Times New Roman"/>
          <w:lang w:val="en-GB"/>
        </w:rPr>
        <w:t>were pioneering for Urartian</w:t>
      </w:r>
      <w:r w:rsidRPr="001D012D">
        <w:rPr>
          <w:rFonts w:ascii="Times New Roman" w:eastAsia="Calibri" w:hAnsi="Times New Roman" w:cs="Times New Roman"/>
          <w:lang w:val="en-GB"/>
        </w:rPr>
        <w:t> </w:t>
      </w:r>
      <w:r w:rsidRPr="001D012D">
        <w:rPr>
          <w:rFonts w:asciiTheme="majorBidi" w:hAnsiTheme="majorBidi" w:cstheme="majorBidi"/>
          <w:lang w:val="en-GB"/>
        </w:rPr>
        <w:fldChar w:fldCharType="begin"/>
      </w:r>
      <w:r w:rsidRPr="001D012D">
        <w:rPr>
          <w:rFonts w:asciiTheme="majorBidi" w:hAnsiTheme="majorBidi" w:cstheme="majorBidi"/>
          <w:lang w:val="en-GB"/>
        </w:rPr>
        <w:instrText xml:space="preserve"> XE "Urartian" </w:instrText>
      </w:r>
      <w:r w:rsidRPr="001D012D">
        <w:rPr>
          <w:rFonts w:asciiTheme="majorBidi" w:hAnsiTheme="majorBidi" w:cstheme="majorBidi"/>
          <w:lang w:val="en-GB"/>
        </w:rPr>
        <w:fldChar w:fldCharType="end"/>
      </w:r>
      <w:r w:rsidRPr="001D012D">
        <w:rPr>
          <w:rFonts w:asciiTheme="majorBidi" w:hAnsiTheme="majorBidi" w:cstheme="majorBidi"/>
          <w:lang w:val="en-GB"/>
        </w:rPr>
        <w:t xml:space="preserve"> </w:t>
      </w:r>
      <w:r w:rsidRPr="00C724E9">
        <w:rPr>
          <w:rFonts w:ascii="Times New Roman" w:hAnsi="Times New Roman"/>
          <w:lang w:val="en-GB"/>
        </w:rPr>
        <w:t>archaeology. Working for the British embassy, Austen Henry Layard</w:t>
      </w:r>
      <w:r w:rsidRPr="001D012D">
        <w:rPr>
          <w:rFonts w:asciiTheme="majorBidi" w:hAnsiTheme="majorBidi" w:cstheme="majorBidi"/>
          <w:lang w:val="en-GB"/>
        </w:rPr>
        <w:fldChar w:fldCharType="begin"/>
      </w:r>
      <w:r w:rsidRPr="001D012D">
        <w:instrText xml:space="preserve"> XE "</w:instrText>
      </w:r>
      <w:r w:rsidRPr="001D012D">
        <w:rPr>
          <w:rFonts w:asciiTheme="majorBidi" w:hAnsiTheme="majorBidi" w:cstheme="majorBidi"/>
          <w:kern w:val="0"/>
          <w:lang w:val="en-US"/>
          <w14:ligatures w14:val="none"/>
        </w:rPr>
        <w:instrText>Layard</w:instrText>
      </w:r>
      <w:r w:rsidRPr="001D012D">
        <w:instrText xml:space="preserve">" </w:instrText>
      </w:r>
      <w:r w:rsidRPr="001D012D">
        <w:rPr>
          <w:rFonts w:asciiTheme="majorBidi" w:hAnsiTheme="majorBidi" w:cstheme="majorBidi"/>
          <w:lang w:val="en-GB"/>
        </w:rPr>
        <w:fldChar w:fldCharType="end"/>
      </w:r>
      <w:r w:rsidRPr="00C724E9">
        <w:rPr>
          <w:rFonts w:ascii="Times New Roman" w:hAnsi="Times New Roman"/>
          <w:lang w:val="en-GB"/>
        </w:rPr>
        <w:t xml:space="preserve"> came to Van in 1849 and conducted a short-term excavation at Hazine Kapısı/Analıkız</w:t>
      </w:r>
      <w:r w:rsidRPr="001D012D">
        <w:rPr>
          <w:rStyle w:val="DipnotBavurusu"/>
          <w:rFonts w:asciiTheme="majorBidi" w:hAnsiTheme="majorBidi" w:cstheme="majorBidi"/>
          <w:lang w:val="en-GB"/>
        </w:rPr>
        <w:footnoteReference w:id="60"/>
      </w:r>
      <w:r w:rsidRPr="00C724E9">
        <w:rPr>
          <w:rFonts w:ascii="Times New Roman" w:hAnsi="Times New Roman"/>
          <w:lang w:val="en-GB"/>
        </w:rPr>
        <w:t xml:space="preserve"> (Layard, 1853: 398-399). At the time of </w:t>
      </w:r>
      <w:r w:rsidRPr="001D012D">
        <w:rPr>
          <w:rFonts w:ascii="Times New Roman" w:eastAsia="Calibri" w:hAnsi="Times New Roman" w:cs="Times New Roman"/>
          <w:lang w:val="en-GB"/>
        </w:rPr>
        <w:t>Layard's</w:t>
      </w:r>
      <w:r w:rsidRPr="00C724E9">
        <w:rPr>
          <w:rFonts w:ascii="Times New Roman" w:hAnsi="Times New Roman"/>
          <w:lang w:val="en-GB"/>
        </w:rPr>
        <w:t xml:space="preserve"> visit, Hazine Kapısı/Analıkız most probably looked like the photographs that Carl Ferdinand Friedrich Lehmann-Haupt (Lehmann-Haupt, 1926: 30) and Marr &amp; Orbeli (Marr &amp; Orbeli, 1922: Pl. 1) took before they started the excavations in 1916. </w:t>
      </w:r>
      <w:r w:rsidRPr="001D012D">
        <w:rPr>
          <w:rFonts w:ascii="Times New Roman" w:eastAsia="Calibri" w:hAnsi="Times New Roman" w:cs="Times New Roman"/>
          <w:lang w:val="en-GB"/>
        </w:rPr>
        <w:t>Only</w:t>
      </w:r>
      <w:r w:rsidRPr="00C724E9">
        <w:rPr>
          <w:rFonts w:ascii="Times New Roman" w:hAnsi="Times New Roman"/>
          <w:lang w:val="en-GB"/>
        </w:rPr>
        <w:t xml:space="preserve"> the upper parts of the two niches are visible</w:t>
      </w:r>
      <w:r w:rsidRPr="001D012D">
        <w:rPr>
          <w:rFonts w:ascii="Times New Roman" w:eastAsia="Calibri" w:hAnsi="Times New Roman" w:cs="Times New Roman"/>
          <w:lang w:val="en-GB"/>
        </w:rPr>
        <w:t xml:space="preserve"> in these photographs.</w:t>
      </w:r>
      <w:r w:rsidRPr="00C724E9">
        <w:rPr>
          <w:rFonts w:ascii="Times New Roman" w:hAnsi="Times New Roman"/>
          <w:lang w:val="en-GB"/>
        </w:rPr>
        <w:t xml:space="preserve"> Due to this appearance, the </w:t>
      </w:r>
      <w:r w:rsidRPr="001D012D">
        <w:rPr>
          <w:rFonts w:ascii="Times New Roman" w:eastAsia="Calibri" w:hAnsi="Times New Roman" w:cs="Times New Roman"/>
          <w:lang w:val="en-GB"/>
        </w:rPr>
        <w:t xml:space="preserve">local people named the </w:t>
      </w:r>
      <w:r w:rsidRPr="00C724E9">
        <w:rPr>
          <w:rFonts w:ascii="Times New Roman" w:hAnsi="Times New Roman"/>
          <w:lang w:val="en-GB"/>
        </w:rPr>
        <w:t>monument Hazine Cave.</w:t>
      </w:r>
    </w:p>
    <w:p w14:paraId="73F942A2"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The first scientific work at Hazine Kapısı/Analıkız</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started during the first half of the 19th century. Friedrich Eduard Schulz</w:t>
      </w:r>
      <w:r w:rsidRPr="008C67C7">
        <w:rPr>
          <w:rFonts w:ascii="Times New Roman" w:eastAsia="Calibri" w:hAnsi="Times New Roman" w:cs="Times New Roman"/>
          <w:lang w:val="en-GB"/>
        </w:rPr>
        <w:t>,</w:t>
      </w:r>
      <w:r>
        <w:rPr>
          <w:rFonts w:asciiTheme="majorBidi" w:hAnsiTheme="majorBidi" w:cstheme="majorBidi"/>
          <w:lang w:val="en-GB"/>
        </w:rPr>
        <w:fldChar w:fldCharType="begin"/>
      </w:r>
      <w:r>
        <w:instrText xml:space="preserve"> XE "</w:instrText>
      </w:r>
      <w:r w:rsidRPr="009738B5">
        <w:rPr>
          <w:rFonts w:asciiTheme="majorBidi" w:hAnsiTheme="majorBidi" w:cstheme="majorBidi"/>
          <w:kern w:val="0"/>
          <w:sz w:val="22"/>
          <w:szCs w:val="22"/>
          <w:lang w:val="en-US"/>
          <w14:ligatures w14:val="none"/>
        </w:rPr>
        <w:instrText>Schulz</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a German orientalist, </w:t>
      </w:r>
      <w:r w:rsidRPr="008C67C7">
        <w:rPr>
          <w:rFonts w:ascii="Times New Roman" w:eastAsia="Calibri" w:hAnsi="Times New Roman" w:cs="Times New Roman"/>
          <w:lang w:val="en-GB"/>
        </w:rPr>
        <w:t>detailedly described</w:t>
      </w:r>
      <w:r w:rsidRPr="00C724E9">
        <w:rPr>
          <w:rFonts w:ascii="Times New Roman" w:hAnsi="Times New Roman"/>
          <w:lang w:val="en-GB"/>
        </w:rPr>
        <w:t xml:space="preserve"> the </w:t>
      </w:r>
      <w:r w:rsidRPr="00C724E9">
        <w:rPr>
          <w:rFonts w:ascii="Times New Roman" w:hAnsi="Times New Roman"/>
          <w:lang w:val="en-GB"/>
        </w:rPr>
        <w:lastRenderedPageBreak/>
        <w:t>Urartian</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structures in the fortress in 1826 and copied the Urartian cuneiform inscriptions. Schulz copied the Analıkız inscriptions as well. His story on the </w:t>
      </w:r>
      <w:r>
        <w:rPr>
          <w:rFonts w:ascii="Times New Roman" w:eastAsia="Calibri" w:hAnsi="Times New Roman" w:cs="Times New Roman"/>
          <w:lang w:val="en-GB"/>
        </w:rPr>
        <w:t>‘</w:t>
      </w:r>
      <w:r w:rsidRPr="00C724E9">
        <w:rPr>
          <w:rFonts w:ascii="Times New Roman" w:hAnsi="Times New Roman"/>
          <w:lang w:val="en-GB"/>
        </w:rPr>
        <w:t>Khazane Kapoussi</w:t>
      </w:r>
      <w:r>
        <w:rPr>
          <w:rFonts w:ascii="Times New Roman" w:eastAsia="Calibri" w:hAnsi="Times New Roman" w:cs="Times New Roman"/>
          <w:lang w:val="en-GB"/>
        </w:rPr>
        <w:t xml:space="preserve">’ </w:t>
      </w:r>
      <w:r w:rsidRPr="00C724E9">
        <w:rPr>
          <w:rFonts w:ascii="Times New Roman" w:hAnsi="Times New Roman"/>
          <w:lang w:val="en-GB"/>
        </w:rPr>
        <w:t>or the Hazine Kapısı/Analıkız is of interest (Schulz, 1840: 290-292). Layard</w:t>
      </w:r>
      <w:r w:rsidRPr="008C67C7">
        <w:rPr>
          <w:rFonts w:ascii="Times New Roman" w:eastAsia="Calibri" w:hAnsi="Times New Roman" w:cs="Times New Roman"/>
          <w:lang w:val="en-GB"/>
        </w:rPr>
        <w:t>,</w:t>
      </w:r>
      <w:r>
        <w:rPr>
          <w:rFonts w:asciiTheme="majorBidi" w:hAnsiTheme="majorBidi" w:cstheme="majorBidi"/>
          <w:lang w:val="en-GB"/>
        </w:rPr>
        <w:fldChar w:fldCharType="begin"/>
      </w:r>
      <w:r>
        <w:instrText xml:space="preserve"> XE "</w:instrText>
      </w:r>
      <w:r w:rsidRPr="00995E06">
        <w:rPr>
          <w:rFonts w:asciiTheme="majorBidi" w:hAnsiTheme="majorBidi" w:cstheme="majorBidi"/>
          <w:kern w:val="0"/>
          <w:sz w:val="22"/>
          <w:szCs w:val="22"/>
          <w:lang w:val="en-US"/>
          <w14:ligatures w14:val="none"/>
        </w:rPr>
        <w:instrText>Layard</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the excavator of Hazine Kapısı/Analıkız in 1849, quotes Schulz and mentions that this cave or hollow was called </w:t>
      </w:r>
      <w:r>
        <w:rPr>
          <w:rFonts w:ascii="Times New Roman" w:eastAsia="Calibri" w:hAnsi="Times New Roman" w:cs="Times New Roman"/>
          <w:lang w:val="en-GB"/>
        </w:rPr>
        <w:t>‘</w:t>
      </w:r>
      <w:r w:rsidRPr="00C724E9">
        <w:rPr>
          <w:rFonts w:ascii="Times New Roman" w:hAnsi="Times New Roman"/>
          <w:lang w:val="en-GB"/>
        </w:rPr>
        <w:t>Khazana Kapoussi</w:t>
      </w:r>
      <w:r>
        <w:rPr>
          <w:rFonts w:ascii="Times New Roman" w:eastAsia="Calibri" w:hAnsi="Times New Roman" w:cs="Times New Roman"/>
          <w:lang w:val="en-GB"/>
        </w:rPr>
        <w:t xml:space="preserve">’ </w:t>
      </w:r>
      <w:r w:rsidRPr="00C724E9">
        <w:rPr>
          <w:rFonts w:ascii="Times New Roman" w:hAnsi="Times New Roman"/>
          <w:lang w:val="en-GB"/>
        </w:rPr>
        <w:t xml:space="preserve">or Hazine Kapısı and was considered sacred by the Christians and the Muslims. According to the belief, an iron gate beneath these niches was protected by spirits with their fire-emitting swords. This iron gate protected by the spirits was believed to be opening to a large hall filled with all kinds of riches. This gate could only be opened by the magic words in the inscription; however, the inscription was protected by a snake at night. At dawn, the snake retreated to a hole around the cave (Schulz, 1840: 290-292; Layard, 1853: 398). Schulz and Layard described how the local people defined and named this area </w:t>
      </w:r>
      <w:r w:rsidRPr="008C67C7">
        <w:rPr>
          <w:rFonts w:ascii="Times New Roman" w:eastAsia="Calibri" w:hAnsi="Times New Roman" w:cs="Times New Roman"/>
          <w:lang w:val="en-GB"/>
        </w:rPr>
        <w:t>according to</w:t>
      </w:r>
      <w:r w:rsidRPr="00C724E9">
        <w:rPr>
          <w:rFonts w:ascii="Times New Roman" w:hAnsi="Times New Roman"/>
          <w:lang w:val="en-GB"/>
        </w:rPr>
        <w:t xml:space="preserve"> their beliefs from the second half of the 19th century onwards</w:t>
      </w:r>
      <w:r w:rsidRPr="008C67C7">
        <w:rPr>
          <w:rFonts w:ascii="Times New Roman" w:eastAsia="Calibri" w:hAnsi="Times New Roman" w:cs="Times New Roman"/>
          <w:lang w:val="en-GB"/>
        </w:rPr>
        <w:t>,</w:t>
      </w:r>
      <w:r w:rsidRPr="00C724E9">
        <w:rPr>
          <w:rFonts w:ascii="Times New Roman" w:hAnsi="Times New Roman"/>
          <w:lang w:val="en-GB"/>
        </w:rPr>
        <w:t xml:space="preserve"> and </w:t>
      </w:r>
      <w:r w:rsidRPr="008C67C7">
        <w:rPr>
          <w:rFonts w:ascii="Times New Roman" w:eastAsia="Calibri" w:hAnsi="Times New Roman" w:cs="Times New Roman"/>
          <w:lang w:val="en-GB"/>
        </w:rPr>
        <w:t xml:space="preserve">they </w:t>
      </w:r>
      <w:r w:rsidRPr="00C724E9">
        <w:rPr>
          <w:rFonts w:ascii="Times New Roman" w:hAnsi="Times New Roman"/>
          <w:lang w:val="en-GB"/>
        </w:rPr>
        <w:t xml:space="preserve">rendered it sacred through this mythology. Thus, the story clarifies the idea behind the name </w:t>
      </w:r>
      <w:r w:rsidRPr="008C67C7">
        <w:rPr>
          <w:rFonts w:ascii="Times New Roman" w:eastAsia="Calibri" w:hAnsi="Times New Roman" w:cs="Times New Roman"/>
          <w:lang w:val="en-GB"/>
        </w:rPr>
        <w:t>'Hazine Kapısı'</w:t>
      </w:r>
      <w:r>
        <w:rPr>
          <w:rFonts w:ascii="Times New Roman" w:eastAsia="Calibri" w:hAnsi="Times New Roman" w:cs="Times New Roman"/>
          <w:lang w:val="en-GB"/>
        </w:rPr>
        <w:t>.</w:t>
      </w:r>
      <w:r w:rsidRPr="00C724E9">
        <w:rPr>
          <w:rFonts w:ascii="Times New Roman" w:hAnsi="Times New Roman"/>
          <w:lang w:val="en-GB"/>
        </w:rPr>
        <w:t xml:space="preserve"> Salvini suggests that portable goods worth defending could not have been kept there</w:t>
      </w:r>
      <w:r w:rsidRPr="008C67C7">
        <w:rPr>
          <w:rFonts w:ascii="Times New Roman" w:eastAsia="Calibri" w:hAnsi="Times New Roman" w:cs="Times New Roman"/>
          <w:lang w:val="en-GB"/>
        </w:rPr>
        <w:t xml:space="preserve"> due to its open-air location.</w:t>
      </w:r>
      <w:r w:rsidRPr="00C724E9">
        <w:rPr>
          <w:rFonts w:ascii="Times New Roman" w:hAnsi="Times New Roman"/>
          <w:lang w:val="en-GB"/>
        </w:rPr>
        <w:t xml:space="preserve"> So, he argues that the name</w:t>
      </w:r>
      <w:r>
        <w:rPr>
          <w:rFonts w:ascii="Times New Roman" w:hAnsi="Times New Roman"/>
          <w:lang w:val="en-GB"/>
        </w:rPr>
        <w:t xml:space="preserve"> ‘</w:t>
      </w:r>
      <w:r w:rsidRPr="00C724E9">
        <w:rPr>
          <w:rFonts w:ascii="Times New Roman" w:hAnsi="Times New Roman"/>
          <w:lang w:val="en-GB"/>
        </w:rPr>
        <w:t>Hazine Kapısı</w:t>
      </w:r>
      <w:r>
        <w:rPr>
          <w:rFonts w:ascii="Times New Roman" w:eastAsia="Calibri" w:hAnsi="Times New Roman" w:cs="Times New Roman"/>
          <w:lang w:val="en-GB"/>
        </w:rPr>
        <w:t xml:space="preserve">’ </w:t>
      </w:r>
      <w:r w:rsidRPr="00C724E9">
        <w:rPr>
          <w:rFonts w:ascii="Times New Roman" w:hAnsi="Times New Roman"/>
          <w:lang w:val="en-GB"/>
        </w:rPr>
        <w:t>contradicts the area itself (Salvini, 2006: 159). Indeed, the story of Schulz and Layard clearly explains why the area was called Hazine Kapısı. It seems that the beliefs about this area have not changed much, and this mode of thinking spanned up to the present day with a different belief and attribution of sanctity</w:t>
      </w:r>
      <w:r w:rsidRPr="00F03A26">
        <w:rPr>
          <w:rStyle w:val="DipnotBavurusu"/>
          <w:rFonts w:asciiTheme="majorBidi" w:hAnsiTheme="majorBidi" w:cstheme="majorBidi"/>
          <w:lang w:val="en-GB"/>
        </w:rPr>
        <w:footnoteReference w:id="61"/>
      </w:r>
      <w:r w:rsidRPr="00C724E9">
        <w:rPr>
          <w:rFonts w:ascii="Times New Roman" w:hAnsi="Times New Roman"/>
          <w:lang w:val="en-GB"/>
        </w:rPr>
        <w:t xml:space="preserve"> (Genç, 2019: 233-234).</w:t>
      </w:r>
    </w:p>
    <w:p w14:paraId="3C7E28DA"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 xml:space="preserve">After </w:t>
      </w:r>
      <w:r w:rsidRPr="005E41A4">
        <w:rPr>
          <w:rFonts w:ascii="Times New Roman" w:eastAsia="Calibri" w:hAnsi="Times New Roman" w:cs="Times New Roman"/>
          <w:lang w:val="en-GB"/>
        </w:rPr>
        <w:t>Layard</w:t>
      </w:r>
      <w:r w:rsidRPr="005E41A4">
        <w:rPr>
          <w:rFonts w:ascii="Times New Roman" w:eastAsia="Calibri" w:hAnsi="Times New Roman" w:cs="Times New Roman"/>
          <w:lang w:val="en-GB"/>
        </w:rPr>
        <w:fldChar w:fldCharType="begin"/>
      </w:r>
      <w:r w:rsidRPr="005E41A4">
        <w:instrText xml:space="preserve"> XE "</w:instrText>
      </w:r>
      <w:r w:rsidRPr="005E41A4">
        <w:rPr>
          <w:rFonts w:ascii="Times New Roman" w:eastAsia="Calibri" w:hAnsi="Times New Roman" w:cs="Times New Roman"/>
          <w:lang w:val="en-GB"/>
        </w:rPr>
        <w:instrText>Layard</w:instrText>
      </w:r>
      <w:r w:rsidRPr="005E41A4">
        <w:instrText xml:space="preserve">" </w:instrText>
      </w:r>
      <w:r w:rsidRPr="005E41A4">
        <w:rPr>
          <w:rFonts w:ascii="Times New Roman" w:eastAsia="Calibri" w:hAnsi="Times New Roman" w:cs="Times New Roman"/>
          <w:lang w:val="en-GB"/>
        </w:rPr>
        <w:fldChar w:fldCharType="end"/>
      </w:r>
      <w:r w:rsidRPr="005E41A4">
        <w:rPr>
          <w:rFonts w:ascii="Times New Roman" w:eastAsia="Calibri" w:hAnsi="Times New Roman" w:cs="Times New Roman"/>
          <w:lang w:val="en-GB"/>
        </w:rPr>
        <w:t>'s</w:t>
      </w:r>
      <w:r w:rsidRPr="00C724E9">
        <w:rPr>
          <w:rFonts w:ascii="Times New Roman" w:hAnsi="Times New Roman"/>
          <w:lang w:val="en-GB"/>
        </w:rPr>
        <w:t xml:space="preserve"> short-term work at Analıkız</w:t>
      </w:r>
      <w:r w:rsidRPr="005E41A4">
        <w:rPr>
          <w:rFonts w:asciiTheme="majorBidi" w:hAnsiTheme="majorBidi" w:cstheme="majorBidi"/>
          <w:lang w:val="en-GB"/>
        </w:rPr>
        <w:fldChar w:fldCharType="begin"/>
      </w:r>
      <w:r w:rsidRPr="005E41A4">
        <w:rPr>
          <w:rFonts w:asciiTheme="majorBidi" w:hAnsiTheme="majorBidi" w:cstheme="majorBidi"/>
          <w:lang w:val="en-GB"/>
        </w:rPr>
        <w:instrText xml:space="preserve"> XE "Analıkız" </w:instrText>
      </w:r>
      <w:r w:rsidRPr="005E41A4">
        <w:rPr>
          <w:rFonts w:asciiTheme="majorBidi" w:hAnsiTheme="majorBidi" w:cstheme="majorBidi"/>
          <w:lang w:val="en-GB"/>
        </w:rPr>
        <w:fldChar w:fldCharType="end"/>
      </w:r>
      <w:r w:rsidRPr="005E41A4">
        <w:rPr>
          <w:rFonts w:asciiTheme="majorBidi" w:hAnsiTheme="majorBidi" w:cstheme="majorBidi"/>
          <w:lang w:val="en-GB"/>
        </w:rPr>
        <w:t>,</w:t>
      </w:r>
      <w:r w:rsidRPr="00C724E9">
        <w:rPr>
          <w:rFonts w:ascii="Times New Roman" w:hAnsi="Times New Roman"/>
          <w:lang w:val="en-GB"/>
        </w:rPr>
        <w:t xml:space="preserve"> in 1898</w:t>
      </w:r>
      <w:r w:rsidRPr="005E41A4">
        <w:rPr>
          <w:rFonts w:ascii="Times New Roman" w:eastAsia="Calibri" w:hAnsi="Times New Roman" w:cs="Times New Roman"/>
          <w:lang w:val="en-GB"/>
        </w:rPr>
        <w:t>,</w:t>
      </w:r>
      <w:r w:rsidRPr="00C724E9">
        <w:rPr>
          <w:rFonts w:ascii="Times New Roman" w:hAnsi="Times New Roman"/>
          <w:lang w:val="en-GB"/>
        </w:rPr>
        <w:t xml:space="preserve"> the Austrian Ancient historian Lehmann-Haupt </w:t>
      </w:r>
      <w:r w:rsidRPr="005E41A4">
        <w:rPr>
          <w:rFonts w:ascii="Times New Roman" w:eastAsia="Calibri" w:hAnsi="Times New Roman" w:cs="Times New Roman"/>
          <w:lang w:val="en-GB"/>
        </w:rPr>
        <w:t>visited</w:t>
      </w:r>
      <w:r w:rsidRPr="00C724E9">
        <w:rPr>
          <w:rFonts w:ascii="Times New Roman" w:hAnsi="Times New Roman"/>
          <w:lang w:val="en-GB"/>
        </w:rPr>
        <w:t xml:space="preserve"> the Van Fortress as part of his research in the Van Lake</w:t>
      </w:r>
      <w:r w:rsidRPr="005E41A4">
        <w:rPr>
          <w:rFonts w:asciiTheme="majorBidi" w:hAnsiTheme="majorBidi" w:cstheme="majorBidi"/>
          <w:lang w:val="en-GB"/>
        </w:rPr>
        <w:fldChar w:fldCharType="begin"/>
      </w:r>
      <w:r w:rsidRPr="005E41A4">
        <w:instrText xml:space="preserve"> XE "</w:instrText>
      </w:r>
      <w:r w:rsidRPr="005E41A4">
        <w:rPr>
          <w:rFonts w:asciiTheme="majorBidi" w:hAnsiTheme="majorBidi" w:cstheme="majorBidi"/>
        </w:rPr>
        <w:instrText>Van Lake</w:instrText>
      </w:r>
      <w:r w:rsidRPr="005E41A4">
        <w:instrText xml:space="preserve">" </w:instrText>
      </w:r>
      <w:r w:rsidRPr="005E41A4">
        <w:rPr>
          <w:rFonts w:asciiTheme="majorBidi" w:hAnsiTheme="majorBidi" w:cstheme="majorBidi"/>
          <w:lang w:val="en-GB"/>
        </w:rPr>
        <w:fldChar w:fldCharType="end"/>
      </w:r>
      <w:r w:rsidRPr="00C724E9">
        <w:rPr>
          <w:rFonts w:ascii="Times New Roman" w:hAnsi="Times New Roman"/>
          <w:lang w:val="en-GB"/>
        </w:rPr>
        <w:t xml:space="preserve"> basin (Genç, 2019: 36-47). He names Hazine Kapısı/Analıkız as “Chazineh-Kapyssy-Schatztor”. Like the story of Schulz</w:t>
      </w:r>
      <w:r w:rsidRPr="005E41A4">
        <w:rPr>
          <w:rFonts w:asciiTheme="majorBidi" w:hAnsiTheme="majorBidi" w:cstheme="majorBidi"/>
          <w:lang w:val="en-GB"/>
        </w:rPr>
        <w:fldChar w:fldCharType="begin"/>
      </w:r>
      <w:r w:rsidRPr="005E41A4">
        <w:instrText xml:space="preserve"> XE "</w:instrText>
      </w:r>
      <w:r w:rsidRPr="005E41A4">
        <w:rPr>
          <w:rFonts w:asciiTheme="majorBidi" w:hAnsiTheme="majorBidi" w:cstheme="majorBidi"/>
          <w:kern w:val="0"/>
          <w:lang w:val="en-US"/>
          <w14:ligatures w14:val="none"/>
        </w:rPr>
        <w:instrText>Schulz</w:instrText>
      </w:r>
      <w:r w:rsidRPr="005E41A4">
        <w:instrText xml:space="preserve">" </w:instrText>
      </w:r>
      <w:r w:rsidRPr="005E41A4">
        <w:rPr>
          <w:rFonts w:asciiTheme="majorBidi" w:hAnsiTheme="majorBidi" w:cstheme="majorBidi"/>
          <w:lang w:val="en-GB"/>
        </w:rPr>
        <w:fldChar w:fldCharType="end"/>
      </w:r>
      <w:r w:rsidRPr="00C724E9">
        <w:rPr>
          <w:rFonts w:ascii="Times New Roman" w:hAnsi="Times New Roman"/>
          <w:lang w:val="en-GB"/>
        </w:rPr>
        <w:t xml:space="preserve"> and Layard, Lehmann-Haupt mentions the belief that a treasure was buried in this area. In particular, he mentions the channel carved onto the bedrock on the northern slope leading out of the area (Fig. 18). He indicates that the channel splits into two, with one arm leading to the northeast and the other to the east. However, the arm to the east mentioned by Lehmann-Haupt is not a proper channel. Today, it can be observed that the bedrock was only smoothened</w:t>
      </w:r>
      <w:r w:rsidRPr="005E41A4">
        <w:rPr>
          <w:rFonts w:ascii="Times New Roman" w:eastAsia="Calibri" w:hAnsi="Times New Roman" w:cs="Times New Roman"/>
          <w:lang w:val="en-GB"/>
        </w:rPr>
        <w:t xml:space="preserve"> in this area.</w:t>
      </w:r>
      <w:r w:rsidRPr="00C724E9">
        <w:rPr>
          <w:rFonts w:ascii="Times New Roman" w:hAnsi="Times New Roman"/>
          <w:lang w:val="en-GB"/>
        </w:rPr>
        <w:t xml:space="preserve"> Furthermore, according to Lehmann-Haupt</w:t>
      </w:r>
      <w:r w:rsidRPr="005E41A4">
        <w:rPr>
          <w:rFonts w:ascii="Times New Roman" w:eastAsia="Calibri" w:hAnsi="Times New Roman" w:cs="Times New Roman"/>
          <w:lang w:val="en-GB"/>
        </w:rPr>
        <w:t>,</w:t>
      </w:r>
      <w:r w:rsidRPr="00C724E9">
        <w:rPr>
          <w:rFonts w:ascii="Times New Roman" w:hAnsi="Times New Roman"/>
          <w:lang w:val="en-GB"/>
        </w:rPr>
        <w:t xml:space="preserve"> the channel continues northeast, while</w:t>
      </w:r>
      <w:r w:rsidRPr="005E41A4">
        <w:rPr>
          <w:rFonts w:ascii="Times New Roman" w:eastAsia="Calibri" w:hAnsi="Times New Roman" w:cs="Times New Roman"/>
          <w:lang w:val="en-GB"/>
        </w:rPr>
        <w:t>,</w:t>
      </w:r>
      <w:r w:rsidRPr="00C724E9">
        <w:rPr>
          <w:rFonts w:ascii="Times New Roman" w:hAnsi="Times New Roman"/>
          <w:lang w:val="en-GB"/>
        </w:rPr>
        <w:t xml:space="preserve"> in fact</w:t>
      </w:r>
      <w:r w:rsidRPr="005E41A4">
        <w:rPr>
          <w:rFonts w:ascii="Times New Roman" w:eastAsia="Calibri" w:hAnsi="Times New Roman" w:cs="Times New Roman"/>
          <w:lang w:val="en-GB"/>
        </w:rPr>
        <w:t>,</w:t>
      </w:r>
      <w:r w:rsidRPr="00C724E9">
        <w:rPr>
          <w:rFonts w:ascii="Times New Roman" w:hAnsi="Times New Roman"/>
          <w:lang w:val="en-GB"/>
        </w:rPr>
        <w:t xml:space="preserve"> today</w:t>
      </w:r>
      <w:r w:rsidRPr="005E41A4">
        <w:rPr>
          <w:rFonts w:ascii="Times New Roman" w:eastAsia="Calibri" w:hAnsi="Times New Roman" w:cs="Times New Roman"/>
          <w:lang w:val="en-GB"/>
        </w:rPr>
        <w:t>,</w:t>
      </w:r>
      <w:r w:rsidRPr="00C724E9">
        <w:rPr>
          <w:rFonts w:ascii="Times New Roman" w:hAnsi="Times New Roman"/>
          <w:lang w:val="en-GB"/>
        </w:rPr>
        <w:t xml:space="preserve"> it is clear that this channel continues </w:t>
      </w:r>
      <w:r w:rsidRPr="005E41A4">
        <w:rPr>
          <w:rFonts w:ascii="Times New Roman" w:eastAsia="Calibri" w:hAnsi="Times New Roman" w:cs="Times New Roman"/>
          <w:lang w:val="en-GB"/>
        </w:rPr>
        <w:t>toward</w:t>
      </w:r>
      <w:r w:rsidRPr="00C724E9">
        <w:rPr>
          <w:rFonts w:ascii="Times New Roman" w:hAnsi="Times New Roman"/>
          <w:lang w:val="en-GB"/>
        </w:rPr>
        <w:t xml:space="preserve"> the north. According to Lehmann-Haupt, this channel could have been used to sacrifice the animals brought to the area (Lehmann-Haupt, 1926: 29-30). It seems that Lehmann-</w:t>
      </w:r>
      <w:r w:rsidRPr="005E41A4">
        <w:rPr>
          <w:rFonts w:ascii="Times New Roman" w:eastAsia="Calibri" w:hAnsi="Times New Roman" w:cs="Times New Roman"/>
          <w:lang w:val="en-GB"/>
        </w:rPr>
        <w:t>Haupt's</w:t>
      </w:r>
      <w:r w:rsidRPr="00C724E9">
        <w:rPr>
          <w:rFonts w:ascii="Times New Roman" w:hAnsi="Times New Roman"/>
          <w:lang w:val="en-GB"/>
        </w:rPr>
        <w:t xml:space="preserve"> suggestion provided a basis for later interpretations made on the function of the area thus far (Genç, 2019: 234-235, Fig. 6). In several studies, the Hazine Kapısı/Analıkız monument was defined as a sacred space or an open-air sanctuary where religious and sacrificial ceremonies were performed (Korfmann, 1977: 184; Erzen, 1978: 7; Tarhan, 1994: 28-31; Çilingiroğlu, 1998: 233-234; Salvini, 2006: 72, 158; Çilingiroğlu, 2011: 194-195; Tarhan, 2011: 320; Kroll, Gruber, Hellwag, Roaf, &amp; Zimansky, 2012: 16).</w:t>
      </w:r>
    </w:p>
    <w:p w14:paraId="4EF21188"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 xml:space="preserve">The </w:t>
      </w:r>
      <w:r w:rsidRPr="008C67C7">
        <w:rPr>
          <w:rFonts w:ascii="Times New Roman" w:eastAsia="Calibri" w:hAnsi="Times New Roman" w:cs="Times New Roman"/>
          <w:lang w:val="en-GB"/>
        </w:rPr>
        <w:t xml:space="preserve">area's </w:t>
      </w:r>
      <w:r w:rsidRPr="00C724E9">
        <w:rPr>
          <w:rFonts w:ascii="Times New Roman" w:hAnsi="Times New Roman"/>
          <w:lang w:val="en-GB"/>
        </w:rPr>
        <w:t xml:space="preserve">identity became </w:t>
      </w:r>
      <w:r w:rsidRPr="008C67C7">
        <w:rPr>
          <w:rFonts w:ascii="Times New Roman" w:eastAsia="Calibri" w:hAnsi="Times New Roman" w:cs="Times New Roman"/>
          <w:lang w:val="en-GB"/>
        </w:rPr>
        <w:t>apparent</w:t>
      </w:r>
      <w:r w:rsidRPr="00C724E9">
        <w:rPr>
          <w:rFonts w:ascii="Times New Roman" w:hAnsi="Times New Roman"/>
          <w:lang w:val="en-GB"/>
        </w:rPr>
        <w:t xml:space="preserve"> after 1916 when Marr and </w:t>
      </w:r>
      <w:r w:rsidRPr="008C67C7">
        <w:rPr>
          <w:rFonts w:ascii="Times New Roman" w:eastAsia="Calibri" w:hAnsi="Times New Roman" w:cs="Times New Roman"/>
          <w:lang w:val="en-GB"/>
        </w:rPr>
        <w:t>Orbeli's</w:t>
      </w:r>
      <w:r w:rsidRPr="00C724E9">
        <w:rPr>
          <w:rFonts w:ascii="Times New Roman" w:hAnsi="Times New Roman"/>
          <w:lang w:val="en-GB"/>
        </w:rPr>
        <w:t xml:space="preserve"> excavations of the niches and the stelae began. During these excavations, an area in front of both niches (Fig. 16) and a wall adjacent to one of the niches was unearthed. </w:t>
      </w:r>
      <w:r w:rsidRPr="008C67C7">
        <w:rPr>
          <w:rFonts w:ascii="Times New Roman" w:eastAsia="Calibri" w:hAnsi="Times New Roman" w:cs="Times New Roman"/>
          <w:lang w:val="en-GB"/>
        </w:rPr>
        <w:t>The</w:t>
      </w:r>
      <w:r w:rsidRPr="00C724E9">
        <w:rPr>
          <w:rFonts w:ascii="Times New Roman" w:hAnsi="Times New Roman"/>
          <w:lang w:val="en-GB"/>
        </w:rPr>
        <w:t xml:space="preserve"> wall </w:t>
      </w:r>
      <w:r w:rsidRPr="008C67C7">
        <w:rPr>
          <w:rFonts w:ascii="Times New Roman" w:eastAsia="Calibri" w:hAnsi="Times New Roman" w:cs="Times New Roman"/>
          <w:lang w:val="en-GB"/>
        </w:rPr>
        <w:t>extends north</w:t>
      </w:r>
      <w:r w:rsidRPr="00C724E9">
        <w:rPr>
          <w:rFonts w:ascii="Times New Roman" w:hAnsi="Times New Roman"/>
          <w:lang w:val="en-GB"/>
        </w:rPr>
        <w:t xml:space="preserve"> to the east, forming a corner (Marr &amp; Orbeli, 1922: Pl. III, XV, XVI). Alongside the monumental niches and the stelae, collapsed walls and stones unearthed here </w:t>
      </w:r>
      <w:r w:rsidRPr="008C67C7">
        <w:rPr>
          <w:rFonts w:ascii="Times New Roman" w:eastAsia="Calibri" w:hAnsi="Times New Roman" w:cs="Times New Roman"/>
          <w:lang w:val="en-GB"/>
        </w:rPr>
        <w:t>make</w:t>
      </w:r>
      <w:r w:rsidRPr="00C724E9">
        <w:rPr>
          <w:rFonts w:ascii="Times New Roman" w:hAnsi="Times New Roman"/>
          <w:lang w:val="en-GB"/>
        </w:rPr>
        <w:t xml:space="preserve"> it unlikely that this was an open-air area.</w:t>
      </w:r>
    </w:p>
    <w:p w14:paraId="37975C2F"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lastRenderedPageBreak/>
        <w:t xml:space="preserve">The excavation data and figures of Marr and Orbeli indicate that the stele on the inscribed basalt base on the western niche was not found in </w:t>
      </w:r>
      <w:r w:rsidRPr="008C67C7">
        <w:rPr>
          <w:rFonts w:ascii="Times New Roman" w:eastAsia="Calibri" w:hAnsi="Times New Roman" w:cs="Times New Roman"/>
          <w:lang w:val="en-GB"/>
        </w:rPr>
        <w:t xml:space="preserve">an </w:t>
      </w:r>
      <w:r w:rsidRPr="00C724E9">
        <w:rPr>
          <w:rFonts w:ascii="Times New Roman" w:hAnsi="Times New Roman"/>
          <w:lang w:val="en-GB"/>
        </w:rPr>
        <w:t>in situ location as it was during the Urartian</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period. The lack of the stele foot that should be in the lower part of the stele and the destruction </w:t>
      </w:r>
      <w:r w:rsidRPr="008C67C7">
        <w:rPr>
          <w:rFonts w:ascii="Times New Roman" w:eastAsia="Calibri" w:hAnsi="Times New Roman" w:cs="Times New Roman"/>
          <w:lang w:val="en-GB"/>
        </w:rPr>
        <w:t>of</w:t>
      </w:r>
      <w:r w:rsidRPr="00C724E9">
        <w:rPr>
          <w:rFonts w:ascii="Times New Roman" w:hAnsi="Times New Roman"/>
          <w:lang w:val="en-GB"/>
        </w:rPr>
        <w:t xml:space="preserve"> the stele suggest that interventions </w:t>
      </w:r>
      <w:r w:rsidRPr="008C67C7">
        <w:rPr>
          <w:rFonts w:ascii="Times New Roman" w:eastAsia="Calibri" w:hAnsi="Times New Roman" w:cs="Times New Roman"/>
          <w:lang w:val="en-GB"/>
        </w:rPr>
        <w:t>in</w:t>
      </w:r>
      <w:r w:rsidRPr="00C724E9">
        <w:rPr>
          <w:rFonts w:ascii="Times New Roman" w:hAnsi="Times New Roman"/>
          <w:lang w:val="en-GB"/>
        </w:rPr>
        <w:t xml:space="preserve"> this area might have occurred before the Middle </w:t>
      </w:r>
      <w:r w:rsidRPr="008C67C7">
        <w:rPr>
          <w:rFonts w:ascii="Times New Roman" w:eastAsia="Calibri" w:hAnsi="Times New Roman" w:cs="Times New Roman"/>
          <w:lang w:val="en-GB"/>
        </w:rPr>
        <w:t>Ages</w:t>
      </w:r>
      <w:r w:rsidRPr="00C724E9">
        <w:rPr>
          <w:rFonts w:ascii="Times New Roman" w:hAnsi="Times New Roman"/>
          <w:lang w:val="en-GB"/>
        </w:rPr>
        <w:t>, in fact</w:t>
      </w:r>
      <w:r w:rsidRPr="008C67C7">
        <w:rPr>
          <w:rFonts w:ascii="Times New Roman" w:eastAsia="Calibri" w:hAnsi="Times New Roman" w:cs="Times New Roman"/>
          <w:lang w:val="en-GB"/>
        </w:rPr>
        <w:t>,</w:t>
      </w:r>
      <w:r w:rsidRPr="00C724E9">
        <w:rPr>
          <w:rFonts w:ascii="Times New Roman" w:hAnsi="Times New Roman"/>
          <w:lang w:val="en-GB"/>
        </w:rPr>
        <w:t xml:space="preserve"> during the Urartian period. The stele fell, and right afterward</w:t>
      </w:r>
      <w:r w:rsidRPr="008C67C7">
        <w:rPr>
          <w:rFonts w:ascii="Times New Roman" w:eastAsia="Calibri" w:hAnsi="Times New Roman" w:cs="Times New Roman"/>
          <w:lang w:val="en-GB"/>
        </w:rPr>
        <w:t>,</w:t>
      </w:r>
      <w:r w:rsidRPr="00C724E9">
        <w:rPr>
          <w:rFonts w:ascii="Times New Roman" w:hAnsi="Times New Roman"/>
          <w:lang w:val="en-GB"/>
        </w:rPr>
        <w:t xml:space="preserve"> it was tried to be put into the right place.</w:t>
      </w:r>
    </w:p>
    <w:p w14:paraId="44B83F61"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 xml:space="preserve">After Marr and </w:t>
      </w:r>
      <w:r w:rsidRPr="008C67C7">
        <w:rPr>
          <w:rFonts w:ascii="Times New Roman" w:eastAsia="Calibri" w:hAnsi="Times New Roman" w:cs="Times New Roman"/>
          <w:lang w:val="en-GB"/>
        </w:rPr>
        <w:t>Orbeli's</w:t>
      </w:r>
      <w:r w:rsidRPr="00C724E9">
        <w:rPr>
          <w:rFonts w:ascii="Times New Roman" w:hAnsi="Times New Roman"/>
          <w:lang w:val="en-GB"/>
        </w:rPr>
        <w:t xml:space="preserve"> excavations, on May 30, 1938, Kirsopp Lake began to work in Hazine Kapısı/Analıkız</w:t>
      </w:r>
      <w:r w:rsidRPr="008C67C7">
        <w:rPr>
          <w:rFonts w:ascii="Times New Roman" w:eastAsia="Calibri" w:hAnsi="Times New Roman" w:cs="Times New Roman"/>
          <w:lang w:val="en-GB"/>
        </w:rPr>
        <w:t xml:space="preserve">. </w:t>
      </w:r>
      <w:r w:rsidRPr="00F03A26">
        <w:rPr>
          <w:rFonts w:asciiTheme="majorBidi" w:hAnsiTheme="majorBidi" w:cstheme="majorBidi"/>
          <w:lang w:val="en-GB"/>
        </w:rPr>
        <w:t>Lake’s</w:t>
      </w:r>
      <w:r w:rsidRPr="00C724E9">
        <w:rPr>
          <w:rFonts w:ascii="Times New Roman" w:hAnsi="Times New Roman"/>
          <w:lang w:val="en-GB"/>
        </w:rPr>
        <w:t xml:space="preserve"> research in Hazine Kapısı/Analıkız, who was a philologist and an expert on Early Christianity, resulted </w:t>
      </w:r>
      <w:r w:rsidRPr="008C67C7">
        <w:rPr>
          <w:rFonts w:ascii="Times New Roman" w:eastAsia="Calibri" w:hAnsi="Times New Roman" w:cs="Times New Roman"/>
          <w:lang w:val="en-GB"/>
        </w:rPr>
        <w:t>in</w:t>
      </w:r>
      <w:r w:rsidRPr="00C724E9">
        <w:rPr>
          <w:rFonts w:ascii="Times New Roman" w:hAnsi="Times New Roman"/>
          <w:lang w:val="en-GB"/>
        </w:rPr>
        <w:t xml:space="preserve"> the removal of the last part of remains in areas Marr and Orbeli did not excavate. As indicated by Zimansky, Lake did not study another rock niche (Zimansky, 2011: 63</w:t>
      </w:r>
      <w:r>
        <w:rPr>
          <w:rFonts w:ascii="Times New Roman" w:eastAsia="Calibri" w:hAnsi="Times New Roman" w:cs="Times New Roman"/>
          <w:lang w:val="en-GB"/>
        </w:rPr>
        <w:t xml:space="preserve">) </w:t>
      </w:r>
      <w:r w:rsidRPr="00C724E9">
        <w:rPr>
          <w:rFonts w:ascii="Times New Roman" w:hAnsi="Times New Roman"/>
          <w:lang w:val="en-GB"/>
        </w:rPr>
        <w:t xml:space="preserve">but he worked in the area of Hazine Kapısı/Analıkız. Lake started his work by removing the remains east of the large niche and between the niches. He mentions a previously unidentified area covered by a large pile of soil and rocks to the west. According to Lake, this area was covered by the collapsed debris of a structure above or on the </w:t>
      </w:r>
      <w:r w:rsidRPr="008C67C7">
        <w:rPr>
          <w:rFonts w:ascii="Times New Roman" w:eastAsia="Calibri" w:hAnsi="Times New Roman" w:cs="Times New Roman"/>
          <w:lang w:val="en-GB"/>
        </w:rPr>
        <w:t xml:space="preserve">area's </w:t>
      </w:r>
      <w:r w:rsidRPr="00C724E9">
        <w:rPr>
          <w:rFonts w:ascii="Times New Roman" w:hAnsi="Times New Roman"/>
          <w:lang w:val="en-GB"/>
        </w:rPr>
        <w:t xml:space="preserve">western edge. The presence of a wall in the western edge, of which the remains are still visible, is </w:t>
      </w:r>
      <w:r w:rsidRPr="008C67C7">
        <w:rPr>
          <w:rFonts w:ascii="Times New Roman" w:eastAsia="Calibri" w:hAnsi="Times New Roman" w:cs="Times New Roman"/>
          <w:lang w:val="en-GB"/>
        </w:rPr>
        <w:t>vital regarding</w:t>
      </w:r>
      <w:r w:rsidRPr="00C724E9">
        <w:rPr>
          <w:rFonts w:ascii="Times New Roman" w:hAnsi="Times New Roman"/>
          <w:lang w:val="en-GB"/>
        </w:rPr>
        <w:t xml:space="preserve"> the function of this area (Lake, 1940: 180-184; Korfmann, 1977: 182-185, Abb. Taf. VI-VIII), (Fig. 21-22). According to Lake, the high platform across the western niche was an area where animals were sacrificed (Lake, 1940: 182). Lake</w:t>
      </w:r>
      <w:r w:rsidRPr="008C67C7">
        <w:rPr>
          <w:rFonts w:ascii="Times New Roman" w:eastAsia="Calibri" w:hAnsi="Times New Roman" w:cs="Times New Roman"/>
          <w:lang w:val="en-GB"/>
        </w:rPr>
        <w:t xml:space="preserve"> also</w:t>
      </w:r>
      <w:r w:rsidRPr="00C724E9">
        <w:rPr>
          <w:rFonts w:ascii="Times New Roman" w:hAnsi="Times New Roman"/>
          <w:lang w:val="en-GB"/>
        </w:rPr>
        <w:t xml:space="preserve"> thought that the area had at least two building phases. </w:t>
      </w:r>
      <w:r w:rsidRPr="008C67C7">
        <w:rPr>
          <w:rFonts w:ascii="Times New Roman" w:eastAsia="Calibri" w:hAnsi="Times New Roman" w:cs="Times New Roman"/>
          <w:lang w:val="en-GB"/>
        </w:rPr>
        <w:t>Large</w:t>
      </w:r>
      <w:r w:rsidRPr="00C724E9">
        <w:rPr>
          <w:rFonts w:ascii="Times New Roman" w:hAnsi="Times New Roman"/>
          <w:lang w:val="en-GB"/>
        </w:rPr>
        <w:t xml:space="preserve"> stone blocks were placed in shallow beds carved into the bedrock</w:t>
      </w:r>
      <w:r w:rsidRPr="008C67C7">
        <w:rPr>
          <w:rFonts w:ascii="Times New Roman" w:eastAsia="Calibri" w:hAnsi="Times New Roman" w:cs="Times New Roman"/>
          <w:lang w:val="en-GB"/>
        </w:rPr>
        <w:t xml:space="preserve"> during the first phase</w:t>
      </w:r>
      <w:r w:rsidRPr="00C724E9">
        <w:rPr>
          <w:rFonts w:ascii="Times New Roman" w:hAnsi="Times New Roman"/>
          <w:lang w:val="en-GB"/>
        </w:rPr>
        <w:t xml:space="preserve">, and smaller stones were used during the second phase (Lake, 1940: 184). The section of the wall built adjacent to one of the niches, which was detected during Marr and </w:t>
      </w:r>
      <w:r w:rsidRPr="008C67C7">
        <w:rPr>
          <w:rFonts w:ascii="Times New Roman" w:eastAsia="Calibri" w:hAnsi="Times New Roman" w:cs="Times New Roman"/>
          <w:lang w:val="en-GB"/>
        </w:rPr>
        <w:t>Orbeli's</w:t>
      </w:r>
      <w:r w:rsidRPr="00C724E9">
        <w:rPr>
          <w:rFonts w:ascii="Times New Roman" w:hAnsi="Times New Roman"/>
          <w:lang w:val="en-GB"/>
        </w:rPr>
        <w:t xml:space="preserve"> excavations, suggests that it belongs to the second building phase (Marr &amp; Orbeli, 1922: Pl. XV-2) (Fig. 23).</w:t>
      </w:r>
    </w:p>
    <w:p w14:paraId="6B6450F1" w14:textId="77777777" w:rsidR="00BC2CE3" w:rsidRPr="00A54AA2" w:rsidRDefault="00BC2CE3" w:rsidP="00BC2CE3">
      <w:pPr>
        <w:spacing w:before="100" w:beforeAutospacing="1" w:after="100" w:afterAutospacing="1"/>
        <w:jc w:val="both"/>
        <w:rPr>
          <w:rFonts w:ascii="Times New Roman" w:eastAsia="Calibri" w:hAnsi="Times New Roman" w:cs="Times New Roman"/>
          <w:lang w:val="en-GB"/>
        </w:rPr>
      </w:pPr>
      <w:r w:rsidRPr="00A54AA2">
        <w:rPr>
          <w:rFonts w:ascii="Times New Roman" w:eastAsia="Calibri" w:hAnsi="Times New Roman" w:cs="Times New Roman"/>
          <w:noProof/>
        </w:rPr>
        <w:drawing>
          <wp:inline distT="0" distB="0" distL="0" distR="0" wp14:anchorId="7C6DB57E" wp14:editId="17D8AF31">
            <wp:extent cx="3409627" cy="2284450"/>
            <wp:effectExtent l="0" t="0" r="0" b="1905"/>
            <wp:docPr id="1717056945" name="Resim 1717056945" descr="dış mekan, siyah beyaz, gökyüzü,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Resim 249" descr="dış mekan, siyah beyaz, gökyüzü, dağ içeren bir resim&#10;&#10;Açıklama otomatik olarak oluşturuldu"/>
                    <pic:cNvPicPr/>
                  </pic:nvPicPr>
                  <pic:blipFill>
                    <a:blip r:embed="rId344" cstate="email">
                      <a:extLst>
                        <a:ext uri="{28A0092B-C50C-407E-A947-70E740481C1C}">
                          <a14:useLocalDpi xmlns:a14="http://schemas.microsoft.com/office/drawing/2010/main"/>
                        </a:ext>
                      </a:extLst>
                    </a:blip>
                    <a:stretch>
                      <a:fillRect/>
                    </a:stretch>
                  </pic:blipFill>
                  <pic:spPr>
                    <a:xfrm>
                      <a:off x="0" y="0"/>
                      <a:ext cx="3420032" cy="2291421"/>
                    </a:xfrm>
                    <a:prstGeom prst="rect">
                      <a:avLst/>
                    </a:prstGeom>
                  </pic:spPr>
                </pic:pic>
              </a:graphicData>
            </a:graphic>
          </wp:inline>
        </w:drawing>
      </w:r>
    </w:p>
    <w:p w14:paraId="02820C30"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21 Wall remains to the west of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and the general view of the area after the excavations of K. Lake in 1938 (D-DAI-IST-3503).</w:t>
      </w:r>
    </w:p>
    <w:p w14:paraId="521A50CC" w14:textId="77777777" w:rsidR="00BC2CE3" w:rsidRPr="00C724E9" w:rsidRDefault="00BC2CE3" w:rsidP="00BC2CE3">
      <w:pPr>
        <w:spacing w:before="100" w:beforeAutospacing="1" w:after="100" w:afterAutospacing="1"/>
        <w:jc w:val="both"/>
        <w:rPr>
          <w:rFonts w:ascii="Times New Roman" w:hAnsi="Times New Roman"/>
          <w:b/>
          <w:lang w:val="en-GB"/>
        </w:rPr>
      </w:pPr>
      <w:r w:rsidRPr="00C724E9">
        <w:rPr>
          <w:rFonts w:ascii="Times New Roman" w:hAnsi="Times New Roman"/>
          <w:b/>
          <w:noProof/>
        </w:rPr>
        <w:lastRenderedPageBreak/>
        <w:drawing>
          <wp:inline distT="0" distB="0" distL="0" distR="0" wp14:anchorId="6EC5AD69" wp14:editId="309A8158">
            <wp:extent cx="2933700" cy="1779156"/>
            <wp:effectExtent l="0" t="0" r="0" b="0"/>
            <wp:docPr id="250" name="Resim 250" descr="dış mekan, taslak, siyah beyaz,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Resim 250" descr="dış mekan, taslak, siyah beyaz, yer içeren bir resim&#10;&#10;Açıklama otomatik olarak oluşturuldu"/>
                    <pic:cNvPicPr/>
                  </pic:nvPicPr>
                  <pic:blipFill rotWithShape="1">
                    <a:blip r:embed="rId345" cstate="email">
                      <a:extLst>
                        <a:ext uri="{28A0092B-C50C-407E-A947-70E740481C1C}">
                          <a14:useLocalDpi xmlns:a14="http://schemas.microsoft.com/office/drawing/2010/main"/>
                        </a:ext>
                      </a:extLst>
                    </a:blip>
                    <a:srcRect/>
                    <a:stretch/>
                  </pic:blipFill>
                  <pic:spPr bwMode="auto">
                    <a:xfrm>
                      <a:off x="0" y="0"/>
                      <a:ext cx="2953618" cy="1791236"/>
                    </a:xfrm>
                    <a:prstGeom prst="rect">
                      <a:avLst/>
                    </a:prstGeom>
                    <a:ln>
                      <a:noFill/>
                    </a:ln>
                    <a:extLst>
                      <a:ext uri="{53640926-AAD7-44D8-BBD7-CCE9431645EC}">
                        <a14:shadowObscured xmlns:a14="http://schemas.microsoft.com/office/drawing/2010/main"/>
                      </a:ext>
                    </a:extLst>
                  </pic:spPr>
                </pic:pic>
              </a:graphicData>
            </a:graphic>
          </wp:inline>
        </w:drawing>
      </w:r>
    </w:p>
    <w:p w14:paraId="569A8744"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22 Wall remains to the west of Hazine Kapısı/Analıkız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(D-DAI-IST-3503).</w:t>
      </w:r>
    </w:p>
    <w:p w14:paraId="01440E6E" w14:textId="77777777" w:rsidR="00BC2CE3" w:rsidRPr="00C724E9" w:rsidRDefault="00BC2CE3" w:rsidP="00BC2CE3">
      <w:pPr>
        <w:spacing w:before="100" w:beforeAutospacing="1" w:after="100" w:afterAutospacing="1"/>
        <w:jc w:val="both"/>
        <w:rPr>
          <w:rFonts w:ascii="Times New Roman" w:hAnsi="Times New Roman"/>
          <w:b/>
          <w:lang w:val="en-GB"/>
        </w:rPr>
      </w:pPr>
      <w:r w:rsidRPr="00C724E9">
        <w:rPr>
          <w:rFonts w:ascii="Times New Roman" w:hAnsi="Times New Roman"/>
          <w:b/>
          <w:noProof/>
        </w:rPr>
        <w:drawing>
          <wp:inline distT="0" distB="0" distL="0" distR="0" wp14:anchorId="3260CB89" wp14:editId="466D13F2">
            <wp:extent cx="4892374" cy="3280838"/>
            <wp:effectExtent l="0" t="0" r="0" b="0"/>
            <wp:docPr id="251" name="Resim 251" descr="dış mekan, kişi, şahıs, giyim,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Resim 251" descr="dış mekan, kişi, şahıs, giyim, adam, insan içeren bir resim&#10;&#10;Açıklama otomatik olarak oluşturuldu"/>
                    <pic:cNvPicPr/>
                  </pic:nvPicPr>
                  <pic:blipFill>
                    <a:blip r:embed="rId346" cstate="email">
                      <a:extLst>
                        <a:ext uri="{28A0092B-C50C-407E-A947-70E740481C1C}">
                          <a14:useLocalDpi xmlns:a14="http://schemas.microsoft.com/office/drawing/2010/main"/>
                        </a:ext>
                      </a:extLst>
                    </a:blip>
                    <a:stretch>
                      <a:fillRect/>
                    </a:stretch>
                  </pic:blipFill>
                  <pic:spPr>
                    <a:xfrm>
                      <a:off x="0" y="0"/>
                      <a:ext cx="4924063" cy="3302089"/>
                    </a:xfrm>
                    <a:prstGeom prst="rect">
                      <a:avLst/>
                    </a:prstGeom>
                  </pic:spPr>
                </pic:pic>
              </a:graphicData>
            </a:graphic>
          </wp:inline>
        </w:drawing>
      </w:r>
    </w:p>
    <w:p w14:paraId="2AEA3375"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23 The line of wall adjacent to the niche at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(Marr &amp; Orbeli, 1922: Pl. XV-2).</w:t>
      </w:r>
    </w:p>
    <w:p w14:paraId="75C4CA65" w14:textId="77777777" w:rsidR="00BC2CE3" w:rsidRPr="00A54AA2" w:rsidRDefault="00BC2CE3" w:rsidP="00BC2CE3">
      <w:pPr>
        <w:spacing w:before="100" w:beforeAutospacing="1" w:after="100" w:afterAutospacing="1"/>
        <w:jc w:val="both"/>
        <w:rPr>
          <w:rFonts w:ascii="Times New Roman" w:eastAsia="Calibri" w:hAnsi="Times New Roman" w:cs="Times New Roman"/>
          <w:b/>
          <w:lang w:val="en-GB"/>
        </w:rPr>
      </w:pPr>
      <w:r w:rsidRPr="00A54AA2">
        <w:rPr>
          <w:rFonts w:ascii="Times New Roman" w:eastAsia="Calibri" w:hAnsi="Times New Roman" w:cs="Times New Roman"/>
          <w:b/>
          <w:noProof/>
        </w:rPr>
        <w:drawing>
          <wp:inline distT="0" distB="0" distL="0" distR="0" wp14:anchorId="61A30833" wp14:editId="467E6BD6">
            <wp:extent cx="4992491" cy="1968124"/>
            <wp:effectExtent l="0" t="0" r="0" b="635"/>
            <wp:docPr id="227489441" name="Resim 227489441" descr="çanta, dış mekan, aksesuar, yardakçı, suç ortağı,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Resim 252" descr="çanta, dış mekan, aksesuar, yardakçı, suç ortağı, taş içeren bir resim&#10;&#10;Açıklama otomatik olarak oluşturuldu"/>
                    <pic:cNvPicPr/>
                  </pic:nvPicPr>
                  <pic:blipFill>
                    <a:blip r:embed="rId347" cstate="email">
                      <a:extLst>
                        <a:ext uri="{28A0092B-C50C-407E-A947-70E740481C1C}">
                          <a14:useLocalDpi xmlns:a14="http://schemas.microsoft.com/office/drawing/2010/main"/>
                        </a:ext>
                      </a:extLst>
                    </a:blip>
                    <a:stretch>
                      <a:fillRect/>
                    </a:stretch>
                  </pic:blipFill>
                  <pic:spPr>
                    <a:xfrm>
                      <a:off x="0" y="0"/>
                      <a:ext cx="5025244" cy="1981036"/>
                    </a:xfrm>
                    <a:prstGeom prst="rect">
                      <a:avLst/>
                    </a:prstGeom>
                  </pic:spPr>
                </pic:pic>
              </a:graphicData>
            </a:graphic>
          </wp:inline>
        </w:drawing>
      </w:r>
    </w:p>
    <w:p w14:paraId="1995878E"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lastRenderedPageBreak/>
        <w:t>Fig. 24 The stele base of Minua</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Minua</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used as a construction material at the Surp Boğos Church</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Surp Boğos Church</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(CTU I. A 5-9).</w:t>
      </w:r>
    </w:p>
    <w:p w14:paraId="187E223D" w14:textId="77777777" w:rsidR="00BC2CE3" w:rsidRDefault="00BC2CE3" w:rsidP="00BC2CE3">
      <w:pPr>
        <w:keepNext/>
        <w:keepLines/>
        <w:spacing w:before="40"/>
        <w:jc w:val="both"/>
        <w:outlineLvl w:val="1"/>
        <w:rPr>
          <w:rFonts w:ascii="Times New Roman" w:hAnsi="Times New Roman"/>
          <w:b/>
          <w:color w:val="000000"/>
          <w:sz w:val="28"/>
          <w:lang w:val="en-GB"/>
        </w:rPr>
      </w:pPr>
      <w:bookmarkStart w:id="163" w:name="_Toc132072561"/>
      <w:bookmarkStart w:id="164" w:name="_Toc173231255"/>
      <w:r w:rsidRPr="00C724E9">
        <w:rPr>
          <w:rFonts w:ascii="Times New Roman" w:hAnsi="Times New Roman"/>
          <w:b/>
          <w:color w:val="000000"/>
          <w:sz w:val="28"/>
          <w:lang w:val="en-GB"/>
        </w:rPr>
        <w:t>10.3. The Function and Chronology of the Area</w:t>
      </w:r>
      <w:bookmarkEnd w:id="163"/>
      <w:bookmarkEnd w:id="164"/>
    </w:p>
    <w:p w14:paraId="38A8C348" w14:textId="77777777" w:rsidR="00694D89" w:rsidRPr="00C724E9" w:rsidRDefault="00694D89" w:rsidP="00694D89">
      <w:pPr>
        <w:rPr>
          <w:rFonts w:ascii="Times New Roman" w:hAnsi="Times New Roman"/>
          <w:b/>
          <w:color w:val="000000"/>
          <w:sz w:val="28"/>
          <w:lang w:val="en-GB"/>
        </w:rPr>
      </w:pPr>
    </w:p>
    <w:p w14:paraId="39F434DC"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 xml:space="preserve">At this point, based on these data, we can develop a new approach to the identity of this area. In which period </w:t>
      </w:r>
      <w:r w:rsidRPr="008C67C7">
        <w:rPr>
          <w:rFonts w:ascii="Times New Roman" w:eastAsia="Calibri" w:hAnsi="Times New Roman" w:cs="Times New Roman"/>
          <w:lang w:val="en-GB"/>
        </w:rPr>
        <w:t>precisely</w:t>
      </w:r>
      <w:r w:rsidRPr="00C724E9">
        <w:rPr>
          <w:rFonts w:ascii="Times New Roman" w:hAnsi="Times New Roman"/>
          <w:lang w:val="en-GB"/>
        </w:rPr>
        <w:t xml:space="preserve"> and under which influences was this area </w:t>
      </w:r>
      <w:r w:rsidRPr="008C67C7">
        <w:rPr>
          <w:rFonts w:ascii="Times New Roman" w:eastAsia="Calibri" w:hAnsi="Times New Roman" w:cs="Times New Roman"/>
          <w:lang w:val="en-GB"/>
        </w:rPr>
        <w:t xml:space="preserve">built </w:t>
      </w:r>
      <w:r w:rsidRPr="00C724E9">
        <w:rPr>
          <w:rFonts w:ascii="Times New Roman" w:hAnsi="Times New Roman"/>
          <w:lang w:val="en-GB"/>
        </w:rPr>
        <w:t>with stelae in monumental niches enclosed by walls? In the western niche are the Annals of Sarduri II</w:t>
      </w:r>
      <w:r w:rsidRPr="008C67C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which stele was placed in the eastern niche? Could it be that the stele that was copied when it was found in the Surp Sahak Church</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"Surp Sahak Church"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(Lehmann-Haupt, 1928-35: Taf. XXVI-XXIX, 112 A-B), which particularly </w:t>
      </w:r>
      <w:r w:rsidRPr="008C67C7">
        <w:rPr>
          <w:rFonts w:ascii="Times New Roman" w:eastAsia="Calibri" w:hAnsi="Times New Roman" w:cs="Times New Roman"/>
          <w:lang w:val="en-GB"/>
        </w:rPr>
        <w:t>stands</w:t>
      </w:r>
      <w:r w:rsidRPr="00C724E9">
        <w:rPr>
          <w:rFonts w:ascii="Times New Roman" w:hAnsi="Times New Roman"/>
          <w:lang w:val="en-GB"/>
        </w:rPr>
        <w:t xml:space="preserve"> out with inscriptions on its four sides and regarded as the copies of Argišti </w:t>
      </w:r>
      <w:r>
        <w:rPr>
          <w:rFonts w:ascii="Times New Roman" w:eastAsia="Calibri" w:hAnsi="Times New Roman" w:cs="Times New Roman"/>
          <w:lang w:val="en-GB"/>
        </w:rPr>
        <w:t xml:space="preserve">I’s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i/>
          <w:iCs/>
          <w:lang w:val="en-GB"/>
        </w:rPr>
        <w:instrText xml:space="preserve"> </w:instrText>
      </w:r>
      <w:r w:rsidRPr="00F03A26">
        <w:rPr>
          <w:rFonts w:asciiTheme="majorBidi" w:hAnsiTheme="majorBidi" w:cstheme="majorBidi"/>
          <w:lang w:val="en-GB"/>
        </w:rPr>
        <w:instrText xml:space="preserve">I" </w:instrText>
      </w:r>
      <w:r w:rsidRPr="00F03A26">
        <w:rPr>
          <w:rFonts w:asciiTheme="majorBidi" w:hAnsiTheme="majorBidi" w:cstheme="majorBidi"/>
          <w:lang w:val="en-GB"/>
        </w:rPr>
        <w:fldChar w:fldCharType="end"/>
      </w:r>
      <w:r w:rsidRPr="00C724E9">
        <w:rPr>
          <w:rFonts w:ascii="Times New Roman" w:hAnsi="Times New Roman"/>
          <w:lang w:val="en-GB"/>
        </w:rPr>
        <w:t xml:space="preserve"> annals</w:t>
      </w:r>
      <w:r w:rsidRPr="00F03A26">
        <w:rPr>
          <w:rStyle w:val="DipnotBavurusu"/>
          <w:rFonts w:asciiTheme="majorBidi" w:hAnsiTheme="majorBidi" w:cstheme="majorBidi"/>
          <w:lang w:val="en-GB"/>
        </w:rPr>
        <w:footnoteReference w:id="62"/>
      </w:r>
      <w:r w:rsidRPr="00C724E9">
        <w:rPr>
          <w:rFonts w:ascii="Times New Roman" w:hAnsi="Times New Roman"/>
          <w:lang w:val="en-GB"/>
        </w:rPr>
        <w:t xml:space="preserve">, used </w:t>
      </w:r>
      <w:r w:rsidRPr="008C67C7">
        <w:rPr>
          <w:rFonts w:ascii="Times New Roman" w:eastAsia="Calibri" w:hAnsi="Times New Roman" w:cs="Times New Roman"/>
          <w:lang w:val="en-GB"/>
        </w:rPr>
        <w:t>initially</w:t>
      </w:r>
      <w:r w:rsidRPr="00C724E9">
        <w:rPr>
          <w:rFonts w:ascii="Times New Roman" w:hAnsi="Times New Roman"/>
          <w:lang w:val="en-GB"/>
        </w:rPr>
        <w:t xml:space="preserve"> in this area? In this regard, it is further necessary to focus on the periods of the Urartian</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Kingdom when the stelae or obelisks were inscribed on all four faces and how this tradition emerged and continued. The multi-faceted inscription tradition that started with the Kobanis </w:t>
      </w:r>
      <w:r w:rsidRPr="001D012D">
        <w:rPr>
          <w:rFonts w:ascii="Times New Roman" w:hAnsi="Times New Roman"/>
          <w:lang w:val="en-GB"/>
        </w:rPr>
        <w:t>"</w:t>
      </w:r>
      <w:r w:rsidRPr="00C724E9">
        <w:rPr>
          <w:rFonts w:ascii="Times New Roman" w:hAnsi="Times New Roman"/>
          <w:lang w:val="en-GB"/>
        </w:rPr>
        <w:t>barzidibiduni</w:t>
      </w:r>
      <w:r w:rsidRPr="001D012D">
        <w:rPr>
          <w:rFonts w:ascii="Times New Roman" w:hAnsi="Times New Roman"/>
          <w:lang w:val="en-GB"/>
        </w:rPr>
        <w:t>"</w:t>
      </w:r>
      <w:r>
        <w:rPr>
          <w:rFonts w:ascii="Times New Roman" w:hAnsi="Times New Roman"/>
          <w:lang w:val="en-GB"/>
        </w:rPr>
        <w:t xml:space="preserve"> </w:t>
      </w:r>
      <w:r w:rsidRPr="00C724E9">
        <w:rPr>
          <w:rFonts w:ascii="Times New Roman" w:hAnsi="Times New Roman"/>
          <w:lang w:val="en-GB"/>
        </w:rPr>
        <w:t>stele (CTU I. A 5-60) during the period of Minua</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seems to have continued with Argišti I. It is seen that</w:t>
      </w:r>
      <w:r w:rsidRPr="008C67C7">
        <w:rPr>
          <w:rFonts w:ascii="Times New Roman" w:eastAsia="Calibri" w:hAnsi="Times New Roman" w:cs="Times New Roman"/>
          <w:lang w:val="en-GB"/>
        </w:rPr>
        <w:t>,</w:t>
      </w:r>
      <w:r w:rsidRPr="00C724E9">
        <w:rPr>
          <w:rFonts w:ascii="Times New Roman" w:hAnsi="Times New Roman"/>
          <w:lang w:val="en-GB"/>
        </w:rPr>
        <w:t xml:space="preserve"> particularly during the period of Argišti I, the tradition of inscribing all four sides of the stelae began.</w:t>
      </w:r>
      <w:r w:rsidRPr="008C67C7">
        <w:rPr>
          <w:rFonts w:ascii="Times New Roman" w:eastAsia="Calibri" w:hAnsi="Times New Roman" w:cs="Times New Roman"/>
          <w:lang w:val="en-GB"/>
        </w:rPr>
        <w:t> </w:t>
      </w:r>
      <w:r w:rsidRPr="00C724E9">
        <w:rPr>
          <w:rFonts w:ascii="Times New Roman" w:hAnsi="Times New Roman"/>
          <w:lang w:val="en-GB"/>
        </w:rPr>
        <w:t xml:space="preserve"> On one of the pieces of the stele belonging </w:t>
      </w:r>
      <w:r w:rsidRPr="0023486E">
        <w:rPr>
          <w:rFonts w:ascii="Times New Roman" w:hAnsi="Times New Roman"/>
          <w:lang w:val="en-GB"/>
        </w:rPr>
        <w:t xml:space="preserve">to </w:t>
      </w:r>
      <w:r w:rsidRPr="008C67C7">
        <w:rPr>
          <w:rFonts w:ascii="Times New Roman" w:eastAsia="Calibri" w:hAnsi="Times New Roman" w:cs="Times New Roman"/>
          <w:lang w:val="en-GB"/>
        </w:rPr>
        <w:t>Argišti</w:t>
      </w:r>
      <w:r>
        <w:rPr>
          <w:rFonts w:ascii="Times New Roman" w:eastAsia="Calibri" w:hAnsi="Times New Roman" w:cs="Times New Roman"/>
          <w:lang w:val="en-GB"/>
        </w:rPr>
        <w:t xml:space="preserve"> </w:t>
      </w:r>
      <w:r w:rsidRPr="008C67C7">
        <w:rPr>
          <w:rFonts w:ascii="Times New Roman" w:eastAsia="Calibri" w:hAnsi="Times New Roman" w:cs="Times New Roman"/>
          <w:lang w:val="en-GB"/>
        </w:rPr>
        <w:t>I</w:t>
      </w:r>
      <w:r w:rsidRPr="0023486E">
        <w:rPr>
          <w:rFonts w:ascii="Times New Roman" w:hAnsi="Times New Roman"/>
          <w:lang w:val="en-GB"/>
        </w:rPr>
        <w:t>, which</w:t>
      </w:r>
      <w:r w:rsidRPr="008C67C7">
        <w:rPr>
          <w:rFonts w:ascii="Times New Roman" w:eastAsia="Calibri" w:hAnsi="Times New Roman" w:cs="Times New Roman"/>
          <w:lang w:val="en-GB"/>
        </w:rPr>
        <w:t xml:space="preserve"> was</w:t>
      </w:r>
      <w:r w:rsidRPr="0023486E">
        <w:rPr>
          <w:rFonts w:ascii="Times New Roman" w:hAnsi="Times New Roman"/>
          <w:lang w:val="en-GB"/>
        </w:rPr>
        <w:t xml:space="preserve"> found in Surp Sahak Church, all four sides were inscribed (CTU I. A 8-1), while on another piece, there were inscriptions on two sides of the stele (CTU I. A 8-2). Until today, no evaluation has been made on the size and design of these obelisks that were copied when they were found in the Surp Sahak Church and the location of their original placement. Thus, it is </w:t>
      </w:r>
      <w:r w:rsidRPr="008C67C7">
        <w:rPr>
          <w:rFonts w:ascii="Times New Roman" w:eastAsia="Calibri" w:hAnsi="Times New Roman" w:cs="Times New Roman"/>
          <w:lang w:val="en-GB"/>
        </w:rPr>
        <w:t>essential</w:t>
      </w:r>
      <w:r w:rsidRPr="0023486E">
        <w:rPr>
          <w:rFonts w:ascii="Times New Roman" w:hAnsi="Times New Roman"/>
          <w:lang w:val="en-GB"/>
        </w:rPr>
        <w:t xml:space="preserve"> to discuss the </w:t>
      </w:r>
      <w:r w:rsidRPr="00C724E9">
        <w:rPr>
          <w:rFonts w:ascii="Times New Roman" w:hAnsi="Times New Roman"/>
          <w:lang w:val="en-GB"/>
        </w:rPr>
        <w:t>relationship between the eastern niche in Hazine Kapısı/Analıkız</w:t>
      </w:r>
      <w:r w:rsidRPr="008C67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located </w:t>
      </w:r>
      <w:r w:rsidRPr="008C67C7">
        <w:rPr>
          <w:rFonts w:ascii="Times New Roman" w:eastAsia="Calibri" w:hAnsi="Times New Roman" w:cs="Times New Roman"/>
          <w:lang w:val="en-GB"/>
        </w:rPr>
        <w:t>on</w:t>
      </w:r>
      <w:r w:rsidRPr="00C724E9">
        <w:rPr>
          <w:rFonts w:ascii="Times New Roman" w:hAnsi="Times New Roman"/>
          <w:lang w:val="en-GB"/>
        </w:rPr>
        <w:t xml:space="preserve"> the northeastern slopes of the Van Fortress with the Surp Sahak obelisks that contain the chronicles of </w:t>
      </w:r>
      <w:r w:rsidRPr="008C67C7">
        <w:rPr>
          <w:rFonts w:ascii="Times New Roman" w:eastAsia="Calibri" w:hAnsi="Times New Roman" w:cs="Times New Roman"/>
          <w:lang w:val="en-GB"/>
        </w:rPr>
        <w:t>Argišti</w:t>
      </w:r>
      <w:r>
        <w:rPr>
          <w:rFonts w:ascii="Times New Roman" w:eastAsia="Calibri" w:hAnsi="Times New Roman" w:cs="Times New Roman"/>
          <w:lang w:val="en-GB"/>
        </w:rPr>
        <w:t xml:space="preserve"> </w:t>
      </w:r>
      <w:r w:rsidRPr="008C67C7">
        <w:rPr>
          <w:rFonts w:ascii="Times New Roman" w:eastAsia="Calibri" w:hAnsi="Times New Roman" w:cs="Times New Roman"/>
          <w:lang w:val="en-GB"/>
        </w:rPr>
        <w:t>I</w:t>
      </w:r>
      <w:r w:rsidRPr="00C724E9">
        <w:rPr>
          <w:rFonts w:ascii="Times New Roman" w:hAnsi="Times New Roman"/>
          <w:lang w:val="en-GB"/>
        </w:rPr>
        <w:t>, and also the stele base dating to Minua that was found in the Surp Boğos Church</w:t>
      </w:r>
      <w:r w:rsidRPr="008C67C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"Surp Boğos Church"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and evaluate the possibility of these stelae originally belonging to this area (Genç &amp; Konyar, 2019: 7).</w:t>
      </w:r>
    </w:p>
    <w:p w14:paraId="689CA653"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inline distT="0" distB="0" distL="0" distR="0" wp14:anchorId="7AFBCC60" wp14:editId="28DC84B3">
            <wp:extent cx="4531953" cy="3022758"/>
            <wp:effectExtent l="0" t="0" r="2540" b="0"/>
            <wp:docPr id="253" name="Resim 253" descr="yer, banyo, tuvalet, duvar,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Resim 253" descr="yer, banyo, tuvalet, duvar, iç mekan içeren bir resim&#10;&#10;Açıklama otomatik olarak oluşturuldu"/>
                    <pic:cNvPicPr/>
                  </pic:nvPicPr>
                  <pic:blipFill>
                    <a:blip r:embed="rId348" cstate="email">
                      <a:extLst>
                        <a:ext uri="{28A0092B-C50C-407E-A947-70E740481C1C}">
                          <a14:useLocalDpi xmlns:a14="http://schemas.microsoft.com/office/drawing/2010/main"/>
                        </a:ext>
                      </a:extLst>
                    </a:blip>
                    <a:stretch>
                      <a:fillRect/>
                    </a:stretch>
                  </pic:blipFill>
                  <pic:spPr>
                    <a:xfrm>
                      <a:off x="0" y="0"/>
                      <a:ext cx="4576164" cy="3052246"/>
                    </a:xfrm>
                    <a:prstGeom prst="rect">
                      <a:avLst/>
                    </a:prstGeom>
                  </pic:spPr>
                </pic:pic>
              </a:graphicData>
            </a:graphic>
          </wp:inline>
        </w:drawing>
      </w:r>
    </w:p>
    <w:p w14:paraId="5CA5A627"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25 The inscribed Gameşvan</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Gameşvan</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stele base dating to the Minua</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Minua</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period. Ankara Anadolu Medeniyetleri Müzesi (CTU I. A 5-70).</w:t>
      </w:r>
    </w:p>
    <w:p w14:paraId="59E40480" w14:textId="07BD2AD0" w:rsidR="00BC2CE3" w:rsidRPr="001C4365"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As indicated above, the top of the inscribed stele dating to the Sarduri II</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period</w:t>
      </w:r>
      <w:r w:rsidRPr="00D87AA2">
        <w:rPr>
          <w:rFonts w:ascii="Times New Roman" w:eastAsia="Calibri" w:hAnsi="Times New Roman" w:cs="Times New Roman"/>
          <w:lang w:val="en-GB"/>
        </w:rPr>
        <w:t>,</w:t>
      </w:r>
      <w:r w:rsidRPr="00C724E9">
        <w:rPr>
          <w:rFonts w:ascii="Times New Roman" w:hAnsi="Times New Roman"/>
          <w:lang w:val="en-GB"/>
        </w:rPr>
        <w:t xml:space="preserve"> found in situ in Hazine Kapısı/Analıkız</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was used as a construction material in the Surp Boğos Church</w:t>
      </w:r>
      <w:r w:rsidRPr="00D87AA2">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"Surp Boğos Church"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An Armenian</w:t>
      </w:r>
      <w:r>
        <w:rPr>
          <w:rFonts w:asciiTheme="majorBidi" w:hAnsiTheme="majorBidi" w:cstheme="majorBidi"/>
          <w:lang w:val="en-GB"/>
        </w:rPr>
        <w:fldChar w:fldCharType="begin"/>
      </w:r>
      <w:r>
        <w:instrText xml:space="preserve"> XE "</w:instrText>
      </w:r>
      <w:r w:rsidRPr="003B7F51">
        <w:rPr>
          <w:rFonts w:asciiTheme="majorBidi" w:hAnsiTheme="majorBidi" w:cstheme="majorBidi"/>
        </w:rPr>
        <w:instrText>Armenian</w:instrText>
      </w:r>
      <w:r>
        <w:instrText xml:space="preserve">" </w:instrText>
      </w:r>
      <w:r>
        <w:rPr>
          <w:rFonts w:asciiTheme="majorBidi" w:hAnsiTheme="majorBidi" w:cstheme="majorBidi"/>
          <w:lang w:val="en-GB"/>
        </w:rPr>
        <w:fldChar w:fldCharType="end"/>
      </w:r>
      <w:r w:rsidRPr="00C724E9">
        <w:rPr>
          <w:rFonts w:ascii="Times New Roman" w:hAnsi="Times New Roman"/>
          <w:lang w:val="en-GB"/>
        </w:rPr>
        <w:t xml:space="preserve"> inscription on the left wall of the western niche gives the date of 949 AD (Marr &amp; Orbeli, 1922: 18). The proximity of this date to the construction date of the Surp Boğos Church, which is 960 </w:t>
      </w:r>
      <w:r w:rsidRPr="001C4365">
        <w:rPr>
          <w:rFonts w:ascii="Times New Roman" w:hAnsi="Times New Roman"/>
          <w:lang w:val="en-GB"/>
        </w:rPr>
        <w:t>AD, has caught attention (Salvini, 2006: 74). Apart from the stele base dating to Sarduri II, another example dating to Minua</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1C4365">
        <w:rPr>
          <w:rFonts w:ascii="Times New Roman" w:hAnsi="Times New Roman"/>
          <w:lang w:val="en-GB"/>
        </w:rPr>
        <w:t>that has inscriptions of the chronicles on both faces (Genç, 2015: 240-241) was used in the construction of the Surp Boğos Church (CTU I. A 5-9). The in situ location of this base, which represents the only chronicles of Minua in the Van Fortress, is unknown</w:t>
      </w:r>
      <w:r w:rsidRPr="00D87AA2">
        <w:rPr>
          <w:rFonts w:ascii="Times New Roman" w:eastAsia="Calibri" w:hAnsi="Times New Roman" w:cs="Times New Roman"/>
          <w:lang w:val="en-GB"/>
        </w:rPr>
        <w:t>,</w:t>
      </w:r>
      <w:r w:rsidRPr="001C4365">
        <w:rPr>
          <w:rFonts w:ascii="Times New Roman" w:hAnsi="Times New Roman"/>
          <w:lang w:val="en-GB"/>
        </w:rPr>
        <w:t xml:space="preserve"> and the Hazine Kapısı/Analıkız area that was built for chronicles raises questions in this regard. It should be considered that this stele base with inscriptions of the chronicles of Minua could have been taken from the Hazine Kapısı/Analıkız area (Fig. 24). This can give some insights into the chronology of the western (left) niche that is today empty. The 140 cm wide, 6.15 cm high, and 46 cm deep stone with the inscriptions of </w:t>
      </w:r>
      <w:r w:rsidRPr="00D87AA2">
        <w:rPr>
          <w:rFonts w:ascii="Times New Roman" w:eastAsia="Calibri" w:hAnsi="Times New Roman" w:cs="Times New Roman"/>
          <w:lang w:val="en-GB"/>
        </w:rPr>
        <w:t>Minua's</w:t>
      </w:r>
      <w:r w:rsidRPr="001C4365">
        <w:rPr>
          <w:rFonts w:ascii="Times New Roman" w:hAnsi="Times New Roman"/>
          <w:lang w:val="en-GB"/>
        </w:rPr>
        <w:t xml:space="preserve"> chronicles should be a large stele base. The front and upper parts of the base were inscribed. A round offering bowl (?) was carved in two concentric circles near the </w:t>
      </w:r>
      <w:r w:rsidRPr="00D87AA2">
        <w:rPr>
          <w:rFonts w:ascii="Times New Roman" w:eastAsia="Calibri" w:hAnsi="Times New Roman" w:cs="Times New Roman"/>
          <w:lang w:val="en-GB"/>
        </w:rPr>
        <w:t>center</w:t>
      </w:r>
      <w:r w:rsidRPr="001C4365">
        <w:rPr>
          <w:rFonts w:ascii="Times New Roman" w:hAnsi="Times New Roman"/>
          <w:lang w:val="en-GB"/>
        </w:rPr>
        <w:t xml:space="preserve"> of the inscription on the upper part. A large cross and some </w:t>
      </w:r>
      <w:r w:rsidRPr="0023486E">
        <w:rPr>
          <w:rFonts w:ascii="Times New Roman" w:hAnsi="Times New Roman"/>
          <w:lang w:val="en-GB"/>
        </w:rPr>
        <w:t xml:space="preserve">short Armenian </w:t>
      </w:r>
      <w:r w:rsidRPr="00D87AA2">
        <w:rPr>
          <w:rFonts w:ascii="Times New Roman" w:eastAsia="Calibri" w:hAnsi="Times New Roman" w:cs="Times New Roman"/>
          <w:lang w:val="en-GB"/>
        </w:rPr>
        <w:t xml:space="preserve">texts </w:t>
      </w:r>
      <w:r w:rsidRPr="0023486E">
        <w:rPr>
          <w:rFonts w:ascii="Times New Roman" w:hAnsi="Times New Roman"/>
          <w:lang w:val="en-GB"/>
        </w:rPr>
        <w:t>were carved on the uninscribed back part of the stone, indicating its later use as a khatchkar</w:t>
      </w:r>
      <w:r w:rsidRPr="00D87AA2">
        <w:rPr>
          <w:rFonts w:ascii="Times New Roman" w:eastAsia="Calibri" w:hAnsi="Times New Roman" w:cs="Times New Roman"/>
          <w:lang w:val="en-GB"/>
        </w:rPr>
        <w:t>.</w:t>
      </w:r>
      <w:r w:rsidRPr="0023486E">
        <w:rPr>
          <w:rFonts w:ascii="Times New Roman" w:hAnsi="Times New Roman"/>
          <w:lang w:val="en-GB"/>
        </w:rPr>
        <w:t xml:space="preserve"> With </w:t>
      </w:r>
      <w:r w:rsidRPr="001C4365">
        <w:rPr>
          <w:rFonts w:ascii="Times New Roman" w:hAnsi="Times New Roman"/>
          <w:lang w:val="en-GB"/>
        </w:rPr>
        <w:t>the offering bowl on its upper part and the inscription on the lateral side, this base is quite similar to the inscribed stele base of Gameşvan</w:t>
      </w:r>
      <w:r w:rsidR="00CD0F5D">
        <w:rPr>
          <w:rFonts w:ascii="Times New Roman" w:eastAsia="Calibri" w:hAnsi="Times New Roman" w:cs="Times New Roman"/>
          <w:lang w:val="en-GB"/>
        </w:rPr>
        <w:t>/</w:t>
      </w:r>
      <w:r w:rsidRPr="001C4365">
        <w:rPr>
          <w:rFonts w:ascii="Times New Roman" w:hAnsi="Times New Roman"/>
          <w:lang w:val="en-GB"/>
        </w:rPr>
        <w:t>Kamişvan (Patnos/Değirmendüzü) that is also dated to the Minua period (CTU I. A 5-70) (Fig. 25). In this case, the Surp Boğos stone inscribed with the chronicles of Minua should be termed as a stele base with an offering bowl (?) depicted in front. Based on these data, one should bear in mind the possibility that this stele base in Surp Boğos might have been taken from the eastern niche of Hazine Kapısı/Analıkız. Thus, we may suggest that the earliest activities in the Hazine Kapısı/Analıkız area could be dated to the Minua period. However, apart from this suggestion, the possible relationship between the eastern niche and the Surp Sahak obelisks, which contain the chronicles of Argišti I</w:t>
      </w:r>
      <w:r w:rsidRPr="00D87AA2">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i/>
          <w:iCs/>
          <w:lang w:val="en-GB"/>
        </w:rPr>
        <w:instrText xml:space="preserve"> </w:instrText>
      </w:r>
      <w:r w:rsidRPr="00F03A26">
        <w:rPr>
          <w:rFonts w:asciiTheme="majorBidi" w:hAnsiTheme="majorBidi" w:cstheme="majorBidi"/>
          <w:lang w:val="en-GB"/>
        </w:rPr>
        <w:instrText xml:space="preserve">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1C4365">
        <w:rPr>
          <w:rFonts w:ascii="Times New Roman" w:hAnsi="Times New Roman"/>
          <w:lang w:val="en-GB"/>
        </w:rPr>
        <w:t xml:space="preserve"> should be </w:t>
      </w:r>
      <w:r w:rsidRPr="001C4365">
        <w:rPr>
          <w:rFonts w:ascii="Times New Roman" w:hAnsi="Times New Roman"/>
          <w:lang w:val="en-GB"/>
        </w:rPr>
        <w:lastRenderedPageBreak/>
        <w:t>considered as well (Genç &amp; Konyar, 2019: 8). So that Tarhan indicates that the Surp Boğos stele belonging to Sarduri II was located in the eastern niche (Tarhan, 1994: 30).</w:t>
      </w:r>
    </w:p>
    <w:p w14:paraId="1B8D96A4" w14:textId="77777777" w:rsidR="00BC2CE3" w:rsidRPr="00D87AA2" w:rsidRDefault="00BC2CE3" w:rsidP="00BC2CE3">
      <w:pPr>
        <w:spacing w:before="100" w:beforeAutospacing="1" w:after="100" w:afterAutospacing="1"/>
        <w:jc w:val="both"/>
        <w:rPr>
          <w:rFonts w:ascii="Times New Roman" w:eastAsia="Calibri" w:hAnsi="Times New Roman" w:cs="Times New Roman"/>
          <w:lang w:val="en-GB"/>
        </w:rPr>
      </w:pPr>
      <w:r w:rsidRPr="001C4365">
        <w:rPr>
          <w:rFonts w:ascii="Times New Roman" w:hAnsi="Times New Roman"/>
          <w:lang w:val="en-GB"/>
        </w:rPr>
        <w:t xml:space="preserve">It is </w:t>
      </w:r>
      <w:r w:rsidRPr="00D87AA2">
        <w:rPr>
          <w:rFonts w:ascii="Times New Roman" w:eastAsia="Calibri" w:hAnsi="Times New Roman" w:cs="Times New Roman"/>
          <w:lang w:val="en-GB"/>
        </w:rPr>
        <w:t>essential</w:t>
      </w:r>
      <w:r w:rsidRPr="001C4365">
        <w:rPr>
          <w:rFonts w:ascii="Times New Roman" w:hAnsi="Times New Roman"/>
          <w:lang w:val="en-GB"/>
        </w:rPr>
        <w:t xml:space="preserve"> to discuss the inscription, planning, and construction activities around Hazine Kapısı/Analıkız</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1C4365">
        <w:rPr>
          <w:rFonts w:ascii="Times New Roman" w:hAnsi="Times New Roman"/>
          <w:lang w:val="en-GB"/>
        </w:rPr>
        <w:t xml:space="preserve">and the dating of the structural remains surrounding this area. About 350 meters to the east of Hazine Kapısı/Analıkız is the Tabriz Kapı Inscription. This inscription was placed vertically inside a rectangular frame </w:t>
      </w:r>
      <w:r w:rsidRPr="00D87AA2">
        <w:rPr>
          <w:rFonts w:ascii="Times New Roman" w:eastAsia="Calibri" w:hAnsi="Times New Roman" w:cs="Times New Roman"/>
          <w:lang w:val="en-GB"/>
        </w:rPr>
        <w:t>at</w:t>
      </w:r>
      <w:r w:rsidRPr="001C4365">
        <w:rPr>
          <w:rFonts w:ascii="Times New Roman" w:hAnsi="Times New Roman"/>
          <w:lang w:val="en-GB"/>
        </w:rPr>
        <w:t xml:space="preserve"> 5-10 cm depth, measuring 3.10 x 1.45 meters. The inscription consists of 34 lines of cuneiform text. Its content is </w:t>
      </w:r>
      <w:r w:rsidRPr="00D87AA2">
        <w:rPr>
          <w:rFonts w:ascii="Times New Roman" w:eastAsia="Calibri" w:hAnsi="Times New Roman" w:cs="Times New Roman"/>
          <w:lang w:val="en-GB"/>
        </w:rPr>
        <w:t>essential</w:t>
      </w:r>
      <w:r w:rsidRPr="001C4365">
        <w:rPr>
          <w:rFonts w:ascii="Times New Roman" w:hAnsi="Times New Roman"/>
          <w:lang w:val="en-GB"/>
        </w:rPr>
        <w:t xml:space="preserve"> in two different aspects. Firstly, it is dated to the Išpuini</w:t>
      </w:r>
      <w:r w:rsidRPr="00D87AA2">
        <w:rPr>
          <w:rFonts w:ascii="Times New Roman" w:eastAsia="Calibri" w:hAnsi="Times New Roman" w:cs="Times New Roman"/>
          <w:lang w:val="en-GB"/>
        </w:rPr>
        <w:t>-</w:t>
      </w:r>
      <w:r>
        <w:rPr>
          <w:rFonts w:asciiTheme="majorBidi" w:hAnsiTheme="majorBidi" w:cstheme="majorBidi"/>
          <w:iCs/>
          <w:lang w:val="en-GB"/>
        </w:rPr>
        <w:fldChar w:fldCharType="begin"/>
      </w:r>
      <w:r>
        <w:instrText xml:space="preserve"> XE "</w:instrText>
      </w:r>
      <w:r w:rsidRPr="00F31B27">
        <w:rPr>
          <w:rFonts w:asciiTheme="majorBidi" w:eastAsia="Times New Roman" w:hAnsiTheme="majorBidi" w:cstheme="majorBidi"/>
          <w:iCs/>
        </w:rPr>
        <w:instrText>Išpuini</w:instrText>
      </w:r>
      <w:r>
        <w:instrText xml:space="preserve">" </w:instrText>
      </w:r>
      <w:r>
        <w:rPr>
          <w:rFonts w:asciiTheme="majorBidi" w:hAnsiTheme="majorBidi" w:cstheme="majorBidi"/>
          <w:iCs/>
          <w:lang w:val="en-GB"/>
        </w:rPr>
        <w:fldChar w:fldCharType="end"/>
      </w:r>
      <w:r w:rsidRPr="00F03A26">
        <w:rPr>
          <w:rFonts w:asciiTheme="majorBidi" w:hAnsiTheme="majorBidi" w:cstheme="majorBidi"/>
          <w:lang w:val="en-GB"/>
        </w:rPr>
        <w:t>-</w:t>
      </w:r>
      <w:r w:rsidRPr="001C4365">
        <w:rPr>
          <w:rFonts w:ascii="Times New Roman" w:hAnsi="Times New Roman"/>
          <w:lang w:val="en-GB"/>
        </w:rPr>
        <w:t>Minua</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1C4365">
        <w:rPr>
          <w:rFonts w:ascii="Times New Roman" w:hAnsi="Times New Roman"/>
          <w:lang w:val="en-GB"/>
        </w:rPr>
        <w:t>period</w:t>
      </w:r>
      <w:r w:rsidRPr="00D87AA2">
        <w:rPr>
          <w:rFonts w:ascii="Times New Roman" w:eastAsia="Calibri" w:hAnsi="Times New Roman" w:cs="Times New Roman"/>
          <w:lang w:val="en-GB"/>
        </w:rPr>
        <w:t xml:space="preserve">, </w:t>
      </w:r>
      <w:r w:rsidRPr="001C4365">
        <w:rPr>
          <w:rFonts w:ascii="Times New Roman" w:hAnsi="Times New Roman"/>
          <w:lang w:val="en-GB"/>
        </w:rPr>
        <w:t xml:space="preserve">the co-regency kingdom. Since it </w:t>
      </w:r>
      <w:r w:rsidRPr="00D87AA2">
        <w:rPr>
          <w:rFonts w:ascii="Times New Roman" w:eastAsia="Calibri" w:hAnsi="Times New Roman" w:cs="Times New Roman"/>
          <w:lang w:val="en-GB"/>
        </w:rPr>
        <w:t xml:space="preserve">also </w:t>
      </w:r>
      <w:r w:rsidRPr="001C4365">
        <w:rPr>
          <w:rFonts w:ascii="Times New Roman" w:hAnsi="Times New Roman"/>
          <w:lang w:val="en-GB"/>
        </w:rPr>
        <w:t>mentions his son Inušpua</w:t>
      </w:r>
      <w:r>
        <w:rPr>
          <w:rFonts w:asciiTheme="majorBidi" w:hAnsiTheme="majorBidi" w:cstheme="majorBidi"/>
          <w:iCs/>
          <w:lang w:val="en-GB"/>
        </w:rPr>
        <w:fldChar w:fldCharType="begin"/>
      </w:r>
      <w:r>
        <w:instrText xml:space="preserve"> XE "</w:instrText>
      </w:r>
      <w:r w:rsidRPr="00AB28D0">
        <w:rPr>
          <w:rFonts w:ascii="Times New Roman" w:hAnsi="Times New Roman"/>
          <w:lang w:val="en-GB"/>
        </w:rPr>
        <w:instrText>Inušpua</w:instrText>
      </w:r>
      <w:r>
        <w:instrText xml:space="preserve">" </w:instrText>
      </w:r>
      <w:r>
        <w:rPr>
          <w:rFonts w:asciiTheme="majorBidi" w:hAnsiTheme="majorBidi" w:cstheme="majorBidi"/>
          <w:iCs/>
          <w:lang w:val="en-GB"/>
        </w:rPr>
        <w:fldChar w:fldCharType="end"/>
      </w:r>
      <w:r w:rsidRPr="00F03A26">
        <w:rPr>
          <w:rFonts w:asciiTheme="majorBidi" w:hAnsiTheme="majorBidi" w:cstheme="majorBidi"/>
          <w:lang w:val="en-GB"/>
        </w:rPr>
        <w:t xml:space="preserve"> as well</w:t>
      </w:r>
      <w:r w:rsidRPr="001C4365">
        <w:rPr>
          <w:rFonts w:ascii="Times New Roman" w:hAnsi="Times New Roman"/>
          <w:lang w:val="en-GB"/>
        </w:rPr>
        <w:t>, the Tabriz Kapı inscription points to a chronological timeframe closer to the reign of Minua. Another important aspect is that by the following lines</w:t>
      </w:r>
      <w:r w:rsidRPr="00D87AA2">
        <w:rPr>
          <w:rFonts w:ascii="Times New Roman" w:eastAsia="Calibri" w:hAnsi="Times New Roman" w:cs="Times New Roman"/>
          <w:lang w:val="en-GB"/>
        </w:rPr>
        <w:t>,</w:t>
      </w:r>
      <w:r w:rsidRPr="001C4365">
        <w:rPr>
          <w:rFonts w:ascii="Times New Roman" w:hAnsi="Times New Roman"/>
          <w:lang w:val="en-GB"/>
        </w:rPr>
        <w:t xml:space="preserve"> the construction of </w:t>
      </w:r>
      <w:r>
        <w:rPr>
          <w:rFonts w:ascii="Times New Roman" w:eastAsia="Calibri" w:hAnsi="Times New Roman" w:cs="Times New Roman"/>
          <w:lang w:val="en-GB"/>
        </w:rPr>
        <w:t xml:space="preserve"> </w:t>
      </w:r>
      <w:r w:rsidRPr="001C4365">
        <w:rPr>
          <w:rFonts w:ascii="Times New Roman" w:hAnsi="Times New Roman"/>
          <w:lang w:val="en-GB"/>
        </w:rPr>
        <w:t xml:space="preserve">The </w:t>
      </w:r>
      <w:r w:rsidRPr="001D012D">
        <w:rPr>
          <w:rFonts w:ascii="Times New Roman" w:hAnsi="Times New Roman"/>
          <w:lang w:val="en-GB"/>
        </w:rPr>
        <w:t>"</w:t>
      </w:r>
      <w:r w:rsidRPr="001C4365">
        <w:rPr>
          <w:rFonts w:ascii="Times New Roman" w:hAnsi="Times New Roman"/>
          <w:lang w:val="en-GB"/>
        </w:rPr>
        <w:t>susi</w:t>
      </w:r>
      <w:r w:rsidRPr="001D012D">
        <w:rPr>
          <w:rFonts w:ascii="Times New Roman" w:hAnsi="Times New Roman"/>
          <w:lang w:val="en-GB"/>
        </w:rPr>
        <w:t>"</w:t>
      </w:r>
      <w:r>
        <w:rPr>
          <w:rFonts w:asciiTheme="majorBidi" w:hAnsiTheme="majorBidi" w:cstheme="majorBidi"/>
          <w:iCs/>
          <w:lang w:val="en-GB"/>
        </w:rPr>
        <w:fldChar w:fldCharType="begin"/>
      </w:r>
      <w:r>
        <w:instrText xml:space="preserve"> XE "</w:instrText>
      </w:r>
      <w:r w:rsidRPr="00C85EFB">
        <w:rPr>
          <w:rFonts w:asciiTheme="majorBidi" w:eastAsia="Times New Roman" w:hAnsiTheme="majorBidi" w:cstheme="majorBidi"/>
          <w:lang w:val="en-GB"/>
        </w:rPr>
        <w:instrText>susi</w:instrText>
      </w:r>
      <w:r>
        <w:instrText xml:space="preserve">" </w:instrText>
      </w:r>
      <w:r>
        <w:rPr>
          <w:rFonts w:asciiTheme="majorBidi" w:hAnsiTheme="majorBidi" w:cstheme="majorBidi"/>
          <w:iCs/>
          <w:lang w:val="en-GB"/>
        </w:rPr>
        <w:fldChar w:fldCharType="end"/>
      </w:r>
      <w:r w:rsidRPr="001C4365">
        <w:rPr>
          <w:rFonts w:ascii="Times New Roman" w:hAnsi="Times New Roman"/>
          <w:lang w:val="en-GB"/>
        </w:rPr>
        <w:t xml:space="preserve"> temple dedicated to God Ḫaldi</w:t>
      </w:r>
      <w:r>
        <w:rPr>
          <w:rFonts w:ascii="Times New Roman" w:eastAsia="Calibri" w:hAnsi="Times New Roman" w:cs="Times New Roman"/>
          <w:lang w:val="en-GB"/>
        </w:rPr>
        <w:t xml:space="preserve"> </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Ḫaldi</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1C4365">
        <w:rPr>
          <w:rFonts w:ascii="Times New Roman" w:hAnsi="Times New Roman"/>
          <w:lang w:val="en-GB"/>
        </w:rPr>
        <w:t xml:space="preserve"> and </w:t>
      </w:r>
      <w:r>
        <w:rPr>
          <w:rFonts w:ascii="Times New Roman" w:eastAsia="Calibri" w:hAnsi="Times New Roman" w:cs="Times New Roman"/>
          <w:lang w:val="en-GB"/>
        </w:rPr>
        <w:t>‘</w:t>
      </w:r>
      <w:r w:rsidRPr="001C4365">
        <w:rPr>
          <w:rFonts w:ascii="Times New Roman" w:hAnsi="Times New Roman"/>
          <w:lang w:val="en-GB"/>
        </w:rPr>
        <w:t>Gates of God Ḫaldi</w:t>
      </w:r>
      <w:r>
        <w:rPr>
          <w:rFonts w:ascii="Times New Roman" w:eastAsia="Calibri" w:hAnsi="Times New Roman" w:cs="Times New Roman"/>
          <w:lang w:val="en-GB"/>
        </w:rPr>
        <w:t xml:space="preserve">’ </w:t>
      </w:r>
      <w:r>
        <w:rPr>
          <w:rFonts w:asciiTheme="majorBidi" w:hAnsiTheme="majorBidi" w:cstheme="majorBidi"/>
          <w:iCs/>
          <w:lang w:val="en-GB"/>
        </w:rPr>
        <w:fldChar w:fldCharType="begin"/>
      </w:r>
      <w:r>
        <w:instrText xml:space="preserve"> XE "</w:instrText>
      </w:r>
      <w:r w:rsidRPr="009F22E3">
        <w:rPr>
          <w:rFonts w:asciiTheme="majorBidi" w:eastAsia="Times New Roman" w:hAnsiTheme="majorBidi" w:cstheme="majorBidi"/>
          <w:lang w:val="en-GB"/>
        </w:rPr>
        <w:instrText>God Ḫaldi</w:instrText>
      </w:r>
      <w:r>
        <w:instrText xml:space="preserve">" </w:instrText>
      </w:r>
      <w:r>
        <w:rPr>
          <w:rFonts w:asciiTheme="majorBidi" w:hAnsiTheme="majorBidi" w:cstheme="majorBidi"/>
          <w:iCs/>
          <w:lang w:val="en-GB"/>
        </w:rPr>
        <w:fldChar w:fldCharType="end"/>
      </w:r>
      <w:r w:rsidRPr="001C4365">
        <w:rPr>
          <w:rFonts w:ascii="Times New Roman" w:hAnsi="Times New Roman"/>
          <w:lang w:val="en-GB"/>
        </w:rPr>
        <w:t xml:space="preserve"> was expressed (CTU I. A 4-1). Also, the Minua taramanili (water fountain) built during the reign of Minua</w:t>
      </w:r>
      <w:r w:rsidRPr="00D87AA2">
        <w:rPr>
          <w:rFonts w:ascii="Times New Roman" w:eastAsia="Calibri" w:hAnsi="Times New Roman" w:cs="Times New Roman"/>
          <w:lang w:val="en-GB"/>
        </w:rPr>
        <w:t>,</w:t>
      </w:r>
      <w:r w:rsidRPr="001C4365">
        <w:rPr>
          <w:rFonts w:ascii="Times New Roman" w:hAnsi="Times New Roman"/>
          <w:lang w:val="en-GB"/>
        </w:rPr>
        <w:t xml:space="preserve"> as suggested by its inscription</w:t>
      </w:r>
      <w:r w:rsidRPr="00D87AA2">
        <w:rPr>
          <w:rFonts w:ascii="Times New Roman" w:eastAsia="Calibri" w:hAnsi="Times New Roman" w:cs="Times New Roman"/>
          <w:lang w:val="en-GB"/>
        </w:rPr>
        <w:t>,</w:t>
      </w:r>
      <w:r w:rsidRPr="001C4365">
        <w:rPr>
          <w:rFonts w:ascii="Times New Roman" w:hAnsi="Times New Roman"/>
          <w:lang w:val="en-GB"/>
        </w:rPr>
        <w:t xml:space="preserve"> is located about 450 meters west of Analıkız</w:t>
      </w:r>
      <w:r w:rsidRPr="00D87AA2">
        <w:rPr>
          <w:rFonts w:ascii="Times New Roman" w:eastAsia="Calibri" w:hAnsi="Times New Roman" w:cs="Times New Roman"/>
          <w:lang w:val="en-GB"/>
        </w:rPr>
        <w:t>.</w:t>
      </w:r>
    </w:p>
    <w:p w14:paraId="21D8D9E3" w14:textId="77777777" w:rsidR="00BC2CE3" w:rsidRPr="0023486E" w:rsidRDefault="00BC2CE3" w:rsidP="00BC2CE3">
      <w:pPr>
        <w:spacing w:before="100" w:beforeAutospacing="1" w:after="100" w:afterAutospacing="1"/>
        <w:jc w:val="both"/>
        <w:rPr>
          <w:rFonts w:ascii="Times New Roman" w:hAnsi="Times New Roman"/>
          <w:lang w:val="en-GB"/>
        </w:rPr>
      </w:pPr>
      <w:r w:rsidRPr="00D87AA2">
        <w:rPr>
          <w:rFonts w:ascii="Times New Roman" w:eastAsia="Calibri" w:hAnsi="Times New Roman" w:cs="Times New Roman"/>
          <w:lang w:val="en-GB"/>
        </w:rPr>
        <w:t>In contrast,</w:t>
      </w:r>
      <w:r w:rsidRPr="0023486E">
        <w:rPr>
          <w:rFonts w:ascii="Times New Roman" w:hAnsi="Times New Roman"/>
          <w:lang w:val="en-GB"/>
        </w:rPr>
        <w:t xml:space="preserve"> the Minua</w:t>
      </w:r>
      <w:r>
        <w:rPr>
          <w:rFonts w:ascii="Times New Roman" w:hAnsi="Times New Roman"/>
          <w:lang w:val="en-GB"/>
        </w:rPr>
        <w:fldChar w:fldCharType="begin"/>
      </w:r>
      <w:r>
        <w:instrText xml:space="preserve"> XE "</w:instrText>
      </w:r>
      <w:r w:rsidRPr="00C724E9">
        <w:rPr>
          <w:rFonts w:ascii="Times New Roman" w:hAnsi="Times New Roman"/>
          <w:lang w:val="en-GB"/>
        </w:rPr>
        <w:instrText>Minua</w:instrText>
      </w:r>
      <w:r>
        <w:instrText xml:space="preserve">" </w:instrText>
      </w:r>
      <w:r>
        <w:rPr>
          <w:rFonts w:ascii="Times New Roman" w:hAnsi="Times New Roman"/>
          <w:lang w:val="en-GB"/>
        </w:rPr>
        <w:fldChar w:fldCharType="end"/>
      </w:r>
      <w:r w:rsidRPr="0023486E">
        <w:rPr>
          <w:rFonts w:ascii="Times New Roman" w:hAnsi="Times New Roman"/>
          <w:lang w:val="en-GB"/>
        </w:rPr>
        <w:t xml:space="preserve"> siršini</w:t>
      </w:r>
      <w:r>
        <w:rPr>
          <w:rFonts w:asciiTheme="majorBidi" w:hAnsiTheme="majorBidi" w:cstheme="majorBidi"/>
          <w:i/>
          <w:iCs/>
          <w:lang w:val="en-GB"/>
        </w:rPr>
        <w:fldChar w:fldCharType="begin"/>
      </w:r>
      <w:r>
        <w:instrText xml:space="preserve"> XE "</w:instrText>
      </w:r>
      <w:r w:rsidRPr="00582FC6">
        <w:rPr>
          <w:rFonts w:asciiTheme="majorBidi" w:eastAsia="Times New Roman" w:hAnsiTheme="majorBidi" w:cstheme="majorBidi"/>
          <w:lang w:val="en-GB"/>
        </w:rPr>
        <w:instrText>siršini</w:instrText>
      </w:r>
      <w:r>
        <w:instrText xml:space="preserve">" </w:instrText>
      </w:r>
      <w:r>
        <w:rPr>
          <w:rFonts w:asciiTheme="majorBidi" w:hAnsiTheme="majorBidi" w:cstheme="majorBidi"/>
          <w:i/>
          <w:iCs/>
          <w:lang w:val="en-GB"/>
        </w:rPr>
        <w:fldChar w:fldCharType="end"/>
      </w:r>
      <w:r w:rsidRPr="0023486E">
        <w:rPr>
          <w:rFonts w:ascii="Times New Roman" w:hAnsi="Times New Roman"/>
          <w:lang w:val="en-GB"/>
        </w:rPr>
        <w:t xml:space="preserve"> (stable?) is located at the northern slopes of the fortress, about 950 meters to the west of this area. In contrast to the other constructions in Van Fortress, all three were built on the northern slopes of the fortress, close to the plain level. </w:t>
      </w:r>
      <w:r w:rsidRPr="00D87AA2">
        <w:rPr>
          <w:rFonts w:ascii="Times New Roman" w:eastAsia="Calibri" w:hAnsi="Times New Roman" w:cs="Times New Roman"/>
          <w:lang w:val="en-GB"/>
        </w:rPr>
        <w:t>The</w:t>
      </w:r>
      <w:r w:rsidRPr="0023486E">
        <w:rPr>
          <w:rFonts w:ascii="Times New Roman" w:hAnsi="Times New Roman"/>
          <w:lang w:val="en-GB"/>
        </w:rPr>
        <w:t xml:space="preserve"> locations of the structures dating to the Minua period </w:t>
      </w:r>
      <w:r w:rsidRPr="00D87AA2">
        <w:rPr>
          <w:rFonts w:ascii="Times New Roman" w:eastAsia="Calibri" w:hAnsi="Times New Roman" w:cs="Times New Roman"/>
          <w:lang w:val="en-GB"/>
        </w:rPr>
        <w:t xml:space="preserve">especially </w:t>
      </w:r>
      <w:r w:rsidRPr="0023486E">
        <w:rPr>
          <w:rFonts w:ascii="Times New Roman" w:hAnsi="Times New Roman"/>
          <w:lang w:val="en-GB"/>
        </w:rPr>
        <w:t xml:space="preserve">suggest a clear preference </w:t>
      </w:r>
      <w:r w:rsidRPr="00D87AA2">
        <w:rPr>
          <w:rFonts w:ascii="Times New Roman" w:eastAsia="Calibri" w:hAnsi="Times New Roman" w:cs="Times New Roman"/>
          <w:lang w:val="en-GB"/>
        </w:rPr>
        <w:t>for</w:t>
      </w:r>
      <w:r w:rsidRPr="0023486E">
        <w:rPr>
          <w:rFonts w:ascii="Times New Roman" w:hAnsi="Times New Roman"/>
          <w:lang w:val="en-GB"/>
        </w:rPr>
        <w:t xml:space="preserve"> building activities </w:t>
      </w:r>
      <w:r w:rsidRPr="00D87AA2">
        <w:rPr>
          <w:rFonts w:ascii="Times New Roman" w:eastAsia="Calibri" w:hAnsi="Times New Roman" w:cs="Times New Roman"/>
          <w:lang w:val="en-GB"/>
        </w:rPr>
        <w:t>on</w:t>
      </w:r>
      <w:r w:rsidRPr="0023486E">
        <w:rPr>
          <w:rFonts w:ascii="Times New Roman" w:hAnsi="Times New Roman"/>
          <w:lang w:val="en-GB"/>
        </w:rPr>
        <w:t xml:space="preserve"> the northeastern slopes of the fortress (Genç &amp; Konyar, 2019: 8).</w:t>
      </w:r>
    </w:p>
    <w:p w14:paraId="172B97CF" w14:textId="47DF9859" w:rsidR="00BC2CE3" w:rsidRPr="0023486E" w:rsidRDefault="00BC2CE3" w:rsidP="00BC2CE3">
      <w:pPr>
        <w:spacing w:before="100" w:beforeAutospacing="1" w:after="100" w:afterAutospacing="1"/>
        <w:jc w:val="both"/>
        <w:rPr>
          <w:rFonts w:ascii="Times New Roman" w:hAnsi="Times New Roman"/>
          <w:lang w:val="en-GB"/>
        </w:rPr>
      </w:pPr>
      <w:r w:rsidRPr="0023486E">
        <w:rPr>
          <w:rFonts w:ascii="Times New Roman" w:hAnsi="Times New Roman"/>
          <w:lang w:val="en-GB"/>
        </w:rPr>
        <w:t xml:space="preserve">The general structural </w:t>
      </w:r>
      <w:r w:rsidRPr="00D87AA2">
        <w:rPr>
          <w:rFonts w:ascii="Times New Roman" w:eastAsia="Calibri" w:hAnsi="Times New Roman" w:cs="Times New Roman"/>
          <w:lang w:val="en-GB"/>
        </w:rPr>
        <w:t>features</w:t>
      </w:r>
      <w:r w:rsidRPr="0023486E">
        <w:rPr>
          <w:rFonts w:ascii="Times New Roman" w:hAnsi="Times New Roman"/>
          <w:lang w:val="en-GB"/>
        </w:rPr>
        <w:t xml:space="preserve"> of the area </w:t>
      </w:r>
      <w:r w:rsidRPr="00D87AA2">
        <w:rPr>
          <w:rFonts w:ascii="Times New Roman" w:eastAsia="Calibri" w:hAnsi="Times New Roman" w:cs="Times New Roman"/>
          <w:lang w:val="en-GB"/>
        </w:rPr>
        <w:t>suggest</w:t>
      </w:r>
      <w:r w:rsidRPr="0023486E">
        <w:rPr>
          <w:rFonts w:ascii="Times New Roman" w:hAnsi="Times New Roman"/>
          <w:lang w:val="en-GB"/>
        </w:rPr>
        <w:t xml:space="preserve"> that it was </w:t>
      </w:r>
      <w:r w:rsidRPr="00D87AA2">
        <w:rPr>
          <w:rFonts w:ascii="Times New Roman" w:eastAsia="Calibri" w:hAnsi="Times New Roman" w:cs="Times New Roman"/>
          <w:lang w:val="en-GB"/>
        </w:rPr>
        <w:t>constructed in stages over</w:t>
      </w:r>
      <w:r w:rsidRPr="0023486E">
        <w:rPr>
          <w:rFonts w:ascii="Times New Roman" w:hAnsi="Times New Roman"/>
          <w:lang w:val="en-GB"/>
        </w:rPr>
        <w:t xml:space="preserve"> different </w:t>
      </w:r>
      <w:r w:rsidRPr="00D87AA2">
        <w:rPr>
          <w:rFonts w:ascii="Times New Roman" w:eastAsia="Calibri" w:hAnsi="Times New Roman" w:cs="Times New Roman"/>
          <w:lang w:val="en-GB"/>
        </w:rPr>
        <w:t xml:space="preserve">periods. </w:t>
      </w:r>
      <w:r w:rsidRPr="0023486E">
        <w:rPr>
          <w:rFonts w:ascii="Times New Roman" w:hAnsi="Times New Roman"/>
          <w:lang w:val="en-GB"/>
        </w:rPr>
        <w:t xml:space="preserve">The structural </w:t>
      </w:r>
      <w:r w:rsidRPr="00D87AA2">
        <w:rPr>
          <w:rFonts w:ascii="Times New Roman" w:eastAsia="Calibri" w:hAnsi="Times New Roman" w:cs="Times New Roman"/>
          <w:lang w:val="en-GB"/>
        </w:rPr>
        <w:t>elements</w:t>
      </w:r>
      <w:r w:rsidRPr="0023486E">
        <w:rPr>
          <w:rFonts w:ascii="Times New Roman" w:hAnsi="Times New Roman"/>
          <w:lang w:val="en-GB"/>
        </w:rPr>
        <w:t xml:space="preserve"> of the eastern and western niches</w:t>
      </w:r>
      <w:r w:rsidRPr="00D87AA2">
        <w:rPr>
          <w:rFonts w:ascii="Times New Roman" w:eastAsia="Calibri" w:hAnsi="Times New Roman" w:cs="Times New Roman"/>
          <w:lang w:val="en-GB"/>
        </w:rPr>
        <w:t>, as well as</w:t>
      </w:r>
      <w:r w:rsidRPr="0023486E">
        <w:rPr>
          <w:rFonts w:ascii="Times New Roman" w:hAnsi="Times New Roman"/>
          <w:lang w:val="en-GB"/>
        </w:rPr>
        <w:t xml:space="preserve"> the </w:t>
      </w:r>
      <w:r w:rsidRPr="00D87AA2">
        <w:rPr>
          <w:rFonts w:ascii="Times New Roman" w:eastAsia="Calibri" w:hAnsi="Times New Roman" w:cs="Times New Roman"/>
          <w:lang w:val="en-GB"/>
        </w:rPr>
        <w:t xml:space="preserve">surrounding </w:t>
      </w:r>
      <w:r w:rsidRPr="0023486E">
        <w:rPr>
          <w:rFonts w:ascii="Times New Roman" w:hAnsi="Times New Roman"/>
          <w:lang w:val="en-GB"/>
        </w:rPr>
        <w:t>areas</w:t>
      </w:r>
      <w:r w:rsidRPr="00D87AA2">
        <w:rPr>
          <w:rFonts w:ascii="Times New Roman" w:eastAsia="Calibri" w:hAnsi="Times New Roman" w:cs="Times New Roman"/>
          <w:lang w:val="en-GB"/>
        </w:rPr>
        <w:t xml:space="preserve">, indicate </w:t>
      </w:r>
      <w:r w:rsidRPr="0023486E">
        <w:rPr>
          <w:rFonts w:ascii="Times New Roman" w:hAnsi="Times New Roman"/>
          <w:lang w:val="en-GB"/>
        </w:rPr>
        <w:t xml:space="preserve">two </w:t>
      </w:r>
      <w:r w:rsidRPr="00D87AA2">
        <w:rPr>
          <w:rFonts w:ascii="Times New Roman" w:eastAsia="Calibri" w:hAnsi="Times New Roman" w:cs="Times New Roman"/>
          <w:lang w:val="en-GB"/>
        </w:rPr>
        <w:t>separate construction phases. Looking at</w:t>
      </w:r>
      <w:r w:rsidRPr="0023486E">
        <w:rPr>
          <w:rFonts w:ascii="Times New Roman" w:hAnsi="Times New Roman"/>
          <w:lang w:val="en-GB"/>
        </w:rPr>
        <w:t xml:space="preserve"> the eastern niche with the inscription inside</w:t>
      </w:r>
      <w:r w:rsidRPr="00D87AA2">
        <w:rPr>
          <w:rFonts w:ascii="Times New Roman" w:eastAsia="Calibri" w:hAnsi="Times New Roman" w:cs="Times New Roman"/>
          <w:lang w:val="en-GB"/>
        </w:rPr>
        <w:t>, in</w:t>
      </w:r>
      <w:r w:rsidRPr="0023486E">
        <w:rPr>
          <w:rFonts w:ascii="Times New Roman" w:hAnsi="Times New Roman"/>
          <w:lang w:val="en-GB"/>
        </w:rPr>
        <w:t xml:space="preserve"> the context of the </w:t>
      </w:r>
      <w:r w:rsidRPr="00D87AA2">
        <w:rPr>
          <w:rFonts w:ascii="Times New Roman" w:eastAsia="Calibri" w:hAnsi="Times New Roman" w:cs="Times New Roman"/>
          <w:lang w:val="en-GB"/>
        </w:rPr>
        <w:t xml:space="preserve">idea above, </w:t>
      </w:r>
      <w:r w:rsidRPr="0023486E">
        <w:rPr>
          <w:rFonts w:ascii="Times New Roman" w:hAnsi="Times New Roman"/>
          <w:lang w:val="en-GB"/>
        </w:rPr>
        <w:t xml:space="preserve">it </w:t>
      </w:r>
      <w:r w:rsidRPr="00D87AA2">
        <w:rPr>
          <w:rFonts w:ascii="Times New Roman" w:eastAsia="Calibri" w:hAnsi="Times New Roman" w:cs="Times New Roman"/>
          <w:lang w:val="en-GB"/>
        </w:rPr>
        <w:t>seems likely</w:t>
      </w:r>
      <w:r w:rsidRPr="0023486E">
        <w:rPr>
          <w:rFonts w:ascii="Times New Roman" w:hAnsi="Times New Roman"/>
          <w:lang w:val="en-GB"/>
        </w:rPr>
        <w:t xml:space="preserve"> that the eastern niche and the </w:t>
      </w:r>
      <w:r w:rsidRPr="00D87AA2">
        <w:rPr>
          <w:rFonts w:ascii="Times New Roman" w:eastAsia="Calibri" w:hAnsi="Times New Roman" w:cs="Times New Roman"/>
          <w:lang w:val="en-GB"/>
        </w:rPr>
        <w:t xml:space="preserve">surrounding </w:t>
      </w:r>
      <w:r w:rsidRPr="0023486E">
        <w:rPr>
          <w:rFonts w:ascii="Times New Roman" w:hAnsi="Times New Roman"/>
          <w:lang w:val="en-GB"/>
        </w:rPr>
        <w:t xml:space="preserve">area were </w:t>
      </w:r>
      <w:r w:rsidRPr="00D87AA2">
        <w:rPr>
          <w:rFonts w:ascii="Times New Roman" w:eastAsia="Calibri" w:hAnsi="Times New Roman" w:cs="Times New Roman"/>
          <w:lang w:val="en-GB"/>
        </w:rPr>
        <w:t>built</w:t>
      </w:r>
      <w:r w:rsidRPr="0023486E">
        <w:rPr>
          <w:rFonts w:ascii="Times New Roman" w:hAnsi="Times New Roman"/>
          <w:lang w:val="en-GB"/>
        </w:rPr>
        <w:t xml:space="preserve"> first. In this case, as emphasized above, we may propose that the </w:t>
      </w:r>
      <w:r w:rsidRPr="00D87AA2">
        <w:rPr>
          <w:rFonts w:ascii="Times New Roman" w:eastAsia="Calibri" w:hAnsi="Times New Roman" w:cs="Times New Roman"/>
          <w:lang w:val="en-GB"/>
        </w:rPr>
        <w:t xml:space="preserve">area's </w:t>
      </w:r>
      <w:r w:rsidRPr="0023486E">
        <w:rPr>
          <w:rFonts w:ascii="Times New Roman" w:hAnsi="Times New Roman"/>
          <w:lang w:val="en-GB"/>
        </w:rPr>
        <w:t>construction began during the reign of Minua</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3486E">
        <w:rPr>
          <w:rFonts w:ascii="Times New Roman" w:hAnsi="Times New Roman"/>
          <w:lang w:val="en-GB"/>
        </w:rPr>
        <w:t>or Argišti I</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i/>
          <w:iCs/>
          <w:lang w:val="en-GB"/>
        </w:rPr>
        <w:instrText xml:space="preserve"> </w:instrText>
      </w:r>
      <w:r w:rsidRPr="00F03A26">
        <w:rPr>
          <w:rFonts w:asciiTheme="majorBidi" w:hAnsiTheme="majorBidi" w:cstheme="majorBidi"/>
          <w:lang w:val="en-GB"/>
        </w:rPr>
        <w:instrText xml:space="preserve">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3486E">
        <w:rPr>
          <w:rFonts w:ascii="Times New Roman" w:hAnsi="Times New Roman"/>
          <w:lang w:val="en-GB"/>
        </w:rPr>
        <w:t>for the inscription of the chronicles. Later</w:t>
      </w:r>
      <w:r w:rsidRPr="00D87AA2">
        <w:rPr>
          <w:rFonts w:ascii="Times New Roman" w:eastAsia="Calibri" w:hAnsi="Times New Roman" w:cs="Times New Roman"/>
          <w:lang w:val="en-GB"/>
        </w:rPr>
        <w:t>,</w:t>
      </w:r>
      <w:r w:rsidRPr="0023486E">
        <w:rPr>
          <w:rFonts w:ascii="Times New Roman" w:hAnsi="Times New Roman"/>
          <w:lang w:val="en-GB"/>
        </w:rPr>
        <w:t xml:space="preserve"> during Sarduri II</w:t>
      </w:r>
      <w:r w:rsidRPr="00D87AA2">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3486E">
        <w:rPr>
          <w:rFonts w:ascii="Times New Roman" w:hAnsi="Times New Roman"/>
          <w:lang w:val="en-GB"/>
        </w:rPr>
        <w:t xml:space="preserve"> the area was expanded westwards, and the façade was cascaded backward </w:t>
      </w:r>
      <w:r w:rsidRPr="00D87AA2">
        <w:rPr>
          <w:rFonts w:ascii="Times New Roman" w:eastAsia="Calibri" w:hAnsi="Times New Roman" w:cs="Times New Roman"/>
          <w:lang w:val="en-GB"/>
        </w:rPr>
        <w:t>to construct</w:t>
      </w:r>
      <w:r w:rsidRPr="0023486E">
        <w:rPr>
          <w:rFonts w:ascii="Times New Roman" w:hAnsi="Times New Roman"/>
          <w:lang w:val="en-GB"/>
        </w:rPr>
        <w:t xml:space="preserve"> the western niche. Due to the topography of the area, the platform in front of the niche is cascaded and narrows down towards the west (Fig. 26). These data </w:t>
      </w:r>
      <w:r w:rsidRPr="00D87AA2">
        <w:rPr>
          <w:rFonts w:ascii="Times New Roman" w:eastAsia="Calibri" w:hAnsi="Times New Roman" w:cs="Times New Roman"/>
          <w:lang w:val="en-GB"/>
        </w:rPr>
        <w:t>suggest</w:t>
      </w:r>
      <w:r w:rsidRPr="0023486E">
        <w:rPr>
          <w:rFonts w:ascii="Times New Roman" w:hAnsi="Times New Roman"/>
          <w:lang w:val="en-GB"/>
        </w:rPr>
        <w:t xml:space="preserve"> two different construction phases during the Urartian</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3486E">
        <w:rPr>
          <w:rFonts w:ascii="Times New Roman" w:hAnsi="Times New Roman"/>
          <w:lang w:val="en-GB"/>
        </w:rPr>
        <w:t>period at Hazine Kapısı/Analıkız</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w:t>
      </w:r>
    </w:p>
    <w:p w14:paraId="7E6B9878"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inline distT="0" distB="0" distL="0" distR="0" wp14:anchorId="2EDB8A3D" wp14:editId="37531D61">
            <wp:extent cx="3657599" cy="5486400"/>
            <wp:effectExtent l="0" t="0" r="635" b="0"/>
            <wp:docPr id="254" name="Resim 254" descr="dış mekan, yer, gökyüzü,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Resim 254" descr="dış mekan, yer, gökyüzü, dip kaya içeren bir resim&#10;&#10;Açıklama otomatik olarak oluşturuldu"/>
                    <pic:cNvPicPr/>
                  </pic:nvPicPr>
                  <pic:blipFill>
                    <a:blip r:embed="rId349" cstate="email">
                      <a:extLst>
                        <a:ext uri="{28A0092B-C50C-407E-A947-70E740481C1C}">
                          <a14:useLocalDpi xmlns:a14="http://schemas.microsoft.com/office/drawing/2010/main"/>
                        </a:ext>
                      </a:extLst>
                    </a:blip>
                    <a:stretch>
                      <a:fillRect/>
                    </a:stretch>
                  </pic:blipFill>
                  <pic:spPr>
                    <a:xfrm>
                      <a:off x="0" y="0"/>
                      <a:ext cx="3676023" cy="5514036"/>
                    </a:xfrm>
                    <a:prstGeom prst="rect">
                      <a:avLst/>
                    </a:prstGeom>
                  </pic:spPr>
                </pic:pic>
              </a:graphicData>
            </a:graphic>
          </wp:inline>
        </w:drawing>
      </w:r>
    </w:p>
    <w:p w14:paraId="00C51D3F"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26 Area in front of the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western niche and the bench lying towards west.</w:t>
      </w:r>
    </w:p>
    <w:p w14:paraId="24FFB1B6" w14:textId="77777777" w:rsidR="00BC2CE3" w:rsidRPr="0023486E" w:rsidRDefault="00BC2CE3" w:rsidP="00BC2CE3">
      <w:pPr>
        <w:spacing w:before="100" w:beforeAutospacing="1" w:after="100" w:afterAutospacing="1"/>
        <w:jc w:val="both"/>
        <w:rPr>
          <w:rFonts w:ascii="Times New Roman" w:hAnsi="Times New Roman"/>
          <w:lang w:val="en-GB"/>
        </w:rPr>
      </w:pPr>
      <w:r w:rsidRPr="0023486E">
        <w:rPr>
          <w:rFonts w:ascii="Times New Roman" w:hAnsi="Times New Roman"/>
          <w:lang w:val="en-GB"/>
        </w:rPr>
        <w:t>In this case, the lack of a third niche belonging to Argišti I</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i/>
          <w:iCs/>
          <w:lang w:val="en-GB"/>
        </w:rPr>
        <w:instrText xml:space="preserve"> </w:instrText>
      </w:r>
      <w:r w:rsidRPr="00F03A26">
        <w:rPr>
          <w:rFonts w:asciiTheme="majorBidi" w:hAnsiTheme="majorBidi" w:cstheme="majorBidi"/>
          <w:lang w:val="en-GB"/>
        </w:rPr>
        <w:instrText xml:space="preserve">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3486E">
        <w:rPr>
          <w:rFonts w:ascii="Times New Roman" w:hAnsi="Times New Roman"/>
          <w:lang w:val="en-GB"/>
        </w:rPr>
        <w:t>at Hazine Kapısı/Analıkız</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3486E">
        <w:rPr>
          <w:rFonts w:ascii="Times New Roman" w:hAnsi="Times New Roman"/>
          <w:lang w:val="en-GB"/>
        </w:rPr>
        <w:t>could be questioned. Argišti I placed the Surp Sahak obelisks (CTU I. A 8-1, A 8-2) that were a duplicate of the Horhor</w:t>
      </w:r>
      <w:r w:rsidRPr="00D87AA2">
        <w:rPr>
          <w:rFonts w:ascii="Times New Roman" w:eastAsia="Calibri" w:hAnsi="Times New Roman" w:cs="Times New Roman"/>
          <w:lang w:val="en-GB"/>
        </w:rPr>
        <w:t xml:space="preserve"> may chronicle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chronicles </w:t>
      </w:r>
      <w:r w:rsidRPr="0023486E">
        <w:rPr>
          <w:rFonts w:ascii="Times New Roman" w:hAnsi="Times New Roman"/>
          <w:lang w:val="en-GB"/>
        </w:rPr>
        <w:t xml:space="preserve">in the area where his father </w:t>
      </w:r>
      <w:r w:rsidRPr="00D87AA2">
        <w:rPr>
          <w:rFonts w:ascii="Times New Roman" w:eastAsia="Calibri" w:hAnsi="Times New Roman" w:cs="Times New Roman"/>
          <w:lang w:val="en-GB"/>
        </w:rPr>
        <w:t>Minua’s</w:t>
      </w:r>
      <w:r>
        <w:rPr>
          <w:rFonts w:asciiTheme="majorBidi" w:hAnsiTheme="majorBidi" w:cstheme="majorBidi"/>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23486E">
        <w:rPr>
          <w:rFonts w:ascii="Times New Roman" w:hAnsi="Times New Roman"/>
          <w:lang w:val="en-GB"/>
        </w:rPr>
        <w:t xml:space="preserve"> chronicles were </w:t>
      </w:r>
      <w:r w:rsidRPr="00D87AA2">
        <w:rPr>
          <w:rFonts w:ascii="Times New Roman" w:eastAsia="Calibri" w:hAnsi="Times New Roman" w:cs="Times New Roman"/>
          <w:lang w:val="en-GB"/>
        </w:rPr>
        <w:t xml:space="preserve">also </w:t>
      </w:r>
      <w:r w:rsidRPr="0023486E">
        <w:rPr>
          <w:rFonts w:ascii="Times New Roman" w:hAnsi="Times New Roman"/>
          <w:lang w:val="en-GB"/>
        </w:rPr>
        <w:t xml:space="preserve">located. The remaining few stelae belonging to the chronicles of Minua and Argišti I most probably faced the same treatment during the Medieval times. Future excavations at the nearby </w:t>
      </w:r>
      <w:r>
        <w:rPr>
          <w:rFonts w:asciiTheme="majorBidi" w:hAnsiTheme="majorBidi" w:cstheme="majorBidi"/>
          <w:lang w:val="en-GB"/>
        </w:rPr>
        <w:t>Old</w:t>
      </w:r>
      <w:r w:rsidRPr="0023486E">
        <w:rPr>
          <w:rFonts w:ascii="Times New Roman" w:hAnsi="Times New Roman"/>
          <w:lang w:val="en-GB"/>
        </w:rPr>
        <w:t xml:space="preserve"> Van </w:t>
      </w:r>
      <w:r>
        <w:rPr>
          <w:rFonts w:asciiTheme="majorBidi" w:hAnsiTheme="majorBidi" w:cstheme="majorBidi"/>
          <w:lang w:val="en-GB"/>
        </w:rPr>
        <w:t>City</w:t>
      </w:r>
      <w:r>
        <w:rPr>
          <w:rFonts w:asciiTheme="majorBidi" w:hAnsiTheme="majorBidi" w:cstheme="majorBidi"/>
          <w:lang w:val="en-GB"/>
        </w:rPr>
        <w:fldChar w:fldCharType="begin"/>
      </w:r>
      <w:r>
        <w:instrText xml:space="preserve"> XE "</w:instrText>
      </w:r>
      <w:r w:rsidRPr="00613193">
        <w:rPr>
          <w:rFonts w:asciiTheme="majorBidi" w:hAnsiTheme="majorBidi" w:cstheme="majorBidi"/>
        </w:rPr>
        <w:instrText>Old Van City</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 xml:space="preserve"> </w:t>
      </w:r>
      <w:r w:rsidRPr="0023486E">
        <w:rPr>
          <w:rFonts w:ascii="Times New Roman" w:hAnsi="Times New Roman"/>
          <w:lang w:val="en-GB"/>
        </w:rPr>
        <w:t>could reveal further examples of</w:t>
      </w:r>
      <w:r w:rsidRPr="00D87AA2">
        <w:rPr>
          <w:rFonts w:ascii="Times New Roman" w:eastAsia="Calibri" w:hAnsi="Times New Roman" w:cs="Times New Roman"/>
          <w:lang w:val="en-GB"/>
        </w:rPr>
        <w:t xml:space="preserve"> using</w:t>
      </w:r>
      <w:r w:rsidRPr="0023486E">
        <w:rPr>
          <w:rFonts w:ascii="Times New Roman" w:hAnsi="Times New Roman"/>
          <w:lang w:val="en-GB"/>
        </w:rPr>
        <w:t xml:space="preserve"> such inscribed stone blocks in construction activities during later periods.</w:t>
      </w:r>
    </w:p>
    <w:p w14:paraId="005152F6"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noProof/>
        </w:rPr>
        <w:lastRenderedPageBreak/>
        <w:drawing>
          <wp:inline distT="0" distB="0" distL="0" distR="0" wp14:anchorId="0A9AD634" wp14:editId="711832B3">
            <wp:extent cx="5270500" cy="3952875"/>
            <wp:effectExtent l="0" t="0" r="0" b="0"/>
            <wp:docPr id="255" name="Resim 255" descr="dış mekan, seyahat etm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descr="dış mekan, seyahat etme içeren bir resim&#10;&#10;Açıklama otomatik olarak oluşturuldu"/>
                    <pic:cNvPicPr/>
                  </pic:nvPicPr>
                  <pic:blipFill>
                    <a:blip r:embed="rId350" cstate="email">
                      <a:extLst>
                        <a:ext uri="{28A0092B-C50C-407E-A947-70E740481C1C}">
                          <a14:useLocalDpi xmlns:a14="http://schemas.microsoft.com/office/drawing/2010/main"/>
                        </a:ext>
                      </a:extLst>
                    </a:blip>
                    <a:stretch>
                      <a:fillRect/>
                    </a:stretch>
                  </pic:blipFill>
                  <pic:spPr>
                    <a:xfrm>
                      <a:off x="0" y="0"/>
                      <a:ext cx="5270500" cy="3952875"/>
                    </a:xfrm>
                    <a:prstGeom prst="rect">
                      <a:avLst/>
                    </a:prstGeom>
                  </pic:spPr>
                </pic:pic>
              </a:graphicData>
            </a:graphic>
          </wp:inline>
        </w:drawing>
      </w:r>
    </w:p>
    <w:p w14:paraId="4AE85D0E" w14:textId="77777777" w:rsidR="00BC2CE3" w:rsidRPr="00C724E9" w:rsidRDefault="00BC2CE3" w:rsidP="00BC2CE3">
      <w:pPr>
        <w:spacing w:before="100" w:beforeAutospacing="1" w:after="100" w:afterAutospacing="1"/>
        <w:jc w:val="both"/>
        <w:rPr>
          <w:rFonts w:ascii="Times New Roman" w:hAnsi="Times New Roman"/>
          <w:lang w:val="en-GB"/>
        </w:rPr>
      </w:pPr>
      <w:r w:rsidRPr="00C724E9">
        <w:rPr>
          <w:rFonts w:ascii="Times New Roman" w:hAnsi="Times New Roman"/>
          <w:lang w:val="en-GB"/>
        </w:rPr>
        <w:t>Fig. 27 Wall foundation beds carved into the bedrock north and west of Analıkız</w:t>
      </w:r>
      <w:r w:rsidRPr="00C724E9">
        <w:rPr>
          <w:rFonts w:ascii="Times New Roman" w:hAnsi="Times New Roman"/>
          <w:lang w:val="en-GB"/>
        </w:rPr>
        <w:fldChar w:fldCharType="begin"/>
      </w:r>
      <w:r w:rsidRPr="00C724E9">
        <w:rPr>
          <w:rFonts w:ascii="Calibri" w:hAnsi="Calibri"/>
          <w:lang w:val="en-GB"/>
        </w:rPr>
        <w:instrText xml:space="preserve"> XE "</w:instrText>
      </w:r>
      <w:r w:rsidRPr="00C724E9">
        <w:rPr>
          <w:rFonts w:ascii="Times New Roman" w:hAnsi="Times New Roman"/>
          <w:lang w:val="en-GB"/>
        </w:rPr>
        <w:instrText>Analıkız</w:instrText>
      </w:r>
      <w:r w:rsidRPr="00C724E9">
        <w:rPr>
          <w:rFonts w:ascii="Calibri" w:hAnsi="Calibri"/>
          <w:lang w:val="en-GB"/>
        </w:rPr>
        <w:instrText xml:space="preserve">" </w:instrText>
      </w:r>
      <w:r w:rsidRPr="00C724E9">
        <w:rPr>
          <w:rFonts w:ascii="Times New Roman" w:hAnsi="Times New Roman"/>
          <w:lang w:val="en-GB"/>
        </w:rPr>
        <w:fldChar w:fldCharType="end"/>
      </w:r>
      <w:r w:rsidRPr="00C724E9">
        <w:rPr>
          <w:rFonts w:ascii="Times New Roman" w:hAnsi="Times New Roman"/>
          <w:lang w:val="en-GB"/>
        </w:rPr>
        <w:t xml:space="preserve"> area.</w:t>
      </w:r>
    </w:p>
    <w:p w14:paraId="4F46AE54" w14:textId="3CCC37B1" w:rsidR="00BC2CE3" w:rsidRPr="00C724E9" w:rsidRDefault="00BC2CE3" w:rsidP="00BC2CE3">
      <w:pPr>
        <w:keepNext/>
        <w:keepLines/>
        <w:spacing w:before="320" w:after="80" w:line="276" w:lineRule="auto"/>
        <w:jc w:val="both"/>
        <w:outlineLvl w:val="2"/>
        <w:rPr>
          <w:rFonts w:ascii="Times New Roman" w:hAnsi="Times New Roman"/>
          <w:lang w:val="en-GB"/>
        </w:rPr>
      </w:pPr>
      <w:bookmarkStart w:id="165" w:name="_Toc173231256"/>
      <w:r w:rsidRPr="00C724E9">
        <w:rPr>
          <w:rFonts w:ascii="Times New Roman" w:hAnsi="Times New Roman"/>
          <w:lang w:val="en-GB"/>
        </w:rPr>
        <w:lastRenderedPageBreak/>
        <w:t>The stelae from Hazine Kapısı/Analıkız</w:t>
      </w:r>
      <w:r w:rsidRPr="001C4365">
        <w:rPr>
          <w:rFonts w:ascii="Times New Roman" w:eastAsia="Calibri" w:hAnsi="Times New Roman" w:cs="Times New Roman"/>
          <w:lang w:val="en-GB"/>
        </w:rPr>
        <w:t> </w:t>
      </w:r>
      <w:r w:rsidRPr="001C4365">
        <w:rPr>
          <w:rFonts w:asciiTheme="majorBidi" w:hAnsiTheme="majorBidi" w:cstheme="majorBidi"/>
          <w:lang w:val="en-GB"/>
        </w:rPr>
        <w:fldChar w:fldCharType="begin"/>
      </w:r>
      <w:r w:rsidRPr="001C4365">
        <w:rPr>
          <w:rFonts w:asciiTheme="majorBidi" w:hAnsiTheme="majorBidi" w:cstheme="majorBidi"/>
          <w:lang w:val="en-GB"/>
        </w:rPr>
        <w:instrText xml:space="preserve"> XE "Analıkız" </w:instrText>
      </w:r>
      <w:r w:rsidRPr="001C4365">
        <w:rPr>
          <w:rFonts w:asciiTheme="majorBidi" w:hAnsiTheme="majorBidi" w:cstheme="majorBidi"/>
          <w:lang w:val="en-GB"/>
        </w:rPr>
        <w:fldChar w:fldCharType="end"/>
      </w:r>
      <w:r w:rsidRPr="001C4365">
        <w:rPr>
          <w:rFonts w:asciiTheme="majorBidi" w:hAnsiTheme="majorBidi" w:cstheme="majorBidi"/>
          <w:lang w:val="en-GB"/>
        </w:rPr>
        <w:t xml:space="preserve"> </w:t>
      </w:r>
      <w:r w:rsidRPr="00C724E9">
        <w:rPr>
          <w:rFonts w:ascii="Times New Roman" w:hAnsi="Times New Roman"/>
          <w:lang w:val="en-GB"/>
        </w:rPr>
        <w:t>differ from the so far</w:t>
      </w:r>
      <w:r w:rsidRPr="001C4365">
        <w:rPr>
          <w:rFonts w:ascii="Times New Roman" w:eastAsia="Calibri" w:hAnsi="Times New Roman" w:cs="Times New Roman"/>
          <w:lang w:val="en-GB"/>
        </w:rPr>
        <w:t>-</w:t>
      </w:r>
      <w:r w:rsidRPr="00C724E9">
        <w:rPr>
          <w:rFonts w:ascii="Times New Roman" w:hAnsi="Times New Roman"/>
          <w:lang w:val="en-GB"/>
        </w:rPr>
        <w:t>known stelae in the sense that they were inscribed on all four sides and their design. Their presence in the citadel, the cuneiform texts and contents, and unique designs adhere closely to the obelisk tradition known from the citadel of the capital of Assyrian</w:t>
      </w:r>
      <w:r w:rsidRPr="001C4365">
        <w:rPr>
          <w:rFonts w:ascii="Times New Roman" w:eastAsia="Calibri" w:hAnsi="Times New Roman" w:cs="Times New Roman"/>
          <w:lang w:val="en-GB"/>
        </w:rPr>
        <w:t> </w:t>
      </w:r>
      <w:r w:rsidRPr="001C4365">
        <w:rPr>
          <w:rFonts w:asciiTheme="majorBidi" w:hAnsiTheme="majorBidi" w:cstheme="majorBidi"/>
          <w:lang w:val="en-GB"/>
        </w:rPr>
        <w:fldChar w:fldCharType="begin"/>
      </w:r>
      <w:r w:rsidRPr="001C4365">
        <w:rPr>
          <w:rFonts w:asciiTheme="majorBidi" w:hAnsiTheme="majorBidi" w:cstheme="majorBidi"/>
          <w:lang w:val="en-GB"/>
        </w:rPr>
        <w:instrText xml:space="preserve"> XE "Assyrian" </w:instrText>
      </w:r>
      <w:r w:rsidRPr="001C4365">
        <w:rPr>
          <w:rFonts w:asciiTheme="majorBidi" w:hAnsiTheme="majorBidi" w:cstheme="majorBidi"/>
          <w:lang w:val="en-GB"/>
        </w:rPr>
        <w:fldChar w:fldCharType="end"/>
      </w:r>
      <w:r w:rsidRPr="001C4365">
        <w:rPr>
          <w:rFonts w:asciiTheme="majorBidi" w:hAnsiTheme="majorBidi" w:cstheme="majorBidi"/>
          <w:lang w:val="en-GB"/>
        </w:rPr>
        <w:t xml:space="preserve"> </w:t>
      </w:r>
      <w:r w:rsidRPr="00C724E9">
        <w:rPr>
          <w:rFonts w:ascii="Times New Roman" w:hAnsi="Times New Roman"/>
          <w:lang w:val="en-GB"/>
        </w:rPr>
        <w:t xml:space="preserve">(Genç, 2019: 231-240). </w:t>
      </w:r>
      <w:r w:rsidRPr="001C4365">
        <w:rPr>
          <w:rFonts w:ascii="Times New Roman" w:eastAsia="Calibri" w:hAnsi="Times New Roman" w:cs="Times New Roman"/>
          <w:lang w:val="en-GB"/>
        </w:rPr>
        <w:t>A</w:t>
      </w:r>
      <w:r w:rsidRPr="00C724E9">
        <w:rPr>
          <w:rFonts w:ascii="Times New Roman" w:hAnsi="Times New Roman"/>
          <w:lang w:val="en-GB"/>
        </w:rPr>
        <w:t xml:space="preserve"> comparison with the New Assyrian kingdom would be worthwhile</w:t>
      </w:r>
      <w:r w:rsidRPr="001C4365">
        <w:rPr>
          <w:rFonts w:ascii="Times New Roman" w:eastAsia="Calibri" w:hAnsi="Times New Roman" w:cs="Times New Roman"/>
          <w:lang w:val="en-GB"/>
        </w:rPr>
        <w:t xml:space="preserve"> in this context.</w:t>
      </w:r>
      <w:r>
        <w:rPr>
          <w:rFonts w:asciiTheme="majorBidi" w:hAnsiTheme="majorBidi" w:cstheme="majorBidi"/>
          <w:lang w:val="en-GB"/>
        </w:rPr>
        <w:t xml:space="preserve"> </w:t>
      </w:r>
      <w:r w:rsidRPr="00C724E9">
        <w:rPr>
          <w:rFonts w:ascii="Times New Roman" w:hAnsi="Times New Roman"/>
          <w:lang w:val="en-GB"/>
        </w:rPr>
        <w:t>The “Rassam Obelisk” belonging to Ashurnasirpal II</w:t>
      </w:r>
      <w:r w:rsidRPr="001C4365">
        <w:rPr>
          <w:rFonts w:ascii="Times New Roman" w:eastAsia="Calibri" w:hAnsi="Times New Roman" w:cs="Times New Roman"/>
          <w:lang w:val="en-GB"/>
        </w:rPr>
        <w:t> </w:t>
      </w:r>
      <w:r w:rsidRPr="001C4365">
        <w:rPr>
          <w:rFonts w:asciiTheme="majorBidi" w:hAnsiTheme="majorBidi" w:cstheme="majorBidi"/>
          <w:lang w:val="en-GB"/>
        </w:rPr>
        <w:fldChar w:fldCharType="begin"/>
      </w:r>
      <w:r w:rsidRPr="001C4365">
        <w:rPr>
          <w:rFonts w:asciiTheme="majorBidi" w:hAnsiTheme="majorBidi" w:cstheme="majorBidi"/>
          <w:lang w:val="en-GB"/>
        </w:rPr>
        <w:instrText xml:space="preserve"> XE "</w:instrText>
      </w:r>
      <w:r w:rsidRPr="001C4365">
        <w:rPr>
          <w:rStyle w:val="Vurgu"/>
          <w:rFonts w:asciiTheme="majorBidi" w:hAnsiTheme="majorBidi" w:cstheme="majorBidi"/>
          <w:i w:val="0"/>
          <w:iCs w:val="0"/>
          <w:shd w:val="clear" w:color="auto" w:fill="FFFFFF"/>
          <w:lang w:val="en-GB"/>
        </w:rPr>
        <w:instrText>Ashurnasirpal</w:instrText>
      </w:r>
      <w:r w:rsidRPr="001C4365">
        <w:rPr>
          <w:rFonts w:asciiTheme="majorBidi" w:hAnsiTheme="majorBidi" w:cstheme="majorBidi"/>
          <w:lang w:val="en-GB"/>
        </w:rPr>
        <w:instrText xml:space="preserve"> II" </w:instrText>
      </w:r>
      <w:r w:rsidRPr="001C4365">
        <w:rPr>
          <w:rFonts w:asciiTheme="majorBidi" w:hAnsiTheme="majorBidi" w:cstheme="majorBidi"/>
          <w:lang w:val="en-GB"/>
        </w:rPr>
        <w:fldChar w:fldCharType="end"/>
      </w:r>
      <w:r w:rsidRPr="001C4365">
        <w:rPr>
          <w:rFonts w:asciiTheme="majorBidi" w:hAnsiTheme="majorBidi" w:cstheme="majorBidi"/>
          <w:lang w:val="en-GB"/>
        </w:rPr>
        <w:t xml:space="preserve"> </w:t>
      </w:r>
      <w:r w:rsidRPr="00C724E9">
        <w:rPr>
          <w:rFonts w:ascii="Times New Roman" w:hAnsi="Times New Roman"/>
          <w:lang w:val="en-GB"/>
        </w:rPr>
        <w:t xml:space="preserve">(Rassam, 1897: 10-12; Börker- Klähn, 1982: no. 138; Grayson, 1991: A.0.101.24) and the </w:t>
      </w:r>
      <w:r w:rsidRPr="001C4365">
        <w:rPr>
          <w:rFonts w:ascii="Times New Roman" w:hAnsi="Times New Roman"/>
          <w:lang w:val="en-GB"/>
        </w:rPr>
        <w:t>‘</w:t>
      </w:r>
      <w:r w:rsidRPr="00C724E9">
        <w:rPr>
          <w:rFonts w:ascii="Times New Roman" w:hAnsi="Times New Roman"/>
          <w:lang w:val="en-GB"/>
        </w:rPr>
        <w:t>Black Obelisk</w:t>
      </w:r>
      <w:r w:rsidRPr="001C4365">
        <w:rPr>
          <w:rFonts w:ascii="Times New Roman" w:eastAsia="Calibri" w:hAnsi="Times New Roman" w:cs="Times New Roman"/>
          <w:lang w:val="en-GB"/>
        </w:rPr>
        <w:t xml:space="preserve">’ </w:t>
      </w:r>
      <w:r w:rsidRPr="001C4365">
        <w:rPr>
          <w:rFonts w:asciiTheme="majorBidi" w:hAnsiTheme="majorBidi" w:cstheme="majorBidi"/>
          <w:noProof/>
          <w:lang w:val="en-GB"/>
        </w:rPr>
        <w:fldChar w:fldCharType="begin"/>
      </w:r>
      <w:r w:rsidRPr="001C4365">
        <w:rPr>
          <w:rFonts w:asciiTheme="majorBidi" w:hAnsiTheme="majorBidi" w:cstheme="majorBidi"/>
          <w:lang w:val="en-GB"/>
        </w:rPr>
        <w:instrText xml:space="preserve"> XE "</w:instrText>
      </w:r>
      <w:r w:rsidRPr="001C4365">
        <w:rPr>
          <w:rFonts w:asciiTheme="majorBidi" w:hAnsiTheme="majorBidi" w:cstheme="majorBidi"/>
          <w:noProof/>
          <w:lang w:val="en-GB"/>
        </w:rPr>
        <w:instrText>Black Obelisk</w:instrText>
      </w:r>
      <w:r w:rsidRPr="001C4365">
        <w:rPr>
          <w:rFonts w:asciiTheme="majorBidi" w:hAnsiTheme="majorBidi" w:cstheme="majorBidi"/>
          <w:lang w:val="en-GB"/>
        </w:rPr>
        <w:instrText xml:space="preserve">" </w:instrText>
      </w:r>
      <w:r w:rsidRPr="001C4365">
        <w:rPr>
          <w:rFonts w:asciiTheme="majorBidi" w:hAnsiTheme="majorBidi" w:cstheme="majorBidi"/>
          <w:noProof/>
          <w:lang w:val="en-GB"/>
        </w:rPr>
        <w:fldChar w:fldCharType="end"/>
      </w:r>
      <w:r w:rsidRPr="001C4365">
        <w:rPr>
          <w:rFonts w:asciiTheme="majorBidi" w:hAnsiTheme="majorBidi" w:cstheme="majorBidi"/>
          <w:noProof/>
          <w:lang w:val="en-GB"/>
        </w:rPr>
        <w:t>”</w:t>
      </w:r>
      <w:r w:rsidRPr="00C724E9">
        <w:rPr>
          <w:rFonts w:ascii="Times New Roman" w:hAnsi="Times New Roman"/>
          <w:lang w:val="en-GB"/>
        </w:rPr>
        <w:t xml:space="preserve"> of Shalmaneser III</w:t>
      </w:r>
      <w:r w:rsidRPr="001C4365">
        <w:rPr>
          <w:rFonts w:ascii="Times New Roman" w:eastAsia="Calibri" w:hAnsi="Times New Roman" w:cs="Times New Roman"/>
          <w:lang w:val="en-GB"/>
        </w:rPr>
        <w:t> </w:t>
      </w:r>
      <w:r w:rsidRPr="001C4365">
        <w:rPr>
          <w:rFonts w:asciiTheme="majorBidi" w:hAnsiTheme="majorBidi" w:cstheme="majorBidi"/>
          <w:noProof/>
          <w:lang w:val="en-GB"/>
        </w:rPr>
        <w:fldChar w:fldCharType="begin"/>
      </w:r>
      <w:r w:rsidRPr="001C4365">
        <w:rPr>
          <w:rFonts w:asciiTheme="majorBidi" w:hAnsiTheme="majorBidi" w:cstheme="majorBidi"/>
          <w:lang w:val="en-GB"/>
        </w:rPr>
        <w:instrText xml:space="preserve"> XE "</w:instrText>
      </w:r>
      <w:r w:rsidRPr="001C4365">
        <w:rPr>
          <w:rStyle w:val="Vurgu"/>
          <w:rFonts w:asciiTheme="majorBidi" w:hAnsiTheme="majorBidi" w:cstheme="majorBidi"/>
          <w:i w:val="0"/>
          <w:iCs w:val="0"/>
          <w:shd w:val="clear" w:color="auto" w:fill="FFFFFF"/>
          <w:lang w:val="en-GB"/>
        </w:rPr>
        <w:instrText xml:space="preserve">Shalmaneser </w:instrText>
      </w:r>
      <w:r w:rsidRPr="001C4365">
        <w:rPr>
          <w:rFonts w:asciiTheme="majorBidi" w:hAnsiTheme="majorBidi" w:cstheme="majorBidi"/>
          <w:noProof/>
          <w:lang w:val="en-GB"/>
        </w:rPr>
        <w:instrText>III</w:instrText>
      </w:r>
      <w:r w:rsidRPr="001C4365">
        <w:rPr>
          <w:rFonts w:asciiTheme="majorBidi" w:hAnsiTheme="majorBidi" w:cstheme="majorBidi"/>
          <w:lang w:val="en-GB"/>
        </w:rPr>
        <w:instrText xml:space="preserve">" </w:instrText>
      </w:r>
      <w:r w:rsidRPr="001C4365">
        <w:rPr>
          <w:rFonts w:asciiTheme="majorBidi" w:hAnsiTheme="majorBidi" w:cstheme="majorBidi"/>
          <w:noProof/>
          <w:lang w:val="en-GB"/>
        </w:rPr>
        <w:fldChar w:fldCharType="end"/>
      </w:r>
      <w:r w:rsidRPr="001C4365">
        <w:rPr>
          <w:rFonts w:asciiTheme="majorBidi" w:hAnsiTheme="majorBidi" w:cstheme="majorBidi"/>
          <w:noProof/>
          <w:lang w:val="en-GB"/>
        </w:rPr>
        <w:t xml:space="preserve"> </w:t>
      </w:r>
      <w:r w:rsidRPr="00C724E9">
        <w:rPr>
          <w:rFonts w:ascii="Times New Roman" w:hAnsi="Times New Roman"/>
          <w:lang w:val="en-GB"/>
        </w:rPr>
        <w:t>(Layard</w:t>
      </w:r>
      <w:r w:rsidRPr="001C4365">
        <w:rPr>
          <w:rFonts w:asciiTheme="majorBidi" w:hAnsiTheme="majorBidi" w:cstheme="majorBidi"/>
          <w:noProof/>
          <w:lang w:val="en-GB"/>
        </w:rPr>
        <w:t>,</w:t>
      </w:r>
      <w:r w:rsidRPr="00C724E9">
        <w:rPr>
          <w:rFonts w:ascii="Times New Roman" w:hAnsi="Times New Roman"/>
          <w:lang w:val="en-GB"/>
        </w:rPr>
        <w:t xml:space="preserve"> 1849: 12-13, Pl. 53-56; Börker-Klähn, 1982: no. 152; Grayson, 1996: A.0.102.14) was found inside the citadel in Nimrud</w:t>
      </w:r>
      <w:r w:rsidR="00CD0F5D">
        <w:rPr>
          <w:rFonts w:ascii="Times New Roman" w:eastAsia="Calibri" w:hAnsi="Times New Roman" w:cs="Times New Roman"/>
          <w:lang w:val="en-GB"/>
        </w:rPr>
        <w:t>/</w:t>
      </w:r>
      <w:r w:rsidRPr="00C724E9">
        <w:rPr>
          <w:rFonts w:ascii="Times New Roman" w:hAnsi="Times New Roman"/>
          <w:lang w:val="en-GB"/>
        </w:rPr>
        <w:t>Kalhu</w:t>
      </w:r>
      <w:r w:rsidRPr="001C4365">
        <w:rPr>
          <w:rFonts w:asciiTheme="majorBidi" w:hAnsiTheme="majorBidi" w:cstheme="majorBidi"/>
          <w:lang w:val="en-GB"/>
        </w:rPr>
        <w:fldChar w:fldCharType="begin"/>
      </w:r>
      <w:r w:rsidRPr="001C4365">
        <w:rPr>
          <w:rFonts w:asciiTheme="majorBidi" w:hAnsiTheme="majorBidi" w:cstheme="majorBidi"/>
          <w:lang w:val="en-GB"/>
        </w:rPr>
        <w:instrText xml:space="preserve"> XE "Kalhu" </w:instrText>
      </w:r>
      <w:r w:rsidRPr="001C4365">
        <w:rPr>
          <w:rFonts w:asciiTheme="majorBidi" w:hAnsiTheme="majorBidi" w:cstheme="majorBidi"/>
          <w:lang w:val="en-GB"/>
        </w:rPr>
        <w:fldChar w:fldCharType="end"/>
      </w:r>
      <w:r w:rsidRPr="001C4365">
        <w:rPr>
          <w:rFonts w:asciiTheme="majorBidi" w:hAnsiTheme="majorBidi" w:cstheme="majorBidi"/>
          <w:lang w:val="en-GB"/>
        </w:rPr>
        <w:t>.</w:t>
      </w:r>
      <w:r w:rsidRPr="00C724E9">
        <w:rPr>
          <w:rFonts w:ascii="Times New Roman" w:hAnsi="Times New Roman"/>
          <w:lang w:val="en-GB"/>
        </w:rPr>
        <w:t xml:space="preserve"> Another obelisk of Ashurnasirpal II</w:t>
      </w:r>
      <w:r w:rsidRPr="001C4365">
        <w:rPr>
          <w:rFonts w:ascii="Times New Roman" w:eastAsia="Calibri" w:hAnsi="Times New Roman" w:cs="Times New Roman"/>
          <w:lang w:val="en-GB"/>
        </w:rPr>
        <w:t>,</w:t>
      </w:r>
      <w:r w:rsidRPr="00C724E9">
        <w:rPr>
          <w:rFonts w:ascii="Times New Roman" w:hAnsi="Times New Roman"/>
          <w:lang w:val="en-GB"/>
        </w:rPr>
        <w:t xml:space="preserve"> the </w:t>
      </w:r>
      <w:r>
        <w:rPr>
          <w:rFonts w:ascii="Times New Roman" w:hAnsi="Times New Roman"/>
          <w:lang w:val="en-GB"/>
        </w:rPr>
        <w:t>‘</w:t>
      </w:r>
      <w:r w:rsidRPr="00C724E9">
        <w:rPr>
          <w:rFonts w:ascii="Times New Roman" w:hAnsi="Times New Roman"/>
          <w:lang w:val="en-GB"/>
        </w:rPr>
        <w:t>White Obelisk</w:t>
      </w:r>
      <w:r>
        <w:rPr>
          <w:rFonts w:ascii="Times New Roman" w:eastAsia="Calibri" w:hAnsi="Times New Roman" w:cs="Times New Roman"/>
          <w:lang w:val="en-GB"/>
        </w:rPr>
        <w:t xml:space="preserve">’ </w:t>
      </w:r>
      <w:r w:rsidRPr="00C724E9">
        <w:rPr>
          <w:rFonts w:ascii="Times New Roman" w:hAnsi="Times New Roman"/>
          <w:lang w:val="en-GB"/>
        </w:rPr>
        <w:t>was found inside the citadel in Nineveh</w:t>
      </w:r>
      <w:r w:rsidRPr="001C4365">
        <w:rPr>
          <w:rFonts w:ascii="Times New Roman" w:eastAsia="Calibri" w:hAnsi="Times New Roman" w:cs="Times New Roman"/>
          <w:lang w:val="en-GB"/>
        </w:rPr>
        <w:t> </w:t>
      </w:r>
      <w:r w:rsidRPr="001C4365">
        <w:rPr>
          <w:rFonts w:asciiTheme="majorBidi" w:hAnsiTheme="majorBidi" w:cstheme="majorBidi"/>
          <w:lang w:val="en-GB"/>
        </w:rPr>
        <w:fldChar w:fldCharType="begin"/>
      </w:r>
      <w:r w:rsidRPr="001C4365">
        <w:rPr>
          <w:rFonts w:asciiTheme="majorBidi" w:hAnsiTheme="majorBidi" w:cstheme="majorBidi"/>
          <w:lang w:val="en-GB"/>
        </w:rPr>
        <w:instrText xml:space="preserve"> XE "Nineveh" </w:instrText>
      </w:r>
      <w:r w:rsidRPr="001C4365">
        <w:rPr>
          <w:rFonts w:asciiTheme="majorBidi" w:hAnsiTheme="majorBidi" w:cstheme="majorBidi"/>
          <w:lang w:val="en-GB"/>
        </w:rPr>
        <w:fldChar w:fldCharType="end"/>
      </w:r>
      <w:r w:rsidRPr="001C4365">
        <w:rPr>
          <w:rFonts w:asciiTheme="majorBidi" w:hAnsiTheme="majorBidi" w:cstheme="majorBidi"/>
          <w:lang w:val="en-GB"/>
        </w:rPr>
        <w:t xml:space="preserve"> </w:t>
      </w:r>
      <w:r w:rsidRPr="00C724E9">
        <w:rPr>
          <w:rFonts w:ascii="Times New Roman" w:hAnsi="Times New Roman"/>
          <w:lang w:val="en-GB"/>
        </w:rPr>
        <w:t>(Rassam, 1897: 8-9). It is understood that the Assyrian obelisks were related to the palaces and sacred structures inside the citadel. For the Urartian</w:t>
      </w:r>
      <w:r w:rsidRPr="001C4365">
        <w:rPr>
          <w:rFonts w:ascii="Times New Roman" w:eastAsia="Calibri" w:hAnsi="Times New Roman" w:cs="Times New Roman"/>
          <w:lang w:val="en-GB"/>
        </w:rPr>
        <w:t> </w:t>
      </w:r>
      <w:r w:rsidRPr="001C4365">
        <w:rPr>
          <w:rFonts w:asciiTheme="majorBidi" w:hAnsiTheme="majorBidi" w:cstheme="majorBidi"/>
          <w:lang w:val="en-GB"/>
        </w:rPr>
        <w:fldChar w:fldCharType="begin"/>
      </w:r>
      <w:r w:rsidRPr="001C4365">
        <w:rPr>
          <w:rFonts w:asciiTheme="majorBidi" w:hAnsiTheme="majorBidi" w:cstheme="majorBidi"/>
          <w:lang w:val="en-GB"/>
        </w:rPr>
        <w:instrText xml:space="preserve"> XE "Urartian" </w:instrText>
      </w:r>
      <w:r w:rsidRPr="001C4365">
        <w:rPr>
          <w:rFonts w:asciiTheme="majorBidi" w:hAnsiTheme="majorBidi" w:cstheme="majorBidi"/>
          <w:lang w:val="en-GB"/>
        </w:rPr>
        <w:fldChar w:fldCharType="end"/>
      </w:r>
      <w:r w:rsidRPr="001C4365">
        <w:rPr>
          <w:rFonts w:asciiTheme="majorBidi" w:hAnsiTheme="majorBidi" w:cstheme="majorBidi"/>
          <w:lang w:val="en-GB"/>
        </w:rPr>
        <w:t xml:space="preserve"> </w:t>
      </w:r>
      <w:r w:rsidRPr="00C724E9">
        <w:rPr>
          <w:rFonts w:ascii="Times New Roman" w:hAnsi="Times New Roman"/>
          <w:lang w:val="en-GB"/>
        </w:rPr>
        <w:t>kingdom, we can suggest the presence of an obelisk tradition during the reigns of Argišti I</w:t>
      </w:r>
      <w:r w:rsidRPr="001C4365">
        <w:rPr>
          <w:rFonts w:ascii="Times New Roman" w:eastAsia="Calibri" w:hAnsi="Times New Roman" w:cs="Times New Roman"/>
          <w:lang w:val="en-GB"/>
        </w:rPr>
        <w:t> </w:t>
      </w:r>
      <w:r w:rsidRPr="001C4365">
        <w:rPr>
          <w:rFonts w:asciiTheme="majorBidi" w:hAnsiTheme="majorBidi" w:cstheme="majorBidi"/>
          <w:lang w:val="en-GB"/>
        </w:rPr>
        <w:fldChar w:fldCharType="begin"/>
      </w:r>
      <w:r w:rsidRPr="001C4365">
        <w:rPr>
          <w:rFonts w:asciiTheme="majorBidi" w:hAnsiTheme="majorBidi" w:cstheme="majorBidi"/>
          <w:lang w:val="en-GB"/>
        </w:rPr>
        <w:instrText xml:space="preserve"> XE "Argišti I" </w:instrText>
      </w:r>
      <w:r w:rsidRPr="001C4365">
        <w:rPr>
          <w:rFonts w:asciiTheme="majorBidi" w:hAnsiTheme="majorBidi" w:cstheme="majorBidi"/>
          <w:lang w:val="en-GB"/>
        </w:rPr>
        <w:fldChar w:fldCharType="end"/>
      </w:r>
      <w:r w:rsidRPr="001C4365">
        <w:rPr>
          <w:rFonts w:asciiTheme="majorBidi" w:hAnsiTheme="majorBidi" w:cstheme="majorBidi"/>
          <w:lang w:val="en-GB"/>
        </w:rPr>
        <w:t xml:space="preserve"> </w:t>
      </w:r>
      <w:r w:rsidRPr="00C724E9">
        <w:rPr>
          <w:rFonts w:ascii="Times New Roman" w:hAnsi="Times New Roman"/>
          <w:lang w:val="en-GB"/>
        </w:rPr>
        <w:t>(CTU I. A 8-1, 2) and Sarduri II</w:t>
      </w:r>
      <w:r w:rsidRPr="001C4365">
        <w:rPr>
          <w:rFonts w:ascii="Times New Roman" w:eastAsia="Calibri" w:hAnsi="Times New Roman" w:cs="Times New Roman"/>
          <w:lang w:val="en-GB"/>
        </w:rPr>
        <w:t> </w:t>
      </w:r>
      <w:r w:rsidRPr="001C4365">
        <w:rPr>
          <w:rFonts w:asciiTheme="majorBidi" w:hAnsiTheme="majorBidi" w:cstheme="majorBidi"/>
          <w:lang w:val="en-GB"/>
        </w:rPr>
        <w:fldChar w:fldCharType="begin"/>
      </w:r>
      <w:r w:rsidRPr="001C4365">
        <w:rPr>
          <w:rFonts w:asciiTheme="majorBidi" w:hAnsiTheme="majorBidi" w:cstheme="majorBidi"/>
          <w:lang w:val="en-GB"/>
        </w:rPr>
        <w:instrText xml:space="preserve"> XE "Sarduri II" </w:instrText>
      </w:r>
      <w:r w:rsidRPr="001C4365">
        <w:rPr>
          <w:rFonts w:asciiTheme="majorBidi" w:hAnsiTheme="majorBidi" w:cstheme="majorBidi"/>
          <w:lang w:val="en-GB"/>
        </w:rPr>
        <w:fldChar w:fldCharType="end"/>
      </w:r>
      <w:r w:rsidRPr="001C4365">
        <w:rPr>
          <w:rFonts w:asciiTheme="majorBidi" w:hAnsiTheme="majorBidi" w:cstheme="majorBidi"/>
          <w:lang w:val="en-GB"/>
        </w:rPr>
        <w:t xml:space="preserve"> </w:t>
      </w:r>
      <w:r w:rsidRPr="00C724E9">
        <w:rPr>
          <w:rFonts w:ascii="Times New Roman" w:hAnsi="Times New Roman"/>
          <w:lang w:val="en-GB"/>
        </w:rPr>
        <w:t xml:space="preserve">(CTU I. A 9-1, 2, 3). These forms that consist of the chronicles of both kings can be defined as obelisks and were found in a unit related to the citadel of the capital of the Urartian Kingdom (Fig. 9, 11). These examples are similar to the Assyrian obelisks </w:t>
      </w:r>
      <w:r w:rsidRPr="001C4365">
        <w:rPr>
          <w:rFonts w:ascii="Times New Roman" w:eastAsia="Calibri" w:hAnsi="Times New Roman" w:cs="Times New Roman"/>
          <w:lang w:val="en-GB"/>
        </w:rPr>
        <w:t>regarding</w:t>
      </w:r>
      <w:r w:rsidRPr="00C724E9">
        <w:rPr>
          <w:rFonts w:ascii="Times New Roman" w:hAnsi="Times New Roman"/>
          <w:lang w:val="en-GB"/>
        </w:rPr>
        <w:t xml:space="preserve"> the contents of the cuneiform texts as well (Genç, 2015: 431-435; Genç, 2019: 238).</w:t>
      </w:r>
      <w:bookmarkEnd w:id="165"/>
    </w:p>
    <w:p w14:paraId="659A9A97" w14:textId="77777777" w:rsidR="00BC2CE3" w:rsidRPr="00C724E9" w:rsidRDefault="00BC2CE3" w:rsidP="00BC2CE3">
      <w:pPr>
        <w:keepNext/>
        <w:keepLines/>
        <w:spacing w:before="320" w:after="80" w:line="276" w:lineRule="auto"/>
        <w:jc w:val="both"/>
        <w:outlineLvl w:val="2"/>
        <w:rPr>
          <w:rFonts w:ascii="Times New Roman" w:hAnsi="Times New Roman"/>
          <w:b/>
          <w:lang w:val="en-GB"/>
        </w:rPr>
      </w:pPr>
      <w:bookmarkStart w:id="166" w:name="_Toc132072562"/>
      <w:bookmarkStart w:id="167" w:name="_Toc173231257"/>
      <w:r w:rsidRPr="00C724E9">
        <w:rPr>
          <w:rFonts w:ascii="Times New Roman" w:hAnsi="Times New Roman"/>
          <w:b/>
          <w:lang w:val="en-GB"/>
        </w:rPr>
        <w:t>10.3.1. The Drainage Channel that was interpreted as a Sacrificial Channel</w:t>
      </w:r>
      <w:bookmarkEnd w:id="166"/>
      <w:bookmarkEnd w:id="167"/>
    </w:p>
    <w:p w14:paraId="77297708" w14:textId="77777777" w:rsidR="00BC2CE3" w:rsidRPr="00C724E9" w:rsidRDefault="00BC2CE3" w:rsidP="00BC2CE3">
      <w:pPr>
        <w:spacing w:before="100" w:beforeAutospacing="1" w:after="100" w:afterAutospacing="1" w:line="259" w:lineRule="auto"/>
        <w:jc w:val="both"/>
        <w:rPr>
          <w:rFonts w:ascii="Times New Roman" w:hAnsi="Times New Roman"/>
          <w:lang w:val="en-GB"/>
        </w:rPr>
      </w:pPr>
      <w:r w:rsidRPr="00C724E9">
        <w:rPr>
          <w:rFonts w:ascii="Times New Roman" w:hAnsi="Times New Roman"/>
          <w:lang w:val="en-GB"/>
        </w:rPr>
        <w:t>It was mentioned above that Lehmann-</w:t>
      </w:r>
      <w:r w:rsidRPr="00D87AA2">
        <w:rPr>
          <w:rFonts w:ascii="Times New Roman" w:eastAsia="Calibri" w:hAnsi="Times New Roman" w:cs="Times New Roman"/>
          <w:lang w:val="en-GB"/>
        </w:rPr>
        <w:t>Haupt's</w:t>
      </w:r>
      <w:r w:rsidRPr="00C724E9">
        <w:rPr>
          <w:rFonts w:ascii="Times New Roman" w:hAnsi="Times New Roman"/>
          <w:lang w:val="en-GB"/>
        </w:rPr>
        <w:t xml:space="preserve"> interpretation of the channels in this area as sacrificial channels led to the interpretation of the area as an open-air sanctuary (Erzen, 1978a: 7; Tarhan, 2011: 322, Fig. 20cd). The channel carved into the bedrock is 30 meters long (Fig. 18-19). It is 20-25 cm wide on the ground level at the beginning, expanding to 40 cm in the middle parts towards the north, and reaches 55 cm below. Thus, the width of the channel ranges from 20 to 55 cm. </w:t>
      </w:r>
      <w:r w:rsidRPr="00D87AA2">
        <w:rPr>
          <w:rFonts w:ascii="Times New Roman" w:eastAsia="Calibri" w:hAnsi="Times New Roman" w:cs="Times New Roman"/>
          <w:lang w:val="en-GB"/>
        </w:rPr>
        <w:t>On</w:t>
      </w:r>
      <w:r w:rsidRPr="00C724E9">
        <w:rPr>
          <w:rFonts w:ascii="Times New Roman" w:hAnsi="Times New Roman"/>
          <w:lang w:val="en-GB"/>
        </w:rPr>
        <w:t xml:space="preserve"> the other hand,</w:t>
      </w:r>
      <w:r w:rsidRPr="00D87AA2">
        <w:rPr>
          <w:rFonts w:ascii="Times New Roman" w:eastAsia="Calibri" w:hAnsi="Times New Roman" w:cs="Times New Roman"/>
          <w:lang w:val="en-GB"/>
        </w:rPr>
        <w:t xml:space="preserve"> the channel's depth</w:t>
      </w:r>
      <w:r w:rsidRPr="00C724E9">
        <w:rPr>
          <w:rFonts w:ascii="Times New Roman" w:hAnsi="Times New Roman"/>
          <w:lang w:val="en-GB"/>
        </w:rPr>
        <w:t xml:space="preserve"> ranges from 50 to 60 cm. Some arrangements observed on the surface suggest that the channel could have been partially covered. This channel (Lehmann-Haupt, 1926: 30; Tarhan, 2011: 322) is located outside the walls that were probably enclosing the north of the area</w:t>
      </w:r>
      <w:r w:rsidRPr="00D87AA2">
        <w:rPr>
          <w:rFonts w:ascii="Times New Roman" w:eastAsia="Calibri" w:hAnsi="Times New Roman" w:cs="Times New Roman"/>
          <w:lang w:val="en-GB"/>
        </w:rPr>
        <w:t>,</w:t>
      </w:r>
      <w:r w:rsidRPr="00C724E9">
        <w:rPr>
          <w:rFonts w:ascii="Times New Roman" w:hAnsi="Times New Roman"/>
          <w:lang w:val="en-GB"/>
        </w:rPr>
        <w:t xml:space="preserve"> and it is plausible to suggest that it served as a drainage channel</w:t>
      </w:r>
      <w:r w:rsidRPr="00F03A26">
        <w:rPr>
          <w:rStyle w:val="DipnotBavurusu"/>
          <w:rFonts w:asciiTheme="majorBidi" w:hAnsiTheme="majorBidi" w:cstheme="majorBidi"/>
          <w:lang w:val="en-GB"/>
        </w:rPr>
        <w:footnoteReference w:id="63"/>
      </w:r>
      <w:r w:rsidRPr="00C724E9">
        <w:rPr>
          <w:rFonts w:ascii="Times New Roman" w:hAnsi="Times New Roman"/>
          <w:lang w:val="en-GB"/>
        </w:rPr>
        <w:t xml:space="preserve">. The location of the channel, its depth, length, and width indicate its use for water discharge from the citadel. </w:t>
      </w:r>
      <w:r w:rsidRPr="00D87AA2">
        <w:rPr>
          <w:rFonts w:ascii="Times New Roman" w:eastAsia="Calibri" w:hAnsi="Times New Roman" w:cs="Times New Roman"/>
          <w:lang w:val="en-GB"/>
        </w:rPr>
        <w:t>Another</w:t>
      </w:r>
      <w:r w:rsidRPr="00C724E9">
        <w:rPr>
          <w:rFonts w:ascii="Times New Roman" w:hAnsi="Times New Roman"/>
          <w:lang w:val="en-GB"/>
        </w:rPr>
        <w:t xml:space="preserve"> channel </w:t>
      </w:r>
      <w:r w:rsidRPr="00D87AA2">
        <w:rPr>
          <w:rFonts w:ascii="Times New Roman" w:eastAsia="Calibri" w:hAnsi="Times New Roman" w:cs="Times New Roman"/>
          <w:lang w:val="en-GB"/>
        </w:rPr>
        <w:t xml:space="preserve">is </w:t>
      </w:r>
      <w:r w:rsidRPr="00C724E9">
        <w:rPr>
          <w:rFonts w:ascii="Times New Roman" w:hAnsi="Times New Roman"/>
          <w:lang w:val="en-GB"/>
        </w:rPr>
        <w:t>visible from the surface about 200 meters west of Analıkız</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and 20 meters north of the Ottoman</w:t>
      </w:r>
      <w:r>
        <w:rPr>
          <w:rFonts w:asciiTheme="majorBidi" w:hAnsiTheme="majorBidi" w:cstheme="majorBidi"/>
          <w:lang w:val="en-GB"/>
        </w:rPr>
        <w:fldChar w:fldCharType="begin"/>
      </w:r>
      <w:r>
        <w:instrText xml:space="preserve"> XE "</w:instrText>
      </w:r>
      <w:r w:rsidRPr="002B7AD2">
        <w:rPr>
          <w:rFonts w:asciiTheme="majorBidi" w:hAnsiTheme="majorBidi" w:cstheme="majorBidi"/>
        </w:rPr>
        <w:instrText>Ottoman</w:instrText>
      </w:r>
      <w:r>
        <w:instrText xml:space="preserve">" </w:instrText>
      </w:r>
      <w:r>
        <w:rPr>
          <w:rFonts w:asciiTheme="majorBidi" w:hAnsiTheme="majorBidi" w:cstheme="majorBidi"/>
          <w:lang w:val="en-GB"/>
        </w:rPr>
        <w:fldChar w:fldCharType="end"/>
      </w:r>
      <w:r w:rsidRPr="00C724E9">
        <w:rPr>
          <w:rFonts w:ascii="Times New Roman" w:hAnsi="Times New Roman"/>
          <w:lang w:val="en-GB"/>
        </w:rPr>
        <w:t xml:space="preserve"> city</w:t>
      </w:r>
      <w:r w:rsidRPr="00D87AA2">
        <w:rPr>
          <w:rFonts w:ascii="Times New Roman" w:eastAsia="Calibri" w:hAnsi="Times New Roman" w:cs="Times New Roman"/>
          <w:lang w:val="en-GB"/>
        </w:rPr>
        <w:t xml:space="preserve"> </w:t>
      </w:r>
      <w:r w:rsidRPr="00C724E9">
        <w:rPr>
          <w:rFonts w:ascii="Times New Roman" w:hAnsi="Times New Roman"/>
          <w:lang w:val="en-GB"/>
        </w:rPr>
        <w:t>walls, close to the East Ditch</w:t>
      </w:r>
      <w:r>
        <w:rPr>
          <w:rFonts w:ascii="Times New Roman" w:eastAsia="Calibri" w:hAnsi="Times New Roman" w:cs="Times New Roman"/>
          <w:lang w:val="en-GB"/>
        </w:rPr>
        <w:t xml:space="preserve"> </w:t>
      </w:r>
      <w:r>
        <w:rPr>
          <w:rFonts w:asciiTheme="majorBidi" w:hAnsiTheme="majorBidi" w:cstheme="majorBidi"/>
          <w:lang w:val="en-GB"/>
        </w:rPr>
        <w:fldChar w:fldCharType="begin"/>
      </w:r>
      <w:r>
        <w:instrText xml:space="preserve"> XE "</w:instrText>
      </w:r>
      <w:r w:rsidRPr="00085214">
        <w:rPr>
          <w:rFonts w:asciiTheme="majorBidi" w:hAnsiTheme="majorBidi" w:cstheme="majorBidi"/>
        </w:rPr>
        <w:instrText>East Ditch</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A 12</w:t>
      </w:r>
      <w:r w:rsidRPr="00D87AA2">
        <w:rPr>
          <w:rFonts w:ascii="Times New Roman" w:eastAsia="Calibri" w:hAnsi="Times New Roman" w:cs="Times New Roman"/>
          <w:lang w:val="en-GB"/>
        </w:rPr>
        <w:t>-meter-</w:t>
      </w:r>
      <w:r w:rsidRPr="00C724E9">
        <w:rPr>
          <w:rFonts w:ascii="Times New Roman" w:hAnsi="Times New Roman"/>
          <w:lang w:val="en-GB"/>
        </w:rPr>
        <w:t>long part of this channel that lies in west-east orientation to Analıkız can be measured. It is 35-40 cm wide and 40-60 cm deep and makes up one of the drainage channels of the citadel</w:t>
      </w:r>
      <w:r w:rsidRPr="00F03A26">
        <w:rPr>
          <w:rStyle w:val="DipnotBavurusu"/>
          <w:rFonts w:asciiTheme="majorBidi" w:hAnsiTheme="majorBidi" w:cstheme="majorBidi"/>
          <w:lang w:val="en-GB"/>
        </w:rPr>
        <w:footnoteReference w:id="64"/>
      </w:r>
      <w:r w:rsidRPr="001C4365">
        <w:rPr>
          <w:rFonts w:asciiTheme="majorBidi" w:hAnsiTheme="majorBidi" w:cstheme="majorBidi"/>
          <w:kern w:val="0"/>
          <w:sz w:val="22"/>
          <w:lang w:val="en-GB"/>
          <w14:ligatures w14:val="none"/>
        </w:rPr>
        <w:t>.</w:t>
      </w:r>
      <w:r w:rsidRPr="00C724E9">
        <w:rPr>
          <w:rFonts w:ascii="Times New Roman" w:hAnsi="Times New Roman"/>
          <w:lang w:val="en-GB"/>
        </w:rPr>
        <w:t xml:space="preserve"> It is known that the Urartian</w:t>
      </w:r>
      <w:r w:rsidRPr="00D87AA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architects cut and formed the rock surfaces in construction activities inside the citadel. Construction work for fortification walls, infrastructure systems, and drainage channels were among the priorities for the planning of the citadels. Such practices were </w:t>
      </w:r>
      <w:r w:rsidRPr="00D87AA2">
        <w:rPr>
          <w:rFonts w:ascii="Times New Roman" w:eastAsia="Calibri" w:hAnsi="Times New Roman" w:cs="Times New Roman"/>
          <w:lang w:val="en-GB"/>
        </w:rPr>
        <w:t>standard</w:t>
      </w:r>
      <w:r w:rsidRPr="00C724E9">
        <w:rPr>
          <w:rFonts w:ascii="Times New Roman" w:hAnsi="Times New Roman"/>
          <w:lang w:val="en-GB"/>
        </w:rPr>
        <w:t xml:space="preserve"> in the Van Fortress as well.</w:t>
      </w:r>
    </w:p>
    <w:p w14:paraId="0CC8687E" w14:textId="77777777" w:rsidR="00BC2CE3" w:rsidRPr="00C724E9" w:rsidRDefault="00BC2CE3" w:rsidP="00BC2CE3">
      <w:pPr>
        <w:keepNext/>
        <w:keepLines/>
        <w:spacing w:before="320" w:after="80" w:line="276" w:lineRule="auto"/>
        <w:jc w:val="both"/>
        <w:outlineLvl w:val="2"/>
        <w:rPr>
          <w:rFonts w:ascii="Times New Roman" w:hAnsi="Times New Roman"/>
          <w:b/>
          <w:lang w:val="en-GB"/>
        </w:rPr>
      </w:pPr>
      <w:bookmarkStart w:id="168" w:name="_Toc132072563"/>
      <w:bookmarkStart w:id="169" w:name="_Toc173231258"/>
      <w:r w:rsidRPr="00C724E9">
        <w:rPr>
          <w:rFonts w:ascii="Times New Roman" w:hAnsi="Times New Roman"/>
          <w:b/>
          <w:lang w:val="en-GB"/>
        </w:rPr>
        <w:lastRenderedPageBreak/>
        <w:t>10.3.2. Structural Aspects of the Area</w:t>
      </w:r>
      <w:bookmarkEnd w:id="168"/>
      <w:bookmarkEnd w:id="169"/>
    </w:p>
    <w:p w14:paraId="409CD03C" w14:textId="0C25119A" w:rsidR="00BC2CE3" w:rsidRPr="00C724E9" w:rsidRDefault="00BC2CE3" w:rsidP="00D73826">
      <w:pPr>
        <w:jc w:val="both"/>
        <w:rPr>
          <w:rFonts w:ascii="Times New Roman" w:hAnsi="Times New Roman"/>
          <w:lang w:val="en-GB"/>
        </w:rPr>
      </w:pPr>
      <w:r w:rsidRPr="00C724E9">
        <w:rPr>
          <w:rFonts w:ascii="Times New Roman" w:hAnsi="Times New Roman"/>
          <w:lang w:val="en-GB"/>
        </w:rPr>
        <w:t>The wall consisting of three stone lines unearthed by Lake on the northwestern corner of Hazine Kapısı/Analıkız</w:t>
      </w:r>
      <w:r w:rsidRPr="000D2005">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provides an important line of evidence to suggest this </w:t>
      </w:r>
      <w:r w:rsidRPr="000D2005">
        <w:rPr>
          <w:rFonts w:ascii="Times New Roman" w:eastAsia="Calibri" w:hAnsi="Times New Roman" w:cs="Times New Roman"/>
          <w:lang w:val="en-GB"/>
        </w:rPr>
        <w:t>area's</w:t>
      </w:r>
      <w:r w:rsidRPr="00C724E9">
        <w:rPr>
          <w:rFonts w:ascii="Times New Roman" w:hAnsi="Times New Roman"/>
          <w:lang w:val="en-GB"/>
        </w:rPr>
        <w:t xml:space="preserve"> relationship to the second phase of use of this space (Lake, 1940: 184) (Fig. 20-21). A human burial in </w:t>
      </w:r>
      <w:r w:rsidRPr="000D2005">
        <w:rPr>
          <w:rFonts w:ascii="Times New Roman" w:eastAsia="Calibri" w:hAnsi="Times New Roman" w:cs="Times New Roman"/>
          <w:lang w:val="en-GB"/>
        </w:rPr>
        <w:t xml:space="preserve">a </w:t>
      </w:r>
      <w:r w:rsidRPr="00C724E9">
        <w:rPr>
          <w:rFonts w:ascii="Times New Roman" w:hAnsi="Times New Roman"/>
          <w:lang w:val="en-GB"/>
        </w:rPr>
        <w:t>hocker position excavated here also belongs to the later uses of this area (Korfmann, 1977: Table VIII/1-2). The wall continues northwards</w:t>
      </w:r>
      <w:r w:rsidRPr="000D2005">
        <w:rPr>
          <w:rFonts w:ascii="Times New Roman" w:eastAsia="Calibri" w:hAnsi="Times New Roman" w:cs="Times New Roman"/>
          <w:lang w:val="en-GB"/>
        </w:rPr>
        <w:t>. However, the</w:t>
      </w:r>
      <w:r w:rsidRPr="00C724E9">
        <w:rPr>
          <w:rFonts w:ascii="Times New Roman" w:hAnsi="Times New Roman"/>
          <w:lang w:val="en-GB"/>
        </w:rPr>
        <w:t xml:space="preserve"> rest of its remains</w:t>
      </w:r>
      <w:r w:rsidRPr="000D2005">
        <w:rPr>
          <w:rFonts w:ascii="Times New Roman" w:eastAsia="Calibri" w:hAnsi="Times New Roman" w:cs="Times New Roman"/>
          <w:lang w:val="en-GB"/>
        </w:rPr>
        <w:t>,</w:t>
      </w:r>
      <w:r w:rsidRPr="00C724E9">
        <w:rPr>
          <w:rFonts w:ascii="Times New Roman" w:hAnsi="Times New Roman"/>
          <w:lang w:val="en-GB"/>
        </w:rPr>
        <w:t xml:space="preserve"> proving that this </w:t>
      </w:r>
      <w:r w:rsidRPr="00DB692C">
        <w:rPr>
          <w:rFonts w:ascii="Times New Roman" w:hAnsi="Times New Roman"/>
          <w:lang w:val="en-GB"/>
        </w:rPr>
        <w:t>area was enclosed from the northeastern edge</w:t>
      </w:r>
      <w:r w:rsidRPr="000D2005">
        <w:rPr>
          <w:rFonts w:ascii="Times New Roman" w:eastAsia="Calibri" w:hAnsi="Times New Roman" w:cs="Times New Roman"/>
          <w:lang w:val="en-GB"/>
        </w:rPr>
        <w:t>,</w:t>
      </w:r>
      <w:r w:rsidRPr="00DB692C">
        <w:rPr>
          <w:rFonts w:ascii="Times New Roman" w:hAnsi="Times New Roman"/>
          <w:lang w:val="en-GB"/>
        </w:rPr>
        <w:t xml:space="preserve"> were removed Marr and Orbeli </w:t>
      </w:r>
      <w:r w:rsidRPr="000D2005">
        <w:rPr>
          <w:rFonts w:ascii="Times New Roman" w:eastAsia="Calibri" w:hAnsi="Times New Roman" w:cs="Times New Roman"/>
          <w:lang w:val="en-GB"/>
        </w:rPr>
        <w:t xml:space="preserve">did not reach this wall, </w:t>
      </w:r>
      <w:r w:rsidRPr="00DB692C">
        <w:rPr>
          <w:rFonts w:ascii="Times New Roman" w:hAnsi="Times New Roman"/>
          <w:lang w:val="en-GB"/>
        </w:rPr>
        <w:t xml:space="preserve">and </w:t>
      </w:r>
      <w:r w:rsidRPr="000D2005">
        <w:rPr>
          <w:rFonts w:ascii="Times New Roman" w:eastAsia="Calibri" w:hAnsi="Times New Roman" w:cs="Times New Roman"/>
          <w:lang w:val="en-GB"/>
        </w:rPr>
        <w:t>Lake</w:t>
      </w:r>
      <w:r w:rsidRPr="00DB692C">
        <w:rPr>
          <w:rFonts w:ascii="Times New Roman" w:hAnsi="Times New Roman"/>
          <w:lang w:val="en-GB"/>
        </w:rPr>
        <w:t xml:space="preserve"> unearthed </w:t>
      </w:r>
      <w:r w:rsidRPr="000D2005">
        <w:rPr>
          <w:rFonts w:ascii="Times New Roman" w:eastAsia="Calibri" w:hAnsi="Times New Roman" w:cs="Times New Roman"/>
          <w:lang w:val="en-GB"/>
        </w:rPr>
        <w:t>it</w:t>
      </w:r>
      <w:r w:rsidRPr="00DB692C">
        <w:rPr>
          <w:rFonts w:ascii="Times New Roman" w:hAnsi="Times New Roman"/>
          <w:lang w:val="en-GB"/>
        </w:rPr>
        <w:t xml:space="preserve">. The collapsed stones </w:t>
      </w:r>
      <w:r w:rsidRPr="000D2005">
        <w:rPr>
          <w:rFonts w:ascii="Times New Roman" w:eastAsia="Calibri" w:hAnsi="Times New Roman" w:cs="Times New Roman"/>
          <w:lang w:val="en-GB"/>
        </w:rPr>
        <w:t>found</w:t>
      </w:r>
      <w:r w:rsidRPr="00DB692C">
        <w:rPr>
          <w:rFonts w:ascii="Times New Roman" w:hAnsi="Times New Roman"/>
          <w:lang w:val="en-GB"/>
        </w:rPr>
        <w:t xml:space="preserve"> by Lake </w:t>
      </w:r>
      <w:r w:rsidRPr="000D2005">
        <w:rPr>
          <w:rFonts w:ascii="Times New Roman" w:eastAsia="Calibri" w:hAnsi="Times New Roman" w:cs="Times New Roman"/>
          <w:lang w:val="en-GB"/>
        </w:rPr>
        <w:t>may</w:t>
      </w:r>
      <w:r w:rsidRPr="00DB692C">
        <w:rPr>
          <w:rFonts w:ascii="Times New Roman" w:hAnsi="Times New Roman"/>
          <w:lang w:val="en-GB"/>
        </w:rPr>
        <w:t xml:space="preserve"> have </w:t>
      </w:r>
      <w:r w:rsidRPr="000D2005">
        <w:rPr>
          <w:rFonts w:ascii="Times New Roman" w:eastAsia="Calibri" w:hAnsi="Times New Roman" w:cs="Times New Roman"/>
          <w:lang w:val="en-GB"/>
        </w:rPr>
        <w:t>been part of</w:t>
      </w:r>
      <w:r w:rsidRPr="00DB692C">
        <w:rPr>
          <w:rFonts w:ascii="Times New Roman" w:hAnsi="Times New Roman"/>
          <w:lang w:val="en-GB"/>
        </w:rPr>
        <w:t xml:space="preserve"> the western </w:t>
      </w:r>
      <w:r w:rsidRPr="000D2005">
        <w:rPr>
          <w:rFonts w:ascii="Times New Roman" w:eastAsia="Calibri" w:hAnsi="Times New Roman" w:cs="Times New Roman"/>
          <w:lang w:val="en-GB"/>
        </w:rPr>
        <w:t>section</w:t>
      </w:r>
      <w:r w:rsidRPr="00DB692C">
        <w:rPr>
          <w:rFonts w:ascii="Times New Roman" w:hAnsi="Times New Roman"/>
          <w:lang w:val="en-GB"/>
        </w:rPr>
        <w:t xml:space="preserve"> of </w:t>
      </w:r>
      <w:r w:rsidRPr="000D2005">
        <w:rPr>
          <w:rFonts w:ascii="Times New Roman" w:eastAsia="Calibri" w:hAnsi="Times New Roman" w:cs="Times New Roman"/>
          <w:lang w:val="en-GB"/>
        </w:rPr>
        <w:t>the</w:t>
      </w:r>
      <w:r w:rsidRPr="00DB692C">
        <w:rPr>
          <w:rFonts w:ascii="Times New Roman" w:hAnsi="Times New Roman"/>
          <w:lang w:val="en-GB"/>
        </w:rPr>
        <w:t xml:space="preserve"> wall. </w:t>
      </w:r>
      <w:r w:rsidRPr="000D2005">
        <w:rPr>
          <w:rFonts w:ascii="Times New Roman" w:eastAsia="Calibri" w:hAnsi="Times New Roman" w:cs="Times New Roman"/>
          <w:lang w:val="en-GB"/>
        </w:rPr>
        <w:t>Traces of foundation pits can be seen on the elevated</w:t>
      </w:r>
      <w:r w:rsidRPr="00DB692C">
        <w:rPr>
          <w:rFonts w:ascii="Times New Roman" w:hAnsi="Times New Roman"/>
          <w:lang w:val="en-GB"/>
        </w:rPr>
        <w:t xml:space="preserve"> rock platform </w:t>
      </w:r>
      <w:r w:rsidRPr="000D2005">
        <w:rPr>
          <w:rFonts w:ascii="Times New Roman" w:eastAsia="Calibri" w:hAnsi="Times New Roman" w:cs="Times New Roman"/>
          <w:lang w:val="en-GB"/>
        </w:rPr>
        <w:t>opposite</w:t>
      </w:r>
      <w:r w:rsidRPr="00DB692C">
        <w:rPr>
          <w:rFonts w:ascii="Times New Roman" w:hAnsi="Times New Roman"/>
          <w:lang w:val="en-GB"/>
        </w:rPr>
        <w:t xml:space="preserve"> the western </w:t>
      </w:r>
      <w:r w:rsidRPr="000D2005">
        <w:rPr>
          <w:rFonts w:ascii="Times New Roman" w:eastAsia="Calibri" w:hAnsi="Times New Roman" w:cs="Times New Roman"/>
          <w:lang w:val="en-GB"/>
        </w:rPr>
        <w:t>alcove</w:t>
      </w:r>
      <w:r w:rsidRPr="00F03A26">
        <w:rPr>
          <w:rStyle w:val="DipnotBavurusu"/>
          <w:rFonts w:asciiTheme="majorBidi" w:hAnsiTheme="majorBidi" w:cstheme="majorBidi"/>
          <w:lang w:val="en-GB"/>
        </w:rPr>
        <w:footnoteReference w:id="65"/>
      </w:r>
      <w:r w:rsidRPr="00F03A26">
        <w:rPr>
          <w:rFonts w:asciiTheme="majorBidi" w:hAnsiTheme="majorBidi" w:cstheme="majorBidi"/>
          <w:lang w:val="en-GB"/>
        </w:rPr>
        <w:t xml:space="preserve"> (</w:t>
      </w:r>
      <w:r w:rsidRPr="00DB692C">
        <w:rPr>
          <w:rFonts w:ascii="Times New Roman" w:hAnsi="Times New Roman"/>
          <w:lang w:val="en-GB"/>
        </w:rPr>
        <w:t xml:space="preserve">Fig. 8). The rocky area to the west was </w:t>
      </w:r>
      <w:r w:rsidRPr="000D2005">
        <w:rPr>
          <w:rFonts w:ascii="Times New Roman" w:eastAsia="Calibri" w:hAnsi="Times New Roman" w:cs="Times New Roman"/>
          <w:lang w:val="en-GB"/>
        </w:rPr>
        <w:t>not disturbed. The drainage channel starts</w:t>
      </w:r>
      <w:r w:rsidRPr="00DB692C">
        <w:rPr>
          <w:rFonts w:ascii="Times New Roman" w:hAnsi="Times New Roman"/>
          <w:lang w:val="en-GB"/>
        </w:rPr>
        <w:t xml:space="preserve"> from the north of this rocky area</w:t>
      </w:r>
      <w:r w:rsidRPr="000D2005">
        <w:rPr>
          <w:rFonts w:ascii="Times New Roman" w:eastAsia="Calibri" w:hAnsi="Times New Roman" w:cs="Times New Roman"/>
          <w:lang w:val="en-GB"/>
        </w:rPr>
        <w:t>. It is essential to note</w:t>
      </w:r>
      <w:r w:rsidRPr="00DB692C">
        <w:rPr>
          <w:rFonts w:ascii="Times New Roman" w:hAnsi="Times New Roman"/>
          <w:lang w:val="en-GB"/>
        </w:rPr>
        <w:t xml:space="preserve"> the presence of a wall </w:t>
      </w:r>
      <w:r w:rsidRPr="000D2005">
        <w:rPr>
          <w:rFonts w:ascii="Times New Roman" w:eastAsia="Calibri" w:hAnsi="Times New Roman" w:cs="Times New Roman"/>
          <w:lang w:val="en-GB"/>
        </w:rPr>
        <w:t>that includes</w:t>
      </w:r>
      <w:r w:rsidRPr="00DB692C">
        <w:rPr>
          <w:rFonts w:ascii="Times New Roman" w:hAnsi="Times New Roman"/>
          <w:lang w:val="en-GB"/>
        </w:rPr>
        <w:t xml:space="preserve"> this rocky area </w:t>
      </w:r>
      <w:r w:rsidRPr="000D2005">
        <w:rPr>
          <w:rFonts w:ascii="Times New Roman" w:eastAsia="Calibri" w:hAnsi="Times New Roman" w:cs="Times New Roman"/>
          <w:lang w:val="en-GB"/>
        </w:rPr>
        <w:t xml:space="preserve">(see </w:t>
      </w:r>
      <w:r w:rsidRPr="00DB692C">
        <w:rPr>
          <w:rFonts w:ascii="Times New Roman" w:hAnsi="Times New Roman"/>
          <w:lang w:val="en-GB"/>
        </w:rPr>
        <w:t>Fig. 26). We may suggest that the niche with the chronicles of Sarduri II</w:t>
      </w:r>
      <w:r w:rsidRPr="000D2005">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DB692C">
        <w:rPr>
          <w:rFonts w:ascii="Times New Roman" w:hAnsi="Times New Roman"/>
          <w:lang w:val="en-GB"/>
        </w:rPr>
        <w:t xml:space="preserve">was carved when the abovementioned wall was already built. Traces of the wall foundations indicate the presence of a wall enclosing the north of this area in the west-east orientation and continuing east. These foundation pits where large stone blocks were placed should be related to the early construction phase in this area. Then, it is understood that there was a wall in the north of Hazine Kapısı/Analıkız. This wall overlaps with the city walls as well. The </w:t>
      </w:r>
      <w:r w:rsidRPr="000D2005">
        <w:rPr>
          <w:rFonts w:ascii="Times New Roman" w:eastAsia="Calibri" w:hAnsi="Times New Roman" w:cs="Times New Roman"/>
          <w:lang w:val="en-GB"/>
        </w:rPr>
        <w:t>foundation</w:t>
      </w:r>
      <w:r w:rsidRPr="00DB692C">
        <w:rPr>
          <w:rFonts w:ascii="Times New Roman" w:hAnsi="Times New Roman"/>
          <w:lang w:val="en-GB"/>
        </w:rPr>
        <w:t xml:space="preserve"> pits of walls on the rocky area above the two niches on the south of the area and the foundation pits to the east</w:t>
      </w:r>
      <w:r w:rsidRPr="00F03A26">
        <w:rPr>
          <w:rStyle w:val="DipnotBavurusu"/>
          <w:rFonts w:asciiTheme="majorBidi" w:hAnsiTheme="majorBidi" w:cstheme="majorBidi"/>
          <w:lang w:val="en-GB"/>
        </w:rPr>
        <w:footnoteReference w:id="66"/>
      </w:r>
      <w:r w:rsidRPr="00DB692C">
        <w:rPr>
          <w:rFonts w:ascii="Times New Roman" w:hAnsi="Times New Roman"/>
          <w:lang w:val="en-GB"/>
        </w:rPr>
        <w:t xml:space="preserve"> and west all allow us to suggest that this was an enclosed area (Fig. 26-27).</w:t>
      </w:r>
    </w:p>
    <w:p w14:paraId="4A8D0098" w14:textId="05210462" w:rsidR="00BC2CE3" w:rsidRPr="00C724E9" w:rsidRDefault="00BC2CE3" w:rsidP="00D73826">
      <w:pPr>
        <w:jc w:val="both"/>
        <w:rPr>
          <w:rFonts w:ascii="Times New Roman" w:hAnsi="Times New Roman"/>
          <w:lang w:val="en-GB"/>
        </w:rPr>
      </w:pPr>
      <w:r w:rsidRPr="00C724E9">
        <w:rPr>
          <w:rFonts w:ascii="Times New Roman" w:hAnsi="Times New Roman"/>
          <w:lang w:val="en-GB"/>
        </w:rPr>
        <w:t xml:space="preserve">The lack of a stairway or a path to provide access from below also strengthens the relationship of this area with the citadel. Photographs published by Marr and Orbeli </w:t>
      </w:r>
      <w:r w:rsidRPr="000D2005">
        <w:rPr>
          <w:rFonts w:ascii="Times New Roman" w:eastAsia="Calibri" w:hAnsi="Times New Roman" w:cs="Times New Roman"/>
          <w:lang w:val="en-GB"/>
        </w:rPr>
        <w:t>show</w:t>
      </w:r>
      <w:r w:rsidRPr="00C724E9">
        <w:rPr>
          <w:rFonts w:ascii="Times New Roman" w:hAnsi="Times New Roman"/>
          <w:lang w:val="en-GB"/>
        </w:rPr>
        <w:t xml:space="preserve"> the </w:t>
      </w:r>
      <w:r w:rsidRPr="000D2005">
        <w:rPr>
          <w:rFonts w:ascii="Times New Roman" w:eastAsia="Calibri" w:hAnsi="Times New Roman" w:cs="Times New Roman"/>
          <w:lang w:val="en-GB"/>
        </w:rPr>
        <w:t xml:space="preserve">area's </w:t>
      </w:r>
      <w:r w:rsidRPr="00C724E9">
        <w:rPr>
          <w:rFonts w:ascii="Times New Roman" w:hAnsi="Times New Roman"/>
          <w:lang w:val="en-GB"/>
        </w:rPr>
        <w:t>state before the excavations began. There was no access to this space from below the rocky slopes (Marr &amp; Orbeli, 1922: Pl. 1). Considering the climate, as well as the rain and snowfall amount of Van, a channel or drainage for water discharge in rainy seasons would be expected, which further strengthens the suggestion that the Analıkız</w:t>
      </w:r>
      <w:r w:rsidRPr="000D2005">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area was enclosed and roofed (Genç &amp; Konyar, 2019: 9-10).</w:t>
      </w:r>
    </w:p>
    <w:p w14:paraId="45D5C2F1" w14:textId="77777777" w:rsidR="00BC2CE3" w:rsidRPr="00C724E9" w:rsidRDefault="00BC2CE3" w:rsidP="00BC2CE3">
      <w:pPr>
        <w:keepNext/>
        <w:keepLines/>
        <w:spacing w:before="40"/>
        <w:jc w:val="both"/>
        <w:outlineLvl w:val="1"/>
        <w:rPr>
          <w:rFonts w:ascii="Times New Roman" w:hAnsi="Times New Roman"/>
          <w:b/>
          <w:color w:val="000000"/>
          <w:sz w:val="28"/>
          <w:lang w:val="en-GB"/>
        </w:rPr>
      </w:pPr>
      <w:bookmarkStart w:id="170" w:name="_Toc132072564"/>
      <w:bookmarkStart w:id="171" w:name="_Toc173231259"/>
      <w:r w:rsidRPr="00C724E9">
        <w:rPr>
          <w:rFonts w:ascii="Times New Roman" w:hAnsi="Times New Roman"/>
          <w:b/>
          <w:color w:val="000000"/>
          <w:sz w:val="28"/>
          <w:lang w:val="en-GB"/>
        </w:rPr>
        <w:t>10.</w:t>
      </w:r>
      <w:bookmarkEnd w:id="170"/>
      <w:r w:rsidRPr="00C724E9">
        <w:rPr>
          <w:rFonts w:ascii="Times New Roman" w:hAnsi="Times New Roman"/>
          <w:b/>
          <w:color w:val="000000"/>
          <w:sz w:val="28"/>
          <w:lang w:val="en-GB"/>
        </w:rPr>
        <w:t>4. Conclusion</w:t>
      </w:r>
      <w:bookmarkEnd w:id="171"/>
    </w:p>
    <w:p w14:paraId="34A45EE2" w14:textId="77777777" w:rsidR="00BC2CE3" w:rsidRPr="00C724E9" w:rsidRDefault="00BC2CE3" w:rsidP="00BC2CE3">
      <w:pPr>
        <w:jc w:val="both"/>
        <w:rPr>
          <w:rFonts w:ascii="Times New Roman" w:hAnsi="Times New Roman"/>
          <w:lang w:val="en-GB"/>
        </w:rPr>
      </w:pPr>
      <w:r w:rsidRPr="00C724E9">
        <w:rPr>
          <w:rFonts w:ascii="Times New Roman" w:hAnsi="Times New Roman"/>
          <w:lang w:val="en-GB"/>
        </w:rPr>
        <w:t>The two monumental niches and the stelae or obelisks found in the area that is today known as Hazine Kapısı/Analıkız</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in the capital Ṭušpa</w:t>
      </w:r>
      <w:r w:rsidRPr="001766C7">
        <w:rPr>
          <w:rFonts w:ascii="Times New Roman" w:eastAsia="Calibri" w:hAnsi="Times New Roman" w:cs="Times New Roman"/>
          <w:lang w:val="en-GB"/>
        </w:rPr>
        <w:t> </w:t>
      </w:r>
      <w:r w:rsidRPr="00C724E9">
        <w:rPr>
          <w:rFonts w:ascii="Times New Roman" w:hAnsi="Times New Roman"/>
          <w:lang w:val="en-GB"/>
        </w:rPr>
        <w:t xml:space="preserve">and the citadel </w:t>
      </w:r>
      <w:r w:rsidRPr="001766C7">
        <w:rPr>
          <w:rFonts w:ascii="Times New Roman" w:eastAsia="Calibri" w:hAnsi="Times New Roman" w:cs="Times New Roman"/>
          <w:lang w:val="en-GB"/>
        </w:rPr>
        <w:t>reflect</w:t>
      </w:r>
      <w:r w:rsidRPr="00C724E9">
        <w:rPr>
          <w:rFonts w:ascii="Times New Roman" w:hAnsi="Times New Roman"/>
          <w:lang w:val="en-GB"/>
        </w:rPr>
        <w:t xml:space="preserve"> an adapted version of the Assyrian</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obelisks in the Urartian</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kingdom (Fig. 1-3). These stelae differ strikingly from other examples in the Urartian kingdom in terms of their forms and designs. They were inscribed on two or four sides with cuneiform texts that narrate the chronicles of Minua</w:t>
      </w:r>
      <w:r>
        <w:rPr>
          <w:rFonts w:ascii="Times New Roman" w:hAnsi="Times New Roman"/>
          <w:lang w:val="en-GB"/>
        </w:rPr>
        <w:fldChar w:fldCharType="begin"/>
      </w:r>
      <w:r>
        <w:instrText xml:space="preserve"> XE "</w:instrText>
      </w:r>
      <w:r w:rsidRPr="00C724E9">
        <w:rPr>
          <w:rFonts w:ascii="Times New Roman" w:hAnsi="Times New Roman"/>
          <w:lang w:val="en-GB"/>
        </w:rPr>
        <w:instrText>Minua</w:instrText>
      </w:r>
      <w:r>
        <w:instrText xml:space="preserve">" </w:instrText>
      </w:r>
      <w:r>
        <w:rPr>
          <w:rFonts w:ascii="Times New Roman" w:hAnsi="Times New Roman"/>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Cs/>
          <w:lang w:val="en-GB"/>
        </w:rPr>
        <w:t>Argišti</w:t>
      </w:r>
      <w:r w:rsidRPr="00F03A26">
        <w:rPr>
          <w:rFonts w:asciiTheme="majorBidi" w:hAnsiTheme="majorBidi" w:cstheme="majorBidi"/>
          <w:lang w:val="en-GB"/>
        </w:rPr>
        <w:t xml:space="preserve"> 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 xml:space="preserve">Argišti </w:instrText>
      </w:r>
      <w:r w:rsidRPr="00F03A26">
        <w:rPr>
          <w:rFonts w:asciiTheme="majorBidi" w:hAnsiTheme="majorBidi" w:cstheme="majorBidi"/>
          <w:lang w:val="en-GB"/>
        </w:rPr>
        <w:instrText xml:space="preserve">I" </w:instrText>
      </w:r>
      <w:r w:rsidRPr="00F03A26">
        <w:rPr>
          <w:rFonts w:asciiTheme="majorBidi" w:hAnsiTheme="majorBidi" w:cstheme="majorBidi"/>
          <w:lang w:val="en-GB"/>
        </w:rPr>
        <w:fldChar w:fldCharType="end"/>
      </w:r>
      <w:r w:rsidRPr="00C724E9">
        <w:rPr>
          <w:rFonts w:ascii="Times New Roman" w:hAnsi="Times New Roman"/>
          <w:lang w:val="en-GB"/>
        </w:rPr>
        <w:t xml:space="preserve"> and Sarduri II</w:t>
      </w:r>
      <w:r w:rsidRPr="001766C7">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The stelae or obelisks belonging to Argišti I and Sarduri II reflect almost an identical concept with the Assyrian obelisks that have distinct forms and designs in comparison to other Assyrian obelisks dating to the periods of Ashurnasirpal II</w:t>
      </w:r>
      <w:r w:rsidRPr="00C724E9">
        <w:rPr>
          <w:rFonts w:ascii="Times New Roman" w:eastAsia="Calibri" w:hAnsi="Times New Roman" w:cs="Times New Roman"/>
          <w:lang w:val="en-GB"/>
        </w:rPr>
        <w:t> </w:t>
      </w:r>
      <w:r w:rsidRPr="00C724E9">
        <w:rPr>
          <w:rFonts w:asciiTheme="majorBidi" w:hAnsiTheme="majorBidi" w:cstheme="majorBidi"/>
          <w:lang w:val="en-GB"/>
        </w:rPr>
        <w:fldChar w:fldCharType="begin"/>
      </w:r>
      <w:r w:rsidRPr="00C724E9">
        <w:rPr>
          <w:rFonts w:asciiTheme="majorBidi" w:hAnsiTheme="majorBidi" w:cstheme="majorBidi"/>
          <w:lang w:val="en-GB"/>
        </w:rPr>
        <w:instrText xml:space="preserve"> XE "</w:instrText>
      </w:r>
      <w:r w:rsidRPr="00C724E9">
        <w:rPr>
          <w:rStyle w:val="Vurgu"/>
          <w:rFonts w:asciiTheme="majorBidi" w:hAnsiTheme="majorBidi" w:cstheme="majorBidi"/>
          <w:i w:val="0"/>
          <w:iCs w:val="0"/>
          <w:shd w:val="clear" w:color="auto" w:fill="FFFFFF"/>
          <w:lang w:val="en-GB"/>
        </w:rPr>
        <w:instrText>Ashurnasirpal</w:instrText>
      </w:r>
      <w:r w:rsidRPr="00C724E9">
        <w:rPr>
          <w:rFonts w:asciiTheme="majorBidi" w:hAnsiTheme="majorBidi" w:cstheme="majorBidi"/>
          <w:lang w:val="en-GB"/>
        </w:rPr>
        <w:instrText xml:space="preserve"> II" </w:instrText>
      </w:r>
      <w:r w:rsidRPr="00C724E9">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and Shalmaneser III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C724E9">
        <w:rPr>
          <w:rStyle w:val="Vurgu"/>
          <w:rFonts w:asciiTheme="majorBidi" w:hAnsiTheme="majorBidi" w:cstheme="majorBidi"/>
          <w:i w:val="0"/>
          <w:iCs w:val="0"/>
          <w:shd w:val="clear" w:color="auto" w:fill="FFFFFF"/>
          <w:lang w:val="en-GB"/>
        </w:rPr>
        <w:instrText xml:space="preserve">Shalmaneser </w:instrText>
      </w:r>
      <w:r w:rsidRPr="00C724E9">
        <w:rPr>
          <w:rFonts w:asciiTheme="majorBidi" w:hAnsiTheme="majorBidi" w:cstheme="majorBidi"/>
          <w:noProof/>
          <w:lang w:val="en-GB"/>
        </w:rPr>
        <w:instrText>III</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The difference between the stele of Sarduri II and the Assyrian obelisks concerns relief decorations, which is </w:t>
      </w:r>
      <w:r w:rsidRPr="001766C7">
        <w:rPr>
          <w:rFonts w:ascii="Times New Roman" w:eastAsia="Calibri" w:hAnsi="Times New Roman" w:cs="Times New Roman"/>
          <w:lang w:val="en-GB"/>
        </w:rPr>
        <w:t>entirely</w:t>
      </w:r>
      <w:r w:rsidRPr="00C724E9">
        <w:rPr>
          <w:rFonts w:ascii="Times New Roman" w:hAnsi="Times New Roman"/>
          <w:lang w:val="en-GB"/>
        </w:rPr>
        <w:t xml:space="preserve"> unknown for the Urartian kingdom. Apart from that, the contents of the inscriptions on the stelae and their connection to the citadels show parallels. In this regard, it is plausible to suggest that the obelisk tradition of Assyrian capitals and citadels inspired the stelae or obelisks in Hazine Kapısı/Analıkız inside the citadel of the capital Ṭušpa.</w:t>
      </w:r>
    </w:p>
    <w:p w14:paraId="20D8DAF2" w14:textId="77777777" w:rsidR="00BC2CE3" w:rsidRDefault="00BC2CE3" w:rsidP="00BC2CE3">
      <w:pPr>
        <w:jc w:val="both"/>
        <w:rPr>
          <w:rFonts w:ascii="Times New Roman" w:hAnsi="Times New Roman"/>
          <w:lang w:val="en-GB"/>
        </w:rPr>
      </w:pPr>
      <w:r w:rsidRPr="00C724E9">
        <w:rPr>
          <w:rFonts w:ascii="Times New Roman" w:hAnsi="Times New Roman"/>
          <w:lang w:val="en-GB"/>
        </w:rPr>
        <w:t>This area</w:t>
      </w:r>
      <w:r w:rsidRPr="001766C7">
        <w:rPr>
          <w:rFonts w:ascii="Times New Roman" w:eastAsia="Calibri" w:hAnsi="Times New Roman" w:cs="Times New Roman"/>
          <w:lang w:val="en-GB"/>
        </w:rPr>
        <w:t>,</w:t>
      </w:r>
      <w:r w:rsidRPr="00C724E9">
        <w:rPr>
          <w:rFonts w:ascii="Times New Roman" w:hAnsi="Times New Roman"/>
          <w:lang w:val="en-GB"/>
        </w:rPr>
        <w:t xml:space="preserve"> known as Hazine Kapısı or Analıkız</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has been defined with a narrative discourse throughout the 19th century. The link between the name </w:t>
      </w:r>
      <w:r>
        <w:rPr>
          <w:rFonts w:ascii="Times New Roman" w:eastAsia="Calibri" w:hAnsi="Times New Roman" w:cs="Times New Roman"/>
          <w:lang w:val="en-GB"/>
        </w:rPr>
        <w:t>‘</w:t>
      </w:r>
      <w:r w:rsidRPr="001766C7">
        <w:rPr>
          <w:rFonts w:ascii="Times New Roman" w:eastAsia="Calibri" w:hAnsi="Times New Roman" w:cs="Times New Roman"/>
          <w:lang w:val="en-GB"/>
        </w:rPr>
        <w:t>Hazine Kapısı</w:t>
      </w:r>
      <w:r>
        <w:rPr>
          <w:rFonts w:ascii="Times New Roman" w:eastAsia="Calibri" w:hAnsi="Times New Roman" w:cs="Times New Roman"/>
          <w:lang w:val="en-GB"/>
        </w:rPr>
        <w:t>’</w:t>
      </w:r>
      <w:r w:rsidRPr="00C724E9">
        <w:rPr>
          <w:rFonts w:ascii="Times New Roman" w:hAnsi="Times New Roman"/>
          <w:lang w:val="en-GB"/>
        </w:rPr>
        <w:t xml:space="preserve"> </w:t>
      </w:r>
      <w:r w:rsidRPr="00C724E9">
        <w:rPr>
          <w:rFonts w:ascii="Times New Roman" w:hAnsi="Times New Roman"/>
          <w:lang w:val="en-GB"/>
        </w:rPr>
        <w:lastRenderedPageBreak/>
        <w:t xml:space="preserve">and the sanctity attributed to this space is </w:t>
      </w:r>
      <w:r w:rsidRPr="001766C7">
        <w:rPr>
          <w:rFonts w:ascii="Times New Roman" w:eastAsia="Calibri" w:hAnsi="Times New Roman" w:cs="Times New Roman"/>
          <w:lang w:val="en-GB"/>
        </w:rPr>
        <w:t>evident</w:t>
      </w:r>
      <w:r w:rsidRPr="00C724E9">
        <w:rPr>
          <w:rFonts w:ascii="Times New Roman" w:hAnsi="Times New Roman"/>
          <w:lang w:val="en-GB"/>
        </w:rPr>
        <w:t xml:space="preserve"> in the story quoted by Layard</w:t>
      </w:r>
      <w:r>
        <w:rPr>
          <w:rFonts w:asciiTheme="majorBidi" w:hAnsiTheme="majorBidi" w:cstheme="majorBidi"/>
          <w:lang w:val="en-GB"/>
        </w:rPr>
        <w:fldChar w:fldCharType="begin"/>
      </w:r>
      <w:r>
        <w:instrText xml:space="preserve"> XE "</w:instrText>
      </w:r>
      <w:r w:rsidRPr="00995E06">
        <w:rPr>
          <w:rFonts w:asciiTheme="majorBidi" w:hAnsiTheme="majorBidi" w:cstheme="majorBidi"/>
          <w:kern w:val="0"/>
          <w:sz w:val="22"/>
          <w:szCs w:val="22"/>
          <w:lang w:val="en-US"/>
          <w14:ligatures w14:val="none"/>
        </w:rPr>
        <w:instrText>Layard</w:instrText>
      </w:r>
      <w:r>
        <w:instrText xml:space="preserve">" </w:instrText>
      </w:r>
      <w:r>
        <w:rPr>
          <w:rFonts w:asciiTheme="majorBidi" w:hAnsiTheme="majorBidi" w:cstheme="majorBidi"/>
          <w:lang w:val="en-GB"/>
        </w:rPr>
        <w:fldChar w:fldCharType="end"/>
      </w:r>
      <w:r w:rsidRPr="00C724E9">
        <w:rPr>
          <w:rFonts w:ascii="Times New Roman" w:hAnsi="Times New Roman"/>
          <w:lang w:val="en-GB"/>
        </w:rPr>
        <w:t xml:space="preserve"> and Schulz</w:t>
      </w:r>
      <w:r>
        <w:rPr>
          <w:rFonts w:ascii="Times New Roman" w:eastAsia="Calibri" w:hAnsi="Times New Roman" w:cs="Times New Roman"/>
          <w:lang w:val="en-GB"/>
        </w:rPr>
        <w:t xml:space="preserve"> </w:t>
      </w:r>
      <w:r>
        <w:rPr>
          <w:rFonts w:asciiTheme="majorBidi" w:hAnsiTheme="majorBidi" w:cstheme="majorBidi"/>
          <w:lang w:val="en-GB"/>
        </w:rPr>
        <w:fldChar w:fldCharType="begin"/>
      </w:r>
      <w:r>
        <w:instrText xml:space="preserve"> XE "</w:instrText>
      </w:r>
      <w:r w:rsidRPr="009738B5">
        <w:rPr>
          <w:rFonts w:asciiTheme="majorBidi" w:hAnsiTheme="majorBidi" w:cstheme="majorBidi"/>
          <w:kern w:val="0"/>
          <w:sz w:val="22"/>
          <w:szCs w:val="22"/>
          <w:lang w:val="en-US"/>
          <w14:ligatures w14:val="none"/>
        </w:rPr>
        <w:instrText>Schulz</w:instrText>
      </w:r>
      <w:r>
        <w:instrText xml:space="preserve">" </w:instrText>
      </w:r>
      <w:r>
        <w:rPr>
          <w:rFonts w:asciiTheme="majorBidi" w:hAnsiTheme="majorBidi" w:cstheme="majorBidi"/>
          <w:lang w:val="en-GB"/>
        </w:rPr>
        <w:fldChar w:fldCharType="end"/>
      </w:r>
      <w:r w:rsidRPr="00F03A26">
        <w:rPr>
          <w:rFonts w:asciiTheme="majorBidi" w:hAnsiTheme="majorBidi" w:cstheme="majorBidi"/>
          <w:lang w:val="en-GB"/>
        </w:rPr>
        <w:t>. Layard’s</w:t>
      </w:r>
      <w:r w:rsidRPr="00C724E9">
        <w:rPr>
          <w:rFonts w:ascii="Times New Roman" w:hAnsi="Times New Roman"/>
          <w:lang w:val="en-GB"/>
        </w:rPr>
        <w:t xml:space="preserve"> excavation in Analıkız, the subject of this narration, was pioneering for Urartian</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archaeology. Following </w:t>
      </w:r>
      <w:r w:rsidRPr="001766C7">
        <w:rPr>
          <w:rFonts w:ascii="Times New Roman" w:eastAsia="Calibri" w:hAnsi="Times New Roman" w:cs="Times New Roman"/>
          <w:lang w:val="en-GB"/>
        </w:rPr>
        <w:t>Layard's</w:t>
      </w:r>
      <w:r w:rsidRPr="00C724E9">
        <w:rPr>
          <w:rFonts w:ascii="Times New Roman" w:hAnsi="Times New Roman"/>
          <w:lang w:val="en-GB"/>
        </w:rPr>
        <w:t xml:space="preserve"> work, the excavations of Marr and Orbeli (Fig. 16, 22) and Lake (Fig. 20-21) were </w:t>
      </w:r>
      <w:r w:rsidRPr="001766C7">
        <w:rPr>
          <w:rFonts w:ascii="Times New Roman" w:eastAsia="Calibri" w:hAnsi="Times New Roman" w:cs="Times New Roman"/>
          <w:lang w:val="en-GB"/>
        </w:rPr>
        <w:t>significant and</w:t>
      </w:r>
      <w:r w:rsidRPr="00C724E9">
        <w:rPr>
          <w:rFonts w:ascii="Times New Roman" w:hAnsi="Times New Roman"/>
          <w:lang w:val="en-GB"/>
        </w:rPr>
        <w:t xml:space="preserve"> provided insights into our understanding of this area. However, these excavations resulted </w:t>
      </w:r>
      <w:r w:rsidRPr="001766C7">
        <w:rPr>
          <w:rFonts w:ascii="Times New Roman" w:eastAsia="Calibri" w:hAnsi="Times New Roman" w:cs="Times New Roman"/>
          <w:lang w:val="en-GB"/>
        </w:rPr>
        <w:t>in</w:t>
      </w:r>
      <w:r w:rsidRPr="00C724E9">
        <w:rPr>
          <w:rFonts w:ascii="Times New Roman" w:hAnsi="Times New Roman"/>
          <w:lang w:val="en-GB"/>
        </w:rPr>
        <w:t xml:space="preserve"> the removal of various remains, which today prove difficult in reconstructing the building phases of this monumental area.</w:t>
      </w:r>
    </w:p>
    <w:p w14:paraId="64507A76" w14:textId="77777777" w:rsidR="00BC2CE3" w:rsidRPr="00C724E9" w:rsidRDefault="00BC2CE3" w:rsidP="00BC2CE3">
      <w:pPr>
        <w:jc w:val="both"/>
        <w:rPr>
          <w:rFonts w:ascii="Times New Roman" w:hAnsi="Times New Roman"/>
          <w:lang w:val="en-GB"/>
        </w:rPr>
      </w:pPr>
    </w:p>
    <w:p w14:paraId="3A543D65" w14:textId="77777777" w:rsidR="00BC2CE3" w:rsidRDefault="00BC2CE3" w:rsidP="00BC2CE3">
      <w:pPr>
        <w:jc w:val="both"/>
        <w:rPr>
          <w:rFonts w:ascii="Times New Roman" w:hAnsi="Times New Roman"/>
          <w:lang w:val="en-GB"/>
        </w:rPr>
      </w:pPr>
      <w:r w:rsidRPr="00C724E9">
        <w:rPr>
          <w:rFonts w:ascii="Times New Roman" w:hAnsi="Times New Roman"/>
          <w:lang w:val="en-GB"/>
        </w:rPr>
        <w:t>Lehmann-</w:t>
      </w:r>
      <w:r w:rsidRPr="001766C7">
        <w:rPr>
          <w:rFonts w:ascii="Times New Roman" w:eastAsia="Calibri" w:hAnsi="Times New Roman" w:cs="Times New Roman"/>
          <w:lang w:val="en-GB"/>
        </w:rPr>
        <w:t>Haupt's</w:t>
      </w:r>
      <w:r w:rsidRPr="00C724E9">
        <w:rPr>
          <w:rFonts w:ascii="Times New Roman" w:hAnsi="Times New Roman"/>
          <w:lang w:val="en-GB"/>
        </w:rPr>
        <w:t xml:space="preserve"> interpretation of the channel that starts just outside this area in the northern slopes as a channel for sacrificial animals has been accepted without questioning by various researchers, </w:t>
      </w:r>
      <w:r w:rsidRPr="001766C7">
        <w:rPr>
          <w:rFonts w:ascii="Times New Roman" w:eastAsia="Calibri" w:hAnsi="Times New Roman" w:cs="Times New Roman"/>
          <w:lang w:val="en-GB"/>
        </w:rPr>
        <w:t>reinforcing</w:t>
      </w:r>
      <w:r w:rsidRPr="00C724E9">
        <w:rPr>
          <w:rFonts w:ascii="Times New Roman" w:hAnsi="Times New Roman"/>
          <w:lang w:val="en-GB"/>
        </w:rPr>
        <w:t xml:space="preserve"> the identification of this area as an open-air sanctuary. As indicated above, the excavations at Analıkız</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in 1916 and 1938 resulted </w:t>
      </w:r>
      <w:r w:rsidRPr="001766C7">
        <w:rPr>
          <w:rFonts w:ascii="Times New Roman" w:eastAsia="Calibri" w:hAnsi="Times New Roman" w:cs="Times New Roman"/>
          <w:lang w:val="en-GB"/>
        </w:rPr>
        <w:t>in</w:t>
      </w:r>
      <w:r w:rsidRPr="00C724E9">
        <w:rPr>
          <w:rFonts w:ascii="Times New Roman" w:hAnsi="Times New Roman"/>
          <w:lang w:val="en-GB"/>
        </w:rPr>
        <w:t xml:space="preserve"> the complete removal of archaeological remains, </w:t>
      </w:r>
      <w:r w:rsidRPr="001766C7">
        <w:rPr>
          <w:rFonts w:ascii="Times New Roman" w:eastAsia="Calibri" w:hAnsi="Times New Roman" w:cs="Times New Roman"/>
          <w:lang w:val="en-GB"/>
        </w:rPr>
        <w:t>contributing</w:t>
      </w:r>
      <w:r w:rsidRPr="00C724E9">
        <w:rPr>
          <w:rFonts w:ascii="Times New Roman" w:hAnsi="Times New Roman"/>
          <w:lang w:val="en-GB"/>
        </w:rPr>
        <w:t xml:space="preserve"> to later identifications of the area as an open-air sanctuary or a temple. Beliefs about this area remained in the social memory and have been reflected up to the present. However, data yielded by the excavations and other archaeological remains</w:t>
      </w:r>
      <w:r w:rsidRPr="001766C7">
        <w:rPr>
          <w:rFonts w:ascii="Times New Roman" w:eastAsia="Calibri" w:hAnsi="Times New Roman" w:cs="Times New Roman"/>
          <w:lang w:val="en-GB"/>
        </w:rPr>
        <w:t>,</w:t>
      </w:r>
      <w:r w:rsidRPr="00C724E9">
        <w:rPr>
          <w:rFonts w:ascii="Times New Roman" w:hAnsi="Times New Roman"/>
          <w:lang w:val="en-GB"/>
        </w:rPr>
        <w:t xml:space="preserve"> such as the walls removed from the interior parts of this space and the foundation pits for the walls still visible today</w:t>
      </w:r>
      <w:r w:rsidRPr="001766C7">
        <w:rPr>
          <w:rFonts w:ascii="Times New Roman" w:eastAsia="Calibri" w:hAnsi="Times New Roman" w:cs="Times New Roman"/>
          <w:lang w:val="en-GB"/>
        </w:rPr>
        <w:t>,</w:t>
      </w:r>
      <w:r w:rsidRPr="00C724E9">
        <w:rPr>
          <w:rFonts w:ascii="Times New Roman" w:hAnsi="Times New Roman"/>
          <w:lang w:val="en-GB"/>
        </w:rPr>
        <w:t xml:space="preserve"> confirm that this area was not an open-air space. It is further understood that the channel once suggested </w:t>
      </w:r>
      <w:r w:rsidRPr="001766C7">
        <w:rPr>
          <w:rFonts w:ascii="Times New Roman" w:eastAsia="Calibri" w:hAnsi="Times New Roman" w:cs="Times New Roman"/>
          <w:lang w:val="en-GB"/>
        </w:rPr>
        <w:t>for</w:t>
      </w:r>
      <w:r w:rsidRPr="00C724E9">
        <w:rPr>
          <w:rFonts w:ascii="Times New Roman" w:hAnsi="Times New Roman"/>
          <w:lang w:val="en-GB"/>
        </w:rPr>
        <w:t xml:space="preserve"> sacrificial purposes was one of the drainage channels for water or refuse discharge from the citadel (Fig. 18-19). The location and dimensions of the channel and its relationship with the citadel </w:t>
      </w:r>
      <w:r w:rsidRPr="001766C7">
        <w:rPr>
          <w:rFonts w:ascii="Times New Roman" w:eastAsia="Calibri" w:hAnsi="Times New Roman" w:cs="Times New Roman"/>
          <w:lang w:val="en-GB"/>
        </w:rPr>
        <w:t>strengthen</w:t>
      </w:r>
      <w:r w:rsidRPr="00C724E9">
        <w:rPr>
          <w:rFonts w:ascii="Times New Roman" w:hAnsi="Times New Roman"/>
          <w:lang w:val="en-GB"/>
        </w:rPr>
        <w:t xml:space="preserve"> this proposal.</w:t>
      </w:r>
    </w:p>
    <w:p w14:paraId="1AD80A31" w14:textId="77777777" w:rsidR="00BC2CE3" w:rsidRPr="00C724E9" w:rsidRDefault="00BC2CE3" w:rsidP="00BC2CE3">
      <w:pPr>
        <w:jc w:val="both"/>
        <w:rPr>
          <w:rFonts w:ascii="Times New Roman" w:hAnsi="Times New Roman"/>
          <w:lang w:val="en-GB"/>
        </w:rPr>
      </w:pPr>
    </w:p>
    <w:p w14:paraId="4CC43078" w14:textId="77777777" w:rsidR="00BC2CE3" w:rsidRPr="00C724E9" w:rsidRDefault="00BC2CE3" w:rsidP="00BC2CE3">
      <w:pPr>
        <w:jc w:val="both"/>
        <w:rPr>
          <w:rFonts w:ascii="Times New Roman" w:hAnsi="Times New Roman"/>
          <w:lang w:val="en-GB"/>
        </w:rPr>
      </w:pPr>
      <w:r w:rsidRPr="00C724E9">
        <w:rPr>
          <w:rFonts w:ascii="Times New Roman" w:hAnsi="Times New Roman"/>
          <w:lang w:val="en-GB"/>
        </w:rPr>
        <w:t xml:space="preserve">The foundation pits encircling the area indicate that it was a monumental space directly related to the citadel that was enclosed with walls and no access from the outside (Fig. 2-3, 8-9). Furthermore, </w:t>
      </w:r>
      <w:r w:rsidRPr="001766C7">
        <w:rPr>
          <w:rFonts w:ascii="Times New Roman" w:eastAsia="Calibri" w:hAnsi="Times New Roman" w:cs="Times New Roman"/>
          <w:lang w:val="en-GB"/>
        </w:rPr>
        <w:t>suppose</w:t>
      </w:r>
      <w:r w:rsidRPr="00C724E9">
        <w:rPr>
          <w:rFonts w:ascii="Times New Roman" w:hAnsi="Times New Roman"/>
          <w:lang w:val="en-GB"/>
        </w:rPr>
        <w:t xml:space="preserve"> Hazine Kapısı/Analıkız</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was an open area</w:t>
      </w:r>
      <w:r w:rsidRPr="001766C7">
        <w:rPr>
          <w:rFonts w:ascii="Times New Roman" w:eastAsia="Calibri" w:hAnsi="Times New Roman" w:cs="Times New Roman"/>
          <w:lang w:val="en-GB"/>
        </w:rPr>
        <w:t>. In that case,</w:t>
      </w:r>
      <w:r w:rsidRPr="00C724E9">
        <w:rPr>
          <w:rFonts w:ascii="Times New Roman" w:hAnsi="Times New Roman"/>
          <w:lang w:val="en-GB"/>
        </w:rPr>
        <w:t xml:space="preserve"> there should have been a channel for water discharge from this area to the outside to prevent water accumulation inside during rainy seasons. The lack of such channels </w:t>
      </w:r>
      <w:r w:rsidRPr="001766C7">
        <w:rPr>
          <w:rFonts w:ascii="Times New Roman" w:eastAsia="Calibri" w:hAnsi="Times New Roman" w:cs="Times New Roman"/>
          <w:lang w:val="en-GB"/>
        </w:rPr>
        <w:t>indicates</w:t>
      </w:r>
      <w:r w:rsidRPr="00C724E9">
        <w:rPr>
          <w:rFonts w:ascii="Times New Roman" w:hAnsi="Times New Roman"/>
          <w:lang w:val="en-GB"/>
        </w:rPr>
        <w:t xml:space="preserve"> that this space was enclosed and roofed. The wall remains</w:t>
      </w:r>
      <w:r w:rsidRPr="001766C7">
        <w:rPr>
          <w:rFonts w:ascii="Times New Roman" w:eastAsia="Calibri" w:hAnsi="Times New Roman" w:cs="Times New Roman"/>
          <w:lang w:val="en-GB"/>
        </w:rPr>
        <w:t>,</w:t>
      </w:r>
      <w:r w:rsidRPr="00C724E9">
        <w:rPr>
          <w:rFonts w:ascii="Times New Roman" w:hAnsi="Times New Roman"/>
          <w:lang w:val="en-GB"/>
        </w:rPr>
        <w:t xml:space="preserve"> and foundation pits also invalidate such definitions as </w:t>
      </w:r>
      <w:r w:rsidRPr="001766C7">
        <w:rPr>
          <w:rFonts w:ascii="Times New Roman" w:eastAsia="Calibri" w:hAnsi="Times New Roman" w:cs="Times New Roman"/>
          <w:lang w:val="en-GB"/>
        </w:rPr>
        <w:t xml:space="preserve">an </w:t>
      </w:r>
      <w:r w:rsidRPr="00C724E9">
        <w:rPr>
          <w:rFonts w:ascii="Times New Roman" w:hAnsi="Times New Roman"/>
          <w:lang w:val="en-GB"/>
        </w:rPr>
        <w:t>open-air sanctuary or temple. Indeed, the Urartian</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stelae were considered sacred under the protection of Ḫaldi</w:t>
      </w:r>
      <w:r w:rsidRPr="001766C7">
        <w:rPr>
          <w:rFonts w:ascii="Times New Roman" w:eastAsia="Calibri" w:hAnsi="Times New Roman" w:cs="Times New Roman"/>
          <w:lang w:val="en-GB"/>
        </w:rPr>
        <w:t>,</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Ḫaldi</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Teišeba</w:t>
      </w:r>
      <w:r w:rsidRPr="001766C7">
        <w:rPr>
          <w:rFonts w:ascii="Times New Roman" w:eastAsia="Calibri" w:hAnsi="Times New Roman" w:cs="Times New Roman"/>
          <w:lang w:val="en-GB"/>
        </w:rPr>
        <w:t>,</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Teišeba</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and Šiuini</w:t>
      </w:r>
      <w:r w:rsidRPr="001766C7">
        <w:rPr>
          <w:rFonts w:ascii="Times New Roman" w:eastAsia="Calibri" w:hAnsi="Times New Roman" w:cs="Times New Roman"/>
          <w:lang w:val="en-GB"/>
        </w:rPr>
        <w:t>.</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Šiuini</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lang w:val="en-GB"/>
        </w:rPr>
        <w:t>.</w:t>
      </w:r>
      <w:r w:rsidRPr="00C724E9">
        <w:rPr>
          <w:rFonts w:ascii="Times New Roman" w:hAnsi="Times New Roman"/>
          <w:lang w:val="en-GB"/>
        </w:rPr>
        <w:t xml:space="preserve"> The chronicles of Sarduri II</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"Sarduri II"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 xml:space="preserve">in Hazine Kapısı/Analıkız mention the sacrificing of sheep for the god Ḫaldi and the gods of Sarduri (II). However, these data alone do not support </w:t>
      </w:r>
      <w:r w:rsidRPr="001766C7">
        <w:rPr>
          <w:rFonts w:ascii="Times New Roman" w:eastAsia="Calibri" w:hAnsi="Times New Roman" w:cs="Times New Roman"/>
          <w:lang w:val="en-GB"/>
        </w:rPr>
        <w:t>defining</w:t>
      </w:r>
      <w:r w:rsidRPr="00C724E9">
        <w:rPr>
          <w:rFonts w:ascii="Times New Roman" w:hAnsi="Times New Roman"/>
          <w:lang w:val="en-GB"/>
        </w:rPr>
        <w:t xml:space="preserve"> this area as a </w:t>
      </w:r>
      <w:r>
        <w:rPr>
          <w:rFonts w:ascii="Times New Roman" w:eastAsia="Calibri" w:hAnsi="Times New Roman" w:cs="Times New Roman"/>
          <w:lang w:val="en-GB"/>
        </w:rPr>
        <w:t>‘</w:t>
      </w:r>
      <w:r w:rsidRPr="00C724E9">
        <w:rPr>
          <w:rFonts w:ascii="Times New Roman" w:hAnsi="Times New Roman"/>
          <w:lang w:val="en-GB"/>
        </w:rPr>
        <w:t>sacred space</w:t>
      </w:r>
      <w:r>
        <w:rPr>
          <w:rFonts w:ascii="Times New Roman" w:eastAsia="Calibri" w:hAnsi="Times New Roman" w:cs="Times New Roman"/>
          <w:lang w:val="en-GB"/>
        </w:rPr>
        <w:t>’.</w:t>
      </w:r>
      <w:r w:rsidRPr="00C724E9">
        <w:rPr>
          <w:rFonts w:ascii="Times New Roman" w:hAnsi="Times New Roman"/>
          <w:lang w:val="en-GB"/>
        </w:rPr>
        <w:t xml:space="preserve"> Thus, contrary to previous definitions </w:t>
      </w:r>
      <w:r w:rsidRPr="001766C7">
        <w:rPr>
          <w:rFonts w:ascii="Times New Roman" w:eastAsia="Calibri" w:hAnsi="Times New Roman" w:cs="Times New Roman"/>
          <w:lang w:val="en-GB"/>
        </w:rPr>
        <w:t>of</w:t>
      </w:r>
      <w:r w:rsidRPr="00C724E9">
        <w:rPr>
          <w:rFonts w:ascii="Times New Roman" w:hAnsi="Times New Roman"/>
          <w:lang w:val="en-GB"/>
        </w:rPr>
        <w:t xml:space="preserve"> an open-air sanctuary, we may suggest that Hazine Kapısı/Analıkız was not an open-air cult area, had no access from the lower settlement, and was possibly designed as a monumental unit inside the citadel to place the obelisks inscribed with chronicles (Fig. 20).</w:t>
      </w:r>
    </w:p>
    <w:p w14:paraId="1D845133" w14:textId="77777777" w:rsidR="00BC2CE3" w:rsidRDefault="00BC2CE3" w:rsidP="00BC2CE3">
      <w:pPr>
        <w:jc w:val="both"/>
      </w:pPr>
      <w:r w:rsidRPr="00C724E9">
        <w:rPr>
          <w:rFonts w:ascii="Times New Roman" w:hAnsi="Times New Roman"/>
          <w:lang w:val="en-GB"/>
        </w:rPr>
        <w:t xml:space="preserve">Regarding the construction phases, the </w:t>
      </w:r>
      <w:r>
        <w:rPr>
          <w:rFonts w:ascii="Times New Roman" w:eastAsia="Calibri" w:hAnsi="Times New Roman" w:cs="Times New Roman"/>
          <w:lang w:val="en-GB"/>
        </w:rPr>
        <w:t>‘</w:t>
      </w:r>
      <w:r w:rsidRPr="001766C7">
        <w:rPr>
          <w:rFonts w:ascii="Times New Roman" w:eastAsia="Calibri" w:hAnsi="Times New Roman" w:cs="Times New Roman"/>
          <w:lang w:val="en-GB"/>
        </w:rPr>
        <w:t>Gates</w:t>
      </w:r>
      <w:r w:rsidRPr="00C724E9">
        <w:rPr>
          <w:rFonts w:ascii="Times New Roman" w:hAnsi="Times New Roman"/>
          <w:lang w:val="en-GB"/>
        </w:rPr>
        <w:t xml:space="preserve"> of </w:t>
      </w:r>
      <w:r w:rsidRPr="001766C7">
        <w:rPr>
          <w:rFonts w:ascii="Times New Roman" w:eastAsia="Calibri" w:hAnsi="Times New Roman" w:cs="Times New Roman"/>
          <w:lang w:val="en-GB"/>
        </w:rPr>
        <w:t>Ḫaldi</w:t>
      </w:r>
      <w:r>
        <w:rPr>
          <w:rFonts w:ascii="Times New Roman" w:eastAsia="Calibri" w:hAnsi="Times New Roman" w:cs="Times New Roman"/>
          <w:lang w:val="en-GB"/>
        </w:rPr>
        <w:t>’</w:t>
      </w:r>
      <w:r w:rsidRPr="00C724E9">
        <w:rPr>
          <w:rFonts w:ascii="Times New Roman" w:hAnsi="Times New Roman"/>
          <w:lang w:val="en-GB"/>
        </w:rPr>
        <w:t xml:space="preserve"> mentioned in the Tabriz Kapı Inscription of Minua</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could correspond with this area. However, the continuation of the obelisk tradition that started with Argišti I</w:t>
      </w:r>
      <w:r w:rsidRPr="001766C7">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663FD0">
        <w:rPr>
          <w:rFonts w:asciiTheme="majorBidi" w:hAnsiTheme="majorBidi" w:cstheme="majorBidi"/>
          <w:lang w:val="en-GB"/>
        </w:rPr>
        <w:instrText>Argišti</w:instrText>
      </w:r>
      <w:r w:rsidRPr="00F03A26">
        <w:rPr>
          <w:rFonts w:asciiTheme="majorBidi" w:hAnsiTheme="majorBidi" w:cstheme="majorBidi"/>
          <w:i/>
          <w:iCs/>
          <w:lang w:val="en-GB"/>
        </w:rPr>
        <w:instrText xml:space="preserve"> </w:instrText>
      </w:r>
      <w:r w:rsidRPr="00F03A26">
        <w:rPr>
          <w:rFonts w:asciiTheme="majorBidi" w:hAnsiTheme="majorBidi" w:cstheme="majorBidi"/>
          <w:lang w:val="en-GB"/>
        </w:rPr>
        <w:instrText xml:space="preserve">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C724E9">
        <w:rPr>
          <w:rFonts w:ascii="Times New Roman" w:hAnsi="Times New Roman"/>
          <w:lang w:val="en-GB"/>
        </w:rPr>
        <w:t>during the reign of Sarduri II</w:t>
      </w:r>
      <w:r>
        <w:rPr>
          <w:rFonts w:ascii="Times New Roman" w:hAnsi="Times New Roman"/>
          <w:lang w:val="en-GB"/>
        </w:rPr>
        <w:fldChar w:fldCharType="begin"/>
      </w:r>
      <w:r>
        <w:instrText xml:space="preserve"> XE "</w:instrText>
      </w:r>
      <w:r w:rsidRPr="00C724E9">
        <w:rPr>
          <w:rFonts w:ascii="Times New Roman" w:hAnsi="Times New Roman"/>
          <w:lang w:val="en-GB"/>
        </w:rPr>
        <w:instrText>Sarduri II</w:instrText>
      </w:r>
      <w:r>
        <w:instrText xml:space="preserve">" </w:instrText>
      </w:r>
      <w:r>
        <w:rPr>
          <w:rFonts w:ascii="Times New Roman" w:hAnsi="Times New Roman"/>
          <w:lang w:val="en-GB"/>
        </w:rPr>
        <w:fldChar w:fldCharType="end"/>
      </w:r>
      <w:r w:rsidRPr="001766C7">
        <w:rPr>
          <w:rFonts w:ascii="Times New Roman" w:eastAsia="Calibri" w:hAnsi="Times New Roman" w:cs="Times New Roman"/>
          <w:lang w:val="en-GB"/>
        </w:rPr>
        <w:t> indicates</w:t>
      </w:r>
      <w:r w:rsidRPr="00C724E9">
        <w:rPr>
          <w:rFonts w:ascii="Times New Roman" w:hAnsi="Times New Roman"/>
          <w:lang w:val="en-GB"/>
        </w:rPr>
        <w:t xml:space="preserve"> that the father and son continued building monumental niches in this area as a part of the same tradition. Thus, the monumental building activities in this area developed and continued under changes in the </w:t>
      </w:r>
      <w:r w:rsidRPr="001766C7">
        <w:rPr>
          <w:rFonts w:ascii="Times New Roman" w:eastAsia="Calibri" w:hAnsi="Times New Roman" w:cs="Times New Roman"/>
          <w:lang w:val="en-GB"/>
        </w:rPr>
        <w:t xml:space="preserve">kingdom's </w:t>
      </w:r>
      <w:r w:rsidRPr="00C724E9">
        <w:rPr>
          <w:rFonts w:ascii="Times New Roman" w:hAnsi="Times New Roman"/>
          <w:lang w:val="en-GB"/>
        </w:rPr>
        <w:t xml:space="preserve">traditions and became an important memory </w:t>
      </w:r>
      <w:r w:rsidRPr="001766C7">
        <w:rPr>
          <w:rFonts w:ascii="Times New Roman" w:eastAsia="Calibri" w:hAnsi="Times New Roman" w:cs="Times New Roman"/>
          <w:lang w:val="en-GB"/>
        </w:rPr>
        <w:t>center</w:t>
      </w:r>
      <w:r w:rsidRPr="00C724E9">
        <w:rPr>
          <w:rFonts w:ascii="Times New Roman" w:hAnsi="Times New Roman"/>
          <w:lang w:val="en-GB"/>
        </w:rPr>
        <w:t xml:space="preserve"> within the citadel as an archival unit with monumental niches, obelisks</w:t>
      </w:r>
      <w:r w:rsidRPr="001766C7">
        <w:rPr>
          <w:rFonts w:ascii="Times New Roman" w:eastAsia="Calibri" w:hAnsi="Times New Roman" w:cs="Times New Roman"/>
          <w:lang w:val="en-GB"/>
        </w:rPr>
        <w:t>,</w:t>
      </w:r>
      <w:r w:rsidRPr="00C724E9">
        <w:rPr>
          <w:rFonts w:ascii="Times New Roman" w:hAnsi="Times New Roman"/>
          <w:lang w:val="en-GB"/>
        </w:rPr>
        <w:t xml:space="preserve"> and the chronicles of the kings.</w:t>
      </w:r>
    </w:p>
    <w:p w14:paraId="21F21E75" w14:textId="36887DFA" w:rsidR="00BC2CE3" w:rsidRPr="00F03A26" w:rsidRDefault="00BC2CE3" w:rsidP="00F03A26">
      <w:pPr>
        <w:spacing w:before="100" w:beforeAutospacing="1" w:after="100" w:afterAutospacing="1"/>
        <w:jc w:val="both"/>
        <w:rPr>
          <w:rFonts w:asciiTheme="majorBidi" w:hAnsiTheme="majorBidi" w:cstheme="majorBidi"/>
          <w:lang w:val="en-GB"/>
        </w:rPr>
        <w:sectPr w:rsidR="00BC2CE3" w:rsidRPr="00F03A26" w:rsidSect="007F3733">
          <w:pgSz w:w="11909" w:h="16834"/>
          <w:pgMar w:top="1440" w:right="1440" w:bottom="1440" w:left="1440" w:header="720" w:footer="720" w:gutter="0"/>
          <w:cols w:space="708"/>
        </w:sectPr>
      </w:pPr>
    </w:p>
    <w:p w14:paraId="482E13A2" w14:textId="14BAA4E9" w:rsidR="00957B45" w:rsidRPr="00F03A26" w:rsidRDefault="0051046F" w:rsidP="00F03A26">
      <w:pPr>
        <w:spacing w:before="100" w:beforeAutospacing="1" w:after="100" w:afterAutospacing="1"/>
        <w:jc w:val="both"/>
        <w:rPr>
          <w:rFonts w:asciiTheme="majorBidi" w:hAnsiTheme="majorBidi" w:cstheme="majorBidi"/>
          <w:lang w:val="en-GB"/>
        </w:rPr>
      </w:pPr>
      <w:r w:rsidRPr="00F03A26">
        <w:rPr>
          <w:rFonts w:asciiTheme="majorBidi" w:hAnsiTheme="majorBidi" w:cstheme="majorBidi"/>
          <w:lang w:val="en-GB"/>
        </w:rPr>
        <w:lastRenderedPageBreak/>
        <w:t xml:space="preserve"> </w:t>
      </w:r>
    </w:p>
    <w:p w14:paraId="0B73A302" w14:textId="047534F1" w:rsidR="00957B45" w:rsidRPr="00F03A26" w:rsidRDefault="00957B45" w:rsidP="00860408">
      <w:pPr>
        <w:pStyle w:val="Balk1"/>
      </w:pPr>
      <w:bookmarkStart w:id="172" w:name="_Toc132072565"/>
      <w:bookmarkStart w:id="173" w:name="_Toc173231260"/>
      <w:r w:rsidRPr="00F03A26">
        <w:t xml:space="preserve">CHAPTER </w:t>
      </w:r>
      <w:bookmarkEnd w:id="172"/>
      <w:r w:rsidR="007F268B" w:rsidRPr="00F03A26">
        <w:t>XI</w:t>
      </w:r>
      <w:bookmarkEnd w:id="173"/>
    </w:p>
    <w:p w14:paraId="6E413E3E" w14:textId="100E42A9" w:rsidR="00957B45" w:rsidRPr="00F03A26" w:rsidRDefault="00957B45" w:rsidP="00860408">
      <w:pPr>
        <w:pStyle w:val="Balk1"/>
      </w:pPr>
      <w:bookmarkStart w:id="174" w:name="_Toc132072566"/>
      <w:bookmarkStart w:id="175" w:name="_Toc173231261"/>
      <w:r w:rsidRPr="00F03A26">
        <w:t>The Ṭušpa-Horhor</w:t>
      </w:r>
      <w:r w:rsidR="006D4DC9" w:rsidRPr="00F03A26">
        <w:fldChar w:fldCharType="begin"/>
      </w:r>
      <w:r w:rsidR="006D4DC9" w:rsidRPr="00F03A26">
        <w:instrText xml:space="preserve"> XE "Horhor" </w:instrText>
      </w:r>
      <w:r w:rsidR="006D4DC9" w:rsidRPr="00F03A26">
        <w:fldChar w:fldCharType="end"/>
      </w:r>
      <w:r w:rsidRPr="00F03A26">
        <w:t xml:space="preserve"> Fountain</w:t>
      </w:r>
      <w:bookmarkEnd w:id="174"/>
      <w:bookmarkEnd w:id="175"/>
      <w:r w:rsidR="0066296E" w:rsidRPr="00F03A26">
        <w:fldChar w:fldCharType="begin"/>
      </w:r>
      <w:r w:rsidR="0066296E" w:rsidRPr="00F03A26">
        <w:instrText xml:space="preserve"> XE "</w:instrText>
      </w:r>
      <w:r w:rsidR="0066296E" w:rsidRPr="00F03A26">
        <w:rPr>
          <w:rFonts w:eastAsia="Times New Roman"/>
        </w:rPr>
        <w:instrText>Horhor Fountain</w:instrText>
      </w:r>
      <w:r w:rsidR="0066296E" w:rsidRPr="00F03A26">
        <w:instrText xml:space="preserve">" </w:instrText>
      </w:r>
      <w:r w:rsidR="0066296E" w:rsidRPr="00F03A26">
        <w:fldChar w:fldCharType="end"/>
      </w:r>
    </w:p>
    <w:p w14:paraId="57FDCB68" w14:textId="6C938DD7" w:rsidR="00957B45" w:rsidRPr="00F03A26" w:rsidRDefault="00957B45" w:rsidP="00DE4856">
      <w:pPr>
        <w:spacing w:before="100" w:beforeAutospacing="1" w:after="100" w:afterAutospacing="1" w:line="276" w:lineRule="auto"/>
        <w:jc w:val="right"/>
        <w:rPr>
          <w:rFonts w:asciiTheme="majorBidi" w:hAnsiTheme="majorBidi" w:cstheme="majorBidi"/>
          <w:b/>
          <w:bCs/>
          <w:lang w:val="en-GB"/>
        </w:rPr>
      </w:pPr>
      <w:r w:rsidRPr="00F03A26">
        <w:rPr>
          <w:rFonts w:asciiTheme="majorBidi" w:hAnsiTheme="majorBidi" w:cstheme="majorBidi"/>
          <w:b/>
          <w:bCs/>
          <w:lang w:val="en-GB"/>
        </w:rPr>
        <w:t>B</w:t>
      </w:r>
      <w:r w:rsidR="008C5F26" w:rsidRPr="00F03A26">
        <w:rPr>
          <w:rFonts w:asciiTheme="majorBidi" w:hAnsiTheme="majorBidi" w:cstheme="majorBidi"/>
          <w:b/>
          <w:bCs/>
          <w:lang w:val="en-GB"/>
        </w:rPr>
        <w:t>ülent</w:t>
      </w:r>
      <w:r w:rsidRPr="00F03A26">
        <w:rPr>
          <w:rFonts w:asciiTheme="majorBidi" w:hAnsiTheme="majorBidi" w:cstheme="majorBidi"/>
          <w:b/>
          <w:bCs/>
          <w:lang w:val="en-GB"/>
        </w:rPr>
        <w:t xml:space="preserve"> Genç – A</w:t>
      </w:r>
      <w:r w:rsidR="008C5F26" w:rsidRPr="00F03A26">
        <w:rPr>
          <w:rFonts w:asciiTheme="majorBidi" w:hAnsiTheme="majorBidi" w:cstheme="majorBidi"/>
          <w:b/>
          <w:bCs/>
          <w:lang w:val="en-GB"/>
        </w:rPr>
        <w:t xml:space="preserve">rmağan </w:t>
      </w:r>
      <w:r w:rsidRPr="00F03A26">
        <w:rPr>
          <w:rFonts w:asciiTheme="majorBidi" w:hAnsiTheme="majorBidi" w:cstheme="majorBidi"/>
          <w:b/>
          <w:bCs/>
          <w:lang w:val="en-GB"/>
        </w:rPr>
        <w:t>Tan – C</w:t>
      </w:r>
      <w:r w:rsidR="008C5F26" w:rsidRPr="00F03A26">
        <w:rPr>
          <w:rFonts w:asciiTheme="majorBidi" w:hAnsiTheme="majorBidi" w:cstheme="majorBidi"/>
          <w:b/>
          <w:bCs/>
          <w:lang w:val="en-GB"/>
        </w:rPr>
        <w:t xml:space="preserve">an </w:t>
      </w:r>
      <w:r w:rsidRPr="00F03A26">
        <w:rPr>
          <w:rFonts w:asciiTheme="majorBidi" w:hAnsiTheme="majorBidi" w:cstheme="majorBidi"/>
          <w:b/>
          <w:bCs/>
          <w:lang w:val="en-GB"/>
        </w:rPr>
        <w:t>Avcı – R</w:t>
      </w:r>
      <w:r w:rsidR="008C5F26" w:rsidRPr="00F03A26">
        <w:rPr>
          <w:rFonts w:asciiTheme="majorBidi" w:hAnsiTheme="majorBidi" w:cstheme="majorBidi"/>
          <w:b/>
          <w:bCs/>
          <w:lang w:val="en-GB"/>
        </w:rPr>
        <w:t>ıza</w:t>
      </w:r>
      <w:r w:rsidRPr="00F03A26">
        <w:rPr>
          <w:rFonts w:asciiTheme="majorBidi" w:hAnsiTheme="majorBidi" w:cstheme="majorBidi"/>
          <w:b/>
          <w:bCs/>
          <w:lang w:val="en-GB"/>
        </w:rPr>
        <w:t xml:space="preserve"> G</w:t>
      </w:r>
      <w:r w:rsidR="008C5F26" w:rsidRPr="00F03A26">
        <w:rPr>
          <w:rFonts w:asciiTheme="majorBidi" w:hAnsiTheme="majorBidi" w:cstheme="majorBidi"/>
          <w:b/>
          <w:bCs/>
          <w:lang w:val="en-GB"/>
        </w:rPr>
        <w:t>ürler</w:t>
      </w:r>
      <w:r w:rsidRPr="00F03A26">
        <w:rPr>
          <w:rFonts w:asciiTheme="majorBidi" w:hAnsiTheme="majorBidi" w:cstheme="majorBidi"/>
          <w:b/>
          <w:bCs/>
          <w:lang w:val="en-GB"/>
        </w:rPr>
        <w:t xml:space="preserve"> Akgün</w:t>
      </w:r>
    </w:p>
    <w:p w14:paraId="1BFA894E" w14:textId="77777777" w:rsidR="00801D3E" w:rsidRPr="002A5BF1" w:rsidRDefault="00801D3E" w:rsidP="00801D3E">
      <w:pPr>
        <w:spacing w:before="100" w:beforeAutospacing="1" w:after="100" w:afterAutospacing="1" w:line="276" w:lineRule="auto"/>
        <w:jc w:val="both"/>
        <w:rPr>
          <w:rFonts w:ascii="Times New Roman" w:hAnsi="Times New Roman"/>
          <w:lang w:val="en-GB"/>
        </w:rPr>
      </w:pPr>
      <w:r w:rsidRPr="002A5BF1">
        <w:rPr>
          <w:rFonts w:ascii="Times New Roman" w:hAnsi="Times New Roman"/>
          <w:b/>
          <w:lang w:val="en-GB"/>
        </w:rPr>
        <w:t>Abstract:</w:t>
      </w:r>
      <w:r w:rsidRPr="002A5BF1">
        <w:rPr>
          <w:rFonts w:ascii="Times New Roman" w:hAnsi="Times New Roman"/>
          <w:lang w:val="en-GB"/>
        </w:rPr>
        <w:t xml:space="preserve"> In the area known as the ‘Horhor</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 xml:space="preserve">Water’ northwest of the Old </w:t>
      </w:r>
      <w:r>
        <w:rPr>
          <w:rFonts w:ascii="Times New Roman" w:hAnsi="Times New Roman"/>
          <w:lang w:val="en-GB"/>
        </w:rPr>
        <w:t xml:space="preserve">Van </w:t>
      </w:r>
      <w:r w:rsidRPr="002A5BF1">
        <w:rPr>
          <w:rFonts w:ascii="Times New Roman" w:hAnsi="Times New Roman"/>
          <w:lang w:val="en-GB"/>
        </w:rPr>
        <w:t>City</w:t>
      </w:r>
      <w:r w:rsidRPr="002947AC">
        <w:rPr>
          <w:rFonts w:ascii="Times New Roman" w:eastAsia="Calibri" w:hAnsi="Times New Roman" w:cs="Times New Roman"/>
          <w:lang w:val="en-GB"/>
        </w:rPr>
        <w:t xml:space="preserve"> of Van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Pr>
          <w:rFonts w:asciiTheme="majorBidi" w:hAnsiTheme="majorBidi" w:cstheme="majorBidi"/>
          <w:color w:val="000000" w:themeColor="text1"/>
          <w:lang w:val="en-GB"/>
        </w:rPr>
        <w:instrText>Old Van City</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and the southwest of the Van Fortress, a rectangular niche differs from similar examples, with the rock-cut steps connecting this area to the citadel in the north. In 2012, excavations were conducted in this area to understand the function and chronology of this niche connected to the citadel. The excavations have revealed that this niche was a fountain structure and provided insights into the water management architecture of the Urartian</w:t>
      </w:r>
      <w:r w:rsidRPr="005C0216">
        <w:rPr>
          <w:rFonts w:ascii="Times New Roman" w:hAnsi="Times New Roman"/>
          <w:lang w:val="en-GB"/>
        </w:rPr>
        <w:t>"</w:t>
      </w:r>
      <w:r>
        <w:rPr>
          <w:rFonts w:ascii="Times New Roman" w:hAnsi="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 xml:space="preserve">period. The word </w:t>
      </w:r>
      <w:r w:rsidRPr="005C0216">
        <w:rPr>
          <w:rFonts w:ascii="Times New Roman" w:hAnsi="Times New Roman"/>
          <w:lang w:val="en-GB"/>
        </w:rPr>
        <w:t>"</w:t>
      </w:r>
      <w:r w:rsidRPr="002947AC">
        <w:rPr>
          <w:rFonts w:ascii="Times New Roman" w:eastAsia="Calibri" w:hAnsi="Times New Roman" w:cs="Times New Roman"/>
          <w:lang w:val="en-GB"/>
        </w:rPr>
        <w:t>taramani</w:t>
      </w:r>
      <w:r w:rsidRPr="005C0216">
        <w:t xml:space="preserve"> </w:t>
      </w:r>
      <w:r w:rsidRPr="005C0216">
        <w:rPr>
          <w:rFonts w:ascii="Times New Roman" w:eastAsia="Calibri" w:hAnsi="Times New Roman" w:cs="Times New Roman"/>
          <w:lang w:val="en-GB"/>
        </w:rPr>
        <w:t>"</w:t>
      </w:r>
      <w:r w:rsidRPr="002947AC">
        <w:rPr>
          <w:rFonts w:ascii="Times New Roman" w:eastAsia="Calibri" w:hAnsi="Times New Roman" w:cs="Times New Roman"/>
          <w:lang w:val="en-GB"/>
        </w:rPr>
        <w:t xml:space="preserve"> </w:t>
      </w:r>
      <w:r w:rsidRPr="00AA1737">
        <w:rPr>
          <w:rFonts w:asciiTheme="majorBidi" w:hAnsiTheme="majorBidi" w:cstheme="majorBidi"/>
          <w:lang w:val="en-GB"/>
        </w:rPr>
        <w:fldChar w:fldCharType="begin"/>
      </w:r>
      <w:r w:rsidRPr="00AA1737">
        <w:rPr>
          <w:rFonts w:asciiTheme="majorBidi" w:hAnsiTheme="majorBidi" w:cstheme="majorBidi"/>
          <w:lang w:val="en-GB"/>
        </w:rPr>
        <w:instrText xml:space="preserve"> XE "taramani" </w:instrText>
      </w:r>
      <w:r w:rsidRPr="00AA1737">
        <w:rPr>
          <w:rFonts w:asciiTheme="majorBidi" w:hAnsiTheme="majorBidi" w:cstheme="majorBidi"/>
          <w:lang w:val="en-GB"/>
        </w:rPr>
        <w:fldChar w:fldCharType="end"/>
      </w:r>
      <w:r w:rsidRPr="00AA1737">
        <w:rPr>
          <w:rFonts w:asciiTheme="majorBidi" w:hAnsiTheme="majorBidi" w:cstheme="majorBidi"/>
          <w:lang w:val="en-GB"/>
        </w:rPr>
        <w:t xml:space="preserve">’ </w:t>
      </w:r>
      <w:r w:rsidRPr="002A5BF1">
        <w:rPr>
          <w:rFonts w:ascii="Times New Roman" w:hAnsi="Times New Roman"/>
          <w:lang w:val="en-GB"/>
        </w:rPr>
        <w:t xml:space="preserve">or </w:t>
      </w:r>
      <w:r w:rsidRPr="002947AC">
        <w:rPr>
          <w:rFonts w:ascii="Times New Roman" w:eastAsia="Calibri" w:hAnsi="Times New Roman" w:cs="Times New Roman"/>
          <w:lang w:val="en-GB"/>
        </w:rPr>
        <w:t>the</w:t>
      </w:r>
      <w:r w:rsidRPr="002A5BF1">
        <w:rPr>
          <w:rFonts w:ascii="Times New Roman" w:hAnsi="Times New Roman"/>
          <w:lang w:val="en-GB"/>
        </w:rPr>
        <w:t xml:space="preserve"> plural form </w:t>
      </w:r>
      <w:r w:rsidRPr="005C0216">
        <w:rPr>
          <w:rFonts w:ascii="Times New Roman" w:hAnsi="Times New Roman"/>
          <w:lang w:val="en-GB"/>
        </w:rPr>
        <w:t>"</w:t>
      </w:r>
      <w:r w:rsidRPr="002A5BF1">
        <w:rPr>
          <w:rFonts w:ascii="Times New Roman" w:hAnsi="Times New Roman"/>
          <w:lang w:val="en-GB"/>
        </w:rPr>
        <w:t>taramanili</w:t>
      </w:r>
      <w:r w:rsidRPr="00AA1737">
        <w:rPr>
          <w:rFonts w:asciiTheme="majorBidi" w:hAnsiTheme="majorBidi" w:cstheme="majorBidi"/>
          <w:lang w:val="en-GB"/>
        </w:rPr>
        <w:fldChar w:fldCharType="begin"/>
      </w:r>
      <w:r w:rsidRPr="00AA1737">
        <w:rPr>
          <w:rFonts w:asciiTheme="majorBidi" w:hAnsiTheme="majorBidi" w:cstheme="majorBidi"/>
          <w:lang w:val="en-GB"/>
        </w:rPr>
        <w:instrText xml:space="preserve"> XE "taramanili" </w:instrText>
      </w:r>
      <w:r w:rsidRPr="00AA1737">
        <w:rPr>
          <w:rFonts w:asciiTheme="majorBidi" w:hAnsiTheme="majorBidi" w:cstheme="majorBidi"/>
          <w:lang w:val="en-GB"/>
        </w:rPr>
        <w:fldChar w:fldCharType="end"/>
      </w:r>
      <w:r w:rsidRPr="00AA1737">
        <w:rPr>
          <w:rFonts w:asciiTheme="majorBidi" w:hAnsiTheme="majorBidi" w:cstheme="majorBidi"/>
          <w:lang w:val="en-GB"/>
        </w:rPr>
        <w:t>’,</w:t>
      </w:r>
      <w:r w:rsidRPr="002A5BF1">
        <w:rPr>
          <w:rFonts w:ascii="Times New Roman" w:hAnsi="Times New Roman"/>
          <w:lang w:val="en-GB"/>
        </w:rPr>
        <w:t xml:space="preserve"> known especially from the inscriptions of Minua</w:t>
      </w:r>
      <w:r>
        <w:rPr>
          <w:rFonts w:ascii="Times New Roman" w:eastAsia="Calibri" w:hAnsi="Times New Roman" w:cs="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in the north of the citadel</w:t>
      </w:r>
      <w:r w:rsidRPr="002947AC">
        <w:rPr>
          <w:rFonts w:ascii="Times New Roman" w:eastAsia="Calibri" w:hAnsi="Times New Roman" w:cs="Times New Roman"/>
          <w:lang w:val="en-GB"/>
        </w:rPr>
        <w:t>,</w:t>
      </w:r>
      <w:r w:rsidRPr="002A5BF1">
        <w:rPr>
          <w:rFonts w:ascii="Times New Roman" w:hAnsi="Times New Roman"/>
          <w:lang w:val="en-GB"/>
        </w:rPr>
        <w:t xml:space="preserve"> is believed to denote</w:t>
      </w:r>
      <w:r w:rsidRPr="002947AC">
        <w:rPr>
          <w:rFonts w:ascii="Times New Roman" w:eastAsia="Calibri" w:hAnsi="Times New Roman" w:cs="Times New Roman"/>
          <w:lang w:val="en-GB"/>
        </w:rPr>
        <w:t xml:space="preserve"> a</w:t>
      </w:r>
      <w:r w:rsidRPr="002A5BF1">
        <w:rPr>
          <w:rFonts w:ascii="Times New Roman" w:hAnsi="Times New Roman"/>
          <w:lang w:val="en-GB"/>
        </w:rPr>
        <w:t xml:space="preserve"> “fountain or water spring” in Urartian. However, no architectural features related to water management have been found in this area. The Minua fountain in Ain-e Rum</w:t>
      </w:r>
      <w:r>
        <w:rPr>
          <w:rFonts w:ascii="Times New Roman" w:eastAsia="Calibri" w:hAnsi="Times New Roman" w:cs="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Ain-e Rum</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in Northwest Iran</w:t>
      </w:r>
      <w:r>
        <w:rPr>
          <w:rFonts w:ascii="Times New Roman" w:eastAsia="Calibri" w:hAnsi="Times New Roman" w:cs="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"Northwest Iran"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 xml:space="preserve">provides further information </w:t>
      </w:r>
      <w:r w:rsidRPr="002947AC">
        <w:rPr>
          <w:rFonts w:ascii="Times New Roman" w:eastAsia="Calibri" w:hAnsi="Times New Roman" w:cs="Times New Roman"/>
          <w:lang w:val="en-GB"/>
        </w:rPr>
        <w:t>about</w:t>
      </w:r>
      <w:r w:rsidRPr="002A5BF1">
        <w:rPr>
          <w:rFonts w:ascii="Times New Roman" w:hAnsi="Times New Roman"/>
          <w:lang w:val="en-GB"/>
        </w:rPr>
        <w:t xml:space="preserve"> its architectural aspects</w:t>
      </w:r>
      <w:r w:rsidRPr="002947AC">
        <w:rPr>
          <w:rFonts w:ascii="Times New Roman" w:eastAsia="Calibri" w:hAnsi="Times New Roman" w:cs="Times New Roman"/>
          <w:lang w:val="en-GB"/>
        </w:rPr>
        <w:t xml:space="preserve"> and</w:t>
      </w:r>
      <w:r w:rsidRPr="002A5BF1">
        <w:rPr>
          <w:rFonts w:ascii="Times New Roman" w:hAnsi="Times New Roman"/>
          <w:lang w:val="en-GB"/>
        </w:rPr>
        <w:t xml:space="preserve"> the text inscribed on it. The ‘Minua’s Fountain’ unearthed in Van Fortress may be related to the Minua’s Fountain</w:t>
      </w:r>
      <w:r w:rsidRPr="002947AC">
        <w:rPr>
          <w:rFonts w:ascii="Times New Roman" w:eastAsia="Calibri" w:hAnsi="Times New Roman" w:cs="Times New Roman"/>
          <w:lang w:val="en-GB"/>
        </w:rPr>
        <w:t> </w:t>
      </w:r>
      <w:r w:rsidRPr="002A5BF1">
        <w:rPr>
          <w:rFonts w:ascii="Times New Roman" w:hAnsi="Times New Roman"/>
          <w:lang w:val="en-GB"/>
        </w:rPr>
        <w:t xml:space="preserve">in Ain-e Rum. In this respect, the architectural similarities between </w:t>
      </w:r>
      <w:r w:rsidRPr="002947AC">
        <w:rPr>
          <w:rFonts w:ascii="Times New Roman" w:eastAsia="Calibri" w:hAnsi="Times New Roman" w:cs="Times New Roman"/>
          <w:lang w:val="en-GB"/>
        </w:rPr>
        <w:t xml:space="preserve">the </w:t>
      </w:r>
      <w:r w:rsidRPr="002A5BF1">
        <w:rPr>
          <w:rFonts w:ascii="Times New Roman" w:hAnsi="Times New Roman"/>
          <w:lang w:val="en-GB"/>
        </w:rPr>
        <w:t xml:space="preserve">two fountains are noteworthy, suggesting a chronological relationship </w:t>
      </w:r>
      <w:r w:rsidRPr="002947AC">
        <w:rPr>
          <w:rFonts w:ascii="Times New Roman" w:eastAsia="Calibri" w:hAnsi="Times New Roman" w:cs="Times New Roman"/>
          <w:lang w:val="en-GB"/>
        </w:rPr>
        <w:t xml:space="preserve">between the two fountains </w:t>
      </w:r>
      <w:r w:rsidRPr="002A5BF1">
        <w:rPr>
          <w:rFonts w:ascii="Times New Roman" w:hAnsi="Times New Roman"/>
          <w:lang w:val="en-GB"/>
        </w:rPr>
        <w:t>as well.</w:t>
      </w:r>
    </w:p>
    <w:p w14:paraId="75722F67" w14:textId="77777777" w:rsidR="00801D3E" w:rsidRPr="002A5BF1" w:rsidRDefault="00801D3E" w:rsidP="00801D3E">
      <w:pPr>
        <w:spacing w:before="100" w:beforeAutospacing="1" w:after="100" w:afterAutospacing="1" w:line="276" w:lineRule="auto"/>
        <w:jc w:val="both"/>
        <w:rPr>
          <w:rFonts w:ascii="Times New Roman" w:hAnsi="Times New Roman"/>
          <w:b/>
          <w:lang w:val="en-GB"/>
        </w:rPr>
      </w:pPr>
      <w:r w:rsidRPr="002A5BF1">
        <w:rPr>
          <w:rFonts w:ascii="Times New Roman" w:hAnsi="Times New Roman"/>
          <w:b/>
          <w:noProof/>
        </w:rPr>
        <w:drawing>
          <wp:inline distT="0" distB="0" distL="0" distR="0" wp14:anchorId="58093644" wp14:editId="7473BBB9">
            <wp:extent cx="5381625" cy="2952883"/>
            <wp:effectExtent l="0" t="0" r="3175" b="6350"/>
            <wp:docPr id="1064842894" name="Resim 1064842894" descr="mağara, dış mekan, ağaç,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4" name="Resim 1064842894" descr="mağara, dış mekan, ağaç, bitki içeren bir resim&#10;&#10;Açıklama otomatik olarak oluşturuldu"/>
                    <pic:cNvPicPr/>
                  </pic:nvPicPr>
                  <pic:blipFill rotWithShape="1">
                    <a:blip r:embed="rId351" cstate="email">
                      <a:extLst>
                        <a:ext uri="{28A0092B-C50C-407E-A947-70E740481C1C}">
                          <a14:useLocalDpi xmlns:a14="http://schemas.microsoft.com/office/drawing/2010/main"/>
                        </a:ext>
                      </a:extLst>
                    </a:blip>
                    <a:srcRect/>
                    <a:stretch/>
                  </pic:blipFill>
                  <pic:spPr bwMode="auto">
                    <a:xfrm>
                      <a:off x="0" y="0"/>
                      <a:ext cx="5410721" cy="2968848"/>
                    </a:xfrm>
                    <a:prstGeom prst="rect">
                      <a:avLst/>
                    </a:prstGeom>
                    <a:ln>
                      <a:noFill/>
                    </a:ln>
                    <a:extLst>
                      <a:ext uri="{53640926-AAD7-44D8-BBD7-CCE9431645EC}">
                        <a14:shadowObscured xmlns:a14="http://schemas.microsoft.com/office/drawing/2010/main"/>
                      </a:ext>
                    </a:extLst>
                  </pic:spPr>
                </pic:pic>
              </a:graphicData>
            </a:graphic>
          </wp:inline>
        </w:drawing>
      </w:r>
    </w:p>
    <w:p w14:paraId="389179DB"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Fig. 1 The Horhor</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color w:val="000000"/>
          <w:lang w:val="en-GB"/>
        </w:rPr>
        <w:instrText>Horhor</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Fountain</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lang w:val="en-GB"/>
        </w:rPr>
        <w:instrText>Horhor Fountain</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and its vicinity before the excavations.</w:t>
      </w:r>
    </w:p>
    <w:p w14:paraId="3FFC8E91" w14:textId="77777777" w:rsidR="00801D3E" w:rsidRPr="002A5BF1" w:rsidRDefault="00801D3E" w:rsidP="00801D3E">
      <w:pPr>
        <w:spacing w:line="276" w:lineRule="auto"/>
        <w:jc w:val="both"/>
        <w:rPr>
          <w:rFonts w:ascii="Times New Roman" w:hAnsi="Times New Roman"/>
          <w:lang w:val="en-GB"/>
        </w:rPr>
      </w:pPr>
    </w:p>
    <w:p w14:paraId="56F61981" w14:textId="77777777" w:rsidR="00801D3E" w:rsidRPr="002A5BF1" w:rsidRDefault="00801D3E" w:rsidP="00801D3E">
      <w:pPr>
        <w:keepNext/>
        <w:keepLines/>
        <w:spacing w:before="40"/>
        <w:outlineLvl w:val="1"/>
        <w:rPr>
          <w:rFonts w:ascii="Times New Roman" w:hAnsi="Times New Roman"/>
          <w:b/>
          <w:color w:val="2F5496"/>
          <w:sz w:val="28"/>
          <w:lang w:val="en-GB"/>
        </w:rPr>
      </w:pPr>
      <w:bookmarkStart w:id="176" w:name="_Toc173231262"/>
      <w:r w:rsidRPr="002A5BF1">
        <w:rPr>
          <w:rFonts w:ascii="Times New Roman" w:hAnsi="Times New Roman"/>
          <w:b/>
          <w:sz w:val="28"/>
          <w:lang w:val="en-GB"/>
        </w:rPr>
        <w:lastRenderedPageBreak/>
        <w:t>11.1. Introduction</w:t>
      </w:r>
      <w:bookmarkEnd w:id="176"/>
    </w:p>
    <w:p w14:paraId="3A3D58FC" w14:textId="77777777" w:rsidR="00801D3E" w:rsidRPr="002A5BF1" w:rsidRDefault="00801D3E" w:rsidP="00801D3E">
      <w:pPr>
        <w:spacing w:line="276" w:lineRule="auto"/>
        <w:jc w:val="both"/>
        <w:rPr>
          <w:rFonts w:ascii="Times New Roman" w:hAnsi="Times New Roman" w:cs="Times New Roman"/>
          <w:lang w:val="en-GB"/>
        </w:rPr>
      </w:pPr>
      <w:r w:rsidRPr="002D7FC2">
        <w:rPr>
          <w:rFonts w:ascii="Times New Roman" w:eastAsia="Calibri" w:hAnsi="Times New Roman" w:cs="Times New Roman"/>
          <w:lang w:val="en-GB"/>
        </w:rPr>
        <w:t>Most</w:t>
      </w:r>
      <w:r w:rsidRPr="002A5BF1">
        <w:rPr>
          <w:rFonts w:ascii="Times New Roman" w:hAnsi="Times New Roman"/>
          <w:lang w:val="en-GB"/>
        </w:rPr>
        <w:t xml:space="preserve"> of the monumental archaeological remains that survived in the Ṭušpa Rock until today are a product of the architectural investments the Urartians</w:t>
      </w:r>
      <w:r w:rsidRPr="002D7FC2">
        <w:rPr>
          <w:rFonts w:ascii="Times New Roman" w:eastAsia="Calibri" w:hAnsi="Times New Roman" w:cs="Times New Roman"/>
          <w:lang w:val="en-GB"/>
        </w:rPr>
        <w:t> </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"Urartians" </w:instrText>
      </w:r>
      <w:r w:rsidRPr="002D7FC2">
        <w:rPr>
          <w:rFonts w:asciiTheme="majorBidi" w:hAnsiTheme="majorBidi" w:cstheme="majorBidi"/>
          <w:lang w:val="en-GB"/>
        </w:rPr>
        <w:fldChar w:fldCharType="end"/>
      </w:r>
      <w:r w:rsidRPr="002D7FC2">
        <w:rPr>
          <w:rFonts w:asciiTheme="majorBidi" w:hAnsiTheme="majorBidi" w:cstheme="majorBidi"/>
          <w:lang w:val="en-GB"/>
        </w:rPr>
        <w:t xml:space="preserve"> </w:t>
      </w:r>
      <w:r w:rsidRPr="002A5BF1">
        <w:rPr>
          <w:rFonts w:ascii="Times New Roman" w:hAnsi="Times New Roman"/>
          <w:lang w:val="en-GB"/>
        </w:rPr>
        <w:t>made in the region. With the transformation of this natural rock outcrop into a citadel by the Urartian</w:t>
      </w:r>
      <w:r w:rsidRPr="002D7FC2">
        <w:rPr>
          <w:rFonts w:ascii="Times New Roman" w:eastAsia="Calibri" w:hAnsi="Times New Roman" w:cs="Times New Roman"/>
          <w:lang w:val="en-GB"/>
        </w:rPr>
        <w:t> </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"Urartian" </w:instrText>
      </w:r>
      <w:r w:rsidRPr="002D7FC2">
        <w:rPr>
          <w:rFonts w:asciiTheme="majorBidi" w:hAnsiTheme="majorBidi" w:cstheme="majorBidi"/>
          <w:lang w:val="en-GB"/>
        </w:rPr>
        <w:fldChar w:fldCharType="end"/>
      </w:r>
      <w:r w:rsidRPr="002D7FC2">
        <w:rPr>
          <w:rFonts w:asciiTheme="majorBidi" w:hAnsiTheme="majorBidi" w:cstheme="majorBidi"/>
          <w:lang w:val="en-GB"/>
        </w:rPr>
        <w:t xml:space="preserve"> </w:t>
      </w:r>
      <w:r w:rsidRPr="002A5BF1">
        <w:rPr>
          <w:rFonts w:ascii="Times New Roman" w:hAnsi="Times New Roman"/>
          <w:lang w:val="en-GB"/>
        </w:rPr>
        <w:t>kingdom</w:t>
      </w:r>
      <w:r w:rsidRPr="002D7FC2">
        <w:rPr>
          <w:rFonts w:ascii="Times New Roman" w:eastAsia="Calibri" w:hAnsi="Times New Roman" w:cs="Times New Roman"/>
          <w:lang w:val="en-GB"/>
        </w:rPr>
        <w:t>,</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"Urartian Kingdom" </w:instrText>
      </w:r>
      <w:r w:rsidRPr="002D7FC2">
        <w:rPr>
          <w:rFonts w:asciiTheme="majorBidi" w:hAnsiTheme="majorBidi" w:cstheme="majorBidi"/>
          <w:lang w:val="en-GB"/>
        </w:rPr>
        <w:fldChar w:fldCharType="end"/>
      </w:r>
      <w:r w:rsidRPr="002A5BF1">
        <w:rPr>
          <w:rFonts w:ascii="Times New Roman" w:hAnsi="Times New Roman"/>
          <w:lang w:val="en-GB"/>
        </w:rPr>
        <w:t xml:space="preserve"> the area went through significant structural transformations. The fortresses and cities built by the Urartian kings, the most important being the city of Ṭušpa, various spaces constructed in these cities, and the infrastructural investments made to support these </w:t>
      </w:r>
      <w:r w:rsidRPr="002D7FC2">
        <w:rPr>
          <w:rFonts w:ascii="Times New Roman" w:eastAsia="Calibri" w:hAnsi="Times New Roman" w:cs="Times New Roman"/>
          <w:lang w:val="en-GB"/>
        </w:rPr>
        <w:t>centers</w:t>
      </w:r>
      <w:r w:rsidRPr="002A5BF1">
        <w:rPr>
          <w:rFonts w:ascii="Times New Roman" w:hAnsi="Times New Roman"/>
          <w:lang w:val="en-GB"/>
        </w:rPr>
        <w:t xml:space="preserve"> can be observed archaeologically within the course of the evolving and changing history of the kingdom. The monumental architectural projects of each king, the establishment of new cities and the construction of water canals after each enthronement, and inscriptions on stelae, rock surfaces, and monuments describing these events allowed a declaration of the </w:t>
      </w:r>
      <w:r w:rsidRPr="002D7FC2">
        <w:rPr>
          <w:rFonts w:ascii="Times New Roman" w:eastAsia="Calibri" w:hAnsi="Times New Roman" w:cs="Times New Roman"/>
          <w:lang w:val="en-GB"/>
        </w:rPr>
        <w:t>king's</w:t>
      </w:r>
      <w:r w:rsidRPr="002A5BF1">
        <w:rPr>
          <w:rFonts w:ascii="Times New Roman" w:hAnsi="Times New Roman"/>
          <w:lang w:val="en-GB"/>
        </w:rPr>
        <w:t xml:space="preserve"> achievements in the public sphere, and thus, immortalized the kings themselves. This practice transformed into a vehicle of ideological propaganda and continued throughout the </w:t>
      </w:r>
      <w:r w:rsidRPr="002D7FC2">
        <w:rPr>
          <w:rFonts w:ascii="Times New Roman" w:eastAsia="Calibri" w:hAnsi="Times New Roman" w:cs="Times New Roman"/>
          <w:lang w:val="en-GB"/>
        </w:rPr>
        <w:t>kingdom's</w:t>
      </w:r>
      <w:r w:rsidRPr="002A5BF1">
        <w:rPr>
          <w:rFonts w:ascii="Times New Roman" w:hAnsi="Times New Roman"/>
          <w:lang w:val="en-GB"/>
        </w:rPr>
        <w:t xml:space="preserve"> history. </w:t>
      </w:r>
      <w:r w:rsidRPr="002D7FC2">
        <w:rPr>
          <w:rFonts w:ascii="Times New Roman" w:eastAsia="Calibri" w:hAnsi="Times New Roman" w:cs="Times New Roman"/>
          <w:lang w:val="en-GB"/>
        </w:rPr>
        <w:t>Building</w:t>
      </w:r>
      <w:r w:rsidRPr="002A5BF1">
        <w:rPr>
          <w:rFonts w:ascii="Times New Roman" w:hAnsi="Times New Roman"/>
          <w:lang w:val="en-GB"/>
        </w:rPr>
        <w:t xml:space="preserve"> new cities in areas where no one had settled before became part of a discourse where each king attributed the new cities to themselves. Especially in the capital Ṭušpa, each constructed unit held functional and monumental importance. Various structures, monuments, and units constructed in this rock outcrop that became the citadel of Ṭušpa will continue living as the </w:t>
      </w:r>
      <w:r w:rsidRPr="002D7FC2">
        <w:rPr>
          <w:rFonts w:ascii="Times New Roman" w:eastAsia="Calibri" w:hAnsi="Times New Roman" w:cs="Times New Roman"/>
          <w:lang w:val="en-GB"/>
        </w:rPr>
        <w:t xml:space="preserve">kingdom's </w:t>
      </w:r>
      <w:r w:rsidRPr="002A5BF1">
        <w:rPr>
          <w:rFonts w:ascii="Times New Roman" w:hAnsi="Times New Roman"/>
          <w:lang w:val="en-GB"/>
        </w:rPr>
        <w:t>seal in the future.</w:t>
      </w:r>
    </w:p>
    <w:p w14:paraId="5E8B7D55"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drawing>
          <wp:inline distT="0" distB="0" distL="0" distR="0" wp14:anchorId="16F58D10" wp14:editId="65316505">
            <wp:extent cx="5943600" cy="3284863"/>
            <wp:effectExtent l="0" t="0" r="0" b="4445"/>
            <wp:docPr id="1064842895" name="Resim 1064842895" descr="harita, ekran görüntüsü,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5" name="Resim 1064842895" descr="harita, ekran görüntüsü, doğa, dağ içeren bir resim&#10;&#10;Açıklama otomatik olarak oluşturuldu"/>
                    <pic:cNvPicPr/>
                  </pic:nvPicPr>
                  <pic:blipFill rotWithShape="1">
                    <a:blip r:embed="rId352" cstate="email">
                      <a:extLst>
                        <a:ext uri="{28A0092B-C50C-407E-A947-70E740481C1C}">
                          <a14:useLocalDpi xmlns:a14="http://schemas.microsoft.com/office/drawing/2010/main"/>
                        </a:ext>
                      </a:extLst>
                    </a:blip>
                    <a:srcRect/>
                    <a:stretch/>
                  </pic:blipFill>
                  <pic:spPr bwMode="auto">
                    <a:xfrm>
                      <a:off x="0" y="0"/>
                      <a:ext cx="5943600" cy="3284863"/>
                    </a:xfrm>
                    <a:prstGeom prst="rect">
                      <a:avLst/>
                    </a:prstGeom>
                    <a:ln>
                      <a:noFill/>
                    </a:ln>
                    <a:extLst>
                      <a:ext uri="{53640926-AAD7-44D8-BBD7-CCE9431645EC}">
                        <a14:shadowObscured xmlns:a14="http://schemas.microsoft.com/office/drawing/2010/main"/>
                      </a:ext>
                    </a:extLst>
                  </pic:spPr>
                </pic:pic>
              </a:graphicData>
            </a:graphic>
          </wp:inline>
        </w:drawing>
      </w:r>
    </w:p>
    <w:p w14:paraId="28541227"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Fig. 2 The Horhor</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color w:val="000000"/>
          <w:lang w:val="en-GB"/>
        </w:rPr>
        <w:instrText>Horhor</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Gardens and the vicinity of the Horhor Water (Orthophoto). </w:t>
      </w:r>
    </w:p>
    <w:p w14:paraId="3C4927B4" w14:textId="77777777" w:rsidR="00801D3E" w:rsidRDefault="00801D3E" w:rsidP="00801D3E">
      <w:pPr>
        <w:spacing w:line="276" w:lineRule="auto"/>
        <w:jc w:val="both"/>
        <w:rPr>
          <w:rFonts w:ascii="Times New Roman" w:hAnsi="Times New Roman"/>
          <w:lang w:val="en-GB"/>
        </w:rPr>
      </w:pPr>
    </w:p>
    <w:p w14:paraId="5D84ED72" w14:textId="77777777" w:rsidR="00801D3E" w:rsidRPr="002A5BF1" w:rsidRDefault="00801D3E" w:rsidP="00801D3E">
      <w:pPr>
        <w:spacing w:before="100" w:beforeAutospacing="1" w:after="100" w:afterAutospacing="1" w:line="276" w:lineRule="auto"/>
        <w:jc w:val="both"/>
        <w:rPr>
          <w:rFonts w:ascii="Times New Roman" w:hAnsi="Times New Roman" w:cs="Times New Roman"/>
          <w:lang w:val="en-GB"/>
        </w:rPr>
      </w:pPr>
      <w:r w:rsidRPr="002A5BF1">
        <w:rPr>
          <w:rFonts w:ascii="Times New Roman" w:hAnsi="Times New Roman"/>
          <w:lang w:val="en-GB"/>
        </w:rPr>
        <w:t>Fortification-wall beds and monumental rock-cut graves are among the most characteristic Urartian</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structures in the Ṭušpa</w:t>
      </w:r>
      <w:r w:rsidRPr="002947AC">
        <w:rPr>
          <w:rFonts w:ascii="Times New Roman" w:eastAsia="Calibri" w:hAnsi="Times New Roman" w:cs="Times New Roman"/>
          <w:lang w:val="en-GB"/>
        </w:rPr>
        <w:t> </w:t>
      </w:r>
      <w:r w:rsidRPr="002A5BF1">
        <w:rPr>
          <w:rFonts w:ascii="Times New Roman" w:hAnsi="Times New Roman"/>
          <w:lang w:val="en-GB"/>
        </w:rPr>
        <w:t xml:space="preserve">citadel. From the plain level onwards, “T” shaped and rectangular rock-cut niches surround the citadel in the outskirts of the rock outcrop. These niches resemble the stamp seals on bullae, giving the impression that the citadel was sealed with niches surrounding the entire outcrop. There are ongoing debates on the functions </w:t>
      </w:r>
      <w:r w:rsidRPr="002A5BF1">
        <w:rPr>
          <w:rFonts w:ascii="Times New Roman" w:hAnsi="Times New Roman"/>
          <w:lang w:val="en-GB"/>
        </w:rPr>
        <w:lastRenderedPageBreak/>
        <w:t>of these “T” shaped and occasionally rectangular niches</w:t>
      </w:r>
      <w:r w:rsidRPr="00F03A26">
        <w:rPr>
          <w:rStyle w:val="DipnotBavurusu"/>
          <w:rFonts w:asciiTheme="majorBidi" w:hAnsiTheme="majorBidi" w:cstheme="majorBidi"/>
          <w:lang w:val="en-GB"/>
        </w:rPr>
        <w:footnoteReference w:id="67"/>
      </w:r>
      <w:r w:rsidRPr="002D7FC2">
        <w:rPr>
          <w:rFonts w:asciiTheme="majorBidi" w:hAnsiTheme="majorBidi" w:cstheme="majorBidi"/>
          <w:kern w:val="0"/>
          <w:sz w:val="22"/>
          <w:lang w:val="en-GB"/>
          <w14:ligatures w14:val="none"/>
        </w:rPr>
        <w:t>;</w:t>
      </w:r>
      <w:r w:rsidRPr="002A5BF1">
        <w:rPr>
          <w:rFonts w:ascii="Times New Roman" w:hAnsi="Times New Roman"/>
          <w:lang w:val="en-GB"/>
        </w:rPr>
        <w:t xml:space="preserve"> during our study, it has been understood that one of the niches around the outcrop near the base level differed with its location and characteristics (Fig. 1). This niche is located nearby the “Horhor</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Water” area in the northwestern part of the Old City</w:t>
      </w:r>
      <w:r>
        <w:rPr>
          <w:rFonts w:ascii="Times New Roman" w:eastAsia="Calibri" w:hAnsi="Times New Roman" w:cs="Times New Roman"/>
          <w:lang w:val="en-GB"/>
        </w:rPr>
        <w:t xml:space="preserve"> </w:t>
      </w:r>
      <w:r w:rsidRPr="002947AC">
        <w:rPr>
          <w:rFonts w:ascii="Times New Roman" w:eastAsia="Calibri" w:hAnsi="Times New Roman" w:cs="Times New Roman"/>
          <w:lang w:val="en-GB"/>
        </w:rPr>
        <w:t>Van,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Pr>
          <w:rFonts w:asciiTheme="majorBidi" w:hAnsiTheme="majorBidi" w:cstheme="majorBidi"/>
          <w:color w:val="000000" w:themeColor="text1"/>
          <w:lang w:val="en-GB"/>
        </w:rPr>
        <w:instrText>Old Van City</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2A5BF1">
        <w:rPr>
          <w:rFonts w:ascii="Times New Roman" w:hAnsi="Times New Roman"/>
          <w:lang w:val="en-GB"/>
        </w:rPr>
        <w:t xml:space="preserve"> which had abundant water resources. Its characteristics, location, as well as the rock-cut steps connecting the area to the citadel in its north</w:t>
      </w:r>
      <w:r w:rsidRPr="002947AC">
        <w:rPr>
          <w:rFonts w:ascii="Times New Roman" w:eastAsia="Calibri" w:hAnsi="Times New Roman" w:cs="Times New Roman"/>
          <w:lang w:val="en-GB"/>
        </w:rPr>
        <w:t xml:space="preserve"> exhibit</w:t>
      </w:r>
      <w:r w:rsidRPr="002A5BF1">
        <w:rPr>
          <w:rFonts w:ascii="Times New Roman" w:hAnsi="Times New Roman"/>
          <w:lang w:val="en-GB"/>
        </w:rPr>
        <w:t xml:space="preserve"> a different outlook (Fig. 2). Thus, the area was excavated to understand the function of the niche, its connection to the citadel, and its chronology.</w:t>
      </w:r>
    </w:p>
    <w:p w14:paraId="4F960C13"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drawing>
          <wp:inline distT="0" distB="0" distL="0" distR="0" wp14:anchorId="32FD5239" wp14:editId="3B4833A4">
            <wp:extent cx="5943600" cy="3962400"/>
            <wp:effectExtent l="0" t="0" r="0" b="0"/>
            <wp:docPr id="1064842896" name="Resim 1064842896" descr="ağaç, dış mekan, bitki, orm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ağaç, dış mekan, bitki, orman içeren bir resim&#10;&#10;Açıklama otomatik olarak oluşturuldu"/>
                    <pic:cNvPicPr/>
                  </pic:nvPicPr>
                  <pic:blipFill>
                    <a:blip r:embed="rId353" cstate="email">
                      <a:extLst>
                        <a:ext uri="{28A0092B-C50C-407E-A947-70E740481C1C}">
                          <a14:useLocalDpi xmlns:a14="http://schemas.microsoft.com/office/drawing/2010/main"/>
                        </a:ext>
                      </a:extLst>
                    </a:blip>
                    <a:stretch>
                      <a:fillRect/>
                    </a:stretch>
                  </pic:blipFill>
                  <pic:spPr>
                    <a:xfrm>
                      <a:off x="0" y="0"/>
                      <a:ext cx="5943600" cy="3962400"/>
                    </a:xfrm>
                    <a:prstGeom prst="rect">
                      <a:avLst/>
                    </a:prstGeom>
                  </pic:spPr>
                </pic:pic>
              </a:graphicData>
            </a:graphic>
          </wp:inline>
        </w:drawing>
      </w:r>
    </w:p>
    <w:p w14:paraId="4A5A10B0"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Fig. 3 The Horhor</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color w:val="000000"/>
          <w:lang w:val="en-GB"/>
        </w:rPr>
        <w:instrText>Horhor</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Fountain</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lang w:val="en-GB"/>
        </w:rPr>
        <w:instrText>Horhor Fountain</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and the rock-cut steps to its north.</w:t>
      </w:r>
    </w:p>
    <w:p w14:paraId="7C3F1D54" w14:textId="77777777" w:rsidR="00801D3E" w:rsidRPr="002A5BF1" w:rsidRDefault="00801D3E" w:rsidP="00801D3E">
      <w:pPr>
        <w:spacing w:line="276" w:lineRule="auto"/>
        <w:jc w:val="both"/>
        <w:rPr>
          <w:rFonts w:ascii="Times New Roman" w:hAnsi="Times New Roman"/>
          <w:lang w:val="en-GB"/>
        </w:rPr>
      </w:pPr>
    </w:p>
    <w:p w14:paraId="1C552737"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lastRenderedPageBreak/>
        <w:drawing>
          <wp:inline distT="0" distB="0" distL="0" distR="0" wp14:anchorId="5BF1F9BC" wp14:editId="6D06955C">
            <wp:extent cx="5943600" cy="7884795"/>
            <wp:effectExtent l="0" t="0" r="0" b="1905"/>
            <wp:docPr id="1064842897" name="Resim 1064842897" descr="mağara, dış mekan, erozy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7" name="Resim 1064842897" descr="mağara, dış mekan, erozyon, yer içeren bir resim&#10;&#10;Açıklama otomatik olarak oluşturuldu"/>
                    <pic:cNvPicPr/>
                  </pic:nvPicPr>
                  <pic:blipFill>
                    <a:blip r:embed="rId354" cstate="email">
                      <a:extLst>
                        <a:ext uri="{28A0092B-C50C-407E-A947-70E740481C1C}">
                          <a14:useLocalDpi xmlns:a14="http://schemas.microsoft.com/office/drawing/2010/main"/>
                        </a:ext>
                      </a:extLst>
                    </a:blip>
                    <a:stretch>
                      <a:fillRect/>
                    </a:stretch>
                  </pic:blipFill>
                  <pic:spPr>
                    <a:xfrm>
                      <a:off x="0" y="0"/>
                      <a:ext cx="5943600" cy="7884795"/>
                    </a:xfrm>
                    <a:prstGeom prst="rect">
                      <a:avLst/>
                    </a:prstGeom>
                  </pic:spPr>
                </pic:pic>
              </a:graphicData>
            </a:graphic>
          </wp:inline>
        </w:drawing>
      </w:r>
    </w:p>
    <w:p w14:paraId="09CE1AA9"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Fig. 4 The niche, pool, and canal of the fountain.</w:t>
      </w:r>
    </w:p>
    <w:p w14:paraId="42E18948"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lastRenderedPageBreak/>
        <w:drawing>
          <wp:inline distT="0" distB="0" distL="0" distR="0" wp14:anchorId="309CD220" wp14:editId="0B35D817">
            <wp:extent cx="5942702" cy="3628103"/>
            <wp:effectExtent l="0" t="0" r="1270" b="4445"/>
            <wp:docPr id="1064842898" name="Resim 106484289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diyagram içeren bir resim&#10;&#10;Açıklama otomatik olarak oluşturuldu"/>
                    <pic:cNvPicPr/>
                  </pic:nvPicPr>
                  <pic:blipFill rotWithShape="1">
                    <a:blip r:embed="rId355" cstate="email">
                      <a:extLst>
                        <a:ext uri="{28A0092B-C50C-407E-A947-70E740481C1C}">
                          <a14:useLocalDpi xmlns:a14="http://schemas.microsoft.com/office/drawing/2010/main"/>
                        </a:ext>
                      </a:extLst>
                    </a:blip>
                    <a:srcRect/>
                    <a:stretch/>
                  </pic:blipFill>
                  <pic:spPr bwMode="auto">
                    <a:xfrm>
                      <a:off x="0" y="0"/>
                      <a:ext cx="5943600" cy="3628651"/>
                    </a:xfrm>
                    <a:prstGeom prst="rect">
                      <a:avLst/>
                    </a:prstGeom>
                    <a:ln>
                      <a:noFill/>
                    </a:ln>
                    <a:extLst>
                      <a:ext uri="{53640926-AAD7-44D8-BBD7-CCE9431645EC}">
                        <a14:shadowObscured xmlns:a14="http://schemas.microsoft.com/office/drawing/2010/main"/>
                      </a:ext>
                    </a:extLst>
                  </pic:spPr>
                </pic:pic>
              </a:graphicData>
            </a:graphic>
          </wp:inline>
        </w:drawing>
      </w:r>
    </w:p>
    <w:p w14:paraId="615C585C"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Fig. 5 Layout plan of the Horhor</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color w:val="000000"/>
          <w:lang w:val="en-GB"/>
        </w:rPr>
        <w:instrText>Horhor</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Fountain</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lang w:val="en-GB"/>
        </w:rPr>
        <w:instrText>Horhor Fountain</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w:t>
      </w:r>
    </w:p>
    <w:p w14:paraId="2EB6AD05" w14:textId="77777777" w:rsidR="00801D3E" w:rsidRPr="002A5BF1" w:rsidRDefault="00801D3E" w:rsidP="00801D3E">
      <w:pPr>
        <w:spacing w:before="100" w:beforeAutospacing="1" w:after="100" w:afterAutospacing="1" w:line="276" w:lineRule="auto"/>
        <w:jc w:val="both"/>
        <w:rPr>
          <w:rFonts w:ascii="Times New Roman" w:hAnsi="Times New Roman"/>
          <w:lang w:val="en-GB"/>
        </w:rPr>
      </w:pPr>
    </w:p>
    <w:p w14:paraId="31186C5D"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drawing>
          <wp:inline distT="0" distB="0" distL="0" distR="0" wp14:anchorId="2BAFA241" wp14:editId="0BF05E6D">
            <wp:extent cx="5942841" cy="3214698"/>
            <wp:effectExtent l="0" t="0" r="1270" b="0"/>
            <wp:docPr id="1064842899" name="Resim 1064842899"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diyagram içeren bir resim&#10;&#10;Açıklama otomatik olarak oluşturuldu"/>
                    <pic:cNvPicPr/>
                  </pic:nvPicPr>
                  <pic:blipFill rotWithShape="1">
                    <a:blip r:embed="rId356" cstate="email">
                      <a:extLst>
                        <a:ext uri="{28A0092B-C50C-407E-A947-70E740481C1C}">
                          <a14:useLocalDpi xmlns:a14="http://schemas.microsoft.com/office/drawing/2010/main"/>
                        </a:ext>
                      </a:extLst>
                    </a:blip>
                    <a:srcRect/>
                    <a:stretch/>
                  </pic:blipFill>
                  <pic:spPr bwMode="auto">
                    <a:xfrm>
                      <a:off x="0" y="0"/>
                      <a:ext cx="5943600" cy="3215109"/>
                    </a:xfrm>
                    <a:prstGeom prst="rect">
                      <a:avLst/>
                    </a:prstGeom>
                    <a:ln>
                      <a:noFill/>
                    </a:ln>
                    <a:extLst>
                      <a:ext uri="{53640926-AAD7-44D8-BBD7-CCE9431645EC}">
                        <a14:shadowObscured xmlns:a14="http://schemas.microsoft.com/office/drawing/2010/main"/>
                      </a:ext>
                    </a:extLst>
                  </pic:spPr>
                </pic:pic>
              </a:graphicData>
            </a:graphic>
          </wp:inline>
        </w:drawing>
      </w:r>
    </w:p>
    <w:p w14:paraId="1101F392"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Fig. 6 Northwest-southeast section of the Horhor</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color w:val="000000"/>
          <w:lang w:val="en-GB"/>
        </w:rPr>
        <w:instrText>Horhor</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Fountain</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lang w:val="en-GB"/>
        </w:rPr>
        <w:instrText>Horhor Fountain</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w:t>
      </w:r>
    </w:p>
    <w:p w14:paraId="12E9DBF8" w14:textId="77777777" w:rsidR="00801D3E" w:rsidRPr="002A5BF1" w:rsidRDefault="00801D3E" w:rsidP="00801D3E">
      <w:pPr>
        <w:spacing w:before="100" w:beforeAutospacing="1" w:after="100" w:afterAutospacing="1" w:line="276" w:lineRule="auto"/>
        <w:jc w:val="both"/>
        <w:rPr>
          <w:rFonts w:ascii="Times New Roman" w:hAnsi="Times New Roman"/>
          <w:lang w:val="en-GB"/>
        </w:rPr>
      </w:pPr>
    </w:p>
    <w:p w14:paraId="30A867DA" w14:textId="77777777" w:rsidR="00801D3E" w:rsidRPr="002A5BF1" w:rsidRDefault="00801D3E" w:rsidP="00801D3E">
      <w:pPr>
        <w:spacing w:before="100" w:beforeAutospacing="1" w:after="100" w:afterAutospacing="1" w:line="276" w:lineRule="auto"/>
        <w:jc w:val="both"/>
        <w:rPr>
          <w:rFonts w:ascii="Times New Roman" w:hAnsi="Times New Roman"/>
          <w:lang w:val="en-GB"/>
        </w:rPr>
      </w:pPr>
    </w:p>
    <w:p w14:paraId="47A4D6DC" w14:textId="77777777" w:rsidR="00801D3E" w:rsidRPr="002A5BF1" w:rsidRDefault="00801D3E" w:rsidP="00801D3E">
      <w:pPr>
        <w:keepNext/>
        <w:keepLines/>
        <w:spacing w:before="40"/>
        <w:outlineLvl w:val="1"/>
        <w:rPr>
          <w:rFonts w:ascii="Times New Roman" w:hAnsi="Times New Roman"/>
          <w:b/>
          <w:sz w:val="28"/>
          <w:lang w:val="en-GB"/>
        </w:rPr>
      </w:pPr>
      <w:bookmarkStart w:id="177" w:name="_Toc173231263"/>
      <w:r w:rsidRPr="002A5BF1">
        <w:rPr>
          <w:rFonts w:ascii="Times New Roman" w:hAnsi="Times New Roman"/>
          <w:b/>
          <w:sz w:val="28"/>
          <w:lang w:val="en-GB"/>
        </w:rPr>
        <w:lastRenderedPageBreak/>
        <w:t>11.2. The Horhor</w:t>
      </w:r>
      <w:r w:rsidRPr="002A5BF1">
        <w:rPr>
          <w:rFonts w:ascii="Times New Roman" w:hAnsi="Times New Roman"/>
          <w:b/>
          <w:sz w:val="28"/>
          <w:lang w:val="en-GB"/>
        </w:rPr>
        <w:fldChar w:fldCharType="begin"/>
      </w:r>
      <w:r w:rsidRPr="002A5BF1">
        <w:rPr>
          <w:rFonts w:ascii="Calibri Light" w:hAnsi="Calibri Light"/>
          <w:sz w:val="28"/>
          <w:lang w:val="en-GB"/>
        </w:rPr>
        <w:instrText xml:space="preserve"> XE "</w:instrText>
      </w:r>
      <w:r w:rsidRPr="002A5BF1">
        <w:rPr>
          <w:rFonts w:ascii="Times New Roman" w:hAnsi="Times New Roman"/>
          <w:sz w:val="28"/>
          <w:lang w:val="en-GB"/>
        </w:rPr>
        <w:instrText>Horhor</w:instrText>
      </w:r>
      <w:r w:rsidRPr="002A5BF1">
        <w:rPr>
          <w:rFonts w:ascii="Calibri Light" w:hAnsi="Calibri Light"/>
          <w:sz w:val="28"/>
          <w:lang w:val="en-GB"/>
        </w:rPr>
        <w:instrText xml:space="preserve">" </w:instrText>
      </w:r>
      <w:r w:rsidRPr="002A5BF1">
        <w:rPr>
          <w:rFonts w:ascii="Times New Roman" w:hAnsi="Times New Roman"/>
          <w:b/>
          <w:sz w:val="28"/>
          <w:lang w:val="en-GB"/>
        </w:rPr>
        <w:fldChar w:fldCharType="end"/>
      </w:r>
      <w:r w:rsidRPr="002A5BF1">
        <w:rPr>
          <w:rFonts w:ascii="Times New Roman" w:hAnsi="Times New Roman"/>
          <w:b/>
          <w:sz w:val="28"/>
          <w:lang w:val="en-GB"/>
        </w:rPr>
        <w:t xml:space="preserve"> Fountain</w:t>
      </w:r>
      <w:bookmarkEnd w:id="177"/>
      <w:r w:rsidRPr="002A5BF1">
        <w:rPr>
          <w:rFonts w:ascii="Times New Roman" w:hAnsi="Times New Roman"/>
          <w:b/>
          <w:sz w:val="28"/>
          <w:lang w:val="en-GB"/>
        </w:rPr>
        <w:fldChar w:fldCharType="begin"/>
      </w:r>
      <w:r w:rsidRPr="002A5BF1">
        <w:rPr>
          <w:rFonts w:ascii="Calibri Light" w:hAnsi="Calibri Light"/>
          <w:sz w:val="28"/>
          <w:lang w:val="en-GB"/>
        </w:rPr>
        <w:instrText xml:space="preserve"> XE "</w:instrText>
      </w:r>
      <w:r w:rsidRPr="002A5BF1">
        <w:rPr>
          <w:rFonts w:ascii="Times New Roman" w:hAnsi="Times New Roman"/>
          <w:sz w:val="28"/>
          <w:lang w:val="en-GB"/>
        </w:rPr>
        <w:instrText>Horhor Fountain</w:instrText>
      </w:r>
      <w:r w:rsidRPr="002A5BF1">
        <w:rPr>
          <w:rFonts w:ascii="Calibri Light" w:hAnsi="Calibri Light"/>
          <w:sz w:val="28"/>
          <w:lang w:val="en-GB"/>
        </w:rPr>
        <w:instrText xml:space="preserve">" </w:instrText>
      </w:r>
      <w:r w:rsidRPr="002A5BF1">
        <w:rPr>
          <w:rFonts w:ascii="Times New Roman" w:hAnsi="Times New Roman"/>
          <w:b/>
          <w:sz w:val="28"/>
          <w:lang w:val="en-GB"/>
        </w:rPr>
        <w:fldChar w:fldCharType="end"/>
      </w:r>
      <w:r w:rsidRPr="002A5BF1">
        <w:rPr>
          <w:rFonts w:ascii="Times New Roman" w:hAnsi="Times New Roman"/>
          <w:b/>
          <w:sz w:val="28"/>
          <w:lang w:val="en-GB"/>
        </w:rPr>
        <w:t xml:space="preserve"> </w:t>
      </w:r>
    </w:p>
    <w:p w14:paraId="19D38666"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In 2012, excavation work was initiated in this area</w:t>
      </w:r>
      <w:r w:rsidRPr="002947AC">
        <w:rPr>
          <w:rFonts w:ascii="Times New Roman" w:eastAsia="Calibri" w:hAnsi="Times New Roman" w:cs="Times New Roman"/>
          <w:lang w:val="en-GB"/>
        </w:rPr>
        <w:t>, corresponding</w:t>
      </w:r>
      <w:r w:rsidRPr="002A5BF1">
        <w:rPr>
          <w:rFonts w:ascii="Times New Roman" w:hAnsi="Times New Roman"/>
          <w:lang w:val="en-GB"/>
        </w:rPr>
        <w:t xml:space="preserve"> to area G, plan square AR25. As a result of this excavation, it was understood that this niche was a fountain/water structure (Konyar, Avcı, Genç, Akgün &amp; Tan, 2013: 196-199). This structure carved into the bedrock has a niche form and measures 142 cm in height, 104 cm in width</w:t>
      </w:r>
      <w:r w:rsidRPr="002947AC">
        <w:rPr>
          <w:rFonts w:ascii="Times New Roman" w:eastAsia="Calibri" w:hAnsi="Times New Roman" w:cs="Times New Roman"/>
          <w:lang w:val="en-GB"/>
        </w:rPr>
        <w:t>,</w:t>
      </w:r>
      <w:r w:rsidRPr="002A5BF1">
        <w:rPr>
          <w:rFonts w:ascii="Times New Roman" w:hAnsi="Times New Roman"/>
          <w:lang w:val="en-GB"/>
        </w:rPr>
        <w:t xml:space="preserve"> and 65 cm in depth. In the </w:t>
      </w:r>
      <w:r w:rsidRPr="002947AC">
        <w:rPr>
          <w:rFonts w:ascii="Times New Roman" w:eastAsia="Calibri" w:hAnsi="Times New Roman" w:cs="Times New Roman"/>
          <w:lang w:val="en-GB"/>
        </w:rPr>
        <w:t>center</w:t>
      </w:r>
      <w:r w:rsidRPr="002A5BF1">
        <w:rPr>
          <w:rFonts w:ascii="Times New Roman" w:hAnsi="Times New Roman"/>
          <w:lang w:val="en-GB"/>
        </w:rPr>
        <w:t xml:space="preserve"> of the niche, another opening was carved. </w:t>
      </w:r>
      <w:r w:rsidRPr="002947AC">
        <w:rPr>
          <w:rFonts w:ascii="Times New Roman" w:eastAsia="Calibri" w:hAnsi="Times New Roman" w:cs="Times New Roman"/>
          <w:lang w:val="en-GB"/>
        </w:rPr>
        <w:t>The</w:t>
      </w:r>
      <w:r w:rsidRPr="002A5BF1">
        <w:rPr>
          <w:rFonts w:ascii="Times New Roman" w:hAnsi="Times New Roman"/>
          <w:lang w:val="en-GB"/>
        </w:rPr>
        <w:t xml:space="preserve"> opening </w:t>
      </w:r>
      <w:r w:rsidRPr="002947AC">
        <w:rPr>
          <w:rFonts w:ascii="Times New Roman" w:eastAsia="Calibri" w:hAnsi="Times New Roman" w:cs="Times New Roman"/>
          <w:lang w:val="en-GB"/>
        </w:rPr>
        <w:t>is</w:t>
      </w:r>
      <w:r w:rsidRPr="002A5BF1">
        <w:rPr>
          <w:rFonts w:ascii="Times New Roman" w:hAnsi="Times New Roman"/>
          <w:lang w:val="en-GB"/>
        </w:rPr>
        <w:t xml:space="preserve"> </w:t>
      </w:r>
      <w:r w:rsidRPr="002D7FC2">
        <w:rPr>
          <w:rFonts w:ascii="Times New Roman" w:hAnsi="Times New Roman"/>
          <w:lang w:val="en-GB"/>
        </w:rPr>
        <w:t xml:space="preserve">rectangular and </w:t>
      </w:r>
      <w:r w:rsidRPr="002947AC">
        <w:rPr>
          <w:rFonts w:ascii="Times New Roman" w:eastAsia="Calibri" w:hAnsi="Times New Roman" w:cs="Times New Roman"/>
          <w:lang w:val="en-GB"/>
        </w:rPr>
        <w:t>narrow</w:t>
      </w:r>
      <w:r w:rsidRPr="002D7FC2">
        <w:rPr>
          <w:rFonts w:ascii="Times New Roman" w:hAnsi="Times New Roman"/>
          <w:lang w:val="en-GB"/>
        </w:rPr>
        <w:t xml:space="preserve"> in </w:t>
      </w:r>
      <w:r w:rsidRPr="002947AC">
        <w:rPr>
          <w:rFonts w:ascii="Times New Roman" w:eastAsia="Calibri" w:hAnsi="Times New Roman" w:cs="Times New Roman"/>
          <w:lang w:val="en-GB"/>
        </w:rPr>
        <w:t>the</w:t>
      </w:r>
      <w:r w:rsidRPr="002D7FC2">
        <w:rPr>
          <w:rFonts w:ascii="Times New Roman" w:hAnsi="Times New Roman"/>
          <w:lang w:val="en-GB"/>
        </w:rPr>
        <w:t xml:space="preserve"> northern part (</w:t>
      </w:r>
      <w:r w:rsidRPr="002947AC">
        <w:rPr>
          <w:rFonts w:ascii="Times New Roman" w:eastAsia="Calibri" w:hAnsi="Times New Roman" w:cs="Times New Roman"/>
          <w:lang w:val="en-GB"/>
        </w:rPr>
        <w:t xml:space="preserve">refer to </w:t>
      </w:r>
      <w:r w:rsidRPr="002D7FC2">
        <w:rPr>
          <w:rFonts w:ascii="Times New Roman" w:hAnsi="Times New Roman"/>
          <w:lang w:val="en-GB"/>
        </w:rPr>
        <w:t xml:space="preserve">Fig. 3-4). The </w:t>
      </w:r>
      <w:r w:rsidRPr="002947AC">
        <w:rPr>
          <w:rFonts w:ascii="Times New Roman" w:eastAsia="Calibri" w:hAnsi="Times New Roman" w:cs="Times New Roman"/>
          <w:lang w:val="en-GB"/>
        </w:rPr>
        <w:t xml:space="preserve">lower and </w:t>
      </w:r>
      <w:r w:rsidRPr="002D7FC2">
        <w:rPr>
          <w:rFonts w:ascii="Times New Roman" w:hAnsi="Times New Roman"/>
          <w:lang w:val="en-GB"/>
        </w:rPr>
        <w:t xml:space="preserve">interior parts of </w:t>
      </w:r>
      <w:r w:rsidRPr="002947AC">
        <w:rPr>
          <w:rFonts w:ascii="Times New Roman" w:eastAsia="Calibri" w:hAnsi="Times New Roman" w:cs="Times New Roman"/>
          <w:lang w:val="en-GB"/>
        </w:rPr>
        <w:t>the</w:t>
      </w:r>
      <w:r w:rsidRPr="002D7FC2">
        <w:rPr>
          <w:rFonts w:ascii="Times New Roman" w:hAnsi="Times New Roman"/>
          <w:lang w:val="en-GB"/>
        </w:rPr>
        <w:t xml:space="preserve"> opening </w:t>
      </w:r>
      <w:r w:rsidRPr="002947AC">
        <w:rPr>
          <w:rFonts w:ascii="Times New Roman" w:eastAsia="Calibri" w:hAnsi="Times New Roman" w:cs="Times New Roman"/>
          <w:lang w:val="en-GB"/>
        </w:rPr>
        <w:t>slope go downward</w:t>
      </w:r>
      <w:r w:rsidRPr="002D7FC2">
        <w:rPr>
          <w:rFonts w:ascii="Times New Roman" w:hAnsi="Times New Roman"/>
          <w:lang w:val="en-GB"/>
        </w:rPr>
        <w:t xml:space="preserve"> from the rock cavity towards the niche. This line </w:t>
      </w:r>
      <w:r w:rsidRPr="002947AC">
        <w:rPr>
          <w:rFonts w:ascii="Times New Roman" w:eastAsia="Calibri" w:hAnsi="Times New Roman" w:cs="Times New Roman"/>
          <w:lang w:val="en-GB"/>
        </w:rPr>
        <w:t>extends</w:t>
      </w:r>
      <w:r w:rsidRPr="002D7FC2">
        <w:rPr>
          <w:rFonts w:ascii="Times New Roman" w:hAnsi="Times New Roman"/>
          <w:lang w:val="en-GB"/>
        </w:rPr>
        <w:t xml:space="preserve"> from the rock area towards the outside. </w:t>
      </w:r>
      <w:r w:rsidRPr="002947AC">
        <w:rPr>
          <w:rFonts w:ascii="Times New Roman" w:eastAsia="Calibri" w:hAnsi="Times New Roman" w:cs="Times New Roman"/>
          <w:lang w:val="en-GB"/>
        </w:rPr>
        <w:t>A</w:t>
      </w:r>
      <w:r w:rsidRPr="002D7FC2">
        <w:rPr>
          <w:rFonts w:ascii="Times New Roman" w:hAnsi="Times New Roman"/>
          <w:lang w:val="en-GB"/>
        </w:rPr>
        <w:t xml:space="preserve"> small pool, measuring 95 x 75 cm with an 18 cm depth, was carved into the rock</w:t>
      </w:r>
      <w:r w:rsidRPr="002947AC">
        <w:rPr>
          <w:rFonts w:ascii="Times New Roman" w:eastAsia="Calibri" w:hAnsi="Times New Roman" w:cs="Times New Roman"/>
          <w:lang w:val="en-GB"/>
        </w:rPr>
        <w:t xml:space="preserve"> 90 cm below the niche</w:t>
      </w:r>
      <w:r w:rsidRPr="002D7FC2">
        <w:rPr>
          <w:rFonts w:ascii="Times New Roman" w:hAnsi="Times New Roman"/>
          <w:lang w:val="en-GB"/>
        </w:rPr>
        <w:t xml:space="preserve">. In the northeastern corner of this square-shaped pool is a canal with a V section, measuring 180 cm in length, 12-20 cm in width, and 13 cm in depth. </w:t>
      </w:r>
      <w:r w:rsidRPr="002947AC">
        <w:rPr>
          <w:rFonts w:ascii="Times New Roman" w:eastAsia="Calibri" w:hAnsi="Times New Roman" w:cs="Times New Roman"/>
          <w:lang w:val="en-GB"/>
        </w:rPr>
        <w:t>This</w:t>
      </w:r>
      <w:r w:rsidRPr="002D7FC2">
        <w:rPr>
          <w:rFonts w:ascii="Times New Roman" w:hAnsi="Times New Roman"/>
          <w:lang w:val="en-GB"/>
        </w:rPr>
        <w:t xml:space="preserve"> canal was carved into the bedrock</w:t>
      </w:r>
      <w:r w:rsidRPr="002947AC">
        <w:rPr>
          <w:rFonts w:ascii="Times New Roman" w:eastAsia="Calibri" w:hAnsi="Times New Roman" w:cs="Times New Roman"/>
          <w:lang w:val="en-GB"/>
        </w:rPr>
        <w:t>, like the niche and the pool.</w:t>
      </w:r>
      <w:r w:rsidRPr="002D7FC2">
        <w:rPr>
          <w:rFonts w:ascii="Times New Roman" w:hAnsi="Times New Roman"/>
          <w:lang w:val="en-GB"/>
        </w:rPr>
        <w:t xml:space="preserve"> The southern part of the canal and the pool were bordered by the bedrock (Konyar, Genç, Avcı, Akgün &amp; Tan, 2015: 74) (Fig. 5-6). </w:t>
      </w:r>
    </w:p>
    <w:p w14:paraId="62D7ADAD"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drawing>
          <wp:inline distT="0" distB="0" distL="0" distR="0" wp14:anchorId="1F6321AA" wp14:editId="390F34B9">
            <wp:extent cx="2733368" cy="4100052"/>
            <wp:effectExtent l="0" t="0" r="0" b="2540"/>
            <wp:docPr id="1064842900" name="Resim 1064842900" descr="yer, kaya, 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yer, kaya, dış mekan, taş içeren bir resim&#10;&#10;Açıklama otomatik olarak oluşturuldu"/>
                    <pic:cNvPicPr/>
                  </pic:nvPicPr>
                  <pic:blipFill>
                    <a:blip r:embed="rId357" cstate="email">
                      <a:extLst>
                        <a:ext uri="{28A0092B-C50C-407E-A947-70E740481C1C}">
                          <a14:useLocalDpi xmlns:a14="http://schemas.microsoft.com/office/drawing/2010/main"/>
                        </a:ext>
                      </a:extLst>
                    </a:blip>
                    <a:stretch>
                      <a:fillRect/>
                    </a:stretch>
                  </pic:blipFill>
                  <pic:spPr>
                    <a:xfrm>
                      <a:off x="0" y="0"/>
                      <a:ext cx="2766175" cy="4149262"/>
                    </a:xfrm>
                    <a:prstGeom prst="rect">
                      <a:avLst/>
                    </a:prstGeom>
                  </pic:spPr>
                </pic:pic>
              </a:graphicData>
            </a:graphic>
          </wp:inline>
        </w:drawing>
      </w:r>
    </w:p>
    <w:p w14:paraId="072EAFA6" w14:textId="77777777" w:rsidR="00801D3E" w:rsidRDefault="00801D3E" w:rsidP="00801D3E">
      <w:pPr>
        <w:spacing w:line="276" w:lineRule="auto"/>
        <w:jc w:val="both"/>
        <w:rPr>
          <w:rFonts w:ascii="Times New Roman" w:hAnsi="Times New Roman"/>
          <w:lang w:val="en-GB"/>
        </w:rPr>
      </w:pPr>
      <w:r w:rsidRPr="002A5BF1">
        <w:rPr>
          <w:rFonts w:ascii="Times New Roman" w:hAnsi="Times New Roman"/>
          <w:lang w:val="en-GB"/>
        </w:rPr>
        <w:t>Fig. 7 The pithoi found in front of the water canal.</w:t>
      </w:r>
    </w:p>
    <w:p w14:paraId="25153911" w14:textId="77777777" w:rsidR="00801D3E" w:rsidRPr="002A5BF1" w:rsidRDefault="00801D3E" w:rsidP="00801D3E">
      <w:pPr>
        <w:spacing w:line="276" w:lineRule="auto"/>
        <w:jc w:val="both"/>
        <w:rPr>
          <w:rFonts w:ascii="Times New Roman" w:hAnsi="Times New Roman"/>
          <w:lang w:val="en-GB"/>
        </w:rPr>
      </w:pPr>
    </w:p>
    <w:p w14:paraId="3A3AF8C6" w14:textId="77777777" w:rsidR="00801D3E" w:rsidRPr="002D7FC2" w:rsidRDefault="00801D3E" w:rsidP="00801D3E">
      <w:pPr>
        <w:spacing w:line="276" w:lineRule="auto"/>
        <w:jc w:val="both"/>
        <w:rPr>
          <w:rFonts w:ascii="Times New Roman" w:hAnsi="Times New Roman"/>
          <w:lang w:val="en-GB"/>
        </w:rPr>
      </w:pPr>
      <w:r w:rsidRPr="002D7FC2">
        <w:rPr>
          <w:rFonts w:ascii="Times New Roman" w:hAnsi="Times New Roman"/>
          <w:lang w:val="en-GB"/>
        </w:rPr>
        <w:t xml:space="preserve">A jar was found in situ </w:t>
      </w:r>
      <w:r w:rsidRPr="002947AC">
        <w:rPr>
          <w:rFonts w:ascii="Times New Roman" w:eastAsia="Calibri" w:hAnsi="Times New Roman" w:cs="Times New Roman"/>
          <w:lang w:val="en-GB"/>
        </w:rPr>
        <w:t>at</w:t>
      </w:r>
      <w:r w:rsidRPr="002D7FC2">
        <w:rPr>
          <w:rFonts w:ascii="Times New Roman" w:hAnsi="Times New Roman"/>
          <w:lang w:val="en-GB"/>
        </w:rPr>
        <w:t xml:space="preserve"> the eastern end of the canal (Fig. 7). It was placed inside a cavity extending below the canal. 50 cm to the east of the jar, an in situ pithos was found in a fragmented state. Similar to the former, this pithos was </w:t>
      </w:r>
      <w:r w:rsidRPr="002947AC">
        <w:rPr>
          <w:rFonts w:ascii="Times New Roman" w:eastAsia="Calibri" w:hAnsi="Times New Roman" w:cs="Times New Roman"/>
          <w:lang w:val="en-GB"/>
        </w:rPr>
        <w:t xml:space="preserve">also </w:t>
      </w:r>
      <w:r w:rsidRPr="002D7FC2">
        <w:rPr>
          <w:rFonts w:ascii="Times New Roman" w:hAnsi="Times New Roman"/>
          <w:lang w:val="en-GB"/>
        </w:rPr>
        <w:t>placed inside a cavity carved into the bedrock</w:t>
      </w:r>
      <w:r w:rsidRPr="002947AC">
        <w:rPr>
          <w:rFonts w:ascii="Times New Roman" w:eastAsia="Calibri" w:hAnsi="Times New Roman" w:cs="Times New Roman"/>
          <w:lang w:val="en-GB"/>
        </w:rPr>
        <w:t>. The</w:t>
      </w:r>
      <w:r w:rsidRPr="002D7FC2">
        <w:rPr>
          <w:rFonts w:ascii="Times New Roman" w:hAnsi="Times New Roman"/>
          <w:lang w:val="en-GB"/>
        </w:rPr>
        <w:t xml:space="preserve"> bedrock continued downwards with a slope</w:t>
      </w:r>
      <w:r w:rsidRPr="002947AC">
        <w:rPr>
          <w:rFonts w:ascii="Times New Roman" w:eastAsia="Calibri" w:hAnsi="Times New Roman" w:cs="Times New Roman"/>
          <w:lang w:val="en-GB"/>
        </w:rPr>
        <w:t xml:space="preserve"> starting from 40 cm to the east of the pithos</w:t>
      </w:r>
      <w:r w:rsidRPr="002D7FC2">
        <w:rPr>
          <w:rFonts w:ascii="Times New Roman" w:hAnsi="Times New Roman"/>
          <w:lang w:val="en-GB"/>
        </w:rPr>
        <w:t>.</w:t>
      </w:r>
    </w:p>
    <w:p w14:paraId="0366953B"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lastRenderedPageBreak/>
        <w:drawing>
          <wp:inline distT="0" distB="0" distL="0" distR="0" wp14:anchorId="17667F5E" wp14:editId="5230EAAD">
            <wp:extent cx="5365214" cy="3576809"/>
            <wp:effectExtent l="0" t="0" r="0" b="5080"/>
            <wp:docPr id="1064842901" name="Resim 1064842901" descr="yer, mağara, doğ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1" name="Resim 1064842901" descr="yer, mağara, doğa, dış mekan içeren bir resim&#10;&#10;Açıklama otomatik olarak oluşturuldu"/>
                    <pic:cNvPicPr/>
                  </pic:nvPicPr>
                  <pic:blipFill>
                    <a:blip r:embed="rId358" cstate="email">
                      <a:extLst>
                        <a:ext uri="{28A0092B-C50C-407E-A947-70E740481C1C}">
                          <a14:useLocalDpi xmlns:a14="http://schemas.microsoft.com/office/drawing/2010/main"/>
                        </a:ext>
                      </a:extLst>
                    </a:blip>
                    <a:stretch>
                      <a:fillRect/>
                    </a:stretch>
                  </pic:blipFill>
                  <pic:spPr>
                    <a:xfrm>
                      <a:off x="0" y="0"/>
                      <a:ext cx="5377382" cy="3584921"/>
                    </a:xfrm>
                    <a:prstGeom prst="rect">
                      <a:avLst/>
                    </a:prstGeom>
                  </pic:spPr>
                </pic:pic>
              </a:graphicData>
            </a:graphic>
          </wp:inline>
        </w:drawing>
      </w:r>
    </w:p>
    <w:p w14:paraId="1177AEFC"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Fig. 8 The pithoi and the holes carved to place them into the bedrock in front of the canal.</w:t>
      </w:r>
    </w:p>
    <w:p w14:paraId="3780B604" w14:textId="77777777" w:rsidR="00801D3E" w:rsidRPr="002D7FC2" w:rsidRDefault="00801D3E" w:rsidP="00801D3E">
      <w:pPr>
        <w:spacing w:before="100" w:beforeAutospacing="1" w:after="100" w:afterAutospacing="1" w:line="276" w:lineRule="auto"/>
        <w:jc w:val="both"/>
        <w:rPr>
          <w:rFonts w:ascii="Times New Roman" w:hAnsi="Times New Roman"/>
          <w:lang w:val="en-GB"/>
        </w:rPr>
      </w:pPr>
      <w:r w:rsidRPr="002D7FC2">
        <w:rPr>
          <w:rFonts w:ascii="Times New Roman" w:hAnsi="Times New Roman"/>
          <w:lang w:val="en-GB"/>
        </w:rPr>
        <w:t>Except for a few Urartian</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 xml:space="preserve">sherds, the pottery revealed in this area </w:t>
      </w:r>
      <w:r w:rsidRPr="002947AC">
        <w:rPr>
          <w:rFonts w:ascii="Times New Roman" w:eastAsia="Calibri" w:hAnsi="Times New Roman" w:cs="Times New Roman"/>
          <w:lang w:val="en-GB"/>
        </w:rPr>
        <w:t>dates</w:t>
      </w:r>
      <w:r w:rsidRPr="002D7FC2">
        <w:rPr>
          <w:rFonts w:ascii="Times New Roman" w:hAnsi="Times New Roman"/>
          <w:lang w:val="en-GB"/>
        </w:rPr>
        <w:t xml:space="preserve"> to the Medieval and later periods. Among the mixed finds from this area are a nearly complete pipe and seven pipe fragments, two iron nails, glazed ceramic fragments of various </w:t>
      </w:r>
      <w:r w:rsidRPr="002947AC">
        <w:rPr>
          <w:rFonts w:ascii="Times New Roman" w:eastAsia="Calibri" w:hAnsi="Times New Roman" w:cs="Times New Roman"/>
          <w:lang w:val="en-GB"/>
        </w:rPr>
        <w:t>colors</w:t>
      </w:r>
      <w:r w:rsidRPr="002D7FC2">
        <w:rPr>
          <w:rFonts w:ascii="Times New Roman" w:hAnsi="Times New Roman"/>
          <w:lang w:val="en-GB"/>
        </w:rPr>
        <w:t xml:space="preserve"> and decorations, pottery sherds with flat and large mouth-rims, plug handles, and pot-shaped vessels. The only in situ finds from this area </w:t>
      </w:r>
      <w:r w:rsidRPr="002947AC">
        <w:rPr>
          <w:rFonts w:ascii="Times New Roman" w:eastAsia="Calibri" w:hAnsi="Times New Roman" w:cs="Times New Roman"/>
          <w:lang w:val="en-GB"/>
        </w:rPr>
        <w:t>are</w:t>
      </w:r>
      <w:r w:rsidRPr="002D7FC2">
        <w:rPr>
          <w:rFonts w:ascii="Times New Roman" w:hAnsi="Times New Roman"/>
          <w:lang w:val="en-GB"/>
        </w:rPr>
        <w:t xml:space="preserve"> the jar in front of the canal and the pithos found towards its east (Fig. 8). Their forms and decorations suggest that the jar and the pithos date to Medieval or later periods. The jug has a crème-coloured exterior</w:t>
      </w:r>
      <w:r w:rsidRPr="002947AC">
        <w:rPr>
          <w:rFonts w:ascii="Times New Roman" w:eastAsia="Calibri" w:hAnsi="Times New Roman" w:cs="Times New Roman"/>
          <w:lang w:val="en-GB"/>
        </w:rPr>
        <w:t>,</w:t>
      </w:r>
      <w:r w:rsidRPr="002D7FC2">
        <w:rPr>
          <w:rFonts w:ascii="Times New Roman" w:hAnsi="Times New Roman"/>
          <w:lang w:val="en-GB"/>
        </w:rPr>
        <w:t xml:space="preserve"> and its inner rim diameter measures 20 cm, while its body diameter is 48 cm. Three lines of spiral decorations are present in the rim, while meandering motifs were made between the lines in the neck part. On the shoulder of the jar, spiral decorations similar to the ones on the mouth were used in two lines inside a band in relief. The </w:t>
      </w:r>
      <w:r w:rsidRPr="002947AC">
        <w:rPr>
          <w:rFonts w:ascii="Times New Roman" w:eastAsia="Calibri" w:hAnsi="Times New Roman" w:cs="Times New Roman"/>
          <w:lang w:val="en-GB"/>
        </w:rPr>
        <w:t xml:space="preserve">jar's </w:t>
      </w:r>
      <w:r w:rsidRPr="002D7FC2">
        <w:rPr>
          <w:rFonts w:ascii="Times New Roman" w:hAnsi="Times New Roman"/>
          <w:lang w:val="en-GB"/>
        </w:rPr>
        <w:t xml:space="preserve">circumference was decorated with this band and two spirals, followed by four to eight thick lines and again two spirals. Another band decoration was made below the body of the jar. Meander motifs were made on this band as well. The base of the jar was also decorated with a similar band. The pithos, on the other hand, </w:t>
      </w:r>
      <w:r w:rsidRPr="002947AC">
        <w:rPr>
          <w:rFonts w:ascii="Times New Roman" w:eastAsia="Calibri" w:hAnsi="Times New Roman" w:cs="Times New Roman"/>
          <w:lang w:val="en-GB"/>
        </w:rPr>
        <w:t>were</w:t>
      </w:r>
      <w:r w:rsidRPr="002D7FC2">
        <w:rPr>
          <w:rFonts w:ascii="Times New Roman" w:hAnsi="Times New Roman"/>
          <w:lang w:val="en-GB"/>
        </w:rPr>
        <w:t xml:space="preserve"> decorated with similar meander motifs inside a line band, as well as plait relief decoration and flat band decoration in relief. Its body measures 70 cm in diameter.</w:t>
      </w:r>
    </w:p>
    <w:p w14:paraId="5FD38155" w14:textId="77777777" w:rsidR="00801D3E" w:rsidRPr="002D7FC2" w:rsidRDefault="00801D3E" w:rsidP="00801D3E">
      <w:pPr>
        <w:spacing w:before="100" w:beforeAutospacing="1" w:after="100" w:afterAutospacing="1" w:line="276" w:lineRule="auto"/>
        <w:jc w:val="both"/>
        <w:rPr>
          <w:rFonts w:ascii="Times New Roman" w:hAnsi="Times New Roman"/>
          <w:lang w:val="en-GB"/>
        </w:rPr>
      </w:pPr>
      <w:r w:rsidRPr="002D7FC2">
        <w:rPr>
          <w:rFonts w:ascii="Times New Roman" w:hAnsi="Times New Roman"/>
          <w:lang w:val="en-GB"/>
        </w:rPr>
        <w:t xml:space="preserve">The </w:t>
      </w:r>
      <w:r w:rsidRPr="00F03A26">
        <w:rPr>
          <w:rFonts w:asciiTheme="majorBidi" w:hAnsiTheme="majorBidi" w:cstheme="majorBidi"/>
          <w:lang w:val="en-GB"/>
        </w:rPr>
        <w:t>‘Seyahatnâme’</w:t>
      </w:r>
      <w:r w:rsidRPr="002D7FC2">
        <w:rPr>
          <w:rFonts w:ascii="Times New Roman" w:hAnsi="Times New Roman"/>
          <w:lang w:val="en-GB"/>
        </w:rPr>
        <w:t xml:space="preserve"> of Evliya Çelebi</w:t>
      </w:r>
      <w:r w:rsidRPr="002947AC">
        <w:rPr>
          <w:rFonts w:ascii="Times New Roman" w:eastAsia="Calibri" w:hAnsi="Times New Roman" w:cs="Times New Roman"/>
          <w:lang w:val="en-GB"/>
        </w:rPr>
        <w:t>, 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Evliya Çelebi</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who</w:t>
      </w:r>
      <w:r w:rsidRPr="002D7FC2">
        <w:rPr>
          <w:rFonts w:ascii="Times New Roman" w:hAnsi="Times New Roman"/>
          <w:lang w:val="en-GB"/>
        </w:rPr>
        <w:t xml:space="preserve"> 17th</w:t>
      </w:r>
      <w:r w:rsidRPr="002947AC">
        <w:rPr>
          <w:rFonts w:ascii="Times New Roman" w:eastAsia="Calibri" w:hAnsi="Times New Roman" w:cs="Times New Roman"/>
          <w:lang w:val="en-GB"/>
        </w:rPr>
        <w:t>-</w:t>
      </w:r>
      <w:r w:rsidRPr="002D7FC2">
        <w:rPr>
          <w:rFonts w:ascii="Times New Roman" w:hAnsi="Times New Roman"/>
          <w:lang w:val="en-GB"/>
        </w:rPr>
        <w:t xml:space="preserve">century </w:t>
      </w:r>
      <w:r w:rsidRPr="002947AC">
        <w:rPr>
          <w:rFonts w:ascii="Times New Roman" w:eastAsia="Calibri" w:hAnsi="Times New Roman" w:cs="Times New Roman"/>
          <w:lang w:val="en-GB"/>
        </w:rPr>
        <w:t>traveler</w:t>
      </w:r>
      <w:r w:rsidRPr="002D7FC2">
        <w:rPr>
          <w:rFonts w:ascii="Times New Roman" w:hAnsi="Times New Roman"/>
          <w:lang w:val="en-GB"/>
        </w:rPr>
        <w:t>, provides detailed information about where the fountain was found. In this work, Evliya Çelebi</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Çelebi</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describes the Van Fortress</w:t>
      </w:r>
      <w:r w:rsidRPr="002947AC">
        <w:rPr>
          <w:rFonts w:ascii="Times New Roman" w:eastAsia="Calibri" w:hAnsi="Times New Roman" w:cs="Times New Roman"/>
          <w:lang w:val="en-GB"/>
        </w:rPr>
        <w:t> </w:t>
      </w:r>
      <w:r w:rsidRPr="002D7FC2">
        <w:rPr>
          <w:rFonts w:ascii="Times New Roman" w:hAnsi="Times New Roman"/>
          <w:lang w:val="en-GB"/>
        </w:rPr>
        <w:t>and its vicinity in detail and mentions the Horhor</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Gardens and Fountain, including the area where our excavations were conducted (Çelebi, 2013: 263, 266, 274). The lack of a monumental fountain structure in this area known today as the Horhor Water puts forth the idea that the newly unearthed water structure could be the Horhor Fountain</w:t>
      </w:r>
      <w:r>
        <w:rPr>
          <w:rFonts w:ascii="Times New Roman" w:eastAsia="Calibri" w:hAnsi="Times New Roman" w:cs="Times New Roman"/>
          <w:lang w:val="en-GB"/>
        </w:rPr>
        <w:t xml:space="preserve">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Horhor Fountain</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2D7FC2">
        <w:rPr>
          <w:rFonts w:ascii="Times New Roman" w:hAnsi="Times New Roman"/>
          <w:lang w:val="en-GB"/>
        </w:rPr>
        <w:t xml:space="preserve"> The in situ jar and pithos </w:t>
      </w:r>
      <w:r w:rsidRPr="002D7FC2">
        <w:rPr>
          <w:rFonts w:ascii="Times New Roman" w:hAnsi="Times New Roman"/>
          <w:lang w:val="en-GB"/>
        </w:rPr>
        <w:lastRenderedPageBreak/>
        <w:t xml:space="preserve">recovered from the fountain </w:t>
      </w:r>
      <w:r w:rsidRPr="002947AC">
        <w:rPr>
          <w:rFonts w:ascii="Times New Roman" w:eastAsia="Calibri" w:hAnsi="Times New Roman" w:cs="Times New Roman"/>
          <w:lang w:val="en-GB"/>
        </w:rPr>
        <w:t>belong</w:t>
      </w:r>
      <w:r w:rsidRPr="002D7FC2">
        <w:rPr>
          <w:rFonts w:ascii="Times New Roman" w:hAnsi="Times New Roman"/>
          <w:lang w:val="en-GB"/>
        </w:rPr>
        <w:t xml:space="preserve"> to the Medieval or later periods, further </w:t>
      </w:r>
      <w:r w:rsidRPr="002947AC">
        <w:rPr>
          <w:rFonts w:ascii="Times New Roman" w:eastAsia="Calibri" w:hAnsi="Times New Roman" w:cs="Times New Roman"/>
          <w:lang w:val="en-GB"/>
        </w:rPr>
        <w:t>strengthening</w:t>
      </w:r>
      <w:r w:rsidRPr="002D7FC2">
        <w:rPr>
          <w:rFonts w:ascii="Times New Roman" w:hAnsi="Times New Roman"/>
          <w:lang w:val="en-GB"/>
        </w:rPr>
        <w:t xml:space="preserve"> our chronological association. The in situ jars provide </w:t>
      </w:r>
      <w:r w:rsidRPr="002947AC">
        <w:rPr>
          <w:rFonts w:ascii="Times New Roman" w:eastAsia="Calibri" w:hAnsi="Times New Roman" w:cs="Times New Roman"/>
          <w:lang w:val="en-GB"/>
        </w:rPr>
        <w:t>necessary</w:t>
      </w:r>
      <w:r w:rsidRPr="002D7FC2">
        <w:rPr>
          <w:rFonts w:ascii="Times New Roman" w:hAnsi="Times New Roman"/>
          <w:lang w:val="en-GB"/>
        </w:rPr>
        <w:t xml:space="preserve"> evidence regarding the latest use phase of the fountain. The niche in the facade</w:t>
      </w:r>
      <w:r w:rsidRPr="002947AC">
        <w:rPr>
          <w:rFonts w:ascii="Times New Roman" w:eastAsia="Calibri" w:hAnsi="Times New Roman" w:cs="Times New Roman"/>
          <w:lang w:val="en-GB"/>
        </w:rPr>
        <w:t>,</w:t>
      </w:r>
      <w:r w:rsidRPr="002D7FC2">
        <w:rPr>
          <w:rFonts w:ascii="Times New Roman" w:hAnsi="Times New Roman"/>
          <w:lang w:val="en-GB"/>
        </w:rPr>
        <w:t xml:space="preserve"> the small pool</w:t>
      </w:r>
      <w:r w:rsidRPr="002947AC">
        <w:rPr>
          <w:rFonts w:ascii="Times New Roman" w:eastAsia="Calibri" w:hAnsi="Times New Roman" w:cs="Times New Roman"/>
          <w:lang w:val="en-GB"/>
        </w:rPr>
        <w:t>,</w:t>
      </w:r>
      <w:r w:rsidRPr="002D7FC2">
        <w:rPr>
          <w:rFonts w:ascii="Times New Roman" w:hAnsi="Times New Roman"/>
          <w:lang w:val="en-GB"/>
        </w:rPr>
        <w:t xml:space="preserve"> and the canal right in front could have been built in a different period. The jar/pithos could have been used to collect water in the area where the small pool and the canal reached, especially during the later periods when the water could have lost its </w:t>
      </w:r>
      <w:r w:rsidRPr="002947AC">
        <w:rPr>
          <w:rFonts w:ascii="Times New Roman" w:eastAsia="Calibri" w:hAnsi="Times New Roman" w:cs="Times New Roman"/>
          <w:lang w:val="en-GB"/>
        </w:rPr>
        <w:t xml:space="preserve">flowing </w:t>
      </w:r>
      <w:r w:rsidRPr="002D7FC2">
        <w:rPr>
          <w:rFonts w:ascii="Times New Roman" w:hAnsi="Times New Roman"/>
          <w:lang w:val="en-GB"/>
        </w:rPr>
        <w:t xml:space="preserve">intensity. However, the niche in the </w:t>
      </w:r>
      <w:r w:rsidRPr="002947AC">
        <w:rPr>
          <w:rFonts w:ascii="Times New Roman" w:eastAsia="Calibri" w:hAnsi="Times New Roman" w:cs="Times New Roman"/>
          <w:lang w:val="en-GB"/>
        </w:rPr>
        <w:t xml:space="preserve">fountain's </w:t>
      </w:r>
      <w:r w:rsidRPr="002D7FC2">
        <w:rPr>
          <w:rFonts w:ascii="Times New Roman" w:hAnsi="Times New Roman"/>
          <w:lang w:val="en-GB"/>
        </w:rPr>
        <w:t>facade and some other data regarding the first construction phase of the fountain allow us to associate it with the Urartian</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period.</w:t>
      </w:r>
    </w:p>
    <w:p w14:paraId="50157777"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drawing>
          <wp:inline distT="0" distB="0" distL="0" distR="0" wp14:anchorId="39A7CB29" wp14:editId="7529B557">
            <wp:extent cx="5365115" cy="3576743"/>
            <wp:effectExtent l="0" t="0" r="0" b="5080"/>
            <wp:docPr id="1064842902" name="Resim 1064842902" descr="dış mekan, yer, taş,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dış mekan, yer, taş, beton içeren bir resim&#10;&#10;Açıklama otomatik olarak oluşturuldu"/>
                    <pic:cNvPicPr/>
                  </pic:nvPicPr>
                  <pic:blipFill>
                    <a:blip r:embed="rId359" cstate="email">
                      <a:extLst>
                        <a:ext uri="{28A0092B-C50C-407E-A947-70E740481C1C}">
                          <a14:useLocalDpi xmlns:a14="http://schemas.microsoft.com/office/drawing/2010/main"/>
                        </a:ext>
                      </a:extLst>
                    </a:blip>
                    <a:stretch>
                      <a:fillRect/>
                    </a:stretch>
                  </pic:blipFill>
                  <pic:spPr>
                    <a:xfrm>
                      <a:off x="0" y="0"/>
                      <a:ext cx="5386077" cy="3590718"/>
                    </a:xfrm>
                    <a:prstGeom prst="rect">
                      <a:avLst/>
                    </a:prstGeom>
                  </pic:spPr>
                </pic:pic>
              </a:graphicData>
            </a:graphic>
          </wp:inline>
        </w:drawing>
      </w:r>
    </w:p>
    <w:p w14:paraId="6294E50C"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Fig. 9 The Minua</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lang w:val="en-GB"/>
        </w:rPr>
        <w:instrText>Minua</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Fountain</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lang w:val="en-GB"/>
        </w:rPr>
        <w:instrText>Minua Fountain</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and its inscriptions in the Van Fortress</w:t>
      </w:r>
      <w:r>
        <w:rPr>
          <w:rFonts w:ascii="Times New Roman" w:eastAsia="Calibri" w:hAnsi="Times New Roman" w:cs="Times New Roman"/>
          <w:lang w:val="en-GB"/>
        </w:rPr>
        <w:t>.</w:t>
      </w:r>
    </w:p>
    <w:p w14:paraId="0523EEE1" w14:textId="77777777" w:rsidR="00801D3E" w:rsidRPr="002A5BF1" w:rsidRDefault="00801D3E" w:rsidP="00801D3E">
      <w:pPr>
        <w:spacing w:before="100" w:beforeAutospacing="1" w:after="100" w:afterAutospacing="1" w:line="276" w:lineRule="auto"/>
        <w:jc w:val="both"/>
        <w:rPr>
          <w:rFonts w:ascii="Times New Roman" w:hAnsi="Times New Roman"/>
          <w:lang w:val="en-GB"/>
        </w:rPr>
      </w:pPr>
      <w:r w:rsidRPr="002A5BF1">
        <w:rPr>
          <w:rFonts w:ascii="Times New Roman" w:hAnsi="Times New Roman"/>
          <w:lang w:val="en-GB"/>
        </w:rPr>
        <w:t xml:space="preserve">It has been suggested that the word </w:t>
      </w:r>
      <w:r w:rsidRPr="002D7FC2">
        <w:rPr>
          <w:rFonts w:ascii="Times New Roman" w:hAnsi="Times New Roman"/>
          <w:lang w:val="en-GB"/>
        </w:rPr>
        <w:t>"</w:t>
      </w:r>
      <w:r w:rsidRPr="002A5BF1">
        <w:rPr>
          <w:rFonts w:ascii="Times New Roman" w:hAnsi="Times New Roman"/>
          <w:lang w:val="en-GB"/>
        </w:rPr>
        <w:t>taramani</w:t>
      </w:r>
      <w:r w:rsidRPr="002D7FC2">
        <w:rPr>
          <w:rFonts w:ascii="Times New Roman" w:hAnsi="Times New Roman"/>
          <w:lang w:val="en-GB"/>
        </w:rPr>
        <w:t>"</w:t>
      </w:r>
      <w:r w:rsidRPr="00AA1737">
        <w:rPr>
          <w:rFonts w:asciiTheme="majorBidi" w:hAnsiTheme="majorBidi" w:cstheme="majorBidi"/>
          <w:lang w:val="en-GB"/>
        </w:rPr>
        <w:fldChar w:fldCharType="begin"/>
      </w:r>
      <w:r w:rsidRPr="00AA1737">
        <w:rPr>
          <w:rFonts w:asciiTheme="majorBidi" w:hAnsiTheme="majorBidi" w:cstheme="majorBidi"/>
          <w:lang w:val="en-GB"/>
        </w:rPr>
        <w:instrText xml:space="preserve"> XE "taramani" </w:instrText>
      </w:r>
      <w:r w:rsidRPr="00AA1737">
        <w:rPr>
          <w:rFonts w:asciiTheme="majorBidi" w:hAnsiTheme="majorBidi" w:cstheme="majorBidi"/>
          <w:lang w:val="en-GB"/>
        </w:rPr>
        <w:fldChar w:fldCharType="end"/>
      </w:r>
      <w:r>
        <w:rPr>
          <w:rFonts w:asciiTheme="majorBidi" w:hAnsiTheme="majorBidi" w:cstheme="majorBidi"/>
          <w:lang w:val="en-GB"/>
        </w:rPr>
        <w:t xml:space="preserve"> </w:t>
      </w:r>
      <w:r w:rsidRPr="002A5BF1">
        <w:rPr>
          <w:rFonts w:ascii="Times New Roman" w:hAnsi="Times New Roman"/>
          <w:lang w:val="en-GB"/>
        </w:rPr>
        <w:t xml:space="preserve">or as plural tantum </w:t>
      </w:r>
      <w:r w:rsidRPr="002D7FC2">
        <w:rPr>
          <w:rFonts w:ascii="Times New Roman" w:hAnsi="Times New Roman"/>
          <w:lang w:val="en-GB"/>
        </w:rPr>
        <w:t>"</w:t>
      </w:r>
      <w:r w:rsidRPr="002A5BF1">
        <w:rPr>
          <w:rFonts w:ascii="Times New Roman" w:hAnsi="Times New Roman"/>
          <w:lang w:val="en-GB"/>
        </w:rPr>
        <w:t>tarama(nili)</w:t>
      </w:r>
      <w:r w:rsidRPr="002D7FC2">
        <w:rPr>
          <w:rFonts w:ascii="Times New Roman" w:hAnsi="Times New Roman"/>
          <w:lang w:val="en-GB"/>
        </w:rPr>
        <w:t>"</w:t>
      </w:r>
      <w:r w:rsidRPr="002A5BF1">
        <w:rPr>
          <w:rFonts w:ascii="Times New Roman" w:hAnsi="Times New Roman"/>
          <w:lang w:val="en-GB"/>
        </w:rPr>
        <w:t xml:space="preserve"> denotes “fountain” or “water source” in the Urartian</w:t>
      </w:r>
      <w:r w:rsidRPr="002947AC">
        <w:rPr>
          <w:rFonts w:ascii="Times New Roman" w:eastAsia="Calibri" w:hAnsi="Times New Roman" w:cs="Times New Roman"/>
          <w:lang w:val="en-GB"/>
        </w:rPr>
        <w:t> </w:t>
      </w:r>
      <w:r w:rsidRPr="00AA1737">
        <w:rPr>
          <w:rFonts w:asciiTheme="majorBidi" w:hAnsiTheme="majorBidi" w:cstheme="majorBidi"/>
          <w:lang w:val="en-GB"/>
        </w:rPr>
        <w:fldChar w:fldCharType="begin"/>
      </w:r>
      <w:r w:rsidRPr="00AA1737">
        <w:rPr>
          <w:rFonts w:asciiTheme="majorBidi" w:hAnsiTheme="majorBidi" w:cstheme="majorBidi"/>
          <w:lang w:val="en-GB"/>
        </w:rPr>
        <w:instrText xml:space="preserve"> XE "Urartian" </w:instrText>
      </w:r>
      <w:r w:rsidRPr="00AA1737">
        <w:rPr>
          <w:rFonts w:asciiTheme="majorBidi" w:hAnsiTheme="majorBidi" w:cstheme="majorBidi"/>
          <w:lang w:val="en-GB"/>
        </w:rPr>
        <w:fldChar w:fldCharType="end"/>
      </w:r>
      <w:r w:rsidRPr="00AA1737">
        <w:rPr>
          <w:rFonts w:asciiTheme="majorBidi" w:hAnsiTheme="majorBidi" w:cstheme="majorBidi"/>
          <w:lang w:val="en-GB"/>
        </w:rPr>
        <w:t xml:space="preserve"> </w:t>
      </w:r>
      <w:r w:rsidRPr="002A5BF1">
        <w:rPr>
          <w:rFonts w:ascii="Times New Roman" w:hAnsi="Times New Roman"/>
          <w:lang w:val="en-GB"/>
        </w:rPr>
        <w:t>language (Salvini, 2001: 251). This word was used for the first time in the Urartian language in the Pirabat</w:t>
      </w:r>
      <w:r w:rsidRPr="002947AC">
        <w:rPr>
          <w:rFonts w:ascii="Times New Roman" w:eastAsia="Calibri" w:hAnsi="Times New Roman" w:cs="Times New Roman"/>
          <w:lang w:val="en-GB"/>
        </w:rPr>
        <w:t> </w:t>
      </w:r>
      <w:r w:rsidRPr="00AA1737">
        <w:rPr>
          <w:rFonts w:asciiTheme="majorBidi" w:hAnsiTheme="majorBidi" w:cstheme="majorBidi"/>
          <w:lang w:val="en-GB"/>
        </w:rPr>
        <w:fldChar w:fldCharType="begin"/>
      </w:r>
      <w:r w:rsidRPr="00AA1737">
        <w:rPr>
          <w:rFonts w:asciiTheme="majorBidi" w:hAnsiTheme="majorBidi" w:cstheme="majorBidi"/>
          <w:lang w:val="en-GB"/>
        </w:rPr>
        <w:instrText xml:space="preserve"> XE "Pirabat" </w:instrText>
      </w:r>
      <w:r w:rsidRPr="00AA1737">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inscription</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"Pirabat inscription"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(CTU I.</w:t>
      </w:r>
      <w:r w:rsidRPr="002947AC">
        <w:rPr>
          <w:rFonts w:ascii="Times New Roman" w:eastAsia="Calibri" w:hAnsi="Times New Roman" w:cs="Times New Roman"/>
          <w:lang w:val="en-GB"/>
        </w:rPr>
        <w:t> </w:t>
      </w:r>
      <w:r w:rsidRPr="002A5BF1">
        <w:rPr>
          <w:rFonts w:ascii="Times New Roman" w:hAnsi="Times New Roman"/>
          <w:lang w:val="en-GB"/>
        </w:rPr>
        <w:t xml:space="preserve"> A 3-6) that describes a military campaign dating to the co-regency </w:t>
      </w:r>
      <w:r w:rsidRPr="00F03A26">
        <w:rPr>
          <w:rFonts w:asciiTheme="majorBidi" w:hAnsiTheme="majorBidi" w:cstheme="majorBidi"/>
          <w:lang w:val="en-GB"/>
        </w:rPr>
        <w:t>of</w:t>
      </w:r>
      <w:r w:rsidRPr="00F03A26">
        <w:rPr>
          <w:rFonts w:asciiTheme="majorBidi" w:hAnsiTheme="majorBidi" w:cstheme="majorBidi"/>
          <w:i/>
          <w:iCs/>
          <w:lang w:val="en-GB"/>
        </w:rPr>
        <w:t xml:space="preserve"> </w:t>
      </w:r>
      <w:r w:rsidRPr="00F03A26">
        <w:rPr>
          <w:rFonts w:asciiTheme="majorBidi" w:hAnsiTheme="majorBidi" w:cstheme="majorBidi"/>
          <w:iCs/>
          <w:lang w:val="en-GB"/>
        </w:rPr>
        <w:t>Išpuini</w:t>
      </w:r>
      <w:r>
        <w:rPr>
          <w:rFonts w:asciiTheme="majorBidi" w:hAnsiTheme="majorBidi" w:cstheme="majorBidi"/>
          <w:iCs/>
          <w:lang w:val="en-GB"/>
        </w:rPr>
        <w:t xml:space="preserve"> </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Išpuini</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and his son Minua</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A5BF1">
        <w:rPr>
          <w:rFonts w:ascii="Times New Roman" w:hAnsi="Times New Roman"/>
          <w:lang w:val="en-GB"/>
        </w:rPr>
        <w:t xml:space="preserve">(820-810 BCE). Pirabat is a village in the Eleşkirt </w:t>
      </w:r>
      <w:r w:rsidRPr="002D7FC2">
        <w:rPr>
          <w:rFonts w:ascii="Times New Roman" w:hAnsi="Times New Roman"/>
          <w:lang w:val="en-GB"/>
        </w:rPr>
        <w:t>district of Ağrı. Inscriptions found here describing a military campaign of Išpuini and his son Minua against the Luša</w:t>
      </w:r>
      <w:r w:rsidRPr="002947AC">
        <w:rPr>
          <w:rFonts w:ascii="Times New Roman" w:eastAsia="Calibri" w:hAnsi="Times New Roman" w:cs="Times New Roman"/>
          <w:lang w:val="en-GB"/>
        </w:rPr>
        <w:t> </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"Luša" </w:instrText>
      </w:r>
      <w:r w:rsidRPr="00F03A26">
        <w:rPr>
          <w:rFonts w:asciiTheme="majorBidi" w:hAnsiTheme="majorBidi" w:cstheme="majorBidi"/>
          <w:iCs/>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and Katarza</w:t>
      </w:r>
      <w:r w:rsidRPr="002947AC">
        <w:rPr>
          <w:rFonts w:ascii="Times New Roman" w:eastAsia="Calibri" w:hAnsi="Times New Roman" w:cs="Times New Roman"/>
          <w:lang w:val="en-GB"/>
        </w:rPr>
        <w:t> </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Katarza</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tribes in the north and their construction activities around Anaše</w:t>
      </w:r>
      <w:r w:rsidRPr="002947AC">
        <w:rPr>
          <w:rFonts w:ascii="Times New Roman" w:eastAsia="Calibri" w:hAnsi="Times New Roman" w:cs="Times New Roman"/>
          <w:lang w:val="en-GB"/>
        </w:rPr>
        <w:t> </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Anaše</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were found in the village. The word</w:t>
      </w:r>
      <w:r>
        <w:rPr>
          <w:rFonts w:ascii="Times New Roman" w:hAnsi="Times New Roman"/>
          <w:lang w:val="en-GB"/>
        </w:rPr>
        <w:t xml:space="preserve">, </w:t>
      </w:r>
      <w:r w:rsidRPr="002D7FC2">
        <w:rPr>
          <w:rFonts w:ascii="Times New Roman" w:hAnsi="Times New Roman"/>
          <w:lang w:val="en-GB"/>
        </w:rPr>
        <w:t>"</w:t>
      </w:r>
      <w:r w:rsidRPr="00AA1737">
        <w:rPr>
          <w:rFonts w:asciiTheme="majorBidi" w:hAnsiTheme="majorBidi" w:cstheme="majorBidi"/>
          <w:lang w:val="en-GB"/>
        </w:rPr>
        <w:t>taramani</w:t>
      </w:r>
      <w:r w:rsidRPr="002D7FC2">
        <w:rPr>
          <w:rFonts w:ascii="Times New Roman" w:hAnsi="Times New Roman"/>
          <w:lang w:val="en-GB"/>
        </w:rPr>
        <w:t>"</w:t>
      </w:r>
      <w:r w:rsidRPr="00AA1737">
        <w:rPr>
          <w:rFonts w:asciiTheme="majorBidi" w:hAnsiTheme="majorBidi" w:cstheme="majorBidi"/>
          <w:lang w:val="en-GB"/>
        </w:rPr>
        <w:t xml:space="preserve"> in</w:t>
      </w:r>
      <w:r w:rsidRPr="002D7FC2">
        <w:rPr>
          <w:rFonts w:ascii="Times New Roman" w:hAnsi="Times New Roman"/>
          <w:lang w:val="en-GB"/>
        </w:rPr>
        <w:t xml:space="preserve"> one of these inscriptions</w:t>
      </w:r>
      <w:r w:rsidRPr="002947AC">
        <w:rPr>
          <w:rFonts w:ascii="Times New Roman" w:eastAsia="Calibri" w:hAnsi="Times New Roman" w:cs="Times New Roman"/>
          <w:lang w:val="en-GB"/>
        </w:rPr>
        <w:t>,</w:t>
      </w:r>
      <w:r w:rsidRPr="002D7FC2">
        <w:rPr>
          <w:rFonts w:ascii="Times New Roman" w:hAnsi="Times New Roman"/>
          <w:lang w:val="en-GB"/>
        </w:rPr>
        <w:t xml:space="preserve"> was interpreted as a cistern (Payne &amp; Ceylan, 2003: 192, 196). Salvini, who consistently describes the word taramani as </w:t>
      </w:r>
      <w:r w:rsidRPr="002947AC">
        <w:rPr>
          <w:rFonts w:ascii="Times New Roman" w:eastAsia="Calibri" w:hAnsi="Times New Roman" w:cs="Times New Roman"/>
          <w:lang w:val="en-GB"/>
        </w:rPr>
        <w:t>’</w:t>
      </w:r>
      <w:r w:rsidRPr="002D7FC2">
        <w:rPr>
          <w:rFonts w:ascii="Times New Roman" w:hAnsi="Times New Roman"/>
          <w:lang w:val="en-GB"/>
        </w:rPr>
        <w:t xml:space="preserve"> suggests that this particular inscription could </w:t>
      </w:r>
      <w:r w:rsidRPr="002947AC">
        <w:rPr>
          <w:rFonts w:ascii="Times New Roman" w:eastAsia="Calibri" w:hAnsi="Times New Roman" w:cs="Times New Roman"/>
          <w:lang w:val="en-GB"/>
        </w:rPr>
        <w:t xml:space="preserve">also </w:t>
      </w:r>
      <w:r w:rsidRPr="002D7FC2">
        <w:rPr>
          <w:rFonts w:ascii="Times New Roman" w:hAnsi="Times New Roman"/>
          <w:lang w:val="en-GB"/>
        </w:rPr>
        <w:t xml:space="preserve">denote fountain or cistern (CTU I. A 3-6: 136). Apart from </w:t>
      </w:r>
      <w:r w:rsidRPr="002947AC">
        <w:rPr>
          <w:rFonts w:ascii="Times New Roman" w:eastAsia="Calibri" w:hAnsi="Times New Roman" w:cs="Times New Roman"/>
          <w:lang w:val="en-GB"/>
        </w:rPr>
        <w:t xml:space="preserve">the </w:t>
      </w:r>
      <w:r w:rsidRPr="002D7FC2">
        <w:rPr>
          <w:rFonts w:ascii="Times New Roman" w:hAnsi="Times New Roman"/>
          <w:lang w:val="en-GB"/>
        </w:rPr>
        <w:t>Pirabad</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"Pirabad"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inscription, the Salmanağa Stele</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"the Salmanağa Stele"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(CTU I A 5-17) dating to the Minua period, the Van Fortress</w:t>
      </w:r>
      <w:r w:rsidRPr="002947AC">
        <w:rPr>
          <w:rFonts w:ascii="Times New Roman" w:eastAsia="Calibri" w:hAnsi="Times New Roman" w:cs="Times New Roman"/>
          <w:lang w:val="en-GB"/>
        </w:rPr>
        <w:t> </w:t>
      </w:r>
      <w:r w:rsidRPr="002D7FC2">
        <w:rPr>
          <w:rFonts w:ascii="Times New Roman" w:hAnsi="Times New Roman"/>
          <w:lang w:val="en-GB"/>
        </w:rPr>
        <w:t>(CTU I. A 5-58 A-B), the Anzaf</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"Anzaf"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 xml:space="preserve">Inscription </w:t>
      </w:r>
      <w:r w:rsidRPr="002D7FC2">
        <w:rPr>
          <w:rFonts w:ascii="Times New Roman" w:hAnsi="Times New Roman"/>
          <w:lang w:val="en-GB"/>
        </w:rPr>
        <w:lastRenderedPageBreak/>
        <w:t>(CTU I. A 14-1), the Mazgirt/Kaleköy</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"Mazgirt/Kaleköy"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Inscription (CTU I. A 12-6) dating to Rusai Argištiḫi</w:t>
      </w:r>
      <w:r w:rsidRPr="002947AC">
        <w:rPr>
          <w:rFonts w:ascii="Times New Roman" w:eastAsia="Calibri" w:hAnsi="Times New Roman" w:cs="Times New Roman"/>
          <w:lang w:val="en-GB"/>
        </w:rPr>
        <w:t> </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Rusai Argištiḫi</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and the Gövelek</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"Gövelek"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(CTU I A 14-2) and Savacık</w:t>
      </w:r>
      <w:r w:rsidRPr="002947AC">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"Savacık"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(CTU I. A 14-2) inscriptions dating to the reign of Rusai Erimenaḫi</w:t>
      </w:r>
      <w:r w:rsidRPr="002947AC">
        <w:rPr>
          <w:rFonts w:ascii="Times New Roman" w:eastAsia="Calibri" w:hAnsi="Times New Roman" w:cs="Times New Roman"/>
          <w:lang w:val="en-GB"/>
        </w:rPr>
        <w:t> </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Rusai Erimenaḫi</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 xml:space="preserve">mention the word ‘taramani’. Among these inscriptions, the expression ‘spring of God </w:t>
      </w:r>
      <w:r w:rsidRPr="00F03A26">
        <w:rPr>
          <w:rFonts w:asciiTheme="majorBidi" w:hAnsiTheme="majorBidi" w:cstheme="majorBidi"/>
          <w:iCs/>
          <w:lang w:val="en-GB"/>
        </w:rPr>
        <w:t>Quera</w:t>
      </w:r>
      <w:r>
        <w:rPr>
          <w:rFonts w:asciiTheme="majorBidi" w:hAnsiTheme="majorBidi" w:cstheme="majorBidi"/>
          <w:iCs/>
          <w:lang w:val="en-GB"/>
        </w:rPr>
        <w:t xml:space="preserve"> </w:t>
      </w:r>
      <w:r w:rsidRPr="00F03A26">
        <w:rPr>
          <w:rFonts w:asciiTheme="majorBidi" w:hAnsiTheme="majorBidi" w:cstheme="majorBid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Quera</w:instrText>
      </w:r>
      <w:r w:rsidRPr="00F03A26">
        <w:rPr>
          <w:rFonts w:asciiTheme="majorBidi" w:hAnsiTheme="majorBidi" w:cstheme="majorBidi"/>
          <w:lang w:val="en-GB"/>
        </w:rPr>
        <w:instrText xml:space="preserve">" </w:instrText>
      </w:r>
      <w:r w:rsidRPr="00F03A26">
        <w:rPr>
          <w:rFonts w:asciiTheme="majorBidi" w:hAnsiTheme="majorBidi" w:cstheme="majorBidi"/>
          <w:iCs/>
          <w:lang w:val="en-GB"/>
        </w:rPr>
        <w:fldChar w:fldCharType="end"/>
      </w:r>
      <w:r w:rsidRPr="002D7FC2">
        <w:rPr>
          <w:rFonts w:ascii="Times New Roman" w:hAnsi="Times New Roman"/>
          <w:lang w:val="en-GB"/>
        </w:rPr>
        <w:t xml:space="preserve"> in the Salmanağa stele is noteworthy (CTU I. A 5-17). This particular example may be related to </w:t>
      </w:r>
      <w:r w:rsidRPr="002947AC">
        <w:rPr>
          <w:rFonts w:ascii="Times New Roman" w:eastAsia="Calibri" w:hAnsi="Times New Roman" w:cs="Times New Roman"/>
          <w:lang w:val="en-GB"/>
        </w:rPr>
        <w:t xml:space="preserve">the </w:t>
      </w:r>
      <w:r w:rsidRPr="002D7FC2">
        <w:rPr>
          <w:rFonts w:ascii="Times New Roman" w:hAnsi="Times New Roman"/>
          <w:lang w:val="en-GB"/>
        </w:rPr>
        <w:t xml:space="preserve">religious importance that the </w:t>
      </w:r>
      <w:r w:rsidRPr="002947AC">
        <w:rPr>
          <w:rFonts w:ascii="Times New Roman" w:eastAsia="Calibri" w:hAnsi="Times New Roman" w:cs="Times New Roman"/>
          <w:lang w:val="en-GB"/>
        </w:rPr>
        <w:t>Urartians</w:t>
      </w:r>
      <w:r w:rsidRPr="002D7FC2">
        <w:rPr>
          <w:rFonts w:ascii="Times New Roman" w:hAnsi="Times New Roman"/>
          <w:lang w:val="en-GB"/>
        </w:rPr>
        <w:t xml:space="preserve"> ascribed to fountains or water springs. </w:t>
      </w:r>
    </w:p>
    <w:p w14:paraId="4E8FE855"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drawing>
          <wp:inline distT="0" distB="0" distL="0" distR="0" wp14:anchorId="5C1EB574" wp14:editId="2123FDBB">
            <wp:extent cx="4168690" cy="6280660"/>
            <wp:effectExtent l="0" t="0" r="0" b="0"/>
            <wp:docPr id="1064842903" name="Resim 1064842903" descr="dış mekan, mağara, bina,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3" name="Resim 1064842903" descr="dış mekan, mağara, bina, doğa içeren bir resim&#10;&#10;Açıklama otomatik olarak oluşturuldu"/>
                    <pic:cNvPicPr/>
                  </pic:nvPicPr>
                  <pic:blipFill>
                    <a:blip r:embed="rId360" cstate="email">
                      <a:extLst>
                        <a:ext uri="{28A0092B-C50C-407E-A947-70E740481C1C}">
                          <a14:useLocalDpi xmlns:a14="http://schemas.microsoft.com/office/drawing/2010/main"/>
                        </a:ext>
                      </a:extLst>
                    </a:blip>
                    <a:stretch>
                      <a:fillRect/>
                    </a:stretch>
                  </pic:blipFill>
                  <pic:spPr>
                    <a:xfrm>
                      <a:off x="0" y="0"/>
                      <a:ext cx="4213156" cy="6347653"/>
                    </a:xfrm>
                    <a:prstGeom prst="rect">
                      <a:avLst/>
                    </a:prstGeom>
                  </pic:spPr>
                </pic:pic>
              </a:graphicData>
            </a:graphic>
          </wp:inline>
        </w:drawing>
      </w:r>
    </w:p>
    <w:p w14:paraId="01D0E05F"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lang w:val="en-GB"/>
        </w:rPr>
        <w:t>Fig. 10 The Ain-e Rum</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lang w:val="en-GB"/>
        </w:rPr>
        <w:instrText>Ain-e Rum</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inscribed niche in Iran.</w:t>
      </w:r>
    </w:p>
    <w:p w14:paraId="0EFE1CA0" w14:textId="581CC212" w:rsidR="00801D3E" w:rsidRPr="002D7FC2" w:rsidRDefault="00801D3E" w:rsidP="00D73826">
      <w:pPr>
        <w:jc w:val="both"/>
        <w:rPr>
          <w:rFonts w:ascii="Times New Roman" w:hAnsi="Times New Roman"/>
          <w:lang w:val="en-GB"/>
        </w:rPr>
      </w:pPr>
      <w:r w:rsidRPr="002D7FC2">
        <w:rPr>
          <w:rFonts w:ascii="Times New Roman" w:hAnsi="Times New Roman"/>
          <w:lang w:val="en-GB"/>
        </w:rPr>
        <w:t>Three inscriptions mentioning the fountain construction activities of Minua</w:t>
      </w:r>
      <w:r w:rsidRPr="002D7FC2">
        <w:rPr>
          <w:rFonts w:ascii="Times New Roman" w:eastAsia="Calibri" w:hAnsi="Times New Roman" w:cs="Times New Roman"/>
          <w:lang w:val="en-GB"/>
        </w:rPr>
        <w:t> </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"Minua" </w:instrText>
      </w:r>
      <w:r w:rsidRPr="002D7FC2">
        <w:rPr>
          <w:rFonts w:asciiTheme="majorBidi" w:hAnsiTheme="majorBidi" w:cstheme="majorBidi"/>
          <w:lang w:val="en-GB"/>
        </w:rPr>
        <w:fldChar w:fldCharType="end"/>
      </w:r>
      <w:r w:rsidRPr="002D7FC2">
        <w:rPr>
          <w:rFonts w:asciiTheme="majorBidi" w:hAnsiTheme="majorBidi" w:cstheme="majorBidi"/>
          <w:lang w:val="en-GB"/>
        </w:rPr>
        <w:t xml:space="preserve"> </w:t>
      </w:r>
      <w:r w:rsidRPr="002D7FC2">
        <w:rPr>
          <w:rFonts w:ascii="Times New Roman" w:hAnsi="Times New Roman"/>
          <w:lang w:val="en-GB"/>
        </w:rPr>
        <w:t xml:space="preserve">are located </w:t>
      </w:r>
      <w:r w:rsidRPr="002D7FC2">
        <w:rPr>
          <w:rFonts w:ascii="Times New Roman" w:eastAsia="Calibri" w:hAnsi="Times New Roman" w:cs="Times New Roman"/>
          <w:lang w:val="en-GB"/>
        </w:rPr>
        <w:t>on</w:t>
      </w:r>
      <w:r w:rsidRPr="002D7FC2">
        <w:rPr>
          <w:rFonts w:ascii="Times New Roman" w:hAnsi="Times New Roman"/>
          <w:lang w:val="en-GB"/>
        </w:rPr>
        <w:t xml:space="preserve"> the northern slope of Van Fortress, in three niches carved into different parts of the rock facade. Minua starts these inscriptions with the following expression: ‘I dug? and built this source’ (CTU I. A 5-58 A-C) (Fig. 9). Another fountain with an inscription indicating that </w:t>
      </w:r>
      <w:r w:rsidRPr="002D7FC2">
        <w:rPr>
          <w:rFonts w:ascii="Times New Roman" w:hAnsi="Times New Roman"/>
          <w:lang w:val="en-GB"/>
        </w:rPr>
        <w:lastRenderedPageBreak/>
        <w:t xml:space="preserve">Minua </w:t>
      </w:r>
      <w:r w:rsidRPr="002D7FC2">
        <w:rPr>
          <w:rFonts w:ascii="Times New Roman" w:eastAsia="Calibri" w:hAnsi="Times New Roman" w:cs="Times New Roman"/>
          <w:lang w:val="en-GB"/>
        </w:rPr>
        <w:t xml:space="preserve">built it </w:t>
      </w:r>
      <w:r w:rsidRPr="002D7FC2">
        <w:rPr>
          <w:rFonts w:ascii="Times New Roman" w:hAnsi="Times New Roman"/>
          <w:lang w:val="en-GB"/>
        </w:rPr>
        <w:t>is located in the Ain-e Rum</w:t>
      </w:r>
      <w:r w:rsidR="00CD0F5D">
        <w:rPr>
          <w:rFonts w:ascii="Times New Roman" w:eastAsia="Calibri" w:hAnsi="Times New Roman" w:cs="Times New Roman"/>
          <w:lang w:val="en-GB"/>
        </w:rPr>
        <w:t>/</w:t>
      </w:r>
      <w:r w:rsidRPr="002D7FC2">
        <w:rPr>
          <w:rFonts w:ascii="Times New Roman" w:hAnsi="Times New Roman"/>
          <w:lang w:val="en-GB"/>
        </w:rPr>
        <w:t>Ejderha Bulağı to the north of Oshnavieh</w:t>
      </w:r>
      <w:r w:rsidRPr="002D7FC2">
        <w:rPr>
          <w:rFonts w:ascii="Times New Roman" w:eastAsia="Calibri" w:hAnsi="Times New Roman" w:cs="Times New Roman"/>
          <w:lang w:val="en-GB"/>
        </w:rPr>
        <w:t> </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"Oshnavieh" </w:instrText>
      </w:r>
      <w:r w:rsidRPr="002D7FC2">
        <w:rPr>
          <w:rFonts w:asciiTheme="majorBidi" w:hAnsiTheme="majorBidi" w:cstheme="majorBidi"/>
          <w:lang w:val="en-GB"/>
        </w:rPr>
        <w:fldChar w:fldCharType="end"/>
      </w:r>
      <w:r w:rsidRPr="002D7FC2">
        <w:rPr>
          <w:rFonts w:asciiTheme="majorBidi" w:hAnsiTheme="majorBidi" w:cstheme="majorBidi"/>
          <w:lang w:val="en-GB"/>
        </w:rPr>
        <w:t xml:space="preserve"> </w:t>
      </w:r>
      <w:r w:rsidRPr="002D7FC2">
        <w:rPr>
          <w:rFonts w:ascii="Times New Roman" w:hAnsi="Times New Roman"/>
          <w:lang w:val="en-GB"/>
        </w:rPr>
        <w:t>in the Iranian Azerbaijan</w:t>
      </w:r>
      <w:r w:rsidRPr="002D7FC2">
        <w:rPr>
          <w:rFonts w:ascii="Times New Roman" w:eastAsia="Calibri" w:hAnsi="Times New Roman" w:cs="Times New Roman"/>
          <w:lang w:val="en-GB"/>
        </w:rPr>
        <w:t> </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w:instrText>
      </w:r>
      <w:r w:rsidRPr="002D7FC2">
        <w:rPr>
          <w:rFonts w:asciiTheme="majorBidi" w:eastAsia="Times New Roman" w:hAnsiTheme="majorBidi" w:cstheme="majorBidi"/>
          <w:color w:val="202124"/>
          <w:lang w:val="en-GB" w:eastAsia="it-IT"/>
        </w:rPr>
        <w:instrText>Iranian Azerbaijan</w:instrText>
      </w:r>
      <w:r w:rsidRPr="002D7FC2">
        <w:rPr>
          <w:rFonts w:asciiTheme="majorBidi" w:hAnsiTheme="majorBidi" w:cstheme="majorBidi"/>
          <w:lang w:val="en-GB"/>
        </w:rPr>
        <w:instrText xml:space="preserve">" </w:instrText>
      </w:r>
      <w:r w:rsidRPr="002D7FC2">
        <w:rPr>
          <w:rFonts w:asciiTheme="majorBidi" w:hAnsiTheme="majorBidi" w:cstheme="majorBidi"/>
          <w:lang w:val="en-GB"/>
        </w:rPr>
        <w:fldChar w:fldCharType="end"/>
      </w:r>
      <w:r w:rsidRPr="002D7FC2">
        <w:rPr>
          <w:rFonts w:asciiTheme="majorBidi" w:hAnsiTheme="majorBidi" w:cstheme="majorBidi"/>
          <w:lang w:val="en-GB"/>
        </w:rPr>
        <w:t xml:space="preserve"> </w:t>
      </w:r>
      <w:r w:rsidRPr="002D7FC2">
        <w:rPr>
          <w:rFonts w:ascii="Times New Roman" w:hAnsi="Times New Roman"/>
          <w:lang w:val="en-GB"/>
        </w:rPr>
        <w:t>(Pecorella &amp; Salvini, 1984: 71-76; CTU I. A 5-59 A-D). In a compilation of these inscriptions consisting of four copies, Salvini indicates that the construction of a royal fountain was celebrated (Salvini, 2006: 160; Salvini, 2009: 500). As a newly emerged practice in the inscriptions of Išpuini</w:t>
      </w:r>
      <w:r w:rsidRPr="002D7FC2">
        <w:rPr>
          <w:rFonts w:ascii="Times New Roman" w:eastAsia="Calibri" w:hAnsi="Times New Roman" w:cs="Times New Roman"/>
          <w:lang w:val="en-GB"/>
        </w:rPr>
        <w:t>,</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"Išpuini" </w:instrText>
      </w:r>
      <w:r w:rsidRPr="002D7FC2">
        <w:rPr>
          <w:rFonts w:asciiTheme="majorBidi" w:hAnsiTheme="majorBidi" w:cstheme="majorBidi"/>
          <w:lang w:val="en-GB"/>
        </w:rPr>
        <w:fldChar w:fldCharType="end"/>
      </w:r>
      <w:r w:rsidRPr="002D7FC2">
        <w:rPr>
          <w:rFonts w:ascii="Times New Roman" w:hAnsi="Times New Roman"/>
          <w:lang w:val="en-GB"/>
        </w:rPr>
        <w:t xml:space="preserve"> the recurring structure of three copies of the same inscription was interpreted in a magical context (Barnett, 1982: 338). The recurring inscriptions during the Minua period</w:t>
      </w:r>
      <w:r w:rsidRPr="002D7FC2">
        <w:rPr>
          <w:rFonts w:ascii="Times New Roman" w:eastAsia="Calibri" w:hAnsi="Times New Roman" w:cs="Times New Roman"/>
          <w:lang w:val="en-GB"/>
        </w:rPr>
        <w:t> </w:t>
      </w:r>
      <w:r w:rsidRPr="002D7FC2">
        <w:rPr>
          <w:rFonts w:ascii="Times New Roman" w:hAnsi="Times New Roman"/>
          <w:lang w:val="en-GB"/>
        </w:rPr>
        <w:t xml:space="preserve">could </w:t>
      </w:r>
      <w:r w:rsidRPr="002D7FC2">
        <w:rPr>
          <w:rFonts w:ascii="Times New Roman" w:eastAsia="Calibri" w:hAnsi="Times New Roman" w:cs="Times New Roman"/>
          <w:lang w:val="en-GB"/>
        </w:rPr>
        <w:t xml:space="preserve">also </w:t>
      </w:r>
      <w:r w:rsidRPr="002D7FC2">
        <w:rPr>
          <w:rFonts w:ascii="Times New Roman" w:hAnsi="Times New Roman"/>
          <w:lang w:val="en-GB"/>
        </w:rPr>
        <w:t>be related to the protection of gods.</w:t>
      </w:r>
    </w:p>
    <w:p w14:paraId="34965CF1" w14:textId="77777777" w:rsidR="00801D3E" w:rsidRPr="002D7FC2" w:rsidRDefault="00801D3E" w:rsidP="00D73826">
      <w:pPr>
        <w:jc w:val="both"/>
        <w:rPr>
          <w:rFonts w:ascii="Times New Roman" w:eastAsia="Calibri" w:hAnsi="Times New Roman" w:cs="Times New Roman"/>
          <w:lang w:val="en-GB"/>
        </w:rPr>
      </w:pPr>
      <w:r w:rsidRPr="002D7FC2">
        <w:rPr>
          <w:rFonts w:ascii="Times New Roman" w:hAnsi="Times New Roman"/>
          <w:lang w:val="en-GB"/>
        </w:rPr>
        <w:t>A comparison between the Minua</w:t>
      </w:r>
      <w:r w:rsidRPr="002D7FC2">
        <w:rPr>
          <w:rFonts w:ascii="Times New Roman" w:eastAsia="Calibri" w:hAnsi="Times New Roman" w:cs="Times New Roman"/>
          <w:lang w:val="en-GB"/>
        </w:rPr>
        <w:t> </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"Minua" </w:instrText>
      </w:r>
      <w:r w:rsidRPr="002D7FC2">
        <w:rPr>
          <w:rFonts w:asciiTheme="majorBidi" w:hAnsiTheme="majorBidi" w:cstheme="majorBidi"/>
          <w:lang w:val="en-GB"/>
        </w:rPr>
        <w:fldChar w:fldCharType="end"/>
      </w:r>
      <w:r w:rsidRPr="002D7FC2">
        <w:rPr>
          <w:rFonts w:asciiTheme="majorBidi" w:hAnsiTheme="majorBidi" w:cstheme="majorBidi"/>
          <w:lang w:val="en-GB"/>
        </w:rPr>
        <w:t xml:space="preserve"> </w:t>
      </w:r>
      <w:r w:rsidRPr="002D7FC2">
        <w:rPr>
          <w:rFonts w:ascii="Times New Roman" w:hAnsi="Times New Roman"/>
          <w:lang w:val="en-GB"/>
        </w:rPr>
        <w:t>inscriptions in Van Fortress, the Minua fountain in Ain-e Rum</w:t>
      </w:r>
      <w:r w:rsidRPr="002D7FC2">
        <w:rPr>
          <w:rFonts w:ascii="Times New Roman" w:eastAsia="Calibri" w:hAnsi="Times New Roman" w:cs="Times New Roman"/>
          <w:lang w:val="en-GB"/>
        </w:rPr>
        <w:t>,</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w:instrText>
      </w:r>
      <w:r w:rsidRPr="002D7FC2">
        <w:rPr>
          <w:rFonts w:asciiTheme="majorBidi" w:eastAsia="Times New Roman" w:hAnsiTheme="majorBidi" w:cstheme="majorBidi"/>
          <w:lang w:val="en-GB"/>
        </w:rPr>
        <w:instrText>Ain-e Rum</w:instrText>
      </w:r>
      <w:r w:rsidRPr="002D7FC2">
        <w:rPr>
          <w:rFonts w:asciiTheme="majorBidi" w:hAnsiTheme="majorBidi" w:cstheme="majorBidi"/>
          <w:lang w:val="en-GB"/>
        </w:rPr>
        <w:instrText xml:space="preserve">" </w:instrText>
      </w:r>
      <w:r w:rsidRPr="002D7FC2">
        <w:rPr>
          <w:rFonts w:asciiTheme="majorBidi" w:hAnsiTheme="majorBidi" w:cstheme="majorBidi"/>
          <w:lang w:val="en-GB"/>
        </w:rPr>
        <w:fldChar w:fldCharType="end"/>
      </w:r>
      <w:r w:rsidRPr="002D7FC2">
        <w:rPr>
          <w:rFonts w:ascii="Times New Roman" w:hAnsi="Times New Roman"/>
          <w:lang w:val="en-GB"/>
        </w:rPr>
        <w:t xml:space="preserve"> and the fountain unearthed in the south of Van Fortress may provide some further insights. </w:t>
      </w:r>
      <w:r w:rsidRPr="002D7FC2">
        <w:rPr>
          <w:rFonts w:ascii="Times New Roman" w:eastAsia="Calibri" w:hAnsi="Times New Roman" w:cs="Times New Roman"/>
          <w:lang w:val="en-GB"/>
        </w:rPr>
        <w:t>In</w:t>
      </w:r>
      <w:r w:rsidRPr="002D7FC2">
        <w:rPr>
          <w:rFonts w:ascii="Times New Roman" w:hAnsi="Times New Roman"/>
          <w:lang w:val="en-GB"/>
        </w:rPr>
        <w:t xml:space="preserve"> 2012, excavations were conducted in the area mentioned as the ‘Minua’s "</w:t>
      </w:r>
      <w:r w:rsidRPr="002D7FC2">
        <w:rPr>
          <w:rFonts w:asciiTheme="majorBidi" w:hAnsiTheme="majorBidi" w:cstheme="majorBidi"/>
          <w:lang w:val="en-GB"/>
        </w:rPr>
        <w:t>taramanili</w:t>
      </w:r>
      <w:r w:rsidRPr="002D7FC2">
        <w:rPr>
          <w:rFonts w:ascii="Times New Roman" w:hAnsi="Times New Roman"/>
          <w:lang w:val="en-GB"/>
        </w:rPr>
        <w:t>"</w:t>
      </w:r>
      <w:r w:rsidRPr="002D7FC2">
        <w:rPr>
          <w:rFonts w:asciiTheme="majorBidi" w:hAnsiTheme="majorBidi" w:cstheme="majorBidi"/>
          <w:lang w:val="en-GB"/>
        </w:rPr>
        <w:t xml:space="preserve"> </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"taramanili" </w:instrText>
      </w:r>
      <w:r w:rsidRPr="002D7FC2">
        <w:rPr>
          <w:rFonts w:asciiTheme="majorBidi" w:hAnsiTheme="majorBidi" w:cstheme="majorBidi"/>
          <w:lang w:val="en-GB"/>
        </w:rPr>
        <w:fldChar w:fldCharType="end"/>
      </w:r>
      <w:r w:rsidRPr="002D7FC2">
        <w:rPr>
          <w:rFonts w:asciiTheme="majorBidi" w:hAnsiTheme="majorBidi" w:cstheme="majorBidi"/>
          <w:lang w:val="en-GB"/>
        </w:rPr>
        <w:t>’</w:t>
      </w:r>
      <w:r w:rsidRPr="002D7FC2">
        <w:rPr>
          <w:rFonts w:ascii="Times New Roman" w:hAnsi="Times New Roman"/>
          <w:lang w:val="en-GB"/>
        </w:rPr>
        <w:t xml:space="preserve"> in the inscriptions located north of Van Fortress</w:t>
      </w:r>
      <w:r w:rsidRPr="002D7FC2">
        <w:rPr>
          <w:rFonts w:ascii="Times New Roman" w:eastAsia="Calibri" w:hAnsi="Times New Roman" w:cs="Times New Roman"/>
          <w:lang w:val="en-GB"/>
        </w:rPr>
        <w:t>. However</w:t>
      </w:r>
      <w:r w:rsidRPr="002D7FC2">
        <w:rPr>
          <w:rFonts w:ascii="Times New Roman" w:hAnsi="Times New Roman"/>
          <w:lang w:val="en-GB"/>
        </w:rPr>
        <w:t xml:space="preserve">, no fountain structure was found (Konyar, Avcı, Genç, Akgün &amp; Tan, 2013: 196-197, Fig. 10-11). The fountain in Ain-e Rum was constructed by carving a vaulted niche on the rock surface where the water flows (Fig. 10). </w:t>
      </w:r>
      <w:r w:rsidRPr="002D7FC2">
        <w:rPr>
          <w:rFonts w:ascii="Times New Roman" w:eastAsia="Calibri" w:hAnsi="Times New Roman" w:cs="Times New Roman"/>
          <w:lang w:val="en-GB"/>
        </w:rPr>
        <w:t>A</w:t>
      </w:r>
      <w:r w:rsidRPr="002D7FC2">
        <w:rPr>
          <w:rFonts w:ascii="Times New Roman" w:hAnsi="Times New Roman"/>
          <w:lang w:val="en-GB"/>
        </w:rPr>
        <w:t xml:space="preserve"> natural water source</w:t>
      </w:r>
      <w:r w:rsidRPr="002D7FC2">
        <w:rPr>
          <w:rFonts w:ascii="Times New Roman" w:eastAsia="Calibri" w:hAnsi="Times New Roman" w:cs="Times New Roman"/>
          <w:lang w:val="en-GB"/>
        </w:rPr>
        <w:t xml:space="preserve"> is</w:t>
      </w:r>
      <w:r w:rsidRPr="002D7FC2">
        <w:rPr>
          <w:rFonts w:ascii="Times New Roman" w:hAnsi="Times New Roman"/>
          <w:lang w:val="en-GB"/>
        </w:rPr>
        <w:t xml:space="preserve"> inside the niche, flowing towards its middle and left parts. One of the inscriptions is on the vault in the upper part of the niche. However, today</w:t>
      </w:r>
      <w:r w:rsidRPr="002D7FC2">
        <w:rPr>
          <w:rFonts w:ascii="Times New Roman" w:eastAsia="Calibri" w:hAnsi="Times New Roman" w:cs="Times New Roman"/>
          <w:lang w:val="en-GB"/>
        </w:rPr>
        <w:t>,</w:t>
      </w:r>
      <w:r w:rsidRPr="002D7FC2">
        <w:rPr>
          <w:rFonts w:ascii="Times New Roman" w:hAnsi="Times New Roman"/>
          <w:lang w:val="en-GB"/>
        </w:rPr>
        <w:t xml:space="preserve"> the water changed its bed and now flows below the fountain in an area close to the road. A similar situation is </w:t>
      </w:r>
      <w:r w:rsidRPr="002D7FC2">
        <w:rPr>
          <w:rFonts w:ascii="Times New Roman" w:eastAsia="Calibri" w:hAnsi="Times New Roman" w:cs="Times New Roman"/>
          <w:lang w:val="en-GB"/>
        </w:rPr>
        <w:t>valid</w:t>
      </w:r>
      <w:r w:rsidRPr="002D7FC2">
        <w:rPr>
          <w:rFonts w:ascii="Times New Roman" w:hAnsi="Times New Roman"/>
          <w:lang w:val="en-GB"/>
        </w:rPr>
        <w:t xml:space="preserve"> for the fountain unearthed in Van Fortress</w:t>
      </w:r>
      <w:r w:rsidRPr="002D7FC2">
        <w:rPr>
          <w:rFonts w:ascii="Times New Roman" w:eastAsia="Calibri" w:hAnsi="Times New Roman" w:cs="Times New Roman"/>
          <w:lang w:val="en-GB"/>
        </w:rPr>
        <w:t>.</w:t>
      </w:r>
    </w:p>
    <w:p w14:paraId="077850A9" w14:textId="77777777" w:rsidR="00801D3E" w:rsidRPr="002D7FC2" w:rsidRDefault="00801D3E" w:rsidP="00D73826">
      <w:pPr>
        <w:jc w:val="both"/>
        <w:rPr>
          <w:rFonts w:ascii="Times New Roman" w:hAnsi="Times New Roman"/>
          <w:lang w:val="en-GB"/>
        </w:rPr>
      </w:pPr>
      <w:r w:rsidRPr="002D7FC2">
        <w:rPr>
          <w:rFonts w:ascii="Times New Roman" w:hAnsi="Times New Roman"/>
          <w:lang w:val="en-GB"/>
        </w:rPr>
        <w:t>The water source had changed its bed, began to flow from the rift right to its west, and still flows through this area nowadays. Similar structures in the Urartian</w:t>
      </w:r>
      <w:r w:rsidRPr="002D7FC2">
        <w:rPr>
          <w:rFonts w:ascii="Times New Roman" w:eastAsia="Calibri" w:hAnsi="Times New Roman" w:cs="Times New Roman"/>
          <w:lang w:val="en-GB"/>
        </w:rPr>
        <w:t> </w:t>
      </w:r>
      <w:r w:rsidRPr="002D7FC2">
        <w:rPr>
          <w:rFonts w:ascii="Times New Roman" w:hAnsi="Times New Roman"/>
          <w:lang w:val="en-GB"/>
        </w:rPr>
        <w:t>kingdom</w:t>
      </w:r>
      <w:r w:rsidRPr="002D7FC2">
        <w:rPr>
          <w:rFonts w:ascii="Times New Roman" w:eastAsia="Calibri" w:hAnsi="Times New Roman" w:cs="Times New Roman"/>
          <w:lang w:val="en-GB"/>
        </w:rPr>
        <w:t> </w:t>
      </w:r>
      <w:r w:rsidRPr="002D7FC2">
        <w:rPr>
          <w:rFonts w:asciiTheme="majorBidi" w:hAnsiTheme="majorBidi" w:cstheme="majorBidi"/>
          <w:lang w:val="en-GB"/>
        </w:rPr>
        <w:fldChar w:fldCharType="begin"/>
      </w:r>
      <w:r w:rsidRPr="002D7FC2">
        <w:rPr>
          <w:rFonts w:asciiTheme="majorBidi" w:hAnsiTheme="majorBidi" w:cstheme="majorBidi"/>
          <w:lang w:val="en-GB"/>
        </w:rPr>
        <w:instrText xml:space="preserve"> XE "Urartian Kingdom" </w:instrText>
      </w:r>
      <w:r w:rsidRPr="002D7FC2">
        <w:rPr>
          <w:rFonts w:asciiTheme="majorBidi" w:hAnsiTheme="majorBidi" w:cstheme="majorBidi"/>
          <w:lang w:val="en-GB"/>
        </w:rPr>
        <w:fldChar w:fldCharType="end"/>
      </w:r>
      <w:r w:rsidRPr="002D7FC2">
        <w:rPr>
          <w:rFonts w:asciiTheme="majorBidi" w:hAnsiTheme="majorBidi" w:cstheme="majorBidi"/>
          <w:lang w:val="en-GB"/>
        </w:rPr>
        <w:t xml:space="preserve"> </w:t>
      </w:r>
      <w:r w:rsidRPr="002D7FC2">
        <w:rPr>
          <w:rFonts w:ascii="Times New Roman" w:hAnsi="Times New Roman"/>
          <w:lang w:val="en-GB"/>
        </w:rPr>
        <w:t xml:space="preserve">were carved on natural water spring areas or rock surfaces. </w:t>
      </w:r>
      <w:r w:rsidRPr="002D7FC2">
        <w:rPr>
          <w:rFonts w:ascii="Times New Roman" w:eastAsia="Calibri" w:hAnsi="Times New Roman" w:cs="Times New Roman"/>
          <w:lang w:val="en-GB"/>
        </w:rPr>
        <w:t xml:space="preserve">Niches that were constructed facades </w:t>
      </w:r>
      <w:r w:rsidRPr="002D7FC2">
        <w:rPr>
          <w:rFonts w:ascii="Times New Roman" w:hAnsi="Times New Roman"/>
          <w:lang w:val="en-GB"/>
        </w:rPr>
        <w:t xml:space="preserve">in these areas were </w:t>
      </w:r>
      <w:r w:rsidRPr="002D7FC2">
        <w:rPr>
          <w:rFonts w:ascii="Times New Roman" w:eastAsia="Calibri" w:hAnsi="Times New Roman" w:cs="Times New Roman"/>
          <w:lang w:val="en-GB"/>
        </w:rPr>
        <w:t>used to cover</w:t>
      </w:r>
      <w:r w:rsidRPr="002D7FC2">
        <w:rPr>
          <w:rFonts w:ascii="Times New Roman" w:hAnsi="Times New Roman"/>
          <w:lang w:val="en-GB"/>
        </w:rPr>
        <w:t xml:space="preserve"> the water sources</w:t>
      </w:r>
      <w:r w:rsidRPr="002D7FC2">
        <w:rPr>
          <w:rFonts w:ascii="Times New Roman" w:eastAsia="Calibri" w:hAnsi="Times New Roman" w:cs="Times New Roman"/>
          <w:lang w:val="en-GB"/>
        </w:rPr>
        <w:t xml:space="preserve"> and</w:t>
      </w:r>
      <w:r w:rsidRPr="002D7FC2">
        <w:rPr>
          <w:rFonts w:ascii="Times New Roman" w:hAnsi="Times New Roman"/>
          <w:lang w:val="en-GB"/>
        </w:rPr>
        <w:t xml:space="preserve"> should have aimed to give a more aesthetic look. The high and deep niches were constructed in rocky areas, incorporating the water sources, which can be seen in the fountain in the south of Van Fortress, an area rich in spring water. Based on these similarities, one can suggest that the fountain found south of Van Fortress was first constructed during the Urartian period. However, it is </w:t>
      </w:r>
      <w:r w:rsidRPr="002D7FC2">
        <w:rPr>
          <w:rFonts w:ascii="Times New Roman" w:eastAsia="Calibri" w:hAnsi="Times New Roman" w:cs="Times New Roman"/>
          <w:lang w:val="en-GB"/>
        </w:rPr>
        <w:t>interesting</w:t>
      </w:r>
      <w:r w:rsidRPr="002D7FC2">
        <w:rPr>
          <w:rFonts w:ascii="Times New Roman" w:hAnsi="Times New Roman"/>
          <w:lang w:val="en-GB"/>
        </w:rPr>
        <w:t xml:space="preserve"> that the fountain has no inscriptions</w:t>
      </w:r>
      <w:r w:rsidRPr="002D7FC2">
        <w:rPr>
          <w:rFonts w:ascii="Times New Roman" w:eastAsia="Calibri" w:hAnsi="Times New Roman" w:cs="Times New Roman"/>
          <w:lang w:val="en-GB"/>
        </w:rPr>
        <w:t>,</w:t>
      </w:r>
      <w:r w:rsidRPr="002D7FC2">
        <w:rPr>
          <w:rFonts w:ascii="Times New Roman" w:hAnsi="Times New Roman"/>
          <w:lang w:val="en-GB"/>
        </w:rPr>
        <w:t xml:space="preserve"> while four inscriptions were made in the Ain-e Rum fountain</w:t>
      </w:r>
      <w:r w:rsidRPr="002D7FC2">
        <w:rPr>
          <w:rFonts w:ascii="Times New Roman" w:eastAsia="Calibri" w:hAnsi="Times New Roman" w:cs="Times New Roman"/>
          <w:lang w:val="en-GB"/>
        </w:rPr>
        <w:t>,</w:t>
      </w:r>
      <w:r w:rsidRPr="002D7FC2">
        <w:rPr>
          <w:rFonts w:ascii="Times New Roman" w:hAnsi="Times New Roman"/>
          <w:lang w:val="en-GB"/>
        </w:rPr>
        <w:t xml:space="preserve"> located a great distance </w:t>
      </w:r>
      <w:r w:rsidRPr="002D7FC2">
        <w:rPr>
          <w:rFonts w:ascii="Times New Roman" w:eastAsia="Calibri" w:hAnsi="Times New Roman" w:cs="Times New Roman"/>
          <w:lang w:val="en-GB"/>
        </w:rPr>
        <w:t>from</w:t>
      </w:r>
      <w:r w:rsidRPr="002D7FC2">
        <w:rPr>
          <w:rFonts w:ascii="Times New Roman" w:hAnsi="Times New Roman"/>
          <w:lang w:val="en-GB"/>
        </w:rPr>
        <w:t xml:space="preserve"> the Urartian capital. In this regard, one should mention the destroyed state of the bedrock and the surface due to plant roots where the fountain was constructed. If there was an inscription here, it could have </w:t>
      </w:r>
      <w:r w:rsidRPr="002D7FC2">
        <w:rPr>
          <w:rFonts w:ascii="Times New Roman" w:eastAsia="Calibri" w:hAnsi="Times New Roman" w:cs="Times New Roman"/>
          <w:lang w:val="en-GB"/>
        </w:rPr>
        <w:t>also</w:t>
      </w:r>
      <w:r w:rsidRPr="002D7FC2">
        <w:rPr>
          <w:rFonts w:ascii="Times New Roman" w:hAnsi="Times New Roman"/>
          <w:lang w:val="en-GB"/>
        </w:rPr>
        <w:t xml:space="preserve"> been destroyed.</w:t>
      </w:r>
    </w:p>
    <w:p w14:paraId="2DBB2555" w14:textId="77777777" w:rsidR="00801D3E" w:rsidRPr="002A5BF1" w:rsidRDefault="00801D3E" w:rsidP="00801D3E">
      <w:pPr>
        <w:keepNext/>
        <w:keepLines/>
        <w:spacing w:before="40"/>
        <w:outlineLvl w:val="1"/>
        <w:rPr>
          <w:rFonts w:ascii="Times New Roman" w:hAnsi="Times New Roman"/>
          <w:b/>
          <w:color w:val="0D0D0D"/>
          <w:sz w:val="28"/>
          <w:lang w:val="en-GB"/>
        </w:rPr>
      </w:pPr>
      <w:bookmarkStart w:id="178" w:name="_Toc173231264"/>
      <w:r w:rsidRPr="002A5BF1">
        <w:rPr>
          <w:rFonts w:ascii="Times New Roman" w:hAnsi="Times New Roman"/>
          <w:b/>
          <w:color w:val="0D0D0D"/>
          <w:sz w:val="28"/>
          <w:lang w:val="en-GB"/>
        </w:rPr>
        <w:t>11.3. Conclusion</w:t>
      </w:r>
      <w:bookmarkEnd w:id="178"/>
    </w:p>
    <w:p w14:paraId="7F9401B8" w14:textId="77777777" w:rsidR="00801D3E" w:rsidRPr="002A5BF1" w:rsidRDefault="00801D3E" w:rsidP="00801D3E">
      <w:pPr>
        <w:spacing w:line="276" w:lineRule="auto"/>
        <w:jc w:val="both"/>
        <w:rPr>
          <w:rFonts w:ascii="Times New Roman" w:hAnsi="Times New Roman"/>
          <w:lang w:val="en-GB"/>
        </w:rPr>
      </w:pPr>
      <w:r w:rsidRPr="002D7FC2">
        <w:rPr>
          <w:rFonts w:ascii="Times New Roman" w:hAnsi="Times New Roman"/>
          <w:lang w:val="en-GB"/>
        </w:rPr>
        <w:t xml:space="preserve">The fountain structure unearthed inside a niche carved into the bedrock in an area </w:t>
      </w:r>
      <w:r w:rsidRPr="00142102">
        <w:rPr>
          <w:rFonts w:ascii="Times New Roman" w:eastAsia="Calibri" w:hAnsi="Times New Roman" w:cs="Times New Roman"/>
          <w:lang w:val="en-GB"/>
        </w:rPr>
        <w:t>near</w:t>
      </w:r>
      <w:r w:rsidRPr="002D7FC2">
        <w:rPr>
          <w:rFonts w:ascii="Times New Roman" w:hAnsi="Times New Roman"/>
          <w:lang w:val="en-GB"/>
        </w:rPr>
        <w:t xml:space="preserve"> the southwestern end of Van Fortress</w:t>
      </w:r>
      <w:r w:rsidRPr="00142102">
        <w:rPr>
          <w:rFonts w:ascii="Times New Roman" w:eastAsia="Calibri" w:hAnsi="Times New Roman" w:cs="Times New Roman"/>
          <w:lang w:val="en-GB"/>
        </w:rPr>
        <w:t> </w:t>
      </w:r>
      <w:r w:rsidRPr="002D7FC2">
        <w:rPr>
          <w:rFonts w:ascii="Times New Roman" w:hAnsi="Times New Roman"/>
          <w:lang w:val="en-GB"/>
        </w:rPr>
        <w:t>proves that some of the niches surrounding the citadel could be related to water sources (Fig. 11). Although no inscriptions were found in this niche, the rock-cut steps connecting this area to the citadel, a small water pool carved into the bedrock, and a canal in front of the niche reflect Urartian</w:t>
      </w:r>
      <w:r w:rsidRPr="0014210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characteristics. This fountain should be one of the fountains built by Minua</w:t>
      </w:r>
      <w:r w:rsidRPr="00142102">
        <w:rPr>
          <w:rFonts w:ascii="Times New Roman" w:eastAsia="Calibri" w:hAnsi="Times New Roman" w:cs="Times New Roman"/>
          <w:lang w:val="en-GB"/>
        </w:rPr>
        <w:t>,</w:t>
      </w:r>
      <w:r w:rsidRPr="00AA1737">
        <w:rPr>
          <w:rFonts w:asciiTheme="majorBidi" w:hAnsiTheme="majorBidi" w:cstheme="majorBidi"/>
          <w:lang w:val="en-GB"/>
        </w:rPr>
        <w:fldChar w:fldCharType="begin"/>
      </w:r>
      <w:r w:rsidRPr="00AA1737">
        <w:rPr>
          <w:rFonts w:asciiTheme="majorBidi" w:hAnsiTheme="majorBidi" w:cstheme="majorBidi"/>
          <w:lang w:val="en-GB"/>
        </w:rPr>
        <w:instrText xml:space="preserve"> XE "Minua" </w:instrText>
      </w:r>
      <w:r w:rsidRPr="00AA1737">
        <w:rPr>
          <w:rFonts w:asciiTheme="majorBidi" w:hAnsiTheme="majorBidi" w:cstheme="majorBidi"/>
          <w:lang w:val="en-GB"/>
        </w:rPr>
        <w:fldChar w:fldCharType="end"/>
      </w:r>
      <w:r w:rsidRPr="00AA1737">
        <w:rPr>
          <w:rFonts w:asciiTheme="majorBidi" w:hAnsiTheme="majorBidi" w:cstheme="majorBidi"/>
          <w:lang w:val="en-GB"/>
        </w:rPr>
        <w:t>,</w:t>
      </w:r>
      <w:r w:rsidRPr="002D7FC2">
        <w:rPr>
          <w:rFonts w:ascii="Times New Roman" w:hAnsi="Times New Roman"/>
          <w:lang w:val="en-GB"/>
        </w:rPr>
        <w:t xml:space="preserve"> often mentioned in the plural as taramanili</w:t>
      </w:r>
      <w:r w:rsidRPr="00142102">
        <w:rPr>
          <w:rFonts w:ascii="Times New Roman" w:eastAsia="Calibri" w:hAnsi="Times New Roman" w:cs="Times New Roman"/>
          <w:lang w:val="en-GB"/>
        </w:rPr>
        <w:t>.</w:t>
      </w:r>
      <w:r w:rsidRPr="00AA1737">
        <w:rPr>
          <w:rFonts w:asciiTheme="majorBidi" w:hAnsiTheme="majorBidi" w:cstheme="majorBidi"/>
          <w:lang w:val="en-GB"/>
        </w:rPr>
        <w:fldChar w:fldCharType="begin"/>
      </w:r>
      <w:r w:rsidRPr="00AA1737">
        <w:rPr>
          <w:rFonts w:asciiTheme="majorBidi" w:hAnsiTheme="majorBidi" w:cstheme="majorBidi"/>
          <w:lang w:val="en-GB"/>
        </w:rPr>
        <w:instrText xml:space="preserve"> XE "taramanili" </w:instrText>
      </w:r>
      <w:r w:rsidRPr="00AA1737">
        <w:rPr>
          <w:rFonts w:asciiTheme="majorBidi" w:hAnsiTheme="majorBidi" w:cstheme="majorBidi"/>
          <w:lang w:val="en-GB"/>
        </w:rPr>
        <w:fldChar w:fldCharType="end"/>
      </w:r>
      <w:r w:rsidRPr="002D7FC2">
        <w:rPr>
          <w:rFonts w:ascii="Times New Roman" w:hAnsi="Times New Roman"/>
          <w:lang w:val="en-GB"/>
        </w:rPr>
        <w:t xml:space="preserve"> An evaluation of the Minua fountain </w:t>
      </w:r>
      <w:r w:rsidRPr="00142102">
        <w:rPr>
          <w:rFonts w:ascii="Times New Roman" w:eastAsia="Calibri" w:hAnsi="Times New Roman" w:cs="Times New Roman"/>
          <w:lang w:val="en-GB"/>
        </w:rPr>
        <w:t>on</w:t>
      </w:r>
      <w:r w:rsidRPr="002D7FC2">
        <w:rPr>
          <w:rFonts w:ascii="Times New Roman" w:hAnsi="Times New Roman"/>
          <w:lang w:val="en-GB"/>
        </w:rPr>
        <w:t xml:space="preserve"> the northern slope of Van Fortress, </w:t>
      </w:r>
      <w:r w:rsidRPr="002A5BF1">
        <w:rPr>
          <w:rFonts w:ascii="Times New Roman" w:hAnsi="Times New Roman"/>
          <w:lang w:val="en-GB"/>
        </w:rPr>
        <w:t xml:space="preserve">the Minua fountain in Ain-e </w:t>
      </w:r>
      <w:r w:rsidRPr="002D7FC2">
        <w:rPr>
          <w:rFonts w:ascii="Times New Roman" w:hAnsi="Times New Roman"/>
          <w:lang w:val="en-GB"/>
        </w:rPr>
        <w:t>Rum</w:t>
      </w:r>
      <w:r w:rsidRPr="00142102">
        <w:rPr>
          <w:rFonts w:ascii="Times New Roman" w:eastAsia="Calibri" w:hAnsi="Times New Roman" w:cs="Times New Roman"/>
          <w:lang w:val="en-GB"/>
        </w:rPr>
        <w:t> </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Ain-e Rum</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in Northwest Iran</w:t>
      </w:r>
      <w:r w:rsidRPr="00142102">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"Northwest Iran" </w:instrText>
      </w:r>
      <w:r w:rsidRPr="00F03A26">
        <w:rPr>
          <w:rFonts w:asciiTheme="majorBidi" w:hAnsiTheme="majorBidi" w:cstheme="majorBidi"/>
          <w:lang w:val="en-GB"/>
        </w:rPr>
        <w:fldChar w:fldCharType="end"/>
      </w:r>
      <w:r w:rsidRPr="002D7FC2">
        <w:rPr>
          <w:rFonts w:ascii="Times New Roman" w:hAnsi="Times New Roman"/>
          <w:lang w:val="en-GB"/>
        </w:rPr>
        <w:t xml:space="preserve"> and the fountain discovered in the southern part of Van Fortress suggest some characteristics </w:t>
      </w:r>
      <w:r w:rsidRPr="00142102">
        <w:rPr>
          <w:rFonts w:ascii="Times New Roman" w:eastAsia="Calibri" w:hAnsi="Times New Roman" w:cs="Times New Roman"/>
          <w:lang w:val="en-GB"/>
        </w:rPr>
        <w:t>of</w:t>
      </w:r>
      <w:r w:rsidRPr="002D7FC2">
        <w:rPr>
          <w:rFonts w:ascii="Times New Roman" w:hAnsi="Times New Roman"/>
          <w:lang w:val="en-GB"/>
        </w:rPr>
        <w:t xml:space="preserve"> the construction of fountains during the Minua period. The rocky areas where the spring water is found were enclosed with niches inscribed with construction texts. Although no inscriptions were found in the fountain discovered in 2012, the mutual structural aspects between this fountain and the one from Ain-e Rum indicate a common architectural understanding. Furthermore, </w:t>
      </w:r>
      <w:r w:rsidRPr="00142102">
        <w:rPr>
          <w:rFonts w:ascii="Times New Roman" w:eastAsia="Calibri" w:hAnsi="Times New Roman" w:cs="Times New Roman"/>
          <w:lang w:val="en-GB"/>
        </w:rPr>
        <w:t xml:space="preserve">with its entire architectural features, </w:t>
      </w:r>
      <w:r w:rsidRPr="002D7FC2">
        <w:rPr>
          <w:rFonts w:ascii="Times New Roman" w:hAnsi="Times New Roman"/>
          <w:lang w:val="en-GB"/>
        </w:rPr>
        <w:t xml:space="preserve">this fountain is the single example unearthed in Ṭušpa. On the other hand, the </w:t>
      </w:r>
      <w:r w:rsidRPr="002D7FC2">
        <w:rPr>
          <w:rFonts w:ascii="Times New Roman" w:hAnsi="Times New Roman"/>
          <w:i/>
          <w:iCs/>
          <w:lang w:val="en-GB"/>
        </w:rPr>
        <w:t>in situ</w:t>
      </w:r>
      <w:r w:rsidRPr="002D7FC2">
        <w:rPr>
          <w:rFonts w:ascii="Times New Roman" w:hAnsi="Times New Roman"/>
          <w:lang w:val="en-GB"/>
        </w:rPr>
        <w:t xml:space="preserve"> presence of the post-Medieval pithoi indicates that the fountain was in use for at least 17-18 centuries.</w:t>
      </w:r>
    </w:p>
    <w:p w14:paraId="6C12F9DC" w14:textId="77777777" w:rsidR="00801D3E" w:rsidRPr="002A5BF1" w:rsidRDefault="00801D3E" w:rsidP="00801D3E">
      <w:pPr>
        <w:spacing w:line="276" w:lineRule="auto"/>
        <w:jc w:val="both"/>
        <w:rPr>
          <w:rFonts w:ascii="Times New Roman" w:hAnsi="Times New Roman"/>
          <w:lang w:val="en-GB"/>
        </w:rPr>
      </w:pPr>
      <w:r w:rsidRPr="002A5BF1">
        <w:rPr>
          <w:rFonts w:ascii="Times New Roman" w:hAnsi="Times New Roman"/>
          <w:noProof/>
        </w:rPr>
        <w:lastRenderedPageBreak/>
        <w:drawing>
          <wp:inline distT="0" distB="0" distL="0" distR="0" wp14:anchorId="7CC9B98F" wp14:editId="61E09FDA">
            <wp:extent cx="5943600" cy="4457700"/>
            <wp:effectExtent l="0" t="0" r="0" b="0"/>
            <wp:docPr id="1064842904" name="Resim 1064842904" descr="dış mekan, dağ, hafi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dış mekan, dağ, hafif içeren bir resim&#10;&#10;Açıklama otomatik olarak oluşturuldu"/>
                    <pic:cNvPicPr/>
                  </pic:nvPicPr>
                  <pic:blipFill>
                    <a:blip r:embed="rId361" cstate="email">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14:paraId="2F085D17" w14:textId="77777777" w:rsidR="00801D3E" w:rsidRPr="002A5BF1" w:rsidRDefault="00801D3E" w:rsidP="00801D3E">
      <w:pPr>
        <w:spacing w:before="100" w:beforeAutospacing="1" w:after="100" w:afterAutospacing="1" w:line="276" w:lineRule="auto"/>
        <w:jc w:val="both"/>
        <w:rPr>
          <w:rFonts w:ascii="Times New Roman" w:hAnsi="Times New Roman"/>
          <w:lang w:val="en-GB"/>
        </w:rPr>
      </w:pPr>
      <w:r w:rsidRPr="002A5BF1">
        <w:rPr>
          <w:rFonts w:ascii="Times New Roman" w:hAnsi="Times New Roman"/>
          <w:lang w:val="en-GB"/>
        </w:rPr>
        <w:t>Fig. 11 Ṭušpa</w:t>
      </w:r>
      <w:r w:rsidRPr="002A5BF1">
        <w:rPr>
          <w:rFonts w:ascii="Times New Roman" w:hAnsi="Times New Roman"/>
          <w:i/>
          <w:lang w:val="en-GB"/>
        </w:rPr>
        <w:t xml:space="preserve"> </w:t>
      </w:r>
      <w:r w:rsidRPr="002A5BF1">
        <w:rPr>
          <w:rFonts w:ascii="Times New Roman" w:hAnsi="Times New Roman"/>
          <w:lang w:val="en-GB"/>
        </w:rPr>
        <w:t>Horhor</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color w:val="000000"/>
          <w:lang w:val="en-GB"/>
        </w:rPr>
        <w:instrText>Horhor</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area, New Palace</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lang w:val="en-GB"/>
        </w:rPr>
        <w:instrText>New Palace</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Argišti I tomb</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i/>
          <w:lang w:val="en-GB"/>
        </w:rPr>
        <w:instrText>Argišti</w:instrText>
      </w:r>
      <w:r w:rsidRPr="002A5BF1">
        <w:rPr>
          <w:rFonts w:ascii="Times New Roman" w:hAnsi="Times New Roman"/>
          <w:lang w:val="en-GB"/>
        </w:rPr>
        <w:instrText xml:space="preserve"> I </w:instrText>
      </w:r>
      <w:r>
        <w:rPr>
          <w:rFonts w:asciiTheme="majorBidi" w:hAnsiTheme="majorBidi" w:cstheme="majorBidi"/>
          <w:lang w:val="en-GB"/>
        </w:rPr>
        <w:instrText>t</w:instrText>
      </w:r>
      <w:r w:rsidRPr="00F03A26">
        <w:rPr>
          <w:rFonts w:asciiTheme="majorBidi" w:hAnsiTheme="majorBidi" w:cstheme="majorBidi"/>
          <w:lang w:val="en-GB"/>
        </w:rPr>
        <w:instrText>omb</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fldChar w:fldCharType="begin"/>
      </w:r>
      <w:r w:rsidRPr="002A5BF1">
        <w:rPr>
          <w:rFonts w:ascii="Calibri" w:hAnsi="Calibri"/>
          <w:lang w:val="en-GB"/>
        </w:rPr>
        <w:instrText xml:space="preserve"> XE "</w:instrText>
      </w:r>
      <w:r w:rsidRPr="00801D3E">
        <w:rPr>
          <w:rFonts w:ascii="Times New Roman" w:hAnsi="Times New Roman"/>
          <w:iCs/>
          <w:lang w:val="en-GB"/>
        </w:rPr>
        <w:instrText>Argišti</w:instrText>
      </w:r>
      <w:r w:rsidRPr="002A5BF1">
        <w:rPr>
          <w:rFonts w:ascii="Times New Roman" w:hAnsi="Times New Roman"/>
          <w:lang w:val="en-GB"/>
        </w:rPr>
        <w:instrText xml:space="preserve"> I</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Horhor water sources and Horhor Fountain</w:t>
      </w:r>
      <w:r w:rsidRPr="002A5BF1">
        <w:rPr>
          <w:rFonts w:ascii="Times New Roman" w:hAnsi="Times New Roman"/>
          <w:lang w:val="en-GB"/>
        </w:rPr>
        <w:fldChar w:fldCharType="begin"/>
      </w:r>
      <w:r w:rsidRPr="002A5BF1">
        <w:rPr>
          <w:rFonts w:ascii="Calibri" w:hAnsi="Calibri"/>
          <w:lang w:val="en-GB"/>
        </w:rPr>
        <w:instrText xml:space="preserve"> XE "</w:instrText>
      </w:r>
      <w:r w:rsidRPr="002A5BF1">
        <w:rPr>
          <w:rFonts w:ascii="Times New Roman" w:hAnsi="Times New Roman"/>
          <w:lang w:val="en-GB"/>
        </w:rPr>
        <w:instrText>Horhor Fountain</w:instrText>
      </w:r>
      <w:r w:rsidRPr="002A5BF1">
        <w:rPr>
          <w:rFonts w:ascii="Calibri" w:hAnsi="Calibri"/>
          <w:lang w:val="en-GB"/>
        </w:rPr>
        <w:instrText xml:space="preserve">" </w:instrText>
      </w:r>
      <w:r w:rsidRPr="002A5BF1">
        <w:rPr>
          <w:rFonts w:ascii="Times New Roman" w:hAnsi="Times New Roman"/>
          <w:lang w:val="en-GB"/>
        </w:rPr>
        <w:fldChar w:fldCharType="end"/>
      </w:r>
      <w:r w:rsidRPr="002A5BF1">
        <w:rPr>
          <w:rFonts w:ascii="Times New Roman" w:hAnsi="Times New Roman"/>
          <w:lang w:val="en-GB"/>
        </w:rPr>
        <w:t xml:space="preserve"> found in archaeological excavations. The rock step density in the region is remarkable.</w:t>
      </w:r>
    </w:p>
    <w:p w14:paraId="6EE8120C" w14:textId="77777777" w:rsidR="00801D3E" w:rsidRDefault="00801D3E" w:rsidP="00801D3E">
      <w:pPr>
        <w:jc w:val="both"/>
      </w:pPr>
      <w:r w:rsidRPr="002D7FC2">
        <w:rPr>
          <w:rFonts w:ascii="Times New Roman" w:hAnsi="Times New Roman"/>
          <w:lang w:val="en-GB"/>
        </w:rPr>
        <w:t>In conclusion, it could be suggested that some of the niches surrounding Van Fortress</w:t>
      </w:r>
      <w:r w:rsidRPr="00142102">
        <w:rPr>
          <w:rFonts w:ascii="Times New Roman" w:eastAsia="Calibri" w:hAnsi="Times New Roman" w:cs="Times New Roman"/>
          <w:lang w:val="en-GB"/>
        </w:rPr>
        <w:t> </w:t>
      </w:r>
      <w:r w:rsidRPr="002D7FC2">
        <w:rPr>
          <w:rFonts w:ascii="Times New Roman" w:hAnsi="Times New Roman"/>
          <w:lang w:val="en-GB"/>
        </w:rPr>
        <w:t>represent structures related to water management practices, such as fountains, in areas of the citadel that were rich in water sources. It is known that Minua</w:t>
      </w:r>
      <w:r w:rsidRPr="00142102">
        <w:rPr>
          <w:rFonts w:ascii="Times New Roman" w:eastAsia="Calibri" w:hAnsi="Times New Roman" w:cs="Times New Roman"/>
          <w:lang w:val="en-GB"/>
        </w:rPr>
        <w: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2D7FC2">
        <w:rPr>
          <w:rFonts w:ascii="Times New Roman" w:hAnsi="Times New Roman"/>
          <w:lang w:val="en-GB"/>
        </w:rPr>
        <w:t xml:space="preserve"> who made great construction investments in and around Ṭušpa</w:t>
      </w:r>
      <w:r w:rsidRPr="00142102">
        <w:rPr>
          <w:rFonts w:ascii="Times New Roman" w:eastAsia="Calibri" w:hAnsi="Times New Roman" w:cs="Times New Roman"/>
          <w:lang w:val="en-GB"/>
        </w:rPr>
        <w:t>, </w:t>
      </w:r>
      <w:r w:rsidRPr="002D7FC2">
        <w:rPr>
          <w:rFonts w:ascii="Times New Roman" w:hAnsi="Times New Roman"/>
          <w:lang w:val="en-GB"/>
        </w:rPr>
        <w:t xml:space="preserve">had made structures related to water management and irrigation. In this regard, some of the niches connected to the fountains could be dated to the period of Minua. The inscribed fountain structures, among the </w:t>
      </w:r>
      <w:r w:rsidRPr="00142102">
        <w:rPr>
          <w:rFonts w:ascii="Times New Roman" w:eastAsia="Calibri" w:hAnsi="Times New Roman" w:cs="Times New Roman"/>
          <w:lang w:val="en-GB"/>
        </w:rPr>
        <w:t xml:space="preserve">Urartian's </w:t>
      </w:r>
      <w:r w:rsidRPr="002D7FC2">
        <w:rPr>
          <w:rFonts w:ascii="Times New Roman" w:hAnsi="Times New Roman"/>
          <w:lang w:val="en-GB"/>
        </w:rPr>
        <w:t>monumental remains</w:t>
      </w:r>
      <w:r w:rsidRPr="00142102">
        <w:rPr>
          <w:rFonts w:ascii="Times New Roman" w:eastAsia="Calibri" w:hAnsi="Times New Roman" w:cs="Times New Roman"/>
          <w:lang w:val="en-GB"/>
        </w:rPr>
        <w:t> </w:t>
      </w:r>
      <w:r w:rsidRPr="00F03A26">
        <w:rPr>
          <w:rFonts w:asciiTheme="majorBidi" w:hAnsiTheme="majorBidi" w:cstheme="majorBidi"/>
          <w:lang w:val="en-GB"/>
        </w:rPr>
        <w:t xml:space="preserve"> of the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2D7FC2">
        <w:rPr>
          <w:rFonts w:ascii="Times New Roman" w:hAnsi="Times New Roman"/>
          <w:lang w:val="en-GB"/>
        </w:rPr>
        <w:t>from the Iron Age, continue today with a similar conceptual framework. The sanctity of water sources persists as a continuum of an old tradition through the fountains and construction inscriptions.</w:t>
      </w:r>
    </w:p>
    <w:p w14:paraId="18FB8484" w14:textId="78C440E5" w:rsidR="0051046F" w:rsidRPr="00F03A26" w:rsidRDefault="0051046F" w:rsidP="00F03A26">
      <w:pPr>
        <w:spacing w:before="100" w:beforeAutospacing="1" w:after="100" w:afterAutospacing="1" w:line="276" w:lineRule="auto"/>
        <w:jc w:val="both"/>
        <w:rPr>
          <w:rFonts w:asciiTheme="majorBidi" w:hAnsiTheme="majorBidi" w:cstheme="majorBidi"/>
          <w:lang w:val="en-GB"/>
        </w:rPr>
        <w:sectPr w:rsidR="0051046F" w:rsidRPr="00F03A26" w:rsidSect="007F3733">
          <w:pgSz w:w="11909" w:h="16834"/>
          <w:pgMar w:top="1440" w:right="1440" w:bottom="1440" w:left="1440" w:header="720" w:footer="720" w:gutter="0"/>
          <w:cols w:space="708"/>
        </w:sectPr>
      </w:pPr>
    </w:p>
    <w:p w14:paraId="78862784" w14:textId="07F4C63A" w:rsidR="00957B45" w:rsidRPr="00F03A26" w:rsidRDefault="002A5937" w:rsidP="00F03A26">
      <w:pPr>
        <w:spacing w:before="100" w:beforeAutospacing="1" w:after="100" w:afterAutospacing="1" w:line="276" w:lineRule="auto"/>
        <w:jc w:val="both"/>
        <w:rPr>
          <w:rFonts w:asciiTheme="majorBidi" w:hAnsiTheme="majorBidi" w:cstheme="majorBidi"/>
          <w:sz w:val="32"/>
          <w:szCs w:val="32"/>
          <w:lang w:val="en-GB"/>
        </w:rPr>
      </w:pPr>
      <w:r w:rsidRPr="00F03A26">
        <w:rPr>
          <w:rFonts w:asciiTheme="majorBidi" w:hAnsiTheme="majorBidi" w:cstheme="majorBidi"/>
          <w:sz w:val="32"/>
          <w:szCs w:val="32"/>
          <w:lang w:val="en-GB"/>
        </w:rPr>
        <w:lastRenderedPageBreak/>
        <w:t xml:space="preserve"> </w:t>
      </w:r>
    </w:p>
    <w:p w14:paraId="78918347" w14:textId="0A235FAE" w:rsidR="00CE69CA" w:rsidRPr="00F03A26" w:rsidRDefault="00CE69CA" w:rsidP="00860408">
      <w:pPr>
        <w:pStyle w:val="Balk1"/>
      </w:pPr>
      <w:bookmarkStart w:id="179" w:name="_Toc132072567"/>
      <w:bookmarkStart w:id="180" w:name="_Toc173231265"/>
      <w:r w:rsidRPr="00F03A26">
        <w:t xml:space="preserve">CHAPTER </w:t>
      </w:r>
      <w:bookmarkEnd w:id="179"/>
      <w:r w:rsidR="007F268B" w:rsidRPr="00F03A26">
        <w:t>XII</w:t>
      </w:r>
      <w:bookmarkEnd w:id="180"/>
    </w:p>
    <w:p w14:paraId="0166445E" w14:textId="1A624226" w:rsidR="00CE69CA" w:rsidRPr="00F03A26" w:rsidRDefault="00CE69CA" w:rsidP="00860408">
      <w:pPr>
        <w:pStyle w:val="Balk1"/>
      </w:pPr>
      <w:bookmarkStart w:id="181" w:name="_Toc132072568"/>
      <w:bookmarkStart w:id="182" w:name="_Toc173231266"/>
      <w:r w:rsidRPr="00F03A26">
        <w:t>“T” Shaped Niches</w:t>
      </w:r>
      <w:r w:rsidR="00782320" w:rsidRPr="00F03A26">
        <w:fldChar w:fldCharType="begin"/>
      </w:r>
      <w:r w:rsidR="00782320" w:rsidRPr="00F03A26">
        <w:instrText xml:space="preserve"> XE "</w:instrText>
      </w:r>
      <w:r w:rsidR="00782320" w:rsidRPr="00F03A26">
        <w:rPr>
          <w:rFonts w:eastAsiaTheme="minorHAnsi"/>
        </w:rPr>
        <w:instrText>\</w:instrText>
      </w:r>
      <w:r w:rsidR="00782320" w:rsidRPr="00F03A26">
        <w:instrText>“T</w:instrText>
      </w:r>
      <w:r w:rsidR="00782320" w:rsidRPr="00F03A26">
        <w:rPr>
          <w:rFonts w:eastAsiaTheme="minorHAnsi"/>
        </w:rPr>
        <w:instrText>\</w:instrText>
      </w:r>
      <w:r w:rsidR="00782320" w:rsidRPr="00F03A26">
        <w:instrText xml:space="preserve">” Shaped Niches" </w:instrText>
      </w:r>
      <w:r w:rsidR="00782320" w:rsidRPr="00F03A26">
        <w:fldChar w:fldCharType="end"/>
      </w:r>
      <w:r w:rsidRPr="00F03A26">
        <w:t xml:space="preserve"> Carved in the Bedrock of Van Fortress</w:t>
      </w:r>
      <w:bookmarkEnd w:id="181"/>
      <w:r w:rsidRPr="00F03A26">
        <w:t xml:space="preserve"> and Surrounding Places</w:t>
      </w:r>
      <w:bookmarkEnd w:id="182"/>
      <w:r w:rsidRPr="00F03A26">
        <w:t xml:space="preserve"> </w:t>
      </w:r>
    </w:p>
    <w:p w14:paraId="4B596A24" w14:textId="77777777" w:rsidR="00CE69CA" w:rsidRPr="00F03A26" w:rsidRDefault="00CE69CA" w:rsidP="00F03A26">
      <w:pPr>
        <w:jc w:val="both"/>
        <w:rPr>
          <w:rFonts w:asciiTheme="majorBidi" w:hAnsiTheme="majorBidi" w:cstheme="majorBidi"/>
          <w:lang w:val="en-GB"/>
        </w:rPr>
      </w:pPr>
    </w:p>
    <w:p w14:paraId="127385DD" w14:textId="694B925C" w:rsidR="0022085E" w:rsidRPr="00FC4420" w:rsidRDefault="0022085E" w:rsidP="0022085E">
      <w:pPr>
        <w:jc w:val="both"/>
        <w:rPr>
          <w:rFonts w:ascii="Times New Roman" w:hAnsi="Times New Roman" w:cs="Times New Roman"/>
          <w:b/>
          <w:lang w:val="en-GB"/>
        </w:rPr>
      </w:pPr>
      <w:r w:rsidRPr="00FC4420">
        <w:rPr>
          <w:rFonts w:ascii="Times New Roman" w:hAnsi="Times New Roman" w:cs="Times New Roman"/>
          <w:b/>
          <w:lang w:val="en-GB"/>
        </w:rPr>
        <w:t xml:space="preserve">Abstract: </w:t>
      </w:r>
      <w:r w:rsidRPr="00FC4420">
        <w:rPr>
          <w:rFonts w:ascii="Times New Roman" w:hAnsi="Times New Roman" w:cs="Times New Roman"/>
          <w:lang w:val="en-GB"/>
        </w:rPr>
        <w:t>The capital of the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kingdom</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Van Fortress, contains numerous examples of rock-cut workmanship. The royal rock-cut tombs carved into the main rock, sacred areas shaped as apsidal rock-cut niches, rock-cut trenches, and numerous rock-cut niches with inscriptions reflect the royal practices that have survived to the present day. The stepped foundation beds of the structures and the "U"-shaped dirty water drainage channels, which were mostly made for functional purposes, represent the rock carvings that were more utilitarian. Another practice that often remains in the shadow of all these rock carvings and whose purpose is often unknown is the “T”shaped rock niches. A total of 23 T-shaped rock niches were carved on the north, south, and east faces of the Ṭušpa</w:t>
      </w:r>
      <w:r w:rsidRPr="00FC4420">
        <w:rPr>
          <w:rFonts w:ascii="Times New Roman" w:eastAsia="Calibri" w:hAnsi="Times New Roman" w:cs="Times New Roman"/>
          <w:lang w:val="en-GB"/>
        </w:rPr>
        <w:t xml:space="preserve"> Rock</w:t>
      </w:r>
      <w:r w:rsidRPr="00FC4420">
        <w:rPr>
          <w:rFonts w:ascii="Times New Roman" w:hAnsi="Times New Roman" w:cs="Times New Roman"/>
          <w:lang w:val="en-GB"/>
        </w:rPr>
        <w:t>, and these “T” shaped niches have also been made on different rocks in the Van Lake</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"Van Lake"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basin. Starting from the south, Hişet, Kalecik</w:t>
      </w:r>
      <w:r w:rsidR="00CD0F5D">
        <w:rPr>
          <w:rFonts w:ascii="Times New Roman" w:eastAsia="Calibri" w:hAnsi="Times New Roman" w:cs="Times New Roman"/>
          <w:lang w:val="en-GB"/>
        </w:rPr>
        <w:t>/</w:t>
      </w:r>
      <w:r w:rsidRPr="00FC4420">
        <w:rPr>
          <w:rFonts w:ascii="Times New Roman" w:hAnsi="Times New Roman" w:cs="Times New Roman"/>
          <w:lang w:val="en-GB"/>
        </w:rPr>
        <w:t>Araleks</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Topaktaş</w:t>
      </w:r>
      <w:r w:rsidRPr="00FC4420">
        <w:rPr>
          <w:rFonts w:ascii="Times New Roman" w:eastAsia="Calibri" w:hAnsi="Times New Roman" w:cs="Times New Roman"/>
          <w:lang w:val="en-GB"/>
        </w:rPr>
        <w:t>/</w:t>
      </w:r>
      <w:r w:rsidRPr="00FC4420">
        <w:rPr>
          <w:rFonts w:ascii="Times New Roman" w:hAnsi="Times New Roman" w:cs="Times New Roman"/>
          <w:lang w:val="en-GB"/>
        </w:rPr>
        <w:t>Mermit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"Mermit" </w:instrText>
      </w:r>
      <w:r w:rsidRPr="00FC4420">
        <w:rPr>
          <w:rFonts w:ascii="Times New Roman" w:hAnsi="Times New Roman" w:cs="Times New Roman"/>
          <w:lang w:val="en-GB"/>
        </w:rPr>
        <w:fldChar w:fldCharType="end"/>
      </w:r>
      <w:r w:rsidRPr="00FC4420">
        <w:rPr>
          <w:rFonts w:ascii="Times New Roman" w:hAnsi="Times New Roman" w:cs="Times New Roman"/>
          <w:lang w:val="en-GB"/>
        </w:rPr>
        <w:t>, Amik</w:t>
      </w:r>
      <w:r w:rsidRPr="00FC4420">
        <w:rPr>
          <w:rFonts w:ascii="Times New Roman" w:eastAsia="Calibri" w:hAnsi="Times New Roman" w:cs="Times New Roman"/>
          <w:lang w:val="en-GB"/>
        </w:rPr>
        <w:t>/</w:t>
      </w:r>
      <w:r w:rsidRPr="00FC4420">
        <w:rPr>
          <w:rFonts w:ascii="Times New Roman" w:hAnsi="Times New Roman" w:cs="Times New Roman"/>
          <w:lang w:val="en-GB"/>
        </w:rPr>
        <w:t>Amok</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Körzüt</w:t>
      </w:r>
      <w:r w:rsidRPr="00FC4420">
        <w:rPr>
          <w:rFonts w:ascii="Times New Roman" w:eastAsia="Calibri" w:hAnsi="Times New Roman" w:cs="Times New Roman"/>
          <w:lang w:val="en-GB"/>
        </w:rPr>
        <w:t>/</w:t>
      </w:r>
      <w:r w:rsidRPr="00FC4420">
        <w:rPr>
          <w:rFonts w:ascii="Times New Roman" w:hAnsi="Times New Roman" w:cs="Times New Roman"/>
          <w:lang w:val="en-GB"/>
        </w:rPr>
        <w:t>Pértak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"Pértak" </w:instrText>
      </w:r>
      <w:r w:rsidRPr="00FC4420">
        <w:rPr>
          <w:rFonts w:ascii="Times New Roman" w:hAnsi="Times New Roman" w:cs="Times New Roman"/>
          <w:lang w:val="en-GB"/>
        </w:rPr>
        <w:fldChar w:fldCharType="end"/>
      </w:r>
      <w:r w:rsidRPr="00FC4420">
        <w:rPr>
          <w:rFonts w:ascii="Times New Roman" w:hAnsi="Times New Roman" w:cs="Times New Roman"/>
          <w:lang w:val="en-GB"/>
        </w:rPr>
        <w:t>, Zernaki Tepe</w:t>
      </w:r>
      <w:r w:rsidRPr="00FC4420">
        <w:rPr>
          <w:rFonts w:ascii="Times New Roman" w:eastAsia="Calibri" w:hAnsi="Times New Roman" w:cs="Times New Roman"/>
          <w:lang w:val="en-GB"/>
        </w:rPr>
        <w:t>/</w:t>
      </w:r>
      <w:r w:rsidRPr="00FC4420">
        <w:rPr>
          <w:rFonts w:ascii="Times New Roman" w:hAnsi="Times New Roman" w:cs="Times New Roman"/>
          <w:lang w:val="en-GB"/>
        </w:rPr>
        <w:t>Zırneqo, Madavank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"Madavank" </w:instrText>
      </w:r>
      <w:r w:rsidRPr="00FC4420">
        <w:rPr>
          <w:rFonts w:ascii="Times New Roman" w:hAnsi="Times New Roman" w:cs="Times New Roman"/>
          <w:lang w:val="en-GB"/>
        </w:rPr>
        <w:fldChar w:fldCharType="end"/>
      </w:r>
      <w:r w:rsidRPr="00FC4420">
        <w:rPr>
          <w:rFonts w:ascii="Times New Roman" w:hAnsi="Times New Roman" w:cs="Times New Roman"/>
          <w:lang w:val="en-GB"/>
        </w:rPr>
        <w:t>, Zakzak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"Zakzak" </w:instrText>
      </w:r>
      <w:r w:rsidRPr="00FC4420">
        <w:rPr>
          <w:rFonts w:ascii="Times New Roman" w:hAnsi="Times New Roman" w:cs="Times New Roman"/>
          <w:lang w:val="en-GB"/>
        </w:rPr>
        <w:fldChar w:fldCharType="end"/>
      </w:r>
      <w:r w:rsidRPr="00FC4420">
        <w:rPr>
          <w:rFonts w:ascii="Times New Roman" w:hAnsi="Times New Roman" w:cs="Times New Roman"/>
          <w:lang w:val="en-GB"/>
        </w:rPr>
        <w:t>, and Ava-Déré</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"Ava-Déré"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are sites where “T” shaped rock niches have been identified. </w:t>
      </w:r>
      <w:r w:rsidRPr="00FC4420">
        <w:rPr>
          <w:rFonts w:ascii="Times New Roman" w:eastAsia="Calibri" w:hAnsi="Times New Roman" w:cs="Times New Roman"/>
          <w:lang w:val="en-GB"/>
        </w:rPr>
        <w:t>“</w:t>
      </w:r>
      <w:r w:rsidRPr="00FC4420">
        <w:rPr>
          <w:rFonts w:ascii="Times New Roman" w:hAnsi="Times New Roman" w:cs="Times New Roman"/>
          <w:lang w:val="en-GB"/>
        </w:rPr>
        <w:t>T</w:t>
      </w:r>
      <w:r w:rsidRPr="00FC4420">
        <w:rPr>
          <w:rFonts w:ascii="Times New Roman" w:eastAsia="Calibri" w:hAnsi="Times New Roman" w:cs="Times New Roman"/>
          <w:lang w:val="en-GB"/>
        </w:rPr>
        <w:t>”</w:t>
      </w:r>
      <w:r w:rsidRPr="00FC4420">
        <w:rPr>
          <w:rFonts w:ascii="Times New Roman" w:hAnsi="Times New Roman" w:cs="Times New Roman"/>
          <w:lang w:val="en-GB"/>
        </w:rPr>
        <w:t>shaped niches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are generally considered workmanships associated with the Urartian kingdom, mainly due to the abundance of examples found in Van Fortress. However, their carving on rocks is </w:t>
      </w:r>
      <w:r w:rsidRPr="00FC4420">
        <w:rPr>
          <w:rFonts w:ascii="Times New Roman" w:eastAsia="Calibri" w:hAnsi="Times New Roman" w:cs="Times New Roman"/>
          <w:lang w:val="en-GB"/>
        </w:rPr>
        <w:t>unrelated</w:t>
      </w:r>
      <w:r w:rsidRPr="00FC4420">
        <w:rPr>
          <w:rFonts w:ascii="Times New Roman" w:hAnsi="Times New Roman" w:cs="Times New Roman"/>
          <w:lang w:val="en-GB"/>
        </w:rPr>
        <w:t xml:space="preserve"> to the Urartian period, and their absence in important Urartian sites in the region suggests that they may be considered practices of a different period and culture. In Urartian archaeology, “T” shaped blind window blocks have also been compared to </w:t>
      </w:r>
      <w:r w:rsidRPr="00FC4420">
        <w:rPr>
          <w:rFonts w:ascii="Times New Roman" w:eastAsia="Calibri" w:hAnsi="Times New Roman" w:cs="Times New Roman"/>
          <w:lang w:val="en-GB"/>
        </w:rPr>
        <w:t>“</w:t>
      </w:r>
      <w:r w:rsidRPr="00FC4420">
        <w:rPr>
          <w:rFonts w:ascii="Times New Roman" w:hAnsi="Times New Roman" w:cs="Times New Roman"/>
          <w:lang w:val="en-GB"/>
        </w:rPr>
        <w:t>T</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shaped niches carved into rocks due to their appearance. However, blind window blocks, which we know </w:t>
      </w:r>
      <w:r w:rsidRPr="00FC4420">
        <w:rPr>
          <w:rFonts w:ascii="Times New Roman" w:eastAsia="Calibri" w:hAnsi="Times New Roman" w:cs="Times New Roman"/>
          <w:lang w:val="en-GB"/>
        </w:rPr>
        <w:t>primarily</w:t>
      </w:r>
      <w:r w:rsidRPr="00FC4420">
        <w:rPr>
          <w:rFonts w:ascii="Times New Roman" w:hAnsi="Times New Roman" w:cs="Times New Roman"/>
          <w:lang w:val="en-GB"/>
        </w:rPr>
        <w:t xml:space="preserve"> from Çavuştepe</w:t>
      </w:r>
      <w:r w:rsidRPr="00FC4420">
        <w:rPr>
          <w:rFonts w:ascii="Times New Roman" w:eastAsia="Calibri" w:hAnsi="Times New Roman" w:cs="Times New Roman"/>
          <w:lang w:val="en-GB"/>
        </w:rPr>
        <w:t xml:space="preserve"> </w:t>
      </w:r>
      <w:r w:rsidRPr="000459B1">
        <w:rPr>
          <w:rFonts w:ascii="Times New Roman" w:hAnsi="Times New Roman" w:cs="Times New Roman"/>
          <w:lang w:val="en-GB"/>
        </w:rPr>
        <w:fldChar w:fldCharType="begin"/>
      </w:r>
      <w:r w:rsidRPr="000459B1">
        <w:rPr>
          <w:rFonts w:ascii="Times New Roman" w:hAnsi="Times New Roman" w:cs="Times New Roman"/>
          <w:lang w:val="en-GB"/>
        </w:rPr>
        <w:instrText xml:space="preserve"> XE "Çavuştepe" </w:instrText>
      </w:r>
      <w:r w:rsidRPr="000459B1">
        <w:rPr>
          <w:rFonts w:ascii="Times New Roman" w:hAnsi="Times New Roman" w:cs="Times New Roman"/>
          <w:lang w:val="en-GB"/>
        </w:rPr>
        <w:fldChar w:fldCharType="end"/>
      </w:r>
      <w:r w:rsidRPr="00FC4420">
        <w:rPr>
          <w:rFonts w:ascii="Times New Roman" w:hAnsi="Times New Roman" w:cs="Times New Roman"/>
          <w:lang w:val="en-GB"/>
        </w:rPr>
        <w:t xml:space="preserve"> Fortress, are different architectural applications in the areas where they were applied and their design features from the </w:t>
      </w:r>
      <w:r w:rsidRPr="00FC4420">
        <w:rPr>
          <w:rFonts w:ascii="Times New Roman" w:eastAsia="Calibri" w:hAnsi="Times New Roman" w:cs="Times New Roman"/>
          <w:lang w:val="en-GB"/>
        </w:rPr>
        <w:t>“</w:t>
      </w:r>
      <w:r w:rsidRPr="00FC4420">
        <w:rPr>
          <w:rFonts w:ascii="Times New Roman" w:hAnsi="Times New Roman" w:cs="Times New Roman"/>
          <w:lang w:val="en-GB"/>
        </w:rPr>
        <w:t>T</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shaped niches carved into the bedrocks.</w:t>
      </w:r>
    </w:p>
    <w:p w14:paraId="74E332DE" w14:textId="77777777" w:rsidR="0022085E" w:rsidRPr="00FC4420" w:rsidRDefault="0022085E" w:rsidP="0022085E">
      <w:pPr>
        <w:ind w:firstLine="708"/>
        <w:jc w:val="both"/>
        <w:rPr>
          <w:rFonts w:ascii="Times New Roman" w:hAnsi="Times New Roman" w:cs="Times New Roman"/>
          <w:lang w:val="en-GB"/>
        </w:rPr>
      </w:pPr>
    </w:p>
    <w:p w14:paraId="4B2368B5" w14:textId="77777777" w:rsidR="0022085E" w:rsidRPr="00FC4420" w:rsidRDefault="0022085E" w:rsidP="0022085E">
      <w:pPr>
        <w:jc w:val="both"/>
        <w:rPr>
          <w:rFonts w:ascii="Times New Roman" w:hAnsi="Times New Roman" w:cs="Times New Roman"/>
          <w:lang w:val="en-GB"/>
        </w:rPr>
      </w:pPr>
      <w:bookmarkStart w:id="183" w:name="_Toc132072569"/>
      <w:r w:rsidRPr="00FC4420">
        <w:rPr>
          <w:rFonts w:ascii="Times New Roman" w:hAnsi="Times New Roman" w:cs="Times New Roman"/>
          <w:b/>
          <w:lang w:val="en-GB"/>
        </w:rPr>
        <w:t>12.1. Introduction</w:t>
      </w:r>
      <w:bookmarkEnd w:id="183"/>
    </w:p>
    <w:p w14:paraId="2874BD8C"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Ṭušpa, the capital of the Urartian</w:t>
      </w:r>
      <w:r w:rsidRPr="00FC4420">
        <w:rPr>
          <w:rFonts w:ascii="Times New Roman" w:eastAsia="Calibri" w:hAnsi="Times New Roman" w:cs="Times New Roman"/>
          <w:iCs/>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kingdom</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Kingdom" </w:instrText>
      </w:r>
      <w:r w:rsidRPr="00FC4420">
        <w:rPr>
          <w:rFonts w:ascii="Times New Roman" w:hAnsi="Times New Roman" w:cs="Times New Roman"/>
          <w:lang w:val="en-GB"/>
        </w:rPr>
        <w:fldChar w:fldCharType="end"/>
      </w:r>
      <w:r w:rsidRPr="00FC4420">
        <w:rPr>
          <w:rFonts w:ascii="Times New Roman" w:hAnsi="Times New Roman" w:cs="Times New Roman"/>
          <w:lang w:val="en-GB"/>
        </w:rPr>
        <w:t>, contains many examples of rock work, including the apsidal niches known from the Analıkız</w:t>
      </w:r>
      <w:r w:rsidRPr="00FC4420">
        <w:rPr>
          <w:rFonts w:ascii="Times New Roman" w:eastAsia="Calibri" w:hAnsi="Times New Roman" w:cs="Times New Roman"/>
          <w:iCs/>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"Analıkız"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Monument, especially the royal rock-cut tombs, rock-cut ditches, rock-cut steps, and "u" shaped waste water drain channels carved into the rock. When we consider rock-cut steps, rock-cut ditches</w:t>
      </w:r>
      <w:r w:rsidRPr="00FC4420">
        <w:rPr>
          <w:rFonts w:ascii="Times New Roman" w:eastAsia="Calibri" w:hAnsi="Times New Roman" w:cs="Times New Roman"/>
          <w:iCs/>
          <w:lang w:val="en-GB"/>
        </w:rPr>
        <w:t>,</w:t>
      </w:r>
      <w:r w:rsidRPr="00FC4420">
        <w:rPr>
          <w:rFonts w:ascii="Times New Roman" w:hAnsi="Times New Roman" w:cs="Times New Roman"/>
          <w:lang w:val="en-GB"/>
        </w:rPr>
        <w:t xml:space="preserve"> and wastewater drain channels, it is seen that these rock-cut works are </w:t>
      </w:r>
      <w:r w:rsidRPr="00FC4420">
        <w:rPr>
          <w:rFonts w:ascii="Times New Roman" w:eastAsia="Calibri" w:hAnsi="Times New Roman" w:cs="Times New Roman"/>
          <w:iCs/>
          <w:lang w:val="en-GB"/>
        </w:rPr>
        <w:t>primarily</w:t>
      </w:r>
      <w:r w:rsidRPr="00FC4420">
        <w:rPr>
          <w:rFonts w:ascii="Times New Roman" w:hAnsi="Times New Roman" w:cs="Times New Roman"/>
          <w:lang w:val="en-GB"/>
        </w:rPr>
        <w:t xml:space="preserve"> functional (Kleiss, 1991: 128-130). On the other hand, we know that the rock mass, which is considered sacred by the Urartians</w:t>
      </w:r>
      <w:r w:rsidRPr="00FC4420">
        <w:rPr>
          <w:rFonts w:ascii="Times New Roman" w:eastAsia="Calibri" w:hAnsi="Times New Roman" w:cs="Times New Roman"/>
          <w:iCs/>
          <w:lang w:val="en-GB"/>
        </w:rPr>
        <w: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was also shaped for some religious and cultic purposes (Işık, 1995a; Genç &amp; Konyar, 2019: 5). Despite this, some rock works are known in the Ṭušpa</w:t>
      </w:r>
      <w:r w:rsidRPr="00FC4420">
        <w:rPr>
          <w:rFonts w:ascii="Times New Roman" w:hAnsi="Times New Roman" w:cs="Times New Roman"/>
          <w:iCs/>
          <w:lang w:val="en-GB"/>
        </w:rPr>
        <w:t>/Van</w:t>
      </w:r>
      <w:r w:rsidRPr="00FC4420">
        <w:rPr>
          <w:rFonts w:ascii="Times New Roman" w:hAnsi="Times New Roman" w:cs="Times New Roman"/>
          <w:lang w:val="en-GB"/>
        </w:rPr>
        <w:t xml:space="preserve"> Rock</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w:instrText>
      </w:r>
      <w:r w:rsidRPr="00FC4420">
        <w:rPr>
          <w:rFonts w:ascii="Times New Roman" w:hAnsi="Times New Roman" w:cs="Times New Roman"/>
          <w:iCs/>
          <w:lang w:val="en-GB"/>
        </w:rPr>
        <w:instrText>Ṭušpa/Van Rock</w:instrText>
      </w:r>
      <w:r w:rsidRPr="00FC4420">
        <w:rPr>
          <w:rFonts w:ascii="Times New Roman" w:hAnsi="Times New Roman" w:cs="Times New Roman"/>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that cannot be defined both functionally and culturally, or which are difficult to interpret. “T” shaped niches</w:t>
      </w:r>
      <w:r w:rsidRPr="00FC4420">
        <w:rPr>
          <w:rFonts w:ascii="Times New Roman" w:eastAsia="Calibri" w:hAnsi="Times New Roman" w:cs="Times New Roman"/>
          <w:iCs/>
          <w:lang w:val="en-GB"/>
        </w:rPr>
        <w:t> </w:t>
      </w:r>
      <w:r w:rsidRPr="00FC4420">
        <w:rPr>
          <w:rFonts w:ascii="Times New Roman" w:hAnsi="Times New Roman" w:cs="Times New Roman"/>
          <w:lang w:val="en-GB"/>
        </w:rPr>
        <w:t xml:space="preserve">represent </w:t>
      </w:r>
      <w:r w:rsidRPr="00FC4420">
        <w:rPr>
          <w:rFonts w:ascii="Times New Roman" w:eastAsia="Calibri" w:hAnsi="Times New Roman" w:cs="Times New Roman"/>
          <w:iCs/>
          <w:lang w:val="en-GB"/>
        </w:rPr>
        <w:t>this style's</w:t>
      </w:r>
      <w:r w:rsidRPr="00FC4420">
        <w:rPr>
          <w:rFonts w:ascii="Times New Roman" w:hAnsi="Times New Roman" w:cs="Times New Roman"/>
          <w:lang w:val="en-GB"/>
        </w:rPr>
        <w:t xml:space="preserve"> most important group of craftsmanship</w:t>
      </w:r>
      <w:r w:rsidRPr="00FC4420">
        <w:rPr>
          <w:rFonts w:ascii="Times New Roman" w:eastAsia="Calibri" w:hAnsi="Times New Roman" w:cs="Times New Roman"/>
          <w:iCs/>
          <w:lang w:val="en-GB"/>
        </w:rPr>
        <w:t xml:space="preserve">. </w:t>
      </w:r>
      <w:r w:rsidRPr="00FC4420">
        <w:rPr>
          <w:rFonts w:ascii="Times New Roman" w:hAnsi="Times New Roman" w:cs="Times New Roman"/>
          <w:lang w:val="en-GB"/>
        </w:rPr>
        <w:t xml:space="preserve"> No detailed study has been conducted to date on the purpose of these rock-cut niches</w:t>
      </w:r>
      <w:r w:rsidRPr="00FC4420">
        <w:rPr>
          <w:rFonts w:ascii="Times New Roman" w:eastAsia="Calibri" w:hAnsi="Times New Roman" w:cs="Times New Roman"/>
          <w:iCs/>
          <w:lang w:val="en-GB"/>
        </w:rPr>
        <w:t>,</w:t>
      </w:r>
      <w:r w:rsidRPr="00FC4420">
        <w:rPr>
          <w:rFonts w:ascii="Times New Roman" w:hAnsi="Times New Roman" w:cs="Times New Roman"/>
          <w:lang w:val="en-GB"/>
        </w:rPr>
        <w:t xml:space="preserve"> which has only been described by researchers until now, its number, its relationship with other rock-cut works in the rock near it and in the rock </w:t>
      </w:r>
      <w:r w:rsidRPr="00FC4420">
        <w:rPr>
          <w:rFonts w:ascii="Times New Roman" w:hAnsi="Times New Roman" w:cs="Times New Roman"/>
          <w:lang w:val="en-GB"/>
        </w:rPr>
        <w:lastRenderedPageBreak/>
        <w:t>where it was carved, its similar examples and its distribution in the Van Lake</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"Van Lake"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basin. </w:t>
      </w:r>
      <w:r w:rsidRPr="00FC4420">
        <w:rPr>
          <w:rFonts w:ascii="Times New Roman" w:eastAsia="Calibri" w:hAnsi="Times New Roman" w:cs="Times New Roman"/>
          <w:iCs/>
          <w:lang w:val="en-GB"/>
        </w:rPr>
        <w:t>Due to their general appearance, this</w:t>
      </w:r>
      <w:r w:rsidRPr="00FC4420">
        <w:rPr>
          <w:rFonts w:ascii="Times New Roman" w:hAnsi="Times New Roman" w:cs="Times New Roman"/>
          <w:lang w:val="en-GB"/>
        </w:rPr>
        <w:t xml:space="preserve"> craftsmanship carved into the bedrock </w:t>
      </w:r>
      <w:r w:rsidRPr="00FC4420">
        <w:rPr>
          <w:rFonts w:ascii="Times New Roman" w:eastAsia="Calibri" w:hAnsi="Times New Roman" w:cs="Times New Roman"/>
          <w:iCs/>
          <w:lang w:val="en-GB"/>
        </w:rPr>
        <w:t>is</w:t>
      </w:r>
      <w:r w:rsidRPr="00FC4420">
        <w:rPr>
          <w:rFonts w:ascii="Times New Roman" w:hAnsi="Times New Roman" w:cs="Times New Roman"/>
          <w:lang w:val="en-GB"/>
        </w:rPr>
        <w:t xml:space="preserve"> defined as “T” shaped niches due to their general appearance. These niches, most of which are known from the Ṭušpa</w:t>
      </w:r>
      <w:r w:rsidRPr="00FC4420">
        <w:rPr>
          <w:rFonts w:ascii="Times New Roman" w:hAnsi="Times New Roman" w:cs="Times New Roman"/>
          <w:iCs/>
          <w:lang w:val="en-GB"/>
        </w:rPr>
        <w:t>/Van</w:t>
      </w:r>
      <w:r w:rsidRPr="00FC4420">
        <w:rPr>
          <w:rFonts w:ascii="Times New Roman" w:hAnsi="Times New Roman" w:cs="Times New Roman"/>
          <w:lang w:val="en-GB"/>
        </w:rPr>
        <w:t xml:space="preserve"> Rock and shaped by carving into the bedrock, consist of horizontal and vertical branches. The "T" niches on many rocks in the Van Lake basin (Fig. 1) are remarkably similar, but they also contain differences in some details.</w:t>
      </w:r>
    </w:p>
    <w:p w14:paraId="21987CE0" w14:textId="77777777" w:rsidR="0022085E" w:rsidRPr="00FC4420" w:rsidRDefault="0022085E" w:rsidP="0022085E">
      <w:pPr>
        <w:jc w:val="both"/>
        <w:rPr>
          <w:rFonts w:ascii="Times New Roman" w:hAnsi="Times New Roman" w:cs="Times New Roman"/>
          <w:lang w:val="en-GB"/>
        </w:rPr>
      </w:pPr>
    </w:p>
    <w:p w14:paraId="71FB6F1E" w14:textId="77777777" w:rsidR="0022085E" w:rsidRPr="00FC4420" w:rsidRDefault="0022085E" w:rsidP="0022085E">
      <w:pPr>
        <w:keepNext/>
        <w:keepLines/>
        <w:jc w:val="both"/>
        <w:outlineLvl w:val="1"/>
        <w:rPr>
          <w:rFonts w:ascii="Times New Roman" w:hAnsi="Times New Roman" w:cs="Times New Roman"/>
          <w:b/>
          <w:lang w:val="en-GB"/>
        </w:rPr>
      </w:pPr>
      <w:bookmarkStart w:id="184" w:name="_Toc132072570"/>
      <w:bookmarkStart w:id="185" w:name="_Toc173231267"/>
      <w:r w:rsidRPr="00FC4420">
        <w:rPr>
          <w:rFonts w:ascii="Times New Roman" w:hAnsi="Times New Roman" w:cs="Times New Roman"/>
          <w:b/>
          <w:lang w:val="en-GB"/>
        </w:rPr>
        <w:t>12.2. “T” Shaped Niches</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w:instrText>
      </w:r>
      <w:r w:rsidRPr="00FC4420">
        <w:rPr>
          <w:rFonts w:ascii="Times New Roman" w:hAnsi="Times New Roman" w:cs="Times New Roman"/>
          <w:b/>
          <w:lang w:val="en-GB"/>
        </w:rPr>
        <w:instrText>“T</w:instrText>
      </w:r>
      <w:r w:rsidRPr="00FC4420">
        <w:rPr>
          <w:rFonts w:ascii="Times New Roman" w:hAnsi="Times New Roman" w:cs="Times New Roman"/>
          <w:lang w:val="en-GB"/>
        </w:rPr>
        <w:instrText>\</w:instrText>
      </w:r>
      <w:r w:rsidRPr="00FC4420">
        <w:rPr>
          <w:rFonts w:ascii="Times New Roman" w:hAnsi="Times New Roman" w:cs="Times New Roman"/>
          <w:b/>
          <w:lang w:val="en-GB"/>
        </w:rPr>
        <w:instrText>” Shaped Niches</w:instrText>
      </w:r>
      <w:r w:rsidRPr="00FC4420">
        <w:rPr>
          <w:rFonts w:ascii="Times New Roman" w:hAnsi="Times New Roman" w:cs="Times New Roman"/>
          <w:lang w:val="en-GB"/>
        </w:rPr>
        <w:instrText xml:space="preserve">"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on the Rock of Van Fortress</w:t>
      </w:r>
      <w:bookmarkEnd w:id="184"/>
      <w:bookmarkEnd w:id="185"/>
    </w:p>
    <w:p w14:paraId="55E2D89E" w14:textId="77777777" w:rsidR="0022085E" w:rsidRPr="00FC4420" w:rsidRDefault="0022085E" w:rsidP="0022085E">
      <w:pPr>
        <w:rPr>
          <w:rFonts w:ascii="Times New Roman" w:hAnsi="Times New Roman" w:cs="Times New Roman"/>
          <w:lang w:val="en-GB"/>
        </w:rPr>
      </w:pPr>
    </w:p>
    <w:p w14:paraId="7A9D15DD"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“T” shaped niches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were carved on almost all facades of the </w:t>
      </w:r>
      <w:r w:rsidRPr="00FC4420">
        <w:rPr>
          <w:rFonts w:ascii="Times New Roman" w:eastAsia="Calibri" w:hAnsi="Times New Roman" w:cs="Times New Roman"/>
          <w:lang w:val="en-GB"/>
        </w:rPr>
        <w:t>Van Fortress (</w:t>
      </w:r>
      <w:r w:rsidRPr="00FC4420">
        <w:rPr>
          <w:rFonts w:ascii="Times New Roman" w:hAnsi="Times New Roman" w:cs="Times New Roman"/>
          <w:lang w:val="en-GB"/>
        </w:rPr>
        <w:t>Ṭušpa</w:t>
      </w:r>
      <w:r w:rsidRPr="00FC4420">
        <w:rPr>
          <w:rFonts w:ascii="Times New Roman" w:hAnsi="Times New Roman" w:cs="Times New Roman"/>
          <w:iCs/>
          <w:lang w:val="en-GB"/>
        </w:rPr>
        <w:t>/Van Rock</w:t>
      </w:r>
      <w:r w:rsidRPr="00FC4420">
        <w:rPr>
          <w:rFonts w:ascii="Times New Roman" w:hAnsi="Times New Roman" w:cs="Times New Roman"/>
          <w:iCs/>
          <w:lang w:val="en-GB"/>
        </w:rPr>
        <w:fldChar w:fldCharType="begin"/>
      </w:r>
      <w:r w:rsidRPr="00FC4420">
        <w:rPr>
          <w:rFonts w:ascii="Times New Roman" w:hAnsi="Times New Roman" w:cs="Times New Roman"/>
        </w:rPr>
        <w:instrText xml:space="preserve"> XE "</w:instrText>
      </w:r>
      <w:r w:rsidRPr="00FC4420">
        <w:rPr>
          <w:rFonts w:ascii="Times New Roman" w:hAnsi="Times New Roman" w:cs="Times New Roman"/>
          <w:iCs/>
          <w:lang w:val="en-GB"/>
        </w:rPr>
        <w:instrText>Ṭušpa/Van Rock</w:instrText>
      </w:r>
      <w:r w:rsidRPr="00FC4420">
        <w:rPr>
          <w:rFonts w:ascii="Times New Roman" w:hAnsi="Times New Roman" w:cs="Times New Roman"/>
        </w:rPr>
        <w:instrText xml:space="preserve">" </w:instrText>
      </w:r>
      <w:r w:rsidRPr="00FC4420">
        <w:rPr>
          <w:rFonts w:ascii="Times New Roman" w:hAnsi="Times New Roman" w:cs="Times New Roman"/>
          <w:iCs/>
          <w:lang w:val="en-GB"/>
        </w:rPr>
        <w:fldChar w:fldCharType="end"/>
      </w:r>
      <w:r w:rsidRPr="00FC4420">
        <w:rPr>
          <w:rFonts w:ascii="Times New Roman" w:hAnsi="Times New Roman" w:cs="Times New Roman"/>
          <w:lang w:val="en-GB"/>
        </w:rPr>
        <w:t>. We know that only 9 of them were documented in a published citadel plan of the fortress rock (Tarhan, 1994: 26: Fig. 3). As a result of the new determinations made on the rock, a total of 23 “T” shaped niches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were documented (Table 1). These niches are intense</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especially on the </w:t>
      </w:r>
      <w:r w:rsidRPr="00FC4420">
        <w:rPr>
          <w:rFonts w:ascii="Times New Roman" w:eastAsia="Calibri" w:hAnsi="Times New Roman" w:cs="Times New Roman"/>
          <w:lang w:val="en-GB"/>
        </w:rPr>
        <w:t xml:space="preserve">rock's </w:t>
      </w:r>
      <w:r w:rsidRPr="00FC4420">
        <w:rPr>
          <w:rFonts w:ascii="Times New Roman" w:hAnsi="Times New Roman" w:cs="Times New Roman"/>
          <w:lang w:val="en-GB"/>
        </w:rPr>
        <w:t xml:space="preserve">south side. While there are </w:t>
      </w:r>
      <w:r w:rsidRPr="00FC4420">
        <w:rPr>
          <w:rFonts w:ascii="Times New Roman" w:eastAsia="Calibri" w:hAnsi="Times New Roman" w:cs="Times New Roman"/>
          <w:lang w:val="en-GB"/>
        </w:rPr>
        <w:t>eight</w:t>
      </w:r>
      <w:r w:rsidRPr="00FC4420">
        <w:rPr>
          <w:rFonts w:ascii="Times New Roman" w:hAnsi="Times New Roman" w:cs="Times New Roman"/>
          <w:lang w:val="en-GB"/>
        </w:rPr>
        <w:t xml:space="preserve"> niches on the northern side (Fig. 2/a-e; 3/a-f), 14 niches were carved on the south side (Fig. 4/d-e; 5/a-g; 6/a-g; 7/a-d). A niche was carved in the narrow eastern extension of the rock, where the Tabriz Gate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"Tabriz Gate"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inscription is also located (Fig. 4/a-c). When we look at their position in the rock, it is seen that the "T" shaped niches can be carved</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especially at the ground level where the rock meets the plain</w:t>
      </w:r>
      <w:r w:rsidRPr="00FC4420">
        <w:rPr>
          <w:rFonts w:ascii="Times New Roman" w:eastAsia="Calibri" w:hAnsi="Times New Roman" w:cs="Times New Roman"/>
          <w:lang w:val="en-GB"/>
        </w:rPr>
        <w:t xml:space="preserve"> and</w:t>
      </w:r>
      <w:r w:rsidRPr="00FC4420">
        <w:rPr>
          <w:rFonts w:ascii="Times New Roman" w:hAnsi="Times New Roman" w:cs="Times New Roman"/>
          <w:lang w:val="en-GB"/>
        </w:rPr>
        <w:t xml:space="preserve"> at a point where it is difficult to reach a height of about 4 m. In addition, they appear as a single niche at some points and are positioned closer to each other in pairs and quintuples on the northern face of the rock (Fig. 2/e; 3/a). Their distribution on the rocks shows they were made within a </w:t>
      </w:r>
      <w:r w:rsidRPr="00FC4420">
        <w:rPr>
          <w:rFonts w:ascii="Times New Roman" w:eastAsia="Calibri" w:hAnsi="Times New Roman" w:cs="Times New Roman"/>
          <w:lang w:val="en-GB"/>
        </w:rPr>
        <w:t>particular</w:t>
      </w:r>
      <w:r w:rsidRPr="00FC4420">
        <w:rPr>
          <w:rFonts w:ascii="Times New Roman" w:hAnsi="Times New Roman" w:cs="Times New Roman"/>
          <w:lang w:val="en-GB"/>
        </w:rPr>
        <w:t xml:space="preserve"> program. However, the “T” shaped niches share some common characteristics in their general appearance</w:t>
      </w:r>
      <w:r w:rsidRPr="00FC4420">
        <w:rPr>
          <w:rFonts w:ascii="Times New Roman" w:eastAsia="Calibri" w:hAnsi="Times New Roman" w:cs="Times New Roman"/>
          <w:lang w:val="en-GB"/>
        </w:rPr>
        <w:t xml:space="preserve"> and</w:t>
      </w:r>
      <w:r w:rsidRPr="00FC4420">
        <w:rPr>
          <w:rFonts w:ascii="Times New Roman" w:hAnsi="Times New Roman" w:cs="Times New Roman"/>
          <w:lang w:val="en-GB"/>
        </w:rPr>
        <w:t xml:space="preserve"> variations in their craftsmanship and details. Some niches appear to be unfinished, while others have additional features such as rock bowls, channels, or holes. “T” niches are carved into the rock </w:t>
      </w:r>
      <w:r w:rsidRPr="00FC4420">
        <w:rPr>
          <w:rFonts w:ascii="Times New Roman" w:eastAsia="Calibri" w:hAnsi="Times New Roman" w:cs="Times New Roman"/>
          <w:lang w:val="en-GB"/>
        </w:rPr>
        <w:t xml:space="preserve">similarly regarding </w:t>
      </w:r>
      <w:r w:rsidRPr="00FC4420">
        <w:rPr>
          <w:rFonts w:ascii="Times New Roman" w:hAnsi="Times New Roman" w:cs="Times New Roman"/>
          <w:lang w:val="en-GB"/>
        </w:rPr>
        <w:t xml:space="preserve">general appearance. In some examples, unfinished workmanship </w:t>
      </w:r>
      <w:r w:rsidRPr="00FC4420">
        <w:rPr>
          <w:rFonts w:ascii="Times New Roman" w:eastAsia="Calibri" w:hAnsi="Times New Roman" w:cs="Times New Roman"/>
          <w:lang w:val="en-GB"/>
        </w:rPr>
        <w:t>indicates</w:t>
      </w:r>
      <w:r w:rsidRPr="00FC4420">
        <w:rPr>
          <w:rFonts w:ascii="Times New Roman" w:hAnsi="Times New Roman" w:cs="Times New Roman"/>
          <w:lang w:val="en-GB"/>
        </w:rPr>
        <w:t xml:space="preserve"> how they were carved into the rock. Just east of “T” niche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“T</w:instrText>
      </w:r>
      <w:r w:rsidRPr="00FC4420">
        <w:rPr>
          <w:rFonts w:ascii="Times New Roman" w:hAnsi="Times New Roman" w:cs="Times New Roman"/>
          <w:lang w:val="en-GB"/>
        </w:rPr>
        <w:instrText>\</w:instrText>
      </w:r>
      <w:r w:rsidRPr="00FC4420">
        <w:rPr>
          <w:rFonts w:ascii="Times New Roman" w:eastAsia="Calibri" w:hAnsi="Times New Roman" w:cs="Times New Roman"/>
          <w:lang w:val="en-GB"/>
        </w:rPr>
        <w:instrText>” niche</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13, the horizontal part of the “T” arm was carved on the bedrock relatively, but there is a workmanship that we can trace the contours of the niche (Fig. 5/d). A similar processing can be seen just above “T” 15 (Fig. 5/f). Another example on the north face was left unfinished (Fig. 2/b). In the 4 “T” shaped niches, rock bowls were carved at the floor level of the part defined as the vertical branch (Fig. 2/d; 5/d, f-g; 6/b, f-h; 7/a-b). </w:t>
      </w:r>
      <w:r w:rsidRPr="00FC4420">
        <w:rPr>
          <w:rFonts w:ascii="Times New Roman" w:eastAsia="Calibri" w:hAnsi="Times New Roman" w:cs="Times New Roman"/>
          <w:lang w:val="en-GB"/>
        </w:rPr>
        <w:t>On</w:t>
      </w:r>
      <w:r w:rsidRPr="00FC4420">
        <w:rPr>
          <w:rFonts w:ascii="Times New Roman" w:hAnsi="Times New Roman" w:cs="Times New Roman"/>
          <w:lang w:val="en-GB"/>
        </w:rPr>
        <w:t xml:space="preserve"> the other hand,</w:t>
      </w:r>
      <w:r w:rsidRPr="00FC4420">
        <w:rPr>
          <w:rFonts w:ascii="Times New Roman" w:eastAsia="Calibri" w:hAnsi="Times New Roman" w:cs="Times New Roman"/>
          <w:lang w:val="en-GB"/>
        </w:rPr>
        <w:t xml:space="preserve"> some examples</w:t>
      </w:r>
      <w:r w:rsidRPr="00FC4420">
        <w:rPr>
          <w:rFonts w:ascii="Times New Roman" w:hAnsi="Times New Roman" w:cs="Times New Roman"/>
          <w:lang w:val="en-GB"/>
        </w:rPr>
        <w:t xml:space="preserve"> are stepped on the outer face in a single step and shaped in a form that narrows towards the bottom (Fig. 2/e; 3/f; 5/b, f-g; 6/b). A channel and a round hole were carved in the southern arm of the single niche example at the eastern end. </w:t>
      </w:r>
      <w:r w:rsidRPr="00FC4420">
        <w:rPr>
          <w:rFonts w:ascii="Times New Roman" w:eastAsia="Calibri" w:hAnsi="Times New Roman" w:cs="Times New Roman"/>
          <w:lang w:val="en-GB"/>
        </w:rPr>
        <w:t>The rock channel has</w:t>
      </w:r>
      <w:r w:rsidRPr="00FC4420">
        <w:rPr>
          <w:rFonts w:ascii="Times New Roman" w:hAnsi="Times New Roman" w:cs="Times New Roman"/>
          <w:lang w:val="en-GB"/>
        </w:rPr>
        <w:t xml:space="preserve"> a small cavity (Fig. 2/a-b). When we consider the measurable examples of the Van Fortress “T” niches, it is seen that the heights of the niches vary between 85-190 cm.</w:t>
      </w:r>
      <w:r>
        <w:rPr>
          <w:rFonts w:ascii="Times New Roman" w:hAnsi="Times New Roman" w:cs="Times New Roman"/>
          <w:lang w:val="en-GB"/>
        </w:rPr>
        <w:t xml:space="preserve"> and h</w:t>
      </w:r>
      <w:r w:rsidRPr="00FC4420">
        <w:rPr>
          <w:rFonts w:ascii="Times New Roman" w:hAnsi="Times New Roman" w:cs="Times New Roman"/>
          <w:lang w:val="en-GB"/>
        </w:rPr>
        <w:t>orizontal arm lengths are between 120-360 cm.</w:t>
      </w:r>
    </w:p>
    <w:p w14:paraId="775CB1C6" w14:textId="77777777" w:rsidR="0022085E" w:rsidRPr="00FC4420" w:rsidRDefault="0022085E" w:rsidP="0022085E">
      <w:pPr>
        <w:rPr>
          <w:rFonts w:ascii="Times New Roman" w:hAnsi="Times New Roman" w:cs="Times New Roman"/>
          <w:lang w:val="en-GB"/>
        </w:rPr>
      </w:pPr>
      <w:r w:rsidRPr="00FC4420">
        <w:rPr>
          <w:rFonts w:ascii="Times New Roman" w:hAnsi="Times New Roman" w:cs="Times New Roman"/>
          <w:lang w:val="en-GB"/>
        </w:rPr>
        <w:br w:type="page"/>
      </w:r>
    </w:p>
    <w:tbl>
      <w:tblPr>
        <w:tblStyle w:val="TabloKlavuzu"/>
        <w:tblpPr w:leftFromText="141" w:rightFromText="141" w:vertAnchor="text" w:horzAnchor="margin" w:tblpY="-554"/>
        <w:tblW w:w="8658" w:type="dxa"/>
        <w:tblLayout w:type="fixed"/>
        <w:tblLook w:val="04A0" w:firstRow="1" w:lastRow="0" w:firstColumn="1" w:lastColumn="0" w:noHBand="0" w:noVBand="1"/>
      </w:tblPr>
      <w:tblGrid>
        <w:gridCol w:w="679"/>
        <w:gridCol w:w="1314"/>
        <w:gridCol w:w="1235"/>
        <w:gridCol w:w="1011"/>
        <w:gridCol w:w="1218"/>
        <w:gridCol w:w="1122"/>
        <w:gridCol w:w="2079"/>
      </w:tblGrid>
      <w:tr w:rsidR="0022085E" w:rsidRPr="006D4A54" w14:paraId="5FF8B3FF" w14:textId="77777777" w:rsidTr="00503386">
        <w:trPr>
          <w:trHeight w:val="1278"/>
        </w:trPr>
        <w:tc>
          <w:tcPr>
            <w:tcW w:w="679" w:type="dxa"/>
            <w:vMerge w:val="restart"/>
            <w:tcBorders>
              <w:top w:val="single" w:sz="24" w:space="0" w:color="auto"/>
              <w:left w:val="single" w:sz="24" w:space="0" w:color="auto"/>
              <w:right w:val="single" w:sz="24" w:space="0" w:color="auto"/>
            </w:tcBorders>
          </w:tcPr>
          <w:p w14:paraId="3A1CE7C0" w14:textId="77777777" w:rsidR="0022085E" w:rsidRPr="006D4A54" w:rsidRDefault="0022085E" w:rsidP="00503386">
            <w:pPr>
              <w:jc w:val="both"/>
              <w:rPr>
                <w:rFonts w:cs="Times New Roman"/>
                <w:sz w:val="20"/>
                <w:szCs w:val="20"/>
                <w:lang w:val="en-GB"/>
              </w:rPr>
            </w:pPr>
          </w:p>
          <w:p w14:paraId="01F37D1B" w14:textId="77777777" w:rsidR="0022085E" w:rsidRPr="006D4A54" w:rsidRDefault="0022085E" w:rsidP="00503386">
            <w:pPr>
              <w:jc w:val="both"/>
              <w:rPr>
                <w:rFonts w:cs="Times New Roman"/>
                <w:b/>
                <w:sz w:val="20"/>
                <w:szCs w:val="20"/>
                <w:lang w:val="en-GB"/>
              </w:rPr>
            </w:pPr>
            <w:r w:rsidRPr="006D4A54">
              <w:rPr>
                <w:rFonts w:cs="Times New Roman"/>
                <w:b/>
                <w:sz w:val="20"/>
                <w:szCs w:val="20"/>
                <w:lang w:val="en-GB"/>
              </w:rPr>
              <w:t>No</w:t>
            </w:r>
          </w:p>
        </w:tc>
        <w:tc>
          <w:tcPr>
            <w:tcW w:w="1314" w:type="dxa"/>
            <w:vMerge w:val="restart"/>
            <w:tcBorders>
              <w:top w:val="single" w:sz="24" w:space="0" w:color="auto"/>
              <w:left w:val="single" w:sz="24" w:space="0" w:color="auto"/>
              <w:right w:val="single" w:sz="24" w:space="0" w:color="auto"/>
            </w:tcBorders>
          </w:tcPr>
          <w:p w14:paraId="75132BCE" w14:textId="77777777" w:rsidR="0022085E" w:rsidRPr="006D4A54" w:rsidRDefault="0022085E" w:rsidP="00503386">
            <w:pPr>
              <w:jc w:val="center"/>
              <w:rPr>
                <w:rFonts w:cs="Times New Roman"/>
                <w:sz w:val="20"/>
                <w:szCs w:val="20"/>
                <w:lang w:val="en-GB"/>
              </w:rPr>
            </w:pPr>
          </w:p>
          <w:p w14:paraId="7B84641D" w14:textId="77777777" w:rsidR="0022085E" w:rsidRPr="006D4A54" w:rsidRDefault="0022085E" w:rsidP="00503386">
            <w:pPr>
              <w:jc w:val="center"/>
              <w:rPr>
                <w:rFonts w:cs="Times New Roman"/>
                <w:b/>
                <w:sz w:val="20"/>
                <w:szCs w:val="20"/>
                <w:lang w:val="en-GB"/>
              </w:rPr>
            </w:pPr>
            <w:r w:rsidRPr="006D4A54">
              <w:rPr>
                <w:rFonts w:cs="Times New Roman"/>
                <w:b/>
                <w:sz w:val="20"/>
                <w:szCs w:val="20"/>
                <w:lang w:val="en-GB"/>
              </w:rPr>
              <w:t>Positions on the rock</w:t>
            </w:r>
          </w:p>
          <w:p w14:paraId="21019B0E" w14:textId="77777777" w:rsidR="0022085E" w:rsidRPr="006D4A54" w:rsidRDefault="0022085E" w:rsidP="00503386">
            <w:pPr>
              <w:jc w:val="both"/>
              <w:rPr>
                <w:rFonts w:cs="Times New Roman"/>
                <w:sz w:val="20"/>
                <w:szCs w:val="20"/>
                <w:lang w:val="en-GB"/>
              </w:rPr>
            </w:pPr>
          </w:p>
        </w:tc>
        <w:tc>
          <w:tcPr>
            <w:tcW w:w="3464" w:type="dxa"/>
            <w:gridSpan w:val="3"/>
            <w:tcBorders>
              <w:top w:val="single" w:sz="24" w:space="0" w:color="auto"/>
              <w:left w:val="single" w:sz="24" w:space="0" w:color="auto"/>
              <w:bottom w:val="single" w:sz="24" w:space="0" w:color="auto"/>
              <w:right w:val="single" w:sz="24" w:space="0" w:color="auto"/>
            </w:tcBorders>
          </w:tcPr>
          <w:p w14:paraId="55A63EED" w14:textId="77777777" w:rsidR="0022085E" w:rsidRPr="006D4A54" w:rsidRDefault="0022085E" w:rsidP="00503386">
            <w:pPr>
              <w:jc w:val="both"/>
              <w:rPr>
                <w:rFonts w:cs="Times New Roman"/>
                <w:sz w:val="20"/>
                <w:szCs w:val="20"/>
                <w:lang w:val="en-GB"/>
              </w:rPr>
            </w:pPr>
            <w:r w:rsidRPr="006D4A54">
              <w:rPr>
                <w:rFonts w:cs="Times New Roman"/>
                <w:noProof/>
                <w:sz w:val="20"/>
                <w:szCs w:val="20"/>
              </w:rPr>
              <w:drawing>
                <wp:anchor distT="0" distB="0" distL="114300" distR="114300" simplePos="0" relativeHeight="251928576" behindDoc="0" locked="0" layoutInCell="1" allowOverlap="1" wp14:anchorId="2595A641" wp14:editId="7917E1A1">
                  <wp:simplePos x="0" y="0"/>
                  <wp:positionH relativeFrom="column">
                    <wp:posOffset>1183005</wp:posOffset>
                  </wp:positionH>
                  <wp:positionV relativeFrom="paragraph">
                    <wp:posOffset>22860</wp:posOffset>
                  </wp:positionV>
                  <wp:extent cx="894080" cy="865505"/>
                  <wp:effectExtent l="0" t="0" r="1270" b="0"/>
                  <wp:wrapThrough wrapText="bothSides">
                    <wp:wrapPolygon edited="0">
                      <wp:start x="0" y="0"/>
                      <wp:lineTo x="0" y="20919"/>
                      <wp:lineTo x="21170" y="20919"/>
                      <wp:lineTo x="21170" y="0"/>
                      <wp:lineTo x="0" y="0"/>
                    </wp:wrapPolygon>
                  </wp:wrapThrough>
                  <wp:docPr id="85" name="Resim 85" descr="taslak, metin, ekran görüntüsü, dikdörtg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sim 85" descr="taslak, metin, ekran görüntüsü, dikdörtgen içeren bir resim&#10;&#10;Açıklama otomatik olarak oluşturuldu"/>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894080" cy="86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4A54">
              <w:rPr>
                <w:rFonts w:cs="Times New Roman"/>
                <w:sz w:val="20"/>
                <w:szCs w:val="20"/>
                <w:lang w:val="en-GB"/>
              </w:rPr>
              <w:t xml:space="preserve">   </w:t>
            </w:r>
          </w:p>
          <w:p w14:paraId="65C8F7F1" w14:textId="77777777" w:rsidR="0022085E" w:rsidRPr="006D4A54" w:rsidRDefault="0022085E" w:rsidP="00503386">
            <w:pPr>
              <w:jc w:val="center"/>
              <w:rPr>
                <w:rFonts w:cs="Times New Roman"/>
                <w:b/>
                <w:sz w:val="20"/>
                <w:szCs w:val="20"/>
                <w:lang w:val="en-GB"/>
              </w:rPr>
            </w:pPr>
            <w:r w:rsidRPr="006D4A54">
              <w:rPr>
                <w:rFonts w:cs="Times New Roman"/>
                <w:b/>
                <w:sz w:val="20"/>
                <w:szCs w:val="20"/>
                <w:lang w:val="en-GB"/>
              </w:rPr>
              <w:t>Dimensions</w:t>
            </w:r>
          </w:p>
          <w:p w14:paraId="69DCBD54" w14:textId="77777777" w:rsidR="0022085E" w:rsidRPr="006D4A54" w:rsidRDefault="0022085E" w:rsidP="00503386">
            <w:pPr>
              <w:jc w:val="both"/>
              <w:rPr>
                <w:rFonts w:cs="Times New Roman"/>
                <w:b/>
                <w:sz w:val="20"/>
                <w:szCs w:val="20"/>
                <w:lang w:val="en-GB"/>
              </w:rPr>
            </w:pPr>
          </w:p>
          <w:p w14:paraId="5458251E" w14:textId="77777777" w:rsidR="0022085E" w:rsidRPr="006D4A54" w:rsidRDefault="0022085E" w:rsidP="00503386">
            <w:pPr>
              <w:jc w:val="both"/>
              <w:rPr>
                <w:rFonts w:cs="Times New Roman"/>
                <w:sz w:val="20"/>
                <w:szCs w:val="20"/>
                <w:lang w:val="en-GB"/>
              </w:rPr>
            </w:pPr>
          </w:p>
        </w:tc>
        <w:tc>
          <w:tcPr>
            <w:tcW w:w="3201" w:type="dxa"/>
            <w:gridSpan w:val="2"/>
            <w:tcBorders>
              <w:top w:val="single" w:sz="24" w:space="0" w:color="auto"/>
              <w:left w:val="single" w:sz="24" w:space="0" w:color="auto"/>
              <w:bottom w:val="single" w:sz="24" w:space="0" w:color="auto"/>
              <w:right w:val="single" w:sz="24" w:space="0" w:color="auto"/>
            </w:tcBorders>
          </w:tcPr>
          <w:p w14:paraId="5494D56D" w14:textId="77777777" w:rsidR="0022085E" w:rsidRPr="006D4A54" w:rsidRDefault="0022085E" w:rsidP="00503386">
            <w:pPr>
              <w:jc w:val="center"/>
              <w:rPr>
                <w:rFonts w:cs="Times New Roman"/>
                <w:sz w:val="20"/>
                <w:szCs w:val="20"/>
                <w:lang w:val="en-GB"/>
              </w:rPr>
            </w:pPr>
          </w:p>
          <w:p w14:paraId="6CCC9528" w14:textId="77777777" w:rsidR="0022085E" w:rsidRPr="006D4A54" w:rsidRDefault="0022085E" w:rsidP="00503386">
            <w:pPr>
              <w:jc w:val="center"/>
              <w:rPr>
                <w:rFonts w:cs="Times New Roman"/>
                <w:b/>
                <w:sz w:val="20"/>
                <w:szCs w:val="20"/>
                <w:lang w:val="en-GB"/>
              </w:rPr>
            </w:pPr>
            <w:r w:rsidRPr="006D4A54">
              <w:rPr>
                <w:rFonts w:cs="Times New Roman"/>
                <w:b/>
                <w:sz w:val="20"/>
                <w:szCs w:val="20"/>
                <w:lang w:val="en-GB"/>
              </w:rPr>
              <w:t>Specifications</w:t>
            </w:r>
          </w:p>
          <w:p w14:paraId="7F830235" w14:textId="77777777" w:rsidR="0022085E" w:rsidRPr="006D4A54" w:rsidRDefault="0022085E" w:rsidP="00503386">
            <w:pPr>
              <w:jc w:val="both"/>
              <w:rPr>
                <w:rFonts w:cs="Times New Roman"/>
                <w:sz w:val="20"/>
                <w:szCs w:val="20"/>
                <w:lang w:val="en-GB"/>
              </w:rPr>
            </w:pPr>
          </w:p>
        </w:tc>
      </w:tr>
      <w:tr w:rsidR="0022085E" w:rsidRPr="006D4A54" w14:paraId="435F58AC" w14:textId="77777777" w:rsidTr="00503386">
        <w:trPr>
          <w:trHeight w:val="305"/>
        </w:trPr>
        <w:tc>
          <w:tcPr>
            <w:tcW w:w="679" w:type="dxa"/>
            <w:vMerge/>
            <w:tcBorders>
              <w:left w:val="single" w:sz="24" w:space="0" w:color="auto"/>
              <w:bottom w:val="single" w:sz="24" w:space="0" w:color="auto"/>
              <w:right w:val="single" w:sz="24" w:space="0" w:color="auto"/>
            </w:tcBorders>
          </w:tcPr>
          <w:p w14:paraId="631E2A81" w14:textId="77777777" w:rsidR="0022085E" w:rsidRPr="006D4A54" w:rsidRDefault="0022085E" w:rsidP="00503386">
            <w:pPr>
              <w:jc w:val="both"/>
              <w:rPr>
                <w:rFonts w:cs="Times New Roman"/>
                <w:sz w:val="20"/>
                <w:szCs w:val="20"/>
                <w:lang w:val="en-GB"/>
              </w:rPr>
            </w:pPr>
          </w:p>
        </w:tc>
        <w:tc>
          <w:tcPr>
            <w:tcW w:w="1314" w:type="dxa"/>
            <w:vMerge/>
            <w:tcBorders>
              <w:left w:val="single" w:sz="24" w:space="0" w:color="auto"/>
              <w:bottom w:val="single" w:sz="24" w:space="0" w:color="auto"/>
              <w:right w:val="single" w:sz="24" w:space="0" w:color="auto"/>
            </w:tcBorders>
          </w:tcPr>
          <w:p w14:paraId="17519425" w14:textId="77777777" w:rsidR="0022085E" w:rsidRPr="006D4A54" w:rsidRDefault="0022085E" w:rsidP="00503386">
            <w:pPr>
              <w:jc w:val="both"/>
              <w:rPr>
                <w:rFonts w:cs="Times New Roman"/>
                <w:sz w:val="20"/>
                <w:szCs w:val="20"/>
                <w:lang w:val="en-GB"/>
              </w:rPr>
            </w:pPr>
          </w:p>
        </w:tc>
        <w:tc>
          <w:tcPr>
            <w:tcW w:w="1235" w:type="dxa"/>
            <w:tcBorders>
              <w:top w:val="single" w:sz="24" w:space="0" w:color="auto"/>
              <w:left w:val="single" w:sz="24" w:space="0" w:color="auto"/>
              <w:bottom w:val="single" w:sz="24" w:space="0" w:color="auto"/>
              <w:right w:val="single" w:sz="24" w:space="0" w:color="auto"/>
            </w:tcBorders>
          </w:tcPr>
          <w:p w14:paraId="2FAD1DE5"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Width (cm)</w:t>
            </w:r>
          </w:p>
        </w:tc>
        <w:tc>
          <w:tcPr>
            <w:tcW w:w="1011" w:type="dxa"/>
            <w:tcBorders>
              <w:top w:val="single" w:sz="24" w:space="0" w:color="auto"/>
              <w:left w:val="single" w:sz="24" w:space="0" w:color="auto"/>
              <w:bottom w:val="single" w:sz="24" w:space="0" w:color="auto"/>
              <w:right w:val="single" w:sz="24" w:space="0" w:color="auto"/>
            </w:tcBorders>
          </w:tcPr>
          <w:p w14:paraId="1F60947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Height</w:t>
            </w:r>
          </w:p>
          <w:p w14:paraId="572D3F06"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(cm)</w:t>
            </w:r>
          </w:p>
        </w:tc>
        <w:tc>
          <w:tcPr>
            <w:tcW w:w="1218" w:type="dxa"/>
            <w:tcBorders>
              <w:top w:val="single" w:sz="24" w:space="0" w:color="auto"/>
              <w:left w:val="single" w:sz="24" w:space="0" w:color="auto"/>
              <w:bottom w:val="single" w:sz="24" w:space="0" w:color="auto"/>
              <w:right w:val="single" w:sz="24" w:space="0" w:color="auto"/>
            </w:tcBorders>
          </w:tcPr>
          <w:p w14:paraId="7DD7AB2F"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Depth (cm)</w:t>
            </w:r>
          </w:p>
        </w:tc>
        <w:tc>
          <w:tcPr>
            <w:tcW w:w="1122" w:type="dxa"/>
            <w:tcBorders>
              <w:top w:val="single" w:sz="24" w:space="0" w:color="auto"/>
              <w:left w:val="single" w:sz="24" w:space="0" w:color="auto"/>
              <w:bottom w:val="single" w:sz="24" w:space="0" w:color="auto"/>
              <w:right w:val="single" w:sz="24" w:space="0" w:color="auto"/>
            </w:tcBorders>
          </w:tcPr>
          <w:p w14:paraId="55CF1A6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Rock-cut libation bowl</w:t>
            </w:r>
          </w:p>
        </w:tc>
        <w:tc>
          <w:tcPr>
            <w:tcW w:w="2079" w:type="dxa"/>
            <w:tcBorders>
              <w:top w:val="single" w:sz="24" w:space="0" w:color="auto"/>
              <w:left w:val="single" w:sz="24" w:space="0" w:color="auto"/>
              <w:bottom w:val="single" w:sz="24" w:space="0" w:color="auto"/>
              <w:right w:val="single" w:sz="24" w:space="0" w:color="auto"/>
            </w:tcBorders>
          </w:tcPr>
          <w:p w14:paraId="053452F6"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Notes</w:t>
            </w:r>
          </w:p>
        </w:tc>
      </w:tr>
      <w:tr w:rsidR="0022085E" w:rsidRPr="006D4A54" w14:paraId="3C3B1E22" w14:textId="77777777" w:rsidTr="00503386">
        <w:trPr>
          <w:trHeight w:val="466"/>
        </w:trPr>
        <w:tc>
          <w:tcPr>
            <w:tcW w:w="679" w:type="dxa"/>
            <w:tcBorders>
              <w:top w:val="single" w:sz="24" w:space="0" w:color="auto"/>
              <w:left w:val="single" w:sz="24" w:space="0" w:color="auto"/>
              <w:right w:val="single" w:sz="24" w:space="0" w:color="auto"/>
            </w:tcBorders>
          </w:tcPr>
          <w:p w14:paraId="3BD985E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w:t>
            </w:r>
          </w:p>
        </w:tc>
        <w:tc>
          <w:tcPr>
            <w:tcW w:w="1314" w:type="dxa"/>
            <w:tcBorders>
              <w:top w:val="single" w:sz="24" w:space="0" w:color="auto"/>
              <w:left w:val="single" w:sz="24" w:space="0" w:color="auto"/>
              <w:right w:val="single" w:sz="24" w:space="0" w:color="auto"/>
            </w:tcBorders>
          </w:tcPr>
          <w:p w14:paraId="22F259A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North</w:t>
            </w:r>
          </w:p>
        </w:tc>
        <w:tc>
          <w:tcPr>
            <w:tcW w:w="1235" w:type="dxa"/>
            <w:tcBorders>
              <w:top w:val="single" w:sz="24" w:space="0" w:color="auto"/>
              <w:left w:val="single" w:sz="24" w:space="0" w:color="auto"/>
              <w:right w:val="single" w:sz="24" w:space="0" w:color="auto"/>
            </w:tcBorders>
          </w:tcPr>
          <w:p w14:paraId="4665ABF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011" w:type="dxa"/>
            <w:tcBorders>
              <w:top w:val="single" w:sz="24" w:space="0" w:color="auto"/>
              <w:left w:val="single" w:sz="24" w:space="0" w:color="auto"/>
              <w:right w:val="single" w:sz="24" w:space="0" w:color="auto"/>
            </w:tcBorders>
          </w:tcPr>
          <w:p w14:paraId="4581FB5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218" w:type="dxa"/>
            <w:tcBorders>
              <w:top w:val="single" w:sz="24" w:space="0" w:color="auto"/>
              <w:left w:val="single" w:sz="24" w:space="0" w:color="auto"/>
              <w:right w:val="single" w:sz="24" w:space="0" w:color="auto"/>
            </w:tcBorders>
          </w:tcPr>
          <w:p w14:paraId="26941AB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top w:val="single" w:sz="24" w:space="0" w:color="auto"/>
              <w:left w:val="single" w:sz="24" w:space="0" w:color="auto"/>
              <w:right w:val="single" w:sz="24" w:space="0" w:color="auto"/>
            </w:tcBorders>
          </w:tcPr>
          <w:p w14:paraId="1AD0A2D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X</w:t>
            </w:r>
          </w:p>
        </w:tc>
        <w:tc>
          <w:tcPr>
            <w:tcW w:w="2079" w:type="dxa"/>
            <w:tcBorders>
              <w:top w:val="single" w:sz="24" w:space="0" w:color="auto"/>
              <w:left w:val="single" w:sz="24" w:space="0" w:color="auto"/>
              <w:right w:val="single" w:sz="24" w:space="0" w:color="auto"/>
            </w:tcBorders>
          </w:tcPr>
          <w:p w14:paraId="5104B25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Since it was destroyed, exact measurements could not be taken.</w:t>
            </w:r>
          </w:p>
        </w:tc>
      </w:tr>
      <w:tr w:rsidR="0022085E" w:rsidRPr="006D4A54" w14:paraId="63D7AE9E" w14:textId="77777777" w:rsidTr="00503386">
        <w:trPr>
          <w:trHeight w:val="172"/>
        </w:trPr>
        <w:tc>
          <w:tcPr>
            <w:tcW w:w="679" w:type="dxa"/>
            <w:tcBorders>
              <w:left w:val="single" w:sz="24" w:space="0" w:color="auto"/>
              <w:right w:val="single" w:sz="24" w:space="0" w:color="auto"/>
            </w:tcBorders>
          </w:tcPr>
          <w:p w14:paraId="42FFC65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T2</w:t>
            </w:r>
          </w:p>
        </w:tc>
        <w:tc>
          <w:tcPr>
            <w:tcW w:w="1314" w:type="dxa"/>
            <w:tcBorders>
              <w:left w:val="single" w:sz="24" w:space="0" w:color="auto"/>
              <w:right w:val="single" w:sz="24" w:space="0" w:color="auto"/>
            </w:tcBorders>
          </w:tcPr>
          <w:p w14:paraId="6969804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North</w:t>
            </w:r>
          </w:p>
        </w:tc>
        <w:tc>
          <w:tcPr>
            <w:tcW w:w="1235" w:type="dxa"/>
            <w:tcBorders>
              <w:left w:val="single" w:sz="24" w:space="0" w:color="auto"/>
              <w:right w:val="single" w:sz="24" w:space="0" w:color="auto"/>
            </w:tcBorders>
          </w:tcPr>
          <w:p w14:paraId="0F6A065F"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120</w:t>
            </w:r>
          </w:p>
        </w:tc>
        <w:tc>
          <w:tcPr>
            <w:tcW w:w="1011" w:type="dxa"/>
            <w:tcBorders>
              <w:left w:val="single" w:sz="24" w:space="0" w:color="auto"/>
              <w:right w:val="single" w:sz="24" w:space="0" w:color="auto"/>
            </w:tcBorders>
          </w:tcPr>
          <w:p w14:paraId="71832C4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85</w:t>
            </w:r>
          </w:p>
        </w:tc>
        <w:tc>
          <w:tcPr>
            <w:tcW w:w="1218" w:type="dxa"/>
            <w:tcBorders>
              <w:left w:val="single" w:sz="24" w:space="0" w:color="auto"/>
              <w:right w:val="single" w:sz="24" w:space="0" w:color="auto"/>
            </w:tcBorders>
          </w:tcPr>
          <w:p w14:paraId="50474BE1"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50</w:t>
            </w:r>
          </w:p>
        </w:tc>
        <w:tc>
          <w:tcPr>
            <w:tcW w:w="1122" w:type="dxa"/>
            <w:tcBorders>
              <w:left w:val="single" w:sz="24" w:space="0" w:color="auto"/>
              <w:right w:val="single" w:sz="24" w:space="0" w:color="auto"/>
            </w:tcBorders>
          </w:tcPr>
          <w:p w14:paraId="5A36E2B5"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06A43025"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1AD1C73B" w14:textId="77777777" w:rsidTr="00503386">
        <w:trPr>
          <w:trHeight w:val="155"/>
        </w:trPr>
        <w:tc>
          <w:tcPr>
            <w:tcW w:w="679" w:type="dxa"/>
            <w:tcBorders>
              <w:left w:val="single" w:sz="24" w:space="0" w:color="auto"/>
              <w:right w:val="single" w:sz="24" w:space="0" w:color="auto"/>
            </w:tcBorders>
          </w:tcPr>
          <w:p w14:paraId="6452BF8F"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T3</w:t>
            </w:r>
          </w:p>
        </w:tc>
        <w:tc>
          <w:tcPr>
            <w:tcW w:w="1314" w:type="dxa"/>
            <w:tcBorders>
              <w:left w:val="single" w:sz="24" w:space="0" w:color="auto"/>
              <w:right w:val="single" w:sz="24" w:space="0" w:color="auto"/>
            </w:tcBorders>
          </w:tcPr>
          <w:p w14:paraId="558BBAD2"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North</w:t>
            </w:r>
          </w:p>
        </w:tc>
        <w:tc>
          <w:tcPr>
            <w:tcW w:w="1235" w:type="dxa"/>
            <w:tcBorders>
              <w:left w:val="single" w:sz="24" w:space="0" w:color="auto"/>
              <w:right w:val="single" w:sz="24" w:space="0" w:color="auto"/>
            </w:tcBorders>
          </w:tcPr>
          <w:p w14:paraId="6C8AFD6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190</w:t>
            </w:r>
          </w:p>
        </w:tc>
        <w:tc>
          <w:tcPr>
            <w:tcW w:w="1011" w:type="dxa"/>
            <w:tcBorders>
              <w:left w:val="single" w:sz="24" w:space="0" w:color="auto"/>
              <w:right w:val="single" w:sz="24" w:space="0" w:color="auto"/>
            </w:tcBorders>
          </w:tcPr>
          <w:p w14:paraId="2B274C1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190</w:t>
            </w:r>
          </w:p>
        </w:tc>
        <w:tc>
          <w:tcPr>
            <w:tcW w:w="1218" w:type="dxa"/>
            <w:tcBorders>
              <w:left w:val="single" w:sz="24" w:space="0" w:color="auto"/>
              <w:right w:val="single" w:sz="24" w:space="0" w:color="auto"/>
            </w:tcBorders>
          </w:tcPr>
          <w:p w14:paraId="1D9E6D0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61C8EC72"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7423C1E1"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240DC311" w14:textId="77777777" w:rsidTr="00503386">
        <w:trPr>
          <w:trHeight w:val="172"/>
        </w:trPr>
        <w:tc>
          <w:tcPr>
            <w:tcW w:w="679" w:type="dxa"/>
            <w:tcBorders>
              <w:left w:val="single" w:sz="24" w:space="0" w:color="auto"/>
              <w:right w:val="single" w:sz="24" w:space="0" w:color="auto"/>
            </w:tcBorders>
          </w:tcPr>
          <w:p w14:paraId="7CD4EAE3"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T4</w:t>
            </w:r>
          </w:p>
        </w:tc>
        <w:tc>
          <w:tcPr>
            <w:tcW w:w="1314" w:type="dxa"/>
            <w:tcBorders>
              <w:left w:val="single" w:sz="24" w:space="0" w:color="auto"/>
              <w:right w:val="single" w:sz="24" w:space="0" w:color="auto"/>
            </w:tcBorders>
          </w:tcPr>
          <w:p w14:paraId="0F43F91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North</w:t>
            </w:r>
          </w:p>
        </w:tc>
        <w:tc>
          <w:tcPr>
            <w:tcW w:w="1235" w:type="dxa"/>
            <w:tcBorders>
              <w:left w:val="single" w:sz="24" w:space="0" w:color="auto"/>
              <w:right w:val="single" w:sz="24" w:space="0" w:color="auto"/>
            </w:tcBorders>
          </w:tcPr>
          <w:p w14:paraId="3DB8573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175</w:t>
            </w:r>
          </w:p>
        </w:tc>
        <w:tc>
          <w:tcPr>
            <w:tcW w:w="1011" w:type="dxa"/>
            <w:tcBorders>
              <w:left w:val="single" w:sz="24" w:space="0" w:color="auto"/>
              <w:right w:val="single" w:sz="24" w:space="0" w:color="auto"/>
            </w:tcBorders>
          </w:tcPr>
          <w:p w14:paraId="63F629E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150</w:t>
            </w:r>
          </w:p>
        </w:tc>
        <w:tc>
          <w:tcPr>
            <w:tcW w:w="1218" w:type="dxa"/>
            <w:tcBorders>
              <w:left w:val="single" w:sz="24" w:space="0" w:color="auto"/>
              <w:right w:val="single" w:sz="24" w:space="0" w:color="auto"/>
            </w:tcBorders>
          </w:tcPr>
          <w:p w14:paraId="75B3403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78B44783"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3728674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5040C66A" w14:textId="77777777" w:rsidTr="00503386">
        <w:trPr>
          <w:trHeight w:val="155"/>
        </w:trPr>
        <w:tc>
          <w:tcPr>
            <w:tcW w:w="679" w:type="dxa"/>
            <w:tcBorders>
              <w:left w:val="single" w:sz="24" w:space="0" w:color="auto"/>
              <w:right w:val="single" w:sz="24" w:space="0" w:color="auto"/>
            </w:tcBorders>
          </w:tcPr>
          <w:p w14:paraId="3F011B39"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T5</w:t>
            </w:r>
          </w:p>
        </w:tc>
        <w:tc>
          <w:tcPr>
            <w:tcW w:w="1314" w:type="dxa"/>
            <w:tcBorders>
              <w:left w:val="single" w:sz="24" w:space="0" w:color="auto"/>
              <w:right w:val="single" w:sz="24" w:space="0" w:color="auto"/>
            </w:tcBorders>
          </w:tcPr>
          <w:p w14:paraId="287E2E7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North</w:t>
            </w:r>
          </w:p>
        </w:tc>
        <w:tc>
          <w:tcPr>
            <w:tcW w:w="1235" w:type="dxa"/>
            <w:tcBorders>
              <w:left w:val="single" w:sz="24" w:space="0" w:color="auto"/>
              <w:right w:val="single" w:sz="24" w:space="0" w:color="auto"/>
            </w:tcBorders>
          </w:tcPr>
          <w:p w14:paraId="0BC8DC5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360</w:t>
            </w:r>
          </w:p>
        </w:tc>
        <w:tc>
          <w:tcPr>
            <w:tcW w:w="1011" w:type="dxa"/>
            <w:tcBorders>
              <w:left w:val="single" w:sz="24" w:space="0" w:color="auto"/>
              <w:right w:val="single" w:sz="24" w:space="0" w:color="auto"/>
            </w:tcBorders>
          </w:tcPr>
          <w:p w14:paraId="33B9413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190</w:t>
            </w:r>
          </w:p>
        </w:tc>
        <w:tc>
          <w:tcPr>
            <w:tcW w:w="1218" w:type="dxa"/>
            <w:tcBorders>
              <w:left w:val="single" w:sz="24" w:space="0" w:color="auto"/>
              <w:right w:val="single" w:sz="24" w:space="0" w:color="auto"/>
            </w:tcBorders>
          </w:tcPr>
          <w:p w14:paraId="65084F8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240</w:t>
            </w:r>
          </w:p>
        </w:tc>
        <w:tc>
          <w:tcPr>
            <w:tcW w:w="1122" w:type="dxa"/>
            <w:tcBorders>
              <w:left w:val="single" w:sz="24" w:space="0" w:color="auto"/>
              <w:right w:val="single" w:sz="24" w:space="0" w:color="auto"/>
            </w:tcBorders>
          </w:tcPr>
          <w:p w14:paraId="0AE082E8"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620AB7F9"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Destroyed</w:t>
            </w:r>
          </w:p>
        </w:tc>
      </w:tr>
      <w:tr w:rsidR="0022085E" w:rsidRPr="006D4A54" w14:paraId="2DFB9BDD" w14:textId="77777777" w:rsidTr="00503386">
        <w:trPr>
          <w:trHeight w:val="327"/>
        </w:trPr>
        <w:tc>
          <w:tcPr>
            <w:tcW w:w="679" w:type="dxa"/>
            <w:tcBorders>
              <w:left w:val="single" w:sz="24" w:space="0" w:color="auto"/>
              <w:right w:val="single" w:sz="24" w:space="0" w:color="auto"/>
            </w:tcBorders>
          </w:tcPr>
          <w:p w14:paraId="6008AD1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T6</w:t>
            </w:r>
          </w:p>
        </w:tc>
        <w:tc>
          <w:tcPr>
            <w:tcW w:w="1314" w:type="dxa"/>
            <w:tcBorders>
              <w:left w:val="single" w:sz="24" w:space="0" w:color="auto"/>
              <w:right w:val="single" w:sz="24" w:space="0" w:color="auto"/>
            </w:tcBorders>
          </w:tcPr>
          <w:p w14:paraId="47E64538"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North</w:t>
            </w:r>
          </w:p>
        </w:tc>
        <w:tc>
          <w:tcPr>
            <w:tcW w:w="1235" w:type="dxa"/>
            <w:tcBorders>
              <w:left w:val="single" w:sz="24" w:space="0" w:color="auto"/>
              <w:right w:val="single" w:sz="24" w:space="0" w:color="auto"/>
            </w:tcBorders>
          </w:tcPr>
          <w:p w14:paraId="67FA4FB5"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011" w:type="dxa"/>
            <w:tcBorders>
              <w:left w:val="single" w:sz="24" w:space="0" w:color="auto"/>
              <w:right w:val="single" w:sz="24" w:space="0" w:color="auto"/>
            </w:tcBorders>
          </w:tcPr>
          <w:p w14:paraId="08D0AED8"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218" w:type="dxa"/>
            <w:tcBorders>
              <w:left w:val="single" w:sz="24" w:space="0" w:color="auto"/>
              <w:right w:val="single" w:sz="24" w:space="0" w:color="auto"/>
            </w:tcBorders>
          </w:tcPr>
          <w:p w14:paraId="48D05103"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7AC0B0EF"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4D50C0A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Measurements could not be taken.</w:t>
            </w:r>
          </w:p>
        </w:tc>
      </w:tr>
      <w:tr w:rsidR="0022085E" w:rsidRPr="006D4A54" w14:paraId="4D6ABEB7" w14:textId="77777777" w:rsidTr="00503386">
        <w:trPr>
          <w:trHeight w:val="327"/>
        </w:trPr>
        <w:tc>
          <w:tcPr>
            <w:tcW w:w="679" w:type="dxa"/>
            <w:tcBorders>
              <w:left w:val="single" w:sz="24" w:space="0" w:color="auto"/>
              <w:right w:val="single" w:sz="24" w:space="0" w:color="auto"/>
            </w:tcBorders>
          </w:tcPr>
          <w:p w14:paraId="289734E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T7</w:t>
            </w:r>
          </w:p>
        </w:tc>
        <w:tc>
          <w:tcPr>
            <w:tcW w:w="1314" w:type="dxa"/>
            <w:tcBorders>
              <w:left w:val="single" w:sz="24" w:space="0" w:color="auto"/>
              <w:right w:val="single" w:sz="24" w:space="0" w:color="auto"/>
            </w:tcBorders>
          </w:tcPr>
          <w:p w14:paraId="4BD5E7B9"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North</w:t>
            </w:r>
          </w:p>
        </w:tc>
        <w:tc>
          <w:tcPr>
            <w:tcW w:w="1235" w:type="dxa"/>
            <w:tcBorders>
              <w:left w:val="single" w:sz="24" w:space="0" w:color="auto"/>
              <w:right w:val="single" w:sz="24" w:space="0" w:color="auto"/>
            </w:tcBorders>
          </w:tcPr>
          <w:p w14:paraId="68278191"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011" w:type="dxa"/>
            <w:tcBorders>
              <w:left w:val="single" w:sz="24" w:space="0" w:color="auto"/>
              <w:right w:val="single" w:sz="24" w:space="0" w:color="auto"/>
            </w:tcBorders>
          </w:tcPr>
          <w:p w14:paraId="4EA27DF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218" w:type="dxa"/>
            <w:tcBorders>
              <w:left w:val="single" w:sz="24" w:space="0" w:color="auto"/>
              <w:right w:val="single" w:sz="24" w:space="0" w:color="auto"/>
            </w:tcBorders>
          </w:tcPr>
          <w:p w14:paraId="4AC6D128"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4852CB5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2B5094D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Measurements could not be taken.</w:t>
            </w:r>
          </w:p>
        </w:tc>
      </w:tr>
      <w:tr w:rsidR="0022085E" w:rsidRPr="006D4A54" w14:paraId="109BBA8D" w14:textId="77777777" w:rsidTr="00503386">
        <w:trPr>
          <w:trHeight w:val="310"/>
        </w:trPr>
        <w:tc>
          <w:tcPr>
            <w:tcW w:w="679" w:type="dxa"/>
            <w:tcBorders>
              <w:left w:val="single" w:sz="24" w:space="0" w:color="auto"/>
              <w:right w:val="single" w:sz="24" w:space="0" w:color="auto"/>
            </w:tcBorders>
          </w:tcPr>
          <w:p w14:paraId="13235EA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T8</w:t>
            </w:r>
          </w:p>
        </w:tc>
        <w:tc>
          <w:tcPr>
            <w:tcW w:w="1314" w:type="dxa"/>
            <w:tcBorders>
              <w:left w:val="single" w:sz="24" w:space="0" w:color="auto"/>
              <w:right w:val="single" w:sz="24" w:space="0" w:color="auto"/>
            </w:tcBorders>
          </w:tcPr>
          <w:p w14:paraId="4EF3F7C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North</w:t>
            </w:r>
          </w:p>
        </w:tc>
        <w:tc>
          <w:tcPr>
            <w:tcW w:w="1235" w:type="dxa"/>
            <w:tcBorders>
              <w:left w:val="single" w:sz="24" w:space="0" w:color="auto"/>
              <w:right w:val="single" w:sz="24" w:space="0" w:color="auto"/>
            </w:tcBorders>
          </w:tcPr>
          <w:p w14:paraId="00755A79"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011" w:type="dxa"/>
            <w:tcBorders>
              <w:left w:val="single" w:sz="24" w:space="0" w:color="auto"/>
              <w:right w:val="single" w:sz="24" w:space="0" w:color="auto"/>
            </w:tcBorders>
          </w:tcPr>
          <w:p w14:paraId="311C8AE1"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218" w:type="dxa"/>
            <w:tcBorders>
              <w:left w:val="single" w:sz="24" w:space="0" w:color="auto"/>
              <w:right w:val="single" w:sz="24" w:space="0" w:color="auto"/>
            </w:tcBorders>
          </w:tcPr>
          <w:p w14:paraId="2F08B90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7CAFE87F"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03773E3F"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Measurements could not be taken.</w:t>
            </w:r>
          </w:p>
        </w:tc>
      </w:tr>
      <w:tr w:rsidR="0022085E" w:rsidRPr="006D4A54" w14:paraId="4366453E" w14:textId="77777777" w:rsidTr="00503386">
        <w:trPr>
          <w:trHeight w:val="327"/>
        </w:trPr>
        <w:tc>
          <w:tcPr>
            <w:tcW w:w="679" w:type="dxa"/>
            <w:tcBorders>
              <w:left w:val="single" w:sz="24" w:space="0" w:color="auto"/>
              <w:bottom w:val="single" w:sz="24" w:space="0" w:color="auto"/>
              <w:right w:val="single" w:sz="24" w:space="0" w:color="auto"/>
            </w:tcBorders>
          </w:tcPr>
          <w:p w14:paraId="41506786"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T9</w:t>
            </w:r>
          </w:p>
        </w:tc>
        <w:tc>
          <w:tcPr>
            <w:tcW w:w="1314" w:type="dxa"/>
            <w:tcBorders>
              <w:left w:val="single" w:sz="24" w:space="0" w:color="auto"/>
              <w:bottom w:val="single" w:sz="24" w:space="0" w:color="auto"/>
              <w:right w:val="single" w:sz="24" w:space="0" w:color="auto"/>
            </w:tcBorders>
          </w:tcPr>
          <w:p w14:paraId="44A0514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North</w:t>
            </w:r>
          </w:p>
        </w:tc>
        <w:tc>
          <w:tcPr>
            <w:tcW w:w="1235" w:type="dxa"/>
            <w:tcBorders>
              <w:left w:val="single" w:sz="24" w:space="0" w:color="auto"/>
              <w:bottom w:val="single" w:sz="24" w:space="0" w:color="auto"/>
              <w:right w:val="single" w:sz="24" w:space="0" w:color="auto"/>
            </w:tcBorders>
          </w:tcPr>
          <w:p w14:paraId="555AE33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011" w:type="dxa"/>
            <w:tcBorders>
              <w:left w:val="single" w:sz="24" w:space="0" w:color="auto"/>
              <w:bottom w:val="single" w:sz="24" w:space="0" w:color="auto"/>
              <w:right w:val="single" w:sz="24" w:space="0" w:color="auto"/>
            </w:tcBorders>
          </w:tcPr>
          <w:p w14:paraId="1ACB875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218" w:type="dxa"/>
            <w:tcBorders>
              <w:left w:val="single" w:sz="24" w:space="0" w:color="auto"/>
              <w:bottom w:val="single" w:sz="24" w:space="0" w:color="auto"/>
              <w:right w:val="single" w:sz="24" w:space="0" w:color="auto"/>
            </w:tcBorders>
          </w:tcPr>
          <w:p w14:paraId="0D136CE6"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bottom w:val="single" w:sz="24" w:space="0" w:color="auto"/>
              <w:right w:val="single" w:sz="24" w:space="0" w:color="auto"/>
            </w:tcBorders>
          </w:tcPr>
          <w:p w14:paraId="3D455CB1"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bottom w:val="single" w:sz="24" w:space="0" w:color="auto"/>
              <w:right w:val="single" w:sz="24" w:space="0" w:color="auto"/>
            </w:tcBorders>
          </w:tcPr>
          <w:p w14:paraId="2901C16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Measurements could not be taken.</w:t>
            </w:r>
          </w:p>
        </w:tc>
      </w:tr>
      <w:tr w:rsidR="0022085E" w:rsidRPr="006D4A54" w14:paraId="21F92A46" w14:textId="77777777" w:rsidTr="00503386">
        <w:trPr>
          <w:trHeight w:val="155"/>
        </w:trPr>
        <w:tc>
          <w:tcPr>
            <w:tcW w:w="679" w:type="dxa"/>
            <w:tcBorders>
              <w:top w:val="single" w:sz="24" w:space="0" w:color="auto"/>
              <w:left w:val="single" w:sz="24" w:space="0" w:color="auto"/>
              <w:bottom w:val="single" w:sz="24" w:space="0" w:color="auto"/>
              <w:right w:val="single" w:sz="24" w:space="0" w:color="auto"/>
            </w:tcBorders>
          </w:tcPr>
          <w:p w14:paraId="457B42C6"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T10</w:t>
            </w:r>
          </w:p>
        </w:tc>
        <w:tc>
          <w:tcPr>
            <w:tcW w:w="1314" w:type="dxa"/>
            <w:tcBorders>
              <w:top w:val="single" w:sz="24" w:space="0" w:color="auto"/>
              <w:left w:val="single" w:sz="24" w:space="0" w:color="auto"/>
              <w:bottom w:val="single" w:sz="24" w:space="0" w:color="auto"/>
              <w:right w:val="single" w:sz="24" w:space="0" w:color="auto"/>
            </w:tcBorders>
          </w:tcPr>
          <w:p w14:paraId="24BD8B4F"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East</w:t>
            </w:r>
          </w:p>
        </w:tc>
        <w:tc>
          <w:tcPr>
            <w:tcW w:w="1235" w:type="dxa"/>
            <w:tcBorders>
              <w:top w:val="single" w:sz="24" w:space="0" w:color="auto"/>
              <w:left w:val="single" w:sz="24" w:space="0" w:color="auto"/>
              <w:bottom w:val="single" w:sz="24" w:space="0" w:color="auto"/>
              <w:right w:val="single" w:sz="24" w:space="0" w:color="auto"/>
            </w:tcBorders>
          </w:tcPr>
          <w:p w14:paraId="16962653"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120</w:t>
            </w:r>
          </w:p>
        </w:tc>
        <w:tc>
          <w:tcPr>
            <w:tcW w:w="1011" w:type="dxa"/>
            <w:tcBorders>
              <w:top w:val="single" w:sz="24" w:space="0" w:color="auto"/>
              <w:left w:val="single" w:sz="24" w:space="0" w:color="auto"/>
              <w:bottom w:val="single" w:sz="24" w:space="0" w:color="auto"/>
              <w:right w:val="single" w:sz="24" w:space="0" w:color="auto"/>
            </w:tcBorders>
          </w:tcPr>
          <w:p w14:paraId="194902B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90</w:t>
            </w:r>
          </w:p>
        </w:tc>
        <w:tc>
          <w:tcPr>
            <w:tcW w:w="1218" w:type="dxa"/>
            <w:tcBorders>
              <w:top w:val="single" w:sz="24" w:space="0" w:color="auto"/>
              <w:left w:val="single" w:sz="24" w:space="0" w:color="auto"/>
              <w:bottom w:val="single" w:sz="24" w:space="0" w:color="auto"/>
              <w:right w:val="single" w:sz="24" w:space="0" w:color="auto"/>
            </w:tcBorders>
          </w:tcPr>
          <w:p w14:paraId="20F9E1A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120</w:t>
            </w:r>
          </w:p>
        </w:tc>
        <w:tc>
          <w:tcPr>
            <w:tcW w:w="1122" w:type="dxa"/>
            <w:tcBorders>
              <w:top w:val="single" w:sz="24" w:space="0" w:color="auto"/>
              <w:left w:val="single" w:sz="24" w:space="0" w:color="auto"/>
              <w:bottom w:val="single" w:sz="24" w:space="0" w:color="auto"/>
              <w:right w:val="single" w:sz="24" w:space="0" w:color="auto"/>
            </w:tcBorders>
          </w:tcPr>
          <w:p w14:paraId="2D53705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top w:val="single" w:sz="24" w:space="0" w:color="auto"/>
              <w:left w:val="single" w:sz="24" w:space="0" w:color="auto"/>
              <w:bottom w:val="single" w:sz="24" w:space="0" w:color="auto"/>
              <w:right w:val="single" w:sz="24" w:space="0" w:color="auto"/>
            </w:tcBorders>
          </w:tcPr>
          <w:p w14:paraId="750A29F9"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03B4575E" w14:textId="77777777" w:rsidTr="00503386">
        <w:trPr>
          <w:trHeight w:val="310"/>
        </w:trPr>
        <w:tc>
          <w:tcPr>
            <w:tcW w:w="679" w:type="dxa"/>
            <w:tcBorders>
              <w:top w:val="single" w:sz="24" w:space="0" w:color="auto"/>
              <w:left w:val="single" w:sz="24" w:space="0" w:color="auto"/>
              <w:right w:val="single" w:sz="24" w:space="0" w:color="auto"/>
            </w:tcBorders>
          </w:tcPr>
          <w:p w14:paraId="6ED779C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T11</w:t>
            </w:r>
          </w:p>
        </w:tc>
        <w:tc>
          <w:tcPr>
            <w:tcW w:w="1314" w:type="dxa"/>
            <w:tcBorders>
              <w:top w:val="single" w:sz="24" w:space="0" w:color="auto"/>
              <w:left w:val="single" w:sz="24" w:space="0" w:color="auto"/>
              <w:right w:val="single" w:sz="24" w:space="0" w:color="auto"/>
            </w:tcBorders>
          </w:tcPr>
          <w:p w14:paraId="5B68740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top w:val="single" w:sz="24" w:space="0" w:color="auto"/>
              <w:left w:val="single" w:sz="24" w:space="0" w:color="auto"/>
              <w:right w:val="single" w:sz="24" w:space="0" w:color="auto"/>
            </w:tcBorders>
          </w:tcPr>
          <w:p w14:paraId="51391AF8"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150</w:t>
            </w:r>
          </w:p>
        </w:tc>
        <w:tc>
          <w:tcPr>
            <w:tcW w:w="1011" w:type="dxa"/>
            <w:tcBorders>
              <w:top w:val="single" w:sz="24" w:space="0" w:color="auto"/>
              <w:left w:val="single" w:sz="24" w:space="0" w:color="auto"/>
              <w:right w:val="single" w:sz="24" w:space="0" w:color="auto"/>
            </w:tcBorders>
          </w:tcPr>
          <w:p w14:paraId="16CC8CC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85 (current)</w:t>
            </w:r>
          </w:p>
        </w:tc>
        <w:tc>
          <w:tcPr>
            <w:tcW w:w="1218" w:type="dxa"/>
            <w:tcBorders>
              <w:top w:val="single" w:sz="24" w:space="0" w:color="auto"/>
              <w:left w:val="single" w:sz="24" w:space="0" w:color="auto"/>
              <w:right w:val="single" w:sz="24" w:space="0" w:color="auto"/>
            </w:tcBorders>
          </w:tcPr>
          <w:p w14:paraId="4041DC0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75</w:t>
            </w:r>
          </w:p>
        </w:tc>
        <w:tc>
          <w:tcPr>
            <w:tcW w:w="1122" w:type="dxa"/>
            <w:tcBorders>
              <w:top w:val="single" w:sz="24" w:space="0" w:color="auto"/>
              <w:left w:val="single" w:sz="24" w:space="0" w:color="auto"/>
              <w:right w:val="single" w:sz="24" w:space="0" w:color="auto"/>
            </w:tcBorders>
          </w:tcPr>
          <w:p w14:paraId="39A3C12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top w:val="single" w:sz="24" w:space="0" w:color="auto"/>
              <w:left w:val="single" w:sz="24" w:space="0" w:color="auto"/>
              <w:right w:val="single" w:sz="24" w:space="0" w:color="auto"/>
            </w:tcBorders>
          </w:tcPr>
          <w:p w14:paraId="5A36CF1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Height could not be obtained due to earth filling.</w:t>
            </w:r>
          </w:p>
        </w:tc>
      </w:tr>
      <w:tr w:rsidR="0022085E" w:rsidRPr="006D4A54" w14:paraId="0A8BA99C" w14:textId="77777777" w:rsidTr="00503386">
        <w:trPr>
          <w:trHeight w:val="327"/>
        </w:trPr>
        <w:tc>
          <w:tcPr>
            <w:tcW w:w="679" w:type="dxa"/>
            <w:tcBorders>
              <w:left w:val="single" w:sz="24" w:space="0" w:color="auto"/>
              <w:right w:val="single" w:sz="24" w:space="0" w:color="auto"/>
            </w:tcBorders>
          </w:tcPr>
          <w:p w14:paraId="38885DB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T12</w:t>
            </w:r>
          </w:p>
        </w:tc>
        <w:tc>
          <w:tcPr>
            <w:tcW w:w="1314" w:type="dxa"/>
            <w:tcBorders>
              <w:left w:val="single" w:sz="24" w:space="0" w:color="auto"/>
              <w:right w:val="single" w:sz="24" w:space="0" w:color="auto"/>
            </w:tcBorders>
          </w:tcPr>
          <w:p w14:paraId="6280ABB1"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7D47A08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011" w:type="dxa"/>
            <w:tcBorders>
              <w:left w:val="single" w:sz="24" w:space="0" w:color="auto"/>
              <w:right w:val="single" w:sz="24" w:space="0" w:color="auto"/>
            </w:tcBorders>
          </w:tcPr>
          <w:p w14:paraId="3FE76012"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218" w:type="dxa"/>
            <w:tcBorders>
              <w:left w:val="single" w:sz="24" w:space="0" w:color="auto"/>
              <w:right w:val="single" w:sz="24" w:space="0" w:color="auto"/>
            </w:tcBorders>
          </w:tcPr>
          <w:p w14:paraId="2A5D6F6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5D8691B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0E91CDA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Measurements could not be taken due to earth filling.</w:t>
            </w:r>
          </w:p>
        </w:tc>
      </w:tr>
      <w:tr w:rsidR="0022085E" w:rsidRPr="006D4A54" w14:paraId="3B515523" w14:textId="77777777" w:rsidTr="00503386">
        <w:trPr>
          <w:trHeight w:val="155"/>
        </w:trPr>
        <w:tc>
          <w:tcPr>
            <w:tcW w:w="679" w:type="dxa"/>
            <w:tcBorders>
              <w:left w:val="single" w:sz="24" w:space="0" w:color="auto"/>
              <w:right w:val="single" w:sz="24" w:space="0" w:color="auto"/>
            </w:tcBorders>
          </w:tcPr>
          <w:p w14:paraId="2AF677A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T13</w:t>
            </w:r>
          </w:p>
        </w:tc>
        <w:tc>
          <w:tcPr>
            <w:tcW w:w="1314" w:type="dxa"/>
            <w:tcBorders>
              <w:left w:val="single" w:sz="24" w:space="0" w:color="auto"/>
              <w:right w:val="single" w:sz="24" w:space="0" w:color="auto"/>
            </w:tcBorders>
          </w:tcPr>
          <w:p w14:paraId="4C58FB1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0CA473E6"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125</w:t>
            </w:r>
          </w:p>
        </w:tc>
        <w:tc>
          <w:tcPr>
            <w:tcW w:w="1011" w:type="dxa"/>
            <w:tcBorders>
              <w:left w:val="single" w:sz="24" w:space="0" w:color="auto"/>
              <w:right w:val="single" w:sz="24" w:space="0" w:color="auto"/>
            </w:tcBorders>
          </w:tcPr>
          <w:p w14:paraId="1BFF054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106</w:t>
            </w:r>
          </w:p>
        </w:tc>
        <w:tc>
          <w:tcPr>
            <w:tcW w:w="1218" w:type="dxa"/>
            <w:tcBorders>
              <w:left w:val="single" w:sz="24" w:space="0" w:color="auto"/>
              <w:right w:val="single" w:sz="24" w:space="0" w:color="auto"/>
            </w:tcBorders>
          </w:tcPr>
          <w:p w14:paraId="217AAD58"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76</w:t>
            </w:r>
          </w:p>
        </w:tc>
        <w:tc>
          <w:tcPr>
            <w:tcW w:w="1122" w:type="dxa"/>
            <w:tcBorders>
              <w:left w:val="single" w:sz="24" w:space="0" w:color="auto"/>
              <w:right w:val="single" w:sz="24" w:space="0" w:color="auto"/>
            </w:tcBorders>
          </w:tcPr>
          <w:p w14:paraId="7A58CB0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X</w:t>
            </w:r>
          </w:p>
        </w:tc>
        <w:tc>
          <w:tcPr>
            <w:tcW w:w="2079" w:type="dxa"/>
            <w:tcBorders>
              <w:left w:val="single" w:sz="24" w:space="0" w:color="auto"/>
              <w:right w:val="single" w:sz="24" w:space="0" w:color="auto"/>
            </w:tcBorders>
          </w:tcPr>
          <w:p w14:paraId="3B72B9D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1F5ECDCB" w14:textId="77777777" w:rsidTr="00503386">
        <w:trPr>
          <w:trHeight w:val="327"/>
        </w:trPr>
        <w:tc>
          <w:tcPr>
            <w:tcW w:w="679" w:type="dxa"/>
            <w:tcBorders>
              <w:left w:val="single" w:sz="24" w:space="0" w:color="auto"/>
              <w:right w:val="single" w:sz="24" w:space="0" w:color="auto"/>
            </w:tcBorders>
          </w:tcPr>
          <w:p w14:paraId="3A3BF13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T14</w:t>
            </w:r>
          </w:p>
        </w:tc>
        <w:tc>
          <w:tcPr>
            <w:tcW w:w="1314" w:type="dxa"/>
            <w:tcBorders>
              <w:left w:val="single" w:sz="24" w:space="0" w:color="auto"/>
              <w:right w:val="single" w:sz="24" w:space="0" w:color="auto"/>
            </w:tcBorders>
          </w:tcPr>
          <w:p w14:paraId="28A27C9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7C93698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135</w:t>
            </w:r>
          </w:p>
        </w:tc>
        <w:tc>
          <w:tcPr>
            <w:tcW w:w="1011" w:type="dxa"/>
            <w:tcBorders>
              <w:left w:val="single" w:sz="24" w:space="0" w:color="auto"/>
              <w:right w:val="single" w:sz="24" w:space="0" w:color="auto"/>
            </w:tcBorders>
          </w:tcPr>
          <w:p w14:paraId="3E4344D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218" w:type="dxa"/>
            <w:tcBorders>
              <w:left w:val="single" w:sz="24" w:space="0" w:color="auto"/>
              <w:right w:val="single" w:sz="24" w:space="0" w:color="auto"/>
            </w:tcBorders>
          </w:tcPr>
          <w:p w14:paraId="35B5CBBF"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1A5622B9"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757EDFD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Measurements could not be taken due to earth filling.</w:t>
            </w:r>
          </w:p>
        </w:tc>
      </w:tr>
      <w:tr w:rsidR="0022085E" w:rsidRPr="006D4A54" w14:paraId="6DDF773B" w14:textId="77777777" w:rsidTr="00503386">
        <w:trPr>
          <w:trHeight w:val="155"/>
        </w:trPr>
        <w:tc>
          <w:tcPr>
            <w:tcW w:w="679" w:type="dxa"/>
            <w:tcBorders>
              <w:left w:val="single" w:sz="24" w:space="0" w:color="auto"/>
              <w:right w:val="single" w:sz="24" w:space="0" w:color="auto"/>
            </w:tcBorders>
          </w:tcPr>
          <w:p w14:paraId="1309BA8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T15</w:t>
            </w:r>
          </w:p>
        </w:tc>
        <w:tc>
          <w:tcPr>
            <w:tcW w:w="1314" w:type="dxa"/>
            <w:tcBorders>
              <w:left w:val="single" w:sz="24" w:space="0" w:color="auto"/>
              <w:right w:val="single" w:sz="24" w:space="0" w:color="auto"/>
            </w:tcBorders>
          </w:tcPr>
          <w:p w14:paraId="77461925"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573F988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159</w:t>
            </w:r>
          </w:p>
        </w:tc>
        <w:tc>
          <w:tcPr>
            <w:tcW w:w="1011" w:type="dxa"/>
            <w:tcBorders>
              <w:left w:val="single" w:sz="24" w:space="0" w:color="auto"/>
              <w:right w:val="single" w:sz="24" w:space="0" w:color="auto"/>
            </w:tcBorders>
          </w:tcPr>
          <w:p w14:paraId="3DCC39A8"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125</w:t>
            </w:r>
          </w:p>
        </w:tc>
        <w:tc>
          <w:tcPr>
            <w:tcW w:w="1218" w:type="dxa"/>
            <w:tcBorders>
              <w:left w:val="single" w:sz="24" w:space="0" w:color="auto"/>
              <w:right w:val="single" w:sz="24" w:space="0" w:color="auto"/>
            </w:tcBorders>
          </w:tcPr>
          <w:p w14:paraId="5ECCB31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120</w:t>
            </w:r>
          </w:p>
        </w:tc>
        <w:tc>
          <w:tcPr>
            <w:tcW w:w="1122" w:type="dxa"/>
            <w:tcBorders>
              <w:left w:val="single" w:sz="24" w:space="0" w:color="auto"/>
              <w:right w:val="single" w:sz="24" w:space="0" w:color="auto"/>
            </w:tcBorders>
          </w:tcPr>
          <w:p w14:paraId="6DFFDAD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X</w:t>
            </w:r>
          </w:p>
        </w:tc>
        <w:tc>
          <w:tcPr>
            <w:tcW w:w="2079" w:type="dxa"/>
            <w:tcBorders>
              <w:left w:val="single" w:sz="24" w:space="0" w:color="auto"/>
              <w:right w:val="single" w:sz="24" w:space="0" w:color="auto"/>
            </w:tcBorders>
          </w:tcPr>
          <w:p w14:paraId="0B7A4CC2"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23130D55" w14:textId="77777777" w:rsidTr="00503386">
        <w:trPr>
          <w:trHeight w:val="172"/>
        </w:trPr>
        <w:tc>
          <w:tcPr>
            <w:tcW w:w="679" w:type="dxa"/>
            <w:tcBorders>
              <w:left w:val="single" w:sz="24" w:space="0" w:color="auto"/>
              <w:right w:val="single" w:sz="24" w:space="0" w:color="auto"/>
            </w:tcBorders>
          </w:tcPr>
          <w:p w14:paraId="30EDFA96"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T16</w:t>
            </w:r>
          </w:p>
        </w:tc>
        <w:tc>
          <w:tcPr>
            <w:tcW w:w="1314" w:type="dxa"/>
            <w:tcBorders>
              <w:left w:val="single" w:sz="24" w:space="0" w:color="auto"/>
              <w:right w:val="single" w:sz="24" w:space="0" w:color="auto"/>
            </w:tcBorders>
          </w:tcPr>
          <w:p w14:paraId="34B3126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54D5BEF3"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160</w:t>
            </w:r>
          </w:p>
        </w:tc>
        <w:tc>
          <w:tcPr>
            <w:tcW w:w="1011" w:type="dxa"/>
            <w:tcBorders>
              <w:left w:val="single" w:sz="24" w:space="0" w:color="auto"/>
              <w:right w:val="single" w:sz="24" w:space="0" w:color="auto"/>
            </w:tcBorders>
          </w:tcPr>
          <w:p w14:paraId="270B5FB3"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125</w:t>
            </w:r>
          </w:p>
        </w:tc>
        <w:tc>
          <w:tcPr>
            <w:tcW w:w="1218" w:type="dxa"/>
            <w:tcBorders>
              <w:left w:val="single" w:sz="24" w:space="0" w:color="auto"/>
              <w:right w:val="single" w:sz="24" w:space="0" w:color="auto"/>
            </w:tcBorders>
          </w:tcPr>
          <w:p w14:paraId="7A630D52"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100</w:t>
            </w:r>
          </w:p>
        </w:tc>
        <w:tc>
          <w:tcPr>
            <w:tcW w:w="1122" w:type="dxa"/>
            <w:tcBorders>
              <w:left w:val="single" w:sz="24" w:space="0" w:color="auto"/>
              <w:right w:val="single" w:sz="24" w:space="0" w:color="auto"/>
            </w:tcBorders>
          </w:tcPr>
          <w:p w14:paraId="450304F1"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X</w:t>
            </w:r>
          </w:p>
        </w:tc>
        <w:tc>
          <w:tcPr>
            <w:tcW w:w="2079" w:type="dxa"/>
            <w:tcBorders>
              <w:left w:val="single" w:sz="24" w:space="0" w:color="auto"/>
              <w:right w:val="single" w:sz="24" w:space="0" w:color="auto"/>
            </w:tcBorders>
          </w:tcPr>
          <w:p w14:paraId="1FE158A9"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7E9975B9" w14:textId="77777777" w:rsidTr="00503386">
        <w:trPr>
          <w:trHeight w:val="327"/>
        </w:trPr>
        <w:tc>
          <w:tcPr>
            <w:tcW w:w="679" w:type="dxa"/>
            <w:tcBorders>
              <w:left w:val="single" w:sz="24" w:space="0" w:color="auto"/>
              <w:right w:val="single" w:sz="24" w:space="0" w:color="auto"/>
            </w:tcBorders>
          </w:tcPr>
          <w:p w14:paraId="2CF349B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T17</w:t>
            </w:r>
          </w:p>
        </w:tc>
        <w:tc>
          <w:tcPr>
            <w:tcW w:w="1314" w:type="dxa"/>
            <w:tcBorders>
              <w:left w:val="single" w:sz="24" w:space="0" w:color="auto"/>
              <w:right w:val="single" w:sz="24" w:space="0" w:color="auto"/>
            </w:tcBorders>
          </w:tcPr>
          <w:p w14:paraId="0C6021D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5EFFE51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011" w:type="dxa"/>
            <w:tcBorders>
              <w:left w:val="single" w:sz="24" w:space="0" w:color="auto"/>
              <w:right w:val="single" w:sz="24" w:space="0" w:color="auto"/>
            </w:tcBorders>
          </w:tcPr>
          <w:p w14:paraId="1A0479F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218" w:type="dxa"/>
            <w:tcBorders>
              <w:left w:val="single" w:sz="24" w:space="0" w:color="auto"/>
              <w:right w:val="single" w:sz="24" w:space="0" w:color="auto"/>
            </w:tcBorders>
          </w:tcPr>
          <w:p w14:paraId="38C81E66"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7042F9D5"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547744D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Measurements could not be taken due to earth filling</w:t>
            </w:r>
          </w:p>
        </w:tc>
      </w:tr>
      <w:tr w:rsidR="0022085E" w:rsidRPr="006D4A54" w14:paraId="4E334259" w14:textId="77777777" w:rsidTr="00503386">
        <w:trPr>
          <w:trHeight w:val="310"/>
        </w:trPr>
        <w:tc>
          <w:tcPr>
            <w:tcW w:w="679" w:type="dxa"/>
            <w:tcBorders>
              <w:left w:val="single" w:sz="24" w:space="0" w:color="auto"/>
              <w:right w:val="single" w:sz="24" w:space="0" w:color="auto"/>
            </w:tcBorders>
          </w:tcPr>
          <w:p w14:paraId="6046373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T18</w:t>
            </w:r>
          </w:p>
        </w:tc>
        <w:tc>
          <w:tcPr>
            <w:tcW w:w="1314" w:type="dxa"/>
            <w:tcBorders>
              <w:left w:val="single" w:sz="24" w:space="0" w:color="auto"/>
              <w:right w:val="single" w:sz="24" w:space="0" w:color="auto"/>
            </w:tcBorders>
          </w:tcPr>
          <w:p w14:paraId="00C00562"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619B2504"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165</w:t>
            </w:r>
          </w:p>
        </w:tc>
        <w:tc>
          <w:tcPr>
            <w:tcW w:w="1011" w:type="dxa"/>
            <w:tcBorders>
              <w:left w:val="single" w:sz="24" w:space="0" w:color="auto"/>
              <w:right w:val="single" w:sz="24" w:space="0" w:color="auto"/>
            </w:tcBorders>
          </w:tcPr>
          <w:p w14:paraId="17E7EEF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120 (current)</w:t>
            </w:r>
          </w:p>
        </w:tc>
        <w:tc>
          <w:tcPr>
            <w:tcW w:w="1218" w:type="dxa"/>
            <w:tcBorders>
              <w:left w:val="single" w:sz="24" w:space="0" w:color="auto"/>
              <w:right w:val="single" w:sz="24" w:space="0" w:color="auto"/>
            </w:tcBorders>
          </w:tcPr>
          <w:p w14:paraId="37C61C05"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462DB373"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624A0F21"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Height could not be obtained due to earth filling.</w:t>
            </w:r>
          </w:p>
        </w:tc>
      </w:tr>
      <w:tr w:rsidR="0022085E" w:rsidRPr="006D4A54" w14:paraId="4450C224" w14:textId="77777777" w:rsidTr="00503386">
        <w:trPr>
          <w:trHeight w:val="327"/>
        </w:trPr>
        <w:tc>
          <w:tcPr>
            <w:tcW w:w="679" w:type="dxa"/>
            <w:tcBorders>
              <w:left w:val="single" w:sz="24" w:space="0" w:color="auto"/>
              <w:right w:val="single" w:sz="24" w:space="0" w:color="auto"/>
            </w:tcBorders>
          </w:tcPr>
          <w:p w14:paraId="1F85369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T19</w:t>
            </w:r>
          </w:p>
        </w:tc>
        <w:tc>
          <w:tcPr>
            <w:tcW w:w="1314" w:type="dxa"/>
            <w:tcBorders>
              <w:left w:val="single" w:sz="24" w:space="0" w:color="auto"/>
              <w:right w:val="single" w:sz="24" w:space="0" w:color="auto"/>
            </w:tcBorders>
          </w:tcPr>
          <w:p w14:paraId="548CD63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3A01CF45"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011" w:type="dxa"/>
            <w:tcBorders>
              <w:left w:val="single" w:sz="24" w:space="0" w:color="auto"/>
              <w:right w:val="single" w:sz="24" w:space="0" w:color="auto"/>
            </w:tcBorders>
          </w:tcPr>
          <w:p w14:paraId="7279701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218" w:type="dxa"/>
            <w:tcBorders>
              <w:left w:val="single" w:sz="24" w:space="0" w:color="auto"/>
              <w:right w:val="single" w:sz="24" w:space="0" w:color="auto"/>
            </w:tcBorders>
          </w:tcPr>
          <w:p w14:paraId="37CF17E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1ED3B249"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3A6B600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Measurements could not be taken.</w:t>
            </w:r>
          </w:p>
        </w:tc>
      </w:tr>
      <w:tr w:rsidR="0022085E" w:rsidRPr="006D4A54" w14:paraId="4CF350C3" w14:textId="77777777" w:rsidTr="00503386">
        <w:trPr>
          <w:trHeight w:val="172"/>
        </w:trPr>
        <w:tc>
          <w:tcPr>
            <w:tcW w:w="679" w:type="dxa"/>
            <w:tcBorders>
              <w:left w:val="single" w:sz="24" w:space="0" w:color="auto"/>
              <w:right w:val="single" w:sz="24" w:space="0" w:color="auto"/>
            </w:tcBorders>
          </w:tcPr>
          <w:p w14:paraId="6934BCB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T20</w:t>
            </w:r>
          </w:p>
        </w:tc>
        <w:tc>
          <w:tcPr>
            <w:tcW w:w="1314" w:type="dxa"/>
            <w:tcBorders>
              <w:left w:val="single" w:sz="24" w:space="0" w:color="auto"/>
              <w:right w:val="single" w:sz="24" w:space="0" w:color="auto"/>
            </w:tcBorders>
          </w:tcPr>
          <w:p w14:paraId="27397A73"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631B54CF"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190</w:t>
            </w:r>
          </w:p>
        </w:tc>
        <w:tc>
          <w:tcPr>
            <w:tcW w:w="1011" w:type="dxa"/>
            <w:tcBorders>
              <w:left w:val="single" w:sz="24" w:space="0" w:color="auto"/>
              <w:right w:val="single" w:sz="24" w:space="0" w:color="auto"/>
            </w:tcBorders>
          </w:tcPr>
          <w:p w14:paraId="2A916A88"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165</w:t>
            </w:r>
          </w:p>
        </w:tc>
        <w:tc>
          <w:tcPr>
            <w:tcW w:w="1218" w:type="dxa"/>
            <w:tcBorders>
              <w:left w:val="single" w:sz="24" w:space="0" w:color="auto"/>
              <w:right w:val="single" w:sz="24" w:space="0" w:color="auto"/>
            </w:tcBorders>
          </w:tcPr>
          <w:p w14:paraId="27B0BB6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60</w:t>
            </w:r>
          </w:p>
        </w:tc>
        <w:tc>
          <w:tcPr>
            <w:tcW w:w="1122" w:type="dxa"/>
            <w:tcBorders>
              <w:left w:val="single" w:sz="24" w:space="0" w:color="auto"/>
              <w:right w:val="single" w:sz="24" w:space="0" w:color="auto"/>
            </w:tcBorders>
          </w:tcPr>
          <w:p w14:paraId="42110EC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X (R: 40 cm)</w:t>
            </w:r>
          </w:p>
        </w:tc>
        <w:tc>
          <w:tcPr>
            <w:tcW w:w="2079" w:type="dxa"/>
            <w:tcBorders>
              <w:left w:val="single" w:sz="24" w:space="0" w:color="auto"/>
              <w:right w:val="single" w:sz="24" w:space="0" w:color="auto"/>
            </w:tcBorders>
          </w:tcPr>
          <w:p w14:paraId="23714F13"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6C68B986" w14:textId="77777777" w:rsidTr="00503386">
        <w:trPr>
          <w:trHeight w:val="155"/>
        </w:trPr>
        <w:tc>
          <w:tcPr>
            <w:tcW w:w="679" w:type="dxa"/>
            <w:tcBorders>
              <w:left w:val="single" w:sz="24" w:space="0" w:color="auto"/>
              <w:right w:val="single" w:sz="24" w:space="0" w:color="auto"/>
            </w:tcBorders>
          </w:tcPr>
          <w:p w14:paraId="2D6E1FE8"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T21</w:t>
            </w:r>
          </w:p>
        </w:tc>
        <w:tc>
          <w:tcPr>
            <w:tcW w:w="1314" w:type="dxa"/>
            <w:tcBorders>
              <w:left w:val="single" w:sz="24" w:space="0" w:color="auto"/>
              <w:right w:val="single" w:sz="24" w:space="0" w:color="auto"/>
            </w:tcBorders>
          </w:tcPr>
          <w:p w14:paraId="74CAE3A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268CEF8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140</w:t>
            </w:r>
          </w:p>
        </w:tc>
        <w:tc>
          <w:tcPr>
            <w:tcW w:w="1011" w:type="dxa"/>
            <w:tcBorders>
              <w:left w:val="single" w:sz="24" w:space="0" w:color="auto"/>
              <w:right w:val="single" w:sz="24" w:space="0" w:color="auto"/>
            </w:tcBorders>
          </w:tcPr>
          <w:p w14:paraId="07CE418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105</w:t>
            </w:r>
          </w:p>
        </w:tc>
        <w:tc>
          <w:tcPr>
            <w:tcW w:w="1218" w:type="dxa"/>
            <w:tcBorders>
              <w:left w:val="single" w:sz="24" w:space="0" w:color="auto"/>
              <w:right w:val="single" w:sz="24" w:space="0" w:color="auto"/>
            </w:tcBorders>
          </w:tcPr>
          <w:p w14:paraId="0EB3801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75</w:t>
            </w:r>
          </w:p>
        </w:tc>
        <w:tc>
          <w:tcPr>
            <w:tcW w:w="1122" w:type="dxa"/>
            <w:tcBorders>
              <w:left w:val="single" w:sz="24" w:space="0" w:color="auto"/>
              <w:right w:val="single" w:sz="24" w:space="0" w:color="auto"/>
            </w:tcBorders>
          </w:tcPr>
          <w:p w14:paraId="17462C8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X (R: 55 cm)</w:t>
            </w:r>
          </w:p>
        </w:tc>
        <w:tc>
          <w:tcPr>
            <w:tcW w:w="2079" w:type="dxa"/>
            <w:tcBorders>
              <w:left w:val="single" w:sz="24" w:space="0" w:color="auto"/>
              <w:right w:val="single" w:sz="24" w:space="0" w:color="auto"/>
            </w:tcBorders>
          </w:tcPr>
          <w:p w14:paraId="7A280585"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56DD2352" w14:textId="77777777" w:rsidTr="00503386">
        <w:trPr>
          <w:trHeight w:val="172"/>
        </w:trPr>
        <w:tc>
          <w:tcPr>
            <w:tcW w:w="679" w:type="dxa"/>
            <w:tcBorders>
              <w:left w:val="single" w:sz="24" w:space="0" w:color="auto"/>
              <w:right w:val="single" w:sz="24" w:space="0" w:color="auto"/>
            </w:tcBorders>
          </w:tcPr>
          <w:p w14:paraId="08A22D6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T22</w:t>
            </w:r>
          </w:p>
        </w:tc>
        <w:tc>
          <w:tcPr>
            <w:tcW w:w="1314" w:type="dxa"/>
            <w:tcBorders>
              <w:left w:val="single" w:sz="24" w:space="0" w:color="auto"/>
              <w:right w:val="single" w:sz="24" w:space="0" w:color="auto"/>
            </w:tcBorders>
          </w:tcPr>
          <w:p w14:paraId="50B4E5FE"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46E81AB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150</w:t>
            </w:r>
          </w:p>
        </w:tc>
        <w:tc>
          <w:tcPr>
            <w:tcW w:w="1011" w:type="dxa"/>
            <w:tcBorders>
              <w:left w:val="single" w:sz="24" w:space="0" w:color="auto"/>
              <w:right w:val="single" w:sz="24" w:space="0" w:color="auto"/>
            </w:tcBorders>
          </w:tcPr>
          <w:p w14:paraId="515699D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155</w:t>
            </w:r>
          </w:p>
        </w:tc>
        <w:tc>
          <w:tcPr>
            <w:tcW w:w="1218" w:type="dxa"/>
            <w:tcBorders>
              <w:left w:val="single" w:sz="24" w:space="0" w:color="auto"/>
              <w:right w:val="single" w:sz="24" w:space="0" w:color="auto"/>
            </w:tcBorders>
          </w:tcPr>
          <w:p w14:paraId="02592E32"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55</w:t>
            </w:r>
          </w:p>
        </w:tc>
        <w:tc>
          <w:tcPr>
            <w:tcW w:w="1122" w:type="dxa"/>
            <w:tcBorders>
              <w:left w:val="single" w:sz="24" w:space="0" w:color="auto"/>
              <w:right w:val="single" w:sz="24" w:space="0" w:color="auto"/>
            </w:tcBorders>
          </w:tcPr>
          <w:p w14:paraId="324DDA2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X</w:t>
            </w:r>
          </w:p>
        </w:tc>
        <w:tc>
          <w:tcPr>
            <w:tcW w:w="2079" w:type="dxa"/>
            <w:tcBorders>
              <w:left w:val="single" w:sz="24" w:space="0" w:color="auto"/>
              <w:right w:val="single" w:sz="24" w:space="0" w:color="auto"/>
            </w:tcBorders>
          </w:tcPr>
          <w:p w14:paraId="6FB6E787"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r>
      <w:tr w:rsidR="0022085E" w:rsidRPr="006D4A54" w14:paraId="5E24F7EE" w14:textId="77777777" w:rsidTr="00503386">
        <w:trPr>
          <w:trHeight w:val="155"/>
        </w:trPr>
        <w:tc>
          <w:tcPr>
            <w:tcW w:w="679" w:type="dxa"/>
            <w:tcBorders>
              <w:left w:val="single" w:sz="24" w:space="0" w:color="auto"/>
              <w:right w:val="single" w:sz="24" w:space="0" w:color="auto"/>
            </w:tcBorders>
          </w:tcPr>
          <w:p w14:paraId="7CA0F599"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T23</w:t>
            </w:r>
          </w:p>
        </w:tc>
        <w:tc>
          <w:tcPr>
            <w:tcW w:w="1314" w:type="dxa"/>
            <w:tcBorders>
              <w:left w:val="single" w:sz="24" w:space="0" w:color="auto"/>
              <w:right w:val="single" w:sz="24" w:space="0" w:color="auto"/>
            </w:tcBorders>
          </w:tcPr>
          <w:p w14:paraId="45FAF59A"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South</w:t>
            </w:r>
          </w:p>
        </w:tc>
        <w:tc>
          <w:tcPr>
            <w:tcW w:w="1235" w:type="dxa"/>
            <w:tcBorders>
              <w:left w:val="single" w:sz="24" w:space="0" w:color="auto"/>
              <w:right w:val="single" w:sz="24" w:space="0" w:color="auto"/>
            </w:tcBorders>
          </w:tcPr>
          <w:p w14:paraId="47ACFAEC"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215</w:t>
            </w:r>
          </w:p>
        </w:tc>
        <w:tc>
          <w:tcPr>
            <w:tcW w:w="1011" w:type="dxa"/>
            <w:tcBorders>
              <w:left w:val="single" w:sz="24" w:space="0" w:color="auto"/>
              <w:right w:val="single" w:sz="24" w:space="0" w:color="auto"/>
            </w:tcBorders>
          </w:tcPr>
          <w:p w14:paraId="522311BD"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100 (current)</w:t>
            </w:r>
          </w:p>
        </w:tc>
        <w:tc>
          <w:tcPr>
            <w:tcW w:w="1218" w:type="dxa"/>
            <w:tcBorders>
              <w:left w:val="single" w:sz="24" w:space="0" w:color="auto"/>
              <w:right w:val="single" w:sz="24" w:space="0" w:color="auto"/>
            </w:tcBorders>
          </w:tcPr>
          <w:p w14:paraId="266C6FFB"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1122" w:type="dxa"/>
            <w:tcBorders>
              <w:left w:val="single" w:sz="24" w:space="0" w:color="auto"/>
              <w:right w:val="single" w:sz="24" w:space="0" w:color="auto"/>
            </w:tcBorders>
          </w:tcPr>
          <w:p w14:paraId="2910AE60"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w:t>
            </w:r>
          </w:p>
        </w:tc>
        <w:tc>
          <w:tcPr>
            <w:tcW w:w="2079" w:type="dxa"/>
            <w:tcBorders>
              <w:left w:val="single" w:sz="24" w:space="0" w:color="auto"/>
              <w:right w:val="single" w:sz="24" w:space="0" w:color="auto"/>
            </w:tcBorders>
          </w:tcPr>
          <w:p w14:paraId="7FFE6992" w14:textId="77777777" w:rsidR="0022085E" w:rsidRPr="006D4A54" w:rsidRDefault="0022085E" w:rsidP="00503386">
            <w:pPr>
              <w:jc w:val="center"/>
              <w:rPr>
                <w:rFonts w:cs="Times New Roman"/>
                <w:sz w:val="20"/>
                <w:szCs w:val="20"/>
                <w:lang w:val="en-GB"/>
              </w:rPr>
            </w:pPr>
            <w:r w:rsidRPr="006D4A54">
              <w:rPr>
                <w:rFonts w:cs="Times New Roman"/>
                <w:sz w:val="20"/>
                <w:szCs w:val="20"/>
                <w:lang w:val="en-GB"/>
              </w:rPr>
              <w:t>The lower part is earth filled.</w:t>
            </w:r>
          </w:p>
        </w:tc>
      </w:tr>
      <w:tr w:rsidR="0022085E" w:rsidRPr="006D4A54" w14:paraId="60D68E08" w14:textId="77777777" w:rsidTr="00503386">
        <w:trPr>
          <w:trHeight w:val="155"/>
        </w:trPr>
        <w:tc>
          <w:tcPr>
            <w:tcW w:w="679" w:type="dxa"/>
            <w:tcBorders>
              <w:left w:val="single" w:sz="24" w:space="0" w:color="auto"/>
              <w:bottom w:val="single" w:sz="24" w:space="0" w:color="auto"/>
              <w:right w:val="single" w:sz="24" w:space="0" w:color="auto"/>
            </w:tcBorders>
          </w:tcPr>
          <w:p w14:paraId="4B4842E5" w14:textId="77777777" w:rsidR="0022085E" w:rsidRPr="006D4A54" w:rsidRDefault="0022085E" w:rsidP="00503386">
            <w:pPr>
              <w:rPr>
                <w:rFonts w:cs="Times New Roman"/>
                <w:sz w:val="20"/>
                <w:szCs w:val="20"/>
                <w:lang w:val="en-GB"/>
              </w:rPr>
            </w:pPr>
          </w:p>
        </w:tc>
        <w:tc>
          <w:tcPr>
            <w:tcW w:w="1314" w:type="dxa"/>
            <w:tcBorders>
              <w:left w:val="single" w:sz="24" w:space="0" w:color="auto"/>
              <w:bottom w:val="single" w:sz="24" w:space="0" w:color="auto"/>
              <w:right w:val="single" w:sz="24" w:space="0" w:color="auto"/>
            </w:tcBorders>
          </w:tcPr>
          <w:p w14:paraId="2E3B3870" w14:textId="77777777" w:rsidR="0022085E" w:rsidRPr="006D4A54" w:rsidRDefault="0022085E" w:rsidP="00503386">
            <w:pPr>
              <w:jc w:val="center"/>
              <w:rPr>
                <w:rFonts w:cs="Times New Roman"/>
                <w:sz w:val="20"/>
                <w:szCs w:val="20"/>
                <w:lang w:val="en-GB"/>
              </w:rPr>
            </w:pPr>
          </w:p>
        </w:tc>
        <w:tc>
          <w:tcPr>
            <w:tcW w:w="1235" w:type="dxa"/>
            <w:tcBorders>
              <w:left w:val="single" w:sz="24" w:space="0" w:color="auto"/>
              <w:bottom w:val="single" w:sz="24" w:space="0" w:color="auto"/>
              <w:right w:val="single" w:sz="24" w:space="0" w:color="auto"/>
            </w:tcBorders>
          </w:tcPr>
          <w:p w14:paraId="30F0F415" w14:textId="77777777" w:rsidR="0022085E" w:rsidRPr="006D4A54" w:rsidRDefault="0022085E" w:rsidP="00503386">
            <w:pPr>
              <w:jc w:val="center"/>
              <w:rPr>
                <w:rFonts w:cs="Times New Roman"/>
                <w:sz w:val="20"/>
                <w:szCs w:val="20"/>
                <w:lang w:val="en-GB"/>
              </w:rPr>
            </w:pPr>
          </w:p>
        </w:tc>
        <w:tc>
          <w:tcPr>
            <w:tcW w:w="1011" w:type="dxa"/>
            <w:tcBorders>
              <w:left w:val="single" w:sz="24" w:space="0" w:color="auto"/>
              <w:bottom w:val="single" w:sz="24" w:space="0" w:color="auto"/>
              <w:right w:val="single" w:sz="24" w:space="0" w:color="auto"/>
            </w:tcBorders>
          </w:tcPr>
          <w:p w14:paraId="26D0A9D7" w14:textId="77777777" w:rsidR="0022085E" w:rsidRPr="006D4A54" w:rsidRDefault="0022085E" w:rsidP="00503386">
            <w:pPr>
              <w:jc w:val="center"/>
              <w:rPr>
                <w:rFonts w:cs="Times New Roman"/>
                <w:sz w:val="20"/>
                <w:szCs w:val="20"/>
                <w:lang w:val="en-GB"/>
              </w:rPr>
            </w:pPr>
          </w:p>
        </w:tc>
        <w:tc>
          <w:tcPr>
            <w:tcW w:w="1218" w:type="dxa"/>
            <w:tcBorders>
              <w:left w:val="single" w:sz="24" w:space="0" w:color="auto"/>
              <w:bottom w:val="single" w:sz="24" w:space="0" w:color="auto"/>
              <w:right w:val="single" w:sz="24" w:space="0" w:color="auto"/>
            </w:tcBorders>
          </w:tcPr>
          <w:p w14:paraId="2E105946" w14:textId="77777777" w:rsidR="0022085E" w:rsidRPr="006D4A54" w:rsidRDefault="0022085E" w:rsidP="00503386">
            <w:pPr>
              <w:jc w:val="center"/>
              <w:rPr>
                <w:rFonts w:cs="Times New Roman"/>
                <w:sz w:val="20"/>
                <w:szCs w:val="20"/>
                <w:lang w:val="en-GB"/>
              </w:rPr>
            </w:pPr>
          </w:p>
        </w:tc>
        <w:tc>
          <w:tcPr>
            <w:tcW w:w="1122" w:type="dxa"/>
            <w:tcBorders>
              <w:left w:val="single" w:sz="24" w:space="0" w:color="auto"/>
              <w:bottom w:val="single" w:sz="24" w:space="0" w:color="auto"/>
              <w:right w:val="single" w:sz="24" w:space="0" w:color="auto"/>
            </w:tcBorders>
          </w:tcPr>
          <w:p w14:paraId="443DA6CD" w14:textId="77777777" w:rsidR="0022085E" w:rsidRPr="006D4A54" w:rsidRDefault="0022085E" w:rsidP="00503386">
            <w:pPr>
              <w:jc w:val="center"/>
              <w:rPr>
                <w:rFonts w:cs="Times New Roman"/>
                <w:sz w:val="20"/>
                <w:szCs w:val="20"/>
                <w:lang w:val="en-GB"/>
              </w:rPr>
            </w:pPr>
          </w:p>
        </w:tc>
        <w:tc>
          <w:tcPr>
            <w:tcW w:w="2079" w:type="dxa"/>
            <w:tcBorders>
              <w:left w:val="single" w:sz="24" w:space="0" w:color="auto"/>
              <w:bottom w:val="single" w:sz="24" w:space="0" w:color="auto"/>
              <w:right w:val="single" w:sz="24" w:space="0" w:color="auto"/>
            </w:tcBorders>
          </w:tcPr>
          <w:p w14:paraId="0C34CE2F" w14:textId="77777777" w:rsidR="0022085E" w:rsidRPr="006D4A54" w:rsidRDefault="0022085E" w:rsidP="00503386">
            <w:pPr>
              <w:jc w:val="center"/>
              <w:rPr>
                <w:rFonts w:cs="Times New Roman"/>
                <w:sz w:val="20"/>
                <w:szCs w:val="20"/>
                <w:lang w:val="en-GB"/>
              </w:rPr>
            </w:pPr>
          </w:p>
        </w:tc>
      </w:tr>
    </w:tbl>
    <w:p w14:paraId="2213A226" w14:textId="77777777" w:rsidR="0022085E" w:rsidRPr="00FC4420" w:rsidRDefault="0022085E" w:rsidP="0022085E">
      <w:pPr>
        <w:jc w:val="center"/>
        <w:rPr>
          <w:rFonts w:ascii="Times New Roman" w:hAnsi="Times New Roman" w:cs="Times New Roman"/>
          <w:lang w:val="en-GB"/>
        </w:rPr>
      </w:pPr>
    </w:p>
    <w:p w14:paraId="66404C17" w14:textId="77777777" w:rsidR="0022085E" w:rsidRPr="00FC4420" w:rsidRDefault="0022085E" w:rsidP="0022085E">
      <w:pPr>
        <w:jc w:val="center"/>
        <w:rPr>
          <w:rFonts w:ascii="Times New Roman" w:hAnsi="Times New Roman" w:cs="Times New Roman"/>
          <w:lang w:val="en-GB"/>
        </w:rPr>
      </w:pPr>
      <w:r w:rsidRPr="00FC4420">
        <w:rPr>
          <w:rFonts w:ascii="Times New Roman" w:hAnsi="Times New Roman" w:cs="Times New Roman"/>
          <w:lang w:val="en-GB"/>
        </w:rPr>
        <w:t xml:space="preserve">Table 1. “T” Shaped Niches in Van Fortress. </w:t>
      </w:r>
      <w:r w:rsidRPr="00FC4420">
        <w:rPr>
          <w:rFonts w:ascii="Times New Roman" w:hAnsi="Times New Roman" w:cs="Times New Roman"/>
          <w:lang w:val="en-GB"/>
        </w:rPr>
        <w:br w:type="page"/>
      </w:r>
    </w:p>
    <w:p w14:paraId="4BB408B7" w14:textId="77777777" w:rsidR="0022085E" w:rsidRDefault="0022085E" w:rsidP="0022085E">
      <w:pPr>
        <w:jc w:val="center"/>
        <w:rPr>
          <w:rFonts w:ascii="Times New Roman" w:hAnsi="Times New Roman" w:cs="Times New Roman"/>
          <w:lang w:val="en-GB"/>
        </w:rPr>
        <w:sectPr w:rsidR="0022085E" w:rsidSect="0022085E">
          <w:headerReference w:type="default" r:id="rId363"/>
          <w:footerReference w:type="default" r:id="rId364"/>
          <w:type w:val="continuous"/>
          <w:pgSz w:w="11900" w:h="16840"/>
          <w:pgMar w:top="1701" w:right="1758" w:bottom="1701" w:left="1701" w:header="709" w:footer="709" w:gutter="0"/>
          <w:cols w:space="708"/>
          <w:docGrid w:linePitch="299"/>
        </w:sectPr>
      </w:pPr>
    </w:p>
    <w:p w14:paraId="54BF1FB5" w14:textId="77777777" w:rsidR="0022085E" w:rsidRPr="00FC4420" w:rsidRDefault="0022085E" w:rsidP="0022085E">
      <w:pPr>
        <w:jc w:val="center"/>
        <w:rPr>
          <w:rFonts w:ascii="Times New Roman" w:hAnsi="Times New Roman" w:cs="Times New Roman"/>
          <w:lang w:val="en-GB"/>
        </w:rPr>
      </w:pPr>
      <w:r w:rsidRPr="00FC4420">
        <w:rPr>
          <w:rFonts w:ascii="Times New Roman" w:hAnsi="Times New Roman" w:cs="Times New Roman"/>
          <w:noProof/>
        </w:rPr>
        <w:lastRenderedPageBreak/>
        <w:drawing>
          <wp:anchor distT="0" distB="0" distL="114300" distR="114300" simplePos="0" relativeHeight="251940864" behindDoc="0" locked="0" layoutInCell="1" allowOverlap="1" wp14:anchorId="2437CB69" wp14:editId="0B83409B">
            <wp:simplePos x="0" y="0"/>
            <wp:positionH relativeFrom="margin">
              <wp:align>center</wp:align>
            </wp:positionH>
            <wp:positionV relativeFrom="paragraph">
              <wp:posOffset>0</wp:posOffset>
            </wp:positionV>
            <wp:extent cx="6507480" cy="5021580"/>
            <wp:effectExtent l="0" t="0" r="7620" b="7620"/>
            <wp:wrapThrough wrapText="bothSides">
              <wp:wrapPolygon edited="0">
                <wp:start x="0" y="0"/>
                <wp:lineTo x="0" y="21551"/>
                <wp:lineTo x="21562" y="21551"/>
                <wp:lineTo x="21562" y="0"/>
                <wp:lineTo x="0" y="0"/>
              </wp:wrapPolygon>
            </wp:wrapThrough>
            <wp:docPr id="446600402" name="Resim 1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00402" name="Resim 16" descr="harita içeren bir resim&#10;&#10;Açıklama otomatik olarak oluşturuldu"/>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6507480" cy="5021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304AAE" w14:textId="77777777" w:rsidR="0022085E" w:rsidRDefault="0022085E" w:rsidP="0022085E">
      <w:pPr>
        <w:tabs>
          <w:tab w:val="left" w:pos="2478"/>
        </w:tabs>
        <w:jc w:val="center"/>
        <w:rPr>
          <w:rFonts w:ascii="Times New Roman" w:hAnsi="Times New Roman" w:cs="Times New Roman"/>
          <w:lang w:val="en-GB"/>
        </w:rPr>
      </w:pPr>
    </w:p>
    <w:p w14:paraId="2EADCC94" w14:textId="77777777" w:rsidR="0022085E" w:rsidRDefault="0022085E" w:rsidP="0022085E">
      <w:pPr>
        <w:tabs>
          <w:tab w:val="left" w:pos="2478"/>
        </w:tabs>
        <w:jc w:val="center"/>
        <w:rPr>
          <w:rFonts w:ascii="Times New Roman" w:hAnsi="Times New Roman" w:cs="Times New Roman"/>
          <w:lang w:val="en-GB"/>
        </w:rPr>
      </w:pPr>
    </w:p>
    <w:p w14:paraId="5C8E1BA9" w14:textId="77777777" w:rsidR="0022085E" w:rsidRDefault="0022085E" w:rsidP="0022085E">
      <w:pPr>
        <w:tabs>
          <w:tab w:val="left" w:pos="2478"/>
        </w:tabs>
        <w:jc w:val="center"/>
        <w:rPr>
          <w:rFonts w:ascii="Times New Roman" w:hAnsi="Times New Roman" w:cs="Times New Roman"/>
          <w:lang w:val="en-GB"/>
        </w:rPr>
      </w:pPr>
    </w:p>
    <w:p w14:paraId="52C810B0" w14:textId="77777777" w:rsidR="0022085E" w:rsidRDefault="0022085E" w:rsidP="0022085E">
      <w:pPr>
        <w:tabs>
          <w:tab w:val="left" w:pos="2478"/>
        </w:tabs>
        <w:jc w:val="center"/>
        <w:rPr>
          <w:rFonts w:ascii="Times New Roman" w:hAnsi="Times New Roman" w:cs="Times New Roman"/>
          <w:lang w:val="en-GB"/>
        </w:rPr>
      </w:pPr>
    </w:p>
    <w:p w14:paraId="60351829" w14:textId="77777777" w:rsidR="0022085E" w:rsidRDefault="0022085E" w:rsidP="0022085E">
      <w:pPr>
        <w:tabs>
          <w:tab w:val="left" w:pos="2478"/>
        </w:tabs>
        <w:jc w:val="center"/>
        <w:rPr>
          <w:rFonts w:ascii="Times New Roman" w:hAnsi="Times New Roman" w:cs="Times New Roman"/>
          <w:lang w:val="en-GB"/>
        </w:rPr>
      </w:pPr>
    </w:p>
    <w:p w14:paraId="6FECD022" w14:textId="77777777" w:rsidR="0022085E" w:rsidRDefault="0022085E" w:rsidP="0022085E">
      <w:pPr>
        <w:tabs>
          <w:tab w:val="left" w:pos="2478"/>
        </w:tabs>
        <w:jc w:val="center"/>
        <w:rPr>
          <w:rFonts w:ascii="Times New Roman" w:hAnsi="Times New Roman" w:cs="Times New Roman"/>
          <w:lang w:val="en-GB"/>
        </w:rPr>
      </w:pPr>
    </w:p>
    <w:p w14:paraId="6AF99020" w14:textId="77777777" w:rsidR="0022085E" w:rsidRDefault="0022085E" w:rsidP="0022085E">
      <w:pPr>
        <w:tabs>
          <w:tab w:val="left" w:pos="2478"/>
        </w:tabs>
        <w:jc w:val="center"/>
        <w:rPr>
          <w:rFonts w:ascii="Times New Roman" w:hAnsi="Times New Roman" w:cs="Times New Roman"/>
          <w:lang w:val="en-GB"/>
        </w:rPr>
      </w:pPr>
    </w:p>
    <w:p w14:paraId="031B0B7F" w14:textId="77777777" w:rsidR="0022085E" w:rsidRDefault="0022085E" w:rsidP="0022085E">
      <w:pPr>
        <w:tabs>
          <w:tab w:val="left" w:pos="2478"/>
        </w:tabs>
        <w:jc w:val="center"/>
        <w:rPr>
          <w:rFonts w:ascii="Times New Roman" w:hAnsi="Times New Roman" w:cs="Times New Roman"/>
          <w:lang w:val="en-GB"/>
        </w:rPr>
      </w:pPr>
    </w:p>
    <w:p w14:paraId="3F94C1F5" w14:textId="77777777" w:rsidR="0022085E" w:rsidRDefault="0022085E" w:rsidP="0022085E">
      <w:pPr>
        <w:tabs>
          <w:tab w:val="left" w:pos="2478"/>
        </w:tabs>
        <w:jc w:val="center"/>
        <w:rPr>
          <w:rFonts w:ascii="Times New Roman" w:hAnsi="Times New Roman" w:cs="Times New Roman"/>
          <w:lang w:val="en-GB"/>
        </w:rPr>
      </w:pPr>
    </w:p>
    <w:p w14:paraId="48E19E09" w14:textId="77777777" w:rsidR="0022085E" w:rsidRDefault="0022085E" w:rsidP="0022085E">
      <w:pPr>
        <w:tabs>
          <w:tab w:val="left" w:pos="2478"/>
        </w:tabs>
        <w:jc w:val="center"/>
        <w:rPr>
          <w:rFonts w:ascii="Times New Roman" w:hAnsi="Times New Roman" w:cs="Times New Roman"/>
          <w:lang w:val="en-GB"/>
        </w:rPr>
      </w:pPr>
    </w:p>
    <w:p w14:paraId="12789B6F" w14:textId="77777777" w:rsidR="0022085E" w:rsidRDefault="0022085E" w:rsidP="0022085E">
      <w:pPr>
        <w:tabs>
          <w:tab w:val="left" w:pos="2478"/>
        </w:tabs>
        <w:jc w:val="center"/>
        <w:rPr>
          <w:rFonts w:ascii="Times New Roman" w:hAnsi="Times New Roman" w:cs="Times New Roman"/>
          <w:lang w:val="en-GB"/>
        </w:rPr>
      </w:pPr>
    </w:p>
    <w:p w14:paraId="37EFB4D6" w14:textId="77777777" w:rsidR="0022085E" w:rsidRDefault="0022085E" w:rsidP="0022085E">
      <w:pPr>
        <w:tabs>
          <w:tab w:val="left" w:pos="2478"/>
        </w:tabs>
        <w:jc w:val="center"/>
        <w:rPr>
          <w:rFonts w:ascii="Times New Roman" w:hAnsi="Times New Roman" w:cs="Times New Roman"/>
          <w:lang w:val="en-GB"/>
        </w:rPr>
      </w:pPr>
    </w:p>
    <w:p w14:paraId="01F94279" w14:textId="77777777" w:rsidR="0022085E" w:rsidRDefault="0022085E" w:rsidP="0022085E">
      <w:pPr>
        <w:tabs>
          <w:tab w:val="left" w:pos="2478"/>
        </w:tabs>
        <w:jc w:val="center"/>
        <w:rPr>
          <w:rFonts w:ascii="Times New Roman" w:hAnsi="Times New Roman" w:cs="Times New Roman"/>
          <w:lang w:val="en-GB"/>
        </w:rPr>
      </w:pPr>
    </w:p>
    <w:p w14:paraId="5277CF6F" w14:textId="77777777" w:rsidR="0022085E" w:rsidRDefault="0022085E" w:rsidP="0022085E">
      <w:pPr>
        <w:tabs>
          <w:tab w:val="left" w:pos="2478"/>
        </w:tabs>
        <w:jc w:val="center"/>
        <w:rPr>
          <w:rFonts w:ascii="Times New Roman" w:hAnsi="Times New Roman" w:cs="Times New Roman"/>
          <w:lang w:val="en-GB"/>
        </w:rPr>
      </w:pPr>
    </w:p>
    <w:p w14:paraId="595DA6FF" w14:textId="77777777" w:rsidR="0022085E" w:rsidRDefault="0022085E" w:rsidP="0022085E">
      <w:pPr>
        <w:tabs>
          <w:tab w:val="left" w:pos="2478"/>
        </w:tabs>
        <w:jc w:val="center"/>
        <w:rPr>
          <w:rFonts w:ascii="Times New Roman" w:hAnsi="Times New Roman" w:cs="Times New Roman"/>
          <w:lang w:val="en-GB"/>
        </w:rPr>
      </w:pPr>
    </w:p>
    <w:p w14:paraId="78DC7507" w14:textId="77777777" w:rsidR="0022085E" w:rsidRDefault="0022085E" w:rsidP="0022085E">
      <w:pPr>
        <w:tabs>
          <w:tab w:val="left" w:pos="2478"/>
        </w:tabs>
        <w:jc w:val="center"/>
        <w:rPr>
          <w:rFonts w:ascii="Times New Roman" w:hAnsi="Times New Roman" w:cs="Times New Roman"/>
          <w:lang w:val="en-GB"/>
        </w:rPr>
      </w:pPr>
    </w:p>
    <w:p w14:paraId="3C827911" w14:textId="77777777" w:rsidR="0022085E" w:rsidRDefault="0022085E" w:rsidP="0022085E">
      <w:pPr>
        <w:tabs>
          <w:tab w:val="left" w:pos="2478"/>
        </w:tabs>
        <w:jc w:val="center"/>
        <w:rPr>
          <w:rFonts w:ascii="Times New Roman" w:hAnsi="Times New Roman" w:cs="Times New Roman"/>
          <w:lang w:val="en-GB"/>
        </w:rPr>
      </w:pPr>
    </w:p>
    <w:p w14:paraId="746B4DD3" w14:textId="77777777" w:rsidR="0022085E" w:rsidRDefault="0022085E" w:rsidP="0022085E">
      <w:pPr>
        <w:tabs>
          <w:tab w:val="left" w:pos="2478"/>
        </w:tabs>
        <w:jc w:val="center"/>
        <w:rPr>
          <w:rFonts w:ascii="Times New Roman" w:hAnsi="Times New Roman" w:cs="Times New Roman"/>
          <w:lang w:val="en-GB"/>
        </w:rPr>
      </w:pPr>
    </w:p>
    <w:p w14:paraId="539590E3" w14:textId="77777777" w:rsidR="0022085E" w:rsidRDefault="0022085E" w:rsidP="0022085E">
      <w:pPr>
        <w:tabs>
          <w:tab w:val="left" w:pos="2478"/>
        </w:tabs>
        <w:jc w:val="center"/>
        <w:rPr>
          <w:rFonts w:ascii="Times New Roman" w:hAnsi="Times New Roman" w:cs="Times New Roman"/>
          <w:lang w:val="en-GB"/>
        </w:rPr>
      </w:pPr>
    </w:p>
    <w:p w14:paraId="2BE42A42" w14:textId="77777777" w:rsidR="0022085E" w:rsidRDefault="0022085E" w:rsidP="0022085E">
      <w:pPr>
        <w:tabs>
          <w:tab w:val="left" w:pos="2478"/>
        </w:tabs>
        <w:jc w:val="center"/>
        <w:rPr>
          <w:rFonts w:ascii="Times New Roman" w:hAnsi="Times New Roman" w:cs="Times New Roman"/>
          <w:lang w:val="en-GB"/>
        </w:rPr>
      </w:pPr>
    </w:p>
    <w:p w14:paraId="6B35FEFD" w14:textId="77777777" w:rsidR="0022085E" w:rsidRDefault="0022085E" w:rsidP="0022085E">
      <w:pPr>
        <w:tabs>
          <w:tab w:val="left" w:pos="2478"/>
        </w:tabs>
        <w:jc w:val="center"/>
        <w:rPr>
          <w:rFonts w:ascii="Times New Roman" w:hAnsi="Times New Roman" w:cs="Times New Roman"/>
          <w:lang w:val="en-GB"/>
        </w:rPr>
      </w:pPr>
    </w:p>
    <w:p w14:paraId="11842806" w14:textId="77777777" w:rsidR="0022085E" w:rsidRDefault="0022085E" w:rsidP="0022085E">
      <w:pPr>
        <w:tabs>
          <w:tab w:val="left" w:pos="2478"/>
        </w:tabs>
        <w:jc w:val="center"/>
        <w:rPr>
          <w:rFonts w:ascii="Times New Roman" w:hAnsi="Times New Roman" w:cs="Times New Roman"/>
          <w:lang w:val="en-GB"/>
        </w:rPr>
      </w:pPr>
    </w:p>
    <w:p w14:paraId="16002841" w14:textId="77777777" w:rsidR="0022085E" w:rsidRDefault="0022085E" w:rsidP="0022085E">
      <w:pPr>
        <w:tabs>
          <w:tab w:val="left" w:pos="2478"/>
        </w:tabs>
        <w:jc w:val="center"/>
        <w:rPr>
          <w:rFonts w:ascii="Times New Roman" w:hAnsi="Times New Roman" w:cs="Times New Roman"/>
          <w:lang w:val="en-GB"/>
        </w:rPr>
      </w:pPr>
    </w:p>
    <w:p w14:paraId="1F14F053" w14:textId="77777777" w:rsidR="0022085E" w:rsidRDefault="0022085E" w:rsidP="0022085E">
      <w:pPr>
        <w:tabs>
          <w:tab w:val="left" w:pos="2478"/>
        </w:tabs>
        <w:jc w:val="center"/>
        <w:rPr>
          <w:rFonts w:ascii="Times New Roman" w:hAnsi="Times New Roman" w:cs="Times New Roman"/>
          <w:lang w:val="en-GB"/>
        </w:rPr>
      </w:pPr>
    </w:p>
    <w:p w14:paraId="0154682A" w14:textId="77777777" w:rsidR="0022085E" w:rsidRDefault="0022085E" w:rsidP="0022085E">
      <w:pPr>
        <w:tabs>
          <w:tab w:val="left" w:pos="2478"/>
        </w:tabs>
        <w:jc w:val="center"/>
        <w:rPr>
          <w:rFonts w:ascii="Times New Roman" w:hAnsi="Times New Roman" w:cs="Times New Roman"/>
          <w:lang w:val="en-GB"/>
        </w:rPr>
      </w:pPr>
    </w:p>
    <w:p w14:paraId="1E2CB5BA" w14:textId="77777777" w:rsidR="0022085E" w:rsidRDefault="0022085E" w:rsidP="0022085E">
      <w:pPr>
        <w:tabs>
          <w:tab w:val="left" w:pos="2478"/>
        </w:tabs>
        <w:jc w:val="center"/>
        <w:rPr>
          <w:rFonts w:ascii="Times New Roman" w:hAnsi="Times New Roman" w:cs="Times New Roman"/>
          <w:lang w:val="en-GB"/>
        </w:rPr>
      </w:pPr>
    </w:p>
    <w:p w14:paraId="34446954" w14:textId="77777777" w:rsidR="0022085E" w:rsidRDefault="0022085E" w:rsidP="0022085E">
      <w:pPr>
        <w:tabs>
          <w:tab w:val="left" w:pos="2478"/>
        </w:tabs>
        <w:jc w:val="center"/>
        <w:rPr>
          <w:rFonts w:ascii="Times New Roman" w:hAnsi="Times New Roman" w:cs="Times New Roman"/>
          <w:lang w:val="en-GB"/>
        </w:rPr>
      </w:pPr>
    </w:p>
    <w:p w14:paraId="3F8988CE" w14:textId="77777777" w:rsidR="0022085E" w:rsidRDefault="0022085E" w:rsidP="0022085E">
      <w:pPr>
        <w:tabs>
          <w:tab w:val="left" w:pos="2478"/>
        </w:tabs>
        <w:jc w:val="center"/>
        <w:rPr>
          <w:rFonts w:ascii="Times New Roman" w:hAnsi="Times New Roman" w:cs="Times New Roman"/>
          <w:lang w:val="en-GB"/>
        </w:rPr>
      </w:pPr>
    </w:p>
    <w:p w14:paraId="1A521B65" w14:textId="77777777" w:rsidR="0022085E" w:rsidRPr="00FC4420" w:rsidRDefault="0022085E" w:rsidP="0022085E">
      <w:pPr>
        <w:tabs>
          <w:tab w:val="left" w:pos="2478"/>
        </w:tabs>
        <w:jc w:val="center"/>
        <w:rPr>
          <w:rFonts w:ascii="Times New Roman" w:hAnsi="Times New Roman" w:cs="Times New Roman"/>
          <w:lang w:val="en-GB"/>
        </w:rPr>
      </w:pPr>
      <w:r w:rsidRPr="00FC4420">
        <w:rPr>
          <w:rFonts w:ascii="Times New Roman" w:hAnsi="Times New Roman" w:cs="Times New Roman"/>
          <w:lang w:val="en-GB"/>
        </w:rPr>
        <w:t>Fig. 1. The location of the sites where “T” shaped rock niches were discovered.</w:t>
      </w:r>
    </w:p>
    <w:p w14:paraId="5AF1B7AC" w14:textId="77777777" w:rsidR="0022085E" w:rsidRDefault="0022085E" w:rsidP="0022085E">
      <w:pPr>
        <w:jc w:val="both"/>
        <w:rPr>
          <w:rFonts w:ascii="Times New Roman" w:hAnsi="Times New Roman" w:cs="Times New Roman"/>
          <w:lang w:val="en-GB"/>
        </w:rPr>
        <w:sectPr w:rsidR="0022085E" w:rsidSect="0022085E">
          <w:type w:val="continuous"/>
          <w:pgSz w:w="16840" w:h="11900" w:orient="landscape"/>
          <w:pgMar w:top="1701" w:right="1701" w:bottom="1758" w:left="1701" w:header="709" w:footer="709" w:gutter="0"/>
          <w:cols w:space="708"/>
          <w:docGrid w:linePitch="299"/>
        </w:sectPr>
      </w:pPr>
    </w:p>
    <w:p w14:paraId="0620345A" w14:textId="77777777" w:rsidR="0022085E" w:rsidRDefault="0022085E" w:rsidP="0022085E">
      <w:pPr>
        <w:jc w:val="both"/>
        <w:rPr>
          <w:rFonts w:ascii="Times New Roman" w:hAnsi="Times New Roman" w:cs="Times New Roman"/>
          <w:lang w:val="en-GB"/>
        </w:rPr>
      </w:pPr>
      <w:r w:rsidRPr="00FC4420">
        <w:rPr>
          <w:rFonts w:ascii="Times New Roman" w:hAnsi="Times New Roman" w:cs="Times New Roman"/>
          <w:noProof/>
        </w:rPr>
        <w:lastRenderedPageBreak/>
        <w:drawing>
          <wp:anchor distT="0" distB="0" distL="114300" distR="114300" simplePos="0" relativeHeight="251929600" behindDoc="0" locked="0" layoutInCell="1" allowOverlap="1" wp14:anchorId="45523C65" wp14:editId="7EE3D078">
            <wp:simplePos x="0" y="0"/>
            <wp:positionH relativeFrom="margin">
              <wp:align>right</wp:align>
            </wp:positionH>
            <wp:positionV relativeFrom="paragraph">
              <wp:posOffset>304</wp:posOffset>
            </wp:positionV>
            <wp:extent cx="5169535" cy="7413625"/>
            <wp:effectExtent l="0" t="0" r="0" b="0"/>
            <wp:wrapTopAndBottom/>
            <wp:docPr id="1295314360" name="Resim 2" descr="dış mekan, dip kaya, gökyüzü, ortaya çıkma, baş gösterm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14360" name="Resim 2" descr="dış mekan, dip kaya, gökyüzü, ortaya çıkma, baş gösterme içeren bir resim&#10;&#10;Açıklama otomatik olarak oluşturuldu"/>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5169535" cy="7413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525A2"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 xml:space="preserve">Fig. 2 a) The view of the northwest side of the Van Fortress b) T2, c) A rock-cut niche located between T1 and T2, d) T1, e) T3 and T4. </w:t>
      </w:r>
    </w:p>
    <w:p w14:paraId="3B016F86" w14:textId="77777777" w:rsidR="0022085E" w:rsidRPr="00FC4420" w:rsidRDefault="0022085E" w:rsidP="0022085E">
      <w:pPr>
        <w:jc w:val="both"/>
        <w:rPr>
          <w:rFonts w:ascii="Times New Roman" w:hAnsi="Times New Roman" w:cs="Times New Roman"/>
          <w:b/>
          <w:lang w:val="en-GB"/>
        </w:rPr>
      </w:pPr>
    </w:p>
    <w:p w14:paraId="41203FF2" w14:textId="77777777" w:rsidR="0022085E" w:rsidRPr="00FC4420" w:rsidRDefault="0022085E" w:rsidP="0022085E">
      <w:pPr>
        <w:jc w:val="center"/>
        <w:rPr>
          <w:rFonts w:ascii="Times New Roman" w:hAnsi="Times New Roman" w:cs="Times New Roman"/>
          <w:b/>
          <w:lang w:val="en-GB"/>
        </w:rPr>
      </w:pPr>
      <w:r w:rsidRPr="00FC4420">
        <w:rPr>
          <w:rFonts w:ascii="Times New Roman" w:hAnsi="Times New Roman" w:cs="Times New Roman"/>
          <w:lang w:val="en-GB"/>
        </w:rPr>
        <w:lastRenderedPageBreak/>
        <w:t>Fig.</w:t>
      </w:r>
      <w:r w:rsidRPr="00FC4420">
        <w:rPr>
          <w:rFonts w:ascii="Times New Roman" w:hAnsi="Times New Roman" w:cs="Times New Roman"/>
          <w:b/>
          <w:lang w:val="en-GB"/>
        </w:rPr>
        <w:t xml:space="preserve"> 3 </w:t>
      </w:r>
      <w:r w:rsidRPr="00FC4420">
        <w:rPr>
          <w:rFonts w:ascii="Times New Roman" w:hAnsi="Times New Roman" w:cs="Times New Roman"/>
          <w:lang w:val="en-GB"/>
        </w:rPr>
        <w:t>a) The group of 5 niches on the northern slope of the Van Fortress</w:t>
      </w:r>
      <w:r w:rsidRPr="00FC4420">
        <w:rPr>
          <w:rFonts w:ascii="Times New Roman" w:eastAsia="Calibri" w:hAnsi="Times New Roman" w:cs="Times New Roman"/>
          <w:bCs/>
          <w:lang w:val="en-GB"/>
        </w:rPr>
        <w:t xml:space="preserve"> </w:t>
      </w:r>
      <w:r w:rsidRPr="00FC4420">
        <w:rPr>
          <w:rFonts w:ascii="Times New Roman" w:hAnsi="Times New Roman" w:cs="Times New Roman"/>
          <w:lang w:val="en-GB"/>
        </w:rPr>
        <w:t xml:space="preserve">b) T5; c) T6; </w:t>
      </w:r>
      <w:r w:rsidRPr="00FC4420">
        <w:rPr>
          <w:rFonts w:ascii="Times New Roman" w:hAnsi="Times New Roman" w:cs="Times New Roman"/>
          <w:noProof/>
        </w:rPr>
        <w:drawing>
          <wp:anchor distT="0" distB="0" distL="114300" distR="114300" simplePos="0" relativeHeight="251930624" behindDoc="0" locked="0" layoutInCell="1" allowOverlap="1" wp14:anchorId="04C18D60" wp14:editId="10594012">
            <wp:simplePos x="0" y="0"/>
            <wp:positionH relativeFrom="margin">
              <wp:align>left</wp:align>
            </wp:positionH>
            <wp:positionV relativeFrom="paragraph">
              <wp:posOffset>0</wp:posOffset>
            </wp:positionV>
            <wp:extent cx="5574030" cy="7955280"/>
            <wp:effectExtent l="0" t="0" r="1270" b="0"/>
            <wp:wrapThrough wrapText="bothSides">
              <wp:wrapPolygon edited="0">
                <wp:start x="0" y="0"/>
                <wp:lineTo x="0" y="21552"/>
                <wp:lineTo x="21556" y="21552"/>
                <wp:lineTo x="21556" y="0"/>
                <wp:lineTo x="0" y="0"/>
              </wp:wrapPolygon>
            </wp:wrapThrough>
            <wp:docPr id="1197753638" name="Resim 3" descr="dip kaya, kireç taşı, dış mekan, sarp kayalık, yalıy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53638" name="Resim 3" descr="dip kaya, kireç taşı, dış mekan, sarp kayalık, yalıyar içeren bir resim&#10;&#10;Açıklama otomatik olarak oluşturuldu"/>
                    <pic:cNvPicPr>
                      <a:picLocks noChangeAspect="1" noChangeArrowheads="1"/>
                    </pic:cNvPicPr>
                  </pic:nvPicPr>
                  <pic:blipFill>
                    <a:blip r:embed="rId367" cstate="email">
                      <a:extLst>
                        <a:ext uri="{28A0092B-C50C-407E-A947-70E740481C1C}">
                          <a14:useLocalDpi xmlns:a14="http://schemas.microsoft.com/office/drawing/2010/main"/>
                        </a:ext>
                      </a:extLst>
                    </a:blip>
                    <a:srcRect/>
                    <a:stretch>
                      <a:fillRect/>
                    </a:stretch>
                  </pic:blipFill>
                  <pic:spPr bwMode="auto">
                    <a:xfrm>
                      <a:off x="0" y="0"/>
                      <a:ext cx="5577399" cy="7959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420">
        <w:rPr>
          <w:rFonts w:ascii="Times New Roman" w:hAnsi="Times New Roman" w:cs="Times New Roman"/>
          <w:lang w:val="en-GB"/>
        </w:rPr>
        <w:t>d) T7; e) T8; f); T9.</w:t>
      </w:r>
    </w:p>
    <w:p w14:paraId="0D41FFB5" w14:textId="77777777" w:rsidR="0022085E" w:rsidRPr="00FC4420" w:rsidRDefault="0022085E" w:rsidP="0022085E">
      <w:pPr>
        <w:jc w:val="center"/>
        <w:rPr>
          <w:rFonts w:ascii="Times New Roman" w:hAnsi="Times New Roman" w:cs="Times New Roman"/>
          <w:b/>
          <w:lang w:val="en-GB"/>
        </w:rPr>
      </w:pPr>
      <w:r w:rsidRPr="00FC4420">
        <w:rPr>
          <w:rFonts w:ascii="Times New Roman" w:hAnsi="Times New Roman" w:cs="Times New Roman"/>
          <w:noProof/>
        </w:rPr>
        <w:drawing>
          <wp:anchor distT="0" distB="0" distL="114300" distR="114300" simplePos="0" relativeHeight="251931648" behindDoc="0" locked="0" layoutInCell="1" allowOverlap="1" wp14:anchorId="4AFB9BC0" wp14:editId="3192EAD8">
            <wp:simplePos x="0" y="0"/>
            <wp:positionH relativeFrom="margin">
              <wp:align>center</wp:align>
            </wp:positionH>
            <wp:positionV relativeFrom="paragraph">
              <wp:posOffset>0</wp:posOffset>
            </wp:positionV>
            <wp:extent cx="5733415" cy="8009255"/>
            <wp:effectExtent l="0" t="0" r="635" b="0"/>
            <wp:wrapThrough wrapText="bothSides">
              <wp:wrapPolygon edited="0">
                <wp:start x="0" y="0"/>
                <wp:lineTo x="0" y="21526"/>
                <wp:lineTo x="21531" y="21526"/>
                <wp:lineTo x="21531" y="0"/>
                <wp:lineTo x="0" y="0"/>
              </wp:wrapPolygon>
            </wp:wrapThrough>
            <wp:docPr id="906736222" name="Resim 4"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36222" name="Resim 4" descr="harita içeren bir resim&#10;&#10;Açıklama otomatik olarak oluşturuldu"/>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5733415" cy="800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420">
        <w:rPr>
          <w:rFonts w:ascii="Times New Roman" w:hAnsi="Times New Roman" w:cs="Times New Roman"/>
          <w:i/>
          <w:lang w:val="en-GB"/>
        </w:rPr>
        <w:t xml:space="preserve"> </w:t>
      </w:r>
      <w:r w:rsidRPr="00FC4420">
        <w:rPr>
          <w:rFonts w:ascii="Times New Roman" w:hAnsi="Times New Roman" w:cs="Times New Roman"/>
          <w:lang w:val="en-GB"/>
        </w:rPr>
        <w:t>Fig.</w:t>
      </w:r>
      <w:r w:rsidRPr="00FC4420">
        <w:rPr>
          <w:rFonts w:ascii="Times New Roman" w:hAnsi="Times New Roman" w:cs="Times New Roman"/>
          <w:b/>
          <w:lang w:val="en-GB"/>
        </w:rPr>
        <w:t xml:space="preserve"> </w:t>
      </w:r>
      <w:r w:rsidRPr="00FC4420">
        <w:rPr>
          <w:rFonts w:ascii="Times New Roman" w:hAnsi="Times New Roman" w:cs="Times New Roman"/>
          <w:lang w:val="en-GB"/>
        </w:rPr>
        <w:t>4 a-b)</w:t>
      </w:r>
      <w:r w:rsidRPr="00FC4420">
        <w:rPr>
          <w:rFonts w:ascii="Times New Roman" w:hAnsi="Times New Roman" w:cs="Times New Roman"/>
          <w:b/>
          <w:lang w:val="en-GB"/>
        </w:rPr>
        <w:t xml:space="preserve"> </w:t>
      </w:r>
      <w:r w:rsidRPr="00FC4420">
        <w:rPr>
          <w:rFonts w:ascii="Times New Roman" w:hAnsi="Times New Roman" w:cs="Times New Roman"/>
          <w:lang w:val="en-GB"/>
        </w:rPr>
        <w:t>T10 on the eastern side of the rock of Van Fortress</w:t>
      </w:r>
      <w:r w:rsidRPr="00FC4420">
        <w:rPr>
          <w:rFonts w:ascii="Times New Roman" w:eastAsia="Calibri" w:hAnsi="Times New Roman" w:cs="Times New Roman"/>
          <w:lang w:val="en-GB"/>
        </w:rPr>
        <w:t xml:space="preserve"> </w:t>
      </w:r>
      <w:r w:rsidRPr="00FC4420">
        <w:rPr>
          <w:rFonts w:ascii="Times New Roman" w:hAnsi="Times New Roman" w:cs="Times New Roman"/>
          <w:lang w:val="en-GB"/>
        </w:rPr>
        <w:t>c) The drawing of niche T10.; d-e) Niche T11 on the south side.</w:t>
      </w:r>
    </w:p>
    <w:p w14:paraId="37FB7F99" w14:textId="77777777" w:rsidR="0022085E" w:rsidRPr="00FC4420" w:rsidRDefault="0022085E" w:rsidP="0022085E">
      <w:pPr>
        <w:jc w:val="center"/>
        <w:rPr>
          <w:rFonts w:ascii="Times New Roman" w:hAnsi="Times New Roman" w:cs="Times New Roman"/>
          <w:b/>
          <w:lang w:val="en-GB"/>
        </w:rPr>
      </w:pPr>
      <w:r w:rsidRPr="00FC4420">
        <w:rPr>
          <w:rFonts w:ascii="Times New Roman" w:hAnsi="Times New Roman" w:cs="Times New Roman"/>
          <w:noProof/>
        </w:rPr>
        <w:drawing>
          <wp:anchor distT="0" distB="0" distL="114300" distR="114300" simplePos="0" relativeHeight="251932672" behindDoc="0" locked="0" layoutInCell="1" allowOverlap="1" wp14:anchorId="6C482EFE" wp14:editId="283FADE7">
            <wp:simplePos x="0" y="0"/>
            <wp:positionH relativeFrom="margin">
              <wp:align>left</wp:align>
            </wp:positionH>
            <wp:positionV relativeFrom="paragraph">
              <wp:posOffset>212</wp:posOffset>
            </wp:positionV>
            <wp:extent cx="5504815" cy="7800340"/>
            <wp:effectExtent l="0" t="0" r="0" b="0"/>
            <wp:wrapThrough wrapText="bothSides">
              <wp:wrapPolygon edited="0">
                <wp:start x="0" y="0"/>
                <wp:lineTo x="0" y="21558"/>
                <wp:lineTo x="21528" y="21558"/>
                <wp:lineTo x="21528" y="0"/>
                <wp:lineTo x="0" y="0"/>
              </wp:wrapPolygon>
            </wp:wrapThrough>
            <wp:docPr id="1064842906" name="Resim 5"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6" name="Resim 5" descr="diyagram içeren bir resim&#10;&#10;Açıklama otomatik olarak oluşturuldu"/>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5507890" cy="78046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420">
        <w:rPr>
          <w:rFonts w:ascii="Times New Roman" w:hAnsi="Times New Roman" w:cs="Times New Roman"/>
          <w:i/>
          <w:lang w:val="en-GB"/>
        </w:rPr>
        <w:t xml:space="preserve"> </w:t>
      </w:r>
      <w:r w:rsidRPr="00FC4420">
        <w:rPr>
          <w:rFonts w:ascii="Times New Roman" w:hAnsi="Times New Roman" w:cs="Times New Roman"/>
          <w:lang w:val="en-GB"/>
        </w:rPr>
        <w:t>Fig.</w:t>
      </w:r>
      <w:r w:rsidRPr="00FC4420">
        <w:rPr>
          <w:rFonts w:ascii="Times New Roman" w:hAnsi="Times New Roman" w:cs="Times New Roman"/>
          <w:b/>
          <w:lang w:val="en-GB"/>
        </w:rPr>
        <w:t xml:space="preserve"> </w:t>
      </w:r>
      <w:r w:rsidRPr="00FC4420">
        <w:rPr>
          <w:rFonts w:ascii="Times New Roman" w:hAnsi="Times New Roman" w:cs="Times New Roman"/>
          <w:lang w:val="en-GB"/>
        </w:rPr>
        <w:t>5 a-d) T13 niche on the southeast face of the rock and the entrance of the Cremation tomb</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"Cremation tomb" </w:instrText>
      </w:r>
      <w:r w:rsidRPr="00FC4420">
        <w:rPr>
          <w:rFonts w:ascii="Times New Roman" w:hAnsi="Times New Roman" w:cs="Times New Roman"/>
          <w:lang w:val="en-GB"/>
        </w:rPr>
        <w:fldChar w:fldCharType="end"/>
      </w:r>
      <w:r w:rsidRPr="00FC4420">
        <w:rPr>
          <w:rFonts w:ascii="Times New Roman" w:hAnsi="Times New Roman" w:cs="Times New Roman"/>
          <w:lang w:val="en-GB"/>
        </w:rPr>
        <w:t>; e) T14; f-g) T15 and its drawing.</w:t>
      </w:r>
    </w:p>
    <w:p w14:paraId="465AD6F1" w14:textId="77777777" w:rsidR="0022085E" w:rsidRPr="00FC4420" w:rsidRDefault="0022085E" w:rsidP="0022085E">
      <w:pPr>
        <w:jc w:val="both"/>
        <w:rPr>
          <w:rFonts w:ascii="Times New Roman" w:hAnsi="Times New Roman" w:cs="Times New Roman"/>
          <w:b/>
          <w:lang w:val="en-GB"/>
        </w:rPr>
      </w:pPr>
    </w:p>
    <w:p w14:paraId="25F4A488" w14:textId="77777777" w:rsidR="0022085E" w:rsidRPr="00FC4420" w:rsidRDefault="0022085E" w:rsidP="0022085E">
      <w:pPr>
        <w:jc w:val="center"/>
        <w:rPr>
          <w:rFonts w:ascii="Times New Roman" w:hAnsi="Times New Roman" w:cs="Times New Roman"/>
          <w:lang w:val="en-GB"/>
        </w:rPr>
      </w:pPr>
      <w:r w:rsidRPr="00FC4420">
        <w:rPr>
          <w:rFonts w:ascii="Times New Roman" w:hAnsi="Times New Roman" w:cs="Times New Roman"/>
          <w:noProof/>
        </w:rPr>
        <w:drawing>
          <wp:anchor distT="0" distB="0" distL="114300" distR="114300" simplePos="0" relativeHeight="251933696" behindDoc="0" locked="0" layoutInCell="1" allowOverlap="1" wp14:anchorId="2DFF327D" wp14:editId="3240A866">
            <wp:simplePos x="0" y="0"/>
            <wp:positionH relativeFrom="margin">
              <wp:align>center</wp:align>
            </wp:positionH>
            <wp:positionV relativeFrom="paragraph">
              <wp:posOffset>0</wp:posOffset>
            </wp:positionV>
            <wp:extent cx="5733415" cy="8128000"/>
            <wp:effectExtent l="0" t="0" r="635" b="6350"/>
            <wp:wrapThrough wrapText="bothSides">
              <wp:wrapPolygon edited="0">
                <wp:start x="0" y="0"/>
                <wp:lineTo x="0" y="21566"/>
                <wp:lineTo x="21531" y="21566"/>
                <wp:lineTo x="21531" y="0"/>
                <wp:lineTo x="0" y="0"/>
              </wp:wrapPolygon>
            </wp:wrapThrough>
            <wp:docPr id="894398438" name="Resim 6" descr="dış mekan, bitki, mozaik,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8438" name="Resim 6" descr="dış mekan, bitki, mozaik, kaya içeren bir resim&#10;&#10;Açıklama otomatik olarak oluşturuldu"/>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5733415" cy="812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420">
        <w:rPr>
          <w:rFonts w:ascii="Times New Roman" w:hAnsi="Times New Roman" w:cs="Times New Roman"/>
          <w:i/>
          <w:lang w:val="en-GB"/>
        </w:rPr>
        <w:t xml:space="preserve"> </w:t>
      </w:r>
      <w:r w:rsidRPr="00FC4420">
        <w:rPr>
          <w:rFonts w:ascii="Times New Roman" w:hAnsi="Times New Roman" w:cs="Times New Roman"/>
          <w:lang w:val="en-GB"/>
        </w:rPr>
        <w:t>Fig. 6 a-b) T16.; c) T17.; d) T18.; e) T19.; f-h) T20 and its drawing.</w:t>
      </w:r>
    </w:p>
    <w:p w14:paraId="3558CC19" w14:textId="77777777" w:rsidR="0022085E" w:rsidRDefault="0022085E" w:rsidP="0022085E">
      <w:pPr>
        <w:jc w:val="center"/>
        <w:rPr>
          <w:rFonts w:ascii="Times New Roman" w:hAnsi="Times New Roman" w:cs="Times New Roman"/>
          <w:lang w:val="en-GB"/>
        </w:rPr>
      </w:pPr>
      <w:r w:rsidRPr="00FC4420">
        <w:rPr>
          <w:rFonts w:ascii="Times New Roman" w:hAnsi="Times New Roman" w:cs="Times New Roman"/>
          <w:noProof/>
        </w:rPr>
        <w:drawing>
          <wp:anchor distT="0" distB="0" distL="114300" distR="114300" simplePos="0" relativeHeight="251934720" behindDoc="0" locked="0" layoutInCell="1" allowOverlap="1" wp14:anchorId="7589135D" wp14:editId="26B8CD79">
            <wp:simplePos x="0" y="0"/>
            <wp:positionH relativeFrom="page">
              <wp:align>center</wp:align>
            </wp:positionH>
            <wp:positionV relativeFrom="paragraph">
              <wp:posOffset>0</wp:posOffset>
            </wp:positionV>
            <wp:extent cx="5591810" cy="7847330"/>
            <wp:effectExtent l="0" t="0" r="8890" b="1270"/>
            <wp:wrapThrough wrapText="bothSides">
              <wp:wrapPolygon edited="0">
                <wp:start x="0" y="0"/>
                <wp:lineTo x="0" y="21551"/>
                <wp:lineTo x="21561" y="21551"/>
                <wp:lineTo x="21561" y="0"/>
                <wp:lineTo x="0" y="0"/>
              </wp:wrapPolygon>
            </wp:wrapThrough>
            <wp:docPr id="2145478946" name="Resim 7" descr="mağar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78946" name="Resim 7" descr="mağara, dış mekan içeren bir resim&#10;&#10;Açıklama otomatik olarak oluşturuldu"/>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5591810" cy="7847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9ABAFE" w14:textId="77777777" w:rsidR="0022085E" w:rsidRPr="00FC4420" w:rsidRDefault="0022085E" w:rsidP="0022085E">
      <w:pPr>
        <w:jc w:val="center"/>
        <w:rPr>
          <w:rFonts w:ascii="Times New Roman" w:hAnsi="Times New Roman" w:cs="Times New Roman"/>
          <w:lang w:val="en-GB"/>
        </w:rPr>
      </w:pPr>
      <w:r w:rsidRPr="00FC4420">
        <w:rPr>
          <w:rFonts w:ascii="Times New Roman" w:hAnsi="Times New Roman" w:cs="Times New Roman"/>
          <w:lang w:val="en-GB"/>
        </w:rPr>
        <w:t>Fig. 7 a-b) T21 and its drawing.; c) T22 d) T23.</w:t>
      </w:r>
    </w:p>
    <w:p w14:paraId="7D3A5750" w14:textId="0A83B72F" w:rsidR="0022085E" w:rsidRDefault="0022085E" w:rsidP="0022085E">
      <w:pPr>
        <w:keepNext/>
        <w:keepLines/>
        <w:jc w:val="both"/>
        <w:outlineLvl w:val="1"/>
        <w:rPr>
          <w:rFonts w:ascii="Times New Roman" w:hAnsi="Times New Roman" w:cs="Times New Roman"/>
          <w:b/>
          <w:lang w:val="en-GB"/>
        </w:rPr>
      </w:pPr>
      <w:bookmarkStart w:id="186" w:name="_Toc132072571"/>
      <w:bookmarkStart w:id="187" w:name="_Toc173231268"/>
      <w:r w:rsidRPr="00FC4420">
        <w:rPr>
          <w:rFonts w:ascii="Times New Roman" w:hAnsi="Times New Roman" w:cs="Times New Roman"/>
          <w:b/>
          <w:lang w:val="en-GB"/>
        </w:rPr>
        <w:t>12.3. Other Sites in the Van Lake</w:t>
      </w:r>
      <w:r w:rsidRPr="00FC4420">
        <w:rPr>
          <w:rFonts w:ascii="Times New Roman" w:hAnsi="Times New Roman" w:cs="Times New Roman"/>
          <w:b/>
          <w:color w:val="000000" w:themeColor="text1"/>
          <w:lang w:val="en-GB"/>
        </w:rPr>
        <w:fldChar w:fldCharType="begin"/>
      </w:r>
      <w:r w:rsidRPr="00FC4420">
        <w:rPr>
          <w:rFonts w:ascii="Times New Roman" w:hAnsi="Times New Roman" w:cs="Times New Roman"/>
          <w:color w:val="000000" w:themeColor="text1"/>
        </w:rPr>
        <w:instrText xml:space="preserve"> XE "Van Lake" </w:instrText>
      </w:r>
      <w:r w:rsidRPr="00FC4420">
        <w:rPr>
          <w:rFonts w:ascii="Times New Roman" w:hAnsi="Times New Roman" w:cs="Times New Roman"/>
          <w:b/>
          <w:color w:val="000000" w:themeColor="text1"/>
          <w:lang w:val="en-GB"/>
        </w:rPr>
        <w:fldChar w:fldCharType="end"/>
      </w:r>
      <w:r w:rsidRPr="00FC4420">
        <w:rPr>
          <w:rFonts w:ascii="Times New Roman" w:hAnsi="Times New Roman" w:cs="Times New Roman"/>
          <w:b/>
          <w:lang w:val="en-GB"/>
        </w:rPr>
        <w:t xml:space="preserve"> Basin</w:t>
      </w:r>
      <w:bookmarkStart w:id="188" w:name="_Toc132072572"/>
      <w:bookmarkEnd w:id="186"/>
      <w:bookmarkEnd w:id="187"/>
    </w:p>
    <w:p w14:paraId="423484A2" w14:textId="77777777" w:rsidR="0022085E" w:rsidRPr="00FC4420" w:rsidRDefault="0022085E" w:rsidP="0022085E">
      <w:pPr>
        <w:keepNext/>
        <w:keepLines/>
        <w:jc w:val="both"/>
        <w:outlineLvl w:val="2"/>
        <w:rPr>
          <w:rFonts w:ascii="Times New Roman" w:hAnsi="Times New Roman" w:cs="Times New Roman"/>
          <w:b/>
          <w:lang w:val="en-GB"/>
        </w:rPr>
      </w:pPr>
      <w:bookmarkStart w:id="189" w:name="_Toc173231269"/>
      <w:r w:rsidRPr="00FC4420">
        <w:rPr>
          <w:rFonts w:ascii="Times New Roman" w:hAnsi="Times New Roman" w:cs="Times New Roman"/>
          <w:b/>
          <w:lang w:val="en-GB"/>
        </w:rPr>
        <w:t>12.3.</w:t>
      </w:r>
      <w:bookmarkEnd w:id="188"/>
      <w:r w:rsidRPr="00FC4420">
        <w:rPr>
          <w:rFonts w:ascii="Times New Roman" w:hAnsi="Times New Roman" w:cs="Times New Roman"/>
          <w:b/>
          <w:lang w:val="en-GB"/>
        </w:rPr>
        <w:t>1. Hişet</w:t>
      </w:r>
      <w:bookmarkEnd w:id="189"/>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w:instrText>
      </w:r>
      <w:r w:rsidRPr="00FC4420">
        <w:rPr>
          <w:rFonts w:ascii="Times New Roman" w:hAnsi="Times New Roman" w:cs="Times New Roman"/>
          <w:b/>
          <w:lang w:val="en-GB"/>
        </w:rPr>
        <w:instrText>Hişet</w:instrText>
      </w:r>
      <w:r w:rsidRPr="00FC4420">
        <w:rPr>
          <w:rFonts w:ascii="Times New Roman" w:hAnsi="Times New Roman" w:cs="Times New Roman"/>
          <w:lang w:val="en-GB"/>
        </w:rPr>
        <w:instrText xml:space="preserve">" </w:instrText>
      </w:r>
      <w:r w:rsidRPr="00FC4420">
        <w:rPr>
          <w:rFonts w:ascii="Times New Roman" w:hAnsi="Times New Roman" w:cs="Times New Roman"/>
          <w:b/>
          <w:lang w:val="en-GB"/>
        </w:rPr>
        <w:fldChar w:fldCharType="end"/>
      </w:r>
    </w:p>
    <w:p w14:paraId="73D11C55" w14:textId="77777777" w:rsidR="0022085E" w:rsidRDefault="0022085E" w:rsidP="0022085E">
      <w:pPr>
        <w:jc w:val="both"/>
        <w:rPr>
          <w:rFonts w:ascii="Times New Roman" w:hAnsi="Times New Roman" w:cs="Times New Roman"/>
          <w:lang w:val="en-GB"/>
        </w:rPr>
      </w:pPr>
    </w:p>
    <w:p w14:paraId="7661A9B1" w14:textId="7A172E4F" w:rsidR="0022085E" w:rsidRDefault="0022085E" w:rsidP="0022085E">
      <w:pPr>
        <w:jc w:val="both"/>
        <w:rPr>
          <w:rFonts w:ascii="Times New Roman" w:hAnsi="Times New Roman" w:cs="Times New Roman"/>
          <w:lang w:val="en-GB"/>
        </w:rPr>
      </w:pPr>
      <w:r w:rsidRPr="00FC4420">
        <w:rPr>
          <w:rFonts w:ascii="Times New Roman" w:hAnsi="Times New Roman" w:cs="Times New Roman"/>
          <w:lang w:val="en-GB"/>
        </w:rPr>
        <w:t>These examples, first evaluated by Işık, consist of a double group of “T” shaped niches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carved side by side (Işık, 1995a: 16-18, Abb. 62-63; Işık, 1995b: 220, Abb.12/3.4). The samples were carved on a limestone rocky surface on the lake shore in </w:t>
      </w:r>
      <w:r w:rsidRPr="00FC4420">
        <w:rPr>
          <w:rFonts w:ascii="Times New Roman" w:eastAsia="Calibri" w:hAnsi="Times New Roman" w:cs="Times New Roman"/>
          <w:lang w:val="en-GB"/>
        </w:rPr>
        <w:t xml:space="preserve">the </w:t>
      </w:r>
      <w:r w:rsidRPr="00FC4420">
        <w:rPr>
          <w:rFonts w:ascii="Times New Roman" w:hAnsi="Times New Roman" w:cs="Times New Roman"/>
          <w:lang w:val="en-GB"/>
        </w:rPr>
        <w:t>Gevaş</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"Gevaş"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District, south of Van Lake</w:t>
      </w:r>
      <w:r w:rsidRPr="00FC4420">
        <w:rPr>
          <w:rFonts w:ascii="Times New Roman" w:eastAsia="Calibri" w:hAnsi="Times New Roman" w:cs="Times New Roman"/>
          <w:lang w:val="en-GB"/>
        </w:rPr>
        <w:t>.</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w:instrText>
      </w:r>
      <w:r w:rsidRPr="00FC4420">
        <w:rPr>
          <w:rFonts w:ascii="Times New Roman" w:hAnsi="Times New Roman" w:cs="Times New Roman"/>
          <w:lang w:val="en-GB"/>
        </w:rPr>
        <w:instrText>Van Lake</w:instrText>
      </w:r>
      <w:r w:rsidRPr="00FC4420">
        <w:rPr>
          <w:rFonts w:ascii="Times New Roman" w:hAnsi="Times New Roman" w:cs="Times New Roman"/>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In terms of location, it is almost the most </w:t>
      </w:r>
      <w:r w:rsidRPr="00FC4420">
        <w:rPr>
          <w:rFonts w:ascii="Times New Roman" w:eastAsia="Calibri" w:hAnsi="Times New Roman" w:cs="Times New Roman"/>
          <w:lang w:val="en-GB"/>
        </w:rPr>
        <w:t>exciting</w:t>
      </w:r>
      <w:r w:rsidRPr="00FC4420">
        <w:rPr>
          <w:rFonts w:ascii="Times New Roman" w:hAnsi="Times New Roman" w:cs="Times New Roman"/>
          <w:lang w:val="en-GB"/>
        </w:rPr>
        <w:t xml:space="preserve"> example. It is approximately 400 meters from Hişet</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"Hişet"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(Burney, 1957: 47). It was carved into a 5 m high limestone rock on the lake shore in the northwest (Fig. 8/a-b). These examples on the front of the rock overlooking the lake are at zero point with the lake shoreline. Two “T” niches were carved in the east and west of the rock, positioned at a distance of 80 cm from each other. This distance between the vertical niche arms in the upper part reaches 2.50 m </w:t>
      </w:r>
      <w:r w:rsidRPr="00FC4420">
        <w:rPr>
          <w:rFonts w:ascii="Times New Roman" w:eastAsia="Calibri" w:hAnsi="Times New Roman" w:cs="Times New Roman"/>
          <w:lang w:val="en-GB"/>
        </w:rPr>
        <w:t>when</w:t>
      </w:r>
      <w:r w:rsidRPr="00FC4420">
        <w:rPr>
          <w:rFonts w:ascii="Times New Roman" w:hAnsi="Times New Roman" w:cs="Times New Roman"/>
          <w:lang w:val="en-GB"/>
        </w:rPr>
        <w:t xml:space="preserve"> it meets the coastline since the niches are carved in a form that narrows down. The horizontal arm of the eastern niche is 1.60 m long, while the vertical arm is 1.30 m high (Fig. 9/a-b). The eastern extension of the vertical arm is 50 cm. deep, </w:t>
      </w:r>
      <w:r w:rsidRPr="00FC4420">
        <w:rPr>
          <w:rFonts w:ascii="Times New Roman" w:eastAsia="Calibri" w:hAnsi="Times New Roman" w:cs="Times New Roman"/>
          <w:lang w:val="en-GB"/>
        </w:rPr>
        <w:t xml:space="preserve">and </w:t>
      </w:r>
      <w:r w:rsidRPr="00FC4420">
        <w:rPr>
          <w:rFonts w:ascii="Times New Roman" w:hAnsi="Times New Roman" w:cs="Times New Roman"/>
          <w:lang w:val="en-GB"/>
        </w:rPr>
        <w:t xml:space="preserve">the western arm was carved </w:t>
      </w:r>
      <w:r w:rsidRPr="00FC4420">
        <w:rPr>
          <w:rFonts w:ascii="Times New Roman" w:eastAsia="Calibri" w:hAnsi="Times New Roman" w:cs="Times New Roman"/>
          <w:lang w:val="en-GB"/>
        </w:rPr>
        <w:t xml:space="preserve">at </w:t>
      </w:r>
      <w:r w:rsidRPr="00FC4420">
        <w:rPr>
          <w:rFonts w:ascii="Times New Roman" w:hAnsi="Times New Roman" w:cs="Times New Roman"/>
          <w:lang w:val="en-GB"/>
        </w:rPr>
        <w:t>57 cm. There is a 67 cm diameter and 20 cm deep rock bowl at the base level of its vertical arm (Fig. 9/b). A drainage channel with a length of 67 cm and a depth of 15 cm was carved outward from this rock bowl. The horizontal arm of the western niche is 1.55 m long</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and the vertical arm is 120 cm high (Fig. 9/c-d). The eastern niche extension of the “T” arm is 50 cm deep, and the western niche extension is 57 cm. The depth of its vertical arm is 1 m. A rock bowl measuring 103 x 60 cm was carved at the base of the niche</w:t>
      </w:r>
      <w:r w:rsidRPr="00FC4420">
        <w:rPr>
          <w:rFonts w:ascii="Times New Roman" w:eastAsia="Calibri" w:hAnsi="Times New Roman" w:cs="Times New Roman"/>
          <w:lang w:val="en-GB"/>
        </w:rPr>
        <w:t>, which</w:t>
      </w:r>
      <w:r w:rsidRPr="00FC4420">
        <w:rPr>
          <w:rFonts w:ascii="Times New Roman" w:hAnsi="Times New Roman" w:cs="Times New Roman"/>
          <w:lang w:val="en-GB"/>
        </w:rPr>
        <w:t xml:space="preserve"> narrows down as in the eastern niche (Fig. 9/d). A 20 cm</w:t>
      </w:r>
      <w:r>
        <w:rPr>
          <w:rFonts w:ascii="Times New Roman" w:hAnsi="Times New Roman" w:cs="Times New Roman"/>
          <w:lang w:val="en-GB"/>
        </w:rPr>
        <w:t>.</w:t>
      </w:r>
      <w:r w:rsidRPr="00FC4420">
        <w:rPr>
          <w:rFonts w:ascii="Times New Roman" w:hAnsi="Times New Roman" w:cs="Times New Roman"/>
          <w:lang w:val="en-GB"/>
        </w:rPr>
        <w:t xml:space="preserve"> long and 8 cm</w:t>
      </w:r>
      <w:r>
        <w:rPr>
          <w:rFonts w:ascii="Times New Roman" w:hAnsi="Times New Roman" w:cs="Times New Roman"/>
          <w:lang w:val="en-GB"/>
        </w:rPr>
        <w:t xml:space="preserve">. </w:t>
      </w:r>
      <w:r w:rsidRPr="00FC4420">
        <w:rPr>
          <w:rFonts w:ascii="Times New Roman" w:hAnsi="Times New Roman" w:cs="Times New Roman"/>
          <w:lang w:val="en-GB"/>
        </w:rPr>
        <w:t>wide drainage channel was carved from this 13 cm</w:t>
      </w:r>
      <w:r>
        <w:rPr>
          <w:rFonts w:ascii="Times New Roman" w:hAnsi="Times New Roman" w:cs="Times New Roman"/>
          <w:lang w:val="en-GB"/>
        </w:rPr>
        <w:t>.</w:t>
      </w:r>
      <w:r w:rsidRPr="00FC4420">
        <w:rPr>
          <w:rFonts w:ascii="Times New Roman" w:hAnsi="Times New Roman" w:cs="Times New Roman"/>
          <w:lang w:val="en-GB"/>
        </w:rPr>
        <w:t xml:space="preserve"> deep rock bowl. The rock bowl of the eastern niche is rounded, and the drain channel is longer, while the western niche has an ovoid form, and the drain channel is a shorter carved structure. This difference in the rock bowls is due to the unfinished rock-cut workmanship of the eastern niche. </w:t>
      </w:r>
      <w:r w:rsidRPr="00FC4420">
        <w:rPr>
          <w:rFonts w:ascii="Times New Roman" w:eastAsia="Calibri" w:hAnsi="Times New Roman" w:cs="Times New Roman"/>
          <w:lang w:val="en-GB"/>
        </w:rPr>
        <w:t>A</w:t>
      </w:r>
      <w:r w:rsidRPr="00FC4420">
        <w:rPr>
          <w:rFonts w:ascii="Times New Roman" w:hAnsi="Times New Roman" w:cs="Times New Roman"/>
          <w:lang w:val="en-GB"/>
        </w:rPr>
        <w:t xml:space="preserve"> superficial line on the rock bowl in the eastern niche reveals this situation. Therefore, it is seen that the western niche was completed before.</w:t>
      </w:r>
      <w:bookmarkStart w:id="190" w:name="_Toc132072573"/>
    </w:p>
    <w:p w14:paraId="7A1784F0" w14:textId="77777777" w:rsidR="0022085E" w:rsidRPr="0022085E" w:rsidRDefault="0022085E" w:rsidP="0022085E">
      <w:pPr>
        <w:jc w:val="both"/>
        <w:rPr>
          <w:rFonts w:ascii="Times New Roman" w:hAnsi="Times New Roman" w:cs="Times New Roman"/>
          <w:lang w:val="en-GB"/>
        </w:rPr>
      </w:pPr>
    </w:p>
    <w:p w14:paraId="780F39D6" w14:textId="66587B4B" w:rsidR="0022085E" w:rsidRDefault="0022085E" w:rsidP="0022085E">
      <w:pPr>
        <w:keepNext/>
        <w:keepLines/>
        <w:jc w:val="both"/>
        <w:outlineLvl w:val="2"/>
        <w:rPr>
          <w:rFonts w:ascii="Times New Roman" w:hAnsi="Times New Roman" w:cs="Times New Roman"/>
          <w:lang w:val="en-GB"/>
        </w:rPr>
      </w:pPr>
      <w:bookmarkStart w:id="191" w:name="_Toc173231270"/>
      <w:r w:rsidRPr="00FC4420">
        <w:rPr>
          <w:rFonts w:ascii="Times New Roman" w:hAnsi="Times New Roman" w:cs="Times New Roman"/>
          <w:b/>
          <w:lang w:val="en-GB"/>
        </w:rPr>
        <w:t>12.3.2. Kalecik</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"Kalecik"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Fortress</w:t>
      </w:r>
      <w:bookmarkEnd w:id="190"/>
      <w:bookmarkEnd w:id="191"/>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"Kalecik Fortress" </w:instrText>
      </w:r>
      <w:r w:rsidRPr="00FC4420">
        <w:rPr>
          <w:rFonts w:ascii="Times New Roman" w:hAnsi="Times New Roman" w:cs="Times New Roman"/>
          <w:b/>
          <w:lang w:val="en-GB"/>
        </w:rPr>
        <w:fldChar w:fldCharType="end"/>
      </w:r>
      <w:r w:rsidRPr="00FC4420">
        <w:rPr>
          <w:rFonts w:ascii="Times New Roman" w:hAnsi="Times New Roman" w:cs="Times New Roman"/>
          <w:lang w:val="en-GB"/>
        </w:rPr>
        <w:t xml:space="preserve"> </w:t>
      </w:r>
    </w:p>
    <w:p w14:paraId="32476D49" w14:textId="7353D475" w:rsidR="0022085E" w:rsidRPr="00FC4420" w:rsidRDefault="0022085E" w:rsidP="0022085E">
      <w:pPr>
        <w:keepNext/>
        <w:keepLines/>
        <w:jc w:val="both"/>
        <w:outlineLvl w:val="2"/>
        <w:rPr>
          <w:rFonts w:ascii="Times New Roman" w:hAnsi="Times New Roman" w:cs="Times New Roman"/>
          <w:lang w:val="en-GB"/>
        </w:rPr>
      </w:pPr>
      <w:bookmarkStart w:id="192" w:name="_Toc173231271"/>
      <w:r w:rsidRPr="00FC4420">
        <w:rPr>
          <w:rFonts w:ascii="Times New Roman" w:hAnsi="Times New Roman" w:cs="Times New Roman"/>
          <w:lang w:val="en-GB"/>
        </w:rPr>
        <w:t>Kalecik</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"Kalecik"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or Araleks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"Araleks"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is a small fortress located on an independent limestone rock on the shore of Van Lake</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about 5 </w:t>
      </w:r>
      <w:r w:rsidRPr="00FC4420">
        <w:rPr>
          <w:rFonts w:ascii="Times New Roman" w:eastAsia="Calibri" w:hAnsi="Times New Roman" w:cs="Times New Roman"/>
          <w:lang w:val="en-GB"/>
        </w:rPr>
        <w:t>kilometers</w:t>
      </w:r>
      <w:r w:rsidRPr="00FC4420">
        <w:rPr>
          <w:rFonts w:ascii="Times New Roman" w:hAnsi="Times New Roman" w:cs="Times New Roman"/>
          <w:lang w:val="en-GB"/>
        </w:rPr>
        <w:t xml:space="preserve"> north of the Van Fortress. The fortress is situated on a rock approximately 20-25 meters high, which limits the suitable </w:t>
      </w:r>
      <w:r w:rsidRPr="00FC4420">
        <w:rPr>
          <w:rFonts w:ascii="Times New Roman" w:eastAsia="Calibri" w:hAnsi="Times New Roman" w:cs="Times New Roman"/>
          <w:lang w:val="en-GB"/>
        </w:rPr>
        <w:t xml:space="preserve">areas </w:t>
      </w:r>
      <w:r w:rsidRPr="00FC4420">
        <w:rPr>
          <w:rFonts w:ascii="Times New Roman" w:hAnsi="Times New Roman" w:cs="Times New Roman"/>
          <w:lang w:val="en-GB"/>
        </w:rPr>
        <w:t xml:space="preserve">for construction. The Kalecik Rocky is the presence of a </w:t>
      </w:r>
      <w:r>
        <w:rPr>
          <w:rFonts w:ascii="Times New Roman" w:hAnsi="Times New Roman" w:cs="Times New Roman"/>
          <w:lang w:val="en-GB"/>
        </w:rPr>
        <w:t>“</w:t>
      </w:r>
      <w:r w:rsidRPr="00FC4420">
        <w:rPr>
          <w:rFonts w:ascii="Times New Roman" w:hAnsi="Times New Roman" w:cs="Times New Roman"/>
          <w:lang w:val="en-GB"/>
        </w:rPr>
        <w:t>T</w:t>
      </w:r>
      <w:r>
        <w:rPr>
          <w:rFonts w:ascii="Times New Roman" w:hAnsi="Times New Roman" w:cs="Times New Roman"/>
          <w:lang w:val="en-GB"/>
        </w:rPr>
        <w:t>”</w:t>
      </w:r>
      <w:r w:rsidRPr="00FC4420">
        <w:rPr>
          <w:rFonts w:ascii="Times New Roman" w:hAnsi="Times New Roman" w:cs="Times New Roman"/>
          <w:lang w:val="en-GB"/>
        </w:rPr>
        <w:t xml:space="preserve"> shaped niche carved on a small, independent piece of rock just south of the main rock (Fig. 10/a-b). Additionally, a cistern </w:t>
      </w:r>
      <w:r w:rsidRPr="00FC4420">
        <w:rPr>
          <w:rFonts w:ascii="Times New Roman" w:eastAsia="Calibri" w:hAnsi="Times New Roman" w:cs="Times New Roman"/>
          <w:lang w:val="en-GB"/>
        </w:rPr>
        <w:t xml:space="preserve">is </w:t>
      </w:r>
      <w:r w:rsidRPr="00FC4420">
        <w:rPr>
          <w:rFonts w:ascii="Times New Roman" w:hAnsi="Times New Roman" w:cs="Times New Roman"/>
          <w:lang w:val="en-GB"/>
        </w:rPr>
        <w:t>located northeast of the main rock (Gökce, Genç &amp; Kaçmaz Levent, 2019: 328 ff., Res. 1).</w:t>
      </w:r>
      <w:bookmarkEnd w:id="192"/>
      <w:r w:rsidRPr="00FC4420">
        <w:rPr>
          <w:rFonts w:ascii="Times New Roman" w:hAnsi="Times New Roman" w:cs="Times New Roman"/>
          <w:lang w:val="en-GB"/>
        </w:rPr>
        <w:t xml:space="preserve"> </w:t>
      </w:r>
    </w:p>
    <w:p w14:paraId="79386527" w14:textId="77777777" w:rsidR="0022085E" w:rsidRPr="00FC4420" w:rsidRDefault="0022085E" w:rsidP="0022085E">
      <w:pPr>
        <w:keepNext/>
        <w:keepLines/>
        <w:jc w:val="both"/>
        <w:outlineLvl w:val="2"/>
        <w:rPr>
          <w:rFonts w:ascii="Times New Roman" w:hAnsi="Times New Roman" w:cs="Times New Roman"/>
          <w:lang w:val="en-GB"/>
        </w:rPr>
      </w:pPr>
      <w:bookmarkStart w:id="193" w:name="_Toc132072574"/>
      <w:bookmarkStart w:id="194" w:name="_Toc173231272"/>
      <w:r w:rsidRPr="00FC4420">
        <w:rPr>
          <w:rFonts w:ascii="Times New Roman" w:hAnsi="Times New Roman" w:cs="Times New Roman"/>
          <w:b/>
          <w:lang w:val="en-GB"/>
        </w:rPr>
        <w:t>12.3.3. Mermit</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"Mermit"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Rock</w:t>
      </w:r>
      <w:bookmarkEnd w:id="193"/>
      <w:bookmarkEnd w:id="194"/>
    </w:p>
    <w:p w14:paraId="038D8EFE" w14:textId="77777777" w:rsidR="0022085E" w:rsidRDefault="0022085E" w:rsidP="0022085E">
      <w:pPr>
        <w:jc w:val="both"/>
        <w:rPr>
          <w:rFonts w:ascii="Times New Roman" w:hAnsi="Times New Roman" w:cs="Times New Roman"/>
          <w:lang w:val="en-GB"/>
        </w:rPr>
      </w:pPr>
    </w:p>
    <w:p w14:paraId="68B3697B"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Mermit</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"Mermit"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rock, also known as Topaktaş</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"Topaktaş" </w:instrText>
      </w:r>
      <w:r w:rsidRPr="00FC4420">
        <w:rPr>
          <w:rFonts w:ascii="Times New Roman" w:hAnsi="Times New Roman" w:cs="Times New Roman"/>
          <w:lang w:val="en-GB"/>
        </w:rPr>
        <w:fldChar w:fldCharType="end"/>
      </w:r>
      <w:r w:rsidRPr="00FC4420">
        <w:rPr>
          <w:rFonts w:ascii="Times New Roman" w:hAnsi="Times New Roman" w:cs="Times New Roman"/>
          <w:lang w:val="en-GB"/>
        </w:rPr>
        <w:t>, is an independent limestone rock located in Topaktaş village, around 14 km northwest of Van fortress and 12 km southeast of Ayanis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"Ayanis"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The rock features two "T" shaped niches (Gökce et al., 2019: 332, Res. 11). Mermit Rock is approximately 3 km from Van Lake</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w:instrText>
      </w:r>
      <w:r w:rsidRPr="00FC4420">
        <w:rPr>
          <w:rFonts w:ascii="Times New Roman" w:hAnsi="Times New Roman" w:cs="Times New Roman"/>
          <w:lang w:val="en-GB"/>
        </w:rPr>
        <w:instrText>Van Lake</w:instrText>
      </w:r>
      <w:r w:rsidRPr="00FC4420">
        <w:rPr>
          <w:rFonts w:ascii="Times New Roman" w:hAnsi="Times New Roman" w:cs="Times New Roman"/>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One of these “T</w:t>
      </w:r>
      <w:r w:rsidRPr="00FC4420">
        <w:rPr>
          <w:rFonts w:ascii="Times New Roman" w:eastAsia="Calibri" w:hAnsi="Times New Roman" w:cs="Times New Roman"/>
          <w:lang w:val="en-GB"/>
        </w:rPr>
        <w:t xml:space="preserve">” </w:t>
      </w:r>
      <w:r w:rsidRPr="00FC4420">
        <w:rPr>
          <w:rFonts w:ascii="Times New Roman" w:hAnsi="Times New Roman" w:cs="Times New Roman"/>
          <w:lang w:val="en-GB"/>
        </w:rPr>
        <w:t>shaped niches is on the southwest face</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the other </w:t>
      </w:r>
      <w:r w:rsidRPr="00FC4420">
        <w:rPr>
          <w:rFonts w:ascii="Times New Roman" w:eastAsia="Calibri" w:hAnsi="Times New Roman" w:cs="Times New Roman"/>
          <w:lang w:val="en-GB"/>
        </w:rPr>
        <w:t xml:space="preserve">is </w:t>
      </w:r>
      <w:r w:rsidRPr="00FC4420">
        <w:rPr>
          <w:rFonts w:ascii="Times New Roman" w:hAnsi="Times New Roman" w:cs="Times New Roman"/>
          <w:lang w:val="en-GB"/>
        </w:rPr>
        <w:t xml:space="preserve">on the southeast face, </w:t>
      </w:r>
      <w:r w:rsidRPr="00FC4420">
        <w:rPr>
          <w:rFonts w:ascii="Times New Roman" w:eastAsia="Calibri" w:hAnsi="Times New Roman" w:cs="Times New Roman"/>
          <w:lang w:val="en-GB"/>
        </w:rPr>
        <w:t>and</w:t>
      </w:r>
      <w:r w:rsidRPr="00FC4420">
        <w:rPr>
          <w:rFonts w:ascii="Times New Roman" w:hAnsi="Times New Roman" w:cs="Times New Roman"/>
          <w:lang w:val="en-GB"/>
        </w:rPr>
        <w:t xml:space="preserve"> a cistern and rock steps </w:t>
      </w:r>
      <w:r w:rsidRPr="00FC4420">
        <w:rPr>
          <w:rFonts w:ascii="Times New Roman" w:eastAsia="Calibri" w:hAnsi="Times New Roman" w:cs="Times New Roman"/>
          <w:lang w:val="en-GB"/>
        </w:rPr>
        <w:t xml:space="preserve">are </w:t>
      </w:r>
      <w:r w:rsidRPr="00FC4420">
        <w:rPr>
          <w:rFonts w:ascii="Times New Roman" w:hAnsi="Times New Roman" w:cs="Times New Roman"/>
          <w:lang w:val="en-GB"/>
        </w:rPr>
        <w:t>on the hill (Fig. 10/c-e). The “T</w:t>
      </w:r>
      <w:r>
        <w:rPr>
          <w:rFonts w:ascii="Times New Roman" w:hAnsi="Times New Roman" w:cs="Times New Roman"/>
          <w:lang w:val="en-GB"/>
        </w:rPr>
        <w:t>”</w:t>
      </w:r>
      <w:r w:rsidRPr="00FC4420">
        <w:rPr>
          <w:rFonts w:ascii="Times New Roman" w:hAnsi="Times New Roman" w:cs="Times New Roman"/>
          <w:lang w:val="en-GB"/>
        </w:rPr>
        <w:t xml:space="preserve"> shaped niches on Mermit Rock </w:t>
      </w:r>
      <w:r w:rsidRPr="00FC4420">
        <w:rPr>
          <w:rFonts w:ascii="Times New Roman" w:eastAsia="Calibri" w:hAnsi="Times New Roman" w:cs="Times New Roman"/>
          <w:lang w:val="en-GB"/>
        </w:rPr>
        <w:t>are</w:t>
      </w:r>
      <w:r w:rsidRPr="00FC4420">
        <w:rPr>
          <w:rFonts w:ascii="Times New Roman" w:hAnsi="Times New Roman" w:cs="Times New Roman"/>
          <w:lang w:val="en-GB"/>
        </w:rPr>
        <w:t xml:space="preserve"> the second example, which includes a rock bowl with a drain channel carved into the base. </w:t>
      </w:r>
    </w:p>
    <w:p w14:paraId="45E29143" w14:textId="77777777" w:rsidR="0022085E" w:rsidRPr="00FC4420" w:rsidRDefault="0022085E" w:rsidP="0022085E">
      <w:pPr>
        <w:jc w:val="center"/>
        <w:rPr>
          <w:rFonts w:ascii="Times New Roman" w:hAnsi="Times New Roman" w:cs="Times New Roman"/>
          <w:lang w:val="en-GB"/>
        </w:rPr>
      </w:pPr>
      <w:r w:rsidRPr="00FC4420">
        <w:rPr>
          <w:rFonts w:ascii="Times New Roman" w:hAnsi="Times New Roman" w:cs="Times New Roman"/>
          <w:noProof/>
        </w:rPr>
        <w:lastRenderedPageBreak/>
        <w:drawing>
          <wp:anchor distT="0" distB="0" distL="114300" distR="114300" simplePos="0" relativeHeight="251935744" behindDoc="0" locked="0" layoutInCell="1" allowOverlap="1" wp14:anchorId="1AAF6A02" wp14:editId="56829A67">
            <wp:simplePos x="0" y="0"/>
            <wp:positionH relativeFrom="margin">
              <wp:align>left</wp:align>
            </wp:positionH>
            <wp:positionV relativeFrom="paragraph">
              <wp:posOffset>189865</wp:posOffset>
            </wp:positionV>
            <wp:extent cx="5204460" cy="7465060"/>
            <wp:effectExtent l="0" t="0" r="0" b="2540"/>
            <wp:wrapTopAndBottom/>
            <wp:docPr id="1774493996" name="Resim 8" descr="dış mekan, gökyüzü, kaya, s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93996" name="Resim 8" descr="dış mekan, gökyüzü, kaya, su içeren bir resim&#10;&#10;Açıklama otomatik olarak oluşturuldu"/>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5204460" cy="746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BA1AA" w14:textId="77777777" w:rsidR="0022085E" w:rsidRDefault="0022085E" w:rsidP="0022085E">
      <w:pPr>
        <w:jc w:val="center"/>
        <w:rPr>
          <w:rFonts w:ascii="Times New Roman" w:hAnsi="Times New Roman" w:cs="Times New Roman"/>
          <w:lang w:val="en-GB"/>
        </w:rPr>
      </w:pPr>
    </w:p>
    <w:p w14:paraId="2DA5C6EF" w14:textId="77777777" w:rsidR="0022085E" w:rsidRPr="00FC4420" w:rsidRDefault="0022085E" w:rsidP="0022085E">
      <w:pPr>
        <w:jc w:val="center"/>
        <w:rPr>
          <w:rFonts w:ascii="Times New Roman" w:hAnsi="Times New Roman" w:cs="Times New Roman"/>
          <w:lang w:val="en-GB"/>
        </w:rPr>
      </w:pPr>
      <w:r w:rsidRPr="00FC4420">
        <w:rPr>
          <w:rFonts w:ascii="Times New Roman" w:hAnsi="Times New Roman" w:cs="Times New Roman"/>
          <w:lang w:val="en-GB"/>
        </w:rPr>
        <w:t>Fig. 8 a-b) The view of the T niches near the Hişet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"Hişet"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w:t>
      </w:r>
    </w:p>
    <w:p w14:paraId="4BCD7FF0" w14:textId="77777777" w:rsidR="0022085E" w:rsidRPr="00FC4420" w:rsidRDefault="0022085E" w:rsidP="0022085E">
      <w:pPr>
        <w:jc w:val="center"/>
        <w:rPr>
          <w:rFonts w:ascii="Times New Roman" w:hAnsi="Times New Roman" w:cs="Times New Roman"/>
          <w:lang w:val="en-GB"/>
        </w:rPr>
      </w:pPr>
      <w:r w:rsidRPr="00FC4420">
        <w:rPr>
          <w:rFonts w:ascii="Times New Roman" w:hAnsi="Times New Roman" w:cs="Times New Roman"/>
          <w:noProof/>
        </w:rPr>
        <w:lastRenderedPageBreak/>
        <w:drawing>
          <wp:anchor distT="0" distB="0" distL="114300" distR="114300" simplePos="0" relativeHeight="251936768" behindDoc="0" locked="0" layoutInCell="1" allowOverlap="1" wp14:anchorId="6B6A4CCA" wp14:editId="6810C662">
            <wp:simplePos x="0" y="0"/>
            <wp:positionH relativeFrom="margin">
              <wp:align>center</wp:align>
            </wp:positionH>
            <wp:positionV relativeFrom="paragraph">
              <wp:posOffset>0</wp:posOffset>
            </wp:positionV>
            <wp:extent cx="5467985" cy="5974715"/>
            <wp:effectExtent l="0" t="0" r="0" b="6985"/>
            <wp:wrapThrough wrapText="bothSides">
              <wp:wrapPolygon edited="0">
                <wp:start x="0" y="0"/>
                <wp:lineTo x="0" y="21556"/>
                <wp:lineTo x="21522" y="21556"/>
                <wp:lineTo x="21522" y="0"/>
                <wp:lineTo x="0" y="0"/>
              </wp:wrapPolygon>
            </wp:wrapThrough>
            <wp:docPr id="40289175" name="Resim 9" descr="mağara, kaya, yer, kür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9175" name="Resim 9" descr="mağara, kaya, yer, kürek içeren bir resim&#10;&#10;Açıklama otomatik olarak oluşturuldu"/>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5467985" cy="5974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420">
        <w:rPr>
          <w:rFonts w:ascii="Times New Roman" w:hAnsi="Times New Roman" w:cs="Times New Roman"/>
          <w:i/>
          <w:lang w:val="en-GB"/>
        </w:rPr>
        <w:t xml:space="preserve"> </w:t>
      </w:r>
      <w:r w:rsidRPr="00FC4420">
        <w:rPr>
          <w:rFonts w:ascii="Times New Roman" w:hAnsi="Times New Roman" w:cs="Times New Roman"/>
          <w:lang w:val="en-GB"/>
        </w:rPr>
        <w:t>Fig. 9 a-b) The T niche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niche"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on the east in Hişet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"Hişet" </w:instrText>
      </w:r>
      <w:r w:rsidRPr="00FC4420">
        <w:rPr>
          <w:rFonts w:ascii="Times New Roman" w:hAnsi="Times New Roman" w:cs="Times New Roman"/>
          <w:lang w:val="en-GB"/>
        </w:rPr>
        <w:fldChar w:fldCharType="end"/>
      </w:r>
      <w:r w:rsidRPr="00FC4420">
        <w:rPr>
          <w:rFonts w:ascii="Times New Roman" w:hAnsi="Times New Roman" w:cs="Times New Roman"/>
          <w:lang w:val="en-GB"/>
        </w:rPr>
        <w:t>; c-d) The T niche on the west.</w:t>
      </w:r>
    </w:p>
    <w:p w14:paraId="25B1EE1C" w14:textId="77777777" w:rsidR="0022085E" w:rsidRPr="00FC4420" w:rsidRDefault="0022085E" w:rsidP="0022085E">
      <w:pPr>
        <w:jc w:val="both"/>
        <w:rPr>
          <w:rFonts w:ascii="Times New Roman" w:hAnsi="Times New Roman" w:cs="Times New Roman"/>
          <w:b/>
          <w:i/>
          <w:lang w:val="en-GB"/>
        </w:rPr>
      </w:pPr>
    </w:p>
    <w:p w14:paraId="36086C6F" w14:textId="77777777" w:rsidR="0022085E" w:rsidRPr="00FC4420" w:rsidRDefault="0022085E" w:rsidP="0022085E">
      <w:pPr>
        <w:jc w:val="center"/>
        <w:rPr>
          <w:rFonts w:ascii="Times New Roman" w:hAnsi="Times New Roman" w:cs="Times New Roman"/>
          <w:b/>
          <w:lang w:val="en-GB"/>
        </w:rPr>
      </w:pPr>
      <w:r w:rsidRPr="00FC4420">
        <w:rPr>
          <w:rFonts w:ascii="Times New Roman" w:hAnsi="Times New Roman" w:cs="Times New Roman"/>
          <w:noProof/>
        </w:rPr>
        <w:lastRenderedPageBreak/>
        <w:drawing>
          <wp:anchor distT="0" distB="0" distL="114300" distR="114300" simplePos="0" relativeHeight="251937792" behindDoc="0" locked="0" layoutInCell="1" allowOverlap="1" wp14:anchorId="6697981B" wp14:editId="60B34356">
            <wp:simplePos x="0" y="0"/>
            <wp:positionH relativeFrom="page">
              <wp:align>center</wp:align>
            </wp:positionH>
            <wp:positionV relativeFrom="paragraph">
              <wp:posOffset>0</wp:posOffset>
            </wp:positionV>
            <wp:extent cx="5399405" cy="7743825"/>
            <wp:effectExtent l="0" t="0" r="0" b="9525"/>
            <wp:wrapThrough wrapText="bothSides">
              <wp:wrapPolygon edited="0">
                <wp:start x="0" y="0"/>
                <wp:lineTo x="0" y="21573"/>
                <wp:lineTo x="21491" y="21573"/>
                <wp:lineTo x="21491" y="0"/>
                <wp:lineTo x="0" y="0"/>
              </wp:wrapPolygon>
            </wp:wrapThrough>
            <wp:docPr id="1986452091" name="Resim 10" descr="dış mekan, gökyüzü, ekran görüntüsü,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52091" name="Resim 10" descr="dış mekan, gökyüzü, ekran görüntüsü, jeoloji içeren bir resim&#10;&#10;Açıklama otomatik olarak oluşturuldu"/>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5399405" cy="774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420">
        <w:rPr>
          <w:rFonts w:ascii="Times New Roman" w:hAnsi="Times New Roman" w:cs="Times New Roman"/>
          <w:lang w:val="en-GB"/>
        </w:rPr>
        <w:t>Fig.</w:t>
      </w:r>
      <w:r w:rsidRPr="00FC4420">
        <w:rPr>
          <w:rFonts w:ascii="Times New Roman" w:hAnsi="Times New Roman" w:cs="Times New Roman"/>
          <w:b/>
          <w:lang w:val="en-GB"/>
        </w:rPr>
        <w:t xml:space="preserve"> </w:t>
      </w:r>
      <w:r w:rsidRPr="00FC4420">
        <w:rPr>
          <w:rFonts w:ascii="Times New Roman" w:hAnsi="Times New Roman" w:cs="Times New Roman"/>
          <w:lang w:val="en-GB"/>
        </w:rPr>
        <w:t>10</w:t>
      </w:r>
      <w:r w:rsidRPr="00FC4420">
        <w:rPr>
          <w:rFonts w:ascii="Times New Roman" w:hAnsi="Times New Roman" w:cs="Times New Roman"/>
          <w:b/>
          <w:lang w:val="en-GB"/>
        </w:rPr>
        <w:t xml:space="preserve"> </w:t>
      </w:r>
      <w:r w:rsidRPr="00FC4420">
        <w:rPr>
          <w:rFonts w:ascii="Times New Roman" w:hAnsi="Times New Roman" w:cs="Times New Roman"/>
          <w:lang w:val="en-GB"/>
        </w:rPr>
        <w:t>a-b) The view of T niche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niche"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at the Kalecik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"Kalecik"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"Kalecik Fortress" </w:instrText>
      </w:r>
      <w:r w:rsidRPr="00FC4420">
        <w:rPr>
          <w:rFonts w:ascii="Times New Roman" w:hAnsi="Times New Roman" w:cs="Times New Roman"/>
          <w:lang w:val="en-GB"/>
        </w:rPr>
        <w:fldChar w:fldCharType="end"/>
      </w:r>
      <w:r w:rsidRPr="00FC4420">
        <w:rPr>
          <w:rFonts w:ascii="Times New Roman" w:hAnsi="Times New Roman" w:cs="Times New Roman"/>
          <w:lang w:val="en-GB"/>
        </w:rPr>
        <w:t>; c-e) The “T” niches on the rock of Mermit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"Mermit" </w:instrText>
      </w:r>
      <w:r w:rsidRPr="00FC4420">
        <w:rPr>
          <w:rFonts w:ascii="Times New Roman" w:hAnsi="Times New Roman" w:cs="Times New Roman"/>
          <w:lang w:val="en-GB"/>
        </w:rPr>
        <w:fldChar w:fldCharType="end"/>
      </w:r>
      <w:r w:rsidRPr="00FC4420">
        <w:rPr>
          <w:rFonts w:ascii="Times New Roman" w:hAnsi="Times New Roman" w:cs="Times New Roman"/>
          <w:lang w:val="en-GB"/>
        </w:rPr>
        <w:t>.</w:t>
      </w:r>
    </w:p>
    <w:p w14:paraId="0A84B7B9" w14:textId="720A94A5" w:rsidR="0022085E" w:rsidRPr="00FC4420" w:rsidRDefault="0022085E" w:rsidP="0022085E">
      <w:pPr>
        <w:keepNext/>
        <w:keepLines/>
        <w:jc w:val="both"/>
        <w:outlineLvl w:val="2"/>
        <w:rPr>
          <w:rFonts w:ascii="Times New Roman" w:hAnsi="Times New Roman" w:cs="Times New Roman"/>
          <w:b/>
          <w:lang w:val="en-GB"/>
        </w:rPr>
      </w:pPr>
      <w:bookmarkStart w:id="195" w:name="_Toc132072575"/>
      <w:bookmarkStart w:id="196" w:name="_Toc173231273"/>
      <w:r w:rsidRPr="00FC4420">
        <w:rPr>
          <w:rFonts w:ascii="Times New Roman" w:hAnsi="Times New Roman" w:cs="Times New Roman"/>
          <w:b/>
          <w:lang w:val="en-GB"/>
        </w:rPr>
        <w:t>12.3.4. Amik</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"Amik"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Fortress</w:t>
      </w:r>
      <w:bookmarkEnd w:id="195"/>
      <w:bookmarkEnd w:id="196"/>
      <w:r w:rsidRPr="00FC4420">
        <w:rPr>
          <w:rFonts w:ascii="Times New Roman" w:hAnsi="Times New Roman" w:cs="Times New Roman"/>
          <w:b/>
          <w:lang w:val="en-GB"/>
        </w:rPr>
        <w:t xml:space="preserve"> </w:t>
      </w:r>
    </w:p>
    <w:p w14:paraId="2088E357"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The fortress ruins rising on the limestone rock on the east coast of Van Lake</w:t>
      </w:r>
      <w:r w:rsidRPr="00FC4420">
        <w:rPr>
          <w:rFonts w:ascii="Times New Roman" w:eastAsia="Calibri" w:hAnsi="Times New Roman" w:cs="Times New Roman"/>
          <w:lang w:val="en-GB"/>
        </w:rPr>
        <w:t>,</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"Van Lake"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35 km north of Van City </w:t>
      </w:r>
      <w:r w:rsidRPr="00FC4420">
        <w:rPr>
          <w:rFonts w:ascii="Times New Roman" w:eastAsia="Calibri" w:hAnsi="Times New Roman" w:cs="Times New Roman"/>
          <w:lang w:val="en-GB"/>
        </w:rPr>
        <w:t>center</w:t>
      </w:r>
      <w:r w:rsidRPr="00FC4420">
        <w:rPr>
          <w:rFonts w:ascii="Times New Roman" w:hAnsi="Times New Roman" w:cs="Times New Roman"/>
          <w:lang w:val="en-GB"/>
        </w:rPr>
        <w:t>, are located approximately 3 km north of Amok</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"Amok"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(Yeşilsu</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"Yeşilsu"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village (Fig. 11/a). </w:t>
      </w:r>
      <w:r w:rsidRPr="00FC4420">
        <w:rPr>
          <w:rFonts w:ascii="Times New Roman" w:eastAsia="Calibri" w:hAnsi="Times New Roman" w:cs="Times New Roman"/>
          <w:lang w:val="en-GB"/>
        </w:rPr>
        <w:t xml:space="preserve">Despite its challenges, </w:t>
      </w:r>
      <w:r w:rsidRPr="00FC4420">
        <w:rPr>
          <w:rFonts w:ascii="Times New Roman" w:hAnsi="Times New Roman" w:cs="Times New Roman"/>
          <w:lang w:val="en-GB"/>
        </w:rPr>
        <w:t>Amik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"Amik"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w:t>
      </w:r>
      <w:r w:rsidRPr="00FC4420">
        <w:rPr>
          <w:rFonts w:ascii="Times New Roman" w:eastAsia="Calibri" w:hAnsi="Times New Roman" w:cs="Times New Roman"/>
          <w:lang w:val="en-GB"/>
        </w:rPr>
        <w:t>, located</w:t>
      </w:r>
      <w:r w:rsidRPr="00FC4420">
        <w:rPr>
          <w:rFonts w:ascii="Times New Roman" w:hAnsi="Times New Roman" w:cs="Times New Roman"/>
          <w:lang w:val="en-GB"/>
        </w:rPr>
        <w:t xml:space="preserve"> on the shore of Van Lake, it is one of the problematic places to be associated with the Urartian</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period. Although it is stated that the earliest period started with Urartu</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Times New Roman" w:hAnsi="Times New Roman" w:cs="Times New Roman"/>
          <w:lang w:val="en-GB"/>
        </w:rPr>
        <w:instrText>Urartu</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(Thierry, 1976: 165, fn. 27), there are no significant archaeological remains </w:t>
      </w:r>
      <w:r w:rsidRPr="00FC4420">
        <w:rPr>
          <w:rFonts w:ascii="Times New Roman" w:eastAsia="Calibri" w:hAnsi="Times New Roman" w:cs="Times New Roman"/>
          <w:lang w:val="en-GB"/>
        </w:rPr>
        <w:t>or</w:t>
      </w:r>
      <w:r w:rsidRPr="00FC4420">
        <w:rPr>
          <w:rFonts w:ascii="Times New Roman" w:hAnsi="Times New Roman" w:cs="Times New Roman"/>
          <w:lang w:val="en-GB"/>
        </w:rPr>
        <w:t xml:space="preserve"> workmanship on the rock. However, it has been stated that the fortress may have been used as a port on the shore of Van Lake during the Urartian period (Çilingiroğlu, 1998: 50, Fig. 18-19). A “T” shaped niche was carved at the southeast corner of the rock near ground level (Gökce et al. 2019: 333, Res. 13). The ground part of the niche was rounded, and two small rock cavities were carved just inside the rocky outer surface (Fig. 11/b).</w:t>
      </w:r>
    </w:p>
    <w:p w14:paraId="3E863DBF" w14:textId="77777777" w:rsidR="0022085E" w:rsidRPr="00FC4420" w:rsidRDefault="0022085E" w:rsidP="0022085E">
      <w:pPr>
        <w:jc w:val="both"/>
        <w:rPr>
          <w:rFonts w:ascii="Times New Roman" w:hAnsi="Times New Roman" w:cs="Times New Roman"/>
          <w:lang w:val="en-GB"/>
        </w:rPr>
      </w:pPr>
    </w:p>
    <w:p w14:paraId="3EFBAA9E" w14:textId="77777777" w:rsidR="0022085E" w:rsidRPr="00FC4420" w:rsidRDefault="0022085E" w:rsidP="0022085E">
      <w:pPr>
        <w:jc w:val="both"/>
        <w:rPr>
          <w:rFonts w:ascii="Times New Roman" w:hAnsi="Times New Roman" w:cs="Times New Roman"/>
          <w:b/>
          <w:i/>
          <w:lang w:val="en-GB"/>
        </w:rPr>
      </w:pPr>
      <w:r w:rsidRPr="00FC4420">
        <w:rPr>
          <w:rFonts w:ascii="Times New Roman" w:hAnsi="Times New Roman" w:cs="Times New Roman"/>
          <w:noProof/>
        </w:rPr>
        <w:drawing>
          <wp:anchor distT="0" distB="0" distL="114300" distR="114300" simplePos="0" relativeHeight="251938816" behindDoc="0" locked="0" layoutInCell="1" allowOverlap="1" wp14:anchorId="582B19ED" wp14:editId="088E7138">
            <wp:simplePos x="0" y="0"/>
            <wp:positionH relativeFrom="margin">
              <wp:align>center</wp:align>
            </wp:positionH>
            <wp:positionV relativeFrom="paragraph">
              <wp:posOffset>4114</wp:posOffset>
            </wp:positionV>
            <wp:extent cx="4081780" cy="5683885"/>
            <wp:effectExtent l="0" t="0" r="0" b="0"/>
            <wp:wrapThrough wrapText="bothSides">
              <wp:wrapPolygon edited="0">
                <wp:start x="0" y="0"/>
                <wp:lineTo x="0" y="21501"/>
                <wp:lineTo x="21472" y="21501"/>
                <wp:lineTo x="21472" y="0"/>
                <wp:lineTo x="0" y="0"/>
              </wp:wrapPolygon>
            </wp:wrapThrough>
            <wp:docPr id="12699901" name="Resim 11" descr="su, dış mekan, manzara,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901" name="Resim 11" descr="su, dış mekan, manzara, gökyüzü içeren bir resim&#10;&#10;Açıklama otomatik olarak oluşturuldu"/>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4081780" cy="5683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CD4E42" w14:textId="77777777" w:rsidR="0022085E" w:rsidRPr="00FC4420" w:rsidRDefault="0022085E" w:rsidP="0022085E">
      <w:pPr>
        <w:jc w:val="both"/>
        <w:rPr>
          <w:rFonts w:ascii="Times New Roman" w:hAnsi="Times New Roman" w:cs="Times New Roman"/>
          <w:b/>
          <w:i/>
          <w:lang w:val="en-GB"/>
        </w:rPr>
      </w:pPr>
    </w:p>
    <w:p w14:paraId="7A40122A" w14:textId="77777777" w:rsidR="0022085E" w:rsidRPr="00FC4420" w:rsidRDefault="0022085E" w:rsidP="0022085E">
      <w:pPr>
        <w:jc w:val="both"/>
        <w:rPr>
          <w:rFonts w:ascii="Times New Roman" w:hAnsi="Times New Roman" w:cs="Times New Roman"/>
          <w:b/>
          <w:i/>
          <w:lang w:val="en-GB"/>
        </w:rPr>
      </w:pPr>
    </w:p>
    <w:p w14:paraId="0705CD72" w14:textId="77777777" w:rsidR="0022085E" w:rsidRPr="00FC4420" w:rsidRDefault="0022085E" w:rsidP="0022085E">
      <w:pPr>
        <w:jc w:val="both"/>
        <w:rPr>
          <w:rFonts w:ascii="Times New Roman" w:hAnsi="Times New Roman" w:cs="Times New Roman"/>
          <w:b/>
          <w:i/>
          <w:lang w:val="en-GB"/>
        </w:rPr>
      </w:pPr>
    </w:p>
    <w:p w14:paraId="04A74F61" w14:textId="77777777" w:rsidR="0022085E" w:rsidRPr="00FC4420" w:rsidRDefault="0022085E" w:rsidP="0022085E">
      <w:pPr>
        <w:jc w:val="both"/>
        <w:rPr>
          <w:rFonts w:ascii="Times New Roman" w:hAnsi="Times New Roman" w:cs="Times New Roman"/>
          <w:b/>
          <w:i/>
          <w:lang w:val="en-GB"/>
        </w:rPr>
      </w:pPr>
    </w:p>
    <w:p w14:paraId="219D0239" w14:textId="77777777" w:rsidR="0022085E" w:rsidRPr="00FC4420" w:rsidRDefault="0022085E" w:rsidP="0022085E">
      <w:pPr>
        <w:jc w:val="both"/>
        <w:rPr>
          <w:rFonts w:ascii="Times New Roman" w:hAnsi="Times New Roman" w:cs="Times New Roman"/>
          <w:b/>
          <w:i/>
          <w:lang w:val="en-GB"/>
        </w:rPr>
      </w:pPr>
    </w:p>
    <w:p w14:paraId="1F6B1136" w14:textId="77777777" w:rsidR="0022085E" w:rsidRPr="00FC4420" w:rsidRDefault="0022085E" w:rsidP="0022085E">
      <w:pPr>
        <w:jc w:val="both"/>
        <w:rPr>
          <w:rFonts w:ascii="Times New Roman" w:hAnsi="Times New Roman" w:cs="Times New Roman"/>
          <w:b/>
          <w:i/>
          <w:lang w:val="en-GB"/>
        </w:rPr>
      </w:pPr>
    </w:p>
    <w:p w14:paraId="6980098D" w14:textId="77777777" w:rsidR="0022085E" w:rsidRPr="00FC4420" w:rsidRDefault="0022085E" w:rsidP="0022085E">
      <w:pPr>
        <w:jc w:val="both"/>
        <w:rPr>
          <w:rFonts w:ascii="Times New Roman" w:hAnsi="Times New Roman" w:cs="Times New Roman"/>
          <w:b/>
          <w:i/>
          <w:lang w:val="en-GB"/>
        </w:rPr>
      </w:pPr>
    </w:p>
    <w:p w14:paraId="6FFB4441" w14:textId="77777777" w:rsidR="0022085E" w:rsidRPr="00FC4420" w:rsidRDefault="0022085E" w:rsidP="0022085E">
      <w:pPr>
        <w:jc w:val="both"/>
        <w:rPr>
          <w:rFonts w:ascii="Times New Roman" w:hAnsi="Times New Roman" w:cs="Times New Roman"/>
          <w:b/>
          <w:i/>
          <w:lang w:val="en-GB"/>
        </w:rPr>
      </w:pPr>
    </w:p>
    <w:p w14:paraId="1576703F" w14:textId="77777777" w:rsidR="0022085E" w:rsidRPr="00FC4420" w:rsidRDefault="0022085E" w:rsidP="0022085E">
      <w:pPr>
        <w:jc w:val="both"/>
        <w:rPr>
          <w:rFonts w:ascii="Times New Roman" w:hAnsi="Times New Roman" w:cs="Times New Roman"/>
          <w:b/>
          <w:i/>
          <w:lang w:val="en-GB"/>
        </w:rPr>
      </w:pPr>
    </w:p>
    <w:p w14:paraId="7BBCD34F" w14:textId="77777777" w:rsidR="0022085E" w:rsidRPr="00FC4420" w:rsidRDefault="0022085E" w:rsidP="0022085E">
      <w:pPr>
        <w:jc w:val="both"/>
        <w:rPr>
          <w:rFonts w:ascii="Times New Roman" w:hAnsi="Times New Roman" w:cs="Times New Roman"/>
          <w:b/>
          <w:i/>
          <w:lang w:val="en-GB"/>
        </w:rPr>
      </w:pPr>
    </w:p>
    <w:p w14:paraId="16038745" w14:textId="77777777" w:rsidR="0022085E" w:rsidRPr="00FC4420" w:rsidRDefault="0022085E" w:rsidP="0022085E">
      <w:pPr>
        <w:jc w:val="both"/>
        <w:rPr>
          <w:rFonts w:ascii="Times New Roman" w:hAnsi="Times New Roman" w:cs="Times New Roman"/>
          <w:b/>
          <w:i/>
          <w:lang w:val="en-GB"/>
        </w:rPr>
      </w:pPr>
    </w:p>
    <w:p w14:paraId="2069286D" w14:textId="77777777" w:rsidR="0022085E" w:rsidRPr="00FC4420" w:rsidRDefault="0022085E" w:rsidP="0022085E">
      <w:pPr>
        <w:jc w:val="both"/>
        <w:rPr>
          <w:rFonts w:ascii="Times New Roman" w:hAnsi="Times New Roman" w:cs="Times New Roman"/>
          <w:b/>
          <w:i/>
          <w:lang w:val="en-GB"/>
        </w:rPr>
      </w:pPr>
    </w:p>
    <w:p w14:paraId="7D40A693" w14:textId="77777777" w:rsidR="0022085E" w:rsidRPr="00FC4420" w:rsidRDefault="0022085E" w:rsidP="0022085E">
      <w:pPr>
        <w:jc w:val="both"/>
        <w:rPr>
          <w:rFonts w:ascii="Times New Roman" w:hAnsi="Times New Roman" w:cs="Times New Roman"/>
          <w:b/>
          <w:i/>
          <w:lang w:val="en-GB"/>
        </w:rPr>
      </w:pPr>
    </w:p>
    <w:p w14:paraId="34435275" w14:textId="77777777" w:rsidR="0022085E" w:rsidRPr="00FC4420" w:rsidRDefault="0022085E" w:rsidP="0022085E">
      <w:pPr>
        <w:jc w:val="both"/>
        <w:rPr>
          <w:rFonts w:ascii="Times New Roman" w:hAnsi="Times New Roman" w:cs="Times New Roman"/>
          <w:b/>
          <w:i/>
          <w:lang w:val="en-GB"/>
        </w:rPr>
      </w:pPr>
    </w:p>
    <w:p w14:paraId="15BF327D" w14:textId="77777777" w:rsidR="0022085E" w:rsidRPr="00FC4420" w:rsidRDefault="0022085E" w:rsidP="0022085E">
      <w:pPr>
        <w:jc w:val="both"/>
        <w:rPr>
          <w:rFonts w:ascii="Times New Roman" w:hAnsi="Times New Roman" w:cs="Times New Roman"/>
          <w:b/>
          <w:i/>
          <w:lang w:val="en-GB"/>
        </w:rPr>
      </w:pPr>
    </w:p>
    <w:p w14:paraId="6300B309" w14:textId="77777777" w:rsidR="0022085E" w:rsidRPr="00FC4420" w:rsidRDefault="0022085E" w:rsidP="0022085E">
      <w:pPr>
        <w:jc w:val="both"/>
        <w:rPr>
          <w:rFonts w:ascii="Times New Roman" w:hAnsi="Times New Roman" w:cs="Times New Roman"/>
          <w:b/>
          <w:i/>
          <w:lang w:val="en-GB"/>
        </w:rPr>
      </w:pPr>
    </w:p>
    <w:p w14:paraId="2CE14101" w14:textId="77777777" w:rsidR="0022085E" w:rsidRPr="00FC4420" w:rsidRDefault="0022085E" w:rsidP="0022085E">
      <w:pPr>
        <w:jc w:val="both"/>
        <w:rPr>
          <w:rFonts w:ascii="Times New Roman" w:hAnsi="Times New Roman" w:cs="Times New Roman"/>
          <w:b/>
          <w:i/>
          <w:lang w:val="en-GB"/>
        </w:rPr>
      </w:pPr>
    </w:p>
    <w:p w14:paraId="588789F2" w14:textId="77777777" w:rsidR="0022085E" w:rsidRPr="00FC4420" w:rsidRDefault="0022085E" w:rsidP="0022085E">
      <w:pPr>
        <w:jc w:val="both"/>
        <w:rPr>
          <w:rFonts w:ascii="Times New Roman" w:hAnsi="Times New Roman" w:cs="Times New Roman"/>
          <w:b/>
          <w:i/>
          <w:lang w:val="en-GB"/>
        </w:rPr>
      </w:pPr>
    </w:p>
    <w:p w14:paraId="62C3E6CC" w14:textId="77777777" w:rsidR="0022085E" w:rsidRPr="00FC4420" w:rsidRDefault="0022085E" w:rsidP="0022085E">
      <w:pPr>
        <w:tabs>
          <w:tab w:val="left" w:pos="930"/>
        </w:tabs>
        <w:jc w:val="center"/>
        <w:rPr>
          <w:rFonts w:ascii="Times New Roman" w:hAnsi="Times New Roman" w:cs="Times New Roman"/>
          <w:b/>
          <w:lang w:val="en-GB"/>
        </w:rPr>
      </w:pPr>
    </w:p>
    <w:p w14:paraId="107A10CE" w14:textId="77777777" w:rsidR="0022085E" w:rsidRPr="00FC4420" w:rsidRDefault="0022085E" w:rsidP="0022085E">
      <w:pPr>
        <w:tabs>
          <w:tab w:val="left" w:pos="930"/>
        </w:tabs>
        <w:jc w:val="center"/>
        <w:rPr>
          <w:rFonts w:ascii="Times New Roman" w:hAnsi="Times New Roman" w:cs="Times New Roman"/>
          <w:b/>
          <w:lang w:val="en-GB"/>
        </w:rPr>
      </w:pPr>
    </w:p>
    <w:p w14:paraId="35E36981" w14:textId="77777777" w:rsidR="0022085E" w:rsidRPr="00FC4420" w:rsidRDefault="0022085E" w:rsidP="0022085E">
      <w:pPr>
        <w:tabs>
          <w:tab w:val="left" w:pos="930"/>
        </w:tabs>
        <w:jc w:val="center"/>
        <w:rPr>
          <w:rFonts w:ascii="Times New Roman" w:hAnsi="Times New Roman" w:cs="Times New Roman"/>
          <w:lang w:val="en-GB"/>
        </w:rPr>
      </w:pPr>
    </w:p>
    <w:p w14:paraId="70535C51" w14:textId="77777777" w:rsidR="0022085E" w:rsidRPr="00FC4420" w:rsidRDefault="0022085E" w:rsidP="0022085E">
      <w:pPr>
        <w:tabs>
          <w:tab w:val="left" w:pos="930"/>
        </w:tabs>
        <w:jc w:val="center"/>
        <w:rPr>
          <w:rFonts w:ascii="Times New Roman" w:hAnsi="Times New Roman" w:cs="Times New Roman"/>
          <w:lang w:val="en-GB"/>
        </w:rPr>
      </w:pPr>
    </w:p>
    <w:p w14:paraId="49098331" w14:textId="77777777" w:rsidR="0022085E" w:rsidRPr="00FC4420" w:rsidRDefault="0022085E" w:rsidP="0022085E">
      <w:pPr>
        <w:tabs>
          <w:tab w:val="left" w:pos="930"/>
        </w:tabs>
        <w:jc w:val="center"/>
        <w:rPr>
          <w:rFonts w:ascii="Times New Roman" w:hAnsi="Times New Roman" w:cs="Times New Roman"/>
          <w:lang w:val="en-GB"/>
        </w:rPr>
      </w:pPr>
    </w:p>
    <w:p w14:paraId="0CFABAB5" w14:textId="77777777" w:rsidR="0022085E" w:rsidRPr="00FC4420" w:rsidRDefault="0022085E" w:rsidP="0022085E">
      <w:pPr>
        <w:tabs>
          <w:tab w:val="left" w:pos="930"/>
        </w:tabs>
        <w:jc w:val="center"/>
        <w:rPr>
          <w:rFonts w:ascii="Times New Roman" w:hAnsi="Times New Roman" w:cs="Times New Roman"/>
          <w:lang w:val="en-GB"/>
        </w:rPr>
      </w:pPr>
    </w:p>
    <w:p w14:paraId="09D9654F" w14:textId="77777777" w:rsidR="0022085E" w:rsidRPr="00FC4420" w:rsidRDefault="0022085E" w:rsidP="0022085E">
      <w:pPr>
        <w:tabs>
          <w:tab w:val="left" w:pos="930"/>
        </w:tabs>
        <w:jc w:val="center"/>
        <w:rPr>
          <w:rFonts w:ascii="Times New Roman" w:hAnsi="Times New Roman" w:cs="Times New Roman"/>
          <w:lang w:val="en-GB"/>
        </w:rPr>
      </w:pPr>
    </w:p>
    <w:p w14:paraId="741039F9" w14:textId="77777777" w:rsidR="0022085E" w:rsidRPr="00FC4420" w:rsidRDefault="0022085E" w:rsidP="0022085E">
      <w:pPr>
        <w:tabs>
          <w:tab w:val="left" w:pos="930"/>
        </w:tabs>
        <w:jc w:val="center"/>
        <w:rPr>
          <w:rFonts w:ascii="Times New Roman" w:hAnsi="Times New Roman" w:cs="Times New Roman"/>
          <w:lang w:val="en-GB"/>
        </w:rPr>
      </w:pPr>
    </w:p>
    <w:p w14:paraId="2D8D0117" w14:textId="77777777" w:rsidR="0022085E" w:rsidRPr="00FC4420" w:rsidRDefault="0022085E" w:rsidP="0022085E">
      <w:pPr>
        <w:tabs>
          <w:tab w:val="left" w:pos="930"/>
        </w:tabs>
        <w:jc w:val="center"/>
        <w:rPr>
          <w:rFonts w:ascii="Times New Roman" w:hAnsi="Times New Roman" w:cs="Times New Roman"/>
          <w:lang w:val="en-GB"/>
        </w:rPr>
      </w:pPr>
    </w:p>
    <w:p w14:paraId="156F9DF5" w14:textId="77777777" w:rsidR="0022085E" w:rsidRPr="00FC4420" w:rsidRDefault="0022085E" w:rsidP="0022085E">
      <w:pPr>
        <w:tabs>
          <w:tab w:val="left" w:pos="930"/>
        </w:tabs>
        <w:jc w:val="center"/>
        <w:rPr>
          <w:rFonts w:ascii="Times New Roman" w:hAnsi="Times New Roman" w:cs="Times New Roman"/>
          <w:lang w:val="en-GB"/>
        </w:rPr>
      </w:pPr>
    </w:p>
    <w:p w14:paraId="760B883B" w14:textId="77777777" w:rsidR="0022085E" w:rsidRPr="00FC4420" w:rsidRDefault="0022085E" w:rsidP="0022085E">
      <w:pPr>
        <w:tabs>
          <w:tab w:val="left" w:pos="930"/>
        </w:tabs>
        <w:jc w:val="center"/>
        <w:rPr>
          <w:rFonts w:ascii="Times New Roman" w:hAnsi="Times New Roman" w:cs="Times New Roman"/>
          <w:lang w:val="en-GB"/>
        </w:rPr>
      </w:pPr>
    </w:p>
    <w:p w14:paraId="33764389" w14:textId="77777777" w:rsidR="0022085E" w:rsidRPr="00FC4420" w:rsidRDefault="0022085E" w:rsidP="0022085E">
      <w:pPr>
        <w:tabs>
          <w:tab w:val="left" w:pos="930"/>
        </w:tabs>
        <w:jc w:val="center"/>
        <w:rPr>
          <w:rFonts w:ascii="Times New Roman" w:hAnsi="Times New Roman" w:cs="Times New Roman"/>
          <w:lang w:val="en-GB"/>
        </w:rPr>
      </w:pPr>
    </w:p>
    <w:p w14:paraId="5B099B3C" w14:textId="77777777" w:rsidR="0022085E" w:rsidRDefault="0022085E" w:rsidP="0022085E">
      <w:pPr>
        <w:tabs>
          <w:tab w:val="left" w:pos="930"/>
        </w:tabs>
        <w:jc w:val="center"/>
        <w:rPr>
          <w:rFonts w:ascii="Times New Roman" w:hAnsi="Times New Roman" w:cs="Times New Roman"/>
          <w:lang w:val="en-GB"/>
        </w:rPr>
      </w:pPr>
    </w:p>
    <w:p w14:paraId="1A953D0B" w14:textId="77777777" w:rsidR="0022085E" w:rsidRDefault="0022085E" w:rsidP="0022085E">
      <w:pPr>
        <w:tabs>
          <w:tab w:val="left" w:pos="930"/>
        </w:tabs>
        <w:jc w:val="center"/>
        <w:rPr>
          <w:rFonts w:ascii="Times New Roman" w:hAnsi="Times New Roman" w:cs="Times New Roman"/>
          <w:lang w:val="en-GB"/>
        </w:rPr>
      </w:pPr>
    </w:p>
    <w:p w14:paraId="6A538637" w14:textId="77777777" w:rsidR="0022085E" w:rsidRPr="00FC4420" w:rsidRDefault="0022085E" w:rsidP="0022085E">
      <w:pPr>
        <w:tabs>
          <w:tab w:val="left" w:pos="930"/>
        </w:tabs>
        <w:jc w:val="center"/>
        <w:rPr>
          <w:rFonts w:ascii="Times New Roman" w:hAnsi="Times New Roman" w:cs="Times New Roman"/>
          <w:lang w:val="en-GB"/>
        </w:rPr>
      </w:pPr>
      <w:r w:rsidRPr="00FC4420">
        <w:rPr>
          <w:rFonts w:ascii="Times New Roman" w:hAnsi="Times New Roman" w:cs="Times New Roman"/>
          <w:lang w:val="en-GB"/>
        </w:rPr>
        <w:t>Fig. 11 a-b) The "T" niche on the south slope of Amik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"Amik"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w:t>
      </w:r>
    </w:p>
    <w:p w14:paraId="37C10169" w14:textId="669558FC" w:rsidR="0022085E" w:rsidRPr="00FC4420" w:rsidRDefault="0022085E" w:rsidP="0022085E">
      <w:pPr>
        <w:keepNext/>
        <w:keepLines/>
        <w:jc w:val="both"/>
        <w:outlineLvl w:val="2"/>
        <w:rPr>
          <w:rFonts w:ascii="Times New Roman" w:hAnsi="Times New Roman" w:cs="Times New Roman"/>
          <w:b/>
          <w:lang w:val="en-GB"/>
        </w:rPr>
      </w:pPr>
      <w:bookmarkStart w:id="197" w:name="_Toc132072576"/>
      <w:bookmarkStart w:id="198" w:name="_Toc173231274"/>
      <w:r w:rsidRPr="00FC4420">
        <w:rPr>
          <w:rFonts w:ascii="Times New Roman" w:hAnsi="Times New Roman" w:cs="Times New Roman"/>
          <w:b/>
          <w:lang w:val="en-GB"/>
        </w:rPr>
        <w:t>12.3.5. Körzüt</w:t>
      </w:r>
      <w:bookmarkEnd w:id="197"/>
      <w:bookmarkEnd w:id="198"/>
      <w:r>
        <w:rPr>
          <w:rFonts w:ascii="Times New Roman" w:hAnsi="Times New Roman" w:cs="Times New Roman"/>
          <w:b/>
          <w:lang w:val="en-GB"/>
        </w:rPr>
        <w:t xml:space="preserve"> </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"Körzüt" </w:instrText>
      </w:r>
      <w:r w:rsidRPr="00FC4420">
        <w:rPr>
          <w:rFonts w:ascii="Times New Roman" w:hAnsi="Times New Roman" w:cs="Times New Roman"/>
          <w:b/>
          <w:lang w:val="en-GB"/>
        </w:rPr>
        <w:fldChar w:fldCharType="end"/>
      </w:r>
    </w:p>
    <w:p w14:paraId="370A92EF" w14:textId="1AF57FCB" w:rsidR="0022085E" w:rsidRPr="00FC4420" w:rsidRDefault="0022085E" w:rsidP="0022085E">
      <w:pPr>
        <w:keepNext/>
        <w:keepLines/>
        <w:jc w:val="both"/>
        <w:outlineLvl w:val="2"/>
        <w:rPr>
          <w:rFonts w:ascii="Times New Roman" w:hAnsi="Times New Roman" w:cs="Times New Roman"/>
          <w:lang w:val="en-GB"/>
        </w:rPr>
      </w:pPr>
      <w:bookmarkStart w:id="199" w:name="_Toc173231275"/>
      <w:r w:rsidRPr="00FC4420">
        <w:rPr>
          <w:rFonts w:ascii="Times New Roman" w:hAnsi="Times New Roman" w:cs="Times New Roman"/>
          <w:lang w:val="en-GB"/>
        </w:rPr>
        <w:t>The southern slope of Körzüt</w:t>
      </w:r>
      <w:r w:rsidRPr="00FC4420">
        <w:rPr>
          <w:rFonts w:ascii="Times New Roman" w:eastAsia="Calibri" w:hAnsi="Times New Roman" w:cs="Times New Roman"/>
          <w:lang w:val="en-GB"/>
        </w:rPr>
        <w:t>/</w:t>
      </w:r>
      <w:r w:rsidRPr="00FC4420">
        <w:rPr>
          <w:rFonts w:ascii="Times New Roman" w:hAnsi="Times New Roman" w:cs="Times New Roman"/>
          <w:lang w:val="en-GB"/>
        </w:rPr>
        <w:t>Pértak</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"Pértak"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which is one of the most prominent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fortresses in the Muradiye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"Muradiye"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plain, features a rock work that was initially described by Işık as only a rock bowl and a rock apse (Işık, 1995a: 16/Abb.61). However, upon closer examination, it became apparent that there is actually craftsmanship present in the "T" shaped niche tradition. The recess in the upper part and the niche arms that continue </w:t>
      </w:r>
      <w:r w:rsidRPr="00FC4420">
        <w:rPr>
          <w:rFonts w:ascii="Times New Roman" w:eastAsia="Calibri" w:hAnsi="Times New Roman" w:cs="Times New Roman"/>
          <w:lang w:val="en-GB"/>
        </w:rPr>
        <w:t xml:space="preserve">on </w:t>
      </w:r>
      <w:r w:rsidRPr="00FC4420">
        <w:rPr>
          <w:rFonts w:ascii="Times New Roman" w:hAnsi="Times New Roman" w:cs="Times New Roman"/>
          <w:lang w:val="en-GB"/>
        </w:rPr>
        <w:t xml:space="preserve">both sides are evident, even though the workmanship is coarser </w:t>
      </w:r>
      <w:r w:rsidRPr="00FC4420">
        <w:rPr>
          <w:rFonts w:ascii="Times New Roman" w:eastAsia="Calibri" w:hAnsi="Times New Roman" w:cs="Times New Roman"/>
          <w:lang w:val="en-GB"/>
        </w:rPr>
        <w:t>than</w:t>
      </w:r>
      <w:r w:rsidRPr="00FC4420">
        <w:rPr>
          <w:rFonts w:ascii="Times New Roman" w:hAnsi="Times New Roman" w:cs="Times New Roman"/>
          <w:lang w:val="en-GB"/>
        </w:rPr>
        <w:t xml:space="preserve"> other examples.</w:t>
      </w:r>
      <w:bookmarkEnd w:id="199"/>
    </w:p>
    <w:p w14:paraId="26E7B4CA" w14:textId="57346058" w:rsidR="0022085E" w:rsidRPr="00FC4420" w:rsidRDefault="0022085E" w:rsidP="0022085E">
      <w:pPr>
        <w:keepNext/>
        <w:keepLines/>
        <w:jc w:val="both"/>
        <w:outlineLvl w:val="2"/>
        <w:rPr>
          <w:rFonts w:ascii="Times New Roman" w:hAnsi="Times New Roman" w:cs="Times New Roman"/>
          <w:b/>
          <w:lang w:val="en-GB"/>
        </w:rPr>
      </w:pPr>
      <w:bookmarkStart w:id="200" w:name="_Toc132072577"/>
      <w:bookmarkStart w:id="201" w:name="_Toc173231276"/>
      <w:r w:rsidRPr="00FC4420">
        <w:rPr>
          <w:rFonts w:ascii="Times New Roman" w:hAnsi="Times New Roman" w:cs="Times New Roman"/>
          <w:b/>
          <w:lang w:val="en-GB"/>
        </w:rPr>
        <w:t>12.3.6. Zernaki Tepe</w:t>
      </w:r>
      <w:bookmarkEnd w:id="200"/>
      <w:bookmarkEnd w:id="201"/>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"Zernaki Tepe"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w:t>
      </w:r>
    </w:p>
    <w:p w14:paraId="220F76C9" w14:textId="77777777" w:rsidR="0022085E" w:rsidRDefault="0022085E" w:rsidP="0022085E">
      <w:pPr>
        <w:jc w:val="both"/>
        <w:rPr>
          <w:rFonts w:ascii="Times New Roman" w:hAnsi="Times New Roman" w:cs="Times New Roman"/>
          <w:lang w:val="en-GB"/>
        </w:rPr>
      </w:pPr>
      <w:r w:rsidRPr="00FC4420">
        <w:rPr>
          <w:rFonts w:ascii="Times New Roman" w:hAnsi="Times New Roman" w:cs="Times New Roman"/>
          <w:lang w:val="en-GB"/>
        </w:rPr>
        <w:t>Zernaki</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originally </w:t>
      </w:r>
      <w:r w:rsidRPr="00FC4420">
        <w:rPr>
          <w:rFonts w:ascii="Times New Roman" w:eastAsia="Calibri" w:hAnsi="Times New Roman" w:cs="Times New Roman"/>
          <w:lang w:val="en-GB"/>
        </w:rPr>
        <w:t>named</w:t>
      </w:r>
      <w:r w:rsidRPr="00FC4420">
        <w:rPr>
          <w:rFonts w:ascii="Times New Roman" w:hAnsi="Times New Roman" w:cs="Times New Roman"/>
          <w:lang w:val="en-GB"/>
        </w:rPr>
        <w:t xml:space="preserve"> Zırneqo</w:t>
      </w:r>
      <w:r w:rsidRPr="00FC4420">
        <w:rPr>
          <w:rFonts w:ascii="Times New Roman" w:eastAsia="Calibri" w:hAnsi="Times New Roman" w:cs="Times New Roman"/>
          <w:lang w:val="en-GB"/>
        </w:rPr>
        <w: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"Zırneqo"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is another site in the Van Lake</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"Van Lake"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basin where "T" shaped niches have been identified (Genç, 2018b). The site is located approximately 4 km from the town of Erciş</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Erciş</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in the Van province. </w:t>
      </w:r>
      <w:r>
        <w:rPr>
          <w:rFonts w:ascii="Times New Roman" w:hAnsi="Times New Roman" w:cs="Times New Roman"/>
          <w:lang w:val="en-GB"/>
        </w:rPr>
        <w:t>“</w:t>
      </w:r>
      <w:r w:rsidRPr="00FC4420">
        <w:rPr>
          <w:rFonts w:ascii="Times New Roman" w:hAnsi="Times New Roman" w:cs="Times New Roman"/>
          <w:lang w:val="en-GB"/>
        </w:rPr>
        <w:t>T</w:t>
      </w:r>
      <w:r>
        <w:rPr>
          <w:rFonts w:ascii="Times New Roman" w:hAnsi="Times New Roman" w:cs="Times New Roman"/>
          <w:lang w:val="en-GB"/>
        </w:rPr>
        <w:t>”</w:t>
      </w:r>
      <w:r w:rsidRPr="00FC4420">
        <w:rPr>
          <w:rFonts w:ascii="Times New Roman" w:hAnsi="Times New Roman" w:cs="Times New Roman"/>
          <w:lang w:val="en-GB"/>
        </w:rPr>
        <w:t xml:space="preserve"> niche was discovered together with two rock tombs on the western skirts of the limestone cliff of Zernaki Tepe</w:t>
      </w:r>
      <w:r w:rsidRPr="00FC4420">
        <w:rPr>
          <w:rFonts w:ascii="Times New Roman" w:eastAsia="Calibri" w:hAnsi="Times New Roman" w:cs="Times New Roman"/>
          <w:lang w:val="en-GB"/>
        </w:rPr>
        <w:t xml:space="preserve">,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"Zernaki 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which is just north of the Van-Ağrı highway. The ground</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level </w:t>
      </w:r>
      <w:r w:rsidRPr="00FC4420">
        <w:rPr>
          <w:rFonts w:ascii="Times New Roman" w:eastAsia="Calibri" w:hAnsi="Times New Roman" w:cs="Times New Roman"/>
          <w:lang w:val="en-GB"/>
        </w:rPr>
        <w:t xml:space="preserve">niche </w:t>
      </w:r>
      <w:r w:rsidRPr="00FC4420">
        <w:rPr>
          <w:rFonts w:ascii="Times New Roman" w:hAnsi="Times New Roman" w:cs="Times New Roman"/>
          <w:lang w:val="en-GB"/>
        </w:rPr>
        <w:t xml:space="preserve">is 300 m south of the rock tombs (Çavuşoğlu, 2006: 89-91, Fig. 1, 4, 8). The “T” shaped niche </w:t>
      </w:r>
      <w:r w:rsidRPr="00FC4420">
        <w:rPr>
          <w:rFonts w:ascii="Times New Roman" w:eastAsia="Calibri" w:hAnsi="Times New Roman" w:cs="Times New Roman"/>
          <w:lang w:val="en-GB"/>
        </w:rPr>
        <w:t xml:space="preserve">is </w:t>
      </w:r>
      <w:r w:rsidRPr="00FC4420">
        <w:rPr>
          <w:rFonts w:ascii="Times New Roman" w:hAnsi="Times New Roman" w:cs="Times New Roman"/>
          <w:lang w:val="en-GB"/>
        </w:rPr>
        <w:t>filled with stones and earth; it is 1.30 m high, 95 cm wide</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and 60 cm deep. The upper part has a circular section of 2.10 m in length and 30 cm in diameter.</w:t>
      </w:r>
    </w:p>
    <w:p w14:paraId="464CC8D9" w14:textId="77777777" w:rsidR="0022085E" w:rsidRPr="00FC4420" w:rsidRDefault="0022085E" w:rsidP="0022085E">
      <w:pPr>
        <w:jc w:val="both"/>
        <w:rPr>
          <w:rFonts w:ascii="Times New Roman" w:hAnsi="Times New Roman" w:cs="Times New Roman"/>
          <w:lang w:val="en-GB"/>
        </w:rPr>
      </w:pPr>
    </w:p>
    <w:p w14:paraId="4F7E520E" w14:textId="0F60E265" w:rsidR="0022085E" w:rsidRPr="00FC4420" w:rsidRDefault="0022085E" w:rsidP="0022085E">
      <w:pPr>
        <w:keepNext/>
        <w:keepLines/>
        <w:jc w:val="both"/>
        <w:outlineLvl w:val="2"/>
        <w:rPr>
          <w:rFonts w:ascii="Times New Roman" w:hAnsi="Times New Roman" w:cs="Times New Roman"/>
          <w:lang w:val="en-GB"/>
        </w:rPr>
      </w:pPr>
      <w:bookmarkStart w:id="202" w:name="_Toc132072578"/>
      <w:bookmarkStart w:id="203" w:name="_Toc173231277"/>
      <w:r w:rsidRPr="00FC4420">
        <w:rPr>
          <w:rFonts w:ascii="Times New Roman" w:hAnsi="Times New Roman" w:cs="Times New Roman"/>
          <w:b/>
          <w:lang w:val="en-GB"/>
        </w:rPr>
        <w:t>12.3.7. Madavank</w:t>
      </w:r>
      <w:bookmarkEnd w:id="202"/>
      <w:bookmarkEnd w:id="203"/>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"Madavank" </w:instrText>
      </w:r>
      <w:r w:rsidRPr="00FC4420">
        <w:rPr>
          <w:rFonts w:ascii="Times New Roman" w:hAnsi="Times New Roman" w:cs="Times New Roman"/>
          <w:b/>
          <w:lang w:val="en-GB"/>
        </w:rPr>
        <w:fldChar w:fldCharType="end"/>
      </w:r>
      <w:r w:rsidRPr="00FC4420">
        <w:rPr>
          <w:rFonts w:ascii="Times New Roman" w:hAnsi="Times New Roman" w:cs="Times New Roman"/>
          <w:lang w:val="en-GB"/>
        </w:rPr>
        <w:t xml:space="preserve"> </w:t>
      </w:r>
    </w:p>
    <w:p w14:paraId="3C1EB7FB" w14:textId="77777777" w:rsidR="0022085E" w:rsidRDefault="0022085E" w:rsidP="0022085E">
      <w:pPr>
        <w:jc w:val="both"/>
        <w:rPr>
          <w:rFonts w:ascii="Times New Roman" w:hAnsi="Times New Roman" w:cs="Times New Roman"/>
          <w:lang w:val="en-GB"/>
        </w:rPr>
      </w:pPr>
      <w:r w:rsidRPr="00FC4420">
        <w:rPr>
          <w:rFonts w:ascii="Times New Roman" w:hAnsi="Times New Roman" w:cs="Times New Roman"/>
          <w:lang w:val="en-GB"/>
        </w:rPr>
        <w:t>Madavank</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"Madavank"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is a site located approximately 12 km southwest of Erciş</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Erciş</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on the northern shore of Van Lake</w:t>
      </w:r>
      <w:r w:rsidRPr="00FC4420">
        <w:rPr>
          <w:rFonts w:ascii="Times New Roman" w:eastAsia="Calibri" w:hAnsi="Times New Roman" w:cs="Times New Roman"/>
          <w:lang w:val="en-GB"/>
        </w:rPr>
        <w:t> </w:t>
      </w:r>
      <w:r w:rsidRPr="00FC4420">
        <w:rPr>
          <w:rFonts w:ascii="Times New Roman" w:hAnsi="Times New Roman" w:cs="Times New Roman"/>
          <w:lang w:val="en-GB"/>
        </w:rPr>
        <w:t>and 3 km south of Çelebibağı</w:t>
      </w:r>
      <w:r w:rsidRPr="00FC4420">
        <w:rPr>
          <w:rFonts w:ascii="Times New Roman" w:eastAsia="Calibri" w:hAnsi="Times New Roman" w:cs="Times New Roman"/>
          <w:lang w:val="en-GB"/>
        </w:rPr>
        <w: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"Çelebibağı"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The site features two "T" shaped niches that were documented in an area where there are </w:t>
      </w:r>
      <w:r w:rsidRPr="00FC4420">
        <w:rPr>
          <w:rFonts w:ascii="Times New Roman" w:eastAsia="Calibri" w:hAnsi="Times New Roman" w:cs="Times New Roman"/>
          <w:lang w:val="en-GB"/>
        </w:rPr>
        <w:t>five</w:t>
      </w:r>
      <w:r w:rsidRPr="00FC4420">
        <w:rPr>
          <w:rFonts w:ascii="Times New Roman" w:hAnsi="Times New Roman" w:cs="Times New Roman"/>
          <w:lang w:val="en-GB"/>
        </w:rPr>
        <w:t xml:space="preserve"> rock tombs and an open-air temple, according to Çavuşoğlu's research (Çavuşoğlu, 2003: 143, 147, 156; Fig. 11, 13). “T” shaped niches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were carved into the south face of a limestone rock extending northeast-southwest towards the lake shore, where rock tombs are also located. Two examples evaluated </w:t>
      </w:r>
      <w:r w:rsidRPr="00FC4420">
        <w:rPr>
          <w:rFonts w:ascii="Times New Roman" w:eastAsia="Calibri" w:hAnsi="Times New Roman" w:cs="Times New Roman"/>
          <w:lang w:val="en-GB"/>
        </w:rPr>
        <w:t>about</w:t>
      </w:r>
      <w:r w:rsidRPr="00FC4420">
        <w:rPr>
          <w:rFonts w:ascii="Times New Roman" w:hAnsi="Times New Roman" w:cs="Times New Roman"/>
          <w:lang w:val="en-GB"/>
        </w:rPr>
        <w:t xml:space="preserve"> tombs IV and V in this area are below these rock tombs and at ground level. These niches appear as unattractive examples in terms of rock work. These niches, of which no information is given about their </w:t>
      </w:r>
      <w:r w:rsidRPr="00FC4420">
        <w:rPr>
          <w:rFonts w:ascii="Times New Roman" w:hAnsi="Times New Roman" w:cs="Times New Roman"/>
          <w:lang w:val="en-GB"/>
        </w:rPr>
        <w:lastRenderedPageBreak/>
        <w:t xml:space="preserve">dimensions, were taken into consideration as an </w:t>
      </w:r>
      <w:r w:rsidRPr="00FC4420">
        <w:rPr>
          <w:rFonts w:ascii="Times New Roman" w:eastAsia="Calibri" w:hAnsi="Times New Roman" w:cs="Times New Roman"/>
          <w:lang w:val="en-GB"/>
        </w:rPr>
        <w:t>essential</w:t>
      </w:r>
      <w:r w:rsidRPr="00FC4420">
        <w:rPr>
          <w:rFonts w:ascii="Times New Roman" w:hAnsi="Times New Roman" w:cs="Times New Roman"/>
          <w:lang w:val="en-GB"/>
        </w:rPr>
        <w:t xml:space="preserve"> criterion in dating the rock tombs to the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period (Erdoğan, 2017: 96). Finally, due to the decrease in the water level in Van Lake</w:t>
      </w:r>
      <w:r w:rsidRPr="00FC4420">
        <w:rPr>
          <w:rFonts w:ascii="Times New Roman" w:eastAsia="Calibri" w:hAnsi="Times New Roman" w:cs="Times New Roman"/>
          <w:lang w:val="en-GB"/>
        </w:rPr>
        <w:t xml:space="preserve"> three</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"Van Lake"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3 new </w:t>
      </w:r>
      <w:r>
        <w:rPr>
          <w:rFonts w:ascii="Times New Roman" w:hAnsi="Times New Roman" w:cs="Times New Roman"/>
          <w:lang w:val="en-GB"/>
        </w:rPr>
        <w:t>“</w:t>
      </w:r>
      <w:r w:rsidRPr="00FC4420">
        <w:rPr>
          <w:rFonts w:ascii="Times New Roman" w:hAnsi="Times New Roman" w:cs="Times New Roman"/>
          <w:lang w:val="en-GB"/>
        </w:rPr>
        <w:t>T</w:t>
      </w:r>
      <w:r>
        <w:rPr>
          <w:rFonts w:ascii="Times New Roman" w:hAnsi="Times New Roman" w:cs="Times New Roman"/>
          <w:lang w:val="en-GB"/>
        </w:rPr>
        <w:t>”</w:t>
      </w:r>
      <w:r w:rsidRPr="00FC4420">
        <w:rPr>
          <w:rFonts w:ascii="Times New Roman" w:hAnsi="Times New Roman" w:cs="Times New Roman"/>
          <w:lang w:val="en-GB"/>
        </w:rPr>
        <w:t xml:space="preserve"> shaped niches were identified in this region</w:t>
      </w:r>
      <w:r w:rsidRPr="00FC4420">
        <w:rPr>
          <w:rStyle w:val="DipnotBavurusu"/>
          <w:rFonts w:ascii="Times New Roman" w:hAnsi="Times New Roman" w:cs="Times New Roman"/>
          <w:lang w:val="en-GB"/>
        </w:rPr>
        <w:footnoteReference w:id="68"/>
      </w:r>
      <w:r w:rsidRPr="00FC4420">
        <w:rPr>
          <w:rFonts w:ascii="Times New Roman" w:hAnsi="Times New Roman" w:cs="Times New Roman"/>
          <w:lang w:val="en-GB"/>
        </w:rPr>
        <w:t>. These niches are on the eastern extension of the Madavank Rock, descending towards the lake, and just at the shore level (Fig. 12/a-b).</w:t>
      </w:r>
    </w:p>
    <w:p w14:paraId="0184EA4F" w14:textId="77777777" w:rsidR="0022085E" w:rsidRPr="00FC4420" w:rsidRDefault="0022085E" w:rsidP="0022085E">
      <w:pPr>
        <w:jc w:val="both"/>
        <w:rPr>
          <w:rFonts w:ascii="Times New Roman" w:hAnsi="Times New Roman" w:cs="Times New Roman"/>
          <w:lang w:val="en-GB"/>
        </w:rPr>
      </w:pPr>
    </w:p>
    <w:p w14:paraId="000A66DA" w14:textId="61CB271F" w:rsidR="0022085E" w:rsidRPr="0022085E" w:rsidRDefault="0022085E" w:rsidP="0022085E">
      <w:pPr>
        <w:keepNext/>
        <w:keepLines/>
        <w:jc w:val="both"/>
        <w:outlineLvl w:val="2"/>
        <w:rPr>
          <w:rFonts w:ascii="Times New Roman" w:hAnsi="Times New Roman" w:cs="Times New Roman"/>
          <w:b/>
          <w:lang w:val="en-GB"/>
        </w:rPr>
      </w:pPr>
      <w:bookmarkStart w:id="204" w:name="_Toc132072579"/>
      <w:bookmarkStart w:id="205" w:name="_Toc173231278"/>
      <w:r w:rsidRPr="00FC4420">
        <w:rPr>
          <w:rFonts w:ascii="Times New Roman" w:hAnsi="Times New Roman" w:cs="Times New Roman"/>
          <w:b/>
          <w:lang w:val="en-GB"/>
        </w:rPr>
        <w:t>12.3.8. Ava-Déré</w:t>
      </w:r>
      <w:bookmarkEnd w:id="204"/>
      <w:bookmarkEnd w:id="205"/>
      <w:r>
        <w:rPr>
          <w:rFonts w:ascii="Times New Roman" w:hAnsi="Times New Roman" w:cs="Times New Roman"/>
          <w:b/>
          <w:lang w:val="en-GB"/>
        </w:rPr>
        <w:t xml:space="preserve"> </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"Ava-Déré" </w:instrText>
      </w:r>
      <w:r w:rsidRPr="00FC4420">
        <w:rPr>
          <w:rFonts w:ascii="Times New Roman" w:hAnsi="Times New Roman" w:cs="Times New Roman"/>
          <w:b/>
          <w:lang w:val="en-GB"/>
        </w:rPr>
        <w:fldChar w:fldCharType="end"/>
      </w:r>
    </w:p>
    <w:p w14:paraId="2A186C4C" w14:textId="77777777" w:rsidR="0022085E" w:rsidRDefault="0022085E" w:rsidP="0022085E">
      <w:pPr>
        <w:jc w:val="both"/>
        <w:rPr>
          <w:rFonts w:ascii="Times New Roman" w:hAnsi="Times New Roman" w:cs="Times New Roman"/>
          <w:lang w:val="en-GB"/>
        </w:rPr>
      </w:pPr>
      <w:r w:rsidRPr="00FC4420">
        <w:rPr>
          <w:rFonts w:ascii="Times New Roman" w:hAnsi="Times New Roman" w:cs="Times New Roman"/>
          <w:lang w:val="en-GB"/>
        </w:rPr>
        <w:t>It is located 1 km northwest of Tewledér</w:t>
      </w:r>
      <w:r w:rsidRPr="00FC4420">
        <w:rPr>
          <w:rFonts w:ascii="Times New Roman" w:eastAsia="Calibri" w:hAnsi="Times New Roman" w:cs="Times New Roman"/>
          <w:lang w:val="en-GB"/>
        </w:rPr>
        <w:t> </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Tewledér</w:instrText>
      </w:r>
      <w:r w:rsidRPr="00FC4420">
        <w:rPr>
          <w:rFonts w:ascii="Times New Roman" w:hAnsi="Times New Roman" w:cs="Times New Roman"/>
          <w:lang w:val="en-GB"/>
        </w:rPr>
        <w:instrText xml:space="preserve">" </w:instrText>
      </w:r>
      <w:r w:rsidRPr="00FC4420">
        <w:rPr>
          <w:rFonts w:ascii="Times New Roman" w:eastAsia="Calibri" w:hAnsi="Times New Roman" w:cs="Times New Roman"/>
          <w:lang w:val="en-GB"/>
        </w:rPr>
        <w:fldChar w:fldCharType="end"/>
      </w:r>
      <w:r w:rsidRPr="00FC4420">
        <w:rPr>
          <w:rFonts w:ascii="Times New Roman" w:hAnsi="Times New Roman" w:cs="Times New Roman"/>
          <w:lang w:val="en-GB"/>
        </w:rPr>
        <w:t>(Düvenci</w:t>
      </w:r>
      <w:r w:rsidRPr="00FC4420">
        <w:rPr>
          <w:rFonts w:ascii="Times New Roman" w:eastAsia="Calibri" w:hAnsi="Times New Roman" w:cs="Times New Roman"/>
          <w:lang w:val="en-GB"/>
        </w:rPr>
        <w:t>),</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Düvenci</w:instrText>
      </w:r>
      <w:r w:rsidRPr="00FC4420">
        <w:rPr>
          <w:rFonts w:ascii="Times New Roman" w:hAnsi="Times New Roman" w:cs="Times New Roman"/>
          <w:lang w:val="en-GB"/>
        </w:rPr>
        <w:instrText xml:space="preserve">" </w:instrText>
      </w:r>
      <w:r w:rsidRPr="00FC4420">
        <w:rPr>
          <w:rFonts w:ascii="Times New Roman" w:eastAsia="Calibri" w:hAnsi="Times New Roman" w:cs="Times New Roman"/>
          <w:lang w:val="en-GB"/>
        </w:rPr>
        <w:fldChar w:fldCharType="end"/>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which is about 18 km northwest of Erciş</w:t>
      </w:r>
      <w:r w:rsidRPr="00FC4420">
        <w:rPr>
          <w:rFonts w:ascii="Times New Roman" w:eastAsia="Calibri" w:hAnsi="Times New Roman" w:cs="Times New Roman"/>
          <w:lang w:val="en-GB"/>
        </w:rPr>
        <w:t> </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Erciş</w:instrText>
      </w:r>
      <w:r w:rsidRPr="00FC4420">
        <w:rPr>
          <w:rFonts w:ascii="Times New Roman" w:hAnsi="Times New Roman" w:cs="Times New Roman"/>
          <w:lang w:val="en-GB"/>
        </w:rPr>
        <w:instrText xml:space="preserve">" </w:instrText>
      </w:r>
      <w:r w:rsidRPr="00FC4420">
        <w:rPr>
          <w:rFonts w:ascii="Times New Roman" w:eastAsia="Calibri" w:hAnsi="Times New Roman" w:cs="Times New Roman"/>
          <w:lang w:val="en-GB"/>
        </w:rPr>
        <w:fldChar w:fldCharType="end"/>
      </w:r>
      <w:r w:rsidRPr="00FC4420">
        <w:rPr>
          <w:rFonts w:ascii="Times New Roman" w:eastAsia="Calibri" w:hAnsi="Times New Roman" w:cs="Times New Roman"/>
          <w:lang w:val="en-GB"/>
        </w:rPr>
        <w:t xml:space="preserve"> </w:t>
      </w:r>
      <w:r w:rsidRPr="00FC4420">
        <w:rPr>
          <w:rFonts w:ascii="Times New Roman" w:hAnsi="Times New Roman" w:cs="Times New Roman"/>
          <w:lang w:val="en-GB"/>
        </w:rPr>
        <w:t>Province, in a narrow valley where Ava-Déré</w:t>
      </w:r>
      <w:r w:rsidRPr="00FC4420">
        <w:rPr>
          <w:rFonts w:ascii="Times New Roman" w:eastAsia="Calibri" w:hAnsi="Times New Roman" w:cs="Times New Roman"/>
          <w:lang w:val="en-GB"/>
        </w:rPr>
        <w:t> </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XE "Ava-Déré" </w:instrText>
      </w:r>
      <w:r w:rsidRPr="00FC4420">
        <w:rPr>
          <w:rFonts w:ascii="Times New Roman" w:eastAsia="Calibri" w:hAnsi="Times New Roman" w:cs="Times New Roman"/>
          <w:lang w:val="en-GB"/>
        </w:rPr>
        <w:fldChar w:fldCharType="end"/>
      </w:r>
      <w:r w:rsidRPr="00FC4420">
        <w:rPr>
          <w:rFonts w:ascii="Times New Roman" w:eastAsia="Calibri" w:hAnsi="Times New Roman" w:cs="Times New Roman"/>
          <w:lang w:val="en-GB"/>
        </w:rPr>
        <w:t xml:space="preserve"> </w:t>
      </w:r>
      <w:r w:rsidRPr="00FC4420">
        <w:rPr>
          <w:rFonts w:ascii="Times New Roman" w:hAnsi="Times New Roman" w:cs="Times New Roman"/>
          <w:lang w:val="en-GB"/>
        </w:rPr>
        <w:t xml:space="preserve">flows and close to the ruins of a church that was destroyed to its foundations. </w:t>
      </w:r>
      <w:r w:rsidRPr="00FC4420">
        <w:rPr>
          <w:rFonts w:ascii="Times New Roman" w:eastAsia="Calibri" w:hAnsi="Times New Roman" w:cs="Times New Roman"/>
          <w:lang w:val="en-GB"/>
        </w:rPr>
        <w:t>The “T” niche</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“T</w:instrText>
      </w:r>
      <w:r w:rsidRPr="00FC4420">
        <w:rPr>
          <w:rFonts w:ascii="Times New Roman" w:hAnsi="Times New Roman" w:cs="Times New Roman"/>
          <w:lang w:val="en-GB"/>
        </w:rPr>
        <w:instrText>\</w:instrText>
      </w:r>
      <w:r w:rsidRPr="00FC4420">
        <w:rPr>
          <w:rFonts w:ascii="Times New Roman" w:eastAsia="Calibri" w:hAnsi="Times New Roman" w:cs="Times New Roman"/>
          <w:lang w:val="en-GB"/>
        </w:rPr>
        <w:instrText>” niche</w:instrText>
      </w:r>
      <w:r w:rsidRPr="00FC4420">
        <w:rPr>
          <w:rFonts w:ascii="Times New Roman" w:hAnsi="Times New Roman" w:cs="Times New Roman"/>
          <w:lang w:val="en-GB"/>
        </w:rPr>
        <w:instrText xml:space="preserve">" </w:instrText>
      </w:r>
      <w:r w:rsidRPr="00FC4420">
        <w:rPr>
          <w:rFonts w:ascii="Times New Roman" w:eastAsia="Calibri" w:hAnsi="Times New Roman" w:cs="Times New Roman"/>
          <w:lang w:val="en-GB"/>
        </w:rPr>
        <w:fldChar w:fldCharType="end"/>
      </w:r>
      <w:r w:rsidRPr="00FC4420">
        <w:rPr>
          <w:rFonts w:ascii="Times New Roman" w:eastAsia="Calibri" w:hAnsi="Times New Roman" w:cs="Times New Roman"/>
          <w:lang w:val="en-GB"/>
        </w:rPr>
        <w:t xml:space="preserve"> </w:t>
      </w:r>
      <w:r w:rsidRPr="00FC4420">
        <w:rPr>
          <w:rFonts w:ascii="Times New Roman" w:hAnsi="Times New Roman" w:cs="Times New Roman"/>
          <w:lang w:val="en-GB"/>
        </w:rPr>
        <w:t>was carved on the northern facade of a freestanding rock on the south side of a narrow valley through which the creek</w:t>
      </w:r>
      <w:r w:rsidRPr="00FC4420">
        <w:rPr>
          <w:rFonts w:ascii="Times New Roman" w:eastAsia="Calibri" w:hAnsi="Times New Roman" w:cs="Times New Roman"/>
          <w:lang w:val="en-GB"/>
        </w:rPr>
        <w:t xml:space="preserve"> above</w:t>
      </w:r>
      <w:r w:rsidRPr="00FC4420">
        <w:rPr>
          <w:rFonts w:ascii="Times New Roman" w:hAnsi="Times New Roman" w:cs="Times New Roman"/>
          <w:lang w:val="en-GB"/>
        </w:rPr>
        <w:t xml:space="preserve"> flows (Fig. 12/c-d). The vertical extension of the "T" niche cannot be seen due to the creek water and stone filling. Its horizontal arm is 150 cm long, while </w:t>
      </w:r>
      <w:r w:rsidRPr="00FC4420">
        <w:rPr>
          <w:rFonts w:ascii="Times New Roman" w:eastAsia="Calibri" w:hAnsi="Times New Roman" w:cs="Times New Roman"/>
          <w:lang w:val="en-GB"/>
        </w:rPr>
        <w:t>its</w:t>
      </w:r>
      <w:r w:rsidRPr="00FC4420">
        <w:rPr>
          <w:rFonts w:ascii="Times New Roman" w:hAnsi="Times New Roman" w:cs="Times New Roman"/>
          <w:lang w:val="en-GB"/>
        </w:rPr>
        <w:t xml:space="preserve"> current vertical extension </w:t>
      </w:r>
      <w:r w:rsidRPr="00FC4420">
        <w:rPr>
          <w:rFonts w:ascii="Times New Roman" w:eastAsia="Calibri" w:hAnsi="Times New Roman" w:cs="Times New Roman"/>
          <w:lang w:val="en-GB"/>
        </w:rPr>
        <w:t xml:space="preserve">height </w:t>
      </w:r>
      <w:r w:rsidRPr="00FC4420">
        <w:rPr>
          <w:rFonts w:ascii="Times New Roman" w:hAnsi="Times New Roman" w:cs="Times New Roman"/>
          <w:lang w:val="en-GB"/>
        </w:rPr>
        <w:t>is 75 cm. Just opposite this T niche</w:t>
      </w:r>
      <w:r w:rsidRPr="00FC4420">
        <w:rPr>
          <w:rFonts w:ascii="Times New Roman" w:eastAsia="Calibri" w:hAnsi="Times New Roman" w:cs="Times New Roman"/>
          <w:lang w:val="en-GB"/>
        </w:rPr>
        <w:t xml:space="preserve"> </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T niche</w:instrText>
      </w:r>
      <w:r w:rsidRPr="00FC4420">
        <w:rPr>
          <w:rFonts w:ascii="Times New Roman" w:hAnsi="Times New Roman" w:cs="Times New Roman"/>
          <w:lang w:val="en-GB"/>
        </w:rPr>
        <w:instrText xml:space="preserve">" </w:instrText>
      </w:r>
      <w:r w:rsidRPr="00FC4420">
        <w:rPr>
          <w:rFonts w:ascii="Times New Roman" w:eastAsia="Calibri" w:hAnsi="Times New Roman" w:cs="Times New Roman"/>
          <w:lang w:val="en-GB"/>
        </w:rPr>
        <w:fldChar w:fldCharType="end"/>
      </w:r>
      <w:r w:rsidRPr="00FC4420">
        <w:rPr>
          <w:rFonts w:ascii="Times New Roman" w:eastAsia="Calibri" w:hAnsi="Times New Roman" w:cs="Times New Roman"/>
          <w:lang w:val="en-GB"/>
        </w:rPr>
        <w:t>, there is</w:t>
      </w:r>
      <w:r w:rsidRPr="00FC4420">
        <w:rPr>
          <w:rFonts w:ascii="Times New Roman" w:hAnsi="Times New Roman" w:cs="Times New Roman"/>
          <w:lang w:val="en-GB"/>
        </w:rPr>
        <w:t xml:space="preserve"> another broken T niche</w:t>
      </w:r>
      <w:r w:rsidRPr="00FC4420">
        <w:rPr>
          <w:rFonts w:ascii="Times New Roman" w:eastAsia="Calibri" w:hAnsi="Times New Roman" w:cs="Times New Roman"/>
          <w:lang w:val="en-GB"/>
        </w:rPr>
        <w:t xml:space="preserve"> is</w:t>
      </w:r>
      <w:r w:rsidRPr="00FC4420">
        <w:rPr>
          <w:rFonts w:ascii="Times New Roman" w:hAnsi="Times New Roman" w:cs="Times New Roman"/>
          <w:lang w:val="en-GB"/>
        </w:rPr>
        <w:t xml:space="preserve"> on an independent rock (Fig. 12/e).</w:t>
      </w:r>
    </w:p>
    <w:p w14:paraId="05FF74CF" w14:textId="77777777" w:rsidR="0022085E" w:rsidRDefault="0022085E" w:rsidP="0022085E">
      <w:pPr>
        <w:jc w:val="center"/>
        <w:rPr>
          <w:rFonts w:ascii="Times New Roman" w:hAnsi="Times New Roman" w:cs="Times New Roman"/>
          <w:lang w:val="en-GB"/>
        </w:rPr>
      </w:pPr>
      <w:r w:rsidRPr="00FC4420">
        <w:rPr>
          <w:rFonts w:ascii="Times New Roman" w:hAnsi="Times New Roman" w:cs="Times New Roman"/>
          <w:noProof/>
        </w:rPr>
        <w:lastRenderedPageBreak/>
        <w:drawing>
          <wp:anchor distT="0" distB="0" distL="114300" distR="114300" simplePos="0" relativeHeight="251939840" behindDoc="0" locked="0" layoutInCell="1" allowOverlap="1" wp14:anchorId="5B9A15D5" wp14:editId="414477D4">
            <wp:simplePos x="0" y="0"/>
            <wp:positionH relativeFrom="margin">
              <wp:align>center</wp:align>
            </wp:positionH>
            <wp:positionV relativeFrom="paragraph">
              <wp:posOffset>260985</wp:posOffset>
            </wp:positionV>
            <wp:extent cx="4907915" cy="6941185"/>
            <wp:effectExtent l="0" t="0" r="6985" b="0"/>
            <wp:wrapTopAndBottom/>
            <wp:docPr id="2017750125" name="Resim 12" descr="dış mekan, kaya, ekran görüntüsü,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50125" name="Resim 12" descr="dış mekan, kaya, ekran görüntüsü, yer içeren bir resim&#10;&#10;Açıklama otomatik olarak oluşturuldu"/>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4907915" cy="6941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30D81B" w14:textId="77777777" w:rsidR="0022085E" w:rsidRDefault="0022085E" w:rsidP="0022085E">
      <w:pPr>
        <w:jc w:val="center"/>
        <w:rPr>
          <w:rFonts w:ascii="Times New Roman" w:hAnsi="Times New Roman" w:cs="Times New Roman"/>
          <w:lang w:val="en-GB"/>
        </w:rPr>
      </w:pPr>
    </w:p>
    <w:p w14:paraId="50DF5268" w14:textId="77777777" w:rsidR="0022085E" w:rsidRDefault="0022085E" w:rsidP="0022085E">
      <w:pPr>
        <w:jc w:val="center"/>
        <w:rPr>
          <w:rFonts w:ascii="Times New Roman" w:hAnsi="Times New Roman" w:cs="Times New Roman"/>
          <w:lang w:val="en-GB"/>
        </w:rPr>
      </w:pPr>
    </w:p>
    <w:p w14:paraId="22694E61" w14:textId="77777777" w:rsidR="0022085E" w:rsidRDefault="0022085E" w:rsidP="0022085E">
      <w:pPr>
        <w:jc w:val="center"/>
        <w:rPr>
          <w:rFonts w:ascii="Times New Roman" w:hAnsi="Times New Roman" w:cs="Times New Roman"/>
          <w:lang w:val="en-GB"/>
        </w:rPr>
      </w:pPr>
      <w:r w:rsidRPr="00FC4420">
        <w:rPr>
          <w:rFonts w:ascii="Times New Roman" w:hAnsi="Times New Roman" w:cs="Times New Roman"/>
          <w:lang w:val="en-GB"/>
        </w:rPr>
        <w:t>Fig. 12 a-b) Madavank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"Madavank"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Rock as seen from the east and one of the </w:t>
      </w:r>
      <w:r>
        <w:rPr>
          <w:rFonts w:ascii="Times New Roman" w:hAnsi="Times New Roman" w:cs="Times New Roman"/>
          <w:lang w:val="en-GB"/>
        </w:rPr>
        <w:t>“</w:t>
      </w:r>
      <w:r w:rsidRPr="00FC4420">
        <w:rPr>
          <w:rFonts w:ascii="Times New Roman" w:hAnsi="Times New Roman" w:cs="Times New Roman"/>
          <w:lang w:val="en-GB"/>
        </w:rPr>
        <w:t>T</w:t>
      </w:r>
      <w:r>
        <w:rPr>
          <w:rFonts w:ascii="Times New Roman" w:hAnsi="Times New Roman" w:cs="Times New Roman"/>
          <w:lang w:val="en-GB"/>
        </w:rPr>
        <w:t>”</w:t>
      </w:r>
      <w:r w:rsidRPr="00FC4420">
        <w:rPr>
          <w:rFonts w:ascii="Times New Roman" w:hAnsi="Times New Roman" w:cs="Times New Roman"/>
          <w:lang w:val="en-GB"/>
        </w:rPr>
        <w:t xml:space="preserve"> </w:t>
      </w:r>
      <w:r>
        <w:rPr>
          <w:rFonts w:ascii="Times New Roman" w:hAnsi="Times New Roman" w:cs="Times New Roman"/>
          <w:lang w:val="en-GB"/>
        </w:rPr>
        <w:t xml:space="preserve">shaped </w:t>
      </w:r>
      <w:r w:rsidRPr="00FC4420">
        <w:rPr>
          <w:rFonts w:ascii="Times New Roman" w:hAnsi="Times New Roman" w:cs="Times New Roman"/>
          <w:lang w:val="en-GB"/>
        </w:rPr>
        <w:t>niches</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niche" </w:instrText>
      </w:r>
      <w:r w:rsidRPr="00FC4420">
        <w:rPr>
          <w:rFonts w:ascii="Times New Roman" w:hAnsi="Times New Roman" w:cs="Times New Roman"/>
          <w:lang w:val="en-GB"/>
        </w:rPr>
        <w:fldChar w:fldCharType="end"/>
      </w:r>
      <w:r w:rsidRPr="00FC4420">
        <w:rPr>
          <w:rFonts w:ascii="Times New Roman" w:hAnsi="Times New Roman" w:cs="Times New Roman"/>
          <w:lang w:val="en-GB"/>
        </w:rPr>
        <w:t>s; c-d) The “T” shaped rock-cut niche in Ava-Déré</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"Ava-Déré"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e) The remains of the destroyed niche just opposite the same niche. </w:t>
      </w:r>
    </w:p>
    <w:p w14:paraId="12A9A0C6" w14:textId="77777777" w:rsidR="0022085E" w:rsidRPr="00FC4420" w:rsidRDefault="0022085E" w:rsidP="0022085E">
      <w:pPr>
        <w:jc w:val="center"/>
        <w:rPr>
          <w:rFonts w:ascii="Times New Roman" w:hAnsi="Times New Roman" w:cs="Times New Roman"/>
          <w:lang w:val="en-GB"/>
        </w:rPr>
      </w:pPr>
    </w:p>
    <w:p w14:paraId="74CEC16D" w14:textId="10899596" w:rsidR="0022085E" w:rsidRPr="00FC4420" w:rsidRDefault="0022085E" w:rsidP="0022085E">
      <w:pPr>
        <w:keepNext/>
        <w:keepLines/>
        <w:jc w:val="both"/>
        <w:outlineLvl w:val="2"/>
        <w:rPr>
          <w:rFonts w:ascii="Times New Roman" w:hAnsi="Times New Roman" w:cs="Times New Roman"/>
          <w:b/>
          <w:lang w:val="en-GB"/>
        </w:rPr>
      </w:pPr>
      <w:bookmarkStart w:id="206" w:name="_Toc132072580"/>
      <w:bookmarkStart w:id="207" w:name="_Toc173231279"/>
      <w:r w:rsidRPr="00FC4420">
        <w:rPr>
          <w:rFonts w:ascii="Times New Roman" w:hAnsi="Times New Roman" w:cs="Times New Roman"/>
          <w:b/>
          <w:lang w:val="en-GB"/>
        </w:rPr>
        <w:t>12.3.9. Zakzak</w:t>
      </w:r>
      <w:bookmarkEnd w:id="207"/>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"Zakzak" </w:instrText>
      </w:r>
      <w:r w:rsidRPr="00FC4420">
        <w:rPr>
          <w:rFonts w:ascii="Times New Roman" w:hAnsi="Times New Roman" w:cs="Times New Roman"/>
          <w:b/>
          <w:lang w:val="en-GB"/>
        </w:rPr>
        <w:fldChar w:fldCharType="end"/>
      </w:r>
      <w:bookmarkEnd w:id="206"/>
    </w:p>
    <w:p w14:paraId="3ADF5BDF" w14:textId="77777777" w:rsidR="0022085E" w:rsidRDefault="0022085E" w:rsidP="0022085E">
      <w:pPr>
        <w:jc w:val="both"/>
        <w:rPr>
          <w:rFonts w:ascii="Times New Roman" w:hAnsi="Times New Roman" w:cs="Times New Roman"/>
        </w:rPr>
      </w:pPr>
      <w:r w:rsidRPr="00FC4420">
        <w:rPr>
          <w:rFonts w:ascii="Times New Roman" w:hAnsi="Times New Roman" w:cs="Times New Roman"/>
        </w:rPr>
        <w:t xml:space="preserve">There are 4 </w:t>
      </w:r>
      <w:r>
        <w:rPr>
          <w:rFonts w:ascii="Times New Roman" w:hAnsi="Times New Roman" w:cs="Times New Roman"/>
        </w:rPr>
        <w:t>“</w:t>
      </w:r>
      <w:r w:rsidRPr="00FC4420">
        <w:rPr>
          <w:rFonts w:ascii="Times New Roman" w:hAnsi="Times New Roman" w:cs="Times New Roman"/>
        </w:rPr>
        <w:t>T</w:t>
      </w:r>
      <w:r>
        <w:rPr>
          <w:rFonts w:ascii="Times New Roman" w:hAnsi="Times New Roman" w:cs="Times New Roman"/>
        </w:rPr>
        <w:t xml:space="preserve">” shaped </w:t>
      </w:r>
      <w:r w:rsidRPr="00FC4420">
        <w:rPr>
          <w:rFonts w:ascii="Times New Roman" w:hAnsi="Times New Roman" w:cs="Times New Roman"/>
        </w:rPr>
        <w:t>niches on the limestone cliffs, just 1 km southeast of the Zakzak</w:t>
      </w:r>
      <w:r w:rsidRPr="00FC4420">
        <w:rPr>
          <w:rFonts w:ascii="Times New Roman" w:eastAsia="Calibri" w:hAnsi="Times New Roman" w:cs="Times New Roman"/>
          <w:noProof/>
        </w:rPr>
        <w:t> </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XE "Zakzak" </w:instrText>
      </w:r>
      <w:r w:rsidRPr="00FC4420">
        <w:rPr>
          <w:rFonts w:ascii="Times New Roman" w:eastAsia="Calibri" w:hAnsi="Times New Roman" w:cs="Times New Roman"/>
          <w:lang w:val="en-GB"/>
        </w:rPr>
        <w:fldChar w:fldCharType="end"/>
      </w:r>
      <w:r w:rsidRPr="00FC4420">
        <w:rPr>
          <w:rFonts w:ascii="Times New Roman" w:eastAsia="Calibri" w:hAnsi="Times New Roman" w:cs="Times New Roman"/>
          <w:lang w:val="en-GB"/>
        </w:rPr>
        <w:t xml:space="preserve"> </w:t>
      </w:r>
      <w:r w:rsidRPr="00FC4420">
        <w:rPr>
          <w:rFonts w:ascii="Times New Roman" w:hAnsi="Times New Roman" w:cs="Times New Roman"/>
        </w:rPr>
        <w:t>(Akçayuva) village, which is 2.5 km north of the Erciş</w:t>
      </w:r>
      <w:r w:rsidRPr="00FC4420">
        <w:rPr>
          <w:rFonts w:ascii="Times New Roman" w:eastAsia="Calibri" w:hAnsi="Times New Roman" w:cs="Times New Roman"/>
          <w:noProof/>
        </w:rPr>
        <w:t>-</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Erciş</w:instrText>
      </w:r>
      <w:r w:rsidRPr="00FC4420">
        <w:rPr>
          <w:rFonts w:ascii="Times New Roman" w:hAnsi="Times New Roman" w:cs="Times New Roman"/>
          <w:lang w:val="en-GB"/>
        </w:rPr>
        <w:instrText xml:space="preserve">" </w:instrText>
      </w:r>
      <w:r w:rsidRPr="00FC4420">
        <w:rPr>
          <w:rFonts w:ascii="Times New Roman" w:eastAsia="Calibri" w:hAnsi="Times New Roman" w:cs="Times New Roman"/>
          <w:lang w:val="en-GB"/>
        </w:rPr>
        <w:fldChar w:fldCharType="end"/>
      </w:r>
      <w:r w:rsidRPr="00FC4420">
        <w:rPr>
          <w:rFonts w:ascii="Times New Roman" w:eastAsia="Calibri" w:hAnsi="Times New Roman" w:cs="Times New Roman"/>
          <w:lang w:val="en-GB"/>
        </w:rPr>
        <w:t>-</w:t>
      </w:r>
      <w:r w:rsidRPr="00FC4420">
        <w:rPr>
          <w:rFonts w:ascii="Times New Roman" w:hAnsi="Times New Roman" w:cs="Times New Roman"/>
        </w:rPr>
        <w:t>Adilcevaz</w:t>
      </w:r>
      <w:r w:rsidRPr="00FC4420">
        <w:rPr>
          <w:rFonts w:ascii="Times New Roman" w:eastAsia="Calibri" w:hAnsi="Times New Roman" w:cs="Times New Roman"/>
          <w:noProof/>
        </w:rPr>
        <w:t> </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w:instrText>
      </w:r>
      <w:r w:rsidRPr="00FC4420">
        <w:rPr>
          <w:rFonts w:ascii="Times New Roman" w:hAnsi="Times New Roman" w:cs="Times New Roman"/>
          <w:lang w:val="en-GB"/>
        </w:rPr>
        <w:lastRenderedPageBreak/>
        <w:instrText>XE "</w:instrText>
      </w:r>
      <w:r w:rsidRPr="00FC4420">
        <w:rPr>
          <w:rFonts w:ascii="Times New Roman" w:eastAsia="Calibri" w:hAnsi="Times New Roman" w:cs="Times New Roman"/>
          <w:lang w:val="en-GB"/>
        </w:rPr>
        <w:instrText>Adilcevaz</w:instrText>
      </w:r>
      <w:r w:rsidRPr="00FC4420">
        <w:rPr>
          <w:rFonts w:ascii="Times New Roman" w:hAnsi="Times New Roman" w:cs="Times New Roman"/>
          <w:lang w:val="en-GB"/>
        </w:rPr>
        <w:instrText xml:space="preserve">" </w:instrText>
      </w:r>
      <w:r w:rsidRPr="00FC4420">
        <w:rPr>
          <w:rFonts w:ascii="Times New Roman" w:eastAsia="Calibri" w:hAnsi="Times New Roman" w:cs="Times New Roman"/>
          <w:lang w:val="en-GB"/>
        </w:rPr>
        <w:fldChar w:fldCharType="end"/>
      </w:r>
      <w:r w:rsidRPr="00FC4420">
        <w:rPr>
          <w:rFonts w:ascii="Times New Roman" w:eastAsia="Calibri" w:hAnsi="Times New Roman" w:cs="Times New Roman"/>
          <w:lang w:val="en-GB"/>
        </w:rPr>
        <w:t xml:space="preserve"> </w:t>
      </w:r>
      <w:r w:rsidRPr="00FC4420">
        <w:rPr>
          <w:rFonts w:ascii="Times New Roman" w:hAnsi="Times New Roman" w:cs="Times New Roman"/>
        </w:rPr>
        <w:t xml:space="preserve">highway, approximately 24 km southwest of the Erciş district </w:t>
      </w:r>
      <w:r w:rsidRPr="00FC4420">
        <w:rPr>
          <w:rFonts w:ascii="Times New Roman" w:eastAsia="Calibri" w:hAnsi="Times New Roman" w:cs="Times New Roman"/>
          <w:noProof/>
        </w:rPr>
        <w:t>center</w:t>
      </w:r>
      <w:r w:rsidRPr="00FC4420">
        <w:rPr>
          <w:rFonts w:ascii="Times New Roman" w:hAnsi="Times New Roman" w:cs="Times New Roman"/>
        </w:rPr>
        <w:t>. The area in question is at the northwest end of Van Lake</w:t>
      </w:r>
      <w:r w:rsidRPr="00FC4420">
        <w:rPr>
          <w:rFonts w:ascii="Times New Roman" w:eastAsia="Calibri" w:hAnsi="Times New Roman" w:cs="Times New Roman"/>
          <w:noProof/>
        </w:rPr>
        <w:t>,</w:t>
      </w:r>
      <w:r w:rsidRPr="00FC4420">
        <w:rPr>
          <w:rFonts w:ascii="Times New Roman" w:eastAsia="Calibri" w:hAnsi="Times New Roman" w:cs="Times New Roman"/>
          <w:lang w:val="en-GB"/>
        </w:rPr>
        <w:fldChar w:fldCharType="begin"/>
      </w:r>
      <w:r w:rsidRPr="00FC4420">
        <w:rPr>
          <w:rFonts w:ascii="Times New Roman" w:hAnsi="Times New Roman" w:cs="Times New Roman"/>
        </w:rPr>
        <w:instrText xml:space="preserve"> XE "</w:instrText>
      </w:r>
      <w:r w:rsidRPr="00FC4420">
        <w:rPr>
          <w:rFonts w:ascii="Times New Roman" w:eastAsia="Calibri" w:hAnsi="Times New Roman" w:cs="Times New Roman"/>
          <w:lang w:val="en-GB"/>
        </w:rPr>
        <w:instrText>Van Lake</w:instrText>
      </w:r>
      <w:r w:rsidRPr="00FC4420">
        <w:rPr>
          <w:rFonts w:ascii="Times New Roman" w:hAnsi="Times New Roman" w:cs="Times New Roman"/>
        </w:rPr>
        <w:instrText xml:space="preserve">" </w:instrText>
      </w:r>
      <w:r w:rsidRPr="00FC4420">
        <w:rPr>
          <w:rFonts w:ascii="Times New Roman" w:eastAsia="Calibri" w:hAnsi="Times New Roman" w:cs="Times New Roman"/>
          <w:lang w:val="en-GB"/>
        </w:rPr>
        <w:fldChar w:fldCharType="end"/>
      </w:r>
      <w:r w:rsidRPr="00FC4420">
        <w:rPr>
          <w:rFonts w:ascii="Times New Roman" w:hAnsi="Times New Roman" w:cs="Times New Roman"/>
        </w:rPr>
        <w:t xml:space="preserve"> 3.8 km from the shore. In this area, there is also </w:t>
      </w:r>
      <w:r w:rsidRPr="00FC4420">
        <w:rPr>
          <w:rFonts w:ascii="Times New Roman" w:eastAsia="Calibri" w:hAnsi="Times New Roman" w:cs="Times New Roman"/>
          <w:noProof/>
        </w:rPr>
        <w:t>an</w:t>
      </w:r>
      <w:r w:rsidRPr="00FC4420">
        <w:rPr>
          <w:rFonts w:ascii="Times New Roman" w:hAnsi="Times New Roman" w:cs="Times New Roman"/>
        </w:rPr>
        <w:t xml:space="preserve"> Islamic tomb/türbe that does not have an inscription and is thought to have been built in the Karakoyunlu period</w:t>
      </w:r>
      <w:r w:rsidRPr="00FC4420">
        <w:rPr>
          <w:rFonts w:ascii="Times New Roman" w:eastAsia="Calibri" w:hAnsi="Times New Roman" w:cs="Times New Roman"/>
          <w:noProof/>
        </w:rPr>
        <w:t> </w:t>
      </w:r>
      <w:r w:rsidRPr="00FC4420">
        <w:rPr>
          <w:rFonts w:ascii="Times New Roman" w:hAnsi="Times New Roman" w:cs="Times New Roman"/>
        </w:rPr>
        <w:t xml:space="preserve">(1375-1468) in line with its architectural features (Fig 13/a). </w:t>
      </w:r>
      <w:r w:rsidRPr="00FC4420">
        <w:rPr>
          <w:rFonts w:ascii="Times New Roman" w:eastAsia="Calibri" w:hAnsi="Times New Roman" w:cs="Times New Roman"/>
          <w:lang w:val="en-GB"/>
        </w:rPr>
        <w:t xml:space="preserve">Three “T” </w:t>
      </w:r>
      <w:r w:rsidRPr="00FC4420">
        <w:rPr>
          <w:rFonts w:ascii="Times New Roman" w:hAnsi="Times New Roman" w:cs="Times New Roman"/>
        </w:rPr>
        <w:t xml:space="preserve">niches were carved on the limestone rocks 60 m east of the Islamic tomb. One of them is located on the </w:t>
      </w:r>
      <w:r w:rsidRPr="00FC4420">
        <w:rPr>
          <w:rFonts w:ascii="Times New Roman" w:eastAsia="Calibri" w:hAnsi="Times New Roman" w:cs="Times New Roman"/>
          <w:noProof/>
        </w:rPr>
        <w:t xml:space="preserve">rock's </w:t>
      </w:r>
      <w:r w:rsidRPr="00FC4420">
        <w:rPr>
          <w:rFonts w:ascii="Times New Roman" w:hAnsi="Times New Roman" w:cs="Times New Roman"/>
        </w:rPr>
        <w:t>south side, which is separated from the rock in front by a natural ditch in the east-west direction. The other two are side by side and on the south side of the rock in front. T niche</w:t>
      </w:r>
      <w:r w:rsidRPr="00FC4420">
        <w:rPr>
          <w:rFonts w:ascii="Times New Roman" w:eastAsia="Calibri" w:hAnsi="Times New Roman" w:cs="Times New Roman"/>
          <w:noProof/>
        </w:rPr>
        <w:t> </w:t>
      </w:r>
      <w:r w:rsidRPr="00FC4420">
        <w:rPr>
          <w:rFonts w:ascii="Times New Roman" w:eastAsia="Calibri"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T niche</w:instrText>
      </w:r>
      <w:r w:rsidRPr="00FC4420">
        <w:rPr>
          <w:rFonts w:ascii="Times New Roman" w:hAnsi="Times New Roman" w:cs="Times New Roman"/>
          <w:lang w:val="en-GB"/>
        </w:rPr>
        <w:instrText xml:space="preserve">" </w:instrText>
      </w:r>
      <w:r w:rsidRPr="00FC4420">
        <w:rPr>
          <w:rFonts w:ascii="Times New Roman" w:eastAsia="Calibri" w:hAnsi="Times New Roman" w:cs="Times New Roman"/>
          <w:lang w:val="en-GB"/>
        </w:rPr>
        <w:fldChar w:fldCharType="end"/>
      </w:r>
      <w:r w:rsidRPr="00FC4420">
        <w:rPr>
          <w:rFonts w:ascii="Times New Roman" w:eastAsia="Calibri" w:hAnsi="Times New Roman" w:cs="Times New Roman"/>
          <w:lang w:val="en-GB"/>
        </w:rPr>
        <w:t xml:space="preserve"> </w:t>
      </w:r>
      <w:r w:rsidRPr="00FC4420">
        <w:rPr>
          <w:rFonts w:ascii="Times New Roman" w:hAnsi="Times New Roman" w:cs="Times New Roman"/>
        </w:rPr>
        <w:t>No. 1 is 135 cm high</w:t>
      </w:r>
      <w:r w:rsidRPr="00FC4420">
        <w:rPr>
          <w:rFonts w:ascii="Times New Roman" w:eastAsia="Calibri" w:hAnsi="Times New Roman" w:cs="Times New Roman"/>
          <w:noProof/>
        </w:rPr>
        <w:t>,</w:t>
      </w:r>
      <w:r w:rsidRPr="00FC4420">
        <w:rPr>
          <w:rFonts w:ascii="Times New Roman" w:hAnsi="Times New Roman" w:cs="Times New Roman"/>
        </w:rPr>
        <w:t xml:space="preserve"> and the T extension at the top is 130 cm long (Fig. 13/b). At the base, there is a rock bowl with a diameter of 120 cm. Niche No. 2 is 85 cm high</w:t>
      </w:r>
      <w:r w:rsidRPr="00FC4420">
        <w:rPr>
          <w:rFonts w:ascii="Times New Roman" w:eastAsia="Calibri" w:hAnsi="Times New Roman" w:cs="Times New Roman"/>
          <w:noProof/>
        </w:rPr>
        <w:t>,</w:t>
      </w:r>
      <w:r w:rsidRPr="00FC4420">
        <w:rPr>
          <w:rFonts w:ascii="Times New Roman" w:hAnsi="Times New Roman" w:cs="Times New Roman"/>
        </w:rPr>
        <w:t xml:space="preserve"> and its horizontal arm is 140 cm long (Fig. 13/c-d). </w:t>
      </w:r>
      <w:r w:rsidRPr="00FC4420">
        <w:rPr>
          <w:rFonts w:ascii="Times New Roman" w:eastAsia="Calibri" w:hAnsi="Times New Roman" w:cs="Times New Roman"/>
          <w:noProof/>
        </w:rPr>
        <w:t>As</w:t>
      </w:r>
      <w:r w:rsidRPr="00FC4420">
        <w:rPr>
          <w:rFonts w:ascii="Times New Roman" w:hAnsi="Times New Roman" w:cs="Times New Roman"/>
        </w:rPr>
        <w:t xml:space="preserve"> in the previous niche, there is a rock bowl with a diameter of 70 cm</w:t>
      </w:r>
      <w:r w:rsidRPr="00FC4420">
        <w:rPr>
          <w:rFonts w:ascii="Times New Roman" w:eastAsia="Calibri" w:hAnsi="Times New Roman" w:cs="Times New Roman"/>
          <w:noProof/>
        </w:rPr>
        <w:t xml:space="preserve"> at the base</w:t>
      </w:r>
      <w:r w:rsidRPr="00FC4420">
        <w:rPr>
          <w:rFonts w:ascii="Times New Roman" w:hAnsi="Times New Roman" w:cs="Times New Roman"/>
        </w:rPr>
        <w:t>. Niche No</w:t>
      </w:r>
      <w:r w:rsidRPr="00FC4420">
        <w:rPr>
          <w:rFonts w:ascii="Times New Roman" w:eastAsia="Calibri" w:hAnsi="Times New Roman" w:cs="Times New Roman"/>
          <w:noProof/>
        </w:rPr>
        <w:t xml:space="preserve">. </w:t>
      </w:r>
      <w:r w:rsidRPr="00FC4420">
        <w:rPr>
          <w:rFonts w:ascii="Times New Roman" w:hAnsi="Times New Roman" w:cs="Times New Roman"/>
        </w:rPr>
        <w:t>3</w:t>
      </w:r>
      <w:r w:rsidRPr="00FC4420">
        <w:rPr>
          <w:rFonts w:ascii="Times New Roman" w:eastAsia="Calibri" w:hAnsi="Times New Roman" w:cs="Times New Roman"/>
          <w:noProof/>
        </w:rPr>
        <w:t>,</w:t>
      </w:r>
      <w:r w:rsidRPr="00FC4420">
        <w:rPr>
          <w:rFonts w:ascii="Times New Roman" w:hAnsi="Times New Roman" w:cs="Times New Roman"/>
        </w:rPr>
        <w:t xml:space="preserve"> right next to T 2</w:t>
      </w:r>
      <w:r w:rsidRPr="00FC4420">
        <w:rPr>
          <w:rFonts w:ascii="Times New Roman" w:eastAsia="Calibri" w:hAnsi="Times New Roman" w:cs="Times New Roman"/>
          <w:noProof/>
        </w:rPr>
        <w:t>,</w:t>
      </w:r>
      <w:r w:rsidRPr="00FC4420">
        <w:rPr>
          <w:rFonts w:ascii="Times New Roman" w:hAnsi="Times New Roman" w:cs="Times New Roman"/>
        </w:rPr>
        <w:t xml:space="preserve"> is 150 cm long</w:t>
      </w:r>
      <w:r w:rsidRPr="00FC4420">
        <w:rPr>
          <w:rFonts w:ascii="Times New Roman" w:eastAsia="Calibri" w:hAnsi="Times New Roman" w:cs="Times New Roman"/>
          <w:noProof/>
        </w:rPr>
        <w:t>,</w:t>
      </w:r>
      <w:r w:rsidRPr="00FC4420">
        <w:rPr>
          <w:rFonts w:ascii="Times New Roman" w:hAnsi="Times New Roman" w:cs="Times New Roman"/>
        </w:rPr>
        <w:t xml:space="preserve"> and its horizontal arm is 165 cm long. Apart from these </w:t>
      </w:r>
      <w:r w:rsidRPr="00FC4420">
        <w:rPr>
          <w:rFonts w:ascii="Times New Roman" w:eastAsia="Calibri" w:hAnsi="Times New Roman" w:cs="Times New Roman"/>
          <w:noProof/>
        </w:rPr>
        <w:t>three</w:t>
      </w:r>
      <w:r w:rsidRPr="00FC4420">
        <w:rPr>
          <w:rFonts w:ascii="Times New Roman" w:hAnsi="Times New Roman" w:cs="Times New Roman"/>
        </w:rPr>
        <w:t xml:space="preserve"> niches, there is a single niche on an independent low rock 50 m west of the cupola (Fig. 13/e). This fourth niche is 130 cm high, and its horizontal extension is 165 cm long. There is also a rock bowl with a diameter of 55 cm at the base.</w:t>
      </w:r>
    </w:p>
    <w:p w14:paraId="25D45BCC" w14:textId="2373C74D" w:rsidR="0022085E" w:rsidRDefault="0022085E" w:rsidP="0022085E">
      <w:pPr>
        <w:jc w:val="center"/>
        <w:rPr>
          <w:rFonts w:ascii="Times New Roman" w:hAnsi="Times New Roman" w:cs="Times New Roman"/>
          <w:lang w:val="en-GB"/>
        </w:rPr>
      </w:pPr>
      <w:r w:rsidRPr="00FC4420">
        <w:rPr>
          <w:rFonts w:ascii="Times New Roman" w:hAnsi="Times New Roman" w:cs="Times New Roman"/>
          <w:noProof/>
        </w:rPr>
        <w:drawing>
          <wp:anchor distT="0" distB="0" distL="114300" distR="114300" simplePos="0" relativeHeight="251941888" behindDoc="0" locked="0" layoutInCell="1" allowOverlap="1" wp14:anchorId="7AB5C59F" wp14:editId="58C047ED">
            <wp:simplePos x="0" y="0"/>
            <wp:positionH relativeFrom="page">
              <wp:posOffset>2083435</wp:posOffset>
            </wp:positionH>
            <wp:positionV relativeFrom="margin">
              <wp:posOffset>2928620</wp:posOffset>
            </wp:positionV>
            <wp:extent cx="3295650" cy="4684395"/>
            <wp:effectExtent l="0" t="0" r="6350" b="1905"/>
            <wp:wrapTopAndBottom/>
            <wp:docPr id="998257571" name="Resim 13" descr="dış mekan, gökyüzü, ekran görüntüsü,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7571" name="Resim 13" descr="dış mekan, gökyüzü, ekran görüntüsü, jeoloji içeren bir resim&#10;&#10;Açıklama otomatik olarak oluşturuldu"/>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3295650" cy="4684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167DA3" w14:textId="77777777" w:rsidR="0022085E" w:rsidRDefault="0022085E" w:rsidP="0022085E">
      <w:pPr>
        <w:jc w:val="center"/>
        <w:rPr>
          <w:rFonts w:ascii="Times New Roman" w:hAnsi="Times New Roman" w:cs="Times New Roman"/>
          <w:lang w:val="en-GB"/>
        </w:rPr>
      </w:pPr>
      <w:r w:rsidRPr="00FC4420">
        <w:rPr>
          <w:rFonts w:ascii="Times New Roman" w:hAnsi="Times New Roman" w:cs="Times New Roman"/>
          <w:lang w:val="en-GB"/>
        </w:rPr>
        <w:t>Fig. 13 a-e) The “T” shaped rock-cut niches in Zakzak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"Zakzak" </w:instrText>
      </w:r>
      <w:r w:rsidRPr="00FC4420">
        <w:rPr>
          <w:rFonts w:ascii="Times New Roman" w:hAnsi="Times New Roman" w:cs="Times New Roman"/>
          <w:lang w:val="en-GB"/>
        </w:rPr>
        <w:fldChar w:fldCharType="end"/>
      </w:r>
      <w:r w:rsidRPr="00FC4420">
        <w:rPr>
          <w:rFonts w:ascii="Times New Roman" w:hAnsi="Times New Roman" w:cs="Times New Roman"/>
          <w:lang w:val="en-GB"/>
        </w:rPr>
        <w:t>/Erciş</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"Erciş" </w:instrText>
      </w:r>
      <w:r w:rsidRPr="00FC4420">
        <w:rPr>
          <w:rFonts w:ascii="Times New Roman" w:hAnsi="Times New Roman" w:cs="Times New Roman"/>
          <w:lang w:val="en-GB"/>
        </w:rPr>
        <w:fldChar w:fldCharType="end"/>
      </w:r>
      <w:r w:rsidRPr="00FC4420">
        <w:rPr>
          <w:rFonts w:ascii="Times New Roman" w:hAnsi="Times New Roman" w:cs="Times New Roman"/>
          <w:lang w:val="en-GB"/>
        </w:rPr>
        <w:t>.</w:t>
      </w:r>
    </w:p>
    <w:p w14:paraId="46F60538" w14:textId="77777777" w:rsidR="0022085E" w:rsidRDefault="0022085E" w:rsidP="0022085E">
      <w:pPr>
        <w:jc w:val="center"/>
        <w:rPr>
          <w:rFonts w:ascii="Times New Roman" w:hAnsi="Times New Roman" w:cs="Times New Roman"/>
          <w:lang w:val="en-GB"/>
        </w:rPr>
      </w:pPr>
    </w:p>
    <w:p w14:paraId="404B4CCA" w14:textId="2EB1BA8A" w:rsidR="0022085E" w:rsidRPr="00FC4420" w:rsidRDefault="0022085E" w:rsidP="0022085E">
      <w:pPr>
        <w:keepNext/>
        <w:keepLines/>
        <w:jc w:val="both"/>
        <w:outlineLvl w:val="1"/>
        <w:rPr>
          <w:rFonts w:ascii="Times New Roman" w:hAnsi="Times New Roman" w:cs="Times New Roman"/>
          <w:b/>
          <w:lang w:val="en-GB"/>
        </w:rPr>
      </w:pPr>
      <w:bookmarkStart w:id="208" w:name="_Toc132072581"/>
      <w:bookmarkStart w:id="209" w:name="_Toc173231280"/>
      <w:r w:rsidRPr="00FC4420">
        <w:rPr>
          <w:rFonts w:ascii="Times New Roman" w:hAnsi="Times New Roman" w:cs="Times New Roman"/>
          <w:b/>
          <w:lang w:val="en-GB"/>
        </w:rPr>
        <w:t>12.4. Blind Windows</w:t>
      </w:r>
      <w:bookmarkEnd w:id="208"/>
      <w:bookmarkEnd w:id="209"/>
      <w:r>
        <w:rPr>
          <w:rFonts w:ascii="Times New Roman" w:hAnsi="Times New Roman" w:cs="Times New Roman"/>
          <w:b/>
          <w:lang w:val="en-GB"/>
        </w:rPr>
        <w:t xml:space="preserve"> </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w:instrText>
      </w:r>
      <w:r w:rsidRPr="00FC4420">
        <w:rPr>
          <w:rFonts w:ascii="Times New Roman" w:hAnsi="Times New Roman" w:cs="Times New Roman"/>
          <w:b/>
          <w:lang w:val="en-GB"/>
        </w:rPr>
        <w:instrText>Blind Windows</w:instrText>
      </w:r>
      <w:r w:rsidRPr="00FC4420">
        <w:rPr>
          <w:rFonts w:ascii="Times New Roman" w:hAnsi="Times New Roman" w:cs="Times New Roman"/>
          <w:lang w:val="en-GB"/>
        </w:rPr>
        <w:instrText xml:space="preserve">" </w:instrText>
      </w:r>
      <w:r w:rsidRPr="00FC4420">
        <w:rPr>
          <w:rFonts w:ascii="Times New Roman" w:hAnsi="Times New Roman" w:cs="Times New Roman"/>
          <w:b/>
          <w:lang w:val="en-GB"/>
        </w:rPr>
        <w:fldChar w:fldCharType="end"/>
      </w:r>
    </w:p>
    <w:p w14:paraId="23CDCA0F"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Another group that emerges as original elements in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architecture is portable architectural pieces defined as blind windows. These architectural elements resemble “T” shaped niches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in appearance. T Niches</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most examples of which were found in Van Fortress</w:t>
      </w:r>
      <w:r w:rsidRPr="00FC4420">
        <w:rPr>
          <w:rFonts w:ascii="Times New Roman" w:eastAsia="Calibri" w:hAnsi="Times New Roman" w:cs="Times New Roman"/>
          <w:lang w:val="en-GB"/>
        </w:rPr>
        <w:t> </w:t>
      </w:r>
      <w:r w:rsidRPr="00FC4420">
        <w:rPr>
          <w:rFonts w:ascii="Times New Roman" w:hAnsi="Times New Roman" w:cs="Times New Roman"/>
          <w:lang w:val="en-GB"/>
        </w:rPr>
        <w:t>and on different independent rocks in the Van Lake</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"Van Lake" </w:instrText>
      </w:r>
      <w:r w:rsidRPr="00FC4420">
        <w:rPr>
          <w:rFonts w:ascii="Times New Roman" w:hAnsi="Times New Roman" w:cs="Times New Roman"/>
          <w:lang w:val="en-GB"/>
        </w:rPr>
        <w:lastRenderedPageBreak/>
        <w:fldChar w:fldCharType="end"/>
      </w:r>
      <w:r w:rsidRPr="00FC4420">
        <w:rPr>
          <w:rFonts w:ascii="Times New Roman" w:hAnsi="Times New Roman" w:cs="Times New Roman"/>
          <w:lang w:val="en-GB"/>
        </w:rPr>
        <w:t xml:space="preserve"> basin, were carved directly into the rock surface,</w:t>
      </w:r>
      <w:r w:rsidRPr="00FC4420">
        <w:rPr>
          <w:rFonts w:ascii="Times New Roman" w:eastAsia="Calibri" w:hAnsi="Times New Roman" w:cs="Times New Roman"/>
          <w:lang w:val="en-GB"/>
        </w:rPr>
        <w:t xml:space="preserve"> and</w:t>
      </w:r>
      <w:r w:rsidRPr="00FC4420">
        <w:rPr>
          <w:rFonts w:ascii="Times New Roman" w:hAnsi="Times New Roman" w:cs="Times New Roman"/>
          <w:lang w:val="en-GB"/>
        </w:rPr>
        <w:t xml:space="preserve"> the blind windows were add-on modular units that were ready-made. Blind windows are known from three Urartian </w:t>
      </w:r>
      <w:r w:rsidRPr="00FC4420">
        <w:rPr>
          <w:rFonts w:ascii="Times New Roman" w:eastAsia="Calibri" w:hAnsi="Times New Roman" w:cs="Times New Roman"/>
          <w:lang w:val="en-GB"/>
        </w:rPr>
        <w:t>centers</w:t>
      </w:r>
      <w:r w:rsidRPr="00FC4420">
        <w:rPr>
          <w:rFonts w:ascii="Times New Roman" w:hAnsi="Times New Roman" w:cs="Times New Roman"/>
          <w:lang w:val="en-GB"/>
        </w:rPr>
        <w:t xml:space="preserve"> to date. </w:t>
      </w:r>
    </w:p>
    <w:p w14:paraId="28CD71C6" w14:textId="77777777" w:rsidR="0022085E" w:rsidRPr="00FC4420" w:rsidRDefault="0022085E" w:rsidP="0022085E">
      <w:pPr>
        <w:jc w:val="both"/>
        <w:rPr>
          <w:rFonts w:ascii="Times New Roman" w:hAnsi="Times New Roman" w:cs="Times New Roman"/>
          <w:lang w:val="en-GB"/>
        </w:rPr>
      </w:pPr>
    </w:p>
    <w:p w14:paraId="6C9287FA"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These architectural elements, of which one each from Toprakkale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(Barnett, 1954: 3, Fig. 1)</w:t>
      </w:r>
      <w:r w:rsidRPr="00FC4420">
        <w:rPr>
          <w:rFonts w:ascii="Times New Roman" w:eastAsia="Calibri" w:hAnsi="Times New Roman" w:cs="Times New Roman"/>
          <w:lang w:val="en-GB"/>
        </w:rPr>
        <w:t> </w:t>
      </w:r>
      <w:r w:rsidRPr="00FC4420">
        <w:rPr>
          <w:rFonts w:ascii="Times New Roman" w:hAnsi="Times New Roman" w:cs="Times New Roman"/>
          <w:lang w:val="en-GB"/>
        </w:rPr>
        <w:t xml:space="preserve"> and Armavir</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Times New Roman" w:hAnsi="Times New Roman" w:cs="Times New Roman"/>
          <w:lang w:val="en-GB"/>
        </w:rPr>
        <w:instrText>Armavir</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(Tirats'yan, 1978: 109, Fig. 2; Kanetsyan, 2001: 150, Fig. 9) </w:t>
      </w:r>
      <w:r w:rsidRPr="00FC4420">
        <w:rPr>
          <w:rFonts w:ascii="Times New Roman" w:eastAsia="Calibri" w:hAnsi="Times New Roman" w:cs="Times New Roman"/>
          <w:lang w:val="en-GB"/>
        </w:rPr>
        <w:t>are</w:t>
      </w:r>
      <w:r w:rsidRPr="00FC4420">
        <w:rPr>
          <w:rFonts w:ascii="Times New Roman" w:hAnsi="Times New Roman" w:cs="Times New Roman"/>
          <w:lang w:val="en-GB"/>
        </w:rPr>
        <w:t xml:space="preserve"> documented. However, the </w:t>
      </w:r>
      <w:r w:rsidRPr="00FC4420">
        <w:rPr>
          <w:rFonts w:ascii="Times New Roman" w:eastAsia="Calibri" w:hAnsi="Times New Roman" w:cs="Times New Roman"/>
          <w:lang w:val="en-GB"/>
        </w:rPr>
        <w:t>center</w:t>
      </w:r>
      <w:r w:rsidRPr="00FC4420">
        <w:rPr>
          <w:rFonts w:ascii="Times New Roman" w:hAnsi="Times New Roman" w:cs="Times New Roman"/>
          <w:lang w:val="en-GB"/>
        </w:rPr>
        <w:t xml:space="preserve"> where these architectural elements are identified and the most examples are determined is Çavuştepe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"Çavuştepe"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(Tarhan, 2007b: 273 ff., Fig. 4: 1-2). Basalt "blind window" blocks were unearthed during the 1967, 1969, and 1970 excavation periods in the mud brick ruins to the north of the building, which is located at the eastern end of Çavuştepe Lower Fortress and called Uçkale structure. The monolithic basalt blocks are smooth and straightened on the outside</w:t>
      </w:r>
      <w:r w:rsidRPr="00FC4420">
        <w:rPr>
          <w:rFonts w:ascii="Times New Roman" w:eastAsia="Calibri" w:hAnsi="Times New Roman" w:cs="Times New Roman"/>
          <w:lang w:val="en-GB"/>
        </w:rPr>
        <w:t xml:space="preserve"> and</w:t>
      </w:r>
      <w:r w:rsidRPr="00FC4420">
        <w:rPr>
          <w:rFonts w:ascii="Times New Roman" w:hAnsi="Times New Roman" w:cs="Times New Roman"/>
          <w:lang w:val="en-GB"/>
        </w:rPr>
        <w:t xml:space="preserve"> have a three-stage structure inward (</w:t>
      </w:r>
      <w:r w:rsidRPr="00FC4420">
        <w:rPr>
          <w:rFonts w:ascii="Times New Roman" w:eastAsia="Calibri" w:hAnsi="Times New Roman" w:cs="Times New Roman"/>
          <w:lang w:val="en-GB"/>
        </w:rPr>
        <w:t xml:space="preserve">see </w:t>
      </w:r>
      <w:r w:rsidRPr="00FC4420">
        <w:rPr>
          <w:rFonts w:ascii="Times New Roman" w:hAnsi="Times New Roman" w:cs="Times New Roman"/>
          <w:lang w:val="en-GB"/>
        </w:rPr>
        <w:t xml:space="preserve">Fig. 14/a). The </w:t>
      </w:r>
      <w:r w:rsidRPr="00FC4420">
        <w:rPr>
          <w:rFonts w:ascii="Times New Roman" w:eastAsia="Calibri" w:hAnsi="Times New Roman" w:cs="Times New Roman"/>
          <w:lang w:val="en-GB"/>
        </w:rPr>
        <w:t xml:space="preserve">rough </w:t>
      </w:r>
      <w:r w:rsidRPr="00FC4420">
        <w:rPr>
          <w:rFonts w:ascii="Times New Roman" w:hAnsi="Times New Roman" w:cs="Times New Roman"/>
          <w:lang w:val="en-GB"/>
        </w:rPr>
        <w:t xml:space="preserve">back side </w:t>
      </w:r>
      <w:r w:rsidRPr="00FC4420">
        <w:rPr>
          <w:rFonts w:ascii="Times New Roman" w:eastAsia="Calibri" w:hAnsi="Times New Roman" w:cs="Times New Roman"/>
          <w:lang w:val="en-GB"/>
        </w:rPr>
        <w:t>suggests</w:t>
      </w:r>
      <w:r w:rsidRPr="00FC4420">
        <w:rPr>
          <w:rFonts w:ascii="Times New Roman" w:hAnsi="Times New Roman" w:cs="Times New Roman"/>
          <w:lang w:val="en-GB"/>
        </w:rPr>
        <w:t xml:space="preserve"> that </w:t>
      </w:r>
      <w:r w:rsidRPr="00FC4420">
        <w:rPr>
          <w:rFonts w:ascii="Times New Roman" w:eastAsia="Calibri" w:hAnsi="Times New Roman" w:cs="Times New Roman"/>
          <w:lang w:val="en-GB"/>
        </w:rPr>
        <w:t>these</w:t>
      </w:r>
      <w:r w:rsidRPr="00FC4420">
        <w:rPr>
          <w:rFonts w:ascii="Times New Roman" w:hAnsi="Times New Roman" w:cs="Times New Roman"/>
          <w:lang w:val="en-GB"/>
        </w:rPr>
        <w:t xml:space="preserve"> were designed for </w:t>
      </w:r>
      <w:r w:rsidRPr="00FC4420">
        <w:rPr>
          <w:rFonts w:ascii="Times New Roman" w:eastAsia="Calibri" w:hAnsi="Times New Roman" w:cs="Times New Roman"/>
          <w:lang w:val="en-GB"/>
        </w:rPr>
        <w:t>outdoor</w:t>
      </w:r>
      <w:r w:rsidRPr="00FC4420">
        <w:rPr>
          <w:rFonts w:ascii="Times New Roman" w:hAnsi="Times New Roman" w:cs="Times New Roman"/>
          <w:lang w:val="en-GB"/>
        </w:rPr>
        <w:t xml:space="preserve"> use rather than </w:t>
      </w:r>
      <w:r w:rsidRPr="00FC4420">
        <w:rPr>
          <w:rFonts w:ascii="Times New Roman" w:eastAsia="Calibri" w:hAnsi="Times New Roman" w:cs="Times New Roman"/>
          <w:lang w:val="en-GB"/>
        </w:rPr>
        <w:t>indoor. Additionally,</w:t>
      </w:r>
      <w:r w:rsidRPr="00FC4420">
        <w:rPr>
          <w:rFonts w:ascii="Times New Roman" w:hAnsi="Times New Roman" w:cs="Times New Roman"/>
          <w:lang w:val="en-GB"/>
        </w:rPr>
        <w:t xml:space="preserve"> this view is covered with mudbrick and plaster on the inside. While the horizontal arm of the blind windows is 88 cm long, its vertical length is 1.45 m (Erzen, 1972: 103).</w:t>
      </w:r>
      <w:bookmarkStart w:id="210" w:name="_Hlk131149881"/>
      <w:r w:rsidRPr="00FC4420">
        <w:rPr>
          <w:rFonts w:ascii="Times New Roman" w:hAnsi="Times New Roman" w:cs="Times New Roman"/>
          <w:lang w:val="en-GB"/>
        </w:rPr>
        <w:t xml:space="preserve"> Two examples of blind windows showing the use of T-niches as spolia material in the post-Urartian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period are located at Hoşap fortress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"Hoşap Fortress"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(Fig. 14/b) in Gürpınar</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"Gürpınar"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district of Van and a modern cemetery 3 km east of Gevaş</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"Gevaş"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District (Fig. 14/c).</w:t>
      </w:r>
      <w:bookmarkEnd w:id="210"/>
      <w:r w:rsidRPr="00FC4420">
        <w:rPr>
          <w:rFonts w:ascii="Times New Roman" w:hAnsi="Times New Roman" w:cs="Times New Roman"/>
          <w:lang w:val="en-GB"/>
        </w:rPr>
        <w:t xml:space="preserve"> These blind windows are probably examples taken from Çavuştepe fortress.</w:t>
      </w:r>
    </w:p>
    <w:p w14:paraId="4C7773DC" w14:textId="77777777" w:rsidR="0022085E" w:rsidRPr="00FC4420" w:rsidRDefault="0022085E" w:rsidP="0022085E">
      <w:pPr>
        <w:jc w:val="both"/>
        <w:rPr>
          <w:rFonts w:ascii="Times New Roman" w:hAnsi="Times New Roman" w:cs="Times New Roman"/>
          <w:lang w:val="en-GB"/>
        </w:rPr>
      </w:pPr>
    </w:p>
    <w:p w14:paraId="5125E440" w14:textId="28BB5E40" w:rsidR="0022085E" w:rsidRPr="00FC4420" w:rsidRDefault="0022085E" w:rsidP="0022085E">
      <w:pPr>
        <w:keepNext/>
        <w:keepLines/>
        <w:jc w:val="both"/>
        <w:outlineLvl w:val="1"/>
        <w:rPr>
          <w:rFonts w:ascii="Times New Roman" w:hAnsi="Times New Roman" w:cs="Times New Roman"/>
          <w:b/>
          <w:lang w:val="en-GB"/>
        </w:rPr>
      </w:pPr>
      <w:bookmarkStart w:id="211" w:name="_Toc132072582"/>
      <w:bookmarkStart w:id="212" w:name="_Toc173231281"/>
      <w:r w:rsidRPr="00FC4420">
        <w:rPr>
          <w:rFonts w:ascii="Times New Roman" w:hAnsi="Times New Roman" w:cs="Times New Roman"/>
          <w:b/>
          <w:lang w:val="en-GB"/>
        </w:rPr>
        <w:t>12.5. Blind Windows</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w:instrText>
      </w:r>
      <w:r w:rsidRPr="00FC4420">
        <w:rPr>
          <w:rFonts w:ascii="Times New Roman" w:hAnsi="Times New Roman" w:cs="Times New Roman"/>
          <w:b/>
          <w:lang w:val="en-GB"/>
        </w:rPr>
        <w:instrText>Blind Windows</w:instrText>
      </w:r>
      <w:r w:rsidRPr="00FC4420">
        <w:rPr>
          <w:rFonts w:ascii="Times New Roman" w:hAnsi="Times New Roman" w:cs="Times New Roman"/>
          <w:lang w:val="en-GB"/>
        </w:rPr>
        <w:instrText xml:space="preserve">"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in Urartian</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Art</w:t>
      </w:r>
      <w:bookmarkEnd w:id="211"/>
      <w:bookmarkEnd w:id="212"/>
    </w:p>
    <w:p w14:paraId="3F12B761" w14:textId="4CC0003A" w:rsidR="0022085E" w:rsidRPr="0022085E" w:rsidRDefault="0022085E" w:rsidP="006A38F9">
      <w:pPr>
        <w:rPr>
          <w:rFonts w:ascii="Times New Roman" w:eastAsia="Calibri" w:hAnsi="Times New Roman" w:cs="Times New Roman"/>
          <w:lang w:val="en-GB"/>
        </w:rPr>
      </w:pPr>
      <w:r w:rsidRPr="00FC4420">
        <w:rPr>
          <w:rFonts w:ascii="Times New Roman" w:eastAsia="Calibri" w:hAnsi="Times New Roman" w:cs="Times New Roman"/>
          <w:lang w:val="en-GB"/>
        </w:rPr>
        <w:t>Determining</w:t>
      </w:r>
      <w:r w:rsidRPr="00FC4420">
        <w:rPr>
          <w:rFonts w:ascii="Times New Roman" w:hAnsi="Times New Roman" w:cs="Times New Roman"/>
          <w:lang w:val="en-GB"/>
        </w:rPr>
        <w:t xml:space="preserve"> the functional or cultic meanings of “T” shaped niches</w:t>
      </w:r>
      <w:r w:rsidRPr="00FC4420">
        <w:rPr>
          <w:rFonts w:ascii="Times New Roman" w:eastAsia="Calibri" w:hAnsi="Times New Roman" w:cs="Times New Roman"/>
          <w:lang w:val="en-GB"/>
        </w:rPr>
        <w:t xml:space="preserve"> is vital and primarily</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especially the works with architectural depictions. Archaeological data with “T” shaped depictions include a bronze rod and a broken bronze fragment from Toprakkale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A seal impression from Bastam</w:t>
      </w:r>
      <w:r w:rsidRPr="00FC4420">
        <w:rPr>
          <w:rFonts w:ascii="Times New Roman" w:eastAsia="Calibri" w:hAnsi="Times New Roman" w:cs="Times New Roman"/>
          <w:lang w:val="en-GB"/>
        </w:rPr>
        <w: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"Bastam"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finally</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heavy piers with architectural depictions in Adilcevaz</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Adilcevaz</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Kef fortress</w:t>
      </w:r>
      <w:r w:rsidRPr="00FC4420">
        <w:rPr>
          <w:rFonts w:ascii="Times New Roman" w:eastAsia="Calibri" w:hAnsi="Times New Roman" w:cs="Times New Roman"/>
          <w:lang w:val="en-GB"/>
        </w:rPr>
        <w: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"Kef Fortress" </w:instrText>
      </w:r>
      <w:r w:rsidRPr="00FC4420">
        <w:rPr>
          <w:rFonts w:ascii="Times New Roman" w:hAnsi="Times New Roman" w:cs="Times New Roman"/>
          <w:lang w:val="en-GB"/>
        </w:rPr>
        <w:fldChar w:fldCharType="end"/>
      </w:r>
    </w:p>
    <w:p w14:paraId="33EFBDA4" w14:textId="78FD4E8D" w:rsidR="0022085E" w:rsidRPr="00FC4420" w:rsidRDefault="0022085E" w:rsidP="0022085E">
      <w:pPr>
        <w:keepNext/>
        <w:keepLines/>
        <w:jc w:val="both"/>
        <w:outlineLvl w:val="2"/>
        <w:rPr>
          <w:rFonts w:ascii="Times New Roman" w:hAnsi="Times New Roman" w:cs="Times New Roman"/>
          <w:b/>
          <w:lang w:val="en-GB"/>
        </w:rPr>
      </w:pPr>
      <w:bookmarkStart w:id="213" w:name="_Toc132072583"/>
      <w:bookmarkStart w:id="214" w:name="_Toc173231282"/>
      <w:r w:rsidRPr="00FC4420">
        <w:rPr>
          <w:rFonts w:ascii="Times New Roman" w:hAnsi="Times New Roman" w:cs="Times New Roman"/>
          <w:b/>
          <w:lang w:val="en-GB"/>
        </w:rPr>
        <w:t>12.5.1. Toprakkale</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Artifacts</w:t>
      </w:r>
      <w:bookmarkEnd w:id="213"/>
      <w:bookmarkEnd w:id="214"/>
      <w:r w:rsidRPr="00FC4420">
        <w:rPr>
          <w:rFonts w:ascii="Times New Roman" w:hAnsi="Times New Roman" w:cs="Times New Roman"/>
          <w:b/>
          <w:lang w:val="en-GB"/>
        </w:rPr>
        <w:t xml:space="preserve"> </w:t>
      </w:r>
    </w:p>
    <w:p w14:paraId="0F4B076F" w14:textId="77777777" w:rsidR="0022085E" w:rsidRDefault="0022085E" w:rsidP="0022085E">
      <w:pPr>
        <w:jc w:val="both"/>
        <w:rPr>
          <w:rFonts w:ascii="Times New Roman" w:hAnsi="Times New Roman" w:cs="Times New Roman"/>
          <w:lang w:val="en-GB"/>
        </w:rPr>
      </w:pPr>
      <w:r w:rsidRPr="00FC4420">
        <w:rPr>
          <w:rFonts w:ascii="Times New Roman" w:hAnsi="Times New Roman" w:cs="Times New Roman"/>
          <w:lang w:val="en-GB"/>
        </w:rPr>
        <w:t>Until the "T" shaped fragments were found as a monolithic basalt architectural element in the Çavuştepe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"Çavuştepe"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excavations, the use of windows in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architecture was </w:t>
      </w:r>
      <w:r w:rsidRPr="00FC4420">
        <w:rPr>
          <w:rFonts w:ascii="Times New Roman" w:eastAsia="Calibri" w:hAnsi="Times New Roman" w:cs="Times New Roman"/>
          <w:lang w:val="en-GB"/>
        </w:rPr>
        <w:t>primarily</w:t>
      </w:r>
      <w:r w:rsidRPr="00FC4420">
        <w:rPr>
          <w:rFonts w:ascii="Times New Roman" w:hAnsi="Times New Roman" w:cs="Times New Roman"/>
          <w:lang w:val="en-GB"/>
        </w:rPr>
        <w:t xml:space="preserve"> shaped on the model found in Toprakkale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(Fig. 14/d-e) (Barnett, 1950: 5 ff, Plate I-II). On this famous bronze plate, there is a depiction of a city or fortress with </w:t>
      </w:r>
      <w:r w:rsidRPr="00FC4420">
        <w:rPr>
          <w:rFonts w:ascii="Times New Roman" w:eastAsia="Calibri" w:hAnsi="Times New Roman" w:cs="Times New Roman"/>
          <w:lang w:val="en-GB"/>
        </w:rPr>
        <w:t xml:space="preserve">details of a </w:t>
      </w:r>
      <w:r w:rsidRPr="00FC4420">
        <w:rPr>
          <w:rFonts w:ascii="Times New Roman" w:hAnsi="Times New Roman" w:cs="Times New Roman"/>
          <w:lang w:val="en-GB"/>
        </w:rPr>
        <w:t>window, door</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and wooden beam. The windows are double-framed and rectangular. Similarly, a basalt pillar with depictions of blind windows and worship scenes on its </w:t>
      </w:r>
      <w:r w:rsidRPr="00FC4420">
        <w:rPr>
          <w:rFonts w:ascii="Times New Roman" w:eastAsia="Calibri" w:hAnsi="Times New Roman" w:cs="Times New Roman"/>
          <w:lang w:val="en-GB"/>
        </w:rPr>
        <w:t>broad</w:t>
      </w:r>
      <w:r w:rsidRPr="00FC4420">
        <w:rPr>
          <w:rFonts w:ascii="Times New Roman" w:hAnsi="Times New Roman" w:cs="Times New Roman"/>
          <w:lang w:val="en-GB"/>
        </w:rPr>
        <w:t xml:space="preserve"> and narrow sides is also known from the Mardin Museum</w:t>
      </w:r>
      <w:r w:rsidRPr="00FC4420">
        <w:rPr>
          <w:rFonts w:ascii="Times New Roman" w:eastAsia="Calibri" w:hAnsi="Times New Roman" w:cs="Times New Roman"/>
          <w:lang w:val="en-GB"/>
        </w:rPr>
        <w:t> </w:t>
      </w:r>
      <w:r w:rsidRPr="00FC4420">
        <w:rPr>
          <w:rFonts w:ascii="Times New Roman" w:hAnsi="Times New Roman" w:cs="Times New Roman"/>
          <w:lang w:val="en-GB"/>
        </w:rPr>
        <w:t xml:space="preserve">(see. Schachner, 2012: 595-614). </w:t>
      </w:r>
    </w:p>
    <w:p w14:paraId="4C68F268" w14:textId="77777777" w:rsidR="0022085E" w:rsidRDefault="0022085E" w:rsidP="0022085E">
      <w:pPr>
        <w:jc w:val="both"/>
        <w:rPr>
          <w:rFonts w:ascii="Times New Roman" w:hAnsi="Times New Roman" w:cs="Times New Roman"/>
          <w:lang w:val="en-GB"/>
        </w:rPr>
      </w:pPr>
    </w:p>
    <w:p w14:paraId="71286BC0" w14:textId="77777777" w:rsidR="0022085E" w:rsidRDefault="0022085E" w:rsidP="0022085E">
      <w:pPr>
        <w:jc w:val="both"/>
        <w:rPr>
          <w:rFonts w:ascii="Times New Roman" w:hAnsi="Times New Roman" w:cs="Times New Roman"/>
          <w:lang w:val="en-GB"/>
        </w:rPr>
      </w:pPr>
      <w:r w:rsidRPr="00FC4420">
        <w:rPr>
          <w:rFonts w:ascii="Times New Roman" w:hAnsi="Times New Roman" w:cs="Times New Roman"/>
          <w:lang w:val="en-GB"/>
        </w:rPr>
        <w:t>Apart from this piece in the British Museum, which is more famous and well-known in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archaeology, the lesser-known bronze works with "T" shaped depictions in the Berlin Museum</w:t>
      </w:r>
      <w:r w:rsidRPr="00FC4420">
        <w:rPr>
          <w:rFonts w:ascii="Times New Roman" w:eastAsia="Calibri" w:hAnsi="Times New Roman" w:cs="Times New Roman"/>
          <w:lang w:val="en-GB"/>
        </w:rPr>
        <w:t> </w:t>
      </w:r>
      <w:r w:rsidRPr="00FC4420">
        <w:rPr>
          <w:rFonts w:ascii="Times New Roman" w:hAnsi="Times New Roman" w:cs="Times New Roman"/>
          <w:lang w:val="en-GB"/>
        </w:rPr>
        <w:t xml:space="preserve">were evaluated by Wartke. It was </w:t>
      </w:r>
      <w:r w:rsidRPr="00FC4420">
        <w:rPr>
          <w:rFonts w:ascii="Times New Roman" w:hAnsi="Times New Roman" w:cs="Times New Roman"/>
          <w:lang w:val="en-GB"/>
        </w:rPr>
        <w:lastRenderedPageBreak/>
        <w:t xml:space="preserve">stated that the first piece on which “T” shaped window depictions were drawn could be a part of the bronze city model and was compared with the piece in the British Museum (Fig. 15/a) (Wartke, 1990: 67, 70, Abb. 11, Taf. XVIa). Although it is claimed that this piece, the upper part of which is broken and missing, </w:t>
      </w:r>
      <w:r w:rsidRPr="00FC4420">
        <w:rPr>
          <w:rFonts w:ascii="Times New Roman" w:eastAsia="Calibri" w:hAnsi="Times New Roman" w:cs="Times New Roman"/>
          <w:lang w:val="en-GB"/>
        </w:rPr>
        <w:t>maybe</w:t>
      </w:r>
      <w:r w:rsidRPr="00FC4420">
        <w:rPr>
          <w:rFonts w:ascii="Times New Roman" w:hAnsi="Times New Roman" w:cs="Times New Roman"/>
          <w:lang w:val="en-GB"/>
        </w:rPr>
        <w:t xml:space="preserve"> a part of the Toprakkale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city model that comes after the towers or belongs to the side parts, it is also stated that the window depictions on both examples are given differently. </w:t>
      </w:r>
      <w:r w:rsidRPr="00FC4420">
        <w:rPr>
          <w:rFonts w:ascii="Times New Roman" w:eastAsia="Calibri" w:hAnsi="Times New Roman" w:cs="Times New Roman"/>
          <w:lang w:val="en-GB"/>
        </w:rPr>
        <w:t>It</w:t>
      </w:r>
      <w:r w:rsidRPr="00FC4420">
        <w:rPr>
          <w:rFonts w:ascii="Times New Roman" w:hAnsi="Times New Roman" w:cs="Times New Roman"/>
          <w:lang w:val="en-GB"/>
        </w:rPr>
        <w:t xml:space="preserve"> is emphasized that the window drawings on the piece in Berlin represent blind windows and, unlike the city model in the British Museum, it was drawn together with the lintel part, with the horizontal arm that completes the "T" part.</w:t>
      </w:r>
    </w:p>
    <w:p w14:paraId="36BA9B23" w14:textId="77777777" w:rsidR="0022085E" w:rsidRPr="00FC4420" w:rsidRDefault="0022085E" w:rsidP="0022085E">
      <w:pPr>
        <w:jc w:val="both"/>
        <w:rPr>
          <w:rFonts w:ascii="Times New Roman" w:hAnsi="Times New Roman" w:cs="Times New Roman"/>
          <w:lang w:val="en-GB"/>
        </w:rPr>
      </w:pPr>
    </w:p>
    <w:p w14:paraId="022C04C7" w14:textId="7CD58091" w:rsidR="0022085E" w:rsidRDefault="0022085E" w:rsidP="006A38F9">
      <w:pPr>
        <w:jc w:val="both"/>
        <w:rPr>
          <w:rFonts w:ascii="Times New Roman" w:hAnsi="Times New Roman" w:cs="Times New Roman"/>
          <w:lang w:val="en-GB"/>
        </w:rPr>
      </w:pPr>
      <w:r w:rsidRPr="00FC4420">
        <w:rPr>
          <w:rFonts w:ascii="Times New Roman" w:hAnsi="Times New Roman" w:cs="Times New Roman"/>
          <w:lang w:val="en-GB"/>
        </w:rPr>
        <w:t>Another piece with a window depiction from Toprakkale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is a rectangular bronze bar (Fig. 15/b) (Wartke, 1990: 40, 46, Abb. 1g, Taf. Vc.). It is stated that it is used as a furniture fastener since its sides and back are not subject to any decoration or processing. Although it is stated that the double window depictions on the bronze bar represent blind windows again, it is stated that the window depictions here are in the form of "Pi (π)" this time. However, the depictions reflect the classical "T" shaped blind windows.</w:t>
      </w:r>
    </w:p>
    <w:p w14:paraId="7B44F090" w14:textId="25B2302A" w:rsidR="0022085E" w:rsidRPr="00FC4420" w:rsidRDefault="0022085E" w:rsidP="0022085E">
      <w:pPr>
        <w:keepNext/>
        <w:keepLines/>
        <w:jc w:val="both"/>
        <w:outlineLvl w:val="2"/>
        <w:rPr>
          <w:rFonts w:ascii="Times New Roman" w:hAnsi="Times New Roman" w:cs="Times New Roman"/>
          <w:lang w:val="en-GB"/>
        </w:rPr>
      </w:pPr>
      <w:bookmarkStart w:id="215" w:name="_Toc132072584"/>
      <w:bookmarkStart w:id="216" w:name="_Toc173231283"/>
      <w:r w:rsidRPr="00FC4420">
        <w:rPr>
          <w:rFonts w:ascii="Times New Roman" w:hAnsi="Times New Roman" w:cs="Times New Roman"/>
          <w:b/>
          <w:lang w:val="en-GB"/>
        </w:rPr>
        <w:t>12.5.2. Bastam</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"Bastam"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Seal Impressions</w:t>
      </w:r>
      <w:bookmarkEnd w:id="215"/>
      <w:bookmarkEnd w:id="216"/>
      <w:r w:rsidRPr="00FC4420">
        <w:rPr>
          <w:rFonts w:ascii="Times New Roman" w:hAnsi="Times New Roman" w:cs="Times New Roman"/>
          <w:lang w:val="en-GB"/>
        </w:rPr>
        <w:t xml:space="preserve"> </w:t>
      </w:r>
    </w:p>
    <w:p w14:paraId="1ECDB515" w14:textId="77777777" w:rsidR="0022085E" w:rsidRDefault="0022085E" w:rsidP="0022085E">
      <w:pPr>
        <w:jc w:val="both"/>
        <w:rPr>
          <w:rFonts w:ascii="Times New Roman" w:hAnsi="Times New Roman" w:cs="Times New Roman"/>
          <w:lang w:val="en-GB"/>
        </w:rPr>
      </w:pPr>
      <w:r w:rsidRPr="00FC4420">
        <w:rPr>
          <w:rFonts w:ascii="Times New Roman" w:hAnsi="Times New Roman" w:cs="Times New Roman"/>
          <w:lang w:val="en-GB"/>
        </w:rPr>
        <w:t xml:space="preserve">The seal impressions on a clay tablet found in </w:t>
      </w:r>
      <w:r w:rsidRPr="00FC4420">
        <w:rPr>
          <w:rFonts w:ascii="Times New Roman" w:eastAsia="Calibri" w:hAnsi="Times New Roman" w:cs="Times New Roman"/>
          <w:lang w:val="en-GB"/>
        </w:rPr>
        <w:t>Bastam's</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"Bastam" </w:instrText>
      </w:r>
      <w:r w:rsidRPr="00FC4420">
        <w:rPr>
          <w:rFonts w:ascii="Times New Roman" w:hAnsi="Times New Roman" w:cs="Times New Roman"/>
          <w:lang w:val="en-GB"/>
        </w:rPr>
        <w:fldChar w:fldCharType="end"/>
      </w:r>
      <w:r w:rsidRPr="00FC4420">
        <w:rPr>
          <w:rFonts w:ascii="Times New Roman" w:hAnsi="Times New Roman" w:cs="Times New Roman"/>
          <w:lang w:val="en-GB"/>
        </w:rPr>
        <w:t>' lower fortress, one of the best documented Urartian</w:t>
      </w:r>
      <w:r w:rsidRPr="00FC4420">
        <w:rPr>
          <w:rFonts w:ascii="Times New Roman" w:eastAsia="Calibri" w:hAnsi="Times New Roman" w:cs="Times New Roman"/>
          <w:lang w:val="en-GB"/>
        </w:rPr>
        <w:t xml:space="preserve">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centres with archaeological excavations in Northwest Iran</w:t>
      </w:r>
      <w:r>
        <w:rPr>
          <w:rFonts w:ascii="Times New Roman" w:eastAsia="Calibri" w:hAnsi="Times New Roman" w:cs="Times New Roman"/>
          <w:lang w:val="en-GB"/>
        </w:rPr>
        <w:t>,</w:t>
      </w:r>
      <w:r w:rsidRPr="00FC4420">
        <w:rPr>
          <w:rFonts w:ascii="Times New Roman" w:hAnsi="Times New Roman" w:cs="Times New Roman"/>
          <w:lang w:val="en-GB"/>
        </w:rPr>
        <w:t xml:space="preserve"> are </w:t>
      </w:r>
      <w:r w:rsidRPr="00FC4420">
        <w:rPr>
          <w:rFonts w:ascii="Times New Roman" w:eastAsia="Calibri" w:hAnsi="Times New Roman" w:cs="Times New Roman"/>
          <w:lang w:val="en-GB"/>
        </w:rPr>
        <w:t>crucial</w:t>
      </w:r>
      <w:r w:rsidRPr="00FC4420">
        <w:rPr>
          <w:rFonts w:ascii="Times New Roman" w:hAnsi="Times New Roman" w:cs="Times New Roman"/>
          <w:lang w:val="en-GB"/>
        </w:rPr>
        <w:t xml:space="preserve"> in that they contain “T” shaped depictions (Seidl, 1979: 135/A1a-b, Taf. 28.2; 29.2; 30.1; 33.2.3). A winged horse with an incompletely protruding front part is depicted on the impression of a cylindrical stamp seal. Just above the winged horse depiction is a “T” shaped depiction (Fig. 15/c). In the cylindrical seal impression on the clay tablet, two bird-headed and winged creatures are depicted fertilizing the tree of life in the middle with situla and cones in the decoration area bordered by a cuneiform inscription on the lower and upper edges. There is a “T” depiction at the head level of the winged and bird-headed figure on the right side of the tree of life in the middle. </w:t>
      </w:r>
      <w:bookmarkStart w:id="217" w:name="_Hlk173065948"/>
      <w:r w:rsidRPr="00FC4420">
        <w:rPr>
          <w:rFonts w:ascii="Times New Roman" w:hAnsi="Times New Roman" w:cs="Times New Roman"/>
          <w:lang w:val="en-GB"/>
        </w:rPr>
        <w:t xml:space="preserve">However, the "T" depiction here is </w:t>
      </w:r>
      <w:r w:rsidRPr="00FC4420">
        <w:rPr>
          <w:rFonts w:ascii="Times New Roman" w:eastAsia="Calibri" w:hAnsi="Times New Roman" w:cs="Times New Roman"/>
          <w:lang w:val="en-GB"/>
        </w:rPr>
        <w:t xml:space="preserve">unclear; </w:t>
      </w:r>
      <w:r w:rsidRPr="00FC4420">
        <w:rPr>
          <w:rFonts w:ascii="Times New Roman" w:hAnsi="Times New Roman" w:cs="Times New Roman"/>
          <w:lang w:val="en-GB"/>
        </w:rPr>
        <w:t>only a part of it can be seen in the impression</w:t>
      </w:r>
      <w:bookmarkEnd w:id="217"/>
      <w:r w:rsidRPr="00FC4420">
        <w:rPr>
          <w:rStyle w:val="DipnotBavurusu"/>
          <w:rFonts w:ascii="Times New Roman" w:hAnsi="Times New Roman" w:cs="Times New Roman"/>
          <w:lang w:val="en-GB"/>
        </w:rPr>
        <w:footnoteReference w:id="69"/>
      </w:r>
      <w:r w:rsidRPr="00FC4420">
        <w:rPr>
          <w:rFonts w:ascii="Times New Roman" w:hAnsi="Times New Roman" w:cs="Times New Roman"/>
          <w:lang w:val="en-GB"/>
        </w:rPr>
        <w:t>.</w:t>
      </w:r>
    </w:p>
    <w:p w14:paraId="54A8A857" w14:textId="77777777" w:rsidR="0022085E" w:rsidRDefault="0022085E" w:rsidP="0022085E">
      <w:pPr>
        <w:jc w:val="both"/>
        <w:rPr>
          <w:rFonts w:ascii="Times New Roman" w:hAnsi="Times New Roman" w:cs="Times New Roman"/>
          <w:lang w:val="en-GB"/>
        </w:rPr>
      </w:pPr>
    </w:p>
    <w:p w14:paraId="654EF6E8" w14:textId="77777777" w:rsidR="0022085E" w:rsidRPr="00FC4420" w:rsidRDefault="0022085E" w:rsidP="0022085E">
      <w:pPr>
        <w:keepNext/>
        <w:keepLines/>
        <w:jc w:val="both"/>
        <w:outlineLvl w:val="2"/>
        <w:rPr>
          <w:rFonts w:ascii="Times New Roman" w:hAnsi="Times New Roman" w:cs="Times New Roman"/>
          <w:b/>
          <w:lang w:val="en-GB"/>
        </w:rPr>
      </w:pPr>
      <w:bookmarkStart w:id="218" w:name="_Toc132072585"/>
      <w:bookmarkStart w:id="219" w:name="_Toc173231284"/>
      <w:r w:rsidRPr="00FC4420">
        <w:rPr>
          <w:rFonts w:ascii="Times New Roman" w:hAnsi="Times New Roman" w:cs="Times New Roman"/>
          <w:b/>
          <w:lang w:val="en-GB"/>
        </w:rPr>
        <w:t>12.5.3. Reliefs of Adilcevaz</w:t>
      </w:r>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"Adilcevaz" </w:instrText>
      </w:r>
      <w:r w:rsidRPr="00FC4420">
        <w:rPr>
          <w:rFonts w:ascii="Times New Roman" w:hAnsi="Times New Roman" w:cs="Times New Roman"/>
          <w:b/>
          <w:lang w:val="en-GB"/>
        </w:rPr>
        <w:fldChar w:fldCharType="end"/>
      </w:r>
      <w:r w:rsidRPr="00FC4420">
        <w:rPr>
          <w:rFonts w:ascii="Times New Roman" w:hAnsi="Times New Roman" w:cs="Times New Roman"/>
          <w:b/>
          <w:lang w:val="en-GB"/>
        </w:rPr>
        <w:t xml:space="preserve"> Kef Fortress</w:t>
      </w:r>
      <w:bookmarkEnd w:id="218"/>
      <w:bookmarkEnd w:id="219"/>
      <w:r w:rsidRPr="00FC4420">
        <w:rPr>
          <w:rFonts w:ascii="Times New Roman" w:hAnsi="Times New Roman" w:cs="Times New Roman"/>
          <w:b/>
          <w:lang w:val="en-GB"/>
        </w:rPr>
        <w:fldChar w:fldCharType="begin"/>
      </w:r>
      <w:r w:rsidRPr="00FC4420">
        <w:rPr>
          <w:rFonts w:ascii="Times New Roman" w:hAnsi="Times New Roman" w:cs="Times New Roman"/>
          <w:lang w:val="en-GB"/>
        </w:rPr>
        <w:instrText xml:space="preserve"> XE "Kef Fortress" </w:instrText>
      </w:r>
      <w:r w:rsidRPr="00FC4420">
        <w:rPr>
          <w:rFonts w:ascii="Times New Roman" w:hAnsi="Times New Roman" w:cs="Times New Roman"/>
          <w:b/>
          <w:lang w:val="en-GB"/>
        </w:rPr>
        <w:fldChar w:fldCharType="end"/>
      </w:r>
    </w:p>
    <w:p w14:paraId="2163124D" w14:textId="77777777" w:rsidR="0022085E" w:rsidRDefault="0022085E" w:rsidP="0022085E">
      <w:pPr>
        <w:jc w:val="both"/>
        <w:rPr>
          <w:rFonts w:ascii="Times New Roman" w:hAnsi="Times New Roman" w:cs="Times New Roman"/>
          <w:lang w:val="en-GB"/>
        </w:rPr>
      </w:pPr>
    </w:p>
    <w:p w14:paraId="70C1DCA7" w14:textId="3700B38D"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lastRenderedPageBreak/>
        <w:t>The first relief block with “T” shaped depictions in Adilcevaz</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Adilcevaz</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Kef </w:t>
      </w:r>
      <w:r>
        <w:rPr>
          <w:rFonts w:ascii="Times New Roman" w:hAnsi="Times New Roman" w:cs="Times New Roman"/>
          <w:lang w:val="en-GB"/>
        </w:rPr>
        <w:t>(</w:t>
      </w:r>
      <w:r w:rsidRPr="00FC4420">
        <w:rPr>
          <w:rFonts w:ascii="Times New Roman" w:hAnsi="Times New Roman" w:cs="Times New Roman"/>
          <w:lang w:val="en-GB"/>
        </w:rPr>
        <w:t xml:space="preserve">Fig. 15/d) was found independently on the terraces south of the citadel at the highest point of the fortress (Burney </w:t>
      </w:r>
      <w:r w:rsidRPr="00FC4420">
        <w:rPr>
          <w:rFonts w:ascii="Times New Roman" w:eastAsia="Times New Roman" w:hAnsi="Times New Roman" w:cs="Times New Roman"/>
          <w:lang w:val="en-GB" w:eastAsia="tr-TR" w:bidi="he-IL"/>
        </w:rPr>
        <w:t xml:space="preserve">&amp; </w:t>
      </w:r>
      <w:r w:rsidRPr="00FC4420">
        <w:rPr>
          <w:rFonts w:ascii="Times New Roman" w:hAnsi="Times New Roman" w:cs="Times New Roman"/>
          <w:lang w:val="en-GB"/>
        </w:rPr>
        <w:t xml:space="preserve">Lawson, 1958: 216, Pl XXXIVa, Fig. 3). “T” shaped depictions were carved in three rows on this block with missing upper and lower parts. Apart from this block, which is single and independent on the surface, </w:t>
      </w:r>
      <w:r w:rsidRPr="00FC4420">
        <w:rPr>
          <w:rFonts w:ascii="Times New Roman" w:eastAsia="Calibri" w:hAnsi="Times New Roman" w:cs="Times New Roman"/>
          <w:lang w:val="en-GB"/>
        </w:rPr>
        <w:t>eight</w:t>
      </w:r>
      <w:r w:rsidRPr="00FC4420">
        <w:rPr>
          <w:rFonts w:ascii="Times New Roman" w:hAnsi="Times New Roman" w:cs="Times New Roman"/>
          <w:lang w:val="en-GB"/>
        </w:rPr>
        <w:t xml:space="preserve"> monolithic blocks with cuneiform inscriptions and reliefs were found in storage rooms 1 and 3 of places thought to belong to a palace structure during the 1964 and 1965 excavation seasons (Bilgiç &amp; Öğün 1964; 1965). On the blocks with a cuneiform line on the upper part, a three-tower architectural structure with battlements on the upper part is depicted (Fig. 15/e). In the spaces between the towers used as decoration, eagles holding a rabbit hanging from their beaks on both sides of a palmette motif on the top and winged god figures on a lion holding a pinecone and a bowl are carved in the main decoration area below. One of the prominent architectural elements on the relief block is the "T" shaped depictions. Starting from the lower parts of the towers with crenelated, the "T" depictions emphasizing the multi-story architecture of the architectural structure were embroidered in three rows on the towers</w:t>
      </w:r>
      <w:r w:rsidRPr="00FC4420">
        <w:rPr>
          <w:rFonts w:ascii="Times New Roman" w:eastAsia="Calibri" w:hAnsi="Times New Roman" w:cs="Times New Roman"/>
          <w:lang w:val="en-GB"/>
        </w:rPr>
        <w:t>. At the same time,</w:t>
      </w:r>
      <w:r w:rsidRPr="00FC4420">
        <w:rPr>
          <w:rFonts w:ascii="Times New Roman" w:hAnsi="Times New Roman" w:cs="Times New Roman"/>
          <w:lang w:val="en-GB"/>
        </w:rPr>
        <w:t xml:space="preserve"> in the main decoration area where the gods on the lion are located, they were processed in two rows. The upper part of the "T" niches found in Kef fortress, which we call the lintel or horizontal arm, is given as a thicker rectangle, while the part representing the vertical arm or window opening is carved with two frames. In the inscriptions on heavy piers, which represent </w:t>
      </w:r>
      <w:r w:rsidRPr="00FC4420">
        <w:rPr>
          <w:rFonts w:ascii="Times New Roman" w:eastAsia="Calibri" w:hAnsi="Times New Roman" w:cs="Times New Roman"/>
          <w:lang w:val="en-GB"/>
        </w:rPr>
        <w:t>an exceptional</w:t>
      </w:r>
      <w:r w:rsidRPr="00FC4420">
        <w:rPr>
          <w:rFonts w:ascii="Times New Roman" w:hAnsi="Times New Roman" w:cs="Times New Roman"/>
          <w:lang w:val="en-GB"/>
        </w:rPr>
        <w:t xml:space="preserve"> relief art in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architecture, it is mentioned that Rusai Argištiḫi</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"Rusai Argištiḫi" </w:instrText>
      </w:r>
      <w:r w:rsidRPr="00FC4420">
        <w:rPr>
          <w:rFonts w:ascii="Times New Roman" w:hAnsi="Times New Roman" w:cs="Times New Roman"/>
          <w:lang w:val="en-GB"/>
        </w:rPr>
        <w:fldChar w:fldCharType="end"/>
      </w:r>
      <w:r w:rsidRPr="00FC4420">
        <w:rPr>
          <w:rFonts w:ascii="Times New Roman" w:hAnsi="Times New Roman" w:cs="Times New Roman"/>
          <w:lang w:val="en-GB"/>
        </w:rPr>
        <w:t>, had an ašiḫusi</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hAnsi="Times New Roman" w:cs="Times New Roman"/>
          <w:noProof/>
        </w:rPr>
        <w:drawing>
          <wp:anchor distT="0" distB="0" distL="114300" distR="114300" simplePos="0" relativeHeight="251942912" behindDoc="0" locked="0" layoutInCell="1" allowOverlap="1" wp14:anchorId="73949A57" wp14:editId="1EAB6A0C">
            <wp:simplePos x="0" y="0"/>
            <wp:positionH relativeFrom="margin">
              <wp:posOffset>0</wp:posOffset>
            </wp:positionH>
            <wp:positionV relativeFrom="paragraph">
              <wp:posOffset>448838</wp:posOffset>
            </wp:positionV>
            <wp:extent cx="5286375" cy="7479030"/>
            <wp:effectExtent l="0" t="0" r="0" b="1270"/>
            <wp:wrapTopAndBottom/>
            <wp:docPr id="1119733502" name="Resim 1" descr="taslak,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33502" name="Resim 1" descr="taslak, sanat içeren bir resim&#10;&#10;Açıklama otomatik olarak oluşturuldu"/>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5286375" cy="7479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420">
        <w:rPr>
          <w:rFonts w:ascii="Times New Roman" w:hAnsi="Times New Roman" w:cs="Times New Roman"/>
          <w:lang w:val="en-GB"/>
        </w:rPr>
        <w:instrText xml:space="preserve">"ašiḫusi"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(Banquet Hall) built (Salvini, 1998: 124).</w:t>
      </w:r>
    </w:p>
    <w:p w14:paraId="63DE1C4C" w14:textId="58224D6A" w:rsidR="0022085E" w:rsidRDefault="0022085E" w:rsidP="0022085E">
      <w:pPr>
        <w:jc w:val="both"/>
        <w:rPr>
          <w:rFonts w:ascii="Times New Roman" w:hAnsi="Times New Roman" w:cs="Times New Roman"/>
          <w:lang w:val="en-GB"/>
        </w:rPr>
      </w:pPr>
    </w:p>
    <w:p w14:paraId="57BBE7E6" w14:textId="3FEE8DE7" w:rsidR="0022085E" w:rsidRDefault="0022085E" w:rsidP="0022085E">
      <w:pPr>
        <w:jc w:val="both"/>
        <w:rPr>
          <w:rFonts w:ascii="Times New Roman" w:hAnsi="Times New Roman" w:cs="Times New Roman"/>
          <w:lang w:val="en-GB"/>
        </w:rPr>
      </w:pPr>
      <w:r w:rsidRPr="00FC4420">
        <w:rPr>
          <w:rFonts w:ascii="Times New Roman" w:hAnsi="Times New Roman" w:cs="Times New Roman"/>
          <w:lang w:val="en-GB"/>
        </w:rPr>
        <w:t>Fig. 14 a) One of the Çavuştepe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"Çavuştepe"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Blind Windows</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"Blind Windows"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in the Van Museum</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hAnsi="Times New Roman" w:cs="Times New Roman"/>
        </w:rPr>
        <w:instrText>Van Museum</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its drawing.; b) The “T” niche used as spolia at the Hoşap Fortress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"Hoşap Fortress" </w:instrText>
      </w:r>
      <w:r w:rsidRPr="00FC4420">
        <w:rPr>
          <w:rFonts w:ascii="Times New Roman" w:hAnsi="Times New Roman" w:cs="Times New Roman"/>
          <w:lang w:val="en-GB"/>
        </w:rPr>
        <w:fldChar w:fldCharType="end"/>
      </w:r>
      <w:r w:rsidRPr="00FC4420">
        <w:rPr>
          <w:rFonts w:ascii="Times New Roman" w:hAnsi="Times New Roman" w:cs="Times New Roman"/>
          <w:lang w:val="en-GB"/>
        </w:rPr>
        <w:t>; c) An example of a blind window located in the Gevaş</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"Gevaş"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district; d-e) Toprakkale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bronze city model (Wartke, 1993: Taf. 28) and </w:t>
      </w:r>
      <w:r w:rsidRPr="00FC4420">
        <w:rPr>
          <w:rFonts w:ascii="Times New Roman" w:hAnsi="Times New Roman" w:cs="Times New Roman"/>
          <w:noProof/>
        </w:rPr>
        <w:drawing>
          <wp:anchor distT="0" distB="0" distL="114300" distR="114300" simplePos="0" relativeHeight="251943936" behindDoc="0" locked="0" layoutInCell="1" allowOverlap="1" wp14:anchorId="2CAF21DD" wp14:editId="2CBADF2A">
            <wp:simplePos x="0" y="0"/>
            <wp:positionH relativeFrom="margin">
              <wp:posOffset>80645</wp:posOffset>
            </wp:positionH>
            <wp:positionV relativeFrom="margin">
              <wp:posOffset>398421</wp:posOffset>
            </wp:positionV>
            <wp:extent cx="4892040" cy="6898640"/>
            <wp:effectExtent l="0" t="0" r="0" b="0"/>
            <wp:wrapTopAndBottom/>
            <wp:docPr id="323084542" name="Resim 15" descr="tasla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84542" name="Resim 15" descr="taslak, çizim içeren bir resim&#10;&#10;Açıklama otomatik olarak oluşturuldu"/>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4892040" cy="689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420">
        <w:rPr>
          <w:rFonts w:ascii="Times New Roman" w:hAnsi="Times New Roman" w:cs="Times New Roman"/>
          <w:lang w:val="en-GB"/>
        </w:rPr>
        <w:t>drawing (Kleiss, 1982: Fig. 8).</w:t>
      </w:r>
    </w:p>
    <w:p w14:paraId="5EBC5532" w14:textId="77777777" w:rsidR="0022085E" w:rsidRDefault="0022085E" w:rsidP="0022085E">
      <w:pPr>
        <w:jc w:val="both"/>
        <w:rPr>
          <w:rFonts w:ascii="Times New Roman" w:hAnsi="Times New Roman" w:cs="Times New Roman"/>
          <w:lang w:val="en-GB"/>
        </w:rPr>
      </w:pPr>
      <w:r w:rsidRPr="00FC4420">
        <w:rPr>
          <w:rFonts w:ascii="Times New Roman" w:hAnsi="Times New Roman" w:cs="Times New Roman"/>
          <w:lang w:val="en-GB"/>
        </w:rPr>
        <w:t>Fig. 15 a) A bronze fragment from Toprakkale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(Wartke, 1990: Abb. 11, Taf. XVIa); b) A bronze furniture part from Toprakkale (Wartke, 1990: Abb. 1g, Taf. Vc); c) Drawing of the seal impression on a clay tablet at Bastam</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"Bastam"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(Seidl, 1979:135/A1a-b, Taf. 28.2; 29.2; 30.1; 33.2.3); d) The drawing of relief decorated pillar from Adilcevaz</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"Adilcevaz"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Kef fortress</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"Kef Fortress"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(Seidl, 1993: Fig. 3).; e) The drawing of relief decorated pillar fragment at Kef fortress</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"Kef Fortress"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(Burney &amp; Lawson, 1958: Fig. 3); f) A drawing of one of the </w:t>
      </w:r>
      <w:r>
        <w:rPr>
          <w:rFonts w:ascii="Times New Roman" w:hAnsi="Times New Roman" w:cs="Times New Roman"/>
          <w:lang w:val="en-GB"/>
        </w:rPr>
        <w:t>“</w:t>
      </w:r>
      <w:r w:rsidRPr="00FA5B74">
        <w:rPr>
          <w:rFonts w:ascii="Times New Roman" w:hAnsi="Times New Roman" w:cs="Times New Roman"/>
          <w:lang w:val="en-GB"/>
        </w:rPr>
        <w:t>T</w:t>
      </w:r>
      <w:r>
        <w:rPr>
          <w:rFonts w:ascii="Times New Roman" w:hAnsi="Times New Roman" w:cs="Times New Roman"/>
          <w:lang w:val="en-GB"/>
        </w:rPr>
        <w:t xml:space="preserve">” </w:t>
      </w:r>
      <w:r w:rsidRPr="00FA5B74">
        <w:rPr>
          <w:rFonts w:ascii="Times New Roman" w:hAnsi="Times New Roman" w:cs="Times New Roman"/>
          <w:lang w:val="en-GB"/>
        </w:rPr>
        <w:t>shaped</w:t>
      </w:r>
      <w:r w:rsidRPr="00FC4420">
        <w:rPr>
          <w:rFonts w:ascii="Times New Roman" w:hAnsi="Times New Roman" w:cs="Times New Roman"/>
          <w:lang w:val="en-GB"/>
        </w:rPr>
        <w:t xml:space="preserve"> rock niches in </w:t>
      </w:r>
      <w:r w:rsidRPr="00FC4420">
        <w:rPr>
          <w:rFonts w:ascii="Times New Roman" w:hAnsi="Times New Roman" w:cs="Times New Roman"/>
          <w:lang w:val="en-GB"/>
        </w:rPr>
        <w:lastRenderedPageBreak/>
        <w:t>the Van Fortress by Lehmann-Haupt</w:t>
      </w:r>
      <w:r w:rsidRPr="00FC4420">
        <w:rPr>
          <w:rFonts w:ascii="Times New Roman" w:eastAsia="Calibri" w:hAnsi="Times New Roman" w:cs="Times New Roman"/>
          <w:lang w:val="en-GB"/>
        </w:rPr>
        <w:fldChar w:fldCharType="begin"/>
      </w:r>
      <w:r w:rsidRPr="00FC4420">
        <w:rPr>
          <w:rFonts w:ascii="Times New Roman" w:eastAsia="Calibri" w:hAnsi="Times New Roman" w:cs="Times New Roman"/>
          <w:lang w:val="en-GB"/>
        </w:rPr>
        <w:instrText xml:space="preserve"> XE "</w:instrText>
      </w:r>
      <w:r w:rsidRPr="00FC4420">
        <w:rPr>
          <w:rFonts w:ascii="Times New Roman" w:eastAsia="Calibri" w:hAnsi="Times New Roman" w:cs="Times New Roman"/>
          <w:iCs/>
          <w:lang w:val="en-GB"/>
        </w:rPr>
        <w:instrText>Lehmann-Haupt</w:instrText>
      </w:r>
      <w:r w:rsidRPr="00FC4420">
        <w:rPr>
          <w:rFonts w:ascii="Times New Roman" w:eastAsia="Calibri" w:hAnsi="Times New Roman" w:cs="Times New Roman"/>
          <w:lang w:val="en-GB"/>
        </w:rPr>
        <w:instrText xml:space="preserve">" </w:instrText>
      </w:r>
      <w:r w:rsidRPr="00FC4420">
        <w:rPr>
          <w:rFonts w:ascii="Times New Roman" w:eastAsia="Calibri" w:hAnsi="Times New Roman" w:cs="Times New Roman"/>
          <w:lang w:val="en-GB"/>
        </w:rPr>
        <w:fldChar w:fldCharType="end"/>
      </w:r>
      <w:r w:rsidRPr="00FC4420">
        <w:rPr>
          <w:rFonts w:ascii="Times New Roman" w:hAnsi="Times New Roman" w:cs="Times New Roman"/>
          <w:lang w:val="en-GB"/>
        </w:rPr>
        <w:t xml:space="preserve"> (1926: 156).</w:t>
      </w:r>
    </w:p>
    <w:p w14:paraId="6A1F55DB" w14:textId="77777777" w:rsidR="0022085E" w:rsidRPr="00FC4420" w:rsidRDefault="0022085E" w:rsidP="0022085E">
      <w:pPr>
        <w:jc w:val="both"/>
        <w:rPr>
          <w:rFonts w:ascii="Times New Roman" w:hAnsi="Times New Roman" w:cs="Times New Roman"/>
          <w:lang w:val="en-GB"/>
        </w:rPr>
      </w:pPr>
    </w:p>
    <w:p w14:paraId="7A1D358E" w14:textId="77777777" w:rsidR="0022085E" w:rsidRPr="00FC4420" w:rsidRDefault="0022085E" w:rsidP="0022085E">
      <w:pPr>
        <w:keepNext/>
        <w:keepLines/>
        <w:jc w:val="both"/>
        <w:outlineLvl w:val="1"/>
        <w:rPr>
          <w:rFonts w:ascii="Times New Roman" w:hAnsi="Times New Roman" w:cs="Times New Roman"/>
          <w:b/>
          <w:lang w:val="en-GB"/>
        </w:rPr>
      </w:pPr>
      <w:bookmarkStart w:id="220" w:name="_Toc132072586"/>
      <w:bookmarkStart w:id="221" w:name="_Toc173231285"/>
      <w:r w:rsidRPr="00FC4420">
        <w:rPr>
          <w:rFonts w:ascii="Times New Roman" w:hAnsi="Times New Roman" w:cs="Times New Roman"/>
          <w:b/>
          <w:lang w:val="en-GB"/>
        </w:rPr>
        <w:t>12.6. Interpretation and Discussion</w:t>
      </w:r>
      <w:bookmarkEnd w:id="220"/>
      <w:bookmarkEnd w:id="221"/>
    </w:p>
    <w:p w14:paraId="4D9C72FC" w14:textId="77777777" w:rsidR="0022085E" w:rsidRDefault="0022085E" w:rsidP="0022085E">
      <w:pPr>
        <w:jc w:val="both"/>
        <w:rPr>
          <w:rFonts w:ascii="Times New Roman" w:hAnsi="Times New Roman" w:cs="Times New Roman"/>
          <w:lang w:val="en-GB"/>
        </w:rPr>
      </w:pPr>
    </w:p>
    <w:p w14:paraId="05F404B1"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In the ancient Near East</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"Near East"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civilizations, such “T” shaped rock niches and depictions in pre-Urartian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or Urartian and contemporary cultures are not known until today. Blind or false windows are used in Achaemenid</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Style w:val="y2iqfc"/>
          <w:rFonts w:ascii="Times New Roman" w:eastAsia="Arial" w:hAnsi="Times New Roman" w:cs="Times New Roman"/>
          <w:lang w:val="en-GB"/>
        </w:rPr>
        <w:instrText>Achaemenid</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tower temples after Urartu</w:t>
      </w:r>
      <w:r w:rsidRPr="00FC4420">
        <w:rPr>
          <w:rFonts w:ascii="Times New Roman" w:eastAsia="Calibri" w:hAnsi="Times New Roman" w:cs="Times New Roman"/>
          <w:lang w:val="en-GB"/>
        </w:rPr>
        <w: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Times New Roman" w:hAnsi="Times New Roman" w:cs="Times New Roman"/>
          <w:lang w:val="en-GB"/>
        </w:rPr>
        <w:instrText>Urartu</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it is believed that this tradition started with the Urartians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(Stronach, 1967: 282; 2012; Salvini, 2006: 162; Dan, 2015: 43-46</w:t>
      </w:r>
      <w:r w:rsidRPr="00FC4420">
        <w:rPr>
          <w:rFonts w:ascii="Times New Roman" w:eastAsia="Calibri" w:hAnsi="Times New Roman" w:cs="Times New Roman"/>
          <w:lang w:val="en-GB"/>
        </w:rPr>
        <w:t>). However</w:t>
      </w:r>
      <w:r w:rsidRPr="00FC4420">
        <w:rPr>
          <w:rFonts w:ascii="Times New Roman" w:hAnsi="Times New Roman" w:cs="Times New Roman"/>
          <w:lang w:val="en-GB"/>
        </w:rPr>
        <w:t xml:space="preserve">, the "T" shaped niches carved into the </w:t>
      </w:r>
      <w:r w:rsidRPr="00FC4420">
        <w:rPr>
          <w:rFonts w:ascii="Times New Roman" w:eastAsia="Calibri" w:hAnsi="Times New Roman" w:cs="Times New Roman"/>
          <w:lang w:val="en-GB"/>
        </w:rPr>
        <w:t>bedrock</w:t>
      </w:r>
      <w:r w:rsidRPr="00FC4420">
        <w:rPr>
          <w:rFonts w:ascii="Times New Roman" w:hAnsi="Times New Roman" w:cs="Times New Roman"/>
          <w:lang w:val="en-GB"/>
        </w:rPr>
        <w:t xml:space="preserve"> have not received much detailed evaluation.</w:t>
      </w:r>
    </w:p>
    <w:p w14:paraId="7D64B74A" w14:textId="77777777" w:rsidR="0022085E" w:rsidRPr="00FC4420" w:rsidRDefault="0022085E" w:rsidP="0022085E">
      <w:pPr>
        <w:jc w:val="both"/>
        <w:rPr>
          <w:rFonts w:ascii="Times New Roman" w:hAnsi="Times New Roman" w:cs="Times New Roman"/>
          <w:lang w:val="en-GB"/>
        </w:rPr>
      </w:pPr>
    </w:p>
    <w:p w14:paraId="1BD88C8B"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 xml:space="preserve">Among the </w:t>
      </w:r>
      <w:r w:rsidRPr="00FC4420">
        <w:rPr>
          <w:rFonts w:ascii="Times New Roman" w:eastAsia="Calibri" w:hAnsi="Times New Roman" w:cs="Times New Roman"/>
          <w:lang w:val="en-GB"/>
        </w:rPr>
        <w:t>places</w:t>
      </w:r>
      <w:r w:rsidRPr="00FC4420">
        <w:rPr>
          <w:rFonts w:ascii="Times New Roman" w:hAnsi="Times New Roman" w:cs="Times New Roman"/>
          <w:lang w:val="en-GB"/>
        </w:rPr>
        <w:t xml:space="preserve"> where "T" shaped rock niches are </w:t>
      </w:r>
      <w:r w:rsidRPr="00FC4420">
        <w:rPr>
          <w:rFonts w:ascii="Times New Roman" w:eastAsia="Calibri" w:hAnsi="Times New Roman" w:cs="Times New Roman"/>
          <w:lang w:val="en-GB"/>
        </w:rPr>
        <w:t>found,</w:t>
      </w:r>
      <w:r w:rsidRPr="00FC4420">
        <w:rPr>
          <w:rFonts w:ascii="Times New Roman" w:hAnsi="Times New Roman" w:cs="Times New Roman"/>
          <w:lang w:val="en-GB"/>
        </w:rPr>
        <w:t xml:space="preserve"> most examples are seen </w:t>
      </w:r>
      <w:r w:rsidRPr="00FC4420">
        <w:rPr>
          <w:rFonts w:ascii="Times New Roman" w:eastAsia="Calibri" w:hAnsi="Times New Roman" w:cs="Times New Roman"/>
          <w:lang w:val="en-GB"/>
        </w:rPr>
        <w:t>at</w:t>
      </w:r>
      <w:r w:rsidRPr="00FC4420">
        <w:rPr>
          <w:rFonts w:ascii="Times New Roman" w:hAnsi="Times New Roman" w:cs="Times New Roman"/>
          <w:lang w:val="en-GB"/>
        </w:rPr>
        <w:t xml:space="preserve"> Van Fortress. This </w:t>
      </w:r>
      <w:r w:rsidRPr="00FC4420">
        <w:rPr>
          <w:rFonts w:ascii="Times New Roman" w:eastAsia="Calibri" w:hAnsi="Times New Roman" w:cs="Times New Roman"/>
          <w:lang w:val="en-GB"/>
        </w:rPr>
        <w:t>suggests that</w:t>
      </w:r>
      <w:r w:rsidRPr="00FC4420">
        <w:rPr>
          <w:rFonts w:ascii="Times New Roman" w:hAnsi="Times New Roman" w:cs="Times New Roman"/>
          <w:lang w:val="en-GB"/>
        </w:rPr>
        <w:t xml:space="preserve"> the </w:t>
      </w:r>
      <w:r w:rsidRPr="00FC4420">
        <w:rPr>
          <w:rFonts w:ascii="Times New Roman" w:eastAsia="Calibri" w:hAnsi="Times New Roman" w:cs="Times New Roman"/>
          <w:lang w:val="en-GB"/>
        </w:rPr>
        <w:t>"</w:t>
      </w:r>
      <w:r w:rsidRPr="00FC4420">
        <w:rPr>
          <w:rFonts w:ascii="Times New Roman" w:hAnsi="Times New Roman" w:cs="Times New Roman"/>
          <w:lang w:val="en-GB"/>
        </w:rPr>
        <w:t>T</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niches </w:t>
      </w:r>
      <w:r w:rsidRPr="00FC4420">
        <w:rPr>
          <w:rFonts w:ascii="Times New Roman" w:eastAsia="Calibri" w:hAnsi="Times New Roman" w:cs="Times New Roman"/>
          <w:lang w:val="en-GB"/>
        </w:rPr>
        <w:t>should be considered cantered around</w:t>
      </w:r>
      <w:r w:rsidRPr="00FC4420">
        <w:rPr>
          <w:rFonts w:ascii="Times New Roman" w:hAnsi="Times New Roman" w:cs="Times New Roman"/>
          <w:lang w:val="en-GB"/>
        </w:rPr>
        <w:t xml:space="preserve"> Van Fortress. The niches</w:t>
      </w:r>
      <w:r w:rsidRPr="00FC4420">
        <w:rPr>
          <w:rFonts w:ascii="Times New Roman" w:eastAsia="Calibri" w:hAnsi="Times New Roman" w:cs="Times New Roman"/>
          <w:lang w:val="en-GB"/>
        </w:rPr>
        <w:t>, first used</w:t>
      </w:r>
      <w:r w:rsidRPr="00FC4420">
        <w:rPr>
          <w:rFonts w:ascii="Times New Roman" w:hAnsi="Times New Roman" w:cs="Times New Roman"/>
          <w:lang w:val="en-GB"/>
        </w:rPr>
        <w:t xml:space="preserve"> in the capital Ṭušpa</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first </w:t>
      </w:r>
      <w:r w:rsidRPr="00FC4420">
        <w:rPr>
          <w:rFonts w:ascii="Times New Roman" w:eastAsia="Calibri" w:hAnsi="Times New Roman" w:cs="Times New Roman"/>
          <w:lang w:val="en-GB"/>
        </w:rPr>
        <w:t>caught Lehmann-Haupt's</w:t>
      </w:r>
      <w:r w:rsidRPr="00FC4420">
        <w:rPr>
          <w:rFonts w:ascii="Times New Roman" w:hAnsi="Times New Roman" w:cs="Times New Roman"/>
          <w:lang w:val="en-GB"/>
        </w:rPr>
        <w:t xml:space="preserve"> attention at the end of the 19th century (Lehmann-Haupt, 1926: 156). He stated that these niches, defined as strange niches, served cultic purposes (Fig. 15/f). Considering their location on the Van Fortress, he emphasized that it is located near the old or new religious practice areas and may be related to </w:t>
      </w:r>
      <w:r w:rsidRPr="00FC4420">
        <w:rPr>
          <w:rFonts w:ascii="Times New Roman" w:eastAsia="Calibri" w:hAnsi="Times New Roman" w:cs="Times New Roman"/>
          <w:lang w:val="en-GB"/>
        </w:rPr>
        <w:t>them.</w:t>
      </w:r>
      <w:r w:rsidRPr="00FC4420">
        <w:rPr>
          <w:rFonts w:ascii="Times New Roman" w:hAnsi="Times New Roman" w:cs="Times New Roman"/>
          <w:lang w:val="en-GB"/>
        </w:rPr>
        <w:t xml:space="preserve"> Lehmann-Haupt interpreted the “T” shaped rock niches as small rooms with the same design as the larger niches used for votive/sacrifice purposes, in line with the rock-cut tomb, which he defined as a large niche and later referred to as the “Cremation tomb”</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"Cremation Tomb"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in the literature (Lehmann-Haupt, 1926: 157; Sevin, 1980). This first approach to “T” shaped niches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was also expressed by Çevik (Çevik, 2000: 53, Lev. 19a-b; Erdoğan, 2017: 236/Cat. no. 109). His approach to interpreting the "T" shaped niches as being associated with tomb structures due to the workmanship at the entrance of the same rock-cut chamber (Fig. 2/a, c). Çevik further emphasized that the horn-shaped extensions on the facade of the Cremation tomb</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w:instrText>
      </w:r>
      <w:r w:rsidRPr="00FC4420">
        <w:rPr>
          <w:rFonts w:ascii="Times New Roman" w:eastAsia="Times New Roman" w:hAnsi="Times New Roman" w:cs="Times New Roman"/>
          <w:lang w:val="en-GB"/>
        </w:rPr>
        <w:instrText>Cremation tomb</w:instrText>
      </w:r>
      <w:r w:rsidRPr="00FC4420">
        <w:rPr>
          <w:rFonts w:ascii="Times New Roman" w:hAnsi="Times New Roman" w:cs="Times New Roman"/>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also evoke a bull's head, similar to Işık's view that likens the "T" shaped niches to a bull's head. According to Çevik, the "T" shaped niches were practices for worship that put an end to the plain appearance outside the tomb (Çevik, 2000: 53). Emphasizing the Gevaş</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"Gevaş"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Körzüt</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"Körzüt"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examples, he concluded that these were practices for worship that put an end to the plain appearance facade of the tomb. At this point, the combination of Madavank</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"Madavank"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Zernaki Tepe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"Zernaki 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specimens with rock tombs may indicate that the "T" shaped niche applications may be related to the tombs. However, when we consider all known examples, it is clear that we need more evidence to determine that “T” niches are associated with rock tombs. “T” niches of Hişet</w:t>
      </w:r>
      <w:r>
        <w:rPr>
          <w:rFonts w:ascii="Times New Roman" w:eastAsia="Calibri" w:hAnsi="Times New Roman" w:cs="Times New Roman"/>
          <w:lang w:val="en-GB"/>
        </w:rPr>
        <w:t>,</w:t>
      </w:r>
      <w:r w:rsidRPr="00FC4420">
        <w:rPr>
          <w:rFonts w:ascii="Times New Roman" w:hAnsi="Times New Roman" w:cs="Times New Roman"/>
          <w:lang w:val="en-GB"/>
        </w:rPr>
        <w:t xml:space="preserve"> Kalecik</w:t>
      </w:r>
      <w:r>
        <w:rPr>
          <w:rFonts w:ascii="Times New Roman" w:eastAsia="Calibri" w:hAnsi="Times New Roman" w:cs="Times New Roman"/>
          <w:lang w:val="en-GB"/>
        </w:rPr>
        <w:t>,</w:t>
      </w:r>
      <w:r w:rsidRPr="00FC4420">
        <w:rPr>
          <w:rFonts w:ascii="Times New Roman" w:hAnsi="Times New Roman" w:cs="Times New Roman"/>
          <w:lang w:val="en-GB"/>
        </w:rPr>
        <w:t xml:space="preserve"> Mermit</w:t>
      </w:r>
      <w:r>
        <w:rPr>
          <w:rFonts w:ascii="Times New Roman" w:eastAsia="Calibri" w:hAnsi="Times New Roman" w:cs="Times New Roman"/>
          <w:lang w:val="en-GB"/>
        </w:rPr>
        <w:t>,</w:t>
      </w:r>
      <w:r w:rsidRPr="00FC4420">
        <w:rPr>
          <w:rFonts w:ascii="Times New Roman" w:hAnsi="Times New Roman" w:cs="Times New Roman"/>
          <w:lang w:val="en-GB"/>
        </w:rPr>
        <w:t xml:space="preserve"> Amik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"Amik" </w:instrText>
      </w:r>
      <w:r w:rsidRPr="00FC4420">
        <w:rPr>
          <w:rFonts w:ascii="Times New Roman" w:hAnsi="Times New Roman" w:cs="Times New Roman"/>
          <w:lang w:val="en-GB"/>
        </w:rPr>
        <w:fldChar w:fldCharType="end"/>
      </w:r>
      <w:r w:rsidRPr="00FC4420">
        <w:rPr>
          <w:rFonts w:ascii="Times New Roman" w:hAnsi="Times New Roman" w:cs="Times New Roman"/>
          <w:lang w:val="en-GB"/>
        </w:rPr>
        <w:t>, Zakzak</w:t>
      </w:r>
      <w:r>
        <w:rPr>
          <w:rFonts w:ascii="Times New Roman" w:eastAsia="Calibri" w:hAnsi="Times New Roman" w:cs="Times New Roman"/>
          <w:lang w:val="en-GB"/>
        </w:rPr>
        <w:t>,</w:t>
      </w:r>
      <w:r w:rsidRPr="00FC4420">
        <w:rPr>
          <w:rFonts w:ascii="Times New Roman" w:hAnsi="Times New Roman" w:cs="Times New Roman"/>
          <w:lang w:val="en-GB"/>
        </w:rPr>
        <w:t xml:space="preserve"> Ava-Déré</w:t>
      </w:r>
      <w:r w:rsidRPr="00FC4420">
        <w:rPr>
          <w:rFonts w:ascii="Times New Roman" w:eastAsia="Calibri" w:hAnsi="Times New Roman" w:cs="Times New Roman"/>
          <w:lang w:val="en-GB"/>
        </w:rPr>
        <w:t>,</w:t>
      </w:r>
      <w:r w:rsidRPr="00FC4420">
        <w:rPr>
          <w:rFonts w:ascii="Times New Roman" w:hAnsi="Times New Roman" w:cs="Times New Roman"/>
          <w:bCs/>
          <w:lang w:val="en-GB"/>
        </w:rPr>
        <w:fldChar w:fldCharType="begin"/>
      </w:r>
      <w:r w:rsidRPr="00FC4420">
        <w:rPr>
          <w:rFonts w:ascii="Times New Roman" w:hAnsi="Times New Roman" w:cs="Times New Roman"/>
          <w:lang w:val="en-GB"/>
        </w:rPr>
        <w:instrText xml:space="preserve"> XE "Ava-Déré" </w:instrText>
      </w:r>
      <w:r w:rsidRPr="00FC4420">
        <w:rPr>
          <w:rFonts w:ascii="Times New Roman" w:hAnsi="Times New Roman" w:cs="Times New Roman"/>
          <w:bCs/>
          <w:lang w:val="en-GB"/>
        </w:rPr>
        <w:fldChar w:fldCharType="end"/>
      </w:r>
      <w:r w:rsidRPr="00FC4420">
        <w:rPr>
          <w:rFonts w:ascii="Times New Roman" w:hAnsi="Times New Roman" w:cs="Times New Roman"/>
          <w:lang w:val="en-GB"/>
        </w:rPr>
        <w:t xml:space="preserve"> and Körzüt are applications that are not related to any tomb structure. The 23 </w:t>
      </w:r>
      <w:r>
        <w:rPr>
          <w:rFonts w:ascii="Times New Roman" w:hAnsi="Times New Roman" w:cs="Times New Roman"/>
          <w:lang w:val="en-GB"/>
        </w:rPr>
        <w:t>“</w:t>
      </w:r>
      <w:r w:rsidRPr="00FC4420">
        <w:rPr>
          <w:rFonts w:ascii="Times New Roman" w:hAnsi="Times New Roman" w:cs="Times New Roman"/>
          <w:lang w:val="en-GB"/>
        </w:rPr>
        <w:t>T</w:t>
      </w:r>
      <w:r>
        <w:rPr>
          <w:rFonts w:ascii="Times New Roman" w:hAnsi="Times New Roman" w:cs="Times New Roman"/>
          <w:lang w:val="en-GB"/>
        </w:rPr>
        <w:t>”</w:t>
      </w:r>
      <w:r w:rsidRPr="00FC4420">
        <w:rPr>
          <w:rFonts w:ascii="Times New Roman" w:hAnsi="Times New Roman" w:cs="Times New Roman"/>
          <w:lang w:val="en-GB"/>
        </w:rPr>
        <w:t xml:space="preserve"> shaped niches in the Van Fortress are also </w:t>
      </w:r>
      <w:r w:rsidRPr="00FC4420">
        <w:rPr>
          <w:rFonts w:ascii="Times New Roman" w:eastAsia="Calibri" w:hAnsi="Times New Roman" w:cs="Times New Roman"/>
          <w:lang w:val="en-GB"/>
        </w:rPr>
        <w:t>unrelated</w:t>
      </w:r>
      <w:r w:rsidRPr="00FC4420">
        <w:rPr>
          <w:rFonts w:ascii="Times New Roman" w:hAnsi="Times New Roman" w:cs="Times New Roman"/>
          <w:lang w:val="en-GB"/>
        </w:rPr>
        <w:t xml:space="preserve"> to the tombs. </w:t>
      </w:r>
      <w:r w:rsidRPr="00FC4420">
        <w:rPr>
          <w:rFonts w:ascii="Times New Roman" w:eastAsia="Calibri" w:hAnsi="Times New Roman" w:cs="Times New Roman"/>
          <w:lang w:val="en-GB"/>
        </w:rPr>
        <w:t>The</w:t>
      </w:r>
      <w:r w:rsidRPr="00FC4420">
        <w:rPr>
          <w:rFonts w:ascii="Times New Roman" w:hAnsi="Times New Roman" w:cs="Times New Roman"/>
          <w:lang w:val="en-GB"/>
        </w:rPr>
        <w:t xml:space="preserve"> fact that they were applied on the northern face of the rock where no rock tombs are known reveals this. Although it is problematic to associate </w:t>
      </w:r>
      <w:r w:rsidRPr="00FC4420">
        <w:rPr>
          <w:rFonts w:ascii="Times New Roman" w:eastAsia="Calibri" w:hAnsi="Times New Roman" w:cs="Times New Roman"/>
          <w:lang w:val="en-GB"/>
        </w:rPr>
        <w:t>“</w:t>
      </w:r>
      <w:r w:rsidRPr="00FC4420">
        <w:rPr>
          <w:rFonts w:ascii="Times New Roman" w:hAnsi="Times New Roman" w:cs="Times New Roman"/>
          <w:lang w:val="en-GB"/>
        </w:rPr>
        <w:t>T</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shaped rock niches with rock-cut tombs, some examples have features that show cult practices </w:t>
      </w:r>
      <w:r w:rsidRPr="00FC4420">
        <w:rPr>
          <w:rFonts w:ascii="Times New Roman" w:eastAsia="Calibri" w:hAnsi="Times New Roman" w:cs="Times New Roman"/>
          <w:lang w:val="en-GB"/>
        </w:rPr>
        <w:t>mainly</w:t>
      </w:r>
      <w:r w:rsidRPr="00FC4420">
        <w:rPr>
          <w:rFonts w:ascii="Times New Roman" w:hAnsi="Times New Roman" w:cs="Times New Roman"/>
          <w:lang w:val="en-GB"/>
        </w:rPr>
        <w:t xml:space="preserve"> associated with libation. Niches T1, 13, 15, 16, 20, 21</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and 22 in the Van Fortress and Mermit (on the south side), Körzüt, Zakzak, Ava-Déré</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and Gevaş reveal this clearly with rock bowls with or without drain channels opened at the base of the vertical extension. In addition to their libation-oriented features, some examples of the "T" shaped niches, such as those at Gevaş, Madavank</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and Ava- Déré, are associated with water sources. This association may indicate that the niches </w:t>
      </w:r>
      <w:r w:rsidRPr="00FC4420">
        <w:rPr>
          <w:rFonts w:ascii="Times New Roman" w:eastAsia="Calibri" w:hAnsi="Times New Roman" w:cs="Times New Roman"/>
          <w:lang w:val="en-GB"/>
        </w:rPr>
        <w:t>are connected</w:t>
      </w:r>
      <w:r w:rsidRPr="00FC4420">
        <w:rPr>
          <w:rFonts w:ascii="Times New Roman" w:hAnsi="Times New Roman" w:cs="Times New Roman"/>
          <w:lang w:val="en-GB"/>
        </w:rPr>
        <w:t xml:space="preserve"> to the cult of water. </w:t>
      </w:r>
    </w:p>
    <w:p w14:paraId="5D94714F" w14:textId="77777777" w:rsidR="0022085E" w:rsidRPr="00FC4420" w:rsidRDefault="0022085E" w:rsidP="0022085E">
      <w:pPr>
        <w:jc w:val="both"/>
        <w:rPr>
          <w:rFonts w:ascii="Times New Roman" w:hAnsi="Times New Roman" w:cs="Times New Roman"/>
          <w:lang w:val="en-GB"/>
        </w:rPr>
      </w:pPr>
    </w:p>
    <w:p w14:paraId="22CBC21C"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“T” shaped niches found in the Van region have been subject to various interpretations, including the idea that they were part of the mysterious rock passion of the Urartians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(Işık, 1995a, 17 ff; Işık, 1995b: 220). However, Işık proposed that these niches </w:t>
      </w:r>
      <w:r w:rsidRPr="00FC4420">
        <w:rPr>
          <w:rFonts w:ascii="Times New Roman" w:hAnsi="Times New Roman" w:cs="Times New Roman"/>
          <w:lang w:val="en-GB"/>
        </w:rPr>
        <w:lastRenderedPageBreak/>
        <w:t>had a cultic function and compared examples from Hişet</w:t>
      </w:r>
      <w:r>
        <w:rPr>
          <w:rFonts w:ascii="Times New Roman" w:eastAsia="Calibri" w:hAnsi="Times New Roman" w:cs="Times New Roman"/>
          <w:lang w:val="en-GB"/>
        </w:rPr>
        <w:t>/</w:t>
      </w:r>
      <w:r w:rsidRPr="00FC4420">
        <w:rPr>
          <w:rFonts w:ascii="Times New Roman" w:hAnsi="Times New Roman" w:cs="Times New Roman"/>
          <w:lang w:val="en-GB"/>
        </w:rPr>
        <w:t>Gevaş</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"Gevaş"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with those found in the Analıkız</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"Analıkız"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rock monument on the northeast coast of Van Fortress. However, both groups of niches do not have anything in common apart from the number of applications. The craftsmanship in the Analıkız rock monument remained from a monumental royal project. It is </w:t>
      </w:r>
      <w:r w:rsidRPr="00FC4420">
        <w:rPr>
          <w:rFonts w:ascii="Times New Roman" w:eastAsia="Calibri" w:hAnsi="Times New Roman" w:cs="Times New Roman"/>
          <w:lang w:val="en-GB"/>
        </w:rPr>
        <w:t>incorrect</w:t>
      </w:r>
      <w:r w:rsidRPr="00FC4420">
        <w:rPr>
          <w:rFonts w:ascii="Times New Roman" w:hAnsi="Times New Roman" w:cs="Times New Roman"/>
          <w:lang w:val="en-GB"/>
        </w:rPr>
        <w:t xml:space="preserve"> to evaluate “T” shaped niches</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in this context. Işık dated this type of “T” shaped rock niches to the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period and concluded that they were symbolic expressions of Urartian religious ideas (Işık, 1995a: 17 f). </w:t>
      </w:r>
    </w:p>
    <w:p w14:paraId="7DE280EA" w14:textId="77777777" w:rsidR="0022085E" w:rsidRPr="00FC4420" w:rsidRDefault="0022085E" w:rsidP="0022085E">
      <w:pPr>
        <w:jc w:val="both"/>
        <w:rPr>
          <w:rFonts w:ascii="Times New Roman" w:hAnsi="Times New Roman" w:cs="Times New Roman"/>
          <w:lang w:val="en-GB"/>
        </w:rPr>
      </w:pPr>
    </w:p>
    <w:p w14:paraId="75787B8E"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 xml:space="preserve">Although there is </w:t>
      </w:r>
      <w:r w:rsidRPr="00FC4420">
        <w:rPr>
          <w:rFonts w:ascii="Times New Roman" w:eastAsia="Calibri" w:hAnsi="Times New Roman" w:cs="Times New Roman"/>
          <w:lang w:val="en-GB"/>
        </w:rPr>
        <w:t>insufficient</w:t>
      </w:r>
      <w:r w:rsidRPr="00FC4420">
        <w:rPr>
          <w:rFonts w:ascii="Times New Roman" w:hAnsi="Times New Roman" w:cs="Times New Roman"/>
          <w:lang w:val="en-GB"/>
        </w:rPr>
        <w:t xml:space="preserve"> data, "T" shaped rock niches have been evaluated</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especially in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archaeology. This approach can be associated with the Urartians</w:t>
      </w:r>
      <w:r w:rsidRPr="00FC4420">
        <w:rPr>
          <w:rFonts w:ascii="Times New Roman" w:eastAsia="Calibri" w:hAnsi="Times New Roman" w:cs="Times New Roman"/>
          <w:lang w:val="en-GB"/>
        </w:rPr>
        <w:t xml:space="preserve"> being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are at a very advanced in rock workmanship</w:t>
      </w:r>
      <w:r w:rsidRPr="00FC4420">
        <w:rPr>
          <w:rStyle w:val="DipnotBavurusu"/>
          <w:rFonts w:ascii="Times New Roman" w:hAnsi="Times New Roman" w:cs="Times New Roman"/>
          <w:lang w:val="en-GB"/>
        </w:rPr>
        <w:footnoteReference w:id="70"/>
      </w:r>
      <w:r w:rsidRPr="00FC4420">
        <w:rPr>
          <w:rFonts w:ascii="Times New Roman" w:hAnsi="Times New Roman" w:cs="Times New Roman"/>
          <w:lang w:val="en-GB"/>
        </w:rPr>
        <w:t xml:space="preserve">. In addition, the fact that the </w:t>
      </w:r>
      <w:r w:rsidRPr="00FC4420">
        <w:rPr>
          <w:rFonts w:ascii="Times New Roman" w:eastAsia="Calibri" w:hAnsi="Times New Roman" w:cs="Times New Roman"/>
          <w:lang w:val="en-GB"/>
        </w:rPr>
        <w:t>most significant</w:t>
      </w:r>
      <w:r w:rsidRPr="00FC4420">
        <w:rPr>
          <w:rFonts w:ascii="Times New Roman" w:hAnsi="Times New Roman" w:cs="Times New Roman"/>
          <w:lang w:val="en-GB"/>
        </w:rPr>
        <w:t xml:space="preserve"> number of examples were applied to the capital of the Urartian kingdom</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Kingdom"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can be considered another contributing data. However, the examples of Hişet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"Hişet" </w:instrText>
      </w:r>
      <w:r w:rsidRPr="00FC4420">
        <w:rPr>
          <w:rFonts w:ascii="Times New Roman" w:hAnsi="Times New Roman" w:cs="Times New Roman"/>
          <w:lang w:val="en-GB"/>
        </w:rPr>
        <w:fldChar w:fldCharType="end"/>
      </w:r>
      <w:r w:rsidRPr="00FC4420">
        <w:rPr>
          <w:rFonts w:ascii="Times New Roman" w:hAnsi="Times New Roman" w:cs="Times New Roman"/>
          <w:lang w:val="en-GB"/>
        </w:rPr>
        <w:t>, Kalecik</w:t>
      </w:r>
      <w:r>
        <w:rPr>
          <w:rFonts w:ascii="Times New Roman" w:eastAsia="Calibri" w:hAnsi="Times New Roman" w:cs="Times New Roman"/>
          <w:lang w:val="en-GB"/>
        </w:rPr>
        <w:t>,</w:t>
      </w:r>
      <w:r w:rsidRPr="00FC4420">
        <w:rPr>
          <w:rFonts w:ascii="Times New Roman" w:hAnsi="Times New Roman" w:cs="Times New Roman"/>
          <w:lang w:val="en-GB"/>
        </w:rPr>
        <w:t xml:space="preserve"> Mermit</w:t>
      </w:r>
      <w:r>
        <w:rPr>
          <w:rFonts w:ascii="Times New Roman" w:eastAsia="Calibri" w:hAnsi="Times New Roman" w:cs="Times New Roman"/>
          <w:lang w:val="en-GB"/>
        </w:rPr>
        <w:t>,</w:t>
      </w:r>
      <w:r w:rsidRPr="00FC4420">
        <w:rPr>
          <w:rFonts w:ascii="Times New Roman" w:hAnsi="Times New Roman" w:cs="Times New Roman"/>
          <w:lang w:val="en-GB"/>
        </w:rPr>
        <w:t xml:space="preserve"> Zernaki Tepe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"Zernaki 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Zakzak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"Zakzak" </w:instrText>
      </w:r>
      <w:r w:rsidRPr="00FC4420">
        <w:rPr>
          <w:rFonts w:ascii="Times New Roman" w:hAnsi="Times New Roman" w:cs="Times New Roman"/>
          <w:lang w:val="en-GB"/>
        </w:rPr>
        <w:fldChar w:fldCharType="end"/>
      </w:r>
      <w:r w:rsidRPr="00FC4420">
        <w:rPr>
          <w:rFonts w:ascii="Times New Roman" w:hAnsi="Times New Roman" w:cs="Times New Roman"/>
          <w:lang w:val="en-GB"/>
        </w:rPr>
        <w:t>, Ava-Déré</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"Ava-Déré" </w:instrText>
      </w:r>
      <w:r w:rsidRPr="00FC4420">
        <w:rPr>
          <w:rFonts w:ascii="Times New Roman" w:hAnsi="Times New Roman" w:cs="Times New Roman"/>
          <w:lang w:val="en-GB"/>
        </w:rPr>
        <w:fldChar w:fldCharType="end"/>
      </w:r>
      <w:r w:rsidRPr="00FC4420">
        <w:rPr>
          <w:rFonts w:ascii="Times New Roman" w:hAnsi="Times New Roman" w:cs="Times New Roman"/>
          <w:lang w:val="en-GB"/>
        </w:rPr>
        <w:t>, and Madavank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"Madavank"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where this type of rock niches are applied, are controversial </w:t>
      </w:r>
      <w:r w:rsidRPr="00FC4420">
        <w:rPr>
          <w:rFonts w:ascii="Times New Roman" w:eastAsia="Calibri" w:hAnsi="Times New Roman" w:cs="Times New Roman"/>
          <w:lang w:val="en-GB"/>
        </w:rPr>
        <w:t>centers</w:t>
      </w:r>
      <w:r w:rsidRPr="00FC4420">
        <w:rPr>
          <w:rFonts w:ascii="Times New Roman" w:hAnsi="Times New Roman" w:cs="Times New Roman"/>
          <w:lang w:val="en-GB"/>
        </w:rPr>
        <w:t xml:space="preserve"> to be associated with the Urartian period. </w:t>
      </w:r>
      <w:r w:rsidRPr="00FC4420">
        <w:rPr>
          <w:rFonts w:ascii="Times New Roman" w:eastAsia="Calibri" w:hAnsi="Times New Roman" w:cs="Times New Roman"/>
          <w:lang w:val="en-GB"/>
        </w:rPr>
        <w:t>Examples</w:t>
      </w:r>
      <w:r w:rsidRPr="00FC4420">
        <w:rPr>
          <w:rFonts w:ascii="Times New Roman" w:hAnsi="Times New Roman" w:cs="Times New Roman"/>
          <w:lang w:val="en-GB"/>
        </w:rPr>
        <w:t xml:space="preserve"> of “T” shaped rock niches applied to independent rocks are </w:t>
      </w:r>
      <w:r w:rsidRPr="00FC4420">
        <w:rPr>
          <w:rFonts w:ascii="Times New Roman" w:eastAsia="Calibri" w:hAnsi="Times New Roman" w:cs="Times New Roman"/>
          <w:lang w:val="en-GB"/>
        </w:rPr>
        <w:t>unknown</w:t>
      </w:r>
      <w:r w:rsidRPr="00FC4420">
        <w:rPr>
          <w:rFonts w:ascii="Times New Roman" w:hAnsi="Times New Roman" w:cs="Times New Roman"/>
          <w:lang w:val="en-GB"/>
        </w:rPr>
        <w:t xml:space="preserve"> outside of the Van Lake</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"Van Lake"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basin</w:t>
      </w:r>
      <w:r w:rsidRPr="00FC4420">
        <w:rPr>
          <w:rFonts w:ascii="Times New Roman" w:eastAsia="Calibri" w:hAnsi="Times New Roman" w:cs="Times New Roman"/>
          <w:lang w:val="en-GB"/>
        </w:rPr>
        <w:t>, which</w:t>
      </w:r>
      <w:r w:rsidRPr="00FC4420">
        <w:rPr>
          <w:rFonts w:ascii="Times New Roman" w:hAnsi="Times New Roman" w:cs="Times New Roman"/>
          <w:lang w:val="en-GB"/>
        </w:rPr>
        <w:t xml:space="preserve"> makes dating this workmanship problematic. A similar example of “T” shaped rock-cut niche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“T</w:instrText>
      </w:r>
      <w:r w:rsidRPr="00FC4420">
        <w:rPr>
          <w:rFonts w:ascii="Times New Roman" w:hAnsi="Times New Roman" w:cs="Times New Roman"/>
          <w:lang w:val="en-GB"/>
        </w:rPr>
        <w:instrText>\</w:instrText>
      </w:r>
      <w:r w:rsidRPr="00FC4420">
        <w:rPr>
          <w:rFonts w:ascii="Times New Roman" w:eastAsia="Calibri" w:hAnsi="Times New Roman" w:cs="Times New Roman"/>
          <w:lang w:val="en-GB"/>
        </w:rPr>
        <w:instrText>” shaped rock-cut niche</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is known from the Wadi Mataha region of Petra (see Raymond, 2008: 69, Fig. 5.9).</w:t>
      </w:r>
      <w:r w:rsidRPr="00FC4420">
        <w:rPr>
          <w:rFonts w:ascii="Times New Roman" w:eastAsia="Calibri" w:hAnsi="Times New Roman" w:cs="Times New Roman"/>
          <w:lang w:val="en-GB"/>
        </w:rPr>
        <w:t xml:space="preserve"> </w:t>
      </w:r>
      <w:r w:rsidRPr="00FC4420">
        <w:rPr>
          <w:rFonts w:ascii="Times New Roman" w:hAnsi="Times New Roman" w:cs="Times New Roman"/>
          <w:lang w:val="en-GB"/>
        </w:rPr>
        <w:t xml:space="preserve">The </w:t>
      </w:r>
      <w:r>
        <w:rPr>
          <w:rFonts w:ascii="Times New Roman" w:hAnsi="Times New Roman" w:cs="Times New Roman"/>
          <w:lang w:val="en-GB"/>
        </w:rPr>
        <w:t>“</w:t>
      </w:r>
      <w:r w:rsidRPr="00FC4420">
        <w:rPr>
          <w:rFonts w:ascii="Times New Roman" w:hAnsi="Times New Roman" w:cs="Times New Roman"/>
          <w:lang w:val="en-GB"/>
        </w:rPr>
        <w:t>T</w:t>
      </w:r>
      <w:r>
        <w:rPr>
          <w:rFonts w:ascii="Times New Roman" w:hAnsi="Times New Roman" w:cs="Times New Roman"/>
          <w:lang w:val="en-GB"/>
        </w:rPr>
        <w:t>”</w:t>
      </w:r>
      <w:r w:rsidRPr="00FC4420">
        <w:rPr>
          <w:rFonts w:ascii="Times New Roman" w:hAnsi="Times New Roman" w:cs="Times New Roman"/>
          <w:lang w:val="en-GB"/>
        </w:rPr>
        <w:t xml:space="preserve"> shaped rock niches found in the Van region were not applied in all Urartian </w:t>
      </w:r>
      <w:r w:rsidRPr="00FC4420">
        <w:rPr>
          <w:rFonts w:ascii="Times New Roman" w:eastAsia="Calibri" w:hAnsi="Times New Roman" w:cs="Times New Roman"/>
          <w:lang w:val="en-GB"/>
        </w:rPr>
        <w:t>centers</w:t>
      </w:r>
      <w:r w:rsidRPr="00FC4420">
        <w:rPr>
          <w:rFonts w:ascii="Times New Roman" w:hAnsi="Times New Roman" w:cs="Times New Roman"/>
          <w:lang w:val="en-GB"/>
        </w:rPr>
        <w:t>, including Lower and Upper Anzaf</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"Anzaf" </w:instrText>
      </w:r>
      <w:r w:rsidRPr="00FC4420">
        <w:rPr>
          <w:rFonts w:ascii="Times New Roman" w:hAnsi="Times New Roman" w:cs="Times New Roman"/>
          <w:lang w:val="en-GB"/>
        </w:rPr>
        <w:fldChar w:fldCharType="end"/>
      </w:r>
      <w:r w:rsidRPr="00FC4420">
        <w:rPr>
          <w:rFonts w:ascii="Times New Roman" w:hAnsi="Times New Roman" w:cs="Times New Roman"/>
          <w:lang w:val="en-GB"/>
        </w:rPr>
        <w:t>, Toprakkale</w:t>
      </w:r>
      <w:r>
        <w:rPr>
          <w:rFonts w:ascii="Times New Roman" w:eastAsia="Calibri" w:hAnsi="Times New Roman" w:cs="Times New Roman"/>
          <w:lang w:val="en-GB"/>
        </w:rPr>
        <w:t>,</w:t>
      </w:r>
      <w:r w:rsidRPr="00FC4420">
        <w:rPr>
          <w:rFonts w:ascii="Times New Roman" w:hAnsi="Times New Roman" w:cs="Times New Roman"/>
          <w:lang w:val="en-GB"/>
        </w:rPr>
        <w:t xml:space="preserve"> Çavuştepe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"Çavuştepe"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and Ayanis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"Ayanis"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which were </w:t>
      </w:r>
      <w:r w:rsidRPr="00FC4420">
        <w:rPr>
          <w:rFonts w:ascii="Times New Roman" w:eastAsia="Calibri" w:hAnsi="Times New Roman" w:cs="Times New Roman"/>
          <w:lang w:val="en-GB"/>
        </w:rPr>
        <w:t>essential centers</w:t>
      </w:r>
      <w:r w:rsidRPr="00FC4420">
        <w:rPr>
          <w:rFonts w:ascii="Times New Roman" w:hAnsi="Times New Roman" w:cs="Times New Roman"/>
          <w:lang w:val="en-GB"/>
        </w:rPr>
        <w:t xml:space="preserve"> established on independent limestone cliffs in the Van Lake basin. As a result, “T” shaped rock niches were not applied in most of the Urartian </w:t>
      </w:r>
      <w:r w:rsidRPr="00FC4420">
        <w:rPr>
          <w:rFonts w:ascii="Times New Roman" w:eastAsia="Calibri" w:hAnsi="Times New Roman" w:cs="Times New Roman"/>
          <w:lang w:val="en-GB"/>
        </w:rPr>
        <w:t>centers</w:t>
      </w:r>
      <w:r w:rsidRPr="00FC4420">
        <w:rPr>
          <w:rFonts w:ascii="Times New Roman" w:hAnsi="Times New Roman" w:cs="Times New Roman"/>
          <w:lang w:val="en-GB"/>
        </w:rPr>
        <w:t xml:space="preserve"> in the region.</w:t>
      </w:r>
    </w:p>
    <w:p w14:paraId="2A28DBAA" w14:textId="77777777" w:rsidR="0022085E" w:rsidRPr="00FC4420" w:rsidRDefault="0022085E" w:rsidP="0022085E">
      <w:pPr>
        <w:jc w:val="both"/>
        <w:rPr>
          <w:rFonts w:ascii="Times New Roman" w:hAnsi="Times New Roman" w:cs="Times New Roman"/>
          <w:lang w:val="en-GB"/>
        </w:rPr>
      </w:pPr>
    </w:p>
    <w:p w14:paraId="7C7FE3F1"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 xml:space="preserve">At this point, it may be helpful to explain what </w:t>
      </w:r>
      <w:r w:rsidRPr="00FC4420">
        <w:rPr>
          <w:rFonts w:ascii="Times New Roman" w:eastAsia="Calibri" w:hAnsi="Times New Roman" w:cs="Times New Roman"/>
          <w:lang w:val="en-GB"/>
        </w:rPr>
        <w:t>precisely</w:t>
      </w:r>
      <w:r w:rsidRPr="00FC4420">
        <w:rPr>
          <w:rFonts w:ascii="Times New Roman" w:hAnsi="Times New Roman" w:cs="Times New Roman"/>
          <w:lang w:val="en-GB"/>
        </w:rPr>
        <w:t xml:space="preserve"> the monolithic blind windows in Çavuştepe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"Çavuştepe"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and "T" shaped niche depictions reflect and their relationship with the "T" shaped rock niches. </w:t>
      </w:r>
      <w:r w:rsidRPr="00FC4420">
        <w:rPr>
          <w:rFonts w:ascii="Times New Roman" w:eastAsia="Calibri" w:hAnsi="Times New Roman" w:cs="Times New Roman"/>
          <w:lang w:val="en-GB"/>
        </w:rPr>
        <w:t>Windows</w:t>
      </w:r>
      <w:r w:rsidRPr="00FC4420">
        <w:rPr>
          <w:rFonts w:ascii="Times New Roman" w:hAnsi="Times New Roman" w:cs="Times New Roman"/>
          <w:lang w:val="en-GB"/>
        </w:rPr>
        <w:t xml:space="preserve"> use in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architecture was carried out in line with the data obtained from architectural descriptions and excavations since no standing structure is known. In particular, the bronze city model of Toprakkale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appears </w:t>
      </w:r>
      <w:r w:rsidRPr="00FC4420">
        <w:rPr>
          <w:rFonts w:ascii="Times New Roman" w:eastAsia="Calibri" w:hAnsi="Times New Roman" w:cs="Times New Roman"/>
          <w:lang w:val="en-GB"/>
        </w:rPr>
        <w:t>to be</w:t>
      </w:r>
      <w:r w:rsidRPr="00FC4420">
        <w:rPr>
          <w:rFonts w:ascii="Times New Roman" w:hAnsi="Times New Roman" w:cs="Times New Roman"/>
          <w:lang w:val="en-GB"/>
        </w:rPr>
        <w:t xml:space="preserve"> one of the most evaluated works</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Burney-Lawson interpreted the "T" shaped depictions on a block in Adilcevaz</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Adilcevaz</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Kef fortress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"Kef Fortress"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as a window by comparing them with the bronze city depiction of Toprakkale. However, he noted that the narrow window depictions on the block </w:t>
      </w:r>
      <w:r w:rsidRPr="00FC4420">
        <w:rPr>
          <w:rFonts w:ascii="Times New Roman" w:eastAsia="Calibri" w:hAnsi="Times New Roman" w:cs="Times New Roman"/>
          <w:lang w:val="en-GB"/>
        </w:rPr>
        <w:t>differ</w:t>
      </w:r>
      <w:r w:rsidRPr="00FC4420">
        <w:rPr>
          <w:rFonts w:ascii="Times New Roman" w:hAnsi="Times New Roman" w:cs="Times New Roman"/>
          <w:lang w:val="en-GB"/>
        </w:rPr>
        <w:t xml:space="preserve"> from those in the bronze model. It has also been stated that this part may represent a high tower with stairs since the "T" shaped windows in the middle of the block are higher (Burney &amp; Lawson, 1958: 216-217</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Supporting Burney-Lawson's approach, other heavy piers unearthed in the Kef fortress excavations revealed that “T” shaped depictions are a new feature widely used in Urartian art rather than a limited use (Ögün &amp; Bilgiç, 1964: 70-71, 73-78).</w:t>
      </w:r>
    </w:p>
    <w:p w14:paraId="515896ED" w14:textId="77777777" w:rsidR="0022085E" w:rsidRPr="00FC4420" w:rsidRDefault="0022085E" w:rsidP="0022085E">
      <w:pPr>
        <w:jc w:val="both"/>
        <w:rPr>
          <w:rFonts w:ascii="Times New Roman" w:hAnsi="Times New Roman" w:cs="Times New Roman"/>
          <w:lang w:val="en-GB"/>
        </w:rPr>
      </w:pPr>
    </w:p>
    <w:p w14:paraId="4EA2DE09"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lastRenderedPageBreak/>
        <w:t xml:space="preserve">The interpretation of the </w:t>
      </w:r>
      <w:r>
        <w:rPr>
          <w:rFonts w:ascii="Times New Roman" w:hAnsi="Times New Roman" w:cs="Times New Roman"/>
          <w:lang w:val="en-GB"/>
        </w:rPr>
        <w:t>“</w:t>
      </w:r>
      <w:r w:rsidRPr="00FC4420">
        <w:rPr>
          <w:rFonts w:ascii="Times New Roman" w:hAnsi="Times New Roman" w:cs="Times New Roman"/>
          <w:lang w:val="en-GB"/>
        </w:rPr>
        <w:t>T</w:t>
      </w:r>
      <w:r>
        <w:rPr>
          <w:rFonts w:ascii="Times New Roman" w:hAnsi="Times New Roman" w:cs="Times New Roman"/>
          <w:lang w:val="en-GB"/>
        </w:rPr>
        <w:t>”</w:t>
      </w:r>
      <w:r w:rsidRPr="00FC4420">
        <w:rPr>
          <w:rFonts w:ascii="Times New Roman" w:hAnsi="Times New Roman" w:cs="Times New Roman"/>
          <w:lang w:val="en-GB"/>
        </w:rPr>
        <w:t xml:space="preserve"> shaped niches as blind or </w:t>
      </w:r>
      <w:r w:rsidRPr="00FC4420">
        <w:rPr>
          <w:rFonts w:ascii="Times New Roman" w:eastAsia="Calibri" w:hAnsi="Times New Roman" w:cs="Times New Roman"/>
          <w:lang w:val="en-GB"/>
        </w:rPr>
        <w:t>genuine</w:t>
      </w:r>
      <w:r w:rsidRPr="00FC4420">
        <w:rPr>
          <w:rFonts w:ascii="Times New Roman" w:hAnsi="Times New Roman" w:cs="Times New Roman"/>
          <w:lang w:val="en-GB"/>
        </w:rPr>
        <w:t xml:space="preserve"> windows in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architecture is still debated among scholars. The Achaemenid</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Style w:val="y2iqfc"/>
          <w:rFonts w:ascii="Times New Roman" w:eastAsia="Arial" w:hAnsi="Times New Roman" w:cs="Times New Roman"/>
          <w:lang w:val="en-GB"/>
        </w:rPr>
        <w:instrText>Achaemenid</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tower temples, which are called Kaba-i Zoroastrian and Zendan-i Süleyman, are often taken as a reference to answer the questions of what the roof of was an Urartian temple (</w:t>
      </w:r>
      <w:r w:rsidRPr="00FC4420">
        <w:rPr>
          <w:rFonts w:ascii="Times New Roman" w:eastAsia="Calibri" w:hAnsi="Times New Roman" w:cs="Times New Roman"/>
          <w:lang w:val="en-GB"/>
        </w:rPr>
        <w:t>Tirats'yan</w:t>
      </w:r>
      <w:r w:rsidRPr="00FC4420">
        <w:rPr>
          <w:rFonts w:ascii="Times New Roman" w:hAnsi="Times New Roman" w:cs="Times New Roman"/>
          <w:lang w:val="en-GB"/>
        </w:rPr>
        <w:t>, 2013; Stronach, 1967; 2012). It is accepted that the blind windows formed with black blocks in the mentioned Achaemenid tower temples are Urartian influence. Stronach stated that the three-row and two-level window depictions in the Toprakkale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bronze city depiction, which is presented as evidence for this, may also represent blind or </w:t>
      </w:r>
      <w:r w:rsidRPr="00FC4420">
        <w:rPr>
          <w:rFonts w:ascii="Times New Roman" w:eastAsia="Calibri" w:hAnsi="Times New Roman" w:cs="Times New Roman"/>
          <w:lang w:val="en-GB"/>
        </w:rPr>
        <w:t>genuine</w:t>
      </w:r>
      <w:r w:rsidRPr="00FC4420">
        <w:rPr>
          <w:rFonts w:ascii="Times New Roman" w:hAnsi="Times New Roman" w:cs="Times New Roman"/>
          <w:lang w:val="en-GB"/>
        </w:rPr>
        <w:t xml:space="preserve"> windows (Fig. 14/d-e). Naumann, on the other hand, stated that the windows on the Adilcevaz</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Adilcevaz</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relief were </w:t>
      </w:r>
      <w:r w:rsidRPr="00FC4420">
        <w:rPr>
          <w:rFonts w:ascii="Times New Roman" w:eastAsia="Calibri" w:hAnsi="Times New Roman" w:cs="Times New Roman"/>
          <w:lang w:val="en-GB"/>
        </w:rPr>
        <w:t>genuine</w:t>
      </w:r>
      <w:r w:rsidRPr="00FC4420">
        <w:rPr>
          <w:rFonts w:ascii="Times New Roman" w:hAnsi="Times New Roman" w:cs="Times New Roman"/>
          <w:lang w:val="en-GB"/>
        </w:rPr>
        <w:t xml:space="preserve"> and showed that the windows were depicted at different levels as proof of this idea (Naumann, 1968: 53). However, in line with the monolithic/monolithic blind windows unearthed in Çavuştepe</w:t>
      </w:r>
      <w:r>
        <w:rPr>
          <w:rFonts w:ascii="Times New Roman" w:eastAsia="Calibri" w:hAnsi="Times New Roman" w:cs="Times New Roman"/>
          <w:lang w:val="en-GB"/>
        </w:rPr>
        <w:t>,</w:t>
      </w:r>
      <w:r w:rsidRPr="00FC4420">
        <w:rPr>
          <w:rFonts w:ascii="Times New Roman" w:hAnsi="Times New Roman" w:cs="Times New Roman"/>
          <w:lang w:val="en-GB"/>
        </w:rPr>
        <w:t xml:space="preserve"> Kleiss found that the "T" shaped niches showed multi-</w:t>
      </w:r>
      <w:r w:rsidRPr="00FC4420">
        <w:rPr>
          <w:rFonts w:ascii="Times New Roman" w:eastAsia="Calibri" w:hAnsi="Times New Roman" w:cs="Times New Roman"/>
          <w:lang w:val="en-GB"/>
        </w:rPr>
        <w:t>story</w:t>
      </w:r>
      <w:r w:rsidRPr="00FC4420">
        <w:rPr>
          <w:rFonts w:ascii="Times New Roman" w:hAnsi="Times New Roman" w:cs="Times New Roman"/>
          <w:lang w:val="en-GB"/>
        </w:rPr>
        <w:t>, and these were blind windows (Kleiss, 1982: 67 ff.).</w:t>
      </w:r>
    </w:p>
    <w:p w14:paraId="592CD43D" w14:textId="77777777" w:rsidR="0022085E" w:rsidRPr="00FC4420" w:rsidRDefault="0022085E" w:rsidP="0022085E">
      <w:pPr>
        <w:jc w:val="both"/>
        <w:rPr>
          <w:rFonts w:ascii="Times New Roman" w:eastAsia="Calibri" w:hAnsi="Times New Roman" w:cs="Times New Roman"/>
          <w:lang w:val="en-GB"/>
        </w:rPr>
      </w:pPr>
    </w:p>
    <w:p w14:paraId="27D70140" w14:textId="77777777" w:rsidR="0022085E" w:rsidRPr="00FC4420" w:rsidRDefault="0022085E" w:rsidP="0022085E">
      <w:pPr>
        <w:jc w:val="both"/>
        <w:rPr>
          <w:rFonts w:ascii="Times New Roman" w:hAnsi="Times New Roman" w:cs="Times New Roman"/>
          <w:lang w:val="en-GB"/>
        </w:rPr>
      </w:pPr>
      <w:r w:rsidRPr="00FC4420">
        <w:rPr>
          <w:rFonts w:ascii="Times New Roman" w:eastAsia="Calibri" w:hAnsi="Times New Roman" w:cs="Times New Roman"/>
          <w:lang w:val="en-GB"/>
        </w:rPr>
        <w:t>On</w:t>
      </w:r>
      <w:r w:rsidRPr="00FC4420">
        <w:rPr>
          <w:rFonts w:ascii="Times New Roman" w:hAnsi="Times New Roman" w:cs="Times New Roman"/>
          <w:lang w:val="en-GB"/>
        </w:rPr>
        <w:t xml:space="preserve"> the other hand,</w:t>
      </w:r>
      <w:r w:rsidRPr="00FC4420">
        <w:rPr>
          <w:rFonts w:ascii="Times New Roman" w:eastAsia="Calibri" w:hAnsi="Times New Roman" w:cs="Times New Roman"/>
          <w:lang w:val="en-GB"/>
        </w:rPr>
        <w:t xml:space="preserve"> Seidl</w:t>
      </w:r>
      <w:r w:rsidRPr="00FC4420">
        <w:rPr>
          <w:rFonts w:ascii="Times New Roman" w:hAnsi="Times New Roman" w:cs="Times New Roman"/>
          <w:lang w:val="en-GB"/>
        </w:rPr>
        <w:t xml:space="preserve"> emphasized that portable false/blind windows are decorative items (Seidl, 1993: 135). While the Toprakkale city model and the Adilcevaz pillars describe an architectural structure with all its elements, the bronze furniture parts from Toprakkale and the Bastam</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"Bastam"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seal impression are the depictions that highlight a single element belonging to an architectural structure rather than an entire architectural structure. The “T” shaped depictions on Bastam seals were considered a symbol by Seidl (1979: 557). Ayvazian stated that these depictions are objects (Ayvazian, 2006: 510 ff.).</w:t>
      </w:r>
    </w:p>
    <w:p w14:paraId="7E57CCF6" w14:textId="77777777" w:rsidR="0022085E" w:rsidRPr="00FC4420" w:rsidRDefault="0022085E" w:rsidP="0022085E">
      <w:pPr>
        <w:jc w:val="both"/>
        <w:rPr>
          <w:rFonts w:ascii="Times New Roman" w:hAnsi="Times New Roman" w:cs="Times New Roman"/>
          <w:lang w:val="en-GB"/>
        </w:rPr>
      </w:pPr>
    </w:p>
    <w:p w14:paraId="095EFBF9"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 xml:space="preserve">Despite the dating problems of the “T” shaped rock niches, there is no problem </w:t>
      </w:r>
      <w:r w:rsidRPr="00FC4420">
        <w:rPr>
          <w:rFonts w:ascii="Times New Roman" w:eastAsia="Calibri" w:hAnsi="Times New Roman" w:cs="Times New Roman"/>
          <w:lang w:val="en-GB"/>
        </w:rPr>
        <w:t>with</w:t>
      </w:r>
      <w:r w:rsidRPr="00FC4420">
        <w:rPr>
          <w:rFonts w:ascii="Times New Roman" w:hAnsi="Times New Roman" w:cs="Times New Roman"/>
          <w:lang w:val="en-GB"/>
        </w:rPr>
        <w:t xml:space="preserve"> artifacts containing the portable blind window blocks and the “T” depictions. The blind windows associated with the Uçkale structures found in the Çavuştepe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"Çavuştepe"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excavations, which were built by the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king Sardur II, are dated to the 7th century BCE, which is also considered as the second period of Çavuştepe (Erzen, 1988: 6). Adilcevaz</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Adilcevaz</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Kef fortress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"Kef Fortress"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is another 7th century BCE project built by the Urartian king Rusai Argištiḫi</w:t>
      </w:r>
      <w:r w:rsidRPr="00FC4420">
        <w:rPr>
          <w:rFonts w:ascii="Times New Roman" w:eastAsia="Calibri" w:hAnsi="Times New Roman" w:cs="Times New Roman"/>
          <w:lang w:val="en-GB"/>
        </w:rPr>
        <w:t> </w:t>
      </w:r>
      <w:r w:rsidRPr="00FC4420">
        <w:rPr>
          <w:rFonts w:ascii="Times New Roman" w:hAnsi="Times New Roman" w:cs="Times New Roman"/>
          <w:iCs/>
          <w:lang w:val="en-GB"/>
        </w:rPr>
        <w:fldChar w:fldCharType="begin"/>
      </w:r>
      <w:r w:rsidRPr="00FC4420">
        <w:rPr>
          <w:rFonts w:ascii="Times New Roman" w:hAnsi="Times New Roman" w:cs="Times New Roman"/>
          <w:lang w:val="en-GB"/>
        </w:rPr>
        <w:instrText xml:space="preserve"> XE "</w:instrText>
      </w:r>
      <w:r w:rsidRPr="00FC4420">
        <w:rPr>
          <w:rFonts w:ascii="Times New Roman" w:hAnsi="Times New Roman" w:cs="Times New Roman"/>
          <w:iCs/>
          <w:lang w:val="en-GB"/>
        </w:rPr>
        <w:instrText>Rusai Argištiḫi</w:instrText>
      </w:r>
      <w:r w:rsidRPr="00FC4420">
        <w:rPr>
          <w:rFonts w:ascii="Times New Roman" w:hAnsi="Times New Roman" w:cs="Times New Roman"/>
          <w:lang w:val="en-GB"/>
        </w:rPr>
        <w:instrText xml:space="preserve">" </w:instrText>
      </w:r>
      <w:r w:rsidRPr="00FC4420">
        <w:rPr>
          <w:rFonts w:ascii="Times New Roman" w:hAnsi="Times New Roman" w:cs="Times New Roman"/>
          <w:iCs/>
          <w:lang w:val="en-GB"/>
        </w:rPr>
        <w:fldChar w:fldCharType="end"/>
      </w:r>
      <w:r w:rsidRPr="00FC4420">
        <w:rPr>
          <w:rFonts w:ascii="Times New Roman" w:hAnsi="Times New Roman" w:cs="Times New Roman"/>
          <w:lang w:val="en-GB"/>
        </w:rPr>
        <w:t xml:space="preserve"> (III?). In addition, the Toprakkale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finds -apart from the chronological discussions of the fortress- can be dated to the 7th century BCE. The clay tablet with seal print containing "T" shaped depictions in Bastam</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"Bastam"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is also dated to the same century</w:t>
      </w:r>
      <w:r w:rsidRPr="00FC4420">
        <w:rPr>
          <w:rFonts w:ascii="Times New Roman" w:eastAsia="Calibri" w:hAnsi="Times New Roman" w:cs="Times New Roman"/>
          <w:lang w:val="en-GB"/>
        </w:rPr>
        <w:t xml:space="preserve"> and is</w:t>
      </w:r>
      <w:r w:rsidRPr="00FC4420">
        <w:rPr>
          <w:rFonts w:ascii="Times New Roman" w:hAnsi="Times New Roman" w:cs="Times New Roman"/>
          <w:lang w:val="en-GB"/>
        </w:rPr>
        <w:t xml:space="preserve"> in line with the cuneiform inscription. When we consider all the examples, "T" shaped depictions belong to the fortresses of the Urartian kingdom</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kingdom"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dated to the 7th century BCE. As a result, it is possible to state that the depictions in question found widespread use as a new decoration tradition that emerged in the late phase of the Urartian kingdom.</w:t>
      </w:r>
    </w:p>
    <w:p w14:paraId="1BF523A6" w14:textId="77777777" w:rsidR="0022085E" w:rsidRPr="00FC4420" w:rsidRDefault="0022085E" w:rsidP="0022085E">
      <w:pPr>
        <w:jc w:val="both"/>
        <w:rPr>
          <w:rFonts w:ascii="Times New Roman" w:hAnsi="Times New Roman" w:cs="Times New Roman"/>
          <w:lang w:val="en-GB"/>
        </w:rPr>
      </w:pPr>
    </w:p>
    <w:p w14:paraId="1B289BD5" w14:textId="3DC6BE2B" w:rsidR="0022085E" w:rsidRPr="00FC4420" w:rsidRDefault="0022085E" w:rsidP="0022085E">
      <w:pPr>
        <w:keepNext/>
        <w:keepLines/>
        <w:jc w:val="both"/>
        <w:outlineLvl w:val="1"/>
        <w:rPr>
          <w:rFonts w:ascii="Times New Roman" w:hAnsi="Times New Roman" w:cs="Times New Roman"/>
          <w:b/>
          <w:lang w:val="en-GB"/>
        </w:rPr>
      </w:pPr>
      <w:bookmarkStart w:id="222" w:name="_Toc132072587"/>
      <w:bookmarkStart w:id="223" w:name="_Toc173231286"/>
      <w:r w:rsidRPr="00FC4420">
        <w:rPr>
          <w:rFonts w:ascii="Times New Roman" w:hAnsi="Times New Roman" w:cs="Times New Roman"/>
          <w:b/>
          <w:lang w:val="en-GB"/>
        </w:rPr>
        <w:t>12.7. Conclusion</w:t>
      </w:r>
      <w:bookmarkEnd w:id="222"/>
      <w:bookmarkEnd w:id="223"/>
    </w:p>
    <w:p w14:paraId="7FEF08E6"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Decorative blind or false windows, evaluated in the context of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archaeology, and “T” shaped niches</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 shaped niches"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carved into the bedrock reflect two different craftsmanship. Thanks to the "T" shaped blind windows in Çavuştepe</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"Çavuştepe"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known artifacts from Toprakkale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"Toprakkale"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Bastam</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"Bastam"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the depictions on the Adilcevaz</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Calibri" w:hAnsi="Times New Roman" w:cs="Times New Roman"/>
          <w:lang w:val="en-GB"/>
        </w:rPr>
        <w:instrText>Adilcevaz</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pillars have proven that they somehow represent blind windows for decorative purposes. At this point, the "T" shaped rock-cut niches carved into the bedrock should be considered in a different category.</w:t>
      </w:r>
    </w:p>
    <w:p w14:paraId="10356D8C" w14:textId="77777777" w:rsidR="0022085E" w:rsidRDefault="0022085E" w:rsidP="0022085E">
      <w:pPr>
        <w:jc w:val="both"/>
        <w:rPr>
          <w:rFonts w:ascii="Times New Roman" w:hAnsi="Times New Roman" w:cs="Times New Roman"/>
          <w:lang w:val="en-GB"/>
        </w:rPr>
      </w:pPr>
    </w:p>
    <w:p w14:paraId="6CB84F6D" w14:textId="77777777" w:rsidR="0022085E" w:rsidRPr="00FC4420" w:rsidRDefault="0022085E" w:rsidP="0022085E">
      <w:pPr>
        <w:jc w:val="both"/>
        <w:rPr>
          <w:rFonts w:ascii="Times New Roman" w:hAnsi="Times New Roman" w:cs="Times New Roman"/>
          <w:lang w:val="en-GB"/>
        </w:rPr>
      </w:pPr>
      <w:r w:rsidRPr="00FC4420">
        <w:rPr>
          <w:rFonts w:ascii="Times New Roman" w:hAnsi="Times New Roman" w:cs="Times New Roman"/>
          <w:lang w:val="en-GB"/>
        </w:rPr>
        <w:t xml:space="preserve">Considering the location of the </w:t>
      </w:r>
      <w:r w:rsidRPr="00FC4420">
        <w:rPr>
          <w:rFonts w:ascii="Times New Roman" w:eastAsia="Calibri" w:hAnsi="Times New Roman" w:cs="Times New Roman"/>
          <w:lang w:val="en-GB"/>
        </w:rPr>
        <w:t>centers</w:t>
      </w:r>
      <w:r w:rsidRPr="00FC4420">
        <w:rPr>
          <w:rFonts w:ascii="Times New Roman" w:hAnsi="Times New Roman" w:cs="Times New Roman"/>
          <w:lang w:val="en-GB"/>
        </w:rPr>
        <w:t xml:space="preserve"> where “T” shaped rock niches were discovered, it is seen that most of the samples were carved into independent limestone cliffs on the shore of Lake Van</w:t>
      </w:r>
      <w:r w:rsidRPr="00FC4420">
        <w:rPr>
          <w:rFonts w:ascii="Times New Roman" w:eastAsia="Calibri" w:hAnsi="Times New Roman" w:cs="Times New Roman"/>
          <w:lang w:val="en-GB"/>
        </w:rPr>
        <w:t> </w:t>
      </w:r>
      <w:r w:rsidRPr="00FC4420">
        <w:rPr>
          <w:rFonts w:ascii="Times New Roman" w:hAnsi="Times New Roman" w:cs="Times New Roman"/>
          <w:lang w:val="en-GB"/>
        </w:rPr>
        <w:t>(Fig. 1). The only example that we know to be used on a rock in the Van Lake</w:t>
      </w:r>
      <w:r w:rsidRPr="00FC4420">
        <w:rPr>
          <w:rFonts w:ascii="Times New Roman" w:hAnsi="Times New Roman" w:cs="Times New Roman"/>
          <w:lang w:val="en-GB"/>
        </w:rPr>
        <w:fldChar w:fldCharType="begin"/>
      </w:r>
      <w:r w:rsidRPr="00FC4420">
        <w:rPr>
          <w:rFonts w:ascii="Times New Roman" w:hAnsi="Times New Roman" w:cs="Times New Roman"/>
        </w:rPr>
        <w:instrText xml:space="preserve"> XE </w:instrText>
      </w:r>
      <w:r w:rsidRPr="00FC4420">
        <w:rPr>
          <w:rFonts w:ascii="Times New Roman" w:hAnsi="Times New Roman" w:cs="Times New Roman"/>
        </w:rPr>
        <w:lastRenderedPageBreak/>
        <w:instrText xml:space="preserve">"Van Lake"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basin but built at a point relatively far from the lake shore, is the "T" niche in Körzüt</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"Körzüt"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There is also an unpublished "T" niche in the Hakkari Region</w:t>
      </w:r>
      <w:r w:rsidRPr="00FC4420">
        <w:rPr>
          <w:rStyle w:val="DipnotBavurusu"/>
          <w:rFonts w:ascii="Times New Roman" w:hAnsi="Times New Roman" w:cs="Times New Roman"/>
          <w:lang w:val="en-GB"/>
        </w:rPr>
        <w:footnoteReference w:id="71"/>
      </w:r>
      <w:r w:rsidRPr="00FC4420">
        <w:rPr>
          <w:rFonts w:ascii="Times New Roman" w:hAnsi="Times New Roman" w:cs="Times New Roman"/>
          <w:lang w:val="en-GB"/>
        </w:rPr>
        <w:t>. Ava-Déré</w:t>
      </w:r>
      <w:r>
        <w:rPr>
          <w:rFonts w:ascii="Times New Roman" w:eastAsia="Calibri" w:hAnsi="Times New Roman" w:cs="Times New Roman"/>
          <w:lang w:val="en-GB"/>
        </w:rPr>
        <w:t>,</w:t>
      </w:r>
      <w:r w:rsidRPr="00FC4420">
        <w:rPr>
          <w:rFonts w:ascii="Times New Roman" w:hAnsi="Times New Roman" w:cs="Times New Roman"/>
          <w:lang w:val="en-GB"/>
        </w:rPr>
        <w:t xml:space="preserve"> Zakzak</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"Zakzak" </w:instrText>
      </w:r>
      <w:r w:rsidRPr="00FC4420">
        <w:rPr>
          <w:rFonts w:ascii="Times New Roman" w:hAnsi="Times New Roman" w:cs="Times New Roman"/>
          <w:lang w:val="en-GB"/>
        </w:rPr>
        <w:fldChar w:fldCharType="end"/>
      </w:r>
      <w:r w:rsidRPr="00FC4420">
        <w:rPr>
          <w:rFonts w:ascii="Times New Roman" w:hAnsi="Times New Roman" w:cs="Times New Roman"/>
          <w:lang w:val="en-GB"/>
        </w:rPr>
        <w:t>, Madavank</w:t>
      </w:r>
      <w:r w:rsidRPr="00FC4420">
        <w:rPr>
          <w:rFonts w:ascii="Times New Roman" w:eastAsia="Calibri" w:hAnsi="Times New Roman" w:cs="Times New Roman"/>
          <w:lang w:val="en-GB"/>
        </w:rPr>
        <w:t>,</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"Madavank"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Zernaki Tepe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"Zernaki 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are the sites containing the northernmost samples, while Gevaş</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"Gevaş"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samples are located on the </w:t>
      </w:r>
      <w:r w:rsidRPr="00FC4420">
        <w:rPr>
          <w:rFonts w:ascii="Times New Roman" w:eastAsia="Calibri" w:hAnsi="Times New Roman" w:cs="Times New Roman"/>
          <w:lang w:val="en-GB"/>
        </w:rPr>
        <w:t xml:space="preserve">lake's </w:t>
      </w:r>
      <w:r w:rsidRPr="00FC4420">
        <w:rPr>
          <w:rFonts w:ascii="Times New Roman" w:hAnsi="Times New Roman" w:cs="Times New Roman"/>
          <w:lang w:val="en-GB"/>
        </w:rPr>
        <w:t>southern shore. Van Fortress</w:t>
      </w:r>
      <w:r w:rsidRPr="00FC4420">
        <w:rPr>
          <w:rFonts w:ascii="Times New Roman" w:eastAsia="Calibri" w:hAnsi="Times New Roman" w:cs="Times New Roman"/>
          <w:lang w:val="en-GB"/>
        </w:rPr>
        <w:t> </w:t>
      </w:r>
      <w:r w:rsidRPr="00FC4420">
        <w:rPr>
          <w:rFonts w:ascii="Times New Roman" w:hAnsi="Times New Roman" w:cs="Times New Roman"/>
          <w:lang w:val="en-GB"/>
        </w:rPr>
        <w:t xml:space="preserve">on the </w:t>
      </w:r>
      <w:r w:rsidRPr="00FC4420">
        <w:rPr>
          <w:rFonts w:ascii="Times New Roman" w:eastAsia="Calibri" w:hAnsi="Times New Roman" w:cs="Times New Roman"/>
          <w:lang w:val="en-GB"/>
        </w:rPr>
        <w:t xml:space="preserve">lake's </w:t>
      </w:r>
      <w:r w:rsidRPr="00FC4420">
        <w:rPr>
          <w:rFonts w:ascii="Times New Roman" w:hAnsi="Times New Roman" w:cs="Times New Roman"/>
          <w:lang w:val="en-GB"/>
        </w:rPr>
        <w:t>eastern shore and Kalecik</w:t>
      </w:r>
      <w:r>
        <w:rPr>
          <w:rFonts w:ascii="Times New Roman" w:eastAsia="Calibri" w:hAnsi="Times New Roman" w:cs="Times New Roman"/>
          <w:lang w:val="en-GB"/>
        </w:rPr>
        <w:t xml:space="preserve">, </w:t>
      </w:r>
      <w:r w:rsidRPr="00FC4420">
        <w:rPr>
          <w:rFonts w:ascii="Times New Roman" w:hAnsi="Times New Roman" w:cs="Times New Roman"/>
          <w:lang w:val="en-GB"/>
        </w:rPr>
        <w:t>Mermit</w:t>
      </w:r>
      <w:r>
        <w:rPr>
          <w:rFonts w:ascii="Times New Roman" w:eastAsia="Calibri" w:hAnsi="Times New Roman" w:cs="Times New Roman"/>
          <w:lang w:val="en-GB"/>
        </w:rPr>
        <w:t>,</w:t>
      </w:r>
      <w:r w:rsidRPr="00FC4420">
        <w:rPr>
          <w:rFonts w:ascii="Times New Roman" w:hAnsi="Times New Roman" w:cs="Times New Roman"/>
          <w:lang w:val="en-GB"/>
        </w:rPr>
        <w:t xml:space="preserve"> and Amik</w:t>
      </w:r>
      <w:r w:rsidRPr="00FC4420">
        <w:rPr>
          <w:rFonts w:ascii="Times New Roman" w:eastAsia="Calibri" w:hAnsi="Times New Roman" w:cs="Times New Roman"/>
          <w:lang w:val="en-GB"/>
        </w:rPr>
        <w:t> Fortress,</w:t>
      </w:r>
      <w:r>
        <w:rPr>
          <w:rFonts w:ascii="Times New Roman" w:eastAsia="Calibri" w:hAnsi="Times New Roman" w:cs="Times New Roman"/>
          <w:lang w:val="en-GB"/>
        </w:rPr>
        <w:t xml:space="preserve">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"Amik"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which are lined up to the north of it, are other </w:t>
      </w:r>
      <w:r w:rsidRPr="00FC4420">
        <w:rPr>
          <w:rFonts w:ascii="Times New Roman" w:eastAsia="Calibri" w:hAnsi="Times New Roman" w:cs="Times New Roman"/>
          <w:lang w:val="en-GB"/>
        </w:rPr>
        <w:t>centers</w:t>
      </w:r>
      <w:r w:rsidRPr="00FC4420">
        <w:rPr>
          <w:rFonts w:ascii="Times New Roman" w:hAnsi="Times New Roman" w:cs="Times New Roman"/>
          <w:lang w:val="en-GB"/>
        </w:rPr>
        <w:t xml:space="preserve"> with "T" shaped niches. The fact that the rocks on the shore of the lake were preferred shows that this craftsmanship is a tradition practiced within a </w:t>
      </w:r>
      <w:r w:rsidRPr="00FC4420">
        <w:rPr>
          <w:rFonts w:ascii="Times New Roman" w:eastAsia="Calibri" w:hAnsi="Times New Roman" w:cs="Times New Roman"/>
          <w:lang w:val="en-GB"/>
        </w:rPr>
        <w:t>particular</w:t>
      </w:r>
      <w:r w:rsidRPr="00FC4420">
        <w:rPr>
          <w:rFonts w:ascii="Times New Roman" w:hAnsi="Times New Roman" w:cs="Times New Roman"/>
          <w:lang w:val="en-GB"/>
        </w:rPr>
        <w:t xml:space="preserve"> program and in the </w:t>
      </w:r>
      <w:r w:rsidRPr="00FC4420">
        <w:rPr>
          <w:rFonts w:ascii="Times New Roman" w:eastAsia="Calibri" w:hAnsi="Times New Roman" w:cs="Times New Roman"/>
          <w:lang w:val="en-GB"/>
        </w:rPr>
        <w:t>centers</w:t>
      </w:r>
      <w:r w:rsidRPr="00FC4420">
        <w:rPr>
          <w:rFonts w:ascii="Times New Roman" w:hAnsi="Times New Roman" w:cs="Times New Roman"/>
          <w:lang w:val="en-GB"/>
        </w:rPr>
        <w:t xml:space="preserve"> on the shore of Van Lake, but it shows that the sample </w:t>
      </w:r>
      <w:r w:rsidRPr="009A4255">
        <w:rPr>
          <w:rFonts w:ascii="Times New Roman" w:hAnsi="Times New Roman" w:cs="Times New Roman"/>
          <w:lang w:val="en-GB"/>
        </w:rPr>
        <w:t>“T” shaped</w:t>
      </w:r>
      <w:r w:rsidRPr="00FC4420">
        <w:rPr>
          <w:rFonts w:ascii="Times New Roman" w:hAnsi="Times New Roman" w:cs="Times New Roman"/>
          <w:lang w:val="en-GB"/>
        </w:rPr>
        <w:t xml:space="preserve"> rock niches in Hakkari are seen in </w:t>
      </w:r>
      <w:r w:rsidRPr="00FC4420">
        <w:rPr>
          <w:rFonts w:ascii="Times New Roman" w:eastAsia="Calibri" w:hAnsi="Times New Roman" w:cs="Times New Roman"/>
          <w:lang w:val="en-GB"/>
        </w:rPr>
        <w:t>the broader</w:t>
      </w:r>
      <w:r w:rsidRPr="00FC4420">
        <w:rPr>
          <w:rFonts w:ascii="Times New Roman" w:hAnsi="Times New Roman" w:cs="Times New Roman"/>
          <w:lang w:val="en-GB"/>
        </w:rPr>
        <w:t xml:space="preserve"> area. </w:t>
      </w:r>
      <w:r w:rsidRPr="00FC4420">
        <w:rPr>
          <w:rFonts w:ascii="Times New Roman" w:eastAsia="Calibri" w:hAnsi="Times New Roman" w:cs="Times New Roman"/>
          <w:lang w:val="en-GB"/>
        </w:rPr>
        <w:t>A</w:t>
      </w:r>
      <w:r w:rsidRPr="00FC4420">
        <w:rPr>
          <w:rFonts w:ascii="Times New Roman" w:hAnsi="Times New Roman" w:cs="Times New Roman"/>
          <w:lang w:val="en-GB"/>
        </w:rPr>
        <w:t xml:space="preserve"> distinctive feature of these cliffs </w:t>
      </w:r>
      <w:r w:rsidRPr="00FC4420">
        <w:rPr>
          <w:rFonts w:ascii="Times New Roman" w:eastAsia="Calibri" w:hAnsi="Times New Roman" w:cs="Times New Roman"/>
          <w:lang w:val="en-GB"/>
        </w:rPr>
        <w:t xml:space="preserve">is </w:t>
      </w:r>
      <w:r w:rsidRPr="00FC4420">
        <w:rPr>
          <w:rFonts w:ascii="Times New Roman" w:hAnsi="Times New Roman" w:cs="Times New Roman"/>
          <w:lang w:val="en-GB"/>
        </w:rPr>
        <w:t xml:space="preserve">that the “T” shaped rock niches are carved on limestone cliffs, </w:t>
      </w:r>
      <w:r w:rsidRPr="00FC4420">
        <w:rPr>
          <w:rFonts w:ascii="Times New Roman" w:eastAsia="Calibri" w:hAnsi="Times New Roman" w:cs="Times New Roman"/>
          <w:lang w:val="en-GB"/>
        </w:rPr>
        <w:t>except for</w:t>
      </w:r>
      <w:r w:rsidRPr="00FC4420">
        <w:rPr>
          <w:rFonts w:ascii="Times New Roman" w:hAnsi="Times New Roman" w:cs="Times New Roman"/>
          <w:lang w:val="en-GB"/>
        </w:rPr>
        <w:t xml:space="preserve"> the Körzüt fortress, which rises on a basalt rock. Madavank</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with </w:t>
      </w:r>
      <w:r w:rsidRPr="00FC4420">
        <w:rPr>
          <w:rFonts w:ascii="Times New Roman" w:eastAsia="Calibri" w:hAnsi="Times New Roman" w:cs="Times New Roman"/>
          <w:lang w:val="en-GB"/>
        </w:rPr>
        <w:t>five</w:t>
      </w:r>
      <w:r w:rsidRPr="00FC4420">
        <w:rPr>
          <w:rFonts w:ascii="Times New Roman" w:hAnsi="Times New Roman" w:cs="Times New Roman"/>
          <w:lang w:val="en-GB"/>
        </w:rPr>
        <w:t xml:space="preserve"> examples</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and Zakzak</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with </w:t>
      </w:r>
      <w:r w:rsidRPr="00FC4420">
        <w:rPr>
          <w:rFonts w:ascii="Times New Roman" w:eastAsia="Calibri" w:hAnsi="Times New Roman" w:cs="Times New Roman"/>
          <w:lang w:val="en-GB"/>
        </w:rPr>
        <w:t>four</w:t>
      </w:r>
      <w:r w:rsidRPr="00FC4420">
        <w:rPr>
          <w:rFonts w:ascii="Times New Roman" w:hAnsi="Times New Roman" w:cs="Times New Roman"/>
          <w:lang w:val="en-GB"/>
        </w:rPr>
        <w:t xml:space="preserve"> examples</w:t>
      </w:r>
      <w:r w:rsidRPr="00FC4420">
        <w:rPr>
          <w:rFonts w:ascii="Times New Roman" w:eastAsia="Calibri" w:hAnsi="Times New Roman" w:cs="Times New Roman"/>
          <w:lang w:val="en-GB"/>
        </w:rPr>
        <w:t>,</w:t>
      </w:r>
      <w:r w:rsidRPr="00FC4420">
        <w:rPr>
          <w:rFonts w:ascii="Times New Roman" w:hAnsi="Times New Roman" w:cs="Times New Roman"/>
          <w:lang w:val="en-GB"/>
        </w:rPr>
        <w:t xml:space="preserve"> stand out as the </w:t>
      </w:r>
      <w:r w:rsidRPr="00FC4420">
        <w:rPr>
          <w:rFonts w:ascii="Times New Roman" w:eastAsia="Calibri" w:hAnsi="Times New Roman" w:cs="Times New Roman"/>
          <w:lang w:val="en-GB"/>
        </w:rPr>
        <w:t>centers</w:t>
      </w:r>
      <w:r w:rsidRPr="00FC4420">
        <w:rPr>
          <w:rFonts w:ascii="Times New Roman" w:hAnsi="Times New Roman" w:cs="Times New Roman"/>
          <w:lang w:val="en-GB"/>
        </w:rPr>
        <w:t xml:space="preserve"> with the highest number of examples after Van Fortress.</w:t>
      </w:r>
    </w:p>
    <w:p w14:paraId="75CBF1F2" w14:textId="77777777" w:rsidR="0022085E" w:rsidRPr="00FC4420" w:rsidRDefault="0022085E" w:rsidP="0022085E">
      <w:pPr>
        <w:rPr>
          <w:rFonts w:ascii="Times New Roman" w:hAnsi="Times New Roman" w:cs="Times New Roman"/>
          <w:lang w:val="en-GB"/>
        </w:rPr>
      </w:pPr>
    </w:p>
    <w:p w14:paraId="2C0DB997" w14:textId="77777777" w:rsidR="0022085E" w:rsidRPr="00FC4420" w:rsidRDefault="0022085E" w:rsidP="0022085E">
      <w:pPr>
        <w:jc w:val="both"/>
        <w:rPr>
          <w:rFonts w:ascii="Times New Roman" w:hAnsi="Times New Roman" w:cs="Times New Roman"/>
        </w:rPr>
      </w:pPr>
      <w:r w:rsidRPr="00FC4420">
        <w:rPr>
          <w:rFonts w:ascii="Times New Roman" w:hAnsi="Times New Roman" w:cs="Times New Roman"/>
          <w:lang w:val="en-GB"/>
        </w:rPr>
        <w:t>In Mesopotamia and the Near East</w:t>
      </w:r>
      <w:r>
        <w:rPr>
          <w:rFonts w:ascii="Times New Roman" w:eastAsia="Calibri" w:hAnsi="Times New Roman" w:cs="Times New Roman"/>
          <w:lang w:val="en-GB"/>
        </w:rPr>
        <w:t>,</w:t>
      </w:r>
      <w:r w:rsidRPr="00FC4420">
        <w:rPr>
          <w:rFonts w:ascii="Times New Roman" w:hAnsi="Times New Roman" w:cs="Times New Roman"/>
          <w:lang w:val="en-GB"/>
        </w:rPr>
        <w:t xml:space="preserve"> framed niches were used as a defining element in </w:t>
      </w:r>
      <w:r w:rsidRPr="00FC4420">
        <w:rPr>
          <w:rFonts w:ascii="Times New Roman" w:eastAsia="Calibri" w:hAnsi="Times New Roman" w:cs="Times New Roman"/>
          <w:lang w:val="en-GB"/>
        </w:rPr>
        <w:t>fortresses</w:t>
      </w:r>
      <w:r w:rsidRPr="00FC4420">
        <w:rPr>
          <w:rFonts w:ascii="Times New Roman" w:hAnsi="Times New Roman" w:cs="Times New Roman"/>
          <w:lang w:val="en-GB"/>
        </w:rPr>
        <w:t>, palaces, and especially temple structures (Roaf, 1998). Recessed niches are architectural units that have been extensively applied in the Neo-Assyrian</w:t>
      </w:r>
      <w:r w:rsidRPr="00FC4420">
        <w:rPr>
          <w:rFonts w:ascii="Times New Roman" w:eastAsia="Calibri" w:hAnsi="Times New Roman" w:cs="Times New Roman"/>
          <w:lang w:val="en-GB"/>
        </w:rPr>
        <w:t> centers</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"Assyrian"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Med </w:t>
      </w:r>
      <w:r w:rsidRPr="00FC4420">
        <w:rPr>
          <w:rFonts w:ascii="Times New Roman" w:eastAsia="Calibri" w:hAnsi="Times New Roman" w:cs="Times New Roman"/>
          <w:lang w:val="en-GB"/>
        </w:rPr>
        <w:t>centers</w:t>
      </w:r>
      <w:r w:rsidRPr="00FC4420">
        <w:rPr>
          <w:rFonts w:ascii="Times New Roman" w:hAnsi="Times New Roman" w:cs="Times New Roman"/>
          <w:lang w:val="en-GB"/>
        </w:rPr>
        <w:t xml:space="preserve"> such as Hasanlu</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"Hasanlu"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and Baba</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"Baba"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Jan and Nush-i Jan Tepe in Northwest Iran</w:t>
      </w:r>
      <w:r>
        <w:rPr>
          <w:rFonts w:ascii="Times New Roman" w:eastAsia="Calibri" w:hAnsi="Times New Roman" w:cs="Times New Roman"/>
          <w:lang w:val="en-GB"/>
        </w:rPr>
        <w:t>,</w:t>
      </w:r>
      <w:r w:rsidRPr="00FC4420">
        <w:rPr>
          <w:rFonts w:ascii="Times New Roman" w:hAnsi="Times New Roman" w:cs="Times New Roman"/>
          <w:lang w:val="en-GB"/>
        </w:rPr>
        <w:t xml:space="preserve"> especially in the spaces within the citadel (Stronach &amp; Roaf, 2007: 194-195). In Urartian</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architecture, recessed niches, which are </w:t>
      </w:r>
      <w:r w:rsidRPr="00FC4420">
        <w:rPr>
          <w:rFonts w:ascii="Times New Roman" w:eastAsia="Calibri" w:hAnsi="Times New Roman" w:cs="Times New Roman"/>
          <w:lang w:val="en-GB"/>
        </w:rPr>
        <w:t>incredibly</w:t>
      </w:r>
      <w:r w:rsidRPr="00FC4420">
        <w:rPr>
          <w:rFonts w:ascii="Times New Roman" w:hAnsi="Times New Roman" w:cs="Times New Roman"/>
          <w:lang w:val="en-GB"/>
        </w:rPr>
        <w:t xml:space="preserve"> decisive for the use of a place as a temple, are </w:t>
      </w:r>
      <w:r w:rsidRPr="00FC4420">
        <w:rPr>
          <w:rFonts w:ascii="Times New Roman" w:eastAsia="Calibri" w:hAnsi="Times New Roman" w:cs="Times New Roman"/>
          <w:lang w:val="en-GB"/>
        </w:rPr>
        <w:t>an essential</w:t>
      </w:r>
      <w:r w:rsidRPr="00FC4420">
        <w:rPr>
          <w:rFonts w:ascii="Times New Roman" w:hAnsi="Times New Roman" w:cs="Times New Roman"/>
          <w:lang w:val="en-GB"/>
        </w:rPr>
        <w:t xml:space="preserve"> feature applied in almost all Urartian "susi</w:t>
      </w:r>
      <w:r w:rsidRPr="00FC4420">
        <w:rPr>
          <w:rFonts w:ascii="Times New Roman" w:hAnsi="Times New Roman" w:cs="Times New Roman"/>
        </w:rPr>
        <w:t xml:space="preserve"> </w:t>
      </w:r>
      <w:r w:rsidRPr="00FC4420">
        <w:rPr>
          <w:rFonts w:ascii="Times New Roman" w:hAnsi="Times New Roman" w:cs="Times New Roman"/>
          <w:lang w:val="en-GB"/>
        </w:rPr>
        <w:t>"</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"susi"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temples (Tarhan&amp; Sevin, 1975; Çilingiroğlu 2012; Kuvanç et al., 2020: 119). However, this does not mean these architectural units were used only in </w:t>
      </w:r>
      <w:r w:rsidRPr="00FC4420">
        <w:rPr>
          <w:rFonts w:ascii="Times New Roman" w:eastAsia="Calibri" w:hAnsi="Times New Roman" w:cs="Times New Roman"/>
          <w:lang w:val="en-GB"/>
        </w:rPr>
        <w:t xml:space="preserve">Urartian </w:t>
      </w:r>
      <w:r w:rsidRPr="00FC4420">
        <w:rPr>
          <w:rFonts w:ascii="Times New Roman" w:hAnsi="Times New Roman" w:cs="Times New Roman"/>
          <w:lang w:val="en-GB"/>
        </w:rPr>
        <w:t>temples in Urartians</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"Urartians" </w:instrText>
      </w:r>
      <w:r w:rsidRPr="00FC4420">
        <w:rPr>
          <w:rFonts w:ascii="Times New Roman" w:hAnsi="Times New Roman" w:cs="Times New Roman"/>
          <w:lang w:val="en-GB"/>
        </w:rPr>
        <w:fldChar w:fldCharType="end"/>
      </w:r>
      <w:r w:rsidRPr="00FC4420">
        <w:rPr>
          <w:rFonts w:ascii="Times New Roman" w:hAnsi="Times New Roman" w:cs="Times New Roman"/>
          <w:lang w:val="en-GB"/>
        </w:rPr>
        <w:t>. Indeed, Giriktepe</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"Giriktepe"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(Balkan, 1964: 240/Fig. 4; Kleiss, 1988: 58/Abb. 61), Erebuni</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Style w:val="y2iqfc"/>
          <w:rFonts w:ascii="Times New Roman" w:eastAsia="Arial" w:hAnsi="Times New Roman" w:cs="Times New Roman"/>
          <w:lang w:val="en-GB"/>
        </w:rPr>
        <w:instrText>Erebuni</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(Stronach et al., 2010: 113/Fig. 9; Tab. XXXII-2) and Upper Anzaf</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"Anzaf"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fortress (Belli, 2009: 454)</w:t>
      </w:r>
      <w:r w:rsidRPr="00FC4420">
        <w:rPr>
          <w:rFonts w:ascii="Times New Roman" w:eastAsia="Calibri" w:hAnsi="Times New Roman" w:cs="Times New Roman"/>
          <w:lang w:val="en-GB"/>
        </w:rPr>
        <w:t> </w:t>
      </w:r>
      <w:r w:rsidRPr="00FC4420">
        <w:rPr>
          <w:rFonts w:ascii="Times New Roman" w:hAnsi="Times New Roman" w:cs="Times New Roman"/>
          <w:lang w:val="en-GB"/>
        </w:rPr>
        <w:t xml:space="preserve"> similarly shaped recessed niches are known to exist in the reception halls. It is stated that these are the units where a throne is placed, but it is also emphasized that they can contain cultic purposes. Apart from their use in fortified areas, niche doors carved into monumental rocks such as Meher (Salvini, 1994) and Pagan</w:t>
      </w:r>
      <w:r>
        <w:rPr>
          <w:rFonts w:ascii="Times New Roman" w:eastAsia="Calibri" w:hAnsi="Times New Roman" w:cs="Times New Roman"/>
          <w:lang w:val="en-GB"/>
        </w:rPr>
        <w:t>/</w:t>
      </w:r>
      <w:r w:rsidRPr="00FC4420">
        <w:rPr>
          <w:rFonts w:ascii="Times New Roman" w:hAnsi="Times New Roman" w:cs="Times New Roman"/>
          <w:lang w:val="en-GB"/>
        </w:rPr>
        <w:t>Dergé-Aşot</w:t>
      </w:r>
      <w:r w:rsidRPr="00FC4420">
        <w:rPr>
          <w:rFonts w:ascii="Times New Roman" w:eastAsia="Calibri" w:hAnsi="Times New Roman" w:cs="Times New Roman"/>
          <w:lang w:val="en-GB"/>
        </w:rPr>
        <w:t>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"Dergé-Aşot"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(Genç, 2015), which are called blind doors, stone doors, or treasury doors, seem to be Urart</w:t>
      </w:r>
      <w:r>
        <w:rPr>
          <w:rFonts w:ascii="Times New Roman" w:hAnsi="Times New Roman" w:cs="Times New Roman"/>
          <w:lang w:val="en-GB"/>
        </w:rPr>
        <w:t xml:space="preserve">ian </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w:instrText>
      </w:r>
      <w:r w:rsidRPr="00FC4420">
        <w:rPr>
          <w:rFonts w:ascii="Times New Roman" w:eastAsia="Times New Roman" w:hAnsi="Times New Roman" w:cs="Times New Roman"/>
          <w:lang w:val="en-GB"/>
        </w:rPr>
        <w:instrText>Urartu</w:instrText>
      </w:r>
      <w:r w:rsidRPr="00FC4420">
        <w:rPr>
          <w:rFonts w:ascii="Times New Roman" w:hAnsi="Times New Roman" w:cs="Times New Roman"/>
          <w:lang w:val="en-GB"/>
        </w:rPr>
        <w:instrText xml:space="preserve">"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specific creations. It is clear that these monumental rock-cut gates, which emerged </w:t>
      </w:r>
      <w:r w:rsidRPr="00FC4420">
        <w:rPr>
          <w:rFonts w:ascii="Times New Roman" w:eastAsia="Calibri" w:hAnsi="Times New Roman" w:cs="Times New Roman"/>
          <w:lang w:val="en-GB"/>
        </w:rPr>
        <w:t>due to</w:t>
      </w:r>
      <w:r w:rsidRPr="00FC4420">
        <w:rPr>
          <w:rFonts w:ascii="Times New Roman" w:hAnsi="Times New Roman" w:cs="Times New Roman"/>
          <w:lang w:val="en-GB"/>
        </w:rPr>
        <w:t xml:space="preserve"> the formation of the state religion during the establishment of the Urartian kingdom</w:t>
      </w:r>
      <w:r w:rsidRPr="00FC4420">
        <w:rPr>
          <w:rFonts w:ascii="Times New Roman" w:hAnsi="Times New Roman" w:cs="Times New Roman"/>
          <w:lang w:val="en-GB"/>
        </w:rPr>
        <w:fldChar w:fldCharType="begin"/>
      </w:r>
      <w:r w:rsidRPr="00FC4420">
        <w:rPr>
          <w:rFonts w:ascii="Times New Roman" w:hAnsi="Times New Roman" w:cs="Times New Roman"/>
          <w:lang w:val="en-GB"/>
        </w:rPr>
        <w:instrText xml:space="preserve"> XE "Urartian Kingdom" </w:instrText>
      </w:r>
      <w:r w:rsidRPr="00FC4420">
        <w:rPr>
          <w:rFonts w:ascii="Times New Roman" w:hAnsi="Times New Roman" w:cs="Times New Roman"/>
          <w:lang w:val="en-GB"/>
        </w:rPr>
        <w:fldChar w:fldCharType="end"/>
      </w:r>
      <w:r w:rsidRPr="00FC4420">
        <w:rPr>
          <w:rFonts w:ascii="Times New Roman" w:hAnsi="Times New Roman" w:cs="Times New Roman"/>
          <w:lang w:val="en-GB"/>
        </w:rPr>
        <w:t xml:space="preserve">, were royal projects in line with the cuneiform inscriptions. At this point, it is </w:t>
      </w:r>
      <w:r w:rsidRPr="00FC4420">
        <w:rPr>
          <w:rFonts w:ascii="Times New Roman" w:eastAsia="Calibri" w:hAnsi="Times New Roman" w:cs="Times New Roman"/>
          <w:lang w:val="en-GB"/>
        </w:rPr>
        <w:t>impossible</w:t>
      </w:r>
      <w:r w:rsidRPr="00FC4420">
        <w:rPr>
          <w:rFonts w:ascii="Times New Roman" w:hAnsi="Times New Roman" w:cs="Times New Roman"/>
          <w:lang w:val="en-GB"/>
        </w:rPr>
        <w:t xml:space="preserve"> to evaluate the “T” shaped rock niches in the same category</w:t>
      </w:r>
      <w:r w:rsidRPr="00FC4420">
        <w:rPr>
          <w:rFonts w:ascii="Times New Roman" w:eastAsia="Calibri" w:hAnsi="Times New Roman" w:cs="Times New Roman"/>
          <w:lang w:val="en-GB"/>
        </w:rPr>
        <w:t>; it is unclear</w:t>
      </w:r>
      <w:r w:rsidRPr="00FC4420">
        <w:rPr>
          <w:rFonts w:ascii="Times New Roman" w:hAnsi="Times New Roman" w:cs="Times New Roman"/>
          <w:lang w:val="en-GB"/>
        </w:rPr>
        <w:t xml:space="preserve"> for what purpose they were shaped functionally and which period they represent historically. As a result, </w:t>
      </w:r>
      <w:r w:rsidRPr="009A4255">
        <w:rPr>
          <w:rFonts w:ascii="Times New Roman" w:hAnsi="Times New Roman" w:cs="Times New Roman"/>
          <w:lang w:val="en-GB"/>
        </w:rPr>
        <w:t>“T” shaped</w:t>
      </w:r>
      <w:r w:rsidRPr="00FC4420">
        <w:rPr>
          <w:rFonts w:ascii="Times New Roman" w:hAnsi="Times New Roman" w:cs="Times New Roman"/>
          <w:lang w:val="en-GB"/>
        </w:rPr>
        <w:t xml:space="preserve"> rock niches can be considered a reflection of a different tradition applied to the independent limestone cliffs in the Van Fortress</w:t>
      </w:r>
      <w:r w:rsidRPr="00FC4420">
        <w:rPr>
          <w:rFonts w:ascii="Times New Roman" w:eastAsia="Calibri" w:hAnsi="Times New Roman" w:cs="Times New Roman"/>
          <w:lang w:val="en-GB"/>
        </w:rPr>
        <w:t> </w:t>
      </w:r>
      <w:r w:rsidRPr="00FC4420">
        <w:rPr>
          <w:rFonts w:ascii="Times New Roman" w:hAnsi="Times New Roman" w:cs="Times New Roman"/>
          <w:lang w:val="en-GB"/>
        </w:rPr>
        <w:t>and Van Region after the end of the 7th century, when the kingdom began to weaken and disappear.</w:t>
      </w:r>
    </w:p>
    <w:p w14:paraId="6FE56413" w14:textId="4422C443" w:rsidR="0051046F" w:rsidRPr="00F03A26" w:rsidRDefault="0051046F" w:rsidP="00F03A26">
      <w:pPr>
        <w:jc w:val="both"/>
        <w:rPr>
          <w:rFonts w:asciiTheme="majorBidi" w:hAnsiTheme="majorBidi" w:cstheme="majorBidi"/>
          <w:lang w:val="en-GB"/>
        </w:rPr>
      </w:pPr>
    </w:p>
    <w:p w14:paraId="75C0A81A" w14:textId="375ACA3E" w:rsidR="006D3D75" w:rsidRPr="00F03A26" w:rsidRDefault="006D3D75" w:rsidP="00F03A26">
      <w:pPr>
        <w:jc w:val="both"/>
        <w:rPr>
          <w:rFonts w:asciiTheme="majorBidi" w:hAnsiTheme="majorBidi" w:cstheme="majorBidi"/>
          <w:lang w:val="en-GB"/>
        </w:rPr>
        <w:sectPr w:rsidR="006D3D75" w:rsidRPr="00F03A26" w:rsidSect="007F3733">
          <w:type w:val="continuous"/>
          <w:pgSz w:w="11906" w:h="16838"/>
          <w:pgMar w:top="1417" w:right="1417" w:bottom="1417" w:left="1417" w:header="708" w:footer="708" w:gutter="0"/>
          <w:cols w:space="708"/>
          <w:docGrid w:linePitch="360"/>
        </w:sectPr>
      </w:pPr>
    </w:p>
    <w:p w14:paraId="5BD49AD7" w14:textId="77777777" w:rsidR="0088351C" w:rsidRPr="00F03A26" w:rsidRDefault="0051046F" w:rsidP="0022085E">
      <w:pPr>
        <w:pStyle w:val="Balk1"/>
        <w:jc w:val="left"/>
        <w:sectPr w:rsidR="0088351C" w:rsidRPr="00F03A26" w:rsidSect="007F3733">
          <w:type w:val="continuous"/>
          <w:pgSz w:w="11906" w:h="16838"/>
          <w:pgMar w:top="1417" w:right="1417" w:bottom="1417" w:left="1417" w:header="708" w:footer="708" w:gutter="0"/>
          <w:cols w:num="2" w:space="708"/>
          <w:docGrid w:linePitch="360"/>
        </w:sectPr>
      </w:pPr>
      <w:r w:rsidRPr="00F03A26">
        <w:t xml:space="preserve"> </w:t>
      </w:r>
    </w:p>
    <w:p w14:paraId="06450AC4" w14:textId="77777777" w:rsidR="0088351C" w:rsidRPr="00F03A26" w:rsidRDefault="0088351C" w:rsidP="00860408">
      <w:pPr>
        <w:pStyle w:val="Balk1"/>
      </w:pPr>
      <w:bookmarkStart w:id="224" w:name="_Toc173231287"/>
      <w:r w:rsidRPr="00F03A26">
        <w:lastRenderedPageBreak/>
        <w:t>Abbreviations</w:t>
      </w:r>
      <w:bookmarkEnd w:id="224"/>
      <w:r w:rsidRPr="00F03A26">
        <w:t xml:space="preserve"> </w:t>
      </w:r>
    </w:p>
    <w:p w14:paraId="1483F3EF" w14:textId="77777777" w:rsidR="0088351C" w:rsidRPr="00F03A26" w:rsidRDefault="0088351C" w:rsidP="00F03A26">
      <w:pPr>
        <w:spacing w:line="360" w:lineRule="auto"/>
        <w:jc w:val="both"/>
        <w:rPr>
          <w:rFonts w:asciiTheme="majorBidi" w:hAnsiTheme="majorBidi" w:cstheme="majorBidi"/>
          <w:lang w:val="en-GB"/>
        </w:rPr>
      </w:pPr>
    </w:p>
    <w:p w14:paraId="2531E1C8" w14:textId="233FE6F4"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 xml:space="preserve">AJNES </w:t>
      </w:r>
      <w:r w:rsidRPr="00F03A26">
        <w:rPr>
          <w:rFonts w:asciiTheme="majorBidi" w:hAnsiTheme="majorBidi" w:cstheme="majorBidi"/>
          <w:lang w:val="en-GB"/>
        </w:rPr>
        <w:tab/>
        <w:t>= ARAMAZD/Armenian</w:t>
      </w:r>
      <w:r w:rsidR="00647545">
        <w:rPr>
          <w:rFonts w:asciiTheme="majorBidi" w:hAnsiTheme="majorBidi" w:cstheme="majorBidi"/>
          <w:lang w:val="en-GB"/>
        </w:rPr>
        <w:fldChar w:fldCharType="begin"/>
      </w:r>
      <w:r w:rsidR="00647545">
        <w:instrText xml:space="preserve"> XE "</w:instrText>
      </w:r>
      <w:r w:rsidR="00647545" w:rsidRPr="003B7F51">
        <w:rPr>
          <w:rFonts w:asciiTheme="majorBidi" w:hAnsiTheme="majorBidi" w:cstheme="majorBidi"/>
        </w:rPr>
        <w:instrText>Armenian</w:instrText>
      </w:r>
      <w:r w:rsidR="00647545">
        <w:instrText xml:space="preserve">" </w:instrText>
      </w:r>
      <w:r w:rsidR="00647545">
        <w:rPr>
          <w:rFonts w:asciiTheme="majorBidi" w:hAnsiTheme="majorBidi" w:cstheme="majorBidi"/>
          <w:lang w:val="en-GB"/>
        </w:rPr>
        <w:fldChar w:fldCharType="end"/>
      </w:r>
      <w:r w:rsidRPr="00F03A26">
        <w:rPr>
          <w:rFonts w:asciiTheme="majorBidi" w:hAnsiTheme="majorBidi" w:cstheme="majorBidi"/>
          <w:lang w:val="en-GB"/>
        </w:rPr>
        <w:t xml:space="preserve"> Journal of Near Eastern Studies.</w:t>
      </w:r>
    </w:p>
    <w:p w14:paraId="05AF73DA" w14:textId="00EDB860"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CAD</w:t>
      </w:r>
      <w:r w:rsidRPr="00F03A26">
        <w:rPr>
          <w:rFonts w:asciiTheme="majorBidi" w:hAnsiTheme="majorBidi" w:cstheme="majorBidi"/>
          <w:lang w:val="en-GB"/>
        </w:rPr>
        <w:tab/>
      </w:r>
      <w:r w:rsidRPr="00F03A26">
        <w:rPr>
          <w:rFonts w:asciiTheme="majorBidi" w:hAnsiTheme="majorBidi" w:cstheme="majorBidi"/>
          <w:lang w:val="en-GB"/>
        </w:rPr>
        <w:tab/>
        <w:t>= The Assyrian</w:t>
      </w:r>
      <w:r w:rsidR="001F2587">
        <w:rPr>
          <w:rFonts w:asciiTheme="majorBidi"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Dictionary of the Oriental Institute of the University of Chicago</w:t>
      </w:r>
    </w:p>
    <w:p w14:paraId="36FC1C88" w14:textId="77777777"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CDOG</w:t>
      </w:r>
      <w:r w:rsidRPr="00F03A26">
        <w:rPr>
          <w:rFonts w:asciiTheme="majorBidi" w:hAnsiTheme="majorBidi" w:cstheme="majorBidi"/>
          <w:lang w:val="en-GB"/>
        </w:rPr>
        <w:tab/>
      </w:r>
      <w:r w:rsidRPr="00F03A26">
        <w:rPr>
          <w:rFonts w:asciiTheme="majorBidi" w:hAnsiTheme="majorBidi" w:cstheme="majorBidi"/>
          <w:lang w:val="en-GB"/>
        </w:rPr>
        <w:tab/>
        <w:t>= Colloquien der Deutschen Orient-Gesellschaft</w:t>
      </w:r>
    </w:p>
    <w:p w14:paraId="00DF58F0" w14:textId="77777777"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 xml:space="preserve">CICh </w:t>
      </w:r>
      <w:r w:rsidRPr="00F03A26">
        <w:rPr>
          <w:rFonts w:asciiTheme="majorBidi" w:hAnsiTheme="majorBidi" w:cstheme="majorBidi"/>
          <w:lang w:val="en-GB"/>
        </w:rPr>
        <w:tab/>
      </w:r>
      <w:r w:rsidRPr="00F03A26">
        <w:rPr>
          <w:rFonts w:asciiTheme="majorBidi" w:hAnsiTheme="majorBidi" w:cstheme="majorBidi"/>
          <w:lang w:val="en-GB"/>
        </w:rPr>
        <w:tab/>
        <w:t>= Corpus Inscriptionum Chaldicarum</w:t>
      </w:r>
    </w:p>
    <w:p w14:paraId="1363A643" w14:textId="77777777" w:rsidR="0088351C" w:rsidRPr="00F03A26" w:rsidRDefault="0088351C" w:rsidP="00F03A26">
      <w:pPr>
        <w:spacing w:line="360" w:lineRule="auto"/>
        <w:ind w:left="1418" w:hanging="1418"/>
        <w:jc w:val="both"/>
        <w:rPr>
          <w:rFonts w:asciiTheme="majorBidi" w:hAnsiTheme="majorBidi" w:cstheme="majorBidi"/>
          <w:lang w:val="en-GB"/>
        </w:rPr>
      </w:pPr>
      <w:r w:rsidRPr="00F03A26">
        <w:rPr>
          <w:rFonts w:asciiTheme="majorBidi" w:hAnsiTheme="majorBidi" w:cstheme="majorBidi"/>
          <w:lang w:val="en-GB"/>
        </w:rPr>
        <w:t xml:space="preserve">CTU </w:t>
      </w:r>
      <w:r w:rsidRPr="00F03A26">
        <w:rPr>
          <w:rFonts w:asciiTheme="majorBidi" w:hAnsiTheme="majorBidi" w:cstheme="majorBidi"/>
          <w:lang w:val="en-GB"/>
        </w:rPr>
        <w:tab/>
        <w:t>= Corpus dei Testi Urartei, vols I-III Roma 2008, vol. IV Roma 2012, vol. V Paris 2018.</w:t>
      </w:r>
    </w:p>
    <w:p w14:paraId="70EE1F38" w14:textId="4C3AF1F6"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HchI</w:t>
      </w:r>
      <w:r w:rsidRPr="00F03A26">
        <w:rPr>
          <w:rFonts w:asciiTheme="majorBidi" w:hAnsiTheme="majorBidi" w:cstheme="majorBidi"/>
          <w:lang w:val="en-GB"/>
        </w:rPr>
        <w:tab/>
      </w:r>
      <w:r w:rsidRPr="00F03A26">
        <w:rPr>
          <w:rFonts w:asciiTheme="majorBidi" w:hAnsiTheme="majorBidi" w:cstheme="majorBidi"/>
          <w:lang w:val="en-GB"/>
        </w:rPr>
        <w:tab/>
        <w:t>= Handbuch der Chaldischen Insc</w:t>
      </w:r>
      <w:r w:rsidR="00B83FC2">
        <w:rPr>
          <w:rFonts w:asciiTheme="majorBidi" w:hAnsiTheme="majorBidi" w:cstheme="majorBidi"/>
          <w:lang w:val="en-GB"/>
        </w:rPr>
        <w:t>h</w:t>
      </w:r>
      <w:r w:rsidRPr="00F03A26">
        <w:rPr>
          <w:rFonts w:asciiTheme="majorBidi" w:hAnsiTheme="majorBidi" w:cstheme="majorBidi"/>
          <w:lang w:val="en-GB"/>
        </w:rPr>
        <w:t>riften</w:t>
      </w:r>
    </w:p>
    <w:p w14:paraId="7A30AC9A" w14:textId="77777777" w:rsidR="0088351C" w:rsidRPr="00F03A26" w:rsidRDefault="0088351C" w:rsidP="00F03A26">
      <w:pPr>
        <w:spacing w:line="360" w:lineRule="auto"/>
        <w:ind w:left="1418" w:hanging="1418"/>
        <w:jc w:val="both"/>
        <w:rPr>
          <w:rFonts w:asciiTheme="majorBidi" w:hAnsiTheme="majorBidi" w:cstheme="majorBidi"/>
          <w:lang w:val="en-GB"/>
        </w:rPr>
      </w:pPr>
      <w:r w:rsidRPr="00F03A26">
        <w:rPr>
          <w:rFonts w:asciiTheme="majorBidi" w:hAnsiTheme="majorBidi" w:cstheme="majorBidi"/>
          <w:lang w:val="en-GB"/>
        </w:rPr>
        <w:t>KUKN</w:t>
      </w:r>
      <w:r w:rsidRPr="00F03A26">
        <w:rPr>
          <w:rFonts w:asciiTheme="majorBidi" w:hAnsiTheme="majorBidi" w:cstheme="majorBidi"/>
          <w:lang w:val="en-GB"/>
        </w:rPr>
        <w:tab/>
        <w:t>=Harouthiounyan, Nicolay 2001. Korpus urartskich klinoobraznych nadpisej. Izdatel’stvo ‘Gitutjun’ Erevan, Nacional’noj Akademija Nauk Respubliki Armenija.</w:t>
      </w:r>
    </w:p>
    <w:p w14:paraId="385A7EC4" w14:textId="77777777"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 xml:space="preserve">OrNS </w:t>
      </w:r>
      <w:r w:rsidRPr="00F03A26">
        <w:rPr>
          <w:rFonts w:asciiTheme="majorBidi" w:hAnsiTheme="majorBidi" w:cstheme="majorBidi"/>
          <w:lang w:val="en-GB"/>
        </w:rPr>
        <w:tab/>
      </w:r>
      <w:r w:rsidRPr="00F03A26">
        <w:rPr>
          <w:rFonts w:asciiTheme="majorBidi" w:hAnsiTheme="majorBidi" w:cstheme="majorBidi"/>
          <w:lang w:val="en-GB"/>
        </w:rPr>
        <w:tab/>
        <w:t xml:space="preserve">= Orientalia, Nova Series </w:t>
      </w:r>
    </w:p>
    <w:p w14:paraId="02BDF18F" w14:textId="77777777"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 xml:space="preserve">RlA </w:t>
      </w:r>
      <w:r w:rsidRPr="00F03A26">
        <w:rPr>
          <w:rFonts w:asciiTheme="majorBidi" w:hAnsiTheme="majorBidi" w:cstheme="majorBidi"/>
          <w:lang w:val="en-GB"/>
        </w:rPr>
        <w:tab/>
      </w:r>
      <w:r w:rsidRPr="00F03A26">
        <w:rPr>
          <w:rFonts w:asciiTheme="majorBidi" w:hAnsiTheme="majorBidi" w:cstheme="majorBidi"/>
          <w:lang w:val="en-GB"/>
        </w:rPr>
        <w:tab/>
        <w:t>= Reallexikon der Assyriologie und der Vorderasiatischen Archäologie.</w:t>
      </w:r>
    </w:p>
    <w:p w14:paraId="4BE8B1F2" w14:textId="0BA3A2C6"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 xml:space="preserve">RIMA II </w:t>
      </w:r>
      <w:r w:rsidRPr="00F03A26">
        <w:rPr>
          <w:rFonts w:asciiTheme="majorBidi" w:hAnsiTheme="majorBidi" w:cstheme="majorBidi"/>
          <w:lang w:val="en-GB"/>
        </w:rPr>
        <w:tab/>
        <w:t>= Royal Inscriptions of Mesopotamia Assyrian</w:t>
      </w:r>
      <w:r w:rsidR="001F2587">
        <w:rPr>
          <w:rFonts w:asciiTheme="majorBidi"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Period, A.K. Grayson 1991.</w:t>
      </w:r>
    </w:p>
    <w:p w14:paraId="38FF7732" w14:textId="1AA893A6"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 xml:space="preserve">RIMA III </w:t>
      </w:r>
      <w:r w:rsidRPr="00F03A26">
        <w:rPr>
          <w:rFonts w:asciiTheme="majorBidi" w:hAnsiTheme="majorBidi" w:cstheme="majorBidi"/>
          <w:lang w:val="en-GB"/>
        </w:rPr>
        <w:tab/>
        <w:t>= Royal Inscriptions of Mesopotamia Assyrian</w:t>
      </w:r>
      <w:r w:rsidR="001F2587">
        <w:rPr>
          <w:rFonts w:asciiTheme="majorBidi"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Period, A.K. Grayson 1996.</w:t>
      </w:r>
    </w:p>
    <w:p w14:paraId="3B8C8152" w14:textId="77777777" w:rsidR="0088351C" w:rsidRPr="00F03A26" w:rsidRDefault="0088351C" w:rsidP="00F03A26">
      <w:pPr>
        <w:spacing w:line="360" w:lineRule="auto"/>
        <w:ind w:left="1418" w:hanging="1418"/>
        <w:jc w:val="both"/>
        <w:rPr>
          <w:rFonts w:asciiTheme="majorBidi" w:hAnsiTheme="majorBidi" w:cstheme="majorBidi"/>
          <w:lang w:val="en-GB"/>
        </w:rPr>
      </w:pPr>
      <w:r w:rsidRPr="00F03A26">
        <w:rPr>
          <w:rFonts w:asciiTheme="majorBidi" w:hAnsiTheme="majorBidi" w:cstheme="majorBidi"/>
          <w:lang w:val="en-GB"/>
        </w:rPr>
        <w:t xml:space="preserve">RINAP II </w:t>
      </w:r>
      <w:r w:rsidRPr="00F03A26">
        <w:rPr>
          <w:rFonts w:asciiTheme="majorBidi" w:hAnsiTheme="majorBidi" w:cstheme="majorBidi"/>
          <w:lang w:val="en-GB"/>
        </w:rPr>
        <w:tab/>
        <w:t>= The royal inscriptions of Sargon II, King of Assyria (721–705 BC).  G. Frame, 2021.</w:t>
      </w:r>
    </w:p>
    <w:p w14:paraId="1849FD8F" w14:textId="77777777"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 xml:space="preserve">SMEA </w:t>
      </w:r>
      <w:r w:rsidRPr="00F03A26">
        <w:rPr>
          <w:rFonts w:asciiTheme="majorBidi" w:hAnsiTheme="majorBidi" w:cstheme="majorBidi"/>
          <w:lang w:val="en-GB"/>
        </w:rPr>
        <w:tab/>
        <w:t xml:space="preserve">= Studi Micenei ed Egeo-Anatolici. </w:t>
      </w:r>
    </w:p>
    <w:p w14:paraId="69911776" w14:textId="77777777"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 xml:space="preserve">SAA </w:t>
      </w:r>
      <w:r w:rsidRPr="00F03A26">
        <w:rPr>
          <w:rFonts w:asciiTheme="majorBidi" w:hAnsiTheme="majorBidi" w:cstheme="majorBidi"/>
          <w:lang w:val="en-GB"/>
        </w:rPr>
        <w:tab/>
      </w:r>
      <w:r w:rsidRPr="00F03A26">
        <w:rPr>
          <w:rFonts w:asciiTheme="majorBidi" w:hAnsiTheme="majorBidi" w:cstheme="majorBidi"/>
          <w:lang w:val="en-GB"/>
        </w:rPr>
        <w:tab/>
        <w:t>= State Archives of Assyria</w:t>
      </w:r>
    </w:p>
    <w:p w14:paraId="7E3DF2C3" w14:textId="77777777"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UKN</w:t>
      </w:r>
      <w:r w:rsidRPr="00F03A26">
        <w:rPr>
          <w:rFonts w:asciiTheme="majorBidi" w:hAnsiTheme="majorBidi" w:cstheme="majorBidi"/>
          <w:lang w:val="en-GB"/>
        </w:rPr>
        <w:tab/>
      </w:r>
      <w:r w:rsidRPr="00F03A26">
        <w:rPr>
          <w:rFonts w:asciiTheme="majorBidi" w:hAnsiTheme="majorBidi" w:cstheme="majorBidi"/>
          <w:lang w:val="en-GB"/>
        </w:rPr>
        <w:tab/>
        <w:t>= Urartskie Klinoobraznye Nadpisi.</w:t>
      </w:r>
    </w:p>
    <w:p w14:paraId="29972E6F" w14:textId="77777777" w:rsidR="0088351C" w:rsidRPr="00F03A26" w:rsidRDefault="0088351C" w:rsidP="00F03A26">
      <w:pPr>
        <w:spacing w:line="360" w:lineRule="auto"/>
        <w:jc w:val="both"/>
        <w:rPr>
          <w:rFonts w:asciiTheme="majorBidi" w:hAnsiTheme="majorBidi" w:cstheme="majorBidi"/>
          <w:lang w:val="en-GB"/>
        </w:rPr>
      </w:pPr>
      <w:r w:rsidRPr="00F03A26">
        <w:rPr>
          <w:rFonts w:asciiTheme="majorBidi" w:hAnsiTheme="majorBidi" w:cstheme="majorBidi"/>
          <w:lang w:val="en-GB"/>
        </w:rPr>
        <w:t xml:space="preserve">UPMG </w:t>
      </w:r>
      <w:r w:rsidRPr="00F03A26">
        <w:rPr>
          <w:rFonts w:asciiTheme="majorBidi" w:hAnsiTheme="majorBidi" w:cstheme="majorBidi"/>
          <w:lang w:val="en-GB"/>
        </w:rPr>
        <w:tab/>
        <w:t>= Urartskie Pamjatniki Muzeja Gruzii, V. G. Tseretheli 1939.</w:t>
      </w:r>
    </w:p>
    <w:p w14:paraId="03288B88" w14:textId="77777777" w:rsidR="0088351C" w:rsidRPr="00F03A26" w:rsidRDefault="0088351C" w:rsidP="00F03A26">
      <w:pPr>
        <w:jc w:val="both"/>
        <w:rPr>
          <w:rFonts w:asciiTheme="majorBidi" w:hAnsiTheme="majorBidi" w:cstheme="majorBidi"/>
          <w:b/>
          <w:bCs/>
          <w:lang w:val="en-GB"/>
        </w:rPr>
      </w:pPr>
    </w:p>
    <w:p w14:paraId="457D87F8"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b/>
          <w:szCs w:val="24"/>
          <w:lang w:val="en-GB"/>
        </w:rPr>
        <w:t>Web Sources:</w:t>
      </w:r>
      <w:r w:rsidRPr="00F03A26">
        <w:rPr>
          <w:rFonts w:asciiTheme="majorBidi" w:hAnsiTheme="majorBidi" w:cstheme="majorBidi"/>
          <w:szCs w:val="24"/>
          <w:lang w:val="en-GB"/>
        </w:rPr>
        <w:t xml:space="preserve"> </w:t>
      </w:r>
    </w:p>
    <w:p w14:paraId="7BD60B56"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Electronic Corpus of Urartian</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Texts</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"Electronic Corpus of Urartian Texts"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(eCUT</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"eCUT"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Project http://oracc.org/ecut/Q006874 (27.02.2024). Editor: Birgit Christiansen.</w:t>
      </w:r>
    </w:p>
    <w:p w14:paraId="5D7DD5B5" w14:textId="77777777" w:rsidR="0088351C" w:rsidRPr="00F03A26" w:rsidRDefault="0088351C" w:rsidP="00F03A26">
      <w:pPr>
        <w:jc w:val="both"/>
        <w:rPr>
          <w:rFonts w:asciiTheme="majorBidi" w:hAnsiTheme="majorBidi" w:cstheme="majorBidi"/>
          <w:lang w:val="en-GB"/>
        </w:rPr>
      </w:pPr>
    </w:p>
    <w:p w14:paraId="3F7C5726" w14:textId="77777777" w:rsidR="0088351C" w:rsidRPr="00F03A26" w:rsidRDefault="0088351C" w:rsidP="00F03A26">
      <w:pPr>
        <w:jc w:val="both"/>
        <w:rPr>
          <w:rFonts w:asciiTheme="majorBidi" w:hAnsiTheme="majorBidi" w:cstheme="majorBidi"/>
          <w:b/>
          <w:bCs/>
          <w:lang w:val="en-GB"/>
        </w:rPr>
      </w:pPr>
      <w:r w:rsidRPr="00F03A26">
        <w:rPr>
          <w:rFonts w:asciiTheme="majorBidi" w:hAnsiTheme="majorBidi" w:cstheme="majorBidi"/>
          <w:b/>
          <w:bCs/>
          <w:lang w:val="en-GB"/>
        </w:rPr>
        <w:t>Historical Archives Sources:</w:t>
      </w:r>
    </w:p>
    <w:p w14:paraId="202810D8" w14:textId="77777777" w:rsidR="0088351C" w:rsidRPr="00F03A26" w:rsidRDefault="0088351C" w:rsidP="00F03A26">
      <w:pPr>
        <w:jc w:val="both"/>
        <w:rPr>
          <w:rFonts w:asciiTheme="majorBidi" w:hAnsiTheme="majorBidi" w:cstheme="majorBidi"/>
          <w:b/>
          <w:bCs/>
          <w:lang w:val="en-GB"/>
        </w:rPr>
      </w:pPr>
    </w:p>
    <w:p w14:paraId="3C1ADF3F" w14:textId="77777777" w:rsidR="0088351C" w:rsidRPr="00F03A26" w:rsidRDefault="0088351C" w:rsidP="00F03A26">
      <w:pPr>
        <w:jc w:val="both"/>
        <w:rPr>
          <w:rFonts w:asciiTheme="majorBidi" w:eastAsia="Calibri" w:hAnsiTheme="majorBidi" w:cstheme="majorBidi"/>
          <w:lang w:val="en-GB"/>
        </w:rPr>
      </w:pPr>
      <w:r w:rsidRPr="00F03A26">
        <w:rPr>
          <w:rFonts w:asciiTheme="majorBidi" w:eastAsia="Calibri" w:hAnsiTheme="majorBidi" w:cstheme="majorBidi"/>
          <w:lang w:val="en-GB"/>
        </w:rPr>
        <w:t>Başbakanlık Osmanlı Arşivi Başkanlığı (BOA), Divan-ı Hümâyûn -Muhaberat-ı Umumiye İdaresi (DH. MUİ), nr. 89/42.</w:t>
      </w:r>
    </w:p>
    <w:p w14:paraId="7BD3B9DA" w14:textId="77777777" w:rsidR="0088351C" w:rsidRPr="00F03A26" w:rsidRDefault="0088351C" w:rsidP="00F03A26">
      <w:pPr>
        <w:jc w:val="both"/>
        <w:rPr>
          <w:rFonts w:asciiTheme="majorBidi" w:hAnsiTheme="majorBidi" w:cstheme="majorBidi"/>
          <w:b/>
          <w:bCs/>
          <w:lang w:val="en-GB"/>
        </w:rPr>
      </w:pPr>
    </w:p>
    <w:p w14:paraId="048DDB4E" w14:textId="77777777" w:rsidR="0088351C" w:rsidRPr="00F52B7A" w:rsidRDefault="0088351C" w:rsidP="00F52B7A">
      <w:pPr>
        <w:pStyle w:val="Balk1"/>
        <w:rPr>
          <w:rFonts w:asciiTheme="majorBidi" w:hAnsiTheme="majorBidi"/>
          <w:b w:val="0"/>
          <w:bCs w:val="0"/>
        </w:rPr>
      </w:pPr>
      <w:bookmarkStart w:id="225" w:name="_Toc173231288"/>
      <w:r w:rsidRPr="00F52B7A">
        <w:rPr>
          <w:rFonts w:asciiTheme="majorBidi" w:hAnsiTheme="majorBidi"/>
        </w:rPr>
        <w:lastRenderedPageBreak/>
        <w:t>References</w:t>
      </w:r>
      <w:bookmarkEnd w:id="225"/>
    </w:p>
    <w:p w14:paraId="51230398" w14:textId="77777777" w:rsidR="0088351C" w:rsidRPr="00F03A26" w:rsidRDefault="0088351C" w:rsidP="00F03A26">
      <w:pPr>
        <w:jc w:val="both"/>
        <w:rPr>
          <w:rFonts w:asciiTheme="majorBidi" w:hAnsiTheme="majorBidi" w:cstheme="majorBidi"/>
          <w:b/>
          <w:bCs/>
          <w:lang w:val="en-GB"/>
        </w:rPr>
      </w:pPr>
    </w:p>
    <w:p w14:paraId="474DCA44" w14:textId="77777777" w:rsidR="0088351C" w:rsidRPr="00F03A26" w:rsidRDefault="0088351C" w:rsidP="00F03A26">
      <w:pPr>
        <w:jc w:val="both"/>
        <w:rPr>
          <w:rFonts w:asciiTheme="majorBidi" w:hAnsiTheme="majorBidi" w:cstheme="majorBidi"/>
          <w:lang w:val="en-GB"/>
        </w:rPr>
      </w:pPr>
    </w:p>
    <w:p w14:paraId="0E5569B3"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lastRenderedPageBreak/>
        <w:t xml:space="preserve">Abay, E. (2001). Seals and Sealings. In A. Çilingiroğlu </w:t>
      </w:r>
      <w:r w:rsidRPr="00F03A26">
        <w:rPr>
          <w:rFonts w:asciiTheme="majorBidi" w:eastAsia="Times New Roman" w:hAnsiTheme="majorBidi" w:cstheme="majorBidi"/>
          <w:lang w:val="en-GB" w:eastAsia="tr-TR" w:bidi="he-IL"/>
        </w:rPr>
        <w:t xml:space="preserve">&amp; </w:t>
      </w:r>
      <w:r w:rsidRPr="00F03A26">
        <w:rPr>
          <w:rFonts w:asciiTheme="majorBidi" w:hAnsiTheme="majorBidi" w:cstheme="majorBidi"/>
          <w:lang w:val="en-GB"/>
        </w:rPr>
        <w:t xml:space="preserve">M. Salvini, (Eds), </w:t>
      </w:r>
      <w:r w:rsidRPr="00F03A26">
        <w:rPr>
          <w:rFonts w:asciiTheme="majorBidi" w:hAnsiTheme="majorBidi" w:cstheme="majorBidi"/>
          <w:i/>
          <w:iCs/>
          <w:lang w:val="en-GB"/>
        </w:rPr>
        <w:t>Ayanis</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"Ayanis"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I: Ten Years’ Excavations at Rusahinili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hd w:val="clear" w:color="auto" w:fill="FFFFFF"/>
          <w:lang w:val="en-GB"/>
        </w:rPr>
        <w:instrText>Rusahinili</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Eiduru-kai 1989–1998</w:t>
      </w:r>
      <w:r w:rsidRPr="00F03A26">
        <w:rPr>
          <w:rFonts w:asciiTheme="majorBidi" w:hAnsiTheme="majorBidi" w:cstheme="majorBidi"/>
          <w:lang w:val="en-GB"/>
        </w:rPr>
        <w:t xml:space="preserve"> (pp. 321-353.). Documenta Asiana 6, Rome: CNR.</w:t>
      </w:r>
    </w:p>
    <w:p w14:paraId="7DC4A714"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 </w:t>
      </w:r>
    </w:p>
    <w:p w14:paraId="7C4AAD29"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Ansari</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Ansari</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M. M. H. T. (1396/2017). </w:t>
      </w:r>
      <w:r w:rsidRPr="00F03A26">
        <w:rPr>
          <w:rFonts w:asciiTheme="majorBidi" w:hAnsiTheme="majorBidi" w:cstheme="majorBidi"/>
          <w:i/>
          <w:iCs/>
          <w:color w:val="000000" w:themeColor="text1"/>
          <w:lang w:val="en-GB"/>
        </w:rPr>
        <w:t>Zobdat al-Vaqayi</w:t>
      </w:r>
      <w:r w:rsidRPr="00F03A26">
        <w:rPr>
          <w:rFonts w:asciiTheme="majorBidi" w:hAnsiTheme="majorBidi" w:cstheme="majorBidi"/>
          <w:i/>
          <w:iCs/>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Zobdat al-Vaqayi</w:instrText>
      </w:r>
      <w:r w:rsidRPr="00F03A26">
        <w:rPr>
          <w:rFonts w:asciiTheme="majorBidi" w:hAnsiTheme="majorBidi" w:cstheme="majorBidi"/>
          <w:lang w:val="en-GB"/>
        </w:rPr>
        <w:instrText xml:space="preserve">" </w:instrText>
      </w:r>
      <w:r w:rsidRPr="00F03A26">
        <w:rPr>
          <w:rFonts w:asciiTheme="majorBidi" w:hAnsiTheme="majorBidi" w:cstheme="majorBidi"/>
          <w:i/>
          <w:iCs/>
          <w:color w:val="000000" w:themeColor="text1"/>
          <w:lang w:val="en-GB"/>
        </w:rPr>
        <w:fldChar w:fldCharType="end"/>
      </w:r>
      <w:r w:rsidRPr="00F03A26">
        <w:rPr>
          <w:rFonts w:asciiTheme="majorBidi" w:hAnsiTheme="majorBidi" w:cstheme="majorBidi"/>
          <w:i/>
          <w:iCs/>
          <w:color w:val="000000" w:themeColor="text1"/>
          <w:lang w:val="en-GB"/>
        </w:rPr>
        <w:t>, Tarikh wa Jughrafyaye Van</w:t>
      </w:r>
      <w:r w:rsidRPr="00F03A26">
        <w:rPr>
          <w:rFonts w:asciiTheme="majorBidi" w:hAnsiTheme="majorBidi" w:cstheme="majorBidi"/>
          <w:i/>
          <w:iCs/>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Tarikh wa Jughrafyaye Van</w:instrText>
      </w:r>
      <w:r w:rsidRPr="00F03A26">
        <w:rPr>
          <w:rFonts w:asciiTheme="majorBidi" w:hAnsiTheme="majorBidi" w:cstheme="majorBidi"/>
          <w:lang w:val="en-GB"/>
        </w:rPr>
        <w:instrText xml:space="preserve">" </w:instrText>
      </w:r>
      <w:r w:rsidRPr="00F03A26">
        <w:rPr>
          <w:rFonts w:asciiTheme="majorBidi" w:hAnsiTheme="majorBidi" w:cstheme="majorBidi"/>
          <w:i/>
          <w:iCs/>
          <w:color w:val="000000" w:themeColor="text1"/>
          <w:lang w:val="en-GB"/>
        </w:rPr>
        <w:fldChar w:fldCharType="end"/>
      </w:r>
      <w:r w:rsidRPr="00F03A26">
        <w:rPr>
          <w:rFonts w:asciiTheme="majorBidi" w:hAnsiTheme="majorBidi" w:cstheme="majorBidi"/>
          <w:color w:val="000000" w:themeColor="text1"/>
          <w:lang w:val="en-GB"/>
        </w:rPr>
        <w:t xml:space="preserve"> (H. Hazrati &amp; S. Yusufzada, Trans.). Tehran Negarestane Andishe.</w:t>
      </w:r>
    </w:p>
    <w:p w14:paraId="57E20AAF" w14:textId="77777777" w:rsidR="0088351C" w:rsidRPr="00F03A26" w:rsidRDefault="0088351C" w:rsidP="00F03A26">
      <w:pPr>
        <w:jc w:val="both"/>
        <w:rPr>
          <w:rFonts w:asciiTheme="majorBidi" w:hAnsiTheme="majorBidi" w:cstheme="majorBidi"/>
          <w:color w:val="000000" w:themeColor="text1"/>
          <w:lang w:val="en-GB"/>
        </w:rPr>
      </w:pPr>
    </w:p>
    <w:p w14:paraId="15C0C11B" w14:textId="1A3F4CF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Arutyunyan, N. V. (2001). Korpus urartskich klinoobraznych nadpisej [Corpus of Urartian</w:t>
      </w:r>
      <w:r w:rsidR="00EA6C63">
        <w:rPr>
          <w:rFonts w:asciiTheme="majorBidi" w:hAnsiTheme="majorBidi" w:cstheme="majorBidi"/>
          <w:color w:val="000000" w:themeColor="text1"/>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cuneiform inscriptions]. Erevan: Izdatel’stvo ‘Gitutjun’ Nacional’noj Akademija Nauk Respubliki Armenija.</w:t>
      </w:r>
    </w:p>
    <w:p w14:paraId="1EBCE102" w14:textId="77777777" w:rsidR="0088351C" w:rsidRPr="00F03A26" w:rsidRDefault="0088351C" w:rsidP="00F03A26">
      <w:pPr>
        <w:jc w:val="both"/>
        <w:rPr>
          <w:rFonts w:asciiTheme="majorBidi" w:hAnsiTheme="majorBidi" w:cstheme="majorBidi"/>
          <w:color w:val="000000" w:themeColor="text1"/>
          <w:lang w:val="en-GB"/>
        </w:rPr>
      </w:pPr>
    </w:p>
    <w:p w14:paraId="4F10C60B"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Avcı, C. (2013). Sardurihinili Kenti ve Yeni Değerlendirmeler. In O. Tekin, M. H. Sayar, and E. Konyar (Eds.), </w:t>
      </w:r>
      <w:r w:rsidRPr="00F03A26">
        <w:rPr>
          <w:rFonts w:asciiTheme="majorBidi" w:eastAsia="Times New Roman" w:hAnsiTheme="majorBidi" w:cstheme="majorBidi"/>
          <w:i/>
          <w:lang w:val="en-GB"/>
        </w:rPr>
        <w:t>Tarhan Armağanı, M. Taner Tarhan’a Sunulan Makaleler Essays in Honour of M. Taner Tarhan</w:t>
      </w:r>
      <w:r w:rsidRPr="00F03A26">
        <w:rPr>
          <w:rFonts w:asciiTheme="majorBidi" w:eastAsia="Times New Roman" w:hAnsiTheme="majorBidi" w:cstheme="majorBidi"/>
          <w:lang w:val="en-GB"/>
        </w:rPr>
        <w:t xml:space="preserve"> (pp. 37-51). İstanbul: Ege Yayınları.</w:t>
      </w:r>
    </w:p>
    <w:p w14:paraId="518A764D" w14:textId="77777777" w:rsidR="0088351C" w:rsidRPr="00F03A26" w:rsidRDefault="0088351C" w:rsidP="00F03A26">
      <w:pPr>
        <w:jc w:val="both"/>
        <w:rPr>
          <w:rFonts w:asciiTheme="majorBidi" w:hAnsiTheme="majorBidi" w:cstheme="majorBidi"/>
          <w:color w:val="000000" w:themeColor="text1"/>
          <w:lang w:val="en-GB"/>
        </w:rPr>
      </w:pPr>
    </w:p>
    <w:p w14:paraId="47E94DCD"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Avcı, C. (2015). </w:t>
      </w:r>
      <w:r w:rsidRPr="00F03A26">
        <w:rPr>
          <w:rFonts w:asciiTheme="majorBidi" w:hAnsiTheme="majorBidi" w:cstheme="majorBidi"/>
          <w:i/>
          <w:lang w:val="en-GB"/>
        </w:rPr>
        <w:t>Van Gölü Havzası'nda Urartu</w:t>
      </w:r>
      <w:r w:rsidRPr="00F03A26">
        <w:rPr>
          <w:rFonts w:asciiTheme="majorBidi" w:hAnsiTheme="majorBidi" w:cstheme="majorBidi"/>
          <w: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lang w:val="en-GB"/>
        </w:rPr>
        <w:fldChar w:fldCharType="end"/>
      </w:r>
      <w:r w:rsidRPr="00F03A26">
        <w:rPr>
          <w:rFonts w:asciiTheme="majorBidi" w:hAnsiTheme="majorBidi" w:cstheme="majorBidi"/>
          <w:i/>
          <w:lang w:val="en-GB"/>
        </w:rPr>
        <w:t xml:space="preserve"> İskan Politikası.</w:t>
      </w:r>
      <w:r w:rsidRPr="00F03A26">
        <w:rPr>
          <w:rFonts w:asciiTheme="majorBidi" w:hAnsiTheme="majorBidi" w:cstheme="majorBidi"/>
          <w:lang w:val="en-GB"/>
        </w:rPr>
        <w:t xml:space="preserve"> (Doktora). İstanbul Üniversitesi, Sosyal Bilimler Enstitüsü, İstanbul.</w:t>
      </w:r>
    </w:p>
    <w:p w14:paraId="5C5A858A" w14:textId="77777777" w:rsidR="0088351C" w:rsidRPr="00F03A26" w:rsidRDefault="0088351C" w:rsidP="00F03A26">
      <w:pPr>
        <w:spacing w:before="120" w:after="120"/>
        <w:jc w:val="both"/>
        <w:rPr>
          <w:rFonts w:asciiTheme="majorBidi" w:hAnsiTheme="majorBidi" w:cstheme="majorBidi"/>
          <w:i/>
          <w:iCs/>
          <w:lang w:val="en-GB"/>
        </w:rPr>
      </w:pPr>
      <w:r w:rsidRPr="00F03A26">
        <w:rPr>
          <w:rFonts w:asciiTheme="majorBidi" w:hAnsiTheme="majorBidi" w:cstheme="majorBidi"/>
          <w:lang w:val="en-GB"/>
        </w:rPr>
        <w:t xml:space="preserve">Ayvazian, A. (2006). </w:t>
      </w:r>
      <w:r w:rsidRPr="00F03A26">
        <w:rPr>
          <w:rFonts w:asciiTheme="majorBidi" w:hAnsiTheme="majorBidi" w:cstheme="majorBidi"/>
          <w:i/>
          <w:iCs/>
          <w:lang w:val="en-GB"/>
        </w:rPr>
        <w:t>Urartian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Glyptic: New Perspectives </w:t>
      </w:r>
      <w:r w:rsidRPr="00F03A26">
        <w:rPr>
          <w:rFonts w:asciiTheme="majorBidi" w:eastAsia="Times New Roman" w:hAnsiTheme="majorBidi" w:cstheme="majorBidi"/>
          <w:lang w:val="en-GB" w:eastAsia="tr-TR" w:bidi="he-IL"/>
        </w:rPr>
        <w:t>(Doctoral dissertation). Available from ProQuest Dissertations and Theses database. (UMI No. 3254256).</w:t>
      </w:r>
    </w:p>
    <w:p w14:paraId="17C1F7B2" w14:textId="7987D98C"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Bachmann</w:t>
      </w:r>
      <w:r w:rsidR="00E652FB">
        <w:rPr>
          <w:rFonts w:asciiTheme="majorBidi" w:hAnsiTheme="majorBidi" w:cstheme="majorBidi"/>
          <w:lang w:val="en-GB"/>
        </w:rPr>
        <w:fldChar w:fldCharType="begin"/>
      </w:r>
      <w:r w:rsidR="00E652FB">
        <w:instrText xml:space="preserve"> XE "</w:instrText>
      </w:r>
      <w:r w:rsidR="00E652FB" w:rsidRPr="00DD5E52">
        <w:rPr>
          <w:rFonts w:asciiTheme="majorBidi" w:hAnsiTheme="majorBidi" w:cstheme="majorBidi"/>
        </w:rPr>
        <w:instrText>Bachmann</w:instrText>
      </w:r>
      <w:r w:rsidR="00E652FB">
        <w:instrText xml:space="preserve">" </w:instrText>
      </w:r>
      <w:r w:rsidR="00E652FB">
        <w:rPr>
          <w:rFonts w:asciiTheme="majorBidi" w:hAnsiTheme="majorBidi" w:cstheme="majorBidi"/>
          <w:lang w:val="en-GB"/>
        </w:rPr>
        <w:fldChar w:fldCharType="end"/>
      </w:r>
      <w:r w:rsidRPr="00F03A26">
        <w:rPr>
          <w:rFonts w:asciiTheme="majorBidi" w:hAnsiTheme="majorBidi" w:cstheme="majorBidi"/>
          <w:lang w:val="en-GB"/>
        </w:rPr>
        <w:t xml:space="preserve">, W. (1913). </w:t>
      </w:r>
      <w:r w:rsidRPr="00F03A26">
        <w:rPr>
          <w:rFonts w:asciiTheme="majorBidi" w:hAnsiTheme="majorBidi" w:cstheme="majorBidi"/>
          <w:i/>
          <w:iCs/>
          <w:lang w:val="en-GB"/>
        </w:rPr>
        <w:t>Kirchen und Moscheen in Armenien und Kurdistan</w:t>
      </w:r>
      <w:r w:rsidRPr="00F03A26">
        <w:rPr>
          <w:rFonts w:asciiTheme="majorBidi" w:hAnsiTheme="majorBidi" w:cstheme="majorBidi"/>
          <w:lang w:val="en-GB"/>
        </w:rPr>
        <w:t>. Leipzig: J.C. Hinrichs.</w:t>
      </w:r>
    </w:p>
    <w:p w14:paraId="0748251C" w14:textId="77777777" w:rsidR="0088351C" w:rsidRPr="00F03A26" w:rsidRDefault="0088351C" w:rsidP="00F03A26">
      <w:pPr>
        <w:spacing w:before="120" w:after="120"/>
        <w:jc w:val="both"/>
        <w:rPr>
          <w:rStyle w:val="fontstyle01"/>
          <w:rFonts w:asciiTheme="majorBidi" w:hAnsiTheme="majorBidi" w:cstheme="majorBidi"/>
          <w:lang w:val="en-GB"/>
        </w:rPr>
      </w:pPr>
      <w:r w:rsidRPr="00F03A26">
        <w:rPr>
          <w:rFonts w:asciiTheme="majorBidi" w:hAnsiTheme="majorBidi" w:cstheme="majorBidi"/>
          <w:lang w:val="en-GB"/>
        </w:rPr>
        <w:t xml:space="preserve">Balkan, K. (1964) </w:t>
      </w:r>
      <w:r w:rsidRPr="00F03A26">
        <w:rPr>
          <w:rStyle w:val="fontstyle01"/>
          <w:rFonts w:asciiTheme="majorBidi" w:hAnsiTheme="majorBidi" w:cstheme="majorBidi"/>
          <w:lang w:val="en-GB"/>
        </w:rPr>
        <w:t>Patnos’ta Keşfedilen Urartu</w:t>
      </w:r>
      <w:r w:rsidRPr="00F03A26">
        <w:rPr>
          <w:rStyle w:val="fontstyle01"/>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Style w:val="fontstyle01"/>
          <w:rFonts w:asciiTheme="majorBidi" w:hAnsiTheme="majorBidi" w:cstheme="majorBidi"/>
          <w:lang w:val="en-GB"/>
        </w:rPr>
        <w:fldChar w:fldCharType="end"/>
      </w:r>
      <w:r w:rsidRPr="00F03A26">
        <w:rPr>
          <w:rStyle w:val="fontstyle01"/>
          <w:rFonts w:asciiTheme="majorBidi" w:hAnsiTheme="majorBidi" w:cstheme="majorBidi"/>
          <w:lang w:val="en-GB"/>
        </w:rPr>
        <w:t xml:space="preserve"> Tapınağı ve Urartu Sarayı, </w:t>
      </w:r>
      <w:r w:rsidRPr="00F03A26">
        <w:rPr>
          <w:rStyle w:val="fontstyle21"/>
          <w:rFonts w:asciiTheme="majorBidi" w:hAnsiTheme="majorBidi" w:cstheme="majorBidi"/>
          <w:lang w:val="en-GB"/>
        </w:rPr>
        <w:t xml:space="preserve">Atatürk Konferansları, </w:t>
      </w:r>
      <w:r w:rsidRPr="00F03A26">
        <w:rPr>
          <w:rStyle w:val="fontstyle01"/>
          <w:rFonts w:asciiTheme="majorBidi" w:hAnsiTheme="majorBidi" w:cstheme="majorBidi"/>
          <w:lang w:val="en-GB"/>
        </w:rPr>
        <w:t>I, 235-243.</w:t>
      </w:r>
    </w:p>
    <w:p w14:paraId="75C4548C"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Başgelen, N. (1987). Atabindi I Kaya Mezarı Üzerine Gözlemler. </w:t>
      </w:r>
      <w:r w:rsidRPr="00F03A26">
        <w:rPr>
          <w:rFonts w:asciiTheme="majorBidi" w:hAnsiTheme="majorBidi" w:cstheme="majorBidi"/>
          <w:i/>
          <w:iCs/>
          <w:lang w:val="en-GB"/>
        </w:rPr>
        <w:t>Arkeoloji ve Sanat Dergisi,</w:t>
      </w:r>
      <w:r w:rsidRPr="00F03A26">
        <w:rPr>
          <w:rFonts w:asciiTheme="majorBidi" w:hAnsiTheme="majorBidi" w:cstheme="majorBidi"/>
          <w:lang w:val="en-GB"/>
        </w:rPr>
        <w:t xml:space="preserve"> 36-37, 8-11.</w:t>
      </w:r>
    </w:p>
    <w:p w14:paraId="07EC739A" w14:textId="77777777" w:rsidR="0088351C" w:rsidRPr="00F03A26" w:rsidRDefault="0088351C" w:rsidP="00F03A26">
      <w:pPr>
        <w:autoSpaceDE w:val="0"/>
        <w:autoSpaceDN w:val="0"/>
        <w:adjustRightInd w:val="0"/>
        <w:jc w:val="both"/>
        <w:rPr>
          <w:rFonts w:asciiTheme="majorBidi" w:hAnsiTheme="majorBidi" w:cstheme="majorBidi"/>
          <w:lang w:val="en-GB"/>
        </w:rPr>
      </w:pPr>
    </w:p>
    <w:p w14:paraId="151B8E46"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Baştürk, M. B. (2013).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Devletinin Kurucuları Üzerine: Lapturi = Lutipri, 35 Yıl Sonra, Yeniden. In O. Tekin, M. H. Sayar, &amp; E. Konyar (Eds.), </w:t>
      </w:r>
      <w:r w:rsidRPr="00F03A26">
        <w:rPr>
          <w:rFonts w:asciiTheme="majorBidi" w:hAnsiTheme="majorBidi" w:cstheme="majorBidi"/>
          <w:i/>
          <w:szCs w:val="24"/>
          <w:lang w:val="en-GB"/>
        </w:rPr>
        <w:t>Tarhan Armağanı. M. Taner Tarhan’a Sunulan Makaleler/ Essays in Honour of M. Taner Tarhan</w:t>
      </w:r>
      <w:r w:rsidRPr="00F03A26">
        <w:rPr>
          <w:rFonts w:asciiTheme="majorBidi" w:hAnsiTheme="majorBidi" w:cstheme="majorBidi"/>
          <w:szCs w:val="24"/>
          <w:lang w:val="en-GB"/>
        </w:rPr>
        <w:t xml:space="preserve"> (pp. 69-78). İstanbul: Ege Yayınları.</w:t>
      </w:r>
    </w:p>
    <w:p w14:paraId="5D2DD72A"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Barnett, R. D. 1950. “The Excavations of the British Museum</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"British Museum"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at Toprak Kale near Van”, </w:t>
      </w:r>
      <w:r w:rsidRPr="00F03A26">
        <w:rPr>
          <w:rFonts w:asciiTheme="majorBidi" w:hAnsiTheme="majorBidi" w:cstheme="majorBidi"/>
          <w:i/>
          <w:iCs/>
          <w:lang w:val="en-GB"/>
        </w:rPr>
        <w:t>Iraq</w:t>
      </w:r>
      <w:r w:rsidRPr="00F03A26">
        <w:rPr>
          <w:rFonts w:asciiTheme="majorBidi" w:hAnsiTheme="majorBidi" w:cstheme="majorBidi"/>
          <w:lang w:val="en-GB"/>
        </w:rPr>
        <w:t>, 12 (1): 1–43.</w:t>
      </w:r>
    </w:p>
    <w:p w14:paraId="42A447E4"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Barnett, R. D. (1954). The Excavations of the British Museum</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"British Museum"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at Toprak Kale, near Van: Addenda, </w:t>
      </w:r>
      <w:r w:rsidRPr="00F03A26">
        <w:rPr>
          <w:rFonts w:asciiTheme="majorBidi" w:hAnsiTheme="majorBidi" w:cstheme="majorBidi"/>
          <w:i/>
          <w:iCs/>
          <w:lang w:val="en-GB"/>
        </w:rPr>
        <w:t>Iraq,</w:t>
      </w:r>
      <w:r w:rsidRPr="00F03A26">
        <w:rPr>
          <w:rFonts w:asciiTheme="majorBidi" w:hAnsiTheme="majorBidi" w:cstheme="majorBidi"/>
          <w:lang w:val="en-GB"/>
        </w:rPr>
        <w:t xml:space="preserve"> 16 (1), 3–22.</w:t>
      </w:r>
    </w:p>
    <w:p w14:paraId="3366C34E"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lang w:val="en-GB"/>
        </w:rPr>
        <w:t>Barnett, R. D. (1982).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J. Boardman, I. E. S. Edwards, N. G. L. Hammond &amp; E. Sollberger (Eds.), </w:t>
      </w:r>
      <w:r w:rsidRPr="00F03A26">
        <w:rPr>
          <w:rFonts w:asciiTheme="majorBidi" w:hAnsiTheme="majorBidi" w:cstheme="majorBidi"/>
          <w:i/>
          <w:iCs/>
          <w:lang w:val="en-GB"/>
        </w:rPr>
        <w:t>The Cambridge Ancient History Volume 3</w:t>
      </w:r>
      <w:r w:rsidRPr="00F03A26">
        <w:rPr>
          <w:rFonts w:asciiTheme="majorBidi" w:hAnsiTheme="majorBidi" w:cstheme="majorBidi"/>
          <w:lang w:val="en-GB"/>
        </w:rPr>
        <w:t xml:space="preserve">(1), </w:t>
      </w:r>
      <w:r w:rsidRPr="00F03A26">
        <w:rPr>
          <w:rFonts w:asciiTheme="majorBidi" w:hAnsiTheme="majorBidi" w:cstheme="majorBidi"/>
          <w:i/>
          <w:iCs/>
          <w:lang w:val="en-GB"/>
        </w:rPr>
        <w:t>The Prehistory of the Balkans, the Middle East and the Aegean World, Tenth to Eighth Centuries BC</w:t>
      </w:r>
      <w:r w:rsidRPr="00F03A26">
        <w:rPr>
          <w:rFonts w:asciiTheme="majorBidi" w:hAnsiTheme="majorBidi" w:cstheme="majorBidi"/>
          <w:lang w:val="en-GB"/>
        </w:rPr>
        <w:t xml:space="preserve"> (pp. 314-371). Cambridge: Cambridge University Press.</w:t>
      </w:r>
    </w:p>
    <w:p w14:paraId="085F5A23"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Belck, W., Lehmann, C. F., &amp; Virchow, R. (1900). Ausserordentliche Sitzung vom 13. Januar 1900. Unsere Aufgabe war die Erforschung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-Chaldia's (des Reiches von Van). </w:t>
      </w:r>
      <w:r w:rsidRPr="00F03A26">
        <w:rPr>
          <w:rFonts w:asciiTheme="majorBidi" w:hAnsiTheme="majorBidi" w:cstheme="majorBidi"/>
          <w:i/>
          <w:iCs/>
          <w:szCs w:val="24"/>
          <w:lang w:val="en-GB"/>
        </w:rPr>
        <w:t>Zeitschrift für Ethnologie</w:t>
      </w:r>
      <w:r w:rsidRPr="00F03A26">
        <w:rPr>
          <w:rFonts w:asciiTheme="majorBidi" w:hAnsiTheme="majorBidi" w:cstheme="majorBidi"/>
          <w:szCs w:val="24"/>
          <w:lang w:val="en-GB"/>
        </w:rPr>
        <w:t>, 32, 33-66.</w:t>
      </w:r>
    </w:p>
    <w:p w14:paraId="4D11992D"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lastRenderedPageBreak/>
        <w:t xml:space="preserve">Belli, O. (1982). Alniunu Kentinin ve Taş Atölyesinin Keşfi, </w:t>
      </w:r>
      <w:r w:rsidRPr="00F03A26">
        <w:rPr>
          <w:rFonts w:asciiTheme="majorBidi" w:hAnsiTheme="majorBidi" w:cstheme="majorBidi"/>
          <w:i/>
          <w:iCs/>
          <w:lang w:val="en-GB"/>
        </w:rPr>
        <w:t>Anadolu Araştırmaları 8</w:t>
      </w:r>
      <w:r w:rsidRPr="00F03A26">
        <w:rPr>
          <w:rFonts w:asciiTheme="majorBidi" w:hAnsiTheme="majorBidi" w:cstheme="majorBidi"/>
          <w:lang w:val="en-GB"/>
        </w:rPr>
        <w:t>, 115-150.</w:t>
      </w:r>
    </w:p>
    <w:p w14:paraId="372E307C" w14:textId="77777777" w:rsidR="0088351C" w:rsidRPr="00F03A26" w:rsidRDefault="0088351C" w:rsidP="00F03A26">
      <w:pPr>
        <w:autoSpaceDE w:val="0"/>
        <w:autoSpaceDN w:val="0"/>
        <w:adjustRightInd w:val="0"/>
        <w:jc w:val="both"/>
        <w:rPr>
          <w:rFonts w:asciiTheme="majorBidi" w:hAnsiTheme="majorBidi" w:cstheme="majorBidi"/>
          <w:lang w:val="en-GB"/>
        </w:rPr>
      </w:pPr>
    </w:p>
    <w:p w14:paraId="0206D66C"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Belli, O. (1983). Van'da (Ṭušpa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
          <w:iCs/>
          <w:color w:val="000000" w:themeColor="text1"/>
          <w:lang w:val="en-GB"/>
        </w:rPr>
        <w:instrText>Ṭušpa</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Bulunan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Krallarına Ait Çiviyazılı Zırh Göğüslükleri. </w:t>
      </w:r>
      <w:r w:rsidRPr="00F03A26">
        <w:rPr>
          <w:rFonts w:asciiTheme="majorBidi" w:hAnsiTheme="majorBidi" w:cstheme="majorBidi"/>
          <w:i/>
          <w:iCs/>
          <w:lang w:val="en-GB"/>
        </w:rPr>
        <w:t xml:space="preserve">Anadolu Araştırmaları, 9 </w:t>
      </w:r>
      <w:r w:rsidRPr="00F03A26">
        <w:rPr>
          <w:rFonts w:asciiTheme="majorBidi" w:hAnsiTheme="majorBidi" w:cstheme="majorBidi"/>
          <w:lang w:val="en-GB"/>
        </w:rPr>
        <w:t>(1), 361-371.</w:t>
      </w:r>
    </w:p>
    <w:p w14:paraId="5B5CAAC0"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lastRenderedPageBreak/>
        <w:t>Belli, O. (1989).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Kalelerindeki Anıtsal Kaya İşaretleri, </w:t>
      </w:r>
      <w:r w:rsidRPr="00F03A26">
        <w:rPr>
          <w:rFonts w:asciiTheme="majorBidi" w:hAnsiTheme="majorBidi" w:cstheme="majorBidi"/>
          <w:i/>
          <w:lang w:val="en-GB"/>
        </w:rPr>
        <w:t>Anadolu Araştırmaları</w:t>
      </w:r>
      <w:r w:rsidRPr="00F03A26">
        <w:rPr>
          <w:rFonts w:asciiTheme="majorBidi" w:hAnsiTheme="majorBidi" w:cstheme="majorBidi"/>
          <w:lang w:val="en-GB"/>
        </w:rPr>
        <w:t>, XI, 65 88.</w:t>
      </w:r>
    </w:p>
    <w:p w14:paraId="0D0F6677" w14:textId="752605B4"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Belli, O. (2003). Van-Aşağı ve Yukarı Anzaf</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"Anzaf"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Kaleleri Kazısı: Bir Ara Değerlendirme 1991-2002/Excavations at Van- Lower and Upper Anzaf Urartian</w:t>
      </w:r>
      <w:r w:rsidR="00EA6C63">
        <w:rPr>
          <w:rFonts w:asciiTheme="majorBid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lang w:val="en-GB"/>
        </w:rPr>
        <w:fldChar w:fldCharType="end"/>
      </w:r>
      <w:r w:rsidRPr="00F03A26">
        <w:rPr>
          <w:rFonts w:asciiTheme="majorBidi" w:hAnsiTheme="majorBidi" w:cstheme="majorBidi"/>
          <w:lang w:val="en-GB"/>
        </w:rPr>
        <w:t xml:space="preserve"> Fortresses: An Intermadiatery Evaluation 1991-2002. </w:t>
      </w:r>
      <w:r w:rsidRPr="00F03A26">
        <w:rPr>
          <w:rFonts w:asciiTheme="majorBidi" w:hAnsiTheme="majorBidi" w:cstheme="majorBidi"/>
          <w:i/>
          <w:iCs/>
          <w:lang w:val="en-GB"/>
        </w:rPr>
        <w:t>Colluqium Anatoliqum,</w:t>
      </w:r>
      <w:r w:rsidRPr="00F03A26">
        <w:rPr>
          <w:rFonts w:asciiTheme="majorBidi" w:hAnsiTheme="majorBidi" w:cstheme="majorBidi"/>
          <w:lang w:val="en-GB"/>
        </w:rPr>
        <w:t xml:space="preserve"> </w:t>
      </w:r>
      <w:r w:rsidRPr="00F03A26">
        <w:rPr>
          <w:rFonts w:asciiTheme="majorBidi" w:hAnsiTheme="majorBidi" w:cstheme="majorBidi"/>
          <w:i/>
          <w:iCs/>
          <w:lang w:val="en-GB"/>
        </w:rPr>
        <w:t>2,</w:t>
      </w:r>
      <w:r w:rsidRPr="00F03A26">
        <w:rPr>
          <w:rFonts w:asciiTheme="majorBidi" w:hAnsiTheme="majorBidi" w:cstheme="majorBidi"/>
          <w:lang w:val="en-GB"/>
        </w:rPr>
        <w:t>1-49.</w:t>
      </w:r>
    </w:p>
    <w:p w14:paraId="22DA9E20"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37F102A0"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r w:rsidRPr="00F03A26">
        <w:rPr>
          <w:rFonts w:asciiTheme="majorBidi" w:hAnsiTheme="majorBidi" w:cstheme="majorBidi"/>
          <w:lang w:val="en-GB"/>
        </w:rPr>
        <w:t>Belli, O. (2006). Yoncatepe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"Yoncatepe"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Sarayı ve Nekropolü. </w:t>
      </w:r>
      <w:r w:rsidRPr="00F03A26">
        <w:rPr>
          <w:rFonts w:asciiTheme="majorBidi" w:hAnsiTheme="majorBidi" w:cstheme="majorBidi"/>
          <w:i/>
          <w:iCs/>
          <w:lang w:val="en-GB"/>
        </w:rPr>
        <w:t>Anadolu Medeniyetleri Müzesi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"Medeniyetleri Müzesi"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2005 Yıllığı</w:t>
      </w:r>
      <w:r w:rsidRPr="00F03A26">
        <w:rPr>
          <w:rFonts w:asciiTheme="majorBidi" w:hAnsiTheme="majorBidi" w:cstheme="majorBidi"/>
          <w:lang w:val="en-GB"/>
        </w:rPr>
        <w:t xml:space="preserve">, </w:t>
      </w:r>
    </w:p>
    <w:p w14:paraId="33FE752A"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381-431.</w:t>
      </w:r>
    </w:p>
    <w:p w14:paraId="43E19936" w14:textId="77777777" w:rsidR="0088351C" w:rsidRPr="00F03A26" w:rsidRDefault="0088351C" w:rsidP="00F03A26">
      <w:pPr>
        <w:spacing w:before="120" w:after="120"/>
        <w:jc w:val="both"/>
        <w:rPr>
          <w:rStyle w:val="fontstyle01"/>
          <w:rFonts w:asciiTheme="majorBidi" w:hAnsiTheme="majorBidi" w:cstheme="majorBidi"/>
          <w:lang w:val="en-GB"/>
        </w:rPr>
      </w:pPr>
      <w:r w:rsidRPr="00F03A26">
        <w:rPr>
          <w:rFonts w:asciiTheme="majorBidi" w:hAnsiTheme="majorBidi" w:cstheme="majorBidi"/>
          <w:lang w:val="en-GB"/>
        </w:rPr>
        <w:t xml:space="preserve">Belli, O. (2009). </w:t>
      </w:r>
      <w:r w:rsidRPr="00F03A26">
        <w:rPr>
          <w:rStyle w:val="fontstyle01"/>
          <w:rFonts w:asciiTheme="majorBidi" w:hAnsiTheme="majorBidi" w:cstheme="majorBidi"/>
          <w:lang w:val="en-GB"/>
        </w:rPr>
        <w:t>2007 Yılı Yukarı Anzaf</w:t>
      </w:r>
      <w:r w:rsidRPr="00F03A26">
        <w:rPr>
          <w:rStyle w:val="fontstyle01"/>
          <w:rFonts w:asciiTheme="majorBidi" w:hAnsiTheme="majorBidi" w:cstheme="majorBidi"/>
          <w:lang w:val="en-GB"/>
        </w:rPr>
        <w:fldChar w:fldCharType="begin"/>
      </w:r>
      <w:r w:rsidRPr="00F03A26">
        <w:rPr>
          <w:rFonts w:asciiTheme="majorBidi" w:hAnsiTheme="majorBidi" w:cstheme="majorBidi"/>
          <w:lang w:val="en-GB"/>
        </w:rPr>
        <w:instrText xml:space="preserve"> XE "Anzaf" </w:instrText>
      </w:r>
      <w:r w:rsidRPr="00F03A26">
        <w:rPr>
          <w:rStyle w:val="fontstyle01"/>
          <w:rFonts w:asciiTheme="majorBidi" w:hAnsiTheme="majorBidi" w:cstheme="majorBidi"/>
          <w:lang w:val="en-GB"/>
        </w:rPr>
        <w:fldChar w:fldCharType="end"/>
      </w:r>
      <w:r w:rsidRPr="00F03A26">
        <w:rPr>
          <w:rStyle w:val="fontstyle01"/>
          <w:rFonts w:asciiTheme="majorBidi" w:hAnsiTheme="majorBidi" w:cstheme="majorBidi"/>
          <w:lang w:val="en-GB"/>
        </w:rPr>
        <w:t xml:space="preserve"> Urartu</w:t>
      </w:r>
      <w:r w:rsidRPr="00F03A26">
        <w:rPr>
          <w:rStyle w:val="fontstyle01"/>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Style w:val="fontstyle01"/>
          <w:rFonts w:asciiTheme="majorBidi" w:hAnsiTheme="majorBidi" w:cstheme="majorBidi"/>
          <w:lang w:val="en-GB"/>
        </w:rPr>
        <w:fldChar w:fldCharType="end"/>
      </w:r>
      <w:r w:rsidRPr="00F03A26">
        <w:rPr>
          <w:rStyle w:val="fontstyle01"/>
          <w:rFonts w:asciiTheme="majorBidi" w:hAnsiTheme="majorBidi" w:cstheme="majorBidi"/>
          <w:lang w:val="en-GB"/>
        </w:rPr>
        <w:t xml:space="preserve"> Kalesi Kazısı, </w:t>
      </w:r>
      <w:r w:rsidRPr="00F03A26">
        <w:rPr>
          <w:rStyle w:val="fontstyle21"/>
          <w:rFonts w:asciiTheme="majorBidi" w:hAnsiTheme="majorBidi" w:cstheme="majorBidi"/>
          <w:lang w:val="en-GB"/>
        </w:rPr>
        <w:t xml:space="preserve">Kazı Sonuçları Toplantısı, </w:t>
      </w:r>
      <w:r w:rsidRPr="00F03A26">
        <w:rPr>
          <w:rStyle w:val="fontstyle01"/>
          <w:rFonts w:asciiTheme="majorBidi" w:hAnsiTheme="majorBidi" w:cstheme="majorBidi"/>
          <w:lang w:val="en-GB"/>
        </w:rPr>
        <w:t xml:space="preserve">30 </w:t>
      </w:r>
      <w:r w:rsidRPr="00F03A26">
        <w:rPr>
          <w:rStyle w:val="fontstyle21"/>
          <w:rFonts w:asciiTheme="majorBidi" w:hAnsiTheme="majorBidi" w:cstheme="majorBidi"/>
          <w:lang w:val="en-GB"/>
        </w:rPr>
        <w:t>(</w:t>
      </w:r>
      <w:r w:rsidRPr="00F03A26">
        <w:rPr>
          <w:rStyle w:val="fontstyle01"/>
          <w:rFonts w:asciiTheme="majorBidi" w:hAnsiTheme="majorBidi" w:cstheme="majorBidi"/>
          <w:lang w:val="en-GB"/>
        </w:rPr>
        <w:t>1), 449-470.</w:t>
      </w:r>
    </w:p>
    <w:p w14:paraId="40BF7500" w14:textId="77777777" w:rsidR="0088351C" w:rsidRPr="00F03A26" w:rsidRDefault="0088351C" w:rsidP="00F03A26">
      <w:pPr>
        <w:autoSpaceDE w:val="0"/>
        <w:autoSpaceDN w:val="0"/>
        <w:adjustRightInd w:val="0"/>
        <w:jc w:val="both"/>
        <w:rPr>
          <w:rFonts w:asciiTheme="majorBidi" w:hAnsiTheme="majorBidi" w:cstheme="majorBidi"/>
          <w:color w:val="000000"/>
          <w:lang w:val="en-GB" w:bidi="he-IL"/>
        </w:rPr>
      </w:pPr>
      <w:r w:rsidRPr="00F03A26">
        <w:rPr>
          <w:rFonts w:asciiTheme="majorBidi" w:hAnsiTheme="majorBidi" w:cstheme="majorBidi"/>
          <w:color w:val="000000"/>
          <w:lang w:val="en-GB" w:bidi="he-IL"/>
        </w:rPr>
        <w:t>Belli, O. (2012). Eskiçağ'da Doğu Anadolu Bölgesi'nin En Eski ve Özgün Mutfağı: Van Yoncatepe Saray Mutfağı. İçinde O. Belli</w:t>
      </w:r>
      <w:r w:rsidRPr="00F03A26">
        <w:rPr>
          <w:rFonts w:asciiTheme="majorBidi" w:hAnsiTheme="majorBidi" w:cstheme="majorBidi"/>
          <w:i/>
          <w:iCs/>
          <w:color w:val="000000"/>
          <w:lang w:val="en-GB" w:bidi="he-IL"/>
        </w:rPr>
        <w:t xml:space="preserve"> </w:t>
      </w:r>
      <w:r w:rsidRPr="00F03A26">
        <w:rPr>
          <w:rFonts w:asciiTheme="majorBidi" w:hAnsiTheme="majorBidi" w:cstheme="majorBidi"/>
          <w:color w:val="000000"/>
          <w:lang w:val="en-GB" w:bidi="he-IL"/>
        </w:rPr>
        <w:t xml:space="preserve">(ed.) </w:t>
      </w:r>
      <w:r w:rsidRPr="00F03A26">
        <w:rPr>
          <w:rFonts w:asciiTheme="majorBidi" w:hAnsiTheme="majorBidi" w:cstheme="majorBidi"/>
          <w:i/>
          <w:iCs/>
          <w:color w:val="000000"/>
          <w:lang w:val="en-GB" w:bidi="he-IL"/>
        </w:rPr>
        <w:t xml:space="preserve">2. Uluslararası Doğu Anadolu Bölgesi Geleneksel Mutfak Kültürü ve Van Yemekleri Sempozyumu, 24-26 Kasım 2010-Van </w:t>
      </w:r>
      <w:r w:rsidRPr="00F03A26">
        <w:rPr>
          <w:rFonts w:asciiTheme="majorBidi" w:hAnsiTheme="majorBidi" w:cstheme="majorBidi"/>
          <w:color w:val="000000"/>
          <w:lang w:val="en-GB" w:bidi="he-IL"/>
        </w:rPr>
        <w:t>(27-42). İstanbul: Van Valiliği Yayınları.</w:t>
      </w:r>
    </w:p>
    <w:p w14:paraId="0BF84650" w14:textId="77777777" w:rsidR="0088351C" w:rsidRPr="00F03A26" w:rsidRDefault="0088351C" w:rsidP="00F03A26">
      <w:pPr>
        <w:autoSpaceDE w:val="0"/>
        <w:autoSpaceDN w:val="0"/>
        <w:adjustRightInd w:val="0"/>
        <w:jc w:val="both"/>
        <w:rPr>
          <w:rFonts w:asciiTheme="majorBidi" w:hAnsiTheme="majorBidi" w:cstheme="majorBidi"/>
          <w:lang w:val="en-GB"/>
        </w:rPr>
      </w:pPr>
    </w:p>
    <w:p w14:paraId="4EAE1F36" w14:textId="0BCA7B60"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Belli, O., Dinçol, A. M., &amp; Dinçol, B. (2009). Bronze Votive Rings with Assyrian</w:t>
      </w:r>
      <w:r w:rsidR="001F2587">
        <w:rPr>
          <w:rFonts w:asciiTheme="majorBidi"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Inscriptions found in the Upper Anzaf Fortress in Van. </w:t>
      </w:r>
      <w:r w:rsidRPr="00F03A26">
        <w:rPr>
          <w:rFonts w:asciiTheme="majorBidi" w:hAnsiTheme="majorBidi" w:cstheme="majorBidi"/>
          <w:i/>
          <w:iCs/>
          <w:lang w:val="en-GB"/>
        </w:rPr>
        <w:t xml:space="preserve">Colloquium Anatolicum </w:t>
      </w:r>
      <w:r w:rsidRPr="00F03A26">
        <w:rPr>
          <w:rFonts w:asciiTheme="majorBidi" w:hAnsiTheme="majorBidi" w:cstheme="majorBidi"/>
          <w:lang w:val="en-GB"/>
        </w:rPr>
        <w:t xml:space="preserve">8, 91-124. </w:t>
      </w:r>
    </w:p>
    <w:p w14:paraId="08F044A5" w14:textId="77777777" w:rsidR="0088351C" w:rsidRPr="00F03A26" w:rsidRDefault="0088351C" w:rsidP="00F03A26">
      <w:pPr>
        <w:autoSpaceDE w:val="0"/>
        <w:autoSpaceDN w:val="0"/>
        <w:adjustRightInd w:val="0"/>
        <w:jc w:val="both"/>
        <w:rPr>
          <w:rFonts w:asciiTheme="majorBidi" w:hAnsiTheme="majorBidi" w:cstheme="majorBidi"/>
          <w:lang w:val="en-GB"/>
        </w:rPr>
      </w:pPr>
    </w:p>
    <w:p w14:paraId="0486223F"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Belli, O., &amp; Konyar, E. (2001). Excavations at Van-Yoncatepe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"Yoncatepe"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Fortress and Necropolis. </w:t>
      </w:r>
      <w:r w:rsidRPr="00F03A26">
        <w:rPr>
          <w:rFonts w:asciiTheme="majorBidi" w:hAnsiTheme="majorBidi" w:cstheme="majorBidi"/>
          <w:i/>
          <w:iCs/>
          <w:lang w:val="en-GB"/>
        </w:rPr>
        <w:t>Tel Aviv</w:t>
      </w:r>
      <w:r w:rsidRPr="00F03A26">
        <w:rPr>
          <w:rFonts w:asciiTheme="majorBidi" w:hAnsiTheme="majorBidi" w:cstheme="majorBidi"/>
          <w:lang w:val="en-GB"/>
        </w:rPr>
        <w:t xml:space="preserve"> </w:t>
      </w:r>
      <w:r w:rsidRPr="00F03A26">
        <w:rPr>
          <w:rFonts w:asciiTheme="majorBidi" w:hAnsiTheme="majorBidi" w:cstheme="majorBidi"/>
          <w:i/>
          <w:iCs/>
          <w:lang w:val="en-GB"/>
        </w:rPr>
        <w:t>28</w:t>
      </w:r>
      <w:r w:rsidRPr="00F03A26">
        <w:rPr>
          <w:rFonts w:asciiTheme="majorBidi" w:hAnsiTheme="majorBidi" w:cstheme="majorBidi"/>
          <w:lang w:val="en-GB"/>
        </w:rPr>
        <w:t>(2), 169-212.</w:t>
      </w:r>
    </w:p>
    <w:p w14:paraId="28DC761F"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Belli, O., &amp; Konyar, E.  (2003). Ernis-Evditepe: The Largest Early Iron Age</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"Early Iron Age"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Necropolis in Eastern Anatolia. Tel Aviv </w:t>
      </w:r>
      <w:r w:rsidRPr="00F03A26">
        <w:rPr>
          <w:rFonts w:asciiTheme="majorBidi" w:hAnsiTheme="majorBidi" w:cstheme="majorBidi"/>
          <w:i/>
          <w:iCs/>
          <w:sz w:val="24"/>
          <w:szCs w:val="24"/>
          <w:lang w:val="en-GB"/>
        </w:rPr>
        <w:t>30</w:t>
      </w:r>
      <w:r w:rsidRPr="00F03A26">
        <w:rPr>
          <w:rFonts w:asciiTheme="majorBidi" w:hAnsiTheme="majorBidi" w:cstheme="majorBidi"/>
          <w:sz w:val="24"/>
          <w:szCs w:val="24"/>
          <w:lang w:val="en-GB"/>
        </w:rPr>
        <w:t>(2), 167-203.</w:t>
      </w:r>
    </w:p>
    <w:p w14:paraId="2CAC55AF"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Bilgiç, E. (1959). Birkaç Yeni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Kıral Kitabesi, </w:t>
      </w:r>
      <w:r w:rsidRPr="00F03A26">
        <w:rPr>
          <w:rFonts w:asciiTheme="majorBidi" w:hAnsiTheme="majorBidi" w:cstheme="majorBidi"/>
          <w:i/>
          <w:iCs/>
          <w:szCs w:val="24"/>
          <w:lang w:val="en-GB"/>
        </w:rPr>
        <w:t>Türk Arkeoloji Dergisi</w:t>
      </w:r>
      <w:r w:rsidRPr="00F03A26">
        <w:rPr>
          <w:rFonts w:asciiTheme="majorBidi" w:hAnsiTheme="majorBidi" w:cstheme="majorBidi"/>
          <w:szCs w:val="24"/>
          <w:lang w:val="en-GB"/>
        </w:rPr>
        <w:t>, 9 (1), 44-48.</w:t>
      </w:r>
    </w:p>
    <w:p w14:paraId="6A5FECEB"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Bilgiç, E., </w:t>
      </w:r>
      <w:r w:rsidRPr="00F03A26">
        <w:rPr>
          <w:rFonts w:asciiTheme="majorBidi" w:eastAsia="Times New Roman" w:hAnsiTheme="majorBidi" w:cstheme="majorBidi"/>
          <w:lang w:val="en-GB" w:eastAsia="tr-TR" w:bidi="he-IL"/>
        </w:rPr>
        <w:t>&amp;</w:t>
      </w:r>
      <w:r w:rsidRPr="00F03A26">
        <w:rPr>
          <w:rFonts w:asciiTheme="majorBidi" w:hAnsiTheme="majorBidi" w:cstheme="majorBidi"/>
          <w:lang w:val="en-GB"/>
        </w:rPr>
        <w:t xml:space="preserve"> Öğün, B. (1964). 1964 Adilcevaz</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Adilcevaz</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Kef Kalesi Kazıları / Excavations at Kef Kalesi of Adilcevaz, 1964, </w:t>
      </w:r>
      <w:r w:rsidRPr="00F03A26">
        <w:rPr>
          <w:rFonts w:asciiTheme="majorBidi" w:hAnsiTheme="majorBidi" w:cstheme="majorBidi"/>
          <w:i/>
          <w:lang w:val="en-GB"/>
        </w:rPr>
        <w:t>Anatolia</w:t>
      </w:r>
      <w:r w:rsidRPr="00F03A26">
        <w:rPr>
          <w:rFonts w:asciiTheme="majorBidi" w:hAnsiTheme="majorBidi" w:cstheme="majorBidi"/>
          <w:iCs/>
          <w:lang w:val="en-GB"/>
        </w:rPr>
        <w:t>,</w:t>
      </w:r>
      <w:r w:rsidRPr="00F03A26">
        <w:rPr>
          <w:rFonts w:asciiTheme="majorBidi" w:hAnsiTheme="majorBidi" w:cstheme="majorBidi"/>
          <w:i/>
          <w:lang w:val="en-GB"/>
        </w:rPr>
        <w:t xml:space="preserve"> </w:t>
      </w:r>
      <w:r w:rsidRPr="00F03A26">
        <w:rPr>
          <w:rFonts w:asciiTheme="majorBidi" w:hAnsiTheme="majorBidi" w:cstheme="majorBidi"/>
          <w:iCs/>
          <w:lang w:val="en-GB"/>
        </w:rPr>
        <w:t xml:space="preserve">8, </w:t>
      </w:r>
      <w:r w:rsidRPr="00F03A26">
        <w:rPr>
          <w:rFonts w:asciiTheme="majorBidi" w:hAnsiTheme="majorBidi" w:cstheme="majorBidi"/>
          <w:lang w:val="en-GB"/>
        </w:rPr>
        <w:t>65-120.</w:t>
      </w:r>
    </w:p>
    <w:p w14:paraId="7D10E51C"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Bilgiç, E., </w:t>
      </w:r>
      <w:r w:rsidRPr="00F03A26">
        <w:rPr>
          <w:rFonts w:asciiTheme="majorBidi" w:eastAsia="Times New Roman" w:hAnsiTheme="majorBidi" w:cstheme="majorBidi"/>
          <w:lang w:val="en-GB" w:eastAsia="tr-TR" w:bidi="he-IL"/>
        </w:rPr>
        <w:t>&amp;</w:t>
      </w:r>
      <w:r w:rsidRPr="00F03A26">
        <w:rPr>
          <w:rFonts w:asciiTheme="majorBidi" w:hAnsiTheme="majorBidi" w:cstheme="majorBidi"/>
          <w:lang w:val="en-GB"/>
        </w:rPr>
        <w:t xml:space="preserve"> Öğün, B. (1965). Adilcevaz</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Adilcevaz</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Kef Kalesi İkinci Mevsim Kazıları (1965), </w:t>
      </w:r>
      <w:r w:rsidRPr="00F03A26">
        <w:rPr>
          <w:rFonts w:asciiTheme="majorBidi" w:hAnsiTheme="majorBidi" w:cstheme="majorBidi"/>
          <w:i/>
          <w:iCs/>
          <w:lang w:val="en-GB"/>
        </w:rPr>
        <w:t>Anatolia</w:t>
      </w:r>
      <w:r w:rsidRPr="00F03A26">
        <w:rPr>
          <w:rFonts w:asciiTheme="majorBidi" w:hAnsiTheme="majorBidi" w:cstheme="majorBidi"/>
          <w:lang w:val="en-GB"/>
        </w:rPr>
        <w:t>, 9, 1-20.</w:t>
      </w:r>
    </w:p>
    <w:p w14:paraId="0C32590A"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lang w:val="en-GB"/>
        </w:rPr>
        <w:t>Biscione R., &amp; Dan, R. (2019). Ranking and Distribution of the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Fortifications: A General View of the Urartian Territory. In Y. Hassanzadeh, A. A. Vahdati, Z. Karimi, Tahran (Eds.), </w:t>
      </w:r>
      <w:r w:rsidRPr="00F03A26">
        <w:rPr>
          <w:rFonts w:asciiTheme="majorBidi" w:hAnsiTheme="majorBidi" w:cstheme="majorBidi"/>
          <w:i/>
          <w:iCs/>
          <w:lang w:val="en-GB"/>
        </w:rPr>
        <w:t>The Iron Age in Western Iran and Neighbouring Regions 2.</w:t>
      </w:r>
      <w:r w:rsidRPr="00F03A26">
        <w:rPr>
          <w:rFonts w:asciiTheme="majorBidi" w:hAnsiTheme="majorBidi" w:cstheme="majorBidi"/>
          <w:lang w:val="en-GB"/>
        </w:rPr>
        <w:t xml:space="preserve"> (pp. 45-62). Research Institute for Cultural Heritage and Tourism (RICHT), National Museum of Iran Kurdistan Province, ICHHTO.</w:t>
      </w:r>
    </w:p>
    <w:p w14:paraId="028E7D79"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2F703E36"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Borè, E. (1838). </w:t>
      </w:r>
      <w:r w:rsidRPr="00F03A26">
        <w:rPr>
          <w:rFonts w:asciiTheme="majorBidi" w:hAnsiTheme="majorBidi" w:cstheme="majorBidi"/>
          <w:i/>
          <w:iCs/>
          <w:color w:val="000000" w:themeColor="text1"/>
          <w:lang w:val="en-GB"/>
        </w:rPr>
        <w:t>Historia de La Armenia</w:t>
      </w:r>
      <w:r w:rsidRPr="00F03A26">
        <w:rPr>
          <w:rFonts w:asciiTheme="majorBidi" w:hAnsiTheme="majorBidi" w:cstheme="majorBidi"/>
          <w:i/>
          <w:iCs/>
          <w:color w:val="000000" w:themeColor="text1"/>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Armenia</w:instrText>
      </w:r>
      <w:r w:rsidRPr="00F03A26">
        <w:rPr>
          <w:rFonts w:asciiTheme="majorBidi" w:hAnsiTheme="majorBidi" w:cstheme="majorBidi"/>
          <w:lang w:val="en-GB"/>
        </w:rPr>
        <w:instrText xml:space="preserve">" </w:instrText>
      </w:r>
      <w:r w:rsidRPr="00F03A26">
        <w:rPr>
          <w:rFonts w:asciiTheme="majorBidi" w:hAnsiTheme="majorBidi" w:cstheme="majorBidi"/>
          <w:i/>
          <w:iCs/>
          <w:color w:val="000000" w:themeColor="text1"/>
          <w:lang w:val="en-GB"/>
        </w:rPr>
        <w:fldChar w:fldCharType="end"/>
      </w:r>
      <w:r w:rsidRPr="00F03A26">
        <w:rPr>
          <w:rFonts w:asciiTheme="majorBidi" w:hAnsiTheme="majorBidi" w:cstheme="majorBidi"/>
          <w:color w:val="000000" w:themeColor="text1"/>
          <w:lang w:val="en-GB"/>
        </w:rPr>
        <w:t>, Barcelona: Imprenta del Guardia nacional.</w:t>
      </w:r>
    </w:p>
    <w:p w14:paraId="000F5A64" w14:textId="77777777" w:rsidR="0088351C" w:rsidRPr="00F03A26" w:rsidRDefault="0088351C" w:rsidP="00F03A26">
      <w:pPr>
        <w:autoSpaceDE w:val="0"/>
        <w:autoSpaceDN w:val="0"/>
        <w:adjustRightInd w:val="0"/>
        <w:jc w:val="both"/>
        <w:rPr>
          <w:rFonts w:asciiTheme="majorBidi" w:hAnsiTheme="majorBidi" w:cstheme="majorBidi"/>
          <w:lang w:val="en-GB"/>
        </w:rPr>
      </w:pPr>
    </w:p>
    <w:p w14:paraId="680B5E5B"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lang w:val="en-GB"/>
        </w:rPr>
        <w:t xml:space="preserve">Borger, R. (1996). </w:t>
      </w:r>
      <w:r w:rsidRPr="00F03A26">
        <w:rPr>
          <w:rFonts w:asciiTheme="majorBidi" w:hAnsiTheme="majorBidi" w:cstheme="majorBidi"/>
          <w:i/>
          <w:iCs/>
          <w:lang w:val="en-GB"/>
        </w:rPr>
        <w:t>Beiträge zum Inschriftenwerk Assurbanipals: Die Prismenklassen A, B, C = K, D, E, F, G, H, J und T sowie andere Inschriften</w:t>
      </w:r>
      <w:r w:rsidRPr="00F03A26">
        <w:rPr>
          <w:rFonts w:asciiTheme="majorBidi" w:hAnsiTheme="majorBidi" w:cstheme="majorBidi"/>
          <w:lang w:val="en-GB"/>
        </w:rPr>
        <w:t>. Wiesbaden: Harrassowitz.</w:t>
      </w:r>
    </w:p>
    <w:p w14:paraId="172FB376"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1C047449"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Börker-Klähn, J. (1982). </w:t>
      </w:r>
      <w:r w:rsidRPr="00F03A26">
        <w:rPr>
          <w:rFonts w:asciiTheme="majorBidi" w:hAnsiTheme="majorBidi" w:cstheme="majorBidi"/>
          <w:i/>
          <w:szCs w:val="24"/>
          <w:lang w:val="en-GB"/>
        </w:rPr>
        <w:t>Altvorderasiatische Bildstelen und vergleichbare Felsreliefs</w:t>
      </w:r>
      <w:r w:rsidRPr="00F03A26">
        <w:rPr>
          <w:rFonts w:asciiTheme="majorBidi" w:hAnsiTheme="majorBidi" w:cstheme="majorBidi"/>
          <w:szCs w:val="24"/>
          <w:lang w:val="en-GB"/>
        </w:rPr>
        <w:t>. Mainz: Philipp von Zabern.</w:t>
      </w:r>
    </w:p>
    <w:p w14:paraId="71EDD3C2"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4BE19F01"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Burnaby</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Burnaby</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C.F. (1877). </w:t>
      </w:r>
      <w:r w:rsidRPr="00F03A26">
        <w:rPr>
          <w:rFonts w:asciiTheme="majorBidi" w:hAnsiTheme="majorBidi" w:cstheme="majorBidi"/>
          <w:i/>
          <w:iCs/>
          <w:color w:val="000000" w:themeColor="text1"/>
          <w:lang w:val="en-GB"/>
        </w:rPr>
        <w:t>On Horseback Through Asia Minor</w:t>
      </w:r>
      <w:r w:rsidRPr="00F03A26">
        <w:rPr>
          <w:rFonts w:asciiTheme="majorBidi" w:hAnsiTheme="majorBidi" w:cstheme="majorBidi"/>
          <w:color w:val="000000" w:themeColor="text1"/>
          <w:lang w:val="en-GB"/>
        </w:rPr>
        <w:t>, 1-2, New York.</w:t>
      </w:r>
    </w:p>
    <w:p w14:paraId="299DC800"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Burney, C. A. (1957).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Fortresses and Towns in the Van Region. </w:t>
      </w:r>
      <w:r w:rsidRPr="00F03A26">
        <w:rPr>
          <w:rFonts w:asciiTheme="majorBidi" w:hAnsiTheme="majorBidi" w:cstheme="majorBidi"/>
          <w:i/>
          <w:iCs/>
          <w:lang w:val="en-GB"/>
        </w:rPr>
        <w:t>Anatolian Studies, 7</w:t>
      </w:r>
      <w:r w:rsidRPr="00F03A26">
        <w:rPr>
          <w:rFonts w:asciiTheme="majorBidi" w:hAnsiTheme="majorBidi" w:cstheme="majorBidi"/>
          <w:lang w:val="en-GB"/>
        </w:rPr>
        <w:t>, 37-53.</w:t>
      </w:r>
    </w:p>
    <w:p w14:paraId="250E6B4A" w14:textId="77777777" w:rsidR="0088351C" w:rsidRPr="00F03A26" w:rsidRDefault="0088351C" w:rsidP="00F03A26">
      <w:pPr>
        <w:autoSpaceDE w:val="0"/>
        <w:autoSpaceDN w:val="0"/>
        <w:adjustRightInd w:val="0"/>
        <w:jc w:val="both"/>
        <w:rPr>
          <w:rFonts w:asciiTheme="majorBidi" w:hAnsiTheme="majorBidi" w:cstheme="majorBidi"/>
          <w:lang w:val="en-GB"/>
        </w:rPr>
      </w:pPr>
    </w:p>
    <w:p w14:paraId="3536ADB5"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lastRenderedPageBreak/>
        <w:t>Burney, C. A. (1966). A First Season of Excavations at the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Citadel of Kayalıdere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Kayalıdere</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iCs/>
          <w:lang w:val="en-GB"/>
        </w:rPr>
        <w:t>Anatolian Studies,</w:t>
      </w:r>
      <w:r w:rsidRPr="00F03A26">
        <w:rPr>
          <w:rFonts w:asciiTheme="majorBidi" w:hAnsiTheme="majorBidi" w:cstheme="majorBidi"/>
          <w:lang w:val="en-GB"/>
        </w:rPr>
        <w:t xml:space="preserve"> 16: 55-111.</w:t>
      </w:r>
    </w:p>
    <w:p w14:paraId="0DB2B899" w14:textId="64F39DD9"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Burney, C. A., </w:t>
      </w:r>
      <w:bookmarkStart w:id="226" w:name="_Hlk132455563"/>
      <w:r w:rsidRPr="00F03A26">
        <w:rPr>
          <w:rFonts w:asciiTheme="majorBidi" w:eastAsia="Times New Roman" w:hAnsiTheme="majorBidi" w:cstheme="majorBidi"/>
          <w:lang w:val="en-GB" w:eastAsia="tr-TR" w:bidi="he-IL"/>
        </w:rPr>
        <w:t>&amp;</w:t>
      </w:r>
      <w:bookmarkEnd w:id="226"/>
      <w:r w:rsidRPr="00F03A26">
        <w:rPr>
          <w:rFonts w:asciiTheme="majorBidi" w:hAnsiTheme="majorBidi" w:cstheme="majorBidi"/>
          <w:lang w:val="en-GB"/>
        </w:rPr>
        <w:t xml:space="preserve"> Lawson, G. R. (1958).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Reliefs at Adilcevaz</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Adilcevaz</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on Lake Van, and a Rock Relief from the Karasu, near Birecik, </w:t>
      </w:r>
      <w:r w:rsidRPr="00F03A26">
        <w:rPr>
          <w:rFonts w:asciiTheme="majorBidi" w:eastAsia="Brill-Italic" w:hAnsiTheme="majorBidi" w:cstheme="majorBidi"/>
          <w:i/>
          <w:iCs/>
          <w:lang w:val="en-GB"/>
        </w:rPr>
        <w:t>Anatolian Studies,</w:t>
      </w:r>
      <w:r w:rsidRPr="00F03A26">
        <w:rPr>
          <w:rFonts w:asciiTheme="majorBidi" w:hAnsiTheme="majorBidi" w:cstheme="majorBidi"/>
          <w:lang w:val="en-GB"/>
        </w:rPr>
        <w:t xml:space="preserve"> 8, 211–218.</w:t>
      </w:r>
    </w:p>
    <w:p w14:paraId="1C606FC5" w14:textId="77777777" w:rsidR="0088351C" w:rsidRPr="00F03A26" w:rsidRDefault="0088351C" w:rsidP="00F03A26">
      <w:pPr>
        <w:autoSpaceDE w:val="0"/>
        <w:autoSpaceDN w:val="0"/>
        <w:adjustRightInd w:val="0"/>
        <w:jc w:val="both"/>
        <w:rPr>
          <w:rFonts w:asciiTheme="majorBidi" w:hAnsiTheme="majorBidi" w:cstheme="majorBidi"/>
          <w:lang w:val="en-GB"/>
        </w:rPr>
      </w:pPr>
    </w:p>
    <w:p w14:paraId="3AAC9628"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Burney, C., &amp; Lang, D., M. (1971). </w:t>
      </w:r>
      <w:r w:rsidRPr="00F03A26">
        <w:rPr>
          <w:rFonts w:asciiTheme="majorBidi" w:hAnsiTheme="majorBidi" w:cstheme="majorBidi"/>
          <w:i/>
          <w:szCs w:val="24"/>
          <w:lang w:val="en-GB"/>
        </w:rPr>
        <w:t>The Peoples of the Hills: Anciant Ararat</w:t>
      </w:r>
      <w:r w:rsidRPr="00F03A26">
        <w:rPr>
          <w:rFonts w:asciiTheme="majorBidi" w:hAnsiTheme="majorBidi" w:cstheme="majorBidi"/>
          <w:i/>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lang w:val="en-GB"/>
        </w:rPr>
        <w:instrText>Ararat</w:instrText>
      </w:r>
      <w:r w:rsidRPr="00F03A26">
        <w:rPr>
          <w:rFonts w:asciiTheme="majorBidi" w:hAnsiTheme="majorBidi" w:cstheme="majorBidi"/>
          <w:lang w:val="en-GB"/>
        </w:rPr>
        <w:instrText xml:space="preserve">" </w:instrText>
      </w:r>
      <w:r w:rsidRPr="00F03A26">
        <w:rPr>
          <w:rFonts w:asciiTheme="majorBidi" w:hAnsiTheme="majorBidi" w:cstheme="majorBidi"/>
          <w:i/>
          <w:szCs w:val="24"/>
          <w:lang w:val="en-GB"/>
        </w:rPr>
        <w:fldChar w:fldCharType="end"/>
      </w:r>
      <w:r w:rsidRPr="00F03A26">
        <w:rPr>
          <w:rFonts w:asciiTheme="majorBidi" w:hAnsiTheme="majorBidi" w:cstheme="majorBidi"/>
          <w:i/>
          <w:szCs w:val="24"/>
          <w:lang w:val="en-GB"/>
        </w:rPr>
        <w:t xml:space="preserve"> and Caucasus</w:t>
      </w:r>
      <w:r w:rsidRPr="00F03A26">
        <w:rPr>
          <w:rFonts w:asciiTheme="majorBidi" w:hAnsiTheme="majorBidi" w:cstheme="majorBidi"/>
          <w:i/>
          <w:szCs w:val="24"/>
          <w:lang w:val="en-GB"/>
        </w:rPr>
        <w:fldChar w:fldCharType="begin"/>
      </w:r>
      <w:r w:rsidRPr="00F03A26">
        <w:rPr>
          <w:rFonts w:asciiTheme="majorBidi" w:hAnsiTheme="majorBidi" w:cstheme="majorBidi"/>
          <w:lang w:val="en-GB"/>
        </w:rPr>
        <w:instrText xml:space="preserve"> XE "Caucasus" </w:instrText>
      </w:r>
      <w:r w:rsidRPr="00F03A26">
        <w:rPr>
          <w:rFonts w:asciiTheme="majorBidi" w:hAnsiTheme="majorBidi" w:cstheme="majorBidi"/>
          <w:i/>
          <w:szCs w:val="24"/>
          <w:lang w:val="en-GB"/>
        </w:rPr>
        <w:fldChar w:fldCharType="end"/>
      </w:r>
      <w:r w:rsidRPr="00F03A26">
        <w:rPr>
          <w:rFonts w:asciiTheme="majorBidi" w:hAnsiTheme="majorBidi" w:cstheme="majorBidi"/>
          <w:szCs w:val="24"/>
          <w:lang w:val="en-GB"/>
        </w:rPr>
        <w:t>. London: Weidenfeld &amp; Nicolson.</w:t>
      </w:r>
    </w:p>
    <w:p w14:paraId="0A096236"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Cantay, G. (1994). Ahlat ve Van’ın Şehir Kuruluşu, İ. Nalbantoğlu (Ed.),  </w:t>
      </w:r>
      <w:r w:rsidRPr="00F03A26">
        <w:rPr>
          <w:rFonts w:asciiTheme="majorBidi" w:hAnsiTheme="majorBidi" w:cstheme="majorBidi"/>
          <w:i/>
          <w:iCs/>
          <w:color w:val="000000" w:themeColor="text1"/>
          <w:lang w:val="en-GB"/>
        </w:rPr>
        <w:t xml:space="preserve">Anadolu’nun Kapısı Türkiye’nin Kapısı: Ahlat </w:t>
      </w:r>
      <w:r w:rsidRPr="00F03A26">
        <w:rPr>
          <w:rFonts w:asciiTheme="majorBidi" w:hAnsiTheme="majorBidi" w:cstheme="majorBidi"/>
          <w:color w:val="000000" w:themeColor="text1"/>
          <w:lang w:val="en-GB"/>
        </w:rPr>
        <w:t>(6: 111-22). Ankara: Ahlat Kültür Vakfı Yayınları.</w:t>
      </w:r>
    </w:p>
    <w:p w14:paraId="250977C1" w14:textId="77777777" w:rsidR="0088351C" w:rsidRPr="00F03A26" w:rsidRDefault="0088351C" w:rsidP="00F03A26">
      <w:pPr>
        <w:jc w:val="both"/>
        <w:rPr>
          <w:rFonts w:asciiTheme="majorBidi" w:hAnsiTheme="majorBidi" w:cstheme="majorBidi"/>
          <w:color w:val="000000" w:themeColor="text1"/>
          <w:lang w:val="en-GB"/>
        </w:rPr>
      </w:pPr>
    </w:p>
    <w:p w14:paraId="7743DB2F"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Ceylan, A. (2008). </w:t>
      </w:r>
      <w:r w:rsidRPr="00F03A26">
        <w:rPr>
          <w:rFonts w:asciiTheme="majorBidi" w:hAnsiTheme="majorBidi" w:cstheme="majorBidi"/>
          <w:i/>
          <w:lang w:val="en-GB"/>
        </w:rPr>
        <w:t>Doğu Anadolu Araştırmaları, Erzurum-Erzincan-Kars-Iğdır (1998-2008)</w:t>
      </w:r>
      <w:r w:rsidRPr="00F03A26">
        <w:rPr>
          <w:rFonts w:asciiTheme="majorBidi" w:hAnsiTheme="majorBidi" w:cstheme="majorBidi"/>
          <w:iCs/>
          <w:lang w:val="en-GB"/>
        </w:rPr>
        <w:t>.</w:t>
      </w:r>
      <w:r w:rsidRPr="00F03A26">
        <w:rPr>
          <w:rFonts w:asciiTheme="majorBidi" w:hAnsiTheme="majorBidi" w:cstheme="majorBidi"/>
          <w:lang w:val="en-GB"/>
        </w:rPr>
        <w:t xml:space="preserve">  Erzurum: Güneş Vakfı Yayınları.</w:t>
      </w:r>
    </w:p>
    <w:p w14:paraId="013CA37F" w14:textId="77777777" w:rsidR="0088351C" w:rsidRPr="00F03A26" w:rsidRDefault="0088351C" w:rsidP="00F03A26">
      <w:pPr>
        <w:jc w:val="both"/>
        <w:rPr>
          <w:rFonts w:asciiTheme="majorBidi" w:hAnsiTheme="majorBidi" w:cstheme="majorBidi"/>
          <w:lang w:val="en-GB"/>
        </w:rPr>
      </w:pPr>
    </w:p>
    <w:p w14:paraId="0E58F790"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lang w:val="en-GB"/>
        </w:rPr>
        <w:t xml:space="preserve">Ceylan, A., &amp; Üngör, İ.  (2018). </w:t>
      </w:r>
      <w:r w:rsidRPr="00F03A26">
        <w:rPr>
          <w:rFonts w:asciiTheme="majorBidi" w:hAnsiTheme="majorBidi" w:cstheme="majorBidi"/>
          <w:i/>
          <w:lang w:val="en-GB"/>
        </w:rPr>
        <w:t>Eskiçağ'da Erzincan Kaleleri</w:t>
      </w:r>
      <w:r w:rsidRPr="00F03A26">
        <w:rPr>
          <w:rFonts w:asciiTheme="majorBidi" w:hAnsiTheme="majorBidi" w:cstheme="majorBidi"/>
          <w:lang w:val="en-GB"/>
        </w:rPr>
        <w:t>. Erzurum: Atatürk Üniversitesi Yayınları.</w:t>
      </w:r>
    </w:p>
    <w:p w14:paraId="061DFA2D" w14:textId="77777777" w:rsidR="0088351C" w:rsidRPr="00F03A26" w:rsidRDefault="0088351C" w:rsidP="00F03A26">
      <w:pPr>
        <w:jc w:val="both"/>
        <w:rPr>
          <w:rFonts w:asciiTheme="majorBidi" w:hAnsiTheme="majorBidi" w:cstheme="majorBidi"/>
          <w:color w:val="000000" w:themeColor="text1"/>
          <w:lang w:val="en-GB"/>
        </w:rPr>
      </w:pPr>
    </w:p>
    <w:p w14:paraId="47134B6E" w14:textId="62D524F9"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Chantre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Chantre</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E. (1881). </w:t>
      </w:r>
      <w:r w:rsidRPr="00F03A26">
        <w:rPr>
          <w:rFonts w:asciiTheme="majorBidi" w:hAnsiTheme="majorBidi" w:cstheme="majorBidi"/>
          <w:i/>
          <w:iCs/>
          <w:color w:val="000000" w:themeColor="text1"/>
          <w:lang w:val="en-GB"/>
        </w:rPr>
        <w:t>Dans la Haute Mesopotamie, le Kurdistan et le Caucase, V, Kurdistan, de Bitlis. Bayazid (Photographies de Mr le Capitaine Barry</w:t>
      </w:r>
      <w:r w:rsidR="004809DA">
        <w:rPr>
          <w:rFonts w:asciiTheme="majorBidi" w:hAnsiTheme="majorBidi" w:cstheme="majorBidi"/>
          <w:i/>
          <w:iCs/>
          <w:color w:val="000000" w:themeColor="text1"/>
          <w:lang w:val="en-GB"/>
        </w:rPr>
        <w:fldChar w:fldCharType="begin"/>
      </w:r>
      <w:r w:rsidR="004809DA">
        <w:instrText xml:space="preserve"> XE "</w:instrText>
      </w:r>
      <w:r w:rsidR="004809DA" w:rsidRPr="0000391D">
        <w:rPr>
          <w:rFonts w:asciiTheme="majorBidi" w:hAnsiTheme="majorBidi" w:cstheme="majorBidi"/>
        </w:rPr>
        <w:instrText>Capitaine Barry</w:instrText>
      </w:r>
      <w:r w:rsidR="004809DA">
        <w:instrText xml:space="preserve">" </w:instrText>
      </w:r>
      <w:r w:rsidR="004809DA">
        <w:rPr>
          <w:rFonts w:asciiTheme="majorBidi" w:hAnsiTheme="majorBidi" w:cstheme="majorBidi"/>
          <w:i/>
          <w:iCs/>
          <w:color w:val="000000" w:themeColor="text1"/>
          <w:lang w:val="en-GB"/>
        </w:rPr>
        <w:fldChar w:fldCharType="end"/>
      </w:r>
      <w:r w:rsidRPr="00F03A26">
        <w:rPr>
          <w:rFonts w:asciiTheme="majorBidi" w:hAnsiTheme="majorBidi" w:cstheme="majorBidi"/>
          <w:i/>
          <w:iCs/>
          <w:color w:val="000000" w:themeColor="text1"/>
          <w:lang w:val="en-GB"/>
        </w:rPr>
        <w:t>)</w:t>
      </w:r>
      <w:r w:rsidRPr="00F03A26">
        <w:rPr>
          <w:rFonts w:asciiTheme="majorBidi" w:hAnsiTheme="majorBidi" w:cstheme="majorBidi"/>
          <w:color w:val="000000" w:themeColor="text1"/>
          <w:lang w:val="en-GB"/>
        </w:rPr>
        <w:t>, Paris.</w:t>
      </w:r>
    </w:p>
    <w:p w14:paraId="4A418A33" w14:textId="77777777" w:rsidR="0088351C" w:rsidRPr="00F03A26" w:rsidRDefault="0088351C" w:rsidP="00F03A26">
      <w:pPr>
        <w:jc w:val="both"/>
        <w:rPr>
          <w:rFonts w:asciiTheme="majorBidi" w:hAnsiTheme="majorBidi" w:cstheme="majorBidi"/>
          <w:color w:val="000000" w:themeColor="text1"/>
          <w:lang w:val="en-GB"/>
        </w:rPr>
      </w:pPr>
    </w:p>
    <w:p w14:paraId="4F5F907B" w14:textId="411D1BA9"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Chantre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Chantre</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E., &amp; Barry, C. (1881). Mission scientifique de Mr Ernest Chantre, sous-directeur du Museum de Lyon, dans la Haute Mésopotamie, le Kurdistan et le Caucase. Kurdistan, de Bitlis à Bayazid / Photographies de Mr le Capitaine Barry</w:t>
      </w:r>
      <w:r w:rsidR="004809DA">
        <w:rPr>
          <w:rFonts w:asciiTheme="majorBidi" w:hAnsiTheme="majorBidi" w:cstheme="majorBidi"/>
          <w:color w:val="000000" w:themeColor="text1"/>
          <w:lang w:val="en-GB"/>
        </w:rPr>
        <w:fldChar w:fldCharType="begin"/>
      </w:r>
      <w:r w:rsidR="004809DA">
        <w:instrText xml:space="preserve"> XE "</w:instrText>
      </w:r>
      <w:r w:rsidR="004809DA" w:rsidRPr="0000391D">
        <w:rPr>
          <w:rFonts w:asciiTheme="majorBidi" w:hAnsiTheme="majorBidi" w:cstheme="majorBidi"/>
        </w:rPr>
        <w:instrText>Capitaine Barry</w:instrText>
      </w:r>
      <w:r w:rsidR="004809DA">
        <w:instrText xml:space="preserve">" </w:instrText>
      </w:r>
      <w:r w:rsidR="004809DA">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In (Vol. V). France.</w:t>
      </w:r>
    </w:p>
    <w:p w14:paraId="2036A33D"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Charlesworth, M. F. (1980). Three Urartian</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Tombs at Palu</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z w:val="24"/>
          <w:szCs w:val="24"/>
          <w:lang w:val="en-GB"/>
        </w:rPr>
        <w:instrText>Palu</w:instrText>
      </w:r>
      <w:r w:rsidRPr="00F03A26">
        <w:rPr>
          <w:rFonts w:asciiTheme="majorBidi" w:hAnsiTheme="majorBidi" w:cstheme="majorBidi"/>
          <w:lang w:val="en-GB"/>
        </w:rPr>
        <w:instrText xml:space="preserve">"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in Turkey. </w:t>
      </w:r>
      <w:r w:rsidRPr="00F03A26">
        <w:rPr>
          <w:rFonts w:asciiTheme="majorBidi" w:hAnsiTheme="majorBidi" w:cstheme="majorBidi"/>
          <w:i/>
          <w:iCs/>
          <w:sz w:val="24"/>
          <w:szCs w:val="24"/>
          <w:lang w:val="en-GB"/>
        </w:rPr>
        <w:t>Archäologische Mitteilungen aus Iran</w:t>
      </w:r>
      <w:r w:rsidRPr="00F03A26">
        <w:rPr>
          <w:rFonts w:asciiTheme="majorBidi" w:hAnsiTheme="majorBidi" w:cstheme="majorBidi"/>
          <w:sz w:val="24"/>
          <w:szCs w:val="24"/>
          <w:lang w:val="en-GB"/>
        </w:rPr>
        <w:t xml:space="preserve"> 13, 91-97.</w:t>
      </w:r>
    </w:p>
    <w:p w14:paraId="6B212BDB"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lang w:val="en-GB"/>
        </w:rPr>
        <w:t>Christiansen, B. (2019). Granaries in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Neighboring States and the Monumentalization of Administrative Records. In P. S. Avetisyan, R. Dan, &amp; Y. H. Grekyan (Eds). </w:t>
      </w:r>
      <w:r w:rsidRPr="00F03A26">
        <w:rPr>
          <w:rFonts w:asciiTheme="majorBidi" w:hAnsiTheme="majorBidi" w:cstheme="majorBidi"/>
          <w:i/>
          <w:iCs/>
          <w:lang w:val="en-GB"/>
        </w:rPr>
        <w:t>Over the Mountains and Far Away: Studies in Near Eastern History and Archaeology Presented to Mirjo Salvini on the Occasion of His 80th Birthday</w:t>
      </w:r>
      <w:r w:rsidRPr="00F03A26">
        <w:rPr>
          <w:rFonts w:asciiTheme="majorBidi" w:hAnsiTheme="majorBidi" w:cstheme="majorBidi"/>
          <w:lang w:val="en-GB"/>
        </w:rPr>
        <w:t>, (pp. 134–143). Oxford: Archaeopress Archaeology.</w:t>
      </w:r>
    </w:p>
    <w:p w14:paraId="729C6272" w14:textId="77777777" w:rsidR="0088351C" w:rsidRPr="00F03A26" w:rsidRDefault="0088351C" w:rsidP="00F03A26">
      <w:pPr>
        <w:jc w:val="both"/>
        <w:rPr>
          <w:rFonts w:asciiTheme="majorBidi" w:hAnsiTheme="majorBidi" w:cstheme="majorBidi"/>
          <w:color w:val="000000" w:themeColor="text1"/>
          <w:lang w:val="en-GB"/>
        </w:rPr>
      </w:pPr>
    </w:p>
    <w:p w14:paraId="7479B336"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Cuneo, P. (1986). “Etude Sur La Topographie Et L’iconographie Historique De La Ville De Van”, Dickran Kouymjian (ed.), </w:t>
      </w:r>
      <w:r w:rsidRPr="00F03A26">
        <w:rPr>
          <w:rFonts w:asciiTheme="majorBidi" w:hAnsiTheme="majorBidi" w:cstheme="majorBidi"/>
          <w:i/>
          <w:iCs/>
          <w:color w:val="000000" w:themeColor="text1"/>
          <w:lang w:val="en-GB"/>
        </w:rPr>
        <w:t>Armenian</w:t>
      </w:r>
      <w:r w:rsidRPr="00F03A26">
        <w:rPr>
          <w:rFonts w:asciiTheme="majorBidi" w:hAnsiTheme="majorBidi" w:cstheme="majorBidi"/>
          <w:i/>
          <w:iCs/>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202124"/>
          <w:lang w:val="en-GB" w:eastAsia="it-IT"/>
        </w:rPr>
        <w:instrText>Armenian</w:instrText>
      </w:r>
      <w:r w:rsidRPr="00F03A26">
        <w:rPr>
          <w:rFonts w:asciiTheme="majorBidi" w:hAnsiTheme="majorBidi" w:cstheme="majorBidi"/>
          <w:lang w:val="en-GB"/>
        </w:rPr>
        <w:instrText xml:space="preserve">" </w:instrText>
      </w:r>
      <w:r w:rsidRPr="00F03A26">
        <w:rPr>
          <w:rFonts w:asciiTheme="majorBidi" w:hAnsiTheme="majorBidi" w:cstheme="majorBidi"/>
          <w:i/>
          <w:iCs/>
          <w:color w:val="000000" w:themeColor="text1"/>
          <w:lang w:val="en-GB"/>
        </w:rPr>
        <w:fldChar w:fldCharType="end"/>
      </w:r>
      <w:r w:rsidRPr="00F03A26">
        <w:rPr>
          <w:rFonts w:asciiTheme="majorBidi" w:hAnsiTheme="majorBidi" w:cstheme="majorBidi"/>
          <w:i/>
          <w:iCs/>
          <w:color w:val="000000" w:themeColor="text1"/>
          <w:lang w:val="en-GB"/>
        </w:rPr>
        <w:t xml:space="preserve"> Studies In Memoriam Halg Berberian</w:t>
      </w:r>
      <w:r w:rsidRPr="00F03A26">
        <w:rPr>
          <w:rFonts w:asciiTheme="majorBidi" w:hAnsiTheme="majorBidi" w:cstheme="majorBidi"/>
          <w:color w:val="000000" w:themeColor="text1"/>
          <w:lang w:val="en-GB"/>
        </w:rPr>
        <w:t>, Paris: 125-184.</w:t>
      </w:r>
    </w:p>
    <w:p w14:paraId="7BDD0BEF" w14:textId="77777777" w:rsidR="0088351C" w:rsidRPr="00F03A26" w:rsidRDefault="0088351C" w:rsidP="00F03A26">
      <w:pPr>
        <w:jc w:val="both"/>
        <w:rPr>
          <w:rFonts w:asciiTheme="majorBidi" w:hAnsiTheme="majorBidi" w:cstheme="majorBidi"/>
          <w:color w:val="000000" w:themeColor="text1"/>
          <w:lang w:val="en-GB"/>
        </w:rPr>
      </w:pPr>
    </w:p>
    <w:p w14:paraId="6A1FD0A0"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Çavuşoğlu, R. (2003). Rock-Cut Tombs and an Open-Air Shrine at Madavank</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z w:val="20"/>
          <w:szCs w:val="20"/>
          <w:lang w:val="en-GB"/>
        </w:rPr>
        <w:instrText>Madavank</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Eastern Turkey, </w:t>
      </w:r>
      <w:r w:rsidRPr="00F03A26">
        <w:rPr>
          <w:rFonts w:asciiTheme="majorBidi" w:hAnsiTheme="majorBidi" w:cstheme="majorBidi"/>
          <w:i/>
          <w:iCs/>
          <w:lang w:val="en-GB"/>
        </w:rPr>
        <w:t>Ancient Near Eastern Studies</w:t>
      </w:r>
      <w:r w:rsidRPr="00F03A26">
        <w:rPr>
          <w:rFonts w:asciiTheme="majorBidi" w:hAnsiTheme="majorBidi" w:cstheme="majorBidi"/>
          <w:lang w:val="en-GB"/>
        </w:rPr>
        <w:t>, 40, 135-159.</w:t>
      </w:r>
    </w:p>
    <w:p w14:paraId="61936D41"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Çavuşoğlu, R. (2006). Zernaki Tepe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"Zernaki 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Kaya Mezarları, In T. Takaoğlu (Ed.), </w:t>
      </w:r>
      <w:r w:rsidRPr="00F03A26">
        <w:rPr>
          <w:rFonts w:asciiTheme="majorBidi" w:hAnsiTheme="majorBidi" w:cstheme="majorBidi"/>
          <w:i/>
          <w:lang w:val="en-GB"/>
        </w:rPr>
        <w:t>Anadolu Arkeolojisine Katkılar: 65. Yaşında Abdullah Yaylalı’ya Sunulan Yazılar</w:t>
      </w:r>
      <w:r w:rsidRPr="00F03A26">
        <w:rPr>
          <w:rFonts w:asciiTheme="majorBidi" w:hAnsiTheme="majorBidi" w:cstheme="majorBidi"/>
          <w:lang w:val="en-GB"/>
        </w:rPr>
        <w:t xml:space="preserve"> (pp. 89-97). İstanbul, Hitit Color.</w:t>
      </w:r>
    </w:p>
    <w:p w14:paraId="6FD33C5D"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Çavuşoğlu, R., Işık, K., &amp; Gökce, B. (2014). Women and Their Status in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 Critical Review. </w:t>
      </w:r>
      <w:r w:rsidRPr="00F03A26">
        <w:rPr>
          <w:rFonts w:asciiTheme="majorBidi" w:hAnsiTheme="majorBidi" w:cstheme="majorBidi"/>
          <w:i/>
          <w:iCs/>
          <w:lang w:val="en-GB"/>
        </w:rPr>
        <w:t>Ancient Near Eastern Studies, 51</w:t>
      </w:r>
      <w:r w:rsidRPr="00F03A26">
        <w:rPr>
          <w:rFonts w:asciiTheme="majorBidi" w:hAnsiTheme="majorBidi" w:cstheme="majorBidi"/>
          <w:lang w:val="en-GB"/>
        </w:rPr>
        <w:t>, 237-263.</w:t>
      </w:r>
    </w:p>
    <w:p w14:paraId="15BFAF41"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Çavuşoğlu, R., &amp; Biber, H. (2012). A mysterious archaeological site in the vicinity of the Urartian</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capital Tuşpa</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"Tušpa"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Van/Kalecik</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z w:val="24"/>
          <w:szCs w:val="24"/>
          <w:lang w:val="en-GB"/>
        </w:rPr>
        <w:instrText>Kalecik</w:instrText>
      </w:r>
      <w:r w:rsidRPr="00F03A26">
        <w:rPr>
          <w:rFonts w:asciiTheme="majorBidi" w:hAnsiTheme="majorBidi" w:cstheme="majorBidi"/>
          <w:lang w:val="en-GB"/>
        </w:rPr>
        <w:instrText xml:space="preserve">"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w:t>
      </w:r>
      <w:r w:rsidRPr="00F03A26">
        <w:rPr>
          <w:rFonts w:asciiTheme="majorBidi" w:hAnsiTheme="majorBidi" w:cstheme="majorBidi"/>
          <w:i/>
          <w:iCs/>
          <w:sz w:val="24"/>
          <w:szCs w:val="24"/>
          <w:lang w:val="en-GB"/>
        </w:rPr>
        <w:t>Archäologische Mitteilungen aus Iran und Turan,</w:t>
      </w:r>
      <w:r w:rsidRPr="00F03A26">
        <w:rPr>
          <w:rFonts w:asciiTheme="majorBidi" w:hAnsiTheme="majorBidi" w:cstheme="majorBidi"/>
          <w:sz w:val="24"/>
          <w:szCs w:val="24"/>
          <w:lang w:val="en-GB"/>
        </w:rPr>
        <w:t xml:space="preserve"> 44, 329-342.</w:t>
      </w:r>
    </w:p>
    <w:p w14:paraId="75B300A4"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lastRenderedPageBreak/>
        <w:t>Çavuşoğlu, R., Biber, H., &amp; Başar, F. (2009). 2004-2007 Yılları Van-Kalecik</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z w:val="24"/>
          <w:szCs w:val="24"/>
          <w:lang w:val="en-GB"/>
        </w:rPr>
        <w:instrText>Kalecik</w:instrText>
      </w:r>
      <w:r w:rsidRPr="00F03A26">
        <w:rPr>
          <w:rFonts w:asciiTheme="majorBidi" w:hAnsiTheme="majorBidi" w:cstheme="majorBidi"/>
          <w:lang w:val="en-GB"/>
        </w:rPr>
        <w:instrText xml:space="preserve">"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Kazıları. </w:t>
      </w:r>
      <w:r w:rsidRPr="00F03A26">
        <w:rPr>
          <w:rFonts w:asciiTheme="majorBidi" w:hAnsiTheme="majorBidi" w:cstheme="majorBidi"/>
          <w:i/>
          <w:iCs/>
          <w:sz w:val="24"/>
          <w:szCs w:val="24"/>
          <w:lang w:val="en-GB"/>
        </w:rPr>
        <w:t>Kazı Sonuçları Toplantısı</w:t>
      </w:r>
      <w:r w:rsidRPr="00F03A26">
        <w:rPr>
          <w:rFonts w:asciiTheme="majorBidi" w:hAnsiTheme="majorBidi" w:cstheme="majorBidi"/>
          <w:sz w:val="24"/>
          <w:szCs w:val="24"/>
          <w:lang w:val="en-GB"/>
        </w:rPr>
        <w:t xml:space="preserve"> </w:t>
      </w:r>
      <w:r w:rsidRPr="00F03A26">
        <w:rPr>
          <w:rFonts w:asciiTheme="majorBidi" w:hAnsiTheme="majorBidi" w:cstheme="majorBidi"/>
          <w:i/>
          <w:iCs/>
          <w:sz w:val="24"/>
          <w:szCs w:val="24"/>
          <w:lang w:val="en-GB"/>
        </w:rPr>
        <w:t>30</w:t>
      </w:r>
      <w:r w:rsidRPr="00F03A26">
        <w:rPr>
          <w:rFonts w:asciiTheme="majorBidi" w:hAnsiTheme="majorBidi" w:cstheme="majorBidi"/>
          <w:sz w:val="24"/>
          <w:szCs w:val="24"/>
          <w:lang w:val="en-GB"/>
        </w:rPr>
        <w:t>(1), 269-290.</w:t>
      </w:r>
    </w:p>
    <w:p w14:paraId="6F2C7DF9"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Çelebi</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Çelebi</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E. (2010). </w:t>
      </w:r>
      <w:r w:rsidRPr="00F03A26">
        <w:rPr>
          <w:rFonts w:asciiTheme="majorBidi" w:hAnsiTheme="majorBidi" w:cstheme="majorBidi"/>
          <w:i/>
          <w:iCs/>
          <w:color w:val="000000" w:themeColor="text1"/>
          <w:lang w:val="en-GB"/>
        </w:rPr>
        <w:t>Günümüz Türkçesiyle Evliyâ Çelebi Seyahatnâmesi: Bağdad - Basra - Bitlis - Diyarbakır - Isfahan - Malatya - Mardin - Musul - Tabriz - Van</w:t>
      </w:r>
      <w:r w:rsidRPr="00F03A26">
        <w:rPr>
          <w:rFonts w:asciiTheme="majorBidi" w:hAnsiTheme="majorBidi" w:cstheme="majorBidi"/>
          <w:color w:val="000000" w:themeColor="text1"/>
          <w:lang w:val="en-GB"/>
        </w:rPr>
        <w:t xml:space="preserve"> (S. A. Kahraman &amp; Y. Dağlı, Trans.  Vol. 4. Kitap, 1. Cilt). İstanbul: Yapı Kredi Yayınları.</w:t>
      </w:r>
    </w:p>
    <w:p w14:paraId="18E9B6F7"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Çelebi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Çelebi</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E. (2013). </w:t>
      </w:r>
      <w:r w:rsidRPr="00F03A26">
        <w:rPr>
          <w:rFonts w:asciiTheme="majorBidi" w:hAnsiTheme="majorBidi" w:cstheme="majorBidi"/>
          <w:i/>
          <w:iCs/>
          <w:lang w:val="en-GB"/>
        </w:rPr>
        <w:t>Günümüz Türkçesiyle Evliyâ Çelebi Seyahatnâmesi.</w:t>
      </w:r>
      <w:r w:rsidRPr="00F03A26">
        <w:rPr>
          <w:rFonts w:asciiTheme="majorBidi" w:hAnsiTheme="majorBidi" w:cstheme="majorBidi"/>
          <w:lang w:val="en-GB"/>
        </w:rPr>
        <w:t xml:space="preserve"> İstanbul: Yapı Kredi Yayınları.</w:t>
      </w:r>
    </w:p>
    <w:p w14:paraId="591CDECC"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Çevik, N. (1997). On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Priests. </w:t>
      </w:r>
      <w:r w:rsidRPr="00F03A26">
        <w:rPr>
          <w:rFonts w:asciiTheme="majorBidi" w:hAnsiTheme="majorBidi" w:cstheme="majorBidi"/>
          <w:i/>
          <w:lang w:val="en-GB"/>
        </w:rPr>
        <w:t>Archäologische Mitteilungen aus Iran und Turan</w:t>
      </w:r>
      <w:r w:rsidRPr="00F03A26">
        <w:rPr>
          <w:rFonts w:asciiTheme="majorBidi" w:hAnsiTheme="majorBidi" w:cstheme="majorBidi"/>
          <w:lang w:val="en-GB"/>
        </w:rPr>
        <w:t xml:space="preserve"> </w:t>
      </w:r>
      <w:r w:rsidRPr="00F03A26">
        <w:rPr>
          <w:rFonts w:asciiTheme="majorBidi" w:hAnsiTheme="majorBidi" w:cstheme="majorBidi"/>
          <w:bCs/>
          <w:lang w:val="en-GB"/>
        </w:rPr>
        <w:t>29</w:t>
      </w:r>
      <w:r w:rsidRPr="00F03A26">
        <w:rPr>
          <w:rFonts w:asciiTheme="majorBidi" w:hAnsiTheme="majorBidi" w:cstheme="majorBidi"/>
          <w:lang w:val="en-GB"/>
        </w:rPr>
        <w:t>: 229-242.</w:t>
      </w:r>
    </w:p>
    <w:p w14:paraId="439C135F" w14:textId="77777777" w:rsidR="0088351C" w:rsidRPr="00F03A26" w:rsidRDefault="0088351C" w:rsidP="00F03A26">
      <w:pPr>
        <w:jc w:val="both"/>
        <w:rPr>
          <w:rFonts w:asciiTheme="majorBidi" w:hAnsiTheme="majorBidi" w:cstheme="majorBidi"/>
          <w:lang w:val="en-GB"/>
        </w:rPr>
      </w:pPr>
    </w:p>
    <w:p w14:paraId="55A0067E"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Çevik, N. (2000). </w:t>
      </w:r>
      <w:r w:rsidRPr="00F03A26">
        <w:rPr>
          <w:rFonts w:asciiTheme="majorBidi" w:hAnsiTheme="majorBidi" w:cstheme="majorBidi"/>
          <w:i/>
          <w:iCs/>
          <w:lang w:val="en-GB"/>
        </w:rPr>
        <w:t>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Kaya Mezarları ve Ölü Gömme Gelenekleri</w:t>
      </w:r>
      <w:r w:rsidRPr="00F03A26">
        <w:rPr>
          <w:rFonts w:asciiTheme="majorBidi" w:hAnsiTheme="majorBidi" w:cstheme="majorBidi"/>
          <w:lang w:val="en-GB"/>
        </w:rPr>
        <w:t>. Ankara: Türk Tarih Kurumu Yayınları.</w:t>
      </w:r>
    </w:p>
    <w:p w14:paraId="7725E796" w14:textId="77777777" w:rsidR="0088351C" w:rsidRPr="00F03A26" w:rsidRDefault="0088351C" w:rsidP="00F03A26">
      <w:pPr>
        <w:jc w:val="both"/>
        <w:rPr>
          <w:rFonts w:asciiTheme="majorBidi" w:hAnsiTheme="majorBidi" w:cstheme="majorBidi"/>
          <w:lang w:val="en-GB"/>
        </w:rPr>
      </w:pPr>
    </w:p>
    <w:p w14:paraId="04326134"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Çilingiroğlu, A. (1986). Van - Dilkaya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"Dilkaya"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Höyük, 1985. </w:t>
      </w:r>
      <w:r w:rsidRPr="00F03A26">
        <w:rPr>
          <w:rFonts w:asciiTheme="majorBidi" w:hAnsiTheme="majorBidi" w:cstheme="majorBidi"/>
          <w:i/>
          <w:iCs/>
          <w:lang w:val="en-GB"/>
        </w:rPr>
        <w:t>Anatolian Studies,</w:t>
      </w:r>
      <w:r w:rsidRPr="00F03A26">
        <w:rPr>
          <w:rFonts w:asciiTheme="majorBidi" w:hAnsiTheme="majorBidi" w:cstheme="majorBidi"/>
          <w:lang w:val="en-GB"/>
        </w:rPr>
        <w:t xml:space="preserve"> 36, 216-218.</w:t>
      </w:r>
    </w:p>
    <w:p w14:paraId="1BC7B72C" w14:textId="77777777" w:rsidR="0088351C" w:rsidRPr="00F03A26" w:rsidRDefault="0088351C" w:rsidP="00F03A26">
      <w:pPr>
        <w:pStyle w:val="EndNoteBibliography"/>
        <w:jc w:val="both"/>
        <w:rPr>
          <w:rFonts w:asciiTheme="majorBidi" w:hAnsiTheme="majorBidi" w:cstheme="majorBidi"/>
          <w:szCs w:val="24"/>
          <w:lang w:val="en-GB"/>
        </w:rPr>
      </w:pPr>
    </w:p>
    <w:p w14:paraId="57CADE10"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Çilingiroğlu, A. (1988). The History of the Kingdom of Van -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Van.</w:t>
      </w:r>
    </w:p>
    <w:p w14:paraId="1CB5E5CE"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Çilingiroğlu, A. (1993). Van-Dilkaya</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z w:val="24"/>
          <w:szCs w:val="24"/>
          <w:lang w:val="en-GB"/>
        </w:rPr>
        <w:instrText>Dilkaya</w:instrText>
      </w:r>
      <w:r w:rsidRPr="00F03A26">
        <w:rPr>
          <w:rFonts w:asciiTheme="majorBidi" w:hAnsiTheme="majorBidi" w:cstheme="majorBidi"/>
          <w:lang w:val="en-GB"/>
        </w:rPr>
        <w:instrText xml:space="preserve">"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Höyüğü Kazıları Kapanış. </w:t>
      </w:r>
      <w:r w:rsidRPr="00F03A26">
        <w:rPr>
          <w:rFonts w:asciiTheme="majorBidi" w:hAnsiTheme="majorBidi" w:cstheme="majorBidi"/>
          <w:i/>
          <w:iCs/>
          <w:sz w:val="24"/>
          <w:szCs w:val="24"/>
          <w:lang w:val="en-GB"/>
        </w:rPr>
        <w:t>Kazı Sonuçları Toplantısı,</w:t>
      </w:r>
      <w:r w:rsidRPr="00F03A26">
        <w:rPr>
          <w:rFonts w:asciiTheme="majorBidi" w:hAnsiTheme="majorBidi" w:cstheme="majorBidi"/>
          <w:sz w:val="24"/>
          <w:szCs w:val="24"/>
          <w:lang w:val="en-GB"/>
        </w:rPr>
        <w:t xml:space="preserve"> </w:t>
      </w:r>
      <w:r w:rsidRPr="00F03A26">
        <w:rPr>
          <w:rFonts w:asciiTheme="majorBidi" w:hAnsiTheme="majorBidi" w:cstheme="majorBidi"/>
          <w:i/>
          <w:iCs/>
          <w:sz w:val="24"/>
          <w:szCs w:val="24"/>
          <w:lang w:val="en-GB"/>
        </w:rPr>
        <w:t>14</w:t>
      </w:r>
      <w:r w:rsidRPr="00F03A26">
        <w:rPr>
          <w:rFonts w:asciiTheme="majorBidi" w:hAnsiTheme="majorBidi" w:cstheme="majorBidi"/>
          <w:sz w:val="24"/>
          <w:szCs w:val="24"/>
          <w:lang w:val="en-GB"/>
        </w:rPr>
        <w:t>(1), 469-491.</w:t>
      </w:r>
    </w:p>
    <w:p w14:paraId="093DC916"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Çilingiroğlu, A. (1997). </w:t>
      </w:r>
      <w:r w:rsidRPr="00F03A26">
        <w:rPr>
          <w:rFonts w:asciiTheme="majorBidi" w:hAnsiTheme="majorBidi" w:cstheme="majorBidi"/>
          <w:i/>
          <w:iCs/>
          <w:lang w:val="en-GB"/>
        </w:rPr>
        <w:t>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Krallığı Tarihi ve Sanatı</w:t>
      </w:r>
      <w:r w:rsidRPr="00F03A26">
        <w:rPr>
          <w:rFonts w:asciiTheme="majorBidi" w:hAnsiTheme="majorBidi" w:cstheme="majorBidi"/>
          <w:lang w:val="en-GB"/>
        </w:rPr>
        <w:t>. İzmir: Yaşar Eğitim ve Kültür Vakfı.</w:t>
      </w:r>
    </w:p>
    <w:p w14:paraId="2257FBC7" w14:textId="77777777" w:rsidR="0088351C" w:rsidRPr="00F03A26" w:rsidRDefault="0088351C" w:rsidP="00F03A26">
      <w:pPr>
        <w:jc w:val="both"/>
        <w:rPr>
          <w:rFonts w:asciiTheme="majorBidi" w:hAnsiTheme="majorBidi" w:cstheme="majorBidi"/>
          <w:lang w:val="en-GB"/>
        </w:rPr>
      </w:pPr>
    </w:p>
    <w:p w14:paraId="2462D045"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Çilingiroğlu, A. (1998). Urartu</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’da Tapınma ve Tapınma Yerleri. In G. Arsebük, M. J. Mellink, &amp; W. Schirmer (Eds.), </w:t>
      </w:r>
      <w:r w:rsidRPr="00F03A26">
        <w:rPr>
          <w:rFonts w:asciiTheme="majorBidi" w:hAnsiTheme="majorBidi" w:cstheme="majorBidi"/>
          <w:i/>
          <w:iCs/>
          <w:color w:val="000000" w:themeColor="text1"/>
          <w:lang w:val="en-GB"/>
        </w:rPr>
        <w:t>Light on Top of the Black Hill: Studies presented to Halet Çambel</w:t>
      </w:r>
      <w:r w:rsidRPr="00F03A26">
        <w:rPr>
          <w:rFonts w:asciiTheme="majorBidi" w:hAnsiTheme="majorBidi" w:cstheme="majorBidi"/>
          <w:color w:val="000000" w:themeColor="text1"/>
          <w:lang w:val="en-GB"/>
        </w:rPr>
        <w:t xml:space="preserve"> (pp. 230-239). İstanbul: Ege Yayınları.</w:t>
      </w:r>
    </w:p>
    <w:p w14:paraId="7DDCABC6" w14:textId="77777777" w:rsidR="0088351C" w:rsidRPr="00F03A26" w:rsidRDefault="0088351C" w:rsidP="00F03A26">
      <w:pPr>
        <w:jc w:val="both"/>
        <w:rPr>
          <w:rFonts w:asciiTheme="majorBidi" w:hAnsiTheme="majorBidi" w:cstheme="majorBidi"/>
          <w:color w:val="000000" w:themeColor="text1"/>
          <w:lang w:val="en-GB"/>
        </w:rPr>
      </w:pPr>
    </w:p>
    <w:p w14:paraId="15B6BA6D"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Çilingiroğlu, A. (2011).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Dini /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Religion. In K. Köroğlu &amp; E. Konyar (Ed.), </w:t>
      </w:r>
      <w:r w:rsidRPr="00F03A26">
        <w:rPr>
          <w:rFonts w:asciiTheme="majorBidi" w:hAnsiTheme="majorBidi" w:cstheme="majorBidi"/>
          <w:i/>
          <w:lang w:val="en-GB"/>
        </w:rPr>
        <w:t>Urartu: Doğuda Değişim</w:t>
      </w:r>
      <w:r w:rsidRPr="00F03A26">
        <w:rPr>
          <w:rFonts w:asciiTheme="majorBidi" w:hAnsiTheme="majorBidi" w:cstheme="majorBidi"/>
          <w:lang w:val="en-GB"/>
        </w:rPr>
        <w:t xml:space="preserve"> (pp. 186‒199). İstanbul: Yapı Kredi Yayınları.</w:t>
      </w:r>
    </w:p>
    <w:p w14:paraId="1E1AA5DE"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7F59E6F3"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Çilingiroğlu, A., &amp; Derin, Z. (1992). Van-Dilkaya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"Dilkaya"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Kazısı 1990. </w:t>
      </w:r>
      <w:r w:rsidRPr="00F03A26">
        <w:rPr>
          <w:rFonts w:asciiTheme="majorBidi" w:hAnsiTheme="majorBidi" w:cstheme="majorBidi"/>
          <w:i/>
          <w:iCs/>
          <w:lang w:val="en-GB"/>
        </w:rPr>
        <w:t>Kazı Sonuçları Toplantısı, XIII/1</w:t>
      </w:r>
      <w:r w:rsidRPr="00F03A26">
        <w:rPr>
          <w:rFonts w:asciiTheme="majorBidi" w:hAnsiTheme="majorBidi" w:cstheme="majorBidi"/>
          <w:lang w:val="en-GB"/>
        </w:rPr>
        <w:t>, 403-422.</w:t>
      </w:r>
    </w:p>
    <w:p w14:paraId="36FDE60C" w14:textId="77777777" w:rsidR="0088351C" w:rsidRPr="00F03A26" w:rsidRDefault="0088351C" w:rsidP="00F03A26">
      <w:pPr>
        <w:jc w:val="both"/>
        <w:rPr>
          <w:rFonts w:asciiTheme="majorBidi" w:hAnsiTheme="majorBidi" w:cstheme="majorBidi"/>
          <w:lang w:val="en-GB"/>
        </w:rPr>
      </w:pPr>
    </w:p>
    <w:p w14:paraId="456F383F"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Çilingiroğlu, A., &amp; Salvini, M. (Eds.). (2001). </w:t>
      </w:r>
      <w:r w:rsidRPr="00F03A26">
        <w:rPr>
          <w:rFonts w:asciiTheme="majorBidi" w:hAnsiTheme="majorBidi" w:cstheme="majorBidi"/>
          <w:i/>
          <w:iCs/>
          <w:lang w:val="en-GB"/>
        </w:rPr>
        <w:t>Ayanis</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"Ayanis"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I: Ten Years' Excavations at Rusahinili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hd w:val="clear" w:color="auto" w:fill="FFFFFF"/>
          <w:lang w:val="en-GB"/>
        </w:rPr>
        <w:instrText>Rusahinili</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Eiduru-Kai 1989-1998</w:t>
      </w:r>
      <w:r w:rsidRPr="00F03A26">
        <w:rPr>
          <w:rFonts w:asciiTheme="majorBidi" w:hAnsiTheme="majorBidi" w:cstheme="majorBidi"/>
          <w:lang w:val="en-GB"/>
        </w:rPr>
        <w:t>. Roma: CNR, Istituto per gli Studi Micenei ed Egeo-Anatolici.</w:t>
      </w:r>
    </w:p>
    <w:p w14:paraId="56CD9337" w14:textId="77777777" w:rsidR="0088351C" w:rsidRPr="00F03A26" w:rsidRDefault="0088351C" w:rsidP="00F03A26">
      <w:pPr>
        <w:jc w:val="both"/>
        <w:rPr>
          <w:rFonts w:asciiTheme="majorBidi" w:hAnsiTheme="majorBidi" w:cstheme="majorBidi"/>
          <w:lang w:val="en-GB"/>
        </w:rPr>
      </w:pPr>
    </w:p>
    <w:p w14:paraId="27958604" w14:textId="77777777" w:rsidR="0088351C" w:rsidRPr="00F03A26" w:rsidRDefault="0088351C" w:rsidP="00F03A26">
      <w:pPr>
        <w:spacing w:before="120" w:after="120"/>
        <w:jc w:val="both"/>
        <w:rPr>
          <w:rStyle w:val="fontstyle01"/>
          <w:rFonts w:asciiTheme="majorBidi" w:hAnsiTheme="majorBidi" w:cstheme="majorBidi"/>
          <w:lang w:val="en-GB"/>
        </w:rPr>
      </w:pPr>
      <w:r w:rsidRPr="00F03A26">
        <w:rPr>
          <w:rFonts w:asciiTheme="majorBidi" w:hAnsiTheme="majorBidi" w:cstheme="majorBidi"/>
          <w:lang w:val="en-GB"/>
        </w:rPr>
        <w:t xml:space="preserve">Çilingiroğlu, A. (2012). </w:t>
      </w:r>
      <w:r w:rsidRPr="00F03A26">
        <w:rPr>
          <w:rStyle w:val="fontstyle01"/>
          <w:rFonts w:asciiTheme="majorBidi" w:hAnsiTheme="majorBidi" w:cstheme="majorBidi"/>
          <w:lang w:val="en-GB"/>
        </w:rPr>
        <w:t>Urartian</w:t>
      </w:r>
      <w:r w:rsidRPr="00F03A26">
        <w:rPr>
          <w:rStyle w:val="fontstyle01"/>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Style w:val="fontstyle01"/>
          <w:rFonts w:asciiTheme="majorBidi" w:hAnsiTheme="majorBidi" w:cstheme="majorBidi"/>
          <w:lang w:val="en-GB"/>
        </w:rPr>
        <w:fldChar w:fldCharType="end"/>
      </w:r>
      <w:r w:rsidRPr="00F03A26">
        <w:rPr>
          <w:rStyle w:val="fontstyle01"/>
          <w:rFonts w:asciiTheme="majorBidi" w:hAnsiTheme="majorBidi" w:cstheme="majorBidi"/>
          <w:lang w:val="en-GB"/>
        </w:rPr>
        <w:t xml:space="preserve"> Temples. In </w:t>
      </w:r>
      <w:r w:rsidRPr="00F03A26">
        <w:rPr>
          <w:rFonts w:asciiTheme="majorBidi" w:hAnsiTheme="majorBidi" w:cstheme="majorBidi"/>
          <w:lang w:val="en-GB"/>
        </w:rPr>
        <w:t xml:space="preserve">S. Kroll, C. Gruber, U. Hellwag, M. Roaf </w:t>
      </w:r>
      <w:r w:rsidRPr="00F03A26">
        <w:rPr>
          <w:rFonts w:asciiTheme="majorBidi" w:eastAsia="Times New Roman" w:hAnsiTheme="majorBidi" w:cstheme="majorBidi"/>
          <w:lang w:val="en-GB" w:eastAsia="tr-TR" w:bidi="he-IL"/>
        </w:rPr>
        <w:t xml:space="preserve">&amp; </w:t>
      </w:r>
      <w:r w:rsidRPr="00F03A26">
        <w:rPr>
          <w:rFonts w:asciiTheme="majorBidi" w:hAnsiTheme="majorBidi" w:cstheme="majorBidi"/>
          <w:lang w:val="en-GB"/>
        </w:rPr>
        <w:t xml:space="preserve">Paul Zimansky (Eds.), </w:t>
      </w:r>
      <w:r w:rsidRPr="00F03A26">
        <w:rPr>
          <w:rFonts w:asciiTheme="majorBidi" w:hAnsiTheme="majorBidi" w:cstheme="majorBidi"/>
          <w:i/>
          <w:iCs/>
          <w:lang w:val="en-GB"/>
        </w:rPr>
        <w:t>Biainili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"Biainili"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The Proceedings of the Symposium held in Munich 12–14 October 2007 Tagungsbericht des Münchner Symposiums 12.–14. Oktober 2007 </w:t>
      </w:r>
      <w:r w:rsidRPr="00F03A26">
        <w:rPr>
          <w:rFonts w:asciiTheme="majorBidi" w:hAnsiTheme="majorBidi" w:cstheme="majorBidi"/>
          <w:lang w:val="en-GB"/>
        </w:rPr>
        <w:t xml:space="preserve">(pp. </w:t>
      </w:r>
      <w:r w:rsidRPr="00F03A26">
        <w:rPr>
          <w:rStyle w:val="fontstyle01"/>
          <w:rFonts w:asciiTheme="majorBidi" w:hAnsiTheme="majorBidi" w:cstheme="majorBidi"/>
          <w:lang w:val="en-GB"/>
        </w:rPr>
        <w:t>295-307</w:t>
      </w:r>
      <w:r w:rsidRPr="00F03A26">
        <w:rPr>
          <w:rFonts w:asciiTheme="majorBidi" w:hAnsiTheme="majorBidi" w:cstheme="majorBidi"/>
          <w:lang w:val="en-GB"/>
        </w:rPr>
        <w:t xml:space="preserve">). Acta Iranica 51, Leuven, Peeters. </w:t>
      </w:r>
    </w:p>
    <w:p w14:paraId="2E43038C"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Dan, R. (2015).</w:t>
      </w:r>
      <w:r w:rsidRPr="00F03A26">
        <w:rPr>
          <w:rFonts w:asciiTheme="majorBidi" w:hAnsiTheme="majorBidi" w:cstheme="majorBidi"/>
          <w:i/>
          <w:iCs/>
          <w:lang w:val="en-GB"/>
        </w:rPr>
        <w:t xml:space="preserve"> From the Armenian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eastAsia="it-IT"/>
        </w:rPr>
        <w:instrText>Armenian</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Highland to Iran: A Study on the Relations between the Kingdom of 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and the Achaemenid</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lang w:val="en-GB"/>
        </w:rPr>
        <w:instrText>Achaemenid</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Empire</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lang w:val="en-GB"/>
        </w:rPr>
        <w:instrText>Achaemenid Empire</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lang w:val="en-GB"/>
        </w:rPr>
        <w:t>, Roma: Scienze e lettere.</w:t>
      </w:r>
    </w:p>
    <w:p w14:paraId="5BEBDF42"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Danışmaz, H. 2020. </w:t>
      </w:r>
      <w:r w:rsidRPr="00F03A26">
        <w:rPr>
          <w:rFonts w:asciiTheme="majorBidi" w:hAnsiTheme="majorBidi" w:cstheme="majorBidi"/>
          <w:i/>
          <w:iCs/>
          <w:lang w:val="en-GB"/>
        </w:rPr>
        <w:t xml:space="preserve">Urartu Krallığı Yönetim ve Organizasyon, </w:t>
      </w:r>
      <w:r w:rsidRPr="00F03A26">
        <w:rPr>
          <w:rFonts w:asciiTheme="majorBidi" w:hAnsiTheme="majorBidi" w:cstheme="majorBidi"/>
          <w:lang w:val="en-GB"/>
        </w:rPr>
        <w:t>Ankara: Türk Tarih Kurumu.</w:t>
      </w:r>
    </w:p>
    <w:p w14:paraId="02E0D92C" w14:textId="77777777" w:rsidR="0088351C" w:rsidRPr="00F03A26" w:rsidRDefault="0088351C" w:rsidP="00F03A26">
      <w:pPr>
        <w:jc w:val="both"/>
        <w:rPr>
          <w:rFonts w:asciiTheme="majorBidi" w:hAnsiTheme="majorBidi" w:cstheme="majorBidi"/>
          <w:lang w:val="en-GB"/>
        </w:rPr>
      </w:pPr>
    </w:p>
    <w:p w14:paraId="06F81992"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Damerji, M. S. (1999). </w:t>
      </w:r>
      <w:r w:rsidRPr="00F03A26">
        <w:rPr>
          <w:rFonts w:asciiTheme="majorBidi" w:hAnsiTheme="majorBidi" w:cstheme="majorBidi"/>
          <w:i/>
          <w:iCs/>
          <w:lang w:val="en-GB"/>
        </w:rPr>
        <w:t>Graber Assyrischer Koniginnen aus Nimrud</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w:t>
      </w:r>
      <w:r w:rsidRPr="00F03A26">
        <w:rPr>
          <w:rFonts w:asciiTheme="majorBidi" w:hAnsiTheme="majorBidi" w:cstheme="majorBidi"/>
          <w:lang w:val="en-GB"/>
        </w:rPr>
        <w:t xml:space="preserve"> Baghdad, Department of Antiquities and Heritage, and Mainz: Römisch-Germanischen Zentralmuseum.</w:t>
      </w:r>
    </w:p>
    <w:p w14:paraId="76F9AC70" w14:textId="77777777" w:rsidR="0088351C" w:rsidRPr="00F03A26" w:rsidRDefault="0088351C" w:rsidP="00F03A26">
      <w:pPr>
        <w:jc w:val="both"/>
        <w:rPr>
          <w:rFonts w:asciiTheme="majorBidi" w:hAnsiTheme="majorBidi" w:cstheme="majorBidi"/>
          <w:lang w:val="en-GB"/>
        </w:rPr>
      </w:pPr>
    </w:p>
    <w:p w14:paraId="63593093"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Damerji, M. S. (2008). An Introduction to the Nimrud</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Tombs. In J. E. Curtis, H. McCall, D. Collon &amp; L. a.-G. Werr (Eds.), </w:t>
      </w:r>
      <w:r w:rsidRPr="00F03A26">
        <w:rPr>
          <w:rFonts w:asciiTheme="majorBidi" w:eastAsia="Times New Roman" w:hAnsiTheme="majorBidi" w:cstheme="majorBidi"/>
          <w:i/>
          <w:lang w:val="en-GB"/>
        </w:rPr>
        <w:t>New Light on Nimrud: Proceedings of the Nimrud Conference 11th–13th March 2002</w:t>
      </w:r>
      <w:r w:rsidRPr="00F03A26">
        <w:rPr>
          <w:rFonts w:asciiTheme="majorBidi" w:eastAsia="Times New Roman" w:hAnsiTheme="majorBidi" w:cstheme="majorBidi"/>
          <w:lang w:val="en-GB"/>
        </w:rPr>
        <w:t xml:space="preserve"> (pp. 81-82). London.</w:t>
      </w:r>
    </w:p>
    <w:p w14:paraId="6FA95788" w14:textId="77777777" w:rsidR="0088351C" w:rsidRPr="00F03A26" w:rsidRDefault="0088351C" w:rsidP="00F03A26">
      <w:pPr>
        <w:jc w:val="both"/>
        <w:rPr>
          <w:rFonts w:asciiTheme="majorBidi" w:eastAsia="Times New Roman" w:hAnsiTheme="majorBidi" w:cstheme="majorBidi"/>
          <w:lang w:val="en-GB"/>
        </w:rPr>
      </w:pPr>
    </w:p>
    <w:p w14:paraId="4E8FFE55"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Damerji, M. S. B. (1999). </w:t>
      </w:r>
      <w:r w:rsidRPr="00F03A26">
        <w:rPr>
          <w:rFonts w:asciiTheme="majorBidi" w:hAnsiTheme="majorBidi" w:cstheme="majorBidi"/>
          <w:i/>
          <w:lang w:val="en-GB"/>
        </w:rPr>
        <w:t>Gräber</w:t>
      </w:r>
      <w:r w:rsidRPr="00F03A26">
        <w:rPr>
          <w:rFonts w:asciiTheme="majorBidi" w:eastAsia="Times New Roman" w:hAnsiTheme="majorBidi" w:cstheme="majorBidi"/>
          <w:i/>
          <w:lang w:val="en-GB"/>
        </w:rPr>
        <w:t xml:space="preserve"> Assyrischer Königinnen aus Nimrud</w:t>
      </w:r>
      <w:r w:rsidRPr="00F03A26">
        <w:rPr>
          <w:rFonts w:asciiTheme="majorBidi" w:eastAsia="Times New Roman" w:hAnsiTheme="majorBidi" w:cstheme="majorBidi"/>
          <w: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i/>
          <w:lang w:val="en-GB"/>
        </w:rPr>
        <w:fldChar w:fldCharType="end"/>
      </w:r>
      <w:r w:rsidRPr="00F03A26">
        <w:rPr>
          <w:rFonts w:asciiTheme="majorBidi" w:eastAsia="Times New Roman" w:hAnsiTheme="majorBidi" w:cstheme="majorBidi"/>
          <w:lang w:val="en-GB"/>
        </w:rPr>
        <w:t>, Mainz. Verlag des Römisch-Germanischen Zentralmuseums.</w:t>
      </w:r>
    </w:p>
    <w:p w14:paraId="051CDB60" w14:textId="77777777" w:rsidR="0088351C" w:rsidRPr="00F03A26" w:rsidRDefault="0088351C" w:rsidP="00F03A26">
      <w:pPr>
        <w:jc w:val="both"/>
        <w:rPr>
          <w:rFonts w:asciiTheme="majorBidi" w:hAnsiTheme="majorBidi" w:cstheme="majorBidi"/>
          <w:color w:val="000000" w:themeColor="text1"/>
          <w:lang w:val="en-GB"/>
        </w:rPr>
      </w:pPr>
    </w:p>
    <w:p w14:paraId="3F1892D8"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lang w:val="en-GB"/>
        </w:rPr>
        <w:t>Deller, K. (1984). Ausgewählte neuassyrische Texte betreffend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"Urartu"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zur Zeit Sargons II., In Pecorella P.E and Salvini, (eds.). </w:t>
      </w:r>
      <w:r w:rsidRPr="00F03A26">
        <w:rPr>
          <w:rFonts w:asciiTheme="majorBidi" w:hAnsiTheme="majorBidi" w:cstheme="majorBidi"/>
          <w:i/>
          <w:lang w:val="en-GB"/>
        </w:rPr>
        <w:t>Tra lo Zagros</w:t>
      </w:r>
      <w:r w:rsidRPr="00F03A26">
        <w:rPr>
          <w:rFonts w:asciiTheme="majorBidi" w:hAnsiTheme="majorBidi" w:cstheme="majorBidi"/>
          <w: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hAnsiTheme="majorBidi" w:cstheme="majorBidi"/>
          <w:lang w:val="en-GB"/>
        </w:rPr>
        <w:instrText>Zagros</w:instrText>
      </w:r>
      <w:r w:rsidRPr="00F03A26">
        <w:rPr>
          <w:rFonts w:asciiTheme="majorBidi" w:hAnsiTheme="majorBidi" w:cstheme="majorBidi"/>
          <w:lang w:val="en-GB"/>
        </w:rPr>
        <w:instrText xml:space="preserve">" </w:instrText>
      </w:r>
      <w:r w:rsidRPr="00F03A26">
        <w:rPr>
          <w:rFonts w:asciiTheme="majorBidi" w:hAnsiTheme="majorBidi" w:cstheme="majorBidi"/>
          <w:i/>
          <w:lang w:val="en-GB"/>
        </w:rPr>
        <w:fldChar w:fldCharType="end"/>
      </w:r>
      <w:r w:rsidRPr="00F03A26">
        <w:rPr>
          <w:rFonts w:asciiTheme="majorBidi" w:hAnsiTheme="majorBidi" w:cstheme="majorBidi"/>
          <w:i/>
          <w:lang w:val="en-GB"/>
        </w:rPr>
        <w:t xml:space="preserve"> e l’Urmia</w:t>
      </w:r>
      <w:r w:rsidRPr="00F03A26">
        <w:rPr>
          <w:rFonts w:asciiTheme="majorBidi" w:hAnsiTheme="majorBidi" w:cstheme="majorBidi"/>
          <w: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202124"/>
          <w:lang w:val="en-GB"/>
        </w:rPr>
        <w:instrText>Urmia</w:instrText>
      </w:r>
      <w:r w:rsidRPr="00F03A26">
        <w:rPr>
          <w:rFonts w:asciiTheme="majorBidi" w:hAnsiTheme="majorBidi" w:cstheme="majorBidi"/>
          <w:lang w:val="en-GB"/>
        </w:rPr>
        <w:instrText xml:space="preserve">" </w:instrText>
      </w:r>
      <w:r w:rsidRPr="00F03A26">
        <w:rPr>
          <w:rFonts w:asciiTheme="majorBidi" w:hAnsiTheme="majorBidi" w:cstheme="majorBidi"/>
          <w:i/>
          <w:lang w:val="en-GB"/>
        </w:rPr>
        <w:fldChar w:fldCharType="end"/>
      </w:r>
      <w:r w:rsidRPr="00F03A26">
        <w:rPr>
          <w:rFonts w:asciiTheme="majorBidi" w:hAnsiTheme="majorBidi" w:cstheme="majorBidi"/>
          <w:i/>
          <w:lang w:val="en-GB"/>
        </w:rPr>
        <w:t>. Ricerche storiche ed archeologiche nell’Azerbaigian iraniano</w:t>
      </w:r>
      <w:r w:rsidRPr="00F03A26">
        <w:rPr>
          <w:rFonts w:asciiTheme="majorBidi" w:hAnsiTheme="majorBidi" w:cstheme="majorBidi"/>
          <w:lang w:val="en-GB"/>
        </w:rPr>
        <w:t>, (97-22). Roma: Edizioni Dell’Ateneo.</w:t>
      </w:r>
    </w:p>
    <w:p w14:paraId="2CC63F50" w14:textId="77777777" w:rsidR="0088351C" w:rsidRPr="00F03A26" w:rsidRDefault="0088351C" w:rsidP="00F03A26">
      <w:pPr>
        <w:jc w:val="both"/>
        <w:rPr>
          <w:rFonts w:asciiTheme="majorBidi" w:hAnsiTheme="majorBidi" w:cstheme="majorBidi"/>
          <w:color w:val="000000" w:themeColor="text1"/>
          <w:lang w:val="en-GB"/>
        </w:rPr>
      </w:pPr>
    </w:p>
    <w:p w14:paraId="4C77A78B"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Deyrolle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Deyrolle</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M.T. (1875/76). Voyage Dans Le Lazistan et L’Armenie, </w:t>
      </w:r>
      <w:r w:rsidRPr="00F03A26">
        <w:rPr>
          <w:rFonts w:asciiTheme="majorBidi" w:hAnsiTheme="majorBidi" w:cstheme="majorBidi"/>
          <w:i/>
          <w:iCs/>
          <w:color w:val="000000" w:themeColor="text1"/>
          <w:lang w:val="en-GB"/>
        </w:rPr>
        <w:t>Le Tour Du Monde,</w:t>
      </w:r>
      <w:r w:rsidRPr="00F03A26">
        <w:rPr>
          <w:rFonts w:asciiTheme="majorBidi" w:hAnsiTheme="majorBidi" w:cstheme="majorBidi"/>
          <w:color w:val="000000" w:themeColor="text1"/>
          <w:lang w:val="en-GB"/>
        </w:rPr>
        <w:t xml:space="preserve"> </w:t>
      </w:r>
      <w:r w:rsidRPr="00F03A26">
        <w:rPr>
          <w:rFonts w:asciiTheme="majorBidi" w:hAnsiTheme="majorBidi" w:cstheme="majorBidi"/>
          <w:i/>
          <w:iCs/>
          <w:color w:val="000000" w:themeColor="text1"/>
          <w:lang w:val="en-GB"/>
        </w:rPr>
        <w:t>Nouveau fournal des Voyages,</w:t>
      </w:r>
      <w:r w:rsidRPr="00F03A26">
        <w:rPr>
          <w:rFonts w:asciiTheme="majorBidi" w:hAnsiTheme="majorBidi" w:cstheme="majorBidi"/>
          <w:color w:val="000000" w:themeColor="text1"/>
          <w:lang w:val="en-GB"/>
        </w:rPr>
        <w:t xml:space="preserve"> I, Paris: 369-416.</w:t>
      </w:r>
    </w:p>
    <w:p w14:paraId="25636447" w14:textId="77777777" w:rsidR="0088351C" w:rsidRPr="00F03A26" w:rsidRDefault="0088351C" w:rsidP="00F03A26">
      <w:pPr>
        <w:jc w:val="both"/>
        <w:rPr>
          <w:rFonts w:asciiTheme="majorBidi" w:hAnsiTheme="majorBidi" w:cstheme="majorBidi"/>
          <w:color w:val="000000" w:themeColor="text1"/>
          <w:lang w:val="en-GB"/>
        </w:rPr>
      </w:pPr>
    </w:p>
    <w:p w14:paraId="710AB708"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Diakonoff, I. M. (1963). </w:t>
      </w:r>
      <w:r w:rsidRPr="00F03A26">
        <w:rPr>
          <w:rFonts w:asciiTheme="majorBidi" w:hAnsiTheme="majorBidi" w:cstheme="majorBidi"/>
          <w:i/>
          <w:iCs/>
          <w:lang w:val="en-GB"/>
        </w:rPr>
        <w:t>Urartskie pis’ma i dokumenty [Urartian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letters and documents]</w:t>
      </w:r>
      <w:r w:rsidRPr="00F03A26">
        <w:rPr>
          <w:rFonts w:asciiTheme="majorBidi" w:hAnsiTheme="majorBidi" w:cstheme="majorBidi"/>
          <w:lang w:val="en-GB"/>
        </w:rPr>
        <w:t>.  Leningrad-Moscow: Izdatel'stvo Akademii Nauk SSSR.</w:t>
      </w:r>
    </w:p>
    <w:p w14:paraId="431C936F" w14:textId="77777777" w:rsidR="0088351C" w:rsidRPr="00F03A26" w:rsidRDefault="0088351C" w:rsidP="00F03A26">
      <w:pPr>
        <w:jc w:val="both"/>
        <w:rPr>
          <w:rFonts w:asciiTheme="majorBidi" w:hAnsiTheme="majorBidi" w:cstheme="majorBidi"/>
          <w:lang w:val="en-GB"/>
        </w:rPr>
      </w:pPr>
    </w:p>
    <w:p w14:paraId="3A50E7F6"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Diakonoff, I. M. (1991). Sacrifices in the city of Teisebâ (UKN 448) - Lights on the Social History of Urartu. </w:t>
      </w:r>
      <w:r w:rsidRPr="00F03A26">
        <w:rPr>
          <w:rFonts w:asciiTheme="majorBidi" w:hAnsiTheme="majorBidi" w:cstheme="majorBidi"/>
          <w:i/>
          <w:iCs/>
          <w:lang w:val="en-GB"/>
        </w:rPr>
        <w:t>Archäologische Mitteilungen aus Iran</w:t>
      </w:r>
      <w:r w:rsidRPr="00F03A26">
        <w:rPr>
          <w:rFonts w:asciiTheme="majorBidi" w:hAnsiTheme="majorBidi" w:cstheme="majorBidi"/>
          <w:lang w:val="en-GB"/>
        </w:rPr>
        <w:t>, 24, 13-21.</w:t>
      </w:r>
    </w:p>
    <w:p w14:paraId="4CDF8BA7" w14:textId="77777777" w:rsidR="0088351C" w:rsidRPr="00F03A26" w:rsidRDefault="0088351C" w:rsidP="00F03A26">
      <w:pPr>
        <w:jc w:val="both"/>
        <w:rPr>
          <w:rFonts w:asciiTheme="majorBidi" w:hAnsiTheme="majorBidi" w:cstheme="majorBidi"/>
          <w:lang w:val="en-GB"/>
        </w:rPr>
      </w:pPr>
    </w:p>
    <w:p w14:paraId="36FD63DB"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Dinçol, A. M., &amp; Dinçol, B. (2010).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Yazısı ve Dili. In K. Köroğlu &amp; E. Konyar (Eds.), </w:t>
      </w:r>
      <w:r w:rsidRPr="00F03A26">
        <w:rPr>
          <w:rFonts w:asciiTheme="majorBidi" w:hAnsiTheme="majorBidi" w:cstheme="majorBidi"/>
          <w:i/>
          <w:iCs/>
          <w:szCs w:val="24"/>
          <w:lang w:val="en-GB"/>
        </w:rPr>
        <w:t>Urartu: Doğu’da Değişim / Transformation in the East</w:t>
      </w:r>
      <w:r w:rsidRPr="00F03A26">
        <w:rPr>
          <w:rFonts w:asciiTheme="majorBidi" w:hAnsiTheme="majorBidi" w:cstheme="majorBidi"/>
          <w:szCs w:val="24"/>
          <w:lang w:val="en-GB"/>
        </w:rPr>
        <w:t xml:space="preserve"> (pp. 170-183). İstanbul: Yapı Kredi Yayınları.</w:t>
      </w:r>
    </w:p>
    <w:p w14:paraId="31EC8866" w14:textId="577CBB12"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Erdem, A. Ü., Çilingiroğlu, A. (2010). Domestic Architecture in the Urartian</w:t>
      </w:r>
      <w:r w:rsidR="00EA6C63">
        <w:rPr>
          <w:rFonts w:asciiTheme="majorBidi" w:hAnsiTheme="majorBidi" w:cstheme="majorBidi"/>
          <w:color w:val="000000" w:themeColor="text1"/>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Fortress at Ayanis, P. Matthiae, F. Pinnock, L. Nigro, N. Marchetti, L. Romano (Eds.), </w:t>
      </w:r>
      <w:r w:rsidRPr="00F03A26">
        <w:rPr>
          <w:rFonts w:asciiTheme="majorBidi" w:hAnsiTheme="majorBidi" w:cstheme="majorBidi"/>
          <w:i/>
          <w:iCs/>
          <w:color w:val="000000" w:themeColor="text1"/>
          <w:lang w:val="en-GB"/>
        </w:rPr>
        <w:t>Proceedings of the 6th International Congress of the Archaeology of the Ancient Near East, 5 May-10 May 2009, “Sapienza”, Universita di Roma</w:t>
      </w:r>
      <w:r w:rsidRPr="00F03A26">
        <w:rPr>
          <w:rFonts w:asciiTheme="majorBidi" w:hAnsiTheme="majorBidi" w:cstheme="majorBidi"/>
          <w:color w:val="000000" w:themeColor="text1"/>
          <w:lang w:val="en-GB"/>
        </w:rPr>
        <w:t xml:space="preserve"> (pp. 151-164). Wiesbaden: Harrassowitz Verlag.</w:t>
      </w:r>
    </w:p>
    <w:p w14:paraId="5A39819A" w14:textId="77777777" w:rsidR="0088351C" w:rsidRPr="00F03A26" w:rsidRDefault="0088351C" w:rsidP="00F03A26">
      <w:pPr>
        <w:jc w:val="both"/>
        <w:rPr>
          <w:rFonts w:asciiTheme="majorBidi" w:hAnsiTheme="majorBidi" w:cstheme="majorBidi"/>
          <w:color w:val="000000" w:themeColor="text1"/>
          <w:lang w:val="en-GB"/>
        </w:rPr>
      </w:pPr>
    </w:p>
    <w:p w14:paraId="6B2DD4E6"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Erdoğan, S. (2017).</w:t>
      </w:r>
      <w:r w:rsidRPr="00F03A26">
        <w:rPr>
          <w:rFonts w:asciiTheme="majorBidi" w:hAnsiTheme="majorBidi" w:cstheme="majorBidi"/>
          <w:i/>
          <w:lang w:val="en-GB"/>
        </w:rPr>
        <w:t xml:space="preserve"> Doğu Anadolu Bölgesi Tek Odalı Kaya Mezarları: Kökeni, Gelişimi ve Mimari Tipolojisi. </w:t>
      </w:r>
      <w:r w:rsidRPr="00F03A26">
        <w:rPr>
          <w:rFonts w:asciiTheme="majorBidi" w:hAnsiTheme="majorBidi" w:cstheme="majorBidi"/>
          <w:iCs/>
          <w:lang w:val="en-GB"/>
        </w:rPr>
        <w:t>Unpublished PhD Dissertation, Van, University of Yüzüncü Yıl.</w:t>
      </w:r>
      <w:r w:rsidRPr="00F03A26">
        <w:rPr>
          <w:rFonts w:asciiTheme="majorBidi" w:hAnsiTheme="majorBidi" w:cstheme="majorBidi"/>
          <w:lang w:val="en-GB"/>
        </w:rPr>
        <w:t xml:space="preserve"> </w:t>
      </w:r>
    </w:p>
    <w:p w14:paraId="584D613B" w14:textId="77777777" w:rsidR="0088351C" w:rsidRPr="00F03A26" w:rsidRDefault="0088351C" w:rsidP="00F03A26">
      <w:pPr>
        <w:jc w:val="both"/>
        <w:rPr>
          <w:rFonts w:asciiTheme="majorBidi" w:hAnsiTheme="majorBidi" w:cstheme="majorBidi"/>
          <w:lang w:val="en-GB"/>
        </w:rPr>
      </w:pPr>
    </w:p>
    <w:p w14:paraId="2B980102"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eastAsia="Times New Roman" w:hAnsiTheme="majorBidi" w:cstheme="majorBidi"/>
          <w:lang w:val="en-GB"/>
        </w:rPr>
        <w:t>Erdoğan, S., Ercek, M., &amp; Şen, M. (2020). Kayalıdere</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Kayalıdere</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Kalesi 2018-2019 Yılı Kurtarma Kazıları; İlk Notlar. </w:t>
      </w:r>
      <w:r w:rsidRPr="00F03A26">
        <w:rPr>
          <w:rFonts w:asciiTheme="majorBidi" w:eastAsia="Times New Roman" w:hAnsiTheme="majorBidi" w:cstheme="majorBidi"/>
          <w:i/>
          <w:lang w:val="en-GB"/>
        </w:rPr>
        <w:t>Aras Türkiye Eski Yakın Doğu Araştırmaları Dergisi</w:t>
      </w:r>
      <w:r w:rsidRPr="00F03A26">
        <w:rPr>
          <w:rFonts w:asciiTheme="majorBidi" w:eastAsia="Times New Roman" w:hAnsiTheme="majorBidi" w:cstheme="majorBidi"/>
          <w:lang w:val="en-GB"/>
        </w:rPr>
        <w:t xml:space="preserve"> 2: 19-37.</w:t>
      </w:r>
    </w:p>
    <w:p w14:paraId="016B64C6" w14:textId="77777777" w:rsidR="0088351C" w:rsidRPr="00F03A26" w:rsidRDefault="0088351C" w:rsidP="00F03A26">
      <w:pPr>
        <w:jc w:val="both"/>
        <w:rPr>
          <w:rFonts w:asciiTheme="majorBidi" w:hAnsiTheme="majorBidi" w:cstheme="majorBidi"/>
          <w:color w:val="000000" w:themeColor="text1"/>
          <w:lang w:val="en-GB"/>
        </w:rPr>
      </w:pPr>
    </w:p>
    <w:p w14:paraId="1005B881" w14:textId="689D6C58"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Erzen, A. (1960a). Van-Toprakkale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"Toprakkale"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kazısı ve bölgede yapılan araştırmalar. </w:t>
      </w:r>
      <w:r w:rsidRPr="00F03A26">
        <w:rPr>
          <w:rFonts w:asciiTheme="majorBidi" w:hAnsiTheme="majorBidi" w:cstheme="majorBidi"/>
          <w:i/>
          <w:iCs/>
          <w:color w:val="000000" w:themeColor="text1"/>
          <w:lang w:val="en-GB"/>
        </w:rPr>
        <w:t xml:space="preserve">Belleten, XXIV </w:t>
      </w:r>
      <w:r w:rsidRPr="00F03A26">
        <w:rPr>
          <w:rFonts w:asciiTheme="majorBidi" w:hAnsiTheme="majorBidi" w:cstheme="majorBidi"/>
          <w:color w:val="000000" w:themeColor="text1"/>
          <w:lang w:val="en-GB"/>
        </w:rPr>
        <w:t>(96), 716-718.</w:t>
      </w:r>
    </w:p>
    <w:p w14:paraId="4683E5A9" w14:textId="77777777" w:rsidR="0088351C" w:rsidRPr="00F03A26" w:rsidRDefault="0088351C" w:rsidP="00F03A26">
      <w:pPr>
        <w:jc w:val="both"/>
        <w:rPr>
          <w:rFonts w:asciiTheme="majorBidi" w:eastAsia="Times New Roman" w:hAnsiTheme="majorBidi" w:cstheme="majorBidi"/>
          <w:lang w:val="en-GB"/>
        </w:rPr>
      </w:pPr>
    </w:p>
    <w:p w14:paraId="4D0E5D99" w14:textId="7A526413"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Erzen, A. (1962). Untersuchungen in der Urartaischen Stadt Toprakkale</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"Toprakkale"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Bei Van in den Jahren 1959-1961, </w:t>
      </w:r>
      <w:r w:rsidRPr="00F03A26">
        <w:rPr>
          <w:rFonts w:asciiTheme="majorBidi" w:eastAsia="Times New Roman" w:hAnsiTheme="majorBidi" w:cstheme="majorBidi"/>
          <w:i/>
          <w:lang w:val="en-GB"/>
        </w:rPr>
        <w:t>Archäologischer Anzeiger,</w:t>
      </w:r>
      <w:r w:rsidRPr="00F03A26">
        <w:rPr>
          <w:rFonts w:asciiTheme="majorBidi" w:eastAsia="Times New Roman" w:hAnsiTheme="majorBidi" w:cstheme="majorBidi"/>
          <w:lang w:val="en-GB"/>
        </w:rPr>
        <w:t xml:space="preserve"> 77 (3), 383-414.</w:t>
      </w:r>
    </w:p>
    <w:p w14:paraId="3B29869B" w14:textId="77777777" w:rsidR="0088351C" w:rsidRPr="00F03A26" w:rsidRDefault="0088351C" w:rsidP="00F03A26">
      <w:pPr>
        <w:jc w:val="both"/>
        <w:rPr>
          <w:rFonts w:asciiTheme="majorBidi" w:hAnsiTheme="majorBidi" w:cstheme="majorBidi"/>
          <w:color w:val="000000" w:themeColor="text1"/>
          <w:lang w:val="en-GB"/>
        </w:rPr>
      </w:pPr>
    </w:p>
    <w:p w14:paraId="431DC1D9" w14:textId="45D633A0"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Erzen, A. (1963). Ünseli (Ernis) Mezarlığı. </w:t>
      </w:r>
      <w:r w:rsidRPr="00F03A26">
        <w:rPr>
          <w:rFonts w:asciiTheme="majorBidi" w:hAnsiTheme="majorBidi" w:cstheme="majorBidi"/>
          <w:i/>
          <w:iCs/>
          <w:lang w:val="en-GB"/>
        </w:rPr>
        <w:t xml:space="preserve">Belleten, </w:t>
      </w:r>
      <w:r w:rsidRPr="00F03A26">
        <w:rPr>
          <w:rFonts w:asciiTheme="majorBidi" w:hAnsiTheme="majorBidi" w:cstheme="majorBidi"/>
          <w:lang w:val="en-GB"/>
        </w:rPr>
        <w:t>XXVII/107, 542.</w:t>
      </w:r>
    </w:p>
    <w:p w14:paraId="67A27DFE" w14:textId="77777777" w:rsidR="0088351C" w:rsidRPr="00F03A26" w:rsidRDefault="0088351C" w:rsidP="00F03A26">
      <w:pPr>
        <w:jc w:val="both"/>
        <w:rPr>
          <w:rFonts w:asciiTheme="majorBidi" w:hAnsiTheme="majorBidi" w:cstheme="majorBidi"/>
          <w:lang w:val="en-GB"/>
        </w:rPr>
      </w:pPr>
    </w:p>
    <w:p w14:paraId="5FC86325" w14:textId="45874B3B"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Erzen, A. (1964). Toprakkale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"Toprakkale" </w:instrText>
      </w:r>
      <w:r w:rsidRPr="00F03A26">
        <w:rPr>
          <w:rFonts w:asciiTheme="majorBidi" w:hAnsiTheme="majorBidi" w:cstheme="majorBidi"/>
          <w:lang w:val="en-GB"/>
        </w:rPr>
        <w:fldChar w:fldCharType="end"/>
      </w:r>
      <w:r w:rsidRPr="00F03A26">
        <w:rPr>
          <w:rFonts w:asciiTheme="majorBidi" w:hAnsiTheme="majorBidi" w:cstheme="majorBidi"/>
          <w:lang w:val="en-GB"/>
        </w:rPr>
        <w:t>, Çavuştepe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"Çavuştepe"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ve Ünseli (Ernis) Kazıları. </w:t>
      </w:r>
      <w:r w:rsidRPr="00F03A26">
        <w:rPr>
          <w:rFonts w:asciiTheme="majorBidi" w:hAnsiTheme="majorBidi" w:cstheme="majorBidi"/>
          <w:i/>
          <w:iCs/>
          <w:lang w:val="en-GB"/>
        </w:rPr>
        <w:t xml:space="preserve">Belleten. </w:t>
      </w:r>
      <w:r w:rsidRPr="00F03A26">
        <w:rPr>
          <w:rFonts w:asciiTheme="majorBidi" w:hAnsiTheme="majorBidi" w:cstheme="majorBidi"/>
          <w:lang w:val="en-GB"/>
        </w:rPr>
        <w:t>XXVIII (111), 568-572.</w:t>
      </w:r>
    </w:p>
    <w:p w14:paraId="25907588" w14:textId="725DE28F"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Erzen, A. (1972). Çavuştepe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"Çavuştepe"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1970 Kazısı, </w:t>
      </w:r>
      <w:r w:rsidRPr="00F03A26">
        <w:rPr>
          <w:rFonts w:asciiTheme="majorBidi" w:hAnsiTheme="majorBidi" w:cstheme="majorBidi"/>
          <w:i/>
          <w:iCs/>
          <w:lang w:val="en-GB"/>
        </w:rPr>
        <w:t xml:space="preserve">Türk Arkeoloji Dergisi </w:t>
      </w:r>
      <w:r w:rsidRPr="00F03A26">
        <w:rPr>
          <w:rFonts w:asciiTheme="majorBidi" w:hAnsiTheme="majorBidi" w:cstheme="majorBidi"/>
          <w:lang w:val="en-GB"/>
        </w:rPr>
        <w:t xml:space="preserve">19(2), 103-108. </w:t>
      </w:r>
    </w:p>
    <w:p w14:paraId="31F9BC3F" w14:textId="16C976C5"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Erzen, A. (1974). Çavuştepe</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"Çavuştepe"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Kazısı 1973 Yılı Çalışmaları. </w:t>
      </w:r>
      <w:r w:rsidRPr="00F03A26">
        <w:rPr>
          <w:rFonts w:asciiTheme="majorBidi" w:hAnsiTheme="majorBidi" w:cstheme="majorBidi"/>
          <w:i/>
          <w:iCs/>
          <w:color w:val="000000" w:themeColor="text1"/>
          <w:lang w:val="en-GB"/>
        </w:rPr>
        <w:t xml:space="preserve">Belleten, XXXVIII </w:t>
      </w:r>
      <w:r w:rsidRPr="00F03A26">
        <w:rPr>
          <w:rFonts w:asciiTheme="majorBidi" w:hAnsiTheme="majorBidi" w:cstheme="majorBidi"/>
          <w:color w:val="000000" w:themeColor="text1"/>
          <w:lang w:val="en-GB"/>
        </w:rPr>
        <w:t>(151), 547-549.</w:t>
      </w:r>
    </w:p>
    <w:p w14:paraId="54B78E8F" w14:textId="77777777" w:rsidR="0088351C" w:rsidRPr="00F03A26" w:rsidRDefault="0088351C" w:rsidP="00F03A26">
      <w:pPr>
        <w:jc w:val="both"/>
        <w:rPr>
          <w:rFonts w:asciiTheme="majorBidi" w:hAnsiTheme="majorBidi" w:cstheme="majorBidi"/>
          <w:color w:val="000000" w:themeColor="text1"/>
          <w:lang w:val="en-GB"/>
        </w:rPr>
      </w:pPr>
    </w:p>
    <w:p w14:paraId="20E4DD57" w14:textId="49DE2FEB"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Erzen, A. (1975). Van Kalesi</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"Van Kalesi"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Kazısı 1974 Yılı Çalışmaları. </w:t>
      </w:r>
      <w:r w:rsidRPr="00F03A26">
        <w:rPr>
          <w:rFonts w:asciiTheme="majorBidi" w:hAnsiTheme="majorBidi" w:cstheme="majorBidi"/>
          <w:i/>
          <w:iCs/>
          <w:color w:val="000000" w:themeColor="text1"/>
          <w:lang w:val="en-GB"/>
        </w:rPr>
        <w:t xml:space="preserve">Belleten, XXXIX </w:t>
      </w:r>
      <w:r w:rsidRPr="00F03A26">
        <w:rPr>
          <w:rFonts w:asciiTheme="majorBidi" w:hAnsiTheme="majorBidi" w:cstheme="majorBidi"/>
          <w:color w:val="000000" w:themeColor="text1"/>
          <w:lang w:val="en-GB"/>
        </w:rPr>
        <w:t>(155), 561-562.</w:t>
      </w:r>
    </w:p>
    <w:p w14:paraId="070C20D6" w14:textId="77777777" w:rsidR="0088351C" w:rsidRPr="00F03A26" w:rsidRDefault="0088351C" w:rsidP="00F03A26">
      <w:pPr>
        <w:jc w:val="both"/>
        <w:rPr>
          <w:rFonts w:asciiTheme="majorBidi" w:hAnsiTheme="majorBidi" w:cstheme="majorBidi"/>
          <w:highlight w:val="cyan"/>
          <w:lang w:val="en-GB"/>
        </w:rPr>
      </w:pPr>
    </w:p>
    <w:p w14:paraId="77545721" w14:textId="6BE127BB"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Erzen, A. (1976a). Van Fortress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"Van Fortress"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1975. </w:t>
      </w:r>
      <w:r w:rsidRPr="00F03A26">
        <w:rPr>
          <w:rFonts w:asciiTheme="majorBidi" w:hAnsiTheme="majorBidi" w:cstheme="majorBidi"/>
          <w:i/>
          <w:iCs/>
          <w:lang w:val="en-GB"/>
        </w:rPr>
        <w:t>Anatolian Studies, 26</w:t>
      </w:r>
      <w:r w:rsidRPr="00F03A26">
        <w:rPr>
          <w:rFonts w:asciiTheme="majorBidi" w:hAnsiTheme="majorBidi" w:cstheme="majorBidi"/>
          <w:lang w:val="en-GB"/>
        </w:rPr>
        <w:t>, 65.</w:t>
      </w:r>
    </w:p>
    <w:p w14:paraId="799F7F53" w14:textId="77777777" w:rsidR="0088351C" w:rsidRPr="00F03A26" w:rsidRDefault="0088351C" w:rsidP="00F03A26">
      <w:pPr>
        <w:jc w:val="both"/>
        <w:rPr>
          <w:rFonts w:asciiTheme="majorBidi" w:hAnsiTheme="majorBidi" w:cstheme="majorBidi"/>
          <w:color w:val="00B0F0"/>
          <w:lang w:val="en-GB"/>
        </w:rPr>
      </w:pPr>
    </w:p>
    <w:p w14:paraId="76E49A65" w14:textId="37BE1736"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Erzen, A. (1976b). </w:t>
      </w:r>
      <w:r w:rsidRPr="00F03A26">
        <w:rPr>
          <w:rFonts w:asciiTheme="majorBidi" w:eastAsia="Calibri" w:hAnsiTheme="majorBidi" w:cstheme="majorBidi"/>
          <w:lang w:val="en-GB"/>
        </w:rPr>
        <w:t>Van Kalesi</w:t>
      </w:r>
      <w:r w:rsidRPr="00F03A26">
        <w:rPr>
          <w:rFonts w:asciiTheme="majorBidi" w:eastAsia="Calibr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Kazısı 1974 Çalışmaları. </w:t>
      </w:r>
      <w:r w:rsidRPr="00F03A26">
        <w:rPr>
          <w:rFonts w:asciiTheme="majorBidi" w:eastAsia="Calibri" w:hAnsiTheme="majorBidi" w:cstheme="majorBidi"/>
          <w:i/>
          <w:iCs/>
          <w:lang w:val="en-GB"/>
        </w:rPr>
        <w:t>Türk Arkeoloji Dergisi</w:t>
      </w:r>
      <w:r w:rsidRPr="00F03A26">
        <w:rPr>
          <w:rFonts w:asciiTheme="majorBidi" w:eastAsia="Calibri" w:hAnsiTheme="majorBidi" w:cstheme="majorBidi"/>
          <w:lang w:val="en-GB"/>
        </w:rPr>
        <w:t xml:space="preserve"> </w:t>
      </w:r>
      <w:r w:rsidRPr="00F03A26">
        <w:rPr>
          <w:rFonts w:asciiTheme="majorBidi" w:eastAsia="Calibri" w:hAnsiTheme="majorBidi" w:cstheme="majorBidi"/>
          <w:i/>
          <w:iCs/>
          <w:lang w:val="en-GB"/>
        </w:rPr>
        <w:t>XXIII-2</w:t>
      </w:r>
      <w:r w:rsidRPr="00F03A26">
        <w:rPr>
          <w:rFonts w:asciiTheme="majorBidi" w:eastAsia="Calibri" w:hAnsiTheme="majorBidi" w:cstheme="majorBidi"/>
          <w:lang w:val="en-GB"/>
        </w:rPr>
        <w:t xml:space="preserve">, 49-52. </w:t>
      </w:r>
    </w:p>
    <w:p w14:paraId="3B040FA6" w14:textId="77777777" w:rsidR="0088351C" w:rsidRPr="00F03A26" w:rsidRDefault="0088351C" w:rsidP="00F03A26">
      <w:pPr>
        <w:jc w:val="both"/>
        <w:rPr>
          <w:rFonts w:asciiTheme="majorBidi" w:hAnsiTheme="majorBidi" w:cstheme="majorBidi"/>
          <w:color w:val="000000" w:themeColor="text1"/>
          <w:lang w:val="en-GB"/>
        </w:rPr>
      </w:pPr>
    </w:p>
    <w:p w14:paraId="25D92FFE" w14:textId="128D4A36"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Erzen, A. (1978). </w:t>
      </w:r>
      <w:r w:rsidRPr="00F03A26">
        <w:rPr>
          <w:rFonts w:asciiTheme="majorBidi" w:hAnsiTheme="majorBidi" w:cstheme="majorBidi"/>
          <w:i/>
          <w:iCs/>
          <w:lang w:val="en-GB"/>
        </w:rPr>
        <w:t>Çavuştepe</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"Çavuştepe"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I. M.Ö. 7.-6. yüzyıl 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Mimarlık Anıtları ve Ortaçağ Nekropolü</w:t>
      </w:r>
      <w:r w:rsidRPr="00F03A26">
        <w:rPr>
          <w:rFonts w:asciiTheme="majorBidi" w:hAnsiTheme="majorBidi" w:cstheme="majorBidi"/>
          <w:lang w:val="en-GB"/>
        </w:rPr>
        <w:t>. Ankara: Türk Tarih Kurumu.</w:t>
      </w:r>
    </w:p>
    <w:p w14:paraId="1812F134" w14:textId="77777777" w:rsidR="0088351C" w:rsidRPr="00F03A26" w:rsidRDefault="0088351C" w:rsidP="00F03A26">
      <w:pPr>
        <w:jc w:val="both"/>
        <w:rPr>
          <w:rFonts w:asciiTheme="majorBidi" w:hAnsiTheme="majorBidi" w:cstheme="majorBidi"/>
          <w:lang w:val="en-GB"/>
        </w:rPr>
      </w:pPr>
    </w:p>
    <w:p w14:paraId="29BC07C6" w14:textId="5164BA0E"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Erzen, A. (1988). </w:t>
      </w:r>
      <w:r w:rsidRPr="00F03A26">
        <w:rPr>
          <w:rFonts w:asciiTheme="majorBidi" w:hAnsiTheme="majorBidi" w:cstheme="majorBidi"/>
          <w:i/>
          <w:iCs/>
          <w:lang w:val="en-GB"/>
        </w:rPr>
        <w:t>Çavuştepe</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"Çavuştepe"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I. Urartian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Architectural Monuments of the 7th and 6th Centuries B. C. and a Necropolis of the Middle Ages</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"Middle Ages" </w:instrText>
      </w:r>
      <w:r w:rsidRPr="00F03A26">
        <w:rPr>
          <w:rFonts w:asciiTheme="majorBidi" w:hAnsiTheme="majorBidi" w:cstheme="majorBidi"/>
          <w:i/>
          <w:iCs/>
          <w:lang w:val="en-GB"/>
        </w:rPr>
        <w:fldChar w:fldCharType="end"/>
      </w:r>
      <w:r w:rsidRPr="00F03A26">
        <w:rPr>
          <w:rFonts w:asciiTheme="majorBidi" w:hAnsiTheme="majorBidi" w:cstheme="majorBidi"/>
          <w:lang w:val="en-GB"/>
        </w:rPr>
        <w:t>. Ankara: Türk Tarih Kurumu Basımevi.</w:t>
      </w:r>
    </w:p>
    <w:p w14:paraId="2D82ED08" w14:textId="77777777" w:rsidR="0088351C" w:rsidRPr="00F03A26" w:rsidRDefault="0088351C" w:rsidP="00F03A26">
      <w:pPr>
        <w:jc w:val="both"/>
        <w:rPr>
          <w:rFonts w:asciiTheme="majorBidi" w:hAnsiTheme="majorBidi" w:cstheme="majorBidi"/>
          <w:lang w:val="en-GB"/>
        </w:rPr>
      </w:pPr>
    </w:p>
    <w:p w14:paraId="12CC04EE" w14:textId="20428D05"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Erzen, A., Bilgiç, E., Boysal, Y., &amp; Öğün, B. (1960). 1959 Van-Toprakkale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"Toprakkale"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Sondajları ve Bölgedeki Çalışmalar. </w:t>
      </w:r>
      <w:r w:rsidRPr="00F03A26">
        <w:rPr>
          <w:rFonts w:asciiTheme="majorBidi" w:hAnsiTheme="majorBidi" w:cstheme="majorBidi"/>
          <w:i/>
          <w:iCs/>
          <w:lang w:val="en-GB"/>
        </w:rPr>
        <w:t xml:space="preserve">Türk Arkeoloji Dergisi, 10 </w:t>
      </w:r>
      <w:r w:rsidRPr="00F03A26">
        <w:rPr>
          <w:rFonts w:asciiTheme="majorBidi" w:hAnsiTheme="majorBidi" w:cstheme="majorBidi"/>
          <w:lang w:val="en-GB"/>
        </w:rPr>
        <w:t>(2), 5-22.</w:t>
      </w:r>
    </w:p>
    <w:p w14:paraId="37E5DAB4" w14:textId="77777777" w:rsidR="0088351C" w:rsidRPr="00F03A26" w:rsidRDefault="0088351C" w:rsidP="00F03A26">
      <w:pPr>
        <w:jc w:val="both"/>
        <w:rPr>
          <w:rFonts w:asciiTheme="majorBidi" w:hAnsiTheme="majorBidi" w:cstheme="majorBidi"/>
          <w:lang w:val="en-GB"/>
        </w:rPr>
      </w:pPr>
    </w:p>
    <w:p w14:paraId="080406BB" w14:textId="3428BBCE"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Erzen, A., Bilgiç, E., Boysal, Y., &amp; Öğün, B. (1963). Van Çevresi 1963 Çalışmaları. </w:t>
      </w:r>
      <w:r w:rsidRPr="00F03A26">
        <w:rPr>
          <w:rFonts w:asciiTheme="majorBidi" w:hAnsiTheme="majorBidi" w:cstheme="majorBidi"/>
          <w:i/>
          <w:iCs/>
          <w:lang w:val="en-GB"/>
        </w:rPr>
        <w:t xml:space="preserve">Türk Arkeoloji Dergisi, XII </w:t>
      </w:r>
      <w:r w:rsidRPr="00F03A26">
        <w:rPr>
          <w:rFonts w:asciiTheme="majorBidi" w:hAnsiTheme="majorBidi" w:cstheme="majorBidi"/>
          <w:lang w:val="en-GB"/>
        </w:rPr>
        <w:t>(2), 34-36.</w:t>
      </w:r>
    </w:p>
    <w:p w14:paraId="1D82F785"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 xml:space="preserve">Forbes, T. B. (1983). </w:t>
      </w:r>
      <w:r w:rsidRPr="00F03A26">
        <w:rPr>
          <w:rFonts w:asciiTheme="majorBidi" w:hAnsiTheme="majorBidi" w:cstheme="majorBidi"/>
          <w:i/>
          <w:iCs/>
          <w:sz w:val="24"/>
          <w:szCs w:val="24"/>
          <w:lang w:val="en-GB"/>
        </w:rPr>
        <w:t>Urartian</w:t>
      </w:r>
      <w:r w:rsidRPr="00F03A26">
        <w:rPr>
          <w:rFonts w:asciiTheme="majorBidi" w:hAnsiTheme="majorBidi" w:cstheme="majorBidi"/>
          <w:i/>
          <w:iCs/>
          <w:sz w:val="24"/>
          <w:szCs w:val="24"/>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i/>
          <w:iCs/>
          <w:sz w:val="24"/>
          <w:szCs w:val="24"/>
          <w:lang w:val="en-GB"/>
        </w:rPr>
        <w:fldChar w:fldCharType="end"/>
      </w:r>
      <w:r w:rsidRPr="00F03A26">
        <w:rPr>
          <w:rFonts w:asciiTheme="majorBidi" w:hAnsiTheme="majorBidi" w:cstheme="majorBidi"/>
          <w:i/>
          <w:iCs/>
          <w:sz w:val="24"/>
          <w:szCs w:val="24"/>
          <w:lang w:val="en-GB"/>
        </w:rPr>
        <w:t xml:space="preserve"> Architecture.</w:t>
      </w:r>
      <w:r w:rsidRPr="00F03A26">
        <w:rPr>
          <w:rFonts w:asciiTheme="majorBidi" w:hAnsiTheme="majorBidi" w:cstheme="majorBidi"/>
          <w:sz w:val="24"/>
          <w:szCs w:val="24"/>
          <w:lang w:val="en-GB"/>
        </w:rPr>
        <w:t xml:space="preserve"> Oxford: B.A.R. Series.</w:t>
      </w:r>
    </w:p>
    <w:p w14:paraId="445E7D03"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Fuchs, A. (2012).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der Zeit. In S. Kroll, C. Gruber, U. Hellwag, M. Roaf, &amp; P. Zimansky (Eds.), </w:t>
      </w:r>
      <w:r w:rsidRPr="00F03A26">
        <w:rPr>
          <w:rFonts w:asciiTheme="majorBidi" w:hAnsiTheme="majorBidi" w:cstheme="majorBidi"/>
          <w:i/>
          <w:iCs/>
          <w:lang w:val="en-GB"/>
        </w:rPr>
        <w:t>Biainili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"Biainili"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-Urartu: The Proceedings of the Symposium Held in Munich 12-14 October 2007 / Tagungsbericht des Münchner Symposiums 12.-14. Oktober 2007</w:t>
      </w:r>
      <w:r w:rsidRPr="00F03A26">
        <w:rPr>
          <w:rFonts w:asciiTheme="majorBidi" w:hAnsiTheme="majorBidi" w:cstheme="majorBidi"/>
          <w:lang w:val="en-GB"/>
        </w:rPr>
        <w:t>, 135-161. Leuven: Peeters.</w:t>
      </w:r>
    </w:p>
    <w:p w14:paraId="77EEB1CE" w14:textId="77777777" w:rsidR="0088351C" w:rsidRPr="00F03A26" w:rsidRDefault="0088351C" w:rsidP="00F03A26">
      <w:pPr>
        <w:jc w:val="both"/>
        <w:rPr>
          <w:rFonts w:asciiTheme="majorBidi" w:hAnsiTheme="majorBidi" w:cstheme="majorBidi"/>
          <w:b/>
          <w:bCs/>
          <w:color w:val="000000" w:themeColor="text1"/>
          <w:lang w:val="en-GB"/>
        </w:rPr>
      </w:pPr>
      <w:r w:rsidRPr="00F03A26">
        <w:rPr>
          <w:rFonts w:asciiTheme="majorBidi" w:hAnsiTheme="majorBidi" w:cstheme="majorBidi"/>
          <w:shd w:val="clear" w:color="auto" w:fill="FFFFFF"/>
          <w:lang w:val="en-GB"/>
        </w:rPr>
        <w:t xml:space="preserve">Frame, G. (2021): </w:t>
      </w:r>
      <w:r w:rsidRPr="00F03A26">
        <w:rPr>
          <w:rFonts w:asciiTheme="majorBidi" w:hAnsiTheme="majorBidi" w:cstheme="majorBidi"/>
          <w:lang w:val="en-GB"/>
        </w:rPr>
        <w:t>The royal inscriptions of Sargon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202124"/>
          <w:lang w:val="en-GB"/>
        </w:rPr>
        <w:instrText>Sargon</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Sargon</w:instrText>
      </w:r>
      <w:r w:rsidRPr="00F03A26">
        <w:rPr>
          <w:rFonts w:asciiTheme="majorBidi" w:hAnsiTheme="majorBidi" w:cstheme="majorBidi"/>
          <w:lang w:val="en-GB"/>
        </w:rPr>
        <w:instrText xml:space="preserve"> II" </w:instrText>
      </w:r>
      <w:r w:rsidRPr="00F03A26">
        <w:rPr>
          <w:rFonts w:asciiTheme="majorBidi" w:hAnsiTheme="majorBidi" w:cstheme="majorBidi"/>
          <w:lang w:val="en-GB"/>
        </w:rPr>
        <w:fldChar w:fldCharType="end"/>
      </w:r>
      <w:r w:rsidRPr="00F03A26">
        <w:rPr>
          <w:rFonts w:asciiTheme="majorBidi" w:hAnsiTheme="majorBidi" w:cstheme="majorBidi"/>
          <w:lang w:val="en-GB"/>
        </w:rPr>
        <w:t>, King of Assyria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000000"/>
          <w:kern w:val="0"/>
          <w:lang w:val="en-GB" w:eastAsia="tr-TR" w:bidi="he-IL"/>
          <w14:ligatures w14:val="none"/>
        </w:rPr>
        <w:instrText>Assyria</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(721–705 BC). </w:t>
      </w:r>
      <w:r w:rsidRPr="00F03A26">
        <w:rPr>
          <w:rFonts w:asciiTheme="majorBidi" w:hAnsiTheme="majorBidi" w:cstheme="majorBidi"/>
          <w:i/>
          <w:iCs/>
          <w:lang w:val="en-GB"/>
        </w:rPr>
        <w:t>RINAP</w:t>
      </w:r>
      <w:r w:rsidRPr="00F03A26">
        <w:rPr>
          <w:rFonts w:asciiTheme="majorBidi" w:hAnsiTheme="majorBidi" w:cstheme="majorBidi"/>
          <w:lang w:val="en-GB"/>
        </w:rPr>
        <w:t xml:space="preserve"> II. University Park, Pennsylvania: Eisenbrauns</w:t>
      </w:r>
    </w:p>
    <w:p w14:paraId="1B282440" w14:textId="77777777" w:rsidR="0088351C" w:rsidRPr="00F03A26" w:rsidRDefault="0088351C" w:rsidP="00F03A26">
      <w:pPr>
        <w:jc w:val="both"/>
        <w:rPr>
          <w:rFonts w:asciiTheme="majorBidi" w:hAnsiTheme="majorBidi" w:cstheme="majorBidi"/>
          <w:b/>
          <w:bCs/>
          <w:color w:val="000000" w:themeColor="text1"/>
          <w:lang w:val="en-GB"/>
        </w:rPr>
      </w:pPr>
    </w:p>
    <w:p w14:paraId="6E035AD4"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Genç, V. (2011). Gezgin Nasır Hüsrev'in Kaleminden Bin Yıl Önce Doğu Anadolu. </w:t>
      </w:r>
      <w:r w:rsidRPr="00F03A26">
        <w:rPr>
          <w:rFonts w:asciiTheme="majorBidi" w:hAnsiTheme="majorBidi" w:cstheme="majorBidi"/>
          <w:i/>
          <w:iCs/>
          <w:color w:val="000000" w:themeColor="text1"/>
          <w:lang w:val="en-GB"/>
        </w:rPr>
        <w:t>Toplumsal Tarih, 207</w:t>
      </w:r>
      <w:r w:rsidRPr="00F03A26">
        <w:rPr>
          <w:rFonts w:asciiTheme="majorBidi" w:hAnsiTheme="majorBidi" w:cstheme="majorBidi"/>
          <w:color w:val="000000" w:themeColor="text1"/>
          <w:lang w:val="en-GB"/>
        </w:rPr>
        <w:t>, 68-72.</w:t>
      </w:r>
    </w:p>
    <w:p w14:paraId="11C05DF8"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 xml:space="preserve">Genç, B. (2011). Kuzeybatı İran’da Demir Çağı Yerleşmelerine Genel Bir Bakış. </w:t>
      </w:r>
      <w:r w:rsidRPr="00F03A26">
        <w:rPr>
          <w:rFonts w:asciiTheme="majorBidi" w:hAnsiTheme="majorBidi" w:cstheme="majorBidi"/>
          <w:i/>
          <w:iCs/>
          <w:sz w:val="24"/>
          <w:szCs w:val="24"/>
          <w:lang w:val="en-GB"/>
        </w:rPr>
        <w:t>Toplumsal Tarih, 209</w:t>
      </w:r>
      <w:r w:rsidRPr="00F03A26">
        <w:rPr>
          <w:rFonts w:asciiTheme="majorBidi" w:hAnsiTheme="majorBidi" w:cstheme="majorBidi"/>
          <w:sz w:val="24"/>
          <w:szCs w:val="24"/>
          <w:lang w:val="en-GB"/>
        </w:rPr>
        <w:t>, 28-36.</w:t>
      </w:r>
    </w:p>
    <w:p w14:paraId="1BE1BC9A"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lang w:val="en-GB"/>
        </w:rPr>
        <w:t xml:space="preserve">Genç, B. (2015). </w:t>
      </w:r>
      <w:r w:rsidRPr="00F03A26">
        <w:rPr>
          <w:rFonts w:asciiTheme="majorBidi" w:hAnsiTheme="majorBidi" w:cstheme="majorBidi"/>
          <w:i/>
          <w:iCs/>
          <w:lang w:val="en-GB"/>
        </w:rPr>
        <w:t>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ve Assur</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Assur</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Arasındaki Kültürel İlişkiler ve Urartu'nun Dönüşümünde Assur</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Assur</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Etkisi.</w:t>
      </w:r>
      <w:r w:rsidRPr="00F03A26">
        <w:rPr>
          <w:rFonts w:asciiTheme="majorBidi" w:hAnsiTheme="majorBidi" w:cstheme="majorBidi"/>
          <w:lang w:val="en-GB"/>
        </w:rPr>
        <w:t xml:space="preserve"> (Doctoral dissertation). Marmara Üniversitesi, Sosyal Bilimler Enstitüsü, İstanbul.</w:t>
      </w:r>
    </w:p>
    <w:p w14:paraId="3E0D1AB1" w14:textId="77777777" w:rsidR="0088351C" w:rsidRPr="00F03A26" w:rsidRDefault="0088351C" w:rsidP="00F03A26">
      <w:pPr>
        <w:jc w:val="both"/>
        <w:rPr>
          <w:rFonts w:asciiTheme="majorBidi" w:hAnsiTheme="majorBidi" w:cstheme="majorBidi"/>
          <w:lang w:val="en-GB"/>
        </w:rPr>
      </w:pPr>
    </w:p>
    <w:p w14:paraId="17C5BB5D"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Genç, B. (2016). The Door of Ḫaldi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"Ḫaldi"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Pagan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"Pagan" </w:instrText>
      </w:r>
      <w:r w:rsidRPr="00F03A26">
        <w:rPr>
          <w:rFonts w:asciiTheme="majorBidi" w:hAnsiTheme="majorBidi" w:cstheme="majorBidi"/>
          <w:lang w:val="en-GB"/>
        </w:rPr>
        <w:fldChar w:fldCharType="end"/>
      </w:r>
      <w:r w:rsidRPr="00F03A26">
        <w:rPr>
          <w:rFonts w:asciiTheme="majorBidi" w:hAnsiTheme="majorBidi" w:cstheme="majorBidi"/>
          <w:lang w:val="en-GB"/>
        </w:rPr>
        <w:t>/Yeşilalıç</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"Yeşilalıç"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A New Approach on Susi Temple. </w:t>
      </w:r>
      <w:r w:rsidRPr="00F03A26">
        <w:rPr>
          <w:rFonts w:asciiTheme="majorBidi" w:hAnsiTheme="majorBidi" w:cstheme="majorBidi"/>
          <w:i/>
          <w:iCs/>
          <w:lang w:val="en-GB"/>
        </w:rPr>
        <w:t xml:space="preserve">AJNES (ARAMAZD), Vol. IX </w:t>
      </w:r>
      <w:r w:rsidRPr="00F03A26">
        <w:rPr>
          <w:rFonts w:asciiTheme="majorBidi" w:hAnsiTheme="majorBidi" w:cstheme="majorBidi"/>
          <w:lang w:val="en-GB"/>
        </w:rPr>
        <w:t xml:space="preserve">(2-2015), 67–76. </w:t>
      </w:r>
    </w:p>
    <w:p w14:paraId="17B1A811" w14:textId="77777777" w:rsidR="0088351C" w:rsidRPr="00F03A26" w:rsidRDefault="0088351C" w:rsidP="00F03A26">
      <w:pPr>
        <w:jc w:val="both"/>
        <w:rPr>
          <w:rFonts w:asciiTheme="majorBidi" w:hAnsiTheme="majorBidi" w:cstheme="majorBidi"/>
          <w:color w:val="000000" w:themeColor="text1"/>
          <w:lang w:val="en-GB"/>
        </w:rPr>
      </w:pPr>
    </w:p>
    <w:p w14:paraId="15896061"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Genç, B. (2018a). Archaeology of Destruction: Toprakkale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"Toprakkale"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iCs/>
          <w:lang w:val="en-GB"/>
        </w:rPr>
        <w:t>Iraq, 80</w:t>
      </w:r>
      <w:r w:rsidRPr="00F03A26">
        <w:rPr>
          <w:rFonts w:asciiTheme="majorBidi" w:hAnsiTheme="majorBidi" w:cstheme="majorBidi"/>
          <w:lang w:val="en-GB"/>
        </w:rPr>
        <w:t>, 113-137.</w:t>
      </w:r>
    </w:p>
    <w:p w14:paraId="524338A9"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Genç, B. (2018b). A Review of Zernaki Tepe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"Zernaki 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A. Çilingiroğlu, K. Köroğlu, Z. Çulha </w:t>
      </w:r>
      <w:bookmarkStart w:id="227" w:name="_Hlk132457048"/>
      <w:r w:rsidRPr="00F03A26">
        <w:rPr>
          <w:rFonts w:asciiTheme="majorBidi" w:eastAsia="Times New Roman" w:hAnsiTheme="majorBidi" w:cstheme="majorBidi"/>
          <w:lang w:val="en-GB" w:eastAsia="tr-TR" w:bidi="he-IL"/>
        </w:rPr>
        <w:t>&amp;</w:t>
      </w:r>
      <w:bookmarkEnd w:id="227"/>
      <w:r w:rsidRPr="00F03A26">
        <w:rPr>
          <w:rFonts w:asciiTheme="majorBidi" w:hAnsiTheme="majorBidi" w:cstheme="majorBidi"/>
          <w:lang w:val="en-GB"/>
        </w:rPr>
        <w:t xml:space="preserve"> G. Öncü (Eds.), </w:t>
      </w:r>
      <w:r w:rsidRPr="00F03A26">
        <w:rPr>
          <w:rFonts w:asciiTheme="majorBidi" w:hAnsiTheme="majorBidi" w:cstheme="majorBidi"/>
          <w:i/>
          <w:iCs/>
          <w:lang w:val="en-GB"/>
        </w:rPr>
        <w:t>Urartians</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"Urartians"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A Civilization in the Eastern Anatolia. The Proceedings of the 1st International Symposium held at İstanbul in 13-15 October, </w:t>
      </w:r>
      <w:r w:rsidRPr="00F03A26">
        <w:rPr>
          <w:rFonts w:asciiTheme="majorBidi" w:hAnsiTheme="majorBidi" w:cstheme="majorBidi"/>
          <w:lang w:val="en-GB"/>
        </w:rPr>
        <w:t>(pp. 183-194). İstanbul, Rezan Has Museum.</w:t>
      </w:r>
    </w:p>
    <w:p w14:paraId="77E199E9" w14:textId="77777777" w:rsidR="0088351C" w:rsidRPr="00F03A26" w:rsidRDefault="0088351C" w:rsidP="00F03A26">
      <w:pPr>
        <w:jc w:val="both"/>
        <w:rPr>
          <w:rFonts w:asciiTheme="majorBidi" w:hAnsiTheme="majorBidi" w:cstheme="majorBidi"/>
          <w:color w:val="000000" w:themeColor="text1"/>
          <w:lang w:val="en-GB"/>
        </w:rPr>
      </w:pPr>
    </w:p>
    <w:p w14:paraId="24DA7CC7"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Genç, B. (2019a). Waldemar Belck ve Carl Friedrich Lehmann’ın Araştırmaları. </w:t>
      </w:r>
      <w:r w:rsidRPr="00F03A26">
        <w:rPr>
          <w:rFonts w:asciiTheme="majorBidi" w:hAnsiTheme="majorBidi" w:cstheme="majorBidi"/>
          <w:i/>
          <w:iCs/>
          <w:color w:val="000000" w:themeColor="text1"/>
          <w:lang w:val="en-GB"/>
        </w:rPr>
        <w:t>Colloquium Anatolicum, 18</w:t>
      </w:r>
      <w:r w:rsidRPr="00F03A26">
        <w:rPr>
          <w:rFonts w:asciiTheme="majorBidi" w:hAnsiTheme="majorBidi" w:cstheme="majorBidi"/>
          <w:color w:val="000000" w:themeColor="text1"/>
          <w:lang w:val="en-GB"/>
        </w:rPr>
        <w:t>, 35-54.</w:t>
      </w:r>
    </w:p>
    <w:p w14:paraId="6CF19ECE" w14:textId="77777777" w:rsidR="0088351C" w:rsidRPr="00F03A26" w:rsidRDefault="0088351C" w:rsidP="00F03A26">
      <w:pPr>
        <w:jc w:val="both"/>
        <w:rPr>
          <w:rFonts w:asciiTheme="majorBidi" w:hAnsiTheme="majorBidi" w:cstheme="majorBidi"/>
          <w:color w:val="000000" w:themeColor="text1"/>
          <w:lang w:val="en-GB"/>
        </w:rPr>
      </w:pPr>
    </w:p>
    <w:p w14:paraId="0C662DBD" w14:textId="3D1154CC"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Genç, B. (2019b). From Khazane Kapoussi</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"Khazane Kapoussi"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/Hazine Kapısı</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"Hazine Kapısı"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to Analıkız</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"Analıkız"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Rethinking a Place at Ṭušpa Citadel. In P. S. Avetisyan, R. Dan, &amp; Y. H. Grekyan (Eds.), </w:t>
      </w:r>
      <w:r w:rsidRPr="00F03A26">
        <w:rPr>
          <w:rFonts w:asciiTheme="majorBidi" w:hAnsiTheme="majorBidi" w:cstheme="majorBidi"/>
          <w:i/>
          <w:iCs/>
          <w:color w:val="000000" w:themeColor="text1"/>
          <w:lang w:val="en-GB"/>
        </w:rPr>
        <w:t xml:space="preserve">Over the Mountains and Far </w:t>
      </w:r>
      <w:r w:rsidRPr="00F03A26">
        <w:rPr>
          <w:rFonts w:asciiTheme="majorBidi" w:hAnsiTheme="majorBidi" w:cstheme="majorBidi"/>
          <w:i/>
          <w:iCs/>
          <w:color w:val="000000" w:themeColor="text1"/>
          <w:lang w:val="en-GB"/>
        </w:rPr>
        <w:lastRenderedPageBreak/>
        <w:t>Away: Studies in Near Eastern history and archaeology presented to Mirjo Salvini on the occasion of his 80th birthday</w:t>
      </w:r>
      <w:r w:rsidRPr="00F03A26">
        <w:rPr>
          <w:rFonts w:asciiTheme="majorBidi" w:hAnsiTheme="majorBidi" w:cstheme="majorBidi"/>
          <w:color w:val="000000" w:themeColor="text1"/>
          <w:lang w:val="en-GB"/>
        </w:rPr>
        <w:t xml:space="preserve"> (pp. 231-240). Oxford: Archaeopress Archaeology.</w:t>
      </w:r>
    </w:p>
    <w:p w14:paraId="46F56A86" w14:textId="77777777" w:rsidR="0088351C" w:rsidRPr="00F03A26" w:rsidRDefault="0088351C" w:rsidP="00F03A26">
      <w:pPr>
        <w:jc w:val="both"/>
        <w:rPr>
          <w:rFonts w:asciiTheme="majorBidi" w:hAnsiTheme="majorBidi" w:cstheme="majorBidi"/>
          <w:color w:val="000000" w:themeColor="text1"/>
          <w:lang w:val="en-GB"/>
        </w:rPr>
      </w:pPr>
    </w:p>
    <w:p w14:paraId="50047FBA" w14:textId="234705A9"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Genç, B., &amp; Konyar, E. (2019). Van Kalesi Analıkız Yapısı: İşlev ve Kronolojisine Dair Bir Değerlendirme. </w:t>
      </w:r>
      <w:r w:rsidRPr="00F03A26">
        <w:rPr>
          <w:rFonts w:asciiTheme="majorBidi" w:hAnsiTheme="majorBidi" w:cstheme="majorBidi"/>
          <w:i/>
          <w:iCs/>
          <w:color w:val="000000" w:themeColor="text1"/>
          <w:lang w:val="en-GB"/>
        </w:rPr>
        <w:t xml:space="preserve">Anadolu Araştırmaları, </w:t>
      </w:r>
      <w:r w:rsidRPr="00F03A26">
        <w:rPr>
          <w:rFonts w:asciiTheme="majorBidi" w:hAnsiTheme="majorBidi" w:cstheme="majorBidi"/>
          <w:color w:val="000000" w:themeColor="text1"/>
          <w:lang w:val="en-GB"/>
        </w:rPr>
        <w:t>22, 1-23.</w:t>
      </w:r>
    </w:p>
    <w:p w14:paraId="57A4F5BC" w14:textId="77777777" w:rsidR="0088351C" w:rsidRPr="00F03A26" w:rsidRDefault="0088351C" w:rsidP="00F03A26">
      <w:pPr>
        <w:autoSpaceDE w:val="0"/>
        <w:autoSpaceDN w:val="0"/>
        <w:adjustRightInd w:val="0"/>
        <w:jc w:val="both"/>
        <w:rPr>
          <w:rFonts w:asciiTheme="majorBidi" w:hAnsiTheme="majorBidi" w:cstheme="majorBidi"/>
          <w:lang w:val="en-GB"/>
        </w:rPr>
      </w:pPr>
    </w:p>
    <w:p w14:paraId="6E740E1A" w14:textId="76B0D984"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lang w:val="en-GB"/>
        </w:rPr>
        <w:t xml:space="preserve">Genç, B., Konyar, E., &amp; Tan, A. (2021). The Tušpa Citadel and Mound Excavations, 2010–2019. In S. R. Steadman &amp; G. McMahon (Eds.), </w:t>
      </w:r>
      <w:r w:rsidRPr="00F03A26">
        <w:rPr>
          <w:rFonts w:asciiTheme="majorBidi" w:hAnsiTheme="majorBidi" w:cstheme="majorBidi"/>
          <w:i/>
          <w:iCs/>
          <w:lang w:val="en-GB"/>
        </w:rPr>
        <w:t>The Archaeology of Anatolia, Volume IV: Recent Discoveries (2018–2020)</w:t>
      </w:r>
      <w:r w:rsidRPr="00F03A26">
        <w:rPr>
          <w:rFonts w:asciiTheme="majorBidi" w:hAnsiTheme="majorBidi" w:cstheme="majorBidi"/>
          <w:lang w:val="en-GB"/>
        </w:rPr>
        <w:t xml:space="preserve"> (pp. 194-209): Cambridge Scholars Publishing.</w:t>
      </w:r>
    </w:p>
    <w:p w14:paraId="754DEF5B" w14:textId="77777777" w:rsidR="0088351C" w:rsidRPr="00F03A26" w:rsidRDefault="0088351C" w:rsidP="00F03A26">
      <w:pPr>
        <w:jc w:val="both"/>
        <w:rPr>
          <w:rFonts w:asciiTheme="majorBidi" w:hAnsiTheme="majorBidi" w:cstheme="majorBidi"/>
          <w:lang w:val="en-GB"/>
        </w:rPr>
      </w:pPr>
    </w:p>
    <w:p w14:paraId="49E47643"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Genç, B., &amp; Schachner, A. (2022). The Architecture of the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Fortress of Aznavurtepe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"Aznavurtepe"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 URU Aludiri near Patnos. </w:t>
      </w:r>
      <w:r w:rsidRPr="00F03A26">
        <w:rPr>
          <w:rFonts w:asciiTheme="majorBidi" w:hAnsiTheme="majorBidi" w:cstheme="majorBidi"/>
          <w:i/>
          <w:iCs/>
          <w:lang w:val="en-GB"/>
        </w:rPr>
        <w:t>Istanbuler Mitteilungen, 71, 2021</w:t>
      </w:r>
      <w:r w:rsidRPr="00F03A26">
        <w:rPr>
          <w:rFonts w:asciiTheme="majorBidi" w:hAnsiTheme="majorBidi" w:cstheme="majorBidi"/>
          <w:lang w:val="en-GB"/>
        </w:rPr>
        <w:t>, 71-88.</w:t>
      </w:r>
    </w:p>
    <w:p w14:paraId="5C99BA16"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1084BE5A"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Genç, B., &amp; MacGinnis, J. (2022). A text of Shalmaneser I from Üçtepe and the location of Šinamu. </w:t>
      </w:r>
      <w:r w:rsidRPr="00F03A26">
        <w:rPr>
          <w:rFonts w:asciiTheme="majorBidi" w:hAnsiTheme="majorBidi" w:cstheme="majorBidi"/>
          <w:i/>
          <w:iCs/>
          <w:lang w:val="en-GB"/>
        </w:rPr>
        <w:t>Anatolian Studies, 72</w:t>
      </w:r>
      <w:r w:rsidRPr="00F03A26">
        <w:rPr>
          <w:rFonts w:asciiTheme="majorBidi" w:hAnsiTheme="majorBidi" w:cstheme="majorBidi"/>
          <w:lang w:val="en-GB"/>
        </w:rPr>
        <w:t>, 79-95.</w:t>
      </w:r>
    </w:p>
    <w:p w14:paraId="4F874CCC"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149A209A"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Genç, B., &amp; MacGinnis, J. (2023). </w:t>
      </w:r>
      <w:r w:rsidRPr="00F03A26">
        <w:rPr>
          <w:rFonts w:asciiTheme="majorBidi" w:hAnsiTheme="majorBidi" w:cstheme="majorBidi"/>
          <w:i/>
          <w:iCs/>
          <w:lang w:val="en-GB"/>
        </w:rPr>
        <w:t>The Assyrian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Rock Relief at Yaǧmur (Evrihan) in the Tur Abdin</w:t>
      </w:r>
      <w:r w:rsidRPr="00F03A26">
        <w:rPr>
          <w:rFonts w:asciiTheme="majorBidi" w:hAnsiTheme="majorBidi" w:cstheme="majorBidi"/>
          <w:lang w:val="en-GB"/>
        </w:rPr>
        <w:t>. Oxford: Archaeopress Archaeology.</w:t>
      </w:r>
    </w:p>
    <w:p w14:paraId="77E17C66" w14:textId="77777777" w:rsidR="0088351C" w:rsidRPr="00F03A26" w:rsidRDefault="0088351C" w:rsidP="00F03A26">
      <w:pPr>
        <w:autoSpaceDE w:val="0"/>
        <w:autoSpaceDN w:val="0"/>
        <w:adjustRightInd w:val="0"/>
        <w:jc w:val="both"/>
        <w:rPr>
          <w:rFonts w:asciiTheme="majorBidi" w:hAnsiTheme="majorBidi" w:cstheme="majorBidi"/>
          <w:lang w:val="en-GB"/>
        </w:rPr>
      </w:pPr>
    </w:p>
    <w:p w14:paraId="206E47B2"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Genç, B., &amp; Konyar, E. (2023). The Tušpa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"Tušpa"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Mound Columned Hall. In Y. H. Grekyan &amp; A. A. Bobokhyan (Eds.), </w:t>
      </w:r>
      <w:r w:rsidRPr="00F03A26">
        <w:rPr>
          <w:rFonts w:asciiTheme="majorBidi" w:hAnsiTheme="majorBidi" w:cstheme="majorBidi"/>
          <w:i/>
          <w:iCs/>
          <w:lang w:val="en-GB"/>
        </w:rPr>
        <w:t>Systemizing the Past. Papers in Near Eastern and Caucasian Archaeology Dedicated to Pavel S. Avetisyan on the Occasion of His 65th Birthday</w:t>
      </w:r>
      <w:r w:rsidRPr="00F03A26">
        <w:rPr>
          <w:rFonts w:asciiTheme="majorBidi" w:hAnsiTheme="majorBidi" w:cstheme="majorBidi"/>
          <w:lang w:val="en-GB"/>
        </w:rPr>
        <w:t xml:space="preserve"> (pp. 142-148). Oxford: Archaeopress Archaeology.</w:t>
      </w:r>
    </w:p>
    <w:p w14:paraId="41C14E0E" w14:textId="77777777" w:rsidR="0088351C" w:rsidRPr="00F03A26" w:rsidRDefault="0088351C" w:rsidP="00F03A26">
      <w:pPr>
        <w:spacing w:line="276" w:lineRule="auto"/>
        <w:ind w:left="284" w:hanging="284"/>
        <w:jc w:val="both"/>
        <w:rPr>
          <w:rFonts w:asciiTheme="majorBidi" w:hAnsiTheme="majorBidi" w:cstheme="majorBidi"/>
          <w:lang w:val="en-GB"/>
        </w:rPr>
      </w:pPr>
    </w:p>
    <w:p w14:paraId="2FDC597C" w14:textId="77777777" w:rsidR="0088351C" w:rsidRPr="00F03A26" w:rsidRDefault="0088351C" w:rsidP="00F03A26">
      <w:pPr>
        <w:spacing w:line="276" w:lineRule="auto"/>
        <w:ind w:left="284" w:hanging="284"/>
        <w:jc w:val="both"/>
        <w:rPr>
          <w:rFonts w:asciiTheme="majorBidi" w:hAnsiTheme="majorBidi" w:cstheme="majorBidi"/>
          <w:lang w:val="en-GB"/>
        </w:rPr>
      </w:pPr>
      <w:r w:rsidRPr="00F03A26">
        <w:rPr>
          <w:rFonts w:asciiTheme="majorBidi" w:hAnsiTheme="majorBidi" w:cstheme="majorBidi"/>
          <w:lang w:val="en-GB"/>
        </w:rPr>
        <w:t>Genç, B., Işık, K., Kuvanç, R., &amp; Özkan., K, (in press) Observations and Suggestions on the</w:t>
      </w:r>
    </w:p>
    <w:p w14:paraId="3361C131"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Starting Point of the Minua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Canal</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Canal"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its Water Architecture.</w:t>
      </w:r>
    </w:p>
    <w:p w14:paraId="483D31CB" w14:textId="77777777" w:rsidR="0088351C" w:rsidRPr="00F03A26" w:rsidRDefault="0088351C" w:rsidP="00F03A26">
      <w:pPr>
        <w:spacing w:line="276" w:lineRule="auto"/>
        <w:jc w:val="both"/>
        <w:rPr>
          <w:rFonts w:asciiTheme="majorBidi" w:hAnsiTheme="majorBidi" w:cstheme="majorBidi"/>
          <w:lang w:val="en-GB"/>
        </w:rPr>
      </w:pPr>
    </w:p>
    <w:p w14:paraId="6EAC0D0A" w14:textId="432AEA47" w:rsidR="0088351C" w:rsidRPr="00F03A26" w:rsidRDefault="0088351C" w:rsidP="00F03A26">
      <w:pPr>
        <w:spacing w:line="276" w:lineRule="auto"/>
        <w:jc w:val="both"/>
        <w:rPr>
          <w:rFonts w:asciiTheme="majorBidi" w:hAnsiTheme="majorBidi" w:cstheme="majorBidi"/>
          <w:lang w:val="en-GB"/>
        </w:rPr>
      </w:pPr>
      <w:r w:rsidRPr="00F03A26">
        <w:rPr>
          <w:rFonts w:asciiTheme="majorBidi" w:hAnsiTheme="majorBidi" w:cstheme="majorBidi"/>
          <w:lang w:val="en-GB"/>
        </w:rPr>
        <w:t xml:space="preserve">Gökce, B., Genç, B., &amp; Levent, E. K. (2019). Arkeolojik ve Epigrafik Bulgular Işığında Van Gölü Havzası Urartu Dönemi Yol Güzergâhları 2017 Yılı Yüzey Araştırması: Tuşba ve Muradiye İlçeleri Çalışmaları. </w:t>
      </w:r>
      <w:r w:rsidRPr="00F03A26">
        <w:rPr>
          <w:rFonts w:asciiTheme="majorBidi" w:hAnsiTheme="majorBidi" w:cstheme="majorBidi"/>
          <w:i/>
          <w:iCs/>
          <w:lang w:val="en-GB"/>
        </w:rPr>
        <w:t xml:space="preserve">Araştırma Sonuçları Toplantısı, 36 </w:t>
      </w:r>
      <w:r w:rsidRPr="00F03A26">
        <w:rPr>
          <w:rFonts w:asciiTheme="majorBidi" w:hAnsiTheme="majorBidi" w:cstheme="majorBidi"/>
          <w:lang w:val="en-GB"/>
        </w:rPr>
        <w:t>(1), 327-342.</w:t>
      </w:r>
    </w:p>
    <w:p w14:paraId="597D1FBC"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303746BD"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r w:rsidRPr="00F03A26">
        <w:rPr>
          <w:rFonts w:asciiTheme="majorBidi" w:hAnsiTheme="majorBidi" w:cstheme="majorBidi"/>
          <w:lang w:val="en-GB"/>
        </w:rPr>
        <w:t xml:space="preserve">Grayson, A. K. (1972). </w:t>
      </w:r>
      <w:r w:rsidRPr="00F03A26">
        <w:rPr>
          <w:rFonts w:asciiTheme="majorBidi" w:hAnsiTheme="majorBidi" w:cstheme="majorBidi"/>
          <w:i/>
          <w:iCs/>
          <w:lang w:val="en-GB"/>
        </w:rPr>
        <w:t>Assyrian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Royal Inscriptions</w:t>
      </w:r>
      <w:r w:rsidRPr="00F03A26">
        <w:rPr>
          <w:rFonts w:asciiTheme="majorBidi" w:hAnsiTheme="majorBidi" w:cstheme="majorBidi"/>
          <w:lang w:val="en-GB"/>
        </w:rPr>
        <w:t xml:space="preserve"> (Vol. I). Wiesbaden: Otto Harrassowitz.</w:t>
      </w:r>
    </w:p>
    <w:p w14:paraId="53A19986"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798B93DA"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r w:rsidRPr="00F03A26">
        <w:rPr>
          <w:rFonts w:asciiTheme="majorBidi" w:hAnsiTheme="majorBidi" w:cstheme="majorBidi"/>
          <w:lang w:val="en-GB"/>
        </w:rPr>
        <w:t xml:space="preserve">Grayson, A. K. (1976). </w:t>
      </w:r>
      <w:r w:rsidRPr="00F03A26">
        <w:rPr>
          <w:rFonts w:asciiTheme="majorBidi" w:hAnsiTheme="majorBidi" w:cstheme="majorBidi"/>
          <w:i/>
          <w:iCs/>
          <w:lang w:val="en-GB"/>
        </w:rPr>
        <w:t>Assyrian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Royal Inscriptions</w:t>
      </w:r>
      <w:r w:rsidRPr="00F03A26">
        <w:rPr>
          <w:rFonts w:asciiTheme="majorBidi" w:hAnsiTheme="majorBidi" w:cstheme="majorBidi"/>
          <w:lang w:val="en-GB"/>
        </w:rPr>
        <w:t xml:space="preserve"> (Vol. II). Wiesbaden: Otto Harrassowitz.</w:t>
      </w:r>
    </w:p>
    <w:p w14:paraId="7AB3FACB"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65A92D76"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Grayson, A. K. (1991). </w:t>
      </w:r>
      <w:r w:rsidRPr="00F03A26">
        <w:rPr>
          <w:rFonts w:asciiTheme="majorBidi" w:hAnsiTheme="majorBidi" w:cstheme="majorBidi"/>
          <w:i/>
          <w:iCs/>
          <w:lang w:val="en-GB"/>
        </w:rPr>
        <w:t>Assyrian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Rulers of the Early First Millenium BC I (1114-859 BC). </w:t>
      </w:r>
      <w:r w:rsidRPr="00F03A26">
        <w:rPr>
          <w:rFonts w:asciiTheme="majorBidi" w:hAnsiTheme="majorBidi" w:cstheme="majorBidi"/>
          <w:lang w:val="en-GB"/>
        </w:rPr>
        <w:t>(RIMA II), Toronto-Buffalo London: University of Toronto Press.</w:t>
      </w:r>
    </w:p>
    <w:p w14:paraId="2642017A" w14:textId="77777777" w:rsidR="0088351C" w:rsidRPr="00F03A26" w:rsidRDefault="0088351C" w:rsidP="00F03A26">
      <w:pPr>
        <w:jc w:val="both"/>
        <w:rPr>
          <w:rFonts w:asciiTheme="majorBidi" w:hAnsiTheme="majorBidi" w:cstheme="majorBidi"/>
          <w:lang w:val="en-GB"/>
        </w:rPr>
      </w:pPr>
    </w:p>
    <w:p w14:paraId="4D3F7797"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Grayson, A. K. (1996). </w:t>
      </w:r>
      <w:r w:rsidRPr="00F03A26">
        <w:rPr>
          <w:rFonts w:asciiTheme="majorBidi" w:hAnsiTheme="majorBidi" w:cstheme="majorBidi"/>
          <w:i/>
          <w:iCs/>
          <w:lang w:val="en-GB"/>
        </w:rPr>
        <w:t>Assyrian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Rulers of the Early First Millenium BC II (858-745 BC)</w:t>
      </w:r>
      <w:r w:rsidRPr="00F03A26">
        <w:rPr>
          <w:rFonts w:asciiTheme="majorBidi" w:hAnsiTheme="majorBidi" w:cstheme="majorBidi"/>
          <w:lang w:val="en-GB"/>
        </w:rPr>
        <w:t>. (RIMA III), Toronto-Buffalo-London: University of Toronto Press.</w:t>
      </w:r>
    </w:p>
    <w:p w14:paraId="16DBC6A2" w14:textId="77777777" w:rsidR="0088351C" w:rsidRPr="00F03A26" w:rsidRDefault="0088351C" w:rsidP="00F03A26">
      <w:pPr>
        <w:jc w:val="both"/>
        <w:rPr>
          <w:rFonts w:asciiTheme="majorBidi" w:hAnsiTheme="majorBidi" w:cstheme="majorBidi"/>
          <w:lang w:val="en-GB"/>
        </w:rPr>
      </w:pPr>
    </w:p>
    <w:p w14:paraId="085FE21D"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Grekyan, Y. H. (2017). The Settlement Size and Population Estimation of the Urartian</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Cities. In P. S. Avestisyan &amp; Y. H. Grekyan (Eds.), </w:t>
      </w:r>
      <w:r w:rsidRPr="00F03A26">
        <w:rPr>
          <w:rFonts w:asciiTheme="majorBidi" w:hAnsiTheme="majorBidi" w:cstheme="majorBidi"/>
          <w:i/>
          <w:szCs w:val="24"/>
          <w:lang w:val="en-GB"/>
        </w:rPr>
        <w:t>Bridging Times and Spaces Papers in Ancient Near Eastern, Mediterranean and Armenian</w:t>
      </w:r>
      <w:r w:rsidRPr="00F03A26">
        <w:rPr>
          <w:rFonts w:asciiTheme="majorBidi" w:hAnsiTheme="majorBidi" w:cstheme="majorBidi"/>
          <w: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202124"/>
          <w:lang w:val="en-GB" w:eastAsia="it-IT"/>
        </w:rPr>
        <w:instrText>Armenian</w:instrText>
      </w:r>
      <w:r w:rsidRPr="00F03A26">
        <w:rPr>
          <w:rFonts w:asciiTheme="majorBidi" w:hAnsiTheme="majorBidi" w:cstheme="majorBidi"/>
          <w:lang w:val="en-GB"/>
        </w:rPr>
        <w:instrText xml:space="preserve">" </w:instrText>
      </w:r>
      <w:r w:rsidRPr="00F03A26">
        <w:rPr>
          <w:rFonts w:asciiTheme="majorBidi" w:hAnsiTheme="majorBidi" w:cstheme="majorBidi"/>
          <w:i/>
          <w:szCs w:val="24"/>
          <w:lang w:val="en-GB"/>
        </w:rPr>
        <w:fldChar w:fldCharType="end"/>
      </w:r>
      <w:r w:rsidRPr="00F03A26">
        <w:rPr>
          <w:rFonts w:asciiTheme="majorBidi" w:hAnsiTheme="majorBidi" w:cstheme="majorBidi"/>
          <w:i/>
          <w:szCs w:val="24"/>
          <w:lang w:val="en-GB"/>
        </w:rPr>
        <w:t xml:space="preserve"> Studies Honouring Gregory E. Areshian on the occasion of his sixty-fifth birthday</w:t>
      </w:r>
      <w:r w:rsidRPr="00F03A26">
        <w:rPr>
          <w:rFonts w:asciiTheme="majorBidi" w:hAnsiTheme="majorBidi" w:cstheme="majorBidi"/>
          <w:szCs w:val="24"/>
          <w:lang w:val="en-GB"/>
        </w:rPr>
        <w:t xml:space="preserve"> (pp. 103-132). Oxford: Archaeopress Archaeology.</w:t>
      </w:r>
    </w:p>
    <w:p w14:paraId="61721AEB" w14:textId="77777777" w:rsidR="0088351C" w:rsidRPr="00F03A26" w:rsidRDefault="0088351C" w:rsidP="00F03A26">
      <w:pPr>
        <w:jc w:val="both"/>
        <w:rPr>
          <w:rFonts w:asciiTheme="majorBidi" w:hAnsiTheme="majorBidi" w:cstheme="majorBidi"/>
          <w:lang w:val="en-GB"/>
        </w:rPr>
      </w:pPr>
      <w:r w:rsidRPr="00F03A26">
        <w:rPr>
          <w:rFonts w:asciiTheme="majorBidi" w:eastAsia="Times New Roman" w:hAnsiTheme="majorBidi" w:cstheme="majorBidi"/>
          <w:lang w:val="en-GB"/>
        </w:rPr>
        <w:t>Grekyan, Y. (2019). “The Urartian</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Stela in the Ancient Near Eastern Context (Preliminary Observations)”. In A. Bobokyan, A. Gilibert &amp; P. Hnila (eds.), </w:t>
      </w:r>
      <w:r w:rsidRPr="00F03A26">
        <w:rPr>
          <w:rFonts w:asciiTheme="majorBidi" w:eastAsia="Times New Roman" w:hAnsiTheme="majorBidi" w:cstheme="majorBidi"/>
          <w:i/>
          <w:lang w:val="en-GB"/>
        </w:rPr>
        <w:t>Between Fairy Tale and Reality,</w:t>
      </w:r>
      <w:r w:rsidRPr="00F03A26">
        <w:rPr>
          <w:rFonts w:asciiTheme="majorBidi" w:eastAsia="Times New Roman" w:hAnsiTheme="majorBidi" w:cstheme="majorBidi"/>
          <w:lang w:val="en-GB"/>
        </w:rPr>
        <w:t xml:space="preserve">  (pp. 437-446).Yerevan, The Institute of Archaeology and Ethnography.</w:t>
      </w:r>
    </w:p>
    <w:p w14:paraId="717FA5E6" w14:textId="77777777" w:rsidR="0088351C" w:rsidRPr="00F03A26" w:rsidRDefault="0088351C" w:rsidP="00F03A26">
      <w:pPr>
        <w:jc w:val="both"/>
        <w:rPr>
          <w:rFonts w:asciiTheme="majorBidi" w:hAnsiTheme="majorBidi" w:cstheme="majorBidi"/>
          <w:lang w:val="en-GB"/>
        </w:rPr>
      </w:pPr>
    </w:p>
    <w:p w14:paraId="490C6469" w14:textId="796807FE"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lastRenderedPageBreak/>
        <w:t>Grekyan, Y. (2021). How Deep the Assyrian</w:t>
      </w:r>
      <w:r w:rsidR="001F2587">
        <w:rPr>
          <w:rFonts w:asciiTheme="majorBidi" w:hAnsiTheme="majorBidi" w:cstheme="majorBidi"/>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lang w:val="en-GB"/>
        </w:rPr>
        <w:fldChar w:fldCharType="end"/>
      </w:r>
      <w:r w:rsidRPr="00F03A26">
        <w:rPr>
          <w:rFonts w:asciiTheme="majorBidi" w:hAnsiTheme="majorBidi" w:cstheme="majorBidi"/>
          <w:lang w:val="en-GB"/>
        </w:rPr>
        <w:t xml:space="preserve"> Spies Penetrated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Pr="00F03A26">
        <w:rPr>
          <w:rFonts w:asciiTheme="majorBidi" w:hAnsiTheme="majorBidi" w:cstheme="majorBidi"/>
          <w:lang w:val="en-GB"/>
        </w:rPr>
        <w:br/>
        <w:t xml:space="preserve">on the Location of the “Land of Wazae”, </w:t>
      </w:r>
      <w:r w:rsidRPr="00F03A26">
        <w:rPr>
          <w:rFonts w:asciiTheme="majorBidi" w:hAnsiTheme="majorBidi" w:cstheme="majorBidi"/>
          <w:i/>
          <w:iCs/>
          <w:lang w:val="en-GB"/>
        </w:rPr>
        <w:t>State Archives of Assyria</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000000"/>
          <w:kern w:val="0"/>
          <w:lang w:val="en-GB" w:eastAsia="tr-TR" w:bidi="he-IL"/>
          <w14:ligatures w14:val="none"/>
        </w:rPr>
        <w:instrText>Assyria</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Bulletin</w:t>
      </w:r>
      <w:r w:rsidRPr="00F03A26">
        <w:rPr>
          <w:rFonts w:asciiTheme="majorBidi" w:hAnsiTheme="majorBidi" w:cstheme="majorBidi"/>
          <w:i/>
          <w:iCs/>
          <w:lang w:val="en-GB"/>
        </w:rPr>
        <w:br/>
      </w:r>
      <w:r w:rsidRPr="00F03A26">
        <w:rPr>
          <w:rFonts w:asciiTheme="majorBidi" w:hAnsiTheme="majorBidi" w:cstheme="majorBidi"/>
          <w:lang w:val="en-GB"/>
        </w:rPr>
        <w:t>Volume XXVII, 77-91.</w:t>
      </w:r>
    </w:p>
    <w:p w14:paraId="7B74F3B9" w14:textId="77777777" w:rsidR="0088351C" w:rsidRPr="00F03A26" w:rsidRDefault="0088351C" w:rsidP="00F03A26">
      <w:pPr>
        <w:jc w:val="both"/>
        <w:rPr>
          <w:rFonts w:asciiTheme="majorBidi" w:hAnsiTheme="majorBidi" w:cstheme="majorBidi"/>
          <w:lang w:val="en-GB"/>
        </w:rPr>
      </w:pPr>
    </w:p>
    <w:p w14:paraId="50B6E968"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lang w:val="en-GB"/>
        </w:rPr>
        <w:t xml:space="preserve">Grekyan, Y. (2023). </w:t>
      </w:r>
      <w:r w:rsidRPr="00F03A26">
        <w:rPr>
          <w:rFonts w:asciiTheme="majorBidi" w:hAnsiTheme="majorBidi" w:cstheme="majorBidi"/>
          <w:i/>
          <w:iCs/>
          <w:lang w:val="en-GB"/>
        </w:rPr>
        <w:t>The Kingdom of 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w:t>
      </w:r>
      <w:r w:rsidRPr="00F03A26">
        <w:rPr>
          <w:rFonts w:asciiTheme="majorBidi" w:hAnsiTheme="majorBidi" w:cstheme="majorBidi"/>
          <w:lang w:val="en-GB"/>
        </w:rPr>
        <w:t>In: K. Radner, N. Moeller &amp; D. T. Potts (Eds</w:t>
      </w:r>
      <w:r w:rsidRPr="00F03A26">
        <w:rPr>
          <w:rFonts w:asciiTheme="majorBidi" w:hAnsiTheme="majorBidi" w:cstheme="majorBidi"/>
          <w:i/>
          <w:iCs/>
          <w:lang w:val="en-GB"/>
        </w:rPr>
        <w:t>). The Oxford History of the Ancient Near East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"Near East" </w:instrText>
      </w:r>
      <w:r w:rsidRPr="00F03A26">
        <w:rPr>
          <w:rFonts w:asciiTheme="majorBidi" w:hAnsiTheme="majorBidi" w:cstheme="majorBidi"/>
          <w:lang w:val="en-GB"/>
        </w:rPr>
        <w:fldChar w:fldCharType="end"/>
      </w:r>
      <w:r w:rsidRPr="00F03A26">
        <w:rPr>
          <w:rFonts w:asciiTheme="majorBidi" w:hAnsiTheme="majorBidi" w:cstheme="majorBidi"/>
          <w:lang w:val="en-GB"/>
        </w:rPr>
        <w:t>. (</w:t>
      </w:r>
      <w:r w:rsidRPr="00F03A26">
        <w:rPr>
          <w:rFonts w:asciiTheme="majorBidi" w:hAnsiTheme="majorBidi" w:cstheme="majorBidi"/>
          <w:color w:val="000000" w:themeColor="text1"/>
          <w:lang w:val="en-GB"/>
        </w:rPr>
        <w:t xml:space="preserve">vol. IV: 769-864). </w:t>
      </w:r>
      <w:r w:rsidRPr="00F03A26">
        <w:rPr>
          <w:rFonts w:asciiTheme="majorBidi" w:hAnsiTheme="majorBidi" w:cstheme="majorBidi"/>
          <w:lang w:val="en-GB"/>
        </w:rPr>
        <w:t>Oxford University Press.</w:t>
      </w:r>
    </w:p>
    <w:p w14:paraId="14251586"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Güzeloğlu, S. (2015). Yadigar-ı Van, Ankara.</w:t>
      </w:r>
    </w:p>
    <w:p w14:paraId="6DB767E1" w14:textId="77777777" w:rsidR="0088351C" w:rsidRPr="00F03A26" w:rsidRDefault="0088351C" w:rsidP="00F03A26">
      <w:pPr>
        <w:jc w:val="both"/>
        <w:rPr>
          <w:rFonts w:asciiTheme="majorBidi" w:hAnsiTheme="majorBidi" w:cstheme="majorBidi"/>
          <w:b/>
          <w:bCs/>
          <w:lang w:val="en-GB"/>
        </w:rPr>
      </w:pPr>
    </w:p>
    <w:p w14:paraId="30191767" w14:textId="77777777" w:rsidR="0088351C" w:rsidRPr="00F03A26" w:rsidRDefault="0088351C" w:rsidP="00F03A26">
      <w:pPr>
        <w:autoSpaceDE w:val="0"/>
        <w:autoSpaceDN w:val="0"/>
        <w:adjustRightInd w:val="0"/>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Haller, A. (1954). </w:t>
      </w:r>
      <w:r w:rsidRPr="00F03A26">
        <w:rPr>
          <w:rFonts w:asciiTheme="majorBidi" w:eastAsia="Times New Roman" w:hAnsiTheme="majorBidi" w:cstheme="majorBidi"/>
          <w:i/>
          <w:lang w:val="en-GB"/>
        </w:rPr>
        <w:t xml:space="preserve">Die </w:t>
      </w:r>
      <w:r w:rsidRPr="00F03A26">
        <w:rPr>
          <w:rFonts w:asciiTheme="majorBidi" w:hAnsiTheme="majorBidi" w:cstheme="majorBidi"/>
          <w:i/>
          <w:lang w:val="en-GB"/>
        </w:rPr>
        <w:t>Gräber</w:t>
      </w:r>
      <w:r w:rsidRPr="00F03A26">
        <w:rPr>
          <w:rFonts w:asciiTheme="majorBidi" w:eastAsia="Times New Roman" w:hAnsiTheme="majorBidi" w:cstheme="majorBidi"/>
          <w:i/>
          <w:lang w:val="en-GB"/>
        </w:rPr>
        <w:t xml:space="preserve"> und Grüfte von Assur</w:t>
      </w:r>
      <w:r w:rsidRPr="00F03A26">
        <w:rPr>
          <w:rFonts w:asciiTheme="majorBidi" w:eastAsia="Times New Roman" w:hAnsiTheme="majorBidi" w:cstheme="majorBidi"/>
          <w: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Assur</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i/>
          <w:lang w:val="en-GB"/>
        </w:rPr>
        <w:fldChar w:fldCharType="end"/>
      </w:r>
      <w:r w:rsidRPr="00F03A26">
        <w:rPr>
          <w:rFonts w:asciiTheme="majorBidi" w:eastAsia="Times New Roman" w:hAnsiTheme="majorBidi" w:cstheme="majorBidi"/>
          <w:lang w:val="en-GB"/>
        </w:rPr>
        <w:t>, Berlin, Gebr. Mann.</w:t>
      </w:r>
    </w:p>
    <w:p w14:paraId="4DA39D37" w14:textId="77777777" w:rsidR="0088351C" w:rsidRPr="00F03A26" w:rsidRDefault="0088351C" w:rsidP="00F03A26">
      <w:pPr>
        <w:autoSpaceDE w:val="0"/>
        <w:autoSpaceDN w:val="0"/>
        <w:adjustRightInd w:val="0"/>
        <w:jc w:val="both"/>
        <w:rPr>
          <w:rFonts w:asciiTheme="majorBidi" w:eastAsia="Times New Roman" w:hAnsiTheme="majorBidi" w:cstheme="majorBidi"/>
          <w:lang w:val="en-GB"/>
        </w:rPr>
      </w:pPr>
    </w:p>
    <w:p w14:paraId="18D315CF"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Haller, A. </w:t>
      </w:r>
      <w:r w:rsidRPr="00F03A26">
        <w:rPr>
          <w:rFonts w:asciiTheme="majorBidi" w:hAnsiTheme="majorBidi" w:cstheme="majorBidi"/>
          <w:lang w:val="en-GB"/>
        </w:rPr>
        <w:t>&amp;</w:t>
      </w:r>
      <w:r w:rsidRPr="00F03A26">
        <w:rPr>
          <w:rFonts w:asciiTheme="majorBidi" w:hAnsiTheme="majorBidi" w:cstheme="majorBidi"/>
          <w:color w:val="000000" w:themeColor="text1"/>
          <w:lang w:val="en-GB"/>
        </w:rPr>
        <w:t xml:space="preserve"> Andrae, W. (1955). </w:t>
      </w:r>
      <w:r w:rsidRPr="00F03A26">
        <w:rPr>
          <w:rFonts w:asciiTheme="majorBidi" w:hAnsiTheme="majorBidi" w:cstheme="majorBidi"/>
          <w:i/>
          <w:iCs/>
          <w:color w:val="000000" w:themeColor="text1"/>
          <w:lang w:val="en-GB"/>
        </w:rPr>
        <w:t>Die Heiligtümer des Gottes Assur und der Sin-ŠamaŠ-Tempel in Assur</w:t>
      </w:r>
      <w:r w:rsidRPr="00F03A26">
        <w:rPr>
          <w:rFonts w:asciiTheme="majorBidi" w:hAnsiTheme="majorBidi" w:cstheme="majorBidi"/>
          <w:color w:val="000000" w:themeColor="text1"/>
          <w:lang w:val="en-GB"/>
        </w:rPr>
        <w:t xml:space="preserve"> Berlin: Wissenschaftliche Veröffentlichungen der Deutschen Orient-Gesellschaft 67.</w:t>
      </w:r>
    </w:p>
    <w:p w14:paraId="74F85CF8"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77138DD3"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Hell</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Hell</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X.H. (1854). Voyages en Turquie et en Perse, ex.cut. par ordre du Gouvernement Francais Pendant les ann.es 1846, 1847 et 1848, Paris.</w:t>
      </w:r>
    </w:p>
    <w:p w14:paraId="4434E1E5" w14:textId="77777777" w:rsidR="0088351C" w:rsidRPr="00F03A26" w:rsidRDefault="0088351C" w:rsidP="00F03A26">
      <w:pPr>
        <w:autoSpaceDE w:val="0"/>
        <w:autoSpaceDN w:val="0"/>
        <w:adjustRightInd w:val="0"/>
        <w:jc w:val="both"/>
        <w:rPr>
          <w:rFonts w:asciiTheme="majorBidi" w:hAnsiTheme="majorBidi" w:cstheme="majorBidi"/>
          <w:lang w:val="en-GB"/>
        </w:rPr>
      </w:pPr>
    </w:p>
    <w:p w14:paraId="3BCAECFA"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Hincks, E. (1847). On the Inscriptions at Van. </w:t>
      </w:r>
      <w:r w:rsidRPr="00F03A26">
        <w:rPr>
          <w:rFonts w:asciiTheme="majorBidi" w:hAnsiTheme="majorBidi" w:cstheme="majorBidi"/>
          <w:i/>
          <w:iCs/>
          <w:lang w:val="en-GB"/>
        </w:rPr>
        <w:t>The Journal of the Royal Asiatic Society of Great Britain and Ireland, 9</w:t>
      </w:r>
      <w:r w:rsidRPr="00F03A26">
        <w:rPr>
          <w:rFonts w:asciiTheme="majorBidi" w:hAnsiTheme="majorBidi" w:cstheme="majorBidi"/>
          <w:lang w:val="en-GB"/>
        </w:rPr>
        <w:t>, 387-449.</w:t>
      </w:r>
    </w:p>
    <w:p w14:paraId="72F2040A"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Huff, D. (1968). Das Felsgrab von Eski Doğubayazit</w:t>
      </w:r>
      <w:r w:rsidRPr="00F03A26">
        <w:rPr>
          <w:rFonts w:asciiTheme="majorBidi" w:hAnsiTheme="majorBidi" w:cstheme="majorBidi"/>
          <w:i/>
          <w:iCs/>
          <w:sz w:val="24"/>
          <w:szCs w:val="24"/>
          <w:lang w:val="en-GB"/>
        </w:rPr>
        <w:t>.</w:t>
      </w:r>
      <w:r w:rsidRPr="00F03A26">
        <w:rPr>
          <w:rFonts w:asciiTheme="majorBidi" w:hAnsiTheme="majorBidi" w:cstheme="majorBidi"/>
          <w:sz w:val="24"/>
          <w:szCs w:val="24"/>
          <w:lang w:val="en-GB"/>
        </w:rPr>
        <w:t xml:space="preserve"> </w:t>
      </w:r>
      <w:r w:rsidRPr="00F03A26">
        <w:rPr>
          <w:rFonts w:asciiTheme="majorBidi" w:hAnsiTheme="majorBidi" w:cstheme="majorBidi"/>
          <w:i/>
          <w:iCs/>
          <w:sz w:val="24"/>
          <w:szCs w:val="24"/>
          <w:lang w:val="en-GB"/>
        </w:rPr>
        <w:t>Istanbuler Mitteilungen</w:t>
      </w:r>
      <w:r w:rsidRPr="00F03A26">
        <w:rPr>
          <w:rFonts w:asciiTheme="majorBidi" w:hAnsiTheme="majorBidi" w:cstheme="majorBidi"/>
          <w:sz w:val="24"/>
          <w:szCs w:val="24"/>
          <w:lang w:val="en-GB"/>
        </w:rPr>
        <w:t xml:space="preserve"> 18, 58-86.</w:t>
      </w:r>
    </w:p>
    <w:p w14:paraId="4991EFF0"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Huff, D. (1990). Das grab von Doğubeyazıt</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z w:val="24"/>
          <w:szCs w:val="24"/>
          <w:lang w:val="en-GB"/>
        </w:rPr>
        <w:instrText>Doğubeyazıt</w:instrText>
      </w:r>
      <w:r w:rsidRPr="00F03A26">
        <w:rPr>
          <w:rFonts w:asciiTheme="majorBidi" w:hAnsiTheme="majorBidi" w:cstheme="majorBidi"/>
          <w:lang w:val="en-GB"/>
        </w:rPr>
        <w:instrText xml:space="preserve">"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Seine stellung unter den urartäischen und iranischen felsgräbern. </w:t>
      </w:r>
      <w:r w:rsidRPr="00F03A26">
        <w:rPr>
          <w:rFonts w:asciiTheme="majorBidi" w:hAnsiTheme="majorBidi" w:cstheme="majorBidi"/>
          <w:i/>
          <w:iCs/>
          <w:sz w:val="24"/>
          <w:szCs w:val="24"/>
          <w:lang w:val="en-GB"/>
        </w:rPr>
        <w:t>X. Türk Tarih Kongresi, Ankara 22-26 Eylül 1986, Kongreye Sunulan Bildiriler I.</w:t>
      </w:r>
      <w:r w:rsidRPr="00F03A26">
        <w:rPr>
          <w:rFonts w:asciiTheme="majorBidi" w:hAnsiTheme="majorBidi" w:cstheme="majorBidi"/>
          <w:sz w:val="24"/>
          <w:szCs w:val="24"/>
          <w:lang w:val="en-GB"/>
        </w:rPr>
        <w:t xml:space="preserve"> (pp. 87-95), Ankara: Türk Tarih Kurumu.</w:t>
      </w:r>
    </w:p>
    <w:p w14:paraId="7EAEB136"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Hulin, P. (1960). New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Inscribed Stones at Anzaf</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"Anzaf"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iCs/>
          <w:lang w:val="en-GB"/>
        </w:rPr>
        <w:t>Anatolian Studies, 10</w:t>
      </w:r>
      <w:r w:rsidRPr="00F03A26">
        <w:rPr>
          <w:rFonts w:asciiTheme="majorBidi" w:hAnsiTheme="majorBidi" w:cstheme="majorBidi"/>
          <w:lang w:val="en-GB"/>
        </w:rPr>
        <w:t>, 205-207.</w:t>
      </w:r>
    </w:p>
    <w:p w14:paraId="0ED15B75" w14:textId="77777777" w:rsidR="0088351C" w:rsidRPr="00F03A26" w:rsidRDefault="0088351C" w:rsidP="00F03A26">
      <w:pPr>
        <w:jc w:val="both"/>
        <w:rPr>
          <w:rFonts w:asciiTheme="majorBidi" w:hAnsiTheme="majorBidi" w:cstheme="majorBidi"/>
          <w:lang w:val="en-GB"/>
        </w:rPr>
      </w:pPr>
    </w:p>
    <w:p w14:paraId="10AE4E21" w14:textId="77777777" w:rsidR="0088351C" w:rsidRPr="00F03A26" w:rsidRDefault="0088351C" w:rsidP="00F03A26">
      <w:pPr>
        <w:jc w:val="both"/>
        <w:rPr>
          <w:rFonts w:asciiTheme="majorBidi" w:hAnsiTheme="majorBidi" w:cstheme="majorBidi"/>
          <w:b/>
          <w:bCs/>
          <w:lang w:val="en-GB"/>
        </w:rPr>
      </w:pPr>
      <w:r w:rsidRPr="00F03A26">
        <w:rPr>
          <w:rFonts w:asciiTheme="majorBidi" w:hAnsiTheme="majorBidi" w:cstheme="majorBidi"/>
          <w:lang w:val="en-GB"/>
        </w:rPr>
        <w:t>Hussein, M. M. (2008). Recent Excavations in Nimrud</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J. E. Curtis, H. McCall, D. Collon and L. al-G. Werr (Eds.), </w:t>
      </w:r>
      <w:r w:rsidRPr="00F03A26">
        <w:rPr>
          <w:rFonts w:asciiTheme="majorBidi" w:hAnsiTheme="majorBidi" w:cstheme="majorBidi"/>
          <w:i/>
          <w:iCs/>
          <w:lang w:val="en-GB"/>
        </w:rPr>
        <w:t>New Light on Nimrud: Proceedings of the Nimrud Conference 11th–13th March 2002</w:t>
      </w:r>
      <w:r w:rsidRPr="00F03A26">
        <w:rPr>
          <w:rFonts w:asciiTheme="majorBidi" w:hAnsiTheme="majorBidi" w:cstheme="majorBidi"/>
          <w:lang w:val="en-GB"/>
        </w:rPr>
        <w:t xml:space="preserve"> (pp. 83-98), London.</w:t>
      </w:r>
    </w:p>
    <w:p w14:paraId="09F80B6D" w14:textId="77777777" w:rsidR="0088351C" w:rsidRPr="00F03A26" w:rsidRDefault="0088351C" w:rsidP="00F03A26">
      <w:pPr>
        <w:jc w:val="both"/>
        <w:rPr>
          <w:rFonts w:asciiTheme="majorBidi" w:hAnsiTheme="majorBidi" w:cstheme="majorBidi"/>
          <w:b/>
          <w:bCs/>
          <w:lang w:val="en-GB"/>
        </w:rPr>
      </w:pPr>
    </w:p>
    <w:p w14:paraId="0BDB1A5C" w14:textId="11962B7D"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Incicean</w:t>
      </w:r>
      <w:r w:rsidR="001F2587">
        <w:rPr>
          <w:rFonts w:asciiTheme="majorBidi" w:hAnsiTheme="majorBidi" w:cstheme="majorBidi"/>
          <w:color w:val="000000" w:themeColor="text1"/>
          <w:lang w:val="en-GB"/>
        </w:rPr>
        <w:fldChar w:fldCharType="begin"/>
      </w:r>
      <w:r w:rsidR="001F2587">
        <w:instrText xml:space="preserve"> XE "</w:instrText>
      </w:r>
      <w:r w:rsidR="001F2587" w:rsidRPr="009C2F2B">
        <w:rPr>
          <w:rFonts w:asciiTheme="majorBidi" w:hAnsiTheme="majorBidi" w:cstheme="majorBidi"/>
        </w:rPr>
        <w:instrText>Incicean</w:instrText>
      </w:r>
      <w:r w:rsidR="001F2587">
        <w:instrText xml:space="preserve">" </w:instrText>
      </w:r>
      <w:r w:rsidR="001F258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L. (1806). Asxarhagrut’iwn C’oric’ Masanc’. Asxarhi, Venice.</w:t>
      </w:r>
    </w:p>
    <w:p w14:paraId="6F8EF304" w14:textId="77777777" w:rsidR="0088351C" w:rsidRPr="00F03A26" w:rsidRDefault="0088351C" w:rsidP="00F03A26">
      <w:pPr>
        <w:pStyle w:val="EndNoteBibliography"/>
        <w:jc w:val="both"/>
        <w:rPr>
          <w:rFonts w:asciiTheme="majorBidi" w:hAnsiTheme="majorBidi" w:cstheme="majorBidi"/>
          <w:szCs w:val="24"/>
          <w:lang w:val="en-GB"/>
        </w:rPr>
      </w:pPr>
    </w:p>
    <w:p w14:paraId="5A0DD81D"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Işık, C. (1986). Neue Beobachtungen zur Darstellung von Kultszenen auf urartãischen Rollstempelsiegeln. </w:t>
      </w:r>
      <w:r w:rsidRPr="00F03A26">
        <w:rPr>
          <w:rFonts w:asciiTheme="majorBidi" w:hAnsiTheme="majorBidi" w:cstheme="majorBidi"/>
          <w:i/>
          <w:iCs/>
          <w:szCs w:val="24"/>
          <w:lang w:val="en-GB"/>
        </w:rPr>
        <w:t xml:space="preserve">Jahrbuch des deutscben arcbàologiscben Instituts, </w:t>
      </w:r>
      <w:r w:rsidRPr="00F03A26">
        <w:rPr>
          <w:rFonts w:asciiTheme="majorBidi" w:hAnsiTheme="majorBidi" w:cstheme="majorBidi"/>
          <w:szCs w:val="24"/>
          <w:lang w:val="en-GB"/>
        </w:rPr>
        <w:t>101, 1-22.</w:t>
      </w:r>
    </w:p>
    <w:p w14:paraId="6028AD85"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Işık, F. (1995a). </w:t>
      </w:r>
      <w:r w:rsidRPr="00F03A26">
        <w:rPr>
          <w:rFonts w:asciiTheme="majorBidi" w:hAnsiTheme="majorBidi" w:cstheme="majorBidi"/>
          <w:i/>
          <w:lang w:val="en-GB"/>
        </w:rPr>
        <w:t>Die offenen Felsheiligtümer Urartus und ihre Beziehungen zu denen der Hethiter und Phryger</w:t>
      </w:r>
      <w:r w:rsidRPr="00F03A26">
        <w:rPr>
          <w:rFonts w:asciiTheme="majorBidi" w:hAnsiTheme="majorBidi" w:cstheme="majorBidi"/>
          <w:lang w:val="en-GB"/>
        </w:rPr>
        <w:t>, Roma, Documenta Asiana 2.</w:t>
      </w:r>
    </w:p>
    <w:p w14:paraId="1395B11E"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Işık, F. (1995b). Das Felsgrab von Köseoğlu und Totentempel Urartus, </w:t>
      </w:r>
      <w:r w:rsidRPr="00F03A26">
        <w:rPr>
          <w:rFonts w:asciiTheme="majorBidi" w:hAnsiTheme="majorBidi" w:cstheme="majorBidi"/>
          <w:i/>
          <w:lang w:val="en-GB"/>
        </w:rPr>
        <w:t xml:space="preserve">Archäologische Mitteilungen aus Iran, </w:t>
      </w:r>
      <w:r w:rsidRPr="00F03A26">
        <w:rPr>
          <w:rFonts w:asciiTheme="majorBidi" w:hAnsiTheme="majorBidi" w:cstheme="majorBidi"/>
          <w:lang w:val="en-GB"/>
        </w:rPr>
        <w:t>28, 211-234.</w:t>
      </w:r>
    </w:p>
    <w:p w14:paraId="70B891A7"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Işık, K. (2014). Van Kalesi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Höyüğü Kazılarında Keşfedilen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Yazılı Belgeleri. </w:t>
      </w:r>
      <w:r w:rsidRPr="00F03A26">
        <w:rPr>
          <w:rFonts w:asciiTheme="majorBidi" w:hAnsiTheme="majorBidi" w:cstheme="majorBidi"/>
          <w:i/>
          <w:iCs/>
          <w:lang w:val="en-GB"/>
        </w:rPr>
        <w:t>Colloquium Anatolicum, XIII</w:t>
      </w:r>
      <w:r w:rsidRPr="00F03A26">
        <w:rPr>
          <w:rFonts w:asciiTheme="majorBidi" w:hAnsiTheme="majorBidi" w:cstheme="majorBidi"/>
          <w:lang w:val="en-GB"/>
        </w:rPr>
        <w:t xml:space="preserve">, 173-183. </w:t>
      </w:r>
    </w:p>
    <w:p w14:paraId="73B8B7FD" w14:textId="4B06A371"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Işık, K. (2019). The Irrigation Canal Stele of the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King Argišti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
          <w:iCs/>
          <w:lang w:val="en-GB"/>
        </w:rPr>
        <w:instrText>Argišti</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 Recently Discovered in Erciş</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Erciş</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/Salmanağa, North of Lake Van. </w:t>
      </w:r>
      <w:r w:rsidRPr="00F03A26">
        <w:rPr>
          <w:rFonts w:asciiTheme="majorBidi" w:hAnsiTheme="majorBidi" w:cstheme="majorBidi"/>
          <w:i/>
          <w:iCs/>
          <w:lang w:val="en-GB"/>
        </w:rPr>
        <w:t>Zeitschrift für Assyriologie und Vorderasiatische Archaologie, 109</w:t>
      </w:r>
      <w:r w:rsidRPr="00F03A26">
        <w:rPr>
          <w:rFonts w:asciiTheme="majorBidi" w:hAnsiTheme="majorBidi" w:cstheme="majorBidi"/>
          <w:lang w:val="en-GB"/>
        </w:rPr>
        <w:t xml:space="preserve">(2), 204-213. </w:t>
      </w:r>
    </w:p>
    <w:p w14:paraId="10775C93"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lastRenderedPageBreak/>
        <w:t>Işık, K., &amp; Genç, B. (2012). The Location of URU Ṭušpa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
          <w:iCs/>
          <w:color w:val="000000" w:themeColor="text1"/>
          <w:lang w:val="en-GB"/>
        </w:rPr>
        <w:instrText>Ṭušpa</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A New Inscribed Column Base Belonging to Ispuini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Ispuini</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King of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iCs/>
          <w:lang w:val="en-GB"/>
        </w:rPr>
        <w:t xml:space="preserve">AJNES (ARAMAZD), VII </w:t>
      </w:r>
      <w:r w:rsidRPr="00F03A26">
        <w:rPr>
          <w:rFonts w:asciiTheme="majorBidi" w:hAnsiTheme="majorBidi" w:cstheme="majorBidi"/>
          <w:lang w:val="en-GB"/>
        </w:rPr>
        <w:t xml:space="preserve">(1), 72-79. </w:t>
      </w:r>
    </w:p>
    <w:p w14:paraId="4E272A06" w14:textId="77777777" w:rsidR="0088351C" w:rsidRPr="00F03A26" w:rsidRDefault="0088351C" w:rsidP="00F03A26">
      <w:pPr>
        <w:jc w:val="both"/>
        <w:rPr>
          <w:rFonts w:asciiTheme="majorBidi" w:hAnsiTheme="majorBidi" w:cstheme="majorBidi"/>
          <w:shd w:val="clear" w:color="auto" w:fill="FFFFFF"/>
          <w:lang w:val="en-GB"/>
        </w:rPr>
      </w:pPr>
      <w:r w:rsidRPr="00F03A26">
        <w:rPr>
          <w:rFonts w:asciiTheme="majorBidi" w:hAnsiTheme="majorBidi" w:cstheme="majorBidi"/>
          <w:lang w:val="en-GB" w:eastAsia="it-IT"/>
        </w:rPr>
        <w:t>Işık K.,</w:t>
      </w:r>
      <w:r w:rsidRPr="00F03A26">
        <w:rPr>
          <w:rFonts w:asciiTheme="majorBidi" w:hAnsiTheme="majorBidi" w:cstheme="majorBidi"/>
          <w:b/>
          <w:bCs/>
          <w:lang w:val="en-GB" w:eastAsia="it-IT"/>
        </w:rPr>
        <w:t xml:space="preserve"> </w:t>
      </w:r>
      <w:r w:rsidRPr="00F03A26">
        <w:rPr>
          <w:rFonts w:asciiTheme="majorBidi" w:hAnsiTheme="majorBidi" w:cstheme="majorBidi"/>
          <w:lang w:val="en-GB"/>
        </w:rPr>
        <w:t xml:space="preserve">&amp; </w:t>
      </w:r>
      <w:r w:rsidRPr="00F03A26">
        <w:rPr>
          <w:rFonts w:asciiTheme="majorBidi" w:hAnsiTheme="majorBidi" w:cstheme="majorBidi"/>
          <w:lang w:val="en-GB" w:eastAsia="it-IT"/>
        </w:rPr>
        <w:t xml:space="preserve">Genç B. (2021). </w:t>
      </w:r>
      <w:r w:rsidRPr="00F03A26">
        <w:rPr>
          <w:rFonts w:asciiTheme="majorBidi" w:hAnsiTheme="majorBidi" w:cstheme="majorBidi"/>
          <w:lang w:val="en-GB"/>
        </w:rPr>
        <w:t>On a Place Name in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Studies and a New Inscription with an Urartian Expression:</w:t>
      </w:r>
      <w:r w:rsidRPr="00F03A26">
        <w:rPr>
          <w:rFonts w:asciiTheme="majorBidi" w:hAnsiTheme="majorBidi" w:cstheme="majorBidi"/>
          <w:i/>
          <w:iCs/>
          <w:lang w:val="en-GB"/>
        </w:rPr>
        <w:t xml:space="preserve"> qudulani šuḫinaşi”, </w:t>
      </w:r>
      <w:r w:rsidRPr="00F03A26">
        <w:rPr>
          <w:rFonts w:asciiTheme="majorBidi" w:hAnsiTheme="majorBidi" w:cstheme="majorBidi"/>
          <w:i/>
          <w:iCs/>
          <w:shd w:val="clear" w:color="auto" w:fill="FFFFFF"/>
          <w:lang w:val="en-GB"/>
        </w:rPr>
        <w:t>Anatolia Antiqua</w:t>
      </w:r>
      <w:r w:rsidRPr="00F03A26">
        <w:rPr>
          <w:rFonts w:asciiTheme="majorBidi" w:hAnsiTheme="majorBidi" w:cstheme="majorBidi"/>
          <w:shd w:val="clear" w:color="auto" w:fill="FFFFFF"/>
          <w:lang w:val="en-GB"/>
        </w:rPr>
        <w:t xml:space="preserve">, </w:t>
      </w:r>
      <w:r w:rsidRPr="00F03A26">
        <w:rPr>
          <w:rFonts w:asciiTheme="majorBidi" w:hAnsiTheme="majorBidi" w:cstheme="majorBidi"/>
          <w:i/>
          <w:iCs/>
          <w:lang w:val="en-GB"/>
        </w:rPr>
        <w:t>XXIX</w:t>
      </w:r>
      <w:r w:rsidRPr="00F03A26">
        <w:rPr>
          <w:rFonts w:asciiTheme="majorBidi" w:hAnsiTheme="majorBidi" w:cstheme="majorBidi"/>
          <w:i/>
          <w:iCs/>
          <w:shd w:val="clear" w:color="auto" w:fill="FFFFFF"/>
          <w:lang w:val="en-GB"/>
        </w:rPr>
        <w:t>,</w:t>
      </w:r>
      <w:r w:rsidRPr="00F03A26">
        <w:rPr>
          <w:rFonts w:asciiTheme="majorBidi" w:hAnsiTheme="majorBidi" w:cstheme="majorBidi"/>
          <w:shd w:val="clear" w:color="auto" w:fill="FFFFFF"/>
          <w:lang w:val="en-GB"/>
        </w:rPr>
        <w:t xml:space="preserve"> 1-11.</w:t>
      </w:r>
    </w:p>
    <w:p w14:paraId="4F8411FA" w14:textId="77777777" w:rsidR="0088351C" w:rsidRPr="00F03A26" w:rsidRDefault="0088351C" w:rsidP="00F03A26">
      <w:pPr>
        <w:jc w:val="both"/>
        <w:rPr>
          <w:rFonts w:asciiTheme="majorBidi" w:hAnsiTheme="majorBidi" w:cstheme="majorBidi"/>
          <w:lang w:val="en-GB"/>
        </w:rPr>
      </w:pPr>
    </w:p>
    <w:p w14:paraId="18B28FF2"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lang w:val="en-GB"/>
        </w:rPr>
        <w:t>Işık, K., Aras, O., &amp; Aras, A. (2021). The Inscribed Bullae found in the Excavations of Northern Slope of Ayanis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"Ayanis"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Fortress in 2015: A New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Building Name: É</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É</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tamali.</w:t>
      </w:r>
      <w:r w:rsidRPr="00F03A26">
        <w:rPr>
          <w:rFonts w:asciiTheme="majorBidi" w:hAnsiTheme="majorBidi" w:cstheme="majorBidi"/>
          <w:i/>
          <w:iCs/>
          <w:lang w:val="en-GB"/>
        </w:rPr>
        <w:t xml:space="preserve"> Journal of Cuneiform Studies, 73</w:t>
      </w:r>
      <w:r w:rsidRPr="00F03A26">
        <w:rPr>
          <w:rFonts w:asciiTheme="majorBidi" w:hAnsiTheme="majorBidi" w:cstheme="majorBidi"/>
          <w:lang w:val="en-GB"/>
        </w:rPr>
        <w:t>, 179-191.</w:t>
      </w:r>
    </w:p>
    <w:p w14:paraId="1548EE84" w14:textId="77777777" w:rsidR="0088351C" w:rsidRPr="00F03A26" w:rsidRDefault="0088351C" w:rsidP="00F03A26">
      <w:pPr>
        <w:jc w:val="both"/>
        <w:rPr>
          <w:rFonts w:asciiTheme="majorBidi" w:hAnsiTheme="majorBidi" w:cstheme="majorBidi"/>
          <w:b/>
          <w:bCs/>
          <w:lang w:val="en-GB"/>
        </w:rPr>
      </w:pPr>
    </w:p>
    <w:p w14:paraId="29F2E8E4"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Kanetsyan, A. (2001).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Early Achaemenid</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lang w:val="en-GB"/>
        </w:rPr>
        <w:instrText>Achaemenid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Palaces in Armenia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lang w:val="en-GB"/>
        </w:rPr>
        <w:instrText>Armenia</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I. Nielsen (Ed.), </w:t>
      </w:r>
      <w:r w:rsidRPr="00F03A26">
        <w:rPr>
          <w:rFonts w:asciiTheme="majorBidi" w:hAnsiTheme="majorBidi" w:cstheme="majorBidi"/>
          <w:i/>
          <w:iCs/>
          <w:lang w:val="en-GB"/>
        </w:rPr>
        <w:t xml:space="preserve">The Royal Palace Institution in the First Millennium BC. Regional development and cultural interchange between East and West </w:t>
      </w:r>
      <w:r w:rsidRPr="00F03A26">
        <w:rPr>
          <w:rFonts w:asciiTheme="majorBidi" w:hAnsiTheme="majorBidi" w:cstheme="majorBidi"/>
          <w:lang w:val="en-GB"/>
        </w:rPr>
        <w:t>(pp. 145-153). Aarhus, Monographs of the Danish Institute at Athens 4.</w:t>
      </w:r>
    </w:p>
    <w:p w14:paraId="66DD2960"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Karaosmanoğlu, M. (2007). Altıntepe</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Kalesi İkinci Dönem Kazıları. In B. Can &amp; M. Işıklı (Eds.), </w:t>
      </w:r>
      <w:r w:rsidRPr="00F03A26">
        <w:rPr>
          <w:rFonts w:asciiTheme="majorBidi" w:eastAsia="Times New Roman" w:hAnsiTheme="majorBidi" w:cstheme="majorBidi"/>
          <w:i/>
          <w:lang w:val="en-GB"/>
        </w:rPr>
        <w:t xml:space="preserve">Doğudan Yükselen Işık Arkeoloji Yazıları </w:t>
      </w:r>
      <w:r w:rsidRPr="00F03A26">
        <w:rPr>
          <w:rFonts w:asciiTheme="majorBidi" w:eastAsia="Times New Roman" w:hAnsiTheme="majorBidi" w:cstheme="majorBidi"/>
          <w:lang w:val="en-GB"/>
        </w:rPr>
        <w:t>(pp. 69-85)</w:t>
      </w:r>
      <w:r w:rsidRPr="00F03A26">
        <w:rPr>
          <w:rFonts w:asciiTheme="majorBidi" w:eastAsia="Times New Roman" w:hAnsiTheme="majorBidi" w:cstheme="majorBidi"/>
          <w:i/>
          <w:lang w:val="en-GB"/>
        </w:rPr>
        <w:t xml:space="preserve">. </w:t>
      </w:r>
      <w:r w:rsidRPr="00F03A26">
        <w:rPr>
          <w:rFonts w:asciiTheme="majorBidi" w:eastAsia="Times New Roman" w:hAnsiTheme="majorBidi" w:cstheme="majorBidi"/>
          <w:lang w:val="en-GB"/>
        </w:rPr>
        <w:t>İstanbul: Zero Prod. Ltd.</w:t>
      </w:r>
    </w:p>
    <w:p w14:paraId="4D892AB4" w14:textId="77777777" w:rsidR="0088351C" w:rsidRPr="00F03A26" w:rsidRDefault="0088351C" w:rsidP="00F03A26">
      <w:pPr>
        <w:jc w:val="both"/>
        <w:rPr>
          <w:rFonts w:asciiTheme="majorBidi" w:eastAsia="Times New Roman" w:hAnsiTheme="majorBidi" w:cstheme="majorBidi"/>
          <w:lang w:val="en-GB"/>
        </w:rPr>
      </w:pPr>
    </w:p>
    <w:p w14:paraId="22382BA3"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Karaosmanoğlu, M. (2011). Erzincan Altıntepe</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Kalesi (Erzincan Altıntepe Fortress). In K. Köroğlu &amp; E. Konyar (Eds.), </w:t>
      </w:r>
      <w:r w:rsidRPr="00F03A26">
        <w:rPr>
          <w:rFonts w:asciiTheme="majorBidi" w:eastAsia="Times New Roman" w:hAnsiTheme="majorBidi" w:cstheme="majorBidi"/>
          <w:i/>
          <w:lang w:val="en-GB"/>
        </w:rPr>
        <w:t>Urartu</w:t>
      </w:r>
      <w:r w:rsidRPr="00F03A26">
        <w:rPr>
          <w:rFonts w:asciiTheme="majorBidi" w:eastAsia="Times New Roman" w:hAnsiTheme="majorBidi" w:cstheme="majorBidi"/>
          <w: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i/>
          <w:lang w:val="en-GB"/>
        </w:rPr>
        <w:fldChar w:fldCharType="end"/>
      </w:r>
      <w:r w:rsidRPr="00F03A26">
        <w:rPr>
          <w:rFonts w:asciiTheme="majorBidi" w:eastAsia="Times New Roman" w:hAnsiTheme="majorBidi" w:cstheme="majorBidi"/>
          <w:i/>
          <w:lang w:val="en-GB"/>
        </w:rPr>
        <w:t xml:space="preserve">: Doğu'da Değişim/ Transformation in the East </w:t>
      </w:r>
      <w:r w:rsidRPr="00F03A26">
        <w:rPr>
          <w:rFonts w:asciiTheme="majorBidi" w:eastAsia="Times New Roman" w:hAnsiTheme="majorBidi" w:cstheme="majorBidi"/>
          <w:lang w:val="en-GB"/>
        </w:rPr>
        <w:t>(pp. 366-375).</w:t>
      </w:r>
      <w:r w:rsidRPr="00F03A26">
        <w:rPr>
          <w:rFonts w:asciiTheme="majorBidi" w:eastAsia="Times New Roman" w:hAnsiTheme="majorBidi" w:cstheme="majorBidi"/>
          <w:i/>
          <w:lang w:val="en-GB"/>
        </w:rPr>
        <w:t xml:space="preserve"> </w:t>
      </w:r>
      <w:r w:rsidRPr="00F03A26">
        <w:rPr>
          <w:rFonts w:asciiTheme="majorBidi" w:eastAsia="Times New Roman" w:hAnsiTheme="majorBidi" w:cstheme="majorBidi"/>
          <w:lang w:val="en-GB"/>
        </w:rPr>
        <w:t>İstanbul: Yapı Kredi Yayınları.</w:t>
      </w:r>
    </w:p>
    <w:p w14:paraId="5FEEC36F" w14:textId="77777777" w:rsidR="0088351C" w:rsidRPr="00F03A26" w:rsidRDefault="0088351C" w:rsidP="00F03A26">
      <w:pPr>
        <w:jc w:val="both"/>
        <w:rPr>
          <w:rFonts w:asciiTheme="majorBidi" w:hAnsiTheme="majorBidi" w:cstheme="majorBidi"/>
          <w:color w:val="FF0000"/>
          <w:shd w:val="clear" w:color="auto" w:fill="FFFFFF"/>
          <w:lang w:val="en-GB"/>
        </w:rPr>
      </w:pPr>
    </w:p>
    <w:p w14:paraId="65CC7481" w14:textId="77777777" w:rsidR="0088351C" w:rsidRPr="00F03A26" w:rsidRDefault="0088351C" w:rsidP="00F03A26">
      <w:pPr>
        <w:jc w:val="both"/>
        <w:rPr>
          <w:rFonts w:asciiTheme="majorBidi" w:hAnsiTheme="majorBidi" w:cstheme="majorBidi"/>
          <w:shd w:val="clear" w:color="auto" w:fill="FFFFFF"/>
          <w:lang w:val="en-GB"/>
        </w:rPr>
      </w:pPr>
      <w:r w:rsidRPr="00F03A26">
        <w:rPr>
          <w:rFonts w:asciiTheme="majorBidi" w:hAnsiTheme="majorBidi" w:cstheme="majorBidi"/>
          <w:shd w:val="clear" w:color="auto" w:fill="FFFFFF"/>
          <w:lang w:val="en-GB"/>
        </w:rPr>
        <w:t>Khorenats'i, M. (2006). History of the Armenians (R. W. Thompson, Trans.  Vol. 4). Ann Arbor, Michigan, U.S.A: Caravan Books.</w:t>
      </w:r>
    </w:p>
    <w:p w14:paraId="6F9E6A61" w14:textId="77777777" w:rsidR="0088351C" w:rsidRPr="00F03A26" w:rsidRDefault="0088351C" w:rsidP="00F03A26">
      <w:pPr>
        <w:jc w:val="both"/>
        <w:rPr>
          <w:rFonts w:asciiTheme="majorBidi" w:hAnsiTheme="majorBidi" w:cstheme="majorBidi"/>
          <w:color w:val="000000" w:themeColor="text1"/>
          <w:shd w:val="clear" w:color="auto" w:fill="FFFFFF"/>
          <w:lang w:val="en-GB"/>
        </w:rPr>
      </w:pPr>
    </w:p>
    <w:p w14:paraId="2B63EC32"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Kılıç, S. (2008). Van Gölü'nün güneybatısındaki Tatvan</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zCs w:val="24"/>
          <w:lang w:val="en-GB"/>
        </w:rPr>
        <w:instrText>Tatvan</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Kalesi'nin yok ediliş öyküsü ve Uaiais Kalesi'nin yeni sorunu. In Taner Tarhan, Aksel Tibet &amp; Erkan Konyar (Eds.), </w:t>
      </w:r>
      <w:r w:rsidRPr="00F03A26">
        <w:rPr>
          <w:rFonts w:asciiTheme="majorBidi" w:hAnsiTheme="majorBidi" w:cstheme="majorBidi"/>
          <w:i/>
          <w:iCs/>
          <w:szCs w:val="24"/>
          <w:lang w:val="en-GB"/>
        </w:rPr>
        <w:t>Muhibbe Darga Armağanı</w:t>
      </w:r>
      <w:r w:rsidRPr="00F03A26">
        <w:rPr>
          <w:rFonts w:asciiTheme="majorBidi" w:hAnsiTheme="majorBidi" w:cstheme="majorBidi"/>
          <w:szCs w:val="24"/>
          <w:lang w:val="en-GB"/>
        </w:rPr>
        <w:t xml:space="preserve"> (pp. 291-300). İstanbul: Sadberk Hanım Müzesi.</w:t>
      </w:r>
    </w:p>
    <w:p w14:paraId="336915A7"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Kılıç, O. (2021). </w:t>
      </w:r>
      <w:r w:rsidRPr="00F03A26">
        <w:rPr>
          <w:rFonts w:asciiTheme="majorBidi" w:hAnsiTheme="majorBidi" w:cstheme="majorBidi"/>
          <w:i/>
          <w:iCs/>
          <w:szCs w:val="24"/>
          <w:lang w:val="en-GB"/>
        </w:rPr>
        <w:t>Doğu Serhaddinin Kilidi Van 16.-18. Yüzyıllar</w:t>
      </w:r>
      <w:r w:rsidRPr="00F03A26">
        <w:rPr>
          <w:rFonts w:asciiTheme="majorBidi" w:hAnsiTheme="majorBidi" w:cstheme="majorBidi"/>
          <w:szCs w:val="24"/>
          <w:lang w:val="en-GB"/>
        </w:rPr>
        <w:t>. Van: Büyükşehir Belediyesi Kültür ve Sanat Yayınları.</w:t>
      </w:r>
    </w:p>
    <w:p w14:paraId="61707930"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Kınal, F. (1954). Doğu ve Güney-Doğu Anadolu'da Tetkik Gezisi Raporu. </w:t>
      </w:r>
      <w:r w:rsidRPr="00F03A26">
        <w:rPr>
          <w:rFonts w:asciiTheme="majorBidi" w:hAnsiTheme="majorBidi" w:cstheme="majorBidi"/>
          <w:i/>
          <w:iCs/>
          <w:szCs w:val="24"/>
          <w:lang w:val="en-GB"/>
        </w:rPr>
        <w:t>Dil ve Tarih-Coğrafya Fakültesi Dergisi</w:t>
      </w:r>
      <w:r w:rsidRPr="00F03A26">
        <w:rPr>
          <w:rFonts w:asciiTheme="majorBidi" w:hAnsiTheme="majorBidi" w:cstheme="majorBidi"/>
          <w:szCs w:val="24"/>
          <w:lang w:val="en-GB"/>
        </w:rPr>
        <w:t>, 12(1-2), 77-89.</w:t>
      </w:r>
    </w:p>
    <w:p w14:paraId="32E61841" w14:textId="77777777" w:rsidR="0088351C" w:rsidRPr="00F03A26" w:rsidRDefault="0088351C" w:rsidP="00F03A26">
      <w:pPr>
        <w:jc w:val="both"/>
        <w:rPr>
          <w:rStyle w:val="surname"/>
          <w:rFonts w:asciiTheme="majorBidi" w:hAnsiTheme="majorBidi" w:cstheme="majorBidi"/>
          <w:bdr w:val="none" w:sz="0" w:space="0" w:color="auto" w:frame="1"/>
          <w:shd w:val="clear" w:color="auto" w:fill="FFFFFF"/>
          <w:lang w:val="en-GB"/>
        </w:rPr>
      </w:pPr>
    </w:p>
    <w:p w14:paraId="403D4C15" w14:textId="77777777" w:rsidR="0088351C" w:rsidRPr="00F03A26" w:rsidRDefault="0088351C" w:rsidP="00F03A26">
      <w:pPr>
        <w:jc w:val="both"/>
        <w:rPr>
          <w:rFonts w:asciiTheme="majorBidi" w:hAnsiTheme="majorBidi" w:cstheme="majorBidi"/>
          <w:color w:val="000000" w:themeColor="text1"/>
          <w:shd w:val="clear" w:color="auto" w:fill="FFFFFF"/>
          <w:lang w:val="en-GB"/>
        </w:rPr>
      </w:pPr>
      <w:r w:rsidRPr="00F03A26">
        <w:rPr>
          <w:rStyle w:val="surname"/>
          <w:rFonts w:asciiTheme="majorBidi" w:hAnsiTheme="majorBidi" w:cstheme="majorBidi"/>
          <w:bdr w:val="none" w:sz="0" w:space="0" w:color="auto" w:frame="1"/>
          <w:shd w:val="clear" w:color="auto" w:fill="FFFFFF"/>
          <w:lang w:val="en-GB"/>
        </w:rPr>
        <w:t>King</w:t>
      </w:r>
      <w:r w:rsidRPr="00F03A26">
        <w:rPr>
          <w:rStyle w:val="name"/>
          <w:rFonts w:asciiTheme="majorBidi" w:hAnsiTheme="majorBidi" w:cstheme="majorBidi"/>
          <w:bdr w:val="none" w:sz="0" w:space="0" w:color="auto" w:frame="1"/>
          <w:shd w:val="clear" w:color="auto" w:fill="FFFFFF"/>
          <w:lang w:val="en-GB"/>
        </w:rPr>
        <w:t>, </w:t>
      </w:r>
      <w:r w:rsidRPr="00F03A26">
        <w:rPr>
          <w:rStyle w:val="given-names"/>
          <w:rFonts w:asciiTheme="majorBidi" w:hAnsiTheme="majorBidi" w:cstheme="majorBidi"/>
          <w:bdr w:val="none" w:sz="0" w:space="0" w:color="auto" w:frame="1"/>
          <w:shd w:val="clear" w:color="auto" w:fill="FFFFFF"/>
          <w:lang w:val="en-GB"/>
        </w:rPr>
        <w:t>L. W.</w:t>
      </w:r>
      <w:r w:rsidRPr="00F03A26">
        <w:rPr>
          <w:rFonts w:asciiTheme="majorBidi" w:hAnsiTheme="majorBidi" w:cstheme="majorBidi"/>
          <w:shd w:val="clear" w:color="auto" w:fill="FFFFFF"/>
          <w:lang w:val="en-GB"/>
        </w:rPr>
        <w:t> (</w:t>
      </w:r>
      <w:r w:rsidRPr="00F03A26">
        <w:rPr>
          <w:rStyle w:val="year"/>
          <w:rFonts w:asciiTheme="majorBidi" w:hAnsiTheme="majorBidi" w:cstheme="majorBidi"/>
          <w:bdr w:val="none" w:sz="0" w:space="0" w:color="auto" w:frame="1"/>
          <w:shd w:val="clear" w:color="auto" w:fill="FFFFFF"/>
          <w:lang w:val="en-GB"/>
        </w:rPr>
        <w:t>1915</w:t>
      </w:r>
      <w:r w:rsidRPr="00F03A26">
        <w:rPr>
          <w:rFonts w:asciiTheme="majorBidi" w:hAnsiTheme="majorBidi" w:cstheme="majorBidi"/>
          <w:shd w:val="clear" w:color="auto" w:fill="FFFFFF"/>
          <w:lang w:val="en-GB"/>
        </w:rPr>
        <w:t>). </w:t>
      </w:r>
      <w:r w:rsidRPr="00F03A26">
        <w:rPr>
          <w:rStyle w:val="source"/>
          <w:rFonts w:asciiTheme="majorBidi" w:hAnsiTheme="majorBidi" w:cstheme="majorBidi"/>
          <w:bdr w:val="none" w:sz="0" w:space="0" w:color="auto" w:frame="1"/>
          <w:shd w:val="clear" w:color="auto" w:fill="FFFFFF"/>
          <w:lang w:val="en-GB"/>
        </w:rPr>
        <w:t>Bronze Reliefs from the Gates of Shalmaneser King of Assyria</w:t>
      </w:r>
      <w:r w:rsidRPr="00F03A26">
        <w:rPr>
          <w:rStyle w:val="source"/>
          <w:rFonts w:asciiTheme="majorBidi" w:hAnsiTheme="majorBidi" w:cstheme="majorBidi"/>
          <w:bdr w:val="none" w:sz="0" w:space="0" w:color="auto" w:frame="1"/>
          <w:shd w:val="clear" w:color="auto" w:fill="FFFFFF"/>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000000"/>
          <w:kern w:val="0"/>
          <w:lang w:val="en-GB" w:eastAsia="tr-TR" w:bidi="he-IL"/>
          <w14:ligatures w14:val="none"/>
        </w:rPr>
        <w:instrText>Assyria</w:instrText>
      </w:r>
      <w:r w:rsidRPr="00F03A26">
        <w:rPr>
          <w:rFonts w:asciiTheme="majorBidi" w:hAnsiTheme="majorBidi" w:cstheme="majorBidi"/>
          <w:lang w:val="en-GB"/>
        </w:rPr>
        <w:instrText xml:space="preserve">" </w:instrText>
      </w:r>
      <w:r w:rsidRPr="00F03A26">
        <w:rPr>
          <w:rStyle w:val="source"/>
          <w:rFonts w:asciiTheme="majorBidi" w:hAnsiTheme="majorBidi" w:cstheme="majorBidi"/>
          <w:bdr w:val="none" w:sz="0" w:space="0" w:color="auto" w:frame="1"/>
          <w:shd w:val="clear" w:color="auto" w:fill="FFFFFF"/>
          <w:lang w:val="en-GB"/>
        </w:rPr>
        <w:fldChar w:fldCharType="end"/>
      </w:r>
      <w:r w:rsidRPr="00F03A26">
        <w:rPr>
          <w:rStyle w:val="source"/>
          <w:rFonts w:asciiTheme="majorBidi" w:hAnsiTheme="majorBidi" w:cstheme="majorBidi"/>
          <w:bdr w:val="none" w:sz="0" w:space="0" w:color="auto" w:frame="1"/>
          <w:shd w:val="clear" w:color="auto" w:fill="FFFFFF"/>
          <w:lang w:val="en-GB"/>
        </w:rPr>
        <w:t xml:space="preserve"> B.C., 860-825</w:t>
      </w:r>
      <w:r w:rsidRPr="00F03A26">
        <w:rPr>
          <w:rFonts w:asciiTheme="majorBidi" w:hAnsiTheme="majorBidi" w:cstheme="majorBidi"/>
          <w:shd w:val="clear" w:color="auto" w:fill="FFFFFF"/>
          <w:lang w:val="en-GB"/>
        </w:rPr>
        <w:t>. </w:t>
      </w:r>
      <w:r w:rsidRPr="00F03A26">
        <w:rPr>
          <w:rStyle w:val="publisher-loc"/>
          <w:rFonts w:asciiTheme="majorBidi" w:hAnsiTheme="majorBidi" w:cstheme="majorBidi"/>
          <w:bdr w:val="none" w:sz="0" w:space="0" w:color="auto" w:frame="1"/>
          <w:shd w:val="clear" w:color="auto" w:fill="FFFFFF"/>
          <w:lang w:val="en-GB"/>
        </w:rPr>
        <w:t>London</w:t>
      </w:r>
      <w:r w:rsidRPr="00F03A26">
        <w:rPr>
          <w:rFonts w:asciiTheme="majorBidi" w:hAnsiTheme="majorBidi" w:cstheme="majorBidi"/>
          <w:shd w:val="clear" w:color="auto" w:fill="FFFFFF"/>
          <w:lang w:val="en-GB"/>
        </w:rPr>
        <w:t>.</w:t>
      </w:r>
    </w:p>
    <w:p w14:paraId="0A9C8CA3"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 xml:space="preserve">Kleiss, W. (1968). Urartaische Plàtze in Iranisch-Azerbaidjan. </w:t>
      </w:r>
      <w:r w:rsidRPr="00F03A26">
        <w:rPr>
          <w:rFonts w:asciiTheme="majorBidi" w:hAnsiTheme="majorBidi" w:cstheme="majorBidi"/>
          <w:i/>
          <w:iCs/>
          <w:sz w:val="24"/>
          <w:szCs w:val="24"/>
          <w:lang w:val="en-GB"/>
        </w:rPr>
        <w:t>Istanbuler Mitteilungen</w:t>
      </w:r>
      <w:r w:rsidRPr="00F03A26">
        <w:rPr>
          <w:rFonts w:asciiTheme="majorBidi" w:hAnsiTheme="majorBidi" w:cstheme="majorBidi"/>
          <w:sz w:val="24"/>
          <w:szCs w:val="24"/>
          <w:lang w:val="en-GB"/>
        </w:rPr>
        <w:t xml:space="preserve"> 18, 1-44.</w:t>
      </w:r>
    </w:p>
    <w:p w14:paraId="32CBF5E0"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Kleiss, W. (1976). Urartãische PIãtze im Iran (Stand der Forschung Herbst 1975). </w:t>
      </w:r>
      <w:r w:rsidRPr="00F03A26">
        <w:rPr>
          <w:rFonts w:asciiTheme="majorBidi" w:hAnsiTheme="majorBidi" w:cstheme="majorBidi"/>
          <w:i/>
          <w:iCs/>
          <w:lang w:val="en-GB"/>
        </w:rPr>
        <w:t xml:space="preserve">Archäologische Mitteilungen aus Iran </w:t>
      </w:r>
      <w:r w:rsidRPr="00F03A26">
        <w:rPr>
          <w:rFonts w:asciiTheme="majorBidi" w:hAnsiTheme="majorBidi" w:cstheme="majorBidi"/>
          <w:lang w:val="en-GB"/>
        </w:rPr>
        <w:t>9, 9-43.</w:t>
      </w:r>
    </w:p>
    <w:p w14:paraId="55A44FBE"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1B93FCCC"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r w:rsidRPr="00F03A26">
        <w:rPr>
          <w:rFonts w:asciiTheme="majorBidi" w:hAnsiTheme="majorBidi" w:cstheme="majorBidi"/>
          <w:lang w:val="en-GB"/>
        </w:rPr>
        <w:t xml:space="preserve">Kleiss, W. (1979). </w:t>
      </w:r>
      <w:r w:rsidRPr="00F03A26">
        <w:rPr>
          <w:rFonts w:asciiTheme="majorBidi" w:hAnsiTheme="majorBidi" w:cstheme="majorBidi"/>
          <w:i/>
          <w:iCs/>
          <w:lang w:val="en-GB"/>
        </w:rPr>
        <w:t>Bastam I: Ausgrabungen in den Urartäischen Anlagen 1972-1979</w:t>
      </w:r>
      <w:r w:rsidRPr="00F03A26">
        <w:rPr>
          <w:rFonts w:asciiTheme="majorBidi" w:hAnsiTheme="majorBidi" w:cstheme="majorBidi"/>
          <w:lang w:val="en-GB"/>
        </w:rPr>
        <w:t>. Berlin.</w:t>
      </w:r>
    </w:p>
    <w:p w14:paraId="1755F09C"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56FC439F" w14:textId="77777777" w:rsidR="0088351C" w:rsidRPr="00F03A26" w:rsidRDefault="0088351C" w:rsidP="00F03A26">
      <w:pPr>
        <w:autoSpaceDE w:val="0"/>
        <w:autoSpaceDN w:val="0"/>
        <w:adjustRightInd w:val="0"/>
        <w:ind w:left="720" w:hanging="720"/>
        <w:jc w:val="both"/>
        <w:rPr>
          <w:rFonts w:asciiTheme="majorBidi" w:hAnsiTheme="majorBidi" w:cstheme="majorBidi"/>
          <w:i/>
          <w:iCs/>
          <w:lang w:val="en-GB"/>
        </w:rPr>
      </w:pPr>
      <w:r w:rsidRPr="00F03A26">
        <w:rPr>
          <w:rFonts w:asciiTheme="majorBidi" w:hAnsiTheme="majorBidi" w:cstheme="majorBidi"/>
          <w:lang w:val="en-GB"/>
        </w:rPr>
        <w:t xml:space="preserve">Kleiss, W. (1982). Darstellungen Urartaischer Architektur. </w:t>
      </w:r>
      <w:r w:rsidRPr="00F03A26">
        <w:rPr>
          <w:rFonts w:asciiTheme="majorBidi" w:hAnsiTheme="majorBidi" w:cstheme="majorBidi"/>
          <w:i/>
          <w:iCs/>
          <w:lang w:val="en-GB"/>
        </w:rPr>
        <w:t xml:space="preserve">Archäologische Mitteilungen aus </w:t>
      </w:r>
    </w:p>
    <w:p w14:paraId="26BB1862"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r w:rsidRPr="00F03A26">
        <w:rPr>
          <w:rFonts w:asciiTheme="majorBidi" w:hAnsiTheme="majorBidi" w:cstheme="majorBidi"/>
          <w:i/>
          <w:iCs/>
          <w:lang w:val="en-GB"/>
        </w:rPr>
        <w:t xml:space="preserve">Iran, </w:t>
      </w:r>
      <w:r w:rsidRPr="00F03A26">
        <w:rPr>
          <w:rFonts w:asciiTheme="majorBidi" w:hAnsiTheme="majorBidi" w:cstheme="majorBidi"/>
          <w:lang w:val="en-GB"/>
        </w:rPr>
        <w:t xml:space="preserve">15, 53-77. </w:t>
      </w:r>
    </w:p>
    <w:p w14:paraId="72A33779" w14:textId="77777777" w:rsidR="0088351C" w:rsidRPr="00F03A26" w:rsidRDefault="0088351C" w:rsidP="00F03A26">
      <w:pPr>
        <w:jc w:val="both"/>
        <w:rPr>
          <w:rFonts w:asciiTheme="majorBidi" w:eastAsia="Times New Roman" w:hAnsiTheme="majorBidi" w:cstheme="majorBidi"/>
          <w:lang w:val="en-GB"/>
        </w:rPr>
      </w:pPr>
    </w:p>
    <w:p w14:paraId="7A940EEB"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lastRenderedPageBreak/>
        <w:t xml:space="preserve">Kleiss, W. (1988). </w:t>
      </w:r>
      <w:r w:rsidRPr="00F03A26">
        <w:rPr>
          <w:rFonts w:asciiTheme="majorBidi" w:eastAsia="Times New Roman" w:hAnsiTheme="majorBidi" w:cstheme="majorBidi"/>
          <w:i/>
          <w:lang w:val="en-GB"/>
        </w:rPr>
        <w:t>Bastam</w:t>
      </w:r>
      <w:r w:rsidRPr="00F03A26">
        <w:rPr>
          <w:rFonts w:asciiTheme="majorBidi" w:eastAsia="Times New Roman" w:hAnsiTheme="majorBidi" w:cstheme="majorBidi"/>
          <w:i/>
          <w:lang w:val="en-GB"/>
        </w:rPr>
        <w:fldChar w:fldCharType="begin"/>
      </w:r>
      <w:r w:rsidRPr="00F03A26">
        <w:rPr>
          <w:rFonts w:asciiTheme="majorBidi" w:hAnsiTheme="majorBidi" w:cstheme="majorBidi"/>
          <w:lang w:val="en-GB"/>
        </w:rPr>
        <w:instrText xml:space="preserve"> XE "Bastam" </w:instrText>
      </w:r>
      <w:r w:rsidRPr="00F03A26">
        <w:rPr>
          <w:rFonts w:asciiTheme="majorBidi" w:eastAsia="Times New Roman" w:hAnsiTheme="majorBidi" w:cstheme="majorBidi"/>
          <w:i/>
          <w:lang w:val="en-GB"/>
        </w:rPr>
        <w:fldChar w:fldCharType="end"/>
      </w:r>
      <w:r w:rsidRPr="00F03A26">
        <w:rPr>
          <w:rFonts w:asciiTheme="majorBidi" w:eastAsia="Times New Roman" w:hAnsiTheme="majorBidi" w:cstheme="majorBidi"/>
          <w:i/>
          <w:lang w:val="en-GB"/>
        </w:rPr>
        <w:t xml:space="preserve"> II: Ausgrabungen in den Urartäischen Anlagen 1977-78,</w:t>
      </w:r>
      <w:r w:rsidRPr="00F03A26">
        <w:rPr>
          <w:rFonts w:asciiTheme="majorBidi" w:eastAsia="Times New Roman" w:hAnsiTheme="majorBidi" w:cstheme="majorBidi"/>
          <w:lang w:val="en-GB"/>
        </w:rPr>
        <w:t xml:space="preserve"> Berlin: Gebr. Mann. Verlag.</w:t>
      </w:r>
    </w:p>
    <w:p w14:paraId="1D0D5837" w14:textId="77777777" w:rsidR="0088351C" w:rsidRPr="00F03A26" w:rsidRDefault="0088351C" w:rsidP="00F03A26">
      <w:pPr>
        <w:jc w:val="both"/>
        <w:rPr>
          <w:rFonts w:asciiTheme="majorBidi" w:eastAsia="Times New Roman" w:hAnsiTheme="majorBidi" w:cstheme="majorBidi"/>
          <w:lang w:val="en-GB"/>
        </w:rPr>
      </w:pPr>
    </w:p>
    <w:p w14:paraId="23FDFFC9"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hAnsiTheme="majorBidi" w:cstheme="majorBidi"/>
          <w:lang w:val="en-GB"/>
        </w:rPr>
        <w:t xml:space="preserve">Kleiss, W. &amp; S. Kroll (1980). Vermessene Urartaische Platze im Iran (West Azerbaidjan) und Neufunde (Stand der Forcshung 1978). </w:t>
      </w:r>
      <w:r w:rsidRPr="00F03A26">
        <w:rPr>
          <w:rFonts w:asciiTheme="majorBidi" w:hAnsiTheme="majorBidi" w:cstheme="majorBidi"/>
          <w:i/>
          <w:iCs/>
          <w:lang w:val="en-GB"/>
        </w:rPr>
        <w:t>Archäologische Mitteilungen aus Iran</w:t>
      </w:r>
      <w:r w:rsidRPr="00F03A26">
        <w:rPr>
          <w:rFonts w:asciiTheme="majorBidi" w:hAnsiTheme="majorBidi" w:cstheme="majorBidi"/>
          <w:lang w:val="en-GB"/>
        </w:rPr>
        <w:t xml:space="preserve"> 12, 183-244</w:t>
      </w:r>
      <w:r w:rsidRPr="00F03A26">
        <w:rPr>
          <w:rFonts w:asciiTheme="majorBidi" w:hAnsiTheme="majorBidi" w:cstheme="majorBidi"/>
          <w:i/>
          <w:iCs/>
          <w:lang w:val="en-GB"/>
        </w:rPr>
        <w:t>.</w:t>
      </w:r>
    </w:p>
    <w:p w14:paraId="624A98A3"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Kleiss, W. (1991). Urartäische Fundamentierungen. In A. Hoffmann, E. Schwandner, W. Hoepfner </w:t>
      </w:r>
      <w:r w:rsidRPr="00F03A26">
        <w:rPr>
          <w:rFonts w:asciiTheme="majorBidi" w:eastAsia="Times New Roman" w:hAnsiTheme="majorBidi" w:cstheme="majorBidi"/>
          <w:lang w:val="en-GB" w:eastAsia="tr-TR" w:bidi="he-IL"/>
        </w:rPr>
        <w:t>&amp;</w:t>
      </w:r>
      <w:r w:rsidRPr="00F03A26">
        <w:rPr>
          <w:rFonts w:asciiTheme="majorBidi" w:hAnsiTheme="majorBidi" w:cstheme="majorBidi"/>
          <w:lang w:val="en-GB"/>
        </w:rPr>
        <w:t xml:space="preserve"> G Brands (Eds.), </w:t>
      </w:r>
      <w:r w:rsidRPr="00F03A26">
        <w:rPr>
          <w:rFonts w:asciiTheme="majorBidi" w:hAnsiTheme="majorBidi" w:cstheme="majorBidi"/>
          <w:i/>
          <w:iCs/>
          <w:lang w:val="en-GB"/>
        </w:rPr>
        <w:t xml:space="preserve">Bautechnik der Antike, Internationales Kolloquium in Berlin vom 15.-17. Februar 1990 </w:t>
      </w:r>
      <w:r w:rsidRPr="00F03A26">
        <w:rPr>
          <w:rFonts w:asciiTheme="majorBidi" w:hAnsiTheme="majorBidi" w:cstheme="majorBidi"/>
          <w:lang w:val="en-GB"/>
        </w:rPr>
        <w:t xml:space="preserve">(pp. 128-30). Philipp von Zabern-Mainz am Rhein, Diskussionen zur archäologischen Bauforschung 5. </w:t>
      </w:r>
    </w:p>
    <w:p w14:paraId="62CE7E27"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 xml:space="preserve">Konyar, E. (2004). </w:t>
      </w:r>
      <w:r w:rsidRPr="00F03A26">
        <w:rPr>
          <w:rFonts w:asciiTheme="majorBidi" w:hAnsiTheme="majorBidi" w:cstheme="majorBidi"/>
          <w:i/>
          <w:iCs/>
          <w:lang w:val="en-GB"/>
        </w:rPr>
        <w:t>Doğu Anadolu Erken Demir Çağı Kültürü: Arkeolojik Kazı ve Yüzey Araştırmaları Bulgularının Değerlendirilmesi</w:t>
      </w:r>
      <w:r w:rsidRPr="00F03A26">
        <w:rPr>
          <w:rFonts w:asciiTheme="majorBidi" w:hAnsiTheme="majorBidi" w:cstheme="majorBidi"/>
          <w:lang w:val="en-GB"/>
        </w:rPr>
        <w:t xml:space="preserve"> (Doctoral dissertation, Istanbul University).</w:t>
      </w:r>
    </w:p>
    <w:p w14:paraId="26CA8F50"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Konyar, E. (2006). An Ethno-Archaeological Approach to the Monumental Rock Signs in Eastern Anatolia, </w:t>
      </w:r>
      <w:r w:rsidRPr="00F03A26">
        <w:rPr>
          <w:rFonts w:asciiTheme="majorBidi" w:hAnsiTheme="majorBidi" w:cstheme="majorBidi"/>
          <w:i/>
          <w:iCs/>
          <w:lang w:val="en-GB"/>
        </w:rPr>
        <w:t>Colloquium Anatolicum,</w:t>
      </w:r>
      <w:r w:rsidRPr="00F03A26">
        <w:rPr>
          <w:rFonts w:asciiTheme="majorBidi" w:hAnsiTheme="majorBidi" w:cstheme="majorBidi"/>
          <w:lang w:val="en-GB"/>
        </w:rPr>
        <w:t xml:space="preserve"> V, 113-126.</w:t>
      </w:r>
    </w:p>
    <w:p w14:paraId="43E8AE2E"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Konyar, E. (2011). Urartuda Mezar Tipleri ve Gömü Âdetleri [Tomb Types and Burial Traditions in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K. Köroğlu &amp; E. Konyar (Eds.), </w:t>
      </w:r>
      <w:r w:rsidRPr="00F03A26">
        <w:rPr>
          <w:rFonts w:asciiTheme="majorBidi" w:hAnsiTheme="majorBidi" w:cstheme="majorBidi"/>
          <w:i/>
          <w:iCs/>
          <w:lang w:val="en-GB"/>
        </w:rPr>
        <w:t>Urartu: Doğu’da Değişim [Transformation in the East]</w:t>
      </w:r>
      <w:r w:rsidRPr="00F03A26">
        <w:rPr>
          <w:rFonts w:asciiTheme="majorBidi" w:hAnsiTheme="majorBidi" w:cstheme="majorBidi"/>
          <w:lang w:val="en-GB"/>
        </w:rPr>
        <w:t xml:space="preserve"> (pp. 206-231). İstanbul: Yapı Kredi Yayınları.</w:t>
      </w:r>
    </w:p>
    <w:p w14:paraId="506EE471" w14:textId="77777777" w:rsidR="0088351C" w:rsidRPr="00F03A26" w:rsidRDefault="0088351C" w:rsidP="00F03A26">
      <w:pPr>
        <w:spacing w:before="100" w:beforeAutospacing="1" w:after="100" w:afterAutospacing="1" w:line="276" w:lineRule="auto"/>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Konyar, E. (2018). </w:t>
      </w:r>
      <w:r w:rsidRPr="00F03A26">
        <w:rPr>
          <w:rFonts w:asciiTheme="majorBidi" w:eastAsia="Times New Roman" w:hAnsiTheme="majorBidi" w:cstheme="majorBidi"/>
          <w:i/>
          <w:lang w:val="en-GB"/>
        </w:rPr>
        <w:t>Yüksek Yaylanın Başkenti: Van-</w:t>
      </w:r>
      <w:r w:rsidRPr="00F03A26">
        <w:rPr>
          <w:rFonts w:asciiTheme="majorBidi" w:hAnsiTheme="majorBidi" w:cstheme="majorBidi"/>
          <w:i/>
          <w:lang w:val="en-GB"/>
        </w:rPr>
        <w:t xml:space="preserve"> Tušpa</w:t>
      </w:r>
      <w:r w:rsidRPr="00F03A26">
        <w:rPr>
          <w:rFonts w:asciiTheme="majorBidi" w:hAnsiTheme="majorBidi" w:cstheme="majorBidi"/>
          <w:i/>
          <w:lang w:val="en-GB"/>
        </w:rPr>
        <w:fldChar w:fldCharType="begin"/>
      </w:r>
      <w:r w:rsidRPr="00F03A26">
        <w:rPr>
          <w:rFonts w:asciiTheme="majorBidi" w:hAnsiTheme="majorBidi" w:cstheme="majorBidi"/>
          <w:lang w:val="en-GB"/>
        </w:rPr>
        <w:instrText xml:space="preserve"> XE "Tušpa" </w:instrText>
      </w:r>
      <w:r w:rsidRPr="00F03A26">
        <w:rPr>
          <w:rFonts w:asciiTheme="majorBidi" w:hAnsiTheme="majorBidi" w:cstheme="majorBidi"/>
          <w:i/>
          <w:lang w:val="en-GB"/>
        </w:rPr>
        <w:fldChar w:fldCharType="end"/>
      </w:r>
      <w:r w:rsidRPr="00F03A26">
        <w:rPr>
          <w:rFonts w:asciiTheme="majorBidi" w:eastAsia="Times New Roman" w:hAnsiTheme="majorBidi" w:cstheme="majorBidi"/>
          <w:lang w:val="en-GB"/>
        </w:rPr>
        <w:t>. İstanbul: Homer Kitabevi.</w:t>
      </w:r>
    </w:p>
    <w:p w14:paraId="493E92B3"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Konyar, E. (2020). Urartu</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’da Mezar Tipleri ve Gömü Âdetleri. In K. Köroğlu &amp; E. Konyar (Eds.), </w:t>
      </w:r>
      <w:r w:rsidRPr="00F03A26">
        <w:rPr>
          <w:rFonts w:asciiTheme="majorBidi" w:eastAsia="Times New Roman" w:hAnsiTheme="majorBidi" w:cstheme="majorBidi"/>
          <w:i/>
          <w:lang w:val="en-GB"/>
        </w:rPr>
        <w:t>Urartu: Doğuda Değişim</w:t>
      </w:r>
      <w:r w:rsidRPr="00F03A26">
        <w:rPr>
          <w:rFonts w:asciiTheme="majorBidi" w:eastAsia="Times New Roman" w:hAnsiTheme="majorBidi" w:cstheme="majorBidi"/>
          <w:lang w:val="en-GB"/>
        </w:rPr>
        <w:t>, (pp. 147-169). İstanbul: Yapı Kredi Yayınları.</w:t>
      </w:r>
    </w:p>
    <w:p w14:paraId="008EBA18"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Konyar, E. (2021).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Funerary Architecture, In G. R. Tsetskhladze, A. Çilingiroğlu, M. B. Baştürk, &amp; J. Hargrave (Eds.), </w:t>
      </w:r>
      <w:r w:rsidRPr="00F03A26">
        <w:rPr>
          <w:rFonts w:asciiTheme="majorBidi" w:hAnsiTheme="majorBidi" w:cstheme="majorBidi"/>
          <w:i/>
          <w:iCs/>
          <w:lang w:val="en-GB"/>
        </w:rPr>
        <w:t>Archaeology and History of Urartu (Biainili)</w:t>
      </w:r>
      <w:r w:rsidRPr="00F03A26">
        <w:rPr>
          <w:rFonts w:asciiTheme="majorBidi" w:hAnsiTheme="majorBidi" w:cstheme="majorBidi"/>
          <w:lang w:val="en-GB"/>
        </w:rPr>
        <w:t>, Colloquia Antiqua (Vol. 28, pp. 205–260). Leuven: Peeters Publishers.</w:t>
      </w:r>
    </w:p>
    <w:p w14:paraId="7E85CEC1"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 xml:space="preserve">Konyar, E. (2022). </w:t>
      </w:r>
      <w:r w:rsidRPr="00F03A26">
        <w:rPr>
          <w:rFonts w:asciiTheme="majorBidi" w:hAnsiTheme="majorBidi" w:cstheme="majorBidi"/>
          <w:i/>
          <w:iCs/>
          <w:lang w:val="en-GB"/>
        </w:rPr>
        <w:t>Urartu Aşiretten Devlete</w:t>
      </w:r>
      <w:r w:rsidRPr="00F03A26">
        <w:rPr>
          <w:rFonts w:asciiTheme="majorBidi" w:hAnsiTheme="majorBidi" w:cstheme="majorBidi"/>
          <w:lang w:val="en-GB"/>
        </w:rPr>
        <w:t>. Istanbul: Homer Kitabevi.</w:t>
      </w:r>
    </w:p>
    <w:p w14:paraId="6E59D07A"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Konyar, E., Ayman, İ., Avcı, C., Yiğitpaşa, D., Genç, B., &amp; Akgün, R. G. (2012). Excavations at the Mound of Van Fortress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"Van Fortress"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- 2011. </w:t>
      </w:r>
      <w:r w:rsidRPr="00F03A26">
        <w:rPr>
          <w:rFonts w:asciiTheme="majorBidi" w:hAnsiTheme="majorBidi" w:cstheme="majorBidi"/>
          <w:i/>
          <w:iCs/>
          <w:lang w:val="en-GB"/>
        </w:rPr>
        <w:t>Colloquium Anatolicum, XI</w:t>
      </w:r>
      <w:r w:rsidRPr="00F03A26">
        <w:rPr>
          <w:rFonts w:asciiTheme="majorBidi" w:hAnsiTheme="majorBidi" w:cstheme="majorBidi"/>
          <w:lang w:val="en-GB"/>
        </w:rPr>
        <w:t>, 219-245.</w:t>
      </w:r>
    </w:p>
    <w:p w14:paraId="069FC233"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Konyar, E., Avcı, C., Genç, B., Akgün, R. G., &amp; Tan, A. (2013). Excavations at the Van Fortress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"Van Fortress" </w:instrText>
      </w:r>
      <w:r w:rsidRPr="00F03A26">
        <w:rPr>
          <w:rFonts w:asciiTheme="majorBidi" w:hAnsiTheme="majorBidi" w:cstheme="majorBidi"/>
          <w:lang w:val="en-GB"/>
        </w:rPr>
        <w:fldChar w:fldCharType="end"/>
      </w:r>
      <w:r w:rsidRPr="00F03A26">
        <w:rPr>
          <w:rFonts w:asciiTheme="majorBidi" w:hAnsiTheme="majorBidi" w:cstheme="majorBidi"/>
          <w:lang w:val="en-GB"/>
        </w:rPr>
        <w:t>, the Mound and the Old City of Van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Old City of Van</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2012. </w:t>
      </w:r>
      <w:r w:rsidRPr="00F03A26">
        <w:rPr>
          <w:rFonts w:asciiTheme="majorBidi" w:hAnsiTheme="majorBidi" w:cstheme="majorBidi"/>
          <w:i/>
          <w:iCs/>
          <w:lang w:val="en-GB"/>
        </w:rPr>
        <w:t>Colloquium Anatolicum, XII</w:t>
      </w:r>
      <w:r w:rsidRPr="00F03A26">
        <w:rPr>
          <w:rFonts w:asciiTheme="majorBidi" w:hAnsiTheme="majorBidi" w:cstheme="majorBidi"/>
          <w:lang w:val="en-GB"/>
        </w:rPr>
        <w:t>, 193-210.</w:t>
      </w:r>
    </w:p>
    <w:p w14:paraId="39E9C4F7" w14:textId="77777777" w:rsidR="0088351C" w:rsidRPr="00F03A26" w:rsidRDefault="0088351C" w:rsidP="00F03A26">
      <w:pPr>
        <w:jc w:val="both"/>
        <w:rPr>
          <w:rFonts w:asciiTheme="majorBidi" w:eastAsia="Calibri" w:hAnsiTheme="majorBidi" w:cstheme="majorBidi"/>
          <w:lang w:val="en-GB"/>
        </w:rPr>
      </w:pPr>
      <w:r w:rsidRPr="00F03A26">
        <w:rPr>
          <w:rFonts w:asciiTheme="majorBidi" w:eastAsia="Calibri" w:hAnsiTheme="majorBidi" w:cstheme="majorBidi"/>
          <w:lang w:val="en-GB"/>
        </w:rPr>
        <w:t>Konyar, E., Avcı, C., Genç, B., Akgün, R.G., &amp; Tan, A. (2014). Van Kalesi</w:t>
      </w:r>
      <w:r w:rsidRPr="00F03A26">
        <w:rPr>
          <w:rFonts w:asciiTheme="majorBidi" w:eastAsia="Calibr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Höyüğü 2012 Yılı Çalışmaları. </w:t>
      </w:r>
      <w:r w:rsidRPr="00F03A26">
        <w:rPr>
          <w:rFonts w:asciiTheme="majorBidi" w:eastAsia="Calibri" w:hAnsiTheme="majorBidi" w:cstheme="majorBidi"/>
          <w:i/>
          <w:iCs/>
          <w:lang w:val="en-GB"/>
        </w:rPr>
        <w:t>Kazı Sonuçları Toplantısı,</w:t>
      </w:r>
      <w:r w:rsidRPr="00F03A26">
        <w:rPr>
          <w:rFonts w:asciiTheme="majorBidi" w:eastAsia="Calibri" w:hAnsiTheme="majorBidi" w:cstheme="majorBidi"/>
          <w:lang w:val="en-GB"/>
        </w:rPr>
        <w:t xml:space="preserve"> 35(2), 358-370.</w:t>
      </w:r>
    </w:p>
    <w:p w14:paraId="58361889"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Konyar, E., Genç, B., Avcı, C., Akgün, R. G., &amp; Tan, A. (2015). Van Kalesi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hAnsiTheme="majorBidi" w:cstheme="majorBidi"/>
          <w:lang w:val="en-GB"/>
        </w:rPr>
        <w:fldChar w:fldCharType="end"/>
      </w:r>
      <w:r w:rsidRPr="00F03A26">
        <w:rPr>
          <w:rFonts w:asciiTheme="majorBidi" w:hAnsiTheme="majorBidi" w:cstheme="majorBidi"/>
          <w:lang w:val="en-GB"/>
        </w:rPr>
        <w:t>/Tuşpa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"Tušpa"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Horhor</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Horhor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Çeşmesi. </w:t>
      </w:r>
      <w:r w:rsidRPr="00F03A26">
        <w:rPr>
          <w:rFonts w:asciiTheme="majorBidi" w:hAnsiTheme="majorBidi" w:cstheme="majorBidi"/>
          <w:i/>
          <w:iCs/>
          <w:lang w:val="en-GB"/>
        </w:rPr>
        <w:t>Colloquium Anatolicum, 14</w:t>
      </w:r>
      <w:r w:rsidRPr="00F03A26">
        <w:rPr>
          <w:rFonts w:asciiTheme="majorBidi" w:hAnsiTheme="majorBidi" w:cstheme="majorBidi"/>
          <w:lang w:val="en-GB"/>
        </w:rPr>
        <w:t>, 73-81.</w:t>
      </w:r>
    </w:p>
    <w:p w14:paraId="2E5833AF"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Konyar, E., Genç, B., Avcı, C., &amp; Tan, A. (2017). The Van Ṭušpa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
          <w:iCs/>
          <w:color w:val="000000" w:themeColor="text1"/>
          <w:lang w:val="en-GB"/>
        </w:rPr>
        <w:instrText>Ṭušpa</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Excavations 2015-2016. </w:t>
      </w:r>
      <w:r w:rsidRPr="00F03A26">
        <w:rPr>
          <w:rFonts w:asciiTheme="majorBidi" w:hAnsiTheme="majorBidi" w:cstheme="majorBidi"/>
          <w:i/>
          <w:iCs/>
          <w:lang w:val="en-GB"/>
        </w:rPr>
        <w:t>Anatolia Antiqua, XXV</w:t>
      </w:r>
      <w:r w:rsidRPr="00F03A26">
        <w:rPr>
          <w:rFonts w:asciiTheme="majorBidi" w:hAnsiTheme="majorBidi" w:cstheme="majorBidi"/>
          <w:lang w:val="en-GB"/>
        </w:rPr>
        <w:t xml:space="preserve">, 127-142. </w:t>
      </w:r>
    </w:p>
    <w:p w14:paraId="08C39A58"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lastRenderedPageBreak/>
        <w:t xml:space="preserve">Konyar, E., Genç, B., Konyar, H. B., Tan, A., &amp; Avcı, C. (2018). Excavations at the Old City, Fortress, and Mound of Van: Work in 2017. </w:t>
      </w:r>
      <w:r w:rsidRPr="00F03A26">
        <w:rPr>
          <w:rFonts w:asciiTheme="majorBidi" w:hAnsiTheme="majorBidi" w:cstheme="majorBidi"/>
          <w:i/>
          <w:iCs/>
          <w:lang w:val="en-GB"/>
        </w:rPr>
        <w:t>Anatolia Antiqua, 26</w:t>
      </w:r>
      <w:r w:rsidRPr="00F03A26">
        <w:rPr>
          <w:rFonts w:asciiTheme="majorBidi" w:hAnsiTheme="majorBidi" w:cstheme="majorBidi"/>
          <w:lang w:val="en-GB"/>
        </w:rPr>
        <w:t>, 143-153.</w:t>
      </w:r>
    </w:p>
    <w:p w14:paraId="5304C64F"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 xml:space="preserve">Konyar, E., Genç, B., &amp; Tan, A. (2018). Tuşpa Sitadeli'nden Yeni Bir Kaya Mezarı: BG 90. </w:t>
      </w:r>
      <w:r w:rsidRPr="00F03A26">
        <w:rPr>
          <w:rFonts w:asciiTheme="majorBidi" w:hAnsiTheme="majorBidi" w:cstheme="majorBidi"/>
          <w:i/>
          <w:iCs/>
          <w:lang w:val="en-GB"/>
        </w:rPr>
        <w:t>Colloquium Anatolicum, 17</w:t>
      </w:r>
      <w:r w:rsidRPr="00F03A26">
        <w:rPr>
          <w:rFonts w:asciiTheme="majorBidi" w:hAnsiTheme="majorBidi" w:cstheme="majorBidi"/>
          <w:lang w:val="en-GB"/>
        </w:rPr>
        <w:t xml:space="preserve">, 211-220. </w:t>
      </w:r>
    </w:p>
    <w:p w14:paraId="7938A235"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Konyar, E., Genç, B., Avcı, C., &amp; Tan, A. (2019). Excavations at the Old City, Fortress, and Mound of Van: Work in 2018. </w:t>
      </w:r>
      <w:r w:rsidRPr="00F03A26">
        <w:rPr>
          <w:rFonts w:asciiTheme="majorBidi" w:hAnsiTheme="majorBidi" w:cstheme="majorBidi"/>
          <w:i/>
          <w:iCs/>
          <w:lang w:val="en-GB"/>
        </w:rPr>
        <w:t>Anatolia Antiqua, XXVII</w:t>
      </w:r>
      <w:r w:rsidRPr="00F03A26">
        <w:rPr>
          <w:rFonts w:asciiTheme="majorBidi" w:hAnsiTheme="majorBidi" w:cstheme="majorBidi"/>
          <w:lang w:val="en-GB"/>
        </w:rPr>
        <w:t>, 169-183.</w:t>
      </w:r>
    </w:p>
    <w:p w14:paraId="0CB3BF79" w14:textId="77777777" w:rsidR="0088351C" w:rsidRPr="00F03A26" w:rsidRDefault="0088351C" w:rsidP="00F03A26">
      <w:pPr>
        <w:jc w:val="both"/>
        <w:rPr>
          <w:rFonts w:asciiTheme="majorBidi" w:hAnsiTheme="majorBidi" w:cstheme="majorBidi"/>
          <w:lang w:val="en-GB"/>
        </w:rPr>
      </w:pPr>
    </w:p>
    <w:p w14:paraId="66C52DF1"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Korfmann, M. (1977). Die Ausgrabungen von Kirsopp und Silva Lake in den Jahren 1938 und 1939 am Burgfelsen von Van (Ṭušpa</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
          <w:iCs/>
          <w:color w:val="000000" w:themeColor="text1"/>
          <w:lang w:val="en-GB"/>
        </w:rPr>
        <w:instrText>Ṭušpa</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und in Kalecik</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"Kalecik"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w:t>
      </w:r>
      <w:r w:rsidRPr="00F03A26">
        <w:rPr>
          <w:rFonts w:asciiTheme="majorBidi" w:hAnsiTheme="majorBidi" w:cstheme="majorBidi"/>
          <w:i/>
          <w:iCs/>
          <w:color w:val="000000" w:themeColor="text1"/>
          <w:lang w:val="en-GB"/>
        </w:rPr>
        <w:t>Berytus. Archaeological studies, 25</w:t>
      </w:r>
      <w:r w:rsidRPr="00F03A26">
        <w:rPr>
          <w:rFonts w:asciiTheme="majorBidi" w:hAnsiTheme="majorBidi" w:cstheme="majorBidi"/>
          <w:color w:val="000000" w:themeColor="text1"/>
          <w:lang w:val="en-GB"/>
        </w:rPr>
        <w:t xml:space="preserve">, 173-200. </w:t>
      </w:r>
    </w:p>
    <w:p w14:paraId="35805E1A"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18A6E656"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Kouymjian, D. (2016). 19. ve Erken 20. Yüzyıl Gezi Yazılarında Van, Richard G. Hovannisian (ed.), </w:t>
      </w:r>
      <w:r w:rsidRPr="00F03A26">
        <w:rPr>
          <w:rFonts w:asciiTheme="majorBidi" w:hAnsiTheme="majorBidi" w:cstheme="majorBidi"/>
          <w:i/>
          <w:iCs/>
          <w:color w:val="000000" w:themeColor="text1"/>
          <w:lang w:val="en-GB"/>
        </w:rPr>
        <w:t>Tarihi Kentler ve Ermeniler-Van</w:t>
      </w:r>
      <w:r w:rsidRPr="00F03A26">
        <w:rPr>
          <w:rFonts w:asciiTheme="majorBidi" w:hAnsiTheme="majorBidi" w:cstheme="majorBidi"/>
          <w:color w:val="000000" w:themeColor="text1"/>
          <w:lang w:val="en-GB"/>
        </w:rPr>
        <w:t>, (173-191). İstanbul: Aras Yayıncılık.</w:t>
      </w:r>
    </w:p>
    <w:p w14:paraId="55DF3161" w14:textId="77777777" w:rsidR="0088351C" w:rsidRPr="00F03A26" w:rsidRDefault="0088351C" w:rsidP="00F03A26">
      <w:pPr>
        <w:jc w:val="both"/>
        <w:rPr>
          <w:rFonts w:asciiTheme="majorBidi" w:hAnsiTheme="majorBidi" w:cstheme="majorBidi"/>
          <w:b/>
          <w:bCs/>
          <w:lang w:val="en-GB"/>
        </w:rPr>
      </w:pPr>
    </w:p>
    <w:p w14:paraId="6E7642A8"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König, F. W. (1955-57). </w:t>
      </w:r>
      <w:r w:rsidRPr="00F03A26">
        <w:rPr>
          <w:rFonts w:asciiTheme="majorBidi" w:eastAsia="Times New Roman" w:hAnsiTheme="majorBidi" w:cstheme="majorBidi"/>
          <w:i/>
          <w:lang w:val="en-GB"/>
        </w:rPr>
        <w:t>Handbuch der chaldischen Inscriften I-II</w:t>
      </w:r>
      <w:r w:rsidRPr="00F03A26">
        <w:rPr>
          <w:rFonts w:asciiTheme="majorBidi" w:eastAsia="Times New Roman" w:hAnsiTheme="majorBidi" w:cstheme="majorBidi"/>
          <w:lang w:val="en-GB"/>
        </w:rPr>
        <w:t xml:space="preserve">, Archiv für Orient forschung, </w:t>
      </w:r>
      <w:r w:rsidRPr="00F03A26">
        <w:rPr>
          <w:rFonts w:asciiTheme="majorBidi" w:hAnsiTheme="majorBidi" w:cstheme="majorBidi"/>
          <w:lang w:val="en-GB"/>
        </w:rPr>
        <w:t xml:space="preserve">Orientforschung, Beiheft 8. </w:t>
      </w:r>
      <w:r w:rsidRPr="00F03A26">
        <w:rPr>
          <w:rFonts w:asciiTheme="majorBidi" w:eastAsia="Times New Roman" w:hAnsiTheme="majorBidi" w:cstheme="majorBidi"/>
          <w:lang w:val="en-GB"/>
        </w:rPr>
        <w:t>Graz: Selbstverlag Ernst Weidners.</w:t>
      </w:r>
    </w:p>
    <w:p w14:paraId="49E820DD"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 xml:space="preserve">Köroğlu, K. (2005). Doğu Anadolu Kaya Mezar Gelenekleri. </w:t>
      </w:r>
      <w:r w:rsidRPr="00F03A26">
        <w:rPr>
          <w:rFonts w:asciiTheme="majorBidi" w:hAnsiTheme="majorBidi" w:cstheme="majorBidi"/>
          <w:i/>
          <w:iCs/>
          <w:sz w:val="24"/>
          <w:szCs w:val="24"/>
          <w:lang w:val="en-GB"/>
        </w:rPr>
        <w:t>Arkeo Atlas,</w:t>
      </w:r>
      <w:r w:rsidRPr="00F03A26">
        <w:rPr>
          <w:rFonts w:asciiTheme="majorBidi" w:hAnsiTheme="majorBidi" w:cstheme="majorBidi"/>
          <w:sz w:val="24"/>
          <w:szCs w:val="24"/>
          <w:lang w:val="en-GB"/>
        </w:rPr>
        <w:t xml:space="preserve"> 4</w:t>
      </w:r>
      <w:r w:rsidRPr="00F03A26">
        <w:rPr>
          <w:rFonts w:asciiTheme="majorBidi" w:hAnsiTheme="majorBidi" w:cstheme="majorBidi"/>
          <w:i/>
          <w:iCs/>
          <w:sz w:val="24"/>
          <w:szCs w:val="24"/>
          <w:lang w:val="en-GB"/>
        </w:rPr>
        <w:t>,</w:t>
      </w:r>
      <w:r w:rsidRPr="00F03A26">
        <w:rPr>
          <w:rFonts w:asciiTheme="majorBidi" w:hAnsiTheme="majorBidi" w:cstheme="majorBidi"/>
          <w:sz w:val="24"/>
          <w:szCs w:val="24"/>
          <w:lang w:val="en-GB"/>
        </w:rPr>
        <w:t xml:space="preserve"> 120-121.</w:t>
      </w:r>
    </w:p>
    <w:p w14:paraId="6941A576"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 xml:space="preserve">Köroğlu, K. (2007). New Observations on the Origin of the Single-Roomed Rock-Cut Tombs of Eastern Anatolia. In M. Alparslan, M. Doğan-Alparslan &amp; H. Peker (Eds.), </w:t>
      </w:r>
      <w:r w:rsidRPr="00F03A26">
        <w:rPr>
          <w:rFonts w:asciiTheme="majorBidi" w:hAnsiTheme="majorBidi" w:cstheme="majorBidi"/>
          <w:i/>
          <w:iCs/>
          <w:sz w:val="24"/>
          <w:szCs w:val="24"/>
          <w:lang w:val="en-GB"/>
        </w:rPr>
        <w:t>Belkıs Dinçol ve Ali Dinçol’a Armağan. VITA. Festschrift in Honor of Belkıs Dinçol and Ali Dinçol</w:t>
      </w:r>
      <w:r w:rsidRPr="00F03A26">
        <w:rPr>
          <w:rFonts w:asciiTheme="majorBidi" w:hAnsiTheme="majorBidi" w:cstheme="majorBidi"/>
          <w:sz w:val="24"/>
          <w:szCs w:val="24"/>
          <w:lang w:val="en-GB"/>
        </w:rPr>
        <w:t xml:space="preserve"> (pp. 445-456), İstanbul: Ege Yayınları.</w:t>
      </w:r>
    </w:p>
    <w:p w14:paraId="16757E48"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Köroğlu, K. (2008). Urartu</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Kaya Mezar Geleneği ve Doğu Anadolu'daki Tek Odalı Kaya Mezarlarının Kökeni. </w:t>
      </w:r>
      <w:r w:rsidRPr="00F03A26">
        <w:rPr>
          <w:rFonts w:asciiTheme="majorBidi" w:hAnsiTheme="majorBidi" w:cstheme="majorBidi"/>
          <w:i/>
          <w:iCs/>
          <w:sz w:val="24"/>
          <w:szCs w:val="24"/>
          <w:lang w:val="en-GB"/>
        </w:rPr>
        <w:t>Arkeoloji ve Sanat Dergisi</w:t>
      </w:r>
      <w:r w:rsidRPr="00F03A26">
        <w:rPr>
          <w:rFonts w:asciiTheme="majorBidi" w:hAnsiTheme="majorBidi" w:cstheme="majorBidi"/>
          <w:sz w:val="24"/>
          <w:szCs w:val="24"/>
          <w:lang w:val="en-GB"/>
        </w:rPr>
        <w:t>, 127, 21-38.</w:t>
      </w:r>
    </w:p>
    <w:p w14:paraId="347A3E8A"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Köroğlu, K. (2011).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Krallık ve Aşiretler- Urartu: The Kingtom and Tribes. In K. Köroğlu &amp; E. Konyar (Eds.), </w:t>
      </w:r>
      <w:r w:rsidRPr="00F03A26">
        <w:rPr>
          <w:rFonts w:asciiTheme="majorBidi" w:hAnsiTheme="majorBidi" w:cstheme="majorBidi"/>
          <w:i/>
          <w:szCs w:val="24"/>
          <w:lang w:val="en-GB"/>
        </w:rPr>
        <w:t>Urartu: Doğu’da Değişim- Transformation in The East</w:t>
      </w:r>
      <w:r w:rsidRPr="00F03A26">
        <w:rPr>
          <w:rFonts w:asciiTheme="majorBidi" w:hAnsiTheme="majorBidi" w:cstheme="majorBidi"/>
          <w:szCs w:val="24"/>
          <w:lang w:val="en-GB"/>
        </w:rPr>
        <w:t xml:space="preserve"> (pp. 12-27). İstanbul: Yapı Kredi Yayınları.</w:t>
      </w:r>
    </w:p>
    <w:p w14:paraId="50BDF851"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Köroğlu, K. (2015). Conflict and Interaction in the Iron Age: The Origins of Urartian</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–Assyrian</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Relations. </w:t>
      </w:r>
      <w:r w:rsidRPr="00F03A26">
        <w:rPr>
          <w:rFonts w:asciiTheme="majorBidi" w:hAnsiTheme="majorBidi" w:cstheme="majorBidi"/>
          <w:i/>
          <w:szCs w:val="24"/>
          <w:lang w:val="en-GB"/>
        </w:rPr>
        <w:t>European Journal of Archaeology 18</w:t>
      </w:r>
      <w:r w:rsidRPr="00F03A26">
        <w:rPr>
          <w:rFonts w:asciiTheme="majorBidi" w:hAnsiTheme="majorBidi" w:cstheme="majorBidi"/>
          <w:szCs w:val="24"/>
          <w:lang w:val="en-GB"/>
        </w:rPr>
        <w:t xml:space="preserve">(1), 111-127. </w:t>
      </w:r>
    </w:p>
    <w:p w14:paraId="22EC2082"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Kroll, S., Gruber, C., Hellwag, U., Roaf, M., &amp; Zimansky, P. (2012). Introduction: Biainili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"Biainili"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S. Kroll, C. Gruber, U. Hellwag, M. Roaf, &amp; P. Zimansky (Eds.), </w:t>
      </w:r>
      <w:r w:rsidRPr="00F03A26">
        <w:rPr>
          <w:rFonts w:asciiTheme="majorBidi" w:hAnsiTheme="majorBidi" w:cstheme="majorBidi"/>
          <w:i/>
          <w:iCs/>
          <w:lang w:val="en-GB"/>
        </w:rPr>
        <w:t>Biainili-Urartu: The Proceedings of the Symposium Held in Munich 12-14 October 2007 / Tagungsbericht des Münchner Symposiums 12.-14. Oktober 2007</w:t>
      </w:r>
      <w:r w:rsidRPr="00F03A26">
        <w:rPr>
          <w:rFonts w:asciiTheme="majorBidi" w:hAnsiTheme="majorBidi" w:cstheme="majorBidi"/>
          <w:lang w:val="en-GB"/>
        </w:rPr>
        <w:t xml:space="preserve"> (pp. 1-38). Leuven: Peeters.</w:t>
      </w:r>
    </w:p>
    <w:p w14:paraId="57A7CFFA"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Kroll, S. (2019). The Urartian</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Rock-Cut Chamber at Yelpin / Armenia</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Armenia</w:instrText>
      </w:r>
      <w:r w:rsidRPr="00F03A26">
        <w:rPr>
          <w:rFonts w:asciiTheme="majorBidi" w:hAnsiTheme="majorBidi" w:cstheme="majorBidi"/>
          <w:lang w:val="en-GB"/>
        </w:rPr>
        <w:instrText xml:space="preserve">"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In P. S. Avetisyan, R. Dan &amp; Y. H. Grekyan. </w:t>
      </w:r>
      <w:r w:rsidRPr="00F03A26">
        <w:rPr>
          <w:rFonts w:asciiTheme="majorBidi" w:hAnsiTheme="majorBidi" w:cstheme="majorBidi"/>
          <w:i/>
          <w:iCs/>
          <w:sz w:val="24"/>
          <w:szCs w:val="24"/>
          <w:lang w:val="en-GB"/>
        </w:rPr>
        <w:t xml:space="preserve">Over the Mountains and Far Away: Studies in Near Eastern history and archaeology presented to Mirjo Salvini on the occasion of his 80th birthday </w:t>
      </w:r>
      <w:r w:rsidRPr="00F03A26">
        <w:rPr>
          <w:rFonts w:asciiTheme="majorBidi" w:hAnsiTheme="majorBidi" w:cstheme="majorBidi"/>
          <w:sz w:val="24"/>
          <w:szCs w:val="24"/>
          <w:lang w:val="en-GB"/>
        </w:rPr>
        <w:t>(pp. 317-323), Oxford: Archaeopress Archaeology.</w:t>
      </w:r>
    </w:p>
    <w:p w14:paraId="5BE27EDD" w14:textId="77777777" w:rsidR="0088351C" w:rsidRPr="00F03A26" w:rsidRDefault="0088351C" w:rsidP="00F03A26">
      <w:pPr>
        <w:jc w:val="both"/>
        <w:rPr>
          <w:rFonts w:asciiTheme="majorBidi" w:hAnsiTheme="majorBidi" w:cstheme="majorBidi"/>
          <w:b/>
          <w:bCs/>
          <w:lang w:val="en-GB"/>
        </w:rPr>
      </w:pPr>
      <w:r w:rsidRPr="00F03A26">
        <w:rPr>
          <w:rFonts w:asciiTheme="majorBidi" w:hAnsiTheme="majorBidi" w:cstheme="majorBidi"/>
          <w:lang w:val="en-GB"/>
        </w:rPr>
        <w:t>Kuvanç, R. (2017).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Krallığı’nın Ilk Devlet Yatırımı Sardurburç</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"Sardurburç"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Yapısı Işığında Urartu Taş Ocakçılığına İlişkin Gözlemler. </w:t>
      </w:r>
      <w:r w:rsidRPr="00F03A26">
        <w:rPr>
          <w:rFonts w:asciiTheme="majorBidi" w:hAnsiTheme="majorBidi" w:cstheme="majorBidi"/>
          <w:i/>
          <w:iCs/>
          <w:lang w:val="en-GB"/>
        </w:rPr>
        <w:t>Anadolu Araştırmaları, 20</w:t>
      </w:r>
      <w:r w:rsidRPr="00F03A26">
        <w:rPr>
          <w:rFonts w:asciiTheme="majorBidi" w:hAnsiTheme="majorBidi" w:cstheme="majorBidi"/>
          <w:lang w:val="en-GB"/>
        </w:rPr>
        <w:t>, 115-134.</w:t>
      </w:r>
    </w:p>
    <w:p w14:paraId="1B29C459" w14:textId="77777777" w:rsidR="0088351C" w:rsidRPr="00F03A26" w:rsidRDefault="0088351C" w:rsidP="00F03A26">
      <w:pPr>
        <w:jc w:val="both"/>
        <w:rPr>
          <w:rFonts w:asciiTheme="majorBidi" w:hAnsiTheme="majorBidi" w:cstheme="majorBidi"/>
          <w:b/>
          <w:bCs/>
          <w:lang w:val="en-GB"/>
        </w:rPr>
      </w:pPr>
    </w:p>
    <w:p w14:paraId="2C5E3890" w14:textId="77777777" w:rsidR="0088351C" w:rsidRPr="00F03A26" w:rsidRDefault="0088351C" w:rsidP="00F03A26">
      <w:pPr>
        <w:jc w:val="both"/>
        <w:rPr>
          <w:rFonts w:asciiTheme="majorBidi" w:hAnsiTheme="majorBidi" w:cstheme="majorBidi"/>
          <w:b/>
          <w:bCs/>
          <w:lang w:val="en-GB"/>
        </w:rPr>
      </w:pPr>
      <w:r w:rsidRPr="00F03A26">
        <w:rPr>
          <w:rFonts w:asciiTheme="majorBidi" w:eastAsia="Times New Roman" w:hAnsiTheme="majorBidi" w:cstheme="majorBidi"/>
          <w:lang w:val="en-GB"/>
        </w:rPr>
        <w:lastRenderedPageBreak/>
        <w:t>Kuvanç, R., Işık, K., Genç, B., &amp; Konyar, E. (2022). Urartian</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Cult of the Stelae and New Discoveries at Aznavurtepe</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"Aznavurtepe"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and Yeşilalıç</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"Yeşilalıç"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(Ashotakert</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"Ashotakert"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F03A26">
        <w:rPr>
          <w:rFonts w:asciiTheme="majorBidi" w:eastAsia="Times New Roman" w:hAnsiTheme="majorBidi" w:cstheme="majorBidi"/>
          <w:i/>
          <w:iCs/>
          <w:lang w:val="en-GB"/>
        </w:rPr>
        <w:t xml:space="preserve">Journal of Ancient Near Eastern Religions, </w:t>
      </w:r>
      <w:r w:rsidRPr="00F03A26">
        <w:rPr>
          <w:rFonts w:asciiTheme="majorBidi" w:eastAsia="Times New Roman" w:hAnsiTheme="majorBidi" w:cstheme="majorBidi"/>
          <w:lang w:val="en-GB"/>
        </w:rPr>
        <w:t>22</w:t>
      </w:r>
      <w:r w:rsidRPr="00F03A26">
        <w:rPr>
          <w:rFonts w:asciiTheme="majorBidi" w:eastAsia="Times New Roman" w:hAnsiTheme="majorBidi" w:cstheme="majorBidi"/>
          <w:i/>
          <w:iCs/>
          <w:lang w:val="en-GB"/>
        </w:rPr>
        <w:t xml:space="preserve">, </w:t>
      </w:r>
      <w:r w:rsidRPr="00F03A26">
        <w:rPr>
          <w:rFonts w:asciiTheme="majorBidi" w:eastAsia="Times New Roman" w:hAnsiTheme="majorBidi" w:cstheme="majorBidi"/>
          <w:lang w:val="en-GB"/>
        </w:rPr>
        <w:t>55-88.</w:t>
      </w:r>
    </w:p>
    <w:p w14:paraId="35ACC8ED" w14:textId="77777777" w:rsidR="0088351C" w:rsidRPr="00F03A26" w:rsidRDefault="0088351C" w:rsidP="00F03A26">
      <w:pPr>
        <w:jc w:val="both"/>
        <w:rPr>
          <w:rFonts w:asciiTheme="majorBidi" w:hAnsiTheme="majorBidi" w:cstheme="majorBidi"/>
          <w:b/>
          <w:bCs/>
          <w:lang w:val="en-GB"/>
        </w:rPr>
      </w:pPr>
    </w:p>
    <w:p w14:paraId="40A4F30E" w14:textId="27F11A79"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Kuvanç, R, Işık. K &amp; Genç B, A new Urartian</w:t>
      </w:r>
      <w:r w:rsidR="00EA6C63">
        <w:rPr>
          <w:rFonts w:asciiTheme="majorBid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lang w:val="en-GB"/>
        </w:rPr>
        <w:fldChar w:fldCharType="end"/>
      </w:r>
      <w:r w:rsidRPr="00F03A26">
        <w:rPr>
          <w:rFonts w:asciiTheme="majorBidi" w:hAnsiTheme="majorBidi" w:cstheme="majorBidi"/>
          <w:lang w:val="en-GB"/>
        </w:rPr>
        <w:t xml:space="preserve"> temple in Körzüt fortress, Turkey: a report on the rescue excavation of 2016 and new approaches on the origin of Urartian square temple architecture”, </w:t>
      </w:r>
      <w:r w:rsidRPr="00F03A26">
        <w:rPr>
          <w:rFonts w:asciiTheme="majorBidi" w:hAnsiTheme="majorBidi" w:cstheme="majorBidi"/>
          <w:i/>
          <w:iCs/>
          <w:lang w:val="en-GB"/>
        </w:rPr>
        <w:t>AJNES (ARAMAZD)</w:t>
      </w:r>
      <w:r w:rsidRPr="00F03A26">
        <w:rPr>
          <w:rFonts w:asciiTheme="majorBidi" w:hAnsiTheme="majorBidi" w:cstheme="majorBidi"/>
          <w:lang w:val="en-GB"/>
        </w:rPr>
        <w:t>,Vol. XIV/1-2, Yerevan- Oxford, 2020, 112-138.</w:t>
      </w:r>
    </w:p>
    <w:p w14:paraId="130D3A74"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eastAsia="Times New Roman" w:hAnsiTheme="majorBidi" w:cstheme="majorBidi"/>
          <w:color w:val="000000"/>
          <w:lang w:val="en-GB" w:eastAsia="tr-TR"/>
        </w:rPr>
        <w:t xml:space="preserve">Labat, R. (1976). </w:t>
      </w:r>
      <w:r w:rsidRPr="00F03A26">
        <w:rPr>
          <w:rFonts w:asciiTheme="majorBidi" w:eastAsia="Times New Roman" w:hAnsiTheme="majorBidi" w:cstheme="majorBidi"/>
          <w:i/>
          <w:iCs/>
          <w:color w:val="000000"/>
          <w:lang w:val="en-GB" w:eastAsia="tr-TR"/>
        </w:rPr>
        <w:t>Manuel d’épigraphie akkadienne (Signes, Syllabaire, Idéogrammes)</w:t>
      </w:r>
      <w:r w:rsidRPr="00F03A26">
        <w:rPr>
          <w:rFonts w:asciiTheme="majorBidi" w:eastAsia="Times New Roman" w:hAnsiTheme="majorBidi" w:cstheme="majorBidi"/>
          <w:color w:val="000000"/>
          <w:lang w:val="en-GB" w:eastAsia="tr-TR"/>
        </w:rPr>
        <w:t xml:space="preserve">, </w:t>
      </w:r>
      <w:r w:rsidRPr="00F03A26">
        <w:rPr>
          <w:rFonts w:asciiTheme="majorBidi" w:eastAsia="Times New Roman" w:hAnsiTheme="majorBidi" w:cstheme="majorBidi"/>
          <w:i/>
          <w:iCs/>
          <w:color w:val="000000"/>
          <w:lang w:val="en-GB" w:eastAsia="tr-TR"/>
        </w:rPr>
        <w:t>Nouvelle édition revue et corrigée par Florence Malbran-Labat, 5è édition</w:t>
      </w:r>
      <w:r w:rsidRPr="00F03A26">
        <w:rPr>
          <w:rFonts w:asciiTheme="majorBidi" w:eastAsia="Times New Roman" w:hAnsiTheme="majorBidi" w:cstheme="majorBidi"/>
          <w:color w:val="000000"/>
          <w:lang w:val="en-GB" w:eastAsia="tr-TR"/>
        </w:rPr>
        <w:t>, Paris: Geuthner.</w:t>
      </w:r>
    </w:p>
    <w:p w14:paraId="7D8829DC"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Lake, K. (1940). Vanda Yapılan Hafriyat, 1938. </w:t>
      </w:r>
      <w:r w:rsidRPr="00F03A26">
        <w:rPr>
          <w:rFonts w:asciiTheme="majorBidi" w:hAnsiTheme="majorBidi" w:cstheme="majorBidi"/>
          <w:i/>
          <w:iCs/>
          <w:color w:val="000000" w:themeColor="text1"/>
          <w:lang w:val="en-GB"/>
        </w:rPr>
        <w:t>Türk Tarih, Arkeologya ve Etnografya Dergisi, IV</w:t>
      </w:r>
      <w:r w:rsidRPr="00F03A26">
        <w:rPr>
          <w:rFonts w:asciiTheme="majorBidi" w:hAnsiTheme="majorBidi" w:cstheme="majorBidi"/>
          <w:color w:val="000000" w:themeColor="text1"/>
          <w:lang w:val="en-GB"/>
        </w:rPr>
        <w:t>, 179-191.</w:t>
      </w:r>
    </w:p>
    <w:p w14:paraId="6BBAE630" w14:textId="77777777" w:rsidR="0088351C" w:rsidRPr="00F03A26" w:rsidRDefault="0088351C" w:rsidP="00F03A26">
      <w:pPr>
        <w:jc w:val="both"/>
        <w:rPr>
          <w:rFonts w:asciiTheme="majorBidi" w:hAnsiTheme="majorBidi" w:cstheme="majorBidi"/>
          <w:lang w:val="en-GB"/>
        </w:rPr>
      </w:pPr>
    </w:p>
    <w:p w14:paraId="7C1DB6A5"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Lake, K., &amp; Lake, S. (1939). The Citadel of Van. Asia.</w:t>
      </w:r>
      <w:r w:rsidRPr="00F03A26">
        <w:rPr>
          <w:rFonts w:asciiTheme="majorBidi" w:hAnsiTheme="majorBidi" w:cstheme="majorBidi"/>
          <w:i/>
          <w:iCs/>
          <w:lang w:val="en-GB"/>
        </w:rPr>
        <w:t xml:space="preserve"> The Magazine of the Orient, 39</w:t>
      </w:r>
      <w:r w:rsidRPr="00F03A26">
        <w:rPr>
          <w:rFonts w:asciiTheme="majorBidi" w:hAnsiTheme="majorBidi" w:cstheme="majorBidi"/>
          <w:lang w:val="en-GB"/>
        </w:rPr>
        <w:t>, 74-80.</w:t>
      </w:r>
    </w:p>
    <w:p w14:paraId="1AF4D7D9" w14:textId="77777777" w:rsidR="0088351C" w:rsidRPr="00F03A26" w:rsidRDefault="0088351C" w:rsidP="00F03A26">
      <w:pPr>
        <w:autoSpaceDE w:val="0"/>
        <w:autoSpaceDN w:val="0"/>
        <w:adjustRightInd w:val="0"/>
        <w:jc w:val="both"/>
        <w:rPr>
          <w:rFonts w:asciiTheme="majorBidi" w:hAnsiTheme="majorBidi" w:cstheme="majorBidi"/>
          <w:lang w:val="en-GB"/>
        </w:rPr>
      </w:pPr>
    </w:p>
    <w:p w14:paraId="3E0955B5"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Lambert, W. G. (1961). The Sultantepe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202124"/>
          <w:lang w:val="en-GB" w:eastAsia="it-IT"/>
        </w:rPr>
        <w:instrText>Sultantepe</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Tablets (Continued). VIII Shalmaneser in Ararat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lang w:val="en-GB"/>
        </w:rPr>
        <w:instrText>Ararat</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iCs/>
          <w:lang w:val="en-GB"/>
        </w:rPr>
        <w:t>Anatolian Studies, 11</w:t>
      </w:r>
      <w:r w:rsidRPr="00F03A26">
        <w:rPr>
          <w:rFonts w:asciiTheme="majorBidi" w:hAnsiTheme="majorBidi" w:cstheme="majorBidi"/>
          <w:lang w:val="en-GB"/>
        </w:rPr>
        <w:t>, 143-158.</w:t>
      </w:r>
    </w:p>
    <w:p w14:paraId="0729CB3D" w14:textId="77777777" w:rsidR="0088351C" w:rsidRPr="00F03A26" w:rsidRDefault="0088351C" w:rsidP="00F03A26">
      <w:pPr>
        <w:autoSpaceDE w:val="0"/>
        <w:autoSpaceDN w:val="0"/>
        <w:adjustRightInd w:val="0"/>
        <w:jc w:val="both"/>
        <w:rPr>
          <w:rFonts w:asciiTheme="majorBidi" w:hAnsiTheme="majorBidi" w:cstheme="majorBidi"/>
          <w:lang w:val="en-GB"/>
        </w:rPr>
      </w:pPr>
    </w:p>
    <w:p w14:paraId="69668566"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Lanfranchi, G. B., &amp; Parpola, S. (1990). </w:t>
      </w:r>
      <w:r w:rsidRPr="00F03A26">
        <w:rPr>
          <w:rFonts w:asciiTheme="majorBidi" w:hAnsiTheme="majorBidi" w:cstheme="majorBidi"/>
          <w:i/>
          <w:iCs/>
          <w:lang w:val="en-GB"/>
        </w:rPr>
        <w:t>The Correspondence of Sargon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202124"/>
          <w:lang w:val="en-GB"/>
        </w:rPr>
        <w:instrText>Sargon</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II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Sargon</w:instrText>
      </w:r>
      <w:r w:rsidRPr="00F03A26">
        <w:rPr>
          <w:rFonts w:asciiTheme="majorBidi" w:hAnsiTheme="majorBidi" w:cstheme="majorBidi"/>
          <w:lang w:val="en-GB"/>
        </w:rPr>
        <w:instrText xml:space="preserve"> II"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Part II. Letters from the Northern and Northeastern Provences</w:t>
      </w:r>
      <w:r w:rsidRPr="00F03A26">
        <w:rPr>
          <w:rFonts w:asciiTheme="majorBidi" w:hAnsiTheme="majorBidi" w:cstheme="majorBidi"/>
          <w:lang w:val="en-GB"/>
        </w:rPr>
        <w:t>. Helsinki: Helsinki University Press.</w:t>
      </w:r>
    </w:p>
    <w:p w14:paraId="1D189AA2" w14:textId="77777777" w:rsidR="0088351C" w:rsidRPr="00F03A26" w:rsidRDefault="0088351C" w:rsidP="00F03A26">
      <w:pPr>
        <w:pStyle w:val="EndNoteBibliography"/>
        <w:jc w:val="both"/>
        <w:rPr>
          <w:rFonts w:asciiTheme="majorBidi" w:hAnsiTheme="majorBidi" w:cstheme="majorBidi"/>
          <w:szCs w:val="24"/>
          <w:lang w:val="en-GB"/>
        </w:rPr>
      </w:pPr>
    </w:p>
    <w:p w14:paraId="53F10700"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Layard</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Layard</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A. H. (1849). </w:t>
      </w:r>
      <w:r w:rsidRPr="00F03A26">
        <w:rPr>
          <w:rFonts w:asciiTheme="majorBidi" w:hAnsiTheme="majorBidi" w:cstheme="majorBidi"/>
          <w:i/>
          <w:iCs/>
          <w:szCs w:val="24"/>
          <w:lang w:val="en-GB"/>
        </w:rPr>
        <w:t>The Monuments of Niniveh</w:t>
      </w:r>
      <w:r w:rsidRPr="00F03A26">
        <w:rPr>
          <w:rFonts w:asciiTheme="majorBidi" w:hAnsiTheme="majorBidi" w:cstheme="majorBidi"/>
          <w:szCs w:val="24"/>
          <w:lang w:val="en-GB"/>
        </w:rPr>
        <w:t>. London: John Murray.</w:t>
      </w:r>
      <w:r w:rsidRPr="00F03A26">
        <w:rPr>
          <w:rFonts w:asciiTheme="majorBidi" w:hAnsiTheme="majorBidi" w:cstheme="majorBidi"/>
          <w:szCs w:val="24"/>
          <w:lang w:val="en-GB"/>
        </w:rPr>
        <w:tab/>
      </w:r>
    </w:p>
    <w:p w14:paraId="60A67625"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Layard</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Layard</w:instrText>
      </w:r>
      <w:r w:rsidRPr="00F03A26">
        <w:rPr>
          <w:rFonts w:asciiTheme="majorBidi" w:hAnsiTheme="majorBidi" w:cstheme="majorBidi"/>
          <w:lang w:val="en-GB"/>
        </w:rPr>
        <w:instrText xml:space="preserve">"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A. H. (1853).</w:t>
      </w:r>
      <w:r w:rsidRPr="00F03A26">
        <w:rPr>
          <w:rFonts w:asciiTheme="majorBidi" w:hAnsiTheme="majorBidi" w:cstheme="majorBidi"/>
          <w:i/>
          <w:iCs/>
          <w:sz w:val="24"/>
          <w:szCs w:val="24"/>
          <w:lang w:val="en-GB"/>
        </w:rPr>
        <w:t xml:space="preserve"> Discoveries in the Ruins of Nineveh</w:t>
      </w:r>
      <w:r w:rsidRPr="00F03A26">
        <w:rPr>
          <w:rFonts w:asciiTheme="majorBidi" w:hAnsiTheme="majorBidi" w:cstheme="majorBidi"/>
          <w:i/>
          <w:iCs/>
          <w:sz w:val="24"/>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000000" w:themeColor="text1"/>
          <w:lang w:val="en-GB"/>
        </w:rPr>
        <w:instrText>Nineveh</w:instrText>
      </w:r>
      <w:r w:rsidRPr="00F03A26">
        <w:rPr>
          <w:rFonts w:asciiTheme="majorBidi" w:hAnsiTheme="majorBidi" w:cstheme="majorBidi"/>
          <w:lang w:val="en-GB"/>
        </w:rPr>
        <w:instrText xml:space="preserve">" </w:instrText>
      </w:r>
      <w:r w:rsidRPr="00F03A26">
        <w:rPr>
          <w:rFonts w:asciiTheme="majorBidi" w:hAnsiTheme="majorBidi" w:cstheme="majorBidi"/>
          <w:i/>
          <w:iCs/>
          <w:sz w:val="24"/>
          <w:szCs w:val="24"/>
          <w:lang w:val="en-GB"/>
        </w:rPr>
        <w:fldChar w:fldCharType="end"/>
      </w:r>
      <w:r w:rsidRPr="00F03A26">
        <w:rPr>
          <w:rFonts w:asciiTheme="majorBidi" w:hAnsiTheme="majorBidi" w:cstheme="majorBidi"/>
          <w:i/>
          <w:iCs/>
          <w:sz w:val="24"/>
          <w:szCs w:val="24"/>
          <w:lang w:val="en-GB"/>
        </w:rPr>
        <w:t xml:space="preserve"> and Babylon; with Travels in Armenia</w:t>
      </w:r>
      <w:r w:rsidRPr="00F03A26">
        <w:rPr>
          <w:rFonts w:asciiTheme="majorBidi" w:hAnsiTheme="majorBidi" w:cstheme="majorBidi"/>
          <w:i/>
          <w:iCs/>
          <w:sz w:val="24"/>
          <w:szCs w:val="24"/>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Armenia</w:instrText>
      </w:r>
      <w:r w:rsidRPr="00F03A26">
        <w:rPr>
          <w:rFonts w:asciiTheme="majorBidi" w:hAnsiTheme="majorBidi" w:cstheme="majorBidi"/>
          <w:lang w:val="en-GB"/>
        </w:rPr>
        <w:instrText xml:space="preserve">" </w:instrText>
      </w:r>
      <w:r w:rsidRPr="00F03A26">
        <w:rPr>
          <w:rFonts w:asciiTheme="majorBidi" w:hAnsiTheme="majorBidi" w:cstheme="majorBidi"/>
          <w:i/>
          <w:iCs/>
          <w:sz w:val="24"/>
          <w:szCs w:val="24"/>
          <w:lang w:val="en-GB"/>
        </w:rPr>
        <w:fldChar w:fldCharType="end"/>
      </w:r>
      <w:r w:rsidRPr="00F03A26">
        <w:rPr>
          <w:rFonts w:asciiTheme="majorBidi" w:hAnsiTheme="majorBidi" w:cstheme="majorBidi"/>
          <w:i/>
          <w:iCs/>
          <w:sz w:val="24"/>
          <w:szCs w:val="24"/>
          <w:lang w:val="en-GB"/>
        </w:rPr>
        <w:t>, Kurdistan and the Desert</w:t>
      </w:r>
      <w:r w:rsidRPr="00F03A26">
        <w:rPr>
          <w:rFonts w:asciiTheme="majorBidi" w:hAnsiTheme="majorBidi" w:cstheme="majorBidi"/>
          <w:sz w:val="24"/>
          <w:szCs w:val="24"/>
          <w:lang w:val="en-GB"/>
        </w:rPr>
        <w:t>. In John Murray &amp; G. P. Putnam. London and New York: Harper &amp; Brothers Publishers.</w:t>
      </w:r>
    </w:p>
    <w:p w14:paraId="6D0F5FE7" w14:textId="3F5F56D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Lehmann-Haupt, C. F. (1906). </w:t>
      </w:r>
      <w:r w:rsidRPr="00F03A26">
        <w:rPr>
          <w:rFonts w:asciiTheme="majorBidi" w:hAnsiTheme="majorBidi" w:cstheme="majorBidi"/>
          <w:i/>
          <w:iCs/>
          <w:szCs w:val="24"/>
          <w:lang w:val="en-GB"/>
        </w:rPr>
        <w:t>Materialien zur älteren Geschichte Armeniens und Mesopotamiens</w:t>
      </w:r>
      <w:r w:rsidRPr="00F03A26">
        <w:rPr>
          <w:rFonts w:asciiTheme="majorBidi" w:hAnsiTheme="majorBidi" w:cstheme="majorBidi"/>
          <w:szCs w:val="24"/>
          <w:lang w:val="en-GB"/>
        </w:rPr>
        <w:t>. Berlin: Weidmannsche Buchhandlung.</w:t>
      </w:r>
    </w:p>
    <w:p w14:paraId="01DF016E" w14:textId="47934D79"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Lehmann-Haupt, C. F. (1926). </w:t>
      </w:r>
      <w:r w:rsidRPr="00F03A26">
        <w:rPr>
          <w:rFonts w:asciiTheme="majorBidi" w:hAnsiTheme="majorBidi" w:cstheme="majorBidi"/>
          <w:i/>
          <w:iCs/>
          <w:lang w:val="en-GB"/>
        </w:rPr>
        <w:t>Armenien Einst und Jetzt II/1</w:t>
      </w:r>
      <w:r w:rsidRPr="00F03A26">
        <w:rPr>
          <w:rFonts w:asciiTheme="majorBidi" w:hAnsiTheme="majorBidi" w:cstheme="majorBidi"/>
          <w:lang w:val="en-GB"/>
        </w:rPr>
        <w:t>. Berlin: B. Behr’s Verlag.</w:t>
      </w:r>
    </w:p>
    <w:p w14:paraId="63468AA3" w14:textId="77777777" w:rsidR="0088351C" w:rsidRPr="00F03A26" w:rsidRDefault="0088351C" w:rsidP="00F03A26">
      <w:pPr>
        <w:jc w:val="both"/>
        <w:rPr>
          <w:rFonts w:asciiTheme="majorBidi" w:hAnsiTheme="majorBidi" w:cstheme="majorBidi"/>
          <w:color w:val="FF0000"/>
          <w:lang w:val="en-GB"/>
        </w:rPr>
      </w:pPr>
    </w:p>
    <w:p w14:paraId="24417978" w14:textId="790FECDA"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Lehmann-Haupt, C. F. (1931). </w:t>
      </w:r>
      <w:r w:rsidRPr="00F03A26">
        <w:rPr>
          <w:rFonts w:asciiTheme="majorBidi" w:hAnsiTheme="majorBidi" w:cstheme="majorBidi"/>
          <w:i/>
          <w:iCs/>
          <w:lang w:val="en-GB"/>
        </w:rPr>
        <w:t>Armenien Einst und Jetzt</w:t>
      </w:r>
      <w:r w:rsidRPr="00F03A26">
        <w:rPr>
          <w:rFonts w:asciiTheme="majorBidi" w:hAnsiTheme="majorBidi" w:cstheme="majorBidi"/>
          <w:lang w:val="en-GB"/>
        </w:rPr>
        <w:t xml:space="preserve"> II/2. Berlin.</w:t>
      </w:r>
    </w:p>
    <w:p w14:paraId="7EDDAA6F" w14:textId="77777777" w:rsidR="0088351C" w:rsidRPr="00F03A26" w:rsidRDefault="0088351C" w:rsidP="00F03A26">
      <w:pPr>
        <w:jc w:val="both"/>
        <w:rPr>
          <w:rFonts w:asciiTheme="majorBidi" w:hAnsiTheme="majorBidi" w:cstheme="majorBidi"/>
          <w:lang w:val="en-GB"/>
        </w:rPr>
      </w:pPr>
    </w:p>
    <w:p w14:paraId="18E06D39" w14:textId="72FE557D"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Lehmann-Haupt, C.F. (1928-1935). </w:t>
      </w:r>
      <w:r w:rsidRPr="00F03A26">
        <w:rPr>
          <w:rFonts w:asciiTheme="majorBidi" w:hAnsiTheme="majorBidi" w:cstheme="majorBidi"/>
          <w:i/>
          <w:iCs/>
          <w:lang w:val="en-GB"/>
        </w:rPr>
        <w:t>Corpus Inscriptionum Chaldicarum</w:t>
      </w:r>
      <w:r w:rsidRPr="00F03A26">
        <w:rPr>
          <w:rFonts w:asciiTheme="majorBidi" w:hAnsiTheme="majorBidi" w:cstheme="majorBidi"/>
          <w:lang w:val="en-GB"/>
        </w:rPr>
        <w:t>, (CICh), Berlin-Leipzig.</w:t>
      </w:r>
    </w:p>
    <w:p w14:paraId="74CAD1C9" w14:textId="77777777" w:rsidR="0088351C" w:rsidRPr="00F03A26" w:rsidRDefault="0088351C" w:rsidP="00F03A26">
      <w:pPr>
        <w:jc w:val="both"/>
        <w:rPr>
          <w:rFonts w:asciiTheme="majorBidi" w:hAnsiTheme="majorBidi" w:cstheme="majorBidi"/>
          <w:color w:val="FF0000"/>
          <w:lang w:val="en-GB"/>
        </w:rPr>
      </w:pPr>
    </w:p>
    <w:p w14:paraId="23DF010F"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Loon, M. N. V. (1966). </w:t>
      </w:r>
      <w:r w:rsidRPr="00F03A26">
        <w:rPr>
          <w:rFonts w:asciiTheme="majorBidi" w:hAnsiTheme="majorBidi" w:cstheme="majorBidi"/>
          <w:i/>
          <w:szCs w:val="24"/>
          <w:lang w:val="en-GB"/>
        </w:rPr>
        <w:t>Urartian</w:t>
      </w:r>
      <w:r w:rsidRPr="00F03A26">
        <w:rPr>
          <w:rFonts w:asciiTheme="majorBidi" w:hAnsiTheme="majorBidi" w:cstheme="majorBidi"/>
          <w:i/>
          <w:szCs w:val="24"/>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i/>
          <w:szCs w:val="24"/>
          <w:lang w:val="en-GB"/>
        </w:rPr>
        <w:fldChar w:fldCharType="end"/>
      </w:r>
      <w:r w:rsidRPr="00F03A26">
        <w:rPr>
          <w:rFonts w:asciiTheme="majorBidi" w:hAnsiTheme="majorBidi" w:cstheme="majorBidi"/>
          <w:i/>
          <w:szCs w:val="24"/>
          <w:lang w:val="en-GB"/>
        </w:rPr>
        <w:t xml:space="preserve"> Art</w:t>
      </w:r>
      <w:r w:rsidRPr="00F03A26">
        <w:rPr>
          <w:rFonts w:asciiTheme="majorBidi" w:hAnsiTheme="majorBidi" w:cstheme="majorBidi"/>
          <w:szCs w:val="24"/>
          <w:lang w:val="en-GB"/>
        </w:rPr>
        <w:t xml:space="preserve"> (Vol. XX). Leiden: Nederlands Historisch-Archaeologisch Instituut </w:t>
      </w:r>
    </w:p>
    <w:p w14:paraId="3D386BA6"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 xml:space="preserve">Lundström, S. (2009). </w:t>
      </w:r>
      <w:r w:rsidRPr="00F03A26">
        <w:rPr>
          <w:rFonts w:asciiTheme="majorBidi" w:hAnsiTheme="majorBidi" w:cstheme="majorBidi"/>
          <w:i/>
          <w:iCs/>
          <w:sz w:val="24"/>
          <w:szCs w:val="24"/>
          <w:lang w:val="en-GB"/>
        </w:rPr>
        <w:t>Die Königsgrüfte im Alten Palast von Assur</w:t>
      </w:r>
      <w:r w:rsidRPr="00F03A26">
        <w:rPr>
          <w:rFonts w:asciiTheme="majorBidi" w:hAnsiTheme="majorBidi" w:cstheme="majorBidi"/>
          <w:i/>
          <w:iCs/>
          <w:sz w:val="24"/>
          <w:szCs w:val="24"/>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sz w:val="24"/>
          <w:szCs w:val="24"/>
          <w:lang w:val="en-GB"/>
        </w:rPr>
        <w:instrText>Assur</w:instrText>
      </w:r>
      <w:r w:rsidRPr="00F03A26">
        <w:rPr>
          <w:rFonts w:asciiTheme="majorBidi" w:hAnsiTheme="majorBidi" w:cstheme="majorBidi"/>
          <w:lang w:val="en-GB"/>
        </w:rPr>
        <w:instrText xml:space="preserve">" </w:instrText>
      </w:r>
      <w:r w:rsidRPr="00F03A26">
        <w:rPr>
          <w:rFonts w:asciiTheme="majorBidi" w:hAnsiTheme="majorBidi" w:cstheme="majorBidi"/>
          <w:i/>
          <w:iCs/>
          <w:sz w:val="24"/>
          <w:szCs w:val="24"/>
          <w:lang w:val="en-GB"/>
        </w:rPr>
        <w:fldChar w:fldCharType="end"/>
      </w:r>
      <w:r w:rsidRPr="00F03A26">
        <w:rPr>
          <w:rFonts w:asciiTheme="majorBidi" w:hAnsiTheme="majorBidi" w:cstheme="majorBidi"/>
          <w:sz w:val="24"/>
          <w:szCs w:val="24"/>
          <w:lang w:val="en-GB"/>
        </w:rPr>
        <w:t>. Wiesbaden, Harrassowitz Verlag.</w:t>
      </w:r>
    </w:p>
    <w:p w14:paraId="388698EB" w14:textId="67442A83"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Lundström, S. (2012). Concerning the Dead-How to Bury an Assyrian</w:t>
      </w:r>
      <w:r w:rsidR="001F2587">
        <w:rPr>
          <w:rFonts w:asciiTheme="majorBidi" w:hAnsiTheme="majorBidi" w:cstheme="majorBidi"/>
          <w:szCs w:val="24"/>
          <w:lang w:val="en-GB"/>
        </w:rPr>
        <w:fldChar w:fldCharType="begin"/>
      </w:r>
      <w:r w:rsidR="001F2587">
        <w:instrText xml:space="preserve"> XE "</w:instrText>
      </w:r>
      <w:r w:rsidR="001F2587" w:rsidRPr="00E81696">
        <w:rPr>
          <w:rFonts w:asciiTheme="majorBidi" w:hAnsiTheme="majorBidi" w:cstheme="majorBidi"/>
        </w:rPr>
        <w:instrText>Assyrian</w:instrText>
      </w:r>
      <w:r w:rsidR="001F2587">
        <w:instrText xml:space="preserve">" </w:instrText>
      </w:r>
      <w:r w:rsidR="001F2587">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King? Possibilities and Limits of the Archaeological and Written Evidence in the Second and First Millenium BC. In P. Pfalzner, H. Niehr, E. Pernicka, A. Wissing (eds.), </w:t>
      </w:r>
      <w:r w:rsidRPr="00F03A26">
        <w:rPr>
          <w:rFonts w:asciiTheme="majorBidi" w:hAnsiTheme="majorBidi" w:cstheme="majorBidi"/>
          <w:i/>
          <w:iCs/>
          <w:szCs w:val="24"/>
          <w:lang w:val="en-GB"/>
        </w:rPr>
        <w:t>(Re-)Constructing Funerary Rituals in the Ancient Near East Proceedings of the First International Symposium of the Tübingen Post-Graduate School “Symbols of the Dead” in May 2009</w:t>
      </w:r>
      <w:r w:rsidRPr="00F03A26">
        <w:rPr>
          <w:rFonts w:asciiTheme="majorBidi" w:hAnsiTheme="majorBidi" w:cstheme="majorBidi"/>
          <w:szCs w:val="24"/>
          <w:lang w:val="en-GB"/>
        </w:rPr>
        <w:t xml:space="preserve"> (pp. 271-279). Wiesbaden: Harrassowitz Verlag.</w:t>
      </w:r>
    </w:p>
    <w:p w14:paraId="1EA55281" w14:textId="17D36243"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lastRenderedPageBreak/>
        <w:t>Lynch</w:t>
      </w:r>
      <w:r w:rsidR="00647545">
        <w:rPr>
          <w:rFonts w:asciiTheme="majorBidi" w:hAnsiTheme="majorBidi" w:cstheme="majorBidi"/>
          <w:szCs w:val="24"/>
          <w:lang w:val="en-GB"/>
        </w:rPr>
        <w:fldChar w:fldCharType="begin"/>
      </w:r>
      <w:r w:rsidR="00647545">
        <w:instrText xml:space="preserve"> XE "</w:instrText>
      </w:r>
      <w:r w:rsidR="00647545" w:rsidRPr="00FE6B44">
        <w:rPr>
          <w:rFonts w:asciiTheme="majorBidi" w:hAnsiTheme="majorBidi" w:cstheme="majorBidi"/>
        </w:rPr>
        <w:instrText>Lynch</w:instrText>
      </w:r>
      <w:r w:rsidR="00647545">
        <w:instrText xml:space="preserve">" </w:instrText>
      </w:r>
      <w:r w:rsidR="00647545">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H. F. B. (1901). </w:t>
      </w:r>
      <w:r w:rsidRPr="00F03A26">
        <w:rPr>
          <w:rFonts w:asciiTheme="majorBidi" w:hAnsiTheme="majorBidi" w:cstheme="majorBidi"/>
          <w:i/>
          <w:szCs w:val="24"/>
          <w:lang w:val="en-GB"/>
        </w:rPr>
        <w:t>Armenia</w:t>
      </w:r>
      <w:r w:rsidRPr="00F03A26">
        <w:rPr>
          <w:rFonts w:asciiTheme="majorBidi" w:hAnsiTheme="majorBidi" w:cstheme="majorBidi"/>
          <w:i/>
          <w:szCs w:val="24"/>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lang w:val="en-GB"/>
        </w:rPr>
        <w:instrText>Armenia</w:instrText>
      </w:r>
      <w:r w:rsidRPr="00F03A26">
        <w:rPr>
          <w:rFonts w:asciiTheme="majorBidi" w:hAnsiTheme="majorBidi" w:cstheme="majorBidi"/>
          <w:lang w:val="en-GB"/>
        </w:rPr>
        <w:instrText xml:space="preserve">" </w:instrText>
      </w:r>
      <w:r w:rsidRPr="00F03A26">
        <w:rPr>
          <w:rFonts w:asciiTheme="majorBidi" w:hAnsiTheme="majorBidi" w:cstheme="majorBidi"/>
          <w:i/>
          <w:szCs w:val="24"/>
          <w:lang w:val="en-GB"/>
        </w:rPr>
        <w:fldChar w:fldCharType="end"/>
      </w:r>
      <w:r w:rsidRPr="00F03A26">
        <w:rPr>
          <w:rFonts w:asciiTheme="majorBidi" w:hAnsiTheme="majorBidi" w:cstheme="majorBidi"/>
          <w:i/>
          <w:szCs w:val="24"/>
          <w:lang w:val="en-GB"/>
        </w:rPr>
        <w:t xml:space="preserve"> Travels and Studies</w:t>
      </w:r>
      <w:r w:rsidRPr="00F03A26">
        <w:rPr>
          <w:rFonts w:asciiTheme="majorBidi" w:hAnsiTheme="majorBidi" w:cstheme="majorBidi"/>
          <w:szCs w:val="24"/>
          <w:lang w:val="en-GB"/>
        </w:rPr>
        <w:t xml:space="preserve"> (Vol. I, II). London, New York: Longmans, Green, and Co.</w:t>
      </w:r>
    </w:p>
    <w:p w14:paraId="475ADE41" w14:textId="5BDB270C"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Marr</w:t>
      </w:r>
      <w:r w:rsidR="001F2587">
        <w:rPr>
          <w:rFonts w:asciiTheme="majorBidi" w:hAnsiTheme="majorBidi" w:cstheme="majorBidi"/>
          <w:color w:val="000000" w:themeColor="text1"/>
          <w:lang w:val="en-GB"/>
        </w:rPr>
        <w:fldChar w:fldCharType="begin"/>
      </w:r>
      <w:r w:rsidR="001F2587">
        <w:instrText xml:space="preserve"> XE "</w:instrText>
      </w:r>
      <w:r w:rsidR="001F2587" w:rsidRPr="00BE03E8">
        <w:rPr>
          <w:rFonts w:asciiTheme="majorBidi" w:hAnsiTheme="majorBidi" w:cstheme="majorBidi"/>
          <w:kern w:val="0"/>
          <w:sz w:val="22"/>
          <w:szCs w:val="22"/>
          <w:lang w:val="en-US"/>
          <w14:ligatures w14:val="none"/>
        </w:rPr>
        <w:instrText>Marr</w:instrText>
      </w:r>
      <w:r w:rsidR="001F2587">
        <w:instrText xml:space="preserve">" </w:instrText>
      </w:r>
      <w:r w:rsidR="001F258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J.N. &amp; Orbeli</w:t>
      </w:r>
      <w:r w:rsidR="001F2587">
        <w:rPr>
          <w:rFonts w:asciiTheme="majorBidi" w:hAnsiTheme="majorBidi" w:cstheme="majorBidi"/>
          <w:color w:val="000000" w:themeColor="text1"/>
          <w:lang w:val="en-GB"/>
        </w:rPr>
        <w:fldChar w:fldCharType="begin"/>
      </w:r>
      <w:r w:rsidR="001F2587">
        <w:instrText xml:space="preserve"> XE "</w:instrText>
      </w:r>
      <w:r w:rsidR="001F2587" w:rsidRPr="00EB50DE">
        <w:rPr>
          <w:rFonts w:asciiTheme="majorBidi" w:hAnsiTheme="majorBidi" w:cstheme="majorBidi"/>
          <w:kern w:val="0"/>
          <w:sz w:val="22"/>
          <w:szCs w:val="22"/>
          <w:lang w:val="en-US"/>
          <w14:ligatures w14:val="none"/>
        </w:rPr>
        <w:instrText>Orbeli</w:instrText>
      </w:r>
      <w:r w:rsidR="001F2587">
        <w:instrText xml:space="preserve">" </w:instrText>
      </w:r>
      <w:r w:rsidR="001F2587">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I. A. (1922). </w:t>
      </w:r>
      <w:r w:rsidRPr="00F03A26">
        <w:rPr>
          <w:rFonts w:asciiTheme="majorBidi" w:hAnsiTheme="majorBidi" w:cstheme="majorBidi"/>
          <w:i/>
          <w:iCs/>
          <w:color w:val="000000" w:themeColor="text1"/>
          <w:lang w:val="en-GB"/>
        </w:rPr>
        <w:t>Archeologiceskaja ekspedicija 1916 goda v Van. Raskopki dvuch nis na Vanskaj Sikale i nadpisi Sardura vtorego iz raskopok zapednoj misi</w:t>
      </w:r>
      <w:r w:rsidRPr="00F03A26">
        <w:rPr>
          <w:rFonts w:asciiTheme="majorBidi" w:hAnsiTheme="majorBidi" w:cstheme="majorBidi"/>
          <w:color w:val="000000" w:themeColor="text1"/>
          <w:lang w:val="en-GB"/>
        </w:rPr>
        <w:t xml:space="preserve">, Petersburg: </w:t>
      </w:r>
      <w:r w:rsidRPr="00F03A26">
        <w:rPr>
          <w:rFonts w:asciiTheme="majorBidi" w:hAnsiTheme="majorBidi" w:cstheme="majorBidi"/>
          <w:lang w:val="en-GB"/>
        </w:rPr>
        <w:t>Russkoe Archeologiöeskoe Obscestvo.</w:t>
      </w:r>
    </w:p>
    <w:p w14:paraId="040D30B8"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0912B2CD"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Martirosyan, A. A. (1974). </w:t>
      </w:r>
      <w:r w:rsidRPr="00F03A26">
        <w:rPr>
          <w:rFonts w:asciiTheme="majorBidi" w:hAnsiTheme="majorBidi" w:cstheme="majorBidi"/>
          <w:i/>
          <w:iCs/>
          <w:lang w:val="en-GB"/>
        </w:rPr>
        <w:t>Argistichinili</w:t>
      </w:r>
      <w:r w:rsidRPr="00F03A26">
        <w:rPr>
          <w:rFonts w:asciiTheme="majorBidi" w:hAnsiTheme="majorBidi" w:cstheme="majorBidi"/>
          <w:lang w:val="en-GB"/>
        </w:rPr>
        <w:t>. Erevan: Akademija Nauk Armjanskoj SSR.</w:t>
      </w:r>
    </w:p>
    <w:p w14:paraId="2D621F8A" w14:textId="77777777" w:rsidR="0088351C" w:rsidRPr="00F03A26" w:rsidRDefault="0088351C" w:rsidP="00F03A26">
      <w:pPr>
        <w:autoSpaceDE w:val="0"/>
        <w:autoSpaceDN w:val="0"/>
        <w:adjustRightInd w:val="0"/>
        <w:jc w:val="both"/>
        <w:rPr>
          <w:rFonts w:asciiTheme="majorBidi" w:hAnsiTheme="majorBidi" w:cstheme="majorBidi"/>
          <w:color w:val="FF0000"/>
          <w:lang w:val="en-GB"/>
        </w:rPr>
      </w:pPr>
    </w:p>
    <w:p w14:paraId="2860CC66" w14:textId="2A326C2A" w:rsidR="0088351C" w:rsidRPr="00F03A26" w:rsidRDefault="0088351C" w:rsidP="00F03A26">
      <w:pPr>
        <w:jc w:val="both"/>
        <w:rPr>
          <w:rFonts w:asciiTheme="majorBidi" w:eastAsia="Times New Roman" w:hAnsiTheme="majorBidi" w:cstheme="majorBidi"/>
          <w:kern w:val="0"/>
          <w:lang w:val="en-GB" w:eastAsia="tr-TR"/>
          <w14:ligatures w14:val="none"/>
        </w:rPr>
      </w:pPr>
      <w:r w:rsidRPr="00F03A26">
        <w:rPr>
          <w:rFonts w:asciiTheme="majorBidi" w:hAnsiTheme="majorBidi" w:cstheme="majorBidi"/>
          <w:lang w:val="en-GB"/>
        </w:rPr>
        <w:t xml:space="preserve">Melikišvili, G. A. (1960). </w:t>
      </w:r>
      <w:r w:rsidRPr="00F03A26">
        <w:rPr>
          <w:rFonts w:asciiTheme="majorBidi" w:eastAsia="Times New Roman" w:hAnsiTheme="majorBidi" w:cstheme="majorBidi"/>
          <w:i/>
          <w:iCs/>
          <w:color w:val="242021"/>
          <w:kern w:val="0"/>
          <w:lang w:val="en-GB" w:eastAsia="tr-TR"/>
          <w14:ligatures w14:val="none"/>
        </w:rPr>
        <w:t xml:space="preserve">Urartskie klinoobraznye nadpisi </w:t>
      </w:r>
      <w:r w:rsidRPr="00F03A26">
        <w:rPr>
          <w:rFonts w:asciiTheme="majorBidi" w:eastAsia="Times New Roman" w:hAnsiTheme="majorBidi" w:cstheme="majorBidi"/>
          <w:color w:val="242021"/>
          <w:kern w:val="0"/>
          <w:lang w:val="en-GB" w:eastAsia="tr-TR"/>
          <w14:ligatures w14:val="none"/>
        </w:rPr>
        <w:t>[</w:t>
      </w:r>
      <w:r w:rsidRPr="00F03A26">
        <w:rPr>
          <w:rFonts w:asciiTheme="majorBidi" w:eastAsia="Times New Roman" w:hAnsiTheme="majorBidi" w:cstheme="majorBidi"/>
          <w:i/>
          <w:iCs/>
          <w:color w:val="242021"/>
          <w:kern w:val="0"/>
          <w:lang w:val="en-GB" w:eastAsia="tr-TR"/>
          <w14:ligatures w14:val="none"/>
        </w:rPr>
        <w:t>Urartian</w:t>
      </w:r>
      <w:r w:rsidR="00EA6C63">
        <w:rPr>
          <w:rFonts w:asciiTheme="majorBidi" w:eastAsia="Times New Roman" w:hAnsiTheme="majorBidi" w:cstheme="majorBidi"/>
          <w:i/>
          <w:iCs/>
          <w:color w:val="242021"/>
          <w:kern w:val="0"/>
          <w:lang w:val="en-GB" w:eastAsia="tr-TR"/>
          <w14:ligatures w14:val="none"/>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eastAsia="Times New Roman" w:hAnsiTheme="majorBidi" w:cstheme="majorBidi"/>
          <w:i/>
          <w:iCs/>
          <w:color w:val="242021"/>
          <w:kern w:val="0"/>
          <w:lang w:val="en-GB" w:eastAsia="tr-TR"/>
          <w14:ligatures w14:val="none"/>
        </w:rPr>
        <w:fldChar w:fldCharType="end"/>
      </w:r>
      <w:r w:rsidRPr="00F03A26">
        <w:rPr>
          <w:rFonts w:asciiTheme="majorBidi" w:eastAsia="Times New Roman" w:hAnsiTheme="majorBidi" w:cstheme="majorBidi"/>
          <w:i/>
          <w:iCs/>
          <w:color w:val="242021"/>
          <w:kern w:val="0"/>
          <w:lang w:val="en-GB" w:eastAsia="tr-TR"/>
          <w14:ligatures w14:val="none"/>
        </w:rPr>
        <w:t xml:space="preserve"> cuneiform inscriptions</w:t>
      </w:r>
      <w:r w:rsidRPr="00F03A26">
        <w:rPr>
          <w:rFonts w:asciiTheme="majorBidi" w:eastAsia="Times New Roman" w:hAnsiTheme="majorBidi" w:cstheme="majorBidi"/>
          <w:color w:val="242021"/>
          <w:kern w:val="0"/>
          <w:lang w:val="en-GB" w:eastAsia="tr-TR"/>
          <w14:ligatures w14:val="none"/>
        </w:rPr>
        <w:t>], Izdatel’stvo Akademii Nauk SSSR, Moskva (in Russian).</w:t>
      </w:r>
    </w:p>
    <w:p w14:paraId="248E21AC" w14:textId="77777777" w:rsidR="0088351C" w:rsidRPr="00F03A26" w:rsidRDefault="0088351C" w:rsidP="00F03A26">
      <w:pPr>
        <w:autoSpaceDE w:val="0"/>
        <w:autoSpaceDN w:val="0"/>
        <w:adjustRightInd w:val="0"/>
        <w:jc w:val="both"/>
        <w:rPr>
          <w:rFonts w:asciiTheme="majorBidi" w:hAnsiTheme="majorBidi" w:cstheme="majorBidi"/>
          <w:color w:val="FF0000"/>
          <w:lang w:val="en-GB"/>
        </w:rPr>
      </w:pPr>
    </w:p>
    <w:p w14:paraId="7BAE9B4C" w14:textId="762C974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Melikišvili, G. A. (1971). </w:t>
      </w:r>
      <w:r w:rsidRPr="00F03A26">
        <w:rPr>
          <w:rFonts w:asciiTheme="majorBidi" w:hAnsiTheme="majorBidi" w:cstheme="majorBidi"/>
          <w:i/>
          <w:iCs/>
          <w:lang w:val="en-GB"/>
        </w:rPr>
        <w:t>Urartskie klinoobraznye nadpisi II</w:t>
      </w:r>
      <w:r w:rsidRPr="00F03A26">
        <w:rPr>
          <w:rFonts w:asciiTheme="majorBidi" w:hAnsiTheme="majorBidi" w:cstheme="majorBidi"/>
          <w:lang w:val="en-GB"/>
        </w:rPr>
        <w:t>. Otkrytija i Publikacii 1959-1970 gg. [Urartian</w:t>
      </w:r>
      <w:r w:rsidR="00EA6C63">
        <w:rPr>
          <w:rFonts w:asciiTheme="majorBid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lang w:val="en-GB"/>
        </w:rPr>
        <w:fldChar w:fldCharType="end"/>
      </w:r>
      <w:r w:rsidRPr="00F03A26">
        <w:rPr>
          <w:rFonts w:asciiTheme="majorBidi" w:hAnsiTheme="majorBidi" w:cstheme="majorBidi"/>
          <w:lang w:val="en-GB"/>
        </w:rPr>
        <w:t xml:space="preserve"> cuneiform inscriptions II. Discoveries and publications 1959-1970], VDI 1971 (3-4): 229-255, 267-293 (in Russian).</w:t>
      </w:r>
    </w:p>
    <w:p w14:paraId="7488AE50"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3A942F12" w14:textId="5204A4B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Müller-Simonis</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Müller-Simonis</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P. (1892</w:t>
      </w:r>
      <w:r w:rsidRPr="00B83FC2">
        <w:rPr>
          <w:rFonts w:asciiTheme="majorBidi" w:hAnsiTheme="majorBidi" w:cstheme="majorBidi"/>
          <w:color w:val="000000" w:themeColor="text1"/>
          <w:lang w:val="en-GB"/>
        </w:rPr>
        <w:t xml:space="preserve">). </w:t>
      </w:r>
      <w:r w:rsidR="00B83FC2" w:rsidRPr="00B83FC2">
        <w:rPr>
          <w:rFonts w:ascii="Times New Roman" w:eastAsia="Times New Roman" w:hAnsi="Times New Roman" w:cs="Times New Roman"/>
          <w:i/>
          <w:iCs/>
          <w:color w:val="000000" w:themeColor="text1"/>
          <w:lang w:eastAsia="it-IT"/>
        </w:rPr>
        <w:t>L’Arménie, le Kurdistan et la Mésopotamie</w:t>
      </w:r>
      <w:r w:rsidRPr="00F03A26">
        <w:rPr>
          <w:rFonts w:asciiTheme="majorBidi" w:hAnsiTheme="majorBidi" w:cstheme="majorBidi"/>
          <w:color w:val="000000" w:themeColor="text1"/>
          <w:lang w:val="en-GB"/>
        </w:rPr>
        <w:t>, Paris.</w:t>
      </w:r>
    </w:p>
    <w:p w14:paraId="61DE90B1" w14:textId="77777777" w:rsidR="0088351C" w:rsidRPr="00F03A26" w:rsidRDefault="0088351C" w:rsidP="00F03A26">
      <w:pPr>
        <w:jc w:val="both"/>
        <w:rPr>
          <w:rFonts w:asciiTheme="majorBidi" w:hAnsiTheme="majorBidi" w:cstheme="majorBidi"/>
          <w:color w:val="000000" w:themeColor="text1"/>
          <w:lang w:val="en-GB"/>
        </w:rPr>
      </w:pPr>
    </w:p>
    <w:p w14:paraId="3261B742"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Müller-Simonis</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Müller-Simonis</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P., &amp; Hyvernat</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Hyvernat</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H. (1892). </w:t>
      </w:r>
      <w:r w:rsidRPr="00F03A26">
        <w:rPr>
          <w:rFonts w:asciiTheme="majorBidi" w:hAnsiTheme="majorBidi" w:cstheme="majorBidi"/>
          <w:i/>
          <w:iCs/>
          <w:color w:val="000000" w:themeColor="text1"/>
          <w:lang w:val="en-GB"/>
        </w:rPr>
        <w:t>Du Caucase au Golfe Persique à travers l'Arménie, le Kurdistan et la Mésopotamie: suivie de notices sur la géographie et l'histoire ancienne de l'Arménie et les inscriptions cunéiformes du bassin de Van</w:t>
      </w:r>
      <w:r w:rsidRPr="00F03A26">
        <w:rPr>
          <w:rFonts w:asciiTheme="majorBidi" w:hAnsiTheme="majorBidi" w:cstheme="majorBidi"/>
          <w:color w:val="000000" w:themeColor="text1"/>
          <w:lang w:val="en-GB"/>
        </w:rPr>
        <w:t>. Washington: Université catholique d'Amerique.</w:t>
      </w:r>
    </w:p>
    <w:p w14:paraId="69C03A76" w14:textId="77777777" w:rsidR="0088351C" w:rsidRPr="00F03A26" w:rsidRDefault="0088351C" w:rsidP="00F03A26">
      <w:pPr>
        <w:jc w:val="both"/>
        <w:rPr>
          <w:rFonts w:asciiTheme="majorBidi" w:hAnsiTheme="majorBidi" w:cstheme="majorBidi"/>
          <w:color w:val="000000" w:themeColor="text1"/>
          <w:lang w:val="en-GB"/>
        </w:rPr>
      </w:pPr>
    </w:p>
    <w:p w14:paraId="0E8FB8C1" w14:textId="7F007793"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Naumann, R. (1968). Bemerkungen zu </w:t>
      </w:r>
      <w:r w:rsidR="00B83FC2" w:rsidRPr="00B83FC2">
        <w:rPr>
          <w:rFonts w:ascii="Times New Roman" w:eastAsia="Times New Roman" w:hAnsi="Times New Roman" w:cs="Times New Roman"/>
          <w:color w:val="000000" w:themeColor="text1"/>
          <w:lang w:val="de-DE" w:eastAsia="it-IT"/>
        </w:rPr>
        <w:t>urartäischen</w:t>
      </w:r>
      <w:r w:rsidRPr="00F03A26">
        <w:rPr>
          <w:rFonts w:asciiTheme="majorBidi" w:hAnsiTheme="majorBidi" w:cstheme="majorBidi"/>
          <w:lang w:val="en-GB"/>
        </w:rPr>
        <w:t xml:space="preserve"> Tempeln. </w:t>
      </w:r>
      <w:r w:rsidRPr="00F03A26">
        <w:rPr>
          <w:rFonts w:asciiTheme="majorBidi" w:hAnsiTheme="majorBidi" w:cstheme="majorBidi"/>
          <w:i/>
          <w:lang w:val="en-GB"/>
        </w:rPr>
        <w:t>Istanbuler Mitteilungen</w:t>
      </w:r>
      <w:r w:rsidRPr="00F03A26">
        <w:rPr>
          <w:rFonts w:asciiTheme="majorBidi" w:hAnsiTheme="majorBidi" w:cstheme="majorBidi"/>
          <w:lang w:val="en-GB"/>
        </w:rPr>
        <w:t xml:space="preserve"> 18, 45-57. </w:t>
      </w:r>
    </w:p>
    <w:p w14:paraId="3AAF8F91"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 xml:space="preserve">Oates J., &amp; Oates D. (2001). </w:t>
      </w:r>
      <w:r w:rsidRPr="00F03A26">
        <w:rPr>
          <w:rFonts w:asciiTheme="majorBidi" w:hAnsiTheme="majorBidi" w:cstheme="majorBidi"/>
          <w:i/>
          <w:iCs/>
          <w:sz w:val="24"/>
          <w:szCs w:val="24"/>
          <w:lang w:val="en-GB"/>
        </w:rPr>
        <w:t>Nimrud</w:t>
      </w:r>
      <w:r w:rsidRPr="00F03A26">
        <w:rPr>
          <w:rFonts w:asciiTheme="majorBidi" w:hAnsiTheme="majorBidi" w:cstheme="majorBidi"/>
          <w:i/>
          <w:iCs/>
          <w:sz w:val="24"/>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hAnsiTheme="majorBidi" w:cstheme="majorBidi"/>
          <w:i/>
          <w:iCs/>
          <w:sz w:val="24"/>
          <w:szCs w:val="24"/>
          <w:lang w:val="en-GB"/>
        </w:rPr>
        <w:fldChar w:fldCharType="end"/>
      </w:r>
      <w:r w:rsidRPr="00F03A26">
        <w:rPr>
          <w:rFonts w:asciiTheme="majorBidi" w:hAnsiTheme="majorBidi" w:cstheme="majorBidi"/>
          <w:i/>
          <w:iCs/>
          <w:sz w:val="24"/>
          <w:szCs w:val="24"/>
          <w:lang w:val="en-GB"/>
        </w:rPr>
        <w:t xml:space="preserve"> An Assyrian</w:t>
      </w:r>
      <w:r w:rsidRPr="00F03A26">
        <w:rPr>
          <w:rFonts w:asciiTheme="majorBidi" w:hAnsiTheme="majorBidi" w:cstheme="majorBidi"/>
          <w:i/>
          <w:iCs/>
          <w:sz w:val="24"/>
          <w:szCs w:val="24"/>
          <w:lang w:val="en-GB"/>
        </w:rPr>
        <w:fldChar w:fldCharType="begin"/>
      </w:r>
      <w:r w:rsidRPr="00F03A26">
        <w:rPr>
          <w:rFonts w:asciiTheme="majorBidi" w:hAnsiTheme="majorBidi" w:cstheme="majorBidi"/>
          <w:lang w:val="en-GB"/>
        </w:rPr>
        <w:instrText xml:space="preserve"> XE "Assyrian" </w:instrText>
      </w:r>
      <w:r w:rsidRPr="00F03A26">
        <w:rPr>
          <w:rFonts w:asciiTheme="majorBidi" w:hAnsiTheme="majorBidi" w:cstheme="majorBidi"/>
          <w:i/>
          <w:iCs/>
          <w:sz w:val="24"/>
          <w:szCs w:val="24"/>
          <w:lang w:val="en-GB"/>
        </w:rPr>
        <w:fldChar w:fldCharType="end"/>
      </w:r>
      <w:r w:rsidRPr="00F03A26">
        <w:rPr>
          <w:rFonts w:asciiTheme="majorBidi" w:hAnsiTheme="majorBidi" w:cstheme="majorBidi"/>
          <w:i/>
          <w:iCs/>
          <w:sz w:val="24"/>
          <w:szCs w:val="24"/>
          <w:lang w:val="en-GB"/>
        </w:rPr>
        <w:t xml:space="preserve"> Imperial City Revealed</w:t>
      </w:r>
      <w:r w:rsidRPr="00F03A26">
        <w:rPr>
          <w:rFonts w:asciiTheme="majorBidi" w:hAnsiTheme="majorBidi" w:cstheme="majorBidi"/>
          <w:sz w:val="24"/>
          <w:szCs w:val="24"/>
          <w:lang w:val="en-GB"/>
        </w:rPr>
        <w:t>. London: British School of Archaeology in Iraq.</w:t>
      </w:r>
      <w:r w:rsidRPr="00F03A26">
        <w:rPr>
          <w:rFonts w:asciiTheme="majorBidi" w:hAnsiTheme="majorBidi" w:cstheme="majorBidi"/>
          <w:sz w:val="24"/>
          <w:szCs w:val="24"/>
          <w:lang w:val="en-GB"/>
        </w:rPr>
        <w:tab/>
      </w:r>
    </w:p>
    <w:p w14:paraId="7C238424" w14:textId="399FA20A"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Oganesjan, K. L. (1961). </w:t>
      </w:r>
      <w:r w:rsidRPr="00F03A26">
        <w:rPr>
          <w:rFonts w:asciiTheme="majorBidi" w:hAnsiTheme="majorBidi" w:cstheme="majorBidi"/>
          <w:i/>
          <w:iCs/>
          <w:lang w:val="en-GB"/>
        </w:rPr>
        <w:t xml:space="preserve">Arin-Berd I. Architektura Èrebuni: </w:t>
      </w:r>
      <w:r w:rsidR="00B83FC2">
        <w:rPr>
          <w:rFonts w:asciiTheme="majorBidi" w:hAnsiTheme="majorBidi" w:cstheme="majorBidi"/>
          <w:i/>
          <w:iCs/>
          <w:lang w:val="en-GB"/>
        </w:rPr>
        <w:t>p</w:t>
      </w:r>
      <w:r w:rsidRPr="00F03A26">
        <w:rPr>
          <w:rFonts w:asciiTheme="majorBidi" w:hAnsiTheme="majorBidi" w:cstheme="majorBidi"/>
          <w:i/>
          <w:iCs/>
          <w:lang w:val="en-GB"/>
        </w:rPr>
        <w:t>o materialam raskopok 1950-1959 gg. (Arin-Berd I. The Architecture of Erebuni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Erebuni</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according to materials from excavations 1950-1959)</w:t>
      </w:r>
      <w:r w:rsidRPr="00F03A26">
        <w:rPr>
          <w:rFonts w:asciiTheme="majorBidi" w:hAnsiTheme="majorBidi" w:cstheme="majorBidi"/>
          <w:lang w:val="en-GB"/>
        </w:rPr>
        <w:t>. Erivan: Izdatel’stvo Akademii Nauk Armjanskoj SSR.</w:t>
      </w:r>
    </w:p>
    <w:p w14:paraId="79914A71" w14:textId="77777777" w:rsidR="0088351C" w:rsidRPr="00F03A26" w:rsidRDefault="0088351C" w:rsidP="00F03A26">
      <w:pPr>
        <w:jc w:val="both"/>
        <w:rPr>
          <w:rFonts w:asciiTheme="majorBidi" w:hAnsiTheme="majorBidi" w:cstheme="majorBidi"/>
          <w:b/>
          <w:bCs/>
          <w:lang w:val="en-GB"/>
        </w:rPr>
      </w:pPr>
    </w:p>
    <w:p w14:paraId="55E1CA82"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Öğün, B. (1978a). Die urartäischen Bestattungsbräuche. In S. Şahin, E. Schwertheim, &amp; J. Wagner (Eds.), </w:t>
      </w:r>
      <w:r w:rsidRPr="00F03A26">
        <w:rPr>
          <w:rFonts w:asciiTheme="majorBidi" w:hAnsiTheme="majorBidi" w:cstheme="majorBidi"/>
          <w:i/>
          <w:iCs/>
          <w:lang w:val="en-GB"/>
        </w:rPr>
        <w:t>Studien zur Religion und Kultur Kleinasiens: Festschrift für Friedrich Karl Dörner zum 65. Geburtstag am 28. Februar 1976</w:t>
      </w:r>
      <w:r w:rsidRPr="00F03A26">
        <w:rPr>
          <w:rFonts w:asciiTheme="majorBidi" w:hAnsiTheme="majorBidi" w:cstheme="majorBidi"/>
          <w:lang w:val="en-GB"/>
        </w:rPr>
        <w:t xml:space="preserve"> (pp. 639-678.). Leiden: E. J. Brill.</w:t>
      </w:r>
    </w:p>
    <w:p w14:paraId="5222C800" w14:textId="77777777" w:rsidR="0088351C" w:rsidRPr="00F03A26" w:rsidRDefault="0088351C" w:rsidP="00F03A26">
      <w:pPr>
        <w:autoSpaceDE w:val="0"/>
        <w:autoSpaceDN w:val="0"/>
        <w:adjustRightInd w:val="0"/>
        <w:ind w:left="720" w:hanging="720"/>
        <w:jc w:val="both"/>
        <w:rPr>
          <w:rFonts w:asciiTheme="majorBidi" w:hAnsiTheme="majorBidi" w:cstheme="majorBidi"/>
          <w:lang w:val="en-GB"/>
        </w:rPr>
      </w:pPr>
    </w:p>
    <w:p w14:paraId="1B5F7B9F"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Öğün, B. (1978b). Die urartäischen Gräber in der Gegend von Adilcevaz</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Adilcevaz</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und Patnos. In E. Akurgal (Ed.), </w:t>
      </w:r>
      <w:r w:rsidRPr="00F03A26">
        <w:rPr>
          <w:rFonts w:asciiTheme="majorBidi" w:hAnsiTheme="majorBidi" w:cstheme="majorBidi"/>
          <w:i/>
          <w:iCs/>
          <w:lang w:val="en-GB"/>
        </w:rPr>
        <w:t xml:space="preserve">Proceedings of the Tenth International Congress of Classical Archaeology </w:t>
      </w:r>
      <w:r w:rsidRPr="00F03A26">
        <w:rPr>
          <w:rFonts w:asciiTheme="majorBidi" w:hAnsiTheme="majorBidi" w:cstheme="majorBidi"/>
          <w:lang w:val="en-GB"/>
        </w:rPr>
        <w:t>(pp. 61-67). Ankara: Türk Tarih Kurumu.</w:t>
      </w:r>
    </w:p>
    <w:p w14:paraId="39165183" w14:textId="77777777" w:rsidR="0088351C" w:rsidRPr="00F03A26" w:rsidRDefault="0088351C" w:rsidP="00F03A26">
      <w:pPr>
        <w:jc w:val="both"/>
        <w:rPr>
          <w:rFonts w:asciiTheme="majorBidi" w:hAnsiTheme="majorBidi" w:cstheme="majorBidi"/>
          <w:lang w:val="en-GB"/>
        </w:rPr>
      </w:pPr>
    </w:p>
    <w:p w14:paraId="2841E4C2" w14:textId="12DB6E8A"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Öğün, B. (1984). Urart</w:t>
      </w:r>
      <w:r w:rsidR="00B83FC2">
        <w:rPr>
          <w:rFonts w:asciiTheme="majorBidi" w:hAnsiTheme="majorBidi" w:cstheme="majorBidi"/>
          <w:lang w:val="en-GB"/>
        </w:rPr>
        <w:t>ular</w:t>
      </w:r>
      <w:r w:rsidRPr="00F03A26">
        <w:rPr>
          <w:rFonts w:asciiTheme="majorBidi" w:hAnsiTheme="majorBidi" w:cstheme="majorBidi"/>
          <w:lang w:val="en-GB"/>
        </w:rPr>
        <w:t xml:space="preserve">, </w:t>
      </w:r>
      <w:r w:rsidRPr="00F03A26">
        <w:rPr>
          <w:rFonts w:asciiTheme="majorBidi" w:hAnsiTheme="majorBidi" w:cstheme="majorBidi"/>
          <w:i/>
          <w:iCs/>
          <w:lang w:val="en-GB"/>
        </w:rPr>
        <w:t>Türk Ansiklopedisi</w:t>
      </w:r>
      <w:r w:rsidRPr="00F03A26">
        <w:rPr>
          <w:rFonts w:asciiTheme="majorBidi" w:hAnsiTheme="majorBidi" w:cstheme="majorBidi"/>
          <w:lang w:val="en-GB"/>
        </w:rPr>
        <w:t xml:space="preserve"> XXXIII: 35-75.</w:t>
      </w:r>
    </w:p>
    <w:p w14:paraId="02F1BBF9" w14:textId="77777777" w:rsidR="0088351C" w:rsidRPr="00F03A26" w:rsidRDefault="0088351C" w:rsidP="00F03A26">
      <w:pPr>
        <w:jc w:val="both"/>
        <w:rPr>
          <w:rFonts w:asciiTheme="majorBidi" w:hAnsiTheme="majorBidi" w:cstheme="majorBidi"/>
          <w:lang w:val="en-GB"/>
        </w:rPr>
      </w:pPr>
    </w:p>
    <w:p w14:paraId="0EC4FC9A"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Özfırat, A. (2002). Van Gölü'nün Batı Kıyısında İki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Merkezi. </w:t>
      </w:r>
      <w:r w:rsidRPr="00F03A26">
        <w:rPr>
          <w:rFonts w:asciiTheme="majorBidi" w:hAnsiTheme="majorBidi" w:cstheme="majorBidi"/>
          <w:i/>
          <w:iCs/>
          <w:lang w:val="en-GB"/>
        </w:rPr>
        <w:t>Arkeoloji ve Sanat Dergisi,</w:t>
      </w:r>
      <w:r w:rsidRPr="00F03A26">
        <w:rPr>
          <w:rFonts w:asciiTheme="majorBidi" w:hAnsiTheme="majorBidi" w:cstheme="majorBidi"/>
          <w:lang w:val="en-GB"/>
        </w:rPr>
        <w:t xml:space="preserve"> 108, 21-26.</w:t>
      </w:r>
    </w:p>
    <w:p w14:paraId="361B5BD1" w14:textId="77777777" w:rsidR="0088351C" w:rsidRPr="00F03A26" w:rsidRDefault="0088351C" w:rsidP="00F03A26">
      <w:pPr>
        <w:jc w:val="both"/>
        <w:rPr>
          <w:rFonts w:asciiTheme="majorBidi" w:hAnsiTheme="majorBidi" w:cstheme="majorBidi"/>
          <w:lang w:val="en-GB"/>
        </w:rPr>
      </w:pPr>
    </w:p>
    <w:p w14:paraId="529E306D" w14:textId="77777777" w:rsidR="0088351C" w:rsidRPr="00F03A26" w:rsidRDefault="0088351C" w:rsidP="00F03A26">
      <w:pPr>
        <w:jc w:val="both"/>
        <w:rPr>
          <w:rFonts w:asciiTheme="majorBidi" w:hAnsiTheme="majorBidi" w:cstheme="majorBidi"/>
          <w:b/>
          <w:bCs/>
          <w:lang w:val="en-GB"/>
        </w:rPr>
      </w:pPr>
      <w:r w:rsidRPr="00F03A26">
        <w:rPr>
          <w:rFonts w:asciiTheme="majorBidi" w:eastAsia="Times New Roman" w:hAnsiTheme="majorBidi" w:cstheme="majorBidi"/>
          <w:lang w:val="en-GB"/>
        </w:rPr>
        <w:t xml:space="preserve">Özgüç, T. (1969). </w:t>
      </w:r>
      <w:r w:rsidRPr="00F03A26">
        <w:rPr>
          <w:rFonts w:asciiTheme="majorBidi" w:eastAsia="Times New Roman" w:hAnsiTheme="majorBidi" w:cstheme="majorBidi"/>
          <w:i/>
          <w:lang w:val="en-GB"/>
        </w:rPr>
        <w:t>Altıntepe</w:t>
      </w:r>
      <w:r w:rsidRPr="00F03A26">
        <w:rPr>
          <w:rFonts w:asciiTheme="majorBidi" w:eastAsia="Times New Roman" w:hAnsiTheme="majorBidi" w:cstheme="majorBidi"/>
          <w:i/>
          <w:lang w:val="en-GB"/>
        </w:rPr>
        <w:fldChar w:fldCharType="begin"/>
      </w:r>
      <w:r w:rsidRPr="00F03A26">
        <w:rPr>
          <w:rFonts w:asciiTheme="majorBidi" w:hAnsiTheme="majorBidi" w:cstheme="majorBidi"/>
          <w:lang w:val="en-GB"/>
        </w:rPr>
        <w:instrText xml:space="preserve"> XE "Altıntepe" </w:instrText>
      </w:r>
      <w:r w:rsidRPr="00F03A26">
        <w:rPr>
          <w:rFonts w:asciiTheme="majorBidi" w:eastAsia="Times New Roman" w:hAnsiTheme="majorBidi" w:cstheme="majorBidi"/>
          <w:i/>
          <w:lang w:val="en-GB"/>
        </w:rPr>
        <w:fldChar w:fldCharType="end"/>
      </w:r>
      <w:r w:rsidRPr="00F03A26">
        <w:rPr>
          <w:rFonts w:asciiTheme="majorBidi" w:eastAsia="Times New Roman" w:hAnsiTheme="majorBidi" w:cstheme="majorBidi"/>
          <w:i/>
          <w:lang w:val="en-GB"/>
        </w:rPr>
        <w:t xml:space="preserve"> II Mezarlar, Depo Binası ve Fildişi Eserler</w:t>
      </w:r>
      <w:r w:rsidRPr="00F03A26">
        <w:rPr>
          <w:rFonts w:asciiTheme="majorBidi" w:eastAsia="Times New Roman" w:hAnsiTheme="majorBidi" w:cstheme="majorBidi"/>
          <w:lang w:val="en-GB"/>
        </w:rPr>
        <w:t>.  Ankara: Türk Tarih Kurumu.</w:t>
      </w:r>
    </w:p>
    <w:p w14:paraId="19B494B9" w14:textId="77777777" w:rsidR="0088351C" w:rsidRPr="00F03A26" w:rsidRDefault="0088351C" w:rsidP="00F03A26">
      <w:pPr>
        <w:jc w:val="both"/>
        <w:rPr>
          <w:rFonts w:asciiTheme="majorBidi" w:hAnsiTheme="majorBidi" w:cstheme="majorBidi"/>
          <w:b/>
          <w:bCs/>
          <w:lang w:val="en-GB"/>
        </w:rPr>
      </w:pPr>
    </w:p>
    <w:p w14:paraId="3FBA4FDA"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lastRenderedPageBreak/>
        <w:t xml:space="preserve">Payne, M. R. (2001). </w:t>
      </w:r>
      <w:r w:rsidRPr="00F03A26">
        <w:rPr>
          <w:rFonts w:asciiTheme="majorBidi" w:hAnsiTheme="majorBidi" w:cstheme="majorBidi"/>
          <w:i/>
          <w:szCs w:val="24"/>
          <w:lang w:val="en-GB"/>
        </w:rPr>
        <w:t>Hiyeroglif ve Çivi Yazılı Bulgular Işığında Urartular`da Kullanılan Hacim Ölçüleri (2 cilt) [Uartian Volume Measurements in the Light of Hieroglyphic Cuneiform Finds].</w:t>
      </w:r>
      <w:r w:rsidRPr="00F03A26">
        <w:rPr>
          <w:rFonts w:asciiTheme="majorBidi" w:hAnsiTheme="majorBidi" w:cstheme="majorBidi"/>
          <w:szCs w:val="24"/>
          <w:lang w:val="en-GB"/>
        </w:rPr>
        <w:t xml:space="preserve"> (Doktora). İstanbul Üniversitesi, İstanbul. </w:t>
      </w:r>
    </w:p>
    <w:p w14:paraId="69964572"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Payne, M. R. (2002).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Hacim Ölçüleriyle İlgili Yeni Bulgular. </w:t>
      </w:r>
      <w:r w:rsidRPr="00F03A26">
        <w:rPr>
          <w:rFonts w:asciiTheme="majorBidi" w:hAnsiTheme="majorBidi" w:cstheme="majorBidi"/>
          <w:i/>
          <w:szCs w:val="24"/>
          <w:lang w:val="en-GB"/>
        </w:rPr>
        <w:t>Türk Eskiçağ Bilimleri Enstitüsü Haberler, 13</w:t>
      </w:r>
      <w:r w:rsidRPr="00F03A26">
        <w:rPr>
          <w:rFonts w:asciiTheme="majorBidi" w:hAnsiTheme="majorBidi" w:cstheme="majorBidi"/>
          <w:szCs w:val="24"/>
          <w:lang w:val="en-GB"/>
        </w:rPr>
        <w:t xml:space="preserve">, 1-3. </w:t>
      </w:r>
    </w:p>
    <w:p w14:paraId="44F30BCB"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Payne, M. R., &amp; Ceylan, A. (2003). A New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Inscription from Ağrı</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"Ağrı" </w:instrText>
      </w:r>
      <w:r w:rsidRPr="00F03A26">
        <w:rPr>
          <w:rFonts w:asciiTheme="majorBidi" w:hAnsiTheme="majorBidi" w:cstheme="majorBidi"/>
          <w:lang w:val="en-GB"/>
        </w:rPr>
        <w:fldChar w:fldCharType="end"/>
      </w:r>
      <w:r w:rsidRPr="00F03A26">
        <w:rPr>
          <w:rFonts w:asciiTheme="majorBidi" w:hAnsiTheme="majorBidi" w:cstheme="majorBidi"/>
          <w:lang w:val="en-GB"/>
        </w:rPr>
        <w:t>-Pirabat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"Pirabat"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iCs/>
          <w:lang w:val="en-GB"/>
        </w:rPr>
        <w:t>SMEA</w:t>
      </w:r>
      <w:r w:rsidRPr="00F03A26">
        <w:rPr>
          <w:rFonts w:asciiTheme="majorBidi" w:hAnsiTheme="majorBidi" w:cstheme="majorBidi"/>
          <w:lang w:val="en-GB"/>
        </w:rPr>
        <w:t xml:space="preserve"> </w:t>
      </w:r>
      <w:r w:rsidRPr="00F03A26">
        <w:rPr>
          <w:rFonts w:asciiTheme="majorBidi" w:hAnsiTheme="majorBidi" w:cstheme="majorBidi"/>
          <w:bCs/>
          <w:i/>
          <w:iCs/>
          <w:lang w:val="en-GB"/>
        </w:rPr>
        <w:t>XLV</w:t>
      </w:r>
      <w:r w:rsidRPr="00F03A26">
        <w:rPr>
          <w:rFonts w:asciiTheme="majorBidi" w:hAnsiTheme="majorBidi" w:cstheme="majorBidi"/>
          <w:bCs/>
          <w:lang w:val="en-GB"/>
        </w:rPr>
        <w:t>/2, Roma</w:t>
      </w:r>
      <w:r w:rsidRPr="00F03A26">
        <w:rPr>
          <w:rFonts w:asciiTheme="majorBidi" w:hAnsiTheme="majorBidi" w:cstheme="majorBidi"/>
          <w:lang w:val="en-GB"/>
        </w:rPr>
        <w:t>, 191-201.</w:t>
      </w:r>
    </w:p>
    <w:p w14:paraId="3B183B5F"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Payne, M. (2005). </w:t>
      </w:r>
      <w:r w:rsidRPr="00F03A26">
        <w:rPr>
          <w:rFonts w:asciiTheme="majorBidi" w:hAnsiTheme="majorBidi" w:cstheme="majorBidi"/>
          <w:i/>
          <w:szCs w:val="24"/>
          <w:lang w:val="en-GB"/>
        </w:rPr>
        <w:t>Urartian</w:t>
      </w:r>
      <w:r w:rsidRPr="00F03A26">
        <w:rPr>
          <w:rFonts w:asciiTheme="majorBidi" w:hAnsiTheme="majorBidi" w:cstheme="majorBidi"/>
          <w:i/>
          <w:szCs w:val="24"/>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i/>
          <w:szCs w:val="24"/>
          <w:lang w:val="en-GB"/>
        </w:rPr>
        <w:fldChar w:fldCharType="end"/>
      </w:r>
      <w:r w:rsidRPr="00F03A26">
        <w:rPr>
          <w:rFonts w:asciiTheme="majorBidi" w:hAnsiTheme="majorBidi" w:cstheme="majorBidi"/>
          <w:i/>
          <w:szCs w:val="24"/>
          <w:lang w:val="en-GB"/>
        </w:rPr>
        <w:t xml:space="preserve"> Measures of Volume</w:t>
      </w:r>
      <w:r w:rsidRPr="00F03A26">
        <w:rPr>
          <w:rFonts w:asciiTheme="majorBidi" w:hAnsiTheme="majorBidi" w:cstheme="majorBidi"/>
          <w:szCs w:val="24"/>
          <w:lang w:val="en-GB"/>
        </w:rPr>
        <w:t>. Louvain: Peeters Press.</w:t>
      </w:r>
    </w:p>
    <w:p w14:paraId="2BAA7013"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Payne, M. R. (2006). </w:t>
      </w:r>
      <w:r w:rsidRPr="00F03A26">
        <w:rPr>
          <w:rFonts w:asciiTheme="majorBidi" w:hAnsiTheme="majorBidi" w:cstheme="majorBidi"/>
          <w:i/>
          <w:iCs/>
          <w:lang w:val="en-GB"/>
        </w:rPr>
        <w:t>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Çiviyazılı Belgeler Katalogu</w:t>
      </w:r>
      <w:r w:rsidRPr="00F03A26">
        <w:rPr>
          <w:rFonts w:asciiTheme="majorBidi" w:hAnsiTheme="majorBidi" w:cstheme="majorBidi"/>
          <w:lang w:val="en-GB"/>
        </w:rPr>
        <w:t>. İstanbul: Arkeoloji ve Sanat Yayınları.</w:t>
      </w:r>
    </w:p>
    <w:p w14:paraId="449A4419" w14:textId="30CF02F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 xml:space="preserve">Pecorella P. E., &amp; Salvini M. (1984). </w:t>
      </w:r>
      <w:r w:rsidRPr="00F03A26">
        <w:rPr>
          <w:rFonts w:asciiTheme="majorBidi" w:hAnsiTheme="majorBidi" w:cstheme="majorBidi"/>
          <w:i/>
          <w:iCs/>
          <w:lang w:val="en-GB"/>
        </w:rPr>
        <w:t>Tra lo Zagros</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hAnsiTheme="majorBidi" w:cstheme="majorBidi"/>
          <w:lang w:val="en-GB"/>
        </w:rPr>
        <w:instrText>Zagros</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e l'Urmia</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202124"/>
          <w:lang w:val="en-GB"/>
        </w:rPr>
        <w:instrText>Urmia</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w:t>
      </w:r>
      <w:r w:rsidR="00B83FC2" w:rsidRPr="00B83FC2">
        <w:rPr>
          <w:rFonts w:ascii="Times New Roman" w:eastAsia="Times New Roman" w:hAnsi="Times New Roman" w:cs="Times New Roman"/>
          <w:i/>
          <w:iCs/>
          <w:color w:val="000000" w:themeColor="text1"/>
          <w:lang w:eastAsia="it-IT"/>
        </w:rPr>
        <w:t>Ricerche</w:t>
      </w:r>
      <w:r w:rsidRPr="00F03A26">
        <w:rPr>
          <w:rFonts w:asciiTheme="majorBidi" w:hAnsiTheme="majorBidi" w:cstheme="majorBidi"/>
          <w:i/>
          <w:iCs/>
          <w:lang w:val="en-GB"/>
        </w:rPr>
        <w:t xml:space="preserve"> storiche ed archeologiche nell'Azerbaigiano </w:t>
      </w:r>
      <w:r w:rsidR="00B83FC2" w:rsidRPr="00B83FC2">
        <w:rPr>
          <w:rFonts w:ascii="Times New Roman" w:eastAsia="Times New Roman" w:hAnsi="Times New Roman" w:cs="Times New Roman"/>
          <w:i/>
          <w:iCs/>
          <w:color w:val="000000" w:themeColor="text1"/>
          <w:lang w:eastAsia="it-IT"/>
        </w:rPr>
        <w:t>Iraniano</w:t>
      </w:r>
      <w:r w:rsidRPr="00B83FC2">
        <w:rPr>
          <w:rFonts w:asciiTheme="majorBidi" w:hAnsiTheme="majorBidi" w:cstheme="majorBidi"/>
          <w:i/>
          <w:iCs/>
          <w:color w:val="000000" w:themeColor="text1"/>
          <w:lang w:val="en-GB"/>
        </w:rPr>
        <w:t xml:space="preserve">.  </w:t>
      </w:r>
      <w:r w:rsidRPr="00F03A26">
        <w:rPr>
          <w:rFonts w:asciiTheme="majorBidi" w:hAnsiTheme="majorBidi" w:cstheme="majorBidi"/>
          <w:lang w:val="en-GB"/>
        </w:rPr>
        <w:t>Roma: Edizioni dell'Ateneo.</w:t>
      </w:r>
    </w:p>
    <w:p w14:paraId="6D333996"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lang w:val="en-GB"/>
        </w:rPr>
        <w:t xml:space="preserve">Pfeiffer, R. H. (1940). The Excavations at Van in 1939, </w:t>
      </w:r>
      <w:r w:rsidRPr="00F03A26">
        <w:rPr>
          <w:rFonts w:asciiTheme="majorBidi" w:hAnsiTheme="majorBidi" w:cstheme="majorBidi"/>
          <w:i/>
          <w:iCs/>
          <w:lang w:val="en-GB"/>
        </w:rPr>
        <w:t>Bulletin of the American Schools of Oriental Research</w:t>
      </w:r>
      <w:r w:rsidRPr="00F03A26">
        <w:rPr>
          <w:rFonts w:asciiTheme="majorBidi" w:hAnsiTheme="majorBidi" w:cstheme="majorBidi"/>
          <w:lang w:val="en-GB"/>
        </w:rPr>
        <w:t>, No. 78, 1940), 31-32.</w:t>
      </w:r>
      <w:r w:rsidRPr="00F03A26">
        <w:rPr>
          <w:rFonts w:asciiTheme="majorBidi" w:hAnsiTheme="majorBidi" w:cstheme="majorBidi"/>
          <w:lang w:val="en-GB"/>
        </w:rPr>
        <w:tab/>
      </w:r>
    </w:p>
    <w:p w14:paraId="61352CC5"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 xml:space="preserve">Piotrovsky, B. B. (1959). </w:t>
      </w:r>
      <w:r w:rsidRPr="00F03A26">
        <w:rPr>
          <w:rFonts w:asciiTheme="majorBidi" w:hAnsiTheme="majorBidi" w:cstheme="majorBidi"/>
          <w:i/>
          <w:iCs/>
          <w:sz w:val="24"/>
          <w:szCs w:val="24"/>
          <w:lang w:val="en-GB"/>
        </w:rPr>
        <w:t xml:space="preserve">Vanskoe carstvo [The kingdom of Van], Izdatel’stvo Vostocnoj Literatury, </w:t>
      </w:r>
      <w:r w:rsidRPr="00F03A26">
        <w:rPr>
          <w:rFonts w:asciiTheme="majorBidi" w:hAnsiTheme="majorBidi" w:cstheme="majorBidi"/>
          <w:sz w:val="24"/>
          <w:szCs w:val="24"/>
          <w:lang w:val="en-GB"/>
        </w:rPr>
        <w:t>Moskva (in Russian).</w:t>
      </w:r>
      <w:r w:rsidRPr="00F03A26">
        <w:rPr>
          <w:rFonts w:asciiTheme="majorBidi" w:hAnsiTheme="majorBidi" w:cstheme="majorBidi"/>
          <w:sz w:val="24"/>
          <w:szCs w:val="24"/>
          <w:lang w:val="en-GB"/>
        </w:rPr>
        <w:tab/>
      </w:r>
    </w:p>
    <w:p w14:paraId="50037661" w14:textId="61E551E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 xml:space="preserve">Piotrovsky, B. B. (1966). </w:t>
      </w:r>
      <w:r w:rsidRPr="00F03A26">
        <w:rPr>
          <w:rFonts w:asciiTheme="majorBidi" w:hAnsiTheme="majorBidi" w:cstheme="majorBidi"/>
          <w:i/>
          <w:iCs/>
          <w:sz w:val="24"/>
          <w:szCs w:val="24"/>
          <w:lang w:val="en-GB"/>
        </w:rPr>
        <w:t>Il Regno di Van: Urartu</w:t>
      </w:r>
      <w:r w:rsidRPr="00B83FC2">
        <w:rPr>
          <w:rFonts w:asciiTheme="majorBidi" w:hAnsiTheme="majorBidi" w:cstheme="majorBidi"/>
          <w:i/>
          <w:iCs/>
          <w:color w:val="000000" w:themeColor="text1"/>
          <w:sz w:val="24"/>
          <w:szCs w:val="24"/>
          <w:lang w:val="en-GB"/>
        </w:rPr>
        <w:fldChar w:fldCharType="begin"/>
      </w:r>
      <w:r w:rsidRPr="00B83FC2">
        <w:rPr>
          <w:rFonts w:asciiTheme="majorBidi" w:hAnsiTheme="majorBidi" w:cstheme="majorBidi"/>
          <w:color w:val="000000" w:themeColor="text1"/>
          <w:lang w:val="en-GB"/>
        </w:rPr>
        <w:instrText xml:space="preserve"> XE "</w:instrText>
      </w:r>
      <w:r w:rsidRPr="00B83FC2">
        <w:rPr>
          <w:rFonts w:asciiTheme="majorBidi" w:eastAsia="Times New Roman" w:hAnsiTheme="majorBidi" w:cstheme="majorBidi"/>
          <w:color w:val="000000" w:themeColor="text1"/>
          <w:lang w:val="en-GB"/>
        </w:rPr>
        <w:instrText>Urartu</w:instrText>
      </w:r>
      <w:r w:rsidRPr="00B83FC2">
        <w:rPr>
          <w:rFonts w:asciiTheme="majorBidi" w:hAnsiTheme="majorBidi" w:cstheme="majorBidi"/>
          <w:color w:val="000000" w:themeColor="text1"/>
          <w:lang w:val="en-GB"/>
        </w:rPr>
        <w:instrText xml:space="preserve">" </w:instrText>
      </w:r>
      <w:r w:rsidRPr="00B83FC2">
        <w:rPr>
          <w:rFonts w:asciiTheme="majorBidi" w:hAnsiTheme="majorBidi" w:cstheme="majorBidi"/>
          <w:i/>
          <w:iCs/>
          <w:color w:val="000000" w:themeColor="text1"/>
          <w:sz w:val="24"/>
          <w:szCs w:val="24"/>
          <w:lang w:val="en-GB"/>
        </w:rPr>
        <w:fldChar w:fldCharType="end"/>
      </w:r>
      <w:r w:rsidRPr="00B83FC2">
        <w:rPr>
          <w:rFonts w:asciiTheme="majorBidi" w:hAnsiTheme="majorBidi" w:cstheme="majorBidi"/>
          <w:color w:val="000000" w:themeColor="text1"/>
          <w:sz w:val="24"/>
          <w:szCs w:val="24"/>
          <w:lang w:val="en-GB"/>
        </w:rPr>
        <w:t>.</w:t>
      </w:r>
      <w:r w:rsidR="00B83FC2" w:rsidRPr="00B83FC2">
        <w:rPr>
          <w:rFonts w:eastAsia="Times New Roman" w:cs="Times New Roman"/>
          <w:i/>
          <w:iCs/>
          <w:color w:val="000000" w:themeColor="text1"/>
          <w:sz w:val="24"/>
          <w:szCs w:val="24"/>
          <w:lang w:eastAsia="it-IT"/>
        </w:rPr>
        <w:t>(translation of Vanskoe Carsvo by M. Salvini)</w:t>
      </w:r>
      <w:r w:rsidR="00B83FC2" w:rsidRPr="00003F0B">
        <w:rPr>
          <w:rFonts w:eastAsia="Times New Roman" w:cs="Times New Roman"/>
          <w:color w:val="4472C4" w:themeColor="accent1"/>
          <w:sz w:val="24"/>
          <w:szCs w:val="24"/>
          <w:lang w:eastAsia="it-IT"/>
        </w:rPr>
        <w:t xml:space="preserve">. </w:t>
      </w:r>
      <w:r w:rsidRPr="00F03A26">
        <w:rPr>
          <w:rFonts w:asciiTheme="majorBidi" w:hAnsiTheme="majorBidi" w:cstheme="majorBidi"/>
          <w:sz w:val="24"/>
          <w:szCs w:val="24"/>
          <w:lang w:val="en-GB"/>
        </w:rPr>
        <w:t xml:space="preserve"> Roma: Edizioni dell'Ateneo.</w:t>
      </w:r>
    </w:p>
    <w:p w14:paraId="2FE147E6"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Piotrovskij, B. B. (1967).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The Kingdom of Van and its Art. London: Evelyn Adams &amp; Mackay.</w:t>
      </w:r>
    </w:p>
    <w:p w14:paraId="7090022B"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Piotrovsky, B. B. (1969). </w:t>
      </w:r>
      <w:r w:rsidRPr="00F03A26">
        <w:rPr>
          <w:rFonts w:asciiTheme="majorBidi" w:hAnsiTheme="majorBidi" w:cstheme="majorBidi"/>
          <w:i/>
          <w:iCs/>
          <w:szCs w:val="24"/>
          <w:lang w:val="en-GB"/>
        </w:rPr>
        <w:t>The Ancient Civilization of Urartu</w:t>
      </w:r>
      <w:r w:rsidRPr="00F03A26">
        <w:rPr>
          <w:rFonts w:asciiTheme="majorBidi" w:hAnsiTheme="majorBidi" w:cstheme="majorBidi"/>
          <w:i/>
          <w:iCs/>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szCs w:val="24"/>
          <w:lang w:val="en-GB"/>
        </w:rPr>
        <w:fldChar w:fldCharType="end"/>
      </w:r>
      <w:r w:rsidRPr="00F03A26">
        <w:rPr>
          <w:rFonts w:asciiTheme="majorBidi" w:hAnsiTheme="majorBidi" w:cstheme="majorBidi"/>
          <w:szCs w:val="24"/>
          <w:lang w:val="en-GB"/>
        </w:rPr>
        <w:t>. London: Nagel Publishers.</w:t>
      </w:r>
      <w:r w:rsidRPr="00F03A26">
        <w:rPr>
          <w:rFonts w:asciiTheme="majorBidi" w:hAnsiTheme="majorBidi" w:cstheme="majorBidi"/>
          <w:szCs w:val="24"/>
          <w:lang w:val="en-GB"/>
        </w:rPr>
        <w:tab/>
      </w:r>
    </w:p>
    <w:p w14:paraId="5FB00DA0" w14:textId="5C7DE53B"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Piotrovsky, B. B. (1970). </w:t>
      </w:r>
      <w:r w:rsidRPr="00F03A26">
        <w:rPr>
          <w:rFonts w:asciiTheme="majorBidi" w:hAnsiTheme="majorBidi" w:cstheme="majorBidi"/>
          <w:i/>
          <w:iCs/>
          <w:szCs w:val="24"/>
          <w:lang w:val="en-GB"/>
        </w:rPr>
        <w:t>Karmir-Blur</w:t>
      </w:r>
      <w:r w:rsidR="0028736C">
        <w:rPr>
          <w:rFonts w:asciiTheme="majorBidi" w:hAnsiTheme="majorBidi" w:cstheme="majorBidi"/>
          <w:i/>
          <w:iCs/>
          <w:szCs w:val="24"/>
          <w:lang w:val="en-GB"/>
        </w:rPr>
        <w:fldChar w:fldCharType="begin"/>
      </w:r>
      <w:r w:rsidR="0028736C">
        <w:instrText xml:space="preserve"> XE "</w:instrText>
      </w:r>
      <w:r w:rsidR="0028736C" w:rsidRPr="00311FDF">
        <w:rPr>
          <w:rFonts w:asciiTheme="majorBidi" w:hAnsiTheme="majorBidi" w:cstheme="majorBidi"/>
          <w:color w:val="000000" w:themeColor="text1"/>
          <w:lang w:val="en-GB"/>
        </w:rPr>
        <w:instrText>Karmir-Blur</w:instrText>
      </w:r>
      <w:r w:rsidR="0028736C">
        <w:instrText xml:space="preserve">" </w:instrText>
      </w:r>
      <w:r w:rsidR="0028736C">
        <w:rPr>
          <w:rFonts w:asciiTheme="majorBidi" w:hAnsiTheme="majorBidi" w:cstheme="majorBidi"/>
          <w:i/>
          <w:iCs/>
          <w:szCs w:val="24"/>
          <w:lang w:val="en-GB"/>
        </w:rPr>
        <w:fldChar w:fldCharType="end"/>
      </w:r>
      <w:r w:rsidRPr="00F03A26">
        <w:rPr>
          <w:rFonts w:asciiTheme="majorBidi" w:hAnsiTheme="majorBidi" w:cstheme="majorBidi"/>
          <w:szCs w:val="24"/>
          <w:lang w:val="en-GB"/>
        </w:rPr>
        <w:t>. Leningrad: Aurora Art Publisher.</w:t>
      </w:r>
    </w:p>
    <w:p w14:paraId="0007A372" w14:textId="77777777" w:rsidR="0088351C" w:rsidRPr="00F03A26" w:rsidRDefault="0088351C" w:rsidP="00F03A26">
      <w:pPr>
        <w:jc w:val="both"/>
        <w:rPr>
          <w:rFonts w:asciiTheme="majorBidi" w:hAnsiTheme="majorBidi" w:cstheme="majorBidi"/>
          <w:b/>
          <w:bCs/>
          <w:lang w:val="en-GB"/>
        </w:rPr>
      </w:pPr>
      <w:r w:rsidRPr="00F03A26">
        <w:rPr>
          <w:rFonts w:asciiTheme="majorBidi" w:hAnsiTheme="majorBidi" w:cstheme="majorBidi"/>
          <w:color w:val="000000" w:themeColor="text1"/>
          <w:lang w:val="en-GB"/>
        </w:rPr>
        <w:t>Potts, D. T. (2017). Achievement and misfortune: On the life and death of Friedrich Eduard Schulz</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"Schulz"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(1799-1829). </w:t>
      </w:r>
      <w:r w:rsidRPr="00F03A26">
        <w:rPr>
          <w:rFonts w:asciiTheme="majorBidi" w:hAnsiTheme="majorBidi" w:cstheme="majorBidi"/>
          <w:i/>
          <w:iCs/>
          <w:color w:val="000000" w:themeColor="text1"/>
          <w:lang w:val="en-GB"/>
        </w:rPr>
        <w:t xml:space="preserve">Journal Asiatique, 305 </w:t>
      </w:r>
      <w:r w:rsidRPr="00F03A26">
        <w:rPr>
          <w:rFonts w:asciiTheme="majorBidi" w:hAnsiTheme="majorBidi" w:cstheme="majorBidi"/>
          <w:color w:val="000000" w:themeColor="text1"/>
          <w:lang w:val="en-GB"/>
        </w:rPr>
        <w:t>(2), 249-270.</w:t>
      </w:r>
    </w:p>
    <w:p w14:paraId="40160A9B" w14:textId="77777777" w:rsidR="0088351C" w:rsidRPr="00F03A26" w:rsidRDefault="0088351C" w:rsidP="00F03A26">
      <w:pPr>
        <w:jc w:val="both"/>
        <w:rPr>
          <w:rFonts w:asciiTheme="majorBidi" w:hAnsiTheme="majorBidi" w:cstheme="majorBidi"/>
          <w:b/>
          <w:bCs/>
          <w:lang w:val="en-GB"/>
        </w:rPr>
      </w:pPr>
    </w:p>
    <w:p w14:paraId="28A1AD02"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Radner, K. (2013). Assyrians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000000"/>
          <w:kern w:val="0"/>
          <w:lang w:val="en-GB" w:eastAsia="tr-TR" w:bidi="he-IL"/>
          <w14:ligatures w14:val="none"/>
        </w:rPr>
        <w:instrText>Assyrians</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Urartians</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iCs/>
          <w:lang w:val="en-GB"/>
        </w:rPr>
        <w:t>Actual Archaeology Magazine</w:t>
      </w:r>
      <w:r w:rsidRPr="00F03A26">
        <w:rPr>
          <w:rFonts w:asciiTheme="majorBidi" w:hAnsiTheme="majorBidi" w:cstheme="majorBidi"/>
          <w:lang w:val="en-GB"/>
        </w:rPr>
        <w:t>, Winter 2013, 74-87.</w:t>
      </w:r>
    </w:p>
    <w:p w14:paraId="5D76FEE4" w14:textId="77777777" w:rsidR="0088351C" w:rsidRPr="00F03A26" w:rsidRDefault="0088351C" w:rsidP="00F03A26">
      <w:pPr>
        <w:jc w:val="both"/>
        <w:rPr>
          <w:rFonts w:asciiTheme="majorBidi" w:hAnsiTheme="majorBidi" w:cstheme="majorBidi"/>
          <w:lang w:val="en-GB"/>
        </w:rPr>
      </w:pPr>
    </w:p>
    <w:p w14:paraId="391D5083" w14:textId="480427B3"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Radner, K. (2021). Urartian</w:t>
      </w:r>
      <w:r w:rsidR="00EA6C63">
        <w:rPr>
          <w:rFonts w:asciiTheme="majorBidi" w:hAnsiTheme="majorBidi" w:cstheme="majorBidi"/>
          <w:lang w:val="en-GB"/>
        </w:rPr>
        <w:fldChar w:fldCharType="begin"/>
      </w:r>
      <w:r w:rsidR="00EA6C63">
        <w:instrText xml:space="preserve"> XE "</w:instrText>
      </w:r>
      <w:r w:rsidR="00EA6C63" w:rsidRPr="005308B7">
        <w:rPr>
          <w:rFonts w:asciiTheme="majorBidi" w:hAnsiTheme="majorBidi" w:cstheme="majorBidi"/>
        </w:rPr>
        <w:instrText>Urartian</w:instrText>
      </w:r>
      <w:r w:rsidR="00EA6C63">
        <w:instrText xml:space="preserve">" </w:instrText>
      </w:r>
      <w:r w:rsidR="00EA6C63">
        <w:rPr>
          <w:rFonts w:asciiTheme="majorBidi" w:hAnsiTheme="majorBidi" w:cstheme="majorBidi"/>
          <w:lang w:val="en-GB"/>
        </w:rPr>
        <w:fldChar w:fldCharType="end"/>
      </w:r>
      <w:r w:rsidRPr="00F03A26">
        <w:rPr>
          <w:rFonts w:asciiTheme="majorBidi" w:hAnsiTheme="majorBidi" w:cstheme="majorBidi"/>
          <w:lang w:val="en-GB"/>
        </w:rPr>
        <w:t xml:space="preserve"> Foreign Policy: The South. In G. R. Tsetskhladze, A. Çilingiroğlu, M. B. Baştürk, &amp; J. Hargrave (Eds.), </w:t>
      </w:r>
      <w:r w:rsidRPr="00F03A26">
        <w:rPr>
          <w:rFonts w:asciiTheme="majorBidi" w:hAnsiTheme="majorBidi" w:cstheme="majorBidi"/>
          <w:i/>
          <w:iCs/>
          <w:lang w:val="en-GB"/>
        </w:rPr>
        <w:t>Archaeology and History of Urartu (Biainili)</w:t>
      </w:r>
      <w:r w:rsidRPr="00F03A26">
        <w:rPr>
          <w:rFonts w:asciiTheme="majorBidi" w:hAnsiTheme="majorBidi" w:cstheme="majorBidi"/>
          <w:lang w:val="en-GB"/>
        </w:rPr>
        <w:t>, Colloquia Antiqua (Vol. 28, pp. 377–396). Leuven: Peeters Publishers.</w:t>
      </w:r>
    </w:p>
    <w:p w14:paraId="34A689B5" w14:textId="77777777" w:rsidR="0088351C" w:rsidRPr="00F03A26" w:rsidRDefault="0088351C" w:rsidP="00F03A26">
      <w:pPr>
        <w:jc w:val="both"/>
        <w:rPr>
          <w:rFonts w:asciiTheme="majorBidi" w:hAnsiTheme="majorBidi" w:cstheme="majorBidi"/>
          <w:color w:val="000000" w:themeColor="text1"/>
          <w:lang w:val="en-GB"/>
        </w:rPr>
      </w:pPr>
    </w:p>
    <w:p w14:paraId="73FDAF9B"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Rassam, H. (1897). </w:t>
      </w:r>
      <w:r w:rsidRPr="00F03A26">
        <w:rPr>
          <w:rFonts w:asciiTheme="majorBidi" w:hAnsiTheme="majorBidi" w:cstheme="majorBidi"/>
          <w:i/>
          <w:iCs/>
          <w:szCs w:val="24"/>
          <w:lang w:val="en-GB"/>
        </w:rPr>
        <w:t>Asshur and the Land of Nimrod</w:t>
      </w:r>
      <w:r w:rsidRPr="00F03A26">
        <w:rPr>
          <w:rFonts w:asciiTheme="majorBidi" w:hAnsiTheme="majorBidi" w:cstheme="majorBidi"/>
          <w:szCs w:val="24"/>
          <w:lang w:val="en-GB"/>
        </w:rPr>
        <w:t>. New York and Cincinnati.</w:t>
      </w:r>
    </w:p>
    <w:p w14:paraId="6646B8C1" w14:textId="77777777" w:rsidR="0088351C" w:rsidRPr="00F03A26" w:rsidRDefault="0088351C" w:rsidP="00F03A26">
      <w:pPr>
        <w:spacing w:before="120" w:after="120"/>
        <w:jc w:val="both"/>
        <w:rPr>
          <w:rFonts w:asciiTheme="majorBidi" w:hAnsiTheme="majorBidi" w:cstheme="majorBidi"/>
          <w:i/>
          <w:iCs/>
          <w:lang w:val="en-GB"/>
        </w:rPr>
      </w:pPr>
      <w:r w:rsidRPr="00F03A26">
        <w:rPr>
          <w:rFonts w:asciiTheme="majorBidi" w:hAnsiTheme="majorBidi" w:cstheme="majorBidi"/>
          <w:lang w:val="en-GB"/>
        </w:rPr>
        <w:t xml:space="preserve">Raymond, H. A. (2008). </w:t>
      </w:r>
      <w:r w:rsidRPr="00F03A26">
        <w:rPr>
          <w:rFonts w:asciiTheme="majorBidi" w:hAnsiTheme="majorBidi" w:cstheme="majorBidi"/>
          <w:i/>
          <w:iCs/>
          <w:lang w:val="en-GB"/>
        </w:rPr>
        <w:t>Cultic Niches in the Nabataean Landscape: A Study in the Orientation, Facade Ornamentation, Sanctuary Organization, and Function of Nabataean Cultic Niches</w:t>
      </w:r>
      <w:r w:rsidRPr="00F03A26">
        <w:rPr>
          <w:rFonts w:asciiTheme="majorBidi" w:hAnsiTheme="majorBidi" w:cstheme="majorBidi"/>
          <w:lang w:val="en-GB"/>
        </w:rPr>
        <w:t>, MA Dissertation, Brigham Young University-Provo.</w:t>
      </w:r>
    </w:p>
    <w:p w14:paraId="422AB016"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Reade, J. (2008). An Interpretation of the Vaulted Complex and Well 4 in the North-West Palace, Nimrud</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Nimrud</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J. E. Curtis, H. McCall, D. Collon &amp; L. al-G. Werr (Eds.), </w:t>
      </w:r>
      <w:r w:rsidRPr="00F03A26">
        <w:rPr>
          <w:rFonts w:asciiTheme="majorBidi" w:hAnsiTheme="majorBidi" w:cstheme="majorBidi"/>
          <w:i/>
          <w:iCs/>
          <w:lang w:val="en-GB"/>
        </w:rPr>
        <w:t>New Light on Nimrud: Proceedings of the Nimrud Conference 11th–13th March 2002.</w:t>
      </w:r>
      <w:r w:rsidRPr="00F03A26">
        <w:rPr>
          <w:rFonts w:asciiTheme="majorBidi" w:hAnsiTheme="majorBidi" w:cstheme="majorBidi"/>
          <w:lang w:val="en-GB"/>
        </w:rPr>
        <w:t xml:space="preserve"> (pp. 101-102), London.</w:t>
      </w:r>
    </w:p>
    <w:p w14:paraId="7AB20C03" w14:textId="77777777" w:rsidR="0088351C" w:rsidRPr="00F03A26" w:rsidRDefault="0088351C" w:rsidP="00F03A26">
      <w:pPr>
        <w:jc w:val="both"/>
        <w:rPr>
          <w:rFonts w:asciiTheme="majorBidi" w:hAnsiTheme="majorBidi" w:cstheme="majorBidi"/>
          <w:lang w:val="en-GB"/>
        </w:rPr>
      </w:pPr>
    </w:p>
    <w:p w14:paraId="1B83CEFF"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lang w:val="en-GB"/>
        </w:rPr>
        <w:t>Reade, J.E. (2019). The Assyria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000000"/>
          <w:kern w:val="0"/>
          <w:lang w:val="en-GB" w:eastAsia="tr-TR" w:bidi="he-IL"/>
          <w14:ligatures w14:val="none"/>
        </w:rPr>
        <w:instrText>Assyria</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Relationship and the Political Role of Mercenaries. pp.440-456 in </w:t>
      </w:r>
      <w:r w:rsidRPr="00F03A26">
        <w:rPr>
          <w:rFonts w:asciiTheme="majorBidi" w:hAnsiTheme="majorBidi" w:cstheme="majorBidi"/>
          <w:i/>
          <w:iCs/>
          <w:lang w:val="en-GB"/>
        </w:rPr>
        <w:t>Over the Mountains and Far Away: Studies in Near Eastern History and Archaeology Presented to Mirjo Salvini on the Occasion of His 80th Birthday</w:t>
      </w:r>
      <w:r w:rsidRPr="00F03A26">
        <w:rPr>
          <w:rFonts w:asciiTheme="majorBidi" w:hAnsiTheme="majorBidi" w:cstheme="majorBidi"/>
          <w:lang w:val="en-GB"/>
        </w:rPr>
        <w:t>, ed. P. S. Avetisyan, R. Dan, and Y. H. Grekyan. Oxford: Archaeopress Archaeology</w:t>
      </w:r>
    </w:p>
    <w:p w14:paraId="2AA8C283" w14:textId="77777777" w:rsidR="0088351C" w:rsidRPr="00F03A26" w:rsidRDefault="0088351C" w:rsidP="00F03A26">
      <w:pPr>
        <w:jc w:val="both"/>
        <w:rPr>
          <w:rFonts w:asciiTheme="majorBidi" w:hAnsiTheme="majorBidi" w:cstheme="majorBidi"/>
          <w:color w:val="000000" w:themeColor="text1"/>
          <w:lang w:val="en-GB"/>
        </w:rPr>
      </w:pPr>
    </w:p>
    <w:p w14:paraId="273AE612"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color w:val="000000" w:themeColor="text1"/>
          <w:lang w:val="en-GB"/>
        </w:rPr>
        <w:t xml:space="preserve">Reclus, E. (1876). </w:t>
      </w:r>
      <w:r w:rsidRPr="00F03A26">
        <w:rPr>
          <w:rFonts w:asciiTheme="majorBidi" w:hAnsiTheme="majorBidi" w:cstheme="majorBidi"/>
          <w:i/>
          <w:iCs/>
          <w:color w:val="000000" w:themeColor="text1"/>
          <w:lang w:val="en-GB"/>
        </w:rPr>
        <w:t>The Earth and Its Inhabitants: The Universal Geography</w:t>
      </w:r>
      <w:r w:rsidRPr="00F03A26">
        <w:rPr>
          <w:rFonts w:asciiTheme="majorBidi" w:hAnsiTheme="majorBidi" w:cstheme="majorBidi"/>
          <w:color w:val="000000" w:themeColor="text1"/>
          <w:lang w:val="en-GB"/>
        </w:rPr>
        <w:t>. London: J.S. Virtue &amp; Co., Limited, City Road.</w:t>
      </w:r>
    </w:p>
    <w:p w14:paraId="19990926" w14:textId="77777777" w:rsidR="0088351C" w:rsidRPr="00F03A26" w:rsidRDefault="0088351C" w:rsidP="00F03A26">
      <w:pPr>
        <w:jc w:val="both"/>
        <w:rPr>
          <w:rFonts w:asciiTheme="majorBidi" w:hAnsiTheme="majorBidi" w:cstheme="majorBidi"/>
          <w:b/>
          <w:bCs/>
          <w:lang w:val="en-GB"/>
        </w:rPr>
      </w:pPr>
    </w:p>
    <w:p w14:paraId="1F00AAA8" w14:textId="77777777" w:rsidR="0088351C" w:rsidRPr="00F03A26" w:rsidRDefault="0088351C" w:rsidP="00F03A26">
      <w:pPr>
        <w:spacing w:before="120" w:after="120"/>
        <w:jc w:val="both"/>
        <w:rPr>
          <w:rStyle w:val="fontstyle01"/>
          <w:rFonts w:asciiTheme="majorBidi" w:hAnsiTheme="majorBidi" w:cstheme="majorBidi"/>
          <w:lang w:val="en-GB"/>
        </w:rPr>
      </w:pPr>
      <w:r w:rsidRPr="00F03A26">
        <w:rPr>
          <w:rFonts w:asciiTheme="majorBidi" w:hAnsiTheme="majorBidi" w:cstheme="majorBidi"/>
          <w:lang w:val="en-GB"/>
        </w:rPr>
        <w:t xml:space="preserve">Roaf, M. (1998). </w:t>
      </w:r>
      <w:r w:rsidRPr="00F03A26">
        <w:rPr>
          <w:rStyle w:val="fontstyle01"/>
          <w:rFonts w:asciiTheme="majorBidi" w:hAnsiTheme="majorBidi" w:cstheme="majorBidi"/>
          <w:lang w:val="en-GB"/>
        </w:rPr>
        <w:t>Multiple Rabbets on Doors in Iron Age Assyria</w:t>
      </w:r>
      <w:r w:rsidRPr="00F03A26">
        <w:rPr>
          <w:rStyle w:val="fontstyle01"/>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kern w:val="0"/>
          <w:lang w:val="en-GB" w:eastAsia="tr-TR" w:bidi="he-IL"/>
          <w14:ligatures w14:val="none"/>
        </w:rPr>
        <w:instrText>Assyria</w:instrText>
      </w:r>
      <w:r w:rsidRPr="00F03A26">
        <w:rPr>
          <w:rFonts w:asciiTheme="majorBidi" w:hAnsiTheme="majorBidi" w:cstheme="majorBidi"/>
          <w:lang w:val="en-GB"/>
        </w:rPr>
        <w:instrText xml:space="preserve">" </w:instrText>
      </w:r>
      <w:r w:rsidRPr="00F03A26">
        <w:rPr>
          <w:rStyle w:val="fontstyle01"/>
          <w:rFonts w:asciiTheme="majorBidi" w:hAnsiTheme="majorBidi" w:cstheme="majorBidi"/>
          <w:lang w:val="en-GB"/>
        </w:rPr>
        <w:fldChar w:fldCharType="end"/>
      </w:r>
      <w:r w:rsidRPr="00F03A26">
        <w:rPr>
          <w:rStyle w:val="fontstyle01"/>
          <w:rFonts w:asciiTheme="majorBidi" w:hAnsiTheme="majorBidi" w:cstheme="majorBidi"/>
          <w:lang w:val="en-GB"/>
        </w:rPr>
        <w:t xml:space="preserve"> and Western Iran, </w:t>
      </w:r>
      <w:r w:rsidRPr="00F03A26">
        <w:rPr>
          <w:rStyle w:val="fontstyle21"/>
          <w:rFonts w:asciiTheme="majorBidi" w:hAnsiTheme="majorBidi" w:cstheme="majorBidi"/>
          <w:lang w:val="en-GB"/>
        </w:rPr>
        <w:t xml:space="preserve">Iranica Antiqua, </w:t>
      </w:r>
      <w:r w:rsidRPr="00F03A26">
        <w:rPr>
          <w:rStyle w:val="fontstyle01"/>
          <w:rFonts w:asciiTheme="majorBidi" w:hAnsiTheme="majorBidi" w:cstheme="majorBidi"/>
          <w:lang w:val="en-GB"/>
        </w:rPr>
        <w:t>33, 57-80.</w:t>
      </w:r>
    </w:p>
    <w:p w14:paraId="779FBD2E" w14:textId="77777777" w:rsidR="0088351C" w:rsidRPr="00F03A26" w:rsidRDefault="0088351C" w:rsidP="00F03A26">
      <w:pPr>
        <w:jc w:val="both"/>
        <w:rPr>
          <w:rFonts w:asciiTheme="majorBidi" w:hAnsiTheme="majorBidi" w:cstheme="majorBidi"/>
          <w:b/>
          <w:bCs/>
          <w:lang w:val="en-GB"/>
        </w:rPr>
      </w:pPr>
      <w:r w:rsidRPr="00F03A26">
        <w:rPr>
          <w:rFonts w:asciiTheme="majorBidi" w:hAnsiTheme="majorBidi" w:cstheme="majorBidi"/>
          <w:lang w:val="en-GB"/>
        </w:rPr>
        <w:t>Roaf, M. (2012). “Could Rusa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"Rusa"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son of Erimena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"Erimena"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have been king of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during Sargon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202124"/>
          <w:lang w:val="en-GB"/>
        </w:rPr>
        <w:instrText>Sargon</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's Eighth Campaign?” </w:t>
      </w:r>
      <w:r w:rsidRPr="00F03A26">
        <w:rPr>
          <w:rFonts w:asciiTheme="majorBidi" w:hAnsiTheme="majorBidi" w:cstheme="majorBidi"/>
          <w:i/>
          <w:iCs/>
          <w:lang w:val="en-GB"/>
        </w:rPr>
        <w:t>Biainili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"Biainili"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-Urartu: The Proceedings of the Symposium held in Munich 12-14 </w:t>
      </w:r>
      <w:r w:rsidRPr="00F03A26">
        <w:rPr>
          <w:rFonts w:asciiTheme="majorBidi" w:hAnsiTheme="majorBidi" w:cstheme="majorBidi"/>
          <w:lang w:val="en-GB"/>
        </w:rPr>
        <w:t xml:space="preserve">8 </w:t>
      </w:r>
      <w:r w:rsidRPr="00F03A26">
        <w:rPr>
          <w:rFonts w:asciiTheme="majorBidi" w:hAnsiTheme="majorBidi" w:cstheme="majorBidi"/>
          <w:i/>
          <w:iCs/>
          <w:lang w:val="en-GB"/>
        </w:rPr>
        <w:t>October 2007</w:t>
      </w:r>
      <w:r w:rsidRPr="00F03A26">
        <w:rPr>
          <w:rFonts w:asciiTheme="majorBidi" w:hAnsiTheme="majorBidi" w:cstheme="majorBidi"/>
          <w:lang w:val="en-GB"/>
        </w:rPr>
        <w:t>. (Ed) S. Kroll, C. Gruber, U. Hellwag, M. Roaf and P. Zimansky. Leuven, Peeters: 187-216.</w:t>
      </w:r>
    </w:p>
    <w:p w14:paraId="462978DC" w14:textId="77777777" w:rsidR="0088351C" w:rsidRPr="00F03A26" w:rsidRDefault="0088351C" w:rsidP="00F03A26">
      <w:pPr>
        <w:jc w:val="both"/>
        <w:rPr>
          <w:rFonts w:asciiTheme="majorBidi" w:hAnsiTheme="majorBidi" w:cstheme="majorBidi"/>
          <w:b/>
          <w:bCs/>
          <w:lang w:val="en-GB"/>
        </w:rPr>
      </w:pPr>
    </w:p>
    <w:p w14:paraId="400E6005" w14:textId="77777777" w:rsidR="0088351C" w:rsidRPr="00F03A26" w:rsidRDefault="0088351C" w:rsidP="00F03A26">
      <w:pPr>
        <w:jc w:val="both"/>
        <w:rPr>
          <w:rFonts w:asciiTheme="majorBidi" w:hAnsiTheme="majorBidi" w:cstheme="majorBidi"/>
          <w:b/>
          <w:bCs/>
          <w:lang w:val="en-GB"/>
        </w:rPr>
      </w:pPr>
      <w:r w:rsidRPr="00F03A26">
        <w:rPr>
          <w:rFonts w:asciiTheme="majorBidi" w:hAnsiTheme="majorBidi" w:cstheme="majorBidi"/>
          <w:lang w:val="en-GB"/>
        </w:rPr>
        <w:t xml:space="preserve">Roaf, M., </w:t>
      </w:r>
      <w:r w:rsidRPr="00F03A26">
        <w:rPr>
          <w:rFonts w:asciiTheme="majorBidi" w:eastAsia="Times New Roman" w:hAnsiTheme="majorBidi" w:cstheme="majorBidi"/>
          <w:lang w:val="en-GB" w:eastAsia="tr-TR" w:bidi="he-IL"/>
        </w:rPr>
        <w:t xml:space="preserve">&amp; </w:t>
      </w:r>
      <w:r w:rsidRPr="00F03A26">
        <w:rPr>
          <w:rFonts w:asciiTheme="majorBidi" w:hAnsiTheme="majorBidi" w:cstheme="majorBidi"/>
          <w:lang w:val="en-GB"/>
        </w:rPr>
        <w:t xml:space="preserve">Stronach, D. (2007). </w:t>
      </w:r>
      <w:r w:rsidRPr="00F03A26">
        <w:rPr>
          <w:rFonts w:asciiTheme="majorBidi" w:hAnsiTheme="majorBidi" w:cstheme="majorBidi"/>
          <w:i/>
          <w:iCs/>
          <w:lang w:val="en-GB"/>
        </w:rPr>
        <w:t>Nush-i Jan I. The Major Buildings of the Median Settlement,</w:t>
      </w:r>
      <w:r w:rsidRPr="00F03A26">
        <w:rPr>
          <w:rFonts w:asciiTheme="majorBidi" w:hAnsiTheme="majorBidi" w:cstheme="majorBidi"/>
          <w:lang w:val="en-GB"/>
        </w:rPr>
        <w:t xml:space="preserve"> London/Leuven: Peeters.</w:t>
      </w:r>
    </w:p>
    <w:p w14:paraId="02868054" w14:textId="77777777" w:rsidR="0088351C" w:rsidRPr="00F03A26" w:rsidRDefault="0088351C" w:rsidP="00F03A26">
      <w:pPr>
        <w:jc w:val="both"/>
        <w:rPr>
          <w:rFonts w:asciiTheme="majorBidi" w:hAnsiTheme="majorBidi" w:cstheme="majorBidi"/>
          <w:b/>
          <w:bCs/>
          <w:lang w:val="en-GB"/>
        </w:rPr>
      </w:pPr>
    </w:p>
    <w:p w14:paraId="7CF5C831" w14:textId="77777777" w:rsidR="0088351C" w:rsidRPr="00F03A26" w:rsidRDefault="0088351C" w:rsidP="00F03A26">
      <w:pPr>
        <w:pStyle w:val="EndNoteBibliography"/>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Sağlamtimur, H., Kozbe, G., &amp; Çevik, Ö. (2001). Small Finds. in A. Çilingiroğlu and M. Salvini (Eds.). </w:t>
      </w:r>
      <w:r w:rsidRPr="00F03A26">
        <w:rPr>
          <w:rFonts w:asciiTheme="majorBidi" w:eastAsia="Times New Roman" w:hAnsiTheme="majorBidi" w:cstheme="majorBidi"/>
          <w:i/>
          <w:lang w:val="en-GB"/>
        </w:rPr>
        <w:t>Ayanis</w:t>
      </w:r>
      <w:r w:rsidRPr="00F03A26">
        <w:rPr>
          <w:rFonts w:asciiTheme="majorBidi" w:eastAsia="Times New Roman" w:hAnsiTheme="majorBidi" w:cstheme="majorBidi"/>
          <w:i/>
          <w:lang w:val="en-GB"/>
        </w:rPr>
        <w:fldChar w:fldCharType="begin"/>
      </w:r>
      <w:r w:rsidRPr="00F03A26">
        <w:rPr>
          <w:rFonts w:asciiTheme="majorBidi" w:hAnsiTheme="majorBidi" w:cstheme="majorBidi"/>
          <w:lang w:val="en-GB"/>
        </w:rPr>
        <w:instrText xml:space="preserve"> XE "Ayanis" </w:instrText>
      </w:r>
      <w:r w:rsidRPr="00F03A26">
        <w:rPr>
          <w:rFonts w:asciiTheme="majorBidi" w:eastAsia="Times New Roman" w:hAnsiTheme="majorBidi" w:cstheme="majorBidi"/>
          <w:i/>
          <w:lang w:val="en-GB"/>
        </w:rPr>
        <w:fldChar w:fldCharType="end"/>
      </w:r>
      <w:r w:rsidRPr="00F03A26">
        <w:rPr>
          <w:rFonts w:asciiTheme="majorBidi" w:eastAsia="Times New Roman" w:hAnsiTheme="majorBidi" w:cstheme="majorBidi"/>
          <w:i/>
          <w:lang w:val="en-GB"/>
        </w:rPr>
        <w:t xml:space="preserve"> I. Ten Years’ Excavations at Rusahinili</w:t>
      </w:r>
      <w:r w:rsidRPr="00F03A26">
        <w:rPr>
          <w:rFonts w:asciiTheme="majorBidi" w:eastAsia="Times New Roman" w:hAnsiTheme="majorBidi" w:cstheme="majorBidi"/>
          <w: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hd w:val="clear" w:color="auto" w:fill="FFFFFF"/>
          <w:lang w:val="en-GB"/>
        </w:rPr>
        <w:instrText>Rusahinili</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i/>
          <w:lang w:val="en-GB"/>
        </w:rPr>
        <w:fldChar w:fldCharType="end"/>
      </w:r>
      <w:r w:rsidRPr="00F03A26">
        <w:rPr>
          <w:rFonts w:asciiTheme="majorBidi" w:eastAsia="Times New Roman" w:hAnsiTheme="majorBidi" w:cstheme="majorBidi"/>
          <w:i/>
          <w:lang w:val="en-GB"/>
        </w:rPr>
        <w:t xml:space="preserve"> Eiduru-kai 1989-1998,</w:t>
      </w:r>
      <w:r w:rsidRPr="00F03A26">
        <w:rPr>
          <w:rFonts w:asciiTheme="majorBidi" w:eastAsia="Times New Roman" w:hAnsiTheme="majorBidi" w:cstheme="majorBidi"/>
          <w:lang w:val="en-GB"/>
        </w:rPr>
        <w:t xml:space="preserve"> (pp. 219-50), Roma: CNR - Istituto per gli Studi Micenei ed Egeo-Anatolici.</w:t>
      </w:r>
    </w:p>
    <w:p w14:paraId="7C0DEA0C" w14:textId="77777777" w:rsidR="0088351C" w:rsidRPr="00F03A26" w:rsidRDefault="0088351C" w:rsidP="00F03A26">
      <w:pPr>
        <w:pStyle w:val="EndNoteBibliography"/>
        <w:jc w:val="both"/>
        <w:rPr>
          <w:rFonts w:asciiTheme="majorBidi" w:hAnsiTheme="majorBidi" w:cstheme="majorBidi"/>
          <w:lang w:val="en-GB"/>
        </w:rPr>
      </w:pPr>
      <w:r w:rsidRPr="00F03A26">
        <w:rPr>
          <w:rFonts w:asciiTheme="majorBidi" w:hAnsiTheme="majorBidi" w:cstheme="majorBidi"/>
          <w:szCs w:val="24"/>
          <w:lang w:val="en-GB"/>
        </w:rPr>
        <w:t xml:space="preserve">Salvini, M. (1967). </w:t>
      </w:r>
      <w:r w:rsidRPr="00F03A26">
        <w:rPr>
          <w:rFonts w:asciiTheme="majorBidi" w:hAnsiTheme="majorBidi" w:cstheme="majorBidi"/>
          <w:i/>
          <w:szCs w:val="24"/>
          <w:lang w:val="en-GB"/>
        </w:rPr>
        <w:t>Nairi</w:t>
      </w:r>
      <w:r w:rsidRPr="00F03A26">
        <w:rPr>
          <w:rFonts w:asciiTheme="majorBidi" w:hAnsiTheme="majorBidi" w:cstheme="majorBidi"/>
          <w:i/>
          <w:szCs w:val="24"/>
          <w:lang w:val="en-GB"/>
        </w:rPr>
        <w:fldChar w:fldCharType="begin"/>
      </w:r>
      <w:r w:rsidRPr="00F03A26">
        <w:rPr>
          <w:rFonts w:asciiTheme="majorBidi" w:hAnsiTheme="majorBidi" w:cstheme="majorBidi"/>
          <w:lang w:val="en-GB"/>
        </w:rPr>
        <w:instrText xml:space="preserve"> XE "Nairi" </w:instrText>
      </w:r>
      <w:r w:rsidRPr="00F03A26">
        <w:rPr>
          <w:rFonts w:asciiTheme="majorBidi" w:hAnsiTheme="majorBidi" w:cstheme="majorBidi"/>
          <w:i/>
          <w:szCs w:val="24"/>
          <w:lang w:val="en-GB"/>
        </w:rPr>
        <w:fldChar w:fldCharType="end"/>
      </w:r>
      <w:r w:rsidRPr="00F03A26">
        <w:rPr>
          <w:rFonts w:asciiTheme="majorBidi" w:hAnsiTheme="majorBidi" w:cstheme="majorBidi"/>
          <w:i/>
          <w:szCs w:val="24"/>
          <w:lang w:val="en-GB"/>
        </w:rPr>
        <w:t xml:space="preserve"> e Ur(u)atri. Contributo alla storia della formazione del regno di Urartu</w:t>
      </w:r>
      <w:r w:rsidRPr="00F03A26">
        <w:rPr>
          <w:rFonts w:asciiTheme="majorBidi" w:hAnsiTheme="majorBidi" w:cstheme="majorBidi"/>
          <w:i/>
          <w:szCs w:val="24"/>
          <w:lang w:val="en-GB"/>
        </w:rPr>
        <w:fldChar w:fldCharType="begin"/>
      </w:r>
      <w:r w:rsidRPr="00F03A26">
        <w:rPr>
          <w:rFonts w:asciiTheme="majorBidi" w:hAnsiTheme="majorBidi" w:cstheme="majorBidi"/>
          <w:lang w:val="en-GB"/>
        </w:rPr>
        <w:instrText xml:space="preserve"> XE "Urartu" </w:instrText>
      </w:r>
      <w:r w:rsidRPr="00F03A26">
        <w:rPr>
          <w:rFonts w:asciiTheme="majorBidi" w:hAnsiTheme="majorBidi" w:cstheme="majorBidi"/>
          <w:i/>
          <w:szCs w:val="24"/>
          <w:lang w:val="en-GB"/>
        </w:rPr>
        <w:fldChar w:fldCharType="end"/>
      </w:r>
      <w:r w:rsidRPr="00F03A26">
        <w:rPr>
          <w:rFonts w:asciiTheme="majorBidi" w:hAnsiTheme="majorBidi" w:cstheme="majorBidi"/>
          <w:szCs w:val="24"/>
          <w:lang w:val="en-GB"/>
        </w:rPr>
        <w:t xml:space="preserve"> (Incunabula Graeca 16), Roma</w:t>
      </w:r>
      <w:r w:rsidRPr="00F03A26">
        <w:rPr>
          <w:rFonts w:asciiTheme="majorBidi" w:hAnsiTheme="majorBidi" w:cstheme="majorBidi"/>
          <w:lang w:val="en-GB"/>
        </w:rPr>
        <w:t xml:space="preserve">: </w:t>
      </w:r>
      <w:r w:rsidRPr="00F03A26">
        <w:rPr>
          <w:rFonts w:asciiTheme="majorBidi" w:hAnsiTheme="majorBidi" w:cstheme="majorBidi"/>
          <w:szCs w:val="24"/>
          <w:lang w:val="en-GB"/>
        </w:rPr>
        <w:t>Roma: Edizioni dell’Ateneo.</w:t>
      </w:r>
    </w:p>
    <w:p w14:paraId="3CD8D4DB" w14:textId="77777777" w:rsidR="0088351C" w:rsidRPr="00F03A26" w:rsidRDefault="0088351C" w:rsidP="00F03A26">
      <w:pPr>
        <w:spacing w:line="240" w:lineRule="atLeast"/>
        <w:jc w:val="both"/>
        <w:rPr>
          <w:rFonts w:asciiTheme="majorBidi" w:hAnsiTheme="majorBidi" w:cstheme="majorBidi"/>
          <w:lang w:val="en-GB"/>
        </w:rPr>
      </w:pPr>
      <w:r w:rsidRPr="00F03A26">
        <w:rPr>
          <w:rFonts w:asciiTheme="majorBidi" w:hAnsiTheme="majorBidi" w:cstheme="majorBidi"/>
          <w:lang w:val="en-GB"/>
        </w:rPr>
        <w:t xml:space="preserve">Salvini M. (1970), Einige urartäisch-hurritische Wortgleichungen, </w:t>
      </w:r>
      <w:r w:rsidRPr="00F03A26">
        <w:rPr>
          <w:rFonts w:asciiTheme="majorBidi" w:hAnsiTheme="majorBidi" w:cstheme="majorBidi"/>
          <w:i/>
          <w:iCs/>
          <w:lang w:val="en-GB"/>
        </w:rPr>
        <w:t>OrNS,</w:t>
      </w:r>
      <w:r w:rsidRPr="00F03A26">
        <w:rPr>
          <w:rFonts w:asciiTheme="majorBidi" w:hAnsiTheme="majorBidi" w:cstheme="majorBidi"/>
          <w:lang w:val="en-GB"/>
        </w:rPr>
        <w:t xml:space="preserve"> 39, 409-411.</w:t>
      </w:r>
    </w:p>
    <w:p w14:paraId="656AB132" w14:textId="77777777" w:rsidR="0088351C" w:rsidRPr="00F03A26" w:rsidRDefault="0088351C" w:rsidP="00F03A26">
      <w:pPr>
        <w:spacing w:line="240" w:lineRule="atLeast"/>
        <w:jc w:val="both"/>
        <w:rPr>
          <w:rFonts w:asciiTheme="majorBidi" w:hAnsiTheme="majorBidi" w:cstheme="majorBidi"/>
          <w:lang w:val="en-GB"/>
        </w:rPr>
      </w:pPr>
    </w:p>
    <w:p w14:paraId="491CAA9F" w14:textId="77777777" w:rsidR="0088351C" w:rsidRPr="00F03A26" w:rsidRDefault="0088351C" w:rsidP="00F03A26">
      <w:pPr>
        <w:spacing w:line="240" w:lineRule="atLeast"/>
        <w:jc w:val="both"/>
        <w:rPr>
          <w:rFonts w:asciiTheme="majorBidi" w:hAnsiTheme="majorBidi" w:cstheme="majorBidi"/>
          <w:lang w:val="en-GB"/>
        </w:rPr>
      </w:pPr>
      <w:r w:rsidRPr="00F03A26">
        <w:rPr>
          <w:rFonts w:asciiTheme="majorBidi" w:hAnsiTheme="majorBidi" w:cstheme="majorBidi"/>
          <w:lang w:val="en-GB"/>
        </w:rPr>
        <w:t xml:space="preserve">Salvini, M. (1973). Urartäisches epigraphisches Material aus Van und Umgebung. </w:t>
      </w:r>
      <w:r w:rsidRPr="00F03A26">
        <w:rPr>
          <w:rFonts w:asciiTheme="majorBidi" w:hAnsiTheme="majorBidi" w:cstheme="majorBidi"/>
          <w:i/>
          <w:iCs/>
          <w:lang w:val="en-GB"/>
        </w:rPr>
        <w:t>Belleten, 37</w:t>
      </w:r>
      <w:r w:rsidRPr="00F03A26">
        <w:rPr>
          <w:rFonts w:asciiTheme="majorBidi" w:hAnsiTheme="majorBidi" w:cstheme="majorBidi"/>
          <w:lang w:val="en-GB"/>
        </w:rPr>
        <w:t>, 279-287.</w:t>
      </w:r>
    </w:p>
    <w:p w14:paraId="6BCA7F55" w14:textId="77777777" w:rsidR="0088351C" w:rsidRPr="00F03A26" w:rsidRDefault="0088351C" w:rsidP="00F03A26">
      <w:pPr>
        <w:spacing w:line="240" w:lineRule="atLeast"/>
        <w:jc w:val="both"/>
        <w:rPr>
          <w:rFonts w:asciiTheme="majorBidi" w:hAnsiTheme="majorBidi" w:cstheme="majorBidi"/>
          <w:lang w:val="en-GB"/>
        </w:rPr>
      </w:pPr>
    </w:p>
    <w:p w14:paraId="5283DD75" w14:textId="0C729CDD" w:rsidR="0088351C" w:rsidRPr="00F03A26" w:rsidRDefault="0088351C" w:rsidP="00F03A26">
      <w:pPr>
        <w:spacing w:line="240" w:lineRule="atLeast"/>
        <w:jc w:val="both"/>
        <w:rPr>
          <w:rFonts w:asciiTheme="majorBidi" w:hAnsiTheme="majorBidi" w:cstheme="majorBidi"/>
          <w:lang w:val="en-GB"/>
        </w:rPr>
      </w:pPr>
      <w:r w:rsidRPr="00F03A26">
        <w:rPr>
          <w:rFonts w:asciiTheme="majorBidi" w:hAnsiTheme="majorBidi" w:cstheme="majorBidi"/>
          <w:lang w:val="en-GB"/>
        </w:rPr>
        <w:t>Salvini, M. (1979). Una "Bilingu</w:t>
      </w:r>
      <w:r w:rsidR="00B83FC2">
        <w:rPr>
          <w:rFonts w:asciiTheme="majorBidi" w:hAnsiTheme="majorBidi" w:cstheme="majorBidi"/>
          <w:lang w:val="en-GB"/>
        </w:rPr>
        <w:t>e</w:t>
      </w:r>
      <w:r w:rsidRPr="00F03A26">
        <w:rPr>
          <w:rFonts w:asciiTheme="majorBidi" w:hAnsiTheme="majorBidi" w:cstheme="majorBidi"/>
          <w:lang w:val="en-GB"/>
        </w:rPr>
        <w:t xml:space="preserve">" Assiro-Urartea. In O. Carruba (Ed.), </w:t>
      </w:r>
      <w:r w:rsidRPr="00F03A26">
        <w:rPr>
          <w:rFonts w:asciiTheme="majorBidi" w:hAnsiTheme="majorBidi" w:cstheme="majorBidi"/>
          <w:i/>
          <w:iCs/>
          <w:lang w:val="en-GB"/>
        </w:rPr>
        <w:t>Stadia Mediterránea Piero Meriggi dicata</w:t>
      </w:r>
      <w:r w:rsidRPr="00F03A26">
        <w:rPr>
          <w:rFonts w:asciiTheme="majorBidi" w:hAnsiTheme="majorBidi" w:cstheme="majorBidi"/>
          <w:lang w:val="en-GB"/>
        </w:rPr>
        <w:t xml:space="preserve"> (pp. 575-593). Pavia: Aurora Edizioni.</w:t>
      </w:r>
    </w:p>
    <w:p w14:paraId="27D3BBD4" w14:textId="77777777" w:rsidR="0088351C" w:rsidRPr="00F03A26" w:rsidRDefault="0088351C" w:rsidP="00F03A26">
      <w:pPr>
        <w:spacing w:line="240" w:lineRule="atLeast"/>
        <w:jc w:val="both"/>
        <w:rPr>
          <w:rFonts w:asciiTheme="majorBidi" w:hAnsiTheme="majorBidi" w:cstheme="majorBidi"/>
          <w:lang w:val="en-GB"/>
        </w:rPr>
      </w:pPr>
    </w:p>
    <w:p w14:paraId="00D98431" w14:textId="77777777" w:rsidR="0088351C" w:rsidRPr="00F03A26" w:rsidRDefault="0088351C" w:rsidP="00F03A26">
      <w:pPr>
        <w:spacing w:line="240" w:lineRule="atLeast"/>
        <w:jc w:val="both"/>
        <w:rPr>
          <w:rFonts w:asciiTheme="majorBidi" w:hAnsiTheme="majorBidi" w:cstheme="majorBidi"/>
          <w:lang w:val="en-GB"/>
        </w:rPr>
      </w:pPr>
      <w:r w:rsidRPr="00F03A26">
        <w:rPr>
          <w:rFonts w:asciiTheme="majorBidi" w:hAnsiTheme="majorBidi" w:cstheme="majorBidi"/>
          <w:lang w:val="en-GB"/>
        </w:rPr>
        <w:t xml:space="preserve">Salvini, M. (1980). Un testo celebrativo di Menua, </w:t>
      </w:r>
      <w:r w:rsidRPr="00F03A26">
        <w:rPr>
          <w:rFonts w:asciiTheme="majorBidi" w:hAnsiTheme="majorBidi" w:cstheme="majorBidi"/>
          <w:i/>
          <w:iCs/>
          <w:lang w:val="en-GB"/>
        </w:rPr>
        <w:t>SMEA</w:t>
      </w:r>
      <w:r w:rsidRPr="00F03A26">
        <w:rPr>
          <w:rFonts w:asciiTheme="majorBidi" w:hAnsiTheme="majorBidi" w:cstheme="majorBidi"/>
          <w:lang w:val="en-GB"/>
        </w:rPr>
        <w:t xml:space="preserve"> 22, 137-168.</w:t>
      </w:r>
    </w:p>
    <w:p w14:paraId="33B10CEA" w14:textId="77777777" w:rsidR="0088351C" w:rsidRPr="00F03A26" w:rsidRDefault="0088351C" w:rsidP="00F03A26">
      <w:pPr>
        <w:jc w:val="both"/>
        <w:rPr>
          <w:rFonts w:asciiTheme="majorBidi" w:hAnsiTheme="majorBidi" w:cstheme="majorBidi"/>
          <w:lang w:val="en-GB"/>
        </w:rPr>
      </w:pPr>
    </w:p>
    <w:p w14:paraId="2A4940EE"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Salvini M. 1984, La nicchia rupestre di Ain-e Rum</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Ain-e Rum</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In P.E. Pecorella, M. Salvini (Ed.),</w:t>
      </w:r>
      <w:r w:rsidRPr="00F03A26">
        <w:rPr>
          <w:rFonts w:asciiTheme="majorBidi" w:hAnsiTheme="majorBidi" w:cstheme="majorBidi"/>
          <w:i/>
          <w:lang w:val="en-GB"/>
        </w:rPr>
        <w:t xml:space="preserve"> Tra lo Zagros</w:t>
      </w:r>
      <w:r w:rsidRPr="00F03A26">
        <w:rPr>
          <w:rFonts w:asciiTheme="majorBidi" w:hAnsiTheme="majorBidi" w:cstheme="majorBidi"/>
          <w: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hAnsiTheme="majorBidi" w:cstheme="majorBidi"/>
          <w:lang w:val="en-GB"/>
        </w:rPr>
        <w:instrText>Zagros</w:instrText>
      </w:r>
      <w:r w:rsidRPr="00F03A26">
        <w:rPr>
          <w:rFonts w:asciiTheme="majorBidi" w:hAnsiTheme="majorBidi" w:cstheme="majorBidi"/>
          <w:lang w:val="en-GB"/>
        </w:rPr>
        <w:instrText xml:space="preserve">" </w:instrText>
      </w:r>
      <w:r w:rsidRPr="00F03A26">
        <w:rPr>
          <w:rFonts w:asciiTheme="majorBidi" w:hAnsiTheme="majorBidi" w:cstheme="majorBidi"/>
          <w:i/>
          <w:lang w:val="en-GB"/>
        </w:rPr>
        <w:fldChar w:fldCharType="end"/>
      </w:r>
      <w:r w:rsidRPr="00F03A26">
        <w:rPr>
          <w:rFonts w:asciiTheme="majorBidi" w:hAnsiTheme="majorBidi" w:cstheme="majorBidi"/>
          <w:i/>
          <w:lang w:val="en-GB"/>
        </w:rPr>
        <w:t xml:space="preserve"> e l’Urmia</w:t>
      </w:r>
      <w:r w:rsidRPr="00F03A26">
        <w:rPr>
          <w:rFonts w:asciiTheme="majorBidi" w:hAnsiTheme="majorBidi" w:cstheme="majorBidi"/>
          <w: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202124"/>
          <w:lang w:val="en-GB"/>
        </w:rPr>
        <w:instrText>Urmia</w:instrText>
      </w:r>
      <w:r w:rsidRPr="00F03A26">
        <w:rPr>
          <w:rFonts w:asciiTheme="majorBidi" w:hAnsiTheme="majorBidi" w:cstheme="majorBidi"/>
          <w:lang w:val="en-GB"/>
        </w:rPr>
        <w:instrText xml:space="preserve">" </w:instrText>
      </w:r>
      <w:r w:rsidRPr="00F03A26">
        <w:rPr>
          <w:rFonts w:asciiTheme="majorBidi" w:hAnsiTheme="majorBidi" w:cstheme="majorBidi"/>
          <w:i/>
          <w:lang w:val="en-GB"/>
        </w:rPr>
        <w:fldChar w:fldCharType="end"/>
      </w:r>
      <w:r w:rsidRPr="00F03A26">
        <w:rPr>
          <w:rFonts w:asciiTheme="majorBidi" w:hAnsiTheme="majorBidi" w:cstheme="majorBidi"/>
          <w:i/>
          <w:lang w:val="en-GB"/>
        </w:rPr>
        <w:t>. Ricerche storiche ed archeologiche nell’Azerbaigian iraniano</w:t>
      </w:r>
      <w:r w:rsidRPr="00F03A26">
        <w:rPr>
          <w:rFonts w:asciiTheme="majorBidi" w:hAnsiTheme="majorBidi" w:cstheme="majorBidi"/>
          <w:lang w:val="en-GB"/>
        </w:rPr>
        <w:t>, (pp. 71-76). Roma.</w:t>
      </w:r>
    </w:p>
    <w:p w14:paraId="574CBA39" w14:textId="77777777" w:rsidR="0088351C" w:rsidRPr="00F03A26" w:rsidRDefault="0088351C" w:rsidP="00F03A26">
      <w:pPr>
        <w:jc w:val="both"/>
        <w:rPr>
          <w:rFonts w:asciiTheme="majorBidi" w:hAnsiTheme="majorBidi" w:cstheme="majorBidi"/>
          <w:lang w:val="en-GB"/>
        </w:rPr>
      </w:pPr>
    </w:p>
    <w:p w14:paraId="3590F10A"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Salvini, M. (1986). Ṭušpa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
          <w:iCs/>
          <w:color w:val="000000" w:themeColor="text1"/>
          <w:lang w:val="en-GB"/>
        </w:rPr>
        <w:instrText>Ṭušpa</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die Hauptstadt von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eastAsia="Times New Roman" w:hAnsiTheme="majorBidi" w:cstheme="majorBidi"/>
          <w:color w:val="000000" w:themeColor="text1"/>
          <w:kern w:val="36"/>
          <w:lang w:val="en-GB" w:bidi="he-IL"/>
        </w:rPr>
        <w:t xml:space="preserve">In. V. Haas (Hrsg.), </w:t>
      </w:r>
      <w:r w:rsidRPr="00F03A26">
        <w:rPr>
          <w:rFonts w:asciiTheme="majorBidi" w:hAnsiTheme="majorBidi" w:cstheme="majorBidi"/>
          <w:lang w:val="en-GB"/>
        </w:rPr>
        <w:t xml:space="preserve">In V. Haas (Ed.), </w:t>
      </w:r>
      <w:r w:rsidRPr="00F03A26">
        <w:rPr>
          <w:rFonts w:asciiTheme="majorBidi" w:hAnsiTheme="majorBidi" w:cstheme="majorBidi"/>
          <w:i/>
          <w:iCs/>
          <w:lang w:val="en-GB"/>
        </w:rPr>
        <w:t>Das Reich Urartu. Ein altorientalischer Staat im 1. Jahrtausend v. Chr.</w:t>
      </w:r>
      <w:r w:rsidRPr="00F03A26">
        <w:rPr>
          <w:rFonts w:asciiTheme="majorBidi" w:eastAsia="Times New Roman" w:hAnsiTheme="majorBidi" w:cstheme="majorBidi"/>
          <w:color w:val="000000" w:themeColor="text1"/>
          <w:kern w:val="36"/>
          <w:lang w:val="en-GB" w:bidi="he-IL"/>
        </w:rPr>
        <w:t xml:space="preserve"> </w:t>
      </w:r>
      <w:r w:rsidRPr="00F03A26">
        <w:rPr>
          <w:rFonts w:asciiTheme="majorBidi" w:hAnsiTheme="majorBidi" w:cstheme="majorBidi"/>
          <w:lang w:val="en-GB"/>
        </w:rPr>
        <w:t>Xenia: Konstanzer althistorische Vorträge und Forschungen, Heft 17, Konstanzer Altorientalische-Symposien, Band I, (pp. 31-58). Konstanz: Universitätsverlag Konstanz.</w:t>
      </w:r>
    </w:p>
    <w:p w14:paraId="147BE414" w14:textId="77777777" w:rsidR="0088351C" w:rsidRPr="00F03A26" w:rsidRDefault="0088351C" w:rsidP="00F03A26">
      <w:pPr>
        <w:jc w:val="both"/>
        <w:rPr>
          <w:rFonts w:asciiTheme="majorBidi" w:hAnsiTheme="majorBidi" w:cstheme="majorBidi"/>
          <w:lang w:val="en-GB"/>
        </w:rPr>
      </w:pPr>
    </w:p>
    <w:p w14:paraId="6FE985C4"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Salvini, M. (1987-1990). </w:t>
      </w:r>
      <w:r w:rsidRPr="00F03A26">
        <w:rPr>
          <w:rFonts w:asciiTheme="majorBidi" w:hAnsiTheme="majorBidi" w:cstheme="majorBidi"/>
          <w:i/>
          <w:lang w:val="en-GB"/>
        </w:rPr>
        <w:t>Lutip/bri</w:t>
      </w:r>
      <w:r w:rsidRPr="00F03A26">
        <w:rPr>
          <w:rFonts w:asciiTheme="majorBidi" w:hAnsiTheme="majorBidi" w:cstheme="majorBidi"/>
          <w:lang w:val="en-GB"/>
        </w:rPr>
        <w:t xml:space="preserve">, </w:t>
      </w:r>
      <w:r w:rsidRPr="00F03A26">
        <w:rPr>
          <w:rFonts w:asciiTheme="majorBidi" w:hAnsiTheme="majorBidi" w:cstheme="majorBidi"/>
          <w:i/>
          <w:lang w:val="en-GB"/>
        </w:rPr>
        <w:t>Reallexikon der Assyriologie und der Vorderasiatischen Archäologie</w:t>
      </w:r>
      <w:r w:rsidRPr="00F03A26">
        <w:rPr>
          <w:rFonts w:asciiTheme="majorBidi" w:hAnsiTheme="majorBidi" w:cstheme="majorBidi"/>
          <w:lang w:val="en-GB"/>
        </w:rPr>
        <w:t xml:space="preserve"> 7, (RIA), 180.</w:t>
      </w:r>
    </w:p>
    <w:p w14:paraId="6CBD9A60" w14:textId="77777777" w:rsidR="0088351C" w:rsidRPr="00F03A26" w:rsidRDefault="0088351C" w:rsidP="00F03A26">
      <w:pPr>
        <w:jc w:val="both"/>
        <w:rPr>
          <w:rFonts w:asciiTheme="majorBidi" w:hAnsiTheme="majorBidi" w:cstheme="majorBidi"/>
          <w:lang w:val="en-GB"/>
        </w:rPr>
      </w:pPr>
    </w:p>
    <w:p w14:paraId="40D83D8D"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Salvini, M. (1994). The Historical Background of the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Monument of Meher Kapısı</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lang w:val="en-GB"/>
        </w:rPr>
        <w:instrText>Meher Kapısı</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A. Çilingiroğlu </w:t>
      </w:r>
      <w:r w:rsidRPr="00F03A26">
        <w:rPr>
          <w:rFonts w:asciiTheme="majorBidi" w:eastAsia="Times New Roman" w:hAnsiTheme="majorBidi" w:cstheme="majorBidi"/>
          <w:lang w:val="en-GB" w:eastAsia="tr-TR" w:bidi="he-IL"/>
        </w:rPr>
        <w:t>&amp;</w:t>
      </w:r>
      <w:r w:rsidRPr="00F03A26">
        <w:rPr>
          <w:rFonts w:asciiTheme="majorBidi" w:hAnsiTheme="majorBidi" w:cstheme="majorBidi"/>
          <w:lang w:val="en-GB"/>
        </w:rPr>
        <w:t xml:space="preserve"> D. H. French (Eds.) </w:t>
      </w:r>
      <w:r w:rsidRPr="00F03A26">
        <w:rPr>
          <w:rFonts w:asciiTheme="majorBidi" w:hAnsiTheme="majorBidi" w:cstheme="majorBidi"/>
          <w:i/>
          <w:iCs/>
          <w:lang w:val="en-GB"/>
        </w:rPr>
        <w:t xml:space="preserve">Anatolian Iron Ages 3. The Proceedings of the Third </w:t>
      </w:r>
      <w:r w:rsidRPr="00F03A26">
        <w:rPr>
          <w:rFonts w:asciiTheme="majorBidi" w:hAnsiTheme="majorBidi" w:cstheme="majorBidi"/>
          <w:i/>
          <w:iCs/>
          <w:lang w:val="en-GB"/>
        </w:rPr>
        <w:lastRenderedPageBreak/>
        <w:t xml:space="preserve">Anatolian Iron Ages Colloquium held at Van, 6–12 August 1990 </w:t>
      </w:r>
      <w:r w:rsidRPr="00F03A26">
        <w:rPr>
          <w:rFonts w:asciiTheme="majorBidi" w:hAnsiTheme="majorBidi" w:cstheme="majorBidi"/>
          <w:lang w:val="en-GB"/>
        </w:rPr>
        <w:t>(pp. 205-210). Ankara: British Institute of Archaeology at Ankara.</w:t>
      </w:r>
    </w:p>
    <w:p w14:paraId="42BE1A9F" w14:textId="77777777" w:rsidR="0088351C" w:rsidRPr="00F03A26" w:rsidRDefault="0088351C" w:rsidP="00F03A26">
      <w:pPr>
        <w:jc w:val="both"/>
        <w:rPr>
          <w:rFonts w:asciiTheme="majorBidi" w:hAnsiTheme="majorBidi" w:cstheme="majorBidi"/>
          <w:lang w:val="en-GB"/>
        </w:rPr>
      </w:pPr>
    </w:p>
    <w:p w14:paraId="12101BC8"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Salvini, M. (1995). </w:t>
      </w:r>
      <w:r w:rsidRPr="00F03A26">
        <w:rPr>
          <w:rFonts w:asciiTheme="majorBidi" w:hAnsiTheme="majorBidi" w:cstheme="majorBidi"/>
          <w:i/>
          <w:iCs/>
          <w:lang w:val="en-GB"/>
        </w:rPr>
        <w:t>Geschichte und Kultur der Urartäer</w:t>
      </w:r>
      <w:r w:rsidRPr="00F03A26">
        <w:rPr>
          <w:rFonts w:asciiTheme="majorBidi" w:hAnsiTheme="majorBidi" w:cstheme="majorBidi"/>
          <w:lang w:val="en-GB"/>
        </w:rPr>
        <w:t>, Darmstadt: Wissenschaftliche Buchgesellschaft.</w:t>
      </w:r>
    </w:p>
    <w:p w14:paraId="0F068F37" w14:textId="77777777" w:rsidR="0088351C" w:rsidRPr="00F03A26" w:rsidRDefault="0088351C" w:rsidP="00F03A26">
      <w:pPr>
        <w:autoSpaceDE w:val="0"/>
        <w:autoSpaceDN w:val="0"/>
        <w:adjustRightInd w:val="0"/>
        <w:spacing w:before="120" w:after="120"/>
        <w:jc w:val="both"/>
        <w:rPr>
          <w:rFonts w:asciiTheme="majorBidi" w:eastAsia="Brill-Roman" w:hAnsiTheme="majorBidi" w:cstheme="majorBidi"/>
          <w:lang w:val="en-GB"/>
        </w:rPr>
      </w:pPr>
      <w:r w:rsidRPr="00F03A26">
        <w:rPr>
          <w:rFonts w:asciiTheme="majorBidi" w:eastAsia="Brill-Roman" w:hAnsiTheme="majorBidi" w:cstheme="majorBidi"/>
          <w:lang w:val="en-GB"/>
        </w:rPr>
        <w:t>Salvini, M. (1998). The Inscription of the Urartian</w:t>
      </w:r>
      <w:r w:rsidRPr="00F03A26">
        <w:rPr>
          <w:rFonts w:asciiTheme="majorBidi" w:eastAsia="Brill-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Brill-Roman" w:hAnsiTheme="majorBidi" w:cstheme="majorBidi"/>
          <w:lang w:val="en-GB"/>
        </w:rPr>
        <w:fldChar w:fldCharType="end"/>
      </w:r>
      <w:r w:rsidRPr="00F03A26">
        <w:rPr>
          <w:rFonts w:asciiTheme="majorBidi" w:eastAsia="Brill-Roman" w:hAnsiTheme="majorBidi" w:cstheme="majorBidi"/>
          <w:lang w:val="en-GB"/>
        </w:rPr>
        <w:t xml:space="preserve"> king Rusa</w:t>
      </w:r>
      <w:r w:rsidRPr="00F03A26">
        <w:rPr>
          <w:rFonts w:asciiTheme="majorBidi" w:eastAsia="Brill-Roman" w:hAnsiTheme="majorBidi" w:cstheme="majorBidi"/>
          <w:lang w:val="en-GB"/>
        </w:rPr>
        <w:fldChar w:fldCharType="begin"/>
      </w:r>
      <w:r w:rsidRPr="00F03A26">
        <w:rPr>
          <w:rFonts w:asciiTheme="majorBidi" w:hAnsiTheme="majorBidi" w:cstheme="majorBidi"/>
          <w:lang w:val="en-GB"/>
        </w:rPr>
        <w:instrText xml:space="preserve"> XE "Rusa" </w:instrText>
      </w:r>
      <w:r w:rsidRPr="00F03A26">
        <w:rPr>
          <w:rFonts w:asciiTheme="majorBidi" w:eastAsia="Brill-Roman" w:hAnsiTheme="majorBidi" w:cstheme="majorBidi"/>
          <w:lang w:val="en-GB"/>
        </w:rPr>
        <w:fldChar w:fldCharType="end"/>
      </w:r>
      <w:r w:rsidRPr="00F03A26">
        <w:rPr>
          <w:rFonts w:asciiTheme="majorBidi" w:eastAsia="Brill-Roman" w:hAnsiTheme="majorBidi" w:cstheme="majorBidi"/>
          <w:lang w:val="en-GB"/>
        </w:rPr>
        <w:t xml:space="preserve"> II</w:t>
      </w:r>
      <w:r w:rsidRPr="00F03A26">
        <w:rPr>
          <w:rFonts w:asciiTheme="majorBidi" w:eastAsia="Brill-Roman" w:hAnsiTheme="majorBidi" w:cstheme="majorBidi"/>
          <w:lang w:val="en-GB"/>
        </w:rPr>
        <w:fldChar w:fldCharType="begin"/>
      </w:r>
      <w:r w:rsidRPr="00F03A26">
        <w:rPr>
          <w:rFonts w:asciiTheme="majorBidi" w:hAnsiTheme="majorBidi" w:cstheme="majorBidi"/>
          <w:lang w:val="en-GB"/>
        </w:rPr>
        <w:instrText xml:space="preserve"> XE "Rusa II" </w:instrText>
      </w:r>
      <w:r w:rsidRPr="00F03A26">
        <w:rPr>
          <w:rFonts w:asciiTheme="majorBidi" w:eastAsia="Brill-Roman" w:hAnsiTheme="majorBidi" w:cstheme="majorBidi"/>
          <w:lang w:val="en-GB"/>
        </w:rPr>
        <w:fldChar w:fldCharType="end"/>
      </w:r>
      <w:r w:rsidRPr="00F03A26">
        <w:rPr>
          <w:rFonts w:asciiTheme="majorBidi" w:eastAsia="Brill-Roman" w:hAnsiTheme="majorBidi" w:cstheme="majorBidi"/>
          <w:lang w:val="en-GB"/>
        </w:rPr>
        <w:t xml:space="preserve"> at Kefkalesi (Adilcevaz</w:t>
      </w:r>
      <w:r w:rsidRPr="00F03A26">
        <w:rPr>
          <w:rFonts w:asciiTheme="majorBidi" w:eastAsia="Brill-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Calibri" w:hAnsiTheme="majorBidi" w:cstheme="majorBidi"/>
          <w:lang w:val="en-GB"/>
        </w:rPr>
        <w:instrText>Adilcevaz</w:instrText>
      </w:r>
      <w:r w:rsidRPr="00F03A26">
        <w:rPr>
          <w:rFonts w:asciiTheme="majorBidi" w:hAnsiTheme="majorBidi" w:cstheme="majorBidi"/>
          <w:lang w:val="en-GB"/>
        </w:rPr>
        <w:instrText xml:space="preserve">" </w:instrText>
      </w:r>
      <w:r w:rsidRPr="00F03A26">
        <w:rPr>
          <w:rFonts w:asciiTheme="majorBidi" w:eastAsia="Brill-Roman" w:hAnsiTheme="majorBidi" w:cstheme="majorBidi"/>
          <w:lang w:val="en-GB"/>
        </w:rPr>
        <w:fldChar w:fldCharType="end"/>
      </w:r>
      <w:r w:rsidRPr="00F03A26">
        <w:rPr>
          <w:rFonts w:asciiTheme="majorBidi" w:eastAsia="Brill-Roman" w:hAnsiTheme="majorBidi" w:cstheme="majorBidi"/>
          <w:lang w:val="en-GB"/>
        </w:rPr>
        <w:t xml:space="preserve">), </w:t>
      </w:r>
      <w:r w:rsidRPr="00F03A26">
        <w:rPr>
          <w:rFonts w:asciiTheme="majorBidi" w:hAnsiTheme="majorBidi" w:cstheme="majorBidi"/>
          <w:i/>
          <w:iCs/>
          <w:lang w:val="en-GB"/>
        </w:rPr>
        <w:t>SMEA</w:t>
      </w:r>
      <w:r w:rsidRPr="00F03A26">
        <w:rPr>
          <w:rFonts w:asciiTheme="majorBidi" w:eastAsia="Brill-Italic" w:hAnsiTheme="majorBidi" w:cstheme="majorBidi"/>
          <w:i/>
          <w:iCs/>
          <w:lang w:val="en-GB"/>
        </w:rPr>
        <w:t xml:space="preserve">, </w:t>
      </w:r>
      <w:r w:rsidRPr="00F03A26">
        <w:rPr>
          <w:rFonts w:asciiTheme="majorBidi" w:eastAsia="Brill-Roman" w:hAnsiTheme="majorBidi" w:cstheme="majorBidi"/>
          <w:lang w:val="en-GB"/>
        </w:rPr>
        <w:t>40, 123–129.</w:t>
      </w:r>
    </w:p>
    <w:p w14:paraId="09B0F65E"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Salvini, M. (2001). About a New Corpus of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Inscriptions. </w:t>
      </w:r>
      <w:r w:rsidRPr="00F03A26">
        <w:rPr>
          <w:rFonts w:asciiTheme="majorBidi" w:hAnsiTheme="majorBidi" w:cstheme="majorBidi"/>
          <w:i/>
          <w:iCs/>
          <w:lang w:val="en-GB"/>
        </w:rPr>
        <w:t>SMEA</w:t>
      </w:r>
      <w:r w:rsidRPr="00F03A26">
        <w:rPr>
          <w:rFonts w:asciiTheme="majorBidi" w:hAnsiTheme="majorBidi" w:cstheme="majorBidi"/>
          <w:lang w:val="en-GB"/>
        </w:rPr>
        <w:t xml:space="preserve"> </w:t>
      </w:r>
      <w:r w:rsidRPr="00F03A26">
        <w:rPr>
          <w:rFonts w:asciiTheme="majorBidi" w:hAnsiTheme="majorBidi" w:cstheme="majorBidi"/>
          <w:bCs/>
          <w:i/>
          <w:iCs/>
          <w:lang w:val="en-GB"/>
        </w:rPr>
        <w:t>43</w:t>
      </w:r>
      <w:r w:rsidRPr="00F03A26">
        <w:rPr>
          <w:rFonts w:asciiTheme="majorBidi" w:hAnsiTheme="majorBidi" w:cstheme="majorBidi"/>
          <w:lang w:val="en-GB"/>
        </w:rPr>
        <w:t>(2), 241-267.</w:t>
      </w:r>
    </w:p>
    <w:p w14:paraId="64E82F44"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 xml:space="preserve">Salvini, M. (2001). Royal Inscriptions on Bronze Artifacts. In A. Çilingiroğlu and M. Salvini (Eds.). </w:t>
      </w:r>
      <w:r w:rsidRPr="00F03A26">
        <w:rPr>
          <w:rFonts w:asciiTheme="majorBidi" w:hAnsiTheme="majorBidi" w:cstheme="majorBidi"/>
          <w:i/>
          <w:iCs/>
          <w:lang w:val="en-GB"/>
        </w:rPr>
        <w:t>Ayanis I: Ten Years' Excavations at Rusahinili Eiduru-kai 1989-1998</w:t>
      </w:r>
      <w:r w:rsidRPr="00F03A26">
        <w:rPr>
          <w:rFonts w:asciiTheme="majorBidi" w:hAnsiTheme="majorBidi" w:cstheme="majorBidi"/>
          <w:lang w:val="en-GB"/>
        </w:rPr>
        <w:t xml:space="preserve"> (pp. 271-78), Roma: CNR, Istituto per gli Studi Micenei ed Egeo-Anatolici.</w:t>
      </w:r>
    </w:p>
    <w:p w14:paraId="3A6A299B"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Salvini, M, (2002). Una stele di Rusa III Erimenahi dalla zona di Van, </w:t>
      </w:r>
      <w:r w:rsidRPr="00F03A26">
        <w:rPr>
          <w:rFonts w:asciiTheme="majorBidi" w:hAnsiTheme="majorBidi" w:cstheme="majorBidi"/>
          <w:i/>
          <w:iCs/>
          <w:color w:val="000000" w:themeColor="text1"/>
          <w:lang w:val="en-GB"/>
        </w:rPr>
        <w:t>SMEA</w:t>
      </w:r>
      <w:r w:rsidRPr="00F03A26">
        <w:rPr>
          <w:rFonts w:asciiTheme="majorBidi" w:hAnsiTheme="majorBidi" w:cstheme="majorBidi"/>
          <w:color w:val="000000" w:themeColor="text1"/>
          <w:lang w:val="en-GB"/>
        </w:rPr>
        <w:t xml:space="preserve"> 44, 115-144.</w:t>
      </w:r>
    </w:p>
    <w:p w14:paraId="15CAFA59" w14:textId="77777777" w:rsidR="0088351C" w:rsidRPr="00F03A26" w:rsidRDefault="0088351C" w:rsidP="00F03A26">
      <w:pPr>
        <w:jc w:val="both"/>
        <w:rPr>
          <w:rFonts w:asciiTheme="majorBidi" w:hAnsiTheme="majorBidi" w:cstheme="majorBidi"/>
          <w:color w:val="000000" w:themeColor="text1"/>
          <w:lang w:val="en-GB"/>
        </w:rPr>
      </w:pPr>
    </w:p>
    <w:p w14:paraId="26F2F669"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Salvini, M. (2005). Some Considerations on Van Kalesi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A. Çilingiroğlu &amp; Gareth Darbyshire  (Eds.), </w:t>
      </w:r>
      <w:r w:rsidRPr="00F03A26">
        <w:rPr>
          <w:rFonts w:asciiTheme="majorBidi" w:hAnsiTheme="majorBidi" w:cstheme="majorBidi"/>
          <w:i/>
          <w:lang w:val="en-GB"/>
        </w:rPr>
        <w:t>Anatolian Iron Ages 5: Proceedings of the Fifth Anatolian Iron Ages Colloquium Held at Van, 6–10 August 2001</w:t>
      </w:r>
      <w:r w:rsidRPr="00F03A26">
        <w:rPr>
          <w:rFonts w:asciiTheme="majorBidi" w:hAnsiTheme="majorBidi" w:cstheme="majorBidi"/>
          <w:lang w:val="en-GB"/>
        </w:rPr>
        <w:t>, (pp. 145–156). London: British Institute at Ankara.</w:t>
      </w:r>
    </w:p>
    <w:p w14:paraId="51E3D7F6" w14:textId="77777777" w:rsidR="0088351C" w:rsidRPr="00F03A26" w:rsidRDefault="0088351C" w:rsidP="00F03A26">
      <w:pPr>
        <w:jc w:val="both"/>
        <w:rPr>
          <w:rFonts w:asciiTheme="majorBidi" w:hAnsiTheme="majorBidi" w:cstheme="majorBidi"/>
          <w:color w:val="000000" w:themeColor="text1"/>
          <w:lang w:val="en-GB"/>
        </w:rPr>
      </w:pPr>
    </w:p>
    <w:p w14:paraId="2CE0CC97"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Salvini, M. (2006). </w:t>
      </w:r>
      <w:r w:rsidRPr="00F03A26">
        <w:rPr>
          <w:rFonts w:asciiTheme="majorBidi" w:hAnsiTheme="majorBidi" w:cstheme="majorBidi"/>
          <w:i/>
          <w:iCs/>
          <w:color w:val="000000" w:themeColor="text1"/>
          <w:lang w:val="en-GB"/>
        </w:rPr>
        <w:t>Urartu</w:t>
      </w:r>
      <w:r w:rsidRPr="00F03A26">
        <w:rPr>
          <w:rFonts w:asciiTheme="majorBidi" w:hAnsiTheme="majorBidi" w:cstheme="majorBidi"/>
          <w:i/>
          <w:iCs/>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color w:val="000000" w:themeColor="text1"/>
          <w:lang w:val="en-GB"/>
        </w:rPr>
        <w:fldChar w:fldCharType="end"/>
      </w:r>
      <w:r w:rsidRPr="00F03A26">
        <w:rPr>
          <w:rFonts w:asciiTheme="majorBidi" w:hAnsiTheme="majorBidi" w:cstheme="majorBidi"/>
          <w:i/>
          <w:iCs/>
          <w:color w:val="000000" w:themeColor="text1"/>
          <w:lang w:val="en-GB"/>
        </w:rPr>
        <w:t xml:space="preserve"> Tarihi ve Kültürü</w:t>
      </w:r>
      <w:r w:rsidRPr="00F03A26">
        <w:rPr>
          <w:rFonts w:asciiTheme="majorBidi" w:hAnsiTheme="majorBidi" w:cstheme="majorBidi"/>
          <w:color w:val="000000" w:themeColor="text1"/>
          <w:lang w:val="en-GB"/>
        </w:rPr>
        <w:t xml:space="preserve"> (B. Aksoy, Trans.). İstanbul: Arkeoloji ve Sanat Yayınları. </w:t>
      </w:r>
    </w:p>
    <w:p w14:paraId="471576A0" w14:textId="77777777" w:rsidR="0088351C" w:rsidRPr="00F03A26" w:rsidRDefault="0088351C" w:rsidP="00F03A26">
      <w:pPr>
        <w:jc w:val="both"/>
        <w:rPr>
          <w:rFonts w:asciiTheme="majorBidi" w:eastAsia="Calibri" w:hAnsiTheme="majorBidi" w:cstheme="majorBidi"/>
          <w:lang w:val="en-GB"/>
        </w:rPr>
      </w:pPr>
    </w:p>
    <w:p w14:paraId="1D74B3B1"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Salvini, M. (2007a). Die urartäische Tontafel VAT 7770 aus Toprakkale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"Toprakkale"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iCs/>
          <w:lang w:val="en-GB"/>
        </w:rPr>
        <w:t>Altorientalische Forschungen, 34</w:t>
      </w:r>
      <w:r w:rsidRPr="00F03A26">
        <w:rPr>
          <w:rFonts w:asciiTheme="majorBidi" w:hAnsiTheme="majorBidi" w:cstheme="majorBidi"/>
          <w:lang w:val="en-GB"/>
        </w:rPr>
        <w:t>(1), 37-50.</w:t>
      </w:r>
    </w:p>
    <w:p w14:paraId="211E3F6E" w14:textId="77777777" w:rsidR="0088351C" w:rsidRPr="00F03A26" w:rsidRDefault="0088351C" w:rsidP="00F03A26">
      <w:pPr>
        <w:jc w:val="both"/>
        <w:rPr>
          <w:rFonts w:asciiTheme="majorBidi" w:hAnsiTheme="majorBidi" w:cstheme="majorBidi"/>
          <w:lang w:val="en-GB"/>
        </w:rPr>
      </w:pPr>
    </w:p>
    <w:p w14:paraId="2074264C" w14:textId="77777777" w:rsidR="0088351C" w:rsidRPr="00F03A26" w:rsidRDefault="0088351C" w:rsidP="00F03A26">
      <w:pPr>
        <w:spacing w:line="276" w:lineRule="auto"/>
        <w:jc w:val="both"/>
        <w:rPr>
          <w:rFonts w:asciiTheme="majorBidi" w:hAnsiTheme="majorBidi" w:cstheme="majorBidi"/>
          <w:lang w:val="en-GB"/>
        </w:rPr>
      </w:pPr>
      <w:r w:rsidRPr="00F03A26">
        <w:rPr>
          <w:rFonts w:asciiTheme="majorBidi" w:hAnsiTheme="majorBidi" w:cstheme="majorBidi"/>
          <w:lang w:val="en-GB"/>
        </w:rPr>
        <w:t>Salvini, M. (2007b). Rusa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"Rusa"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"Rusa I"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lang w:val="en-GB"/>
        </w:rPr>
        <w:t>Reallexikon der Assyriologie und der Vorderasiatischen Archäologie</w:t>
      </w:r>
      <w:r w:rsidRPr="00F03A26">
        <w:rPr>
          <w:rFonts w:asciiTheme="majorBidi" w:hAnsiTheme="majorBidi" w:cstheme="majorBidi"/>
          <w:lang w:val="en-GB"/>
        </w:rPr>
        <w:t xml:space="preserve"> 11, 3/4, (RIA), 464-466.</w:t>
      </w:r>
    </w:p>
    <w:p w14:paraId="22EDE217" w14:textId="77777777" w:rsidR="0088351C" w:rsidRPr="00F03A26" w:rsidRDefault="0088351C" w:rsidP="00F03A26">
      <w:pPr>
        <w:jc w:val="both"/>
        <w:rPr>
          <w:rFonts w:asciiTheme="majorBidi" w:hAnsiTheme="majorBidi" w:cstheme="majorBidi"/>
          <w:lang w:val="en-GB"/>
        </w:rPr>
      </w:pPr>
    </w:p>
    <w:p w14:paraId="1B0753D7" w14:textId="594B4328"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Salvini, M. (2008). </w:t>
      </w:r>
      <w:r w:rsidR="00B83FC2" w:rsidRPr="00B83FC2">
        <w:rPr>
          <w:rFonts w:ascii="Times New Roman" w:eastAsia="Times New Roman" w:hAnsi="Times New Roman" w:cs="Times New Roman"/>
          <w:i/>
          <w:iCs/>
          <w:color w:val="000000" w:themeColor="text1"/>
          <w:lang w:eastAsia="it-IT"/>
        </w:rPr>
        <w:t>Corpus dei testi urartei. Le iscrizioni su pietra e roccia</w:t>
      </w:r>
      <w:r w:rsidRPr="00B83FC2">
        <w:rPr>
          <w:rFonts w:asciiTheme="majorBidi" w:hAnsiTheme="majorBidi" w:cstheme="majorBidi"/>
          <w:i/>
          <w:color w:val="000000" w:themeColor="text1"/>
          <w:lang w:val="en-GB"/>
        </w:rPr>
        <w:t xml:space="preserve">, </w:t>
      </w:r>
      <w:r w:rsidRPr="00F03A26">
        <w:rPr>
          <w:rFonts w:asciiTheme="majorBidi" w:hAnsiTheme="majorBidi" w:cstheme="majorBidi"/>
          <w:i/>
          <w:lang w:val="en-GB"/>
        </w:rPr>
        <w:t>Vol.1-3</w:t>
      </w:r>
      <w:r w:rsidRPr="00F03A26">
        <w:rPr>
          <w:rFonts w:asciiTheme="majorBidi" w:hAnsiTheme="majorBidi" w:cstheme="majorBidi"/>
          <w:lang w:val="en-GB"/>
        </w:rPr>
        <w:t>, (CTU I-III), Roma, Documenta Asiane, CNR.</w:t>
      </w:r>
    </w:p>
    <w:p w14:paraId="03281D86" w14:textId="77777777" w:rsidR="0088351C" w:rsidRPr="00F03A26" w:rsidRDefault="0088351C" w:rsidP="00F03A26">
      <w:pPr>
        <w:jc w:val="both"/>
        <w:rPr>
          <w:rFonts w:asciiTheme="majorBidi" w:hAnsiTheme="majorBidi" w:cstheme="majorBidi"/>
          <w:lang w:val="en-GB"/>
        </w:rPr>
      </w:pPr>
    </w:p>
    <w:p w14:paraId="35015CEC"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Salvini, M. (2009). Sarduri, </w:t>
      </w:r>
      <w:r w:rsidRPr="00F03A26">
        <w:rPr>
          <w:rFonts w:asciiTheme="majorBidi" w:hAnsiTheme="majorBidi" w:cstheme="majorBidi"/>
          <w:i/>
          <w:iCs/>
          <w:lang w:val="en-GB"/>
        </w:rPr>
        <w:t>Reallexikon der Assyriologie und der Vorderasiatischen Archäologie</w:t>
      </w:r>
      <w:r w:rsidRPr="00F03A26">
        <w:rPr>
          <w:rFonts w:asciiTheme="majorBidi" w:hAnsiTheme="majorBidi" w:cstheme="majorBidi"/>
          <w:lang w:val="en-GB"/>
        </w:rPr>
        <w:t xml:space="preserve"> 12, (RIA), 1-2,  39-42.</w:t>
      </w:r>
    </w:p>
    <w:p w14:paraId="105688E8"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Salvini, M. (2009). The Eastern Provinces of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the Beginning of History in Iranian Azerbeijan. In H. Sağlamtimur, E. Abay, Z. Derin, A. Ü. Erdem, A. Batmaz, F. Dedeoğlu,  M. Erdalkıran, M. B. Baştürk, &amp; E. Konakçı (Eds.), </w:t>
      </w:r>
      <w:r w:rsidRPr="00F03A26">
        <w:rPr>
          <w:rFonts w:asciiTheme="majorBidi" w:hAnsiTheme="majorBidi" w:cstheme="majorBidi"/>
          <w:i/>
          <w:iCs/>
          <w:u w:val="single"/>
          <w:lang w:val="en-GB"/>
        </w:rPr>
        <w:t>Alt</w:t>
      </w:r>
      <w:r w:rsidRPr="00F03A26">
        <w:rPr>
          <w:rFonts w:asciiTheme="majorBidi" w:hAnsiTheme="majorBidi" w:cstheme="majorBidi"/>
          <w:i/>
          <w:iCs/>
          <w:lang w:val="en-GB"/>
        </w:rPr>
        <w:t>an Çilingiroğlu'na Armağan. Yukarı Denizin Kıyısında Urartu Krallığı'na Adanmış Bir Hayat</w:t>
      </w:r>
      <w:r w:rsidRPr="00F03A26">
        <w:rPr>
          <w:rFonts w:asciiTheme="majorBidi" w:hAnsiTheme="majorBidi" w:cstheme="majorBidi"/>
          <w:lang w:val="en-GB"/>
        </w:rPr>
        <w:t xml:space="preserve">/ </w:t>
      </w:r>
      <w:r w:rsidRPr="00F03A26">
        <w:rPr>
          <w:rFonts w:asciiTheme="majorBidi" w:hAnsiTheme="majorBidi" w:cstheme="majorBidi"/>
          <w:i/>
          <w:iCs/>
          <w:lang w:val="en-GB"/>
        </w:rPr>
        <w:t>Studies in Honour of Altan Çilingiroğlu. A Life Dedicated to Urartu on the Shores of the Upper Sea</w:t>
      </w:r>
      <w:r w:rsidRPr="00F03A26">
        <w:rPr>
          <w:rFonts w:asciiTheme="majorBidi" w:hAnsiTheme="majorBidi" w:cstheme="majorBidi"/>
          <w:lang w:val="en-GB"/>
        </w:rPr>
        <w:t xml:space="preserve"> (pp. 497-512). İstanbul: Arkeoloji ve Sanat Yayınları.</w:t>
      </w:r>
    </w:p>
    <w:p w14:paraId="62CED51E" w14:textId="45D4A7C1"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Salvini, M. (2010a). Contributo alla ricostruzione del monumento epigrafico degli Annali di Sarduri II</w:t>
      </w:r>
      <w:r w:rsidR="00C1513A">
        <w:rPr>
          <w:rFonts w:asciiTheme="majorBidi" w:hAnsiTheme="majorBidi" w:cstheme="majorBidi"/>
          <w:lang w:val="en-GB"/>
        </w:rPr>
        <w:fldChar w:fldCharType="begin"/>
      </w:r>
      <w:r w:rsidR="00C1513A">
        <w:instrText xml:space="preserve"> XE "</w:instrText>
      </w:r>
      <w:r w:rsidR="00C1513A" w:rsidRPr="00D355F0">
        <w:rPr>
          <w:rFonts w:asciiTheme="majorBidi" w:eastAsia="Times New Roman" w:hAnsiTheme="majorBidi" w:cstheme="majorBidi"/>
          <w:iCs/>
        </w:rPr>
        <w:instrText>Sarduri II</w:instrText>
      </w:r>
      <w:r w:rsidR="00C1513A">
        <w:instrText xml:space="preserve">" </w:instrText>
      </w:r>
      <w:r w:rsidR="00C1513A">
        <w:rPr>
          <w:rFonts w:asciiTheme="majorBidi" w:hAnsiTheme="majorBidi" w:cstheme="majorBidi"/>
          <w:lang w:val="en-GB"/>
        </w:rPr>
        <w:fldChar w:fldCharType="end"/>
      </w:r>
      <w:r w:rsidRPr="00F03A26">
        <w:rPr>
          <w:rFonts w:asciiTheme="majorBidi" w:hAnsiTheme="majorBidi" w:cstheme="majorBidi"/>
          <w:lang w:val="en-GB"/>
        </w:rPr>
        <w:t>, re d’Urartu, Fs. W. Mayer, “Quaderni di Vicino Oriente” V, 343-352 (+ Tavv. I-IV).</w:t>
      </w:r>
    </w:p>
    <w:p w14:paraId="33D2B984" w14:textId="77777777" w:rsidR="0088351C" w:rsidRPr="00F03A26" w:rsidRDefault="0088351C" w:rsidP="00F03A26">
      <w:pPr>
        <w:jc w:val="both"/>
        <w:rPr>
          <w:rFonts w:asciiTheme="majorBidi" w:hAnsiTheme="majorBidi" w:cstheme="majorBidi"/>
          <w:color w:val="00B0F0"/>
          <w:lang w:val="en-GB"/>
        </w:rPr>
      </w:pPr>
    </w:p>
    <w:p w14:paraId="3623B9B9" w14:textId="0FED93D0"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Salvini, M.  (2010b). Assyrien und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"Urartu" </w:instrText>
      </w:r>
      <w:r w:rsidRPr="00F03A26">
        <w:rPr>
          <w:rFonts w:asciiTheme="majorBidi" w:hAnsiTheme="majorBidi" w:cstheme="majorBidi"/>
          <w:lang w:val="en-GB"/>
        </w:rPr>
        <w:fldChar w:fldCharType="end"/>
      </w:r>
      <w:r w:rsidRPr="00F03A26">
        <w:rPr>
          <w:rFonts w:asciiTheme="majorBidi" w:hAnsiTheme="majorBidi" w:cstheme="majorBidi"/>
          <w:lang w:val="en-GB"/>
        </w:rPr>
        <w:t>,</w:t>
      </w:r>
      <w:r w:rsidR="00BA1ED3">
        <w:rPr>
          <w:rFonts w:asciiTheme="majorBidi" w:hAnsiTheme="majorBidi" w:cstheme="majorBidi"/>
          <w:lang w:val="en-GB"/>
        </w:rPr>
        <w:t xml:space="preserve"> </w:t>
      </w:r>
      <w:r w:rsidRPr="00F03A26">
        <w:rPr>
          <w:rFonts w:asciiTheme="majorBidi" w:hAnsiTheme="majorBidi" w:cstheme="majorBidi"/>
          <w:i/>
          <w:iCs/>
          <w:lang w:val="en-GB"/>
        </w:rPr>
        <w:t>Akten des Kolloquiums Assyrien</w:t>
      </w:r>
      <w:r w:rsidRPr="00F03A26">
        <w:rPr>
          <w:rFonts w:asciiTheme="majorBidi" w:hAnsiTheme="majorBidi" w:cstheme="majorBidi"/>
          <w:i/>
          <w:lang w:val="en-GB"/>
        </w:rPr>
        <w:t xml:space="preserve"> und seine Nachbarn, </w:t>
      </w:r>
      <w:r w:rsidRPr="00F03A26">
        <w:rPr>
          <w:rFonts w:asciiTheme="majorBidi" w:hAnsiTheme="majorBidi" w:cstheme="majorBidi"/>
          <w:iCs/>
          <w:lang w:val="en-GB"/>
        </w:rPr>
        <w:t>Berlin 2004</w:t>
      </w:r>
      <w:r w:rsidRPr="00F03A26">
        <w:rPr>
          <w:rFonts w:asciiTheme="majorBidi" w:hAnsiTheme="majorBidi" w:cstheme="majorBidi"/>
          <w:lang w:val="en-GB"/>
        </w:rPr>
        <w:t xml:space="preserve">, </w:t>
      </w:r>
      <w:r w:rsidRPr="00F03A26">
        <w:rPr>
          <w:rFonts w:asciiTheme="majorBidi" w:hAnsiTheme="majorBidi" w:cstheme="majorBidi"/>
          <w:i/>
          <w:iCs/>
          <w:lang w:val="en-GB"/>
        </w:rPr>
        <w:t>CDOG</w:t>
      </w:r>
      <w:r w:rsidRPr="00F03A26">
        <w:rPr>
          <w:rFonts w:asciiTheme="majorBidi" w:hAnsiTheme="majorBidi" w:cstheme="majorBidi"/>
          <w:lang w:val="en-GB"/>
        </w:rPr>
        <w:t xml:space="preserve"> 5, 187-205.</w:t>
      </w:r>
    </w:p>
    <w:p w14:paraId="1398AD99" w14:textId="77777777" w:rsidR="0088351C" w:rsidRPr="00F03A26" w:rsidRDefault="0088351C" w:rsidP="00F03A26">
      <w:pPr>
        <w:jc w:val="both"/>
        <w:rPr>
          <w:rFonts w:asciiTheme="majorBidi" w:hAnsiTheme="majorBidi" w:cstheme="majorBidi"/>
          <w:lang w:val="en-GB"/>
        </w:rPr>
      </w:pPr>
    </w:p>
    <w:p w14:paraId="634893AE" w14:textId="68D33123"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lastRenderedPageBreak/>
        <w:t>Salvini, M. (2011</w:t>
      </w:r>
      <w:r w:rsidR="00B83FC2">
        <w:rPr>
          <w:rFonts w:asciiTheme="majorBidi" w:hAnsiTheme="majorBidi" w:cstheme="majorBidi"/>
          <w:lang w:val="en-GB"/>
        </w:rPr>
        <w:t>a</w:t>
      </w:r>
      <w:r w:rsidRPr="00F03A26">
        <w:rPr>
          <w:rFonts w:asciiTheme="majorBidi" w:hAnsiTheme="majorBidi" w:cstheme="majorBidi"/>
          <w:lang w:val="en-GB"/>
        </w:rPr>
        <w:t>).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Tarihine Genel Bir Bakış /An Overview of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History. In K. Köroğlu &amp; E. Konyar (Eds.), </w:t>
      </w:r>
      <w:r w:rsidRPr="00F03A26">
        <w:rPr>
          <w:rFonts w:asciiTheme="majorBidi" w:hAnsiTheme="majorBidi" w:cstheme="majorBidi"/>
          <w:i/>
          <w:iCs/>
          <w:lang w:val="en-GB"/>
        </w:rPr>
        <w:t>Urartu: Doğu’da Değişim/Transformation in the East</w:t>
      </w:r>
      <w:r w:rsidRPr="00F03A26">
        <w:rPr>
          <w:rFonts w:asciiTheme="majorBidi" w:hAnsiTheme="majorBidi" w:cstheme="majorBidi"/>
          <w:lang w:val="en-GB"/>
        </w:rPr>
        <w:t>, ( pp. 74-10). İstanbul: Yapı Kredi Yayınları.</w:t>
      </w:r>
    </w:p>
    <w:p w14:paraId="725676E4" w14:textId="77777777" w:rsidR="0088351C" w:rsidRPr="00F03A26" w:rsidRDefault="0088351C" w:rsidP="00F03A26">
      <w:pPr>
        <w:jc w:val="both"/>
        <w:rPr>
          <w:rFonts w:asciiTheme="majorBidi" w:hAnsiTheme="majorBidi" w:cstheme="majorBidi"/>
          <w:lang w:val="en-GB"/>
        </w:rPr>
      </w:pPr>
    </w:p>
    <w:p w14:paraId="7A1BEC41" w14:textId="0910FC1C" w:rsidR="0088351C" w:rsidRPr="00F03A26" w:rsidRDefault="0088351C" w:rsidP="00F03A26">
      <w:pPr>
        <w:jc w:val="both"/>
        <w:rPr>
          <w:rFonts w:asciiTheme="majorBidi" w:eastAsia="Calibri" w:hAnsiTheme="majorBidi" w:cstheme="majorBidi"/>
          <w:lang w:val="en-GB"/>
        </w:rPr>
      </w:pPr>
      <w:r w:rsidRPr="00F03A26">
        <w:rPr>
          <w:rFonts w:asciiTheme="majorBidi" w:eastAsia="Calibri" w:hAnsiTheme="majorBidi" w:cstheme="majorBidi"/>
          <w:lang w:val="en-GB"/>
        </w:rPr>
        <w:t>Salvini, M. (2011</w:t>
      </w:r>
      <w:r w:rsidR="00B83FC2">
        <w:rPr>
          <w:rFonts w:asciiTheme="majorBidi" w:eastAsia="Calibri" w:hAnsiTheme="majorBidi" w:cstheme="majorBidi"/>
          <w:lang w:val="en-GB"/>
        </w:rPr>
        <w:t>b</w:t>
      </w:r>
      <w:r w:rsidRPr="00F03A26">
        <w:rPr>
          <w:rFonts w:asciiTheme="majorBidi" w:eastAsia="Calibri" w:hAnsiTheme="majorBidi" w:cstheme="majorBidi"/>
          <w:lang w:val="en-GB"/>
        </w:rPr>
        <w:t>). Urartu. Les sources épigraphiques de la langue (Actes colloque ‘Langues rares’, Paris, Institut Catholique, décembre 2010), “</w:t>
      </w:r>
      <w:r w:rsidRPr="00F03A26">
        <w:rPr>
          <w:rFonts w:asciiTheme="majorBidi" w:eastAsia="Calibri" w:hAnsiTheme="majorBidi" w:cstheme="majorBidi"/>
          <w:i/>
          <w:iCs/>
          <w:lang w:val="en-GB"/>
        </w:rPr>
        <w:t>Res Antiquae</w:t>
      </w:r>
      <w:r w:rsidRPr="00F03A26">
        <w:rPr>
          <w:rFonts w:asciiTheme="majorBidi" w:eastAsia="Calibri" w:hAnsiTheme="majorBidi" w:cstheme="majorBidi"/>
          <w:lang w:val="en-GB"/>
        </w:rPr>
        <w:t>”, Bruxelles, 151-173.</w:t>
      </w:r>
    </w:p>
    <w:p w14:paraId="1C437B51" w14:textId="77777777" w:rsidR="0088351C" w:rsidRPr="00F03A26" w:rsidRDefault="0088351C" w:rsidP="00F03A26">
      <w:pPr>
        <w:autoSpaceDE w:val="0"/>
        <w:autoSpaceDN w:val="0"/>
        <w:adjustRightInd w:val="0"/>
        <w:jc w:val="both"/>
        <w:rPr>
          <w:rFonts w:asciiTheme="majorBidi" w:hAnsiTheme="majorBidi" w:cstheme="majorBidi"/>
          <w:lang w:val="en-GB"/>
        </w:rPr>
      </w:pPr>
    </w:p>
    <w:p w14:paraId="63DE9616" w14:textId="47922EA2" w:rsidR="0088351C" w:rsidRPr="00F03A26" w:rsidRDefault="0088351C" w:rsidP="00F03A26">
      <w:pPr>
        <w:autoSpaceDE w:val="0"/>
        <w:autoSpaceDN w:val="0"/>
        <w:adjustRightInd w:val="0"/>
        <w:jc w:val="both"/>
        <w:rPr>
          <w:rFonts w:asciiTheme="majorBidi" w:eastAsia="Times New Roman" w:hAnsiTheme="majorBidi" w:cstheme="majorBidi"/>
          <w:lang w:val="en-GB" w:eastAsia="tr-TR"/>
        </w:rPr>
      </w:pPr>
      <w:r w:rsidRPr="00F03A26">
        <w:rPr>
          <w:rFonts w:asciiTheme="majorBidi" w:hAnsiTheme="majorBidi" w:cstheme="majorBidi"/>
          <w:lang w:val="en-GB"/>
        </w:rPr>
        <w:t xml:space="preserve">Salvini, M. (2012). </w:t>
      </w:r>
      <w:r w:rsidRPr="00F03A26">
        <w:rPr>
          <w:rFonts w:asciiTheme="majorBidi" w:eastAsia="Times New Roman" w:hAnsiTheme="majorBidi" w:cstheme="majorBidi"/>
          <w:i/>
          <w:iCs/>
          <w:lang w:val="en-GB" w:eastAsia="tr-TR"/>
        </w:rPr>
        <w:t>Corpus d</w:t>
      </w:r>
      <w:r w:rsidR="00B83FC2">
        <w:rPr>
          <w:rFonts w:asciiTheme="majorBidi" w:eastAsia="Times New Roman" w:hAnsiTheme="majorBidi" w:cstheme="majorBidi"/>
          <w:i/>
          <w:iCs/>
          <w:lang w:val="en-GB" w:eastAsia="tr-TR"/>
        </w:rPr>
        <w:t>ei</w:t>
      </w:r>
      <w:r w:rsidRPr="00F03A26">
        <w:rPr>
          <w:rFonts w:asciiTheme="majorBidi" w:eastAsia="Times New Roman" w:hAnsiTheme="majorBidi" w:cstheme="majorBidi"/>
          <w:i/>
          <w:iCs/>
          <w:lang w:val="en-GB" w:eastAsia="tr-TR"/>
        </w:rPr>
        <w:t xml:space="preserve"> testi urartei</w:t>
      </w:r>
      <w:r w:rsidRPr="00F03A26">
        <w:rPr>
          <w:rFonts w:asciiTheme="majorBidi" w:eastAsia="Times New Roman" w:hAnsiTheme="majorBidi" w:cstheme="majorBidi"/>
          <w:lang w:val="en-GB" w:eastAsia="tr-TR"/>
        </w:rPr>
        <w:t xml:space="preserve">, </w:t>
      </w:r>
      <w:r w:rsidRPr="00F03A26">
        <w:rPr>
          <w:rFonts w:asciiTheme="majorBidi" w:eastAsia="Times New Roman" w:hAnsiTheme="majorBidi" w:cstheme="majorBidi"/>
          <w:i/>
          <w:iCs/>
          <w:lang w:val="en-GB" w:eastAsia="tr-TR"/>
        </w:rPr>
        <w:t>vol. IV: Iscrizioni su bronzi, argilla e altri supporti, nuove iscrizioni su pietra, paleografia generale</w:t>
      </w:r>
      <w:r w:rsidRPr="00F03A26">
        <w:rPr>
          <w:rFonts w:asciiTheme="majorBidi" w:eastAsia="Times New Roman" w:hAnsiTheme="majorBidi" w:cstheme="majorBidi"/>
          <w:lang w:val="en-GB" w:eastAsia="tr-TR"/>
        </w:rPr>
        <w:t xml:space="preserve">, </w:t>
      </w:r>
      <w:r w:rsidRPr="00F03A26">
        <w:rPr>
          <w:rFonts w:asciiTheme="majorBidi" w:hAnsiTheme="majorBidi" w:cstheme="majorBidi"/>
          <w:lang w:val="en-GB"/>
        </w:rPr>
        <w:t xml:space="preserve">Vol. 4., (CTU.IV), </w:t>
      </w:r>
      <w:r w:rsidRPr="00F03A26">
        <w:rPr>
          <w:rFonts w:asciiTheme="majorBidi" w:eastAsia="Times New Roman" w:hAnsiTheme="majorBidi" w:cstheme="majorBidi"/>
          <w:lang w:val="en-GB" w:eastAsia="tr-TR"/>
        </w:rPr>
        <w:t xml:space="preserve">Rome, Documenta Asiana, </w:t>
      </w:r>
      <w:r w:rsidRPr="00F03A26">
        <w:rPr>
          <w:rFonts w:asciiTheme="majorBidi" w:hAnsiTheme="majorBidi" w:cstheme="majorBidi"/>
          <w:lang w:val="en-GB"/>
        </w:rPr>
        <w:t>CNR.</w:t>
      </w:r>
    </w:p>
    <w:p w14:paraId="6D30A4A7" w14:textId="77777777" w:rsidR="0088351C" w:rsidRPr="00F03A26" w:rsidRDefault="0088351C" w:rsidP="00F03A26">
      <w:pPr>
        <w:autoSpaceDE w:val="0"/>
        <w:autoSpaceDN w:val="0"/>
        <w:adjustRightInd w:val="0"/>
        <w:jc w:val="both"/>
        <w:rPr>
          <w:rFonts w:asciiTheme="majorBidi" w:eastAsia="Times New Roman" w:hAnsiTheme="majorBidi" w:cstheme="majorBidi"/>
          <w:lang w:val="en-GB" w:eastAsia="tr-TR"/>
        </w:rPr>
      </w:pPr>
    </w:p>
    <w:p w14:paraId="7E2992A0"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Salvini, M. (2014). Tušpa, </w:t>
      </w:r>
      <w:r w:rsidRPr="00F03A26">
        <w:rPr>
          <w:rFonts w:asciiTheme="majorBidi" w:hAnsiTheme="majorBidi" w:cstheme="majorBidi"/>
          <w:i/>
          <w:iCs/>
          <w:lang w:val="en-GB"/>
        </w:rPr>
        <w:t>Reallexikon der Assyriologie und der Vorderasiatischen Archäologie</w:t>
      </w:r>
      <w:r w:rsidRPr="00F03A26">
        <w:rPr>
          <w:rFonts w:asciiTheme="majorBidi" w:hAnsiTheme="majorBidi" w:cstheme="majorBidi"/>
          <w:lang w:val="en-GB"/>
        </w:rPr>
        <w:t xml:space="preserve"> 14, 3/4, (RIA), 218-222.</w:t>
      </w:r>
    </w:p>
    <w:p w14:paraId="1BEAFCFD" w14:textId="77777777" w:rsidR="0088351C" w:rsidRPr="00F03A26" w:rsidRDefault="0088351C" w:rsidP="00F03A26">
      <w:pPr>
        <w:autoSpaceDE w:val="0"/>
        <w:autoSpaceDN w:val="0"/>
        <w:adjustRightInd w:val="0"/>
        <w:jc w:val="both"/>
        <w:rPr>
          <w:rFonts w:asciiTheme="majorBidi" w:hAnsiTheme="majorBidi" w:cstheme="majorBidi"/>
          <w:lang w:val="en-GB"/>
        </w:rPr>
      </w:pPr>
    </w:p>
    <w:p w14:paraId="20F828F0"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Salvini, M. (2015). Urartu, </w:t>
      </w:r>
      <w:r w:rsidRPr="00F03A26">
        <w:rPr>
          <w:rFonts w:asciiTheme="majorBidi" w:hAnsiTheme="majorBidi" w:cstheme="majorBidi"/>
          <w:i/>
          <w:iCs/>
          <w:lang w:val="en-GB"/>
        </w:rPr>
        <w:t>Reallexikon der Assyriologie und der Vorderasiatischen Archäologie</w:t>
      </w:r>
      <w:r w:rsidRPr="00F03A26">
        <w:rPr>
          <w:rFonts w:asciiTheme="majorBidi" w:hAnsiTheme="majorBidi" w:cstheme="majorBidi"/>
          <w:lang w:val="en-GB"/>
        </w:rPr>
        <w:t xml:space="preserve"> 14, (RIA), 389-394.</w:t>
      </w:r>
    </w:p>
    <w:p w14:paraId="6B474D69" w14:textId="77777777" w:rsidR="0088351C" w:rsidRPr="00F03A26" w:rsidRDefault="0088351C" w:rsidP="00F03A26">
      <w:pPr>
        <w:autoSpaceDE w:val="0"/>
        <w:autoSpaceDN w:val="0"/>
        <w:adjustRightInd w:val="0"/>
        <w:jc w:val="both"/>
        <w:rPr>
          <w:rFonts w:asciiTheme="majorBidi" w:hAnsiTheme="majorBidi" w:cstheme="majorBidi"/>
          <w:lang w:val="en-GB"/>
        </w:rPr>
      </w:pPr>
    </w:p>
    <w:p w14:paraId="2971A743"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Salvini, M. (2017). </w:t>
      </w:r>
      <w:r w:rsidRPr="00F03A26">
        <w:rPr>
          <w:rFonts w:asciiTheme="majorBidi" w:hAnsiTheme="majorBidi" w:cstheme="majorBidi"/>
          <w:w w:val="105"/>
          <w:lang w:val="en-GB"/>
        </w:rPr>
        <w:t>Le «Voyage littéraire» de Friedrich Eduard Schulz</w:t>
      </w:r>
      <w:r w:rsidRPr="00F03A26">
        <w:rPr>
          <w:rFonts w:asciiTheme="majorBidi" w:hAnsiTheme="majorBidi" w:cstheme="majorBidi"/>
          <w:w w:val="105"/>
          <w:lang w:val="en-GB"/>
        </w:rPr>
        <w:fldChar w:fldCharType="begin"/>
      </w:r>
      <w:r w:rsidRPr="00F03A26">
        <w:rPr>
          <w:rFonts w:asciiTheme="majorBidi" w:hAnsiTheme="majorBidi" w:cstheme="majorBidi"/>
          <w:lang w:val="en-GB"/>
        </w:rPr>
        <w:instrText xml:space="preserve"> XE "Schulz" </w:instrText>
      </w:r>
      <w:r w:rsidRPr="00F03A26">
        <w:rPr>
          <w:rFonts w:asciiTheme="majorBidi" w:hAnsiTheme="majorBidi" w:cstheme="majorBidi"/>
          <w:w w:val="105"/>
          <w:lang w:val="en-GB"/>
        </w:rPr>
        <w:fldChar w:fldCharType="end"/>
      </w:r>
      <w:r w:rsidRPr="00F03A26">
        <w:rPr>
          <w:rFonts w:asciiTheme="majorBidi" w:hAnsiTheme="majorBidi" w:cstheme="majorBidi"/>
          <w:w w:val="105"/>
          <w:lang w:val="en-GB"/>
        </w:rPr>
        <w:t xml:space="preserve"> en Asie occidentale (1826–1829) et la découverte de la civilisation de l’Urartu</w:t>
      </w:r>
      <w:r w:rsidRPr="00F03A26">
        <w:rPr>
          <w:rFonts w:asciiTheme="majorBidi" w:hAnsiTheme="majorBidi" w:cstheme="majorBidi"/>
          <w:w w:val="105"/>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w w:val="105"/>
          <w:lang w:val="en-GB"/>
        </w:rPr>
        <w:fldChar w:fldCharType="end"/>
      </w:r>
      <w:r w:rsidRPr="00F03A26">
        <w:rPr>
          <w:rFonts w:asciiTheme="majorBidi" w:hAnsiTheme="majorBidi" w:cstheme="majorBidi"/>
          <w:w w:val="105"/>
          <w:lang w:val="en-GB"/>
        </w:rPr>
        <w:t>, AMIT 39, 221-256.</w:t>
      </w:r>
    </w:p>
    <w:p w14:paraId="082A8165"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61B2C12D"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Salvini, M. (2018). </w:t>
      </w:r>
      <w:r w:rsidRPr="00F03A26">
        <w:rPr>
          <w:rFonts w:asciiTheme="majorBidi" w:hAnsiTheme="majorBidi" w:cstheme="majorBidi"/>
          <w:i/>
          <w:iCs/>
          <w:lang w:val="en-GB"/>
        </w:rPr>
        <w:t>Corpus dei testi Urartei, vol. V</w:t>
      </w:r>
      <w:r w:rsidRPr="00F03A26">
        <w:rPr>
          <w:rFonts w:asciiTheme="majorBidi" w:hAnsiTheme="majorBidi" w:cstheme="majorBidi"/>
          <w:lang w:val="en-GB"/>
        </w:rPr>
        <w:t xml:space="preserve">. </w:t>
      </w:r>
      <w:r w:rsidRPr="00F03A26">
        <w:rPr>
          <w:rFonts w:asciiTheme="majorBidi" w:hAnsiTheme="majorBidi" w:cstheme="majorBidi"/>
          <w:i/>
          <w:iCs/>
          <w:lang w:val="en-GB"/>
        </w:rPr>
        <w:t xml:space="preserve">Revisione delle epigrafi e nuovi testi su pietra e roccia (CTU A). Dizionario Urarteo. Schizzo grammaticale della lingua Urartea. </w:t>
      </w:r>
      <w:r w:rsidRPr="00F03A26">
        <w:rPr>
          <w:rFonts w:asciiTheme="majorBidi" w:hAnsiTheme="majorBidi" w:cstheme="majorBidi"/>
          <w:lang w:val="en-GB"/>
        </w:rPr>
        <w:t>Paris: Éditions de Boccard,</w:t>
      </w:r>
    </w:p>
    <w:p w14:paraId="21A9D21C" w14:textId="77777777" w:rsidR="0088351C" w:rsidRPr="00F03A26" w:rsidRDefault="0088351C" w:rsidP="00F03A26">
      <w:pPr>
        <w:jc w:val="both"/>
        <w:rPr>
          <w:rFonts w:asciiTheme="majorBidi" w:hAnsiTheme="majorBidi" w:cstheme="majorBidi"/>
          <w:lang w:val="en-GB"/>
        </w:rPr>
      </w:pPr>
    </w:p>
    <w:p w14:paraId="0AEE5231"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Salvini M. (2019). The rock-cut niche of the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king Minua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"Minua"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at Ain-e Rum</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Ain-e Rum</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Iranian Azerbeijan. In Y. Hassanzadeh, Ali A. Vahdati &amp; Z. Karimi (Eds.) </w:t>
      </w:r>
      <w:r w:rsidRPr="00F03A26">
        <w:rPr>
          <w:rFonts w:asciiTheme="majorBidi" w:hAnsiTheme="majorBidi" w:cstheme="majorBidi"/>
          <w:i/>
          <w:lang w:val="en-GB"/>
        </w:rPr>
        <w:t xml:space="preserve">Proceedings of the </w:t>
      </w:r>
      <w:r w:rsidRPr="00F03A26">
        <w:rPr>
          <w:rFonts w:asciiTheme="majorBidi" w:hAnsiTheme="majorBidi" w:cstheme="majorBidi"/>
          <w:i/>
          <w:shd w:val="clear" w:color="auto" w:fill="FFFFFF"/>
          <w:lang w:val="en-GB"/>
        </w:rPr>
        <w:t>Iron Age Conference in Sanandaj, 2-3 November 2019</w:t>
      </w:r>
      <w:r w:rsidRPr="00F03A26">
        <w:rPr>
          <w:rFonts w:asciiTheme="majorBidi" w:hAnsiTheme="majorBidi" w:cstheme="majorBidi"/>
          <w:shd w:val="clear" w:color="auto" w:fill="FFFFFF"/>
          <w:lang w:val="en-GB"/>
        </w:rPr>
        <w:t>, (pp. 80-93). National Museum of Iran.</w:t>
      </w:r>
      <w:r w:rsidRPr="00F03A26">
        <w:rPr>
          <w:rFonts w:asciiTheme="majorBidi" w:hAnsiTheme="majorBidi" w:cstheme="majorBidi"/>
          <w:lang w:val="en-GB"/>
        </w:rPr>
        <w:t xml:space="preserve"> </w:t>
      </w:r>
    </w:p>
    <w:p w14:paraId="73D3E95B" w14:textId="77777777" w:rsidR="0088351C" w:rsidRPr="00F03A26" w:rsidRDefault="0088351C" w:rsidP="00F03A26">
      <w:pPr>
        <w:spacing w:before="100" w:beforeAutospacing="1" w:after="100" w:afterAutospacing="1" w:line="276" w:lineRule="auto"/>
        <w:jc w:val="both"/>
        <w:rPr>
          <w:rStyle w:val="y2iqfc"/>
          <w:rFonts w:asciiTheme="majorBidi" w:eastAsia="Arial" w:hAnsiTheme="majorBidi" w:cstheme="majorBidi"/>
          <w:color w:val="000000" w:themeColor="text1"/>
          <w:lang w:val="en-GB"/>
        </w:rPr>
      </w:pPr>
      <w:r w:rsidRPr="00F03A26">
        <w:rPr>
          <w:rStyle w:val="y2iqfc"/>
          <w:rFonts w:asciiTheme="majorBidi" w:eastAsia="Arial" w:hAnsiTheme="majorBidi" w:cstheme="majorBidi"/>
          <w:color w:val="000000" w:themeColor="text1"/>
          <w:lang w:val="en-GB"/>
        </w:rPr>
        <w:t xml:space="preserve">Salvini, M. (2021). Urartäische Präzedenzfälle für die Königsinschriften des Achämenidenreiches, In. Hg. von H. Klinkott, A. Luther und J. Wiesehöfer. </w:t>
      </w:r>
      <w:r w:rsidRPr="00F03A26">
        <w:rPr>
          <w:rStyle w:val="y2iqfc"/>
          <w:rFonts w:asciiTheme="majorBidi" w:eastAsia="Arial" w:hAnsiTheme="majorBidi" w:cstheme="majorBidi"/>
          <w:i/>
          <w:iCs/>
          <w:color w:val="000000" w:themeColor="text1"/>
          <w:lang w:val="en-GB"/>
        </w:rPr>
        <w:t>Beiträge zur Geschichte und Kultur des Alten Iran. Festschrift für Rüdiger Schmitt</w:t>
      </w:r>
      <w:r w:rsidRPr="00F03A26">
        <w:rPr>
          <w:rStyle w:val="y2iqfc"/>
          <w:rFonts w:asciiTheme="majorBidi" w:eastAsia="Arial" w:hAnsiTheme="majorBidi" w:cstheme="majorBidi"/>
          <w:color w:val="000000" w:themeColor="text1"/>
          <w:lang w:val="en-GB"/>
        </w:rPr>
        <w:t xml:space="preserve">, (pp. 225-240). Stuttgart: Franz Steiner Verlag, </w:t>
      </w:r>
    </w:p>
    <w:p w14:paraId="23AC33CF" w14:textId="58B90549" w:rsidR="0088351C" w:rsidRPr="00F03A26" w:rsidRDefault="0088351C" w:rsidP="00F03A26">
      <w:pPr>
        <w:spacing w:before="100" w:beforeAutospacing="1" w:after="100" w:afterAutospacing="1" w:line="276" w:lineRule="auto"/>
        <w:jc w:val="both"/>
        <w:rPr>
          <w:rStyle w:val="y2iqfc"/>
          <w:rFonts w:asciiTheme="majorBidi" w:eastAsia="Arial" w:hAnsiTheme="majorBidi" w:cstheme="majorBidi"/>
          <w:color w:val="000000" w:themeColor="text1"/>
          <w:lang w:val="en-GB"/>
        </w:rPr>
      </w:pPr>
      <w:r w:rsidRPr="00F03A26">
        <w:rPr>
          <w:rStyle w:val="y2iqfc"/>
          <w:rFonts w:asciiTheme="majorBidi" w:eastAsia="Arial" w:hAnsiTheme="majorBidi" w:cstheme="majorBidi"/>
          <w:color w:val="000000" w:themeColor="text1"/>
          <w:lang w:val="en-GB"/>
        </w:rPr>
        <w:t>Salvini, M. (2023). Friedrich Eduard Schulz</w:t>
      </w:r>
      <w:r w:rsidR="001F2587">
        <w:rPr>
          <w:rStyle w:val="y2iqfc"/>
          <w:rFonts w:asciiTheme="majorBidi" w:eastAsia="Arial" w:hAnsiTheme="majorBidi" w:cstheme="majorBidi"/>
          <w:color w:val="000000" w:themeColor="text1"/>
          <w:lang w:val="en-GB"/>
        </w:rPr>
        <w:fldChar w:fldCharType="begin"/>
      </w:r>
      <w:r w:rsidR="001F2587">
        <w:instrText xml:space="preserve"> XE "</w:instrText>
      </w:r>
      <w:r w:rsidR="001F2587" w:rsidRPr="009738B5">
        <w:rPr>
          <w:rFonts w:asciiTheme="majorBidi" w:hAnsiTheme="majorBidi" w:cstheme="majorBidi"/>
          <w:kern w:val="0"/>
          <w:sz w:val="22"/>
          <w:szCs w:val="22"/>
          <w:lang w:val="en-US"/>
          <w14:ligatures w14:val="none"/>
        </w:rPr>
        <w:instrText>Schulz</w:instrText>
      </w:r>
      <w:r w:rsidR="001F2587">
        <w:instrText xml:space="preserve">" </w:instrText>
      </w:r>
      <w:r w:rsidR="001F2587">
        <w:rPr>
          <w:rStyle w:val="y2iqfc"/>
          <w:rFonts w:asciiTheme="majorBidi" w:eastAsia="Arial" w:hAnsiTheme="majorBidi" w:cstheme="majorBidi"/>
          <w:color w:val="000000" w:themeColor="text1"/>
          <w:lang w:val="en-GB"/>
        </w:rPr>
        <w:fldChar w:fldCharType="end"/>
      </w:r>
      <w:r w:rsidRPr="00F03A26">
        <w:rPr>
          <w:rStyle w:val="y2iqfc"/>
          <w:rFonts w:asciiTheme="majorBidi" w:eastAsia="Arial" w:hAnsiTheme="majorBidi" w:cstheme="majorBidi"/>
          <w:color w:val="000000" w:themeColor="text1"/>
          <w:lang w:val="en-GB"/>
        </w:rPr>
        <w:t xml:space="preserve"> et les Annales d’Argišti I à Van Kalesi”, </w:t>
      </w:r>
      <w:r w:rsidRPr="00F03A26">
        <w:rPr>
          <w:rStyle w:val="y2iqfc"/>
          <w:rFonts w:asciiTheme="majorBidi" w:eastAsia="Arial" w:hAnsiTheme="majorBidi" w:cstheme="majorBidi"/>
          <w:i/>
          <w:iCs/>
          <w:color w:val="000000" w:themeColor="text1"/>
          <w:lang w:val="en-GB"/>
        </w:rPr>
        <w:t>Article in press in the Mélanges en Mémoire de Béatrice André-Salvini</w:t>
      </w:r>
      <w:r w:rsidRPr="00F03A26">
        <w:rPr>
          <w:rStyle w:val="y2iqfc"/>
          <w:rFonts w:asciiTheme="majorBidi" w:eastAsia="Arial" w:hAnsiTheme="majorBidi" w:cstheme="majorBidi"/>
          <w:color w:val="000000" w:themeColor="text1"/>
          <w:lang w:val="en-GB"/>
        </w:rPr>
        <w:t>, Oxford: Archeopress (in press).</w:t>
      </w:r>
    </w:p>
    <w:p w14:paraId="204C4752" w14:textId="76EA9304" w:rsidR="0088351C" w:rsidRPr="00F03A26" w:rsidRDefault="0088351C" w:rsidP="00F03A26">
      <w:pPr>
        <w:spacing w:before="100" w:beforeAutospacing="1" w:after="100" w:afterAutospacing="1" w:line="276" w:lineRule="auto"/>
        <w:jc w:val="both"/>
        <w:rPr>
          <w:rStyle w:val="y2iqfc"/>
          <w:rFonts w:asciiTheme="majorBidi" w:eastAsia="Arial" w:hAnsiTheme="majorBidi" w:cstheme="majorBidi"/>
          <w:color w:val="000000" w:themeColor="text1"/>
          <w:lang w:val="en-GB"/>
        </w:rPr>
      </w:pPr>
      <w:r w:rsidRPr="00F03A26">
        <w:rPr>
          <w:rStyle w:val="y2iqfc"/>
          <w:rFonts w:asciiTheme="majorBidi" w:eastAsia="Arial" w:hAnsiTheme="majorBidi" w:cstheme="majorBidi"/>
          <w:color w:val="000000" w:themeColor="text1"/>
          <w:lang w:val="en-GB"/>
        </w:rPr>
        <w:t xml:space="preserve">Salvini A.B. &amp; Salvini, M. (1992). The annals of Argišti I, notes and collations, </w:t>
      </w:r>
      <w:r w:rsidRPr="00F03A26">
        <w:rPr>
          <w:rStyle w:val="y2iqfc"/>
          <w:rFonts w:asciiTheme="majorBidi" w:eastAsia="Arial" w:hAnsiTheme="majorBidi" w:cstheme="majorBidi"/>
          <w:i/>
          <w:iCs/>
          <w:color w:val="000000" w:themeColor="text1"/>
          <w:lang w:val="en-GB"/>
        </w:rPr>
        <w:t>SMEA 30</w:t>
      </w:r>
      <w:r w:rsidRPr="00F03A26">
        <w:rPr>
          <w:rStyle w:val="y2iqfc"/>
          <w:rFonts w:asciiTheme="majorBidi" w:eastAsia="Arial" w:hAnsiTheme="majorBidi" w:cstheme="majorBidi"/>
          <w:color w:val="000000" w:themeColor="text1"/>
          <w:lang w:val="en-GB"/>
        </w:rPr>
        <w:t>, 1992, pp. 9-23 (4 tables).</w:t>
      </w:r>
    </w:p>
    <w:p w14:paraId="2958D454"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 xml:space="preserve">Salvini M., &amp; Wegner, I. (2014). </w:t>
      </w:r>
      <w:r w:rsidRPr="00F03A26">
        <w:rPr>
          <w:rFonts w:asciiTheme="majorBidi" w:hAnsiTheme="majorBidi" w:cstheme="majorBidi"/>
          <w:i/>
          <w:iCs/>
          <w:lang w:val="en-GB"/>
        </w:rPr>
        <w:t>Einführung in die urartäische Sprache</w:t>
      </w:r>
      <w:r w:rsidRPr="00F03A26">
        <w:rPr>
          <w:rFonts w:asciiTheme="majorBidi" w:hAnsiTheme="majorBidi" w:cstheme="majorBidi"/>
          <w:lang w:val="en-GB"/>
        </w:rPr>
        <w:t>. Wiesbaden: Harrassowitz Verlag.</w:t>
      </w:r>
    </w:p>
    <w:p w14:paraId="4FD6758E"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Sandalgian, J. (1900). </w:t>
      </w:r>
      <w:r w:rsidRPr="00F03A26">
        <w:rPr>
          <w:rFonts w:asciiTheme="majorBidi" w:hAnsiTheme="majorBidi" w:cstheme="majorBidi"/>
          <w:i/>
          <w:iCs/>
          <w:szCs w:val="24"/>
          <w:lang w:val="en-GB"/>
        </w:rPr>
        <w:t>Les inscriptions cunéformes uratiques transcrites avec une triple traduction interlinéaire en arménien classique, en latin et en français, suivies d'un glossaire et d'une grammaire</w:t>
      </w:r>
      <w:r w:rsidRPr="00F03A26">
        <w:rPr>
          <w:rFonts w:asciiTheme="majorBidi" w:hAnsiTheme="majorBidi" w:cstheme="majorBidi"/>
          <w:szCs w:val="24"/>
          <w:lang w:val="en-GB"/>
        </w:rPr>
        <w:t>. Venise (Ile de St-Lazare): Imprimerie-librairie des PP. Mékhitharistes.</w:t>
      </w:r>
    </w:p>
    <w:p w14:paraId="716896A9"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Sayce, A. H. (1894). The Cuneiform Inscriptions of Van. Part V. </w:t>
      </w:r>
      <w:r w:rsidRPr="00F03A26">
        <w:rPr>
          <w:rFonts w:asciiTheme="majorBidi" w:hAnsiTheme="majorBidi" w:cstheme="majorBidi"/>
          <w:i/>
          <w:iCs/>
          <w:szCs w:val="24"/>
          <w:lang w:val="en-GB"/>
        </w:rPr>
        <w:t>Journal of the Royal Asiatic Society of Great Britain and Ireland</w:t>
      </w:r>
      <w:r w:rsidRPr="00F03A26">
        <w:rPr>
          <w:rFonts w:asciiTheme="majorBidi" w:hAnsiTheme="majorBidi" w:cstheme="majorBidi"/>
          <w:szCs w:val="24"/>
          <w:lang w:val="en-GB"/>
        </w:rPr>
        <w:t>, 26, 691-732.</w:t>
      </w:r>
    </w:p>
    <w:p w14:paraId="5468B593"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lastRenderedPageBreak/>
        <w:t xml:space="preserve">Schachner, A. (2012). Assyriens Herrschaft im Norden. Eine Stele aus İdil im südöstlichen Tur Abdin. In M. D. Roaf, H. Baker, K. Kaniuth </w:t>
      </w:r>
      <w:r w:rsidRPr="00F03A26">
        <w:rPr>
          <w:rFonts w:asciiTheme="majorBidi" w:eastAsia="Times New Roman" w:hAnsiTheme="majorBidi" w:cstheme="majorBidi"/>
          <w:lang w:val="en-GB" w:eastAsia="tr-TR" w:bidi="he-IL"/>
        </w:rPr>
        <w:t xml:space="preserve">&amp; </w:t>
      </w:r>
      <w:r w:rsidRPr="00F03A26">
        <w:rPr>
          <w:rFonts w:asciiTheme="majorBidi" w:hAnsiTheme="majorBidi" w:cstheme="majorBidi"/>
          <w:lang w:val="en-GB"/>
        </w:rPr>
        <w:t xml:space="preserve">A. Otto (Eds.), </w:t>
      </w:r>
      <w:r w:rsidRPr="00F03A26">
        <w:rPr>
          <w:rFonts w:asciiTheme="majorBidi" w:hAnsiTheme="majorBidi" w:cstheme="majorBidi"/>
          <w:i/>
          <w:iCs/>
          <w:lang w:val="en-GB"/>
        </w:rPr>
        <w:t>Stories of long ago. Festschrift für Michael D. Roaf</w:t>
      </w:r>
      <w:r w:rsidRPr="00F03A26">
        <w:rPr>
          <w:rFonts w:asciiTheme="majorBidi" w:hAnsiTheme="majorBidi" w:cstheme="majorBidi"/>
          <w:lang w:val="en-GB"/>
        </w:rPr>
        <w:t>, (pp. 595-614.). Münster: Alter Orient und Altes Testament 397.</w:t>
      </w:r>
    </w:p>
    <w:p w14:paraId="500A9CB2"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422A3FC4"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Schmitt, R. (2009). </w:t>
      </w:r>
      <w:r w:rsidRPr="00F03A26">
        <w:rPr>
          <w:rFonts w:asciiTheme="majorBidi" w:hAnsiTheme="majorBidi" w:cstheme="majorBidi"/>
          <w:i/>
          <w:iCs/>
          <w:color w:val="000000" w:themeColor="text1"/>
          <w:lang w:val="en-GB"/>
        </w:rPr>
        <w:t>Die altpersischen Inschriften der Achaimeniden</w:t>
      </w:r>
      <w:r w:rsidRPr="00F03A26">
        <w:rPr>
          <w:rFonts w:asciiTheme="majorBidi" w:hAnsiTheme="majorBidi" w:cstheme="majorBidi"/>
          <w:color w:val="000000" w:themeColor="text1"/>
          <w:lang w:val="en-GB"/>
        </w:rPr>
        <w:t>, Wiesbaden.</w:t>
      </w:r>
    </w:p>
    <w:p w14:paraId="69DD19A4"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622DA7CE" w14:textId="5C23A2BB"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Schulz</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"Schulz"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F.E. (1840). Memoire sur le lac de Van et ses environs, </w:t>
      </w:r>
      <w:r w:rsidRPr="00F03A26">
        <w:rPr>
          <w:rFonts w:asciiTheme="majorBidi" w:hAnsiTheme="majorBidi" w:cstheme="majorBidi"/>
          <w:i/>
          <w:iCs/>
          <w:color w:val="000000" w:themeColor="text1"/>
          <w:lang w:val="en-GB"/>
        </w:rPr>
        <w:t>Journal Asiatique</w:t>
      </w:r>
      <w:r w:rsidRPr="00F03A26">
        <w:rPr>
          <w:rFonts w:asciiTheme="majorBidi" w:hAnsiTheme="majorBidi" w:cstheme="majorBidi"/>
          <w:color w:val="000000" w:themeColor="text1"/>
          <w:lang w:val="en-GB"/>
        </w:rPr>
        <w:t>, 3/9: 257-323.</w:t>
      </w:r>
    </w:p>
    <w:p w14:paraId="0C8B7403"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 xml:space="preserve"> </w:t>
      </w:r>
    </w:p>
    <w:p w14:paraId="5CEE5953" w14:textId="77777777" w:rsidR="0088351C" w:rsidRPr="00F03A26" w:rsidRDefault="0088351C" w:rsidP="00F03A26">
      <w:pPr>
        <w:autoSpaceDE w:val="0"/>
        <w:autoSpaceDN w:val="0"/>
        <w:adjustRightInd w:val="0"/>
        <w:spacing w:before="120" w:after="120"/>
        <w:jc w:val="both"/>
        <w:rPr>
          <w:rFonts w:asciiTheme="majorBidi" w:eastAsia="Brill-Roman" w:hAnsiTheme="majorBidi" w:cstheme="majorBidi"/>
          <w:lang w:val="en-GB"/>
        </w:rPr>
      </w:pPr>
      <w:r w:rsidRPr="00F03A26">
        <w:rPr>
          <w:rFonts w:asciiTheme="majorBidi" w:hAnsiTheme="majorBidi" w:cstheme="majorBidi"/>
          <w:lang w:val="en-GB"/>
        </w:rPr>
        <w:t xml:space="preserve">Seidl, U. (1979). </w:t>
      </w:r>
      <w:r w:rsidRPr="00F03A26">
        <w:rPr>
          <w:rFonts w:asciiTheme="majorBidi" w:eastAsia="Brill-Roman" w:hAnsiTheme="majorBidi" w:cstheme="majorBidi"/>
          <w:lang w:val="en-GB"/>
        </w:rPr>
        <w:t xml:space="preserve">Die Siegelbilder. In Kleiss, W. (Ed.), </w:t>
      </w:r>
      <w:r w:rsidRPr="00F03A26">
        <w:rPr>
          <w:rFonts w:asciiTheme="majorBidi" w:eastAsia="Brill-Italic" w:hAnsiTheme="majorBidi" w:cstheme="majorBidi"/>
          <w:i/>
          <w:iCs/>
          <w:lang w:val="en-GB"/>
        </w:rPr>
        <w:t>Bastam</w:t>
      </w:r>
      <w:r w:rsidRPr="00F03A26">
        <w:rPr>
          <w:rFonts w:asciiTheme="majorBidi" w:eastAsia="Brill-Italic" w:hAnsiTheme="majorBidi" w:cstheme="majorBidi"/>
          <w:i/>
          <w:iCs/>
          <w:lang w:val="en-GB"/>
        </w:rPr>
        <w:fldChar w:fldCharType="begin"/>
      </w:r>
      <w:r w:rsidRPr="00F03A26">
        <w:rPr>
          <w:rFonts w:asciiTheme="majorBidi" w:hAnsiTheme="majorBidi" w:cstheme="majorBidi"/>
          <w:lang w:val="en-GB"/>
        </w:rPr>
        <w:instrText xml:space="preserve"> XE "Bastam" </w:instrText>
      </w:r>
      <w:r w:rsidRPr="00F03A26">
        <w:rPr>
          <w:rFonts w:asciiTheme="majorBidi" w:eastAsia="Brill-Italic" w:hAnsiTheme="majorBidi" w:cstheme="majorBidi"/>
          <w:i/>
          <w:iCs/>
          <w:lang w:val="en-GB"/>
        </w:rPr>
        <w:fldChar w:fldCharType="end"/>
      </w:r>
      <w:r w:rsidRPr="00F03A26">
        <w:rPr>
          <w:rFonts w:asciiTheme="majorBidi" w:eastAsia="Brill-Italic" w:hAnsiTheme="majorBidi" w:cstheme="majorBidi"/>
          <w:i/>
          <w:iCs/>
          <w:lang w:val="en-GB"/>
        </w:rPr>
        <w:t xml:space="preserve"> I: Ausgrabungen in den Urartaischen Anlagen 1972-1975 </w:t>
      </w:r>
      <w:r w:rsidRPr="00F03A26">
        <w:rPr>
          <w:rFonts w:asciiTheme="majorBidi" w:eastAsia="Brill-Italic" w:hAnsiTheme="majorBidi" w:cstheme="majorBidi"/>
          <w:lang w:val="en-GB"/>
        </w:rPr>
        <w:t xml:space="preserve">(pp. </w:t>
      </w:r>
      <w:r w:rsidRPr="00F03A26">
        <w:rPr>
          <w:rFonts w:asciiTheme="majorBidi" w:eastAsia="Brill-Roman" w:hAnsiTheme="majorBidi" w:cstheme="majorBidi"/>
          <w:lang w:val="en-GB"/>
        </w:rPr>
        <w:t>137–149</w:t>
      </w:r>
      <w:r w:rsidRPr="00F03A26">
        <w:rPr>
          <w:rFonts w:asciiTheme="majorBidi" w:eastAsia="Brill-Italic" w:hAnsiTheme="majorBidi" w:cstheme="majorBidi"/>
          <w:lang w:val="en-GB"/>
        </w:rPr>
        <w:t xml:space="preserve">). </w:t>
      </w:r>
      <w:r w:rsidRPr="00F03A26">
        <w:rPr>
          <w:rFonts w:asciiTheme="majorBidi" w:eastAsia="Brill-Roman" w:hAnsiTheme="majorBidi" w:cstheme="majorBidi"/>
          <w:lang w:val="en-GB"/>
        </w:rPr>
        <w:t>Berlin: Gebr. Mann Verlag.</w:t>
      </w:r>
    </w:p>
    <w:p w14:paraId="3EE5B4DF"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Seidl, U. (1993). Urartaische Bauskulpturen. In M. J. Mellink, E. Porada </w:t>
      </w:r>
      <w:r w:rsidRPr="00F03A26">
        <w:rPr>
          <w:rFonts w:asciiTheme="majorBidi" w:eastAsia="Times New Roman" w:hAnsiTheme="majorBidi" w:cstheme="majorBidi"/>
          <w:lang w:val="en-GB" w:eastAsia="tr-TR" w:bidi="he-IL"/>
        </w:rPr>
        <w:t>&amp;</w:t>
      </w:r>
      <w:r w:rsidRPr="00F03A26">
        <w:rPr>
          <w:rFonts w:asciiTheme="majorBidi" w:hAnsiTheme="majorBidi" w:cstheme="majorBidi"/>
          <w:lang w:val="en-GB"/>
        </w:rPr>
        <w:t xml:space="preserve"> T. Özgüç (Eds.) </w:t>
      </w:r>
      <w:r w:rsidRPr="00F03A26">
        <w:rPr>
          <w:rFonts w:asciiTheme="majorBidi" w:hAnsiTheme="majorBidi" w:cstheme="majorBidi"/>
          <w:i/>
          <w:iCs/>
          <w:lang w:val="en-GB"/>
        </w:rPr>
        <w:t>Aspects of Art and Iconography: Anatolia and its Neighbors. Studies in Honor of Nimet Özgüç</w:t>
      </w:r>
      <w:r w:rsidRPr="00F03A26">
        <w:rPr>
          <w:rFonts w:asciiTheme="majorBidi" w:hAnsiTheme="majorBidi" w:cstheme="majorBidi"/>
          <w:lang w:val="en-GB"/>
        </w:rPr>
        <w:t xml:space="preserve"> (557-564). Ankara: Türk Tarih Kurumu.</w:t>
      </w:r>
    </w:p>
    <w:p w14:paraId="0D58A22F"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Sevin, V. (1980). Van Kalesi</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hAnsiTheme="majorBidi" w:cstheme="majorBidi"/>
          <w:lang w:val="en-GB"/>
        </w:rPr>
        <w:fldChar w:fldCharType="end"/>
      </w:r>
      <w:r w:rsidRPr="00F03A26">
        <w:rPr>
          <w:rFonts w:asciiTheme="majorBidi" w:hAnsiTheme="majorBidi" w:cstheme="majorBidi"/>
          <w:lang w:val="en-GB"/>
        </w:rPr>
        <w:t>'nden Bir Kaya Mezarı ve Urartular'da Ölü Yakma Geleneği/A Rock Cut Columbarium from Van Kale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color w:val="202124"/>
          <w:lang w:val="en-GB"/>
        </w:rPr>
        <w:instrText>Van Kale</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and the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Cremation Rite. </w:t>
      </w:r>
      <w:r w:rsidRPr="00F03A26">
        <w:rPr>
          <w:rFonts w:asciiTheme="majorBidi" w:hAnsiTheme="majorBidi" w:cstheme="majorBidi"/>
          <w:i/>
          <w:iCs/>
          <w:lang w:val="en-GB"/>
        </w:rPr>
        <w:t>Anadolu Araştırmaları, 8</w:t>
      </w:r>
      <w:r w:rsidRPr="00F03A26">
        <w:rPr>
          <w:rFonts w:asciiTheme="majorBidi" w:hAnsiTheme="majorBidi" w:cstheme="majorBidi"/>
          <w:lang w:val="en-GB"/>
        </w:rPr>
        <w:t>, 151-166.</w:t>
      </w:r>
    </w:p>
    <w:p w14:paraId="1C52B061"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Sevin, V. (1987).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Oda-Mezar Mimarisinin Kökeni Üzerine Bazı Gözlemler. In A. Çilingiroğlu (Ed.), </w:t>
      </w:r>
      <w:r w:rsidRPr="00F03A26">
        <w:rPr>
          <w:rFonts w:asciiTheme="majorBidi" w:hAnsiTheme="majorBidi" w:cstheme="majorBidi"/>
          <w:i/>
          <w:iCs/>
          <w:lang w:val="en-GB"/>
        </w:rPr>
        <w:t>Anadolu Demir Çağları. Anatolian Iron Ages. Papers presented to the I. Anatolian Iron Ages Symposium, Izmir during 24th - 27th April 1984.</w:t>
      </w:r>
      <w:r w:rsidRPr="00F03A26">
        <w:rPr>
          <w:rFonts w:asciiTheme="majorBidi" w:hAnsiTheme="majorBidi" w:cstheme="majorBidi"/>
          <w:lang w:val="en-GB"/>
        </w:rPr>
        <w:t xml:space="preserve"> (pp. 35-55). Izmir: Ege Üniversitesi Edebiyat Fakültesi.</w:t>
      </w:r>
    </w:p>
    <w:p w14:paraId="2B4541C5"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Sevin, V. (1994). Three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Rock-Cut Tombs from Palu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"Palu"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w:t>
      </w:r>
      <w:r w:rsidRPr="00F03A26">
        <w:rPr>
          <w:rFonts w:asciiTheme="majorBidi" w:hAnsiTheme="majorBidi" w:cstheme="majorBidi"/>
          <w:i/>
          <w:iCs/>
          <w:lang w:val="en-GB"/>
        </w:rPr>
        <w:t>Tel Aviv</w:t>
      </w:r>
      <w:r w:rsidRPr="00F03A26">
        <w:rPr>
          <w:rFonts w:asciiTheme="majorBidi" w:hAnsiTheme="majorBidi" w:cstheme="majorBidi"/>
          <w:lang w:val="en-GB"/>
        </w:rPr>
        <w:t xml:space="preserve"> </w:t>
      </w:r>
      <w:r w:rsidRPr="00F03A26">
        <w:rPr>
          <w:rFonts w:asciiTheme="majorBidi" w:hAnsiTheme="majorBidi" w:cstheme="majorBidi"/>
          <w:i/>
          <w:iCs/>
          <w:lang w:val="en-GB"/>
        </w:rPr>
        <w:t>21</w:t>
      </w:r>
      <w:r w:rsidRPr="00F03A26">
        <w:rPr>
          <w:rFonts w:asciiTheme="majorBidi" w:hAnsiTheme="majorBidi" w:cstheme="majorBidi"/>
          <w:lang w:val="en-GB"/>
        </w:rPr>
        <w:t>(1), 58-67.</w:t>
      </w:r>
    </w:p>
    <w:p w14:paraId="1AF8F5D0"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Sevin, V. (2006). A Comment on the so-called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Capital City of Toprak Kale, </w:t>
      </w:r>
      <w:r w:rsidRPr="00F03A26">
        <w:rPr>
          <w:rFonts w:asciiTheme="majorBidi" w:hAnsiTheme="majorBidi" w:cstheme="majorBidi"/>
          <w:i/>
          <w:iCs/>
          <w:lang w:val="en-GB"/>
        </w:rPr>
        <w:t>AJNES (ARAMAZD)</w:t>
      </w:r>
      <w:r w:rsidRPr="00F03A26">
        <w:rPr>
          <w:rFonts w:asciiTheme="majorBidi" w:hAnsiTheme="majorBidi" w:cstheme="majorBidi"/>
          <w:lang w:val="en-GB"/>
        </w:rPr>
        <w:t xml:space="preserve">, </w:t>
      </w:r>
      <w:r w:rsidRPr="00F03A26">
        <w:rPr>
          <w:rFonts w:asciiTheme="majorBidi" w:hAnsiTheme="majorBidi" w:cstheme="majorBidi"/>
          <w:i/>
          <w:iCs/>
          <w:lang w:val="en-GB"/>
        </w:rPr>
        <w:t xml:space="preserve">Vol. I, </w:t>
      </w:r>
      <w:r w:rsidRPr="00F03A26">
        <w:rPr>
          <w:rFonts w:asciiTheme="majorBidi" w:hAnsiTheme="majorBidi" w:cstheme="majorBidi"/>
          <w:lang w:val="en-GB"/>
        </w:rPr>
        <w:t xml:space="preserve">143-149. </w:t>
      </w:r>
    </w:p>
    <w:p w14:paraId="5BFAFED5"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 xml:space="preserve">Sevin, V. (2012a). </w:t>
      </w:r>
      <w:r w:rsidRPr="00F03A26">
        <w:rPr>
          <w:rFonts w:asciiTheme="majorBidi" w:hAnsiTheme="majorBidi" w:cstheme="majorBidi"/>
          <w:i/>
          <w:iCs/>
          <w:lang w:val="en-GB"/>
        </w:rPr>
        <w:t>Van Kalesi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"Van Kalesi"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Kral Mezarları ve Altıntepe</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"Altıntepe"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Halk Mezarlığı</w:t>
      </w:r>
      <w:r w:rsidRPr="00F03A26">
        <w:rPr>
          <w:rFonts w:asciiTheme="majorBidi" w:hAnsiTheme="majorBidi" w:cstheme="majorBidi"/>
          <w:lang w:val="en-GB"/>
        </w:rPr>
        <w:t xml:space="preserve">. İstanbul: Ege Yayınları. </w:t>
      </w:r>
    </w:p>
    <w:p w14:paraId="470F1C27"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hAnsiTheme="majorBidi" w:cstheme="majorBidi"/>
          <w:lang w:val="en-GB"/>
        </w:rPr>
        <w:t>Sevin, V. (2012b). Van Bölgesinde Post-Urartu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Dönemi: Yıkıntılar Üzerinde Yeni Bir Yaşam. </w:t>
      </w:r>
      <w:r w:rsidRPr="00F03A26">
        <w:rPr>
          <w:rFonts w:asciiTheme="majorBidi" w:hAnsiTheme="majorBidi" w:cstheme="majorBidi"/>
          <w:i/>
          <w:iCs/>
          <w:lang w:val="en-GB"/>
        </w:rPr>
        <w:t>Belleten, LXXV-276</w:t>
      </w:r>
      <w:r w:rsidRPr="00F03A26">
        <w:rPr>
          <w:rFonts w:asciiTheme="majorBidi" w:hAnsiTheme="majorBidi" w:cstheme="majorBidi"/>
          <w:lang w:val="en-GB"/>
        </w:rPr>
        <w:t xml:space="preserve">, 353-370. </w:t>
      </w:r>
    </w:p>
    <w:p w14:paraId="29B7D7CA"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Sevin, V. (2015)</w:t>
      </w:r>
      <w:r w:rsidRPr="00F03A26">
        <w:rPr>
          <w:rFonts w:asciiTheme="majorBidi" w:hAnsiTheme="majorBidi" w:cstheme="majorBidi"/>
          <w:i/>
          <w:sz w:val="24"/>
          <w:szCs w:val="24"/>
          <w:lang w:val="en-GB"/>
        </w:rPr>
        <w:t>. Hakkari Taşları II: Gizemin Peşinde.</w:t>
      </w:r>
      <w:r w:rsidRPr="00F03A26">
        <w:rPr>
          <w:rFonts w:asciiTheme="majorBidi" w:hAnsiTheme="majorBidi" w:cstheme="majorBidi"/>
          <w:sz w:val="24"/>
          <w:szCs w:val="24"/>
          <w:lang w:val="en-GB"/>
        </w:rPr>
        <w:t xml:space="preserve"> Ankara: Türk Tarih Kurumu.</w:t>
      </w:r>
    </w:p>
    <w:p w14:paraId="0CDE2F23" w14:textId="77777777" w:rsidR="0088351C" w:rsidRPr="00F03A26" w:rsidRDefault="0088351C" w:rsidP="00F03A26">
      <w:pPr>
        <w:autoSpaceDE w:val="0"/>
        <w:autoSpaceDN w:val="0"/>
        <w:adjustRightInd w:val="0"/>
        <w:jc w:val="both"/>
        <w:rPr>
          <w:rFonts w:asciiTheme="majorBidi" w:eastAsia="Times New Roman" w:hAnsiTheme="majorBidi" w:cstheme="majorBidi"/>
          <w:lang w:val="en-GB"/>
        </w:rPr>
      </w:pPr>
      <w:r w:rsidRPr="00F03A26">
        <w:rPr>
          <w:rFonts w:asciiTheme="majorBidi" w:eastAsia="Times New Roman" w:hAnsiTheme="majorBidi" w:cstheme="majorBidi"/>
          <w:lang w:val="en-GB"/>
        </w:rPr>
        <w:t>Sevin, V., &amp; Belli, O. (1977). Urartian</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Sacred Area and Fortress at Yeşilalıç</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"Yeşilalıç"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w:t>
      </w:r>
      <w:r w:rsidRPr="00F03A26">
        <w:rPr>
          <w:rFonts w:asciiTheme="majorBidi" w:eastAsia="Times New Roman" w:hAnsiTheme="majorBidi" w:cstheme="majorBidi"/>
          <w:i/>
          <w:lang w:val="en-GB"/>
        </w:rPr>
        <w:t xml:space="preserve">Anadolu Araştırmaları </w:t>
      </w:r>
      <w:r w:rsidRPr="00F03A26">
        <w:rPr>
          <w:rFonts w:asciiTheme="majorBidi" w:eastAsia="Times New Roman" w:hAnsiTheme="majorBidi" w:cstheme="majorBidi"/>
          <w:lang w:val="en-GB"/>
        </w:rPr>
        <w:t>IV–V: 367–393.</w:t>
      </w:r>
    </w:p>
    <w:p w14:paraId="42C30185" w14:textId="77777777" w:rsidR="0088351C" w:rsidRPr="00F03A26" w:rsidRDefault="0088351C" w:rsidP="00F03A26">
      <w:pPr>
        <w:pStyle w:val="AklamaMetni"/>
        <w:spacing w:before="100" w:beforeAutospacing="1" w:after="100" w:afterAutospacing="1"/>
        <w:jc w:val="both"/>
        <w:rPr>
          <w:rFonts w:asciiTheme="majorBidi" w:hAnsiTheme="majorBidi" w:cstheme="majorBidi"/>
          <w:sz w:val="24"/>
          <w:szCs w:val="24"/>
          <w:lang w:val="en-GB"/>
        </w:rPr>
      </w:pPr>
      <w:r w:rsidRPr="00F03A26">
        <w:rPr>
          <w:rFonts w:asciiTheme="majorBidi" w:hAnsiTheme="majorBidi" w:cstheme="majorBidi"/>
          <w:sz w:val="24"/>
          <w:szCs w:val="24"/>
          <w:lang w:val="en-GB"/>
        </w:rPr>
        <w:t>Sevin, V., &amp; Kavaklı, E. (1996a). Van/Karagündüz</w:t>
      </w:r>
      <w:r w:rsidRPr="00F03A26">
        <w:rPr>
          <w:rFonts w:asciiTheme="majorBidi" w:hAnsiTheme="majorBidi" w:cstheme="majorBidi"/>
          <w:sz w:val="24"/>
          <w:szCs w:val="24"/>
          <w:lang w:val="en-GB"/>
        </w:rPr>
        <w:fldChar w:fldCharType="begin"/>
      </w:r>
      <w:r w:rsidRPr="00F03A26">
        <w:rPr>
          <w:rFonts w:asciiTheme="majorBidi" w:hAnsiTheme="majorBidi" w:cstheme="majorBidi"/>
          <w:lang w:val="en-GB"/>
        </w:rPr>
        <w:instrText xml:space="preserve"> XE "Karagündüz" </w:instrText>
      </w:r>
      <w:r w:rsidRPr="00F03A26">
        <w:rPr>
          <w:rFonts w:asciiTheme="majorBidi" w:hAnsiTheme="majorBidi" w:cstheme="majorBidi"/>
          <w:sz w:val="24"/>
          <w:szCs w:val="24"/>
          <w:lang w:val="en-GB"/>
        </w:rPr>
        <w:fldChar w:fldCharType="end"/>
      </w:r>
      <w:r w:rsidRPr="00F03A26">
        <w:rPr>
          <w:rFonts w:asciiTheme="majorBidi" w:hAnsiTheme="majorBidi" w:cstheme="majorBidi"/>
          <w:sz w:val="24"/>
          <w:szCs w:val="24"/>
          <w:lang w:val="en-GB"/>
        </w:rPr>
        <w:t xml:space="preserve"> Erken Demir Çağı Nekropolü. </w:t>
      </w:r>
      <w:r w:rsidRPr="00F03A26">
        <w:rPr>
          <w:rFonts w:asciiTheme="majorBidi" w:hAnsiTheme="majorBidi" w:cstheme="majorBidi"/>
          <w:i/>
          <w:iCs/>
          <w:sz w:val="24"/>
          <w:szCs w:val="24"/>
          <w:lang w:val="en-GB"/>
        </w:rPr>
        <w:t xml:space="preserve">Belleten </w:t>
      </w:r>
      <w:r w:rsidRPr="00F03A26">
        <w:rPr>
          <w:rFonts w:asciiTheme="majorBidi" w:hAnsiTheme="majorBidi" w:cstheme="majorBidi"/>
          <w:sz w:val="24"/>
          <w:szCs w:val="24"/>
          <w:lang w:val="en-GB"/>
        </w:rPr>
        <w:t>227, 1-20.</w:t>
      </w:r>
    </w:p>
    <w:p w14:paraId="4E1E20CF" w14:textId="77777777" w:rsidR="0088351C" w:rsidRPr="00F03A26" w:rsidRDefault="0088351C" w:rsidP="00F03A26">
      <w:pPr>
        <w:autoSpaceDE w:val="0"/>
        <w:autoSpaceDN w:val="0"/>
        <w:adjustRightInd w:val="0"/>
        <w:jc w:val="both"/>
        <w:rPr>
          <w:rFonts w:asciiTheme="majorBidi" w:eastAsia="Times New Roman" w:hAnsiTheme="majorBidi" w:cstheme="majorBidi"/>
          <w:lang w:val="en-GB"/>
        </w:rPr>
      </w:pPr>
      <w:r w:rsidRPr="00F03A26">
        <w:rPr>
          <w:rFonts w:asciiTheme="majorBidi" w:eastAsia="Times New Roman" w:hAnsiTheme="majorBidi" w:cstheme="majorBidi"/>
          <w:lang w:val="en-GB"/>
        </w:rPr>
        <w:t xml:space="preserve">Sevin, V., &amp; Kavaklı, E. (1996b). </w:t>
      </w:r>
      <w:r w:rsidRPr="00F03A26">
        <w:rPr>
          <w:rFonts w:asciiTheme="majorBidi" w:eastAsia="Times New Roman" w:hAnsiTheme="majorBidi" w:cstheme="majorBidi"/>
          <w:i/>
          <w:lang w:val="en-GB"/>
        </w:rPr>
        <w:t>Bir Erken Demir Çağ Nekropolü Van/Karagündüz</w:t>
      </w:r>
      <w:r w:rsidRPr="00F03A26">
        <w:rPr>
          <w:rFonts w:asciiTheme="majorBidi" w:eastAsia="Times New Roman" w:hAnsiTheme="majorBidi" w:cstheme="majorBidi"/>
          <w:i/>
          <w:lang w:val="en-GB"/>
        </w:rPr>
        <w:fldChar w:fldCharType="begin"/>
      </w:r>
      <w:r w:rsidRPr="00F03A26">
        <w:rPr>
          <w:rFonts w:asciiTheme="majorBidi" w:hAnsiTheme="majorBidi" w:cstheme="majorBidi"/>
          <w:lang w:val="en-GB"/>
        </w:rPr>
        <w:instrText xml:space="preserve"> XE "Karagündüz" </w:instrText>
      </w:r>
      <w:r w:rsidRPr="00F03A26">
        <w:rPr>
          <w:rFonts w:asciiTheme="majorBidi" w:eastAsia="Times New Roman" w:hAnsiTheme="majorBidi" w:cstheme="majorBidi"/>
          <w:i/>
          <w:lang w:val="en-GB"/>
        </w:rPr>
        <w:fldChar w:fldCharType="end"/>
      </w:r>
      <w:r w:rsidRPr="00F03A26">
        <w:rPr>
          <w:rFonts w:asciiTheme="majorBidi" w:eastAsia="Times New Roman" w:hAnsiTheme="majorBidi" w:cstheme="majorBidi"/>
          <w:lang w:val="en-GB"/>
        </w:rPr>
        <w:t>. İstanbul: Arkeoloji ve Sanat Yayınları.</w:t>
      </w:r>
    </w:p>
    <w:p w14:paraId="74DD88B3" w14:textId="77777777" w:rsidR="0088351C" w:rsidRPr="00F03A26" w:rsidRDefault="0088351C" w:rsidP="00F03A26">
      <w:pPr>
        <w:autoSpaceDE w:val="0"/>
        <w:autoSpaceDN w:val="0"/>
        <w:adjustRightInd w:val="0"/>
        <w:jc w:val="both"/>
        <w:rPr>
          <w:rFonts w:asciiTheme="majorBidi" w:hAnsiTheme="majorBidi" w:cstheme="majorBidi"/>
          <w:lang w:val="en-GB"/>
        </w:rPr>
      </w:pPr>
    </w:p>
    <w:p w14:paraId="71D2439E"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r w:rsidRPr="00F03A26">
        <w:rPr>
          <w:rFonts w:asciiTheme="majorBidi" w:hAnsiTheme="majorBidi" w:cstheme="majorBidi"/>
          <w:lang w:val="en-GB"/>
        </w:rPr>
        <w:t>Sevin, V., &amp; Özfırat, A. (2000). Van/Altıntepe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"Altıntepe"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Kazıları. In O. Belli (Ed.), </w:t>
      </w:r>
      <w:r w:rsidRPr="00F03A26">
        <w:rPr>
          <w:rFonts w:asciiTheme="majorBidi" w:hAnsiTheme="majorBidi" w:cstheme="majorBidi"/>
          <w:i/>
          <w:iCs/>
          <w:lang w:val="en-GB"/>
        </w:rPr>
        <w:t>Türkiye Arkeolojisi ve İstanbul Üniversitesi</w:t>
      </w:r>
      <w:r w:rsidRPr="00F03A26">
        <w:rPr>
          <w:rFonts w:asciiTheme="majorBidi" w:hAnsiTheme="majorBidi" w:cstheme="majorBidi"/>
          <w:lang w:val="en-GB"/>
        </w:rPr>
        <w:t xml:space="preserve"> (pp. 217-222). Ankara: İstanbul Üniversitesi.</w:t>
      </w:r>
    </w:p>
    <w:p w14:paraId="2A7909B3" w14:textId="77777777" w:rsidR="0088351C" w:rsidRPr="00F03A26" w:rsidRDefault="0088351C" w:rsidP="00F03A26">
      <w:pPr>
        <w:spacing w:before="120" w:after="120"/>
        <w:jc w:val="both"/>
        <w:rPr>
          <w:rStyle w:val="fontstyle01"/>
          <w:rFonts w:asciiTheme="majorBidi" w:hAnsiTheme="majorBidi" w:cstheme="majorBidi"/>
          <w:lang w:val="en-GB"/>
        </w:rPr>
      </w:pPr>
      <w:r w:rsidRPr="00F03A26">
        <w:rPr>
          <w:rFonts w:asciiTheme="majorBidi" w:hAnsiTheme="majorBidi" w:cstheme="majorBidi"/>
          <w:lang w:val="en-GB"/>
        </w:rPr>
        <w:lastRenderedPageBreak/>
        <w:t xml:space="preserve">Stronach, D. (1967). </w:t>
      </w:r>
      <w:r w:rsidRPr="00F03A26">
        <w:rPr>
          <w:rStyle w:val="fontstyle01"/>
          <w:rFonts w:asciiTheme="majorBidi" w:hAnsiTheme="majorBidi" w:cstheme="majorBidi"/>
          <w:lang w:val="en-GB"/>
        </w:rPr>
        <w:t>Urartian</w:t>
      </w:r>
      <w:r w:rsidRPr="00F03A26">
        <w:rPr>
          <w:rStyle w:val="fontstyle01"/>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Style w:val="fontstyle01"/>
          <w:rFonts w:asciiTheme="majorBidi" w:hAnsiTheme="majorBidi" w:cstheme="majorBidi"/>
          <w:lang w:val="en-GB"/>
        </w:rPr>
        <w:fldChar w:fldCharType="end"/>
      </w:r>
      <w:r w:rsidRPr="00F03A26">
        <w:rPr>
          <w:rStyle w:val="fontstyle01"/>
          <w:rFonts w:asciiTheme="majorBidi" w:hAnsiTheme="majorBidi" w:cstheme="majorBidi"/>
          <w:lang w:val="en-GB"/>
        </w:rPr>
        <w:t xml:space="preserve"> ve Achaemenian Tower Temples, </w:t>
      </w:r>
      <w:r w:rsidRPr="00F03A26">
        <w:rPr>
          <w:rStyle w:val="fontstyle21"/>
          <w:rFonts w:asciiTheme="majorBidi" w:hAnsiTheme="majorBidi" w:cstheme="majorBidi"/>
          <w:lang w:val="en-GB"/>
        </w:rPr>
        <w:t xml:space="preserve">Journal of Near Eastern Studies, </w:t>
      </w:r>
      <w:r w:rsidRPr="00F03A26">
        <w:rPr>
          <w:rStyle w:val="fontstyle01"/>
          <w:rFonts w:asciiTheme="majorBidi" w:hAnsiTheme="majorBidi" w:cstheme="majorBidi"/>
          <w:lang w:val="en-GB"/>
        </w:rPr>
        <w:t>26, 278-288.</w:t>
      </w:r>
    </w:p>
    <w:p w14:paraId="0075D0E7" w14:textId="652DC285"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Stronach, D. (2012). </w:t>
      </w:r>
      <w:r w:rsidRPr="00F03A26">
        <w:rPr>
          <w:rStyle w:val="fontstyle01"/>
          <w:rFonts w:asciiTheme="majorBidi" w:hAnsiTheme="majorBidi" w:cstheme="majorBidi"/>
          <w:lang w:val="en-GB"/>
        </w:rPr>
        <w:t>Urartu</w:t>
      </w:r>
      <w:r w:rsidRPr="00F03A26">
        <w:rPr>
          <w:rStyle w:val="fontstyle01"/>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Style w:val="fontstyle01"/>
          <w:rFonts w:asciiTheme="majorBidi" w:hAnsiTheme="majorBidi" w:cstheme="majorBidi"/>
          <w:lang w:val="en-GB"/>
        </w:rPr>
        <w:fldChar w:fldCharType="end"/>
      </w:r>
      <w:r w:rsidRPr="00F03A26">
        <w:rPr>
          <w:rStyle w:val="fontstyle01"/>
          <w:rFonts w:asciiTheme="majorBidi" w:hAnsiTheme="majorBidi" w:cstheme="majorBidi"/>
          <w:lang w:val="en-GB"/>
        </w:rPr>
        <w:t>‟s Impact on Achaemenid</w:t>
      </w:r>
      <w:r w:rsidRPr="00F03A26">
        <w:rPr>
          <w:rStyle w:val="fontstyle01"/>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lang w:val="en-GB"/>
        </w:rPr>
        <w:instrText>Achaemenid</w:instrText>
      </w:r>
      <w:r w:rsidRPr="00F03A26">
        <w:rPr>
          <w:rFonts w:asciiTheme="majorBidi" w:hAnsiTheme="majorBidi" w:cstheme="majorBidi"/>
          <w:lang w:val="en-GB"/>
        </w:rPr>
        <w:instrText xml:space="preserve">" </w:instrText>
      </w:r>
      <w:r w:rsidRPr="00F03A26">
        <w:rPr>
          <w:rStyle w:val="fontstyle01"/>
          <w:rFonts w:asciiTheme="majorBidi" w:hAnsiTheme="majorBidi" w:cstheme="majorBidi"/>
          <w:lang w:val="en-GB"/>
        </w:rPr>
        <w:fldChar w:fldCharType="end"/>
      </w:r>
      <w:r w:rsidRPr="00F03A26">
        <w:rPr>
          <w:rStyle w:val="fontstyle01"/>
          <w:rFonts w:asciiTheme="majorBidi" w:hAnsiTheme="majorBidi" w:cstheme="majorBidi"/>
          <w:lang w:val="en-GB"/>
        </w:rPr>
        <w:t xml:space="preserve"> and Pre-Achaemenid</w:t>
      </w:r>
      <w:r w:rsidRPr="00F03A26">
        <w:rPr>
          <w:rFonts w:asciiTheme="majorBidi" w:hAnsiTheme="majorBidi" w:cstheme="majorBidi"/>
          <w:lang w:val="en-GB"/>
        </w:rPr>
        <w:t xml:space="preserve"> </w:t>
      </w:r>
      <w:r w:rsidRPr="00F03A26">
        <w:rPr>
          <w:rStyle w:val="fontstyle01"/>
          <w:rFonts w:asciiTheme="majorBidi" w:hAnsiTheme="majorBidi" w:cstheme="majorBidi"/>
          <w:lang w:val="en-GB"/>
        </w:rPr>
        <w:t xml:space="preserve">Architecture in Iran. In </w:t>
      </w:r>
      <w:r w:rsidRPr="00F03A26">
        <w:rPr>
          <w:rFonts w:asciiTheme="majorBidi" w:hAnsiTheme="majorBidi" w:cstheme="majorBidi"/>
          <w:lang w:val="en-GB"/>
        </w:rPr>
        <w:t xml:space="preserve">S. Kroll, C. Gruber, U. Hellwag, M. Roaf </w:t>
      </w:r>
      <w:r w:rsidRPr="00F03A26">
        <w:rPr>
          <w:rFonts w:asciiTheme="majorBidi" w:eastAsia="Times New Roman" w:hAnsiTheme="majorBidi" w:cstheme="majorBidi"/>
          <w:lang w:val="en-GB" w:eastAsia="tr-TR" w:bidi="he-IL"/>
        </w:rPr>
        <w:t xml:space="preserve">&amp; </w:t>
      </w:r>
      <w:r w:rsidRPr="00F03A26">
        <w:rPr>
          <w:rFonts w:asciiTheme="majorBidi" w:hAnsiTheme="majorBidi" w:cstheme="majorBidi"/>
          <w:lang w:val="en-GB"/>
        </w:rPr>
        <w:t xml:space="preserve">Paul Zimansky (Eds.), </w:t>
      </w:r>
      <w:r w:rsidRPr="00F03A26">
        <w:rPr>
          <w:rFonts w:asciiTheme="majorBidi" w:hAnsiTheme="majorBidi" w:cstheme="majorBidi"/>
          <w:i/>
          <w:iCs/>
          <w:lang w:val="en-GB"/>
        </w:rPr>
        <w:t>Biainili</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"Biainili"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-Urartu: The Proceedings of the Symposium held in Munich 12–14 October 2007 Tagungsbericht des Münchner Symposiums 12.–14. Oktober 2007 </w:t>
      </w:r>
      <w:r w:rsidRPr="00F03A26">
        <w:rPr>
          <w:rFonts w:asciiTheme="majorBidi" w:hAnsiTheme="majorBidi" w:cstheme="majorBidi"/>
          <w:lang w:val="en-GB"/>
        </w:rPr>
        <w:t xml:space="preserve">(pp. </w:t>
      </w:r>
      <w:r w:rsidRPr="00F03A26">
        <w:rPr>
          <w:rStyle w:val="fontstyle01"/>
          <w:rFonts w:asciiTheme="majorBidi" w:hAnsiTheme="majorBidi" w:cstheme="majorBidi"/>
          <w:lang w:val="en-GB"/>
        </w:rPr>
        <w:t>309-320</w:t>
      </w:r>
      <w:r w:rsidRPr="00F03A26">
        <w:rPr>
          <w:rFonts w:asciiTheme="majorBidi" w:hAnsiTheme="majorBidi" w:cstheme="majorBidi"/>
          <w:lang w:val="en-GB"/>
        </w:rPr>
        <w:t xml:space="preserve">). Acta Iranica 51, Leuven: Peeters. </w:t>
      </w:r>
    </w:p>
    <w:p w14:paraId="42DBDC39" w14:textId="77777777" w:rsidR="0088351C" w:rsidRPr="00F03A26" w:rsidRDefault="0088351C" w:rsidP="00F03A26">
      <w:pPr>
        <w:autoSpaceDE w:val="0"/>
        <w:autoSpaceDN w:val="0"/>
        <w:adjustRightInd w:val="0"/>
        <w:spacing w:before="120" w:after="120"/>
        <w:jc w:val="both"/>
        <w:rPr>
          <w:rStyle w:val="fontstyle01"/>
          <w:rFonts w:asciiTheme="majorBidi" w:hAnsiTheme="majorBidi" w:cstheme="majorBidi"/>
          <w:lang w:val="en-GB"/>
        </w:rPr>
      </w:pPr>
      <w:r w:rsidRPr="00F03A26">
        <w:rPr>
          <w:rFonts w:asciiTheme="majorBidi" w:hAnsiTheme="majorBidi" w:cstheme="majorBidi"/>
          <w:lang w:val="en-GB"/>
        </w:rPr>
        <w:t xml:space="preserve">Stronach, D., H. Thrane, C. Goff </w:t>
      </w:r>
      <w:r w:rsidRPr="00F03A26">
        <w:rPr>
          <w:rFonts w:asciiTheme="majorBidi" w:eastAsia="Times New Roman" w:hAnsiTheme="majorBidi" w:cstheme="majorBidi"/>
          <w:lang w:val="en-GB" w:eastAsia="tr-TR" w:bidi="he-IL"/>
        </w:rPr>
        <w:t>&amp;</w:t>
      </w:r>
      <w:r w:rsidRPr="00F03A26">
        <w:rPr>
          <w:rFonts w:asciiTheme="majorBidi" w:hAnsiTheme="majorBidi" w:cstheme="majorBidi"/>
          <w:lang w:val="en-GB"/>
        </w:rPr>
        <w:t xml:space="preserve"> A. Farahani (2010). </w:t>
      </w:r>
      <w:r w:rsidRPr="00F03A26">
        <w:rPr>
          <w:rStyle w:val="fontstyle01"/>
          <w:rFonts w:asciiTheme="majorBidi" w:hAnsiTheme="majorBidi" w:cstheme="majorBidi"/>
          <w:lang w:val="en-GB"/>
        </w:rPr>
        <w:t>Erebuni</w:t>
      </w:r>
      <w:r w:rsidRPr="00F03A26">
        <w:rPr>
          <w:rStyle w:val="fontstyle01"/>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lang w:val="en-GB"/>
        </w:rPr>
        <w:instrText>Erebuni</w:instrText>
      </w:r>
      <w:r w:rsidRPr="00F03A26">
        <w:rPr>
          <w:rFonts w:asciiTheme="majorBidi" w:hAnsiTheme="majorBidi" w:cstheme="majorBidi"/>
          <w:lang w:val="en-GB"/>
        </w:rPr>
        <w:instrText xml:space="preserve">" </w:instrText>
      </w:r>
      <w:r w:rsidRPr="00F03A26">
        <w:rPr>
          <w:rStyle w:val="fontstyle01"/>
          <w:rFonts w:asciiTheme="majorBidi" w:hAnsiTheme="majorBidi" w:cstheme="majorBidi"/>
          <w:lang w:val="en-GB"/>
        </w:rPr>
        <w:fldChar w:fldCharType="end"/>
      </w:r>
      <w:r w:rsidRPr="00F03A26">
        <w:rPr>
          <w:rStyle w:val="fontstyle01"/>
          <w:rFonts w:asciiTheme="majorBidi" w:hAnsiTheme="majorBidi" w:cstheme="majorBidi"/>
          <w:lang w:val="en-GB"/>
        </w:rPr>
        <w:t xml:space="preserve"> 2008-2010, </w:t>
      </w:r>
      <w:r w:rsidRPr="00F03A26">
        <w:rPr>
          <w:rStyle w:val="fontstyle21"/>
          <w:rFonts w:asciiTheme="majorBidi" w:hAnsiTheme="majorBidi" w:cstheme="majorBidi"/>
          <w:lang w:val="en-GB"/>
        </w:rPr>
        <w:t>Urartu</w:t>
      </w:r>
      <w:r w:rsidRPr="00F03A26">
        <w:rPr>
          <w:rStyle w:val="fontstyle21"/>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Style w:val="fontstyle21"/>
          <w:rFonts w:asciiTheme="majorBidi" w:hAnsiTheme="majorBidi" w:cstheme="majorBidi"/>
          <w:lang w:val="en-GB"/>
        </w:rPr>
        <w:fldChar w:fldCharType="end"/>
      </w:r>
      <w:r w:rsidRPr="00F03A26">
        <w:rPr>
          <w:rStyle w:val="fontstyle21"/>
          <w:rFonts w:asciiTheme="majorBidi" w:hAnsiTheme="majorBidi" w:cstheme="majorBidi"/>
          <w:lang w:val="en-GB"/>
        </w:rPr>
        <w:t xml:space="preserve"> and its Neighbors. Festschrift in Honor of Nicolay Harutunyan in Occasion of his 90th Birthday (22-24 September, 2009, Yerevan)</w:t>
      </w:r>
      <w:r w:rsidRPr="00F03A26">
        <w:rPr>
          <w:rStyle w:val="fontstyle01"/>
          <w:rFonts w:asciiTheme="majorBidi" w:hAnsiTheme="majorBidi" w:cstheme="majorBidi"/>
          <w:lang w:val="en-GB"/>
        </w:rPr>
        <w:t xml:space="preserve">, </w:t>
      </w:r>
      <w:r w:rsidRPr="00F03A26">
        <w:rPr>
          <w:rFonts w:asciiTheme="majorBidi" w:hAnsiTheme="majorBidi" w:cstheme="majorBidi"/>
          <w:i/>
          <w:iCs/>
          <w:lang w:val="en-GB"/>
        </w:rPr>
        <w:t>Armenian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eastAsia="it-IT"/>
        </w:rPr>
        <w:instrText>Armenian</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Journal Near Eastern Studies</w:t>
      </w:r>
      <w:r w:rsidRPr="00F03A26">
        <w:rPr>
          <w:rStyle w:val="fontstyle01"/>
          <w:rFonts w:asciiTheme="majorBidi" w:hAnsiTheme="majorBidi" w:cstheme="majorBidi"/>
          <w:lang w:val="en-GB"/>
        </w:rPr>
        <w:t xml:space="preserve"> V(2), 99-133.</w:t>
      </w:r>
    </w:p>
    <w:p w14:paraId="079C5A4B" w14:textId="77777777" w:rsidR="0088351C" w:rsidRPr="00F03A26" w:rsidRDefault="0088351C" w:rsidP="00F03A26">
      <w:pPr>
        <w:jc w:val="both"/>
        <w:rPr>
          <w:rFonts w:asciiTheme="majorBidi" w:hAnsiTheme="majorBidi" w:cstheme="majorBidi"/>
          <w:color w:val="000000" w:themeColor="text1"/>
          <w:lang w:val="en-GB"/>
        </w:rPr>
      </w:pPr>
    </w:p>
    <w:p w14:paraId="14409730" w14:textId="6CE5F4B5"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 xml:space="preserve">Tadmor, H., &amp; Yamada, S. (Eds.). (2011). </w:t>
      </w:r>
      <w:r w:rsidRPr="00F03A26">
        <w:rPr>
          <w:rFonts w:asciiTheme="majorBidi" w:hAnsiTheme="majorBidi" w:cstheme="majorBidi"/>
          <w:i/>
          <w:iCs/>
          <w:lang w:val="en-GB"/>
        </w:rPr>
        <w:t>The Royal Inscriptions of Tiglath-pileser</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000000"/>
          <w:kern w:val="0"/>
          <w:lang w:val="en-GB" w:eastAsia="tr-TR" w:bidi="he-IL"/>
          <w14:ligatures w14:val="none"/>
        </w:rPr>
        <w:instrText>Tiglath-pileser</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III</w:t>
      </w:r>
      <w:r w:rsidR="0028736C">
        <w:rPr>
          <w:rFonts w:asciiTheme="majorBidi" w:hAnsiTheme="majorBidi" w:cstheme="majorBidi"/>
          <w:i/>
          <w:iCs/>
          <w:lang w:val="en-GB"/>
        </w:rPr>
        <w:fldChar w:fldCharType="begin"/>
      </w:r>
      <w:r w:rsidR="0028736C">
        <w:instrText xml:space="preserve"> XE "</w:instrText>
      </w:r>
      <w:r w:rsidR="0028736C" w:rsidRPr="007426D5">
        <w:rPr>
          <w:rFonts w:asciiTheme="majorBidi" w:hAnsiTheme="majorBidi" w:cstheme="majorBidi"/>
          <w:color w:val="000000" w:themeColor="text1"/>
          <w:lang w:val="en-GB"/>
        </w:rPr>
        <w:instrText>Tiglath-pileser III</w:instrText>
      </w:r>
      <w:r w:rsidR="0028736C">
        <w:instrText xml:space="preserve">" </w:instrText>
      </w:r>
      <w:r w:rsidR="0028736C">
        <w:rPr>
          <w:rFonts w:asciiTheme="majorBidi" w:hAnsiTheme="majorBidi" w:cstheme="majorBidi"/>
          <w:i/>
          <w:iCs/>
          <w:lang w:val="en-GB"/>
        </w:rPr>
        <w:fldChar w:fldCharType="end"/>
      </w:r>
      <w:r w:rsidRPr="00F03A26">
        <w:rPr>
          <w:rFonts w:asciiTheme="majorBidi" w:hAnsiTheme="majorBidi" w:cstheme="majorBidi"/>
          <w:i/>
          <w:iCs/>
          <w:lang w:val="en-GB"/>
        </w:rPr>
        <w:t xml:space="preserve"> (744-727 BC), and Shalmaneser V (726-722 BC), Kings of Assyria</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000000"/>
          <w:kern w:val="0"/>
          <w:lang w:val="en-GB" w:eastAsia="tr-TR" w:bidi="he-IL"/>
          <w14:ligatures w14:val="none"/>
        </w:rPr>
        <w:instrText>Assyria</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lang w:val="en-GB"/>
        </w:rPr>
        <w:t xml:space="preserve"> (Vol. 1). Eisenbrauns.</w:t>
      </w:r>
    </w:p>
    <w:p w14:paraId="0CF4B8CC"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236231F8"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Tan, A. (2010). </w:t>
      </w:r>
      <w:r w:rsidRPr="00F03A26">
        <w:rPr>
          <w:rFonts w:asciiTheme="majorBidi" w:hAnsiTheme="majorBidi" w:cstheme="majorBidi"/>
          <w:i/>
          <w:szCs w:val="24"/>
          <w:lang w:val="en-GB"/>
        </w:rPr>
        <w:t>Urartu</w:t>
      </w:r>
      <w:r w:rsidRPr="00F03A26">
        <w:rPr>
          <w:rFonts w:asciiTheme="majorBidi" w:hAnsiTheme="majorBidi" w:cstheme="majorBidi"/>
          <w: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szCs w:val="24"/>
          <w:lang w:val="en-GB"/>
        </w:rPr>
        <w:fldChar w:fldCharType="end"/>
      </w:r>
      <w:r w:rsidRPr="00F03A26">
        <w:rPr>
          <w:rFonts w:asciiTheme="majorBidi" w:hAnsiTheme="majorBidi" w:cstheme="majorBidi"/>
          <w:i/>
          <w:szCs w:val="24"/>
          <w:lang w:val="en-GB"/>
        </w:rPr>
        <w:t xml:space="preserve"> Krallığı'nın Kuruluşu.</w:t>
      </w:r>
      <w:r w:rsidRPr="00F03A26">
        <w:rPr>
          <w:rFonts w:asciiTheme="majorBidi" w:hAnsiTheme="majorBidi" w:cstheme="majorBidi"/>
          <w:szCs w:val="24"/>
          <w:lang w:val="en-GB"/>
        </w:rPr>
        <w:t xml:space="preserve"> (Master Thesis). Marmara University, Istanbul. </w:t>
      </w:r>
    </w:p>
    <w:p w14:paraId="0923B1FE"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 xml:space="preserve">Tan, A. (2014). </w:t>
      </w:r>
      <w:r w:rsidRPr="00F03A26">
        <w:rPr>
          <w:rFonts w:asciiTheme="majorBidi" w:hAnsiTheme="majorBidi" w:cstheme="majorBidi"/>
          <w:iCs/>
          <w:szCs w:val="24"/>
          <w:lang w:val="en-GB"/>
        </w:rPr>
        <w:t>Establishment of the Urartu</w:t>
      </w:r>
      <w:r w:rsidRPr="00F03A26">
        <w:rPr>
          <w:rFonts w:asciiTheme="majorBidi" w:hAnsiTheme="majorBidi" w:cstheme="majorBidi"/>
          <w:iCs/>
          <w:szCs w:val="24"/>
          <w:lang w:val="en-GB"/>
        </w:rPr>
        <w:fldChar w:fldCharType="begin"/>
      </w:r>
      <w:r w:rsidRPr="00F03A26">
        <w:rPr>
          <w:rFonts w:asciiTheme="majorBidi" w:hAnsiTheme="majorBidi" w:cstheme="majorBidi"/>
          <w:iCs/>
          <w:lang w:val="en-GB"/>
        </w:rPr>
        <w:instrText xml:space="preserve"> XE "</w:instrText>
      </w:r>
      <w:r w:rsidRPr="00F03A26">
        <w:rPr>
          <w:rFonts w:asciiTheme="majorBidi" w:eastAsia="Times New Roman" w:hAnsiTheme="majorBidi" w:cstheme="majorBidi"/>
          <w:iCs/>
          <w:lang w:val="en-GB"/>
        </w:rPr>
        <w:instrText>Urartu</w:instrText>
      </w:r>
      <w:r w:rsidRPr="00F03A26">
        <w:rPr>
          <w:rFonts w:asciiTheme="majorBidi" w:hAnsiTheme="majorBidi" w:cstheme="majorBidi"/>
          <w:iCs/>
          <w:lang w:val="en-GB"/>
        </w:rPr>
        <w:instrText xml:space="preserve">" </w:instrText>
      </w:r>
      <w:r w:rsidRPr="00F03A26">
        <w:rPr>
          <w:rFonts w:asciiTheme="majorBidi" w:hAnsiTheme="majorBidi" w:cstheme="majorBidi"/>
          <w:iCs/>
          <w:szCs w:val="24"/>
          <w:lang w:val="en-GB"/>
        </w:rPr>
        <w:fldChar w:fldCharType="end"/>
      </w:r>
      <w:r w:rsidRPr="00F03A26">
        <w:rPr>
          <w:rFonts w:asciiTheme="majorBidi" w:hAnsiTheme="majorBidi" w:cstheme="majorBidi"/>
          <w:iCs/>
          <w:szCs w:val="24"/>
          <w:lang w:val="en-GB"/>
        </w:rPr>
        <w:t xml:space="preserve"> Kingdom</w:t>
      </w:r>
      <w:r w:rsidRPr="00F03A26">
        <w:rPr>
          <w:rFonts w:asciiTheme="majorBidi" w:hAnsiTheme="majorBidi" w:cstheme="majorBidi"/>
          <w:i/>
          <w:szCs w:val="24"/>
          <w:lang w:val="en-GB"/>
        </w:rPr>
        <w:t>.</w:t>
      </w:r>
      <w:r w:rsidRPr="00F03A26">
        <w:rPr>
          <w:rFonts w:asciiTheme="majorBidi" w:hAnsiTheme="majorBidi" w:cstheme="majorBidi"/>
          <w:szCs w:val="24"/>
          <w:lang w:val="en-GB"/>
        </w:rPr>
        <w:t xml:space="preserve"> In. A. Çilingiroğlu, K. Köroğlu, Z. Çulha and G. Öncü (Eds.), </w:t>
      </w:r>
      <w:r w:rsidRPr="00F03A26">
        <w:rPr>
          <w:rFonts w:asciiTheme="majorBidi" w:hAnsiTheme="majorBidi" w:cstheme="majorBidi"/>
          <w:i/>
          <w:iCs/>
          <w:szCs w:val="24"/>
          <w:lang w:val="en-GB"/>
        </w:rPr>
        <w:t>Paper presented at the Urartians</w:t>
      </w:r>
      <w:r w:rsidRPr="00F03A26">
        <w:rPr>
          <w:rFonts w:asciiTheme="majorBidi" w:hAnsiTheme="majorBidi" w:cstheme="majorBidi"/>
          <w:i/>
          <w:iCs/>
          <w:szCs w:val="24"/>
          <w:lang w:val="en-GB"/>
        </w:rPr>
        <w:fldChar w:fldCharType="begin"/>
      </w:r>
      <w:r w:rsidRPr="00F03A26">
        <w:rPr>
          <w:rFonts w:asciiTheme="majorBidi" w:hAnsiTheme="majorBidi" w:cstheme="majorBidi"/>
          <w:i/>
          <w:iCs/>
          <w:lang w:val="en-GB"/>
        </w:rPr>
        <w:instrText xml:space="preserve"> XE "Urartians" </w:instrText>
      </w:r>
      <w:r w:rsidRPr="00F03A26">
        <w:rPr>
          <w:rFonts w:asciiTheme="majorBidi" w:hAnsiTheme="majorBidi" w:cstheme="majorBidi"/>
          <w:i/>
          <w:iCs/>
          <w:szCs w:val="24"/>
          <w:lang w:val="en-GB"/>
        </w:rPr>
        <w:fldChar w:fldCharType="end"/>
      </w:r>
      <w:r w:rsidRPr="00F03A26">
        <w:rPr>
          <w:rFonts w:asciiTheme="majorBidi" w:hAnsiTheme="majorBidi" w:cstheme="majorBidi"/>
          <w:i/>
          <w:iCs/>
          <w:szCs w:val="24"/>
          <w:lang w:val="en-GB"/>
        </w:rPr>
        <w:t>: A Civilization In The Eastern Anatolia</w:t>
      </w:r>
      <w:r w:rsidRPr="00F03A26">
        <w:rPr>
          <w:rFonts w:asciiTheme="majorBidi" w:hAnsiTheme="majorBidi" w:cstheme="majorBidi"/>
          <w:szCs w:val="24"/>
          <w:lang w:val="en-GB"/>
        </w:rPr>
        <w:t>, (pp. 30-42). Istanbul.</w:t>
      </w:r>
    </w:p>
    <w:p w14:paraId="397007E9"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Tan, A. (2020).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Krallığı’nda Tehcir Uygulamaları ve Toplumsal Yapıya Etkileri., In İ. Albayrak (Ed.), </w:t>
      </w:r>
      <w:r w:rsidRPr="00F03A26">
        <w:rPr>
          <w:rFonts w:asciiTheme="majorBidi" w:hAnsiTheme="majorBidi" w:cstheme="majorBidi"/>
          <w:i/>
          <w:iCs/>
          <w:szCs w:val="24"/>
          <w:lang w:val="en-GB"/>
        </w:rPr>
        <w:t>Eski Yakındoğu’da Sürgünler</w:t>
      </w:r>
      <w:r w:rsidRPr="00F03A26">
        <w:rPr>
          <w:rFonts w:asciiTheme="majorBidi" w:hAnsiTheme="majorBidi" w:cstheme="majorBidi"/>
          <w:szCs w:val="24"/>
          <w:lang w:val="en-GB"/>
        </w:rPr>
        <w:t xml:space="preserve"> (pp. 181-237). Ankara: Bilgin Kültür Sanat Yayınları.</w:t>
      </w:r>
    </w:p>
    <w:p w14:paraId="19EC36AF"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Tan, A. (2022).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Bürokrasisi’ne Dair Notlar ve İdari Açıdan Krâli Kentlerin Konumu. </w:t>
      </w:r>
      <w:r w:rsidRPr="00F03A26">
        <w:rPr>
          <w:rFonts w:asciiTheme="majorBidi" w:hAnsiTheme="majorBidi" w:cstheme="majorBidi"/>
          <w:i/>
          <w:lang w:val="en-GB"/>
        </w:rPr>
        <w:t xml:space="preserve">Colloquium Anatolicum, 2022/21, </w:t>
      </w:r>
      <w:r w:rsidRPr="00F03A26">
        <w:rPr>
          <w:rFonts w:asciiTheme="majorBidi" w:hAnsiTheme="majorBidi" w:cstheme="majorBidi"/>
          <w:lang w:val="en-GB"/>
        </w:rPr>
        <w:t>97-118.</w:t>
      </w:r>
    </w:p>
    <w:p w14:paraId="15FAA487" w14:textId="77777777" w:rsidR="0088351C" w:rsidRPr="00F03A26" w:rsidRDefault="0088351C" w:rsidP="00F03A26">
      <w:pPr>
        <w:autoSpaceDE w:val="0"/>
        <w:autoSpaceDN w:val="0"/>
        <w:adjustRightInd w:val="0"/>
        <w:jc w:val="both"/>
        <w:rPr>
          <w:rFonts w:asciiTheme="majorBidi" w:hAnsiTheme="majorBidi" w:cstheme="majorBidi"/>
          <w:lang w:val="en-GB"/>
        </w:rPr>
      </w:pPr>
    </w:p>
    <w:p w14:paraId="4B86976C"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Tarhan, M. T. (1980). Urartu</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 xml:space="preserve"> Devleti’nin ‘Kuruluş’ Evresi ve Kurucu Krallardan ‘Lutipri=Lapturi’ Hakkında Yeni Görüşler. </w:t>
      </w:r>
      <w:r w:rsidRPr="00F03A26">
        <w:rPr>
          <w:rFonts w:asciiTheme="majorBidi" w:hAnsiTheme="majorBidi" w:cstheme="majorBidi"/>
          <w:i/>
          <w:szCs w:val="24"/>
          <w:lang w:val="en-GB"/>
        </w:rPr>
        <w:t>Anadolu Araştırmaları, VIII</w:t>
      </w:r>
      <w:r w:rsidRPr="00F03A26">
        <w:rPr>
          <w:rFonts w:asciiTheme="majorBidi" w:hAnsiTheme="majorBidi" w:cstheme="majorBidi"/>
          <w:szCs w:val="24"/>
          <w:lang w:val="en-GB"/>
        </w:rPr>
        <w:t xml:space="preserve">, 69-114. </w:t>
      </w:r>
    </w:p>
    <w:p w14:paraId="056BF5E9"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szCs w:val="24"/>
          <w:lang w:val="en-GB"/>
        </w:rPr>
        <w:t>Tarhan, M. T. (1985). Van Kalesi</w:t>
      </w:r>
      <w:r w:rsidRPr="00F03A26">
        <w:rPr>
          <w:rFonts w:asciiTheme="majorBidi" w:hAnsiTheme="majorBidi" w:cstheme="majorBidi"/>
          <w:szCs w:val="24"/>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szCs w:val="24"/>
          <w:lang w:val="en-GB"/>
        </w:rPr>
        <w:instrText>Van Kalesi</w:instrText>
      </w:r>
      <w:r w:rsidRPr="00F03A26">
        <w:rPr>
          <w:rFonts w:asciiTheme="majorBidi" w:hAnsiTheme="majorBidi" w:cstheme="majorBidi"/>
          <w:lang w:val="en-GB"/>
        </w:rPr>
        <w:instrText xml:space="preserve">" </w:instrText>
      </w:r>
      <w:r w:rsidRPr="00F03A26">
        <w:rPr>
          <w:rFonts w:asciiTheme="majorBidi" w:hAnsiTheme="majorBidi" w:cstheme="majorBidi"/>
          <w:szCs w:val="24"/>
          <w:lang w:val="en-GB"/>
        </w:rPr>
        <w:fldChar w:fldCharType="end"/>
      </w:r>
      <w:r w:rsidRPr="00F03A26">
        <w:rPr>
          <w:rFonts w:asciiTheme="majorBidi" w:hAnsiTheme="majorBidi" w:cstheme="majorBidi"/>
          <w:szCs w:val="24"/>
          <w:lang w:val="en-GB"/>
        </w:rPr>
        <w:t>'nin ve Eski Van Şehri'nin Tarihî- Millî Park Projesi Üzerinde Ön Çalışmaları (I) : Anıt Yapılar. Araştırma Sonuçları Toplantısı, III, 297-355.</w:t>
      </w:r>
    </w:p>
    <w:p w14:paraId="19C59FCC"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Tarhan, M. T. (1989). Van Kalesi</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ve Eski Van Şehri Kazıları-1987.  </w:t>
      </w:r>
      <w:r w:rsidRPr="00F03A26">
        <w:rPr>
          <w:rFonts w:asciiTheme="majorBidi" w:eastAsia="Times New Roman" w:hAnsiTheme="majorBidi" w:cstheme="majorBidi"/>
          <w:i/>
          <w:lang w:val="en-GB"/>
        </w:rPr>
        <w:t>Kazı Sonuçları Toplantısı,</w:t>
      </w:r>
      <w:r w:rsidRPr="00F03A26">
        <w:rPr>
          <w:rFonts w:asciiTheme="majorBidi" w:eastAsia="Times New Roman" w:hAnsiTheme="majorBidi" w:cstheme="majorBidi"/>
          <w:lang w:val="en-GB"/>
        </w:rPr>
        <w:t xml:space="preserve"> 10/I, 369-428.</w:t>
      </w:r>
    </w:p>
    <w:p w14:paraId="4D9018C5" w14:textId="77777777" w:rsidR="0088351C" w:rsidRPr="00F03A26" w:rsidRDefault="0088351C" w:rsidP="00F03A26">
      <w:pPr>
        <w:autoSpaceDE w:val="0"/>
        <w:autoSpaceDN w:val="0"/>
        <w:adjustRightInd w:val="0"/>
        <w:jc w:val="both"/>
        <w:rPr>
          <w:rFonts w:asciiTheme="majorBidi" w:hAnsiTheme="majorBidi" w:cstheme="majorBidi"/>
          <w:color w:val="000000" w:themeColor="text1"/>
          <w:lang w:val="en-GB"/>
        </w:rPr>
      </w:pPr>
    </w:p>
    <w:p w14:paraId="2C13183B"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Tarhan, M. T. (1994). Recent Researches at the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Capital Tushpa, </w:t>
      </w:r>
      <w:r w:rsidRPr="00F03A26">
        <w:rPr>
          <w:rFonts w:asciiTheme="majorBidi" w:hAnsiTheme="majorBidi" w:cstheme="majorBidi"/>
          <w:i/>
          <w:iCs/>
          <w:lang w:val="en-GB"/>
        </w:rPr>
        <w:t>Journal of the Institute of Archaeology of Tel Aviv University</w:t>
      </w:r>
      <w:r w:rsidRPr="00F03A26">
        <w:rPr>
          <w:rFonts w:asciiTheme="majorBidi" w:hAnsiTheme="majorBidi" w:cstheme="majorBidi"/>
          <w:lang w:val="en-GB"/>
        </w:rPr>
        <w:t>, 21(1), 22-57.</w:t>
      </w:r>
    </w:p>
    <w:p w14:paraId="73956107" w14:textId="77777777" w:rsidR="0088351C" w:rsidRPr="00F03A26" w:rsidRDefault="0088351C" w:rsidP="00F03A26">
      <w:pPr>
        <w:jc w:val="both"/>
        <w:rPr>
          <w:rFonts w:asciiTheme="majorBidi" w:eastAsia="Times New Roman" w:hAnsiTheme="majorBidi" w:cstheme="majorBidi"/>
          <w:lang w:val="en-GB"/>
        </w:rPr>
      </w:pPr>
    </w:p>
    <w:p w14:paraId="44B84254" w14:textId="77777777" w:rsidR="0088351C" w:rsidRPr="00F03A26" w:rsidRDefault="0088351C" w:rsidP="00F03A26">
      <w:pPr>
        <w:jc w:val="both"/>
        <w:rPr>
          <w:rFonts w:asciiTheme="majorBidi" w:eastAsia="Times New Roman" w:hAnsiTheme="majorBidi" w:cstheme="majorBidi"/>
          <w:lang w:val="en-GB"/>
        </w:rPr>
      </w:pPr>
      <w:r w:rsidRPr="00F03A26">
        <w:rPr>
          <w:rFonts w:asciiTheme="majorBidi" w:eastAsia="Times New Roman" w:hAnsiTheme="majorBidi" w:cstheme="majorBidi"/>
          <w:lang w:val="en-GB"/>
        </w:rPr>
        <w:t>Tarhan, M. T. (2007a). Tuşpa</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"Tušpa"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Sitadelindeki Assurca Yazıtlı Adak Nişinde Yeni Bulgular. In M. Alparslan, M. Doğan-Alparslan &amp; H. Peker (Eds.), </w:t>
      </w:r>
      <w:r w:rsidRPr="00F03A26">
        <w:rPr>
          <w:rFonts w:asciiTheme="majorBidi" w:eastAsia="Times New Roman" w:hAnsiTheme="majorBidi" w:cstheme="majorBidi"/>
          <w:i/>
          <w:lang w:val="en-GB"/>
        </w:rPr>
        <w:t>Belkıs Dinçol ve Ali Dinçol'a Armağan. VITA. Festschrift in Honor of Belkıs Dinçol and Ali Dinçol</w:t>
      </w:r>
      <w:r w:rsidRPr="00F03A26">
        <w:rPr>
          <w:rFonts w:asciiTheme="majorBidi" w:eastAsia="Times New Roman" w:hAnsiTheme="majorBidi" w:cstheme="majorBidi"/>
          <w:lang w:val="en-GB"/>
        </w:rPr>
        <w:t xml:space="preserve"> (pp. 761-766).  İstanbul: Ege Yayınları.</w:t>
      </w:r>
    </w:p>
    <w:p w14:paraId="6BD562DC"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Tarhan, M. T. (2007b). A Third Temple at Çavuştepe-Sardurihinili? Uç Kale</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"Ayanis"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In. A Çilingiroğlu </w:t>
      </w:r>
      <w:r w:rsidRPr="00F03A26">
        <w:rPr>
          <w:rFonts w:asciiTheme="majorBidi" w:eastAsia="Times New Roman" w:hAnsiTheme="majorBidi" w:cstheme="majorBidi"/>
          <w:lang w:val="en-GB" w:eastAsia="tr-TR" w:bidi="he-IL"/>
        </w:rPr>
        <w:t xml:space="preserve">&amp; </w:t>
      </w:r>
      <w:r w:rsidRPr="00F03A26">
        <w:rPr>
          <w:rFonts w:asciiTheme="majorBidi" w:hAnsiTheme="majorBidi" w:cstheme="majorBidi"/>
          <w:lang w:val="en-GB"/>
        </w:rPr>
        <w:t xml:space="preserve">A. Sagona (Eds.), </w:t>
      </w:r>
      <w:r w:rsidRPr="00F03A26">
        <w:rPr>
          <w:rFonts w:asciiTheme="majorBidi" w:hAnsiTheme="majorBidi" w:cstheme="majorBidi"/>
          <w:i/>
          <w:iCs/>
          <w:lang w:val="en-GB"/>
        </w:rPr>
        <w:t>Anatolian Iron Ages 6. The Proceedings of the Sixth Anatolian Iron Ages Colloquium held at Eskişehir, 16–20 August 2004</w:t>
      </w:r>
      <w:r w:rsidRPr="00F03A26">
        <w:rPr>
          <w:rFonts w:asciiTheme="majorBidi" w:hAnsiTheme="majorBidi" w:cstheme="majorBidi"/>
          <w:lang w:val="en-GB"/>
        </w:rPr>
        <w:t xml:space="preserve"> (pp. 265-282). Leuven: Peeters. </w:t>
      </w:r>
    </w:p>
    <w:p w14:paraId="743E83A9" w14:textId="77777777" w:rsidR="0088351C" w:rsidRPr="00F03A26" w:rsidRDefault="0088351C" w:rsidP="00F03A26">
      <w:pPr>
        <w:autoSpaceDE w:val="0"/>
        <w:autoSpaceDN w:val="0"/>
        <w:adjustRightInd w:val="0"/>
        <w:jc w:val="both"/>
        <w:rPr>
          <w:rFonts w:asciiTheme="majorBidi" w:hAnsiTheme="majorBidi" w:cstheme="majorBidi"/>
          <w:lang w:val="en-GB"/>
        </w:rPr>
      </w:pPr>
    </w:p>
    <w:p w14:paraId="1D4DE042" w14:textId="77777777" w:rsidR="0088351C" w:rsidRPr="00F03A26" w:rsidRDefault="0088351C" w:rsidP="00F03A26">
      <w:pPr>
        <w:autoSpaceDE w:val="0"/>
        <w:autoSpaceDN w:val="0"/>
        <w:adjustRightInd w:val="0"/>
        <w:jc w:val="both"/>
        <w:rPr>
          <w:rFonts w:asciiTheme="majorBidi" w:hAnsiTheme="majorBidi" w:cstheme="majorBidi"/>
          <w:lang w:val="en-GB"/>
        </w:rPr>
      </w:pPr>
      <w:r w:rsidRPr="00F03A26">
        <w:rPr>
          <w:rFonts w:asciiTheme="majorBidi" w:hAnsiTheme="majorBidi" w:cstheme="majorBidi"/>
          <w:lang w:val="en-GB"/>
        </w:rPr>
        <w:t>Tarhan, M. T. (2011). Başkent Tuşpa</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"Tušpa"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 The Capital City Tushpa. In K. Köroğlu &amp; E. Konyar (Eds.), </w:t>
      </w:r>
      <w:r w:rsidRPr="00F03A26">
        <w:rPr>
          <w:rFonts w:asciiTheme="majorBidi" w:hAnsiTheme="majorBidi" w:cstheme="majorBidi"/>
          <w:i/>
          <w:iCs/>
          <w:lang w:val="en-GB"/>
        </w:rPr>
        <w:t>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Doğu’da Değişim / Transformation in the East</w:t>
      </w:r>
      <w:r w:rsidRPr="00F03A26">
        <w:rPr>
          <w:rFonts w:asciiTheme="majorBidi" w:hAnsiTheme="majorBidi" w:cstheme="majorBidi"/>
          <w:lang w:val="en-GB"/>
        </w:rPr>
        <w:t xml:space="preserve"> (pp. 286-333). İstanbul: Yapı Kredi Yayınları.</w:t>
      </w:r>
    </w:p>
    <w:p w14:paraId="4FA1132D" w14:textId="77777777" w:rsidR="0088351C" w:rsidRPr="00F03A26" w:rsidRDefault="0088351C" w:rsidP="00F03A26">
      <w:pPr>
        <w:autoSpaceDE w:val="0"/>
        <w:autoSpaceDN w:val="0"/>
        <w:adjustRightInd w:val="0"/>
        <w:jc w:val="both"/>
        <w:rPr>
          <w:rFonts w:asciiTheme="majorBidi" w:eastAsia="Times New Roman" w:hAnsiTheme="majorBidi" w:cstheme="majorBidi"/>
          <w:lang w:val="en-GB"/>
        </w:rPr>
      </w:pPr>
    </w:p>
    <w:p w14:paraId="71697EF6" w14:textId="77777777" w:rsidR="0088351C" w:rsidRPr="00F03A26" w:rsidRDefault="0088351C" w:rsidP="00F03A26">
      <w:pPr>
        <w:autoSpaceDE w:val="0"/>
        <w:autoSpaceDN w:val="0"/>
        <w:adjustRightInd w:val="0"/>
        <w:jc w:val="both"/>
        <w:rPr>
          <w:rFonts w:asciiTheme="majorBidi" w:hAnsiTheme="majorBidi" w:cstheme="majorBidi"/>
          <w:color w:val="FF0000"/>
          <w:lang w:val="en-GB"/>
        </w:rPr>
      </w:pPr>
      <w:r w:rsidRPr="00F03A26">
        <w:rPr>
          <w:rFonts w:asciiTheme="majorBidi" w:eastAsia="Times New Roman" w:hAnsiTheme="majorBidi" w:cstheme="majorBidi"/>
          <w:lang w:val="en-GB"/>
        </w:rPr>
        <w:t xml:space="preserve">Tarhan, M. T. (2020). Başkent Tuşpa. In K. Köroğlu, &amp; E. Konyar (Eds.), </w:t>
      </w:r>
      <w:r w:rsidRPr="00F03A26">
        <w:rPr>
          <w:rFonts w:asciiTheme="majorBidi" w:eastAsia="Times New Roman" w:hAnsiTheme="majorBidi" w:cstheme="majorBidi"/>
          <w:i/>
          <w:lang w:val="en-GB"/>
        </w:rPr>
        <w:t>Urartu</w:t>
      </w:r>
      <w:r w:rsidRPr="00F03A26">
        <w:rPr>
          <w:rFonts w:asciiTheme="majorBidi" w:eastAsia="Times New Roman" w:hAnsiTheme="majorBidi" w:cstheme="majorBidi"/>
          <w: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i/>
          <w:lang w:val="en-GB"/>
        </w:rPr>
        <w:fldChar w:fldCharType="end"/>
      </w:r>
      <w:r w:rsidRPr="00F03A26">
        <w:rPr>
          <w:rFonts w:asciiTheme="majorBidi" w:eastAsia="Times New Roman" w:hAnsiTheme="majorBidi" w:cstheme="majorBidi"/>
          <w:i/>
          <w:lang w:val="en-GB"/>
        </w:rPr>
        <w:t>: Doğu’da Değişim</w:t>
      </w:r>
      <w:r w:rsidRPr="00F03A26">
        <w:rPr>
          <w:rFonts w:asciiTheme="majorBidi" w:eastAsia="Times New Roman" w:hAnsiTheme="majorBidi" w:cstheme="majorBidi"/>
          <w:lang w:val="en-GB"/>
        </w:rPr>
        <w:t xml:space="preserve"> (pp. 213-249).  İstanbul: Yapı Kredi Yayınları.</w:t>
      </w:r>
    </w:p>
    <w:p w14:paraId="7738867F" w14:textId="77777777" w:rsidR="0088351C" w:rsidRPr="00F03A26" w:rsidRDefault="0088351C" w:rsidP="00F03A26">
      <w:pPr>
        <w:spacing w:before="100" w:beforeAutospacing="1" w:after="100" w:afterAutospacing="1" w:line="276" w:lineRule="auto"/>
        <w:jc w:val="both"/>
        <w:rPr>
          <w:rFonts w:asciiTheme="majorBidi" w:hAnsiTheme="majorBidi" w:cstheme="majorBidi"/>
          <w:lang w:val="en-GB"/>
        </w:rPr>
      </w:pPr>
      <w:r w:rsidRPr="00F03A26">
        <w:rPr>
          <w:rFonts w:asciiTheme="majorBidi" w:eastAsia="Times New Roman" w:hAnsiTheme="majorBidi" w:cstheme="majorBidi"/>
          <w:lang w:val="en-GB"/>
        </w:rPr>
        <w:t xml:space="preserve">Tarhan, M.T. (2021). The Capital Tushpa/Van Citadel, </w:t>
      </w:r>
      <w:r w:rsidRPr="00F03A26">
        <w:rPr>
          <w:rFonts w:asciiTheme="majorBidi" w:hAnsiTheme="majorBidi" w:cstheme="majorBidi"/>
          <w:lang w:val="en-GB"/>
        </w:rPr>
        <w:t xml:space="preserve">In G. R. Tsetskhladze, A. Çilingiroğlu, M. B. Baştürk, &amp; J. Hargrave (Eds.), </w:t>
      </w:r>
      <w:r w:rsidRPr="00F03A26">
        <w:rPr>
          <w:rFonts w:asciiTheme="majorBidi" w:hAnsiTheme="majorBidi" w:cstheme="majorBidi"/>
          <w:i/>
          <w:iCs/>
          <w:lang w:val="en-GB"/>
        </w:rPr>
        <w:t>Archaeology and History of Urartu (Biainili)</w:t>
      </w:r>
      <w:r w:rsidRPr="00F03A26">
        <w:rPr>
          <w:rFonts w:asciiTheme="majorBidi" w:hAnsiTheme="majorBidi" w:cstheme="majorBidi"/>
          <w:lang w:val="en-GB"/>
        </w:rPr>
        <w:t>, Colloquia Antiqua (Vol. 28, pp. 681–758). Leuven: Peeters Publishers.</w:t>
      </w:r>
    </w:p>
    <w:p w14:paraId="4E8C9BF7" w14:textId="77777777" w:rsidR="0088351C" w:rsidRPr="00F03A26" w:rsidRDefault="0088351C" w:rsidP="00F03A26">
      <w:pPr>
        <w:autoSpaceDE w:val="0"/>
        <w:autoSpaceDN w:val="0"/>
        <w:adjustRightInd w:val="0"/>
        <w:spacing w:before="120" w:after="120"/>
        <w:jc w:val="both"/>
        <w:rPr>
          <w:rFonts w:asciiTheme="majorBidi" w:eastAsia="Brill-Roman" w:hAnsiTheme="majorBidi" w:cstheme="majorBidi"/>
          <w:lang w:val="en-GB"/>
        </w:rPr>
      </w:pPr>
      <w:r w:rsidRPr="00F03A26">
        <w:rPr>
          <w:rFonts w:asciiTheme="majorBidi" w:eastAsia="Brill-Roman" w:hAnsiTheme="majorBidi" w:cstheme="majorBidi"/>
          <w:lang w:val="en-GB"/>
        </w:rPr>
        <w:t xml:space="preserve">Tarhan, M. T. </w:t>
      </w:r>
      <w:r w:rsidRPr="00F03A26">
        <w:rPr>
          <w:rFonts w:asciiTheme="majorBidi" w:eastAsia="Times New Roman" w:hAnsiTheme="majorBidi" w:cstheme="majorBidi"/>
          <w:lang w:val="en-GB" w:eastAsia="tr-TR" w:bidi="he-IL"/>
        </w:rPr>
        <w:t xml:space="preserve">&amp; </w:t>
      </w:r>
      <w:r w:rsidRPr="00F03A26">
        <w:rPr>
          <w:rFonts w:asciiTheme="majorBidi" w:eastAsia="Brill-Roman" w:hAnsiTheme="majorBidi" w:cstheme="majorBidi"/>
          <w:lang w:val="en-GB"/>
        </w:rPr>
        <w:t>Sevin, V. (1975). Urartu</w:t>
      </w:r>
      <w:r w:rsidRPr="00F03A26">
        <w:rPr>
          <w:rFonts w:asciiTheme="majorBidi" w:eastAsia="Brill-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eastAsia="Brill-Roman" w:hAnsiTheme="majorBidi" w:cstheme="majorBidi"/>
          <w:lang w:val="en-GB"/>
        </w:rPr>
        <w:fldChar w:fldCharType="end"/>
      </w:r>
      <w:r w:rsidRPr="00F03A26">
        <w:rPr>
          <w:rFonts w:asciiTheme="majorBidi" w:eastAsia="Brill-Roman" w:hAnsiTheme="majorBidi" w:cstheme="majorBidi"/>
          <w:lang w:val="en-GB"/>
        </w:rPr>
        <w:t xml:space="preserve"> Tapınak Kapılarıyla Anıtsal Kaya Nişleri Arasındaki Bağıntı/the Relation between Urartian</w:t>
      </w:r>
      <w:r w:rsidRPr="00F03A26">
        <w:rPr>
          <w:rFonts w:asciiTheme="majorBidi" w:eastAsia="Brill-Roman"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eastAsia="Brill-Roman" w:hAnsiTheme="majorBidi" w:cstheme="majorBidi"/>
          <w:lang w:val="en-GB"/>
        </w:rPr>
        <w:fldChar w:fldCharType="end"/>
      </w:r>
      <w:r w:rsidRPr="00F03A26">
        <w:rPr>
          <w:rFonts w:asciiTheme="majorBidi" w:eastAsia="Brill-Roman" w:hAnsiTheme="majorBidi" w:cstheme="majorBidi"/>
          <w:lang w:val="en-GB"/>
        </w:rPr>
        <w:t xml:space="preserve"> Temple Gates and Monumental Rock Niches, </w:t>
      </w:r>
      <w:r w:rsidRPr="00F03A26">
        <w:rPr>
          <w:rFonts w:asciiTheme="majorBidi" w:eastAsia="Brill-Italic" w:hAnsiTheme="majorBidi" w:cstheme="majorBidi"/>
          <w:i/>
          <w:iCs/>
          <w:lang w:val="en-GB"/>
        </w:rPr>
        <w:t xml:space="preserve">Belleten, </w:t>
      </w:r>
      <w:r w:rsidRPr="00F03A26">
        <w:rPr>
          <w:rFonts w:asciiTheme="majorBidi" w:eastAsia="Brill-Roman" w:hAnsiTheme="majorBidi" w:cstheme="majorBidi"/>
          <w:lang w:val="en-GB"/>
        </w:rPr>
        <w:t>39(155), 389-412.</w:t>
      </w:r>
    </w:p>
    <w:p w14:paraId="034826E1" w14:textId="77777777" w:rsidR="0088351C" w:rsidRPr="00F03A26" w:rsidRDefault="0088351C" w:rsidP="00F03A26">
      <w:pPr>
        <w:jc w:val="both"/>
        <w:rPr>
          <w:rFonts w:asciiTheme="majorBidi" w:eastAsia="Calibri" w:hAnsiTheme="majorBidi" w:cstheme="majorBidi"/>
          <w:lang w:val="en-GB"/>
        </w:rPr>
      </w:pPr>
      <w:r w:rsidRPr="00F03A26">
        <w:rPr>
          <w:rFonts w:asciiTheme="majorBidi" w:eastAsia="Calibri" w:hAnsiTheme="majorBidi" w:cstheme="majorBidi"/>
          <w:lang w:val="en-GB"/>
        </w:rPr>
        <w:t>Tarhan, M. T., &amp; Sevin, V. (1990). Van Kalesi</w:t>
      </w:r>
      <w:r w:rsidRPr="00F03A26">
        <w:rPr>
          <w:rFonts w:asciiTheme="majorBidi" w:eastAsia="Calibr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ve Eski Van Şehri Kazıları 1988. </w:t>
      </w:r>
      <w:r w:rsidRPr="00F03A26">
        <w:rPr>
          <w:rFonts w:asciiTheme="majorBidi" w:eastAsia="Calibri" w:hAnsiTheme="majorBidi" w:cstheme="majorBidi"/>
          <w:i/>
          <w:iCs/>
          <w:lang w:val="en-GB"/>
        </w:rPr>
        <w:t>Kazı Sonuçları Toplantısı</w:t>
      </w:r>
      <w:r w:rsidRPr="00F03A26">
        <w:rPr>
          <w:rFonts w:asciiTheme="majorBidi" w:eastAsia="Calibri" w:hAnsiTheme="majorBidi" w:cstheme="majorBidi"/>
          <w:lang w:val="en-GB"/>
        </w:rPr>
        <w:t xml:space="preserve"> </w:t>
      </w:r>
      <w:r w:rsidRPr="00F03A26">
        <w:rPr>
          <w:rFonts w:asciiTheme="majorBidi" w:eastAsia="Calibri" w:hAnsiTheme="majorBidi" w:cstheme="majorBidi"/>
          <w:i/>
          <w:iCs/>
          <w:lang w:val="en-GB"/>
        </w:rPr>
        <w:t>II</w:t>
      </w:r>
      <w:r w:rsidRPr="00F03A26">
        <w:rPr>
          <w:rFonts w:asciiTheme="majorBidi" w:eastAsia="Calibri" w:hAnsiTheme="majorBidi" w:cstheme="majorBidi"/>
          <w:lang w:val="en-GB"/>
        </w:rPr>
        <w:t>, 355-375.</w:t>
      </w:r>
    </w:p>
    <w:p w14:paraId="0208388B" w14:textId="77777777" w:rsidR="0088351C" w:rsidRPr="00F03A26" w:rsidRDefault="0088351C" w:rsidP="00F03A26">
      <w:pPr>
        <w:jc w:val="both"/>
        <w:rPr>
          <w:rFonts w:asciiTheme="majorBidi" w:eastAsia="Calibri" w:hAnsiTheme="majorBidi" w:cstheme="majorBidi"/>
          <w:lang w:val="en-GB"/>
        </w:rPr>
      </w:pPr>
    </w:p>
    <w:p w14:paraId="106DE5D2" w14:textId="77777777" w:rsidR="0088351C" w:rsidRPr="00F03A26" w:rsidRDefault="0088351C" w:rsidP="00F03A26">
      <w:pPr>
        <w:jc w:val="both"/>
        <w:rPr>
          <w:rFonts w:asciiTheme="majorBidi" w:eastAsia="Calibri" w:hAnsiTheme="majorBidi" w:cstheme="majorBidi"/>
          <w:lang w:val="en-GB"/>
        </w:rPr>
      </w:pPr>
      <w:r w:rsidRPr="00F03A26">
        <w:rPr>
          <w:rFonts w:asciiTheme="majorBidi" w:eastAsia="Calibri" w:hAnsiTheme="majorBidi" w:cstheme="majorBidi"/>
          <w:lang w:val="en-GB"/>
        </w:rPr>
        <w:t>Tarhan, M. T., &amp; Sevin, V. (1991). Van Kalesi</w:t>
      </w:r>
      <w:r w:rsidRPr="00F03A26">
        <w:rPr>
          <w:rFonts w:asciiTheme="majorBidi" w:eastAsia="Calibr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ve Eski Van Şehri Kazıları 1989. </w:t>
      </w:r>
      <w:r w:rsidRPr="00F03A26">
        <w:rPr>
          <w:rFonts w:asciiTheme="majorBidi" w:eastAsia="Calibri" w:hAnsiTheme="majorBidi" w:cstheme="majorBidi"/>
          <w:i/>
          <w:iCs/>
          <w:lang w:val="en-GB"/>
        </w:rPr>
        <w:t>Kazı Sonuçları Toplantısı</w:t>
      </w:r>
      <w:r w:rsidRPr="00F03A26">
        <w:rPr>
          <w:rFonts w:asciiTheme="majorBidi" w:eastAsia="Calibri" w:hAnsiTheme="majorBidi" w:cstheme="majorBidi"/>
          <w:lang w:val="en-GB"/>
        </w:rPr>
        <w:t xml:space="preserve"> </w:t>
      </w:r>
      <w:r w:rsidRPr="00F03A26">
        <w:rPr>
          <w:rFonts w:asciiTheme="majorBidi" w:eastAsia="Calibri" w:hAnsiTheme="majorBidi" w:cstheme="majorBidi"/>
          <w:i/>
          <w:iCs/>
          <w:lang w:val="en-GB"/>
        </w:rPr>
        <w:t xml:space="preserve">XII </w:t>
      </w:r>
      <w:r w:rsidRPr="00F03A26">
        <w:rPr>
          <w:rFonts w:asciiTheme="majorBidi" w:eastAsia="Calibri" w:hAnsiTheme="majorBidi" w:cstheme="majorBidi"/>
          <w:lang w:val="en-GB"/>
        </w:rPr>
        <w:t>(2), 429-456.</w:t>
      </w:r>
    </w:p>
    <w:p w14:paraId="6316720A" w14:textId="77777777" w:rsidR="0088351C" w:rsidRPr="00F03A26" w:rsidRDefault="0088351C" w:rsidP="00F03A26">
      <w:pPr>
        <w:jc w:val="both"/>
        <w:rPr>
          <w:rFonts w:asciiTheme="majorBidi" w:eastAsia="Calibri" w:hAnsiTheme="majorBidi" w:cstheme="majorBidi"/>
          <w:lang w:val="en-GB"/>
        </w:rPr>
      </w:pPr>
    </w:p>
    <w:p w14:paraId="6F21CA28" w14:textId="77777777" w:rsidR="0088351C" w:rsidRPr="00F03A26" w:rsidRDefault="0088351C" w:rsidP="00F03A26">
      <w:pPr>
        <w:jc w:val="both"/>
        <w:rPr>
          <w:rFonts w:asciiTheme="majorBidi" w:eastAsia="Calibri" w:hAnsiTheme="majorBidi" w:cstheme="majorBidi"/>
          <w:lang w:val="en-GB"/>
        </w:rPr>
      </w:pPr>
      <w:r w:rsidRPr="00F03A26">
        <w:rPr>
          <w:rFonts w:asciiTheme="majorBidi" w:eastAsia="Calibri" w:hAnsiTheme="majorBidi" w:cstheme="majorBidi"/>
          <w:lang w:val="en-GB"/>
        </w:rPr>
        <w:t>Tarhan, M. T., &amp; Sevin, V. (1992). Van Kalesi</w:t>
      </w:r>
      <w:r w:rsidRPr="00F03A26">
        <w:rPr>
          <w:rFonts w:asciiTheme="majorBidi" w:eastAsia="Calibr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ve Eski Van Şehri Kazıları 1990 Yılı Çalışmaları. </w:t>
      </w:r>
      <w:r w:rsidRPr="00F03A26">
        <w:rPr>
          <w:rFonts w:asciiTheme="majorBidi" w:eastAsia="Calibri" w:hAnsiTheme="majorBidi" w:cstheme="majorBidi"/>
          <w:i/>
          <w:iCs/>
          <w:lang w:val="en-GB"/>
        </w:rPr>
        <w:t>Belleten</w:t>
      </w:r>
      <w:r w:rsidRPr="00F03A26">
        <w:rPr>
          <w:rFonts w:asciiTheme="majorBidi" w:eastAsia="Calibri" w:hAnsiTheme="majorBidi" w:cstheme="majorBidi"/>
          <w:lang w:val="en-GB"/>
        </w:rPr>
        <w:t xml:space="preserve"> </w:t>
      </w:r>
      <w:r w:rsidRPr="00F03A26">
        <w:rPr>
          <w:rFonts w:asciiTheme="majorBidi" w:eastAsia="Calibri" w:hAnsiTheme="majorBidi" w:cstheme="majorBidi"/>
          <w:i/>
          <w:iCs/>
          <w:lang w:val="en-GB"/>
        </w:rPr>
        <w:t>LVI</w:t>
      </w:r>
      <w:r w:rsidRPr="00F03A26">
        <w:rPr>
          <w:rFonts w:asciiTheme="majorBidi" w:eastAsia="Calibri" w:hAnsiTheme="majorBidi" w:cstheme="majorBidi"/>
          <w:lang w:val="en-GB"/>
        </w:rPr>
        <w:t>-217, 1081-1099.</w:t>
      </w:r>
    </w:p>
    <w:p w14:paraId="7E555710" w14:textId="77777777" w:rsidR="0088351C" w:rsidRPr="00F03A26" w:rsidRDefault="0088351C" w:rsidP="00F03A26">
      <w:pPr>
        <w:jc w:val="both"/>
        <w:rPr>
          <w:rFonts w:asciiTheme="majorBidi" w:eastAsia="Calibri" w:hAnsiTheme="majorBidi" w:cstheme="majorBidi"/>
          <w:lang w:val="en-GB"/>
        </w:rPr>
      </w:pPr>
    </w:p>
    <w:p w14:paraId="2AFA0EA7" w14:textId="77777777" w:rsidR="0088351C" w:rsidRPr="00F03A26" w:rsidRDefault="0088351C" w:rsidP="00F03A26">
      <w:pPr>
        <w:jc w:val="both"/>
        <w:rPr>
          <w:rFonts w:asciiTheme="majorBidi" w:eastAsia="Calibri" w:hAnsiTheme="majorBidi" w:cstheme="majorBidi"/>
          <w:lang w:val="en-GB"/>
        </w:rPr>
      </w:pPr>
      <w:r w:rsidRPr="00F03A26">
        <w:rPr>
          <w:rFonts w:asciiTheme="majorBidi" w:eastAsia="Calibri" w:hAnsiTheme="majorBidi" w:cstheme="majorBidi"/>
          <w:lang w:val="en-GB"/>
        </w:rPr>
        <w:t>Tarhan, M. T., &amp; Sevin, V. (1993a). Van Kalesi</w:t>
      </w:r>
      <w:r w:rsidRPr="00F03A26">
        <w:rPr>
          <w:rFonts w:asciiTheme="majorBidi" w:eastAsia="Calibr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ve Eski Van Şehri Kazıları, 1991. </w:t>
      </w:r>
      <w:r w:rsidRPr="00F03A26">
        <w:rPr>
          <w:rFonts w:asciiTheme="majorBidi" w:eastAsia="Calibri" w:hAnsiTheme="majorBidi" w:cstheme="majorBidi"/>
          <w:i/>
          <w:iCs/>
          <w:lang w:val="en-GB"/>
        </w:rPr>
        <w:t>Kazı Sonuçları Toplantısı</w:t>
      </w:r>
      <w:r w:rsidRPr="00F03A26">
        <w:rPr>
          <w:rFonts w:asciiTheme="majorBidi" w:eastAsia="Calibri" w:hAnsiTheme="majorBidi" w:cstheme="majorBidi"/>
          <w:lang w:val="en-GB"/>
        </w:rPr>
        <w:t xml:space="preserve"> </w:t>
      </w:r>
      <w:r w:rsidRPr="00F03A26">
        <w:rPr>
          <w:rFonts w:asciiTheme="majorBidi" w:eastAsia="Calibri" w:hAnsiTheme="majorBidi" w:cstheme="majorBidi"/>
          <w:i/>
          <w:iCs/>
          <w:lang w:val="en-GB"/>
        </w:rPr>
        <w:t>XIV</w:t>
      </w:r>
      <w:r w:rsidRPr="00F03A26">
        <w:rPr>
          <w:rFonts w:asciiTheme="majorBidi" w:eastAsia="Calibri" w:hAnsiTheme="majorBidi" w:cstheme="majorBidi"/>
          <w:lang w:val="en-GB"/>
        </w:rPr>
        <w:t xml:space="preserve"> (2), 407-429.</w:t>
      </w:r>
    </w:p>
    <w:p w14:paraId="5610F0A9" w14:textId="77777777" w:rsidR="0088351C" w:rsidRPr="00F03A26" w:rsidRDefault="0088351C" w:rsidP="00F03A26">
      <w:pPr>
        <w:jc w:val="both"/>
        <w:rPr>
          <w:rFonts w:asciiTheme="majorBidi" w:eastAsia="Calibri" w:hAnsiTheme="majorBidi" w:cstheme="majorBidi"/>
          <w:lang w:val="en-GB"/>
        </w:rPr>
      </w:pPr>
    </w:p>
    <w:p w14:paraId="62ED74FC" w14:textId="77777777" w:rsidR="0088351C" w:rsidRPr="00F03A26" w:rsidRDefault="0088351C" w:rsidP="00F03A26">
      <w:pPr>
        <w:jc w:val="both"/>
        <w:rPr>
          <w:rFonts w:asciiTheme="majorBidi" w:eastAsia="Calibri" w:hAnsiTheme="majorBidi" w:cstheme="majorBidi"/>
          <w:lang w:val="en-GB"/>
        </w:rPr>
      </w:pPr>
      <w:r w:rsidRPr="00F03A26">
        <w:rPr>
          <w:rFonts w:asciiTheme="majorBidi" w:eastAsia="Calibri" w:hAnsiTheme="majorBidi" w:cstheme="majorBidi"/>
          <w:lang w:val="en-GB"/>
        </w:rPr>
        <w:t>Tarhan, M. T., &amp; Sevin, V. (1993b). Van Kalesi</w:t>
      </w:r>
      <w:r w:rsidRPr="00F03A26">
        <w:rPr>
          <w:rFonts w:asciiTheme="majorBidi" w:eastAsia="Calibri" w:hAnsiTheme="majorBidi" w:cstheme="majorBidi"/>
          <w:lang w:val="en-GB"/>
        </w:rPr>
        <w:fldChar w:fldCharType="begin"/>
      </w:r>
      <w:r w:rsidRPr="00F03A26">
        <w:rPr>
          <w:rFonts w:asciiTheme="majorBidi" w:hAnsiTheme="majorBidi" w:cstheme="majorBidi"/>
          <w:lang w:val="en-GB"/>
        </w:rPr>
        <w:instrText xml:space="preserve"> XE "Van Kalesi" </w:instrText>
      </w:r>
      <w:r w:rsidRPr="00F03A26">
        <w:rPr>
          <w:rFonts w:asciiTheme="majorBidi" w:eastAsia="Calibri" w:hAnsiTheme="majorBidi" w:cstheme="majorBidi"/>
          <w:lang w:val="en-GB"/>
        </w:rPr>
        <w:fldChar w:fldCharType="end"/>
      </w:r>
      <w:r w:rsidRPr="00F03A26">
        <w:rPr>
          <w:rFonts w:asciiTheme="majorBidi" w:eastAsia="Calibri" w:hAnsiTheme="majorBidi" w:cstheme="majorBidi"/>
          <w:lang w:val="en-GB"/>
        </w:rPr>
        <w:t xml:space="preserve"> ve Eski Van Şehri Kazıları 1990 Yılı Çalışmaları. </w:t>
      </w:r>
      <w:r w:rsidRPr="00F03A26">
        <w:rPr>
          <w:rFonts w:asciiTheme="majorBidi" w:eastAsia="Calibri" w:hAnsiTheme="majorBidi" w:cstheme="majorBidi"/>
          <w:i/>
          <w:iCs/>
          <w:lang w:val="en-GB"/>
        </w:rPr>
        <w:t>Belleten</w:t>
      </w:r>
      <w:r w:rsidRPr="00F03A26">
        <w:rPr>
          <w:rFonts w:asciiTheme="majorBidi" w:eastAsia="Calibri" w:hAnsiTheme="majorBidi" w:cstheme="majorBidi"/>
          <w:lang w:val="en-GB"/>
        </w:rPr>
        <w:t xml:space="preserve"> </w:t>
      </w:r>
      <w:r w:rsidRPr="00F03A26">
        <w:rPr>
          <w:rFonts w:asciiTheme="majorBidi" w:eastAsia="Calibri" w:hAnsiTheme="majorBidi" w:cstheme="majorBidi"/>
          <w:i/>
          <w:iCs/>
          <w:lang w:val="en-GB"/>
        </w:rPr>
        <w:t>LVII-</w:t>
      </w:r>
      <w:r w:rsidRPr="00F03A26">
        <w:rPr>
          <w:rFonts w:asciiTheme="majorBidi" w:eastAsia="Calibri" w:hAnsiTheme="majorBidi" w:cstheme="majorBidi"/>
          <w:lang w:val="en-GB"/>
        </w:rPr>
        <w:t>(220), 843-862).</w:t>
      </w:r>
    </w:p>
    <w:p w14:paraId="4AADCF79" w14:textId="77777777" w:rsidR="0088351C" w:rsidRPr="00F03A26" w:rsidRDefault="0088351C" w:rsidP="00F03A26">
      <w:pPr>
        <w:autoSpaceDE w:val="0"/>
        <w:autoSpaceDN w:val="0"/>
        <w:adjustRightInd w:val="0"/>
        <w:jc w:val="both"/>
        <w:rPr>
          <w:rFonts w:asciiTheme="majorBidi" w:eastAsia="Times New Roman" w:hAnsiTheme="majorBidi" w:cstheme="majorBidi"/>
          <w:lang w:val="en-GB"/>
        </w:rPr>
      </w:pPr>
    </w:p>
    <w:p w14:paraId="08FD2C54" w14:textId="77777777" w:rsidR="0088351C" w:rsidRPr="00F03A26" w:rsidRDefault="0088351C" w:rsidP="00F03A26">
      <w:pPr>
        <w:pStyle w:val="EndNoteBibliography"/>
        <w:jc w:val="both"/>
        <w:rPr>
          <w:rFonts w:asciiTheme="majorBidi" w:hAnsiTheme="majorBidi" w:cstheme="majorBidi"/>
          <w:szCs w:val="24"/>
          <w:lang w:val="en-GB"/>
        </w:rPr>
      </w:pPr>
      <w:r w:rsidRPr="00F03A26">
        <w:rPr>
          <w:rFonts w:asciiTheme="majorBidi" w:hAnsiTheme="majorBidi" w:cstheme="majorBidi"/>
          <w:lang w:val="en-GB"/>
        </w:rPr>
        <w:t>Texier</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lang w:val="en-GB"/>
        </w:rPr>
        <w:instrText>Texier</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 (1852).  </w:t>
      </w:r>
      <w:r w:rsidRPr="00F03A26">
        <w:rPr>
          <w:rFonts w:asciiTheme="majorBidi" w:hAnsiTheme="majorBidi" w:cstheme="majorBidi"/>
          <w:i/>
          <w:iCs/>
          <w:lang w:val="en-GB"/>
        </w:rPr>
        <w:t>Description de l’Armenie la Perse et la Mesopotamie - Van</w:t>
      </w:r>
      <w:r w:rsidRPr="00F03A26">
        <w:rPr>
          <w:rFonts w:asciiTheme="majorBidi" w:hAnsiTheme="majorBidi" w:cstheme="majorBidi"/>
          <w:lang w:val="en-GB"/>
        </w:rPr>
        <w:t xml:space="preserve">, Paris: </w:t>
      </w:r>
      <w:r w:rsidRPr="00F03A26">
        <w:rPr>
          <w:rFonts w:asciiTheme="majorBidi" w:hAnsiTheme="majorBidi" w:cstheme="majorBidi"/>
          <w:szCs w:val="24"/>
          <w:lang w:val="en-GB"/>
        </w:rPr>
        <w:t>Typographie de Firmin Didot Freres.</w:t>
      </w:r>
    </w:p>
    <w:p w14:paraId="739A3E0C" w14:textId="77777777" w:rsidR="0088351C" w:rsidRPr="00F03A26" w:rsidRDefault="0088351C" w:rsidP="00F03A26">
      <w:pPr>
        <w:jc w:val="both"/>
        <w:rPr>
          <w:rFonts w:asciiTheme="majorBidi" w:hAnsiTheme="majorBidi" w:cstheme="majorBidi"/>
          <w:lang w:val="en-GB"/>
        </w:rPr>
      </w:pPr>
    </w:p>
    <w:p w14:paraId="7F4B40A6"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 xml:space="preserve">Thomson, R. W. (1976). </w:t>
      </w:r>
      <w:r w:rsidRPr="00F03A26">
        <w:rPr>
          <w:rFonts w:asciiTheme="majorBidi" w:hAnsiTheme="majorBidi" w:cstheme="majorBidi"/>
          <w:i/>
          <w:iCs/>
          <w:lang w:val="en-GB"/>
        </w:rPr>
        <w:t>History of the Armenians</w:t>
      </w:r>
      <w:r w:rsidRPr="00F03A26">
        <w:rPr>
          <w:rFonts w:asciiTheme="majorBidi" w:hAnsiTheme="majorBidi" w:cstheme="majorBidi"/>
          <w:lang w:val="en-GB"/>
        </w:rPr>
        <w:t xml:space="preserve"> (1st ed. ed.). Albany: State University of New York Press. </w:t>
      </w:r>
    </w:p>
    <w:p w14:paraId="04FC2EE6" w14:textId="77777777" w:rsidR="0088351C" w:rsidRPr="00F03A26" w:rsidRDefault="0088351C" w:rsidP="00F03A26">
      <w:pPr>
        <w:jc w:val="both"/>
        <w:rPr>
          <w:rFonts w:asciiTheme="majorBidi" w:hAnsiTheme="majorBidi" w:cstheme="majorBidi"/>
          <w:color w:val="000000" w:themeColor="text1"/>
          <w:lang w:val="en-GB"/>
        </w:rPr>
      </w:pPr>
    </w:p>
    <w:p w14:paraId="599FD424"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 xml:space="preserve">Thierry, M. (1976). </w:t>
      </w:r>
      <w:r w:rsidRPr="00F03A26">
        <w:rPr>
          <w:rFonts w:asciiTheme="majorBidi" w:eastAsia="Code2000" w:hAnsiTheme="majorBidi" w:cstheme="majorBidi"/>
          <w:lang w:val="en-GB"/>
        </w:rPr>
        <w:t xml:space="preserve">Notes de Géographie Historique sur le Vaspurakan, </w:t>
      </w:r>
      <w:r w:rsidRPr="00F03A26">
        <w:rPr>
          <w:rFonts w:asciiTheme="majorBidi" w:hAnsiTheme="majorBidi" w:cstheme="majorBidi"/>
          <w:i/>
          <w:lang w:val="en-GB"/>
        </w:rPr>
        <w:t>Revue des Études Byzantines</w:t>
      </w:r>
      <w:r w:rsidRPr="00F03A26">
        <w:rPr>
          <w:rFonts w:asciiTheme="majorBidi" w:hAnsiTheme="majorBidi" w:cstheme="majorBidi"/>
          <w:iCs/>
          <w:lang w:val="en-GB"/>
        </w:rPr>
        <w:t>,</w:t>
      </w:r>
      <w:r w:rsidRPr="00F03A26">
        <w:rPr>
          <w:rFonts w:asciiTheme="majorBidi" w:hAnsiTheme="majorBidi" w:cstheme="majorBidi"/>
          <w:lang w:val="en-GB"/>
        </w:rPr>
        <w:t xml:space="preserve"> 34, 159-173.</w:t>
      </w:r>
    </w:p>
    <w:p w14:paraId="639A57D2"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Tirats’yan, Gevork A. (1978). Урартский Армавир (По данным археологических раскопок) /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Armavir (According to archaeological excavations)”, In </w:t>
      </w:r>
      <w:r w:rsidRPr="00F03A26">
        <w:rPr>
          <w:rFonts w:asciiTheme="majorBidi" w:hAnsiTheme="majorBidi" w:cstheme="majorBidi"/>
          <w:shd w:val="clear" w:color="auto" w:fill="FFFFFF"/>
          <w:lang w:val="en-GB"/>
        </w:rPr>
        <w:t xml:space="preserve">V. G. L (Ed.), </w:t>
      </w:r>
      <w:r w:rsidRPr="00F03A26">
        <w:rPr>
          <w:rFonts w:asciiTheme="majorBidi" w:hAnsiTheme="majorBidi" w:cstheme="majorBidi"/>
          <w:i/>
          <w:lang w:val="en-GB"/>
        </w:rPr>
        <w:t>Культура Востока. Древность и раннее средневековье</w:t>
      </w:r>
      <w:r w:rsidRPr="00F03A26">
        <w:rPr>
          <w:rFonts w:asciiTheme="majorBidi" w:hAnsiTheme="majorBidi" w:cstheme="majorBidi"/>
          <w:lang w:val="en-GB"/>
        </w:rPr>
        <w:t xml:space="preserve"> / </w:t>
      </w:r>
      <w:r w:rsidRPr="00F03A26">
        <w:rPr>
          <w:rFonts w:asciiTheme="majorBidi" w:hAnsiTheme="majorBidi" w:cstheme="majorBidi"/>
          <w:i/>
          <w:iCs/>
          <w:lang w:val="en-GB"/>
        </w:rPr>
        <w:t>Culture of the East. The antiquity and the early Middle Ages</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"Middle Ages"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w:t>
      </w:r>
      <w:r w:rsidRPr="00F03A26">
        <w:rPr>
          <w:rFonts w:asciiTheme="majorBidi" w:hAnsiTheme="majorBidi" w:cstheme="majorBidi"/>
          <w:lang w:val="en-GB"/>
        </w:rPr>
        <w:t>(106-114). Аврора/Aurora (in Russian).</w:t>
      </w:r>
    </w:p>
    <w:p w14:paraId="3327FEF6" w14:textId="77777777" w:rsidR="0088351C" w:rsidRPr="00F03A26" w:rsidRDefault="0088351C" w:rsidP="00F03A26">
      <w:pPr>
        <w:jc w:val="both"/>
        <w:rPr>
          <w:rFonts w:asciiTheme="majorBidi" w:hAnsiTheme="majorBidi" w:cstheme="majorBidi"/>
          <w:lang w:val="en-GB"/>
        </w:rPr>
      </w:pPr>
    </w:p>
    <w:p w14:paraId="206CFDE2" w14:textId="77777777" w:rsidR="0088351C" w:rsidRPr="00F03A26" w:rsidRDefault="0088351C" w:rsidP="00F03A26">
      <w:pPr>
        <w:spacing w:before="120" w:after="120"/>
        <w:jc w:val="both"/>
        <w:rPr>
          <w:rFonts w:asciiTheme="majorBidi" w:hAnsiTheme="majorBidi" w:cstheme="majorBidi"/>
          <w:lang w:val="en-GB"/>
        </w:rPr>
      </w:pPr>
      <w:r w:rsidRPr="00F03A26">
        <w:rPr>
          <w:rFonts w:asciiTheme="majorBidi" w:hAnsiTheme="majorBidi" w:cstheme="majorBidi"/>
          <w:lang w:val="en-GB"/>
        </w:rPr>
        <w:t>Tirats’yan, Gevork A. (2003),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Civilization and Achaemenian Iran”, In R. Vardanyan (Ed.) </w:t>
      </w:r>
      <w:r w:rsidRPr="00F03A26">
        <w:rPr>
          <w:rFonts w:asciiTheme="majorBidi" w:hAnsiTheme="majorBidi" w:cstheme="majorBidi"/>
          <w:i/>
          <w:iCs/>
          <w:lang w:val="en-GB"/>
        </w:rPr>
        <w:t>From Urartu</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to Armenia</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lang w:val="en-GB"/>
        </w:rPr>
        <w:instrText>Armenia</w:instrText>
      </w:r>
      <w:r w:rsidRPr="00F03A26">
        <w:rPr>
          <w:rFonts w:asciiTheme="majorBidi" w:hAnsiTheme="majorBidi" w:cstheme="majorBidi"/>
          <w:lang w:val="en-GB"/>
        </w:rPr>
        <w:instrText xml:space="preserve">"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-Florilegium Gevork A. </w:t>
      </w:r>
      <w:r w:rsidRPr="00F03A26">
        <w:rPr>
          <w:rFonts w:asciiTheme="majorBidi" w:hAnsiTheme="majorBidi" w:cstheme="majorBidi"/>
          <w:lang w:val="en-GB"/>
        </w:rPr>
        <w:t>Tirats’yan (23-31). Recherches et Publications, Neuchâtel.</w:t>
      </w:r>
    </w:p>
    <w:p w14:paraId="10548AC4" w14:textId="77777777" w:rsidR="0088351C" w:rsidRPr="00F03A26" w:rsidRDefault="0088351C" w:rsidP="00F03A26">
      <w:pPr>
        <w:jc w:val="both"/>
        <w:rPr>
          <w:rFonts w:asciiTheme="majorBidi" w:hAnsiTheme="majorBidi" w:cstheme="majorBidi"/>
          <w:color w:val="000000" w:themeColor="text1"/>
          <w:lang w:val="en-GB"/>
        </w:rPr>
      </w:pPr>
    </w:p>
    <w:p w14:paraId="165C3582" w14:textId="77777777" w:rsidR="0088351C" w:rsidRPr="00F03A26" w:rsidRDefault="0088351C" w:rsidP="00F03A26">
      <w:pPr>
        <w:jc w:val="both"/>
        <w:rPr>
          <w:rFonts w:asciiTheme="majorBidi" w:hAnsiTheme="majorBidi" w:cstheme="majorBidi"/>
          <w:color w:val="000000" w:themeColor="text1"/>
          <w:lang w:val="en-GB"/>
        </w:rPr>
      </w:pPr>
      <w:r w:rsidRPr="00F03A26">
        <w:rPr>
          <w:rFonts w:asciiTheme="majorBidi" w:hAnsiTheme="majorBidi" w:cstheme="majorBidi"/>
          <w:color w:val="000000" w:themeColor="text1"/>
          <w:lang w:val="en-GB"/>
        </w:rPr>
        <w:t>Tozer</w:t>
      </w:r>
      <w:r w:rsidRPr="00F03A26">
        <w:rPr>
          <w:rFonts w:asciiTheme="majorBidi" w:hAnsiTheme="majorBidi" w:cstheme="majorBidi"/>
          <w:color w:val="000000" w:themeColor="text1"/>
          <w:lang w:val="en-GB"/>
        </w:rPr>
        <w:fldChar w:fldCharType="begin"/>
      </w:r>
      <w:r w:rsidRPr="00F03A26">
        <w:rPr>
          <w:rFonts w:asciiTheme="majorBidi" w:hAnsiTheme="majorBidi" w:cstheme="majorBidi"/>
          <w:lang w:val="en-GB"/>
        </w:rPr>
        <w:instrText xml:space="preserve"> XE "</w:instrText>
      </w:r>
      <w:r w:rsidRPr="00F03A26">
        <w:rPr>
          <w:rFonts w:asciiTheme="majorBidi" w:hAnsiTheme="majorBidi" w:cstheme="majorBidi"/>
          <w:iCs/>
          <w:color w:val="000000" w:themeColor="text1"/>
          <w:lang w:val="en-GB"/>
        </w:rPr>
        <w:instrText>Tozer</w:instrText>
      </w:r>
      <w:r w:rsidRPr="00F03A26">
        <w:rPr>
          <w:rFonts w:asciiTheme="majorBidi" w:hAnsiTheme="majorBidi" w:cstheme="majorBidi"/>
          <w:lang w:val="en-GB"/>
        </w:rPr>
        <w:instrText xml:space="preserve">" </w:instrText>
      </w:r>
      <w:r w:rsidRPr="00F03A26">
        <w:rPr>
          <w:rFonts w:asciiTheme="majorBidi" w:hAnsiTheme="majorBidi" w:cstheme="majorBidi"/>
          <w:color w:val="000000" w:themeColor="text1"/>
          <w:lang w:val="en-GB"/>
        </w:rPr>
        <w:fldChar w:fldCharType="end"/>
      </w:r>
      <w:r w:rsidRPr="00F03A26">
        <w:rPr>
          <w:rFonts w:asciiTheme="majorBidi" w:hAnsiTheme="majorBidi" w:cstheme="majorBidi"/>
          <w:color w:val="000000" w:themeColor="text1"/>
          <w:lang w:val="en-GB"/>
        </w:rPr>
        <w:t xml:space="preserve">, H.F. (1881). </w:t>
      </w:r>
      <w:r w:rsidRPr="00F03A26">
        <w:rPr>
          <w:rFonts w:asciiTheme="majorBidi" w:hAnsiTheme="majorBidi" w:cstheme="majorBidi"/>
          <w:i/>
          <w:iCs/>
          <w:color w:val="000000" w:themeColor="text1"/>
          <w:lang w:val="en-GB"/>
        </w:rPr>
        <w:t>Turkish Armenia</w:t>
      </w:r>
      <w:r w:rsidRPr="00F03A26">
        <w:rPr>
          <w:rFonts w:asciiTheme="majorBidi" w:hAnsiTheme="majorBidi" w:cstheme="majorBidi"/>
          <w:i/>
          <w:iCs/>
          <w:color w:val="000000" w:themeColor="text1"/>
          <w:lang w:val="en-GB"/>
        </w:rPr>
        <w:fldChar w:fldCharType="begin"/>
      </w:r>
      <w:r w:rsidRPr="00F03A26">
        <w:rPr>
          <w:rFonts w:asciiTheme="majorBidi" w:hAnsiTheme="majorBidi" w:cstheme="majorBidi"/>
          <w:i/>
          <w:iCs/>
          <w:lang w:val="en-GB"/>
        </w:rPr>
        <w:instrText xml:space="preserve"> XE "</w:instrText>
      </w:r>
      <w:r w:rsidRPr="00F03A26">
        <w:rPr>
          <w:rStyle w:val="y2iqfc"/>
          <w:rFonts w:asciiTheme="majorBidi" w:eastAsia="Arial" w:hAnsiTheme="majorBidi" w:cstheme="majorBidi"/>
          <w:i/>
          <w:iCs/>
          <w:color w:val="202124"/>
          <w:lang w:val="en-GB"/>
        </w:rPr>
        <w:instrText>Armenia</w:instrText>
      </w:r>
      <w:r w:rsidRPr="00F03A26">
        <w:rPr>
          <w:rFonts w:asciiTheme="majorBidi" w:hAnsiTheme="majorBidi" w:cstheme="majorBidi"/>
          <w:i/>
          <w:iCs/>
          <w:lang w:val="en-GB"/>
        </w:rPr>
        <w:instrText xml:space="preserve">" </w:instrText>
      </w:r>
      <w:r w:rsidRPr="00F03A26">
        <w:rPr>
          <w:rFonts w:asciiTheme="majorBidi" w:hAnsiTheme="majorBidi" w:cstheme="majorBidi"/>
          <w:i/>
          <w:iCs/>
          <w:color w:val="000000" w:themeColor="text1"/>
          <w:lang w:val="en-GB"/>
        </w:rPr>
        <w:fldChar w:fldCharType="end"/>
      </w:r>
      <w:r w:rsidRPr="00F03A26">
        <w:rPr>
          <w:rFonts w:asciiTheme="majorBidi" w:hAnsiTheme="majorBidi" w:cstheme="majorBidi"/>
          <w:i/>
          <w:iCs/>
          <w:color w:val="000000" w:themeColor="text1"/>
          <w:lang w:val="en-GB"/>
        </w:rPr>
        <w:t xml:space="preserve"> and Eastern Asia Minor</w:t>
      </w:r>
      <w:r w:rsidRPr="00F03A26">
        <w:rPr>
          <w:rFonts w:asciiTheme="majorBidi" w:hAnsiTheme="majorBidi" w:cstheme="majorBidi"/>
          <w:color w:val="000000" w:themeColor="text1"/>
          <w:lang w:val="en-GB"/>
        </w:rPr>
        <w:t>. London: Longmans, Green &amp; Co.</w:t>
      </w:r>
    </w:p>
    <w:p w14:paraId="6A7D6775" w14:textId="77777777" w:rsidR="0088351C" w:rsidRPr="00F03A26" w:rsidRDefault="0088351C" w:rsidP="00F03A26">
      <w:pPr>
        <w:jc w:val="both"/>
        <w:rPr>
          <w:rFonts w:asciiTheme="majorBidi" w:hAnsiTheme="majorBidi" w:cstheme="majorBidi"/>
          <w:lang w:val="en-GB"/>
        </w:rPr>
      </w:pPr>
    </w:p>
    <w:p w14:paraId="67F6EC49"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lastRenderedPageBreak/>
        <w:t xml:space="preserve">Trémouille, M.C. and Dan, R. (2022). Some Remarks on Changes in the Water level of Lake Van, Turkey: an Evaluation of Cartographic and Archaeological Evidence, </w:t>
      </w:r>
      <w:r w:rsidRPr="00F03A26">
        <w:rPr>
          <w:rFonts w:asciiTheme="majorBidi" w:hAnsiTheme="majorBidi" w:cstheme="majorBidi"/>
          <w:i/>
          <w:iCs/>
          <w:lang w:val="en-GB"/>
        </w:rPr>
        <w:t>East and West</w:t>
      </w:r>
      <w:r w:rsidRPr="00F03A26">
        <w:rPr>
          <w:rFonts w:asciiTheme="majorBidi" w:hAnsiTheme="majorBidi" w:cstheme="majorBidi"/>
          <w:lang w:val="en-GB"/>
        </w:rPr>
        <w:t xml:space="preserve"> 3,71-95.</w:t>
      </w:r>
    </w:p>
    <w:p w14:paraId="06D3A53C" w14:textId="77777777" w:rsidR="0088351C" w:rsidRPr="00F03A26" w:rsidRDefault="0088351C" w:rsidP="00F03A26">
      <w:pPr>
        <w:jc w:val="both"/>
        <w:rPr>
          <w:rFonts w:asciiTheme="majorBidi" w:hAnsiTheme="majorBidi" w:cstheme="majorBidi"/>
          <w:lang w:val="en-GB"/>
        </w:rPr>
      </w:pPr>
    </w:p>
    <w:p w14:paraId="007693D1"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Tseretheli, G. V.</w:t>
      </w:r>
      <w:r w:rsidRPr="00F03A26">
        <w:rPr>
          <w:rFonts w:asciiTheme="majorBidi" w:hAnsiTheme="majorBidi" w:cstheme="majorBidi"/>
          <w:b/>
          <w:bCs/>
          <w:lang w:val="en-GB"/>
        </w:rPr>
        <w:t xml:space="preserve"> (</w:t>
      </w:r>
      <w:r w:rsidRPr="00F03A26">
        <w:rPr>
          <w:rFonts w:asciiTheme="majorBidi" w:hAnsiTheme="majorBidi" w:cstheme="majorBidi"/>
          <w:lang w:val="en-GB"/>
        </w:rPr>
        <w:t xml:space="preserve">1939). </w:t>
      </w:r>
      <w:r w:rsidRPr="00F03A26">
        <w:rPr>
          <w:rFonts w:asciiTheme="majorBidi" w:hAnsiTheme="majorBidi" w:cstheme="majorBidi"/>
          <w:i/>
          <w:iCs/>
          <w:lang w:val="en-GB"/>
        </w:rPr>
        <w:t>Urartskie Pamjatniki Muzeja Gruzii/The Urartean Monuments in the Georgian Museum</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"Georgian Museum"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Tbilissi, </w:t>
      </w:r>
      <w:r w:rsidRPr="00F03A26">
        <w:rPr>
          <w:rFonts w:asciiTheme="majorBidi" w:hAnsiTheme="majorBidi" w:cstheme="majorBidi"/>
          <w:lang w:val="en-GB"/>
        </w:rPr>
        <w:t>Georgian Branch of the Academy of Sciences of the USSR, Tbilisi.</w:t>
      </w:r>
    </w:p>
    <w:p w14:paraId="6011620F" w14:textId="77777777" w:rsidR="0088351C" w:rsidRPr="00F03A26" w:rsidRDefault="0088351C" w:rsidP="00F03A26">
      <w:pPr>
        <w:jc w:val="both"/>
        <w:rPr>
          <w:rFonts w:asciiTheme="majorBidi" w:hAnsiTheme="majorBidi" w:cstheme="majorBidi"/>
          <w:lang w:val="en-GB"/>
        </w:rPr>
      </w:pPr>
    </w:p>
    <w:p w14:paraId="15EBCEF1"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Ussishkin, D. (1994). The Rock-Cut Tombs at Van and Monumental Tombs in the Near East</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"Near East"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Anatolian Iron Ages. In A. Çilingiroğlu &amp; D. H. French (Eds.), </w:t>
      </w:r>
      <w:r w:rsidRPr="00F03A26">
        <w:rPr>
          <w:rFonts w:asciiTheme="majorBidi" w:hAnsiTheme="majorBidi" w:cstheme="majorBidi"/>
          <w:i/>
          <w:iCs/>
          <w:lang w:val="en-GB"/>
        </w:rPr>
        <w:t>III. Anadolu Demir Çağları</w:t>
      </w:r>
      <w:r w:rsidRPr="00F03A26">
        <w:rPr>
          <w:rFonts w:asciiTheme="majorBidi" w:hAnsiTheme="majorBidi" w:cstheme="majorBidi"/>
          <w:lang w:val="en-GB"/>
        </w:rPr>
        <w:t xml:space="preserve"> </w:t>
      </w:r>
      <w:r w:rsidRPr="00F03A26">
        <w:rPr>
          <w:rFonts w:asciiTheme="majorBidi" w:hAnsiTheme="majorBidi" w:cstheme="majorBidi"/>
          <w:i/>
          <w:iCs/>
          <w:lang w:val="en-GB"/>
        </w:rPr>
        <w:t>3. The Proceedings of the Third Anatolian Iron Ages Colloquium held at Van</w:t>
      </w:r>
      <w:r w:rsidRPr="00F03A26">
        <w:rPr>
          <w:rFonts w:asciiTheme="majorBidi" w:hAnsiTheme="majorBidi" w:cstheme="majorBidi"/>
          <w:lang w:val="en-GB"/>
        </w:rPr>
        <w:t xml:space="preserve">, </w:t>
      </w:r>
      <w:r w:rsidRPr="00F03A26">
        <w:rPr>
          <w:rFonts w:asciiTheme="majorBidi" w:hAnsiTheme="majorBidi" w:cstheme="majorBidi"/>
          <w:i/>
          <w:iCs/>
          <w:lang w:val="en-GB"/>
        </w:rPr>
        <w:t xml:space="preserve">6-12 August 1990/ III. Anadolu Demir Çağları Sempozyumu Bildirileri Van, 6-12 Ağustos 1990 </w:t>
      </w:r>
      <w:r w:rsidRPr="00F03A26">
        <w:rPr>
          <w:rFonts w:asciiTheme="majorBidi" w:hAnsiTheme="majorBidi" w:cstheme="majorBidi"/>
          <w:lang w:val="en-GB"/>
        </w:rPr>
        <w:t>(pp. 253-264). Ankara: The British Institute of Archaeology at Ankara 3.</w:t>
      </w:r>
    </w:p>
    <w:p w14:paraId="126EAB4D" w14:textId="77777777" w:rsidR="0088351C" w:rsidRPr="00F03A26" w:rsidRDefault="0088351C" w:rsidP="00F03A26">
      <w:pPr>
        <w:jc w:val="both"/>
        <w:rPr>
          <w:rFonts w:asciiTheme="majorBidi" w:hAnsiTheme="majorBidi" w:cstheme="majorBidi"/>
          <w:lang w:val="en-GB"/>
        </w:rPr>
      </w:pPr>
    </w:p>
    <w:p w14:paraId="3AAE61D8" w14:textId="77777777" w:rsidR="0088351C" w:rsidRPr="00F03A26" w:rsidRDefault="0088351C" w:rsidP="00F03A26">
      <w:pPr>
        <w:jc w:val="both"/>
        <w:rPr>
          <w:rFonts w:asciiTheme="majorBidi" w:hAnsiTheme="majorBidi" w:cstheme="majorBidi"/>
          <w:b/>
          <w:bCs/>
          <w:lang w:val="en-GB"/>
        </w:rPr>
      </w:pPr>
      <w:r w:rsidRPr="00F03A26">
        <w:rPr>
          <w:rFonts w:asciiTheme="majorBidi" w:eastAsia="Times New Roman" w:hAnsiTheme="majorBidi" w:cstheme="majorBidi"/>
          <w:lang w:val="en-GB"/>
        </w:rPr>
        <w:t>Uysal, B. (2007). Patnos'ta Açığa Çıkarılan Urartu</w:t>
      </w:r>
      <w:r w:rsidRPr="00F03A26">
        <w:rPr>
          <w:rFonts w:asciiTheme="majorBidi" w:eastAsia="Times New Roman"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lang w:val="en-GB"/>
        </w:rPr>
        <w:fldChar w:fldCharType="end"/>
      </w:r>
      <w:r w:rsidRPr="00F03A26">
        <w:rPr>
          <w:rFonts w:asciiTheme="majorBidi" w:eastAsia="Times New Roman" w:hAnsiTheme="majorBidi" w:cstheme="majorBidi"/>
          <w:lang w:val="en-GB"/>
        </w:rPr>
        <w:t xml:space="preserve"> Stelleri. </w:t>
      </w:r>
      <w:r w:rsidRPr="00F03A26">
        <w:rPr>
          <w:rFonts w:asciiTheme="majorBidi" w:eastAsia="Times New Roman" w:hAnsiTheme="majorBidi" w:cstheme="majorBidi"/>
          <w:i/>
          <w:lang w:val="en-GB"/>
        </w:rPr>
        <w:t>Belleten</w:t>
      </w:r>
      <w:r w:rsidRPr="00F03A26">
        <w:rPr>
          <w:rFonts w:asciiTheme="majorBidi" w:eastAsia="Times New Roman" w:hAnsiTheme="majorBidi" w:cstheme="majorBidi"/>
          <w:lang w:val="en-GB"/>
        </w:rPr>
        <w:t xml:space="preserve"> LXXI/ 260: 5-18.</w:t>
      </w:r>
    </w:p>
    <w:p w14:paraId="4EEC7023" w14:textId="77777777" w:rsidR="0088351C" w:rsidRPr="00F03A26" w:rsidRDefault="0088351C" w:rsidP="00F03A26">
      <w:pPr>
        <w:jc w:val="both"/>
        <w:rPr>
          <w:rFonts w:asciiTheme="majorBidi" w:hAnsiTheme="majorBidi" w:cstheme="majorBidi"/>
          <w:b/>
          <w:bCs/>
          <w:lang w:val="en-GB"/>
        </w:rPr>
      </w:pPr>
    </w:p>
    <w:p w14:paraId="5F96D24B" w14:textId="77777777" w:rsidR="0088351C" w:rsidRPr="00F03A26" w:rsidRDefault="0088351C" w:rsidP="00F03A26">
      <w:pPr>
        <w:jc w:val="both"/>
        <w:rPr>
          <w:rFonts w:asciiTheme="majorBidi" w:eastAsia="Times New Roman" w:hAnsiTheme="majorBidi" w:cstheme="majorBidi"/>
          <w:i/>
          <w:iCs/>
          <w:color w:val="000000" w:themeColor="text1"/>
          <w:kern w:val="36"/>
          <w:lang w:val="en-GB" w:bidi="he-IL"/>
        </w:rPr>
      </w:pPr>
      <w:r w:rsidRPr="00F03A26">
        <w:rPr>
          <w:rFonts w:asciiTheme="majorBidi" w:hAnsiTheme="majorBidi" w:cstheme="majorBidi"/>
          <w:color w:val="000000" w:themeColor="text1"/>
          <w:lang w:val="en-GB"/>
        </w:rPr>
        <w:t xml:space="preserve">Vartaryan, S. (1995). </w:t>
      </w:r>
      <w:r w:rsidRPr="00F03A26">
        <w:rPr>
          <w:rFonts w:asciiTheme="majorBidi" w:eastAsia="Times New Roman" w:hAnsiTheme="majorBidi" w:cstheme="majorBidi"/>
          <w:i/>
          <w:iCs/>
          <w:color w:val="000000" w:themeColor="text1"/>
          <w:kern w:val="36"/>
          <w:lang w:val="en-GB" w:bidi="he-IL"/>
        </w:rPr>
        <w:t>Hayastani mayrakʻaghakʻnerě =: The capitals of Armenia</w:t>
      </w:r>
      <w:r w:rsidRPr="00F03A26">
        <w:rPr>
          <w:rFonts w:asciiTheme="majorBidi" w:eastAsia="Times New Roman" w:hAnsiTheme="majorBidi" w:cstheme="majorBidi"/>
          <w:i/>
          <w:iCs/>
          <w:color w:val="000000" w:themeColor="text1"/>
          <w:kern w:val="36"/>
          <w:lang w:val="en-GB" w:bidi="he-IL"/>
        </w:rPr>
        <w:fldChar w:fldCharType="begin"/>
      </w:r>
      <w:r w:rsidRPr="00F03A26">
        <w:rPr>
          <w:rFonts w:asciiTheme="majorBidi" w:hAnsiTheme="majorBidi" w:cstheme="majorBidi"/>
          <w:lang w:val="en-GB"/>
        </w:rPr>
        <w:instrText xml:space="preserve"> XE "</w:instrText>
      </w:r>
      <w:r w:rsidRPr="00F03A26">
        <w:rPr>
          <w:rStyle w:val="y2iqfc"/>
          <w:rFonts w:asciiTheme="majorBidi" w:eastAsia="Arial" w:hAnsiTheme="majorBidi" w:cstheme="majorBidi"/>
          <w:color w:val="202124"/>
          <w:lang w:val="en-GB"/>
        </w:rPr>
        <w:instrText>Armenia</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i/>
          <w:iCs/>
          <w:color w:val="000000" w:themeColor="text1"/>
          <w:kern w:val="36"/>
          <w:lang w:val="en-GB" w:bidi="he-IL"/>
        </w:rPr>
        <w:fldChar w:fldCharType="end"/>
      </w:r>
      <w:r w:rsidRPr="00F03A26">
        <w:rPr>
          <w:rFonts w:asciiTheme="majorBidi" w:eastAsia="Times New Roman" w:hAnsiTheme="majorBidi" w:cstheme="majorBidi"/>
          <w:i/>
          <w:iCs/>
          <w:color w:val="000000" w:themeColor="text1"/>
          <w:kern w:val="36"/>
          <w:lang w:val="en-GB" w:bidi="he-IL"/>
        </w:rPr>
        <w:t xml:space="preserve"> (Armenian</w:t>
      </w:r>
      <w:r w:rsidRPr="00F03A26">
        <w:rPr>
          <w:rFonts w:asciiTheme="majorBidi" w:eastAsia="Times New Roman" w:hAnsiTheme="majorBidi" w:cstheme="majorBidi"/>
          <w:i/>
          <w:iCs/>
          <w:color w:val="000000" w:themeColor="text1"/>
          <w:kern w:val="36"/>
          <w:lang w:val="en-GB" w:bidi="he-IL"/>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color w:val="202124"/>
          <w:lang w:val="en-GB" w:eastAsia="it-IT"/>
        </w:rPr>
        <w:instrText>Armenian</w:instrText>
      </w:r>
      <w:r w:rsidRPr="00F03A26">
        <w:rPr>
          <w:rFonts w:asciiTheme="majorBidi" w:hAnsiTheme="majorBidi" w:cstheme="majorBidi"/>
          <w:lang w:val="en-GB"/>
        </w:rPr>
        <w:instrText xml:space="preserve">" </w:instrText>
      </w:r>
      <w:r w:rsidRPr="00F03A26">
        <w:rPr>
          <w:rFonts w:asciiTheme="majorBidi" w:eastAsia="Times New Roman" w:hAnsiTheme="majorBidi" w:cstheme="majorBidi"/>
          <w:i/>
          <w:iCs/>
          <w:color w:val="000000" w:themeColor="text1"/>
          <w:kern w:val="36"/>
          <w:lang w:val="en-GB" w:bidi="he-IL"/>
        </w:rPr>
        <w:fldChar w:fldCharType="end"/>
      </w:r>
      <w:r w:rsidRPr="00F03A26">
        <w:rPr>
          <w:rFonts w:asciiTheme="majorBidi" w:eastAsia="Times New Roman" w:hAnsiTheme="majorBidi" w:cstheme="majorBidi"/>
          <w:i/>
          <w:iCs/>
          <w:color w:val="000000" w:themeColor="text1"/>
          <w:kern w:val="36"/>
          <w:lang w:val="en-GB" w:bidi="he-IL"/>
        </w:rPr>
        <w:t xml:space="preserve"> Edition) </w:t>
      </w:r>
      <w:r w:rsidRPr="00F03A26">
        <w:rPr>
          <w:rFonts w:asciiTheme="majorBidi" w:eastAsia="Times New Roman" w:hAnsiTheme="majorBidi" w:cstheme="majorBidi"/>
          <w:color w:val="000000" w:themeColor="text1"/>
          <w:kern w:val="36"/>
          <w:lang w:val="en-GB" w:bidi="he-IL"/>
        </w:rPr>
        <w:t>Erivan: Apolon: 7-46.</w:t>
      </w:r>
    </w:p>
    <w:p w14:paraId="380E7072" w14:textId="77777777" w:rsidR="0088351C" w:rsidRPr="00F03A26" w:rsidRDefault="0088351C" w:rsidP="00F03A26">
      <w:pPr>
        <w:jc w:val="both"/>
        <w:rPr>
          <w:rFonts w:asciiTheme="majorBidi" w:hAnsiTheme="majorBidi" w:cstheme="majorBidi"/>
          <w:lang w:val="en-GB"/>
        </w:rPr>
      </w:pPr>
    </w:p>
    <w:p w14:paraId="1CFCA028" w14:textId="77777777" w:rsidR="0088351C" w:rsidRPr="00F03A26" w:rsidRDefault="0088351C" w:rsidP="00F03A26">
      <w:pPr>
        <w:jc w:val="both"/>
        <w:rPr>
          <w:rFonts w:asciiTheme="majorBidi" w:eastAsia="Times New Roman" w:hAnsiTheme="majorBidi" w:cstheme="majorBidi"/>
          <w:color w:val="000000" w:themeColor="text1"/>
          <w:kern w:val="36"/>
          <w:lang w:val="en-GB" w:bidi="he-IL"/>
        </w:rPr>
      </w:pPr>
      <w:r w:rsidRPr="00F03A26">
        <w:rPr>
          <w:rFonts w:asciiTheme="majorBidi" w:eastAsia="Times New Roman" w:hAnsiTheme="majorBidi" w:cstheme="majorBidi"/>
          <w:color w:val="000000" w:themeColor="text1"/>
          <w:kern w:val="36"/>
          <w:lang w:val="en-GB" w:bidi="he-IL"/>
        </w:rPr>
        <w:t xml:space="preserve">Yılmaz, M. A., (2012). Urartu Yerleşimlerindeki Kanalizasyon Sistemleri, </w:t>
      </w:r>
      <w:r w:rsidRPr="00F03A26">
        <w:rPr>
          <w:rFonts w:asciiTheme="majorBidi" w:eastAsia="Times New Roman" w:hAnsiTheme="majorBidi" w:cstheme="majorBidi"/>
          <w:i/>
          <w:iCs/>
          <w:color w:val="000000" w:themeColor="text1"/>
          <w:kern w:val="36"/>
          <w:lang w:val="en-GB" w:bidi="he-IL"/>
        </w:rPr>
        <w:t>Atatürk Üniversitesi Sosyal Bilimler Enstitüsü Dergisi</w:t>
      </w:r>
      <w:r w:rsidRPr="00F03A26">
        <w:rPr>
          <w:rFonts w:asciiTheme="majorBidi" w:eastAsia="Times New Roman" w:hAnsiTheme="majorBidi" w:cstheme="majorBidi"/>
          <w:color w:val="000000" w:themeColor="text1"/>
          <w:kern w:val="36"/>
          <w:lang w:val="en-GB" w:bidi="he-IL"/>
        </w:rPr>
        <w:t xml:space="preserve"> 16 (1), 229-244.</w:t>
      </w:r>
    </w:p>
    <w:p w14:paraId="2298D0BC" w14:textId="77777777" w:rsidR="0088351C" w:rsidRPr="00F03A26" w:rsidRDefault="0088351C" w:rsidP="00F03A26">
      <w:pPr>
        <w:jc w:val="both"/>
        <w:rPr>
          <w:rFonts w:asciiTheme="majorBidi" w:eastAsia="Times New Roman" w:hAnsiTheme="majorBidi" w:cstheme="majorBidi"/>
          <w:b/>
          <w:bCs/>
          <w:color w:val="000000" w:themeColor="text1"/>
          <w:kern w:val="36"/>
          <w:lang w:val="en-GB" w:bidi="he-IL"/>
        </w:rPr>
      </w:pPr>
    </w:p>
    <w:p w14:paraId="5B8C8A98" w14:textId="77777777" w:rsidR="0088351C" w:rsidRPr="00F03A26" w:rsidRDefault="0088351C" w:rsidP="00F03A26">
      <w:pPr>
        <w:autoSpaceDE w:val="0"/>
        <w:autoSpaceDN w:val="0"/>
        <w:adjustRightInd w:val="0"/>
        <w:spacing w:before="120" w:after="120"/>
        <w:jc w:val="both"/>
        <w:rPr>
          <w:rFonts w:asciiTheme="majorBidi" w:eastAsia="Brill-Roman" w:hAnsiTheme="majorBidi" w:cstheme="majorBidi"/>
          <w:lang w:val="en-GB"/>
        </w:rPr>
      </w:pPr>
      <w:r w:rsidRPr="00F03A26">
        <w:rPr>
          <w:rFonts w:asciiTheme="majorBidi" w:eastAsia="Brill-Roman" w:hAnsiTheme="majorBidi" w:cstheme="majorBidi"/>
          <w:lang w:val="en-GB"/>
        </w:rPr>
        <w:t xml:space="preserve">Wartke, R.-B. (1990). </w:t>
      </w:r>
      <w:r w:rsidRPr="00F03A26">
        <w:rPr>
          <w:rFonts w:asciiTheme="majorBidi" w:eastAsia="Brill-Italic" w:hAnsiTheme="majorBidi" w:cstheme="majorBidi"/>
          <w:i/>
          <w:iCs/>
          <w:lang w:val="en-GB"/>
        </w:rPr>
        <w:t>Toprakkale</w:t>
      </w:r>
      <w:r w:rsidRPr="00F03A26">
        <w:rPr>
          <w:rFonts w:asciiTheme="majorBidi" w:eastAsia="Brill-Italic" w:hAnsiTheme="majorBidi" w:cstheme="majorBidi"/>
          <w:i/>
          <w:iCs/>
          <w:lang w:val="en-GB"/>
        </w:rPr>
        <w:fldChar w:fldCharType="begin"/>
      </w:r>
      <w:r w:rsidRPr="00F03A26">
        <w:rPr>
          <w:rFonts w:asciiTheme="majorBidi" w:hAnsiTheme="majorBidi" w:cstheme="majorBidi"/>
          <w:lang w:val="en-GB"/>
        </w:rPr>
        <w:instrText xml:space="preserve"> XE "Toprakkale" </w:instrText>
      </w:r>
      <w:r w:rsidRPr="00F03A26">
        <w:rPr>
          <w:rFonts w:asciiTheme="majorBidi" w:eastAsia="Brill-Italic" w:hAnsiTheme="majorBidi" w:cstheme="majorBidi"/>
          <w:i/>
          <w:iCs/>
          <w:lang w:val="en-GB"/>
        </w:rPr>
        <w:fldChar w:fldCharType="end"/>
      </w:r>
      <w:r w:rsidRPr="00F03A26">
        <w:rPr>
          <w:rFonts w:asciiTheme="majorBidi" w:eastAsia="Brill-Italic" w:hAnsiTheme="majorBidi" w:cstheme="majorBidi"/>
          <w:i/>
          <w:iCs/>
          <w:lang w:val="en-GB"/>
        </w:rPr>
        <w:t xml:space="preserve"> Untersuchungen zu den Metallobjekten im Vorderasiatischen Museum zu Berlin</w:t>
      </w:r>
      <w:r w:rsidRPr="00F03A26">
        <w:rPr>
          <w:rFonts w:asciiTheme="majorBidi" w:eastAsia="Brill-Roman" w:hAnsiTheme="majorBidi" w:cstheme="majorBidi"/>
          <w:lang w:val="en-GB"/>
        </w:rPr>
        <w:t>. Berlin: Akademie-Verlag.</w:t>
      </w:r>
    </w:p>
    <w:p w14:paraId="39ADE24E" w14:textId="77777777" w:rsidR="0088351C" w:rsidRPr="00F03A26" w:rsidRDefault="0088351C" w:rsidP="00F03A26">
      <w:pPr>
        <w:autoSpaceDE w:val="0"/>
        <w:autoSpaceDN w:val="0"/>
        <w:adjustRightInd w:val="0"/>
        <w:jc w:val="both"/>
        <w:rPr>
          <w:rFonts w:asciiTheme="majorBidi" w:hAnsiTheme="majorBidi" w:cstheme="majorBidi"/>
          <w:sz w:val="18"/>
          <w:szCs w:val="18"/>
          <w:lang w:val="en-GB"/>
        </w:rPr>
      </w:pPr>
      <w:r w:rsidRPr="00F03A26">
        <w:rPr>
          <w:rFonts w:asciiTheme="majorBidi" w:eastAsia="Brill-Roman" w:hAnsiTheme="majorBidi" w:cstheme="majorBidi"/>
          <w:lang w:val="en-GB"/>
        </w:rPr>
        <w:t xml:space="preserve">Wartke, R.-B. (1993). </w:t>
      </w:r>
      <w:r w:rsidRPr="00F03A26">
        <w:rPr>
          <w:rFonts w:asciiTheme="majorBidi" w:eastAsia="Brill-Italic" w:hAnsiTheme="majorBidi" w:cstheme="majorBidi"/>
          <w:i/>
          <w:iCs/>
          <w:lang w:val="en-GB"/>
        </w:rPr>
        <w:t>Urartu</w:t>
      </w:r>
      <w:r w:rsidRPr="00F03A26">
        <w:rPr>
          <w:rFonts w:asciiTheme="majorBidi" w:eastAsia="Brill-Italic" w:hAnsiTheme="majorBidi" w:cstheme="majorBidi"/>
          <w:i/>
          <w:iCs/>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eastAsia="Brill-Italic" w:hAnsiTheme="majorBidi" w:cstheme="majorBidi"/>
          <w:i/>
          <w:iCs/>
          <w:lang w:val="en-GB"/>
        </w:rPr>
        <w:fldChar w:fldCharType="end"/>
      </w:r>
      <w:r w:rsidRPr="00F03A26">
        <w:rPr>
          <w:rFonts w:asciiTheme="majorBidi" w:eastAsia="Brill-Italic" w:hAnsiTheme="majorBidi" w:cstheme="majorBidi"/>
          <w:i/>
          <w:iCs/>
          <w:lang w:val="en-GB"/>
        </w:rPr>
        <w:t>: das Reich am Ararat</w:t>
      </w:r>
      <w:r w:rsidRPr="00F03A26">
        <w:rPr>
          <w:rFonts w:asciiTheme="majorBidi" w:eastAsia="Brill-Italic" w:hAnsiTheme="majorBidi" w:cstheme="majorBidi"/>
          <w:i/>
          <w:iCs/>
          <w:lang w:val="en-GB"/>
        </w:rPr>
        <w:fldChar w:fldCharType="begin"/>
      </w:r>
      <w:r w:rsidRPr="00F03A26">
        <w:rPr>
          <w:rFonts w:asciiTheme="majorBidi" w:hAnsiTheme="majorBidi" w:cstheme="majorBidi"/>
          <w:lang w:val="en-GB"/>
        </w:rPr>
        <w:instrText xml:space="preserve"> XE "Ararat" </w:instrText>
      </w:r>
      <w:r w:rsidRPr="00F03A26">
        <w:rPr>
          <w:rFonts w:asciiTheme="majorBidi" w:eastAsia="Brill-Italic" w:hAnsiTheme="majorBidi" w:cstheme="majorBidi"/>
          <w:i/>
          <w:iCs/>
          <w:lang w:val="en-GB"/>
        </w:rPr>
        <w:fldChar w:fldCharType="end"/>
      </w:r>
      <w:r w:rsidRPr="00F03A26">
        <w:rPr>
          <w:rFonts w:asciiTheme="majorBidi" w:eastAsia="Brill-Roman" w:hAnsiTheme="majorBidi" w:cstheme="majorBidi"/>
          <w:lang w:val="en-GB"/>
        </w:rPr>
        <w:t xml:space="preserve">. </w:t>
      </w:r>
      <w:r w:rsidRPr="00F03A26">
        <w:rPr>
          <w:rFonts w:asciiTheme="majorBidi" w:hAnsiTheme="majorBidi" w:cstheme="majorBidi"/>
          <w:lang w:val="en-GB"/>
        </w:rPr>
        <w:t>Verlag Philipp von Zabern-Mainz Am Rhein.</w:t>
      </w:r>
    </w:p>
    <w:p w14:paraId="5ECF9231" w14:textId="77777777" w:rsidR="0088351C" w:rsidRPr="00F03A26" w:rsidRDefault="0088351C" w:rsidP="00F03A26">
      <w:pPr>
        <w:jc w:val="both"/>
        <w:rPr>
          <w:rFonts w:asciiTheme="majorBidi" w:eastAsia="Times New Roman" w:hAnsiTheme="majorBidi" w:cstheme="majorBidi"/>
          <w:color w:val="000000" w:themeColor="text1"/>
          <w:kern w:val="36"/>
          <w:lang w:val="en-GB" w:bidi="he-IL"/>
        </w:rPr>
      </w:pPr>
    </w:p>
    <w:p w14:paraId="5C28430E" w14:textId="77777777" w:rsidR="0088351C" w:rsidRPr="00F03A26" w:rsidRDefault="0088351C" w:rsidP="00F03A26">
      <w:pPr>
        <w:jc w:val="both"/>
        <w:rPr>
          <w:rFonts w:asciiTheme="majorBidi" w:hAnsiTheme="majorBidi" w:cstheme="majorBidi"/>
          <w:lang w:val="en-GB"/>
        </w:rPr>
      </w:pPr>
      <w:r w:rsidRPr="00F03A26">
        <w:rPr>
          <w:rFonts w:asciiTheme="majorBidi" w:eastAsia="Times New Roman" w:hAnsiTheme="majorBidi" w:cstheme="majorBidi"/>
          <w:color w:val="000000" w:themeColor="text1"/>
          <w:kern w:val="36"/>
          <w:lang w:val="en-GB" w:bidi="he-IL"/>
        </w:rPr>
        <w:t xml:space="preserve">Wilhelm, G. (1986). Urartu als Region der Keilschriftkultur. In. V. Haas (Hrsg.), </w:t>
      </w:r>
      <w:r w:rsidRPr="00F03A26">
        <w:rPr>
          <w:rFonts w:asciiTheme="majorBidi" w:hAnsiTheme="majorBidi" w:cstheme="majorBidi"/>
          <w:i/>
          <w:iCs/>
          <w:lang w:val="en-GB"/>
        </w:rPr>
        <w:t>Das Reich Urartu. Ein altorientalischer Staat im 1. Jahrtausend v. Chr.</w:t>
      </w:r>
      <w:r w:rsidRPr="00F03A26">
        <w:rPr>
          <w:rFonts w:asciiTheme="majorBidi" w:eastAsia="Times New Roman" w:hAnsiTheme="majorBidi" w:cstheme="majorBidi"/>
          <w:color w:val="000000" w:themeColor="text1"/>
          <w:kern w:val="36"/>
          <w:lang w:val="en-GB" w:bidi="he-IL"/>
        </w:rPr>
        <w:t xml:space="preserve"> </w:t>
      </w:r>
      <w:r w:rsidRPr="00F03A26">
        <w:rPr>
          <w:rFonts w:asciiTheme="majorBidi" w:hAnsiTheme="majorBidi" w:cstheme="majorBidi"/>
          <w:lang w:val="en-GB"/>
        </w:rPr>
        <w:t xml:space="preserve">Xenia: Konstanzer althistorische Vorträge und Forschungen, Heft 17, Konstanzer Altorientalische-Symposien, Band I, </w:t>
      </w:r>
      <w:r w:rsidRPr="00F03A26">
        <w:rPr>
          <w:rFonts w:asciiTheme="majorBidi" w:eastAsia="Times New Roman" w:hAnsiTheme="majorBidi" w:cstheme="majorBidi"/>
          <w:color w:val="000000" w:themeColor="text1"/>
          <w:kern w:val="36"/>
          <w:lang w:val="en-GB" w:bidi="he-IL"/>
        </w:rPr>
        <w:t xml:space="preserve">(pp. 95-113). </w:t>
      </w:r>
      <w:r w:rsidRPr="00F03A26">
        <w:rPr>
          <w:rFonts w:asciiTheme="majorBidi" w:hAnsiTheme="majorBidi" w:cstheme="majorBidi"/>
          <w:lang w:val="en-GB"/>
        </w:rPr>
        <w:t>Konstanz: Universitätsverlag Konstanz.</w:t>
      </w:r>
    </w:p>
    <w:p w14:paraId="0FA16773" w14:textId="77777777" w:rsidR="0088351C" w:rsidRPr="00F03A26" w:rsidRDefault="0088351C" w:rsidP="00F03A26">
      <w:pPr>
        <w:jc w:val="both"/>
        <w:rPr>
          <w:rFonts w:asciiTheme="majorBidi" w:hAnsiTheme="majorBidi" w:cstheme="majorBidi"/>
          <w:lang w:val="en-GB"/>
        </w:rPr>
      </w:pPr>
    </w:p>
    <w:p w14:paraId="3E0A67D1" w14:textId="77777777" w:rsidR="0088351C" w:rsidRPr="00F03A26" w:rsidRDefault="0088351C" w:rsidP="00F03A26">
      <w:pPr>
        <w:jc w:val="both"/>
        <w:rPr>
          <w:rFonts w:asciiTheme="majorBidi" w:eastAsia="Times New Roman" w:hAnsiTheme="majorBidi" w:cstheme="majorBidi"/>
          <w:color w:val="000000" w:themeColor="text1"/>
          <w:kern w:val="36"/>
          <w:lang w:val="en-GB" w:bidi="he-IL"/>
        </w:rPr>
      </w:pPr>
      <w:r w:rsidRPr="00F03A26">
        <w:rPr>
          <w:rFonts w:asciiTheme="majorBidi" w:eastAsia="Times New Roman" w:hAnsiTheme="majorBidi" w:cstheme="majorBidi"/>
          <w:color w:val="000000" w:themeColor="text1"/>
          <w:kern w:val="36"/>
          <w:lang w:val="en-GB" w:bidi="he-IL"/>
        </w:rPr>
        <w:t xml:space="preserve">Wilhelm, G- Akdoğan, R, (2011). Eine Inschrift Argištis I. mit Erwähnung eines ašiḫusi-Gebäudes, </w:t>
      </w:r>
      <w:r w:rsidRPr="00F03A26">
        <w:rPr>
          <w:rFonts w:asciiTheme="majorBidi" w:eastAsia="Times New Roman" w:hAnsiTheme="majorBidi" w:cstheme="majorBidi"/>
          <w:i/>
          <w:iCs/>
          <w:color w:val="000000" w:themeColor="text1"/>
          <w:kern w:val="36"/>
          <w:lang w:val="en-GB" w:bidi="he-IL"/>
        </w:rPr>
        <w:t>SMEA</w:t>
      </w:r>
      <w:r w:rsidRPr="00F03A26">
        <w:rPr>
          <w:rFonts w:asciiTheme="majorBidi" w:eastAsia="Times New Roman" w:hAnsiTheme="majorBidi" w:cstheme="majorBidi"/>
          <w:color w:val="000000" w:themeColor="text1"/>
          <w:kern w:val="36"/>
          <w:lang w:val="en-GB" w:bidi="he-IL"/>
        </w:rPr>
        <w:t xml:space="preserve"> 53, 219-227.</w:t>
      </w:r>
    </w:p>
    <w:p w14:paraId="303D89E1" w14:textId="77777777" w:rsidR="0088351C" w:rsidRPr="00F03A26" w:rsidRDefault="0088351C" w:rsidP="00F03A26">
      <w:pPr>
        <w:jc w:val="both"/>
        <w:rPr>
          <w:rFonts w:asciiTheme="majorBidi" w:eastAsia="Times New Roman" w:hAnsiTheme="majorBidi" w:cstheme="majorBidi"/>
          <w:color w:val="000000" w:themeColor="text1"/>
          <w:kern w:val="36"/>
          <w:lang w:val="en-GB" w:bidi="he-IL"/>
        </w:rPr>
      </w:pPr>
    </w:p>
    <w:p w14:paraId="43DF451E" w14:textId="77777777" w:rsidR="0088351C" w:rsidRPr="00F03A26" w:rsidRDefault="0088351C" w:rsidP="00F03A26">
      <w:pPr>
        <w:jc w:val="both"/>
        <w:rPr>
          <w:rFonts w:asciiTheme="majorBidi" w:eastAsia="Brill-Roman" w:hAnsiTheme="majorBidi" w:cstheme="majorBidi"/>
          <w:lang w:val="en-GB"/>
        </w:rPr>
      </w:pPr>
      <w:r w:rsidRPr="00F03A26">
        <w:rPr>
          <w:rFonts w:asciiTheme="majorBidi" w:eastAsia="Brill-Roman" w:hAnsiTheme="majorBidi" w:cstheme="majorBidi"/>
          <w:lang w:val="en-GB"/>
        </w:rPr>
        <w:t xml:space="preserve">Zimansky, P. (1985). </w:t>
      </w:r>
      <w:r w:rsidRPr="00F03A26">
        <w:rPr>
          <w:rFonts w:asciiTheme="majorBidi" w:hAnsiTheme="majorBidi" w:cstheme="majorBidi"/>
          <w:i/>
          <w:iCs/>
          <w:lang w:val="en-GB"/>
        </w:rPr>
        <w:t>Ecology and Empire: the Structure of the Urartian</w:t>
      </w:r>
      <w:r w:rsidRPr="00F03A26">
        <w:rPr>
          <w:rFonts w:asciiTheme="majorBidi" w:hAnsiTheme="majorBidi" w:cstheme="majorBidi"/>
          <w:i/>
          <w:iCs/>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i/>
          <w:iCs/>
          <w:lang w:val="en-GB"/>
        </w:rPr>
        <w:fldChar w:fldCharType="end"/>
      </w:r>
      <w:r w:rsidRPr="00F03A26">
        <w:rPr>
          <w:rFonts w:asciiTheme="majorBidi" w:hAnsiTheme="majorBidi" w:cstheme="majorBidi"/>
          <w:i/>
          <w:iCs/>
          <w:lang w:val="en-GB"/>
        </w:rPr>
        <w:t xml:space="preserve"> State</w:t>
      </w:r>
      <w:r w:rsidRPr="00F03A26">
        <w:rPr>
          <w:rFonts w:asciiTheme="majorBidi" w:eastAsia="Brill-Roman" w:hAnsiTheme="majorBidi" w:cstheme="majorBidi"/>
          <w:lang w:val="en-GB"/>
        </w:rPr>
        <w:t>. Chicago, Oriental Institute Press.</w:t>
      </w:r>
    </w:p>
    <w:p w14:paraId="676B7B91" w14:textId="77777777" w:rsidR="0088351C" w:rsidRPr="00F03A26" w:rsidRDefault="0088351C" w:rsidP="00F03A26">
      <w:pPr>
        <w:jc w:val="both"/>
        <w:rPr>
          <w:rFonts w:asciiTheme="majorBidi" w:eastAsia="Brill-Roman" w:hAnsiTheme="majorBidi" w:cstheme="majorBidi"/>
          <w:lang w:val="en-GB"/>
        </w:rPr>
      </w:pPr>
    </w:p>
    <w:p w14:paraId="21706A8E"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Zimansky, P. E. (1995).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Material Culture as State Assemblage: An Anomaly in the Archaeology of Empire. </w:t>
      </w:r>
      <w:r w:rsidRPr="00F03A26">
        <w:rPr>
          <w:rFonts w:asciiTheme="majorBidi" w:hAnsiTheme="majorBidi" w:cstheme="majorBidi"/>
          <w:i/>
          <w:iCs/>
          <w:lang w:val="en-GB"/>
        </w:rPr>
        <w:t>Bulletin of the American Schools of Oriental Research, 299/300</w:t>
      </w:r>
      <w:r w:rsidRPr="00F03A26">
        <w:rPr>
          <w:rFonts w:asciiTheme="majorBidi" w:hAnsiTheme="majorBidi" w:cstheme="majorBidi"/>
          <w:lang w:val="en-GB"/>
        </w:rPr>
        <w:t>, 103-11.</w:t>
      </w:r>
    </w:p>
    <w:p w14:paraId="70B48D3E" w14:textId="77777777" w:rsidR="0088351C" w:rsidRPr="00F03A26" w:rsidRDefault="0088351C" w:rsidP="00F03A26">
      <w:pPr>
        <w:jc w:val="both"/>
        <w:rPr>
          <w:rFonts w:asciiTheme="majorBidi" w:hAnsiTheme="majorBidi" w:cstheme="majorBidi"/>
          <w:lang w:val="en-GB"/>
        </w:rPr>
      </w:pPr>
    </w:p>
    <w:p w14:paraId="599B848C" w14:textId="77777777" w:rsidR="0088351C" w:rsidRPr="00F03A26" w:rsidRDefault="0088351C" w:rsidP="00F03A26">
      <w:pPr>
        <w:jc w:val="both"/>
        <w:rPr>
          <w:rFonts w:asciiTheme="majorBidi" w:hAnsiTheme="majorBidi" w:cstheme="majorBidi"/>
          <w:lang w:val="en-GB"/>
        </w:rPr>
      </w:pPr>
      <w:r w:rsidRPr="00F03A26">
        <w:rPr>
          <w:rFonts w:asciiTheme="majorBidi" w:hAnsiTheme="majorBidi" w:cstheme="majorBidi"/>
          <w:lang w:val="en-GB"/>
        </w:rPr>
        <w:t>Zimansky, P. (2011). Unutulan ve Tekrar Hayata Dönen Bir Krallık: Urartu</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w:instrText>
      </w:r>
      <w:r w:rsidRPr="00F03A26">
        <w:rPr>
          <w:rFonts w:asciiTheme="majorBidi" w:eastAsia="Times New Roman" w:hAnsiTheme="majorBidi" w:cstheme="majorBidi"/>
          <w:lang w:val="en-GB"/>
        </w:rPr>
        <w:instrText>Urartu</w:instrText>
      </w:r>
      <w:r w:rsidRPr="00F03A26">
        <w:rPr>
          <w:rFonts w:asciiTheme="majorBidi" w:hAnsiTheme="majorBidi" w:cstheme="majorBidi"/>
          <w:lang w:val="en-GB"/>
        </w:rPr>
        <w:instrText xml:space="preserve">"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Çalışmaları ve Literatürü / A Kingdom Revived from Oblivion: Urartian</w:t>
      </w: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XE "Urartian" </w:instrText>
      </w:r>
      <w:r w:rsidRPr="00F03A26">
        <w:rPr>
          <w:rFonts w:asciiTheme="majorBidi" w:hAnsiTheme="majorBidi" w:cstheme="majorBidi"/>
          <w:lang w:val="en-GB"/>
        </w:rPr>
        <w:fldChar w:fldCharType="end"/>
      </w:r>
      <w:r w:rsidRPr="00F03A26">
        <w:rPr>
          <w:rFonts w:asciiTheme="majorBidi" w:hAnsiTheme="majorBidi" w:cstheme="majorBidi"/>
          <w:lang w:val="en-GB"/>
        </w:rPr>
        <w:t xml:space="preserve"> Studies and Literature. In K. Köroğlu &amp; E. Konyar (Eds.), </w:t>
      </w:r>
      <w:r w:rsidRPr="00F03A26">
        <w:rPr>
          <w:rFonts w:asciiTheme="majorBidi" w:hAnsiTheme="majorBidi" w:cstheme="majorBidi"/>
          <w:i/>
          <w:iCs/>
          <w:lang w:val="en-GB"/>
        </w:rPr>
        <w:t xml:space="preserve">Urartu: Doğu'da Değişim/ Transformation in the East </w:t>
      </w:r>
      <w:r w:rsidRPr="00F03A26">
        <w:rPr>
          <w:rFonts w:asciiTheme="majorBidi" w:hAnsiTheme="majorBidi" w:cstheme="majorBidi"/>
          <w:lang w:val="en-GB"/>
        </w:rPr>
        <w:t>(pp. 56-71). İstanbul: Yapı Kredi Yayınları.</w:t>
      </w:r>
    </w:p>
    <w:p w14:paraId="67315F71" w14:textId="77777777" w:rsidR="00D663A5" w:rsidRPr="00F03A26" w:rsidRDefault="00D663A5" w:rsidP="00860408">
      <w:pPr>
        <w:pStyle w:val="Balk1"/>
        <w:sectPr w:rsidR="00D663A5" w:rsidRPr="00F03A26" w:rsidSect="007F3733">
          <w:pgSz w:w="11906" w:h="16838"/>
          <w:pgMar w:top="1417" w:right="1417" w:bottom="1417" w:left="1417" w:header="708" w:footer="708" w:gutter="0"/>
          <w:cols w:space="708"/>
          <w:docGrid w:linePitch="360"/>
        </w:sectPr>
      </w:pPr>
    </w:p>
    <w:p w14:paraId="76B4F328" w14:textId="740633D9" w:rsidR="002A5937" w:rsidRPr="00F03A26" w:rsidRDefault="002A5937" w:rsidP="00860408">
      <w:pPr>
        <w:pStyle w:val="Balk1"/>
      </w:pPr>
      <w:bookmarkStart w:id="228" w:name="_Toc173231289"/>
      <w:r w:rsidRPr="00F03A26">
        <w:lastRenderedPageBreak/>
        <w:t>INDEX</w:t>
      </w:r>
      <w:bookmarkEnd w:id="228"/>
    </w:p>
    <w:p w14:paraId="62635E52" w14:textId="77777777" w:rsidR="009A2B20" w:rsidRDefault="007819AE" w:rsidP="00F03A26">
      <w:pPr>
        <w:jc w:val="both"/>
        <w:rPr>
          <w:rFonts w:asciiTheme="majorBidi" w:hAnsiTheme="majorBidi" w:cstheme="majorBidi"/>
          <w:noProof/>
          <w:lang w:val="en-GB"/>
        </w:rPr>
        <w:sectPr w:rsidR="009A2B20" w:rsidSect="009A2B20">
          <w:pgSz w:w="11906" w:h="16838"/>
          <w:pgMar w:top="1417" w:right="1417" w:bottom="1417" w:left="1417" w:header="708" w:footer="708" w:gutter="0"/>
          <w:cols w:space="708"/>
          <w:docGrid w:linePitch="360"/>
        </w:sectPr>
      </w:pPr>
      <w:r w:rsidRPr="00F03A26">
        <w:rPr>
          <w:rFonts w:asciiTheme="majorBidi" w:hAnsiTheme="majorBidi" w:cstheme="majorBidi"/>
          <w:lang w:val="en-GB"/>
        </w:rPr>
        <w:fldChar w:fldCharType="begin"/>
      </w:r>
      <w:r w:rsidRPr="00F03A26">
        <w:rPr>
          <w:rFonts w:asciiTheme="majorBidi" w:hAnsiTheme="majorBidi" w:cstheme="majorBidi"/>
          <w:lang w:val="en-GB"/>
        </w:rPr>
        <w:instrText xml:space="preserve"> INDEX \h "A" \c "2" \z "1055" </w:instrText>
      </w:r>
      <w:r w:rsidRPr="00F03A26">
        <w:rPr>
          <w:rFonts w:asciiTheme="majorBidi" w:hAnsiTheme="majorBidi" w:cstheme="majorBidi"/>
          <w:lang w:val="en-GB"/>
        </w:rPr>
        <w:fldChar w:fldCharType="separate"/>
      </w:r>
    </w:p>
    <w:p w14:paraId="19264C54" w14:textId="77777777" w:rsidR="009A2B20" w:rsidRDefault="009A2B20">
      <w:pPr>
        <w:pStyle w:val="DizinBal"/>
        <w:keepNext/>
        <w:tabs>
          <w:tab w:val="right" w:leader="dot" w:pos="4172"/>
        </w:tabs>
        <w:rPr>
          <w:rFonts w:eastAsiaTheme="minorEastAsia" w:cstheme="minorBidi"/>
          <w:b w:val="0"/>
          <w:bCs w:val="0"/>
          <w:noProof/>
        </w:rPr>
      </w:pPr>
      <w:r>
        <w:rPr>
          <w:noProof/>
        </w:rPr>
        <w:t>“</w:t>
      </w:r>
    </w:p>
    <w:p w14:paraId="6D4AF280"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“T” niche</w:t>
      </w:r>
      <w:r>
        <w:rPr>
          <w:noProof/>
        </w:rPr>
        <w:t>, 379, 393</w:t>
      </w:r>
    </w:p>
    <w:p w14:paraId="6F461D58" w14:textId="77777777" w:rsidR="009A2B20" w:rsidRDefault="009A2B20">
      <w:pPr>
        <w:pStyle w:val="Dizin1"/>
        <w:tabs>
          <w:tab w:val="right" w:leader="dot" w:pos="4172"/>
        </w:tabs>
        <w:rPr>
          <w:noProof/>
        </w:rPr>
      </w:pPr>
      <w:r>
        <w:rPr>
          <w:noProof/>
        </w:rPr>
        <w:t>“T” Shaped Niches, 378, 379</w:t>
      </w:r>
    </w:p>
    <w:p w14:paraId="6FE0BB1E"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“T” shaped rock-cut niche</w:t>
      </w:r>
      <w:r>
        <w:rPr>
          <w:noProof/>
        </w:rPr>
        <w:t>, 402</w:t>
      </w:r>
    </w:p>
    <w:p w14:paraId="1B775B5F" w14:textId="77777777" w:rsidR="009A2B20" w:rsidRDefault="009A2B20">
      <w:pPr>
        <w:pStyle w:val="DizinBal"/>
        <w:keepNext/>
        <w:tabs>
          <w:tab w:val="right" w:leader="dot" w:pos="4172"/>
        </w:tabs>
        <w:rPr>
          <w:rFonts w:eastAsiaTheme="minorEastAsia" w:cstheme="minorBidi"/>
          <w:b w:val="0"/>
          <w:bCs w:val="0"/>
          <w:noProof/>
        </w:rPr>
      </w:pPr>
      <w:r>
        <w:rPr>
          <w:noProof/>
        </w:rPr>
        <w:t>A</w:t>
      </w:r>
    </w:p>
    <w:p w14:paraId="4CF90D86"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Abelean</w:t>
      </w:r>
      <w:r>
        <w:rPr>
          <w:noProof/>
        </w:rPr>
        <w:t>, 194</w:t>
      </w:r>
    </w:p>
    <w:p w14:paraId="0988A87F"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Abiliani</w:t>
      </w:r>
      <w:r>
        <w:rPr>
          <w:noProof/>
        </w:rPr>
        <w:t>, 194</w:t>
      </w:r>
    </w:p>
    <w:p w14:paraId="5AB4C94E"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Achaemenid</w:t>
      </w:r>
      <w:r>
        <w:rPr>
          <w:noProof/>
        </w:rPr>
        <w:t>, 103, 197, 198, 199, 400, 402, 410, 415, 425</w:t>
      </w:r>
    </w:p>
    <w:p w14:paraId="649BA5E0" w14:textId="77777777" w:rsidR="009A2B20" w:rsidRDefault="009A2B20">
      <w:pPr>
        <w:pStyle w:val="Dizin1"/>
        <w:tabs>
          <w:tab w:val="right" w:leader="dot" w:pos="4172"/>
        </w:tabs>
        <w:rPr>
          <w:noProof/>
        </w:rPr>
      </w:pPr>
      <w:r w:rsidRPr="00010C05">
        <w:rPr>
          <w:rFonts w:asciiTheme="majorBidi" w:eastAsia="Arial" w:hAnsiTheme="majorBidi" w:cstheme="majorBidi"/>
          <w:noProof/>
          <w:lang w:val="en-GB"/>
        </w:rPr>
        <w:t>Achaemenid Empire</w:t>
      </w:r>
      <w:r>
        <w:rPr>
          <w:noProof/>
        </w:rPr>
        <w:t>, 410</w:t>
      </w:r>
    </w:p>
    <w:p w14:paraId="42377BD5"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Adadnirari</w:t>
      </w:r>
      <w:r>
        <w:rPr>
          <w:noProof/>
        </w:rPr>
        <w:t>, 193</w:t>
      </w:r>
    </w:p>
    <w:p w14:paraId="65968513"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Adilcevaz</w:t>
      </w:r>
      <w:r>
        <w:rPr>
          <w:noProof/>
        </w:rPr>
        <w:t>, 336, 395, 396, 399, 400, 402, 403, 407, 408, 420, 422</w:t>
      </w:r>
    </w:p>
    <w:p w14:paraId="5A7C1CEA" w14:textId="77777777" w:rsidR="009A2B20" w:rsidRDefault="009A2B20">
      <w:pPr>
        <w:pStyle w:val="Dizin1"/>
        <w:tabs>
          <w:tab w:val="right" w:leader="dot" w:pos="4172"/>
        </w:tabs>
        <w:rPr>
          <w:noProof/>
        </w:rPr>
      </w:pPr>
      <w:r w:rsidRPr="00010C05">
        <w:rPr>
          <w:rFonts w:asciiTheme="majorBidi" w:hAnsiTheme="majorBidi" w:cstheme="majorBidi"/>
          <w:noProof/>
          <w:lang w:val="en-GB"/>
        </w:rPr>
        <w:t>Ağrı</w:t>
      </w:r>
      <w:r>
        <w:rPr>
          <w:noProof/>
        </w:rPr>
        <w:t>, 420</w:t>
      </w:r>
    </w:p>
    <w:p w14:paraId="666E363D"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Ahura Mazda</w:t>
      </w:r>
      <w:r>
        <w:rPr>
          <w:noProof/>
        </w:rPr>
        <w:t>, 198</w:t>
      </w:r>
    </w:p>
    <w:p w14:paraId="2D23BE51" w14:textId="77777777" w:rsidR="009A2B20" w:rsidRDefault="009A2B20">
      <w:pPr>
        <w:pStyle w:val="Dizin1"/>
        <w:tabs>
          <w:tab w:val="right" w:leader="dot" w:pos="4172"/>
        </w:tabs>
        <w:rPr>
          <w:noProof/>
        </w:rPr>
      </w:pPr>
      <w:r w:rsidRPr="00010C05">
        <w:rPr>
          <w:rFonts w:asciiTheme="majorBidi" w:eastAsia="Arial" w:hAnsiTheme="majorBidi" w:cstheme="majorBidi"/>
          <w:i/>
          <w:iCs/>
          <w:noProof/>
          <w:color w:val="202124"/>
          <w:lang w:val="en-GB"/>
        </w:rPr>
        <w:t>Aḫuria</w:t>
      </w:r>
      <w:r>
        <w:rPr>
          <w:noProof/>
        </w:rPr>
        <w:t>, 186</w:t>
      </w:r>
    </w:p>
    <w:p w14:paraId="4F490271"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Ain-e Rum</w:t>
      </w:r>
      <w:r>
        <w:rPr>
          <w:noProof/>
        </w:rPr>
        <w:t>, 89, 366, 374, 375, 422, 423</w:t>
      </w:r>
    </w:p>
    <w:p w14:paraId="3EEF7ACC"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Ajabšir</w:t>
      </w:r>
      <w:r>
        <w:rPr>
          <w:noProof/>
        </w:rPr>
        <w:t>, 185</w:t>
      </w:r>
    </w:p>
    <w:p w14:paraId="0446C479"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Aka</w:t>
      </w:r>
      <w:r>
        <w:rPr>
          <w:noProof/>
        </w:rPr>
        <w:t>, 193</w:t>
      </w:r>
    </w:p>
    <w:p w14:paraId="29EBF9B3"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Akkadian</w:t>
      </w:r>
      <w:r>
        <w:rPr>
          <w:noProof/>
        </w:rPr>
        <w:t>, 198, 199</w:t>
      </w:r>
    </w:p>
    <w:p w14:paraId="5CD71427"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Alaṭi</w:t>
      </w:r>
      <w:r>
        <w:rPr>
          <w:noProof/>
        </w:rPr>
        <w:t>, 161</w:t>
      </w:r>
    </w:p>
    <w:p w14:paraId="422D0AFD"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Alištu</w:t>
      </w:r>
      <w:r>
        <w:rPr>
          <w:noProof/>
        </w:rPr>
        <w:t>, 158</w:t>
      </w:r>
    </w:p>
    <w:p w14:paraId="550B5830" w14:textId="77777777" w:rsidR="009A2B20" w:rsidRDefault="009A2B20">
      <w:pPr>
        <w:pStyle w:val="Dizin1"/>
        <w:tabs>
          <w:tab w:val="right" w:leader="dot" w:pos="4172"/>
        </w:tabs>
        <w:rPr>
          <w:noProof/>
        </w:rPr>
      </w:pPr>
      <w:r w:rsidRPr="00010C05">
        <w:rPr>
          <w:rFonts w:asciiTheme="majorBidi" w:hAnsiTheme="majorBidi" w:cstheme="majorBidi"/>
          <w:i/>
          <w:iCs/>
          <w:noProof/>
          <w:lang w:val="en-GB"/>
        </w:rPr>
        <w:t>Alniunu</w:t>
      </w:r>
      <w:r>
        <w:rPr>
          <w:noProof/>
        </w:rPr>
        <w:t>, 50, 113, 204, 205, 232, 244</w:t>
      </w:r>
    </w:p>
    <w:p w14:paraId="2F42FFD5"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Altıntepe</w:t>
      </w:r>
      <w:r>
        <w:rPr>
          <w:noProof/>
        </w:rPr>
        <w:t>, 6, 53, 266, 270, 275, 283, 321, 334, 336, 338, 354, 415, 420, 425</w:t>
      </w:r>
    </w:p>
    <w:p w14:paraId="385D526A"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Alṭuquia</w:t>
      </w:r>
      <w:r>
        <w:rPr>
          <w:noProof/>
        </w:rPr>
        <w:t>, 135</w:t>
      </w:r>
    </w:p>
    <w:p w14:paraId="6F2F83A6"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Alzi</w:t>
      </w:r>
      <w:r>
        <w:rPr>
          <w:noProof/>
        </w:rPr>
        <w:t>, 138, 139</w:t>
      </w:r>
    </w:p>
    <w:p w14:paraId="0CDA5AAA" w14:textId="77777777" w:rsidR="009A2B20" w:rsidRDefault="009A2B20">
      <w:pPr>
        <w:pStyle w:val="Dizin1"/>
        <w:tabs>
          <w:tab w:val="right" w:leader="dot" w:pos="4172"/>
        </w:tabs>
        <w:rPr>
          <w:noProof/>
        </w:rPr>
      </w:pPr>
      <w:r w:rsidRPr="00010C05">
        <w:rPr>
          <w:rFonts w:cs="Times New Roman"/>
          <w:noProof/>
          <w:lang w:val="en-GB"/>
        </w:rPr>
        <w:t>Amik</w:t>
      </w:r>
      <w:r>
        <w:rPr>
          <w:noProof/>
        </w:rPr>
        <w:t>, 368, 378, 392, 401, 403</w:t>
      </w:r>
    </w:p>
    <w:p w14:paraId="2FD4D9B1" w14:textId="77777777" w:rsidR="009A2B20" w:rsidRDefault="009A2B20">
      <w:pPr>
        <w:pStyle w:val="Dizin1"/>
        <w:tabs>
          <w:tab w:val="right" w:leader="dot" w:pos="4172"/>
        </w:tabs>
        <w:rPr>
          <w:noProof/>
        </w:rPr>
      </w:pPr>
      <w:r w:rsidRPr="00010C05">
        <w:rPr>
          <w:rFonts w:asciiTheme="majorBidi" w:hAnsiTheme="majorBidi" w:cstheme="majorBidi"/>
          <w:noProof/>
          <w:lang w:val="en-GB"/>
        </w:rPr>
        <w:t>Amok</w:t>
      </w:r>
      <w:r>
        <w:rPr>
          <w:noProof/>
        </w:rPr>
        <w:t>, 378, 392</w:t>
      </w:r>
    </w:p>
    <w:p w14:paraId="13B01C0B" w14:textId="77777777" w:rsidR="009A2B20" w:rsidRDefault="009A2B20">
      <w:pPr>
        <w:pStyle w:val="Dizin1"/>
        <w:tabs>
          <w:tab w:val="right" w:leader="dot" w:pos="4172"/>
        </w:tabs>
        <w:rPr>
          <w:noProof/>
        </w:rPr>
      </w:pPr>
      <w:r w:rsidRPr="00010C05">
        <w:rPr>
          <w:rFonts w:asciiTheme="majorBidi" w:hAnsiTheme="majorBidi" w:cstheme="majorBidi"/>
          <w:noProof/>
        </w:rPr>
        <w:t>Analıkız</w:t>
      </w:r>
      <w:r>
        <w:rPr>
          <w:noProof/>
        </w:rPr>
        <w:t>, 3, 4, 9, 11, 12, 25, 29, 33, 37, 38, 39, 40, 45, 46, 60, 62, 63, 72, 76, 78, 83, 84, 85, 97, 98, 99, 100, 102, 184, 186, 187, 321, 343, 344, 345, 346, 347, 348, 349, 351, 352, 353, 354, 355, 356, 357, 358, 359, 360, 361, 362, 363, 364, 365, 378, 401, 412</w:t>
      </w:r>
    </w:p>
    <w:p w14:paraId="66308312"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Anaše</w:t>
      </w:r>
      <w:r>
        <w:rPr>
          <w:noProof/>
        </w:rPr>
        <w:t>, 373</w:t>
      </w:r>
    </w:p>
    <w:p w14:paraId="6E2148C4"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Ansari</w:t>
      </w:r>
      <w:r>
        <w:rPr>
          <w:noProof/>
        </w:rPr>
        <w:t>, 14, 32, 33, 45, 406</w:t>
      </w:r>
    </w:p>
    <w:p w14:paraId="0DF17161"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Anzaf</w:t>
      </w:r>
      <w:r>
        <w:rPr>
          <w:noProof/>
        </w:rPr>
        <w:t>, 6, 52, 75, 106, 196, 241, 243, 252, 274, 275, 281, 288, 373, 402, 403, 407, 414</w:t>
      </w:r>
    </w:p>
    <w:p w14:paraId="0297588E"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Apuni</w:t>
      </w:r>
      <w:r>
        <w:rPr>
          <w:noProof/>
        </w:rPr>
        <w:t>, 162</w:t>
      </w:r>
    </w:p>
    <w:p w14:paraId="032CE98D" w14:textId="77777777" w:rsidR="009A2B20" w:rsidRDefault="009A2B20">
      <w:pPr>
        <w:pStyle w:val="Dizin1"/>
        <w:tabs>
          <w:tab w:val="right" w:leader="dot" w:pos="4172"/>
        </w:tabs>
        <w:rPr>
          <w:noProof/>
        </w:rPr>
      </w:pPr>
      <w:r w:rsidRPr="00010C05">
        <w:rPr>
          <w:rFonts w:asciiTheme="majorBidi" w:hAnsiTheme="majorBidi" w:cstheme="majorBidi"/>
          <w:noProof/>
          <w:lang w:val="en-GB"/>
        </w:rPr>
        <w:t>Araleks</w:t>
      </w:r>
      <w:r>
        <w:rPr>
          <w:noProof/>
        </w:rPr>
        <w:t>, 378, 388</w:t>
      </w:r>
    </w:p>
    <w:p w14:paraId="6D086EE9" w14:textId="77777777" w:rsidR="009A2B20" w:rsidRDefault="009A2B20">
      <w:pPr>
        <w:pStyle w:val="Dizin1"/>
        <w:tabs>
          <w:tab w:val="right" w:leader="dot" w:pos="4172"/>
        </w:tabs>
        <w:rPr>
          <w:noProof/>
        </w:rPr>
      </w:pPr>
      <w:r w:rsidRPr="00010C05">
        <w:rPr>
          <w:rFonts w:ascii="Times New Roman" w:hAnsi="Times New Roman" w:cs="Times New Roman"/>
          <w:noProof/>
          <w:color w:val="000000"/>
          <w:lang w:val="en-GB"/>
        </w:rPr>
        <w:t>Ararat</w:t>
      </w:r>
      <w:r>
        <w:rPr>
          <w:noProof/>
        </w:rPr>
        <w:t>, 54, 157, 408, 418, 428</w:t>
      </w:r>
    </w:p>
    <w:p w14:paraId="7793C351"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Araxes</w:t>
      </w:r>
      <w:r>
        <w:rPr>
          <w:noProof/>
        </w:rPr>
        <w:t>, 157, 185, 245</w:t>
      </w:r>
    </w:p>
    <w:p w14:paraId="7AB8FB86"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Ardarakian</w:t>
      </w:r>
      <w:r>
        <w:rPr>
          <w:noProof/>
        </w:rPr>
        <w:t>, 161</w:t>
      </w:r>
    </w:p>
    <w:p w14:paraId="259642AF" w14:textId="77777777" w:rsidR="009A2B20" w:rsidRDefault="009A2B20">
      <w:pPr>
        <w:pStyle w:val="Dizin1"/>
        <w:tabs>
          <w:tab w:val="right" w:leader="dot" w:pos="4172"/>
        </w:tabs>
        <w:rPr>
          <w:noProof/>
        </w:rPr>
      </w:pPr>
      <w:r w:rsidRPr="00010C05">
        <w:rPr>
          <w:rFonts w:asciiTheme="majorBidi" w:hAnsiTheme="majorBidi" w:cstheme="majorBidi"/>
          <w:noProof/>
          <w:lang w:val="en-GB"/>
        </w:rPr>
        <w:t>Ardini</w:t>
      </w:r>
      <w:r>
        <w:rPr>
          <w:noProof/>
        </w:rPr>
        <w:t>, 107</w:t>
      </w:r>
    </w:p>
    <w:p w14:paraId="108908EC" w14:textId="77777777" w:rsidR="009A2B20" w:rsidRDefault="009A2B20">
      <w:pPr>
        <w:pStyle w:val="Dizin1"/>
        <w:tabs>
          <w:tab w:val="right" w:leader="dot" w:pos="4172"/>
        </w:tabs>
        <w:rPr>
          <w:noProof/>
        </w:rPr>
      </w:pPr>
      <w:r w:rsidRPr="00010C05">
        <w:rPr>
          <w:rFonts w:asciiTheme="majorBidi" w:hAnsiTheme="majorBidi" w:cstheme="majorBidi"/>
          <w:i/>
          <w:iCs/>
          <w:noProof/>
          <w:lang w:val="en-GB"/>
        </w:rPr>
        <w:t>Argišti</w:t>
      </w:r>
      <w:r>
        <w:rPr>
          <w:noProof/>
        </w:rPr>
        <w:t>, 415</w:t>
      </w:r>
    </w:p>
    <w:p w14:paraId="7427F4F0" w14:textId="77777777" w:rsidR="009A2B20" w:rsidRDefault="009A2B20">
      <w:pPr>
        <w:pStyle w:val="Dizin1"/>
        <w:tabs>
          <w:tab w:val="right" w:leader="dot" w:pos="4172"/>
        </w:tabs>
        <w:rPr>
          <w:noProof/>
        </w:rPr>
      </w:pPr>
      <w:r w:rsidRPr="00010C05">
        <w:rPr>
          <w:rFonts w:asciiTheme="majorBidi" w:hAnsiTheme="majorBidi" w:cstheme="majorBidi"/>
          <w:noProof/>
        </w:rPr>
        <w:t>Argišti I</w:t>
      </w:r>
      <w:r>
        <w:rPr>
          <w:noProof/>
        </w:rPr>
        <w:t>, 1, 2, 8, 10, 11, 16, 21, 27, 28, 32, 34, 35, 37, 38, 53, 60, 61, 62, 63, 72, 76, 77, 83, 84, 85, 87, 94, 96, 98, 101, 102, 106, 108, 113, 121, 152, 155, 157, 162, 163, 164, 165, 169, 170, 171, 172, 173, 174, 175, 176, 177, 178, 179, 180, 181, 182, 183, 184, 185, 186, 192, 194, 196, 197, 264, 267, 269, 275, 279, 280, 283, 284, 285, 287, 288, 289, 290, 291, 292, 293, 294, 295, 297, 298, 299, 300, 301, 335, 337, 338, 339, 340, 341, 343, 359, 360, 361, 362, 364, 365, 376</w:t>
      </w:r>
    </w:p>
    <w:p w14:paraId="3BEC85A9"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Argišti I tomb</w:t>
      </w:r>
      <w:r>
        <w:rPr>
          <w:noProof/>
        </w:rPr>
        <w:t>, 9, 11, 27, 35, 37, 62, 83, 264, 267, 279, 280, 283, 285, 287, 288, 289, 290, 291, 292, 293, 294, 295, 297, 298, 299, 300, 301, 335, 337, 338, 339, 376</w:t>
      </w:r>
    </w:p>
    <w:p w14:paraId="7BD08293" w14:textId="77777777" w:rsidR="009A2B20" w:rsidRDefault="009A2B20">
      <w:pPr>
        <w:pStyle w:val="Dizin1"/>
        <w:tabs>
          <w:tab w:val="right" w:leader="dot" w:pos="4172"/>
        </w:tabs>
        <w:rPr>
          <w:noProof/>
        </w:rPr>
      </w:pPr>
      <w:r w:rsidRPr="00010C05">
        <w:rPr>
          <w:rFonts w:asciiTheme="majorBidi" w:eastAsia="Calibri" w:hAnsiTheme="majorBidi" w:cstheme="majorBidi"/>
          <w:iCs/>
          <w:noProof/>
          <w:lang w:val="en-GB"/>
        </w:rPr>
        <w:t>Argišti</w:t>
      </w:r>
      <w:r w:rsidRPr="00010C05">
        <w:rPr>
          <w:rFonts w:asciiTheme="majorBidi" w:eastAsia="Calibri" w:hAnsiTheme="majorBidi" w:cstheme="majorBidi"/>
          <w:noProof/>
          <w:lang w:val="en-GB"/>
        </w:rPr>
        <w:t xml:space="preserve"> II</w:t>
      </w:r>
      <w:r>
        <w:rPr>
          <w:noProof/>
        </w:rPr>
        <w:t>, 63</w:t>
      </w:r>
    </w:p>
    <w:p w14:paraId="092E4DF9"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Argištiḫinili</w:t>
      </w:r>
      <w:r>
        <w:rPr>
          <w:noProof/>
        </w:rPr>
        <w:t>, 157, 161, 162, 185</w:t>
      </w:r>
    </w:p>
    <w:p w14:paraId="5071F3A4"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ari</w:t>
      </w:r>
      <w:r>
        <w:rPr>
          <w:noProof/>
        </w:rPr>
        <w:t>, 9, 162</w:t>
      </w:r>
    </w:p>
    <w:p w14:paraId="3E9CBE88" w14:textId="77777777" w:rsidR="009A2B20" w:rsidRDefault="009A2B20">
      <w:pPr>
        <w:pStyle w:val="Dizin1"/>
        <w:tabs>
          <w:tab w:val="right" w:leader="dot" w:pos="4172"/>
        </w:tabs>
        <w:rPr>
          <w:noProof/>
        </w:rPr>
      </w:pPr>
      <w:r w:rsidRPr="00010C05">
        <w:rPr>
          <w:rFonts w:ascii="Times New Roman" w:hAnsi="Times New Roman" w:cs="Times New Roman"/>
          <w:noProof/>
          <w:lang w:val="en-GB"/>
        </w:rPr>
        <w:t>Arin-berd</w:t>
      </w:r>
      <w:r>
        <w:rPr>
          <w:noProof/>
        </w:rPr>
        <w:t>, 54, 185, 281, 288</w:t>
      </w:r>
    </w:p>
    <w:p w14:paraId="1E464D16"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Armavir</w:t>
      </w:r>
      <w:r>
        <w:rPr>
          <w:noProof/>
        </w:rPr>
        <w:t>, 281, 396</w:t>
      </w:r>
    </w:p>
    <w:p w14:paraId="0A080B21"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Armenia</w:t>
      </w:r>
      <w:r>
        <w:rPr>
          <w:noProof/>
        </w:rPr>
        <w:t>, 17, 20, 29, 47, 54, 157, 184, 185, 193, 194, 195, 286, 408, 415, 418, 419, 427</w:t>
      </w:r>
    </w:p>
    <w:p w14:paraId="719FA510" w14:textId="77777777" w:rsidR="009A2B20" w:rsidRDefault="009A2B20">
      <w:pPr>
        <w:pStyle w:val="Dizin1"/>
        <w:tabs>
          <w:tab w:val="right" w:leader="dot" w:pos="4172"/>
        </w:tabs>
        <w:rPr>
          <w:noProof/>
        </w:rPr>
      </w:pPr>
      <w:r w:rsidRPr="00010C05">
        <w:rPr>
          <w:rFonts w:asciiTheme="majorBidi" w:hAnsiTheme="majorBidi" w:cstheme="majorBidi"/>
          <w:noProof/>
        </w:rPr>
        <w:t>Armenian</w:t>
      </w:r>
      <w:r>
        <w:rPr>
          <w:noProof/>
        </w:rPr>
        <w:t>, 22, 32, 36, 109, 122, 136, 150, 185, 194, 199, 360, 405, 409, 410, 413, 425, 427</w:t>
      </w:r>
    </w:p>
    <w:p w14:paraId="148C39DF"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Armina</w:t>
      </w:r>
      <w:r>
        <w:rPr>
          <w:noProof/>
        </w:rPr>
        <w:t>, 199</w:t>
      </w:r>
    </w:p>
    <w:p w14:paraId="6294D86E"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000000" w:themeColor="text1"/>
          <w:kern w:val="0"/>
          <w:lang w:val="en-GB"/>
          <w14:ligatures w14:val="none"/>
        </w:rPr>
        <w:t>Arpad</w:t>
      </w:r>
      <w:r>
        <w:rPr>
          <w:noProof/>
        </w:rPr>
        <w:t>, 5</w:t>
      </w:r>
    </w:p>
    <w:p w14:paraId="033FEB8D"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Arpuia</w:t>
      </w:r>
      <w:r>
        <w:rPr>
          <w:noProof/>
        </w:rPr>
        <w:t>, 138</w:t>
      </w:r>
    </w:p>
    <w:p w14:paraId="463C2FCD"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Arquqini</w:t>
      </w:r>
      <w:r>
        <w:rPr>
          <w:noProof/>
        </w:rPr>
        <w:t>, 195</w:t>
      </w:r>
    </w:p>
    <w:p w14:paraId="0E02B26E"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Arsenal</w:t>
      </w:r>
      <w:r>
        <w:rPr>
          <w:noProof/>
        </w:rPr>
        <w:t>, 11, 85, 87, 96</w:t>
      </w:r>
    </w:p>
    <w:p w14:paraId="1883E01C"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Arsenal/BD78 tomb</w:t>
      </w:r>
      <w:r>
        <w:rPr>
          <w:noProof/>
        </w:rPr>
        <w:t>, 11, 284, 285, 286, 304, 306, 320, 321, 341</w:t>
      </w:r>
    </w:p>
    <w:p w14:paraId="163943DA" w14:textId="77777777" w:rsidR="009A2B20" w:rsidRDefault="009A2B20">
      <w:pPr>
        <w:pStyle w:val="Dizin1"/>
        <w:tabs>
          <w:tab w:val="right" w:leader="dot" w:pos="4172"/>
        </w:tabs>
        <w:rPr>
          <w:noProof/>
        </w:rPr>
      </w:pPr>
      <w:r w:rsidRPr="00010C05">
        <w:rPr>
          <w:rFonts w:asciiTheme="majorBidi" w:eastAsia="Arial" w:hAnsiTheme="majorBidi" w:cstheme="majorBidi"/>
          <w:i/>
          <w:iCs/>
          <w:noProof/>
          <w:color w:val="202124"/>
          <w:lang w:val="en-GB"/>
        </w:rPr>
        <w:t>Arsitani</w:t>
      </w:r>
      <w:r>
        <w:rPr>
          <w:noProof/>
        </w:rPr>
        <w:t>, 185</w:t>
      </w:r>
    </w:p>
    <w:p w14:paraId="2DECC615" w14:textId="77777777" w:rsidR="009A2B20" w:rsidRDefault="009A2B20">
      <w:pPr>
        <w:pStyle w:val="Dizin1"/>
        <w:tabs>
          <w:tab w:val="right" w:leader="dot" w:pos="4172"/>
        </w:tabs>
        <w:rPr>
          <w:noProof/>
        </w:rPr>
      </w:pPr>
      <w:r w:rsidRPr="00010C05">
        <w:rPr>
          <w:rFonts w:ascii="Times New Roman" w:hAnsi="Times New Roman" w:cs="Times New Roman"/>
          <w:noProof/>
          <w:lang w:val="en-GB"/>
        </w:rPr>
        <w:t>Ashotakert</w:t>
      </w:r>
      <w:r>
        <w:rPr>
          <w:noProof/>
        </w:rPr>
        <w:t>, 55, 418</w:t>
      </w:r>
    </w:p>
    <w:p w14:paraId="6F77DCD5"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Ashur</w:t>
      </w:r>
      <w:r>
        <w:rPr>
          <w:noProof/>
        </w:rPr>
        <w:t>, 139</w:t>
      </w:r>
    </w:p>
    <w:p w14:paraId="645FC2F9" w14:textId="32938FB1" w:rsidR="009A2B20" w:rsidRDefault="009A2B20">
      <w:pPr>
        <w:pStyle w:val="Dizin1"/>
        <w:tabs>
          <w:tab w:val="right" w:leader="dot" w:pos="4172"/>
        </w:tabs>
        <w:rPr>
          <w:noProof/>
        </w:rPr>
      </w:pPr>
      <w:r>
        <w:rPr>
          <w:rFonts w:asciiTheme="majorBidi" w:hAnsiTheme="majorBidi" w:cstheme="majorBidi"/>
          <w:noProof/>
          <w:lang w:val="en-GB"/>
        </w:rPr>
        <w:t>Ashurnasirpal II</w:t>
      </w:r>
      <w:r>
        <w:rPr>
          <w:noProof/>
        </w:rPr>
        <w:t>, 204</w:t>
      </w:r>
    </w:p>
    <w:p w14:paraId="48C7C45D" w14:textId="77777777" w:rsidR="009A2B20" w:rsidRDefault="009A2B20">
      <w:pPr>
        <w:pStyle w:val="Dizin1"/>
        <w:tabs>
          <w:tab w:val="right" w:leader="dot" w:pos="4172"/>
        </w:tabs>
        <w:rPr>
          <w:noProof/>
        </w:rPr>
      </w:pPr>
      <w:r w:rsidRPr="00010C05">
        <w:rPr>
          <w:rFonts w:asciiTheme="majorBidi" w:hAnsiTheme="majorBidi" w:cstheme="majorBidi"/>
          <w:noProof/>
          <w:lang w:val="en-GB"/>
        </w:rPr>
        <w:t>Ashurnasirpal II</w:t>
      </w:r>
      <w:r>
        <w:rPr>
          <w:noProof/>
        </w:rPr>
        <w:t>, 47, 105, 204, 266, 267, 337, 338, 362, 364</w:t>
      </w:r>
    </w:p>
    <w:p w14:paraId="32C511EE"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Ashurnasirpal III</w:t>
      </w:r>
      <w:r>
        <w:rPr>
          <w:noProof/>
        </w:rPr>
        <w:t>, 94</w:t>
      </w:r>
    </w:p>
    <w:p w14:paraId="4D4DB1C0" w14:textId="77777777" w:rsidR="009A2B20" w:rsidRDefault="009A2B20">
      <w:pPr>
        <w:pStyle w:val="Dizin1"/>
        <w:tabs>
          <w:tab w:val="right" w:leader="dot" w:pos="4172"/>
        </w:tabs>
        <w:rPr>
          <w:noProof/>
        </w:rPr>
      </w:pPr>
      <w:r w:rsidRPr="00010C05">
        <w:rPr>
          <w:rFonts w:asciiTheme="majorBidi" w:hAnsiTheme="majorBidi" w:cstheme="majorBidi"/>
          <w:i/>
          <w:iCs/>
          <w:noProof/>
          <w:lang w:val="en-GB"/>
        </w:rPr>
        <w:t>ašiḫusi</w:t>
      </w:r>
      <w:r>
        <w:rPr>
          <w:noProof/>
        </w:rPr>
        <w:t>, 148, 400</w:t>
      </w:r>
    </w:p>
    <w:p w14:paraId="38A8E7DF"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Aškaia</w:t>
      </w:r>
      <w:r>
        <w:rPr>
          <w:noProof/>
        </w:rPr>
        <w:t>, 161</w:t>
      </w:r>
    </w:p>
    <w:p w14:paraId="42D416AD"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Ašqalaši</w:t>
      </w:r>
      <w:r>
        <w:rPr>
          <w:noProof/>
        </w:rPr>
        <w:t>, 161</w:t>
      </w:r>
    </w:p>
    <w:p w14:paraId="5D76BB52" w14:textId="77777777" w:rsidR="009A2B20" w:rsidRDefault="009A2B20">
      <w:pPr>
        <w:pStyle w:val="Dizin1"/>
        <w:tabs>
          <w:tab w:val="right" w:leader="dot" w:pos="4172"/>
        </w:tabs>
        <w:rPr>
          <w:noProof/>
        </w:rPr>
      </w:pPr>
      <w:r w:rsidRPr="00010C05">
        <w:rPr>
          <w:rFonts w:asciiTheme="majorBidi" w:eastAsia="Arial" w:hAnsiTheme="majorBidi" w:cstheme="majorBidi"/>
          <w:noProof/>
          <w:color w:val="000000" w:themeColor="text1"/>
          <w:lang w:val="en-GB"/>
        </w:rPr>
        <w:t>Assur</w:t>
      </w:r>
      <w:r>
        <w:rPr>
          <w:noProof/>
        </w:rPr>
        <w:t>, 6, 107, 185, 337, 338, 412, 414, 419</w:t>
      </w:r>
    </w:p>
    <w:p w14:paraId="2EFD15C7" w14:textId="77777777" w:rsidR="009A2B20" w:rsidRDefault="009A2B20">
      <w:pPr>
        <w:pStyle w:val="Dizin1"/>
        <w:tabs>
          <w:tab w:val="right" w:leader="dot" w:pos="4172"/>
        </w:tabs>
        <w:rPr>
          <w:noProof/>
        </w:rPr>
      </w:pPr>
      <w:r w:rsidRPr="00010C05">
        <w:rPr>
          <w:rFonts w:asciiTheme="majorBidi" w:eastAsia="Arial" w:hAnsiTheme="majorBidi" w:cstheme="majorBidi"/>
          <w:i/>
          <w:iCs/>
          <w:noProof/>
          <w:color w:val="202124"/>
          <w:lang w:val="en-GB"/>
        </w:rPr>
        <w:t>Aššur</w:t>
      </w:r>
      <w:r>
        <w:rPr>
          <w:noProof/>
        </w:rPr>
        <w:t>, 75, 138, 161, 337</w:t>
      </w:r>
    </w:p>
    <w:p w14:paraId="3E3936BB"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Aššur-bēl-kala</w:t>
      </w:r>
      <w:r>
        <w:rPr>
          <w:noProof/>
        </w:rPr>
        <w:t>, 47, 94, 337</w:t>
      </w:r>
    </w:p>
    <w:p w14:paraId="33F569B1"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 xml:space="preserve">Aššurnirari </w:t>
      </w:r>
      <w:r w:rsidRPr="00010C05">
        <w:rPr>
          <w:rFonts w:asciiTheme="majorBidi" w:eastAsia="Arial" w:hAnsiTheme="majorBidi" w:cstheme="majorBidi"/>
          <w:noProof/>
          <w:color w:val="202124"/>
          <w:lang w:val="en-GB"/>
        </w:rPr>
        <w:t>V</w:t>
      </w:r>
      <w:r>
        <w:rPr>
          <w:noProof/>
        </w:rPr>
        <w:t>, 192</w:t>
      </w:r>
    </w:p>
    <w:p w14:paraId="68E48942"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000000" w:themeColor="text1"/>
          <w:kern w:val="0"/>
          <w:lang w:val="en-GB"/>
          <w14:ligatures w14:val="none"/>
        </w:rPr>
        <w:t>Assyria</w:t>
      </w:r>
      <w:r>
        <w:rPr>
          <w:noProof/>
        </w:rPr>
        <w:t>, 6, 157, 193, 203, 204, 412, 414, 415, 421, 425</w:t>
      </w:r>
    </w:p>
    <w:p w14:paraId="2272A0A4" w14:textId="77777777" w:rsidR="009A2B20" w:rsidRDefault="009A2B20">
      <w:pPr>
        <w:pStyle w:val="Dizin1"/>
        <w:tabs>
          <w:tab w:val="right" w:leader="dot" w:pos="4172"/>
        </w:tabs>
        <w:rPr>
          <w:noProof/>
        </w:rPr>
      </w:pPr>
      <w:r w:rsidRPr="00010C05">
        <w:rPr>
          <w:rFonts w:asciiTheme="majorBidi" w:hAnsiTheme="majorBidi" w:cstheme="majorBidi"/>
          <w:noProof/>
        </w:rPr>
        <w:t>Assyrian</w:t>
      </w:r>
      <w:r>
        <w:rPr>
          <w:noProof/>
        </w:rPr>
        <w:t>, 5, 8, 12, 21, 22, 24, 25, 29, 32, 33, 36, 45, 47, 48, 50, 53, 54, 55, 59, 63, 64, 65, 69, 70, 71, 74, 75, 76, 86, 87, 88, 95, 104, 105, 107, 109, 112, 115, 118, 119, 120, 138, 186, 193, 197, 200, 203, 204, 206, 207, 225, 230, 233, 263, 266, 267, 275, 280, 332, 337, 338, 342, 362, 363, 364, 403, 405, 407, 413, 414, 417, 419</w:t>
      </w:r>
    </w:p>
    <w:p w14:paraId="22896A21"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000000"/>
          <w:kern w:val="0"/>
          <w:lang w:val="en-GB"/>
          <w14:ligatures w14:val="none"/>
        </w:rPr>
        <w:t>Assyrians</w:t>
      </w:r>
      <w:r>
        <w:rPr>
          <w:noProof/>
        </w:rPr>
        <w:t>, 420</w:t>
      </w:r>
    </w:p>
    <w:p w14:paraId="0CB93075" w14:textId="77777777" w:rsidR="009A2B20" w:rsidRDefault="009A2B20">
      <w:pPr>
        <w:pStyle w:val="Dizin1"/>
        <w:tabs>
          <w:tab w:val="right" w:leader="dot" w:pos="4172"/>
        </w:tabs>
        <w:rPr>
          <w:noProof/>
        </w:rPr>
      </w:pPr>
      <w:r w:rsidRPr="00010C05">
        <w:rPr>
          <w:rFonts w:asciiTheme="majorBidi" w:hAnsiTheme="majorBidi" w:cstheme="majorBidi"/>
          <w:noProof/>
        </w:rPr>
        <w:t>Aster</w:t>
      </w:r>
      <w:r>
        <w:rPr>
          <w:noProof/>
        </w:rPr>
        <w:t>, 23</w:t>
      </w:r>
    </w:p>
    <w:p w14:paraId="3784C262" w14:textId="77777777" w:rsidR="009A2B20" w:rsidRDefault="009A2B20">
      <w:pPr>
        <w:pStyle w:val="Dizin1"/>
        <w:tabs>
          <w:tab w:val="right" w:leader="dot" w:pos="4172"/>
        </w:tabs>
        <w:rPr>
          <w:noProof/>
        </w:rPr>
      </w:pPr>
      <w:r w:rsidRPr="00010C05">
        <w:rPr>
          <w:rFonts w:asciiTheme="majorBidi" w:hAnsiTheme="majorBidi" w:cstheme="majorBidi"/>
          <w:noProof/>
          <w:lang w:val="en-GB"/>
        </w:rPr>
        <w:t>aṣuli</w:t>
      </w:r>
      <w:r>
        <w:rPr>
          <w:noProof/>
        </w:rPr>
        <w:t>, 398</w:t>
      </w:r>
    </w:p>
    <w:p w14:paraId="7B22072F"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Ašzie</w:t>
      </w:r>
      <w:r>
        <w:rPr>
          <w:noProof/>
        </w:rPr>
        <w:t>, 161</w:t>
      </w:r>
    </w:p>
    <w:p w14:paraId="637A9141" w14:textId="77777777" w:rsidR="009A2B20" w:rsidRDefault="009A2B20">
      <w:pPr>
        <w:pStyle w:val="Dizin1"/>
        <w:tabs>
          <w:tab w:val="right" w:leader="dot" w:pos="4172"/>
        </w:tabs>
        <w:rPr>
          <w:noProof/>
        </w:rPr>
      </w:pPr>
      <w:r w:rsidRPr="00010C05">
        <w:rPr>
          <w:rFonts w:asciiTheme="majorBidi" w:hAnsiTheme="majorBidi" w:cstheme="majorBidi"/>
          <w:noProof/>
          <w:lang w:val="en-GB"/>
        </w:rPr>
        <w:t>Atabindi</w:t>
      </w:r>
      <w:r>
        <w:rPr>
          <w:noProof/>
        </w:rPr>
        <w:t>, 285, 338</w:t>
      </w:r>
    </w:p>
    <w:p w14:paraId="70235C21" w14:textId="77777777" w:rsidR="009A2B20" w:rsidRDefault="009A2B20">
      <w:pPr>
        <w:pStyle w:val="Dizin1"/>
        <w:tabs>
          <w:tab w:val="right" w:leader="dot" w:pos="4172"/>
        </w:tabs>
        <w:rPr>
          <w:noProof/>
        </w:rPr>
      </w:pPr>
      <w:r w:rsidRPr="00010C05">
        <w:rPr>
          <w:rFonts w:asciiTheme="majorBidi" w:hAnsiTheme="majorBidi" w:cstheme="majorBidi"/>
          <w:noProof/>
          <w:lang w:val="en-GB"/>
        </w:rPr>
        <w:t>Ava-Déré</w:t>
      </w:r>
      <w:r>
        <w:rPr>
          <w:noProof/>
        </w:rPr>
        <w:t>, 378, 393, 394, 401, 403</w:t>
      </w:r>
    </w:p>
    <w:p w14:paraId="17923EF3"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Ayanis</w:t>
      </w:r>
      <w:r>
        <w:rPr>
          <w:noProof/>
        </w:rPr>
        <w:t>, 70, 71, 266, 270, 275, 278, 281, 288, 388, 402, 406, 410, 415, 421, 426</w:t>
      </w:r>
    </w:p>
    <w:p w14:paraId="6085A566"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Aznavurtepe</w:t>
      </w:r>
      <w:r>
        <w:rPr>
          <w:noProof/>
        </w:rPr>
        <w:t>, 6, 75, 242, 243, 252, 413, 418</w:t>
      </w:r>
    </w:p>
    <w:p w14:paraId="022731F2" w14:textId="77777777" w:rsidR="009A2B20" w:rsidRDefault="009A2B20">
      <w:pPr>
        <w:pStyle w:val="DizinBal"/>
        <w:keepNext/>
        <w:tabs>
          <w:tab w:val="right" w:leader="dot" w:pos="4172"/>
        </w:tabs>
        <w:rPr>
          <w:rFonts w:eastAsiaTheme="minorEastAsia" w:cstheme="minorBidi"/>
          <w:b w:val="0"/>
          <w:bCs w:val="0"/>
          <w:noProof/>
        </w:rPr>
      </w:pPr>
      <w:r>
        <w:rPr>
          <w:noProof/>
        </w:rPr>
        <w:t>B</w:t>
      </w:r>
    </w:p>
    <w:p w14:paraId="34B3B601" w14:textId="77777777" w:rsidR="009A2B20" w:rsidRDefault="009A2B20">
      <w:pPr>
        <w:pStyle w:val="Dizin1"/>
        <w:tabs>
          <w:tab w:val="right" w:leader="dot" w:pos="4172"/>
        </w:tabs>
        <w:rPr>
          <w:noProof/>
        </w:rPr>
      </w:pPr>
      <w:r w:rsidRPr="00010C05">
        <w:rPr>
          <w:rFonts w:asciiTheme="majorBidi" w:hAnsiTheme="majorBidi" w:cstheme="majorBidi"/>
          <w:noProof/>
          <w:lang w:val="en-GB"/>
        </w:rPr>
        <w:t>Baba</w:t>
      </w:r>
      <w:r>
        <w:rPr>
          <w:noProof/>
        </w:rPr>
        <w:t>, 403</w:t>
      </w:r>
    </w:p>
    <w:p w14:paraId="6D5A1AD5"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Babilu</w:t>
      </w:r>
      <w:r>
        <w:rPr>
          <w:noProof/>
        </w:rPr>
        <w:t>, 193</w:t>
      </w:r>
    </w:p>
    <w:p w14:paraId="34C43F63"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Babylonian</w:t>
      </w:r>
      <w:r>
        <w:rPr>
          <w:noProof/>
        </w:rPr>
        <w:t>, 199</w:t>
      </w:r>
    </w:p>
    <w:p w14:paraId="67C082EB" w14:textId="77777777" w:rsidR="009A2B20" w:rsidRDefault="009A2B20">
      <w:pPr>
        <w:pStyle w:val="Dizin1"/>
        <w:tabs>
          <w:tab w:val="right" w:leader="dot" w:pos="4172"/>
        </w:tabs>
        <w:rPr>
          <w:noProof/>
        </w:rPr>
      </w:pPr>
      <w:r w:rsidRPr="00010C05">
        <w:rPr>
          <w:rFonts w:asciiTheme="majorBidi" w:hAnsiTheme="majorBidi" w:cstheme="majorBidi"/>
          <w:noProof/>
        </w:rPr>
        <w:t>Bachmann</w:t>
      </w:r>
      <w:r>
        <w:rPr>
          <w:noProof/>
        </w:rPr>
        <w:t>, 34, 35, 406</w:t>
      </w:r>
    </w:p>
    <w:p w14:paraId="5F6B55EC"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Balawat Gate</w:t>
      </w:r>
      <w:r>
        <w:rPr>
          <w:noProof/>
        </w:rPr>
        <w:t>, 48</w:t>
      </w:r>
    </w:p>
    <w:p w14:paraId="33CC35CC"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Baltian</w:t>
      </w:r>
      <w:r>
        <w:rPr>
          <w:noProof/>
        </w:rPr>
        <w:t>, 161</w:t>
      </w:r>
    </w:p>
    <w:p w14:paraId="3C389EA3"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Baruata</w:t>
      </w:r>
      <w:r>
        <w:rPr>
          <w:noProof/>
        </w:rPr>
        <w:t>, 193</w:t>
      </w:r>
    </w:p>
    <w:p w14:paraId="632AB0A6"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lastRenderedPageBreak/>
        <w:t>Bašateni</w:t>
      </w:r>
      <w:r>
        <w:rPr>
          <w:noProof/>
        </w:rPr>
        <w:t>, 192</w:t>
      </w:r>
    </w:p>
    <w:p w14:paraId="77C7BD8C"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Bastam</w:t>
      </w:r>
      <w:r>
        <w:rPr>
          <w:noProof/>
        </w:rPr>
        <w:t>, 6, 281, 396, 398, 399, 402, 403, 416, 424</w:t>
      </w:r>
    </w:p>
    <w:p w14:paraId="44BF9D9E" w14:textId="77777777" w:rsidR="009A2B20" w:rsidRDefault="009A2B20">
      <w:pPr>
        <w:pStyle w:val="Dizin1"/>
        <w:tabs>
          <w:tab w:val="right" w:leader="dot" w:pos="4172"/>
        </w:tabs>
        <w:rPr>
          <w:noProof/>
        </w:rPr>
      </w:pPr>
      <w:r w:rsidRPr="00010C05">
        <w:rPr>
          <w:rFonts w:ascii="Times New Roman" w:hAnsi="Times New Roman"/>
          <w:noProof/>
          <w:lang w:val="en-GB"/>
        </w:rPr>
        <w:t>BD80 tomb</w:t>
      </w:r>
      <w:r>
        <w:rPr>
          <w:noProof/>
        </w:rPr>
        <w:t>, 318, 319</w:t>
      </w:r>
    </w:p>
    <w:p w14:paraId="060E96AF"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BD80 Tomb</w:t>
      </w:r>
      <w:r>
        <w:rPr>
          <w:noProof/>
        </w:rPr>
        <w:t>, 11</w:t>
      </w:r>
    </w:p>
    <w:p w14:paraId="78B77AB5" w14:textId="77777777" w:rsidR="009A2B20" w:rsidRDefault="009A2B20">
      <w:pPr>
        <w:pStyle w:val="Dizin1"/>
        <w:tabs>
          <w:tab w:val="right" w:leader="dot" w:pos="4172"/>
        </w:tabs>
        <w:rPr>
          <w:noProof/>
        </w:rPr>
      </w:pPr>
      <w:r w:rsidRPr="00010C05">
        <w:rPr>
          <w:rFonts w:asciiTheme="majorBidi" w:hAnsiTheme="majorBidi" w:cstheme="majorBidi"/>
          <w:noProof/>
          <w:lang w:val="en-GB"/>
        </w:rPr>
        <w:t>Bégri</w:t>
      </w:r>
      <w:r>
        <w:rPr>
          <w:noProof/>
        </w:rPr>
        <w:t>, 57</w:t>
      </w:r>
    </w:p>
    <w:p w14:paraId="31EB685E"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BG90 tomb</w:t>
      </w:r>
      <w:r>
        <w:rPr>
          <w:noProof/>
        </w:rPr>
        <w:t>, 10, 87, 88, 102, 285, 287, 332, 333, 334, 335, 336, 341, 342</w:t>
      </w:r>
    </w:p>
    <w:p w14:paraId="2F0FA64E"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BG90 Tomb</w:t>
      </w:r>
      <w:r>
        <w:rPr>
          <w:noProof/>
        </w:rPr>
        <w:t>, 11</w:t>
      </w:r>
    </w:p>
    <w:p w14:paraId="066BD51B"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Bia</w:t>
      </w:r>
      <w:r>
        <w:rPr>
          <w:noProof/>
        </w:rPr>
        <w:t>, 161</w:t>
      </w:r>
    </w:p>
    <w:p w14:paraId="71DB2D52"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Biainili</w:t>
      </w:r>
      <w:r>
        <w:rPr>
          <w:noProof/>
        </w:rPr>
        <w:t>, 105, 107, 135, 142, 152, 154, 157, 158, 161, 194, 195, 197, 410, 412, 417, 421, 425</w:t>
      </w:r>
    </w:p>
    <w:p w14:paraId="00668BB1" w14:textId="77777777" w:rsidR="009A2B20" w:rsidRDefault="009A2B20">
      <w:pPr>
        <w:pStyle w:val="Dizin1"/>
        <w:tabs>
          <w:tab w:val="right" w:leader="dot" w:pos="4172"/>
        </w:tabs>
        <w:rPr>
          <w:noProof/>
        </w:rPr>
      </w:pPr>
      <w:r w:rsidRPr="00010C05">
        <w:rPr>
          <w:rFonts w:asciiTheme="majorBidi" w:hAnsiTheme="majorBidi" w:cstheme="majorBidi"/>
          <w:noProof/>
        </w:rPr>
        <w:t>Bin Merdivenler</w:t>
      </w:r>
      <w:r>
        <w:rPr>
          <w:noProof/>
        </w:rPr>
        <w:t>, 19, 34</w:t>
      </w:r>
    </w:p>
    <w:p w14:paraId="7909C42A"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Bisutun</w:t>
      </w:r>
      <w:r>
        <w:rPr>
          <w:noProof/>
        </w:rPr>
        <w:t>, 199</w:t>
      </w:r>
    </w:p>
    <w:p w14:paraId="06B76850" w14:textId="77777777" w:rsidR="009A2B20" w:rsidRDefault="009A2B20">
      <w:pPr>
        <w:pStyle w:val="Dizin1"/>
        <w:tabs>
          <w:tab w:val="right" w:leader="dot" w:pos="4172"/>
        </w:tabs>
        <w:rPr>
          <w:noProof/>
        </w:rPr>
      </w:pPr>
      <w:r w:rsidRPr="00010C05">
        <w:rPr>
          <w:rFonts w:asciiTheme="majorBidi" w:hAnsiTheme="majorBidi" w:cstheme="majorBidi"/>
          <w:noProof/>
          <w:lang w:val="en-GB"/>
        </w:rPr>
        <w:t>Black Obelisk</w:t>
      </w:r>
      <w:r>
        <w:rPr>
          <w:noProof/>
        </w:rPr>
        <w:t>, 362</w:t>
      </w:r>
    </w:p>
    <w:p w14:paraId="452979E3" w14:textId="77777777" w:rsidR="009A2B20" w:rsidRDefault="009A2B20">
      <w:pPr>
        <w:pStyle w:val="Dizin1"/>
        <w:tabs>
          <w:tab w:val="right" w:leader="dot" w:pos="4172"/>
        </w:tabs>
        <w:rPr>
          <w:noProof/>
        </w:rPr>
      </w:pPr>
      <w:r w:rsidRPr="00010C05">
        <w:rPr>
          <w:rFonts w:asciiTheme="majorBidi" w:hAnsiTheme="majorBidi" w:cstheme="majorBidi"/>
          <w:bCs/>
          <w:noProof/>
          <w:lang w:val="en-GB"/>
        </w:rPr>
        <w:t>Blind Windows</w:t>
      </w:r>
      <w:r>
        <w:rPr>
          <w:noProof/>
        </w:rPr>
        <w:t>, 382, 395, 396, 397</w:t>
      </w:r>
    </w:p>
    <w:p w14:paraId="6335D57A" w14:textId="77777777" w:rsidR="009A2B20" w:rsidRDefault="009A2B20">
      <w:pPr>
        <w:pStyle w:val="Dizin1"/>
        <w:tabs>
          <w:tab w:val="right" w:leader="dot" w:pos="4172"/>
        </w:tabs>
        <w:rPr>
          <w:noProof/>
        </w:rPr>
      </w:pPr>
      <w:r w:rsidRPr="00010C05">
        <w:rPr>
          <w:rFonts w:asciiTheme="majorBidi" w:hAnsiTheme="majorBidi" w:cstheme="majorBidi"/>
          <w:noProof/>
        </w:rPr>
        <w:t>Bore</w:t>
      </w:r>
      <w:r>
        <w:rPr>
          <w:noProof/>
        </w:rPr>
        <w:t>, 19, 20</w:t>
      </w:r>
    </w:p>
    <w:p w14:paraId="234B8542"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Bostankaya</w:t>
      </w:r>
      <w:r>
        <w:rPr>
          <w:noProof/>
        </w:rPr>
        <w:t>, 12, 281</w:t>
      </w:r>
    </w:p>
    <w:p w14:paraId="234409F3" w14:textId="77777777" w:rsidR="009A2B20" w:rsidRDefault="009A2B20">
      <w:pPr>
        <w:pStyle w:val="Dizin1"/>
        <w:tabs>
          <w:tab w:val="right" w:leader="dot" w:pos="4172"/>
        </w:tabs>
        <w:rPr>
          <w:noProof/>
        </w:rPr>
      </w:pPr>
      <w:r w:rsidRPr="00010C05">
        <w:rPr>
          <w:rFonts w:asciiTheme="majorBidi" w:hAnsiTheme="majorBidi" w:cstheme="majorBidi"/>
          <w:noProof/>
          <w:lang w:val="en-GB"/>
        </w:rPr>
        <w:t>British Museum</w:t>
      </w:r>
      <w:r>
        <w:rPr>
          <w:noProof/>
        </w:rPr>
        <w:t>, 406</w:t>
      </w:r>
    </w:p>
    <w:p w14:paraId="043E6202"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Burnaby</w:t>
      </w:r>
      <w:r>
        <w:rPr>
          <w:noProof/>
        </w:rPr>
        <w:t>, 14, 27, 45, 408</w:t>
      </w:r>
    </w:p>
    <w:p w14:paraId="68429914"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Buštu</w:t>
      </w:r>
      <w:r>
        <w:rPr>
          <w:noProof/>
        </w:rPr>
        <w:t>, 157, 161</w:t>
      </w:r>
    </w:p>
    <w:p w14:paraId="5DF77080" w14:textId="77777777" w:rsidR="009A2B20" w:rsidRDefault="009A2B20">
      <w:pPr>
        <w:pStyle w:val="DizinBal"/>
        <w:keepNext/>
        <w:tabs>
          <w:tab w:val="right" w:leader="dot" w:pos="4172"/>
        </w:tabs>
        <w:rPr>
          <w:rFonts w:eastAsiaTheme="minorEastAsia" w:cstheme="minorBidi"/>
          <w:b w:val="0"/>
          <w:bCs w:val="0"/>
          <w:noProof/>
        </w:rPr>
      </w:pPr>
      <w:r>
        <w:rPr>
          <w:noProof/>
        </w:rPr>
        <w:t>C</w:t>
      </w:r>
    </w:p>
    <w:p w14:paraId="78A3CF57" w14:textId="77777777" w:rsidR="009A2B20" w:rsidRDefault="009A2B20">
      <w:pPr>
        <w:pStyle w:val="Dizin1"/>
        <w:tabs>
          <w:tab w:val="right" w:leader="dot" w:pos="4172"/>
        </w:tabs>
        <w:rPr>
          <w:noProof/>
        </w:rPr>
      </w:pPr>
      <w:r w:rsidRPr="00010C05">
        <w:rPr>
          <w:rFonts w:asciiTheme="majorBidi" w:hAnsiTheme="majorBidi" w:cstheme="majorBidi"/>
          <w:noProof/>
        </w:rPr>
        <w:t>Capitaine Barry</w:t>
      </w:r>
      <w:r>
        <w:rPr>
          <w:noProof/>
        </w:rPr>
        <w:t>, 29, 408</w:t>
      </w:r>
    </w:p>
    <w:p w14:paraId="3F562B93"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Caucasus</w:t>
      </w:r>
      <w:r>
        <w:rPr>
          <w:noProof/>
        </w:rPr>
        <w:t>, 8, 408</w:t>
      </w:r>
    </w:p>
    <w:p w14:paraId="67D280B0"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Chantre</w:t>
      </w:r>
      <w:r>
        <w:rPr>
          <w:noProof/>
        </w:rPr>
        <w:t>, 14, 29, 30, 45, 408</w:t>
      </w:r>
    </w:p>
    <w:p w14:paraId="119FDB6C"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Chazineh-Kapyssy-Schatztor</w:t>
      </w:r>
      <w:r>
        <w:rPr>
          <w:noProof/>
        </w:rPr>
        <w:t>, 12</w:t>
      </w:r>
    </w:p>
    <w:p w14:paraId="3CB17EE6"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Colchis</w:t>
      </w:r>
      <w:r>
        <w:rPr>
          <w:noProof/>
        </w:rPr>
        <w:t>, 194</w:t>
      </w:r>
    </w:p>
    <w:p w14:paraId="005E0E08"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Commagene</w:t>
      </w:r>
      <w:r>
        <w:rPr>
          <w:noProof/>
        </w:rPr>
        <w:t>, 194</w:t>
      </w:r>
    </w:p>
    <w:p w14:paraId="334CFF88"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Cremation tomb</w:t>
      </w:r>
      <w:r>
        <w:rPr>
          <w:noProof/>
        </w:rPr>
        <w:t>, 11, 78, 85, 87, 96, 329, 330, 331, 335, 385, 400</w:t>
      </w:r>
    </w:p>
    <w:p w14:paraId="2BF3C7D8" w14:textId="77777777" w:rsidR="009A2B20" w:rsidRDefault="009A2B20">
      <w:pPr>
        <w:pStyle w:val="Dizin1"/>
        <w:tabs>
          <w:tab w:val="right" w:leader="dot" w:pos="4172"/>
        </w:tabs>
        <w:rPr>
          <w:noProof/>
        </w:rPr>
      </w:pPr>
      <w:r w:rsidRPr="00010C05">
        <w:rPr>
          <w:rFonts w:asciiTheme="majorBidi" w:hAnsiTheme="majorBidi" w:cstheme="majorBidi"/>
          <w:noProof/>
          <w:lang w:val="en-GB"/>
        </w:rPr>
        <w:t>Cremation Tomb</w:t>
      </w:r>
      <w:r>
        <w:rPr>
          <w:noProof/>
        </w:rPr>
        <w:t>, 107, 287, 400</w:t>
      </w:r>
    </w:p>
    <w:p w14:paraId="42467D9D" w14:textId="77777777" w:rsidR="009A2B20" w:rsidRDefault="009A2B20">
      <w:pPr>
        <w:pStyle w:val="Dizin1"/>
        <w:tabs>
          <w:tab w:val="right" w:leader="dot" w:pos="4172"/>
        </w:tabs>
        <w:rPr>
          <w:noProof/>
        </w:rPr>
      </w:pPr>
      <w:r w:rsidRPr="00010C05">
        <w:rPr>
          <w:rFonts w:asciiTheme="majorBidi" w:hAnsiTheme="majorBidi" w:cstheme="majorBidi"/>
          <w:noProof/>
        </w:rPr>
        <w:t>Cremation tombs</w:t>
      </w:r>
      <w:r>
        <w:rPr>
          <w:noProof/>
        </w:rPr>
        <w:t>, 16</w:t>
      </w:r>
    </w:p>
    <w:p w14:paraId="254DC934" w14:textId="77777777" w:rsidR="009A2B20" w:rsidRDefault="009A2B20">
      <w:pPr>
        <w:pStyle w:val="DizinBal"/>
        <w:keepNext/>
        <w:tabs>
          <w:tab w:val="right" w:leader="dot" w:pos="4172"/>
        </w:tabs>
        <w:rPr>
          <w:rFonts w:eastAsiaTheme="minorEastAsia" w:cstheme="minorBidi"/>
          <w:b w:val="0"/>
          <w:bCs w:val="0"/>
          <w:noProof/>
        </w:rPr>
      </w:pPr>
      <w:r>
        <w:rPr>
          <w:noProof/>
        </w:rPr>
        <w:t>Ç</w:t>
      </w:r>
    </w:p>
    <w:p w14:paraId="342C8936"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Çavuştepe</w:t>
      </w:r>
      <w:r>
        <w:rPr>
          <w:noProof/>
        </w:rPr>
        <w:t>, 6, 12, 54, 270, 274, 281, 288, 378, 396, 397, 402, 403, 411</w:t>
      </w:r>
    </w:p>
    <w:p w14:paraId="2B98B4BC"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Çelebi</w:t>
      </w:r>
      <w:r>
        <w:rPr>
          <w:noProof/>
        </w:rPr>
        <w:t>, 372, 409</w:t>
      </w:r>
    </w:p>
    <w:p w14:paraId="1C5A5B27" w14:textId="77777777" w:rsidR="009A2B20" w:rsidRDefault="009A2B20">
      <w:pPr>
        <w:pStyle w:val="Dizin1"/>
        <w:tabs>
          <w:tab w:val="right" w:leader="dot" w:pos="4172"/>
        </w:tabs>
        <w:rPr>
          <w:noProof/>
        </w:rPr>
      </w:pPr>
      <w:r w:rsidRPr="00010C05">
        <w:rPr>
          <w:rFonts w:asciiTheme="majorBidi" w:hAnsiTheme="majorBidi" w:cstheme="majorBidi"/>
          <w:noProof/>
          <w:lang w:val="en-GB"/>
        </w:rPr>
        <w:t>Çelebibağı</w:t>
      </w:r>
      <w:r>
        <w:rPr>
          <w:noProof/>
        </w:rPr>
        <w:t>, 393</w:t>
      </w:r>
    </w:p>
    <w:p w14:paraId="5167AC40" w14:textId="77777777" w:rsidR="009A2B20" w:rsidRDefault="009A2B20">
      <w:pPr>
        <w:pStyle w:val="DizinBal"/>
        <w:keepNext/>
        <w:tabs>
          <w:tab w:val="right" w:leader="dot" w:pos="4172"/>
        </w:tabs>
        <w:rPr>
          <w:rFonts w:eastAsiaTheme="minorEastAsia" w:cstheme="minorBidi"/>
          <w:b w:val="0"/>
          <w:bCs w:val="0"/>
          <w:noProof/>
        </w:rPr>
      </w:pPr>
      <w:r>
        <w:rPr>
          <w:noProof/>
        </w:rPr>
        <w:t>D</w:t>
      </w:r>
    </w:p>
    <w:p w14:paraId="1147FF3A" w14:textId="77777777" w:rsidR="009A2B20" w:rsidRDefault="009A2B20">
      <w:pPr>
        <w:pStyle w:val="Dizin1"/>
        <w:tabs>
          <w:tab w:val="right" w:leader="dot" w:pos="4172"/>
        </w:tabs>
        <w:rPr>
          <w:noProof/>
        </w:rPr>
      </w:pPr>
      <w:r w:rsidRPr="00010C05">
        <w:rPr>
          <w:rFonts w:asciiTheme="majorBidi" w:eastAsia="Arial" w:hAnsiTheme="majorBidi" w:cstheme="majorBidi"/>
          <w:i/>
          <w:iCs/>
          <w:noProof/>
          <w:color w:val="202124"/>
          <w:lang w:val="en-GB"/>
        </w:rPr>
        <w:t>Daiian Aššur</w:t>
      </w:r>
      <w:r>
        <w:rPr>
          <w:noProof/>
        </w:rPr>
        <w:t>, 105</w:t>
      </w:r>
    </w:p>
    <w:p w14:paraId="1216FDBC" w14:textId="77777777" w:rsidR="009A2B20" w:rsidRDefault="009A2B20">
      <w:pPr>
        <w:pStyle w:val="Dizin1"/>
        <w:tabs>
          <w:tab w:val="right" w:leader="dot" w:pos="4172"/>
        </w:tabs>
        <w:rPr>
          <w:noProof/>
        </w:rPr>
      </w:pPr>
      <w:r w:rsidRPr="00010C05">
        <w:rPr>
          <w:rFonts w:asciiTheme="majorBidi" w:hAnsiTheme="majorBidi" w:cstheme="majorBidi"/>
          <w:noProof/>
        </w:rPr>
        <w:t>Darius</w:t>
      </w:r>
      <w:r>
        <w:rPr>
          <w:noProof/>
        </w:rPr>
        <w:t>, 28, 103, 198, 199</w:t>
      </w:r>
    </w:p>
    <w:p w14:paraId="1710C87A" w14:textId="77777777" w:rsidR="009A2B20" w:rsidRDefault="009A2B20">
      <w:pPr>
        <w:pStyle w:val="Dizin1"/>
        <w:tabs>
          <w:tab w:val="right" w:leader="dot" w:pos="4172"/>
        </w:tabs>
        <w:rPr>
          <w:noProof/>
        </w:rPr>
      </w:pPr>
      <w:r w:rsidRPr="00010C05">
        <w:rPr>
          <w:rFonts w:asciiTheme="majorBidi" w:hAnsiTheme="majorBidi" w:cstheme="majorBidi"/>
          <w:noProof/>
          <w:lang w:val="en-GB"/>
        </w:rPr>
        <w:t>Dergé-Aşot</w:t>
      </w:r>
      <w:r>
        <w:rPr>
          <w:noProof/>
        </w:rPr>
        <w:t>, 404</w:t>
      </w:r>
    </w:p>
    <w:p w14:paraId="79E7A61E"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Deyrolle</w:t>
      </w:r>
      <w:r>
        <w:rPr>
          <w:noProof/>
        </w:rPr>
        <w:t>, 14, 23, 25, 26, 27, 45, 410</w:t>
      </w:r>
    </w:p>
    <w:p w14:paraId="46DCB6C6"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Diau</w:t>
      </w:r>
      <w:r>
        <w:rPr>
          <w:noProof/>
        </w:rPr>
        <w:t>, 161, 184</w:t>
      </w:r>
    </w:p>
    <w:p w14:paraId="1C5C96BC"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Diaueḫi</w:t>
      </w:r>
      <w:r>
        <w:rPr>
          <w:noProof/>
        </w:rPr>
        <w:t>, 157, 161, 185, 186</w:t>
      </w:r>
    </w:p>
    <w:p w14:paraId="270F64BE"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Diauḫi</w:t>
      </w:r>
      <w:r>
        <w:rPr>
          <w:noProof/>
        </w:rPr>
        <w:t>, 158</w:t>
      </w:r>
    </w:p>
    <w:p w14:paraId="14989A94" w14:textId="77777777" w:rsidR="009A2B20" w:rsidRDefault="009A2B20">
      <w:pPr>
        <w:pStyle w:val="Dizin1"/>
        <w:tabs>
          <w:tab w:val="right" w:leader="dot" w:pos="4172"/>
        </w:tabs>
        <w:rPr>
          <w:noProof/>
        </w:rPr>
      </w:pPr>
      <w:r w:rsidRPr="00010C05">
        <w:rPr>
          <w:rFonts w:asciiTheme="majorBidi" w:hAnsiTheme="majorBidi" w:cstheme="majorBidi"/>
          <w:noProof/>
          <w:lang w:val="en-GB"/>
        </w:rPr>
        <w:t>Dilkaya</w:t>
      </w:r>
      <w:r>
        <w:rPr>
          <w:noProof/>
        </w:rPr>
        <w:t>, 285, 336, 409, 410</w:t>
      </w:r>
    </w:p>
    <w:p w14:paraId="3D6ED32B"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Dirguni</w:t>
      </w:r>
      <w:r>
        <w:rPr>
          <w:noProof/>
        </w:rPr>
        <w:t>, 138</w:t>
      </w:r>
    </w:p>
    <w:p w14:paraId="5FA7E353"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Dirria</w:t>
      </w:r>
      <w:r>
        <w:rPr>
          <w:noProof/>
        </w:rPr>
        <w:t>, 139</w:t>
      </w:r>
    </w:p>
    <w:p w14:paraId="46C8C4AA"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Diyarbakir</w:t>
      </w:r>
      <w:r>
        <w:rPr>
          <w:noProof/>
        </w:rPr>
        <w:t>, 193</w:t>
      </w:r>
    </w:p>
    <w:p w14:paraId="1F2D7B9C" w14:textId="77777777" w:rsidR="009A2B20" w:rsidRDefault="009A2B20">
      <w:pPr>
        <w:pStyle w:val="Dizin1"/>
        <w:tabs>
          <w:tab w:val="right" w:leader="dot" w:pos="4172"/>
        </w:tabs>
        <w:rPr>
          <w:noProof/>
        </w:rPr>
      </w:pPr>
      <w:r w:rsidRPr="00010C05">
        <w:rPr>
          <w:rFonts w:asciiTheme="majorBidi" w:hAnsiTheme="majorBidi" w:cstheme="majorBidi"/>
          <w:noProof/>
        </w:rPr>
        <w:t>Doğu Odaları</w:t>
      </w:r>
      <w:r>
        <w:rPr>
          <w:noProof/>
        </w:rPr>
        <w:t>, 2, 10, 11, 16, 25, 29, 34, 78, 85, 87, 94, 96, 100, 102, 278, 283, 284, 285, 287, 309, 310, 321, 322, 323, 324, 325, 326, 327, 328, 334, 336, 337, 339, 340, 341</w:t>
      </w:r>
    </w:p>
    <w:p w14:paraId="2EEBDEF3"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Doğu Odaları tomb</w:t>
      </w:r>
      <w:r>
        <w:rPr>
          <w:noProof/>
        </w:rPr>
        <w:t>, 11, 100</w:t>
      </w:r>
    </w:p>
    <w:p w14:paraId="29D4CA80" w14:textId="77777777" w:rsidR="009A2B20" w:rsidRDefault="009A2B20">
      <w:pPr>
        <w:pStyle w:val="Dizin1"/>
        <w:tabs>
          <w:tab w:val="right" w:leader="dot" w:pos="4172"/>
        </w:tabs>
        <w:rPr>
          <w:noProof/>
        </w:rPr>
      </w:pPr>
      <w:r w:rsidRPr="00010C05">
        <w:rPr>
          <w:rFonts w:asciiTheme="majorBidi" w:hAnsiTheme="majorBidi" w:cstheme="majorBidi"/>
          <w:noProof/>
          <w:lang w:val="en-GB"/>
        </w:rPr>
        <w:t>Doğubeyazıt</w:t>
      </w:r>
      <w:r>
        <w:rPr>
          <w:noProof/>
        </w:rPr>
        <w:t>, 285, 414</w:t>
      </w:r>
    </w:p>
    <w:p w14:paraId="63694925"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Dur-Šarrukin</w:t>
      </w:r>
      <w:r>
        <w:rPr>
          <w:noProof/>
        </w:rPr>
        <w:t>, 6</w:t>
      </w:r>
    </w:p>
    <w:p w14:paraId="5927F691"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Düvenci</w:t>
      </w:r>
      <w:r>
        <w:rPr>
          <w:noProof/>
        </w:rPr>
        <w:t>, 393</w:t>
      </w:r>
    </w:p>
    <w:p w14:paraId="6D2B089E" w14:textId="77777777" w:rsidR="009A2B20" w:rsidRDefault="009A2B20">
      <w:pPr>
        <w:pStyle w:val="DizinBal"/>
        <w:keepNext/>
        <w:tabs>
          <w:tab w:val="right" w:leader="dot" w:pos="4172"/>
        </w:tabs>
        <w:rPr>
          <w:rFonts w:eastAsiaTheme="minorEastAsia" w:cstheme="minorBidi"/>
          <w:b w:val="0"/>
          <w:bCs w:val="0"/>
          <w:noProof/>
        </w:rPr>
      </w:pPr>
      <w:r>
        <w:rPr>
          <w:noProof/>
        </w:rPr>
        <w:t>E</w:t>
      </w:r>
    </w:p>
    <w:p w14:paraId="26F67D7A"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É</w:t>
      </w:r>
      <w:r>
        <w:rPr>
          <w:noProof/>
        </w:rPr>
        <w:t>, 75, 122, 148, 154, 193, 415</w:t>
      </w:r>
    </w:p>
    <w:p w14:paraId="59387055" w14:textId="77777777" w:rsidR="009A2B20" w:rsidRDefault="009A2B20">
      <w:pPr>
        <w:pStyle w:val="Dizin1"/>
        <w:tabs>
          <w:tab w:val="right" w:leader="dot" w:pos="4172"/>
        </w:tabs>
        <w:rPr>
          <w:noProof/>
        </w:rPr>
      </w:pPr>
      <w:r w:rsidRPr="00010C05">
        <w:rPr>
          <w:rFonts w:asciiTheme="majorBidi" w:hAnsiTheme="majorBidi" w:cstheme="majorBidi"/>
          <w:noProof/>
          <w:lang w:val="en-GB"/>
        </w:rPr>
        <w:t>É.BÁRA</w:t>
      </w:r>
      <w:r>
        <w:rPr>
          <w:noProof/>
        </w:rPr>
        <w:t>, 193</w:t>
      </w:r>
    </w:p>
    <w:p w14:paraId="653A63DD" w14:textId="77777777" w:rsidR="009A2B20" w:rsidRDefault="009A2B20">
      <w:pPr>
        <w:pStyle w:val="Dizin1"/>
        <w:tabs>
          <w:tab w:val="right" w:leader="dot" w:pos="4172"/>
        </w:tabs>
        <w:rPr>
          <w:noProof/>
        </w:rPr>
      </w:pPr>
      <w:r w:rsidRPr="00010C05">
        <w:rPr>
          <w:rFonts w:asciiTheme="majorBidi" w:hAnsiTheme="majorBidi" w:cstheme="majorBidi"/>
          <w:noProof/>
          <w:lang w:val="en-GB"/>
        </w:rPr>
        <w:t>Early Iron Age</w:t>
      </w:r>
      <w:r>
        <w:rPr>
          <w:noProof/>
        </w:rPr>
        <w:t>, 49, 341, 407</w:t>
      </w:r>
    </w:p>
    <w:p w14:paraId="0C160036" w14:textId="77777777" w:rsidR="009A2B20" w:rsidRDefault="009A2B20">
      <w:pPr>
        <w:pStyle w:val="Dizin1"/>
        <w:tabs>
          <w:tab w:val="right" w:leader="dot" w:pos="4172"/>
        </w:tabs>
        <w:rPr>
          <w:noProof/>
        </w:rPr>
      </w:pPr>
      <w:r w:rsidRPr="00010C05">
        <w:rPr>
          <w:rFonts w:asciiTheme="majorBidi" w:hAnsiTheme="majorBidi" w:cstheme="majorBidi"/>
          <w:noProof/>
        </w:rPr>
        <w:t>East Ditch</w:t>
      </w:r>
      <w:r>
        <w:rPr>
          <w:noProof/>
        </w:rPr>
        <w:t>, 11, 12, 22, 40, 50, 78, 81, 86, 87, 88, 96, 101, 287, 321, 322, 332, 341, 363</w:t>
      </w:r>
    </w:p>
    <w:p w14:paraId="4312D2D0" w14:textId="77777777" w:rsidR="009A2B20" w:rsidRDefault="009A2B20">
      <w:pPr>
        <w:pStyle w:val="Dizin1"/>
        <w:tabs>
          <w:tab w:val="right" w:leader="dot" w:pos="4172"/>
        </w:tabs>
        <w:rPr>
          <w:noProof/>
        </w:rPr>
      </w:pPr>
      <w:r w:rsidRPr="00010C05">
        <w:rPr>
          <w:rFonts w:asciiTheme="majorBidi" w:hAnsiTheme="majorBidi" w:cstheme="majorBidi"/>
          <w:noProof/>
          <w:lang w:val="en-GB"/>
        </w:rPr>
        <w:t>eCUT</w:t>
      </w:r>
      <w:r>
        <w:rPr>
          <w:noProof/>
        </w:rPr>
        <w:t>, 405</w:t>
      </w:r>
    </w:p>
    <w:p w14:paraId="442E3C12"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Edremit</w:t>
      </w:r>
      <w:r>
        <w:rPr>
          <w:noProof/>
        </w:rPr>
        <w:t>, 50, 75, 113, 244</w:t>
      </w:r>
    </w:p>
    <w:p w14:paraId="3CC35575"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Elamic</w:t>
      </w:r>
      <w:r>
        <w:rPr>
          <w:noProof/>
        </w:rPr>
        <w:t>, 198</w:t>
      </w:r>
    </w:p>
    <w:p w14:paraId="2CB237F5"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Elamite</w:t>
      </w:r>
      <w:r>
        <w:rPr>
          <w:noProof/>
        </w:rPr>
        <w:t>, 199</w:t>
      </w:r>
    </w:p>
    <w:p w14:paraId="4C196C4C"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Elar</w:t>
      </w:r>
      <w:r>
        <w:rPr>
          <w:noProof/>
        </w:rPr>
        <w:t>, 186</w:t>
      </w:r>
    </w:p>
    <w:p w14:paraId="065C8597" w14:textId="77777777" w:rsidR="009A2B20" w:rsidRDefault="009A2B20">
      <w:pPr>
        <w:pStyle w:val="Dizin1"/>
        <w:tabs>
          <w:tab w:val="right" w:leader="dot" w:pos="4172"/>
        </w:tabs>
        <w:rPr>
          <w:noProof/>
        </w:rPr>
      </w:pPr>
      <w:r w:rsidRPr="00010C05">
        <w:rPr>
          <w:rFonts w:asciiTheme="majorBidi" w:hAnsiTheme="majorBidi" w:cstheme="majorBidi"/>
          <w:noProof/>
          <w:lang w:val="en-GB"/>
        </w:rPr>
        <w:t>Electronic Corpus of Urartian Texts</w:t>
      </w:r>
      <w:r>
        <w:rPr>
          <w:noProof/>
        </w:rPr>
        <w:t>, 405</w:t>
      </w:r>
    </w:p>
    <w:p w14:paraId="267DAD80" w14:textId="77777777" w:rsidR="009A2B20" w:rsidRDefault="009A2B20">
      <w:pPr>
        <w:pStyle w:val="Dizin1"/>
        <w:tabs>
          <w:tab w:val="right" w:leader="dot" w:pos="4172"/>
        </w:tabs>
        <w:rPr>
          <w:noProof/>
        </w:rPr>
      </w:pPr>
      <w:r w:rsidRPr="00010C05">
        <w:rPr>
          <w:rFonts w:asciiTheme="majorBidi" w:hAnsiTheme="majorBidi" w:cstheme="majorBidi"/>
          <w:noProof/>
          <w:lang w:val="en-GB"/>
        </w:rPr>
        <w:t>Elipru</w:t>
      </w:r>
      <w:r>
        <w:rPr>
          <w:noProof/>
        </w:rPr>
        <w:t>, 354</w:t>
      </w:r>
    </w:p>
    <w:p w14:paraId="3E75D174"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Erciş</w:t>
      </w:r>
      <w:r>
        <w:rPr>
          <w:noProof/>
        </w:rPr>
        <w:t>, 393, 395, 415</w:t>
      </w:r>
    </w:p>
    <w:p w14:paraId="48F133B2"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Erçek Lake</w:t>
      </w:r>
      <w:r>
        <w:rPr>
          <w:noProof/>
        </w:rPr>
        <w:t>, 113</w:t>
      </w:r>
    </w:p>
    <w:p w14:paraId="6859045C"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Erebuni</w:t>
      </w:r>
      <w:r>
        <w:rPr>
          <w:noProof/>
        </w:rPr>
        <w:t>, 157, 158, 162, 184, 185, 403, 419, 425</w:t>
      </w:r>
    </w:p>
    <w:p w14:paraId="3A092F50"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Erevan</w:t>
      </w:r>
      <w:r>
        <w:rPr>
          <w:noProof/>
        </w:rPr>
        <w:t>, 185</w:t>
      </w:r>
    </w:p>
    <w:p w14:paraId="0D68ED80"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Eriaḫi</w:t>
      </w:r>
      <w:r>
        <w:rPr>
          <w:noProof/>
        </w:rPr>
        <w:t>, 161, 194</w:t>
      </w:r>
    </w:p>
    <w:p w14:paraId="0D6C0E63"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Erikua/Erkua/Erkuaic/Erikuaḫi</w:t>
      </w:r>
      <w:r>
        <w:rPr>
          <w:noProof/>
        </w:rPr>
        <w:t>, 139, 193</w:t>
      </w:r>
    </w:p>
    <w:p w14:paraId="05709900"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Erimena</w:t>
      </w:r>
      <w:r>
        <w:rPr>
          <w:noProof/>
        </w:rPr>
        <w:t>, 63, 421</w:t>
      </w:r>
    </w:p>
    <w:p w14:paraId="4BAA4ED8"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Erivan</w:t>
      </w:r>
      <w:r>
        <w:rPr>
          <w:noProof/>
        </w:rPr>
        <w:t>, 6</w:t>
      </w:r>
    </w:p>
    <w:p w14:paraId="5F9F96FF"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Erkuaic</w:t>
      </w:r>
      <w:r>
        <w:rPr>
          <w:noProof/>
        </w:rPr>
        <w:t>, 135</w:t>
      </w:r>
    </w:p>
    <w:p w14:paraId="0870AF5F"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Eruni</w:t>
      </w:r>
      <w:r>
        <w:rPr>
          <w:noProof/>
        </w:rPr>
        <w:t>, 138</w:t>
      </w:r>
    </w:p>
    <w:p w14:paraId="66049737" w14:textId="77777777" w:rsidR="009A2B20" w:rsidRDefault="009A2B20">
      <w:pPr>
        <w:pStyle w:val="Dizin1"/>
        <w:tabs>
          <w:tab w:val="right" w:leader="dot" w:pos="4172"/>
        </w:tabs>
        <w:rPr>
          <w:noProof/>
        </w:rPr>
      </w:pPr>
      <w:r w:rsidRPr="00010C05">
        <w:rPr>
          <w:rFonts w:asciiTheme="majorBidi" w:hAnsiTheme="majorBidi" w:cstheme="majorBidi"/>
          <w:iCs/>
          <w:noProof/>
          <w:color w:val="000000" w:themeColor="text1"/>
          <w:lang w:val="en-GB"/>
        </w:rPr>
        <w:t>Erzen</w:t>
      </w:r>
      <w:r>
        <w:rPr>
          <w:noProof/>
        </w:rPr>
        <w:t>, 41</w:t>
      </w:r>
    </w:p>
    <w:p w14:paraId="592A12AA"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Etiu/Etiuḫi/Etiuni</w:t>
      </w:r>
      <w:r>
        <w:rPr>
          <w:noProof/>
        </w:rPr>
        <w:t>, 126, 135, 157, 158, 161, 184, 185, 186, 193, 194, 195</w:t>
      </w:r>
    </w:p>
    <w:p w14:paraId="3E1ADCFF"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Euphrates</w:t>
      </w:r>
      <w:r>
        <w:rPr>
          <w:noProof/>
        </w:rPr>
        <w:t>, 192, 196</w:t>
      </w:r>
    </w:p>
    <w:p w14:paraId="279D094A"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Evliya Çelebi</w:t>
      </w:r>
      <w:r>
        <w:rPr>
          <w:noProof/>
        </w:rPr>
        <w:t>, 14, 15, 17, 18, 19, 28, 32, 45, 78, 372</w:t>
      </w:r>
    </w:p>
    <w:p w14:paraId="4E7A2FE0" w14:textId="77777777" w:rsidR="009A2B20" w:rsidRDefault="009A2B20">
      <w:pPr>
        <w:pStyle w:val="DizinBal"/>
        <w:keepNext/>
        <w:tabs>
          <w:tab w:val="right" w:leader="dot" w:pos="4172"/>
        </w:tabs>
        <w:rPr>
          <w:rFonts w:eastAsiaTheme="minorEastAsia" w:cstheme="minorBidi"/>
          <w:b w:val="0"/>
          <w:bCs w:val="0"/>
          <w:noProof/>
        </w:rPr>
      </w:pPr>
      <w:r>
        <w:rPr>
          <w:noProof/>
        </w:rPr>
        <w:t>G</w:t>
      </w:r>
    </w:p>
    <w:p w14:paraId="408B95F7" w14:textId="77777777" w:rsidR="009A2B20" w:rsidRDefault="009A2B20">
      <w:pPr>
        <w:pStyle w:val="Dizin1"/>
        <w:tabs>
          <w:tab w:val="right" w:leader="dot" w:pos="4172"/>
        </w:tabs>
        <w:rPr>
          <w:noProof/>
        </w:rPr>
      </w:pPr>
      <w:r w:rsidRPr="00010C05">
        <w:rPr>
          <w:rFonts w:asciiTheme="majorBidi" w:hAnsiTheme="majorBidi" w:cstheme="majorBidi"/>
          <w:noProof/>
          <w:lang w:val="en-GB"/>
        </w:rPr>
        <w:t>Gameşvan</w:t>
      </w:r>
      <w:r>
        <w:rPr>
          <w:noProof/>
        </w:rPr>
        <w:t>, 359, 360</w:t>
      </w:r>
    </w:p>
    <w:p w14:paraId="46050CA8" w14:textId="77777777" w:rsidR="009A2B20" w:rsidRDefault="009A2B20">
      <w:pPr>
        <w:pStyle w:val="Dizin1"/>
        <w:tabs>
          <w:tab w:val="right" w:leader="dot" w:pos="4172"/>
        </w:tabs>
        <w:rPr>
          <w:noProof/>
        </w:rPr>
      </w:pPr>
      <w:r w:rsidRPr="00010C05">
        <w:rPr>
          <w:rFonts w:asciiTheme="majorBidi" w:hAnsiTheme="majorBidi" w:cstheme="majorBidi"/>
          <w:noProof/>
          <w:lang w:val="en-GB"/>
        </w:rPr>
        <w:t>Georgian Museum</w:t>
      </w:r>
      <w:r>
        <w:rPr>
          <w:noProof/>
        </w:rPr>
        <w:t>, 151, 197, 427</w:t>
      </w:r>
    </w:p>
    <w:p w14:paraId="4AC36066" w14:textId="77777777" w:rsidR="009A2B20" w:rsidRDefault="009A2B20">
      <w:pPr>
        <w:pStyle w:val="Dizin1"/>
        <w:tabs>
          <w:tab w:val="right" w:leader="dot" w:pos="4172"/>
        </w:tabs>
        <w:rPr>
          <w:noProof/>
        </w:rPr>
      </w:pPr>
      <w:r w:rsidRPr="00010C05">
        <w:rPr>
          <w:rFonts w:cs="Times New Roman"/>
          <w:noProof/>
          <w:lang w:val="en-GB"/>
        </w:rPr>
        <w:t>Gevaş</w:t>
      </w:r>
      <w:r>
        <w:rPr>
          <w:noProof/>
        </w:rPr>
        <w:t>, 50, 368, 388, 396, 397, 401, 403</w:t>
      </w:r>
    </w:p>
    <w:p w14:paraId="4455FAF4" w14:textId="77777777" w:rsidR="009A2B20" w:rsidRDefault="009A2B20">
      <w:pPr>
        <w:pStyle w:val="Dizin1"/>
        <w:tabs>
          <w:tab w:val="right" w:leader="dot" w:pos="4172"/>
        </w:tabs>
        <w:rPr>
          <w:noProof/>
        </w:rPr>
      </w:pPr>
      <w:r w:rsidRPr="00010C05">
        <w:rPr>
          <w:rFonts w:asciiTheme="majorBidi" w:hAnsiTheme="majorBidi" w:cstheme="majorBidi"/>
          <w:noProof/>
        </w:rPr>
        <w:t>Ghourab</w:t>
      </w:r>
      <w:r>
        <w:rPr>
          <w:noProof/>
        </w:rPr>
        <w:t>, 21, 24</w:t>
      </w:r>
    </w:p>
    <w:p w14:paraId="31892A93" w14:textId="77777777" w:rsidR="009A2B20" w:rsidRDefault="009A2B20">
      <w:pPr>
        <w:pStyle w:val="Dizin1"/>
        <w:tabs>
          <w:tab w:val="right" w:leader="dot" w:pos="4172"/>
        </w:tabs>
        <w:rPr>
          <w:noProof/>
        </w:rPr>
      </w:pPr>
      <w:r w:rsidRPr="00010C05">
        <w:rPr>
          <w:rFonts w:asciiTheme="majorBidi" w:hAnsiTheme="majorBidi" w:cstheme="majorBidi"/>
          <w:noProof/>
          <w:lang w:val="en-GB"/>
        </w:rPr>
        <w:t>Giriktepe</w:t>
      </w:r>
      <w:r>
        <w:rPr>
          <w:noProof/>
        </w:rPr>
        <w:t>, 403</w:t>
      </w:r>
    </w:p>
    <w:p w14:paraId="76330B43"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Giumri</w:t>
      </w:r>
      <w:r>
        <w:rPr>
          <w:noProof/>
        </w:rPr>
        <w:t>, 194</w:t>
      </w:r>
    </w:p>
    <w:p w14:paraId="1F43FC95"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God Ḫaldi</w:t>
      </w:r>
      <w:r>
        <w:rPr>
          <w:noProof/>
        </w:rPr>
        <w:t>, 50, 54, 56, 58, 61, 63, 71, 86, 87, 88, 129, 150, 355, 360</w:t>
      </w:r>
    </w:p>
    <w:p w14:paraId="0E3DA18B" w14:textId="77777777" w:rsidR="009A2B20" w:rsidRDefault="009A2B20">
      <w:pPr>
        <w:pStyle w:val="Dizin1"/>
        <w:tabs>
          <w:tab w:val="right" w:leader="dot" w:pos="4172"/>
        </w:tabs>
        <w:rPr>
          <w:noProof/>
        </w:rPr>
      </w:pPr>
      <w:r w:rsidRPr="00010C05">
        <w:rPr>
          <w:rFonts w:asciiTheme="majorBidi" w:hAnsiTheme="majorBidi" w:cstheme="majorBidi"/>
          <w:noProof/>
          <w:lang w:val="en-GB"/>
        </w:rPr>
        <w:t>Gövelek</w:t>
      </w:r>
      <w:r>
        <w:rPr>
          <w:noProof/>
        </w:rPr>
        <w:t>, 374</w:t>
      </w:r>
    </w:p>
    <w:p w14:paraId="6D6B1AEC"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Great Platform</w:t>
      </w:r>
      <w:r>
        <w:rPr>
          <w:noProof/>
        </w:rPr>
        <w:t>, 2, 11, 85, 87, 95, 96, 284, 285, 286, 287, 288, 302, 303, 304, 305, 307, 312, 315, 318, 322, 341</w:t>
      </w:r>
    </w:p>
    <w:p w14:paraId="40F4D03D"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Gulutaḫi</w:t>
      </w:r>
      <w:r>
        <w:rPr>
          <w:noProof/>
        </w:rPr>
        <w:t>, 161</w:t>
      </w:r>
    </w:p>
    <w:p w14:paraId="0AE57B6C" w14:textId="77777777" w:rsidR="009A2B20" w:rsidRDefault="009A2B20">
      <w:pPr>
        <w:pStyle w:val="Dizin1"/>
        <w:tabs>
          <w:tab w:val="right" w:leader="dot" w:pos="4172"/>
        </w:tabs>
        <w:rPr>
          <w:noProof/>
        </w:rPr>
      </w:pPr>
      <w:r w:rsidRPr="00010C05">
        <w:rPr>
          <w:rFonts w:asciiTheme="majorBidi" w:hAnsiTheme="majorBidi" w:cstheme="majorBidi"/>
          <w:noProof/>
          <w:lang w:val="en-GB"/>
        </w:rPr>
        <w:t>Gürpınar</w:t>
      </w:r>
      <w:r>
        <w:rPr>
          <w:noProof/>
        </w:rPr>
        <w:t>, 396</w:t>
      </w:r>
    </w:p>
    <w:p w14:paraId="20BC87BF" w14:textId="77777777" w:rsidR="009A2B20" w:rsidRDefault="009A2B20">
      <w:pPr>
        <w:pStyle w:val="Dizin1"/>
        <w:tabs>
          <w:tab w:val="right" w:leader="dot" w:pos="4172"/>
        </w:tabs>
        <w:rPr>
          <w:noProof/>
        </w:rPr>
      </w:pPr>
      <w:r w:rsidRPr="00010C05">
        <w:rPr>
          <w:rFonts w:asciiTheme="majorBidi" w:hAnsiTheme="majorBidi" w:cstheme="majorBidi"/>
          <w:noProof/>
          <w:lang w:val="en-GB"/>
        </w:rPr>
        <w:t>Güsak Stele</w:t>
      </w:r>
      <w:r>
        <w:rPr>
          <w:noProof/>
        </w:rPr>
        <w:t>, 263, 354</w:t>
      </w:r>
    </w:p>
    <w:p w14:paraId="7BB075FC"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Gyumri</w:t>
      </w:r>
      <w:r>
        <w:rPr>
          <w:noProof/>
        </w:rPr>
        <w:t>, 194</w:t>
      </w:r>
    </w:p>
    <w:p w14:paraId="3BAB4F51" w14:textId="77777777" w:rsidR="009A2B20" w:rsidRDefault="009A2B20">
      <w:pPr>
        <w:pStyle w:val="DizinBal"/>
        <w:keepNext/>
        <w:tabs>
          <w:tab w:val="right" w:leader="dot" w:pos="4172"/>
        </w:tabs>
        <w:rPr>
          <w:rFonts w:eastAsiaTheme="minorEastAsia" w:cstheme="minorBidi"/>
          <w:b w:val="0"/>
          <w:bCs w:val="0"/>
          <w:noProof/>
        </w:rPr>
      </w:pPr>
      <w:r>
        <w:rPr>
          <w:noProof/>
        </w:rPr>
        <w:t>H</w:t>
      </w:r>
    </w:p>
    <w:p w14:paraId="360E9930" w14:textId="77777777" w:rsidR="009A2B20" w:rsidRDefault="009A2B20">
      <w:pPr>
        <w:pStyle w:val="Dizin1"/>
        <w:tabs>
          <w:tab w:val="right" w:leader="dot" w:pos="4172"/>
        </w:tabs>
        <w:rPr>
          <w:noProof/>
        </w:rPr>
      </w:pPr>
      <w:r w:rsidRPr="00010C05">
        <w:rPr>
          <w:rFonts w:asciiTheme="majorBidi" w:hAnsiTheme="majorBidi" w:cstheme="majorBidi"/>
          <w:i/>
          <w:iCs/>
          <w:noProof/>
          <w:lang w:val="en-GB"/>
        </w:rPr>
        <w:t>hačkar</w:t>
      </w:r>
      <w:r>
        <w:rPr>
          <w:noProof/>
        </w:rPr>
        <w:t>, 122, 136</w:t>
      </w:r>
    </w:p>
    <w:p w14:paraId="69179A35"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Haikavank</w:t>
      </w:r>
      <w:r>
        <w:rPr>
          <w:noProof/>
        </w:rPr>
        <w:t>, 65</w:t>
      </w:r>
    </w:p>
    <w:p w14:paraId="4983BFF1" w14:textId="77777777" w:rsidR="009A2B20" w:rsidRDefault="009A2B20">
      <w:pPr>
        <w:pStyle w:val="Dizin1"/>
        <w:tabs>
          <w:tab w:val="right" w:leader="dot" w:pos="4172"/>
        </w:tabs>
        <w:rPr>
          <w:noProof/>
        </w:rPr>
      </w:pPr>
      <w:r w:rsidRPr="00010C05">
        <w:rPr>
          <w:rFonts w:asciiTheme="majorBidi" w:hAnsiTheme="majorBidi" w:cstheme="majorBidi"/>
          <w:noProof/>
          <w:lang w:val="en-GB"/>
        </w:rPr>
        <w:t>Hakkari/Yamaç</w:t>
      </w:r>
      <w:r>
        <w:rPr>
          <w:noProof/>
        </w:rPr>
        <w:t>, 286</w:t>
      </w:r>
    </w:p>
    <w:p w14:paraId="5E674E7A" w14:textId="77777777" w:rsidR="009A2B20" w:rsidRDefault="009A2B20">
      <w:pPr>
        <w:pStyle w:val="DizinBal"/>
        <w:keepNext/>
        <w:tabs>
          <w:tab w:val="right" w:leader="dot" w:pos="4172"/>
        </w:tabs>
        <w:rPr>
          <w:rFonts w:eastAsiaTheme="minorEastAsia" w:cstheme="minorBidi"/>
          <w:b w:val="0"/>
          <w:bCs w:val="0"/>
          <w:noProof/>
        </w:rPr>
      </w:pPr>
      <w:r>
        <w:rPr>
          <w:noProof/>
        </w:rPr>
        <w:t>Ḫ</w:t>
      </w:r>
    </w:p>
    <w:p w14:paraId="3C3A7490"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Ḫaldi</w:t>
      </w:r>
      <w:r>
        <w:rPr>
          <w:noProof/>
        </w:rPr>
        <w:t>, 52, 54, 105, 107, 122, 124, 126, 127, 129, 135, 138, 142, 145, 147, 149, 150, 151, 152, 154, 155, 157, 158, 161, 185, 192, 193, 194, 195, 196, 251, 255, 263, 275, 351, 354, 360, 365, 412</w:t>
      </w:r>
    </w:p>
    <w:p w14:paraId="299694C7"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ḫarnizi</w:t>
      </w:r>
      <w:r>
        <w:rPr>
          <w:noProof/>
        </w:rPr>
        <w:t>, 255, 256, 257, 263</w:t>
      </w:r>
    </w:p>
    <w:p w14:paraId="10D64F51" w14:textId="77777777" w:rsidR="009A2B20" w:rsidRDefault="009A2B20">
      <w:pPr>
        <w:pStyle w:val="DizinBal"/>
        <w:keepNext/>
        <w:tabs>
          <w:tab w:val="right" w:leader="dot" w:pos="4172"/>
        </w:tabs>
        <w:rPr>
          <w:rFonts w:eastAsiaTheme="minorEastAsia" w:cstheme="minorBidi"/>
          <w:b w:val="0"/>
          <w:bCs w:val="0"/>
          <w:noProof/>
        </w:rPr>
      </w:pPr>
      <w:r>
        <w:rPr>
          <w:noProof/>
        </w:rPr>
        <w:lastRenderedPageBreak/>
        <w:t>H</w:t>
      </w:r>
    </w:p>
    <w:p w14:paraId="08AD92AC" w14:textId="77777777" w:rsidR="009A2B20" w:rsidRDefault="009A2B20">
      <w:pPr>
        <w:pStyle w:val="Dizin1"/>
        <w:tabs>
          <w:tab w:val="right" w:leader="dot" w:pos="4172"/>
        </w:tabs>
        <w:rPr>
          <w:noProof/>
        </w:rPr>
      </w:pPr>
      <w:r w:rsidRPr="00010C05">
        <w:rPr>
          <w:rFonts w:asciiTheme="majorBidi" w:hAnsiTheme="majorBidi" w:cstheme="majorBidi"/>
          <w:noProof/>
          <w:lang w:val="en-GB"/>
        </w:rPr>
        <w:t>Hasankale Fortress</w:t>
      </w:r>
      <w:r>
        <w:rPr>
          <w:noProof/>
        </w:rPr>
        <w:t>, 286</w:t>
      </w:r>
    </w:p>
    <w:p w14:paraId="05E08576" w14:textId="77777777" w:rsidR="009A2B20" w:rsidRDefault="009A2B20">
      <w:pPr>
        <w:pStyle w:val="Dizin1"/>
        <w:tabs>
          <w:tab w:val="right" w:leader="dot" w:pos="4172"/>
        </w:tabs>
        <w:rPr>
          <w:noProof/>
        </w:rPr>
      </w:pPr>
      <w:r w:rsidRPr="00010C05">
        <w:rPr>
          <w:rFonts w:asciiTheme="majorBidi" w:hAnsiTheme="majorBidi" w:cstheme="majorBidi"/>
          <w:noProof/>
          <w:lang w:val="en-GB"/>
        </w:rPr>
        <w:t>Hasanlu</w:t>
      </w:r>
      <w:r>
        <w:rPr>
          <w:noProof/>
        </w:rPr>
        <w:t>, 403</w:t>
      </w:r>
    </w:p>
    <w:p w14:paraId="116CC375" w14:textId="77777777" w:rsidR="009A2B20" w:rsidRDefault="009A2B20">
      <w:pPr>
        <w:pStyle w:val="DizinBal"/>
        <w:keepNext/>
        <w:tabs>
          <w:tab w:val="right" w:leader="dot" w:pos="4172"/>
        </w:tabs>
        <w:rPr>
          <w:rFonts w:eastAsiaTheme="minorEastAsia" w:cstheme="minorBidi"/>
          <w:b w:val="0"/>
          <w:bCs w:val="0"/>
          <w:noProof/>
        </w:rPr>
      </w:pPr>
      <w:r>
        <w:rPr>
          <w:noProof/>
        </w:rPr>
        <w:t>Ḫ</w:t>
      </w:r>
    </w:p>
    <w:p w14:paraId="14930CD7"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Ḫate</w:t>
      </w:r>
      <w:r>
        <w:rPr>
          <w:noProof/>
        </w:rPr>
        <w:t>, 184</w:t>
      </w:r>
    </w:p>
    <w:p w14:paraId="68604375" w14:textId="77777777" w:rsidR="009A2B20" w:rsidRDefault="009A2B20">
      <w:pPr>
        <w:pStyle w:val="DizinBal"/>
        <w:keepNext/>
        <w:tabs>
          <w:tab w:val="right" w:leader="dot" w:pos="4172"/>
        </w:tabs>
        <w:rPr>
          <w:rFonts w:eastAsiaTheme="minorEastAsia" w:cstheme="minorBidi"/>
          <w:b w:val="0"/>
          <w:bCs w:val="0"/>
          <w:noProof/>
        </w:rPr>
      </w:pPr>
      <w:r>
        <w:rPr>
          <w:noProof/>
        </w:rPr>
        <w:t>H</w:t>
      </w:r>
    </w:p>
    <w:p w14:paraId="5008D7EA"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Hatina</w:t>
      </w:r>
      <w:r>
        <w:rPr>
          <w:noProof/>
        </w:rPr>
        <w:t>, 139</w:t>
      </w:r>
    </w:p>
    <w:p w14:paraId="7E5001DF" w14:textId="77777777" w:rsidR="009A2B20" w:rsidRDefault="009A2B20">
      <w:pPr>
        <w:pStyle w:val="DizinBal"/>
        <w:keepNext/>
        <w:tabs>
          <w:tab w:val="right" w:leader="dot" w:pos="4172"/>
        </w:tabs>
        <w:rPr>
          <w:rFonts w:eastAsiaTheme="minorEastAsia" w:cstheme="minorBidi"/>
          <w:b w:val="0"/>
          <w:bCs w:val="0"/>
          <w:noProof/>
        </w:rPr>
      </w:pPr>
      <w:r>
        <w:rPr>
          <w:noProof/>
        </w:rPr>
        <w:t>Ḫ</w:t>
      </w:r>
    </w:p>
    <w:p w14:paraId="5E64CE5B"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Ḫatti</w:t>
      </w:r>
      <w:r>
        <w:rPr>
          <w:noProof/>
        </w:rPr>
        <w:t>, 138, 157, 158</w:t>
      </w:r>
    </w:p>
    <w:p w14:paraId="5C4D6D1F" w14:textId="77777777" w:rsidR="009A2B20" w:rsidRDefault="009A2B20">
      <w:pPr>
        <w:pStyle w:val="DizinBal"/>
        <w:keepNext/>
        <w:tabs>
          <w:tab w:val="right" w:leader="dot" w:pos="4172"/>
        </w:tabs>
        <w:rPr>
          <w:rFonts w:eastAsiaTheme="minorEastAsia" w:cstheme="minorBidi"/>
          <w:b w:val="0"/>
          <w:bCs w:val="0"/>
          <w:noProof/>
        </w:rPr>
      </w:pPr>
      <w:r>
        <w:rPr>
          <w:noProof/>
        </w:rPr>
        <w:t>H</w:t>
      </w:r>
    </w:p>
    <w:p w14:paraId="216025F7"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Hazine Kapısı</w:t>
      </w:r>
      <w:r>
        <w:rPr>
          <w:noProof/>
        </w:rPr>
        <w:t>, 12, 106, 184, 186, 187, 189, 190, 191, 192, 412</w:t>
      </w:r>
    </w:p>
    <w:p w14:paraId="009D3732"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Hell</w:t>
      </w:r>
      <w:r>
        <w:rPr>
          <w:noProof/>
        </w:rPr>
        <w:t>, 14, 25, 45, 414</w:t>
      </w:r>
    </w:p>
    <w:p w14:paraId="2A5B3110"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Hevşisork</w:t>
      </w:r>
      <w:r>
        <w:rPr>
          <w:noProof/>
        </w:rPr>
        <w:t>, 67</w:t>
      </w:r>
    </w:p>
    <w:p w14:paraId="0775F9A0" w14:textId="77777777" w:rsidR="009A2B20" w:rsidRDefault="009A2B20">
      <w:pPr>
        <w:pStyle w:val="Dizin1"/>
        <w:tabs>
          <w:tab w:val="right" w:leader="dot" w:pos="4172"/>
        </w:tabs>
        <w:rPr>
          <w:noProof/>
        </w:rPr>
      </w:pPr>
      <w:r w:rsidRPr="00010C05">
        <w:rPr>
          <w:rFonts w:asciiTheme="majorBidi" w:hAnsiTheme="majorBidi" w:cstheme="majorBidi"/>
          <w:noProof/>
          <w:lang w:val="en-GB"/>
        </w:rPr>
        <w:t>Hişet</w:t>
      </w:r>
      <w:r>
        <w:rPr>
          <w:noProof/>
        </w:rPr>
        <w:t>, 378, 388, 389, 390, 401</w:t>
      </w:r>
    </w:p>
    <w:p w14:paraId="53F620B0"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Hittites</w:t>
      </w:r>
      <w:r>
        <w:rPr>
          <w:noProof/>
        </w:rPr>
        <w:t>, 139, 157</w:t>
      </w:r>
    </w:p>
    <w:p w14:paraId="2450F2EB" w14:textId="77777777" w:rsidR="009A2B20" w:rsidRDefault="009A2B20">
      <w:pPr>
        <w:pStyle w:val="Dizin1"/>
        <w:tabs>
          <w:tab w:val="right" w:leader="dot" w:pos="4172"/>
        </w:tabs>
        <w:rPr>
          <w:noProof/>
        </w:rPr>
      </w:pPr>
      <w:r w:rsidRPr="00010C05">
        <w:rPr>
          <w:rFonts w:asciiTheme="majorBidi" w:hAnsiTheme="majorBidi" w:cstheme="majorBidi"/>
          <w:noProof/>
        </w:rPr>
        <w:t>Horhor</w:t>
      </w:r>
      <w:r>
        <w:rPr>
          <w:noProof/>
        </w:rPr>
        <w:t>, 3, 9, 11, 16, 19, 21, 22, 24, 25, 28, 32, 36, 37, 39, 45, 58, 60, 62, 63, 83, 85, 89, 94, 102, 164, 165, 166, 168, 184, 283, 284, 285, 286, 289, 290, 293, 300, 301, 302, 339, 340, 341, 355, 362, 366, 367, 368, 370, 371, 372, 376, 417</w:t>
      </w:r>
    </w:p>
    <w:p w14:paraId="5083DD9D"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Horhor Caves</w:t>
      </w:r>
      <w:r>
        <w:rPr>
          <w:noProof/>
        </w:rPr>
        <w:t>, 37, 85</w:t>
      </w:r>
    </w:p>
    <w:p w14:paraId="6DD9AB5F" w14:textId="77777777" w:rsidR="009A2B20" w:rsidRDefault="009A2B20">
      <w:pPr>
        <w:pStyle w:val="Dizin1"/>
        <w:tabs>
          <w:tab w:val="right" w:leader="dot" w:pos="4172"/>
        </w:tabs>
        <w:rPr>
          <w:noProof/>
        </w:rPr>
      </w:pPr>
      <w:r w:rsidRPr="00010C05">
        <w:rPr>
          <w:rFonts w:asciiTheme="majorBidi" w:hAnsiTheme="majorBidi"/>
          <w:noProof/>
          <w:lang w:val="en-GB"/>
        </w:rPr>
        <w:t>Horhor Fountain</w:t>
      </w:r>
      <w:r>
        <w:rPr>
          <w:noProof/>
        </w:rPr>
        <w:t>, 28, 366, 368, 370, 371, 372, 376</w:t>
      </w:r>
    </w:p>
    <w:p w14:paraId="52904576" w14:textId="77777777" w:rsidR="009A2B20" w:rsidRDefault="009A2B20">
      <w:pPr>
        <w:pStyle w:val="Dizin1"/>
        <w:tabs>
          <w:tab w:val="right" w:leader="dot" w:pos="4172"/>
        </w:tabs>
        <w:rPr>
          <w:noProof/>
        </w:rPr>
      </w:pPr>
      <w:r w:rsidRPr="00010C05">
        <w:rPr>
          <w:rFonts w:asciiTheme="majorBidi" w:hAnsiTheme="majorBidi" w:cstheme="majorBidi"/>
          <w:noProof/>
        </w:rPr>
        <w:t>Horhor tombs</w:t>
      </w:r>
      <w:r>
        <w:rPr>
          <w:noProof/>
        </w:rPr>
        <w:t>, 83, 301</w:t>
      </w:r>
    </w:p>
    <w:p w14:paraId="03C59391" w14:textId="77777777" w:rsidR="009A2B20" w:rsidRDefault="009A2B20">
      <w:pPr>
        <w:pStyle w:val="Dizin1"/>
        <w:tabs>
          <w:tab w:val="right" w:leader="dot" w:pos="4172"/>
        </w:tabs>
        <w:rPr>
          <w:noProof/>
        </w:rPr>
      </w:pPr>
      <w:r w:rsidRPr="00010C05">
        <w:rPr>
          <w:rFonts w:asciiTheme="majorBidi" w:hAnsiTheme="majorBidi" w:cstheme="majorBidi"/>
          <w:noProof/>
          <w:lang w:val="en-GB"/>
        </w:rPr>
        <w:t>Hoşap Fortress</w:t>
      </w:r>
      <w:r>
        <w:rPr>
          <w:noProof/>
        </w:rPr>
        <w:t>, 396, 397</w:t>
      </w:r>
    </w:p>
    <w:p w14:paraId="4DBAD108" w14:textId="77777777" w:rsidR="009A2B20" w:rsidRDefault="009A2B20">
      <w:pPr>
        <w:pStyle w:val="DizinBal"/>
        <w:keepNext/>
        <w:tabs>
          <w:tab w:val="right" w:leader="dot" w:pos="4172"/>
        </w:tabs>
        <w:rPr>
          <w:rFonts w:eastAsiaTheme="minorEastAsia" w:cstheme="minorBidi"/>
          <w:b w:val="0"/>
          <w:bCs w:val="0"/>
          <w:noProof/>
        </w:rPr>
      </w:pPr>
      <w:r>
        <w:rPr>
          <w:noProof/>
        </w:rPr>
        <w:t>Ḫ</w:t>
      </w:r>
    </w:p>
    <w:p w14:paraId="12F1F1F5"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Ḫulmeru</w:t>
      </w:r>
      <w:r>
        <w:rPr>
          <w:noProof/>
        </w:rPr>
        <w:t>, 138</w:t>
      </w:r>
    </w:p>
    <w:p w14:paraId="66DBF382" w14:textId="77777777" w:rsidR="009A2B20" w:rsidRDefault="009A2B20">
      <w:pPr>
        <w:pStyle w:val="DizinBal"/>
        <w:keepNext/>
        <w:tabs>
          <w:tab w:val="right" w:leader="dot" w:pos="4172"/>
        </w:tabs>
        <w:rPr>
          <w:rFonts w:eastAsiaTheme="minorEastAsia" w:cstheme="minorBidi"/>
          <w:b w:val="0"/>
          <w:bCs w:val="0"/>
          <w:noProof/>
        </w:rPr>
      </w:pPr>
      <w:r>
        <w:rPr>
          <w:noProof/>
        </w:rPr>
        <w:t>H</w:t>
      </w:r>
    </w:p>
    <w:p w14:paraId="1F19A236" w14:textId="77777777" w:rsidR="009A2B20" w:rsidRDefault="009A2B20">
      <w:pPr>
        <w:pStyle w:val="Dizin1"/>
        <w:tabs>
          <w:tab w:val="right" w:leader="dot" w:pos="4172"/>
        </w:tabs>
        <w:rPr>
          <w:noProof/>
        </w:rPr>
      </w:pPr>
      <w:r w:rsidRPr="00010C05">
        <w:rPr>
          <w:rFonts w:asciiTheme="majorBidi" w:eastAsia="Arial" w:hAnsiTheme="majorBidi" w:cstheme="majorBidi"/>
          <w:noProof/>
          <w:lang w:val="en-GB"/>
        </w:rPr>
        <w:t>Hurrian</w:t>
      </w:r>
      <w:r>
        <w:rPr>
          <w:noProof/>
        </w:rPr>
        <w:t>, 107, 142</w:t>
      </w:r>
    </w:p>
    <w:p w14:paraId="3570BF3E" w14:textId="77777777" w:rsidR="009A2B20" w:rsidRDefault="009A2B20">
      <w:pPr>
        <w:pStyle w:val="DizinBal"/>
        <w:keepNext/>
        <w:tabs>
          <w:tab w:val="right" w:leader="dot" w:pos="4172"/>
        </w:tabs>
        <w:rPr>
          <w:rFonts w:eastAsiaTheme="minorEastAsia" w:cstheme="minorBidi"/>
          <w:b w:val="0"/>
          <w:bCs w:val="0"/>
          <w:noProof/>
        </w:rPr>
      </w:pPr>
      <w:r>
        <w:rPr>
          <w:noProof/>
        </w:rPr>
        <w:t>Ḫ</w:t>
      </w:r>
    </w:p>
    <w:p w14:paraId="41658E42"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Ḫuṭuini</w:t>
      </w:r>
      <w:r>
        <w:rPr>
          <w:noProof/>
        </w:rPr>
        <w:t>, 151</w:t>
      </w:r>
    </w:p>
    <w:p w14:paraId="700F408E" w14:textId="77777777" w:rsidR="009A2B20" w:rsidRDefault="009A2B20">
      <w:pPr>
        <w:pStyle w:val="DizinBal"/>
        <w:keepNext/>
        <w:tabs>
          <w:tab w:val="right" w:leader="dot" w:pos="4172"/>
        </w:tabs>
        <w:rPr>
          <w:rFonts w:eastAsiaTheme="minorEastAsia" w:cstheme="minorBidi"/>
          <w:b w:val="0"/>
          <w:bCs w:val="0"/>
          <w:noProof/>
        </w:rPr>
      </w:pPr>
      <w:r>
        <w:rPr>
          <w:noProof/>
        </w:rPr>
        <w:t>H</w:t>
      </w:r>
    </w:p>
    <w:p w14:paraId="142C8BD6"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Hyvernat</w:t>
      </w:r>
      <w:r>
        <w:rPr>
          <w:noProof/>
        </w:rPr>
        <w:t>, 14, 29, 30, 31, 45, 419</w:t>
      </w:r>
    </w:p>
    <w:p w14:paraId="0BFD5B26" w14:textId="77777777" w:rsidR="009A2B20" w:rsidRDefault="009A2B20">
      <w:pPr>
        <w:pStyle w:val="DizinBal"/>
        <w:keepNext/>
        <w:tabs>
          <w:tab w:val="right" w:leader="dot" w:pos="4172"/>
        </w:tabs>
        <w:rPr>
          <w:rFonts w:eastAsiaTheme="minorEastAsia" w:cstheme="minorBidi"/>
          <w:b w:val="0"/>
          <w:bCs w:val="0"/>
          <w:noProof/>
        </w:rPr>
      </w:pPr>
      <w:r>
        <w:rPr>
          <w:noProof/>
        </w:rPr>
        <w:t>I</w:t>
      </w:r>
    </w:p>
    <w:p w14:paraId="119E8272"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Igara</w:t>
      </w:r>
      <w:r>
        <w:rPr>
          <w:noProof/>
        </w:rPr>
        <w:t>, 158</w:t>
      </w:r>
    </w:p>
    <w:p w14:paraId="08FF0764" w14:textId="77777777" w:rsidR="009A2B20" w:rsidRDefault="009A2B20">
      <w:pPr>
        <w:pStyle w:val="Dizin1"/>
        <w:tabs>
          <w:tab w:val="right" w:leader="dot" w:pos="4172"/>
        </w:tabs>
        <w:rPr>
          <w:noProof/>
        </w:rPr>
      </w:pPr>
      <w:r w:rsidRPr="00010C05">
        <w:rPr>
          <w:rFonts w:asciiTheme="majorBidi" w:hAnsiTheme="majorBidi" w:cstheme="majorBidi"/>
          <w:noProof/>
        </w:rPr>
        <w:t>Incicean</w:t>
      </w:r>
      <w:r>
        <w:rPr>
          <w:noProof/>
        </w:rPr>
        <w:t>, 19, 20, 414</w:t>
      </w:r>
    </w:p>
    <w:p w14:paraId="3ACB2EBE"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rPr>
        <w:t>Inner Citadel</w:t>
      </w:r>
      <w:r>
        <w:rPr>
          <w:noProof/>
        </w:rPr>
        <w:t>, 2, 9, 11, 12, 77, 78, 83, 89, 90, 91, 92, 93, 101, 102, 239</w:t>
      </w:r>
    </w:p>
    <w:p w14:paraId="1FCCF755"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Inušpua</w:t>
      </w:r>
      <w:r>
        <w:rPr>
          <w:noProof/>
        </w:rPr>
        <w:t>, 4, 53, 54, 55, 56, 85, 88, 94, 101, 109, 129, 149, 150, 151, 152, 251, 360</w:t>
      </w:r>
    </w:p>
    <w:p w14:paraId="15393639"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Iranian Azerbaijan</w:t>
      </w:r>
      <w:r>
        <w:rPr>
          <w:noProof/>
        </w:rPr>
        <w:t>, 142, 194, 375</w:t>
      </w:r>
    </w:p>
    <w:p w14:paraId="4EE1E0FA"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Irkiuni</w:t>
      </w:r>
      <w:r>
        <w:rPr>
          <w:noProof/>
        </w:rPr>
        <w:t>, 161</w:t>
      </w:r>
    </w:p>
    <w:p w14:paraId="4A80C078" w14:textId="77777777" w:rsidR="009A2B20" w:rsidRDefault="009A2B20">
      <w:pPr>
        <w:pStyle w:val="Dizin1"/>
        <w:tabs>
          <w:tab w:val="right" w:leader="dot" w:pos="4172"/>
        </w:tabs>
        <w:rPr>
          <w:noProof/>
        </w:rPr>
      </w:pPr>
      <w:r w:rsidRPr="00010C05">
        <w:rPr>
          <w:rFonts w:ascii="Times New Roman" w:hAnsi="Times New Roman" w:cs="Times New Roman"/>
          <w:noProof/>
          <w:lang w:val="en-GB"/>
        </w:rPr>
        <w:t>Irmušini</w:t>
      </w:r>
      <w:r>
        <w:rPr>
          <w:noProof/>
        </w:rPr>
        <w:t>, 54</w:t>
      </w:r>
    </w:p>
    <w:p w14:paraId="486499C7"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Išala</w:t>
      </w:r>
      <w:r>
        <w:rPr>
          <w:noProof/>
        </w:rPr>
        <w:t>, 138</w:t>
      </w:r>
    </w:p>
    <w:p w14:paraId="566C4D7E"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Ispuini</w:t>
      </w:r>
      <w:r>
        <w:rPr>
          <w:noProof/>
        </w:rPr>
        <w:t>, 415</w:t>
      </w:r>
    </w:p>
    <w:p w14:paraId="13E5D1B0" w14:textId="77777777" w:rsidR="009A2B20" w:rsidRDefault="009A2B20">
      <w:pPr>
        <w:pStyle w:val="Dizin1"/>
        <w:tabs>
          <w:tab w:val="right" w:leader="dot" w:pos="4172"/>
        </w:tabs>
        <w:rPr>
          <w:noProof/>
        </w:rPr>
      </w:pPr>
      <w:r w:rsidRPr="00010C05">
        <w:rPr>
          <w:rFonts w:asciiTheme="majorBidi" w:eastAsia="Times New Roman" w:hAnsiTheme="majorBidi" w:cstheme="majorBidi"/>
          <w:noProof/>
        </w:rPr>
        <w:t>Išpuini</w:t>
      </w:r>
      <w:r>
        <w:rPr>
          <w:noProof/>
        </w:rPr>
        <w:t>, 1, 4, 8, 12, 51, 52, 53, 54, 55, 56, 59, 61, 74, 75, 76, 77, 85, 88, 94, 101, 102, 104, 105, 106, 109, 121, 122, 126, 129, 130, 133, 135, 138, 142, 145, 147, 148, 149, 150, 151, 152, 154, 155, 204, 232, 251, 255, 256, 340, 345, 360, 373, 375</w:t>
      </w:r>
    </w:p>
    <w:p w14:paraId="72AA0A87" w14:textId="77777777" w:rsidR="009A2B20" w:rsidRDefault="009A2B20">
      <w:pPr>
        <w:pStyle w:val="Dizin1"/>
        <w:tabs>
          <w:tab w:val="right" w:leader="dot" w:pos="4172"/>
        </w:tabs>
        <w:rPr>
          <w:noProof/>
        </w:rPr>
      </w:pPr>
      <w:r w:rsidRPr="00010C05">
        <w:rPr>
          <w:rFonts w:ascii="Times New Roman" w:hAnsi="Times New Roman" w:cs="Times New Roman"/>
          <w:i/>
          <w:iCs/>
          <w:noProof/>
          <w:lang w:val="en-GB"/>
        </w:rPr>
        <w:t>Išpuini</w:t>
      </w:r>
      <w:r w:rsidRPr="00010C05">
        <w:rPr>
          <w:rFonts w:ascii="Times New Roman" w:hAnsi="Times New Roman" w:cs="Times New Roman"/>
          <w:noProof/>
          <w:lang w:val="en-GB"/>
        </w:rPr>
        <w:t xml:space="preserve"> period</w:t>
      </w:r>
      <w:r>
        <w:rPr>
          <w:noProof/>
        </w:rPr>
        <w:t>, 75</w:t>
      </w:r>
    </w:p>
    <w:p w14:paraId="0062C2BA"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Išqugulu</w:t>
      </w:r>
      <w:r>
        <w:rPr>
          <w:noProof/>
        </w:rPr>
        <w:t>, 193</w:t>
      </w:r>
    </w:p>
    <w:p w14:paraId="67D4F96A" w14:textId="77777777" w:rsidR="009A2B20" w:rsidRDefault="009A2B20">
      <w:pPr>
        <w:pStyle w:val="Dizin1"/>
        <w:tabs>
          <w:tab w:val="right" w:leader="dot" w:pos="4172"/>
        </w:tabs>
        <w:rPr>
          <w:noProof/>
        </w:rPr>
      </w:pPr>
      <w:r w:rsidRPr="00010C05">
        <w:rPr>
          <w:rFonts w:ascii="Times New Roman" w:hAnsi="Times New Roman" w:cs="Times New Roman"/>
          <w:noProof/>
          <w:lang w:val="en-GB"/>
        </w:rPr>
        <w:t>Iubša</w:t>
      </w:r>
      <w:r>
        <w:rPr>
          <w:noProof/>
        </w:rPr>
        <w:t>, 54</w:t>
      </w:r>
    </w:p>
    <w:p w14:paraId="707138EA"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Izalla</w:t>
      </w:r>
      <w:r>
        <w:rPr>
          <w:noProof/>
        </w:rPr>
        <w:t>, 139</w:t>
      </w:r>
    </w:p>
    <w:p w14:paraId="42A15654" w14:textId="77777777" w:rsidR="009A2B20" w:rsidRDefault="009A2B20">
      <w:pPr>
        <w:pStyle w:val="DizinBal"/>
        <w:keepNext/>
        <w:tabs>
          <w:tab w:val="right" w:leader="dot" w:pos="4172"/>
        </w:tabs>
        <w:rPr>
          <w:rFonts w:eastAsiaTheme="minorEastAsia" w:cstheme="minorBidi"/>
          <w:b w:val="0"/>
          <w:bCs w:val="0"/>
          <w:noProof/>
        </w:rPr>
      </w:pPr>
      <w:r>
        <w:rPr>
          <w:noProof/>
        </w:rPr>
        <w:t>İ</w:t>
      </w:r>
    </w:p>
    <w:p w14:paraId="4279AEF4" w14:textId="77777777" w:rsidR="009A2B20" w:rsidRDefault="009A2B20">
      <w:pPr>
        <w:pStyle w:val="Dizin1"/>
        <w:tabs>
          <w:tab w:val="right" w:leader="dot" w:pos="4172"/>
        </w:tabs>
        <w:rPr>
          <w:noProof/>
        </w:rPr>
      </w:pPr>
      <w:r w:rsidRPr="00010C05">
        <w:rPr>
          <w:rFonts w:asciiTheme="majorBidi" w:hAnsiTheme="majorBidi" w:cstheme="majorBidi"/>
          <w:noProof/>
        </w:rPr>
        <w:t>İç Kale</w:t>
      </w:r>
      <w:r>
        <w:rPr>
          <w:noProof/>
        </w:rPr>
        <w:t>, 2, 10, 11, 12, 18, 20, 21, 22, 25, 27, 28, 42, 46, 56, 77, 78, 83, 85, 86, 87, 88, 89, 90, 91, 92, 93, 94, 95, 101, 102, 106, 109, 239, 240, 241, 242, 243, 244, 245, 246, 251, 252, 267, 280, 283, 284, 285, 287, 288, 302, 304, 305, 306, 307, 308, 309, 310, 313, 316, 320, 322, 329, 334, 337, 339, 340, 341</w:t>
      </w:r>
    </w:p>
    <w:p w14:paraId="5139A9B2" w14:textId="77777777" w:rsidR="009A2B20" w:rsidRDefault="009A2B20">
      <w:pPr>
        <w:pStyle w:val="Dizin1"/>
        <w:tabs>
          <w:tab w:val="right" w:leader="dot" w:pos="4172"/>
        </w:tabs>
        <w:rPr>
          <w:noProof/>
        </w:rPr>
      </w:pPr>
      <w:r w:rsidRPr="00010C05">
        <w:rPr>
          <w:rFonts w:ascii="Times New Roman" w:hAnsi="Times New Roman"/>
          <w:noProof/>
          <w:lang w:val="en-GB"/>
        </w:rPr>
        <w:t>İç Kale</w:t>
      </w:r>
      <w:r w:rsidRPr="00010C05">
        <w:rPr>
          <w:rFonts w:ascii="Times New Roman" w:eastAsia="Calibri" w:hAnsi="Times New Roman" w:cs="Times New Roman"/>
          <w:noProof/>
          <w:lang w:val="en-GB"/>
        </w:rPr>
        <w:t> </w:t>
      </w:r>
      <w:r w:rsidRPr="00010C05">
        <w:rPr>
          <w:rFonts w:asciiTheme="majorBidi" w:hAnsiTheme="majorBidi" w:cstheme="majorBidi"/>
          <w:noProof/>
          <w:lang w:val="en-GB"/>
        </w:rPr>
        <w:t xml:space="preserve"> </w:t>
      </w:r>
      <w:r w:rsidRPr="00010C05">
        <w:rPr>
          <w:rFonts w:ascii="Times New Roman" w:hAnsi="Times New Roman"/>
          <w:noProof/>
          <w:lang w:val="en-GB"/>
        </w:rPr>
        <w:t>tomb</w:t>
      </w:r>
      <w:r>
        <w:rPr>
          <w:noProof/>
        </w:rPr>
        <w:t>, 339</w:t>
      </w:r>
    </w:p>
    <w:p w14:paraId="2C2FF073" w14:textId="77777777" w:rsidR="009A2B20" w:rsidRDefault="009A2B20">
      <w:pPr>
        <w:pStyle w:val="Dizin1"/>
        <w:tabs>
          <w:tab w:val="right" w:leader="dot" w:pos="4172"/>
        </w:tabs>
        <w:rPr>
          <w:noProof/>
        </w:rPr>
      </w:pPr>
      <w:r w:rsidRPr="00010C05">
        <w:rPr>
          <w:rFonts w:ascii="Times New Roman" w:hAnsi="Times New Roman"/>
          <w:noProof/>
          <w:lang w:val="en-GB"/>
        </w:rPr>
        <w:t>İç Kale tomb</w:t>
      </w:r>
      <w:r>
        <w:rPr>
          <w:noProof/>
        </w:rPr>
        <w:t>, 25, 28, 85, 94, 95, 102, 287, 288, 302, 305, 306, 307, 308, 309, 310, 313, 316, 326, 337, 339</w:t>
      </w:r>
    </w:p>
    <w:p w14:paraId="46283D00"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İç Kale Tomb</w:t>
      </w:r>
      <w:r>
        <w:rPr>
          <w:noProof/>
        </w:rPr>
        <w:t>, 11, 310</w:t>
      </w:r>
    </w:p>
    <w:p w14:paraId="10B8FEF2" w14:textId="77777777" w:rsidR="009A2B20" w:rsidRDefault="009A2B20">
      <w:pPr>
        <w:pStyle w:val="Dizin1"/>
        <w:tabs>
          <w:tab w:val="right" w:leader="dot" w:pos="4172"/>
        </w:tabs>
        <w:rPr>
          <w:noProof/>
        </w:rPr>
      </w:pPr>
      <w:r w:rsidRPr="00010C05">
        <w:rPr>
          <w:rFonts w:asciiTheme="majorBidi" w:hAnsiTheme="majorBidi" w:cstheme="majorBidi"/>
          <w:noProof/>
        </w:rPr>
        <w:t>İskele Gate</w:t>
      </w:r>
      <w:r>
        <w:rPr>
          <w:noProof/>
        </w:rPr>
        <w:t>, 21, 22, 23, 24, 112</w:t>
      </w:r>
    </w:p>
    <w:p w14:paraId="24194A81" w14:textId="77777777" w:rsidR="009A2B20" w:rsidRDefault="009A2B20">
      <w:pPr>
        <w:pStyle w:val="DizinBal"/>
        <w:keepNext/>
        <w:tabs>
          <w:tab w:val="right" w:leader="dot" w:pos="4172"/>
        </w:tabs>
        <w:rPr>
          <w:rFonts w:eastAsiaTheme="minorEastAsia" w:cstheme="minorBidi"/>
          <w:b w:val="0"/>
          <w:bCs w:val="0"/>
          <w:noProof/>
        </w:rPr>
      </w:pPr>
      <w:r>
        <w:rPr>
          <w:noProof/>
        </w:rPr>
        <w:t>J</w:t>
      </w:r>
    </w:p>
    <w:p w14:paraId="794C005D"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Javankaleh</w:t>
      </w:r>
      <w:r>
        <w:rPr>
          <w:noProof/>
        </w:rPr>
        <w:t>, 186</w:t>
      </w:r>
    </w:p>
    <w:p w14:paraId="73B6F741" w14:textId="77777777" w:rsidR="009A2B20" w:rsidRDefault="009A2B20">
      <w:pPr>
        <w:pStyle w:val="Dizin1"/>
        <w:tabs>
          <w:tab w:val="right" w:leader="dot" w:pos="4172"/>
        </w:tabs>
        <w:rPr>
          <w:noProof/>
        </w:rPr>
      </w:pPr>
      <w:r w:rsidRPr="00010C05">
        <w:rPr>
          <w:rFonts w:asciiTheme="majorBidi" w:hAnsiTheme="majorBidi" w:cstheme="majorBidi"/>
          <w:noProof/>
          <w:lang w:val="en-GB"/>
        </w:rPr>
        <w:t>Javanqaleh</w:t>
      </w:r>
      <w:r>
        <w:rPr>
          <w:noProof/>
        </w:rPr>
        <w:t>, 113, 185</w:t>
      </w:r>
    </w:p>
    <w:p w14:paraId="4D386209" w14:textId="77777777" w:rsidR="009A2B20" w:rsidRDefault="009A2B20">
      <w:pPr>
        <w:pStyle w:val="DizinBal"/>
        <w:keepNext/>
        <w:tabs>
          <w:tab w:val="right" w:leader="dot" w:pos="4172"/>
        </w:tabs>
        <w:rPr>
          <w:rFonts w:eastAsiaTheme="minorEastAsia" w:cstheme="minorBidi"/>
          <w:b w:val="0"/>
          <w:bCs w:val="0"/>
          <w:noProof/>
        </w:rPr>
      </w:pPr>
      <w:r>
        <w:rPr>
          <w:noProof/>
        </w:rPr>
        <w:t>K</w:t>
      </w:r>
    </w:p>
    <w:p w14:paraId="0715E2FE"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KÁ</w:t>
      </w:r>
      <w:r>
        <w:rPr>
          <w:noProof/>
        </w:rPr>
        <w:t>, 129, 134, 161</w:t>
      </w:r>
    </w:p>
    <w:p w14:paraId="6DB1D714" w14:textId="77777777" w:rsidR="009A2B20" w:rsidRDefault="009A2B20">
      <w:pPr>
        <w:pStyle w:val="Dizin1"/>
        <w:tabs>
          <w:tab w:val="right" w:leader="dot" w:pos="4172"/>
        </w:tabs>
        <w:rPr>
          <w:noProof/>
        </w:rPr>
      </w:pPr>
      <w:r w:rsidRPr="00010C05">
        <w:rPr>
          <w:rFonts w:ascii="Times New Roman" w:hAnsi="Times New Roman" w:cs="Times New Roman"/>
          <w:noProof/>
          <w:lang w:val="en-GB"/>
        </w:rPr>
        <w:t>Kadembastı</w:t>
      </w:r>
      <w:r>
        <w:rPr>
          <w:noProof/>
        </w:rPr>
        <w:t>, 244</w:t>
      </w:r>
    </w:p>
    <w:p w14:paraId="5A950BEE" w14:textId="77777777" w:rsidR="009A2B20" w:rsidRDefault="009A2B20">
      <w:pPr>
        <w:pStyle w:val="Dizin1"/>
        <w:tabs>
          <w:tab w:val="right" w:leader="dot" w:pos="4172"/>
        </w:tabs>
        <w:rPr>
          <w:noProof/>
        </w:rPr>
      </w:pPr>
      <w:r w:rsidRPr="00010C05">
        <w:rPr>
          <w:rFonts w:asciiTheme="majorBidi" w:hAnsiTheme="majorBidi" w:cstheme="majorBidi"/>
          <w:noProof/>
          <w:lang w:val="en-GB"/>
        </w:rPr>
        <w:t>Kal Kharabe</w:t>
      </w:r>
      <w:r>
        <w:rPr>
          <w:noProof/>
        </w:rPr>
        <w:t>, 286, 338</w:t>
      </w:r>
    </w:p>
    <w:p w14:paraId="22F7986F" w14:textId="77777777" w:rsidR="009A2B20" w:rsidRDefault="009A2B20">
      <w:pPr>
        <w:pStyle w:val="Dizin1"/>
        <w:tabs>
          <w:tab w:val="right" w:leader="dot" w:pos="4172"/>
        </w:tabs>
        <w:rPr>
          <w:noProof/>
        </w:rPr>
      </w:pPr>
      <w:r w:rsidRPr="00010C05">
        <w:rPr>
          <w:rFonts w:asciiTheme="majorBidi" w:hAnsiTheme="majorBidi" w:cstheme="majorBidi"/>
          <w:noProof/>
        </w:rPr>
        <w:t>Kala-i Seng-i Van</w:t>
      </w:r>
      <w:r>
        <w:rPr>
          <w:noProof/>
        </w:rPr>
        <w:t>, 15</w:t>
      </w:r>
    </w:p>
    <w:p w14:paraId="0F9F8E2E" w14:textId="77777777" w:rsidR="009A2B20" w:rsidRDefault="009A2B20">
      <w:pPr>
        <w:pStyle w:val="Dizin1"/>
        <w:tabs>
          <w:tab w:val="right" w:leader="dot" w:pos="4172"/>
        </w:tabs>
        <w:rPr>
          <w:noProof/>
        </w:rPr>
      </w:pPr>
      <w:r w:rsidRPr="00010C05">
        <w:rPr>
          <w:rFonts w:asciiTheme="majorBidi" w:hAnsiTheme="majorBidi" w:cstheme="majorBidi"/>
          <w:noProof/>
          <w:lang w:val="en-GB"/>
        </w:rPr>
        <w:t>Kalecik</w:t>
      </w:r>
      <w:r>
        <w:rPr>
          <w:noProof/>
        </w:rPr>
        <w:t>, 53, 75, 334, 336, 338, 368, 378, 388, 391, 401, 403, 409, 417</w:t>
      </w:r>
    </w:p>
    <w:p w14:paraId="771E227F" w14:textId="77777777" w:rsidR="009A2B20" w:rsidRDefault="009A2B20">
      <w:pPr>
        <w:pStyle w:val="Dizin1"/>
        <w:tabs>
          <w:tab w:val="right" w:leader="dot" w:pos="4172"/>
        </w:tabs>
        <w:rPr>
          <w:noProof/>
        </w:rPr>
      </w:pPr>
      <w:r w:rsidRPr="00010C05">
        <w:rPr>
          <w:rFonts w:asciiTheme="majorBidi" w:hAnsiTheme="majorBidi" w:cstheme="majorBidi"/>
          <w:noProof/>
          <w:lang w:val="en-GB"/>
        </w:rPr>
        <w:t>Kalecik Fortress</w:t>
      </w:r>
      <w:r>
        <w:rPr>
          <w:noProof/>
        </w:rPr>
        <w:t>, 388, 391</w:t>
      </w:r>
    </w:p>
    <w:p w14:paraId="5A1E4D48"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Kalhu</w:t>
      </w:r>
      <w:r>
        <w:rPr>
          <w:noProof/>
        </w:rPr>
        <w:t>, 5, 6, 107, 362</w:t>
      </w:r>
    </w:p>
    <w:p w14:paraId="5787B99E"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Karaca Dağ</w:t>
      </w:r>
      <w:r>
        <w:rPr>
          <w:noProof/>
        </w:rPr>
        <w:t>, 139</w:t>
      </w:r>
    </w:p>
    <w:p w14:paraId="0CE8C2E9"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Karagündüz</w:t>
      </w:r>
      <w:r>
        <w:rPr>
          <w:noProof/>
        </w:rPr>
        <w:t>, 10, 55, 113, 283, 285, 334, 336, 425</w:t>
      </w:r>
    </w:p>
    <w:p w14:paraId="588A1652" w14:textId="77777777" w:rsidR="009A2B20" w:rsidRDefault="009A2B20">
      <w:pPr>
        <w:pStyle w:val="Dizin1"/>
        <w:tabs>
          <w:tab w:val="right" w:leader="dot" w:pos="4172"/>
        </w:tabs>
        <w:rPr>
          <w:noProof/>
        </w:rPr>
      </w:pPr>
      <w:r w:rsidRPr="00010C05">
        <w:rPr>
          <w:rFonts w:asciiTheme="majorBidi" w:hAnsiTheme="majorBidi" w:cstheme="majorBidi"/>
          <w:noProof/>
          <w:lang w:val="en-GB"/>
        </w:rPr>
        <w:t>Karahan stele</w:t>
      </w:r>
      <w:r>
        <w:rPr>
          <w:noProof/>
        </w:rPr>
        <w:t>, 150</w:t>
      </w:r>
    </w:p>
    <w:p w14:paraId="4487320A"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Karakoyunlu Period</w:t>
      </w:r>
      <w:r>
        <w:rPr>
          <w:noProof/>
        </w:rPr>
        <w:t>, 395</w:t>
      </w:r>
    </w:p>
    <w:p w14:paraId="119772D7"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Karmir Blur</w:t>
      </w:r>
      <w:r>
        <w:rPr>
          <w:noProof/>
        </w:rPr>
        <w:t>, 281</w:t>
      </w:r>
    </w:p>
    <w:p w14:paraId="7A1D6756"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Karmir-Blur</w:t>
      </w:r>
      <w:r>
        <w:rPr>
          <w:noProof/>
        </w:rPr>
        <w:t>, 6, 69, 70, 71, 288, 420</w:t>
      </w:r>
    </w:p>
    <w:p w14:paraId="55124826"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Katarza</w:t>
      </w:r>
      <w:r>
        <w:rPr>
          <w:noProof/>
        </w:rPr>
        <w:t>, 124, 126, 157, 161, 373</w:t>
      </w:r>
    </w:p>
    <w:p w14:paraId="3966C806" w14:textId="77777777" w:rsidR="009A2B20" w:rsidRDefault="009A2B20">
      <w:pPr>
        <w:pStyle w:val="Dizin1"/>
        <w:tabs>
          <w:tab w:val="right" w:leader="dot" w:pos="4172"/>
        </w:tabs>
        <w:rPr>
          <w:noProof/>
        </w:rPr>
      </w:pPr>
      <w:r w:rsidRPr="00010C05">
        <w:rPr>
          <w:rFonts w:asciiTheme="majorBidi" w:eastAsia="Calibri" w:hAnsiTheme="majorBidi" w:cstheme="majorBidi"/>
          <w:iCs/>
          <w:noProof/>
          <w:lang w:val="en-GB"/>
        </w:rPr>
        <w:t>Katepants</w:t>
      </w:r>
      <w:r>
        <w:rPr>
          <w:noProof/>
        </w:rPr>
        <w:t>, 60</w:t>
      </w:r>
    </w:p>
    <w:p w14:paraId="37146F70"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Kayalıdere</w:t>
      </w:r>
      <w:r>
        <w:rPr>
          <w:noProof/>
        </w:rPr>
        <w:t>, 285, 338, 408, 411</w:t>
      </w:r>
    </w:p>
    <w:p w14:paraId="2603ECB0"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Kef Fortress</w:t>
      </w:r>
      <w:r>
        <w:rPr>
          <w:noProof/>
        </w:rPr>
        <w:t>, 274, 396, 399, 400, 402</w:t>
      </w:r>
    </w:p>
    <w:p w14:paraId="7F9BDCF9" w14:textId="77777777" w:rsidR="009A2B20" w:rsidRDefault="009A2B20">
      <w:pPr>
        <w:pStyle w:val="Dizin1"/>
        <w:tabs>
          <w:tab w:val="right" w:leader="dot" w:pos="4172"/>
        </w:tabs>
        <w:rPr>
          <w:noProof/>
        </w:rPr>
      </w:pPr>
      <w:r w:rsidRPr="00010C05">
        <w:rPr>
          <w:rFonts w:asciiTheme="majorBidi" w:hAnsiTheme="majorBidi" w:cstheme="majorBidi"/>
          <w:noProof/>
          <w:lang w:val="en-GB"/>
        </w:rPr>
        <w:t>Kelepost</w:t>
      </w:r>
      <w:r>
        <w:rPr>
          <w:noProof/>
        </w:rPr>
        <w:t>, 53</w:t>
      </w:r>
    </w:p>
    <w:p w14:paraId="19792FC6" w14:textId="77777777" w:rsidR="009A2B20" w:rsidRDefault="009A2B20">
      <w:pPr>
        <w:pStyle w:val="Dizin1"/>
        <w:tabs>
          <w:tab w:val="right" w:leader="dot" w:pos="4172"/>
        </w:tabs>
        <w:rPr>
          <w:noProof/>
        </w:rPr>
      </w:pPr>
      <w:r w:rsidRPr="00010C05">
        <w:rPr>
          <w:rFonts w:ascii="Times New Roman" w:hAnsi="Times New Roman" w:cs="Times New Roman"/>
          <w:noProof/>
          <w:lang w:val="en-GB"/>
        </w:rPr>
        <w:t>Kelishin</w:t>
      </w:r>
      <w:r>
        <w:rPr>
          <w:noProof/>
        </w:rPr>
        <w:t>, 55</w:t>
      </w:r>
    </w:p>
    <w:p w14:paraId="592A8762"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Kelišin</w:t>
      </w:r>
      <w:r>
        <w:rPr>
          <w:noProof/>
        </w:rPr>
        <w:t>, 105, 107</w:t>
      </w:r>
    </w:p>
    <w:p w14:paraId="4F98AD3E"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Keşiş Göl</w:t>
      </w:r>
      <w:r>
        <w:rPr>
          <w:noProof/>
        </w:rPr>
        <w:t>, 199</w:t>
      </w:r>
    </w:p>
    <w:p w14:paraId="2F3AF9EB"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Khazana Kapoussi</w:t>
      </w:r>
      <w:r>
        <w:rPr>
          <w:noProof/>
        </w:rPr>
        <w:t>, 12</w:t>
      </w:r>
    </w:p>
    <w:p w14:paraId="04927069" w14:textId="77777777" w:rsidR="009A2B20" w:rsidRDefault="009A2B20">
      <w:pPr>
        <w:pStyle w:val="Dizin1"/>
        <w:tabs>
          <w:tab w:val="right" w:leader="dot" w:pos="4172"/>
        </w:tabs>
        <w:rPr>
          <w:noProof/>
        </w:rPr>
      </w:pPr>
      <w:r w:rsidRPr="00010C05">
        <w:rPr>
          <w:rFonts w:asciiTheme="majorBidi" w:hAnsiTheme="majorBidi" w:cstheme="majorBidi"/>
          <w:noProof/>
          <w:lang w:val="en-GB"/>
        </w:rPr>
        <w:t>Khazane Kapoussi</w:t>
      </w:r>
      <w:r>
        <w:rPr>
          <w:noProof/>
        </w:rPr>
        <w:t>, 412</w:t>
      </w:r>
    </w:p>
    <w:p w14:paraId="00EF1CED" w14:textId="77777777" w:rsidR="009A2B20" w:rsidRDefault="009A2B20">
      <w:pPr>
        <w:pStyle w:val="Dizin1"/>
        <w:tabs>
          <w:tab w:val="right" w:leader="dot" w:pos="4172"/>
        </w:tabs>
        <w:rPr>
          <w:noProof/>
        </w:rPr>
      </w:pPr>
      <w:r w:rsidRPr="00010C05">
        <w:rPr>
          <w:rFonts w:asciiTheme="majorBidi" w:eastAsia="Arial" w:hAnsiTheme="majorBidi" w:cstheme="majorBidi"/>
          <w:noProof/>
          <w:lang w:val="en-GB"/>
        </w:rPr>
        <w:t>Khorkhor</w:t>
      </w:r>
      <w:r>
        <w:rPr>
          <w:noProof/>
        </w:rPr>
        <w:t>, 106, 108, 163, 184</w:t>
      </w:r>
    </w:p>
    <w:p w14:paraId="70356D16"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Khorkhorian Annals</w:t>
      </w:r>
      <w:r>
        <w:rPr>
          <w:noProof/>
        </w:rPr>
        <w:t>, 184</w:t>
      </w:r>
    </w:p>
    <w:p w14:paraId="4CA6DFA7" w14:textId="77777777" w:rsidR="009A2B20" w:rsidRDefault="009A2B20">
      <w:pPr>
        <w:pStyle w:val="Dizin1"/>
        <w:tabs>
          <w:tab w:val="right" w:leader="dot" w:pos="4172"/>
        </w:tabs>
        <w:rPr>
          <w:noProof/>
        </w:rPr>
      </w:pPr>
      <w:r w:rsidRPr="00010C05">
        <w:rPr>
          <w:rFonts w:ascii="Times New Roman" w:hAnsi="Times New Roman" w:cs="Times New Roman"/>
          <w:noProof/>
          <w:lang w:val="en-GB"/>
        </w:rPr>
        <w:t>Kordsot</w:t>
      </w:r>
      <w:r>
        <w:rPr>
          <w:noProof/>
        </w:rPr>
        <w:t>, 57</w:t>
      </w:r>
    </w:p>
    <w:p w14:paraId="38DED5DF" w14:textId="77777777" w:rsidR="009A2B20" w:rsidRDefault="009A2B20">
      <w:pPr>
        <w:pStyle w:val="Dizin1"/>
        <w:tabs>
          <w:tab w:val="right" w:leader="dot" w:pos="4172"/>
        </w:tabs>
        <w:rPr>
          <w:noProof/>
        </w:rPr>
      </w:pPr>
      <w:r w:rsidRPr="00010C05">
        <w:rPr>
          <w:rFonts w:ascii="Times New Roman" w:hAnsi="Times New Roman" w:cs="Times New Roman"/>
          <w:noProof/>
          <w:lang w:val="en-GB"/>
        </w:rPr>
        <w:t>Korsot</w:t>
      </w:r>
      <w:r>
        <w:rPr>
          <w:noProof/>
        </w:rPr>
        <w:t>, 57</w:t>
      </w:r>
    </w:p>
    <w:p w14:paraId="57BF9B6F" w14:textId="77777777" w:rsidR="009A2B20" w:rsidRDefault="009A2B20">
      <w:pPr>
        <w:pStyle w:val="Dizin1"/>
        <w:tabs>
          <w:tab w:val="right" w:leader="dot" w:pos="4172"/>
        </w:tabs>
        <w:rPr>
          <w:noProof/>
        </w:rPr>
      </w:pPr>
      <w:r w:rsidRPr="00010C05">
        <w:rPr>
          <w:rFonts w:asciiTheme="majorBidi" w:hAnsiTheme="majorBidi" w:cstheme="majorBidi"/>
          <w:noProof/>
          <w:lang w:val="en-GB"/>
        </w:rPr>
        <w:t>Korşun Mosque</w:t>
      </w:r>
      <w:r>
        <w:rPr>
          <w:noProof/>
        </w:rPr>
        <w:t>, 149, 151</w:t>
      </w:r>
    </w:p>
    <w:p w14:paraId="6CBADFD7"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Körzüt</w:t>
      </w:r>
      <w:r>
        <w:rPr>
          <w:noProof/>
        </w:rPr>
        <w:t>, 6, 57, 136, 139, 252, 281, 378, 392, 401, 403</w:t>
      </w:r>
    </w:p>
    <w:p w14:paraId="582A383C"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lastRenderedPageBreak/>
        <w:t>Kumme</w:t>
      </w:r>
      <w:r>
        <w:rPr>
          <w:noProof/>
        </w:rPr>
        <w:t>, 139</w:t>
      </w:r>
    </w:p>
    <w:p w14:paraId="66BC3CAC"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Kummuhu</w:t>
      </w:r>
      <w:r>
        <w:rPr>
          <w:noProof/>
        </w:rPr>
        <w:t>, 5</w:t>
      </w:r>
    </w:p>
    <w:p w14:paraId="5E707B62" w14:textId="77777777" w:rsidR="009A2B20" w:rsidRDefault="009A2B20">
      <w:pPr>
        <w:pStyle w:val="Dizin1"/>
        <w:tabs>
          <w:tab w:val="right" w:leader="dot" w:pos="4172"/>
        </w:tabs>
        <w:rPr>
          <w:noProof/>
        </w:rPr>
      </w:pPr>
      <w:r w:rsidRPr="00010C05">
        <w:rPr>
          <w:rFonts w:asciiTheme="majorBidi" w:hAnsiTheme="majorBidi" w:cstheme="majorBidi"/>
          <w:noProof/>
        </w:rPr>
        <w:t>Küçük Horhor Mağaraları</w:t>
      </w:r>
      <w:r>
        <w:rPr>
          <w:noProof/>
        </w:rPr>
        <w:t>, 16</w:t>
      </w:r>
    </w:p>
    <w:p w14:paraId="1C3A43D5" w14:textId="77777777" w:rsidR="009A2B20" w:rsidRDefault="009A2B20">
      <w:pPr>
        <w:pStyle w:val="DizinBal"/>
        <w:keepNext/>
        <w:tabs>
          <w:tab w:val="right" w:leader="dot" w:pos="4172"/>
        </w:tabs>
        <w:rPr>
          <w:rFonts w:eastAsiaTheme="minorEastAsia" w:cstheme="minorBidi"/>
          <w:b w:val="0"/>
          <w:bCs w:val="0"/>
          <w:noProof/>
        </w:rPr>
      </w:pPr>
      <w:r>
        <w:rPr>
          <w:noProof/>
        </w:rPr>
        <w:t>L</w:t>
      </w:r>
    </w:p>
    <w:p w14:paraId="02490512"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Labturi</w:t>
      </w:r>
      <w:r>
        <w:rPr>
          <w:noProof/>
        </w:rPr>
        <w:t>, 204</w:t>
      </w:r>
    </w:p>
    <w:p w14:paraId="465429FA"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Lake Van</w:t>
      </w:r>
      <w:r>
        <w:rPr>
          <w:noProof/>
        </w:rPr>
        <w:t>, 13</w:t>
      </w:r>
    </w:p>
    <w:p w14:paraId="25DB3CA2" w14:textId="77777777" w:rsidR="009A2B20" w:rsidRDefault="009A2B20">
      <w:pPr>
        <w:pStyle w:val="Dizin1"/>
        <w:tabs>
          <w:tab w:val="right" w:leader="dot" w:pos="4172"/>
        </w:tabs>
        <w:rPr>
          <w:noProof/>
        </w:rPr>
      </w:pPr>
      <w:r w:rsidRPr="00010C05">
        <w:rPr>
          <w:rFonts w:asciiTheme="majorBidi" w:hAnsiTheme="majorBidi" w:cstheme="majorBidi"/>
          <w:noProof/>
        </w:rPr>
        <w:t>Laurens</w:t>
      </w:r>
      <w:r>
        <w:rPr>
          <w:noProof/>
        </w:rPr>
        <w:t>, 25, 26</w:t>
      </w:r>
    </w:p>
    <w:p w14:paraId="66B1D10A" w14:textId="77777777" w:rsidR="009A2B20" w:rsidRDefault="009A2B20">
      <w:pPr>
        <w:pStyle w:val="Dizin1"/>
        <w:tabs>
          <w:tab w:val="right" w:leader="dot" w:pos="4172"/>
        </w:tabs>
        <w:rPr>
          <w:noProof/>
        </w:rPr>
      </w:pPr>
      <w:r w:rsidRPr="00010C05">
        <w:rPr>
          <w:rFonts w:asciiTheme="majorBidi" w:hAnsiTheme="majorBidi" w:cstheme="majorBidi"/>
          <w:iCs/>
          <w:noProof/>
          <w:color w:val="000000" w:themeColor="text1"/>
          <w:lang w:val="en-GB"/>
        </w:rPr>
        <w:t>Layard</w:t>
      </w:r>
      <w:r>
        <w:rPr>
          <w:noProof/>
        </w:rPr>
        <w:t>, 4, 14, 23, 29, 32, 33, 36, 37, 38, 45, 46, 202, 288, 338, 343, 355, 356, 362, 364, 418</w:t>
      </w:r>
    </w:p>
    <w:p w14:paraId="4EAD63B1"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Lčašen</w:t>
      </w:r>
      <w:r>
        <w:rPr>
          <w:noProof/>
        </w:rPr>
        <w:t>, 185</w:t>
      </w:r>
    </w:p>
    <w:p w14:paraId="6CD66F30"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Libliuni</w:t>
      </w:r>
      <w:r>
        <w:rPr>
          <w:noProof/>
        </w:rPr>
        <w:t>, 194</w:t>
      </w:r>
    </w:p>
    <w:p w14:paraId="7974883C" w14:textId="77777777" w:rsidR="009A2B20" w:rsidRDefault="009A2B20">
      <w:pPr>
        <w:pStyle w:val="Dizin1"/>
        <w:tabs>
          <w:tab w:val="right" w:leader="dot" w:pos="4172"/>
        </w:tabs>
        <w:rPr>
          <w:noProof/>
        </w:rPr>
      </w:pPr>
      <w:r w:rsidRPr="00010C05">
        <w:rPr>
          <w:rFonts w:asciiTheme="majorBidi" w:hAnsiTheme="majorBidi" w:cstheme="majorBidi"/>
          <w:noProof/>
          <w:lang w:val="en-GB"/>
        </w:rPr>
        <w:t>Lower Anzaf Fortress</w:t>
      </w:r>
      <w:r>
        <w:rPr>
          <w:noProof/>
        </w:rPr>
        <w:t>, 75</w:t>
      </w:r>
    </w:p>
    <w:p w14:paraId="069B531F"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Lueḫu</w:t>
      </w:r>
      <w:r>
        <w:rPr>
          <w:noProof/>
        </w:rPr>
        <w:t>, 192</w:t>
      </w:r>
    </w:p>
    <w:p w14:paraId="0FD08057" w14:textId="77777777" w:rsidR="009A2B20" w:rsidRDefault="009A2B20">
      <w:pPr>
        <w:pStyle w:val="Dizin1"/>
        <w:tabs>
          <w:tab w:val="right" w:leader="dot" w:pos="4172"/>
        </w:tabs>
        <w:rPr>
          <w:noProof/>
        </w:rPr>
      </w:pPr>
      <w:r w:rsidRPr="00010C05">
        <w:rPr>
          <w:rFonts w:asciiTheme="majorBidi" w:hAnsiTheme="majorBidi" w:cstheme="majorBidi"/>
          <w:noProof/>
          <w:lang w:val="en-GB"/>
        </w:rPr>
        <w:t>Luḫiuni</w:t>
      </w:r>
      <w:r>
        <w:rPr>
          <w:noProof/>
        </w:rPr>
        <w:t>, 135, 139</w:t>
      </w:r>
    </w:p>
    <w:p w14:paraId="4CD8464C" w14:textId="77777777" w:rsidR="009A2B20" w:rsidRDefault="009A2B20">
      <w:pPr>
        <w:pStyle w:val="Dizin1"/>
        <w:tabs>
          <w:tab w:val="right" w:leader="dot" w:pos="4172"/>
        </w:tabs>
        <w:rPr>
          <w:noProof/>
        </w:rPr>
      </w:pPr>
      <w:r w:rsidRPr="00010C05">
        <w:rPr>
          <w:rFonts w:asciiTheme="majorBidi" w:hAnsiTheme="majorBidi" w:cstheme="majorBidi"/>
          <w:i/>
          <w:noProof/>
          <w:lang w:val="en-GB"/>
        </w:rPr>
        <w:t>Luša</w:t>
      </w:r>
      <w:r>
        <w:rPr>
          <w:noProof/>
        </w:rPr>
        <w:t>, 124, 126, 157, 161, 373</w:t>
      </w:r>
    </w:p>
    <w:p w14:paraId="200DB065"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Lutibri</w:t>
      </w:r>
      <w:r>
        <w:rPr>
          <w:noProof/>
        </w:rPr>
        <w:t>, 112, 113, 203, 204</w:t>
      </w:r>
    </w:p>
    <w:p w14:paraId="4834E3EA" w14:textId="77777777" w:rsidR="009A2B20" w:rsidRDefault="009A2B20">
      <w:pPr>
        <w:pStyle w:val="Dizin1"/>
        <w:tabs>
          <w:tab w:val="right" w:leader="dot" w:pos="4172"/>
        </w:tabs>
        <w:rPr>
          <w:noProof/>
        </w:rPr>
      </w:pPr>
      <w:r w:rsidRPr="00010C05">
        <w:rPr>
          <w:rFonts w:asciiTheme="majorBidi" w:hAnsiTheme="majorBidi" w:cstheme="majorBidi"/>
          <w:noProof/>
        </w:rPr>
        <w:t>Lynch</w:t>
      </w:r>
      <w:r>
        <w:rPr>
          <w:noProof/>
        </w:rPr>
        <w:t>, 31, 215, 419</w:t>
      </w:r>
    </w:p>
    <w:p w14:paraId="30185DF4" w14:textId="77777777" w:rsidR="009A2B20" w:rsidRDefault="009A2B20">
      <w:pPr>
        <w:pStyle w:val="DizinBal"/>
        <w:keepNext/>
        <w:tabs>
          <w:tab w:val="right" w:leader="dot" w:pos="4172"/>
        </w:tabs>
        <w:rPr>
          <w:rFonts w:eastAsiaTheme="minorEastAsia" w:cstheme="minorBidi"/>
          <w:b w:val="0"/>
          <w:bCs w:val="0"/>
          <w:noProof/>
        </w:rPr>
      </w:pPr>
      <w:r>
        <w:rPr>
          <w:noProof/>
        </w:rPr>
        <w:t>M</w:t>
      </w:r>
    </w:p>
    <w:p w14:paraId="31D91A3B" w14:textId="77777777" w:rsidR="009A2B20" w:rsidRDefault="009A2B20">
      <w:pPr>
        <w:pStyle w:val="Dizin1"/>
        <w:tabs>
          <w:tab w:val="right" w:leader="dot" w:pos="4172"/>
        </w:tabs>
        <w:rPr>
          <w:noProof/>
        </w:rPr>
      </w:pPr>
      <w:r w:rsidRPr="00010C05">
        <w:rPr>
          <w:rFonts w:cs="Times New Roman"/>
          <w:noProof/>
          <w:lang w:val="en-GB"/>
        </w:rPr>
        <w:t>Madavank</w:t>
      </w:r>
      <w:r>
        <w:rPr>
          <w:noProof/>
        </w:rPr>
        <w:t>, 368, 378, 393, 394, 401, 403, 409</w:t>
      </w:r>
    </w:p>
    <w:p w14:paraId="70D012F0"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Madır Burcu</w:t>
      </w:r>
      <w:r>
        <w:rPr>
          <w:noProof/>
        </w:rPr>
        <w:t>, 110, 112, 147</w:t>
      </w:r>
    </w:p>
    <w:p w14:paraId="7973624B"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Madırburç</w:t>
      </w:r>
      <w:r>
        <w:rPr>
          <w:noProof/>
        </w:rPr>
        <w:t>, 12, 36, 50, 75, 83, 201</w:t>
      </w:r>
    </w:p>
    <w:p w14:paraId="5A8EC0AB"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Mahmud Abad</w:t>
      </w:r>
      <w:r>
        <w:rPr>
          <w:noProof/>
        </w:rPr>
        <w:t>, 197</w:t>
      </w:r>
    </w:p>
    <w:p w14:paraId="31824FD7"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Mana</w:t>
      </w:r>
      <w:r>
        <w:rPr>
          <w:noProof/>
        </w:rPr>
        <w:t>, 138, 157, 161, 185, 193, 194</w:t>
      </w:r>
    </w:p>
    <w:p w14:paraId="6F3DBE46"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Manaše</w:t>
      </w:r>
      <w:r>
        <w:rPr>
          <w:noProof/>
        </w:rPr>
        <w:t>, 161</w:t>
      </w:r>
    </w:p>
    <w:p w14:paraId="2EB97519"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Mannean</w:t>
      </w:r>
      <w:r>
        <w:rPr>
          <w:noProof/>
        </w:rPr>
        <w:t>, 185</w:t>
      </w:r>
    </w:p>
    <w:p w14:paraId="1BCE08B1"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Manneans</w:t>
      </w:r>
      <w:r>
        <w:rPr>
          <w:noProof/>
        </w:rPr>
        <w:t>, 185, 193</w:t>
      </w:r>
    </w:p>
    <w:p w14:paraId="4A302227"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Maqurutar(z)a</w:t>
      </w:r>
      <w:r>
        <w:rPr>
          <w:noProof/>
        </w:rPr>
        <w:t>, 126</w:t>
      </w:r>
    </w:p>
    <w:p w14:paraId="339B0052" w14:textId="77777777" w:rsidR="009A2B20" w:rsidRDefault="009A2B20">
      <w:pPr>
        <w:pStyle w:val="Dizin1"/>
        <w:tabs>
          <w:tab w:val="right" w:leader="dot" w:pos="4172"/>
        </w:tabs>
        <w:rPr>
          <w:noProof/>
        </w:rPr>
      </w:pPr>
      <w:r w:rsidRPr="00010C05">
        <w:rPr>
          <w:rFonts w:asciiTheme="majorBidi" w:hAnsiTheme="majorBidi" w:cstheme="majorBidi"/>
          <w:noProof/>
          <w:lang w:val="en-GB"/>
        </w:rPr>
        <w:t>Mardin Museum</w:t>
      </w:r>
      <w:r>
        <w:rPr>
          <w:noProof/>
        </w:rPr>
        <w:t>, 396</w:t>
      </w:r>
    </w:p>
    <w:p w14:paraId="5C680E92"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Marmani</w:t>
      </w:r>
      <w:r>
        <w:rPr>
          <w:noProof/>
        </w:rPr>
        <w:t>, 138</w:t>
      </w:r>
    </w:p>
    <w:p w14:paraId="1F03ED81"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Marmašen</w:t>
      </w:r>
      <w:r>
        <w:rPr>
          <w:noProof/>
        </w:rPr>
        <w:t>, 186</w:t>
      </w:r>
    </w:p>
    <w:p w14:paraId="74BB2801"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Marr</w:t>
      </w:r>
      <w:r>
        <w:rPr>
          <w:noProof/>
        </w:rPr>
        <w:t>, 38, 39, 40, 46, 63, 189, 190, 191, 195, 419</w:t>
      </w:r>
    </w:p>
    <w:p w14:paraId="4AFAACC4" w14:textId="77777777" w:rsidR="009A2B20" w:rsidRDefault="009A2B20">
      <w:pPr>
        <w:pStyle w:val="Dizin1"/>
        <w:tabs>
          <w:tab w:val="right" w:leader="dot" w:pos="4172"/>
        </w:tabs>
        <w:rPr>
          <w:noProof/>
        </w:rPr>
      </w:pPr>
      <w:r w:rsidRPr="00010C05">
        <w:rPr>
          <w:rFonts w:asciiTheme="majorBidi" w:hAnsiTheme="majorBidi" w:cstheme="majorBidi"/>
          <w:iCs/>
          <w:noProof/>
          <w:color w:val="000000" w:themeColor="text1"/>
          <w:lang w:val="en-GB"/>
        </w:rPr>
        <w:t>Marr and Orbeli</w:t>
      </w:r>
      <w:r>
        <w:rPr>
          <w:noProof/>
        </w:rPr>
        <w:t>, 46</w:t>
      </w:r>
    </w:p>
    <w:p w14:paraId="0DC2C588" w14:textId="77777777" w:rsidR="009A2B20" w:rsidRDefault="009A2B20">
      <w:pPr>
        <w:pStyle w:val="Dizin1"/>
        <w:tabs>
          <w:tab w:val="right" w:leader="dot" w:pos="4172"/>
        </w:tabs>
        <w:rPr>
          <w:noProof/>
        </w:rPr>
      </w:pPr>
      <w:r w:rsidRPr="00010C05">
        <w:rPr>
          <w:rFonts w:asciiTheme="majorBidi" w:hAnsiTheme="majorBidi" w:cstheme="majorBidi"/>
          <w:noProof/>
          <w:lang w:val="en-GB"/>
        </w:rPr>
        <w:t>Mazgirt/Kaleköy</w:t>
      </w:r>
      <w:r>
        <w:rPr>
          <w:noProof/>
        </w:rPr>
        <w:t>, 285, 341, 374</w:t>
      </w:r>
    </w:p>
    <w:p w14:paraId="04209C38" w14:textId="77777777" w:rsidR="009A2B20" w:rsidRDefault="009A2B20">
      <w:pPr>
        <w:pStyle w:val="Dizin1"/>
        <w:tabs>
          <w:tab w:val="right" w:leader="dot" w:pos="4172"/>
        </w:tabs>
        <w:rPr>
          <w:noProof/>
        </w:rPr>
      </w:pPr>
      <w:r w:rsidRPr="00010C05">
        <w:rPr>
          <w:rFonts w:asciiTheme="majorBidi" w:hAnsiTheme="majorBidi" w:cstheme="majorBidi"/>
          <w:noProof/>
          <w:lang w:val="en-GB"/>
        </w:rPr>
        <w:t>Mazgirt-Kaleköy</w:t>
      </w:r>
      <w:r>
        <w:rPr>
          <w:noProof/>
        </w:rPr>
        <w:t>, 337</w:t>
      </w:r>
    </w:p>
    <w:p w14:paraId="7215D174" w14:textId="77777777" w:rsidR="009A2B20" w:rsidRDefault="009A2B20">
      <w:pPr>
        <w:pStyle w:val="Dizin1"/>
        <w:tabs>
          <w:tab w:val="right" w:leader="dot" w:pos="4172"/>
        </w:tabs>
        <w:rPr>
          <w:noProof/>
        </w:rPr>
      </w:pPr>
      <w:r w:rsidRPr="00010C05">
        <w:rPr>
          <w:rFonts w:asciiTheme="majorBidi" w:hAnsiTheme="majorBidi" w:cstheme="majorBidi"/>
          <w:noProof/>
          <w:lang w:val="en-GB"/>
        </w:rPr>
        <w:t>Medeniyetleri Müzesi</w:t>
      </w:r>
      <w:r>
        <w:rPr>
          <w:noProof/>
        </w:rPr>
        <w:t>, 407</w:t>
      </w:r>
    </w:p>
    <w:p w14:paraId="4A11496C" w14:textId="77777777" w:rsidR="009A2B20" w:rsidRDefault="009A2B20">
      <w:pPr>
        <w:pStyle w:val="Dizin1"/>
        <w:tabs>
          <w:tab w:val="right" w:leader="dot" w:pos="4172"/>
        </w:tabs>
        <w:rPr>
          <w:noProof/>
        </w:rPr>
      </w:pPr>
      <w:r w:rsidRPr="00010C05">
        <w:rPr>
          <w:rFonts w:asciiTheme="majorBidi" w:hAnsiTheme="majorBidi" w:cstheme="majorBidi"/>
          <w:noProof/>
          <w:lang w:val="en-GB"/>
        </w:rPr>
        <w:t>Meher Kapı</w:t>
      </w:r>
      <w:r>
        <w:rPr>
          <w:noProof/>
        </w:rPr>
        <w:t>, 263, 345, 347</w:t>
      </w:r>
    </w:p>
    <w:p w14:paraId="143A9EDC"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Meher Kapısı</w:t>
      </w:r>
      <w:r>
        <w:rPr>
          <w:noProof/>
        </w:rPr>
        <w:t>, 104, 105, 151, 422</w:t>
      </w:r>
    </w:p>
    <w:p w14:paraId="27ED239B"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Melarṭua</w:t>
      </w:r>
      <w:r>
        <w:rPr>
          <w:noProof/>
        </w:rPr>
        <w:t>, 63, 65</w:t>
      </w:r>
    </w:p>
    <w:p w14:paraId="4F7BC84D" w14:textId="77777777" w:rsidR="009A2B20" w:rsidRDefault="009A2B20">
      <w:pPr>
        <w:pStyle w:val="Dizin1"/>
        <w:tabs>
          <w:tab w:val="right" w:leader="dot" w:pos="4172"/>
        </w:tabs>
        <w:rPr>
          <w:noProof/>
        </w:rPr>
      </w:pPr>
      <w:r w:rsidRPr="00010C05">
        <w:rPr>
          <w:rFonts w:asciiTheme="majorBidi" w:hAnsiTheme="majorBidi" w:cstheme="majorBidi"/>
          <w:noProof/>
          <w:lang w:val="en-GB"/>
        </w:rPr>
        <w:t>Mermit</w:t>
      </w:r>
      <w:r>
        <w:rPr>
          <w:noProof/>
        </w:rPr>
        <w:t>, 378, 388, 391, 401, 403</w:t>
      </w:r>
    </w:p>
    <w:p w14:paraId="5AC00764"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Meša</w:t>
      </w:r>
      <w:r>
        <w:rPr>
          <w:noProof/>
        </w:rPr>
        <w:t>, 194</w:t>
      </w:r>
    </w:p>
    <w:p w14:paraId="13E863DE"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Middle Ages</w:t>
      </w:r>
      <w:r>
        <w:rPr>
          <w:noProof/>
        </w:rPr>
        <w:t>, 4, 7, 42, 139, 411, 427</w:t>
      </w:r>
    </w:p>
    <w:p w14:paraId="554BFBA3"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Middle Assyrian</w:t>
      </w:r>
      <w:r>
        <w:rPr>
          <w:noProof/>
        </w:rPr>
        <w:t>, 104</w:t>
      </w:r>
    </w:p>
    <w:p w14:paraId="5F017AB3"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Militia</w:t>
      </w:r>
      <w:r>
        <w:rPr>
          <w:noProof/>
        </w:rPr>
        <w:t>, 185</w:t>
      </w:r>
    </w:p>
    <w:p w14:paraId="56CD00BD" w14:textId="77777777" w:rsidR="009A2B20" w:rsidRDefault="009A2B20">
      <w:pPr>
        <w:pStyle w:val="Dizin1"/>
        <w:tabs>
          <w:tab w:val="right" w:leader="dot" w:pos="4172"/>
        </w:tabs>
        <w:rPr>
          <w:noProof/>
        </w:rPr>
      </w:pPr>
      <w:r w:rsidRPr="00010C05">
        <w:rPr>
          <w:rFonts w:asciiTheme="majorBidi" w:eastAsia="Times New Roman" w:hAnsiTheme="majorBidi" w:cstheme="majorBidi"/>
          <w:noProof/>
        </w:rPr>
        <w:t>Minua</w:t>
      </w:r>
      <w:r>
        <w:rPr>
          <w:noProof/>
        </w:rPr>
        <w:t>, 1, 4, 8, 10, 11, 12, 23, 29, 42, 46, 52, 53, 54, 55, 56, 57, 58, 59, 60, 61, 62, 63, 74, 76, 77, 78, 85, 86, 88, 89, 90, 94, 98, 101, 102, 104, 105, 106, 108, 109, 113, 121, 122, 126, 129, 133, 135, 136, 138, 139, 141, 142, 143, 144, 145, 147, 148, 149, 150, 151, 152, 153, 154, 155, 157, 158, 161, 162, 184, 204, 217, 229, 232, 243, 245, 251, 252, 253, 255, 256, 257, 259, 260, 261, 262, 281, 321, 339, 340, 343, 345, 358, 359, 360, 361, 362, 364, 365, 366, 373, 374, 375, 376, 413, 423</w:t>
      </w:r>
    </w:p>
    <w:p w14:paraId="11A23917" w14:textId="77777777" w:rsidR="009A2B20" w:rsidRDefault="009A2B20">
      <w:pPr>
        <w:pStyle w:val="Dizin1"/>
        <w:tabs>
          <w:tab w:val="right" w:leader="dot" w:pos="4172"/>
        </w:tabs>
        <w:rPr>
          <w:noProof/>
        </w:rPr>
      </w:pPr>
      <w:r w:rsidRPr="00010C05">
        <w:rPr>
          <w:rFonts w:asciiTheme="majorBidi" w:hAnsiTheme="majorBidi" w:cstheme="majorBidi"/>
          <w:noProof/>
          <w:lang w:val="en-GB"/>
        </w:rPr>
        <w:t>Minua Canal</w:t>
      </w:r>
      <w:r>
        <w:rPr>
          <w:noProof/>
        </w:rPr>
        <w:t>, 59, 60, 413</w:t>
      </w:r>
    </w:p>
    <w:p w14:paraId="1774E673"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Minua Fountain</w:t>
      </w:r>
      <w:r>
        <w:rPr>
          <w:noProof/>
        </w:rPr>
        <w:t>, 12, 23, 373</w:t>
      </w:r>
    </w:p>
    <w:p w14:paraId="7AB97B01"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Minua's Fountain</w:t>
      </w:r>
      <w:r>
        <w:rPr>
          <w:noProof/>
        </w:rPr>
        <w:t>, 12</w:t>
      </w:r>
    </w:p>
    <w:p w14:paraId="38B0BC2A"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Minua's siršini</w:t>
      </w:r>
      <w:r>
        <w:rPr>
          <w:noProof/>
        </w:rPr>
        <w:t>, 78, 89, 101, 253, 256</w:t>
      </w:r>
    </w:p>
    <w:p w14:paraId="6F2F7930"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Minua's taramanili</w:t>
      </w:r>
      <w:r>
        <w:rPr>
          <w:noProof/>
        </w:rPr>
        <w:t>, 78, 101</w:t>
      </w:r>
    </w:p>
    <w:p w14:paraId="0B490FCA"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Minua's tarmanili</w:t>
      </w:r>
      <w:r>
        <w:rPr>
          <w:noProof/>
        </w:rPr>
        <w:t>, 12</w:t>
      </w:r>
    </w:p>
    <w:p w14:paraId="0CEF7AB3"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Morevdere</w:t>
      </w:r>
      <w:r>
        <w:rPr>
          <w:noProof/>
        </w:rPr>
        <w:t>, 186</w:t>
      </w:r>
    </w:p>
    <w:p w14:paraId="5A42CEFC"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Movses</w:t>
      </w:r>
      <w:r>
        <w:rPr>
          <w:noProof/>
        </w:rPr>
        <w:t>, 14, 15, 19, 20, 21, 29, 36, 45, 59</w:t>
      </w:r>
    </w:p>
    <w:p w14:paraId="500B8EF5" w14:textId="77777777" w:rsidR="009A2B20" w:rsidRDefault="009A2B20">
      <w:pPr>
        <w:pStyle w:val="Dizin1"/>
        <w:tabs>
          <w:tab w:val="right" w:leader="dot" w:pos="4172"/>
        </w:tabs>
        <w:rPr>
          <w:noProof/>
        </w:rPr>
      </w:pPr>
      <w:r w:rsidRPr="00010C05">
        <w:rPr>
          <w:rFonts w:asciiTheme="majorBidi" w:hAnsiTheme="majorBidi" w:cstheme="majorBidi"/>
          <w:iCs/>
          <w:noProof/>
          <w:color w:val="000000" w:themeColor="text1"/>
          <w:lang w:val="en-GB"/>
        </w:rPr>
        <w:t>Movses Khorenatsi</w:t>
      </w:r>
      <w:r>
        <w:rPr>
          <w:noProof/>
        </w:rPr>
        <w:t>, 45</w:t>
      </w:r>
    </w:p>
    <w:p w14:paraId="66783F0B" w14:textId="77777777" w:rsidR="009A2B20" w:rsidRDefault="009A2B20">
      <w:pPr>
        <w:pStyle w:val="Dizin1"/>
        <w:tabs>
          <w:tab w:val="right" w:leader="dot" w:pos="4172"/>
        </w:tabs>
        <w:rPr>
          <w:noProof/>
        </w:rPr>
      </w:pPr>
      <w:r w:rsidRPr="00010C05">
        <w:rPr>
          <w:rFonts w:asciiTheme="majorBidi" w:hAnsiTheme="majorBidi" w:cstheme="majorBidi"/>
          <w:noProof/>
          <w:lang w:val="en-GB"/>
        </w:rPr>
        <w:t>Muradiye</w:t>
      </w:r>
      <w:r>
        <w:rPr>
          <w:noProof/>
        </w:rPr>
        <w:t>, 57, 130, 136, 392</w:t>
      </w:r>
    </w:p>
    <w:p w14:paraId="2E17745F"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Murinu</w:t>
      </w:r>
      <w:r>
        <w:rPr>
          <w:noProof/>
        </w:rPr>
        <w:t>, 192</w:t>
      </w:r>
    </w:p>
    <w:p w14:paraId="54D81F27" w14:textId="77777777" w:rsidR="009A2B20" w:rsidRDefault="009A2B20">
      <w:pPr>
        <w:pStyle w:val="Dizin1"/>
        <w:tabs>
          <w:tab w:val="right" w:leader="dot" w:pos="4172"/>
        </w:tabs>
        <w:rPr>
          <w:noProof/>
        </w:rPr>
      </w:pPr>
      <w:r w:rsidRPr="00010C05">
        <w:rPr>
          <w:rFonts w:asciiTheme="majorBidi" w:hAnsiTheme="majorBidi" w:cstheme="majorBidi"/>
          <w:noProof/>
          <w:lang w:val="en-GB"/>
        </w:rPr>
        <w:t>Muṣaṣir</w:t>
      </w:r>
      <w:r>
        <w:rPr>
          <w:noProof/>
        </w:rPr>
        <w:t>, 107, 197</w:t>
      </w:r>
    </w:p>
    <w:p w14:paraId="022FEF51" w14:textId="77777777" w:rsidR="009A2B20" w:rsidRDefault="009A2B20">
      <w:pPr>
        <w:pStyle w:val="Dizin1"/>
        <w:tabs>
          <w:tab w:val="right" w:leader="dot" w:pos="4172"/>
        </w:tabs>
        <w:rPr>
          <w:noProof/>
        </w:rPr>
      </w:pPr>
      <w:r w:rsidRPr="00010C05">
        <w:rPr>
          <w:rFonts w:asciiTheme="majorBidi" w:hAnsiTheme="majorBidi" w:cstheme="majorBidi"/>
          <w:noProof/>
          <w:lang w:val="en-GB"/>
        </w:rPr>
        <w:t>Muş</w:t>
      </w:r>
      <w:r>
        <w:rPr>
          <w:noProof/>
        </w:rPr>
        <w:t>, 193</w:t>
      </w:r>
    </w:p>
    <w:p w14:paraId="03FCA93B"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Müller-Simonis</w:t>
      </w:r>
      <w:r>
        <w:rPr>
          <w:noProof/>
        </w:rPr>
        <w:t>, 14, 23, 29, 30, 31, 45, 419</w:t>
      </w:r>
    </w:p>
    <w:p w14:paraId="0EF4F5C2" w14:textId="77777777" w:rsidR="009A2B20" w:rsidRDefault="009A2B20">
      <w:pPr>
        <w:pStyle w:val="DizinBal"/>
        <w:keepNext/>
        <w:tabs>
          <w:tab w:val="right" w:leader="dot" w:pos="4172"/>
        </w:tabs>
        <w:rPr>
          <w:rFonts w:eastAsiaTheme="minorEastAsia" w:cstheme="minorBidi"/>
          <w:b w:val="0"/>
          <w:bCs w:val="0"/>
          <w:noProof/>
        </w:rPr>
      </w:pPr>
      <w:r>
        <w:rPr>
          <w:noProof/>
        </w:rPr>
        <w:t>N</w:t>
      </w:r>
    </w:p>
    <w:p w14:paraId="6684DC3A" w14:textId="77777777" w:rsidR="009A2B20" w:rsidRDefault="009A2B20">
      <w:pPr>
        <w:pStyle w:val="Dizin1"/>
        <w:tabs>
          <w:tab w:val="right" w:leader="dot" w:pos="4172"/>
        </w:tabs>
        <w:rPr>
          <w:noProof/>
        </w:rPr>
      </w:pPr>
      <w:r w:rsidRPr="00010C05">
        <w:rPr>
          <w:rFonts w:asciiTheme="majorBidi" w:hAnsiTheme="majorBidi" w:cstheme="majorBidi"/>
          <w:noProof/>
          <w:lang w:val="en-GB"/>
        </w:rPr>
        <w:t>Nairi</w:t>
      </w:r>
      <w:r>
        <w:rPr>
          <w:noProof/>
        </w:rPr>
        <w:t>, 53, 75, 104, 113, 203, 204, 421</w:t>
      </w:r>
    </w:p>
    <w:p w14:paraId="12017D9A" w14:textId="77777777" w:rsidR="009A2B20" w:rsidRDefault="009A2B20">
      <w:pPr>
        <w:pStyle w:val="Dizin1"/>
        <w:tabs>
          <w:tab w:val="right" w:leader="dot" w:pos="4172"/>
        </w:tabs>
        <w:rPr>
          <w:noProof/>
        </w:rPr>
      </w:pPr>
      <w:r w:rsidRPr="00010C05">
        <w:rPr>
          <w:rFonts w:asciiTheme="majorBidi" w:hAnsiTheme="majorBidi" w:cstheme="majorBidi"/>
          <w:noProof/>
          <w:lang w:val="en-GB"/>
        </w:rPr>
        <w:t>Naqsh-i Rustam</w:t>
      </w:r>
      <w:r>
        <w:rPr>
          <w:noProof/>
        </w:rPr>
        <w:t>, 301</w:t>
      </w:r>
    </w:p>
    <w:p w14:paraId="5E3C26C1"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Near East</w:t>
      </w:r>
      <w:r>
        <w:rPr>
          <w:noProof/>
        </w:rPr>
        <w:t>, 4, 6, 104, 400, 403, 414, 427</w:t>
      </w:r>
    </w:p>
    <w:p w14:paraId="44A7A197" w14:textId="77777777" w:rsidR="009A2B20" w:rsidRDefault="009A2B20">
      <w:pPr>
        <w:pStyle w:val="Dizin1"/>
        <w:tabs>
          <w:tab w:val="right" w:leader="dot" w:pos="4172"/>
        </w:tabs>
        <w:rPr>
          <w:noProof/>
        </w:rPr>
      </w:pPr>
      <w:r w:rsidRPr="00010C05">
        <w:rPr>
          <w:rFonts w:asciiTheme="majorBidi" w:hAnsiTheme="majorBidi" w:cstheme="majorBidi"/>
          <w:noProof/>
        </w:rPr>
        <w:t>Neft Kuyu</w:t>
      </w:r>
      <w:r>
        <w:rPr>
          <w:noProof/>
        </w:rPr>
        <w:t>, 10, 11, 16, 18, 25, 26, 27, 28, 29, 34, 85, 87, 94, 95, 102, 106, 109, 197, 278, 283, 284, 285, 287, 288, 302, 304, 306, 311, 312, 313, 314, 315, 316, 317, 319, 322, 329, 334, 336, 337, 339, 340, 341</w:t>
      </w:r>
    </w:p>
    <w:p w14:paraId="6DEEF1C6"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000000" w:themeColor="text1"/>
          <w:lang w:val="en-GB" w:eastAsia="it-IT"/>
        </w:rPr>
        <w:t>Neft Kuyu tomb</w:t>
      </w:r>
      <w:r>
        <w:rPr>
          <w:noProof/>
        </w:rPr>
        <w:t>, 11</w:t>
      </w:r>
    </w:p>
    <w:p w14:paraId="02BE238F" w14:textId="77777777" w:rsidR="009A2B20" w:rsidRDefault="009A2B20">
      <w:pPr>
        <w:pStyle w:val="Dizin1"/>
        <w:tabs>
          <w:tab w:val="right" w:leader="dot" w:pos="4172"/>
        </w:tabs>
        <w:rPr>
          <w:noProof/>
        </w:rPr>
      </w:pPr>
      <w:r w:rsidRPr="00010C05">
        <w:rPr>
          <w:rFonts w:asciiTheme="majorBidi" w:eastAsia="Calibri" w:hAnsiTheme="majorBidi" w:cstheme="majorBidi"/>
          <w:noProof/>
          <w:color w:val="000000"/>
          <w:lang w:val="en-GB"/>
        </w:rPr>
        <w:t>Neft Kuyu Tomb</w:t>
      </w:r>
      <w:r>
        <w:rPr>
          <w:noProof/>
        </w:rPr>
        <w:t>, 95, 197, 314</w:t>
      </w:r>
    </w:p>
    <w:p w14:paraId="5366C458"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neo-Hittite</w:t>
      </w:r>
      <w:r>
        <w:rPr>
          <w:noProof/>
        </w:rPr>
        <w:t>, 184, 185</w:t>
      </w:r>
    </w:p>
    <w:p w14:paraId="288741EF"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New Palace</w:t>
      </w:r>
      <w:r>
        <w:rPr>
          <w:noProof/>
        </w:rPr>
        <w:t>, 2, 10, 12, 43, 82, 83, 84, 85, 93, 95, 96, 97, 101, 264, 265, 266, 267, 268, 269, 270, 271, 273, 274, 275, 276, 277, 278, 279, 280, 281, 282, 376</w:t>
      </w:r>
    </w:p>
    <w:p w14:paraId="67F92FC2"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Niḫria</w:t>
      </w:r>
      <w:r>
        <w:rPr>
          <w:noProof/>
        </w:rPr>
        <w:t>, 193</w:t>
      </w:r>
    </w:p>
    <w:p w14:paraId="5DAA1FAF"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Nimrud</w:t>
      </w:r>
      <w:r>
        <w:rPr>
          <w:noProof/>
        </w:rPr>
        <w:t>, 75, 94, 337, 338, 362, 410, 414, 419, 421</w:t>
      </w:r>
    </w:p>
    <w:p w14:paraId="628E603A" w14:textId="77777777" w:rsidR="009A2B20" w:rsidRDefault="009A2B20">
      <w:pPr>
        <w:pStyle w:val="Dizin1"/>
        <w:tabs>
          <w:tab w:val="right" w:leader="dot" w:pos="4172"/>
        </w:tabs>
        <w:rPr>
          <w:noProof/>
        </w:rPr>
      </w:pPr>
      <w:r w:rsidRPr="00010C05">
        <w:rPr>
          <w:rFonts w:asciiTheme="majorBidi" w:hAnsiTheme="majorBidi" w:cstheme="majorBidi"/>
          <w:noProof/>
        </w:rPr>
        <w:t>Nineveh</w:t>
      </w:r>
      <w:r>
        <w:rPr>
          <w:noProof/>
        </w:rPr>
        <w:t>, 36, 107, 362, 418</w:t>
      </w:r>
    </w:p>
    <w:p w14:paraId="0B0E813E"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Ninive</w:t>
      </w:r>
      <w:r>
        <w:rPr>
          <w:noProof/>
        </w:rPr>
        <w:t>, 6</w:t>
      </w:r>
    </w:p>
    <w:p w14:paraId="4680D7C7" w14:textId="77777777" w:rsidR="009A2B20" w:rsidRDefault="009A2B20">
      <w:pPr>
        <w:pStyle w:val="Dizin1"/>
        <w:tabs>
          <w:tab w:val="right" w:leader="dot" w:pos="4172"/>
        </w:tabs>
        <w:rPr>
          <w:noProof/>
        </w:rPr>
      </w:pPr>
      <w:r w:rsidRPr="00010C05">
        <w:rPr>
          <w:rFonts w:asciiTheme="majorBidi" w:hAnsiTheme="majorBidi" w:cstheme="majorBidi"/>
          <w:noProof/>
          <w:lang w:val="en-GB"/>
        </w:rPr>
        <w:t>Northwest Iran</w:t>
      </w:r>
      <w:r>
        <w:rPr>
          <w:noProof/>
        </w:rPr>
        <w:t>, 286, 335, 366, 375, 398, 403</w:t>
      </w:r>
    </w:p>
    <w:p w14:paraId="57E2C63B"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Northwestern Iran</w:t>
      </w:r>
      <w:r>
        <w:rPr>
          <w:noProof/>
        </w:rPr>
        <w:t>, 6, 8</w:t>
      </w:r>
    </w:p>
    <w:p w14:paraId="31DBB694" w14:textId="77777777" w:rsidR="009A2B20" w:rsidRDefault="009A2B20">
      <w:pPr>
        <w:pStyle w:val="DizinBal"/>
        <w:keepNext/>
        <w:tabs>
          <w:tab w:val="right" w:leader="dot" w:pos="4172"/>
        </w:tabs>
        <w:rPr>
          <w:rFonts w:eastAsiaTheme="minorEastAsia" w:cstheme="minorBidi"/>
          <w:b w:val="0"/>
          <w:bCs w:val="0"/>
          <w:noProof/>
        </w:rPr>
      </w:pPr>
      <w:r>
        <w:rPr>
          <w:noProof/>
        </w:rPr>
        <w:t>O</w:t>
      </w:r>
    </w:p>
    <w:p w14:paraId="54F809E1"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Old City of Van</w:t>
      </w:r>
      <w:r>
        <w:rPr>
          <w:noProof/>
        </w:rPr>
        <w:t>, 416</w:t>
      </w:r>
    </w:p>
    <w:p w14:paraId="4A9FECD5"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Old Palace</w:t>
      </w:r>
      <w:r>
        <w:rPr>
          <w:noProof/>
        </w:rPr>
        <w:t>, 12, 43, 56, 77, 78, 85, 93, 95, 96, 239, 248, 252, 266, 280</w:t>
      </w:r>
    </w:p>
    <w:p w14:paraId="744D7706"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Old Persian</w:t>
      </w:r>
      <w:r>
        <w:rPr>
          <w:noProof/>
        </w:rPr>
        <w:t>, 198</w:t>
      </w:r>
    </w:p>
    <w:p w14:paraId="5ADC249A"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Old Van City</w:t>
      </w:r>
      <w:r>
        <w:rPr>
          <w:noProof/>
        </w:rPr>
        <w:t>, 10, 16, 17, 19, 20, 21, 22, 27, 28, 29, 30, 31, 34, 43, 72, 97, 98, 102, 136, 148, 149, 150, 151, 152, 157, 186, 315, 354, 362, 366, 368</w:t>
      </w:r>
    </w:p>
    <w:p w14:paraId="4A7518B6"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Orbeli</w:t>
      </w:r>
      <w:r>
        <w:rPr>
          <w:noProof/>
        </w:rPr>
        <w:t>, 38, 39, 40, 46, 63, 189, 190, 191, 195, 419</w:t>
      </w:r>
    </w:p>
    <w:p w14:paraId="0941E61F" w14:textId="77777777" w:rsidR="009A2B20" w:rsidRDefault="009A2B20">
      <w:pPr>
        <w:pStyle w:val="Dizin1"/>
        <w:tabs>
          <w:tab w:val="right" w:leader="dot" w:pos="4172"/>
        </w:tabs>
        <w:rPr>
          <w:noProof/>
        </w:rPr>
      </w:pPr>
      <w:r w:rsidRPr="00010C05">
        <w:rPr>
          <w:rFonts w:asciiTheme="majorBidi" w:hAnsiTheme="majorBidi" w:cstheme="majorBidi"/>
          <w:noProof/>
        </w:rPr>
        <w:t>Orta Kapı</w:t>
      </w:r>
      <w:r>
        <w:rPr>
          <w:noProof/>
        </w:rPr>
        <w:t>, 16, 21, 22, 23</w:t>
      </w:r>
    </w:p>
    <w:p w14:paraId="4025EB3C" w14:textId="77777777" w:rsidR="009A2B20" w:rsidRDefault="009A2B20">
      <w:pPr>
        <w:pStyle w:val="Dizin1"/>
        <w:tabs>
          <w:tab w:val="right" w:leader="dot" w:pos="4172"/>
        </w:tabs>
        <w:rPr>
          <w:noProof/>
        </w:rPr>
      </w:pPr>
      <w:r w:rsidRPr="00010C05">
        <w:rPr>
          <w:rFonts w:asciiTheme="majorBidi" w:hAnsiTheme="majorBidi" w:cstheme="majorBidi"/>
          <w:noProof/>
          <w:lang w:val="en-GB"/>
        </w:rPr>
        <w:t>Oshnavieh</w:t>
      </w:r>
      <w:r>
        <w:rPr>
          <w:noProof/>
        </w:rPr>
        <w:t>, 375</w:t>
      </w:r>
    </w:p>
    <w:p w14:paraId="09BE2A93" w14:textId="77777777" w:rsidR="009A2B20" w:rsidRDefault="009A2B20">
      <w:pPr>
        <w:pStyle w:val="Dizin1"/>
        <w:tabs>
          <w:tab w:val="right" w:leader="dot" w:pos="4172"/>
        </w:tabs>
        <w:rPr>
          <w:noProof/>
        </w:rPr>
      </w:pPr>
      <w:r w:rsidRPr="00010C05">
        <w:rPr>
          <w:rFonts w:asciiTheme="majorBidi" w:eastAsia="Calibri" w:hAnsiTheme="majorBidi" w:cstheme="majorBidi"/>
          <w:noProof/>
          <w:color w:val="000000" w:themeColor="text1"/>
          <w:lang w:val="en-GB"/>
        </w:rPr>
        <w:t>Ottoman</w:t>
      </w:r>
      <w:r>
        <w:rPr>
          <w:noProof/>
        </w:rPr>
        <w:t>, 9, 32, 38, 45, 46, 78, 79, 82, 89, 93, 108, 109, 246, 248, 251, 252, 261, 270, 280, 317, 339, 355, 363</w:t>
      </w:r>
    </w:p>
    <w:p w14:paraId="5F7411B5"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Ottoman period</w:t>
      </w:r>
      <w:r>
        <w:rPr>
          <w:noProof/>
        </w:rPr>
        <w:t>, 261</w:t>
      </w:r>
    </w:p>
    <w:p w14:paraId="02D83176" w14:textId="77777777" w:rsidR="009A2B20" w:rsidRDefault="009A2B20">
      <w:pPr>
        <w:pStyle w:val="DizinBal"/>
        <w:keepNext/>
        <w:tabs>
          <w:tab w:val="right" w:leader="dot" w:pos="4172"/>
        </w:tabs>
        <w:rPr>
          <w:rFonts w:eastAsiaTheme="minorEastAsia" w:cstheme="minorBidi"/>
          <w:b w:val="0"/>
          <w:bCs w:val="0"/>
          <w:noProof/>
        </w:rPr>
      </w:pPr>
      <w:r>
        <w:rPr>
          <w:noProof/>
        </w:rPr>
        <w:t>P</w:t>
      </w:r>
    </w:p>
    <w:p w14:paraId="3AEE3424" w14:textId="77777777" w:rsidR="009A2B20" w:rsidRDefault="009A2B20">
      <w:pPr>
        <w:pStyle w:val="Dizin1"/>
        <w:tabs>
          <w:tab w:val="right" w:leader="dot" w:pos="4172"/>
        </w:tabs>
        <w:rPr>
          <w:noProof/>
        </w:rPr>
      </w:pPr>
      <w:r w:rsidRPr="00010C05">
        <w:rPr>
          <w:rFonts w:ascii="Times New Roman" w:hAnsi="Times New Roman" w:cs="Times New Roman"/>
          <w:noProof/>
          <w:lang w:val="en-GB"/>
        </w:rPr>
        <w:t>Pagan</w:t>
      </w:r>
      <w:r>
        <w:rPr>
          <w:noProof/>
        </w:rPr>
        <w:t>, 55, 404, 412</w:t>
      </w:r>
    </w:p>
    <w:p w14:paraId="5F530C5D" w14:textId="77777777" w:rsidR="009A2B20" w:rsidRDefault="009A2B20">
      <w:pPr>
        <w:pStyle w:val="Dizin1"/>
        <w:tabs>
          <w:tab w:val="right" w:leader="dot" w:pos="4172"/>
        </w:tabs>
        <w:rPr>
          <w:noProof/>
        </w:rPr>
      </w:pPr>
      <w:r w:rsidRPr="00010C05">
        <w:rPr>
          <w:rFonts w:asciiTheme="majorBidi" w:hAnsiTheme="majorBidi" w:cstheme="majorBidi"/>
          <w:noProof/>
          <w:lang w:val="en-GB"/>
        </w:rPr>
        <w:t>Palu</w:t>
      </w:r>
      <w:r>
        <w:rPr>
          <w:noProof/>
        </w:rPr>
        <w:t>, 285, 338, 408, 424</w:t>
      </w:r>
    </w:p>
    <w:p w14:paraId="100E40FA"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Persepolis</w:t>
      </w:r>
      <w:r>
        <w:rPr>
          <w:noProof/>
        </w:rPr>
        <w:t>, 301</w:t>
      </w:r>
    </w:p>
    <w:p w14:paraId="0DDF6D99"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Persian</w:t>
      </w:r>
      <w:r>
        <w:rPr>
          <w:noProof/>
        </w:rPr>
        <w:t>, 199, 270, 301</w:t>
      </w:r>
    </w:p>
    <w:p w14:paraId="4F7C3197" w14:textId="77777777" w:rsidR="009A2B20" w:rsidRDefault="009A2B20">
      <w:pPr>
        <w:pStyle w:val="Dizin1"/>
        <w:tabs>
          <w:tab w:val="right" w:leader="dot" w:pos="4172"/>
        </w:tabs>
        <w:rPr>
          <w:noProof/>
        </w:rPr>
      </w:pPr>
      <w:r w:rsidRPr="00010C05">
        <w:rPr>
          <w:rFonts w:asciiTheme="majorBidi" w:hAnsiTheme="majorBidi" w:cstheme="majorBidi"/>
          <w:noProof/>
          <w:lang w:val="en-GB"/>
        </w:rPr>
        <w:t>Pértak</w:t>
      </w:r>
      <w:r>
        <w:rPr>
          <w:noProof/>
        </w:rPr>
        <w:t>, 57, 378, 392</w:t>
      </w:r>
    </w:p>
    <w:p w14:paraId="6A8751BC" w14:textId="77777777" w:rsidR="009A2B20" w:rsidRDefault="009A2B20">
      <w:pPr>
        <w:pStyle w:val="Dizin1"/>
        <w:tabs>
          <w:tab w:val="right" w:leader="dot" w:pos="4172"/>
        </w:tabs>
        <w:rPr>
          <w:noProof/>
        </w:rPr>
      </w:pPr>
      <w:r w:rsidRPr="00010C05">
        <w:rPr>
          <w:rFonts w:asciiTheme="majorBidi" w:hAnsiTheme="majorBidi" w:cstheme="majorBidi"/>
          <w:noProof/>
          <w:lang w:val="en-GB"/>
        </w:rPr>
        <w:t>Pirabad</w:t>
      </w:r>
      <w:r>
        <w:rPr>
          <w:noProof/>
        </w:rPr>
        <w:t>, 373</w:t>
      </w:r>
    </w:p>
    <w:p w14:paraId="64577801" w14:textId="77777777" w:rsidR="009A2B20" w:rsidRDefault="009A2B20">
      <w:pPr>
        <w:pStyle w:val="Dizin1"/>
        <w:tabs>
          <w:tab w:val="right" w:leader="dot" w:pos="4172"/>
        </w:tabs>
        <w:rPr>
          <w:noProof/>
        </w:rPr>
      </w:pPr>
      <w:r w:rsidRPr="00010C05">
        <w:rPr>
          <w:rFonts w:asciiTheme="majorBidi" w:hAnsiTheme="majorBidi" w:cstheme="majorBidi"/>
          <w:noProof/>
          <w:lang w:val="en-GB"/>
        </w:rPr>
        <w:t>Pirabat</w:t>
      </w:r>
      <w:r>
        <w:rPr>
          <w:noProof/>
        </w:rPr>
        <w:t>, 373, 420</w:t>
      </w:r>
    </w:p>
    <w:p w14:paraId="0AA3AEFC" w14:textId="77777777" w:rsidR="009A2B20" w:rsidRDefault="009A2B20">
      <w:pPr>
        <w:pStyle w:val="Dizin1"/>
        <w:tabs>
          <w:tab w:val="right" w:leader="dot" w:pos="4172"/>
        </w:tabs>
        <w:rPr>
          <w:noProof/>
        </w:rPr>
      </w:pPr>
      <w:r w:rsidRPr="00010C05">
        <w:rPr>
          <w:rFonts w:asciiTheme="majorBidi" w:hAnsiTheme="majorBidi" w:cstheme="majorBidi"/>
          <w:noProof/>
          <w:lang w:val="en-GB"/>
        </w:rPr>
        <w:t>Pirabat inscription</w:t>
      </w:r>
      <w:r>
        <w:rPr>
          <w:noProof/>
        </w:rPr>
        <w:t>, 373</w:t>
      </w:r>
    </w:p>
    <w:p w14:paraId="447CAD3F" w14:textId="77777777" w:rsidR="009A2B20" w:rsidRDefault="009A2B20">
      <w:pPr>
        <w:pStyle w:val="Dizin1"/>
        <w:tabs>
          <w:tab w:val="right" w:leader="dot" w:pos="4172"/>
        </w:tabs>
        <w:rPr>
          <w:noProof/>
        </w:rPr>
      </w:pPr>
      <w:r w:rsidRPr="00010C05">
        <w:rPr>
          <w:rFonts w:ascii="Times New Roman" w:hAnsi="Times New Roman"/>
          <w:b/>
          <w:noProof/>
          <w:color w:val="0D0D0D"/>
          <w:lang w:val="en-GB"/>
        </w:rPr>
        <w:t>Platform</w:t>
      </w:r>
      <w:r>
        <w:rPr>
          <w:noProof/>
        </w:rPr>
        <w:t>, 248</w:t>
      </w:r>
    </w:p>
    <w:p w14:paraId="7E0F3076"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Puluadi</w:t>
      </w:r>
      <w:r>
        <w:rPr>
          <w:noProof/>
        </w:rPr>
        <w:t>, 194</w:t>
      </w:r>
    </w:p>
    <w:p w14:paraId="27C31242" w14:textId="77777777" w:rsidR="009A2B20" w:rsidRDefault="009A2B20">
      <w:pPr>
        <w:pStyle w:val="Dizin1"/>
        <w:tabs>
          <w:tab w:val="right" w:leader="dot" w:pos="4172"/>
        </w:tabs>
        <w:rPr>
          <w:noProof/>
        </w:rPr>
      </w:pPr>
      <w:r w:rsidRPr="00010C05">
        <w:rPr>
          <w:rFonts w:asciiTheme="majorBidi" w:hAnsiTheme="majorBidi" w:cstheme="majorBidi"/>
          <w:noProof/>
          <w:lang w:val="en-GB"/>
        </w:rPr>
        <w:t>pulusi</w:t>
      </w:r>
      <w:r>
        <w:rPr>
          <w:noProof/>
        </w:rPr>
        <w:t>, 354</w:t>
      </w:r>
    </w:p>
    <w:p w14:paraId="01A03D54" w14:textId="77777777" w:rsidR="009A2B20" w:rsidRDefault="009A2B20">
      <w:pPr>
        <w:pStyle w:val="DizinBal"/>
        <w:keepNext/>
        <w:tabs>
          <w:tab w:val="right" w:leader="dot" w:pos="4172"/>
        </w:tabs>
        <w:rPr>
          <w:rFonts w:eastAsiaTheme="minorEastAsia" w:cstheme="minorBidi"/>
          <w:b w:val="0"/>
          <w:bCs w:val="0"/>
          <w:noProof/>
        </w:rPr>
      </w:pPr>
      <w:r>
        <w:rPr>
          <w:noProof/>
        </w:rPr>
        <w:t>Q</w:t>
      </w:r>
    </w:p>
    <w:p w14:paraId="7B5D80B3"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Qabilian</w:t>
      </w:r>
      <w:r>
        <w:rPr>
          <w:noProof/>
        </w:rPr>
        <w:t>, 161</w:t>
      </w:r>
    </w:p>
    <w:p w14:paraId="4D1F5448"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lastRenderedPageBreak/>
        <w:t>Qada</w:t>
      </w:r>
      <w:r>
        <w:rPr>
          <w:noProof/>
        </w:rPr>
        <w:t>, 161</w:t>
      </w:r>
    </w:p>
    <w:p w14:paraId="45F119C2" w14:textId="77777777" w:rsidR="009A2B20" w:rsidRDefault="009A2B20">
      <w:pPr>
        <w:pStyle w:val="Dizin1"/>
        <w:tabs>
          <w:tab w:val="right" w:leader="dot" w:pos="4172"/>
        </w:tabs>
        <w:rPr>
          <w:noProof/>
        </w:rPr>
      </w:pPr>
      <w:r w:rsidRPr="00010C05">
        <w:rPr>
          <w:rFonts w:asciiTheme="majorBidi" w:hAnsiTheme="majorBidi" w:cstheme="majorBidi"/>
          <w:noProof/>
          <w:lang w:val="en-GB"/>
        </w:rPr>
        <w:t>Qala Ismail Agha</w:t>
      </w:r>
      <w:r>
        <w:rPr>
          <w:noProof/>
        </w:rPr>
        <w:t>, 286, 335, 341</w:t>
      </w:r>
    </w:p>
    <w:p w14:paraId="4D760BE1" w14:textId="77777777" w:rsidR="009A2B20" w:rsidRDefault="009A2B20">
      <w:pPr>
        <w:pStyle w:val="Dizin1"/>
        <w:tabs>
          <w:tab w:val="right" w:leader="dot" w:pos="4172"/>
        </w:tabs>
        <w:rPr>
          <w:noProof/>
        </w:rPr>
      </w:pPr>
      <w:r w:rsidRPr="00010C05">
        <w:rPr>
          <w:rFonts w:asciiTheme="majorBidi" w:hAnsiTheme="majorBidi" w:cstheme="majorBidi"/>
          <w:noProof/>
          <w:lang w:val="en-GB"/>
        </w:rPr>
        <w:t>Qala Takht/Nanas</w:t>
      </w:r>
      <w:r>
        <w:rPr>
          <w:noProof/>
        </w:rPr>
        <w:t>, 286, 338</w:t>
      </w:r>
    </w:p>
    <w:p w14:paraId="44B29FDD" w14:textId="77777777" w:rsidR="009A2B20" w:rsidRDefault="009A2B20">
      <w:pPr>
        <w:pStyle w:val="Dizin1"/>
        <w:tabs>
          <w:tab w:val="right" w:leader="dot" w:pos="4172"/>
        </w:tabs>
        <w:rPr>
          <w:noProof/>
        </w:rPr>
      </w:pPr>
      <w:r w:rsidRPr="00010C05">
        <w:rPr>
          <w:rFonts w:ascii="Times New Roman" w:hAnsi="Times New Roman" w:cs="Times New Roman"/>
          <w:noProof/>
          <w:lang w:val="en-GB"/>
        </w:rPr>
        <w:t>Qalatgah</w:t>
      </w:r>
      <w:r>
        <w:rPr>
          <w:noProof/>
        </w:rPr>
        <w:t>, 55</w:t>
      </w:r>
    </w:p>
    <w:p w14:paraId="13ABB50F"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Qalibili</w:t>
      </w:r>
      <w:r>
        <w:rPr>
          <w:noProof/>
        </w:rPr>
        <w:t>, 138</w:t>
      </w:r>
    </w:p>
    <w:p w14:paraId="3D4DB6C6"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Qiḫu</w:t>
      </w:r>
      <w:r>
        <w:rPr>
          <w:noProof/>
        </w:rPr>
        <w:t>, 158</w:t>
      </w:r>
    </w:p>
    <w:p w14:paraId="696997DA"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Qilbani</w:t>
      </w:r>
      <w:r>
        <w:rPr>
          <w:noProof/>
        </w:rPr>
        <w:t>, 12, 193</w:t>
      </w:r>
    </w:p>
    <w:p w14:paraId="12F382CE"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Qirpunu</w:t>
      </w:r>
      <w:r>
        <w:rPr>
          <w:noProof/>
        </w:rPr>
        <w:t>, 138</w:t>
      </w:r>
    </w:p>
    <w:p w14:paraId="22EDCEF0" w14:textId="77777777" w:rsidR="009A2B20" w:rsidRDefault="009A2B20">
      <w:pPr>
        <w:pStyle w:val="Dizin1"/>
        <w:tabs>
          <w:tab w:val="right" w:leader="dot" w:pos="4172"/>
        </w:tabs>
        <w:rPr>
          <w:noProof/>
        </w:rPr>
      </w:pPr>
      <w:r w:rsidRPr="00010C05">
        <w:rPr>
          <w:rFonts w:asciiTheme="majorBidi" w:hAnsiTheme="majorBidi" w:cstheme="majorBidi"/>
          <w:noProof/>
          <w:lang w:val="en-GB"/>
        </w:rPr>
        <w:t>Quera</w:t>
      </w:r>
      <w:r>
        <w:rPr>
          <w:noProof/>
        </w:rPr>
        <w:t>, 354, 374</w:t>
      </w:r>
    </w:p>
    <w:p w14:paraId="18288636"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Qulha</w:t>
      </w:r>
      <w:r>
        <w:rPr>
          <w:noProof/>
        </w:rPr>
        <w:t>, 194</w:t>
      </w:r>
    </w:p>
    <w:p w14:paraId="65B181DC"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Qulḫa</w:t>
      </w:r>
      <w:r>
        <w:rPr>
          <w:noProof/>
        </w:rPr>
        <w:t>, 194</w:t>
      </w:r>
    </w:p>
    <w:p w14:paraId="65CFB042"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Qumaha</w:t>
      </w:r>
      <w:r>
        <w:rPr>
          <w:noProof/>
        </w:rPr>
        <w:t>, 194</w:t>
      </w:r>
    </w:p>
    <w:p w14:paraId="6BA9BDEC" w14:textId="77777777" w:rsidR="009A2B20" w:rsidRDefault="009A2B20">
      <w:pPr>
        <w:pStyle w:val="Dizin1"/>
        <w:tabs>
          <w:tab w:val="right" w:leader="dot" w:pos="4172"/>
        </w:tabs>
        <w:rPr>
          <w:noProof/>
        </w:rPr>
      </w:pPr>
      <w:r w:rsidRPr="00010C05">
        <w:rPr>
          <w:rFonts w:asciiTheme="majorBidi" w:hAnsiTheme="majorBidi" w:cstheme="majorBidi"/>
          <w:noProof/>
          <w:lang w:val="en-GB"/>
        </w:rPr>
        <w:t>Qumenu</w:t>
      </w:r>
      <w:r>
        <w:rPr>
          <w:noProof/>
        </w:rPr>
        <w:t>, 138</w:t>
      </w:r>
    </w:p>
    <w:p w14:paraId="69E800CA"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Quyuncik</w:t>
      </w:r>
      <w:r>
        <w:rPr>
          <w:noProof/>
        </w:rPr>
        <w:t>, 197</w:t>
      </w:r>
    </w:p>
    <w:p w14:paraId="0473418B" w14:textId="77777777" w:rsidR="009A2B20" w:rsidRDefault="009A2B20">
      <w:pPr>
        <w:pStyle w:val="DizinBal"/>
        <w:keepNext/>
        <w:tabs>
          <w:tab w:val="right" w:leader="dot" w:pos="4172"/>
        </w:tabs>
        <w:rPr>
          <w:rFonts w:eastAsiaTheme="minorEastAsia" w:cstheme="minorBidi"/>
          <w:b w:val="0"/>
          <w:bCs w:val="0"/>
          <w:noProof/>
        </w:rPr>
      </w:pPr>
      <w:r>
        <w:rPr>
          <w:noProof/>
        </w:rPr>
        <w:t>R</w:t>
      </w:r>
    </w:p>
    <w:p w14:paraId="54A62426"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Rihiša</w:t>
      </w:r>
      <w:r>
        <w:rPr>
          <w:noProof/>
        </w:rPr>
        <w:t>, 192</w:t>
      </w:r>
    </w:p>
    <w:p w14:paraId="04C5978E"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Rock Room</w:t>
      </w:r>
      <w:r>
        <w:rPr>
          <w:noProof/>
        </w:rPr>
        <w:t>, 12</w:t>
      </w:r>
    </w:p>
    <w:p w14:paraId="2B53DC95"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Rusa</w:t>
      </w:r>
      <w:r>
        <w:rPr>
          <w:noProof/>
        </w:rPr>
        <w:t>, 63, 103, 106, 107, 193, 197, 199, 398, 421, 422</w:t>
      </w:r>
    </w:p>
    <w:p w14:paraId="4B420A3C"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Rusa I</w:t>
      </w:r>
      <w:r>
        <w:rPr>
          <w:noProof/>
        </w:rPr>
        <w:t>, 63, 103, 106, 197, 263, 422</w:t>
      </w:r>
    </w:p>
    <w:p w14:paraId="3F8F6BED" w14:textId="77777777" w:rsidR="009A2B20" w:rsidRDefault="009A2B20">
      <w:pPr>
        <w:pStyle w:val="Dizin1"/>
        <w:tabs>
          <w:tab w:val="right" w:leader="dot" w:pos="4172"/>
        </w:tabs>
        <w:rPr>
          <w:noProof/>
        </w:rPr>
      </w:pPr>
      <w:r w:rsidRPr="00010C05">
        <w:rPr>
          <w:rFonts w:asciiTheme="majorBidi" w:hAnsiTheme="majorBidi" w:cstheme="majorBidi"/>
          <w:noProof/>
          <w:lang w:val="en-GB"/>
        </w:rPr>
        <w:t>Rusa II</w:t>
      </w:r>
      <w:r>
        <w:rPr>
          <w:noProof/>
        </w:rPr>
        <w:t>, 106, 107, 422</w:t>
      </w:r>
    </w:p>
    <w:p w14:paraId="7C2C2B8D" w14:textId="77777777" w:rsidR="009A2B20" w:rsidRDefault="009A2B20">
      <w:pPr>
        <w:pStyle w:val="Dizin1"/>
        <w:tabs>
          <w:tab w:val="right" w:leader="dot" w:pos="4172"/>
        </w:tabs>
        <w:rPr>
          <w:noProof/>
        </w:rPr>
      </w:pPr>
      <w:r w:rsidRPr="00010C05">
        <w:rPr>
          <w:rFonts w:asciiTheme="majorBidi" w:hAnsiTheme="majorBidi" w:cstheme="majorBidi"/>
          <w:noProof/>
          <w:lang w:val="en-GB"/>
        </w:rPr>
        <w:t>Rusa III</w:t>
      </w:r>
      <w:r>
        <w:rPr>
          <w:noProof/>
        </w:rPr>
        <w:t>, 106, 199</w:t>
      </w:r>
    </w:p>
    <w:p w14:paraId="458FB2DD" w14:textId="77777777" w:rsidR="009A2B20" w:rsidRDefault="009A2B20">
      <w:pPr>
        <w:pStyle w:val="Dizin1"/>
        <w:tabs>
          <w:tab w:val="right" w:leader="dot" w:pos="4172"/>
        </w:tabs>
        <w:rPr>
          <w:noProof/>
        </w:rPr>
      </w:pPr>
      <w:r w:rsidRPr="00010C05">
        <w:rPr>
          <w:rFonts w:asciiTheme="majorBidi" w:hAnsiTheme="majorBidi" w:cstheme="majorBidi"/>
          <w:noProof/>
          <w:shd w:val="clear" w:color="auto" w:fill="FFFFFF"/>
          <w:lang w:val="en-GB"/>
        </w:rPr>
        <w:t>Rusahinili</w:t>
      </w:r>
      <w:r>
        <w:rPr>
          <w:noProof/>
        </w:rPr>
        <w:t>, 406, 410, 421</w:t>
      </w:r>
    </w:p>
    <w:p w14:paraId="34CD9EAE" w14:textId="77777777" w:rsidR="009A2B20" w:rsidRDefault="009A2B20">
      <w:pPr>
        <w:pStyle w:val="Dizin1"/>
        <w:tabs>
          <w:tab w:val="right" w:leader="dot" w:pos="4172"/>
        </w:tabs>
        <w:rPr>
          <w:noProof/>
        </w:rPr>
      </w:pPr>
      <w:r w:rsidRPr="00010C05">
        <w:rPr>
          <w:rFonts w:asciiTheme="majorBidi" w:hAnsiTheme="majorBidi" w:cstheme="majorBidi"/>
          <w:i/>
          <w:noProof/>
          <w:color w:val="000000" w:themeColor="text1"/>
          <w:lang w:val="en-GB"/>
        </w:rPr>
        <w:t>Rusaḫinili</w:t>
      </w:r>
      <w:r>
        <w:rPr>
          <w:noProof/>
        </w:rPr>
        <w:t>, 12, 67, 193</w:t>
      </w:r>
    </w:p>
    <w:p w14:paraId="4F4D3D3F" w14:textId="77777777" w:rsidR="009A2B20" w:rsidRDefault="009A2B20">
      <w:pPr>
        <w:pStyle w:val="Dizin1"/>
        <w:tabs>
          <w:tab w:val="right" w:leader="dot" w:pos="4172"/>
        </w:tabs>
        <w:rPr>
          <w:noProof/>
        </w:rPr>
      </w:pPr>
      <w:r w:rsidRPr="00010C05">
        <w:rPr>
          <w:rFonts w:asciiTheme="majorBidi" w:eastAsia="Calibri" w:hAnsiTheme="majorBidi" w:cstheme="majorBidi"/>
          <w:iCs/>
          <w:noProof/>
          <w:lang w:val="en-GB"/>
        </w:rPr>
        <w:t>Rusai Argištiḫi</w:t>
      </w:r>
      <w:r>
        <w:rPr>
          <w:noProof/>
        </w:rPr>
        <w:t>, 69, 337, 340, 341, 374, 400, 402</w:t>
      </w:r>
    </w:p>
    <w:p w14:paraId="61337107" w14:textId="77777777" w:rsidR="009A2B20" w:rsidRDefault="009A2B20">
      <w:pPr>
        <w:pStyle w:val="Dizin1"/>
        <w:tabs>
          <w:tab w:val="right" w:leader="dot" w:pos="4172"/>
        </w:tabs>
        <w:rPr>
          <w:noProof/>
        </w:rPr>
      </w:pPr>
      <w:r w:rsidRPr="00010C05">
        <w:rPr>
          <w:rFonts w:asciiTheme="majorBidi" w:eastAsia="Calibri" w:hAnsiTheme="majorBidi" w:cstheme="majorBidi"/>
          <w:iCs/>
          <w:noProof/>
          <w:lang w:val="en-GB"/>
        </w:rPr>
        <w:t>Rusai Erimenaḫi</w:t>
      </w:r>
      <w:r>
        <w:rPr>
          <w:noProof/>
        </w:rPr>
        <w:t>, 63, 67, 374</w:t>
      </w:r>
    </w:p>
    <w:p w14:paraId="0D83FCE7" w14:textId="77777777" w:rsidR="009A2B20" w:rsidRDefault="009A2B20">
      <w:pPr>
        <w:pStyle w:val="DizinBal"/>
        <w:keepNext/>
        <w:tabs>
          <w:tab w:val="right" w:leader="dot" w:pos="4172"/>
        </w:tabs>
        <w:rPr>
          <w:rFonts w:eastAsiaTheme="minorEastAsia" w:cstheme="minorBidi"/>
          <w:b w:val="0"/>
          <w:bCs w:val="0"/>
          <w:noProof/>
        </w:rPr>
      </w:pPr>
      <w:r>
        <w:rPr>
          <w:noProof/>
        </w:rPr>
        <w:t>S</w:t>
      </w:r>
    </w:p>
    <w:p w14:paraId="1B89D7DA" w14:textId="77777777" w:rsidR="009A2B20" w:rsidRDefault="009A2B20">
      <w:pPr>
        <w:pStyle w:val="Dizin1"/>
        <w:tabs>
          <w:tab w:val="right" w:leader="dot" w:pos="4172"/>
        </w:tabs>
        <w:rPr>
          <w:noProof/>
        </w:rPr>
      </w:pPr>
      <w:r w:rsidRPr="00010C05">
        <w:rPr>
          <w:rFonts w:asciiTheme="majorBidi" w:hAnsiTheme="majorBidi" w:cstheme="majorBidi"/>
          <w:b/>
          <w:bCs/>
          <w:noProof/>
          <w:lang w:val="en-GB"/>
        </w:rPr>
        <w:t>Sacrificial Inscription</w:t>
      </w:r>
      <w:r>
        <w:rPr>
          <w:noProof/>
        </w:rPr>
        <w:t>, 118</w:t>
      </w:r>
    </w:p>
    <w:p w14:paraId="122A86F0"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Šada’ali</w:t>
      </w:r>
      <w:r>
        <w:rPr>
          <w:noProof/>
        </w:rPr>
        <w:t>, 138</w:t>
      </w:r>
    </w:p>
    <w:p w14:paraId="04875645"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Šagaputara</w:t>
      </w:r>
      <w:r>
        <w:rPr>
          <w:noProof/>
        </w:rPr>
        <w:t>, 193</w:t>
      </w:r>
    </w:p>
    <w:p w14:paraId="57054791" w14:textId="77777777" w:rsidR="009A2B20" w:rsidRDefault="009A2B20">
      <w:pPr>
        <w:pStyle w:val="Dizin1"/>
        <w:tabs>
          <w:tab w:val="right" w:leader="dot" w:pos="4172"/>
        </w:tabs>
        <w:rPr>
          <w:noProof/>
        </w:rPr>
      </w:pPr>
      <w:r w:rsidRPr="00010C05">
        <w:rPr>
          <w:rFonts w:asciiTheme="majorBidi" w:hAnsiTheme="majorBidi" w:cstheme="majorBidi"/>
          <w:iCs/>
          <w:noProof/>
          <w:color w:val="000000" w:themeColor="text1"/>
          <w:lang w:val="en-GB"/>
        </w:rPr>
        <w:t>Šamaš</w:t>
      </w:r>
      <w:r>
        <w:rPr>
          <w:noProof/>
        </w:rPr>
        <w:t>, 6</w:t>
      </w:r>
    </w:p>
    <w:p w14:paraId="00976FDA" w14:textId="77777777" w:rsidR="009A2B20" w:rsidRDefault="009A2B20">
      <w:pPr>
        <w:pStyle w:val="Dizin1"/>
        <w:tabs>
          <w:tab w:val="right" w:leader="dot" w:pos="4172"/>
        </w:tabs>
        <w:rPr>
          <w:noProof/>
        </w:rPr>
      </w:pPr>
      <w:r w:rsidRPr="00010C05">
        <w:rPr>
          <w:rFonts w:asciiTheme="majorBidi" w:eastAsia="Times New Roman" w:hAnsiTheme="majorBidi" w:cstheme="majorBidi"/>
          <w:i/>
          <w:noProof/>
          <w:lang w:val="en-GB"/>
        </w:rPr>
        <w:t>Šamši-Adad</w:t>
      </w:r>
      <w:r w:rsidRPr="00010C05">
        <w:rPr>
          <w:rFonts w:asciiTheme="majorBidi" w:eastAsia="Times New Roman" w:hAnsiTheme="majorBidi" w:cstheme="majorBidi"/>
          <w:noProof/>
          <w:lang w:val="en-GB"/>
        </w:rPr>
        <w:t xml:space="preserve"> V</w:t>
      </w:r>
      <w:r>
        <w:rPr>
          <w:noProof/>
        </w:rPr>
        <w:t>, 75, 94, 337</w:t>
      </w:r>
    </w:p>
    <w:p w14:paraId="4CAAC06E" w14:textId="77777777" w:rsidR="009A2B20" w:rsidRDefault="009A2B20">
      <w:pPr>
        <w:pStyle w:val="Dizin1"/>
        <w:tabs>
          <w:tab w:val="right" w:leader="dot" w:pos="4172"/>
        </w:tabs>
        <w:rPr>
          <w:noProof/>
        </w:rPr>
      </w:pPr>
      <w:r w:rsidRPr="00010C05">
        <w:rPr>
          <w:rFonts w:asciiTheme="majorBidi" w:hAnsiTheme="majorBidi" w:cstheme="majorBidi"/>
          <w:noProof/>
          <w:lang w:val="en-GB"/>
        </w:rPr>
        <w:t>Sangar</w:t>
      </w:r>
      <w:r>
        <w:rPr>
          <w:noProof/>
        </w:rPr>
        <w:t>, 286, 338</w:t>
      </w:r>
    </w:p>
    <w:p w14:paraId="4DA52BAE" w14:textId="77777777" w:rsidR="009A2B20" w:rsidRDefault="009A2B20">
      <w:pPr>
        <w:pStyle w:val="Dizin1"/>
        <w:tabs>
          <w:tab w:val="right" w:leader="dot" w:pos="4172"/>
        </w:tabs>
        <w:rPr>
          <w:noProof/>
        </w:rPr>
      </w:pPr>
      <w:r w:rsidRPr="00010C05">
        <w:rPr>
          <w:rFonts w:asciiTheme="majorBidi" w:hAnsiTheme="majorBidi" w:cstheme="majorBidi"/>
          <w:noProof/>
        </w:rPr>
        <w:t>Sardurburç</w:t>
      </w:r>
      <w:r>
        <w:rPr>
          <w:noProof/>
        </w:rPr>
        <w:t>, 2, 9, 12, 23, 24, 32, 36, 40, 41, 42, 46, 50, 52, 57, 72, 74, 75, 77, 83, 85, 86, 88, 89, 93, 101, 106, 107, 110, 111, 112, 115, 118, 147, 200, 201, 202, 203, 204, 205, 206, 207, 208, 209, 211, 212, 214, 215, 216, 217, 219, 223, 225, 228, 229, 230, 231, 232, 233, 236, 239, 243, 244, 280, 306, 418</w:t>
      </w:r>
    </w:p>
    <w:p w14:paraId="548990D8" w14:textId="77777777" w:rsidR="009A2B20" w:rsidRDefault="009A2B20">
      <w:pPr>
        <w:pStyle w:val="Dizin1"/>
        <w:tabs>
          <w:tab w:val="right" w:leader="dot" w:pos="4172"/>
        </w:tabs>
        <w:rPr>
          <w:noProof/>
        </w:rPr>
      </w:pPr>
      <w:r w:rsidRPr="00010C05">
        <w:rPr>
          <w:rFonts w:asciiTheme="majorBidi" w:hAnsiTheme="majorBidi" w:cstheme="majorBidi"/>
          <w:noProof/>
          <w:lang w:val="en-GB"/>
        </w:rPr>
        <w:t>Sardurburç inscriptions</w:t>
      </w:r>
      <w:r>
        <w:rPr>
          <w:noProof/>
        </w:rPr>
        <w:t>, 50, 202, 205, 206, 208, 211, 233</w:t>
      </w:r>
    </w:p>
    <w:p w14:paraId="3C86981E"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Sardurburg</w:t>
      </w:r>
      <w:r>
        <w:rPr>
          <w:noProof/>
        </w:rPr>
        <w:t>, 12</w:t>
      </w:r>
    </w:p>
    <w:p w14:paraId="12869516" w14:textId="77777777" w:rsidR="009A2B20" w:rsidRDefault="009A2B20">
      <w:pPr>
        <w:pStyle w:val="Dizin1"/>
        <w:tabs>
          <w:tab w:val="right" w:leader="dot" w:pos="4172"/>
        </w:tabs>
        <w:rPr>
          <w:noProof/>
        </w:rPr>
      </w:pPr>
      <w:r w:rsidRPr="00010C05">
        <w:rPr>
          <w:rFonts w:asciiTheme="majorBidi" w:hAnsiTheme="majorBidi" w:cstheme="majorBidi"/>
          <w:iCs/>
          <w:noProof/>
          <w:color w:val="000000" w:themeColor="text1"/>
          <w:lang w:val="en-GB"/>
        </w:rPr>
        <w:t>Sarduri</w:t>
      </w:r>
      <w:r>
        <w:rPr>
          <w:noProof/>
        </w:rPr>
        <w:t>, 5, 61, 69, 85, 103, 104, 105, 106, 107, 108, 109, 111, 112, 113, 115, 118, 121, 122, 129, 134, 147, 155, 157, 162, 184, 186, 187, 189, 190, 191, 192, 193, 194, 196, 197, 200, 203, 204, 211, 232, 233, 339</w:t>
      </w:r>
    </w:p>
    <w:p w14:paraId="50122CD5"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Sarduri I</w:t>
      </w:r>
      <w:r>
        <w:rPr>
          <w:noProof/>
        </w:rPr>
        <w:t>, 8, 9, 50, 52, 77, 85, 86, 88, 94, 101, 102, 103, 104, 105, 106, 107, 108, 111, 112, 113, 118, 134, 200, 203, 204, 205, 215, 217, 228, 230, 232, 233, 251, 252, 339</w:t>
      </w:r>
    </w:p>
    <w:p w14:paraId="644EB7ED" w14:textId="77777777" w:rsidR="009A2B20" w:rsidRDefault="009A2B20">
      <w:pPr>
        <w:pStyle w:val="Dizin1"/>
        <w:tabs>
          <w:tab w:val="right" w:leader="dot" w:pos="4172"/>
        </w:tabs>
        <w:rPr>
          <w:noProof/>
        </w:rPr>
      </w:pPr>
      <w:r w:rsidRPr="00010C05">
        <w:rPr>
          <w:rFonts w:asciiTheme="majorBidi" w:eastAsia="Times New Roman" w:hAnsiTheme="majorBidi" w:cstheme="majorBidi"/>
          <w:noProof/>
        </w:rPr>
        <w:t>Sarduri II</w:t>
      </w:r>
      <w:r>
        <w:rPr>
          <w:noProof/>
        </w:rPr>
        <w:t>, 1, 5, 6, 7, 8, 11, 60, 61, 62, 63, 72, 76, 77, 85, 94, 97, 98, 102, 103, 106, 107, 109, 147, 155, 157, 162, 184, 186, 187, 189, 190, 191, 196, 197, 339, 340, 343, 351, 352, 353, 354, 355, 359, 360, 361, 362, 363, 364, 365, 423</w:t>
      </w:r>
    </w:p>
    <w:p w14:paraId="3AF2E30D"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Sardursburg</w:t>
      </w:r>
      <w:r>
        <w:rPr>
          <w:noProof/>
        </w:rPr>
        <w:t>, 112, 215</w:t>
      </w:r>
    </w:p>
    <w:p w14:paraId="12FD4F67"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Sardurskastell</w:t>
      </w:r>
      <w:r>
        <w:rPr>
          <w:noProof/>
        </w:rPr>
        <w:t>, 112</w:t>
      </w:r>
    </w:p>
    <w:p w14:paraId="1ADBE88E"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Sargon</w:t>
      </w:r>
      <w:r>
        <w:rPr>
          <w:noProof/>
        </w:rPr>
        <w:t>, 197, 412, 418, 421</w:t>
      </w:r>
    </w:p>
    <w:p w14:paraId="017543AA"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Sargon</w:t>
      </w:r>
      <w:r w:rsidRPr="00010C05">
        <w:rPr>
          <w:rFonts w:asciiTheme="majorBidi" w:hAnsiTheme="majorBidi" w:cstheme="majorBidi"/>
          <w:noProof/>
          <w:lang w:val="en-GB"/>
        </w:rPr>
        <w:t xml:space="preserve"> II</w:t>
      </w:r>
      <w:r>
        <w:rPr>
          <w:noProof/>
        </w:rPr>
        <w:t>, 197, 412, 418</w:t>
      </w:r>
    </w:p>
    <w:p w14:paraId="0AB18D74" w14:textId="77777777" w:rsidR="009A2B20" w:rsidRDefault="009A2B20">
      <w:pPr>
        <w:pStyle w:val="Dizin1"/>
        <w:tabs>
          <w:tab w:val="right" w:leader="dot" w:pos="4172"/>
        </w:tabs>
        <w:rPr>
          <w:noProof/>
        </w:rPr>
      </w:pPr>
      <w:r w:rsidRPr="00010C05">
        <w:rPr>
          <w:rFonts w:asciiTheme="majorBidi" w:hAnsiTheme="majorBidi" w:cstheme="majorBidi"/>
          <w:noProof/>
          <w:lang w:val="en-GB"/>
        </w:rPr>
        <w:t>Sarıkamış-Yoğunhasan/Karapınar</w:t>
      </w:r>
      <w:r>
        <w:rPr>
          <w:noProof/>
        </w:rPr>
        <w:t>, 286, 338</w:t>
      </w:r>
    </w:p>
    <w:p w14:paraId="588C5390"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Šašilu</w:t>
      </w:r>
      <w:r>
        <w:rPr>
          <w:noProof/>
        </w:rPr>
        <w:t>, 161</w:t>
      </w:r>
    </w:p>
    <w:p w14:paraId="1A6E980A"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Šaškian</w:t>
      </w:r>
      <w:r>
        <w:rPr>
          <w:noProof/>
        </w:rPr>
        <w:t>, 161</w:t>
      </w:r>
    </w:p>
    <w:p w14:paraId="1FCB75E7"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Šatiraraga</w:t>
      </w:r>
      <w:r>
        <w:rPr>
          <w:noProof/>
        </w:rPr>
        <w:t>, 161</w:t>
      </w:r>
    </w:p>
    <w:p w14:paraId="5B76D038" w14:textId="77777777" w:rsidR="009A2B20" w:rsidRDefault="009A2B20">
      <w:pPr>
        <w:pStyle w:val="Dizin1"/>
        <w:tabs>
          <w:tab w:val="right" w:leader="dot" w:pos="4172"/>
        </w:tabs>
        <w:rPr>
          <w:noProof/>
        </w:rPr>
      </w:pPr>
      <w:r w:rsidRPr="00010C05">
        <w:rPr>
          <w:rFonts w:asciiTheme="majorBidi" w:hAnsiTheme="majorBidi" w:cstheme="majorBidi"/>
          <w:noProof/>
          <w:lang w:val="en-GB"/>
        </w:rPr>
        <w:t>Savacık</w:t>
      </w:r>
      <w:r>
        <w:rPr>
          <w:noProof/>
        </w:rPr>
        <w:t>, 374</w:t>
      </w:r>
    </w:p>
    <w:p w14:paraId="781EE21C"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Schulz</w:t>
      </w:r>
      <w:r>
        <w:rPr>
          <w:noProof/>
        </w:rPr>
        <w:t>, 4, 14, 20, 21, 25, 29, 33, 36, 37, 38, 45, 46, 152, 166, 169, 170, 172, 173, 186, 192, 193, 202, 253, 297, 338, 356, 364, 420, 423, 424</w:t>
      </w:r>
    </w:p>
    <w:p w14:paraId="53D55058"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Šebitu</w:t>
      </w:r>
      <w:r>
        <w:rPr>
          <w:noProof/>
        </w:rPr>
        <w:t>, 197, 354</w:t>
      </w:r>
    </w:p>
    <w:p w14:paraId="397829B1"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Seduri</w:t>
      </w:r>
      <w:r>
        <w:rPr>
          <w:noProof/>
        </w:rPr>
        <w:t>, 105, 203</w:t>
      </w:r>
    </w:p>
    <w:p w14:paraId="51E45074" w14:textId="77777777" w:rsidR="009A2B20" w:rsidRDefault="009A2B20">
      <w:pPr>
        <w:pStyle w:val="Dizin1"/>
        <w:tabs>
          <w:tab w:val="right" w:leader="dot" w:pos="4172"/>
        </w:tabs>
        <w:rPr>
          <w:noProof/>
        </w:rPr>
      </w:pPr>
      <w:r w:rsidRPr="00010C05">
        <w:rPr>
          <w:rFonts w:asciiTheme="majorBidi" w:hAnsiTheme="majorBidi" w:cstheme="majorBidi"/>
          <w:noProof/>
          <w:lang w:val="en-GB"/>
        </w:rPr>
        <w:t>Seedk</w:t>
      </w:r>
      <w:r>
        <w:rPr>
          <w:noProof/>
        </w:rPr>
        <w:t>, 286</w:t>
      </w:r>
    </w:p>
    <w:p w14:paraId="3EEF5439"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Semiramis</w:t>
      </w:r>
      <w:r>
        <w:rPr>
          <w:noProof/>
        </w:rPr>
        <w:t>, 14, 20, 21, 59</w:t>
      </w:r>
    </w:p>
    <w:p w14:paraId="7E7EDFA0"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Sennacherib</w:t>
      </w:r>
      <w:r>
        <w:rPr>
          <w:noProof/>
        </w:rPr>
        <w:t>, 197</w:t>
      </w:r>
    </w:p>
    <w:p w14:paraId="645603EB"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Seqendel</w:t>
      </w:r>
      <w:r>
        <w:rPr>
          <w:noProof/>
        </w:rPr>
        <w:t>, 194</w:t>
      </w:r>
    </w:p>
    <w:p w14:paraId="52E145E2"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Sevan Lake</w:t>
      </w:r>
      <w:r>
        <w:rPr>
          <w:noProof/>
        </w:rPr>
        <w:t>, 64, 185, 192, 194, 195, 197</w:t>
      </w:r>
    </w:p>
    <w:p w14:paraId="2742BE14"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Shalmaneser I</w:t>
      </w:r>
      <w:r>
        <w:rPr>
          <w:noProof/>
        </w:rPr>
        <w:t>, 266</w:t>
      </w:r>
    </w:p>
    <w:p w14:paraId="4682C9FA" w14:textId="77777777" w:rsidR="009A2B20" w:rsidRDefault="009A2B20">
      <w:pPr>
        <w:pStyle w:val="Dizin1"/>
        <w:tabs>
          <w:tab w:val="right" w:leader="dot" w:pos="4172"/>
        </w:tabs>
        <w:rPr>
          <w:noProof/>
        </w:rPr>
      </w:pPr>
      <w:r w:rsidRPr="00010C05">
        <w:rPr>
          <w:rFonts w:asciiTheme="majorBidi" w:eastAsia="Calibri" w:hAnsiTheme="majorBidi" w:cstheme="majorBidi"/>
          <w:i/>
          <w:iCs/>
          <w:noProof/>
          <w:shd w:val="clear" w:color="auto" w:fill="FFFFFF"/>
          <w:lang w:val="en-GB"/>
        </w:rPr>
        <w:t>Shalmaneser</w:t>
      </w:r>
      <w:r w:rsidRPr="00010C05">
        <w:rPr>
          <w:rFonts w:asciiTheme="majorBidi" w:eastAsia="Calibri" w:hAnsiTheme="majorBidi" w:cstheme="majorBidi"/>
          <w:i/>
          <w:noProof/>
          <w:shd w:val="clear" w:color="auto" w:fill="FFFFFF"/>
          <w:lang w:val="en-GB"/>
        </w:rPr>
        <w:t> </w:t>
      </w:r>
      <w:r w:rsidRPr="00010C05">
        <w:rPr>
          <w:rFonts w:asciiTheme="majorBidi" w:eastAsia="Calibri" w:hAnsiTheme="majorBidi" w:cstheme="majorBidi"/>
          <w:noProof/>
          <w:lang w:val="en-GB"/>
        </w:rPr>
        <w:t>III</w:t>
      </w:r>
      <w:r>
        <w:rPr>
          <w:noProof/>
        </w:rPr>
        <w:t>, 48, 203, 266, 362, 364</w:t>
      </w:r>
    </w:p>
    <w:p w14:paraId="228B44F4"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Shalmeneser III</w:t>
      </w:r>
      <w:r>
        <w:rPr>
          <w:noProof/>
        </w:rPr>
        <w:t>, 105</w:t>
      </w:r>
    </w:p>
    <w:p w14:paraId="53E102E8" w14:textId="77777777" w:rsidR="009A2B20" w:rsidRDefault="009A2B20">
      <w:pPr>
        <w:pStyle w:val="DizinBal"/>
        <w:keepNext/>
        <w:tabs>
          <w:tab w:val="right" w:leader="dot" w:pos="4172"/>
        </w:tabs>
        <w:rPr>
          <w:rFonts w:eastAsiaTheme="minorEastAsia" w:cstheme="minorBidi"/>
          <w:b w:val="0"/>
          <w:bCs w:val="0"/>
          <w:noProof/>
        </w:rPr>
      </w:pPr>
      <w:r>
        <w:rPr>
          <w:noProof/>
        </w:rPr>
        <w:t>Ṣ</w:t>
      </w:r>
    </w:p>
    <w:p w14:paraId="7A3955F2"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Ṣiadḫini</w:t>
      </w:r>
      <w:r>
        <w:rPr>
          <w:noProof/>
        </w:rPr>
        <w:t>, 135</w:t>
      </w:r>
    </w:p>
    <w:p w14:paraId="04A312B0" w14:textId="77777777" w:rsidR="009A2B20" w:rsidRDefault="009A2B20">
      <w:pPr>
        <w:pStyle w:val="DizinBal"/>
        <w:keepNext/>
        <w:tabs>
          <w:tab w:val="right" w:leader="dot" w:pos="4172"/>
        </w:tabs>
        <w:rPr>
          <w:rFonts w:eastAsiaTheme="minorEastAsia" w:cstheme="minorBidi"/>
          <w:b w:val="0"/>
          <w:bCs w:val="0"/>
          <w:noProof/>
        </w:rPr>
      </w:pPr>
      <w:r>
        <w:rPr>
          <w:noProof/>
        </w:rPr>
        <w:t>S</w:t>
      </w:r>
    </w:p>
    <w:p w14:paraId="7F10A175"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Siluni</w:t>
      </w:r>
      <w:r>
        <w:rPr>
          <w:noProof/>
        </w:rPr>
        <w:t>, 158</w:t>
      </w:r>
    </w:p>
    <w:p w14:paraId="3C0EF632" w14:textId="77777777" w:rsidR="009A2B20" w:rsidRDefault="009A2B20">
      <w:pPr>
        <w:pStyle w:val="Dizin1"/>
        <w:tabs>
          <w:tab w:val="right" w:leader="dot" w:pos="4172"/>
        </w:tabs>
        <w:rPr>
          <w:noProof/>
        </w:rPr>
      </w:pPr>
      <w:r w:rsidRPr="00010C05">
        <w:rPr>
          <w:rFonts w:asciiTheme="majorBidi" w:eastAsia="Arial" w:hAnsiTheme="majorBidi" w:cstheme="majorBidi"/>
          <w:i/>
          <w:iCs/>
          <w:noProof/>
          <w:color w:val="202124"/>
          <w:lang w:val="en-GB"/>
        </w:rPr>
        <w:t>Šimeniḫadirini</w:t>
      </w:r>
      <w:r>
        <w:rPr>
          <w:noProof/>
        </w:rPr>
        <w:t>, 185</w:t>
      </w:r>
    </w:p>
    <w:p w14:paraId="2507BD33" w14:textId="77777777" w:rsidR="009A2B20" w:rsidRDefault="009A2B20">
      <w:pPr>
        <w:pStyle w:val="DizinBal"/>
        <w:keepNext/>
        <w:tabs>
          <w:tab w:val="right" w:leader="dot" w:pos="4172"/>
        </w:tabs>
        <w:rPr>
          <w:rFonts w:eastAsiaTheme="minorEastAsia" w:cstheme="minorBidi"/>
          <w:b w:val="0"/>
          <w:bCs w:val="0"/>
          <w:noProof/>
        </w:rPr>
      </w:pPr>
      <w:r>
        <w:rPr>
          <w:noProof/>
        </w:rPr>
        <w:t>Ṣ</w:t>
      </w:r>
    </w:p>
    <w:p w14:paraId="34F2099F"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Ṣinalibi</w:t>
      </w:r>
      <w:r>
        <w:rPr>
          <w:noProof/>
        </w:rPr>
        <w:t>, 192</w:t>
      </w:r>
    </w:p>
    <w:p w14:paraId="4467E62A" w14:textId="77777777" w:rsidR="009A2B20" w:rsidRDefault="009A2B20">
      <w:pPr>
        <w:pStyle w:val="DizinBal"/>
        <w:keepNext/>
        <w:tabs>
          <w:tab w:val="right" w:leader="dot" w:pos="4172"/>
        </w:tabs>
        <w:rPr>
          <w:rFonts w:eastAsiaTheme="minorEastAsia" w:cstheme="minorBidi"/>
          <w:b w:val="0"/>
          <w:bCs w:val="0"/>
          <w:noProof/>
        </w:rPr>
      </w:pPr>
      <w:r>
        <w:rPr>
          <w:noProof/>
        </w:rPr>
        <w:t>S</w:t>
      </w:r>
    </w:p>
    <w:p w14:paraId="60F5A515"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siršini</w:t>
      </w:r>
      <w:r>
        <w:rPr>
          <w:noProof/>
        </w:rPr>
        <w:t>, 4, 9, 12, 58, 61, 72, 76, 89, 144, 145, 162, 253, 254, 255, 256, 257, 258, 259, 260, 261, 262, 263, 340, 360</w:t>
      </w:r>
    </w:p>
    <w:p w14:paraId="4ACB0FF0"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Šiuini</w:t>
      </w:r>
      <w:r>
        <w:rPr>
          <w:noProof/>
        </w:rPr>
        <w:t>, 365</w:t>
      </w:r>
    </w:p>
    <w:p w14:paraId="6B2F46F2" w14:textId="77777777" w:rsidR="009A2B20" w:rsidRDefault="009A2B20">
      <w:pPr>
        <w:pStyle w:val="Dizin1"/>
        <w:tabs>
          <w:tab w:val="right" w:leader="dot" w:pos="4172"/>
        </w:tabs>
        <w:rPr>
          <w:noProof/>
        </w:rPr>
      </w:pPr>
      <w:r w:rsidRPr="00010C05">
        <w:rPr>
          <w:rFonts w:asciiTheme="majorBidi" w:hAnsiTheme="majorBidi" w:cstheme="majorBidi"/>
          <w:noProof/>
        </w:rPr>
        <w:t>Small Horhor</w:t>
      </w:r>
      <w:r>
        <w:rPr>
          <w:noProof/>
        </w:rPr>
        <w:t>, 2, 11, 21, 24, 85, 87, 96</w:t>
      </w:r>
    </w:p>
    <w:p w14:paraId="0FC1AD2D"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Small Horhor tomb</w:t>
      </w:r>
      <w:r>
        <w:rPr>
          <w:noProof/>
        </w:rPr>
        <w:t>, 11, 290, 300, 301, 302, 341</w:t>
      </w:r>
    </w:p>
    <w:p w14:paraId="141D432F"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Sophene</w:t>
      </w:r>
      <w:r>
        <w:rPr>
          <w:noProof/>
        </w:rPr>
        <w:t>, 157, 184</w:t>
      </w:r>
    </w:p>
    <w:p w14:paraId="41A71F84"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St Paul</w:t>
      </w:r>
      <w:r>
        <w:rPr>
          <w:noProof/>
        </w:rPr>
        <w:t>, 136</w:t>
      </w:r>
    </w:p>
    <w:p w14:paraId="4370E2B2"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Storm god</w:t>
      </w:r>
      <w:r>
        <w:rPr>
          <w:noProof/>
        </w:rPr>
        <w:t>, 127</w:t>
      </w:r>
    </w:p>
    <w:p w14:paraId="5CB5950A" w14:textId="77777777" w:rsidR="009A2B20" w:rsidRDefault="009A2B20">
      <w:pPr>
        <w:pStyle w:val="Dizin1"/>
        <w:tabs>
          <w:tab w:val="right" w:leader="dot" w:pos="4172"/>
        </w:tabs>
        <w:rPr>
          <w:noProof/>
        </w:rPr>
      </w:pPr>
      <w:r w:rsidRPr="00010C05">
        <w:rPr>
          <w:rFonts w:asciiTheme="majorBidi" w:hAnsiTheme="majorBidi" w:cstheme="majorBidi"/>
          <w:i/>
          <w:iCs/>
          <w:noProof/>
          <w:lang w:val="en-GB"/>
        </w:rPr>
        <w:t>Šulmanu-ašared</w:t>
      </w:r>
      <w:r>
        <w:rPr>
          <w:noProof/>
        </w:rPr>
        <w:t>, 203</w:t>
      </w:r>
    </w:p>
    <w:p w14:paraId="3D237A53"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Sultantepe</w:t>
      </w:r>
      <w:r>
        <w:rPr>
          <w:noProof/>
        </w:rPr>
        <w:t>, 105, 418</w:t>
      </w:r>
    </w:p>
    <w:p w14:paraId="151885E4" w14:textId="77777777" w:rsidR="009A2B20" w:rsidRDefault="009A2B20">
      <w:pPr>
        <w:pStyle w:val="Dizin1"/>
        <w:tabs>
          <w:tab w:val="right" w:leader="dot" w:pos="4172"/>
        </w:tabs>
        <w:rPr>
          <w:noProof/>
        </w:rPr>
      </w:pPr>
      <w:r w:rsidRPr="00010C05">
        <w:rPr>
          <w:rFonts w:asciiTheme="majorBidi" w:hAnsiTheme="majorBidi" w:cstheme="majorBidi"/>
          <w:noProof/>
          <w:lang w:val="en-GB"/>
        </w:rPr>
        <w:t>Sumerian</w:t>
      </w:r>
      <w:r>
        <w:rPr>
          <w:noProof/>
        </w:rPr>
        <w:t>, 113</w:t>
      </w:r>
    </w:p>
    <w:p w14:paraId="68D53718"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Sun god</w:t>
      </w:r>
      <w:r>
        <w:rPr>
          <w:noProof/>
        </w:rPr>
        <w:t>, 127, 145</w:t>
      </w:r>
    </w:p>
    <w:p w14:paraId="56AF878F" w14:textId="77777777" w:rsidR="009A2B20" w:rsidRDefault="009A2B20">
      <w:pPr>
        <w:pStyle w:val="DizinBal"/>
        <w:keepNext/>
        <w:tabs>
          <w:tab w:val="right" w:leader="dot" w:pos="4172"/>
        </w:tabs>
        <w:rPr>
          <w:rFonts w:eastAsiaTheme="minorEastAsia" w:cstheme="minorBidi"/>
          <w:b w:val="0"/>
          <w:bCs w:val="0"/>
          <w:noProof/>
        </w:rPr>
      </w:pPr>
      <w:r>
        <w:rPr>
          <w:noProof/>
        </w:rPr>
        <w:t>Ṣ</w:t>
      </w:r>
    </w:p>
    <w:p w14:paraId="26F04BBF"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Ṣupa</w:t>
      </w:r>
      <w:r>
        <w:rPr>
          <w:noProof/>
        </w:rPr>
        <w:t>, 157, 158, 184</w:t>
      </w:r>
    </w:p>
    <w:p w14:paraId="6B96AD35" w14:textId="77777777" w:rsidR="009A2B20" w:rsidRDefault="009A2B20">
      <w:pPr>
        <w:pStyle w:val="DizinBal"/>
        <w:keepNext/>
        <w:tabs>
          <w:tab w:val="right" w:leader="dot" w:pos="4172"/>
        </w:tabs>
        <w:rPr>
          <w:rFonts w:eastAsiaTheme="minorEastAsia" w:cstheme="minorBidi"/>
          <w:b w:val="0"/>
          <w:bCs w:val="0"/>
          <w:noProof/>
        </w:rPr>
      </w:pPr>
      <w:r>
        <w:rPr>
          <w:noProof/>
        </w:rPr>
        <w:t>S</w:t>
      </w:r>
    </w:p>
    <w:p w14:paraId="0E7FCDC2"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Surb Petros</w:t>
      </w:r>
      <w:r>
        <w:rPr>
          <w:noProof/>
        </w:rPr>
        <w:t>, 136</w:t>
      </w:r>
    </w:p>
    <w:p w14:paraId="5805368F"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Surb Sahak Church</w:t>
      </w:r>
      <w:r>
        <w:rPr>
          <w:noProof/>
        </w:rPr>
        <w:t>, 157</w:t>
      </w:r>
    </w:p>
    <w:p w14:paraId="5B0AF6CC" w14:textId="77777777" w:rsidR="009A2B20" w:rsidRDefault="009A2B20">
      <w:pPr>
        <w:pStyle w:val="Dizin1"/>
        <w:tabs>
          <w:tab w:val="right" w:leader="dot" w:pos="4172"/>
        </w:tabs>
        <w:rPr>
          <w:noProof/>
        </w:rPr>
      </w:pPr>
      <w:r w:rsidRPr="00010C05">
        <w:rPr>
          <w:rFonts w:asciiTheme="majorBidi" w:hAnsiTheme="majorBidi" w:cstheme="majorBidi"/>
          <w:noProof/>
          <w:lang w:val="en-GB"/>
        </w:rPr>
        <w:t>Surb Vartan</w:t>
      </w:r>
      <w:r>
        <w:rPr>
          <w:noProof/>
        </w:rPr>
        <w:t>, 109, 150</w:t>
      </w:r>
    </w:p>
    <w:p w14:paraId="4EAACAB2"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Šurišili</w:t>
      </w:r>
      <w:r>
        <w:rPr>
          <w:noProof/>
        </w:rPr>
        <w:t>, 138</w:t>
      </w:r>
    </w:p>
    <w:p w14:paraId="092EFFA9" w14:textId="77777777" w:rsidR="009A2B20" w:rsidRDefault="009A2B20">
      <w:pPr>
        <w:pStyle w:val="Dizin1"/>
        <w:tabs>
          <w:tab w:val="right" w:leader="dot" w:pos="4172"/>
        </w:tabs>
        <w:rPr>
          <w:noProof/>
        </w:rPr>
      </w:pPr>
      <w:r w:rsidRPr="00010C05">
        <w:rPr>
          <w:rFonts w:asciiTheme="majorBidi" w:hAnsiTheme="majorBidi" w:cstheme="majorBidi"/>
          <w:noProof/>
        </w:rPr>
        <w:t>Surp Boğos Church</w:t>
      </w:r>
      <w:r>
        <w:rPr>
          <w:noProof/>
        </w:rPr>
        <w:t>, 38, 55, 60, 122, 184, 185, 192, 353, 354, 358, 359, 360</w:t>
      </w:r>
    </w:p>
    <w:p w14:paraId="6B12A692" w14:textId="77777777" w:rsidR="009A2B20" w:rsidRDefault="009A2B20">
      <w:pPr>
        <w:pStyle w:val="Dizin1"/>
        <w:tabs>
          <w:tab w:val="right" w:leader="dot" w:pos="4172"/>
        </w:tabs>
        <w:rPr>
          <w:noProof/>
        </w:rPr>
      </w:pPr>
      <w:r w:rsidRPr="00010C05">
        <w:rPr>
          <w:rFonts w:asciiTheme="majorBidi" w:hAnsiTheme="majorBidi" w:cstheme="majorBidi"/>
          <w:noProof/>
        </w:rPr>
        <w:t>Surp Sahak Church</w:t>
      </w:r>
      <w:r>
        <w:rPr>
          <w:noProof/>
        </w:rPr>
        <w:t>, 38, 62, 157, 359</w:t>
      </w:r>
    </w:p>
    <w:p w14:paraId="458D2760"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susi</w:t>
      </w:r>
      <w:r>
        <w:rPr>
          <w:noProof/>
        </w:rPr>
        <w:t>, 4, 6, 56, 61, 88, 129, 133, 136, 251, 360, 403</w:t>
      </w:r>
    </w:p>
    <w:p w14:paraId="532C5CC6" w14:textId="77777777" w:rsidR="009A2B20" w:rsidRDefault="009A2B20">
      <w:pPr>
        <w:pStyle w:val="DizinBal"/>
        <w:keepNext/>
        <w:tabs>
          <w:tab w:val="right" w:leader="dot" w:pos="4172"/>
        </w:tabs>
        <w:rPr>
          <w:rFonts w:eastAsiaTheme="minorEastAsia" w:cstheme="minorBidi"/>
          <w:b w:val="0"/>
          <w:bCs w:val="0"/>
          <w:noProof/>
        </w:rPr>
      </w:pPr>
      <w:r>
        <w:rPr>
          <w:noProof/>
        </w:rPr>
        <w:lastRenderedPageBreak/>
        <w:t>T</w:t>
      </w:r>
    </w:p>
    <w:p w14:paraId="67EFFC08"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T niche</w:t>
      </w:r>
      <w:r>
        <w:rPr>
          <w:noProof/>
        </w:rPr>
        <w:t>, 390, 391, 393, 394, 395</w:t>
      </w:r>
    </w:p>
    <w:p w14:paraId="7CA4B284" w14:textId="77777777" w:rsidR="009A2B20" w:rsidRDefault="009A2B20">
      <w:pPr>
        <w:pStyle w:val="Dizin1"/>
        <w:tabs>
          <w:tab w:val="right" w:leader="dot" w:pos="4172"/>
        </w:tabs>
        <w:rPr>
          <w:noProof/>
        </w:rPr>
      </w:pPr>
      <w:r w:rsidRPr="00010C05">
        <w:rPr>
          <w:rFonts w:cs="Times New Roman"/>
          <w:noProof/>
          <w:lang w:val="en-GB"/>
        </w:rPr>
        <w:t>T” shaped niches</w:t>
      </w:r>
      <w:r>
        <w:rPr>
          <w:noProof/>
        </w:rPr>
        <w:t>, 368, 378, 379, 388, 393, 396, 400, 401</w:t>
      </w:r>
    </w:p>
    <w:p w14:paraId="55617C92"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Tabriz Gate</w:t>
      </w:r>
      <w:r>
        <w:rPr>
          <w:noProof/>
        </w:rPr>
        <w:t>, 4, 9, 16, 21, 22, 23, 29, 30, 88, 251, 379</w:t>
      </w:r>
    </w:p>
    <w:p w14:paraId="17F4C83B"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Tabriz Kapı</w:t>
      </w:r>
      <w:r>
        <w:rPr>
          <w:noProof/>
        </w:rPr>
        <w:t>, 23, 54, 56, 85</w:t>
      </w:r>
    </w:p>
    <w:p w14:paraId="24B23516"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Tabriz Kapı Inscription</w:t>
      </w:r>
      <w:r>
        <w:rPr>
          <w:noProof/>
        </w:rPr>
        <w:t>, 56, 85</w:t>
      </w:r>
    </w:p>
    <w:p w14:paraId="63AB4290" w14:textId="77777777" w:rsidR="009A2B20" w:rsidRDefault="009A2B20">
      <w:pPr>
        <w:pStyle w:val="Dizin1"/>
        <w:tabs>
          <w:tab w:val="right" w:leader="dot" w:pos="4172"/>
        </w:tabs>
        <w:rPr>
          <w:noProof/>
        </w:rPr>
      </w:pPr>
      <w:r w:rsidRPr="00010C05">
        <w:rPr>
          <w:rFonts w:asciiTheme="majorBidi" w:hAnsiTheme="majorBidi" w:cstheme="majorBidi"/>
          <w:noProof/>
          <w:lang w:val="en-GB"/>
        </w:rPr>
        <w:t>Tabriz Kapı inscription</w:t>
      </w:r>
      <w:r>
        <w:rPr>
          <w:noProof/>
        </w:rPr>
        <w:t>, 54</w:t>
      </w:r>
    </w:p>
    <w:p w14:paraId="3C2589A5" w14:textId="77777777" w:rsidR="009A2B20" w:rsidRDefault="009A2B20">
      <w:pPr>
        <w:pStyle w:val="Dizin1"/>
        <w:tabs>
          <w:tab w:val="right" w:leader="dot" w:pos="4172"/>
        </w:tabs>
        <w:rPr>
          <w:noProof/>
        </w:rPr>
      </w:pPr>
      <w:r w:rsidRPr="00010C05">
        <w:rPr>
          <w:rFonts w:asciiTheme="majorBidi" w:hAnsiTheme="majorBidi" w:cstheme="majorBidi"/>
          <w:noProof/>
          <w:lang w:val="en-GB"/>
        </w:rPr>
        <w:t>Tabriz Kapısı</w:t>
      </w:r>
      <w:r>
        <w:rPr>
          <w:noProof/>
        </w:rPr>
        <w:t>, 106, 129, 130, 132</w:t>
      </w:r>
    </w:p>
    <w:p w14:paraId="071E5809" w14:textId="77777777" w:rsidR="009A2B20" w:rsidRDefault="009A2B20">
      <w:pPr>
        <w:pStyle w:val="Dizin1"/>
        <w:tabs>
          <w:tab w:val="right" w:leader="dot" w:pos="4172"/>
        </w:tabs>
        <w:rPr>
          <w:noProof/>
        </w:rPr>
      </w:pPr>
      <w:r w:rsidRPr="00010C05">
        <w:rPr>
          <w:rFonts w:ascii="Times New Roman" w:eastAsia="Arial" w:hAnsi="Times New Roman" w:cs="Times New Roman"/>
          <w:i/>
          <w:iCs/>
          <w:noProof/>
          <w:lang w:val="en"/>
        </w:rPr>
        <w:t>tar(a)manili</w:t>
      </w:r>
      <w:r>
        <w:rPr>
          <w:noProof/>
        </w:rPr>
        <w:t>, 142</w:t>
      </w:r>
    </w:p>
    <w:p w14:paraId="3224039F" w14:textId="77777777" w:rsidR="009A2B20" w:rsidRDefault="009A2B20">
      <w:pPr>
        <w:pStyle w:val="Dizin1"/>
        <w:tabs>
          <w:tab w:val="right" w:leader="dot" w:pos="4172"/>
        </w:tabs>
        <w:rPr>
          <w:noProof/>
        </w:rPr>
      </w:pPr>
      <w:r w:rsidRPr="00010C05">
        <w:rPr>
          <w:rFonts w:asciiTheme="majorBidi" w:hAnsiTheme="majorBidi" w:cstheme="majorBidi"/>
          <w:noProof/>
          <w:lang w:val="en-GB"/>
        </w:rPr>
        <w:t>taramani</w:t>
      </w:r>
      <w:r>
        <w:rPr>
          <w:noProof/>
        </w:rPr>
        <w:t>, 366, 373</w:t>
      </w:r>
    </w:p>
    <w:p w14:paraId="2AABC700"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taramanili</w:t>
      </w:r>
      <w:r>
        <w:rPr>
          <w:noProof/>
        </w:rPr>
        <w:t>, 4, 9, 12, 85, 142, 143, 162, 257, 366, 375</w:t>
      </w:r>
    </w:p>
    <w:p w14:paraId="1AFE157B"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taramu</w:t>
      </w:r>
      <w:r>
        <w:rPr>
          <w:noProof/>
        </w:rPr>
        <w:t>, 158</w:t>
      </w:r>
    </w:p>
    <w:p w14:paraId="208AD84B"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Tarḫigama</w:t>
      </w:r>
      <w:r>
        <w:rPr>
          <w:noProof/>
        </w:rPr>
        <w:t>, 138</w:t>
      </w:r>
    </w:p>
    <w:p w14:paraId="0998691A"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Tarikh wa Jughrafyaye Van</w:t>
      </w:r>
      <w:r>
        <w:rPr>
          <w:noProof/>
        </w:rPr>
        <w:t>, 406</w:t>
      </w:r>
    </w:p>
    <w:p w14:paraId="3704B23C" w14:textId="77777777" w:rsidR="009A2B20" w:rsidRDefault="009A2B20">
      <w:pPr>
        <w:pStyle w:val="Dizin1"/>
        <w:tabs>
          <w:tab w:val="right" w:leader="dot" w:pos="4172"/>
        </w:tabs>
        <w:rPr>
          <w:noProof/>
        </w:rPr>
      </w:pPr>
      <w:r w:rsidRPr="00010C05">
        <w:rPr>
          <w:rFonts w:ascii="Times New Roman" w:eastAsia="Arial" w:hAnsi="Times New Roman" w:cs="Times New Roman"/>
          <w:i/>
          <w:iCs/>
          <w:noProof/>
          <w:lang w:val="en"/>
        </w:rPr>
        <w:t>tarmani</w:t>
      </w:r>
      <w:r>
        <w:rPr>
          <w:noProof/>
        </w:rPr>
        <w:t>, 142</w:t>
      </w:r>
    </w:p>
    <w:p w14:paraId="4A366C95"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Taštepe</w:t>
      </w:r>
      <w:r>
        <w:rPr>
          <w:noProof/>
        </w:rPr>
        <w:t>, 138</w:t>
      </w:r>
    </w:p>
    <w:p w14:paraId="24F0603B" w14:textId="77777777" w:rsidR="009A2B20" w:rsidRDefault="009A2B20">
      <w:pPr>
        <w:pStyle w:val="Dizin1"/>
        <w:tabs>
          <w:tab w:val="right" w:leader="dot" w:pos="4172"/>
        </w:tabs>
        <w:rPr>
          <w:noProof/>
        </w:rPr>
      </w:pPr>
      <w:r w:rsidRPr="00010C05">
        <w:rPr>
          <w:rFonts w:asciiTheme="majorBidi" w:hAnsiTheme="majorBidi" w:cstheme="majorBidi"/>
          <w:noProof/>
          <w:lang w:val="en-GB"/>
        </w:rPr>
        <w:t>Tatvan</w:t>
      </w:r>
      <w:r>
        <w:rPr>
          <w:noProof/>
        </w:rPr>
        <w:t>, 285, 338, 415</w:t>
      </w:r>
    </w:p>
    <w:p w14:paraId="34A87194"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Tbilisi Museum</w:t>
      </w:r>
      <w:r>
        <w:rPr>
          <w:noProof/>
        </w:rPr>
        <w:t>, 145, 146, 148, 257</w:t>
      </w:r>
    </w:p>
    <w:p w14:paraId="3D1A12CF" w14:textId="77777777" w:rsidR="009A2B20" w:rsidRDefault="009A2B20">
      <w:pPr>
        <w:pStyle w:val="Dizin1"/>
        <w:tabs>
          <w:tab w:val="right" w:leader="dot" w:pos="4172"/>
        </w:tabs>
        <w:rPr>
          <w:noProof/>
        </w:rPr>
      </w:pPr>
      <w:r w:rsidRPr="00010C05">
        <w:rPr>
          <w:rFonts w:asciiTheme="majorBidi" w:hAnsiTheme="majorBidi" w:cstheme="majorBidi"/>
          <w:noProof/>
          <w:lang w:val="en-GB"/>
        </w:rPr>
        <w:t>Teišeba</w:t>
      </w:r>
      <w:r>
        <w:rPr>
          <w:noProof/>
        </w:rPr>
        <w:t>, 152, 365</w:t>
      </w:r>
    </w:p>
    <w:p w14:paraId="2C505316"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Tewledér</w:t>
      </w:r>
      <w:r>
        <w:rPr>
          <w:noProof/>
        </w:rPr>
        <w:t>, 393</w:t>
      </w:r>
    </w:p>
    <w:p w14:paraId="20903C33"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Texier</w:t>
      </w:r>
      <w:r>
        <w:rPr>
          <w:noProof/>
        </w:rPr>
        <w:t>, 14, 19, 21, 22, 23, 24, 25, 27, 28, 30, 36, 45, 202, 203, 427</w:t>
      </w:r>
    </w:p>
    <w:p w14:paraId="586235C3" w14:textId="77777777" w:rsidR="009A2B20" w:rsidRDefault="009A2B20">
      <w:pPr>
        <w:pStyle w:val="Dizin1"/>
        <w:tabs>
          <w:tab w:val="right" w:leader="dot" w:pos="4172"/>
        </w:tabs>
        <w:rPr>
          <w:noProof/>
        </w:rPr>
      </w:pPr>
      <w:r w:rsidRPr="00010C05">
        <w:rPr>
          <w:rFonts w:asciiTheme="majorBidi" w:hAnsiTheme="majorBidi" w:cstheme="majorBidi"/>
          <w:noProof/>
          <w:lang w:val="en-GB"/>
        </w:rPr>
        <w:t>the Salmanağa Stele</w:t>
      </w:r>
      <w:r>
        <w:rPr>
          <w:noProof/>
        </w:rPr>
        <w:t>, 373</w:t>
      </w:r>
    </w:p>
    <w:p w14:paraId="4AB54D62"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Thospitis</w:t>
      </w:r>
      <w:r>
        <w:rPr>
          <w:noProof/>
        </w:rPr>
        <w:t>, 199</w:t>
      </w:r>
    </w:p>
    <w:p w14:paraId="286696BF"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000000" w:themeColor="text1"/>
          <w:kern w:val="0"/>
          <w:lang w:val="en-GB"/>
          <w14:ligatures w14:val="none"/>
        </w:rPr>
        <w:t>Tiglath-pileser</w:t>
      </w:r>
      <w:r>
        <w:rPr>
          <w:noProof/>
        </w:rPr>
        <w:t>, 6, 425</w:t>
      </w:r>
    </w:p>
    <w:p w14:paraId="02B1F7AE"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Tiglath-pileser III</w:t>
      </w:r>
      <w:r>
        <w:rPr>
          <w:noProof/>
        </w:rPr>
        <w:t>, 6, 63, 64, 69, 425</w:t>
      </w:r>
    </w:p>
    <w:p w14:paraId="00777CF8"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Tiglat-pileser III</w:t>
      </w:r>
      <w:r>
        <w:rPr>
          <w:noProof/>
        </w:rPr>
        <w:t>, 5</w:t>
      </w:r>
    </w:p>
    <w:p w14:paraId="0301F6C3" w14:textId="77777777" w:rsidR="009A2B20" w:rsidRDefault="009A2B20">
      <w:pPr>
        <w:pStyle w:val="Dizin1"/>
        <w:tabs>
          <w:tab w:val="right" w:leader="dot" w:pos="4172"/>
        </w:tabs>
        <w:rPr>
          <w:noProof/>
        </w:rPr>
      </w:pPr>
      <w:r w:rsidRPr="00010C05">
        <w:rPr>
          <w:rFonts w:cs="Times New Roman"/>
          <w:noProof/>
          <w:lang w:val="en-GB"/>
        </w:rPr>
        <w:t>Topaktaş</w:t>
      </w:r>
      <w:r>
        <w:rPr>
          <w:noProof/>
        </w:rPr>
        <w:t>, 368, 378, 388</w:t>
      </w:r>
    </w:p>
    <w:p w14:paraId="7D6457F1"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Toprakkale</w:t>
      </w:r>
      <w:r>
        <w:rPr>
          <w:noProof/>
        </w:rPr>
        <w:t>, 6, 12, 29, 42, 66, 67, 68, 71, 106, 193, 266, 270, 275, 288, 396, 397, 398, 399, 402, 403, 411, 412, 422, 428</w:t>
      </w:r>
    </w:p>
    <w:p w14:paraId="0D8EC613"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Tosp</w:t>
      </w:r>
      <w:r>
        <w:rPr>
          <w:noProof/>
        </w:rPr>
        <w:t>, 199</w:t>
      </w:r>
    </w:p>
    <w:p w14:paraId="395186D1" w14:textId="77777777" w:rsidR="009A2B20" w:rsidRDefault="009A2B20">
      <w:pPr>
        <w:pStyle w:val="Dizin1"/>
        <w:tabs>
          <w:tab w:val="right" w:leader="dot" w:pos="4172"/>
        </w:tabs>
        <w:rPr>
          <w:noProof/>
        </w:rPr>
      </w:pPr>
      <w:r w:rsidRPr="00010C05">
        <w:rPr>
          <w:rFonts w:asciiTheme="majorBidi" w:hAnsiTheme="majorBidi" w:cstheme="majorBidi"/>
          <w:noProof/>
          <w:kern w:val="0"/>
          <w:lang w:val="en-US"/>
          <w14:ligatures w14:val="none"/>
        </w:rPr>
        <w:t>Tozer</w:t>
      </w:r>
      <w:r>
        <w:rPr>
          <w:noProof/>
        </w:rPr>
        <w:t>, 14, 28, 29, 45, 427</w:t>
      </w:r>
    </w:p>
    <w:p w14:paraId="07ADD772"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Treasure Gate</w:t>
      </w:r>
      <w:r>
        <w:rPr>
          <w:noProof/>
        </w:rPr>
        <w:t>, 12, 46</w:t>
      </w:r>
    </w:p>
    <w:p w14:paraId="332EE9E3"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Tukultī-Ninurta I</w:t>
      </w:r>
      <w:r>
        <w:rPr>
          <w:noProof/>
        </w:rPr>
        <w:t>, 266</w:t>
      </w:r>
    </w:p>
    <w:p w14:paraId="29CF6928"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Tuliḫu</w:t>
      </w:r>
      <w:r>
        <w:rPr>
          <w:noProof/>
        </w:rPr>
        <w:t>, 192</w:t>
      </w:r>
    </w:p>
    <w:p w14:paraId="1501E625" w14:textId="77777777" w:rsidR="009A2B20" w:rsidRDefault="009A2B20">
      <w:pPr>
        <w:pStyle w:val="DizinBal"/>
        <w:keepNext/>
        <w:tabs>
          <w:tab w:val="right" w:leader="dot" w:pos="4172"/>
        </w:tabs>
        <w:rPr>
          <w:rFonts w:eastAsiaTheme="minorEastAsia" w:cstheme="minorBidi"/>
          <w:b w:val="0"/>
          <w:bCs w:val="0"/>
          <w:noProof/>
        </w:rPr>
      </w:pPr>
      <w:r>
        <w:rPr>
          <w:noProof/>
        </w:rPr>
        <w:t>Ṭ</w:t>
      </w:r>
    </w:p>
    <w:p w14:paraId="04E6DF47"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Ṭumiški</w:t>
      </w:r>
      <w:r>
        <w:rPr>
          <w:noProof/>
        </w:rPr>
        <w:t>, 192</w:t>
      </w:r>
    </w:p>
    <w:p w14:paraId="2810655C" w14:textId="77777777" w:rsidR="009A2B20" w:rsidRDefault="009A2B20">
      <w:pPr>
        <w:pStyle w:val="DizinBal"/>
        <w:keepNext/>
        <w:tabs>
          <w:tab w:val="right" w:leader="dot" w:pos="4172"/>
        </w:tabs>
        <w:rPr>
          <w:rFonts w:eastAsiaTheme="minorEastAsia" w:cstheme="minorBidi"/>
          <w:b w:val="0"/>
          <w:bCs w:val="0"/>
          <w:noProof/>
        </w:rPr>
      </w:pPr>
      <w:r>
        <w:rPr>
          <w:noProof/>
        </w:rPr>
        <w:t>T</w:t>
      </w:r>
    </w:p>
    <w:p w14:paraId="180D479A"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Tupusu</w:t>
      </w:r>
      <w:r>
        <w:rPr>
          <w:noProof/>
        </w:rPr>
        <w:t>, 204</w:t>
      </w:r>
    </w:p>
    <w:p w14:paraId="508095DE" w14:textId="77777777" w:rsidR="009A2B20" w:rsidRDefault="009A2B20">
      <w:pPr>
        <w:pStyle w:val="DizinBal"/>
        <w:keepNext/>
        <w:tabs>
          <w:tab w:val="right" w:leader="dot" w:pos="4172"/>
        </w:tabs>
        <w:rPr>
          <w:rFonts w:eastAsiaTheme="minorEastAsia" w:cstheme="minorBidi"/>
          <w:b w:val="0"/>
          <w:bCs w:val="0"/>
          <w:noProof/>
        </w:rPr>
      </w:pPr>
      <w:r>
        <w:rPr>
          <w:noProof/>
        </w:rPr>
        <w:t>Ṭ</w:t>
      </w:r>
    </w:p>
    <w:p w14:paraId="700244F4"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ṭura</w:t>
      </w:r>
      <w:r>
        <w:rPr>
          <w:noProof/>
        </w:rPr>
        <w:t>, 138</w:t>
      </w:r>
    </w:p>
    <w:p w14:paraId="221C46A5"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000000" w:themeColor="text1"/>
          <w:kern w:val="0"/>
          <w:lang w:val="en-GB"/>
          <w14:ligatures w14:val="none"/>
        </w:rPr>
        <w:t>Ṭuruspâ</w:t>
      </w:r>
      <w:r>
        <w:rPr>
          <w:noProof/>
        </w:rPr>
        <w:t>, 5, 6, 105, 197</w:t>
      </w:r>
    </w:p>
    <w:p w14:paraId="31CEE11D" w14:textId="77777777" w:rsidR="009A2B20" w:rsidRDefault="009A2B20">
      <w:pPr>
        <w:pStyle w:val="DizinBal"/>
        <w:keepNext/>
        <w:tabs>
          <w:tab w:val="right" w:leader="dot" w:pos="4172"/>
        </w:tabs>
        <w:rPr>
          <w:rFonts w:eastAsiaTheme="minorEastAsia" w:cstheme="minorBidi"/>
          <w:b w:val="0"/>
          <w:bCs w:val="0"/>
          <w:noProof/>
        </w:rPr>
      </w:pPr>
      <w:r>
        <w:rPr>
          <w:noProof/>
        </w:rPr>
        <w:t>T</w:t>
      </w:r>
    </w:p>
    <w:p w14:paraId="689EDFB6" w14:textId="77777777" w:rsidR="009A2B20" w:rsidRDefault="009A2B20">
      <w:pPr>
        <w:pStyle w:val="Dizin1"/>
        <w:tabs>
          <w:tab w:val="right" w:leader="dot" w:pos="4172"/>
        </w:tabs>
        <w:rPr>
          <w:noProof/>
        </w:rPr>
      </w:pPr>
      <w:r w:rsidRPr="00010C05">
        <w:rPr>
          <w:rFonts w:asciiTheme="majorBidi" w:hAnsiTheme="majorBidi" w:cstheme="majorBidi"/>
          <w:noProof/>
          <w:lang w:val="en-GB"/>
        </w:rPr>
        <w:t>Tušpa</w:t>
      </w:r>
      <w:r>
        <w:rPr>
          <w:noProof/>
        </w:rPr>
        <w:t>, 409, 413, 416, 417, 426</w:t>
      </w:r>
    </w:p>
    <w:p w14:paraId="31F94294" w14:textId="77777777" w:rsidR="009A2B20" w:rsidRDefault="009A2B20">
      <w:pPr>
        <w:pStyle w:val="DizinBal"/>
        <w:keepNext/>
        <w:tabs>
          <w:tab w:val="right" w:leader="dot" w:pos="4172"/>
        </w:tabs>
        <w:rPr>
          <w:rFonts w:eastAsiaTheme="minorEastAsia" w:cstheme="minorBidi"/>
          <w:b w:val="0"/>
          <w:bCs w:val="0"/>
          <w:noProof/>
        </w:rPr>
      </w:pPr>
      <w:r>
        <w:rPr>
          <w:noProof/>
        </w:rPr>
        <w:t>Ṭ</w:t>
      </w:r>
    </w:p>
    <w:p w14:paraId="427BEC1A"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Ṭušpa</w:t>
      </w:r>
      <w:r>
        <w:rPr>
          <w:noProof/>
        </w:rPr>
        <w:t>, 4, 9, 12, 36, 47, 49, 50, 51, 53, 55, 57, 60, 61, 63, 67, 144, 251, 407, 415, 417, 422</w:t>
      </w:r>
    </w:p>
    <w:p w14:paraId="271D6E19" w14:textId="77777777" w:rsidR="009A2B20" w:rsidRDefault="009A2B20">
      <w:pPr>
        <w:pStyle w:val="Dizin1"/>
        <w:tabs>
          <w:tab w:val="right" w:leader="dot" w:pos="4172"/>
        </w:tabs>
        <w:rPr>
          <w:noProof/>
        </w:rPr>
      </w:pPr>
      <w:r w:rsidRPr="00010C05">
        <w:rPr>
          <w:rFonts w:asciiTheme="majorBidi" w:eastAsia="Times New Roman" w:hAnsiTheme="majorBidi" w:cstheme="majorBidi"/>
          <w:i/>
          <w:iCs/>
          <w:noProof/>
          <w:lang w:val="en-GB"/>
        </w:rPr>
        <w:t>Ṭušpa</w:t>
      </w:r>
      <w:r w:rsidRPr="00010C05">
        <w:rPr>
          <w:rFonts w:asciiTheme="majorBidi" w:eastAsia="Times New Roman" w:hAnsiTheme="majorBidi" w:cstheme="majorBidi"/>
          <w:noProof/>
          <w:lang w:val="en-GB"/>
        </w:rPr>
        <w:t xml:space="preserve"> Rock</w:t>
      </w:r>
      <w:r>
        <w:rPr>
          <w:noProof/>
        </w:rPr>
        <w:t>, 264</w:t>
      </w:r>
    </w:p>
    <w:p w14:paraId="2F1587F4"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Ṭušpa/Van Rock</w:t>
      </w:r>
      <w:r>
        <w:rPr>
          <w:noProof/>
        </w:rPr>
        <w:t xml:space="preserve">, 7, 8, 11, 12, 16, 17, 21, 22, 23, 25, 28, 34, 36, 77, 78, 79, 80, 81, 82, 88, 89, 90, 93, 94, 96, </w:t>
      </w:r>
      <w:r>
        <w:rPr>
          <w:noProof/>
        </w:rPr>
        <w:t>99, 100, 112, 121, 129, 184, 187, 198, 219, 244, 264, 267, 288, 321, 340, 378, 379</w:t>
      </w:r>
    </w:p>
    <w:p w14:paraId="680D716E" w14:textId="77777777" w:rsidR="009A2B20" w:rsidRDefault="009A2B20">
      <w:pPr>
        <w:pStyle w:val="DizinBal"/>
        <w:keepNext/>
        <w:tabs>
          <w:tab w:val="right" w:leader="dot" w:pos="4172"/>
        </w:tabs>
        <w:rPr>
          <w:rFonts w:eastAsiaTheme="minorEastAsia" w:cstheme="minorBidi"/>
          <w:b w:val="0"/>
          <w:bCs w:val="0"/>
          <w:noProof/>
        </w:rPr>
      </w:pPr>
      <w:r>
        <w:rPr>
          <w:noProof/>
        </w:rPr>
        <w:t>T</w:t>
      </w:r>
    </w:p>
    <w:p w14:paraId="66C58856"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Tušuri</w:t>
      </w:r>
      <w:r>
        <w:rPr>
          <w:noProof/>
        </w:rPr>
        <w:t>, 138</w:t>
      </w:r>
    </w:p>
    <w:p w14:paraId="430C435A"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Tuşpa/Van Rock</w:t>
      </w:r>
      <w:r>
        <w:rPr>
          <w:noProof/>
        </w:rPr>
        <w:t>, 6, 36</w:t>
      </w:r>
    </w:p>
    <w:p w14:paraId="4880B40E" w14:textId="77777777" w:rsidR="009A2B20" w:rsidRDefault="009A2B20">
      <w:pPr>
        <w:pStyle w:val="DizinBal"/>
        <w:keepNext/>
        <w:tabs>
          <w:tab w:val="right" w:leader="dot" w:pos="4172"/>
        </w:tabs>
        <w:rPr>
          <w:rFonts w:eastAsiaTheme="minorEastAsia" w:cstheme="minorBidi"/>
          <w:b w:val="0"/>
          <w:bCs w:val="0"/>
          <w:noProof/>
        </w:rPr>
      </w:pPr>
      <w:r>
        <w:rPr>
          <w:noProof/>
        </w:rPr>
        <w:t>U</w:t>
      </w:r>
    </w:p>
    <w:p w14:paraId="0C884732" w14:textId="77777777" w:rsidR="009A2B20" w:rsidRDefault="009A2B20">
      <w:pPr>
        <w:pStyle w:val="Dizin1"/>
        <w:tabs>
          <w:tab w:val="right" w:leader="dot" w:pos="4172"/>
        </w:tabs>
        <w:rPr>
          <w:noProof/>
        </w:rPr>
      </w:pPr>
      <w:r w:rsidRPr="00010C05">
        <w:rPr>
          <w:rFonts w:asciiTheme="majorBidi" w:hAnsiTheme="majorBidi" w:cstheme="majorBidi"/>
          <w:iCs/>
          <w:noProof/>
          <w:color w:val="202124"/>
          <w:lang w:val="en-GB"/>
        </w:rPr>
        <w:t>U(i)ṭeruḫi</w:t>
      </w:r>
      <w:r>
        <w:rPr>
          <w:noProof/>
        </w:rPr>
        <w:t>, 126</w:t>
      </w:r>
    </w:p>
    <w:p w14:paraId="631FEEED"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Uburda</w:t>
      </w:r>
      <w:r>
        <w:rPr>
          <w:noProof/>
        </w:rPr>
        <w:t>, 158</w:t>
      </w:r>
    </w:p>
    <w:p w14:paraId="5B1DE8EA"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Uedurietiuni</w:t>
      </w:r>
      <w:r>
        <w:rPr>
          <w:noProof/>
        </w:rPr>
        <w:t>, 194</w:t>
      </w:r>
    </w:p>
    <w:p w14:paraId="257D4BA6" w14:textId="77777777" w:rsidR="009A2B20" w:rsidRDefault="009A2B20">
      <w:pPr>
        <w:pStyle w:val="Dizin1"/>
        <w:tabs>
          <w:tab w:val="right" w:leader="dot" w:pos="4172"/>
        </w:tabs>
        <w:rPr>
          <w:noProof/>
        </w:rPr>
      </w:pPr>
      <w:r w:rsidRPr="00010C05">
        <w:rPr>
          <w:rFonts w:asciiTheme="majorBidi" w:hAnsiTheme="majorBidi" w:cstheme="majorBidi"/>
          <w:noProof/>
          <w:lang w:val="en-GB"/>
        </w:rPr>
        <w:t>Ueliku</w:t>
      </w:r>
      <w:r>
        <w:rPr>
          <w:noProof/>
        </w:rPr>
        <w:t>, 195</w:t>
      </w:r>
    </w:p>
    <w:p w14:paraId="52CBF5B2"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Uelikuḫi</w:t>
      </w:r>
      <w:r>
        <w:rPr>
          <w:noProof/>
        </w:rPr>
        <w:t>, 192</w:t>
      </w:r>
    </w:p>
    <w:p w14:paraId="759D980F"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Ugišti</w:t>
      </w:r>
      <w:r>
        <w:rPr>
          <w:noProof/>
        </w:rPr>
        <w:t>, 161</w:t>
      </w:r>
    </w:p>
    <w:p w14:paraId="39DF74F4"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Uiṭeru</w:t>
      </w:r>
      <w:r>
        <w:rPr>
          <w:noProof/>
        </w:rPr>
        <w:t>, 162</w:t>
      </w:r>
    </w:p>
    <w:p w14:paraId="4C969812" w14:textId="77777777" w:rsidR="009A2B20" w:rsidRDefault="009A2B20">
      <w:pPr>
        <w:pStyle w:val="Dizin1"/>
        <w:tabs>
          <w:tab w:val="right" w:leader="dot" w:pos="4172"/>
        </w:tabs>
        <w:rPr>
          <w:noProof/>
        </w:rPr>
      </w:pPr>
      <w:r w:rsidRPr="00010C05">
        <w:rPr>
          <w:rFonts w:asciiTheme="majorBidi" w:eastAsia="Arial" w:hAnsiTheme="majorBidi" w:cstheme="majorBidi"/>
          <w:i/>
          <w:iCs/>
          <w:noProof/>
          <w:color w:val="202124"/>
          <w:lang w:val="en-GB"/>
        </w:rPr>
        <w:t>Uiṭeruḫi</w:t>
      </w:r>
      <w:r>
        <w:rPr>
          <w:noProof/>
        </w:rPr>
        <w:t>, 124, 126</w:t>
      </w:r>
    </w:p>
    <w:p w14:paraId="4854C5CD"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Uldini</w:t>
      </w:r>
      <w:r>
        <w:rPr>
          <w:noProof/>
        </w:rPr>
        <w:t>, 161</w:t>
      </w:r>
    </w:p>
    <w:p w14:paraId="77352C73"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Uliba</w:t>
      </w:r>
      <w:r>
        <w:rPr>
          <w:noProof/>
        </w:rPr>
        <w:t>, 138</w:t>
      </w:r>
    </w:p>
    <w:p w14:paraId="4DF735F5"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Ulliba</w:t>
      </w:r>
      <w:r>
        <w:rPr>
          <w:noProof/>
        </w:rPr>
        <w:t>, 139</w:t>
      </w:r>
    </w:p>
    <w:p w14:paraId="1FDDCD59"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Ulluba</w:t>
      </w:r>
      <w:r>
        <w:rPr>
          <w:noProof/>
        </w:rPr>
        <w:t>, 139</w:t>
      </w:r>
    </w:p>
    <w:p w14:paraId="1B1BA4E7"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Uluani</w:t>
      </w:r>
      <w:r>
        <w:rPr>
          <w:noProof/>
        </w:rPr>
        <w:t>, 186</w:t>
      </w:r>
    </w:p>
    <w:p w14:paraId="0E91F608" w14:textId="77777777" w:rsidR="009A2B20" w:rsidRDefault="009A2B20">
      <w:pPr>
        <w:pStyle w:val="Dizin1"/>
        <w:tabs>
          <w:tab w:val="right" w:leader="dot" w:pos="4172"/>
        </w:tabs>
        <w:rPr>
          <w:noProof/>
        </w:rPr>
      </w:pPr>
      <w:r w:rsidRPr="00010C05">
        <w:rPr>
          <w:rFonts w:asciiTheme="majorBidi" w:hAnsiTheme="majorBidi" w:cstheme="majorBidi"/>
          <w:iCs/>
          <w:noProof/>
          <w:lang w:val="en-GB"/>
        </w:rPr>
        <w:t>Upper Anzaf</w:t>
      </w:r>
      <w:r>
        <w:rPr>
          <w:noProof/>
        </w:rPr>
        <w:t>, 243</w:t>
      </w:r>
    </w:p>
    <w:p w14:paraId="109848A8"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Upper Citadel</w:t>
      </w:r>
      <w:r>
        <w:rPr>
          <w:noProof/>
        </w:rPr>
        <w:t>, 12</w:t>
      </w:r>
    </w:p>
    <w:p w14:paraId="3D280DE7" w14:textId="77777777" w:rsidR="009A2B20" w:rsidRDefault="009A2B20">
      <w:pPr>
        <w:pStyle w:val="Dizin1"/>
        <w:tabs>
          <w:tab w:val="right" w:leader="dot" w:pos="4172"/>
        </w:tabs>
        <w:rPr>
          <w:noProof/>
        </w:rPr>
      </w:pPr>
      <w:r w:rsidRPr="00010C05">
        <w:rPr>
          <w:rFonts w:asciiTheme="majorBidi" w:eastAsia="Arial" w:hAnsiTheme="majorBidi" w:cstheme="majorBidi"/>
          <w:i/>
          <w:iCs/>
          <w:noProof/>
          <w:color w:val="202124"/>
          <w:lang w:val="en-GB"/>
        </w:rPr>
        <w:t>Ur(u)aṭri</w:t>
      </w:r>
      <w:r>
        <w:rPr>
          <w:noProof/>
        </w:rPr>
        <w:t>, 104</w:t>
      </w:r>
    </w:p>
    <w:p w14:paraId="44AA2B96" w14:textId="77777777" w:rsidR="009A2B20" w:rsidRDefault="009A2B20">
      <w:pPr>
        <w:pStyle w:val="Dizin1"/>
        <w:tabs>
          <w:tab w:val="right" w:leader="dot" w:pos="4172"/>
        </w:tabs>
        <w:rPr>
          <w:noProof/>
        </w:rPr>
      </w:pPr>
      <w:r w:rsidRPr="00010C05">
        <w:rPr>
          <w:rFonts w:asciiTheme="majorBidi" w:hAnsiTheme="majorBidi" w:cstheme="majorBidi"/>
          <w:noProof/>
        </w:rPr>
        <w:t>Urartian</w:t>
      </w:r>
      <w:r>
        <w:rPr>
          <w:noProof/>
        </w:rPr>
        <w:t>, 1, 2, 3, 4, 5, 6, 7, 8, 9, 10, 11, 12, 13, 14, 17, 18, 20, 22, 24, 27, 36, 38, 43, 45, 46, 47, 48, 49, 50, 51, 52, 53, 54, 55, 56, 57, 58, 60, 61, 62, 63, 64, 65, 66, 67, 69, 70, 71, 72, 73, 74, 75, 76, 78, 79, 81, 82, 83, 84, 85, 86, 87, 88, 89, 90, 93,94, 95, 96, 98, 99, 100, 101, 102, 103, 104, 105, 106, 107, 108, 109, 113, 118, 122, 126, 185, 193, 194, 195, 196, 197, 199, 200, 201, 202, 203, 204, 215, 216, 217, 218, 219, 228, 229, 230, 235, 236, 237, 239, 240, 242, 243, 245, 246, 248, 249, 250, 251, 252, 253, 254, 256, 257, 258, 261, 263, 270, 275, 278, 279, 280, 281, 282, 283, 284, 285, 286, 287, 288, 293, 301, 306, 312, 315, 317, 319, 321, 323, 332, 335, 336, 337, 338, 339, 340, 341, 342, 345, 351, 354, 355, 356, 357, 359, 361, 362, 363, 364, 365, 366, 367, 372, 373, 375, 377, 378, 392, 393, 395, 396, 398, 400, 401, 402, 403, 405, 406, 407, 408, 409, 410, 411, 412, 413, 414, 415, 416, 417, 418, 419, 420, 421, 422, 423, 424, 425, 426, 427, 428</w:t>
      </w:r>
    </w:p>
    <w:p w14:paraId="4F56FD12"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Urartian kingdom</w:t>
      </w:r>
      <w:r>
        <w:rPr>
          <w:noProof/>
        </w:rPr>
        <w:t>, 4, 8, 13, 200, 284, 306, 315, 378</w:t>
      </w:r>
    </w:p>
    <w:p w14:paraId="573784BD" w14:textId="77777777" w:rsidR="009A2B20" w:rsidRDefault="009A2B20">
      <w:pPr>
        <w:pStyle w:val="Dizin1"/>
        <w:tabs>
          <w:tab w:val="right" w:leader="dot" w:pos="4172"/>
        </w:tabs>
        <w:rPr>
          <w:noProof/>
        </w:rPr>
      </w:pPr>
      <w:r w:rsidRPr="00010C05">
        <w:rPr>
          <w:rFonts w:asciiTheme="majorBidi" w:eastAsia="Calibri" w:hAnsiTheme="majorBidi" w:cstheme="majorBidi"/>
          <w:noProof/>
          <w:lang w:val="en-GB"/>
        </w:rPr>
        <w:t>Urartian Kingdom</w:t>
      </w:r>
      <w:r>
        <w:rPr>
          <w:noProof/>
        </w:rPr>
        <w:t>, 69, 200, 230, 245, 284, 367, 375, 378, 401, 403, 404</w:t>
      </w:r>
    </w:p>
    <w:p w14:paraId="07EC2167"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Urartians</w:t>
      </w:r>
      <w:r>
        <w:rPr>
          <w:noProof/>
        </w:rPr>
        <w:t>, 8, 11, 46, 49, 204, 228, 244, 283, 336, 340, 367, 378, 400, 401, 403, 412, 420, 425</w:t>
      </w:r>
    </w:p>
    <w:p w14:paraId="08CA1EA0"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000000" w:themeColor="text1"/>
          <w:lang w:val="en-GB"/>
        </w:rPr>
        <w:t>Urartu</w:t>
      </w:r>
      <w:r>
        <w:rPr>
          <w:noProof/>
        </w:rPr>
        <w:t>, 4, 5, 6, 7, 8, 9, 10, 12, 48, 65, 103, 105, 138, 186, 197, 201, 203, 204, 215, 217, 223, 228, 232, 234, 239, 253, 262, 263, 338, 392, 400, 404, 406, 407, 408, 409, 410, 411, 412, 414, 415, 416, 417, 418, 420, 421, 422, 423, 424, 425, 426, 427, 428</w:t>
      </w:r>
    </w:p>
    <w:p w14:paraId="4D058810" w14:textId="77777777" w:rsidR="009A2B20" w:rsidRDefault="009A2B20">
      <w:pPr>
        <w:pStyle w:val="Dizin1"/>
        <w:tabs>
          <w:tab w:val="right" w:leader="dot" w:pos="4172"/>
        </w:tabs>
        <w:rPr>
          <w:noProof/>
        </w:rPr>
      </w:pPr>
      <w:r w:rsidRPr="00010C05">
        <w:rPr>
          <w:rFonts w:asciiTheme="majorBidi" w:eastAsia="Times New Roman" w:hAnsiTheme="majorBidi" w:cstheme="majorBidi"/>
          <w:i/>
          <w:iCs/>
          <w:noProof/>
          <w:color w:val="202124"/>
          <w:lang w:val="en-GB" w:eastAsia="it-IT"/>
        </w:rPr>
        <w:t>Uraštu</w:t>
      </w:r>
      <w:r>
        <w:rPr>
          <w:noProof/>
        </w:rPr>
        <w:t>, 199</w:t>
      </w:r>
    </w:p>
    <w:p w14:paraId="6841A088"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t>Urme</w:t>
      </w:r>
      <w:r>
        <w:rPr>
          <w:noProof/>
        </w:rPr>
        <w:t>, 157, 158, 184, 193</w:t>
      </w:r>
    </w:p>
    <w:p w14:paraId="38B86FA0"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Urmia</w:t>
      </w:r>
      <w:r>
        <w:rPr>
          <w:noProof/>
        </w:rPr>
        <w:t>, 197, 286, 410, 420, 422</w:t>
      </w:r>
    </w:p>
    <w:p w14:paraId="169F2E63"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Urmia Lake</w:t>
      </w:r>
      <w:r>
        <w:rPr>
          <w:noProof/>
        </w:rPr>
        <w:t>, 63, 185, 193</w:t>
      </w:r>
    </w:p>
    <w:p w14:paraId="73C33699" w14:textId="77777777" w:rsidR="009A2B20" w:rsidRDefault="009A2B20">
      <w:pPr>
        <w:pStyle w:val="Dizin1"/>
        <w:tabs>
          <w:tab w:val="right" w:leader="dot" w:pos="4172"/>
        </w:tabs>
        <w:rPr>
          <w:noProof/>
        </w:rPr>
      </w:pPr>
      <w:r w:rsidRPr="00010C05">
        <w:rPr>
          <w:rFonts w:asciiTheme="majorBidi" w:hAnsiTheme="majorBidi" w:cstheme="majorBidi"/>
          <w:noProof/>
          <w:lang w:val="en-GB"/>
        </w:rPr>
        <w:t>Ursa</w:t>
      </w:r>
      <w:r>
        <w:rPr>
          <w:noProof/>
        </w:rPr>
        <w:t>, 197</w:t>
      </w:r>
    </w:p>
    <w:p w14:paraId="231272FC"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Ururda</w:t>
      </w:r>
      <w:r>
        <w:rPr>
          <w:noProof/>
        </w:rPr>
        <w:t>, 197</w:t>
      </w:r>
    </w:p>
    <w:p w14:paraId="15D1FA80"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Uše</w:t>
      </w:r>
      <w:r>
        <w:rPr>
          <w:noProof/>
        </w:rPr>
        <w:t>, 161</w:t>
      </w:r>
    </w:p>
    <w:p w14:paraId="3383C8E2" w14:textId="77777777" w:rsidR="009A2B20" w:rsidRDefault="009A2B20">
      <w:pPr>
        <w:pStyle w:val="Dizin1"/>
        <w:tabs>
          <w:tab w:val="right" w:leader="dot" w:pos="4172"/>
        </w:tabs>
        <w:rPr>
          <w:noProof/>
        </w:rPr>
      </w:pPr>
      <w:r w:rsidRPr="00010C05">
        <w:rPr>
          <w:rFonts w:asciiTheme="majorBidi" w:eastAsia="Times New Roman" w:hAnsiTheme="majorBidi" w:cstheme="majorBidi"/>
          <w:iCs/>
          <w:noProof/>
          <w:color w:val="202124"/>
          <w:lang w:val="en-GB" w:eastAsia="it-IT"/>
        </w:rPr>
        <w:t>Ušini</w:t>
      </w:r>
      <w:r>
        <w:rPr>
          <w:noProof/>
        </w:rPr>
        <w:t>, 161</w:t>
      </w:r>
    </w:p>
    <w:p w14:paraId="61BE4B69" w14:textId="77777777" w:rsidR="009A2B20" w:rsidRDefault="009A2B20">
      <w:pPr>
        <w:pStyle w:val="Dizin1"/>
        <w:tabs>
          <w:tab w:val="right" w:leader="dot" w:pos="4172"/>
        </w:tabs>
        <w:rPr>
          <w:noProof/>
        </w:rPr>
      </w:pPr>
      <w:r w:rsidRPr="00010C05">
        <w:rPr>
          <w:rFonts w:asciiTheme="majorBidi" w:hAnsiTheme="majorBidi" w:cstheme="majorBidi"/>
          <w:i/>
          <w:iCs/>
          <w:noProof/>
          <w:lang w:val="en-GB"/>
        </w:rPr>
        <w:t>ušmaše</w:t>
      </w:r>
      <w:r>
        <w:rPr>
          <w:noProof/>
        </w:rPr>
        <w:t>, 122</w:t>
      </w:r>
    </w:p>
    <w:p w14:paraId="5C5FD5A8" w14:textId="77777777" w:rsidR="009A2B20" w:rsidRDefault="009A2B20">
      <w:pPr>
        <w:pStyle w:val="Dizin1"/>
        <w:tabs>
          <w:tab w:val="right" w:leader="dot" w:pos="4172"/>
        </w:tabs>
        <w:rPr>
          <w:noProof/>
        </w:rPr>
      </w:pPr>
      <w:r w:rsidRPr="00010C05">
        <w:rPr>
          <w:rFonts w:asciiTheme="majorBidi" w:eastAsia="Arial" w:hAnsiTheme="majorBidi" w:cstheme="majorBidi"/>
          <w:iCs/>
          <w:noProof/>
          <w:color w:val="202124"/>
          <w:lang w:val="en-GB"/>
        </w:rPr>
        <w:lastRenderedPageBreak/>
        <w:t>Ususuani</w:t>
      </w:r>
      <w:r>
        <w:rPr>
          <w:noProof/>
        </w:rPr>
        <w:t>, 138</w:t>
      </w:r>
    </w:p>
    <w:p w14:paraId="6394780E"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Utuburšini</w:t>
      </w:r>
      <w:r>
        <w:rPr>
          <w:noProof/>
        </w:rPr>
        <w:t>, 157, 184</w:t>
      </w:r>
    </w:p>
    <w:p w14:paraId="51CE8BC0" w14:textId="77777777" w:rsidR="009A2B20" w:rsidRDefault="009A2B20">
      <w:pPr>
        <w:pStyle w:val="DizinBal"/>
        <w:keepNext/>
        <w:tabs>
          <w:tab w:val="right" w:leader="dot" w:pos="4172"/>
        </w:tabs>
        <w:rPr>
          <w:rFonts w:eastAsiaTheme="minorEastAsia" w:cstheme="minorBidi"/>
          <w:b w:val="0"/>
          <w:bCs w:val="0"/>
          <w:noProof/>
        </w:rPr>
      </w:pPr>
      <w:r>
        <w:rPr>
          <w:noProof/>
        </w:rPr>
        <w:t>V</w:t>
      </w:r>
    </w:p>
    <w:p w14:paraId="7BD41658" w14:textId="77777777" w:rsidR="009A2B20" w:rsidRDefault="009A2B20">
      <w:pPr>
        <w:pStyle w:val="Dizin1"/>
        <w:tabs>
          <w:tab w:val="right" w:leader="dot" w:pos="4172"/>
        </w:tabs>
        <w:rPr>
          <w:noProof/>
        </w:rPr>
      </w:pPr>
      <w:r w:rsidRPr="00010C05">
        <w:rPr>
          <w:rFonts w:asciiTheme="majorBidi" w:hAnsiTheme="majorBidi" w:cstheme="majorBidi"/>
          <w:noProof/>
          <w:lang w:val="en-GB"/>
        </w:rPr>
        <w:t>Van Fortress</w:t>
      </w:r>
      <w:r>
        <w:rPr>
          <w:noProof/>
        </w:rPr>
        <w:t>, 411, 416</w:t>
      </w:r>
    </w:p>
    <w:p w14:paraId="126A26C2" w14:textId="77777777" w:rsidR="009A2B20" w:rsidRDefault="009A2B20">
      <w:pPr>
        <w:pStyle w:val="Dizin1"/>
        <w:tabs>
          <w:tab w:val="right" w:leader="dot" w:pos="4172"/>
        </w:tabs>
        <w:rPr>
          <w:noProof/>
        </w:rPr>
      </w:pPr>
      <w:r w:rsidRPr="00010C05">
        <w:rPr>
          <w:rFonts w:ascii="Times New Roman" w:hAnsi="Times New Roman" w:cs="Times New Roman"/>
          <w:noProof/>
          <w:lang w:val="en-GB"/>
        </w:rPr>
        <w:t>Van Fortress Mound</w:t>
      </w:r>
      <w:r>
        <w:rPr>
          <w:noProof/>
        </w:rPr>
        <w:t>, 49, 70, 72, 74, 75, 76, 99, 101, 102, 197, 278</w:t>
      </w:r>
    </w:p>
    <w:p w14:paraId="0D5D8C77" w14:textId="77777777" w:rsidR="009A2B20" w:rsidRDefault="009A2B20">
      <w:pPr>
        <w:pStyle w:val="Dizin1"/>
        <w:tabs>
          <w:tab w:val="right" w:leader="dot" w:pos="4172"/>
        </w:tabs>
        <w:rPr>
          <w:noProof/>
        </w:rPr>
      </w:pPr>
      <w:r w:rsidRPr="00010C05">
        <w:rPr>
          <w:rFonts w:asciiTheme="majorBidi" w:hAnsiTheme="majorBidi" w:cstheme="majorBidi"/>
          <w:noProof/>
          <w:color w:val="202124"/>
          <w:lang w:val="en-GB"/>
        </w:rPr>
        <w:t>Van Kale</w:t>
      </w:r>
      <w:r>
        <w:rPr>
          <w:noProof/>
        </w:rPr>
        <w:t>, 424</w:t>
      </w:r>
    </w:p>
    <w:p w14:paraId="58E2563E" w14:textId="77777777" w:rsidR="009A2B20" w:rsidRDefault="009A2B20">
      <w:pPr>
        <w:pStyle w:val="Dizin1"/>
        <w:tabs>
          <w:tab w:val="right" w:leader="dot" w:pos="4172"/>
        </w:tabs>
        <w:rPr>
          <w:noProof/>
        </w:rPr>
      </w:pPr>
      <w:r w:rsidRPr="00010C05">
        <w:rPr>
          <w:rFonts w:asciiTheme="majorBidi" w:hAnsiTheme="majorBidi" w:cstheme="majorBidi"/>
          <w:noProof/>
          <w:lang w:val="en-GB"/>
        </w:rPr>
        <w:t>Van Kalesi</w:t>
      </w:r>
      <w:r>
        <w:rPr>
          <w:noProof/>
        </w:rPr>
        <w:t>, 411, 414, 416, 417, 422, 424, 425, 426, 427</w:t>
      </w:r>
    </w:p>
    <w:p w14:paraId="7E137E62" w14:textId="77777777" w:rsidR="009A2B20" w:rsidRDefault="009A2B20">
      <w:pPr>
        <w:pStyle w:val="Dizin1"/>
        <w:tabs>
          <w:tab w:val="right" w:leader="dot" w:pos="4172"/>
        </w:tabs>
        <w:rPr>
          <w:noProof/>
        </w:rPr>
      </w:pPr>
      <w:r w:rsidRPr="00010C05">
        <w:rPr>
          <w:rFonts w:asciiTheme="majorBidi" w:hAnsiTheme="majorBidi" w:cstheme="majorBidi"/>
          <w:noProof/>
        </w:rPr>
        <w:t>Van Lake</w:t>
      </w:r>
      <w:r>
        <w:rPr>
          <w:noProof/>
        </w:rPr>
        <w:t>, 3, 4, 6, 12, 17, 19, 20, 33, 47, 49, 53, 59, 72, 75, 78, 113, 283, 286, 336, 356, 368, 378, 379, 382, 388, 392, 393, 395, 396, 401, 403</w:t>
      </w:r>
    </w:p>
    <w:p w14:paraId="4CE46B17"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Van Museum</w:t>
      </w:r>
      <w:r>
        <w:rPr>
          <w:noProof/>
        </w:rPr>
        <w:t>, 136, 397</w:t>
      </w:r>
    </w:p>
    <w:p w14:paraId="71ED2400" w14:textId="77777777" w:rsidR="009A2B20" w:rsidRDefault="009A2B20">
      <w:pPr>
        <w:pStyle w:val="Dizin1"/>
        <w:tabs>
          <w:tab w:val="right" w:leader="dot" w:pos="4172"/>
        </w:tabs>
        <w:rPr>
          <w:noProof/>
        </w:rPr>
      </w:pPr>
      <w:r w:rsidRPr="00010C05">
        <w:rPr>
          <w:rFonts w:asciiTheme="majorBidi" w:hAnsiTheme="majorBidi" w:cstheme="majorBidi"/>
          <w:noProof/>
          <w:lang w:val="en-GB"/>
        </w:rPr>
        <w:t>Van Plain</w:t>
      </w:r>
      <w:r>
        <w:rPr>
          <w:noProof/>
        </w:rPr>
        <w:t>, 75</w:t>
      </w:r>
    </w:p>
    <w:p w14:paraId="318AFB41" w14:textId="77777777" w:rsidR="009A2B20" w:rsidRDefault="009A2B20">
      <w:pPr>
        <w:pStyle w:val="Dizin1"/>
        <w:tabs>
          <w:tab w:val="right" w:leader="dot" w:pos="4172"/>
        </w:tabs>
        <w:rPr>
          <w:noProof/>
        </w:rPr>
      </w:pPr>
      <w:r w:rsidRPr="00010C05">
        <w:rPr>
          <w:rFonts w:asciiTheme="majorBidi" w:hAnsiTheme="majorBidi" w:cstheme="majorBidi"/>
          <w:noProof/>
        </w:rPr>
        <w:t>Vanaper</w:t>
      </w:r>
      <w:r>
        <w:rPr>
          <w:noProof/>
        </w:rPr>
        <w:t>, 19</w:t>
      </w:r>
    </w:p>
    <w:p w14:paraId="3BD5ABA1" w14:textId="77777777" w:rsidR="009A2B20" w:rsidRDefault="009A2B20">
      <w:pPr>
        <w:pStyle w:val="Dizin1"/>
        <w:tabs>
          <w:tab w:val="right" w:leader="dot" w:pos="4172"/>
        </w:tabs>
        <w:rPr>
          <w:noProof/>
        </w:rPr>
      </w:pPr>
      <w:r w:rsidRPr="00010C05">
        <w:rPr>
          <w:rFonts w:asciiTheme="majorBidi" w:hAnsiTheme="majorBidi" w:cstheme="majorBidi"/>
          <w:noProof/>
          <w:lang w:val="en-GB"/>
        </w:rPr>
        <w:t>Vayots Dzor</w:t>
      </w:r>
      <w:r>
        <w:rPr>
          <w:noProof/>
        </w:rPr>
        <w:t>, 286</w:t>
      </w:r>
    </w:p>
    <w:p w14:paraId="0F26101D" w14:textId="77777777" w:rsidR="009A2B20" w:rsidRDefault="009A2B20">
      <w:pPr>
        <w:pStyle w:val="DizinBal"/>
        <w:keepNext/>
        <w:tabs>
          <w:tab w:val="right" w:leader="dot" w:pos="4172"/>
        </w:tabs>
        <w:rPr>
          <w:rFonts w:eastAsiaTheme="minorEastAsia" w:cstheme="minorBidi"/>
          <w:b w:val="0"/>
          <w:bCs w:val="0"/>
          <w:noProof/>
        </w:rPr>
      </w:pPr>
      <w:r>
        <w:rPr>
          <w:noProof/>
        </w:rPr>
        <w:t>W</w:t>
      </w:r>
    </w:p>
    <w:p w14:paraId="4244ED18" w14:textId="77777777" w:rsidR="009A2B20" w:rsidRDefault="009A2B20">
      <w:pPr>
        <w:pStyle w:val="Dizin1"/>
        <w:tabs>
          <w:tab w:val="right" w:leader="dot" w:pos="4172"/>
        </w:tabs>
        <w:rPr>
          <w:noProof/>
        </w:rPr>
      </w:pPr>
      <w:r w:rsidRPr="00010C05">
        <w:rPr>
          <w:rFonts w:ascii="Times New Roman" w:hAnsi="Times New Roman" w:cs="Times New Roman"/>
          <w:noProof/>
          <w:lang w:val="en-GB"/>
        </w:rPr>
        <w:t>Waza</w:t>
      </w:r>
      <w:r>
        <w:rPr>
          <w:noProof/>
        </w:rPr>
        <w:t>, 54</w:t>
      </w:r>
    </w:p>
    <w:p w14:paraId="69489346" w14:textId="77777777" w:rsidR="009A2B20" w:rsidRDefault="009A2B20">
      <w:pPr>
        <w:pStyle w:val="Dizin1"/>
        <w:tabs>
          <w:tab w:val="right" w:leader="dot" w:pos="4172"/>
        </w:tabs>
        <w:rPr>
          <w:noProof/>
        </w:rPr>
      </w:pPr>
      <w:r w:rsidRPr="00010C05">
        <w:rPr>
          <w:rFonts w:ascii="Times New Roman" w:hAnsi="Times New Roman" w:cs="Times New Roman"/>
          <w:noProof/>
          <w:color w:val="000000"/>
          <w:lang w:val="en-GB"/>
        </w:rPr>
        <w:t>Wazana</w:t>
      </w:r>
      <w:r>
        <w:rPr>
          <w:noProof/>
        </w:rPr>
        <w:t>, 54</w:t>
      </w:r>
    </w:p>
    <w:p w14:paraId="2046D14E" w14:textId="77777777" w:rsidR="009A2B20" w:rsidRDefault="009A2B20">
      <w:pPr>
        <w:pStyle w:val="Dizin1"/>
        <w:tabs>
          <w:tab w:val="right" w:leader="dot" w:pos="4172"/>
        </w:tabs>
        <w:rPr>
          <w:noProof/>
        </w:rPr>
      </w:pPr>
      <w:r w:rsidRPr="00010C05">
        <w:rPr>
          <w:rFonts w:ascii="Times New Roman" w:hAnsi="Times New Roman" w:cs="Times New Roman"/>
          <w:noProof/>
          <w:color w:val="000000"/>
          <w:lang w:val="en-GB"/>
        </w:rPr>
        <w:t>Wazaun</w:t>
      </w:r>
      <w:r>
        <w:rPr>
          <w:noProof/>
        </w:rPr>
        <w:t>, 54</w:t>
      </w:r>
    </w:p>
    <w:p w14:paraId="57D84DE3"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West Ditch</w:t>
      </w:r>
      <w:r>
        <w:rPr>
          <w:noProof/>
        </w:rPr>
        <w:t>, 2, 12, 82, 96, 101, 264</w:t>
      </w:r>
    </w:p>
    <w:p w14:paraId="2030F248" w14:textId="77777777" w:rsidR="009A2B20" w:rsidRDefault="009A2B20">
      <w:pPr>
        <w:pStyle w:val="DizinBal"/>
        <w:keepNext/>
        <w:tabs>
          <w:tab w:val="right" w:leader="dot" w:pos="4172"/>
        </w:tabs>
        <w:rPr>
          <w:rFonts w:eastAsiaTheme="minorEastAsia" w:cstheme="minorBidi"/>
          <w:b w:val="0"/>
          <w:bCs w:val="0"/>
          <w:noProof/>
        </w:rPr>
      </w:pPr>
      <w:r>
        <w:rPr>
          <w:noProof/>
        </w:rPr>
        <w:t>X</w:t>
      </w:r>
    </w:p>
    <w:p w14:paraId="10CB6E74" w14:textId="77777777" w:rsidR="009A2B20" w:rsidRDefault="009A2B20">
      <w:pPr>
        <w:pStyle w:val="Dizin1"/>
        <w:tabs>
          <w:tab w:val="right" w:leader="dot" w:pos="4172"/>
        </w:tabs>
        <w:rPr>
          <w:noProof/>
        </w:rPr>
      </w:pPr>
      <w:r w:rsidRPr="00010C05">
        <w:rPr>
          <w:rFonts w:asciiTheme="majorBidi" w:hAnsiTheme="majorBidi" w:cstheme="majorBidi"/>
          <w:noProof/>
        </w:rPr>
        <w:t>Xerxes</w:t>
      </w:r>
      <w:r>
        <w:rPr>
          <w:noProof/>
        </w:rPr>
        <w:t>, 1, 25, 27, 28, 72, 103, 108, 197, 198, 199</w:t>
      </w:r>
    </w:p>
    <w:p w14:paraId="675917C1" w14:textId="77777777" w:rsidR="009A2B20" w:rsidRDefault="009A2B20">
      <w:pPr>
        <w:pStyle w:val="Dizin1"/>
        <w:tabs>
          <w:tab w:val="right" w:leader="dot" w:pos="4172"/>
        </w:tabs>
        <w:rPr>
          <w:noProof/>
        </w:rPr>
      </w:pPr>
      <w:r w:rsidRPr="00010C05">
        <w:rPr>
          <w:rFonts w:asciiTheme="majorBidi" w:hAnsiTheme="majorBidi" w:cstheme="majorBidi"/>
          <w:noProof/>
        </w:rPr>
        <w:t>Xerxes Inscription</w:t>
      </w:r>
      <w:r>
        <w:rPr>
          <w:noProof/>
        </w:rPr>
        <w:t>, 25, 28</w:t>
      </w:r>
    </w:p>
    <w:p w14:paraId="5FF1291E" w14:textId="77777777" w:rsidR="009A2B20" w:rsidRDefault="009A2B20">
      <w:pPr>
        <w:pStyle w:val="DizinBal"/>
        <w:keepNext/>
        <w:tabs>
          <w:tab w:val="right" w:leader="dot" w:pos="4172"/>
        </w:tabs>
        <w:rPr>
          <w:rFonts w:eastAsiaTheme="minorEastAsia" w:cstheme="minorBidi"/>
          <w:b w:val="0"/>
          <w:bCs w:val="0"/>
          <w:noProof/>
        </w:rPr>
      </w:pPr>
      <w:r>
        <w:rPr>
          <w:noProof/>
        </w:rPr>
        <w:t>Y</w:t>
      </w:r>
    </w:p>
    <w:p w14:paraId="41C35437"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Yeni Saray</w:t>
      </w:r>
      <w:r>
        <w:rPr>
          <w:noProof/>
        </w:rPr>
        <w:t>, 12, 162</w:t>
      </w:r>
    </w:p>
    <w:p w14:paraId="7D82A688" w14:textId="77777777" w:rsidR="009A2B20" w:rsidRDefault="009A2B20">
      <w:pPr>
        <w:pStyle w:val="Dizin1"/>
        <w:tabs>
          <w:tab w:val="right" w:leader="dot" w:pos="4172"/>
        </w:tabs>
        <w:rPr>
          <w:noProof/>
        </w:rPr>
      </w:pPr>
      <w:r w:rsidRPr="00010C05">
        <w:rPr>
          <w:rFonts w:ascii="Times New Roman" w:hAnsi="Times New Roman" w:cs="Times New Roman"/>
          <w:noProof/>
          <w:lang w:val="en-GB"/>
        </w:rPr>
        <w:t>Yeşilalıç</w:t>
      </w:r>
      <w:r>
        <w:rPr>
          <w:noProof/>
        </w:rPr>
        <w:t>, 55, 105, 129, 412, 418, 425</w:t>
      </w:r>
    </w:p>
    <w:p w14:paraId="183BA678" w14:textId="77777777" w:rsidR="009A2B20" w:rsidRDefault="009A2B20">
      <w:pPr>
        <w:pStyle w:val="Dizin1"/>
        <w:tabs>
          <w:tab w:val="right" w:leader="dot" w:pos="4172"/>
        </w:tabs>
        <w:rPr>
          <w:noProof/>
        </w:rPr>
      </w:pPr>
      <w:r w:rsidRPr="00010C05">
        <w:rPr>
          <w:rFonts w:asciiTheme="majorBidi" w:hAnsiTheme="majorBidi" w:cstheme="majorBidi"/>
          <w:noProof/>
          <w:lang w:val="en-GB"/>
        </w:rPr>
        <w:t>Yeşilsu</w:t>
      </w:r>
      <w:r>
        <w:rPr>
          <w:noProof/>
        </w:rPr>
        <w:t>, 392</w:t>
      </w:r>
    </w:p>
    <w:p w14:paraId="436E1532" w14:textId="77777777" w:rsidR="009A2B20" w:rsidRDefault="009A2B20">
      <w:pPr>
        <w:pStyle w:val="Dizin1"/>
        <w:tabs>
          <w:tab w:val="right" w:leader="dot" w:pos="4172"/>
        </w:tabs>
        <w:rPr>
          <w:noProof/>
        </w:rPr>
      </w:pPr>
      <w:r w:rsidRPr="00010C05">
        <w:rPr>
          <w:rFonts w:asciiTheme="majorBidi" w:eastAsia="Times New Roman" w:hAnsiTheme="majorBidi" w:cstheme="majorBidi"/>
          <w:noProof/>
          <w:lang w:val="en-GB"/>
        </w:rPr>
        <w:t>Yoncatepe</w:t>
      </w:r>
      <w:r>
        <w:rPr>
          <w:noProof/>
        </w:rPr>
        <w:t>, 278, 285, 336, 407</w:t>
      </w:r>
    </w:p>
    <w:p w14:paraId="71300391" w14:textId="77777777" w:rsidR="009A2B20" w:rsidRDefault="009A2B20">
      <w:pPr>
        <w:pStyle w:val="DizinBal"/>
        <w:keepNext/>
        <w:tabs>
          <w:tab w:val="right" w:leader="dot" w:pos="4172"/>
        </w:tabs>
        <w:rPr>
          <w:rFonts w:eastAsiaTheme="minorEastAsia" w:cstheme="minorBidi"/>
          <w:b w:val="0"/>
          <w:bCs w:val="0"/>
          <w:noProof/>
        </w:rPr>
      </w:pPr>
      <w:r>
        <w:rPr>
          <w:noProof/>
        </w:rPr>
        <w:t>Z</w:t>
      </w:r>
    </w:p>
    <w:p w14:paraId="5A05BACD" w14:textId="77777777" w:rsidR="009A2B20" w:rsidRDefault="009A2B20">
      <w:pPr>
        <w:pStyle w:val="Dizin1"/>
        <w:tabs>
          <w:tab w:val="right" w:leader="dot" w:pos="4172"/>
        </w:tabs>
        <w:rPr>
          <w:noProof/>
        </w:rPr>
      </w:pPr>
      <w:r w:rsidRPr="00010C05">
        <w:rPr>
          <w:rFonts w:asciiTheme="majorBidi" w:hAnsiTheme="majorBidi" w:cstheme="majorBidi"/>
          <w:noProof/>
          <w:lang w:val="en-GB"/>
        </w:rPr>
        <w:t>Zagros</w:t>
      </w:r>
      <w:r>
        <w:rPr>
          <w:noProof/>
        </w:rPr>
        <w:t>, 105, 186, 197, 410, 420, 422</w:t>
      </w:r>
    </w:p>
    <w:p w14:paraId="28DC1E52" w14:textId="77777777" w:rsidR="009A2B20" w:rsidRDefault="009A2B20">
      <w:pPr>
        <w:pStyle w:val="Dizin1"/>
        <w:tabs>
          <w:tab w:val="right" w:leader="dot" w:pos="4172"/>
        </w:tabs>
        <w:rPr>
          <w:noProof/>
        </w:rPr>
      </w:pPr>
      <w:r w:rsidRPr="00010C05">
        <w:rPr>
          <w:rFonts w:asciiTheme="majorBidi" w:eastAsia="Arial" w:hAnsiTheme="majorBidi" w:cstheme="majorBidi"/>
          <w:noProof/>
          <w:color w:val="202124"/>
          <w:lang w:val="en-GB"/>
        </w:rPr>
        <w:t>Zaho</w:t>
      </w:r>
      <w:r>
        <w:rPr>
          <w:noProof/>
        </w:rPr>
        <w:t>, 139</w:t>
      </w:r>
    </w:p>
    <w:p w14:paraId="1F83ED15" w14:textId="77777777" w:rsidR="009A2B20" w:rsidRDefault="009A2B20">
      <w:pPr>
        <w:pStyle w:val="Dizin1"/>
        <w:tabs>
          <w:tab w:val="right" w:leader="dot" w:pos="4172"/>
        </w:tabs>
        <w:rPr>
          <w:noProof/>
        </w:rPr>
      </w:pPr>
      <w:r w:rsidRPr="00010C05">
        <w:rPr>
          <w:rFonts w:asciiTheme="majorBidi" w:hAnsiTheme="majorBidi" w:cstheme="majorBidi"/>
          <w:noProof/>
          <w:lang w:val="en-GB"/>
        </w:rPr>
        <w:t>Zakzak</w:t>
      </w:r>
      <w:r>
        <w:rPr>
          <w:noProof/>
        </w:rPr>
        <w:t>, 378, 395, 401, 403</w:t>
      </w:r>
    </w:p>
    <w:p w14:paraId="232B086F" w14:textId="77777777" w:rsidR="009A2B20" w:rsidRDefault="009A2B20">
      <w:pPr>
        <w:pStyle w:val="Dizin1"/>
        <w:tabs>
          <w:tab w:val="right" w:leader="dot" w:pos="4172"/>
        </w:tabs>
        <w:rPr>
          <w:noProof/>
        </w:rPr>
      </w:pPr>
      <w:r w:rsidRPr="00010C05">
        <w:rPr>
          <w:rFonts w:asciiTheme="majorBidi" w:hAnsiTheme="majorBidi" w:cstheme="majorBidi"/>
          <w:noProof/>
          <w:lang w:val="en-GB"/>
        </w:rPr>
        <w:t>Zernaki Tepe</w:t>
      </w:r>
      <w:r>
        <w:rPr>
          <w:noProof/>
        </w:rPr>
        <w:t>, 378, 393, 401, 403, 409, 412</w:t>
      </w:r>
    </w:p>
    <w:p w14:paraId="44EF60F1" w14:textId="77777777" w:rsidR="009A2B20" w:rsidRDefault="009A2B20">
      <w:pPr>
        <w:pStyle w:val="Dizin1"/>
        <w:tabs>
          <w:tab w:val="right" w:leader="dot" w:pos="4172"/>
        </w:tabs>
        <w:rPr>
          <w:noProof/>
        </w:rPr>
      </w:pPr>
      <w:r w:rsidRPr="00010C05">
        <w:rPr>
          <w:rFonts w:asciiTheme="majorBidi" w:hAnsiTheme="majorBidi" w:cstheme="majorBidi"/>
          <w:noProof/>
          <w:lang w:val="en-GB"/>
        </w:rPr>
        <w:t>Zırneqo</w:t>
      </w:r>
      <w:r>
        <w:rPr>
          <w:noProof/>
        </w:rPr>
        <w:t>, 378, 393</w:t>
      </w:r>
    </w:p>
    <w:p w14:paraId="2E66D67E" w14:textId="77777777" w:rsidR="009A2B20" w:rsidRDefault="009A2B20">
      <w:pPr>
        <w:pStyle w:val="Dizin1"/>
        <w:tabs>
          <w:tab w:val="right" w:leader="dot" w:pos="4172"/>
        </w:tabs>
        <w:rPr>
          <w:noProof/>
        </w:rPr>
      </w:pPr>
      <w:r w:rsidRPr="00010C05">
        <w:rPr>
          <w:rFonts w:asciiTheme="majorBidi" w:hAnsiTheme="majorBidi" w:cstheme="majorBidi"/>
          <w:noProof/>
          <w:lang w:val="en-GB"/>
        </w:rPr>
        <w:t>Zıvıstan</w:t>
      </w:r>
      <w:r>
        <w:rPr>
          <w:noProof/>
        </w:rPr>
        <w:t>, 75</w:t>
      </w:r>
    </w:p>
    <w:p w14:paraId="3A3F6A8D" w14:textId="77777777" w:rsidR="009A2B20" w:rsidRDefault="009A2B20">
      <w:pPr>
        <w:pStyle w:val="Dizin1"/>
        <w:tabs>
          <w:tab w:val="right" w:leader="dot" w:pos="4172"/>
        </w:tabs>
        <w:rPr>
          <w:noProof/>
        </w:rPr>
      </w:pPr>
      <w:r w:rsidRPr="00010C05">
        <w:rPr>
          <w:rFonts w:asciiTheme="majorBidi" w:hAnsiTheme="majorBidi" w:cstheme="majorBidi"/>
          <w:noProof/>
          <w:color w:val="000000" w:themeColor="text1"/>
          <w:lang w:val="en-GB"/>
        </w:rPr>
        <w:t>Zobdat al-Vaqayi</w:t>
      </w:r>
      <w:r>
        <w:rPr>
          <w:noProof/>
        </w:rPr>
        <w:t>, 406</w:t>
      </w:r>
    </w:p>
    <w:p w14:paraId="2DE787B4" w14:textId="77777777" w:rsidR="009A2B20" w:rsidRDefault="009A2B20">
      <w:pPr>
        <w:pStyle w:val="Dizin1"/>
        <w:tabs>
          <w:tab w:val="right" w:leader="dot" w:pos="4172"/>
        </w:tabs>
        <w:rPr>
          <w:noProof/>
        </w:rPr>
      </w:pPr>
      <w:r w:rsidRPr="00010C05">
        <w:rPr>
          <w:rFonts w:asciiTheme="majorBidi" w:eastAsia="Times New Roman" w:hAnsiTheme="majorBidi" w:cstheme="majorBidi"/>
          <w:noProof/>
          <w:color w:val="202124"/>
          <w:lang w:val="en-GB" w:eastAsia="it-IT"/>
        </w:rPr>
        <w:t>Zua</w:t>
      </w:r>
      <w:r>
        <w:rPr>
          <w:noProof/>
        </w:rPr>
        <w:t>, 161</w:t>
      </w:r>
    </w:p>
    <w:p w14:paraId="32077013" w14:textId="77777777" w:rsidR="009A2B20" w:rsidRDefault="009A2B20" w:rsidP="00F03A26">
      <w:pPr>
        <w:jc w:val="both"/>
        <w:rPr>
          <w:rFonts w:asciiTheme="majorBidi" w:hAnsiTheme="majorBidi" w:cstheme="majorBidi"/>
          <w:noProof/>
          <w:lang w:val="en-GB"/>
        </w:rPr>
        <w:sectPr w:rsidR="009A2B20" w:rsidSect="009A2B20">
          <w:type w:val="continuous"/>
          <w:pgSz w:w="11906" w:h="16838"/>
          <w:pgMar w:top="1417" w:right="1417" w:bottom="1417" w:left="1417" w:header="708" w:footer="708" w:gutter="0"/>
          <w:cols w:num="2" w:space="708"/>
          <w:docGrid w:linePitch="360"/>
        </w:sectPr>
      </w:pPr>
    </w:p>
    <w:p w14:paraId="2FF72BBF" w14:textId="2E70A219" w:rsidR="00E20DA9" w:rsidRPr="00F03A26" w:rsidRDefault="007819AE" w:rsidP="00F03A26">
      <w:pPr>
        <w:jc w:val="both"/>
        <w:rPr>
          <w:rFonts w:asciiTheme="majorBidi" w:hAnsiTheme="majorBidi" w:cstheme="majorBidi"/>
          <w:lang w:val="en-GB"/>
        </w:rPr>
      </w:pPr>
      <w:r w:rsidRPr="00F03A26">
        <w:rPr>
          <w:rFonts w:asciiTheme="majorBidi" w:hAnsiTheme="majorBidi" w:cstheme="majorBidi"/>
          <w:lang w:val="en-GB"/>
        </w:rPr>
        <w:fldChar w:fldCharType="end"/>
      </w:r>
    </w:p>
    <w:sectPr w:rsidR="00E20DA9" w:rsidRPr="00F03A26" w:rsidSect="009A2B20">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A909CD" w14:textId="77777777" w:rsidR="00CB0CA8" w:rsidRDefault="00CB0CA8">
      <w:r>
        <w:separator/>
      </w:r>
    </w:p>
  </w:endnote>
  <w:endnote w:type="continuationSeparator" w:id="0">
    <w:p w14:paraId="009B9D41" w14:textId="77777777" w:rsidR="00CB0CA8" w:rsidRDefault="00CB0C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de">
    <w:altName w:val="Calibri"/>
    <w:panose1 w:val="020B0604020202020204"/>
    <w:charset w:val="00"/>
    <w:family w:val="swiss"/>
    <w:notTrueType/>
    <w:pitch w:val="default"/>
    <w:sig w:usb0="00000003" w:usb1="00000000" w:usb2="00000000" w:usb3="00000000" w:csb0="00000001" w:csb1="00000000"/>
  </w:font>
  <w:font w:name="TimesVvorm">
    <w:altName w:val="Times New Roman"/>
    <w:panose1 w:val="020B0604020202020204"/>
    <w:charset w:val="00"/>
    <w:family w:val="roman"/>
    <w:pitch w:val="default"/>
  </w:font>
  <w:font w:name="Ungkam Book Basic">
    <w:altName w:val="Times New Roman"/>
    <w:panose1 w:val="020B0604020202020204"/>
    <w:charset w:val="00"/>
    <w:family w:val="roman"/>
    <w:pitch w:val="variable"/>
  </w:font>
  <w:font w:name="ChaparralPro-Regular">
    <w:altName w:val="Cambria"/>
    <w:panose1 w:val="02060503040505020203"/>
    <w:charset w:val="00"/>
    <w:family w:val="roman"/>
    <w:pitch w:val="default"/>
  </w:font>
  <w:font w:name="TimesNewRomanPSMT">
    <w:altName w:val="Times New Roman"/>
    <w:panose1 w:val="020B0604020202020204"/>
    <w:charset w:val="00"/>
    <w:family w:val="auto"/>
    <w:pitch w:val="variable"/>
    <w:sig w:usb0="E0002AEF" w:usb1="C0007841" w:usb2="00000009" w:usb3="00000000" w:csb0="000001FF" w:csb1="00000000"/>
  </w:font>
  <w:font w:name="SemiramisUnicode">
    <w:altName w:val="Cambria"/>
    <w:panose1 w:val="020B0604020202020204"/>
    <w:charset w:val="00"/>
    <w:family w:val="roman"/>
    <w:pitch w:val="variable"/>
    <w:sig w:usb0="A0002AFF" w:usb1="D00078FB" w:usb2="00000028" w:usb3="00000000" w:csb0="000000FF" w:csb1="00000000"/>
  </w:font>
  <w:font w:name="Cambria Math">
    <w:panose1 w:val="02040503050406030204"/>
    <w:charset w:val="00"/>
    <w:family w:val="roman"/>
    <w:pitch w:val="variable"/>
    <w:sig w:usb0="E00002FF" w:usb1="420024FF" w:usb2="00000000" w:usb3="00000000" w:csb0="0000019F" w:csb1="00000000"/>
  </w:font>
  <w:font w:name="Ghisa New">
    <w:altName w:val="MV Boli"/>
    <w:panose1 w:val="020B0604020202020204"/>
    <w:charset w:val="00"/>
    <w:family w:val="roman"/>
    <w:pitch w:val="variable"/>
    <w:sig w:usb0="00000003" w:usb1="00000000" w:usb2="00000000" w:usb3="00000000" w:csb0="00000001" w:csb1="00000000"/>
  </w:font>
  <w:font w:name="Brill-Italic">
    <w:altName w:val="Adobe Fangsong Std R"/>
    <w:panose1 w:val="020B0604020202020204"/>
    <w:charset w:val="80"/>
    <w:family w:val="roman"/>
    <w:notTrueType/>
    <w:pitch w:val="default"/>
    <w:sig w:usb0="00000001" w:usb1="08070000" w:usb2="00000010" w:usb3="00000000" w:csb0="00020000" w:csb1="00000000"/>
  </w:font>
  <w:font w:name="Brill-Roman">
    <w:altName w:val="Yu Gothic"/>
    <w:panose1 w:val="020B0604020202020204"/>
    <w:charset w:val="80"/>
    <w:family w:val="roman"/>
    <w:notTrueType/>
    <w:pitch w:val="default"/>
    <w:sig w:usb0="00000001" w:usb1="08070000" w:usb2="00000010" w:usb3="00000000" w:csb0="00020000" w:csb1="00000000"/>
  </w:font>
  <w:font w:name="Code2000">
    <w:altName w:val="MS Gothic"/>
    <w:panose1 w:val="020B0604020202020204"/>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ayfaNumaras"/>
      </w:rPr>
      <w:id w:val="717253028"/>
      <w:docPartObj>
        <w:docPartGallery w:val="Page Numbers (Bottom of Page)"/>
        <w:docPartUnique/>
      </w:docPartObj>
    </w:sdtPr>
    <w:sdtContent>
      <w:p w14:paraId="39414361" w14:textId="32D9B9BB" w:rsidR="00BC7D7E" w:rsidRDefault="00BC7D7E" w:rsidP="00DF039C">
        <w:pPr>
          <w:pStyle w:val="AltBilgi"/>
          <w:framePr w:wrap="none" w:vAnchor="text" w:hAnchor="margin" w:xAlign="right" w:y="1"/>
          <w:rPr>
            <w:rStyle w:val="SayfaNumaras"/>
          </w:rPr>
        </w:pPr>
        <w:r>
          <w:rPr>
            <w:rStyle w:val="SayfaNumaras"/>
          </w:rPr>
          <w:fldChar w:fldCharType="begin"/>
        </w:r>
        <w:r>
          <w:rPr>
            <w:rStyle w:val="SayfaNumaras"/>
          </w:rPr>
          <w:instrText xml:space="preserve"> PAGE </w:instrText>
        </w:r>
        <w:r>
          <w:rPr>
            <w:rStyle w:val="SayfaNumaras"/>
          </w:rPr>
          <w:fldChar w:fldCharType="separate"/>
        </w:r>
        <w:r>
          <w:rPr>
            <w:rStyle w:val="SayfaNumaras"/>
            <w:noProof/>
          </w:rPr>
          <w:t>148</w:t>
        </w:r>
        <w:r>
          <w:rPr>
            <w:rStyle w:val="SayfaNumaras"/>
          </w:rPr>
          <w:fldChar w:fldCharType="end"/>
        </w:r>
      </w:p>
    </w:sdtContent>
  </w:sdt>
  <w:p w14:paraId="4918033E" w14:textId="77777777" w:rsidR="00BC7D7E" w:rsidRDefault="00BC7D7E" w:rsidP="00C10847">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ayfaNumaras"/>
      </w:rPr>
      <w:id w:val="-1685355603"/>
      <w:docPartObj>
        <w:docPartGallery w:val="Page Numbers (Bottom of Page)"/>
        <w:docPartUnique/>
      </w:docPartObj>
    </w:sdtPr>
    <w:sdtContent>
      <w:p w14:paraId="3893BE9D" w14:textId="1046D905" w:rsidR="00BC7D7E" w:rsidRDefault="00BC7D7E" w:rsidP="00991845">
        <w:pPr>
          <w:pStyle w:val="AltBilgi"/>
          <w:framePr w:wrap="none" w:vAnchor="text" w:hAnchor="margin" w:xAlign="right" w:y="1"/>
          <w:rPr>
            <w:rStyle w:val="SayfaNumaras"/>
          </w:rPr>
        </w:pPr>
        <w:r>
          <w:rPr>
            <w:rStyle w:val="SayfaNumaras"/>
          </w:rPr>
          <w:fldChar w:fldCharType="begin"/>
        </w:r>
        <w:r>
          <w:rPr>
            <w:rStyle w:val="SayfaNumaras"/>
          </w:rPr>
          <w:instrText xml:space="preserve"> PAGE </w:instrText>
        </w:r>
        <w:r>
          <w:rPr>
            <w:rStyle w:val="SayfaNumaras"/>
          </w:rPr>
          <w:fldChar w:fldCharType="separate"/>
        </w:r>
        <w:r w:rsidR="00195999">
          <w:rPr>
            <w:rStyle w:val="SayfaNumaras"/>
            <w:noProof/>
          </w:rPr>
          <w:t>394</w:t>
        </w:r>
        <w:r>
          <w:rPr>
            <w:rStyle w:val="SayfaNumaras"/>
          </w:rPr>
          <w:fldChar w:fldCharType="end"/>
        </w:r>
      </w:p>
    </w:sdtContent>
  </w:sdt>
  <w:p w14:paraId="6F2C1F09" w14:textId="74093BF3" w:rsidR="00BC7D7E" w:rsidRDefault="00BC7D7E" w:rsidP="00527377">
    <w:pPr>
      <w:pStyle w:val="AltBilgi"/>
      <w:framePr w:wrap="none" w:vAnchor="text" w:hAnchor="margin" w:xAlign="center" w:y="1"/>
      <w:ind w:right="360"/>
      <w:rPr>
        <w:rStyle w:val="SayfaNumaras"/>
      </w:rPr>
    </w:pPr>
  </w:p>
  <w:p w14:paraId="22D4FFF5" w14:textId="77777777" w:rsidR="00BC7D7E" w:rsidRDefault="00BC7D7E" w:rsidP="00C10847">
    <w:pPr>
      <w:pStyle w:val="AltBilgi"/>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8BF37C" w14:textId="77777777" w:rsidR="0022085E" w:rsidRDefault="0022085E">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70EB61" w14:textId="77777777" w:rsidR="00CB0CA8" w:rsidRDefault="00CB0CA8" w:rsidP="00627764">
      <w:r>
        <w:separator/>
      </w:r>
    </w:p>
  </w:footnote>
  <w:footnote w:type="continuationSeparator" w:id="0">
    <w:p w14:paraId="64185133" w14:textId="77777777" w:rsidR="00CB0CA8" w:rsidRDefault="00CB0CA8" w:rsidP="00627764">
      <w:r>
        <w:continuationSeparator/>
      </w:r>
    </w:p>
  </w:footnote>
  <w:footnote w:id="1">
    <w:p w14:paraId="6D3B19BF" w14:textId="42813B52" w:rsidR="003A6C5A" w:rsidRDefault="003A6C5A">
      <w:pPr>
        <w:pStyle w:val="DipnotMetni"/>
      </w:pPr>
      <w:r>
        <w:rPr>
          <w:rStyle w:val="DipnotBavurusu"/>
        </w:rPr>
        <w:footnoteRef/>
      </w:r>
      <w:r>
        <w:t xml:space="preserve"> </w:t>
      </w:r>
      <w:r w:rsidRPr="00AB28D0">
        <w:rPr>
          <w:rFonts w:asciiTheme="majorBidi" w:hAnsiTheme="majorBidi"/>
          <w:lang w:val="en-GB"/>
        </w:rPr>
        <w:t>See here Evliya Çelebi</w:t>
      </w:r>
      <w:r w:rsidRPr="00AB28D0">
        <w:rPr>
          <w:rFonts w:asciiTheme="majorBidi" w:hAnsiTheme="majorBidi"/>
          <w:lang w:val="en-GB"/>
        </w:rPr>
        <w:fldChar w:fldCharType="begin"/>
      </w:r>
      <w:r w:rsidRPr="00AB28D0">
        <w:rPr>
          <w:rFonts w:asciiTheme="majorBidi" w:hAnsiTheme="majorBidi"/>
          <w:lang w:val="en-GB"/>
        </w:rPr>
        <w:instrText xml:space="preserve"> XE "</w:instrText>
      </w:r>
      <w:r w:rsidRPr="00AB28D0">
        <w:rPr>
          <w:rFonts w:asciiTheme="majorBidi" w:hAnsiTheme="majorBidi"/>
          <w:color w:val="000000" w:themeColor="text1"/>
          <w:lang w:val="en-GB"/>
        </w:rPr>
        <w:instrText>Evliya Çelebi</w:instrText>
      </w:r>
      <w:r w:rsidRPr="00AB28D0">
        <w:rPr>
          <w:rFonts w:asciiTheme="majorBidi" w:hAnsiTheme="majorBidi"/>
          <w:lang w:val="en-GB"/>
        </w:rPr>
        <w:instrText xml:space="preserve">" </w:instrText>
      </w:r>
      <w:r w:rsidRPr="00AB28D0">
        <w:rPr>
          <w:rFonts w:asciiTheme="majorBidi" w:hAnsiTheme="majorBidi"/>
          <w:lang w:val="en-GB"/>
        </w:rPr>
        <w:fldChar w:fldCharType="end"/>
      </w:r>
      <w:r w:rsidRPr="00AB28D0">
        <w:rPr>
          <w:rFonts w:asciiTheme="majorBidi" w:hAnsiTheme="majorBidi"/>
          <w:lang w:val="en-GB"/>
        </w:rPr>
        <w:t xml:space="preserve"> Footnote 10: “The waters of Horhor</w:t>
      </w:r>
      <w:r w:rsidRPr="00AB28D0">
        <w:rPr>
          <w:rFonts w:asciiTheme="majorBidi" w:hAnsiTheme="majorBidi"/>
          <w:lang w:val="en-GB"/>
        </w:rPr>
        <w:fldChar w:fldCharType="begin"/>
      </w:r>
      <w:r w:rsidRPr="00AB28D0">
        <w:rPr>
          <w:rFonts w:asciiTheme="majorBidi" w:hAnsiTheme="majorBidi"/>
          <w:lang w:val="en-GB"/>
        </w:rPr>
        <w:instrText xml:space="preserve"> XE "</w:instrText>
      </w:r>
      <w:r w:rsidRPr="00AB28D0">
        <w:rPr>
          <w:rFonts w:asciiTheme="majorBidi" w:hAnsiTheme="majorBidi"/>
          <w:color w:val="000000" w:themeColor="text1"/>
          <w:lang w:val="en-GB"/>
        </w:rPr>
        <w:instrText>Horhor</w:instrText>
      </w:r>
      <w:r w:rsidRPr="00AB28D0">
        <w:rPr>
          <w:rFonts w:asciiTheme="majorBidi" w:hAnsiTheme="majorBidi"/>
          <w:lang w:val="en-GB"/>
        </w:rPr>
        <w:instrText xml:space="preserve">" </w:instrText>
      </w:r>
      <w:r w:rsidRPr="00AB28D0">
        <w:rPr>
          <w:rFonts w:asciiTheme="majorBidi" w:hAnsiTheme="majorBidi"/>
          <w:lang w:val="en-GB"/>
        </w:rPr>
        <w:fldChar w:fldCharType="end"/>
      </w:r>
      <w:r w:rsidRPr="00AB28D0">
        <w:rPr>
          <w:rFonts w:asciiTheme="majorBidi" w:hAnsiTheme="majorBidi"/>
          <w:lang w:val="en-GB"/>
        </w:rPr>
        <w:t>, which can turn a mill, flow from the fortress rock of the Van Fortress, and a fresh water flows from inside the tannery, irrigating the vineyards, gardens and orchards outside, and mixing with the sea,” p241; Horhor Fountain</w:t>
      </w:r>
      <w:r w:rsidRPr="00AB28D0">
        <w:rPr>
          <w:rFonts w:asciiTheme="majorBidi" w:hAnsiTheme="majorBidi"/>
          <w:lang w:val="en-GB"/>
        </w:rPr>
        <w:fldChar w:fldCharType="begin"/>
      </w:r>
      <w:r w:rsidRPr="00AB28D0">
        <w:rPr>
          <w:rFonts w:asciiTheme="majorBidi" w:hAnsiTheme="majorBidi"/>
          <w:lang w:val="en-GB"/>
        </w:rPr>
        <w:instrText xml:space="preserve"> XE "Horhor Fountain" </w:instrText>
      </w:r>
      <w:r w:rsidRPr="00AB28D0">
        <w:rPr>
          <w:rFonts w:asciiTheme="majorBidi" w:hAnsiTheme="majorBidi"/>
          <w:lang w:val="en-GB"/>
        </w:rPr>
        <w:fldChar w:fldCharType="end"/>
      </w:r>
      <w:r w:rsidRPr="00AB28D0">
        <w:rPr>
          <w:rFonts w:asciiTheme="majorBidi" w:hAnsiTheme="majorBidi"/>
          <w:lang w:val="en-GB"/>
        </w:rPr>
        <w:t xml:space="preserve"> p.263; “(—) fresh water springs flow under the Ṭušpa</w:t>
      </w:r>
      <w:r w:rsidR="00E2269D">
        <w:rPr>
          <w:rFonts w:asciiTheme="majorBidi" w:hAnsiTheme="majorBidi"/>
          <w:lang w:val="en-GB"/>
        </w:rPr>
        <w:t>/Van</w:t>
      </w:r>
      <w:r w:rsidRPr="00AB28D0">
        <w:rPr>
          <w:rFonts w:asciiTheme="majorBidi" w:hAnsiTheme="majorBidi"/>
          <w:lang w:val="en-GB"/>
        </w:rPr>
        <w:t xml:space="preserve"> Rock</w:t>
      </w:r>
      <w:r w:rsidR="00E2269D">
        <w:rPr>
          <w:rFonts w:asciiTheme="majorBidi" w:hAnsiTheme="majorBidi"/>
          <w:lang w:val="en-GB"/>
        </w:rPr>
        <w:fldChar w:fldCharType="begin"/>
      </w:r>
      <w:r w:rsidR="00E2269D">
        <w:instrText xml:space="preserve"> XE "</w:instrText>
      </w:r>
      <w:r w:rsidR="00E2269D" w:rsidRPr="007A7330">
        <w:rPr>
          <w:rFonts w:asciiTheme="majorBidi" w:hAnsiTheme="majorBidi"/>
          <w:lang w:val="en-GB"/>
        </w:rPr>
        <w:instrText>Ṭušpa/Van Rock</w:instrText>
      </w:r>
      <w:r w:rsidR="00E2269D">
        <w:instrText xml:space="preserve">" </w:instrText>
      </w:r>
      <w:r w:rsidR="00E2269D">
        <w:rPr>
          <w:rFonts w:asciiTheme="majorBidi" w:hAnsiTheme="majorBidi"/>
          <w:lang w:val="en-GB"/>
        </w:rPr>
        <w:fldChar w:fldCharType="end"/>
      </w:r>
      <w:r w:rsidRPr="00AB28D0">
        <w:rPr>
          <w:rFonts w:asciiTheme="majorBidi" w:hAnsiTheme="majorBidi"/>
          <w:lang w:val="en-GB"/>
        </w:rPr>
        <w:t xml:space="preserve"> and these waters become a mill-turning river in the district called Horhor”</w:t>
      </w:r>
      <w:r w:rsidR="007E4D33">
        <w:rPr>
          <w:rFonts w:asciiTheme="majorBidi" w:hAnsiTheme="majorBidi"/>
          <w:lang w:val="en-GB"/>
        </w:rPr>
        <w:t xml:space="preserve">, </w:t>
      </w:r>
      <w:r w:rsidRPr="00AB28D0">
        <w:rPr>
          <w:rFonts w:asciiTheme="majorBidi" w:hAnsiTheme="majorBidi"/>
          <w:lang w:val="en-GB"/>
        </w:rPr>
        <w:t>266.</w:t>
      </w:r>
    </w:p>
  </w:footnote>
  <w:footnote w:id="2">
    <w:p w14:paraId="76EDD32E" w14:textId="22378DC2" w:rsidR="003A6C5A" w:rsidRDefault="003A6C5A" w:rsidP="00EC58D3">
      <w:pPr>
        <w:pStyle w:val="DipnotMetni"/>
        <w:jc w:val="both"/>
      </w:pPr>
      <w:r>
        <w:rPr>
          <w:rStyle w:val="DipnotBavurusu"/>
        </w:rPr>
        <w:footnoteRef/>
      </w:r>
      <w:r>
        <w:t xml:space="preserve"> </w:t>
      </w:r>
      <w:r w:rsidRPr="00230497">
        <w:rPr>
          <w:rFonts w:asciiTheme="majorBidi" w:hAnsiTheme="majorBidi" w:cstheme="majorBidi"/>
          <w:lang w:val="en-GB"/>
        </w:rPr>
        <w:t>Paul Müller-Simonis</w:t>
      </w:r>
      <w:r w:rsidRPr="00230497">
        <w:rPr>
          <w:rFonts w:asciiTheme="majorBidi" w:hAnsiTheme="majorBidi" w:cstheme="majorBidi"/>
          <w:lang w:val="en-GB"/>
        </w:rPr>
        <w:fldChar w:fldCharType="begin"/>
      </w:r>
      <w:r w:rsidRPr="00230497">
        <w:rPr>
          <w:rFonts w:asciiTheme="majorBidi" w:hAnsiTheme="majorBidi" w:cstheme="majorBidi"/>
          <w:lang w:val="en-GB"/>
        </w:rPr>
        <w:instrText xml:space="preserve"> XE "</w:instrText>
      </w:r>
      <w:r w:rsidRPr="00230497">
        <w:rPr>
          <w:rFonts w:asciiTheme="majorBidi" w:hAnsiTheme="majorBidi" w:cstheme="majorBidi"/>
          <w:iCs/>
          <w:color w:val="000000" w:themeColor="text1"/>
          <w:lang w:val="en-GB"/>
        </w:rPr>
        <w:instrText>Müller-Simonis</w:instrText>
      </w:r>
      <w:r w:rsidRPr="00230497">
        <w:rPr>
          <w:rFonts w:asciiTheme="majorBidi" w:hAnsiTheme="majorBidi" w:cstheme="majorBidi"/>
          <w:lang w:val="en-GB"/>
        </w:rPr>
        <w:instrText xml:space="preserve">" </w:instrText>
      </w:r>
      <w:r w:rsidRPr="00230497">
        <w:rPr>
          <w:rFonts w:asciiTheme="majorBidi" w:hAnsiTheme="majorBidi" w:cstheme="majorBidi"/>
          <w:lang w:val="en-GB"/>
        </w:rPr>
        <w:fldChar w:fldCharType="end"/>
      </w:r>
      <w:r w:rsidRPr="00230497">
        <w:rPr>
          <w:rFonts w:asciiTheme="majorBidi" w:hAnsiTheme="majorBidi" w:cstheme="majorBidi"/>
          <w:lang w:val="en-GB"/>
        </w:rPr>
        <w:t xml:space="preserve"> and Henri Hyvernat</w:t>
      </w:r>
      <w:r w:rsidR="001F2587">
        <w:rPr>
          <w:rFonts w:asciiTheme="majorBidi" w:hAnsiTheme="majorBidi" w:cstheme="majorBidi"/>
          <w:lang w:val="en-GB"/>
        </w:rPr>
        <w:fldChar w:fldCharType="begin"/>
      </w:r>
      <w:r w:rsidR="001F2587">
        <w:instrText xml:space="preserve"> XE "</w:instrText>
      </w:r>
      <w:r w:rsidR="001F2587" w:rsidRPr="00616BED">
        <w:rPr>
          <w:rFonts w:asciiTheme="majorBidi" w:hAnsiTheme="majorBidi" w:cstheme="majorBidi"/>
          <w:kern w:val="0"/>
          <w:sz w:val="22"/>
          <w:szCs w:val="22"/>
          <w:lang w:val="en-US"/>
          <w14:ligatures w14:val="none"/>
        </w:rPr>
        <w:instrText>Hyvernat</w:instrText>
      </w:r>
      <w:r w:rsidR="001F2587">
        <w:instrText xml:space="preserve">" </w:instrText>
      </w:r>
      <w:r w:rsidR="001F2587">
        <w:rPr>
          <w:rFonts w:asciiTheme="majorBidi" w:hAnsiTheme="majorBidi" w:cstheme="majorBidi"/>
          <w:lang w:val="en-GB"/>
        </w:rPr>
        <w:fldChar w:fldCharType="end"/>
      </w:r>
      <w:r w:rsidRPr="00230497">
        <w:rPr>
          <w:rFonts w:asciiTheme="majorBidi" w:hAnsiTheme="majorBidi" w:cstheme="majorBidi"/>
          <w:lang w:val="en-GB"/>
        </w:rPr>
        <w:t>, who visited Toprakkale</w:t>
      </w:r>
      <w:r w:rsidRPr="00230497">
        <w:rPr>
          <w:rFonts w:asciiTheme="majorBidi" w:hAnsiTheme="majorBidi" w:cstheme="majorBidi"/>
          <w:lang w:val="en-GB"/>
        </w:rPr>
        <w:fldChar w:fldCharType="begin"/>
      </w:r>
      <w:r w:rsidRPr="00230497">
        <w:rPr>
          <w:rFonts w:asciiTheme="majorBidi" w:hAnsiTheme="majorBidi" w:cstheme="majorBidi"/>
          <w:lang w:val="en-GB"/>
        </w:rPr>
        <w:instrText xml:space="preserve"> XE "Toprakkale" </w:instrText>
      </w:r>
      <w:r w:rsidRPr="00230497">
        <w:rPr>
          <w:rFonts w:asciiTheme="majorBidi" w:hAnsiTheme="majorBidi" w:cstheme="majorBidi"/>
          <w:lang w:val="en-GB"/>
        </w:rPr>
        <w:fldChar w:fldCharType="end"/>
      </w:r>
      <w:r w:rsidRPr="00230497">
        <w:rPr>
          <w:rFonts w:asciiTheme="majorBidi" w:hAnsiTheme="majorBidi" w:cstheme="majorBidi"/>
          <w:lang w:val="en-GB"/>
        </w:rPr>
        <w:t>, talk about Toprakkale's location, construction system and melting mud bricks, and they mention that the excavation was led by E Chantre</w:t>
      </w:r>
      <w:r w:rsidRPr="00230497">
        <w:rPr>
          <w:rFonts w:asciiTheme="majorBidi" w:hAnsiTheme="majorBidi" w:cstheme="majorBidi"/>
          <w:lang w:val="en-GB"/>
        </w:rPr>
        <w:fldChar w:fldCharType="begin"/>
      </w:r>
      <w:r w:rsidRPr="00230497">
        <w:rPr>
          <w:rFonts w:asciiTheme="majorBidi" w:hAnsiTheme="majorBidi" w:cstheme="majorBidi"/>
          <w:lang w:val="en-GB"/>
        </w:rPr>
        <w:instrText xml:space="preserve"> XE "</w:instrText>
      </w:r>
      <w:r w:rsidRPr="00230497">
        <w:rPr>
          <w:rFonts w:asciiTheme="majorBidi" w:hAnsiTheme="majorBidi" w:cstheme="majorBidi"/>
          <w:iCs/>
          <w:color w:val="000000" w:themeColor="text1"/>
          <w:lang w:val="en-GB"/>
        </w:rPr>
        <w:instrText>Chantre</w:instrText>
      </w:r>
      <w:r w:rsidRPr="00230497">
        <w:rPr>
          <w:rFonts w:asciiTheme="majorBidi" w:hAnsiTheme="majorBidi" w:cstheme="majorBidi"/>
          <w:lang w:val="en-GB"/>
        </w:rPr>
        <w:instrText xml:space="preserve">" </w:instrText>
      </w:r>
      <w:r w:rsidRPr="00230497">
        <w:rPr>
          <w:rFonts w:asciiTheme="majorBidi" w:hAnsiTheme="majorBidi" w:cstheme="majorBidi"/>
          <w:lang w:val="en-GB"/>
        </w:rPr>
        <w:fldChar w:fldCharType="end"/>
      </w:r>
      <w:r w:rsidRPr="00230497">
        <w:rPr>
          <w:rFonts w:asciiTheme="majorBidi" w:hAnsiTheme="majorBidi" w:cstheme="majorBidi"/>
          <w:lang w:val="en-GB"/>
        </w:rPr>
        <w:t xml:space="preserve"> and Barry together with the British. (Müller-Simonis </w:t>
      </w:r>
      <w:r w:rsidRPr="00230497">
        <w:rPr>
          <w:rFonts w:asciiTheme="majorBidi" w:eastAsia="Times New Roman" w:hAnsiTheme="majorBidi" w:cstheme="majorBidi"/>
          <w:color w:val="111111"/>
          <w:lang w:val="en-GB" w:bidi="he-IL"/>
        </w:rPr>
        <w:t xml:space="preserve">&amp; </w:t>
      </w:r>
      <w:r w:rsidRPr="00230497">
        <w:rPr>
          <w:rFonts w:asciiTheme="majorBidi" w:hAnsiTheme="majorBidi" w:cstheme="majorBidi"/>
          <w:lang w:val="en-GB"/>
        </w:rPr>
        <w:t>Hyvernat, 1892: 193-194). Reclus, on the other hand, defines Toprakkale as an Assyrian</w:t>
      </w:r>
      <w:r w:rsidRPr="00230497">
        <w:rPr>
          <w:rFonts w:asciiTheme="majorBidi" w:hAnsiTheme="majorBidi" w:cstheme="majorBidi"/>
          <w:lang w:val="en-GB"/>
        </w:rPr>
        <w:fldChar w:fldCharType="begin"/>
      </w:r>
      <w:r w:rsidRPr="00230497">
        <w:rPr>
          <w:rFonts w:asciiTheme="majorBidi" w:hAnsiTheme="majorBidi" w:cstheme="majorBidi"/>
          <w:lang w:val="en-GB"/>
        </w:rPr>
        <w:instrText xml:space="preserve"> XE "Assyrian" </w:instrText>
      </w:r>
      <w:r w:rsidRPr="00230497">
        <w:rPr>
          <w:rFonts w:asciiTheme="majorBidi" w:hAnsiTheme="majorBidi" w:cstheme="majorBidi"/>
          <w:lang w:val="en-GB"/>
        </w:rPr>
        <w:fldChar w:fldCharType="end"/>
      </w:r>
      <w:r w:rsidRPr="00230497">
        <w:rPr>
          <w:rFonts w:asciiTheme="majorBidi" w:hAnsiTheme="majorBidi" w:cstheme="majorBidi"/>
          <w:lang w:val="en-GB"/>
        </w:rPr>
        <w:t xml:space="preserve"> fortress consisting of three different forms with basalt walls and towers, and mentions that it was discovered by Chantre and Barry (Reclus, 1876, 190). If we take into account the time period between 1881 and the two photographs taken by Chantre and Barry, taken in front of the Toprakkale temple, from 1876, when they discovered Toprakkale, as Reclus mentioned, we can say that they were interested in this area.</w:t>
      </w:r>
    </w:p>
  </w:footnote>
  <w:footnote w:id="3">
    <w:p w14:paraId="7BC4E27B" w14:textId="1B26CE50" w:rsidR="0035259E" w:rsidRDefault="0035259E" w:rsidP="003A0DA8">
      <w:pPr>
        <w:pStyle w:val="DipnotMetni"/>
        <w:jc w:val="both"/>
      </w:pPr>
      <w:r>
        <w:rPr>
          <w:rStyle w:val="DipnotBavurusu"/>
        </w:rPr>
        <w:footnoteRef/>
      </w:r>
      <w:r>
        <w:t xml:space="preserve"> </w:t>
      </w:r>
      <w:r w:rsidRPr="00230497">
        <w:rPr>
          <w:rFonts w:ascii="Times New Roman" w:hAnsi="Times New Roman" w:cs="Times New Roman"/>
          <w:lang w:val="en-GB"/>
        </w:rPr>
        <w:t>Silva and Kirsopp Lake found pre-Urartian</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Urartian</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ceramics in the early levels of the excavations conducted in different sections of the Van Fortress (Korfmann, 1977: 191, 198). However, Tarhan stated that they encountered few Early Bronze Age ceramics during their work in the citadel, and that these sherds were not related to any secure contexts but were carried here with the soil from the mound (Tarhan </w:t>
      </w:r>
      <w:r w:rsidRPr="00230497">
        <w:rPr>
          <w:rFonts w:ascii="Times New Roman" w:eastAsia="Times New Roman" w:hAnsi="Times New Roman" w:cs="Times New Roman"/>
          <w:lang w:val="en-GB" w:eastAsia="tr-TR" w:bidi="he-IL"/>
        </w:rPr>
        <w:t>&amp; Sevin</w:t>
      </w:r>
      <w:r w:rsidRPr="00230497">
        <w:rPr>
          <w:rFonts w:ascii="Times New Roman" w:hAnsi="Times New Roman" w:cs="Times New Roman"/>
          <w:color w:val="0070C0"/>
          <w:lang w:val="en-GB"/>
        </w:rPr>
        <w:t xml:space="preserve"> </w:t>
      </w:r>
      <w:r w:rsidRPr="00230497">
        <w:rPr>
          <w:rFonts w:ascii="Times New Roman" w:hAnsi="Times New Roman" w:cs="Times New Roman"/>
          <w:lang w:val="en-GB"/>
        </w:rPr>
        <w:t>1993: 847).</w:t>
      </w:r>
    </w:p>
  </w:footnote>
  <w:footnote w:id="4">
    <w:p w14:paraId="7494819E" w14:textId="3AC5924D" w:rsidR="0035259E" w:rsidRDefault="0035259E" w:rsidP="0072045F">
      <w:pPr>
        <w:pStyle w:val="DipnotMetni"/>
        <w:jc w:val="both"/>
      </w:pPr>
      <w:r>
        <w:rPr>
          <w:rStyle w:val="DipnotBavurusu"/>
        </w:rPr>
        <w:footnoteRef/>
      </w:r>
      <w:r>
        <w:t xml:space="preserve"> </w:t>
      </w:r>
      <w:r w:rsidRPr="00230497">
        <w:rPr>
          <w:rFonts w:ascii="Times New Roman" w:hAnsi="Times New Roman" w:cs="Times New Roman"/>
          <w:lang w:val="en-GB"/>
        </w:rPr>
        <w:t>During  excavations between 2010-2019 at the Van Fortress Mound</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imes New Roman" w:hAnsi="Times New Roman" w:cs="Times New Roman"/>
          <w:lang w:val="en-GB"/>
        </w:rPr>
        <w:instrText>Van Fortress Mound</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levels dating to the Early Bronze Age, Middle/Late Bronze Age, Early Iron Age</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Early Iron Age</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Iron Age, Late Iron Age and Medieval periods were documented. It is also understood that the Early Urartian</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Urartian</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occupation was right above the Early Iron Age levels.</w:t>
      </w:r>
    </w:p>
  </w:footnote>
  <w:footnote w:id="5">
    <w:p w14:paraId="75D30ED9" w14:textId="2942F04D" w:rsidR="0035259E" w:rsidRDefault="0035259E" w:rsidP="0072045F">
      <w:pPr>
        <w:pStyle w:val="DipnotMetni"/>
        <w:jc w:val="both"/>
      </w:pPr>
      <w:r>
        <w:rPr>
          <w:rStyle w:val="DipnotBavurusu"/>
        </w:rPr>
        <w:footnoteRef/>
      </w:r>
      <w:r>
        <w:t xml:space="preserve"> </w:t>
      </w:r>
      <w:r w:rsidRPr="00230497">
        <w:rPr>
          <w:rFonts w:ascii="Times New Roman" w:hAnsi="Times New Roman" w:cs="Times New Roman"/>
          <w:lang w:val="en-GB"/>
        </w:rPr>
        <w:t>Supporting data on this matter comes from excavations at the mound adjacent to the citadel. The excavations at the citadel, on the other hand, focussed on the Urartian</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Urartian</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and Medieval structures. The thick occupation deposits dating to these periods hindered further studies on </w:t>
      </w:r>
      <w:r w:rsidRPr="005C68BB">
        <w:rPr>
          <w:rFonts w:asciiTheme="majorBidi" w:hAnsiTheme="majorBidi" w:cstheme="majorBidi"/>
          <w:lang w:val="en-GB"/>
        </w:rPr>
        <w:t xml:space="preserve">the </w:t>
      </w:r>
      <w:r w:rsidR="005C68BB" w:rsidRPr="005C68BB">
        <w:rPr>
          <w:rFonts w:asciiTheme="majorBidi" w:hAnsiTheme="majorBidi" w:cstheme="majorBidi"/>
          <w:color w:val="474747"/>
          <w:shd w:val="clear" w:color="auto" w:fill="FFFFFF"/>
        </w:rPr>
        <w:t>Protohistoric Periods</w:t>
      </w:r>
      <w:r w:rsidRPr="00230497">
        <w:rPr>
          <w:rFonts w:ascii="Times New Roman" w:hAnsi="Times New Roman" w:cs="Times New Roman"/>
          <w:lang w:val="en-GB"/>
        </w:rPr>
        <w:t xml:space="preserve">. However, further investigations concentrating on the so far unknown periods in </w:t>
      </w:r>
      <w:r w:rsidRPr="0091160E">
        <w:rPr>
          <w:rFonts w:ascii="Times New Roman" w:hAnsi="Times New Roman" w:cs="Times New Roman"/>
          <w:lang w:val="en-GB"/>
        </w:rPr>
        <w:t>Ṭušpa</w:t>
      </w:r>
      <w:r w:rsidRPr="00230497">
        <w:rPr>
          <w:rFonts w:ascii="Times New Roman" w:hAnsi="Times New Roman" w:cs="Times New Roman"/>
          <w:lang w:val="en-GB"/>
        </w:rPr>
        <w:t xml:space="preserve"> </w:t>
      </w:r>
      <w:r>
        <w:rPr>
          <w:rFonts w:ascii="Times New Roman" w:hAnsi="Times New Roman" w:cs="Times New Roman"/>
          <w:lang w:val="en-GB"/>
        </w:rPr>
        <w:t>citadel</w:t>
      </w:r>
      <w:r w:rsidRPr="00230497">
        <w:rPr>
          <w:rFonts w:ascii="Times New Roman" w:hAnsi="Times New Roman" w:cs="Times New Roman"/>
          <w:lang w:val="en-GB"/>
        </w:rPr>
        <w:t>, and especially the Early Iron Age</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Early Iron Age</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occupations, may reveal insights into understanding why the Urartians</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Urartians</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designated this area as their capital city.</w:t>
      </w:r>
    </w:p>
  </w:footnote>
  <w:footnote w:id="6">
    <w:p w14:paraId="51F695A3" w14:textId="78F3E159" w:rsidR="003A0DA8" w:rsidRDefault="003A0DA8" w:rsidP="00F775EF">
      <w:pPr>
        <w:pStyle w:val="DipnotMetni"/>
        <w:jc w:val="both"/>
      </w:pPr>
      <w:r>
        <w:rPr>
          <w:rStyle w:val="DipnotBavurusu"/>
        </w:rPr>
        <w:footnoteRef/>
      </w:r>
      <w:r>
        <w:t xml:space="preserve"> </w:t>
      </w:r>
      <w:r w:rsidRPr="00F15956">
        <w:rPr>
          <w:rFonts w:ascii="Times New Roman" w:hAnsi="Times New Roman" w:cs="Times New Roman"/>
          <w:lang w:val="en-GB"/>
        </w:rPr>
        <w:t>First, Belli suggested this location (Belli, 1980: 115-150), recently  Kuvanç, because of  his investigations on the travertines of Sardurburç</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F15956">
        <w:rPr>
          <w:rFonts w:asciiTheme="majorBidi" w:hAnsiTheme="majorBidi" w:cstheme="majorBidi"/>
          <w:lang w:val="en-GB"/>
        </w:rPr>
        <w:instrText>Sardurburç</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xml:space="preserve"> and Edremit</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F15956">
        <w:rPr>
          <w:rFonts w:asciiTheme="majorBidi" w:hAnsiTheme="majorBidi" w:cstheme="majorBidi"/>
          <w:color w:val="202124"/>
          <w:sz w:val="24"/>
          <w:szCs w:val="24"/>
          <w:lang w:val="en-GB"/>
        </w:rPr>
        <w:instrText>Edremit</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xml:space="preserve">, pointed out that the city of </w:t>
      </w:r>
      <w:r w:rsidRPr="00352C81">
        <w:rPr>
          <w:rFonts w:ascii="Times New Roman" w:hAnsi="Times New Roman" w:cs="Times New Roman"/>
          <w:iCs/>
          <w:lang w:val="en-GB"/>
        </w:rPr>
        <w:t>Alniunu</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7256E1">
        <w:rPr>
          <w:rFonts w:asciiTheme="majorBidi" w:hAnsiTheme="majorBidi" w:cstheme="majorBidi"/>
          <w:lang w:val="en-GB"/>
        </w:rPr>
        <w:instrText>Alniunu</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which is mentioned in the Sardurburç inscriptions</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F15956">
        <w:rPr>
          <w:rFonts w:asciiTheme="majorBidi" w:hAnsiTheme="majorBidi" w:cstheme="majorBidi"/>
          <w:lang w:val="en-GB"/>
        </w:rPr>
        <w:instrText>Sardurburç inscriptions</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xml:space="preserve"> and whose localisation could not be made precisely, may be located in the travertine area extending between Edremit and Gevaş</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F15956">
        <w:rPr>
          <w:rFonts w:cs="Times New Roman"/>
          <w:lang w:val="en-GB"/>
        </w:rPr>
        <w:instrText>Gevaş</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xml:space="preserve"> (Kuvanç, 2017: 122-123).</w:t>
      </w:r>
    </w:p>
  </w:footnote>
  <w:footnote w:id="7">
    <w:p w14:paraId="6F1939CE" w14:textId="4A12CCB8" w:rsidR="003A0DA8" w:rsidRDefault="003A0DA8" w:rsidP="00E60B29">
      <w:pPr>
        <w:pStyle w:val="DipnotMetni"/>
        <w:jc w:val="both"/>
      </w:pPr>
      <w:r>
        <w:rPr>
          <w:rStyle w:val="DipnotBavurusu"/>
        </w:rPr>
        <w:footnoteRef/>
      </w:r>
      <w:r>
        <w:t xml:space="preserve"> </w:t>
      </w:r>
      <w:r w:rsidRPr="007C6821">
        <w:rPr>
          <w:rFonts w:ascii="Times New Roman" w:hAnsi="Times New Roman" w:cs="Times New Roman"/>
          <w:color w:val="000000" w:themeColor="text1"/>
          <w:shd w:val="clear" w:color="auto" w:fill="FFFFFF"/>
          <w:lang w:val="en-GB"/>
        </w:rPr>
        <w:t>I</w:t>
      </w:r>
      <w:r w:rsidRPr="00352C81">
        <w:rPr>
          <w:rFonts w:ascii="Times New Roman" w:hAnsi="Times New Roman" w:cs="Times New Roman"/>
          <w:shd w:val="clear" w:color="auto" w:fill="FFFFFF"/>
          <w:lang w:val="en-GB"/>
        </w:rPr>
        <w:t>ndirect evidence suggests that the Urartian</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lang w:val="en-GB"/>
        </w:rPr>
        <w:instrText>Urartian</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xml:space="preserve"> military campaigns and the subsequent deportations began during the reign of </w:t>
      </w:r>
      <w:r w:rsidRPr="00352C81">
        <w:rPr>
          <w:rFonts w:ascii="Times New Roman" w:hAnsi="Times New Roman" w:cs="Times New Roman"/>
          <w:iCs/>
          <w:shd w:val="clear" w:color="auto" w:fill="FFFFFF"/>
          <w:lang w:val="en-GB"/>
        </w:rPr>
        <w:t>Išpuini</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iCs/>
          <w:lang w:val="en-GB"/>
        </w:rPr>
        <w:instrText>Išpuini</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as indicated by duplicate inscriptions found on bronze votive rings dedicated to the god Ḫaldi</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shd w:val="clear" w:color="auto" w:fill="FFFFFF"/>
          <w:lang w:val="en-GB"/>
        </w:rPr>
        <w:instrText>Ḫaldi</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xml:space="preserve"> unearthed in the Upper Anzaf</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lang w:val="en-GB"/>
        </w:rPr>
        <w:instrText>Anzaf</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00302238">
        <w:rPr>
          <w:rFonts w:ascii="Times New Roman" w:hAnsi="Times New Roman" w:cs="Times New Roman"/>
          <w:shd w:val="clear" w:color="auto" w:fill="FFFFFF"/>
          <w:lang w:val="en-GB"/>
        </w:rPr>
        <w:t>.</w:t>
      </w:r>
      <w:r w:rsidRPr="00352C81">
        <w:rPr>
          <w:rFonts w:ascii="Times New Roman" w:hAnsi="Times New Roman" w:cs="Times New Roman"/>
          <w:shd w:val="clear" w:color="auto" w:fill="FFFFFF"/>
          <w:lang w:val="en-GB"/>
        </w:rPr>
        <w:t xml:space="preserve"> excavations. The inscription in Assyrian</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lang w:val="en-GB"/>
        </w:rPr>
        <w:instrText>Assyrian</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xml:space="preserve"> found on these five rings describes </w:t>
      </w:r>
      <w:r w:rsidRPr="00352C81">
        <w:rPr>
          <w:rFonts w:ascii="Times New Roman" w:hAnsi="Times New Roman" w:cs="Times New Roman"/>
          <w:iCs/>
          <w:shd w:val="clear" w:color="auto" w:fill="FFFFFF"/>
          <w:lang w:val="en-GB"/>
        </w:rPr>
        <w:t>Išpuini</w:t>
      </w:r>
      <w:r w:rsidRPr="00352C81">
        <w:rPr>
          <w:rFonts w:ascii="Times New Roman" w:hAnsi="Times New Roman" w:cs="Times New Roman"/>
          <w:shd w:val="clear" w:color="auto" w:fill="FFFFFF"/>
          <w:lang w:val="en-GB"/>
        </w:rPr>
        <w:t>, who refers to himself as the great king, powerful king, king of the world, and king of the Land of Nairi</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lang w:val="en-GB"/>
        </w:rPr>
        <w:instrText>Nairi</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xml:space="preserve">, as having brought these rings from the armory of the city of Witeruhi and dedicated them to the god Ḫaldi </w:t>
      </w:r>
      <w:r w:rsidRPr="00352C81">
        <w:rPr>
          <w:rFonts w:ascii="Times New Roman" w:hAnsi="Times New Roman" w:cs="Times New Roman"/>
          <w:lang w:val="en-GB"/>
        </w:rPr>
        <w:t xml:space="preserve">(CTU IV. B 2-7 A-E). </w:t>
      </w:r>
      <w:r w:rsidRPr="00352C81">
        <w:rPr>
          <w:rFonts w:ascii="Times New Roman" w:hAnsi="Times New Roman" w:cs="Times New Roman"/>
          <w:shd w:val="clear" w:color="auto" w:fill="FFFFFF"/>
          <w:lang w:val="en-GB"/>
        </w:rPr>
        <w:t xml:space="preserve">The inscription likely indicates that during the reign of </w:t>
      </w:r>
      <w:r w:rsidRPr="00352C81">
        <w:rPr>
          <w:rFonts w:ascii="Times New Roman" w:hAnsi="Times New Roman" w:cs="Times New Roman"/>
          <w:iCs/>
          <w:shd w:val="clear" w:color="auto" w:fill="FFFFFF"/>
          <w:lang w:val="en-GB"/>
        </w:rPr>
        <w:t>Išpuini</w:t>
      </w:r>
      <w:r w:rsidRPr="00352C81">
        <w:rPr>
          <w:rFonts w:ascii="Times New Roman" w:hAnsi="Times New Roman" w:cs="Times New Roman"/>
          <w:shd w:val="clear" w:color="auto" w:fill="FFFFFF"/>
          <w:lang w:val="en-GB"/>
        </w:rPr>
        <w:t>, military campaigns and, in all probability, the practice of deportation, which was a result of almost all Urartian military campaigns, were also implied</w:t>
      </w:r>
      <w:r w:rsidRPr="00352C81">
        <w:rPr>
          <w:rFonts w:ascii="Times New Roman" w:hAnsi="Times New Roman" w:cs="Times New Roman"/>
          <w:color w:val="0070C0"/>
          <w:lang w:val="en-GB"/>
        </w:rPr>
        <w:t>.</w:t>
      </w:r>
    </w:p>
  </w:footnote>
  <w:footnote w:id="8">
    <w:p w14:paraId="5A4A44BE" w14:textId="31F8D5D5" w:rsidR="003A0DA8" w:rsidRDefault="003A0DA8" w:rsidP="007D0BBE">
      <w:pPr>
        <w:pStyle w:val="DipnotMetni"/>
        <w:jc w:val="both"/>
      </w:pPr>
      <w:r>
        <w:rPr>
          <w:rStyle w:val="DipnotBavurusu"/>
        </w:rPr>
        <w:footnoteRef/>
      </w:r>
      <w:r>
        <w:t xml:space="preserve"> </w:t>
      </w:r>
      <w:r w:rsidRPr="00F15956">
        <w:rPr>
          <w:rFonts w:ascii="Times New Roman" w:hAnsi="Times New Roman" w:cs="Times New Roman"/>
          <w:lang w:val="en-GB"/>
        </w:rPr>
        <w:t>The vast Kelepost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Kelepost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/Altıntepe</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Altıntepe</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necropolis is located to the north of the </w:t>
      </w:r>
      <w:r w:rsidRPr="00352C81">
        <w:rPr>
          <w:rFonts w:ascii="Times New Roman" w:hAnsi="Times New Roman" w:cs="Times New Roman"/>
          <w:iCs/>
          <w:lang w:val="en-GB"/>
        </w:rPr>
        <w:t>Ṭušpa</w:t>
      </w:r>
      <w:r w:rsidRPr="00352C81">
        <w:rPr>
          <w:rFonts w:ascii="Times New Roman" w:hAnsi="Times New Roman" w:cs="Times New Roman"/>
          <w:lang w:val="en-GB"/>
        </w:rPr>
        <w:fldChar w:fldCharType="begin"/>
      </w:r>
      <w:r w:rsidRPr="00352C81">
        <w:rPr>
          <w:lang w:val="en-GB"/>
        </w:rPr>
        <w:instrText xml:space="preserve"> XE "</w:instrText>
      </w:r>
      <w:r w:rsidRPr="00352C81">
        <w:rPr>
          <w:rFonts w:asciiTheme="majorBidi" w:hAnsiTheme="majorBidi" w:cstheme="majorBidi"/>
          <w:iCs/>
          <w:color w:val="000000" w:themeColor="text1"/>
          <w:lang w:val="en-GB"/>
        </w:rPr>
        <w:instrText>Ṭušpa</w:instrText>
      </w:r>
      <w:r w:rsidRPr="00352C81">
        <w:rPr>
          <w:lang w:val="en-GB"/>
        </w:rPr>
        <w:instrText xml:space="preserve">" </w:instrText>
      </w:r>
      <w:r w:rsidRPr="00352C81">
        <w:rPr>
          <w:rFonts w:ascii="Times New Roman" w:hAnsi="Times New Roman" w:cs="Times New Roman"/>
          <w:lang w:val="en-GB"/>
        </w:rPr>
        <w:fldChar w:fldCharType="end"/>
      </w:r>
      <w:r w:rsidRPr="00F15956">
        <w:rPr>
          <w:rFonts w:ascii="Times New Roman" w:hAnsi="Times New Roman" w:cs="Times New Roman"/>
          <w:lang w:val="en-GB"/>
        </w:rPr>
        <w:t xml:space="preserve"> </w:t>
      </w:r>
      <w:r>
        <w:rPr>
          <w:rFonts w:ascii="Times New Roman" w:hAnsi="Times New Roman" w:cs="Times New Roman"/>
          <w:lang w:val="en-GB"/>
        </w:rPr>
        <w:t>c</w:t>
      </w:r>
      <w:r w:rsidRPr="00F15956">
        <w:rPr>
          <w:rFonts w:ascii="Times New Roman" w:hAnsi="Times New Roman" w:cs="Times New Roman"/>
          <w:lang w:val="en-GB"/>
        </w:rPr>
        <w:t>itadel, between the citadel and the Kalecik</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sz w:val="24"/>
          <w:szCs w:val="24"/>
          <w:lang w:val="en-GB"/>
        </w:rPr>
        <w:instrText>Kalecik</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village, in a large area covering modern day Van Merkez Iskele, Kelepost and Şemsi Bey neighbourhoods. It is suggested that the necropolis served as the public cemetery of the dwellers of </w:t>
      </w:r>
      <w:r w:rsidRPr="00352C81">
        <w:rPr>
          <w:rFonts w:ascii="Times New Roman" w:hAnsi="Times New Roman" w:cs="Times New Roman"/>
          <w:iCs/>
          <w:lang w:val="en-GB"/>
        </w:rPr>
        <w:t>Ṭušpa</w:t>
      </w:r>
      <w:r w:rsidRPr="00F15956">
        <w:rPr>
          <w:rFonts w:ascii="Times New Roman" w:hAnsi="Times New Roman" w:cs="Times New Roman"/>
          <w:lang w:val="en-GB"/>
        </w:rPr>
        <w:t xml:space="preserve"> (Sevin, 2012).</w:t>
      </w:r>
    </w:p>
  </w:footnote>
  <w:footnote w:id="9">
    <w:p w14:paraId="2303F9B7" w14:textId="1B97A8CD" w:rsidR="00172E00" w:rsidRDefault="00172E00" w:rsidP="007D0BBE">
      <w:pPr>
        <w:pStyle w:val="DipnotMetni"/>
        <w:jc w:val="both"/>
      </w:pPr>
      <w:r>
        <w:rPr>
          <w:rStyle w:val="DipnotBavurusu"/>
        </w:rPr>
        <w:footnoteRef/>
      </w:r>
      <w:r>
        <w:t xml:space="preserve"> </w:t>
      </w:r>
      <w:r w:rsidRPr="00F15956">
        <w:rPr>
          <w:rFonts w:ascii="Times New Roman" w:hAnsi="Times New Roman" w:cs="Times New Roman"/>
          <w:lang w:val="en-GB"/>
        </w:rPr>
        <w:t xml:space="preserve">Joint use of the names of </w:t>
      </w:r>
      <w:r w:rsidRPr="00352C81">
        <w:rPr>
          <w:rFonts w:ascii="Times New Roman" w:hAnsi="Times New Roman" w:cs="Times New Roman"/>
          <w:iCs/>
          <w:lang w:val="en-GB"/>
        </w:rPr>
        <w:t>Išpuini</w:t>
      </w:r>
      <w:r w:rsidRPr="00352C81">
        <w:rPr>
          <w:rFonts w:ascii="Times New Roman" w:hAnsi="Times New Roman" w:cs="Times New Roman"/>
          <w:lang w:val="en-GB"/>
        </w:rPr>
        <w:fldChar w:fldCharType="begin"/>
      </w:r>
      <w:r w:rsidRPr="00352C81">
        <w:rPr>
          <w:lang w:val="en-GB"/>
        </w:rPr>
        <w:instrText xml:space="preserve"> XE "</w:instrText>
      </w:r>
      <w:r w:rsidRPr="00352C81">
        <w:rPr>
          <w:rFonts w:asciiTheme="majorBidi" w:hAnsiTheme="majorBidi" w:cstheme="majorBidi"/>
          <w:iCs/>
          <w:lang w:val="en-GB"/>
        </w:rPr>
        <w:instrText>Išpuini</w:instrText>
      </w:r>
      <w:r w:rsidRPr="00352C81">
        <w:rPr>
          <w:lang w:val="en-GB"/>
        </w:rPr>
        <w:instrText xml:space="preserve">" </w:instrText>
      </w:r>
      <w:r w:rsidRPr="00352C81">
        <w:rPr>
          <w:rFonts w:ascii="Times New Roman" w:hAnsi="Times New Roman" w:cs="Times New Roman"/>
          <w:lang w:val="en-GB"/>
        </w:rPr>
        <w:fldChar w:fldCharType="end"/>
      </w:r>
      <w:r w:rsidRPr="00F15956">
        <w:rPr>
          <w:rFonts w:ascii="Times New Roman" w:hAnsi="Times New Roman" w:cs="Times New Roman"/>
          <w:lang w:val="en-GB"/>
        </w:rPr>
        <w:t xml:space="preserve"> and his son Minua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inscriptions provide the basis for the suggestion that the father and the son ruled the kingdom together for a period. This period should have covered between 820-810 </w:t>
      </w:r>
      <w:r>
        <w:rPr>
          <w:rFonts w:ascii="Times New Roman" w:hAnsi="Times New Roman" w:cs="Times New Roman"/>
          <w:lang w:val="en-GB"/>
        </w:rPr>
        <w:t>BCE</w:t>
      </w:r>
      <w:r w:rsidRPr="00F15956">
        <w:rPr>
          <w:rFonts w:ascii="Times New Roman" w:hAnsi="Times New Roman" w:cs="Times New Roman"/>
          <w:lang w:val="en-GB"/>
        </w:rPr>
        <w:t xml:space="preserve"> (Salvini, 2011: 87, 98).</w:t>
      </w:r>
    </w:p>
  </w:footnote>
  <w:footnote w:id="10">
    <w:p w14:paraId="36C00209" w14:textId="7BD2F0ED" w:rsidR="00172E00" w:rsidRDefault="00172E00" w:rsidP="007D0BBE">
      <w:pPr>
        <w:pStyle w:val="DipnotMetni"/>
        <w:jc w:val="both"/>
      </w:pPr>
      <w:r>
        <w:rPr>
          <w:rStyle w:val="DipnotBavurusu"/>
        </w:rPr>
        <w:footnoteRef/>
      </w:r>
      <w:r>
        <w:t xml:space="preserve"> </w:t>
      </w:r>
      <w:r w:rsidRPr="00F15956">
        <w:rPr>
          <w:rFonts w:ascii="Times New Roman" w:hAnsi="Times New Roman" w:cs="Times New Roman"/>
          <w:lang w:val="en-GB"/>
        </w:rPr>
        <w:t xml:space="preserve">For the stone stelae mentioning the names of </w:t>
      </w:r>
      <w:r w:rsidRPr="00352C81">
        <w:rPr>
          <w:rFonts w:ascii="Times New Roman" w:hAnsi="Times New Roman" w:cs="Times New Roman"/>
          <w:iCs/>
          <w:lang w:val="en-GB"/>
        </w:rPr>
        <w:t>Išpuini</w:t>
      </w:r>
      <w:r w:rsidRPr="00352C81">
        <w:rPr>
          <w:rFonts w:ascii="Times New Roman" w:hAnsi="Times New Roman" w:cs="Times New Roman"/>
          <w:lang w:val="en-GB"/>
        </w:rPr>
        <w:fldChar w:fldCharType="begin"/>
      </w:r>
      <w:r w:rsidRPr="00352C81">
        <w:rPr>
          <w:lang w:val="en-GB"/>
        </w:rPr>
        <w:instrText xml:space="preserve"> XE "</w:instrText>
      </w:r>
      <w:r w:rsidRPr="00352C81">
        <w:rPr>
          <w:rFonts w:asciiTheme="majorBidi" w:hAnsiTheme="majorBidi" w:cstheme="majorBidi"/>
          <w:iCs/>
          <w:lang w:val="en-GB"/>
        </w:rPr>
        <w:instrText>Išpuini</w:instrText>
      </w:r>
      <w:r w:rsidRPr="00352C81">
        <w:rPr>
          <w:lang w:val="en-GB"/>
        </w:rPr>
        <w:instrText xml:space="preserve">" </w:instrText>
      </w:r>
      <w:r w:rsidRPr="00352C81">
        <w:rPr>
          <w:rFonts w:ascii="Times New Roman" w:hAnsi="Times New Roman" w:cs="Times New Roman"/>
          <w:lang w:val="en-GB"/>
        </w:rPr>
        <w:fldChar w:fldCharType="end"/>
      </w:r>
      <w:r w:rsidRPr="00F15956">
        <w:rPr>
          <w:rFonts w:ascii="Times New Roman" w:hAnsi="Times New Roman" w:cs="Times New Roman"/>
          <w:lang w:val="en-GB"/>
        </w:rPr>
        <w:t xml:space="preserve"> and his son Minua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cf. (CTU I. A 3-1, A 3-2, A 3-3, A 3-4, A 3-5, A 3-6, A 3-7, A 3-8, A 3-9, A 3-10, A 3-11, A 3-12). For the Tabriz Kapı</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eastAsia="Times New Roman" w:hAnsiTheme="majorBidi" w:cstheme="majorBidi"/>
          <w:lang w:val="en-GB"/>
        </w:rPr>
        <w:instrText>Tabriz Kapı</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inscription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Tabriz Kapı inscription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incorporating the names of </w:t>
      </w:r>
      <w:r w:rsidRPr="00352C81">
        <w:rPr>
          <w:rFonts w:ascii="Times New Roman" w:hAnsi="Times New Roman" w:cs="Times New Roman"/>
          <w:iCs/>
          <w:lang w:val="en-GB"/>
        </w:rPr>
        <w:t>Išpuini</w:t>
      </w:r>
      <w:r w:rsidRPr="00F15956">
        <w:rPr>
          <w:rFonts w:ascii="Times New Roman" w:hAnsi="Times New Roman" w:cs="Times New Roman"/>
          <w:lang w:val="en-GB"/>
        </w:rPr>
        <w:t>-Minua and Minua‛s son Inušpua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Inušpua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cf. (CTU I. A 4-1); for metal inscriptions, cf. (CTU IV. B 3-1). For metal finds on which both kings names, alongside the name of Inušpua is mentioned, cf. (CTU IV. B 4-1 A-D).</w:t>
      </w:r>
    </w:p>
  </w:footnote>
  <w:footnote w:id="11">
    <w:p w14:paraId="25092042" w14:textId="07543C1C" w:rsidR="00172E00" w:rsidRDefault="00172E00" w:rsidP="007D0BBE">
      <w:pPr>
        <w:pStyle w:val="DipnotMetni"/>
        <w:jc w:val="both"/>
      </w:pPr>
      <w:r>
        <w:rPr>
          <w:rStyle w:val="DipnotBavurusu"/>
        </w:rPr>
        <w:footnoteRef/>
      </w:r>
      <w:r>
        <w:t xml:space="preserve"> </w:t>
      </w:r>
      <w:r w:rsidRPr="00F15956">
        <w:rPr>
          <w:rFonts w:ascii="Times New Roman" w:hAnsi="Times New Roman" w:cs="Times New Roman"/>
          <w:lang w:val="en-GB"/>
        </w:rPr>
        <w:t>CTU I. A 3-1; A 3-2; A 3-4; A 3-9.</w:t>
      </w:r>
    </w:p>
  </w:footnote>
  <w:footnote w:id="12">
    <w:p w14:paraId="3895DABE" w14:textId="556D2620" w:rsidR="00172E00" w:rsidRDefault="00172E00" w:rsidP="00C068C9">
      <w:pPr>
        <w:pStyle w:val="DipnotMetni"/>
        <w:jc w:val="both"/>
      </w:pPr>
      <w:r>
        <w:rPr>
          <w:rStyle w:val="DipnotBavurusu"/>
        </w:rPr>
        <w:footnoteRef/>
      </w:r>
      <w:r>
        <w:t xml:space="preserve"> </w:t>
      </w:r>
      <w:r w:rsidRPr="007256E1">
        <w:rPr>
          <w:rFonts w:ascii="Times New Roman" w:hAnsi="Times New Roman" w:cs="Times New Roman"/>
          <w:lang w:val="en-GB"/>
        </w:rPr>
        <w:t>At the Çavuştepe</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heme="majorBidi" w:hAnsiTheme="majorBidi" w:cstheme="majorBidi"/>
          <w:lang w:val="en-GB"/>
        </w:rPr>
        <w:instrText>Çavuştepe</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xml:space="preserve"> fortress there are both the temple of God Ḫaldi</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heme="majorBidi" w:hAnsiTheme="majorBidi" w:cstheme="majorBidi"/>
          <w:lang w:val="en-GB"/>
        </w:rPr>
        <w:instrText>Ḫaldi</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xml:space="preserve"> and the temple of Irmušini</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imes New Roman" w:hAnsi="Times New Roman" w:cs="Times New Roman"/>
          <w:lang w:val="en-GB"/>
        </w:rPr>
        <w:instrText>Irmušini</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the local god of Çavuştepe. Similarly, in Arin-berd</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imes New Roman" w:hAnsi="Times New Roman" w:cs="Times New Roman"/>
          <w:lang w:val="en-GB"/>
        </w:rPr>
        <w:instrText>Arin-berd</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a temple was built for Iubša</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imes New Roman" w:hAnsi="Times New Roman" w:cs="Times New Roman"/>
          <w:lang w:val="en-GB"/>
        </w:rPr>
        <w:instrText>Iubša</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xml:space="preserve">’, the local god of the Aza land (Salvini, 2006: 199). </w:t>
      </w:r>
      <w:r w:rsidRPr="007256E1">
        <w:rPr>
          <w:rFonts w:ascii="Times New Roman" w:hAnsi="Times New Roman" w:cs="Times New Roman"/>
          <w:color w:val="000000"/>
          <w:lang w:val="en-GB"/>
        </w:rPr>
        <w:t>Almost entirely the Ararat</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Fonts w:ascii="Times New Roman" w:hAnsi="Times New Roman" w:cs="Times New Roman"/>
          <w:color w:val="000000"/>
          <w:lang w:val="en-GB"/>
        </w:rPr>
        <w:instrText>Ararat</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plain in Armenia</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Style w:val="y2iqfc"/>
          <w:rFonts w:asciiTheme="majorBidi" w:eastAsia="Arial" w:hAnsiTheme="majorBidi" w:cstheme="majorBidi"/>
          <w:color w:val="202124"/>
          <w:lang w:val="en-GB"/>
        </w:rPr>
        <w:instrText>Armenia</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covering </w:t>
      </w:r>
      <w:bookmarkStart w:id="19" w:name="_Hlk156761511"/>
      <w:r w:rsidRPr="007256E1">
        <w:rPr>
          <w:rFonts w:ascii="Times New Roman" w:hAnsi="Times New Roman" w:cs="Times New Roman"/>
          <w:lang w:val="en-GB"/>
        </w:rPr>
        <w:t>Aza or Waza</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imes New Roman" w:hAnsi="Times New Roman" w:cs="Times New Roman"/>
          <w:lang w:val="en-GB"/>
        </w:rPr>
        <w:instrText>Waza</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xml:space="preserve"> </w:t>
      </w:r>
      <w:bookmarkEnd w:id="19"/>
      <w:r w:rsidRPr="007256E1">
        <w:rPr>
          <w:rFonts w:ascii="Times New Roman" w:hAnsi="Times New Roman" w:cs="Times New Roman"/>
          <w:lang w:val="en-GB"/>
        </w:rPr>
        <w:t xml:space="preserve">Land is </w:t>
      </w:r>
      <w:r w:rsidRPr="007256E1">
        <w:rPr>
          <w:rFonts w:ascii="Times New Roman" w:hAnsi="Times New Roman" w:cs="Times New Roman"/>
          <w:color w:val="000000"/>
          <w:lang w:val="en-GB"/>
        </w:rPr>
        <w:t>exactly identical with the Assyrian</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Fonts w:asciiTheme="majorBidi" w:hAnsiTheme="majorBidi" w:cstheme="majorBidi"/>
          <w:lang w:val="en-GB"/>
        </w:rPr>
        <w:instrText>Assyrian</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variants Wazaun</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Fonts w:ascii="Times New Roman" w:hAnsi="Times New Roman" w:cs="Times New Roman"/>
          <w:color w:val="000000"/>
          <w:lang w:val="en-GB"/>
        </w:rPr>
        <w:instrText>Wazaun</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and Wazana</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Fonts w:ascii="Times New Roman" w:hAnsi="Times New Roman" w:cs="Times New Roman"/>
          <w:color w:val="000000"/>
          <w:lang w:val="en-GB"/>
        </w:rPr>
        <w:instrText>Wazana</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(Grekyan, 2021: 77-91).</w:t>
      </w:r>
    </w:p>
  </w:footnote>
  <w:footnote w:id="13">
    <w:p w14:paraId="530219EA" w14:textId="1B814AD9" w:rsidR="00172E00" w:rsidRDefault="00172E00" w:rsidP="00C068C9">
      <w:pPr>
        <w:pStyle w:val="DipnotMetni"/>
        <w:jc w:val="both"/>
      </w:pPr>
      <w:r>
        <w:rPr>
          <w:rStyle w:val="DipnotBavurusu"/>
        </w:rPr>
        <w:footnoteRef/>
      </w:r>
      <w:r>
        <w:t xml:space="preserve"> </w:t>
      </w:r>
      <w:r w:rsidRPr="00F15956">
        <w:rPr>
          <w:rFonts w:ascii="Times New Roman" w:hAnsi="Times New Roman" w:cs="Times New Roman"/>
          <w:lang w:val="en-GB"/>
        </w:rPr>
        <w:t>For the Pagan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Pagan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/Ashotakert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Ashotakert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(Yeşilalıç</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Yeşilalıç</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rock inscription of </w:t>
      </w:r>
      <w:r w:rsidRPr="0084159A">
        <w:rPr>
          <w:rFonts w:ascii="Times New Roman" w:hAnsi="Times New Roman" w:cs="Times New Roman"/>
          <w:iCs/>
          <w:lang w:val="en-GB"/>
        </w:rPr>
        <w:t>Išpuini</w:t>
      </w:r>
      <w:r w:rsidRPr="0084159A">
        <w:rPr>
          <w:rFonts w:ascii="Times New Roman" w:hAnsi="Times New Roman" w:cs="Times New Roman"/>
          <w:lang w:val="en-GB"/>
        </w:rPr>
        <w:fldChar w:fldCharType="begin"/>
      </w:r>
      <w:r w:rsidRPr="0084159A">
        <w:rPr>
          <w:lang w:val="en-GB"/>
        </w:rPr>
        <w:instrText xml:space="preserve"> XE "</w:instrText>
      </w:r>
      <w:r w:rsidRPr="0084159A">
        <w:rPr>
          <w:rFonts w:asciiTheme="majorBidi" w:hAnsiTheme="majorBidi" w:cstheme="majorBidi"/>
          <w:iCs/>
          <w:lang w:val="en-GB"/>
        </w:rPr>
        <w:instrText>Išpuini</w:instrText>
      </w:r>
      <w:r w:rsidRPr="0084159A">
        <w:rPr>
          <w:lang w:val="en-GB"/>
        </w:rPr>
        <w:instrText xml:space="preserve">" </w:instrText>
      </w:r>
      <w:r w:rsidRPr="0084159A">
        <w:rPr>
          <w:rFonts w:ascii="Times New Roman" w:hAnsi="Times New Roman" w:cs="Times New Roman"/>
          <w:lang w:val="en-GB"/>
        </w:rPr>
        <w:fldChar w:fldCharType="end"/>
      </w:r>
      <w:r w:rsidRPr="00F15956">
        <w:rPr>
          <w:rFonts w:ascii="Times New Roman" w:hAnsi="Times New Roman" w:cs="Times New Roman"/>
          <w:lang w:val="en-GB"/>
        </w:rPr>
        <w:t xml:space="preserve"> and Minua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where this expression is evident, cf. CTU I. A 3-2, 3, 8; also for the Kelishin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Kelishin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stelae dating to the same period, cf. CTU I. A 3-11, the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text 4, 19, the Assyrian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Assyrian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text 3, 16; for the fragmented line on the Qalatgah</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Qalatgah</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inscription, cf. CTU I. A 3-10, 2, p. 140, fn. R. 2.</w:t>
      </w:r>
    </w:p>
  </w:footnote>
  <w:footnote w:id="14">
    <w:p w14:paraId="075C9C4B" w14:textId="5D975298" w:rsidR="00172E00" w:rsidRDefault="00172E00" w:rsidP="00C068C9">
      <w:pPr>
        <w:pStyle w:val="DipnotMetni"/>
        <w:jc w:val="both"/>
      </w:pPr>
      <w:r>
        <w:rPr>
          <w:rStyle w:val="DipnotBavurusu"/>
        </w:rPr>
        <w:footnoteRef/>
      </w:r>
      <w:r>
        <w:t xml:space="preserve"> </w:t>
      </w:r>
      <w:r w:rsidRPr="00F15956">
        <w:rPr>
          <w:rFonts w:ascii="Times New Roman" w:hAnsi="Times New Roman" w:cs="Times New Roman"/>
          <w:lang w:val="en-GB"/>
        </w:rPr>
        <w:t>The Surp Boğos Church</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Surp Boğos Church</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stelae CTU I. A 3-4 Ro. 39‛-42‛, CTU I. A 3-4 Vo.18‛-19‛; Karagündüz</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Karagündüz</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stelae CTU I. A 3-9 Ro. 28-29, CTU I. A 3-9 Vo. 36-38.</w:t>
      </w:r>
    </w:p>
  </w:footnote>
  <w:footnote w:id="15">
    <w:p w14:paraId="7932FFEF" w14:textId="6ED2C25C" w:rsidR="00334E6F" w:rsidRDefault="00334E6F">
      <w:pPr>
        <w:pStyle w:val="DipnotMetni"/>
      </w:pPr>
      <w:r>
        <w:rPr>
          <w:rStyle w:val="DipnotBavurusu"/>
        </w:rPr>
        <w:footnoteRef/>
      </w:r>
      <w:r>
        <w:t xml:space="preserve"> </w:t>
      </w:r>
      <w:r w:rsidRPr="00F15956">
        <w:rPr>
          <w:rFonts w:ascii="Times New Roman" w:hAnsi="Times New Roman" w:cs="Times New Roman"/>
          <w:lang w:val="en-GB"/>
        </w:rPr>
        <w:t>Square-planned temple rooms located in the highest part of most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fortresses were named as the </w:t>
      </w:r>
      <w:r w:rsidR="00270549" w:rsidRPr="00270549">
        <w:rPr>
          <w:rFonts w:asciiTheme="majorBidi" w:eastAsia="Calibri" w:hAnsiTheme="majorBidi" w:cstheme="majorBidi"/>
        </w:rPr>
        <w:t>"</w:t>
      </w:r>
      <w:r w:rsidRPr="00F15956">
        <w:rPr>
          <w:rFonts w:ascii="Times New Roman" w:hAnsi="Times New Roman" w:cs="Times New Roman"/>
          <w:iCs/>
          <w:lang w:val="en-GB"/>
        </w:rPr>
        <w:t>susi</w:t>
      </w:r>
      <w:r w:rsidR="00270549" w:rsidRPr="00270549">
        <w:rPr>
          <w:rFonts w:asciiTheme="majorBidi" w:eastAsia="Calibri" w:hAnsiTheme="majorBidi" w:cstheme="majorBidi"/>
        </w:rPr>
        <w:t>"</w:t>
      </w:r>
      <w:r w:rsidRPr="00F15956">
        <w:rPr>
          <w:rFonts w:ascii="Times New Roman" w:hAnsi="Times New Roman" w:cs="Times New Roman"/>
          <w:iCs/>
          <w:lang w:val="en-GB"/>
        </w:rPr>
        <w:fldChar w:fldCharType="begin"/>
      </w:r>
      <w:r w:rsidRPr="00F15956">
        <w:rPr>
          <w:lang w:val="en-GB"/>
        </w:rPr>
        <w:instrText xml:space="preserve"> XE "</w:instrText>
      </w:r>
      <w:r w:rsidRPr="00F15956">
        <w:rPr>
          <w:rFonts w:asciiTheme="majorBidi" w:hAnsiTheme="majorBidi" w:cstheme="majorBidi"/>
          <w:lang w:val="en-GB"/>
        </w:rPr>
        <w:instrText>susi</w:instrText>
      </w:r>
      <w:r w:rsidRPr="00F15956">
        <w:rPr>
          <w:lang w:val="en-GB"/>
        </w:rPr>
        <w:instrText xml:space="preserve">" </w:instrText>
      </w:r>
      <w:r w:rsidRPr="00F15956">
        <w:rPr>
          <w:rFonts w:ascii="Times New Roman" w:hAnsi="Times New Roman" w:cs="Times New Roman"/>
          <w:iCs/>
          <w:lang w:val="en-GB"/>
        </w:rPr>
        <w:fldChar w:fldCharType="end"/>
      </w:r>
      <w:r w:rsidRPr="00F15956">
        <w:rPr>
          <w:rFonts w:ascii="Times New Roman" w:hAnsi="Times New Roman" w:cs="Times New Roman"/>
          <w:lang w:val="en-GB"/>
        </w:rPr>
        <w:t xml:space="preserve">, which is also known as the </w:t>
      </w:r>
      <w:r w:rsidR="00270549">
        <w:rPr>
          <w:rFonts w:ascii="Times New Roman" w:hAnsi="Times New Roman" w:cs="Times New Roman"/>
          <w:lang w:val="en-GB"/>
        </w:rPr>
        <w:t>‘</w:t>
      </w:r>
      <w:r w:rsidRPr="00F15956">
        <w:rPr>
          <w:rFonts w:ascii="Times New Roman" w:hAnsi="Times New Roman" w:cs="Times New Roman"/>
          <w:lang w:val="en-GB"/>
        </w:rPr>
        <w:t>tower temple</w:t>
      </w:r>
      <w:r w:rsidR="00270549">
        <w:rPr>
          <w:rFonts w:ascii="Times New Roman" w:hAnsi="Times New Roman" w:cs="Times New Roman"/>
          <w:lang w:val="en-GB"/>
        </w:rPr>
        <w:t>’</w:t>
      </w:r>
      <w:r w:rsidRPr="00F15956">
        <w:rPr>
          <w:rFonts w:ascii="Times New Roman" w:hAnsi="Times New Roman" w:cs="Times New Roman"/>
          <w:lang w:val="en-GB"/>
        </w:rPr>
        <w:t xml:space="preserve"> (Salvini, 1979: 575-593).</w:t>
      </w:r>
    </w:p>
  </w:footnote>
  <w:footnote w:id="16">
    <w:p w14:paraId="7F75DAA0" w14:textId="6BBE9E18" w:rsidR="00334E6F" w:rsidRDefault="00334E6F" w:rsidP="006104EA">
      <w:pPr>
        <w:pStyle w:val="DipnotMetni"/>
        <w:jc w:val="both"/>
      </w:pPr>
      <w:r>
        <w:rPr>
          <w:rStyle w:val="DipnotBavurusu"/>
        </w:rPr>
        <w:footnoteRef/>
      </w:r>
      <w:r>
        <w:t xml:space="preserve"> </w:t>
      </w:r>
      <w:r w:rsidRPr="00F15956">
        <w:rPr>
          <w:rFonts w:ascii="Times New Roman" w:hAnsi="Times New Roman" w:cs="Times New Roman"/>
          <w:lang w:val="en-GB"/>
        </w:rPr>
        <w:t>The name of this large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w:t>
      </w:r>
      <w:r>
        <w:rPr>
          <w:rFonts w:ascii="Times New Roman" w:hAnsi="Times New Roman" w:cs="Times New Roman"/>
          <w:lang w:val="en-GB"/>
        </w:rPr>
        <w:t>f</w:t>
      </w:r>
      <w:r w:rsidRPr="00F15956">
        <w:rPr>
          <w:rFonts w:ascii="Times New Roman" w:hAnsi="Times New Roman" w:cs="Times New Roman"/>
          <w:lang w:val="en-GB"/>
        </w:rPr>
        <w:t>ortress on the Bégri</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Bégri</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(Muradiye</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sz w:val="24"/>
          <w:szCs w:val="24"/>
          <w:lang w:val="en-GB"/>
        </w:rPr>
        <w:instrText>Muradiye</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w:t>
      </w:r>
      <w:r>
        <w:rPr>
          <w:rFonts w:ascii="Times New Roman" w:hAnsi="Times New Roman" w:cs="Times New Roman"/>
          <w:lang w:val="en-GB"/>
        </w:rPr>
        <w:t>p</w:t>
      </w:r>
      <w:r w:rsidRPr="00F15956">
        <w:rPr>
          <w:rFonts w:ascii="Times New Roman" w:hAnsi="Times New Roman" w:cs="Times New Roman"/>
          <w:lang w:val="en-GB"/>
        </w:rPr>
        <w:t>lain was recorded erroneously as ‘Körzüt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Körzüt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by Burney, who investigated the place in 1956, after the name of the closest village Korsot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Korsot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/Kordsot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Kordsot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the name thus entered Urartian studies (Burney, 1957: 47-48, Fig. 6). We observed that the fortress was called “Pértak</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Pértak</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w:t>
      </w:r>
      <w:r>
        <w:rPr>
          <w:rFonts w:ascii="Times New Roman" w:hAnsi="Times New Roman" w:cs="Times New Roman"/>
          <w:lang w:val="en-GB"/>
        </w:rPr>
        <w:t>f</w:t>
      </w:r>
      <w:r w:rsidRPr="00F15956">
        <w:rPr>
          <w:rFonts w:ascii="Times New Roman" w:hAnsi="Times New Roman" w:cs="Times New Roman"/>
          <w:lang w:val="en-GB"/>
        </w:rPr>
        <w:t>ortress. Even they reacted to us because we called it “Körzüt” (quoted f</w:t>
      </w:r>
      <w:r>
        <w:rPr>
          <w:rFonts w:ascii="Times New Roman" w:hAnsi="Times New Roman" w:cs="Times New Roman"/>
          <w:lang w:val="en-GB"/>
        </w:rPr>
        <w:t>rom Işık &amp; Genç, 2021: 4, fn.8)</w:t>
      </w:r>
      <w:r w:rsidRPr="00F15956">
        <w:rPr>
          <w:rFonts w:ascii="Times New Roman" w:hAnsi="Times New Roman" w:cs="Times New Roman"/>
          <w:lang w:val="en-GB"/>
        </w:rPr>
        <w:t>.</w:t>
      </w:r>
    </w:p>
  </w:footnote>
  <w:footnote w:id="17">
    <w:p w14:paraId="5D29DC74" w14:textId="0AD6AB10" w:rsidR="00792E01" w:rsidRDefault="00792E01">
      <w:pPr>
        <w:pStyle w:val="DipnotMetni"/>
      </w:pPr>
      <w:r>
        <w:rPr>
          <w:rStyle w:val="DipnotBavurusu"/>
        </w:rPr>
        <w:footnoteRef/>
      </w:r>
      <w:r>
        <w:t xml:space="preserve"> </w:t>
      </w:r>
      <w:r w:rsidR="00270549" w:rsidRPr="00270549">
        <w:rPr>
          <w:rFonts w:asciiTheme="majorBidi" w:eastAsia="Calibri" w:hAnsiTheme="majorBidi" w:cstheme="majorBidi"/>
        </w:rPr>
        <w:t>"</w:t>
      </w:r>
      <w:r w:rsidRPr="00270549">
        <w:rPr>
          <w:rFonts w:ascii="Times New Roman" w:hAnsi="Times New Roman" w:cs="Times New Roman"/>
          <w:iCs/>
          <w:shd w:val="clear" w:color="auto" w:fill="FFFFFF"/>
          <w:lang w:val="en-GB"/>
        </w:rPr>
        <w:t>kap</w:t>
      </w:r>
      <w:r w:rsidRPr="00270549">
        <w:rPr>
          <w:rFonts w:ascii="Times New Roman" w:hAnsi="Times New Roman" w:cs="Times New Roman"/>
          <w:iCs/>
          <w:color w:val="0D0D0D"/>
          <w:shd w:val="clear" w:color="auto" w:fill="FFFFFF"/>
          <w:lang w:val="en-GB"/>
        </w:rPr>
        <w:t>i</w:t>
      </w:r>
      <w:r w:rsidR="00270549" w:rsidRPr="00270549">
        <w:rPr>
          <w:rFonts w:asciiTheme="majorBidi" w:eastAsia="Calibri" w:hAnsiTheme="majorBidi" w:cstheme="majorBidi"/>
        </w:rPr>
        <w:t>"</w:t>
      </w:r>
      <w:r w:rsidRPr="00F15956">
        <w:rPr>
          <w:rFonts w:ascii="Times New Roman" w:hAnsi="Times New Roman" w:cs="Times New Roman"/>
          <w:color w:val="0D0D0D"/>
          <w:shd w:val="clear" w:color="auto" w:fill="FFFFFF"/>
          <w:lang w:val="en-GB"/>
        </w:rPr>
        <w:t xml:space="preserve"> is a unit of grain measurement corresponding to the BANEŠ logogram. Thus, 1 kapi or 1 BANEŠ equals approximately 30 litres.  Accordingly, 23190 </w:t>
      </w:r>
      <w:r w:rsidR="00270549" w:rsidRPr="00270549">
        <w:rPr>
          <w:rFonts w:asciiTheme="majorBidi" w:eastAsia="Calibri" w:hAnsiTheme="majorBidi" w:cstheme="majorBidi"/>
        </w:rPr>
        <w:t>"</w:t>
      </w:r>
      <w:r w:rsidRPr="00F15956">
        <w:rPr>
          <w:rFonts w:ascii="Times New Roman" w:hAnsi="Times New Roman" w:cs="Times New Roman"/>
          <w:color w:val="0D0D0D"/>
          <w:shd w:val="clear" w:color="auto" w:fill="FFFFFF"/>
          <w:lang w:val="en-GB"/>
        </w:rPr>
        <w:t>kapi</w:t>
      </w:r>
      <w:r w:rsidR="00270549" w:rsidRPr="00270549">
        <w:rPr>
          <w:rFonts w:asciiTheme="majorBidi" w:eastAsia="Calibri" w:hAnsiTheme="majorBidi" w:cstheme="majorBidi"/>
        </w:rPr>
        <w:t>"</w:t>
      </w:r>
      <w:r w:rsidRPr="00F15956">
        <w:rPr>
          <w:rFonts w:ascii="Times New Roman" w:hAnsi="Times New Roman" w:cs="Times New Roman"/>
          <w:color w:val="0D0D0D"/>
          <w:shd w:val="clear" w:color="auto" w:fill="FFFFFF"/>
          <w:lang w:val="en-GB"/>
        </w:rPr>
        <w:t xml:space="preserve"> is 695,700 litres.</w:t>
      </w:r>
    </w:p>
  </w:footnote>
  <w:footnote w:id="18">
    <w:p w14:paraId="6E524229" w14:textId="6AF8FF2A" w:rsidR="00792E01" w:rsidRDefault="00792E01" w:rsidP="006104EA">
      <w:pPr>
        <w:pStyle w:val="DipnotMetni"/>
        <w:jc w:val="both"/>
      </w:pPr>
      <w:r>
        <w:rPr>
          <w:rStyle w:val="DipnotBavurusu"/>
        </w:rPr>
        <w:footnoteRef/>
      </w:r>
      <w:r>
        <w:t xml:space="preserve"> </w:t>
      </w:r>
      <w:r w:rsidRPr="00F15956">
        <w:rPr>
          <w:rFonts w:ascii="Times New Roman" w:hAnsi="Times New Roman" w:cs="Times New Roman"/>
          <w:lang w:val="en-GB"/>
        </w:rPr>
        <w:t>The hills where the spri</w:t>
      </w:r>
      <w:r>
        <w:rPr>
          <w:rFonts w:ascii="Times New Roman" w:hAnsi="Times New Roman" w:cs="Times New Roman"/>
          <w:lang w:val="en-GB"/>
        </w:rPr>
        <w:t>ng water comes out are called Girén Berpélan</w:t>
      </w:r>
      <w:r w:rsidRPr="00F15956">
        <w:rPr>
          <w:rFonts w:ascii="Times New Roman" w:hAnsi="Times New Roman" w:cs="Times New Roman"/>
          <w:lang w:val="en-GB"/>
        </w:rPr>
        <w:t xml:space="preserve">. It means </w:t>
      </w:r>
      <w:r w:rsidR="00270549">
        <w:rPr>
          <w:rFonts w:ascii="Times New Roman" w:hAnsi="Times New Roman" w:cs="Times New Roman"/>
          <w:lang w:val="en-GB"/>
        </w:rPr>
        <w:t>‘</w:t>
      </w:r>
      <w:r w:rsidRPr="00F15956">
        <w:rPr>
          <w:rFonts w:ascii="Times New Roman" w:hAnsi="Times New Roman" w:cs="Times New Roman"/>
          <w:lang w:val="en-GB"/>
        </w:rPr>
        <w:t>Hills of the Waves</w:t>
      </w:r>
      <w:r w:rsidR="00270549">
        <w:rPr>
          <w:rFonts w:ascii="Times New Roman" w:hAnsi="Times New Roman" w:cs="Times New Roman"/>
          <w:lang w:val="en-GB"/>
        </w:rPr>
        <w:t>’</w:t>
      </w:r>
      <w:r w:rsidRPr="00F15956">
        <w:rPr>
          <w:rFonts w:ascii="Times New Roman" w:hAnsi="Times New Roman" w:cs="Times New Roman"/>
          <w:lang w:val="en-GB"/>
        </w:rPr>
        <w:t xml:space="preserve"> in Kurdish. These hills are the northern continuation of the Sudız and Başit </w:t>
      </w:r>
      <w:r>
        <w:rPr>
          <w:rFonts w:ascii="Times New Roman" w:hAnsi="Times New Roman" w:cs="Times New Roman"/>
          <w:lang w:val="en-GB"/>
        </w:rPr>
        <w:t>m</w:t>
      </w:r>
      <w:r w:rsidRPr="00F15956">
        <w:rPr>
          <w:rFonts w:ascii="Times New Roman" w:hAnsi="Times New Roman" w:cs="Times New Roman"/>
          <w:lang w:val="en-GB"/>
        </w:rPr>
        <w:t>ountains</w:t>
      </w:r>
    </w:p>
  </w:footnote>
  <w:footnote w:id="19">
    <w:p w14:paraId="38D20AF9" w14:textId="45AB6C05" w:rsidR="00792E01" w:rsidRDefault="00792E01" w:rsidP="006104EA">
      <w:pPr>
        <w:pStyle w:val="DipnotMetni"/>
        <w:jc w:val="both"/>
      </w:pPr>
      <w:r>
        <w:rPr>
          <w:rStyle w:val="DipnotBavurusu"/>
        </w:rPr>
        <w:footnoteRef/>
      </w:r>
      <w:r>
        <w:t xml:space="preserve"> </w:t>
      </w:r>
      <w:r w:rsidRPr="00F15956">
        <w:rPr>
          <w:rFonts w:ascii="Times New Roman" w:hAnsi="Times New Roman" w:cs="Times New Roman"/>
          <w:lang w:val="en-GB"/>
        </w:rPr>
        <w:t>For a study based on our findings and recommendations regarding the Minua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Canal</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 Canal</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line, </w:t>
      </w:r>
      <w:r w:rsidRPr="006104EA">
        <w:rPr>
          <w:rFonts w:ascii="Times New Roman" w:hAnsi="Times New Roman" w:cs="Times New Roman"/>
          <w:lang w:val="en-GB"/>
        </w:rPr>
        <w:t xml:space="preserve">see Genç, Işık, </w:t>
      </w:r>
      <w:r w:rsidR="006104EA" w:rsidRPr="006104EA">
        <w:rPr>
          <w:rFonts w:ascii="Times New Roman" w:hAnsi="Times New Roman" w:cs="Times New Roman"/>
          <w:lang w:val="en-GB"/>
        </w:rPr>
        <w:t>Kuvanç</w:t>
      </w:r>
      <w:r w:rsidR="006104EA">
        <w:rPr>
          <w:rFonts w:ascii="Times New Roman" w:hAnsi="Times New Roman" w:cs="Times New Roman"/>
          <w:lang w:val="en-GB"/>
        </w:rPr>
        <w:t>,</w:t>
      </w:r>
      <w:r w:rsidR="006104EA" w:rsidRPr="006104EA">
        <w:rPr>
          <w:rFonts w:ascii="Times New Roman" w:hAnsi="Times New Roman" w:cs="Times New Roman"/>
          <w:lang w:val="en-GB"/>
        </w:rPr>
        <w:t xml:space="preserve"> </w:t>
      </w:r>
      <w:r w:rsidRPr="006104EA">
        <w:rPr>
          <w:rFonts w:ascii="Times New Roman" w:hAnsi="Times New Roman" w:cs="Times New Roman"/>
          <w:lang w:val="en-GB"/>
        </w:rPr>
        <w:t>Tan, &amp; Özkan, in press.</w:t>
      </w:r>
    </w:p>
  </w:footnote>
  <w:footnote w:id="20">
    <w:p w14:paraId="3520EEC1" w14:textId="517D36A9" w:rsidR="00792E01" w:rsidRDefault="00792E01">
      <w:pPr>
        <w:pStyle w:val="DipnotMetni"/>
      </w:pPr>
      <w:r>
        <w:rPr>
          <w:rStyle w:val="DipnotBavurusu"/>
        </w:rPr>
        <w:footnoteRef/>
      </w:r>
      <w:r>
        <w:t xml:space="preserve"> </w:t>
      </w:r>
      <w:r w:rsidRPr="00F15956">
        <w:rPr>
          <w:rFonts w:ascii="Times New Roman" w:hAnsi="Times New Roman" w:cs="Times New Roman"/>
          <w:lang w:val="en-GB"/>
        </w:rPr>
        <w:t>Some researchers have mentioned the presence of an inscription near the Şamram source (Lehmann-Haupt, 1926), however, no such inscriptions have been documented to date (Öğün, 1970).</w:t>
      </w:r>
    </w:p>
  </w:footnote>
  <w:footnote w:id="21">
    <w:p w14:paraId="2667DEDE" w14:textId="16A32B87" w:rsidR="00814086" w:rsidRDefault="00814086">
      <w:pPr>
        <w:pStyle w:val="DipnotMetni"/>
      </w:pPr>
      <w:r>
        <w:rPr>
          <w:rStyle w:val="DipnotBavurusu"/>
        </w:rPr>
        <w:footnoteRef/>
      </w:r>
      <w:r>
        <w:t xml:space="preserve"> </w:t>
      </w:r>
      <w:r w:rsidRPr="00F15956">
        <w:rPr>
          <w:rFonts w:ascii="Times New Roman" w:hAnsi="Times New Roman" w:cs="Times New Roman"/>
          <w:iCs/>
          <w:lang w:val="en-GB"/>
        </w:rPr>
        <w:t>For discussions on Melarṭua</w:t>
      </w:r>
      <w:r w:rsidRPr="00F15956">
        <w:rPr>
          <w:rFonts w:ascii="Times New Roman" w:hAnsi="Times New Roman" w:cs="Times New Roman"/>
          <w:iCs/>
          <w:lang w:val="en-GB"/>
        </w:rPr>
        <w:fldChar w:fldCharType="begin"/>
      </w:r>
      <w:r w:rsidRPr="00F15956">
        <w:rPr>
          <w:lang w:val="en-GB"/>
        </w:rPr>
        <w:instrText xml:space="preserve"> XE "</w:instrText>
      </w:r>
      <w:r w:rsidRPr="00F15956">
        <w:rPr>
          <w:rFonts w:asciiTheme="majorBidi" w:hAnsiTheme="majorBidi" w:cstheme="majorBidi"/>
          <w:iCs/>
          <w:lang w:val="en-GB"/>
        </w:rPr>
        <w:instrText>Melarṭua</w:instrText>
      </w:r>
      <w:r w:rsidRPr="00F15956">
        <w:rPr>
          <w:lang w:val="en-GB"/>
        </w:rPr>
        <w:instrText xml:space="preserve">" </w:instrText>
      </w:r>
      <w:r w:rsidRPr="00F15956">
        <w:rPr>
          <w:rFonts w:ascii="Times New Roman" w:hAnsi="Times New Roman" w:cs="Times New Roman"/>
          <w:iCs/>
          <w:lang w:val="en-GB"/>
        </w:rPr>
        <w:fldChar w:fldCharType="end"/>
      </w:r>
      <w:r w:rsidRPr="00F15956">
        <w:rPr>
          <w:rFonts w:ascii="Times New Roman" w:hAnsi="Times New Roman" w:cs="Times New Roman"/>
          <w:iCs/>
          <w:lang w:val="en-GB"/>
        </w:rPr>
        <w:t>'s becoming the king of Urartu</w:t>
      </w:r>
      <w:r w:rsidRPr="00F15956">
        <w:rPr>
          <w:rFonts w:ascii="Times New Roman" w:hAnsi="Times New Roman" w:cs="Times New Roman"/>
          <w:iCs/>
          <w:lang w:val="en-GB"/>
        </w:rPr>
        <w:fldChar w:fldCharType="begin"/>
      </w:r>
      <w:r w:rsidRPr="00F15956">
        <w:rPr>
          <w:lang w:val="en-GB"/>
        </w:rPr>
        <w:instrText xml:space="preserve"> XE "</w:instrText>
      </w:r>
      <w:r w:rsidRPr="00F15956">
        <w:rPr>
          <w:rFonts w:asciiTheme="majorBidi" w:eastAsia="Times New Roman" w:hAnsiTheme="majorBidi" w:cstheme="majorBidi"/>
          <w:lang w:val="en-GB"/>
        </w:rPr>
        <w:instrText>Urartu</w:instrText>
      </w:r>
      <w:r w:rsidRPr="00F15956">
        <w:rPr>
          <w:lang w:val="en-GB"/>
        </w:rPr>
        <w:instrText xml:space="preserve">" </w:instrText>
      </w:r>
      <w:r w:rsidRPr="00F15956">
        <w:rPr>
          <w:rFonts w:ascii="Times New Roman" w:hAnsi="Times New Roman" w:cs="Times New Roman"/>
          <w:iCs/>
          <w:lang w:val="en-GB"/>
        </w:rPr>
        <w:fldChar w:fldCharType="end"/>
      </w:r>
      <w:r w:rsidRPr="00F15956">
        <w:rPr>
          <w:rFonts w:ascii="Times New Roman" w:hAnsi="Times New Roman" w:cs="Times New Roman"/>
          <w:iCs/>
          <w:lang w:val="en-GB"/>
        </w:rPr>
        <w:t>, see Fuchs, 2012: 157-159; Roaf, 2012: 204-206.</w:t>
      </w:r>
    </w:p>
  </w:footnote>
  <w:footnote w:id="22">
    <w:p w14:paraId="0864E490" w14:textId="210DC4D1" w:rsidR="00814086" w:rsidRDefault="00814086">
      <w:pPr>
        <w:pStyle w:val="DipnotMetni"/>
      </w:pPr>
      <w:r>
        <w:rPr>
          <w:rStyle w:val="DipnotBavurusu"/>
        </w:rPr>
        <w:footnoteRef/>
      </w:r>
      <w:r>
        <w:t xml:space="preserve"> </w:t>
      </w:r>
      <w:r w:rsidRPr="00AE0D95">
        <w:rPr>
          <w:rFonts w:ascii="Times New Roman" w:hAnsi="Times New Roman" w:cs="Times New Roman"/>
          <w:lang w:val="en-GB"/>
        </w:rPr>
        <w:t xml:space="preserve">These shields were found in excavations in Toprakkale </w:t>
      </w:r>
      <w:r w:rsidRPr="00AE0D95">
        <w:rPr>
          <w:rFonts w:ascii="Times New Roman" w:hAnsi="Times New Roman" w:cs="Times New Roman"/>
          <w:lang w:val="en-GB"/>
        </w:rPr>
        <w:fldChar w:fldCharType="begin"/>
      </w:r>
      <w:r w:rsidRPr="00AE0D95">
        <w:rPr>
          <w:lang w:val="en-GB"/>
        </w:rPr>
        <w:instrText xml:space="preserve"> XE "</w:instrText>
      </w:r>
      <w:r w:rsidRPr="00AE0D95">
        <w:rPr>
          <w:rFonts w:asciiTheme="majorBidi" w:hAnsiTheme="majorBidi" w:cstheme="majorBidi"/>
          <w:lang w:val="en-GB"/>
        </w:rPr>
        <w:instrText>Toprakkale</w:instrText>
      </w:r>
      <w:r w:rsidRPr="00AE0D95">
        <w:rPr>
          <w:lang w:val="en-GB"/>
        </w:rPr>
        <w:instrText xml:space="preserve">" </w:instrText>
      </w:r>
      <w:r w:rsidRPr="00AE0D95">
        <w:rPr>
          <w:rFonts w:ascii="Times New Roman" w:hAnsi="Times New Roman" w:cs="Times New Roman"/>
          <w:lang w:val="en-GB"/>
        </w:rPr>
        <w:fldChar w:fldCharType="end"/>
      </w:r>
      <w:r w:rsidRPr="00AE0D95">
        <w:rPr>
          <w:rFonts w:ascii="Times New Roman" w:hAnsi="Times New Roman" w:cs="Times New Roman"/>
          <w:lang w:val="en-GB"/>
        </w:rPr>
        <w:t>, see (CTU IV. B 14-1; B 14-2; B 14-3; B 14-4; B 14-5; B 14-6; B 14-7; B 14-8; B 14-9; B 14-10; B 14-11).</w:t>
      </w:r>
    </w:p>
  </w:footnote>
  <w:footnote w:id="23">
    <w:p w14:paraId="73A408E7" w14:textId="5A5E731C" w:rsidR="008E274F" w:rsidRDefault="008E274F">
      <w:pPr>
        <w:pStyle w:val="DipnotMetni"/>
      </w:pPr>
      <w:r>
        <w:rPr>
          <w:rStyle w:val="DipnotBavurusu"/>
        </w:rPr>
        <w:footnoteRef/>
      </w:r>
      <w:r>
        <w:t xml:space="preserve"> </w:t>
      </w:r>
      <w:r w:rsidRPr="00F15956">
        <w:rPr>
          <w:rFonts w:ascii="Times New Roman" w:hAnsi="Times New Roman" w:cs="Times New Roman"/>
          <w:lang w:val="en-GB"/>
        </w:rPr>
        <w:t>For a detailed study on various finds from Toprakkale</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Toprakkale</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and their distribution in the context of different phases of archaeological excavations at this site, cf. (Genç, 2018a: 113-127).</w:t>
      </w:r>
    </w:p>
  </w:footnote>
  <w:footnote w:id="24">
    <w:p w14:paraId="5B0D0E97" w14:textId="05E73E3A" w:rsidR="008E274F" w:rsidRDefault="008E274F" w:rsidP="003E0B4C">
      <w:pPr>
        <w:pStyle w:val="DipnotMetni"/>
        <w:jc w:val="both"/>
      </w:pPr>
      <w:r>
        <w:rPr>
          <w:rStyle w:val="DipnotBavurusu"/>
        </w:rPr>
        <w:footnoteRef/>
      </w:r>
      <w:r>
        <w:t xml:space="preserve"> </w:t>
      </w:r>
      <w:r w:rsidRPr="00F15956">
        <w:rPr>
          <w:rFonts w:ascii="Times New Roman" w:hAnsi="Times New Roman" w:cs="Times New Roman"/>
          <w:lang w:val="en-GB"/>
        </w:rPr>
        <w:t>This ambitious number is an estimate reached by Burney, considering the population of the city of Van in the 19th century (Burney, 1972: 183). This number may be taken as the maximum population of the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capital, rather than the exaggerated population figures given by the Urartian kings.</w:t>
      </w:r>
    </w:p>
  </w:footnote>
  <w:footnote w:id="25">
    <w:p w14:paraId="23B89A1A" w14:textId="08189D14" w:rsidR="008E274F" w:rsidRDefault="008E274F">
      <w:pPr>
        <w:pStyle w:val="DipnotMetni"/>
      </w:pPr>
      <w:r>
        <w:rPr>
          <w:rStyle w:val="DipnotBavurusu"/>
        </w:rPr>
        <w:footnoteRef/>
      </w:r>
      <w:r>
        <w:t xml:space="preserve"> </w:t>
      </w:r>
      <w:r w:rsidRPr="00F15956">
        <w:rPr>
          <w:rFonts w:ascii="Times New Roman" w:hAnsi="Times New Roman" w:cs="Times New Roman"/>
          <w:lang w:val="en-GB"/>
        </w:rPr>
        <w:t>During the Mediaeval periods, the city of Van was located between the fortress to the west and Van</w:t>
      </w:r>
      <w:r>
        <w:rPr>
          <w:rFonts w:ascii="Times New Roman" w:hAnsi="Times New Roman" w:cs="Times New Roman"/>
          <w:lang w:val="en-GB"/>
        </w:rPr>
        <w:t xml:space="preserve"> Lake</w:t>
      </w:r>
      <w:r w:rsidR="00CA7B2B">
        <w:rPr>
          <w:rFonts w:ascii="Times New Roman" w:hAnsi="Times New Roman" w:cs="Times New Roman"/>
          <w:lang w:val="en-GB"/>
        </w:rPr>
        <w:fldChar w:fldCharType="begin"/>
      </w:r>
      <w:r w:rsidR="00CA7B2B">
        <w:instrText xml:space="preserve"> XE "</w:instrText>
      </w:r>
      <w:r w:rsidR="00CA7B2B" w:rsidRPr="0058492A">
        <w:rPr>
          <w:rFonts w:ascii="Times New Roman" w:hAnsi="Times New Roman" w:cs="Times New Roman"/>
          <w:lang w:val="en-GB"/>
        </w:rPr>
        <w:instrText>Van Lake</w:instrText>
      </w:r>
      <w:r w:rsidR="00CA7B2B">
        <w:instrText xml:space="preserve">" </w:instrText>
      </w:r>
      <w:r w:rsidR="00CA7B2B">
        <w:rPr>
          <w:rFonts w:ascii="Times New Roman" w:hAnsi="Times New Roman" w:cs="Times New Roman"/>
          <w:lang w:val="en-GB"/>
        </w:rPr>
        <w:fldChar w:fldCharType="end"/>
      </w:r>
      <w:r w:rsidRPr="00F15956">
        <w:rPr>
          <w:rFonts w:ascii="Times New Roman" w:hAnsi="Times New Roman" w:cs="Times New Roman"/>
          <w:lang w:val="en-GB"/>
        </w:rPr>
        <w:t>. The fortress had a bastion fortification and contained some administrative and religious structures during this period.</w:t>
      </w:r>
    </w:p>
  </w:footnote>
  <w:footnote w:id="26">
    <w:p w14:paraId="77B098DA" w14:textId="0BBEB430" w:rsidR="008E274F" w:rsidRPr="00C37B16" w:rsidRDefault="008E274F">
      <w:pPr>
        <w:pStyle w:val="DipnotMetni"/>
      </w:pPr>
      <w:r w:rsidRPr="00C37B16">
        <w:rPr>
          <w:rStyle w:val="DipnotBavurusu"/>
        </w:rPr>
        <w:footnoteRef/>
      </w:r>
      <w:r w:rsidRPr="00C37B16">
        <w:t xml:space="preserve"> </w:t>
      </w:r>
      <w:r w:rsidRPr="00C37B16">
        <w:rPr>
          <w:rFonts w:ascii="Times New Roman" w:hAnsi="Times New Roman" w:cs="Times New Roman"/>
          <w:lang w:val="en-GB"/>
        </w:rPr>
        <w:t>The earliest inscription found in the Aznavurtepe</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Aznavurtepe</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fortress is dated to the period of Išpuini</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Išpuini</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(CTU I. A 2-10).</w:t>
      </w:r>
    </w:p>
  </w:footnote>
  <w:footnote w:id="27">
    <w:p w14:paraId="6AE2A553" w14:textId="68B840AC" w:rsidR="008E274F" w:rsidRPr="00C37B16" w:rsidRDefault="008E274F" w:rsidP="003E0B4C">
      <w:pPr>
        <w:pStyle w:val="DipnotMetni"/>
        <w:jc w:val="both"/>
      </w:pPr>
      <w:r w:rsidRPr="00C37B16">
        <w:rPr>
          <w:rStyle w:val="DipnotBavurusu"/>
        </w:rPr>
        <w:footnoteRef/>
      </w:r>
      <w:r w:rsidRPr="00C37B16">
        <w:t xml:space="preserve"> </w:t>
      </w:r>
      <w:r w:rsidR="003362B1" w:rsidRPr="00C37B16">
        <w:rPr>
          <w:rFonts w:ascii="Times New Roman" w:hAnsi="Times New Roman" w:cs="Times New Roman"/>
          <w:lang w:val="en-GB"/>
        </w:rPr>
        <w:t>In inscription on a column base found in the Kalecik</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sz w:val="24"/>
          <w:szCs w:val="24"/>
          <w:lang w:val="en-GB"/>
        </w:rPr>
        <w:instrText>Kalecik</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village 2 km to the north of Van City centre, it was expressed that Išpuini</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Išpuini</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had built a ‛burganani‛? and another structure (É</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É</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(CTU I. A 2-1). What these structures stand for and their location is uncertain, however, earlier studies in this area have detected an old fortress located on a rock outcrop in the upper parts of the Kalecik village (Lake </w:t>
      </w:r>
      <w:r w:rsidR="003362B1" w:rsidRPr="00C37B16">
        <w:rPr>
          <w:rFonts w:ascii="Times New Roman" w:eastAsia="Times New Roman" w:hAnsi="Times New Roman" w:cs="Times New Roman"/>
          <w:color w:val="111111"/>
          <w:lang w:val="en-GB" w:eastAsia="tr-TR" w:bidi="he-IL"/>
        </w:rPr>
        <w:t xml:space="preserve">&amp; </w:t>
      </w:r>
      <w:r w:rsidR="003362B1" w:rsidRPr="00C37B16">
        <w:rPr>
          <w:rFonts w:ascii="Times New Roman" w:hAnsi="Times New Roman" w:cs="Times New Roman"/>
          <w:lang w:val="en-GB"/>
        </w:rPr>
        <w:t xml:space="preserve">Lake, 1939: 78; Pfeiffer, 1940: 32). Our observations in this fortress have resulted in the identification of wall and foundation beds, as well as a cistern reached through a stairway of 40 steps (Gökçe, Genç </w:t>
      </w:r>
      <w:r w:rsidR="003362B1" w:rsidRPr="00C37B16">
        <w:rPr>
          <w:rFonts w:ascii="Times New Roman" w:eastAsia="Times New Roman" w:hAnsi="Times New Roman" w:cs="Times New Roman"/>
          <w:color w:val="111111"/>
          <w:lang w:val="en-GB" w:eastAsia="tr-TR" w:bidi="he-IL"/>
        </w:rPr>
        <w:t xml:space="preserve">&amp; </w:t>
      </w:r>
      <w:r w:rsidR="003362B1" w:rsidRPr="00C37B16">
        <w:rPr>
          <w:rFonts w:ascii="Times New Roman" w:hAnsi="Times New Roman" w:cs="Times New Roman"/>
          <w:lang w:val="en-GB"/>
        </w:rPr>
        <w:t>Levent, 2019: 328-329, Figure 1).</w:t>
      </w:r>
    </w:p>
  </w:footnote>
  <w:footnote w:id="28">
    <w:p w14:paraId="3320640E" w14:textId="18BCE994" w:rsidR="008E274F" w:rsidRPr="00C37B16" w:rsidRDefault="008E274F" w:rsidP="003E0B4C">
      <w:pPr>
        <w:pStyle w:val="DipnotMetni"/>
        <w:jc w:val="both"/>
      </w:pPr>
      <w:r w:rsidRPr="00C37B16">
        <w:rPr>
          <w:rStyle w:val="DipnotBavurusu"/>
        </w:rPr>
        <w:footnoteRef/>
      </w:r>
      <w:r w:rsidRPr="00C37B16">
        <w:t xml:space="preserve"> </w:t>
      </w:r>
      <w:r w:rsidR="003362B1" w:rsidRPr="00C37B16">
        <w:rPr>
          <w:rFonts w:ascii="Times New Roman" w:hAnsi="Times New Roman" w:cs="Times New Roman"/>
          <w:lang w:val="en-GB"/>
        </w:rPr>
        <w:t>Seven round column bases had been found nearby the Zivistan</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Zıvıstan</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village located to the south of the Van plain</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Van Plain</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These column bases were inscribed with the same text that indicates a building. (É</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É</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construction by the king Išpuini</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Išpuini</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(CTU I. A 2-2A). An Urartian</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Urartian</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fortress is located to the southeast of Zivistan village. The Zivistan fortress holds the valley extending towards the south. The fortification wall around the fortress and the rock-cut cistern exhibit Urartian characteristics (Burney, 1957: 45). The relationship between the fortress and the inscribed bases that were not in situ is uncertain. However, the closest Urartian centre to these inscriptions is the Zivistan fortress. Apart from these bases, some inscription fragments dating to the Išpuini period</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imes New Roman" w:hAnsi="Times New Roman" w:cs="Times New Roman"/>
          <w:lang w:val="en-GB"/>
        </w:rPr>
        <w:instrText>Išpuini period</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were also found in the Zivistan (CTU I. A 2-3a-d). The Zivistan village, located on a valley extending towards the southeast, between modern-day Edremit</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color w:val="202124"/>
          <w:sz w:val="24"/>
          <w:szCs w:val="24"/>
          <w:lang w:val="en-GB"/>
        </w:rPr>
        <w:instrText>Edremit</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and Van city centre, is rich with Urartian inscriptions dating to the reign of Išpuini. The last example is an inscription inside a rectangular rock-carved niche to the west of Zivistan village, which mentions that Išpuini had built a vineyard and a fruit garden in this area (CTU I. A 2-5).</w:t>
      </w:r>
    </w:p>
  </w:footnote>
  <w:footnote w:id="29">
    <w:p w14:paraId="168FD90F" w14:textId="488A7980" w:rsidR="008E274F" w:rsidRPr="00C37B16" w:rsidRDefault="008E274F" w:rsidP="003E0B4C">
      <w:pPr>
        <w:pStyle w:val="DipnotMetni"/>
        <w:jc w:val="both"/>
      </w:pPr>
      <w:r w:rsidRPr="00C37B16">
        <w:rPr>
          <w:rStyle w:val="DipnotBavurusu"/>
        </w:rPr>
        <w:footnoteRef/>
      </w:r>
      <w:r w:rsidRPr="00C37B16">
        <w:t xml:space="preserve"> </w:t>
      </w:r>
      <w:r w:rsidR="003362B1" w:rsidRPr="00C37B16">
        <w:rPr>
          <w:rFonts w:ascii="Times New Roman" w:hAnsi="Times New Roman" w:cs="Times New Roman"/>
          <w:lang w:val="en-GB"/>
        </w:rPr>
        <w:t>Lower Anzaf</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Anzaf</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fortress</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Lower Anzaf Fortress</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is located 11 km to the northeast of Van Fortress. Here, a rectangular structure measuring 62 x 98 meters, was unearthed (Belli 2003: 1-3). The inscription from this area allows its dating to the period of Išpuini</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Išpuini</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(CTU I. A 2-6 A-C; CTU I. A 2-A-B; CTU I. A 2-8).</w:t>
      </w:r>
    </w:p>
  </w:footnote>
  <w:footnote w:id="30">
    <w:p w14:paraId="35708682" w14:textId="38006843" w:rsidR="003362B1" w:rsidRDefault="003362B1" w:rsidP="003E0B4C">
      <w:pPr>
        <w:pStyle w:val="DipnotMetni"/>
        <w:jc w:val="both"/>
      </w:pPr>
      <w:r w:rsidRPr="00C37B16">
        <w:rPr>
          <w:rStyle w:val="DipnotBavurusu"/>
        </w:rPr>
        <w:footnoteRef/>
      </w:r>
      <w:r w:rsidRPr="00C37B16">
        <w:t xml:space="preserve"> </w:t>
      </w:r>
      <w:r w:rsidRPr="00C37B16">
        <w:rPr>
          <w:rFonts w:ascii="Times New Roman" w:hAnsi="Times New Roman" w:cs="Times New Roman"/>
          <w:lang w:val="en-GB"/>
        </w:rPr>
        <w:t>According to the stele of the Neo-Assyrian</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Assyrian</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king </w:t>
      </w:r>
      <w:bookmarkStart w:id="31" w:name="_Hlk156768481"/>
      <w:r w:rsidRPr="00C37B16">
        <w:rPr>
          <w:rFonts w:ascii="Times New Roman" w:hAnsi="Times New Roman" w:cs="Times New Roman"/>
          <w:lang w:val="en-GB"/>
        </w:rPr>
        <w:t>Šamši-Adad V</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eastAsia="Times New Roman" w:hAnsiTheme="majorBidi" w:cstheme="majorBidi"/>
          <w:lang w:val="en-GB"/>
        </w:rPr>
        <w:instrText>Šamši-Adad V</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w:t>
      </w:r>
      <w:bookmarkEnd w:id="31"/>
      <w:r w:rsidRPr="00C37B16">
        <w:rPr>
          <w:rFonts w:ascii="Times New Roman" w:hAnsi="Times New Roman" w:cs="Times New Roman"/>
          <w:lang w:val="en-GB"/>
        </w:rPr>
        <w:t>(823-811 BCE) from the Nabu temple in Nimrud</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eastAsia="Times New Roman" w:hAnsiTheme="majorBidi" w:cstheme="majorBidi"/>
          <w:lang w:val="en-GB"/>
        </w:rPr>
        <w:instrText>Nimrud</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the Assyrian king had sent a eunuch named </w:t>
      </w:r>
      <w:bookmarkStart w:id="32" w:name="_Hlk156768686"/>
      <w:r w:rsidRPr="00C37B16">
        <w:rPr>
          <w:rFonts w:ascii="Times New Roman" w:hAnsi="Times New Roman" w:cs="Times New Roman"/>
          <w:lang w:val="en-GB"/>
        </w:rPr>
        <w:t>Mutarri</w:t>
      </w:r>
      <w:r w:rsidRPr="00C37B16">
        <w:rPr>
          <w:rFonts w:ascii="Times New Roman" w:eastAsia="TimesNewRomanPSMT" w:hAnsi="Times New Roman" w:cs="Times New Roman"/>
          <w:lang w:val="en-GB"/>
        </w:rPr>
        <w:t>ṣ</w:t>
      </w:r>
      <w:r w:rsidRPr="00C37B16">
        <w:rPr>
          <w:rFonts w:ascii="Times New Roman" w:hAnsi="Times New Roman" w:cs="Times New Roman"/>
          <w:lang w:val="en-GB"/>
        </w:rPr>
        <w:t>-Aššur</w:t>
      </w:r>
      <w:r w:rsidRPr="00C37B16">
        <w:rPr>
          <w:rFonts w:ascii="Times New Roman" w:hAnsi="Times New Roman" w:cs="Times New Roman"/>
          <w:lang w:val="en-GB"/>
        </w:rPr>
        <w:fldChar w:fldCharType="begin"/>
      </w:r>
      <w:r w:rsidRPr="00C37B16">
        <w:rPr>
          <w:lang w:val="en-GB"/>
        </w:rPr>
        <w:instrText xml:space="preserve"> XE "</w:instrText>
      </w:r>
      <w:r w:rsidRPr="00C37B16">
        <w:rPr>
          <w:rStyle w:val="y2iqfc"/>
          <w:rFonts w:asciiTheme="majorBidi" w:eastAsia="Arial" w:hAnsiTheme="majorBidi" w:cstheme="majorBidi"/>
          <w:color w:val="202124"/>
          <w:sz w:val="24"/>
          <w:szCs w:val="24"/>
          <w:lang w:val="en-GB"/>
        </w:rPr>
        <w:instrText>Aššur</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w:t>
      </w:r>
      <w:bookmarkEnd w:id="32"/>
      <w:r w:rsidRPr="00C37B16">
        <w:rPr>
          <w:rFonts w:ascii="Times New Roman" w:hAnsi="Times New Roman" w:cs="Times New Roman"/>
          <w:lang w:val="en-GB"/>
        </w:rPr>
        <w:t>to conduct a military campaign against the Nairi</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Nairi</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land. The same inscription indicates that the Assyrian army captured 11 fortified cities, among 200 other cities of Ušpina (Grayson, 1996: 184, A.0.103.1: ii16b-34a). The name of Ušpina mentioned several times in the narrations of this campaign dating to 820 BCE is the Urartian</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Urartian</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king Išpuini</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Išpuini</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(Salvini 2006: 47).</w:t>
      </w:r>
    </w:p>
  </w:footnote>
  <w:footnote w:id="31">
    <w:p w14:paraId="255548D6" w14:textId="77777777" w:rsidR="006B5F19" w:rsidRDefault="006B5F19" w:rsidP="006B5F19">
      <w:pPr>
        <w:pStyle w:val="DipnotMetni"/>
      </w:pPr>
      <w:r>
        <w:rPr>
          <w:rStyle w:val="DipnotBavurusu"/>
        </w:rPr>
        <w:footnoteRef/>
      </w:r>
      <w:r>
        <w:t xml:space="preserve"> </w:t>
      </w:r>
      <w:r w:rsidRPr="001775E4">
        <w:rPr>
          <w:lang w:val="en-GB"/>
        </w:rPr>
        <w:t xml:space="preserve">See Salvini (1970) for discussions on this subject </w:t>
      </w:r>
      <w:r w:rsidRPr="000F0BBA">
        <w:rPr>
          <w:lang w:val="en-GB"/>
        </w:rPr>
        <w:t>(CTU V. p. 417).</w:t>
      </w:r>
    </w:p>
  </w:footnote>
  <w:footnote w:id="32">
    <w:p w14:paraId="2822CDB6" w14:textId="77777777" w:rsidR="00B4516E" w:rsidRPr="001A340D" w:rsidRDefault="00B4516E" w:rsidP="00B4516E">
      <w:pPr>
        <w:pStyle w:val="HTMLncedenBiimlendirilmi"/>
        <w:shd w:val="clear" w:color="auto" w:fill="F8F9FA"/>
        <w:spacing w:line="240" w:lineRule="auto"/>
        <w:jc w:val="both"/>
        <w:rPr>
          <w:rFonts w:ascii="Times New Roman" w:hAnsi="Times New Roman" w:cs="Times New Roman"/>
          <w:lang w:val="en-GB"/>
        </w:rPr>
      </w:pPr>
      <w:r w:rsidRPr="001A340D">
        <w:rPr>
          <w:rStyle w:val="DipnotBavurusu"/>
          <w:rFonts w:ascii="Times New Roman" w:eastAsia="Arial" w:hAnsi="Times New Roman"/>
          <w:lang w:val="en-GB"/>
        </w:rPr>
        <w:footnoteRef/>
      </w:r>
      <w:r w:rsidRPr="001A340D">
        <w:rPr>
          <w:rFonts w:ascii="Times New Roman" w:hAnsi="Times New Roman" w:cs="Times New Roman"/>
          <w:lang w:val="en-GB"/>
        </w:rPr>
        <w:t xml:space="preserve"> In parentheses the number to identify on the schematic plan of the Kale (figs 4-6) the location of the inscription. (Salvini, 2014: </w:t>
      </w:r>
      <w:bookmarkStart w:id="46" w:name="_Hlk128382440"/>
      <w:r w:rsidRPr="001A340D">
        <w:rPr>
          <w:rFonts w:ascii="Times New Roman" w:hAnsi="Times New Roman" w:cs="Times New Roman"/>
          <w:lang w:val="en-GB"/>
        </w:rPr>
        <w:t>218-222</w:t>
      </w:r>
      <w:bookmarkEnd w:id="46"/>
      <w:r w:rsidRPr="001A340D">
        <w:rPr>
          <w:rFonts w:ascii="Times New Roman" w:hAnsi="Times New Roman" w:cs="Times New Roman"/>
          <w:lang w:val="en-GB"/>
        </w:rPr>
        <w:t xml:space="preserve">).  see also (Salvini, 1986: 31-44, + 20 figg.). </w:t>
      </w:r>
      <w:r w:rsidRPr="001A340D">
        <w:rPr>
          <w:rStyle w:val="y2iqfc"/>
          <w:rFonts w:ascii="Times New Roman" w:eastAsia="Arial" w:hAnsi="Times New Roman" w:cs="Times New Roman"/>
          <w:lang w:val="en-GB"/>
        </w:rPr>
        <w:t xml:space="preserve">The most recent and complete work on Van Fortress is by the oldest and most distinguished Turkish Urartologist: </w:t>
      </w:r>
      <w:r w:rsidRPr="001A340D">
        <w:rPr>
          <w:rFonts w:ascii="Times New Roman" w:hAnsi="Times New Roman" w:cs="Times New Roman"/>
          <w:lang w:val="en-GB"/>
        </w:rPr>
        <w:t>(Tarhan, 2021: 681ss).</w:t>
      </w:r>
    </w:p>
  </w:footnote>
  <w:footnote w:id="33">
    <w:p w14:paraId="5A3A8A58" w14:textId="77777777" w:rsidR="00B4516E" w:rsidRPr="001A340D" w:rsidRDefault="00B4516E" w:rsidP="00B4516E">
      <w:pPr>
        <w:jc w:val="both"/>
        <w:rPr>
          <w:rFonts w:asciiTheme="majorBidi" w:hAnsiTheme="majorBidi" w:cstheme="majorBidi"/>
          <w:sz w:val="20"/>
          <w:szCs w:val="20"/>
          <w:lang w:val="en-GB"/>
        </w:rPr>
      </w:pPr>
      <w:r w:rsidRPr="001A340D">
        <w:rPr>
          <w:rFonts w:asciiTheme="majorBidi" w:hAnsiTheme="majorBidi" w:cstheme="majorBidi"/>
          <w:sz w:val="20"/>
          <w:szCs w:val="20"/>
          <w:lang w:val="en-GB"/>
        </w:rPr>
        <w:footnoteRef/>
      </w:r>
      <w:r w:rsidRPr="001A340D">
        <w:rPr>
          <w:rFonts w:asciiTheme="majorBidi" w:hAnsiTheme="majorBidi" w:cstheme="majorBidi"/>
          <w:sz w:val="20"/>
          <w:szCs w:val="20"/>
          <w:lang w:val="en-GB"/>
        </w:rPr>
        <w:t xml:space="preserve"> IM, Labat, 1976: 399. In all Urartian</w:t>
      </w:r>
      <w:r w:rsidRPr="001A340D">
        <w:rPr>
          <w:rFonts w:asciiTheme="majorBidi" w:hAnsiTheme="majorBidi" w:cstheme="majorBidi"/>
          <w:sz w:val="20"/>
          <w:szCs w:val="20"/>
          <w:lang w:val="en-GB"/>
        </w:rPr>
        <w:fldChar w:fldCharType="begin"/>
      </w:r>
      <w:r w:rsidRPr="001A340D">
        <w:rPr>
          <w:rFonts w:asciiTheme="majorBidi" w:hAnsiTheme="majorBidi" w:cstheme="majorBidi"/>
          <w:sz w:val="20"/>
          <w:szCs w:val="20"/>
          <w:lang w:val="en-GB"/>
        </w:rPr>
        <w:instrText xml:space="preserve"> XE "Urartian" </w:instrText>
      </w:r>
      <w:r w:rsidRPr="001A340D">
        <w:rPr>
          <w:rFonts w:asciiTheme="majorBidi" w:hAnsiTheme="majorBidi" w:cstheme="majorBidi"/>
          <w:sz w:val="20"/>
          <w:szCs w:val="20"/>
          <w:lang w:val="en-GB"/>
        </w:rPr>
        <w:fldChar w:fldCharType="end"/>
      </w:r>
      <w:r w:rsidRPr="001A340D">
        <w:rPr>
          <w:rFonts w:asciiTheme="majorBidi" w:hAnsiTheme="majorBidi" w:cstheme="majorBidi"/>
          <w:sz w:val="20"/>
          <w:szCs w:val="20"/>
          <w:lang w:val="en-GB"/>
        </w:rPr>
        <w:t xml:space="preserve"> texts ‘inscription’ is expressed with the logogram DUB, Labat, 1976: 138 (or DUB-te). The only exception is the rock inscription of </w:t>
      </w:r>
      <w:r w:rsidRPr="002503EA">
        <w:rPr>
          <w:rFonts w:asciiTheme="majorBidi" w:hAnsiTheme="majorBidi" w:cstheme="majorBidi"/>
          <w:sz w:val="20"/>
          <w:szCs w:val="20"/>
          <w:lang w:val="en-GB"/>
        </w:rPr>
        <w:t>Argišti</w:t>
      </w:r>
      <w:r w:rsidRPr="001A340D">
        <w:rPr>
          <w:rFonts w:asciiTheme="majorBidi" w:hAnsiTheme="majorBidi" w:cstheme="majorBidi"/>
          <w:sz w:val="20"/>
          <w:szCs w:val="20"/>
          <w:lang w:val="en-GB"/>
        </w:rPr>
        <w:t xml:space="preserve"> I</w:t>
      </w:r>
      <w:r w:rsidRPr="001A340D">
        <w:rPr>
          <w:rFonts w:asciiTheme="majorBidi" w:hAnsiTheme="majorBidi" w:cstheme="majorBidi"/>
          <w:sz w:val="20"/>
          <w:szCs w:val="20"/>
          <w:lang w:val="en-GB"/>
        </w:rPr>
        <w:fldChar w:fldCharType="begin"/>
      </w:r>
      <w:r w:rsidRPr="001A340D">
        <w:rPr>
          <w:rFonts w:asciiTheme="majorBidi" w:hAnsiTheme="majorBidi" w:cstheme="majorBidi"/>
          <w:sz w:val="20"/>
          <w:szCs w:val="20"/>
          <w:lang w:val="en-GB"/>
        </w:rPr>
        <w:instrText xml:space="preserve"> XE "</w:instrText>
      </w:r>
      <w:r w:rsidRPr="00B62C11">
        <w:rPr>
          <w:rFonts w:asciiTheme="majorBidi" w:hAnsiTheme="majorBidi" w:cstheme="majorBidi"/>
          <w:sz w:val="20"/>
          <w:szCs w:val="20"/>
          <w:lang w:val="en-GB"/>
        </w:rPr>
        <w:instrText>Argišti</w:instrText>
      </w:r>
      <w:r w:rsidRPr="001A340D">
        <w:rPr>
          <w:rFonts w:asciiTheme="majorBidi" w:hAnsiTheme="majorBidi" w:cstheme="majorBidi"/>
          <w:i/>
          <w:iCs/>
          <w:sz w:val="20"/>
          <w:szCs w:val="20"/>
          <w:lang w:val="en-GB"/>
        </w:rPr>
        <w:instrText xml:space="preserve"> </w:instrText>
      </w:r>
      <w:r w:rsidRPr="001A340D">
        <w:rPr>
          <w:rFonts w:asciiTheme="majorBidi" w:hAnsiTheme="majorBidi" w:cstheme="majorBidi"/>
          <w:sz w:val="20"/>
          <w:szCs w:val="20"/>
          <w:lang w:val="en-GB"/>
        </w:rPr>
        <w:instrText xml:space="preserve">I" </w:instrText>
      </w:r>
      <w:r w:rsidRPr="001A340D">
        <w:rPr>
          <w:rFonts w:asciiTheme="majorBidi" w:hAnsiTheme="majorBidi" w:cstheme="majorBidi"/>
          <w:sz w:val="20"/>
          <w:szCs w:val="20"/>
          <w:lang w:val="en-GB"/>
        </w:rPr>
        <w:fldChar w:fldCharType="end"/>
      </w:r>
      <w:r w:rsidRPr="001A340D">
        <w:rPr>
          <w:rFonts w:asciiTheme="majorBidi" w:hAnsiTheme="majorBidi" w:cstheme="majorBidi"/>
          <w:sz w:val="20"/>
          <w:szCs w:val="20"/>
          <w:lang w:val="en-GB"/>
        </w:rPr>
        <w:t xml:space="preserve"> at Javanqaleh</w:t>
      </w:r>
      <w:r w:rsidRPr="001A340D">
        <w:rPr>
          <w:rFonts w:asciiTheme="majorBidi" w:hAnsiTheme="majorBidi" w:cstheme="majorBidi"/>
          <w:sz w:val="20"/>
          <w:szCs w:val="20"/>
          <w:lang w:val="en-GB"/>
        </w:rPr>
        <w:fldChar w:fldCharType="begin"/>
      </w:r>
      <w:r w:rsidRPr="001A340D">
        <w:rPr>
          <w:rFonts w:asciiTheme="majorBidi" w:hAnsiTheme="majorBidi" w:cstheme="majorBidi"/>
          <w:sz w:val="20"/>
          <w:szCs w:val="20"/>
          <w:lang w:val="en-GB"/>
        </w:rPr>
        <w:instrText xml:space="preserve"> XE "Javanqaleh" </w:instrText>
      </w:r>
      <w:r w:rsidRPr="001A340D">
        <w:rPr>
          <w:rFonts w:asciiTheme="majorBidi" w:hAnsiTheme="majorBidi" w:cstheme="majorBidi"/>
          <w:sz w:val="20"/>
          <w:szCs w:val="20"/>
          <w:lang w:val="en-GB"/>
        </w:rPr>
        <w:fldChar w:fldCharType="end"/>
      </w:r>
      <w:r w:rsidRPr="001A340D">
        <w:rPr>
          <w:rFonts w:asciiTheme="majorBidi" w:hAnsiTheme="majorBidi" w:cstheme="majorBidi"/>
          <w:sz w:val="20"/>
          <w:szCs w:val="20"/>
          <w:lang w:val="en-GB"/>
        </w:rPr>
        <w:t xml:space="preserve"> in Iran, CTU I. A 8-13 line 8: ini IM = this inscription. On the considerations relating to this text see G. Wilhelm, quoted above, note 7.</w:t>
      </w:r>
    </w:p>
    <w:p w14:paraId="12DA39E6" w14:textId="77777777" w:rsidR="00B4516E" w:rsidRPr="00F47E46" w:rsidRDefault="00B4516E" w:rsidP="00B4516E">
      <w:pPr>
        <w:pStyle w:val="DipnotMetni"/>
      </w:pPr>
      <w:r w:rsidRPr="00F47E46">
        <w:t xml:space="preserve"> </w:t>
      </w:r>
    </w:p>
  </w:footnote>
  <w:footnote w:id="34">
    <w:p w14:paraId="58EBDD8E" w14:textId="77777777" w:rsidR="00B4516E" w:rsidRPr="00B539CE" w:rsidRDefault="00B4516E" w:rsidP="00B4516E">
      <w:pPr>
        <w:pStyle w:val="HTMLncedenBiimlendirilmi"/>
        <w:shd w:val="clear" w:color="auto" w:fill="F8F9FA"/>
        <w:jc w:val="both"/>
        <w:rPr>
          <w:rFonts w:ascii="Times New Roman" w:hAnsi="Times New Roman" w:cs="Times New Roman"/>
          <w:lang w:val="en-US"/>
        </w:rPr>
      </w:pPr>
      <w:r w:rsidRPr="00B539CE">
        <w:rPr>
          <w:rStyle w:val="DipnotBavurusu"/>
          <w:rFonts w:ascii="Times New Roman" w:eastAsia="Arial" w:hAnsi="Times New Roman"/>
        </w:rPr>
        <w:footnoteRef/>
      </w:r>
      <w:r w:rsidRPr="00B539CE">
        <w:rPr>
          <w:rFonts w:ascii="Times New Roman" w:hAnsi="Times New Roman" w:cs="Times New Roman"/>
          <w:lang w:val="en-US"/>
        </w:rPr>
        <w:t xml:space="preserve"> </w:t>
      </w:r>
      <w:r w:rsidRPr="00B539CE">
        <w:rPr>
          <w:rStyle w:val="y2iqfc"/>
          <w:rFonts w:ascii="Times New Roman" w:eastAsia="Arial" w:hAnsi="Times New Roman" w:cs="Times New Roman"/>
          <w:lang w:val="en"/>
        </w:rPr>
        <w:t xml:space="preserve">So I translate the two verbs. While </w:t>
      </w:r>
      <w:r w:rsidRPr="00C55D01">
        <w:rPr>
          <w:rStyle w:val="y2iqfc"/>
          <w:rFonts w:ascii="Times New Roman" w:eastAsia="Arial" w:hAnsi="Times New Roman" w:cs="Times New Roman"/>
          <w:i/>
          <w:iCs/>
          <w:lang w:val="en"/>
        </w:rPr>
        <w:t>šidištu</w:t>
      </w:r>
      <w:r w:rsidRPr="00B539CE">
        <w:rPr>
          <w:rStyle w:val="y2iqfc"/>
          <w:rFonts w:ascii="Times New Roman" w:eastAsia="Arial" w:hAnsi="Times New Roman" w:cs="Times New Roman"/>
          <w:lang w:val="en"/>
        </w:rPr>
        <w:t>- “to build” is well attested, the rare at</w:t>
      </w:r>
      <w:r w:rsidRPr="00B539CE">
        <w:rPr>
          <w:rFonts w:ascii="Times New Roman" w:hAnsi="Times New Roman" w:cs="Times New Roman"/>
          <w:lang w:val="en-US"/>
        </w:rPr>
        <w:t>ḫ</w:t>
      </w:r>
      <w:r w:rsidRPr="00B539CE">
        <w:rPr>
          <w:rStyle w:val="y2iqfc"/>
          <w:rFonts w:ascii="Times New Roman" w:eastAsia="Arial" w:hAnsi="Times New Roman" w:cs="Times New Roman"/>
          <w:lang w:val="en"/>
        </w:rPr>
        <w:t xml:space="preserve">u- by deduction will mean “to dig”, to bring out the pool. For the translation of the </w:t>
      </w:r>
      <w:r w:rsidRPr="00C55D01">
        <w:rPr>
          <w:rStyle w:val="y2iqfc"/>
          <w:rFonts w:ascii="Times New Roman" w:eastAsia="Arial" w:hAnsi="Times New Roman" w:cs="Times New Roman"/>
          <w:lang w:val="en"/>
        </w:rPr>
        <w:t>plural tantum</w:t>
      </w:r>
      <w:r w:rsidRPr="00B539CE">
        <w:rPr>
          <w:rStyle w:val="y2iqfc"/>
          <w:rFonts w:ascii="Times New Roman" w:eastAsia="Arial" w:hAnsi="Times New Roman" w:cs="Times New Roman"/>
          <w:lang w:val="en"/>
        </w:rPr>
        <w:t xml:space="preserve"> </w:t>
      </w:r>
      <w:r w:rsidRPr="00C55D01">
        <w:rPr>
          <w:rStyle w:val="y2iqfc"/>
          <w:rFonts w:ascii="Times New Roman" w:eastAsia="Arial" w:hAnsi="Times New Roman" w:cs="Times New Roman"/>
          <w:i/>
          <w:iCs/>
          <w:lang w:val="en"/>
        </w:rPr>
        <w:t>tar(a)manili</w:t>
      </w:r>
      <w:r>
        <w:rPr>
          <w:rStyle w:val="y2iqfc"/>
          <w:rFonts w:ascii="Times New Roman" w:eastAsia="Arial" w:hAnsi="Times New Roman" w:cs="Times New Roman"/>
          <w:i/>
          <w:iCs/>
          <w:lang w:val="en"/>
        </w:rPr>
        <w:fldChar w:fldCharType="begin"/>
      </w:r>
      <w:r>
        <w:instrText xml:space="preserve"> XE "</w:instrText>
      </w:r>
      <w:r w:rsidRPr="006D3D72">
        <w:rPr>
          <w:rStyle w:val="y2iqfc"/>
          <w:rFonts w:ascii="Times New Roman" w:eastAsia="Arial" w:hAnsi="Times New Roman" w:cs="Times New Roman"/>
          <w:i/>
          <w:iCs/>
          <w:lang w:val="en"/>
        </w:rPr>
        <w:instrText>tar(a)manili</w:instrText>
      </w:r>
      <w:r>
        <w:instrText xml:space="preserve">" </w:instrText>
      </w:r>
      <w:r>
        <w:rPr>
          <w:rStyle w:val="y2iqfc"/>
          <w:rFonts w:ascii="Times New Roman" w:eastAsia="Arial" w:hAnsi="Times New Roman" w:cs="Times New Roman"/>
          <w:i/>
          <w:iCs/>
          <w:lang w:val="en"/>
        </w:rPr>
        <w:fldChar w:fldCharType="end"/>
      </w:r>
      <w:r w:rsidRPr="00B539CE">
        <w:rPr>
          <w:rStyle w:val="y2iqfc"/>
          <w:rFonts w:ascii="Times New Roman" w:eastAsia="Arial" w:hAnsi="Times New Roman" w:cs="Times New Roman"/>
          <w:lang w:val="en"/>
        </w:rPr>
        <w:t xml:space="preserve"> with “spring, fountain”, and the correspondence with Hurrian</w:t>
      </w:r>
      <w:r>
        <w:rPr>
          <w:rStyle w:val="y2iqfc"/>
          <w:rFonts w:ascii="Times New Roman" w:eastAsia="Arial" w:hAnsi="Times New Roman" w:cs="Times New Roman"/>
          <w:lang w:val="en"/>
        </w:rPr>
        <w:fldChar w:fldCharType="begin"/>
      </w:r>
      <w:r>
        <w:instrText xml:space="preserve"> XE "</w:instrText>
      </w:r>
      <w:r w:rsidRPr="00762B93">
        <w:rPr>
          <w:rStyle w:val="y2iqfc"/>
          <w:rFonts w:ascii="Times New Roman" w:eastAsia="Arial" w:hAnsi="Times New Roman" w:cs="Times New Roman"/>
          <w:lang w:val="en"/>
        </w:rPr>
        <w:instrText>Hurrian</w:instrText>
      </w:r>
      <w:r>
        <w:instrText xml:space="preserve">" </w:instrText>
      </w:r>
      <w:r>
        <w:rPr>
          <w:rStyle w:val="y2iqfc"/>
          <w:rFonts w:ascii="Times New Roman" w:eastAsia="Arial" w:hAnsi="Times New Roman" w:cs="Times New Roman"/>
          <w:lang w:val="en"/>
        </w:rPr>
        <w:fldChar w:fldCharType="end"/>
      </w:r>
      <w:r w:rsidRPr="00B539CE">
        <w:rPr>
          <w:rStyle w:val="y2iqfc"/>
          <w:rFonts w:ascii="Times New Roman" w:eastAsia="Arial" w:hAnsi="Times New Roman" w:cs="Times New Roman"/>
          <w:lang w:val="en"/>
        </w:rPr>
        <w:t xml:space="preserve"> </w:t>
      </w:r>
      <w:r w:rsidRPr="00C55D01">
        <w:rPr>
          <w:rStyle w:val="y2iqfc"/>
          <w:rFonts w:ascii="Times New Roman" w:eastAsia="Arial" w:hAnsi="Times New Roman" w:cs="Times New Roman"/>
          <w:i/>
          <w:iCs/>
          <w:lang w:val="en"/>
        </w:rPr>
        <w:t>tarmani</w:t>
      </w:r>
      <w:r>
        <w:rPr>
          <w:rStyle w:val="y2iqfc"/>
          <w:rFonts w:ascii="Times New Roman" w:eastAsia="Arial" w:hAnsi="Times New Roman" w:cs="Times New Roman"/>
          <w:i/>
          <w:iCs/>
          <w:lang w:val="en"/>
        </w:rPr>
        <w:fldChar w:fldCharType="begin"/>
      </w:r>
      <w:r>
        <w:instrText xml:space="preserve"> XE "</w:instrText>
      </w:r>
      <w:r w:rsidRPr="00882416">
        <w:rPr>
          <w:rStyle w:val="y2iqfc"/>
          <w:rFonts w:ascii="Times New Roman" w:eastAsia="Arial" w:hAnsi="Times New Roman" w:cs="Times New Roman"/>
          <w:i/>
          <w:iCs/>
          <w:lang w:val="en"/>
        </w:rPr>
        <w:instrText>tarmani</w:instrText>
      </w:r>
      <w:r>
        <w:instrText xml:space="preserve">" </w:instrText>
      </w:r>
      <w:r>
        <w:rPr>
          <w:rStyle w:val="y2iqfc"/>
          <w:rFonts w:ascii="Times New Roman" w:eastAsia="Arial" w:hAnsi="Times New Roman" w:cs="Times New Roman"/>
          <w:i/>
          <w:iCs/>
          <w:lang w:val="en"/>
        </w:rPr>
        <w:fldChar w:fldCharType="end"/>
      </w:r>
      <w:r w:rsidRPr="00B539CE">
        <w:rPr>
          <w:rStyle w:val="y2iqfc"/>
          <w:rFonts w:ascii="Times New Roman" w:eastAsia="Arial" w:hAnsi="Times New Roman" w:cs="Times New Roman"/>
          <w:lang w:val="en"/>
        </w:rPr>
        <w:t xml:space="preserve"> “spring” (</w:t>
      </w:r>
      <w:r w:rsidRPr="00B539CE">
        <w:rPr>
          <w:rFonts w:ascii="Times New Roman" w:hAnsi="Times New Roman" w:cs="Times New Roman"/>
          <w:lang w:val="en-US"/>
        </w:rPr>
        <w:t>Salvini,1970: 409-411; see also CTU I. A 5-59A-D).</w:t>
      </w:r>
    </w:p>
    <w:p w14:paraId="6B9F88D8" w14:textId="77777777" w:rsidR="00B4516E" w:rsidRPr="006B524A" w:rsidRDefault="00B4516E" w:rsidP="00B4516E">
      <w:pPr>
        <w:pStyle w:val="HTMLncedenBiimlendirilmi"/>
        <w:shd w:val="clear" w:color="auto" w:fill="F8F9FA"/>
        <w:rPr>
          <w:rFonts w:ascii="SemiramisUnicode" w:hAnsi="SemiramisUnicode" w:cs="SemiramisUnicode"/>
          <w:color w:val="202124"/>
          <w:sz w:val="24"/>
          <w:szCs w:val="24"/>
          <w:lang w:val="en-US"/>
        </w:rPr>
      </w:pPr>
    </w:p>
    <w:p w14:paraId="6251B4C3" w14:textId="77777777" w:rsidR="00B4516E" w:rsidRPr="006B524A" w:rsidRDefault="00B4516E" w:rsidP="00B4516E">
      <w:pPr>
        <w:pStyle w:val="DipnotMetni"/>
      </w:pPr>
    </w:p>
  </w:footnote>
  <w:footnote w:id="35">
    <w:p w14:paraId="73908510" w14:textId="77777777" w:rsidR="00B4516E" w:rsidRPr="00327DC1" w:rsidRDefault="00B4516E" w:rsidP="00B4516E">
      <w:pPr>
        <w:rPr>
          <w:rFonts w:ascii="Times New Roman" w:hAnsi="Times New Roman" w:cs="Times New Roman"/>
          <w:b/>
          <w:bCs/>
        </w:rPr>
      </w:pPr>
      <w:r w:rsidRPr="00327DC1">
        <w:rPr>
          <w:rStyle w:val="DipnotBavurusu"/>
          <w:rFonts w:ascii="Times New Roman" w:hAnsi="Times New Roman" w:cs="Times New Roman"/>
        </w:rPr>
        <w:footnoteRef/>
      </w:r>
      <w:r w:rsidRPr="00327DC1">
        <w:rPr>
          <w:rFonts w:ascii="Times New Roman" w:hAnsi="Times New Roman" w:cs="Times New Roman"/>
        </w:rPr>
        <w:t xml:space="preserve"> See chapter 8 of this volume: Genç, Işık, Tan &amp; Tümer, Structure of Ṭušpa</w:t>
      </w:r>
      <w:r w:rsidRPr="00327DC1">
        <w:rPr>
          <w:rFonts w:ascii="Times New Roman" w:hAnsi="Times New Roman" w:cs="Times New Roman"/>
        </w:rPr>
        <w:fldChar w:fldCharType="begin"/>
      </w:r>
      <w:r w:rsidRPr="00327DC1">
        <w:rPr>
          <w:rFonts w:ascii="Times New Roman" w:hAnsi="Times New Roman" w:cs="Times New Roman"/>
        </w:rPr>
        <w:instrText xml:space="preserve"> XE "</w:instrText>
      </w:r>
      <w:r w:rsidRPr="00327DC1">
        <w:rPr>
          <w:rFonts w:ascii="Times New Roman" w:hAnsi="Times New Roman" w:cs="Times New Roman"/>
          <w:color w:val="000000" w:themeColor="text1"/>
        </w:rPr>
        <w:instrText>Ṭušpa</w:instrText>
      </w:r>
      <w:r w:rsidRPr="00327DC1">
        <w:rPr>
          <w:rFonts w:ascii="Times New Roman" w:hAnsi="Times New Roman" w:cs="Times New Roman"/>
        </w:rPr>
        <w:instrText xml:space="preserve">" </w:instrText>
      </w:r>
      <w:r w:rsidRPr="00327DC1">
        <w:rPr>
          <w:rFonts w:ascii="Times New Roman" w:hAnsi="Times New Roman" w:cs="Times New Roman"/>
        </w:rPr>
        <w:fldChar w:fldCharType="end"/>
      </w:r>
      <w:r w:rsidRPr="00327DC1">
        <w:rPr>
          <w:rFonts w:ascii="Times New Roman" w:hAnsi="Times New Roman" w:cs="Times New Roman"/>
        </w:rPr>
        <w:t>-</w:t>
      </w:r>
      <w:r w:rsidRPr="00327DC1">
        <w:rPr>
          <w:rFonts w:ascii="Times New Roman" w:hAnsi="Times New Roman"/>
          <w:sz w:val="20"/>
          <w:lang w:val="en-GB"/>
        </w:rPr>
        <w:t>"</w:t>
      </w:r>
      <w:r w:rsidRPr="00327DC1">
        <w:rPr>
          <w:rFonts w:ascii="Times New Roman" w:hAnsi="Times New Roman" w:cs="Times New Roman"/>
        </w:rPr>
        <w:t>siršini</w:t>
      </w:r>
      <w:r w:rsidRPr="00327DC1">
        <w:rPr>
          <w:rFonts w:ascii="Times New Roman" w:hAnsi="Times New Roman"/>
          <w:sz w:val="20"/>
          <w:lang w:val="en-GB"/>
        </w:rPr>
        <w:t>"</w:t>
      </w:r>
      <w:r w:rsidRPr="00327DC1">
        <w:rPr>
          <w:rFonts w:ascii="Times New Roman" w:hAnsi="Times New Roman" w:cs="Times New Roman"/>
        </w:rPr>
        <w:fldChar w:fldCharType="begin"/>
      </w:r>
      <w:r w:rsidRPr="00327DC1">
        <w:rPr>
          <w:rFonts w:ascii="Times New Roman" w:hAnsi="Times New Roman" w:cs="Times New Roman"/>
        </w:rPr>
        <w:instrText xml:space="preserve"> XE "siršini" </w:instrText>
      </w:r>
      <w:r w:rsidRPr="00327DC1">
        <w:rPr>
          <w:rFonts w:ascii="Times New Roman" w:hAnsi="Times New Roman" w:cs="Times New Roman"/>
        </w:rPr>
        <w:fldChar w:fldCharType="end"/>
      </w:r>
      <w:r w:rsidRPr="00327DC1">
        <w:rPr>
          <w:rFonts w:ascii="Times New Roman" w:hAnsi="Times New Roman" w:cs="Times New Roman"/>
        </w:rPr>
        <w:t>: Function and Importance.</w:t>
      </w:r>
    </w:p>
    <w:p w14:paraId="0A4DAA0E" w14:textId="77777777" w:rsidR="00B4516E" w:rsidRPr="000E4AF5" w:rsidRDefault="00B4516E" w:rsidP="00B4516E">
      <w:pPr>
        <w:pStyle w:val="DipnotMetni"/>
        <w:rPr>
          <w:rFonts w:ascii="SemiramisUnicode" w:hAnsi="SemiramisUnicode" w:cs="SemiramisUnicode"/>
          <w:color w:val="FF0000"/>
          <w:sz w:val="18"/>
          <w:szCs w:val="18"/>
        </w:rPr>
      </w:pPr>
    </w:p>
  </w:footnote>
  <w:footnote w:id="36">
    <w:p w14:paraId="60819C7F" w14:textId="77777777" w:rsidR="00B4516E" w:rsidRPr="00E0507B" w:rsidRDefault="00B4516E" w:rsidP="00B4516E">
      <w:pPr>
        <w:pStyle w:val="DipnotMetni"/>
        <w:rPr>
          <w:rFonts w:ascii="Times New Roman" w:hAnsi="Times New Roman" w:cs="Times New Roman"/>
          <w:lang w:val="en-GB"/>
        </w:rPr>
      </w:pPr>
      <w:r w:rsidRPr="00E0507B">
        <w:rPr>
          <w:rStyle w:val="DipnotBavurusu"/>
          <w:rFonts w:ascii="Times New Roman" w:hAnsi="Times New Roman"/>
          <w:lang w:val="en-GB"/>
        </w:rPr>
        <w:footnoteRef/>
      </w:r>
      <w:r w:rsidRPr="00E0507B">
        <w:rPr>
          <w:rFonts w:ascii="Times New Roman" w:hAnsi="Times New Roman" w:cs="Times New Roman"/>
          <w:lang w:val="en-GB"/>
        </w:rPr>
        <w:t xml:space="preserve"> Check the palaeographic list in CTU IV. chapter V. </w:t>
      </w:r>
    </w:p>
  </w:footnote>
  <w:footnote w:id="37">
    <w:p w14:paraId="675DA3ED" w14:textId="77777777" w:rsidR="00B4516E" w:rsidRPr="00F24BCB" w:rsidRDefault="00B4516E" w:rsidP="00B4516E">
      <w:pPr>
        <w:pStyle w:val="HTMLncedenBiimlendirilmi"/>
        <w:shd w:val="clear" w:color="auto" w:fill="F8F9FA"/>
        <w:jc w:val="both"/>
        <w:rPr>
          <w:rFonts w:ascii="Times New Roman" w:hAnsi="Times New Roman" w:cs="Times New Roman"/>
          <w:lang w:val="de-DE"/>
        </w:rPr>
      </w:pPr>
      <w:r w:rsidRPr="00F24BCB">
        <w:rPr>
          <w:rStyle w:val="DipnotBavurusu"/>
          <w:rFonts w:ascii="Times New Roman" w:eastAsia="Arial" w:hAnsi="Times New Roman"/>
        </w:rPr>
        <w:footnoteRef/>
      </w:r>
      <w:r w:rsidRPr="00F24BCB">
        <w:rPr>
          <w:rStyle w:val="y2iqfc"/>
          <w:rFonts w:ascii="Times New Roman" w:eastAsia="Arial" w:hAnsi="Times New Roman" w:cs="Times New Roman"/>
          <w:color w:val="202124"/>
          <w:lang w:val="en"/>
        </w:rPr>
        <w:t xml:space="preserve">About the history of the discovery in various stages, its publication and its reconstruction see </w:t>
      </w:r>
      <w:r>
        <w:rPr>
          <w:rStyle w:val="y2iqfc"/>
          <w:rFonts w:ascii="Times New Roman" w:eastAsia="Arial" w:hAnsi="Times New Roman" w:cs="Times New Roman"/>
          <w:color w:val="202124"/>
          <w:lang w:val="en"/>
        </w:rPr>
        <w:t>(</w:t>
      </w:r>
      <w:r w:rsidRPr="00F24BCB">
        <w:rPr>
          <w:rFonts w:ascii="Times New Roman" w:hAnsi="Times New Roman" w:cs="Times New Roman"/>
          <w:lang w:val="en-US"/>
        </w:rPr>
        <w:t>Salvini,</w:t>
      </w:r>
      <w:r>
        <w:rPr>
          <w:rFonts w:ascii="Times New Roman" w:hAnsi="Times New Roman" w:cs="Times New Roman"/>
          <w:lang w:val="en-US"/>
        </w:rPr>
        <w:t xml:space="preserve"> 2010a: </w:t>
      </w:r>
      <w:r w:rsidRPr="00F24BCB">
        <w:rPr>
          <w:rFonts w:ascii="Times New Roman" w:hAnsi="Times New Roman" w:cs="Times New Roman"/>
          <w:lang w:val="en-US"/>
        </w:rPr>
        <w:t>343-352</w:t>
      </w:r>
      <w:r>
        <w:rPr>
          <w:rFonts w:ascii="Times New Roman" w:hAnsi="Times New Roman" w:cs="Times New Roman"/>
          <w:lang w:val="en-US"/>
        </w:rPr>
        <w:t>,</w:t>
      </w:r>
      <w:r w:rsidRPr="00F24BCB">
        <w:rPr>
          <w:rFonts w:ascii="Times New Roman" w:hAnsi="Times New Roman" w:cs="Times New Roman"/>
          <w:lang w:val="en-US"/>
        </w:rPr>
        <w:t xml:space="preserve"> Tavv. </w:t>
      </w:r>
      <w:r w:rsidRPr="00F24BCB">
        <w:rPr>
          <w:rFonts w:ascii="Times New Roman" w:hAnsi="Times New Roman" w:cs="Times New Roman"/>
          <w:lang w:val="de-DE"/>
        </w:rPr>
        <w:t>I-IV).</w:t>
      </w:r>
      <w:r w:rsidRPr="00F24BCB">
        <w:rPr>
          <w:rFonts w:ascii="Times New Roman" w:hAnsi="Times New Roman" w:cs="Times New Roman"/>
          <w:lang w:val="en-US"/>
        </w:rPr>
        <w:t xml:space="preserve"> </w:t>
      </w:r>
    </w:p>
    <w:p w14:paraId="0E66BB9A" w14:textId="77777777" w:rsidR="00B4516E" w:rsidRPr="00E11F81" w:rsidRDefault="00B4516E" w:rsidP="00B4516E">
      <w:pPr>
        <w:pStyle w:val="DipnotMetni"/>
        <w:rPr>
          <w:rFonts w:ascii="SemiramisUnicode" w:hAnsi="SemiramisUnicode" w:cs="SemiramisUnicode"/>
          <w:lang w:val="de-DE"/>
        </w:rPr>
      </w:pPr>
    </w:p>
  </w:footnote>
  <w:footnote w:id="38">
    <w:p w14:paraId="1637CA21" w14:textId="77777777" w:rsidR="00B4516E" w:rsidRPr="007B3072" w:rsidRDefault="00B4516E" w:rsidP="00B4516E">
      <w:pPr>
        <w:pStyle w:val="HTMLncedenBiimlendirilmi"/>
        <w:shd w:val="clear" w:color="auto" w:fill="F8F9FA"/>
        <w:spacing w:line="240" w:lineRule="auto"/>
        <w:rPr>
          <w:rFonts w:ascii="Times New Roman" w:hAnsi="Times New Roman" w:cs="Times New Roman"/>
          <w:color w:val="202124"/>
          <w:szCs w:val="20"/>
          <w:lang w:val="en-US"/>
        </w:rPr>
      </w:pPr>
      <w:r w:rsidRPr="007B3072">
        <w:rPr>
          <w:rStyle w:val="DipnotBavurusu"/>
          <w:rFonts w:ascii="Times New Roman" w:eastAsia="Arial" w:hAnsi="Times New Roman"/>
        </w:rPr>
        <w:footnoteRef/>
      </w:r>
      <w:r w:rsidRPr="007B3072">
        <w:rPr>
          <w:rFonts w:ascii="Times New Roman" w:hAnsi="Times New Roman" w:cs="Times New Roman"/>
          <w:lang w:val="en-US"/>
        </w:rPr>
        <w:t xml:space="preserve"> </w:t>
      </w:r>
      <w:r w:rsidRPr="007B3072">
        <w:rPr>
          <w:rFonts w:ascii="Times New Roman" w:hAnsi="Times New Roman" w:cs="Times New Roman"/>
          <w:color w:val="202124"/>
          <w:szCs w:val="20"/>
          <w:lang w:val="en"/>
        </w:rPr>
        <w:t>It corresponds to Urartian</w:t>
      </w:r>
      <w:r w:rsidRPr="007B3072">
        <w:rPr>
          <w:rFonts w:ascii="Times New Roman" w:hAnsi="Times New Roman" w:cs="Times New Roman"/>
          <w:color w:val="202124"/>
          <w:szCs w:val="20"/>
          <w:lang w:val="en"/>
        </w:rPr>
        <w:fldChar w:fldCharType="begin"/>
      </w:r>
      <w:r w:rsidRPr="007B3072">
        <w:instrText xml:space="preserve"> XE "</w:instrText>
      </w:r>
      <w:r w:rsidRPr="007B3072">
        <w:rPr>
          <w:rFonts w:asciiTheme="majorBidi" w:hAnsiTheme="majorBidi" w:cstheme="majorBidi"/>
          <w:lang w:val="en-US"/>
        </w:rPr>
        <w:instrText>Urartian</w:instrText>
      </w:r>
      <w:r w:rsidRPr="007B3072">
        <w:instrText xml:space="preserve">" </w:instrText>
      </w:r>
      <w:r w:rsidRPr="007B3072">
        <w:rPr>
          <w:rFonts w:ascii="Times New Roman" w:hAnsi="Times New Roman" w:cs="Times New Roman"/>
          <w:color w:val="202124"/>
          <w:szCs w:val="20"/>
          <w:lang w:val="en"/>
        </w:rPr>
        <w:fldChar w:fldCharType="end"/>
      </w:r>
      <w:r w:rsidRPr="007B3072">
        <w:rPr>
          <w:rFonts w:ascii="Times New Roman" w:hAnsi="Times New Roman" w:cs="Times New Roman"/>
          <w:color w:val="202124"/>
          <w:szCs w:val="20"/>
          <w:lang w:val="en"/>
        </w:rPr>
        <w:t xml:space="preserve"> </w:t>
      </w:r>
      <w:r w:rsidRPr="007B3072">
        <w:rPr>
          <w:rFonts w:ascii="Times New Roman" w:hAnsi="Times New Roman" w:cs="Times New Roman"/>
          <w:color w:val="202124"/>
          <w:szCs w:val="20"/>
          <w:vertAlign w:val="superscript"/>
          <w:lang w:val="en"/>
        </w:rPr>
        <w:t>LÚ</w:t>
      </w:r>
      <w:r w:rsidRPr="007B3072">
        <w:rPr>
          <w:rFonts w:ascii="Times New Roman" w:hAnsi="Times New Roman" w:cs="Times New Roman"/>
          <w:color w:val="202124"/>
          <w:szCs w:val="20"/>
          <w:lang w:val="en"/>
        </w:rPr>
        <w:t>taršuani, men, gente (CTU V. p. 417), always mentioned in large numbers as the object of raids during military campaigns. The meaning is incomprehensible in this context.</w:t>
      </w:r>
    </w:p>
    <w:p w14:paraId="75521CE4" w14:textId="77777777" w:rsidR="00B4516E" w:rsidRPr="00FF6A6C" w:rsidRDefault="00B4516E" w:rsidP="00B4516E">
      <w:pPr>
        <w:pStyle w:val="DipnotMetni"/>
      </w:pPr>
    </w:p>
  </w:footnote>
  <w:footnote w:id="39">
    <w:p w14:paraId="2D51A318" w14:textId="77777777" w:rsidR="00EC68C5" w:rsidRPr="00E0507B" w:rsidRDefault="00EC68C5" w:rsidP="00EC68C5">
      <w:pPr>
        <w:pStyle w:val="DipnotMetni"/>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See for mass deportations in the Urartian</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Urartian</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Tan, 2020.</w:t>
      </w:r>
    </w:p>
  </w:footnote>
  <w:footnote w:id="40">
    <w:p w14:paraId="2FEA97CD" w14:textId="77777777" w:rsidR="00EC68C5" w:rsidRPr="00E0507B" w:rsidRDefault="00EC68C5" w:rsidP="00EC68C5">
      <w:pPr>
        <w:pStyle w:val="DipnotMetni"/>
        <w:spacing w:line="276" w:lineRule="auto"/>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See for English: http://oracc.org/ecut/Q006874 (With minor edits.).</w:t>
      </w:r>
    </w:p>
  </w:footnote>
  <w:footnote w:id="41">
    <w:p w14:paraId="55CE6345" w14:textId="77777777" w:rsidR="00EC68C5" w:rsidRPr="00E0507B" w:rsidRDefault="00EC68C5" w:rsidP="00EC68C5">
      <w:pPr>
        <w:pStyle w:val="DipnotMetni"/>
        <w:spacing w:line="276" w:lineRule="auto"/>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For similarities see: </w:t>
      </w:r>
      <w:r w:rsidRPr="00E0507B">
        <w:rPr>
          <w:rFonts w:ascii="Times New Roman" w:hAnsi="Times New Roman" w:cs="Times New Roman"/>
          <w:noProof/>
          <w:lang w:val="en-GB"/>
        </w:rPr>
        <w:t>Tarhan, 1980; Tan, 2010, Tan, 2014; Baştürk, 2013.</w:t>
      </w:r>
    </w:p>
  </w:footnote>
  <w:footnote w:id="42">
    <w:p w14:paraId="69C33910" w14:textId="77777777" w:rsidR="00EC68C5" w:rsidRPr="00E0507B" w:rsidRDefault="00EC68C5" w:rsidP="00EC68C5">
      <w:pPr>
        <w:pStyle w:val="DipnotMetni"/>
        <w:spacing w:line="276" w:lineRule="auto"/>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For “Nairi</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Nairi</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see; </w:t>
      </w:r>
      <w:r w:rsidRPr="00E0507B">
        <w:rPr>
          <w:rFonts w:ascii="Times New Roman" w:hAnsi="Times New Roman" w:cs="Times New Roman"/>
          <w:noProof/>
          <w:lang w:val="en-GB"/>
        </w:rPr>
        <w:t>Salvini, 1967; Salvini, 2006: 28-34; Zimansky, 1985: 48-50; Tan, 2010: 17-22; Tan, 2014: 35-39; Köroğlu, 2011: 20-21; Köroğlu, 2015.</w:t>
      </w:r>
    </w:p>
  </w:footnote>
  <w:footnote w:id="43">
    <w:p w14:paraId="01710357" w14:textId="4BA6D92B" w:rsidR="00EC68C5" w:rsidRPr="002A0E49" w:rsidRDefault="00EC68C5" w:rsidP="00EC68C5">
      <w:pPr>
        <w:pStyle w:val="DipnotMetni"/>
        <w:spacing w:line="276" w:lineRule="auto"/>
        <w:jc w:val="both"/>
        <w:rPr>
          <w:rFonts w:ascii="Times New Roman" w:hAnsi="Times New Roman" w:cs="Times New Roman"/>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For some suggestions see: </w:t>
      </w:r>
      <w:r w:rsidRPr="00E0507B">
        <w:rPr>
          <w:rFonts w:ascii="Times New Roman" w:hAnsi="Times New Roman" w:cs="Times New Roman"/>
          <w:noProof/>
          <w:lang w:val="en-GB"/>
        </w:rPr>
        <w:t>Lehmann-Haupt, 1926; Burney &amp; Lang, 1971; Belli, 1982; Salvini, 2005; Kuvanç, 2017</w:t>
      </w:r>
      <w:r w:rsidRPr="00E0507B">
        <w:rPr>
          <w:rFonts w:ascii="Times New Roman" w:hAnsi="Times New Roman" w:cs="Times New Roman"/>
          <w:lang w:val="en-GB"/>
        </w:rPr>
        <w:t>.</w:t>
      </w:r>
    </w:p>
  </w:footnote>
  <w:footnote w:id="44">
    <w:p w14:paraId="6799E2FD" w14:textId="77777777" w:rsidR="00EC68C5" w:rsidRPr="00E0507B" w:rsidRDefault="00EC68C5" w:rsidP="00EC68C5">
      <w:pPr>
        <w:pStyle w:val="DipnotMetni"/>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Inscriptions are named according to CTU: Corpus dei testi Urartei. (Salvini, 2008).</w:t>
      </w:r>
    </w:p>
  </w:footnote>
  <w:footnote w:id="45">
    <w:p w14:paraId="15A60192" w14:textId="77777777" w:rsidR="00EC68C5" w:rsidRPr="00E0507B" w:rsidRDefault="00EC68C5" w:rsidP="00EC68C5">
      <w:pPr>
        <w:pStyle w:val="DipnotMetni"/>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When labelling the inscriptions on the western façade of the building from north to south, Salvini (Salvini, 2008) followed the order of CTU I. A 1-1A, A 1-1C, A 1-1B. In order to avoid confusion, the names of the inscriptions based in CTU have been adhered to in this article.</w:t>
      </w:r>
    </w:p>
  </w:footnote>
  <w:footnote w:id="46">
    <w:p w14:paraId="1C96EE12" w14:textId="77777777" w:rsidR="00EC68C5" w:rsidRPr="00E0507B" w:rsidRDefault="00EC68C5" w:rsidP="00EC68C5">
      <w:pPr>
        <w:pStyle w:val="DipnotMetni"/>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There is no relationship between the number of lines and the chronology, instead it is thought to be related to the size and shape of the stone on which the inscription is found.</w:t>
      </w:r>
    </w:p>
  </w:footnote>
  <w:footnote w:id="47">
    <w:p w14:paraId="6537EC92" w14:textId="77777777" w:rsidR="00EC68C5" w:rsidRPr="00E0507B" w:rsidRDefault="00EC68C5" w:rsidP="00EC68C5">
      <w:pPr>
        <w:pStyle w:val="DipnotMetni"/>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Line numbers of Sardurburç</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Sardurburç</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inscriptions</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Sardurburç inscriptions</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are as follows.  </w:t>
      </w:r>
    </w:p>
    <w:p w14:paraId="2D7B9A8C" w14:textId="77777777" w:rsidR="00EC68C5" w:rsidRPr="002A0E49" w:rsidRDefault="00EC68C5" w:rsidP="00EC68C5">
      <w:pPr>
        <w:pStyle w:val="DipnotMetni"/>
        <w:jc w:val="both"/>
        <w:rPr>
          <w:rFonts w:ascii="Times New Roman" w:hAnsi="Times New Roman" w:cs="Times New Roman"/>
        </w:rPr>
      </w:pPr>
      <w:r w:rsidRPr="00E0507B">
        <w:rPr>
          <w:rFonts w:ascii="Times New Roman" w:hAnsi="Times New Roman" w:cs="Times New Roman"/>
          <w:lang w:val="en-GB"/>
        </w:rPr>
        <w:t>CTU I. A 1-1A: 7 Lines / A 1-1B: 8 Lines / A 1-1C: 7 Lines / A 1-1D: 7 Lines / A 1-1E: 9 Lines / A 1-1F: 7 Lines.</w:t>
      </w:r>
    </w:p>
  </w:footnote>
  <w:footnote w:id="48">
    <w:p w14:paraId="79E4A9D9" w14:textId="77777777" w:rsidR="00EC68C5" w:rsidRPr="00E0507B" w:rsidRDefault="00EC68C5" w:rsidP="00EC68C5">
      <w:pPr>
        <w:pStyle w:val="DipnotMetni"/>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Naumann states that he did not make a detailed evaluation since he only visited the building for a short time (Naumann, 1968: 55). In particular, he compares it with the dimensions of Urartian</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Urartian</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temples and favours the view that it may be a temple foundation.</w:t>
      </w:r>
    </w:p>
  </w:footnote>
  <w:footnote w:id="49">
    <w:p w14:paraId="5454E47D" w14:textId="26603BB1" w:rsidR="00EC68C5" w:rsidRPr="00E0507B" w:rsidRDefault="00EC68C5" w:rsidP="00EC68C5">
      <w:pPr>
        <w:pStyle w:val="DipnotMetni"/>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In the Minua</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Minua</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w:t>
      </w:r>
      <w:r>
        <w:rPr>
          <w:rFonts w:ascii="Times New Roman" w:hAnsi="Times New Roman" w:cs="Times New Roman"/>
          <w:lang w:val="en-GB"/>
        </w:rPr>
        <w:t>p</w:t>
      </w:r>
      <w:r w:rsidRPr="00E0507B">
        <w:rPr>
          <w:rFonts w:ascii="Times New Roman" w:hAnsi="Times New Roman" w:cs="Times New Roman"/>
          <w:lang w:val="en-GB"/>
        </w:rPr>
        <w:t xml:space="preserve">eriod inscription numbered </w:t>
      </w:r>
      <w:r w:rsidRPr="00E0507B">
        <w:rPr>
          <w:rFonts w:ascii="Times New Roman" w:hAnsi="Times New Roman" w:cs="Times New Roman"/>
          <w:bCs/>
          <w:lang w:val="en-GB"/>
        </w:rPr>
        <w:t>CTU I. A 5-66</w:t>
      </w:r>
      <w:r w:rsidRPr="00E0507B">
        <w:rPr>
          <w:rFonts w:ascii="Times New Roman" w:hAnsi="Times New Roman" w:cs="Times New Roman"/>
          <w:lang w:val="en-GB"/>
        </w:rPr>
        <w:t>, located near Sardurburç</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Sardurburç</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it is written that a warehouse structure was built in this place. This issue will be explained in more detail in the conclusion section. </w:t>
      </w:r>
    </w:p>
  </w:footnote>
  <w:footnote w:id="50">
    <w:p w14:paraId="57CE7696" w14:textId="77777777" w:rsidR="00EC68C5" w:rsidRPr="00263D1F" w:rsidRDefault="00EC68C5" w:rsidP="00EC68C5">
      <w:pPr>
        <w:pStyle w:val="DipnotMetni"/>
        <w:jc w:val="both"/>
        <w:rPr>
          <w:rFonts w:ascii="Times New Roman" w:hAnsi="Times New Roman" w:cs="Times New Roman"/>
          <w:lang w:val="en-GB"/>
        </w:rPr>
      </w:pPr>
      <w:r w:rsidRPr="00263D1F">
        <w:rPr>
          <w:rStyle w:val="DipnotBavurusu"/>
          <w:rFonts w:ascii="Times New Roman" w:hAnsi="Times New Roman" w:cs="Times New Roman"/>
          <w:lang w:val="en-GB"/>
        </w:rPr>
        <w:footnoteRef/>
      </w:r>
      <w:r w:rsidRPr="00263D1F">
        <w:rPr>
          <w:rFonts w:ascii="Times New Roman" w:hAnsi="Times New Roman" w:cs="Times New Roman"/>
          <w:lang w:val="en-GB"/>
        </w:rPr>
        <w:t xml:space="preserve"> However, this may be related to the fact that the writing has not yet reached Urartian</w:t>
      </w:r>
      <w:r w:rsidRPr="00263D1F">
        <w:rPr>
          <w:rFonts w:ascii="Times New Roman" w:hAnsi="Times New Roman" w:cs="Times New Roman"/>
          <w:lang w:val="en-GB"/>
        </w:rPr>
        <w:fldChar w:fldCharType="begin"/>
      </w:r>
      <w:r w:rsidRPr="00263D1F">
        <w:rPr>
          <w:lang w:val="en-GB"/>
        </w:rPr>
        <w:instrText xml:space="preserve"> XE "</w:instrText>
      </w:r>
      <w:r w:rsidRPr="00263D1F">
        <w:rPr>
          <w:rFonts w:asciiTheme="majorBidi" w:hAnsiTheme="majorBidi" w:cstheme="majorBidi"/>
          <w:lang w:val="en-GB"/>
        </w:rPr>
        <w:instrText>Urartian</w:instrText>
      </w:r>
      <w:r w:rsidRPr="00263D1F">
        <w:rPr>
          <w:lang w:val="en-GB"/>
        </w:rPr>
        <w:instrText xml:space="preserve">" </w:instrText>
      </w:r>
      <w:r w:rsidRPr="00263D1F">
        <w:rPr>
          <w:rFonts w:ascii="Times New Roman" w:hAnsi="Times New Roman" w:cs="Times New Roman"/>
          <w:lang w:val="en-GB"/>
        </w:rPr>
        <w:fldChar w:fldCharType="end"/>
      </w:r>
      <w:r w:rsidRPr="00263D1F">
        <w:rPr>
          <w:rFonts w:ascii="Times New Roman" w:hAnsi="Times New Roman" w:cs="Times New Roman"/>
          <w:lang w:val="en-GB"/>
        </w:rPr>
        <w:t xml:space="preserve"> or has not been used yet.</w:t>
      </w:r>
    </w:p>
  </w:footnote>
  <w:footnote w:id="51">
    <w:p w14:paraId="26A836E7" w14:textId="77777777" w:rsidR="00EC68C5" w:rsidRPr="00E0507B" w:rsidRDefault="00EC68C5" w:rsidP="00EC68C5">
      <w:pPr>
        <w:pStyle w:val="DipnotMetni"/>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For similar practices during the reign of Minua</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Minua</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see. CTU I. A 5-42A-C; CTU I. 5-58A-C; CTU I. A 5-65A-C. Repetitions also occur frequently inside the building inscription texts; CTU I. A 2-2A-G; CTU I. A 5-55A-E et al.</w:t>
      </w:r>
    </w:p>
  </w:footnote>
  <w:footnote w:id="52">
    <w:p w14:paraId="1E4F10AA" w14:textId="3F50BF75" w:rsidR="00EC68C5" w:rsidRPr="002A0E49" w:rsidRDefault="00EC68C5" w:rsidP="00EC68C5">
      <w:pPr>
        <w:pStyle w:val="DipnotMetni"/>
        <w:jc w:val="both"/>
        <w:rPr>
          <w:rFonts w:ascii="Times New Roman" w:hAnsi="Times New Roman" w:cs="Times New Roman"/>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At this point, the inscriptions on the building should be considered separately from the architectural construction phases of the building. When we evaluate it in terms of typeface and workmanship, it can be clearly seen that the inscription CTU I. A 1-1A shows a much more archaic craftsmanship than the others. (See Section: </w:t>
      </w:r>
      <w:r w:rsidRPr="006371BE">
        <w:rPr>
          <w:rFonts w:ascii="Times New Roman" w:hAnsi="Times New Roman" w:cs="Times New Roman"/>
          <w:lang w:val="en-GB"/>
        </w:rPr>
        <w:t>Inscriptions and Historical Evaluations)</w:t>
      </w:r>
      <w:r w:rsidRPr="00E0507B">
        <w:rPr>
          <w:rFonts w:ascii="Times New Roman" w:hAnsi="Times New Roman" w:cs="Times New Roman"/>
          <w:lang w:val="en-GB"/>
        </w:rPr>
        <w:t xml:space="preserve"> If we think independently of the construction phases, it is possible that a single inscription may have been written first (CTU I. A 1-1A) and that other 5 inscriptions were copied after making three copies of inscriptions tradition began. Unlike the first inscription (CTU I. A 1-1A), the 5 inscriptions engraved in the second phase have a much better craftsmanship in harmony with each other.</w:t>
      </w:r>
    </w:p>
  </w:footnote>
  <w:footnote w:id="53">
    <w:p w14:paraId="5A3F0DF1" w14:textId="77777777" w:rsidR="00EC68C5" w:rsidRPr="00E0507B" w:rsidRDefault="00EC68C5" w:rsidP="00EC68C5">
      <w:pPr>
        <w:pStyle w:val="DipnotMetni"/>
        <w:jc w:val="both"/>
        <w:rPr>
          <w:rFonts w:ascii="Times New Roman" w:hAnsi="Times New Roman" w:cs="Times New Roman"/>
          <w:lang w:val="en-GB"/>
        </w:rPr>
      </w:pPr>
      <w:r w:rsidRPr="00E0507B">
        <w:rPr>
          <w:rStyle w:val="DipnotBavurusu"/>
          <w:rFonts w:ascii="Times New Roman" w:hAnsi="Times New Roman" w:cs="Times New Roman"/>
          <w:lang w:val="en-GB"/>
        </w:rPr>
        <w:footnoteRef/>
      </w:r>
      <w:r w:rsidRPr="00E0507B">
        <w:rPr>
          <w:rFonts w:ascii="Times New Roman" w:hAnsi="Times New Roman" w:cs="Times New Roman"/>
          <w:lang w:val="en-GB"/>
        </w:rPr>
        <w:t xml:space="preserve"> In the excavation reports of 1938, Lake put forward the first observations that the structure may have been built in 3 stages during the Urartian</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Urartian</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period. Also, Korfmann continues these observations. </w:t>
      </w:r>
      <w:r w:rsidRPr="00E0507B">
        <w:rPr>
          <w:rFonts w:ascii="Times New Roman" w:hAnsi="Times New Roman" w:cs="Times New Roman"/>
          <w:noProof/>
          <w:lang w:val="en-GB"/>
        </w:rPr>
        <w:t>(Lake &amp; Lake, 1939; Lake, 1940; Korfmann, 1977: 197)</w:t>
      </w:r>
      <w:r w:rsidRPr="00E0507B">
        <w:rPr>
          <w:rFonts w:ascii="Times New Roman" w:hAnsi="Times New Roman" w:cs="Times New Roman"/>
          <w:lang w:val="en-GB"/>
        </w:rPr>
        <w:t>. However, for the first time in this chapter, a detailed evaluation is provided.</w:t>
      </w:r>
    </w:p>
  </w:footnote>
  <w:footnote w:id="54">
    <w:p w14:paraId="3F330811" w14:textId="77777777" w:rsidR="00F26DC8" w:rsidRPr="008C5F26" w:rsidRDefault="00F26DC8" w:rsidP="00F26DC8">
      <w:pPr>
        <w:pStyle w:val="DipnotMetni"/>
        <w:jc w:val="both"/>
        <w:rPr>
          <w:rFonts w:ascii="Times New Roman" w:hAnsi="Times New Roman" w:cs="Times New Roman"/>
          <w:lang w:val="en-GB"/>
        </w:rPr>
      </w:pPr>
      <w:r w:rsidRPr="008C5F26">
        <w:rPr>
          <w:rStyle w:val="DipnotBavurusu"/>
          <w:rFonts w:ascii="Times New Roman" w:hAnsi="Times New Roman" w:cs="Times New Roman"/>
          <w:lang w:val="en-GB"/>
        </w:rPr>
        <w:footnoteRef/>
      </w:r>
      <w:r w:rsidRPr="008C5F26">
        <w:rPr>
          <w:rFonts w:ascii="Times New Roman" w:hAnsi="Times New Roman" w:cs="Times New Roman"/>
          <w:lang w:val="en-GB"/>
        </w:rPr>
        <w:t xml:space="preserve"> The exact location of </w:t>
      </w:r>
      <w:r w:rsidRPr="00700903">
        <w:rPr>
          <w:rFonts w:ascii="Times New Roman" w:hAnsi="Times New Roman" w:cs="Times New Roman"/>
          <w:iCs/>
          <w:lang w:val="en-GB"/>
        </w:rPr>
        <w:t>Alniunu</w:t>
      </w:r>
      <w:r w:rsidRPr="008C5F26">
        <w:rPr>
          <w:rFonts w:ascii="Times New Roman" w:hAnsi="Times New Roman" w:cs="Times New Roman"/>
          <w:i/>
          <w:iCs/>
          <w:lang w:val="en-GB"/>
        </w:rPr>
        <w:fldChar w:fldCharType="begin"/>
      </w:r>
      <w:r w:rsidRPr="008C5F26">
        <w:rPr>
          <w:lang w:val="en-GB"/>
        </w:rPr>
        <w:instrText xml:space="preserve"> XE "</w:instrText>
      </w:r>
      <w:r w:rsidRPr="00274E5C">
        <w:rPr>
          <w:rFonts w:asciiTheme="majorBidi" w:hAnsiTheme="majorBidi" w:cstheme="majorBidi"/>
          <w:lang w:val="en-GB"/>
        </w:rPr>
        <w:instrText>Alniunu</w:instrText>
      </w:r>
      <w:r w:rsidRPr="008C5F26">
        <w:rPr>
          <w:lang w:val="en-GB"/>
        </w:rPr>
        <w:instrText xml:space="preserve">" </w:instrText>
      </w:r>
      <w:r w:rsidRPr="008C5F26">
        <w:rPr>
          <w:rFonts w:ascii="Times New Roman" w:hAnsi="Times New Roman" w:cs="Times New Roman"/>
          <w:i/>
          <w:iCs/>
          <w:lang w:val="en-GB"/>
        </w:rPr>
        <w:fldChar w:fldCharType="end"/>
      </w:r>
      <w:r w:rsidRPr="008C5F26">
        <w:rPr>
          <w:rFonts w:ascii="Times New Roman" w:hAnsi="Times New Roman" w:cs="Times New Roman"/>
          <w:lang w:val="en-GB"/>
        </w:rPr>
        <w:t>, the suggested source of the travertine blocks of the Sardurburç</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imes New Roman" w:hAnsi="Times New Roman" w:cs="Times New Roman"/>
          <w:lang w:val="en-GB"/>
        </w:rPr>
        <w:instrText>Sardurburç</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remains unknown, though it must have been in the Edremit</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color w:val="202124"/>
          <w:sz w:val="24"/>
          <w:szCs w:val="24"/>
          <w:lang w:val="en-GB"/>
        </w:rPr>
        <w:instrText>Edremit</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District. A plausible source would be the travertine beds to the east of Kadembastı</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imes New Roman" w:hAnsi="Times New Roman" w:cs="Times New Roman"/>
          <w:lang w:val="en-GB"/>
        </w:rPr>
        <w:instrText>Kadembastı</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The petrographic analyses confirm their similarities, but further work is needed to determine the exact source of the blocks, which depends on the chemical compatibility of the samples taken from several locations (Kuvanç, 2017: 115-134).</w:t>
      </w:r>
    </w:p>
  </w:footnote>
  <w:footnote w:id="55">
    <w:p w14:paraId="23C94F71" w14:textId="77777777" w:rsidR="00F26DC8" w:rsidRPr="00C91498" w:rsidRDefault="00F26DC8" w:rsidP="00F26DC8">
      <w:pPr>
        <w:pStyle w:val="DipnotMetni"/>
        <w:jc w:val="both"/>
        <w:rPr>
          <w:rFonts w:ascii="Times New Roman" w:hAnsi="Times New Roman" w:cs="Times New Roman"/>
        </w:rPr>
      </w:pPr>
      <w:r w:rsidRPr="008C5F26">
        <w:rPr>
          <w:rStyle w:val="DipnotBavurusu"/>
          <w:rFonts w:ascii="Times New Roman" w:hAnsi="Times New Roman" w:cs="Times New Roman"/>
          <w:lang w:val="en-GB"/>
        </w:rPr>
        <w:footnoteRef/>
      </w:r>
      <w:r w:rsidRPr="008C5F26">
        <w:rPr>
          <w:rFonts w:ascii="Times New Roman" w:hAnsi="Times New Roman" w:cs="Times New Roman"/>
          <w:lang w:val="en-GB"/>
        </w:rPr>
        <w:t xml:space="preserve"> We are informed about the repairs made by the sanjak and tribal chiefs under the supervision of Van Beylerbeyi in 1568, 1572, 1582, 1660 and 1661. However, the 18th century official documents indicate that the sanjak beys</w:t>
      </w:r>
      <w:r w:rsidRPr="001C0864">
        <w:rPr>
          <w:rFonts w:ascii="Times New Roman" w:hAnsi="Times New Roman" w:cs="Times New Roman"/>
        </w:rPr>
        <w:t xml:space="preserve"> </w:t>
      </w:r>
      <w:r w:rsidRPr="008C5F26">
        <w:rPr>
          <w:rFonts w:ascii="Times New Roman" w:hAnsi="Times New Roman" w:cs="Times New Roman"/>
          <w:lang w:val="en-GB"/>
        </w:rPr>
        <w:t>could not carried out repairs during the Safavid-Ottoman</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eastAsia="Times New Roman" w:hAnsiTheme="majorBidi" w:cstheme="majorBidi"/>
          <w:lang w:val="en-GB"/>
        </w:rPr>
        <w:instrText>Ottoman</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wars and that the state took over and completed the work form its own budget (Kılıç, 2021).</w:t>
      </w:r>
    </w:p>
  </w:footnote>
  <w:footnote w:id="56">
    <w:p w14:paraId="7CF95EAA" w14:textId="2EAFDC22" w:rsidR="00F26DC8" w:rsidRPr="008C5F26" w:rsidRDefault="00F26DC8" w:rsidP="00F26DC8">
      <w:pPr>
        <w:pStyle w:val="DipnotMetni"/>
        <w:jc w:val="both"/>
        <w:rPr>
          <w:rFonts w:ascii="Times New Roman" w:hAnsi="Times New Roman" w:cs="Times New Roman"/>
          <w:lang w:val="en-GB"/>
        </w:rPr>
      </w:pPr>
      <w:r w:rsidRPr="008C5F26">
        <w:rPr>
          <w:rStyle w:val="DipnotBavurusu"/>
          <w:rFonts w:ascii="Times New Roman" w:hAnsi="Times New Roman" w:cs="Times New Roman"/>
          <w:lang w:val="en-GB"/>
        </w:rPr>
        <w:footnoteRef/>
      </w:r>
      <w:r w:rsidRPr="008C5F26">
        <w:rPr>
          <w:rFonts w:ascii="Times New Roman" w:hAnsi="Times New Roman" w:cs="Times New Roman"/>
          <w:lang w:val="en-GB"/>
        </w:rPr>
        <w:t xml:space="preserve"> This is supported by the excavation reports numbered 89/42 and dated 1910 (28 Rebiülevvel 1328 Hijri) in the Prime Ministry’s Ottoman</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eastAsia="Calibri" w:hAnsiTheme="majorBidi" w:cstheme="majorBidi"/>
          <w:lang w:val="en-GB"/>
        </w:rPr>
        <w:instrText>Ottoman</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Archives, Divan-ı Hümâyûn - General Communications Administration (BOA, DH. MUİ.). We are informed that the Van Fortress was not demolishedi and used as a military warehouse and arsenal, which explains the existence of the ammunition found during the excavations. I would like to thank Prof. Ali Fuat Örenç for drawing my atteintion to the document.</w:t>
      </w:r>
    </w:p>
  </w:footnote>
  <w:footnote w:id="57">
    <w:p w14:paraId="6489FC4A" w14:textId="77777777" w:rsidR="00D02275" w:rsidRPr="008C5F26" w:rsidRDefault="00D02275" w:rsidP="00D02275">
      <w:pPr>
        <w:pStyle w:val="DipnotMetni"/>
        <w:jc w:val="both"/>
        <w:rPr>
          <w:rFonts w:ascii="Times New Roman" w:hAnsi="Times New Roman" w:cs="Times New Roman"/>
          <w:lang w:val="en-GB"/>
        </w:rPr>
      </w:pPr>
      <w:r w:rsidRPr="008C5F26">
        <w:rPr>
          <w:rStyle w:val="DipnotBavurusu"/>
          <w:rFonts w:ascii="Times New Roman" w:hAnsi="Times New Roman" w:cs="Times New Roman"/>
          <w:lang w:val="en-GB"/>
        </w:rPr>
        <w:footnoteRef/>
      </w:r>
      <w:r w:rsidRPr="008C5F26">
        <w:rPr>
          <w:rFonts w:ascii="Times New Roman" w:hAnsi="Times New Roman" w:cs="Times New Roman"/>
          <w:lang w:val="en-GB"/>
        </w:rPr>
        <w:t xml:space="preserve"> For wine liberation in front of the stele please see. Güsak Stele</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Güsak Stele</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/Anguzek Stel CTU I. A 5-33; For animal sacrifice in front of the stele please see CTU I. A 3-8. </w:t>
      </w:r>
    </w:p>
  </w:footnote>
  <w:footnote w:id="58">
    <w:p w14:paraId="7ECC81E9" w14:textId="77777777" w:rsidR="001C57DB" w:rsidRPr="008C5F26" w:rsidRDefault="001C57DB" w:rsidP="001C57DB">
      <w:pPr>
        <w:pStyle w:val="DipnotMetni"/>
        <w:jc w:val="both"/>
        <w:rPr>
          <w:lang w:val="en-GB"/>
        </w:rPr>
      </w:pPr>
      <w:r w:rsidRPr="008C5F26">
        <w:rPr>
          <w:rStyle w:val="DipnotBavurusu"/>
          <w:lang w:val="en-GB"/>
        </w:rPr>
        <w:footnoteRef/>
      </w:r>
      <w:r w:rsidRPr="008C5F26">
        <w:rPr>
          <w:lang w:val="en-GB"/>
        </w:rPr>
        <w:t xml:space="preserve"> </w:t>
      </w:r>
      <w:r w:rsidRPr="00296CC3">
        <w:rPr>
          <w:rFonts w:ascii="Times New Roman" w:hAnsi="Times New Roman" w:cs="Times New Roman"/>
          <w:lang w:val="en-GB"/>
        </w:rPr>
        <w:t>Bronze discs similar to these bronze discs were unearthed during the excavations in the outer corners of the Altıntepe temple</w:t>
      </w:r>
      <w:r w:rsidRPr="00296CC3">
        <w:rPr>
          <w:rFonts w:ascii="Times New Roman" w:hAnsi="Times New Roman" w:cs="Times New Roman"/>
          <w:lang w:val="en-GB"/>
        </w:rPr>
        <w:fldChar w:fldCharType="begin"/>
      </w:r>
      <w:r w:rsidRPr="00296CC3">
        <w:rPr>
          <w:rFonts w:ascii="Times New Roman" w:hAnsi="Times New Roman" w:cs="Times New Roman"/>
          <w:lang w:val="en-GB"/>
        </w:rPr>
        <w:instrText xml:space="preserve"> XE "Altıntepe" </w:instrText>
      </w:r>
      <w:r w:rsidRPr="00296CC3">
        <w:rPr>
          <w:rFonts w:ascii="Times New Roman" w:hAnsi="Times New Roman" w:cs="Times New Roman"/>
          <w:lang w:val="en-GB"/>
        </w:rPr>
        <w:fldChar w:fldCharType="end"/>
      </w:r>
      <w:r w:rsidRPr="00296CC3">
        <w:rPr>
          <w:rFonts w:ascii="Times New Roman" w:hAnsi="Times New Roman" w:cs="Times New Roman"/>
          <w:lang w:val="en-GB"/>
        </w:rPr>
        <w:t xml:space="preserve"> (Karaosmanoğlu, 2011: 367). Also noteworthy are the two bronze disks on either side of the gate in the northeast corner of the Ayanis</w:t>
      </w:r>
      <w:r w:rsidRPr="00296CC3">
        <w:rPr>
          <w:rFonts w:ascii="Times New Roman" w:hAnsi="Times New Roman" w:cs="Times New Roman"/>
          <w:lang w:val="en-GB"/>
        </w:rPr>
        <w:fldChar w:fldCharType="begin"/>
      </w:r>
      <w:r w:rsidRPr="00296CC3">
        <w:rPr>
          <w:rFonts w:ascii="Times New Roman" w:hAnsi="Times New Roman" w:cs="Times New Roman"/>
          <w:lang w:val="en-GB"/>
        </w:rPr>
        <w:instrText xml:space="preserve"> XE "Ayanis" </w:instrText>
      </w:r>
      <w:r w:rsidRPr="00296CC3">
        <w:rPr>
          <w:rFonts w:ascii="Times New Roman" w:hAnsi="Times New Roman" w:cs="Times New Roman"/>
          <w:lang w:val="en-GB"/>
        </w:rPr>
        <w:fldChar w:fldCharType="end"/>
      </w:r>
      <w:r w:rsidRPr="00296CC3">
        <w:rPr>
          <w:rFonts w:ascii="Times New Roman" w:hAnsi="Times New Roman" w:cs="Times New Roman"/>
          <w:lang w:val="en-GB"/>
        </w:rPr>
        <w:t xml:space="preserve"> temple area (Salvini, 2001: 275, Fig. 4).</w:t>
      </w:r>
    </w:p>
    <w:p w14:paraId="06A0B532" w14:textId="77777777" w:rsidR="001C57DB" w:rsidRDefault="001C57DB" w:rsidP="001C57DB">
      <w:pPr>
        <w:pStyle w:val="DipnotMetni"/>
      </w:pPr>
    </w:p>
    <w:p w14:paraId="5E53E1B4" w14:textId="77777777" w:rsidR="001C57DB" w:rsidRDefault="001C57DB" w:rsidP="001C57DB">
      <w:pPr>
        <w:pStyle w:val="DipnotMetni"/>
      </w:pPr>
    </w:p>
  </w:footnote>
  <w:footnote w:id="59">
    <w:p w14:paraId="3F8D1B6D" w14:textId="75CB049E" w:rsidR="006B23DC" w:rsidRPr="008C5F26" w:rsidRDefault="006B23DC" w:rsidP="006B23DC">
      <w:pPr>
        <w:pStyle w:val="DipnotMetni"/>
        <w:jc w:val="both"/>
        <w:rPr>
          <w:rFonts w:ascii="Times New Roman" w:hAnsi="Times New Roman" w:cs="Times New Roman"/>
          <w:lang w:val="en-GB"/>
        </w:rPr>
      </w:pPr>
      <w:r w:rsidRPr="008C5F26">
        <w:rPr>
          <w:rStyle w:val="DipnotBavurusu"/>
          <w:rFonts w:ascii="Times New Roman" w:hAnsi="Times New Roman" w:cs="Times New Roman"/>
          <w:lang w:val="en-GB"/>
        </w:rPr>
        <w:footnoteRef/>
      </w:r>
      <w:r w:rsidRPr="008C5F26">
        <w:rPr>
          <w:rFonts w:ascii="Times New Roman" w:hAnsi="Times New Roman" w:cs="Times New Roman"/>
          <w:lang w:val="en-GB"/>
        </w:rPr>
        <w:t xml:space="preserve"> One of the first suggestions on the dating of the rock-cut tombs was made by Friedrich Wilhelm König. Accordingly, the İç Kale</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İç Kale</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w:t>
      </w:r>
      <w:r>
        <w:rPr>
          <w:rFonts w:ascii="Times New Roman" w:hAnsi="Times New Roman" w:cs="Times New Roman"/>
          <w:lang w:val="en-GB"/>
        </w:rPr>
        <w:t>t</w:t>
      </w:r>
      <w:r w:rsidRPr="008C5F26">
        <w:rPr>
          <w:rFonts w:ascii="Times New Roman" w:hAnsi="Times New Roman" w:cs="Times New Roman"/>
          <w:lang w:val="en-GB"/>
        </w:rPr>
        <w:t>omb</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 xml:space="preserve">İç Kale </w:instrText>
      </w:r>
      <w:r w:rsidR="005563F2">
        <w:rPr>
          <w:rFonts w:asciiTheme="majorBidi" w:hAnsiTheme="majorBidi" w:cstheme="majorBidi"/>
          <w:lang w:val="en-GB"/>
        </w:rPr>
        <w:instrText>t</w:instrText>
      </w:r>
      <w:r w:rsidRPr="008C5F26">
        <w:rPr>
          <w:rFonts w:asciiTheme="majorBidi" w:hAnsiTheme="majorBidi" w:cstheme="majorBidi"/>
          <w:lang w:val="en-GB"/>
        </w:rPr>
        <w:instrText>omb</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was dated to the reign of Sarduri</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iCs/>
          <w:lang w:val="en-GB"/>
        </w:rPr>
        <w:instrText>Sarduri</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I</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Sarduri I</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the Neft Kuyu</w:t>
      </w:r>
      <w:r>
        <w:rPr>
          <w:rFonts w:ascii="Times New Roman" w:hAnsi="Times New Roman" w:cs="Times New Roman"/>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imes New Roman" w:hAnsi="Times New Roman" w:cs="Times New Roman"/>
          <w:lang w:val="en-GB"/>
        </w:rPr>
        <w:fldChar w:fldCharType="end"/>
      </w:r>
      <w:r w:rsidRPr="008C5F26">
        <w:rPr>
          <w:rFonts w:ascii="Times New Roman" w:hAnsi="Times New Roman" w:cs="Times New Roman"/>
          <w:lang w:val="en-GB"/>
        </w:rPr>
        <w:t xml:space="preserve"> </w:t>
      </w:r>
      <w:r>
        <w:rPr>
          <w:rFonts w:ascii="Times New Roman" w:hAnsi="Times New Roman" w:cs="Times New Roman"/>
          <w:lang w:val="en-GB"/>
        </w:rPr>
        <w:t>t</w:t>
      </w:r>
      <w:r w:rsidRPr="008C5F26">
        <w:rPr>
          <w:rFonts w:ascii="Times New Roman" w:hAnsi="Times New Roman" w:cs="Times New Roman"/>
          <w:lang w:val="en-GB"/>
        </w:rPr>
        <w:t>omb was dated to Minua</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Minua</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the Doğu Odaları</w:t>
      </w:r>
      <w:r>
        <w:rPr>
          <w:rFonts w:ascii="Times New Roman" w:hAnsi="Times New Roman" w:cs="Times New Roman"/>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imes New Roman" w:hAnsi="Times New Roman" w:cs="Times New Roman"/>
          <w:lang w:val="en-GB"/>
        </w:rPr>
        <w:fldChar w:fldCharType="end"/>
      </w:r>
      <w:r w:rsidRPr="008C5F26">
        <w:rPr>
          <w:rFonts w:ascii="Times New Roman" w:hAnsi="Times New Roman" w:cs="Times New Roman"/>
          <w:lang w:val="en-GB"/>
        </w:rPr>
        <w:t xml:space="preserve"> </w:t>
      </w:r>
      <w:r>
        <w:rPr>
          <w:rFonts w:ascii="Times New Roman" w:hAnsi="Times New Roman" w:cs="Times New Roman"/>
          <w:lang w:val="en-GB"/>
        </w:rPr>
        <w:t>t</w:t>
      </w:r>
      <w:r w:rsidRPr="008C5F26">
        <w:rPr>
          <w:rFonts w:ascii="Times New Roman" w:hAnsi="Times New Roman" w:cs="Times New Roman"/>
          <w:lang w:val="en-GB"/>
        </w:rPr>
        <w:t>omb was dated to Sarduri II</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Sarduri II</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and the </w:t>
      </w:r>
      <w:r>
        <w:rPr>
          <w:rFonts w:ascii="Times New Roman" w:hAnsi="Times New Roman" w:cs="Times New Roman"/>
          <w:lang w:val="en-GB"/>
        </w:rPr>
        <w:t>Great</w:t>
      </w:r>
      <w:r w:rsidRPr="008C5F26">
        <w:rPr>
          <w:rFonts w:ascii="Times New Roman" w:hAnsi="Times New Roman" w:cs="Times New Roman"/>
          <w:lang w:val="en-GB"/>
        </w:rPr>
        <w:t xml:space="preserve"> Horhor</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color w:val="000000" w:themeColor="text1"/>
          <w:lang w:val="en-GB"/>
        </w:rPr>
        <w:instrText>Horhor</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w:t>
      </w:r>
      <w:r>
        <w:rPr>
          <w:rFonts w:ascii="Times New Roman" w:hAnsi="Times New Roman" w:cs="Times New Roman"/>
          <w:lang w:val="en-GB"/>
        </w:rPr>
        <w:t>t</w:t>
      </w:r>
      <w:r w:rsidRPr="008C5F26">
        <w:rPr>
          <w:rFonts w:ascii="Times New Roman" w:hAnsi="Times New Roman" w:cs="Times New Roman"/>
          <w:lang w:val="en-GB"/>
        </w:rPr>
        <w:t xml:space="preserve">omb was dated to the reign of </w:t>
      </w:r>
      <w:r w:rsidRPr="00F43BE5">
        <w:rPr>
          <w:rFonts w:ascii="Times New Roman" w:hAnsi="Times New Roman" w:cs="Times New Roman"/>
          <w:iCs/>
          <w:lang w:val="en-GB"/>
        </w:rPr>
        <w:t>Argišti</w:t>
      </w:r>
      <w:r w:rsidRPr="008C5F26">
        <w:rPr>
          <w:rFonts w:ascii="Times New Roman" w:hAnsi="Times New Roman" w:cs="Times New Roman"/>
          <w:i/>
          <w:iCs/>
          <w:lang w:val="en-GB"/>
        </w:rPr>
        <w:t xml:space="preserve"> </w:t>
      </w:r>
      <w:r w:rsidRPr="008C5F26">
        <w:rPr>
          <w:rFonts w:ascii="Times New Roman" w:hAnsi="Times New Roman" w:cs="Times New Roman"/>
          <w:lang w:val="en-GB"/>
        </w:rPr>
        <w:t>I</w:t>
      </w:r>
      <w:r w:rsidRPr="008C5F26">
        <w:rPr>
          <w:rFonts w:ascii="Times New Roman" w:hAnsi="Times New Roman" w:cs="Times New Roman"/>
          <w:lang w:val="en-GB"/>
        </w:rPr>
        <w:fldChar w:fldCharType="begin"/>
      </w:r>
      <w:r w:rsidRPr="008C5F26">
        <w:rPr>
          <w:lang w:val="en-GB"/>
        </w:rPr>
        <w:instrText xml:space="preserve"> XE "</w:instrText>
      </w:r>
      <w:r w:rsidRPr="005563F2">
        <w:rPr>
          <w:rFonts w:asciiTheme="majorBidi" w:hAnsiTheme="majorBidi" w:cstheme="majorBidi"/>
          <w:lang w:val="en-GB"/>
        </w:rPr>
        <w:instrText xml:space="preserve">Argišti </w:instrText>
      </w:r>
      <w:r w:rsidRPr="008C5F26">
        <w:rPr>
          <w:rFonts w:asciiTheme="majorBidi" w:hAnsiTheme="majorBidi" w:cstheme="majorBidi"/>
          <w:lang w:val="en-GB"/>
        </w:rPr>
        <w:instrText>I</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(König, 1955-57: 261-262). A recent suggestion was made by V. Sevin (Sevin, 2012a: 102). Sevin has dated the Neft Kuyu </w:t>
      </w:r>
      <w:r>
        <w:rPr>
          <w:rFonts w:ascii="Times New Roman" w:hAnsi="Times New Roman" w:cs="Times New Roman"/>
          <w:lang w:val="en-GB"/>
        </w:rPr>
        <w:t>t</w:t>
      </w:r>
      <w:r w:rsidRPr="008C5F26">
        <w:rPr>
          <w:rFonts w:ascii="Times New Roman" w:hAnsi="Times New Roman" w:cs="Times New Roman"/>
          <w:lang w:val="en-GB"/>
        </w:rPr>
        <w:t xml:space="preserve">omb to the reign of Sarduri I, the İç Kale </w:t>
      </w:r>
      <w:r>
        <w:rPr>
          <w:rFonts w:ascii="Times New Roman" w:hAnsi="Times New Roman" w:cs="Times New Roman"/>
          <w:lang w:val="en-GB"/>
        </w:rPr>
        <w:t>t</w:t>
      </w:r>
      <w:r w:rsidRPr="008C5F26">
        <w:rPr>
          <w:rFonts w:ascii="Times New Roman" w:hAnsi="Times New Roman" w:cs="Times New Roman"/>
          <w:lang w:val="en-GB"/>
        </w:rPr>
        <w:t>omb</w:t>
      </w:r>
      <w:r>
        <w:rPr>
          <w:rFonts w:ascii="Times New Roman" w:hAnsi="Times New Roman" w:cs="Times New Roman"/>
          <w:lang w:val="en-GB"/>
        </w:rPr>
        <w:fldChar w:fldCharType="begin"/>
      </w:r>
      <w:r>
        <w:instrText xml:space="preserve"> XE "</w:instrText>
      </w:r>
      <w:r w:rsidRPr="0072234F">
        <w:rPr>
          <w:rFonts w:ascii="Times New Roman" w:hAnsi="Times New Roman"/>
          <w:sz w:val="24"/>
          <w:szCs w:val="22"/>
          <w:lang w:val="en-GB"/>
        </w:rPr>
        <w:instrText>İç Kale tomb</w:instrText>
      </w:r>
      <w:r>
        <w:instrText xml:space="preserve">" </w:instrText>
      </w:r>
      <w:r>
        <w:rPr>
          <w:rFonts w:ascii="Times New Roman" w:hAnsi="Times New Roman" w:cs="Times New Roman"/>
          <w:lang w:val="en-GB"/>
        </w:rPr>
        <w:fldChar w:fldCharType="end"/>
      </w:r>
      <w:r w:rsidRPr="008C5F26">
        <w:rPr>
          <w:rFonts w:ascii="Times New Roman" w:hAnsi="Times New Roman" w:cs="Times New Roman"/>
          <w:lang w:val="en-GB"/>
        </w:rPr>
        <w:t xml:space="preserve"> to </w:t>
      </w:r>
      <w:r w:rsidRPr="00F43BE5">
        <w:rPr>
          <w:rFonts w:ascii="Times New Roman" w:hAnsi="Times New Roman" w:cs="Times New Roman"/>
          <w:iCs/>
          <w:lang w:val="en-GB"/>
        </w:rPr>
        <w:t>Išpuini</w:t>
      </w:r>
      <w:r w:rsidRPr="008C5F26">
        <w:rPr>
          <w:rFonts w:ascii="Times New Roman" w:hAnsi="Times New Roman" w:cs="Times New Roman"/>
          <w:i/>
          <w:iCs/>
          <w:lang w:val="en-GB"/>
        </w:rPr>
        <w:fldChar w:fldCharType="begin"/>
      </w:r>
      <w:r w:rsidRPr="008C5F26">
        <w:rPr>
          <w:lang w:val="en-GB"/>
        </w:rPr>
        <w:instrText xml:space="preserve"> XE "</w:instrText>
      </w:r>
      <w:r w:rsidRPr="008C5F26">
        <w:rPr>
          <w:rFonts w:asciiTheme="majorBidi" w:hAnsiTheme="majorBidi" w:cstheme="majorBidi"/>
          <w:lang w:val="en-GB"/>
        </w:rPr>
        <w:instrText>Išpuini</w:instrText>
      </w:r>
      <w:r w:rsidRPr="008C5F26">
        <w:rPr>
          <w:lang w:val="en-GB"/>
        </w:rPr>
        <w:instrText xml:space="preserve">" </w:instrText>
      </w:r>
      <w:r w:rsidRPr="008C5F26">
        <w:rPr>
          <w:rFonts w:ascii="Times New Roman" w:hAnsi="Times New Roman" w:cs="Times New Roman"/>
          <w:i/>
          <w:iCs/>
          <w:lang w:val="en-GB"/>
        </w:rPr>
        <w:fldChar w:fldCharType="end"/>
      </w:r>
      <w:r w:rsidRPr="008C5F26">
        <w:rPr>
          <w:rFonts w:ascii="Times New Roman" w:hAnsi="Times New Roman" w:cs="Times New Roman"/>
          <w:lang w:val="en-GB"/>
        </w:rPr>
        <w:t xml:space="preserve">, the Doğu Odaları </w:t>
      </w:r>
      <w:r>
        <w:rPr>
          <w:rFonts w:ascii="Times New Roman" w:hAnsi="Times New Roman" w:cs="Times New Roman"/>
          <w:lang w:val="en-GB"/>
        </w:rPr>
        <w:t>t</w:t>
      </w:r>
      <w:r w:rsidRPr="008C5F26">
        <w:rPr>
          <w:rFonts w:ascii="Times New Roman" w:hAnsi="Times New Roman" w:cs="Times New Roman"/>
          <w:lang w:val="en-GB"/>
        </w:rPr>
        <w:t xml:space="preserve">omb to the reign of Minua and the Büyük Horhor </w:t>
      </w:r>
      <w:r>
        <w:rPr>
          <w:rFonts w:ascii="Times New Roman" w:hAnsi="Times New Roman" w:cs="Times New Roman"/>
          <w:lang w:val="en-GB"/>
        </w:rPr>
        <w:t>t</w:t>
      </w:r>
      <w:r w:rsidRPr="008C5F26">
        <w:rPr>
          <w:rFonts w:ascii="Times New Roman" w:hAnsi="Times New Roman" w:cs="Times New Roman"/>
          <w:lang w:val="en-GB"/>
        </w:rPr>
        <w:t xml:space="preserve">omb to the reign of </w:t>
      </w:r>
      <w:r w:rsidRPr="00F43BE5">
        <w:rPr>
          <w:rFonts w:ascii="Times New Roman" w:hAnsi="Times New Roman" w:cs="Times New Roman"/>
          <w:iCs/>
          <w:lang w:val="en-GB"/>
        </w:rPr>
        <w:t>Argišti</w:t>
      </w:r>
      <w:r w:rsidRPr="008C5F26">
        <w:rPr>
          <w:rFonts w:ascii="Times New Roman" w:hAnsi="Times New Roman" w:cs="Times New Roman"/>
          <w:i/>
          <w:iCs/>
          <w:lang w:val="en-GB"/>
        </w:rPr>
        <w:t xml:space="preserve"> </w:t>
      </w:r>
      <w:r w:rsidRPr="008C5F26">
        <w:rPr>
          <w:rFonts w:ascii="Times New Roman" w:hAnsi="Times New Roman" w:cs="Times New Roman"/>
          <w:lang w:val="en-GB"/>
        </w:rPr>
        <w:t>I.</w:t>
      </w:r>
    </w:p>
  </w:footnote>
  <w:footnote w:id="60">
    <w:p w14:paraId="485DE481" w14:textId="77777777" w:rsidR="00BC2CE3" w:rsidRPr="004F1905" w:rsidRDefault="00BC2CE3" w:rsidP="00BC2CE3">
      <w:pPr>
        <w:pStyle w:val="DipnotMetni"/>
        <w:jc w:val="both"/>
        <w:rPr>
          <w:rFonts w:ascii="Times New Roman" w:hAnsi="Times New Roman" w:cs="Times New Roman"/>
        </w:rPr>
      </w:pPr>
      <w:r w:rsidRPr="004F1905">
        <w:rPr>
          <w:rStyle w:val="DipnotBavurusu"/>
          <w:rFonts w:ascii="Times New Roman" w:hAnsi="Times New Roman" w:cs="Times New Roman"/>
        </w:rPr>
        <w:footnoteRef/>
      </w:r>
      <w:r w:rsidRPr="004F1905">
        <w:rPr>
          <w:rFonts w:ascii="Times New Roman" w:hAnsi="Times New Roman" w:cs="Times New Roman"/>
        </w:rPr>
        <w:t xml:space="preserve"> </w:t>
      </w:r>
      <w:r w:rsidRPr="009B5799">
        <w:rPr>
          <w:rFonts w:ascii="Times New Roman" w:hAnsi="Times New Roman" w:cs="Times New Roman"/>
          <w:lang w:val="en-GB"/>
        </w:rPr>
        <w:t>Layard</w:t>
      </w:r>
      <w:r>
        <w:rPr>
          <w:rFonts w:ascii="Times New Roman" w:hAnsi="Times New Roman" w:cs="Times New Roman"/>
          <w:lang w:val="en-GB"/>
        </w:rPr>
        <w:fldChar w:fldCharType="begin"/>
      </w:r>
      <w:r>
        <w:instrText xml:space="preserve"> XE "</w:instrText>
      </w:r>
      <w:r w:rsidRPr="00995E06">
        <w:rPr>
          <w:rFonts w:asciiTheme="majorBidi" w:hAnsiTheme="majorBidi" w:cstheme="majorBidi"/>
          <w:kern w:val="0"/>
          <w:sz w:val="22"/>
          <w:szCs w:val="22"/>
          <w:lang w:val="en-US"/>
          <w14:ligatures w14:val="none"/>
        </w:rPr>
        <w:instrText>Layard</w:instrText>
      </w:r>
      <w:r>
        <w:instrText xml:space="preserve">" </w:instrText>
      </w:r>
      <w:r>
        <w:rPr>
          <w:rFonts w:ascii="Times New Roman" w:hAnsi="Times New Roman" w:cs="Times New Roman"/>
          <w:lang w:val="en-GB"/>
        </w:rPr>
        <w:fldChar w:fldCharType="end"/>
      </w:r>
      <w:r w:rsidRPr="009B5799">
        <w:rPr>
          <w:rFonts w:ascii="Times New Roman" w:hAnsi="Times New Roman" w:cs="Times New Roman"/>
          <w:lang w:val="en-GB"/>
        </w:rPr>
        <w:t xml:space="preserve"> mentions two people named Nikὸos and Cawass who helped him during his work in Van. Nikὸos was sent by the Pasha to accompany Layard during his visit in Van. Believing that there was a treasure underneath the inscription on the western niche, Cawass tries to get an excavation permit from Istanbul and eventually obtains permit from the Ottoman</w:t>
      </w:r>
      <w:r>
        <w:rPr>
          <w:rFonts w:ascii="Times New Roman" w:hAnsi="Times New Roman" w:cs="Times New Roman"/>
          <w:lang w:val="en-GB"/>
        </w:rPr>
        <w:fldChar w:fldCharType="begin"/>
      </w:r>
      <w:r>
        <w:instrText xml:space="preserve"> XE "</w:instrText>
      </w:r>
      <w:r w:rsidRPr="002B7AD2">
        <w:rPr>
          <w:rFonts w:asciiTheme="majorBidi" w:hAnsiTheme="majorBidi" w:cstheme="majorBidi"/>
        </w:rPr>
        <w:instrText>Ottoman</w:instrText>
      </w:r>
      <w:r>
        <w:instrText xml:space="preserve">" </w:instrText>
      </w:r>
      <w:r>
        <w:rPr>
          <w:rFonts w:ascii="Times New Roman" w:hAnsi="Times New Roman" w:cs="Times New Roman"/>
          <w:lang w:val="en-GB"/>
        </w:rPr>
        <w:fldChar w:fldCharType="end"/>
      </w:r>
      <w:r w:rsidRPr="009B5799">
        <w:rPr>
          <w:rFonts w:ascii="Times New Roman" w:hAnsi="Times New Roman" w:cs="Times New Roman"/>
          <w:lang w:val="en-GB"/>
        </w:rPr>
        <w:t xml:space="preserve"> Empire on the condition that anything he found would be shared. However, due to his financial situation, Cawass’ work did not yield any results. Layard’s excavations at Hazine Kapısı/Analıkız</w:t>
      </w:r>
      <w:r w:rsidRPr="009B5799">
        <w:rPr>
          <w:rFonts w:ascii="Times New Roman" w:hAnsi="Times New Roman" w:cs="Times New Roman"/>
          <w:lang w:val="en-GB"/>
        </w:rPr>
        <w:fldChar w:fldCharType="begin"/>
      </w:r>
      <w:r w:rsidRPr="009B5799">
        <w:rPr>
          <w:lang w:val="en-GB"/>
        </w:rPr>
        <w:instrText xml:space="preserve"> XE "</w:instrText>
      </w:r>
      <w:r w:rsidRPr="009B5799">
        <w:rPr>
          <w:rFonts w:asciiTheme="majorBidi" w:hAnsiTheme="majorBidi" w:cstheme="majorBidi"/>
          <w:sz w:val="24"/>
          <w:szCs w:val="24"/>
          <w:lang w:val="en-GB"/>
        </w:rPr>
        <w:instrText>Analıkız</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continued for a short time with the help of these two men (Layard, 1853: 398-399).</w:t>
      </w:r>
    </w:p>
  </w:footnote>
  <w:footnote w:id="61">
    <w:p w14:paraId="5513FCDB" w14:textId="77777777" w:rsidR="00BC2CE3" w:rsidRPr="002530B7" w:rsidRDefault="00BC2CE3" w:rsidP="00BC2CE3">
      <w:pPr>
        <w:pStyle w:val="DipnotMetni"/>
        <w:jc w:val="both"/>
        <w:rPr>
          <w:rFonts w:ascii="Times New Roman" w:hAnsi="Times New Roman"/>
        </w:rPr>
      </w:pPr>
      <w:r w:rsidRPr="002530B7">
        <w:rPr>
          <w:rStyle w:val="DipnotBavurusu"/>
          <w:rFonts w:ascii="Times New Roman" w:hAnsi="Times New Roman"/>
        </w:rPr>
        <w:footnoteRef/>
      </w:r>
      <w:r w:rsidRPr="002530B7">
        <w:rPr>
          <w:rFonts w:ascii="Times New Roman" w:hAnsi="Times New Roman"/>
        </w:rPr>
        <w:t xml:space="preserve"> </w:t>
      </w:r>
      <w:r w:rsidRPr="009B5799">
        <w:rPr>
          <w:rFonts w:ascii="Times New Roman" w:hAnsi="Times New Roman"/>
          <w:lang w:val="en-GB"/>
        </w:rPr>
        <w:t>Young people wishing to get married slide down from the channels on the northern slopes right outside this area (Lake, 1940: 182). This tradition mentioned by Lake continues today.</w:t>
      </w:r>
    </w:p>
  </w:footnote>
  <w:footnote w:id="62">
    <w:p w14:paraId="7AD84F26" w14:textId="77777777" w:rsidR="00BC2CE3" w:rsidRPr="00B608E4" w:rsidRDefault="00BC2CE3" w:rsidP="00BC2CE3">
      <w:pPr>
        <w:pStyle w:val="DipnotMetni"/>
        <w:jc w:val="both"/>
        <w:rPr>
          <w:rFonts w:ascii="Times New Roman" w:hAnsi="Times New Roman" w:cs="Times New Roman"/>
        </w:rPr>
      </w:pPr>
      <w:r w:rsidRPr="00B608E4">
        <w:rPr>
          <w:rStyle w:val="DipnotBavurusu"/>
          <w:rFonts w:ascii="Times New Roman" w:hAnsi="Times New Roman" w:cs="Times New Roman"/>
        </w:rPr>
        <w:footnoteRef/>
      </w:r>
      <w:r w:rsidRPr="00B608E4">
        <w:rPr>
          <w:rFonts w:ascii="Times New Roman" w:hAnsi="Times New Roman" w:cs="Times New Roman"/>
        </w:rPr>
        <w:t xml:space="preserve"> </w:t>
      </w:r>
      <w:r w:rsidRPr="009B5799">
        <w:rPr>
          <w:rFonts w:ascii="Times New Roman" w:hAnsi="Times New Roman" w:cs="Times New Roman"/>
          <w:lang w:val="en-GB"/>
        </w:rPr>
        <w:t xml:space="preserve">It is indicated that the inscriptions on these stelae are not direct copies of the annals of </w:t>
      </w:r>
      <w:r w:rsidRPr="002503EA">
        <w:rPr>
          <w:rFonts w:ascii="Times New Roman" w:hAnsi="Times New Roman" w:cs="Times New Roman"/>
          <w:lang w:val="en-GB"/>
        </w:rPr>
        <w:t xml:space="preserve">Argišti </w:t>
      </w:r>
      <w:r w:rsidRPr="009B5799">
        <w:rPr>
          <w:rFonts w:ascii="Times New Roman" w:hAnsi="Times New Roman" w:cs="Times New Roman"/>
          <w:lang w:val="en-GB"/>
        </w:rPr>
        <w:t>I</w:t>
      </w:r>
      <w:r w:rsidRPr="009B5799">
        <w:rPr>
          <w:rFonts w:ascii="Times New Roman" w:hAnsi="Times New Roman" w:cs="Times New Roman"/>
          <w:lang w:val="en-GB"/>
        </w:rPr>
        <w:fldChar w:fldCharType="begin"/>
      </w:r>
      <w:r w:rsidRPr="009B5799">
        <w:rPr>
          <w:lang w:val="en-GB"/>
        </w:rPr>
        <w:instrText xml:space="preserve"> XE "</w:instrText>
      </w:r>
      <w:r w:rsidRPr="001E0457">
        <w:rPr>
          <w:rFonts w:asciiTheme="majorBidi" w:hAnsiTheme="majorBidi" w:cstheme="majorBidi"/>
          <w:sz w:val="24"/>
          <w:szCs w:val="24"/>
          <w:lang w:val="en-GB"/>
        </w:rPr>
        <w:instrText>Argišti</w:instrText>
      </w:r>
      <w:r w:rsidRPr="009B5799">
        <w:rPr>
          <w:rFonts w:asciiTheme="majorBidi" w:hAnsiTheme="majorBidi" w:cstheme="majorBidi"/>
          <w:i/>
          <w:iCs/>
          <w:sz w:val="24"/>
          <w:szCs w:val="24"/>
          <w:lang w:val="en-GB"/>
        </w:rPr>
        <w:instrText xml:space="preserve"> </w:instrText>
      </w:r>
      <w:r w:rsidRPr="009B5799">
        <w:rPr>
          <w:rFonts w:asciiTheme="majorBidi" w:hAnsiTheme="majorBidi" w:cstheme="majorBidi"/>
          <w:sz w:val="24"/>
          <w:szCs w:val="24"/>
          <w:lang w:val="en-GB"/>
        </w:rPr>
        <w:instrText>I</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and that some parts are parallel texts while some being copies (Salvini, 2006: 68).</w:t>
      </w:r>
    </w:p>
  </w:footnote>
  <w:footnote w:id="63">
    <w:p w14:paraId="57614CBB" w14:textId="77777777" w:rsidR="00BC2CE3" w:rsidRPr="009B5799" w:rsidRDefault="00BC2CE3" w:rsidP="00BC2CE3">
      <w:pPr>
        <w:pStyle w:val="DipnotMetni"/>
        <w:jc w:val="both"/>
        <w:rPr>
          <w:rFonts w:ascii="Times New Roman" w:hAnsi="Times New Roman" w:cs="Times New Roman"/>
          <w:lang w:val="en-GB"/>
        </w:rPr>
      </w:pPr>
      <w:r w:rsidRPr="009B5799">
        <w:rPr>
          <w:rStyle w:val="DipnotBavurusu"/>
          <w:rFonts w:ascii="Times New Roman" w:hAnsi="Times New Roman" w:cs="Times New Roman"/>
          <w:lang w:val="en-GB"/>
        </w:rPr>
        <w:footnoteRef/>
      </w:r>
      <w:r w:rsidRPr="009B5799">
        <w:rPr>
          <w:rFonts w:ascii="Times New Roman" w:hAnsi="Times New Roman" w:cs="Times New Roman"/>
          <w:lang w:val="en-GB"/>
        </w:rPr>
        <w:t xml:space="preserve"> Such drainage channels are also known from some areas inside the Van Fortress. (e.g. the Palace of </w:t>
      </w:r>
      <w:r w:rsidRPr="00A22089">
        <w:rPr>
          <w:rFonts w:ascii="Times New Roman" w:hAnsi="Times New Roman" w:cs="Times New Roman"/>
          <w:iCs/>
          <w:lang w:val="en-GB"/>
        </w:rPr>
        <w:t>Argišti</w:t>
      </w:r>
      <w:r w:rsidRPr="009B5799">
        <w:rPr>
          <w:rFonts w:ascii="Times New Roman" w:hAnsi="Times New Roman" w:cs="Times New Roman"/>
          <w:lang w:val="en-GB"/>
        </w:rPr>
        <w:t>)</w:t>
      </w:r>
    </w:p>
  </w:footnote>
  <w:footnote w:id="64">
    <w:p w14:paraId="4AC97960" w14:textId="77777777" w:rsidR="00BC2CE3" w:rsidRPr="009B5799" w:rsidRDefault="00BC2CE3" w:rsidP="00BC2CE3">
      <w:pPr>
        <w:pStyle w:val="DipnotMetni"/>
        <w:jc w:val="both"/>
        <w:rPr>
          <w:rFonts w:ascii="Times New Roman" w:hAnsi="Times New Roman" w:cs="Times New Roman"/>
          <w:lang w:val="en-GB"/>
        </w:rPr>
      </w:pPr>
      <w:r w:rsidRPr="009B5799">
        <w:rPr>
          <w:rStyle w:val="DipnotBavurusu"/>
          <w:rFonts w:ascii="Times New Roman" w:hAnsi="Times New Roman" w:cs="Times New Roman"/>
          <w:lang w:val="en-GB"/>
        </w:rPr>
        <w:footnoteRef/>
      </w:r>
      <w:r w:rsidRPr="009B5799">
        <w:rPr>
          <w:rFonts w:ascii="Times New Roman" w:hAnsi="Times New Roman" w:cs="Times New Roman"/>
          <w:lang w:val="en-GB"/>
        </w:rPr>
        <w:t xml:space="preserve"> There are drainage channels to the east of the citadel and to the south of the area where the severely destroyed Assyrian</w:t>
      </w:r>
      <w:r w:rsidRPr="009B5799">
        <w:rPr>
          <w:rFonts w:ascii="Times New Roman" w:hAnsi="Times New Roman" w:cs="Times New Roman"/>
          <w:lang w:val="en-GB"/>
        </w:rPr>
        <w:fldChar w:fldCharType="begin"/>
      </w:r>
      <w:r w:rsidRPr="009B5799">
        <w:rPr>
          <w:lang w:val="en-GB"/>
        </w:rPr>
        <w:instrText xml:space="preserve"> XE "</w:instrText>
      </w:r>
      <w:r w:rsidRPr="009B5799">
        <w:rPr>
          <w:rFonts w:asciiTheme="majorBidi" w:hAnsiTheme="majorBidi" w:cstheme="majorBidi"/>
          <w:sz w:val="24"/>
          <w:szCs w:val="24"/>
          <w:lang w:val="en-GB"/>
        </w:rPr>
        <w:instrText>Assyrian</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inscription and the BG90 rock-cut tomb are located.</w:t>
      </w:r>
    </w:p>
  </w:footnote>
  <w:footnote w:id="65">
    <w:p w14:paraId="2E4230BE" w14:textId="77777777" w:rsidR="00BC2CE3" w:rsidRPr="009B5799" w:rsidRDefault="00BC2CE3" w:rsidP="00BC2CE3">
      <w:pPr>
        <w:pStyle w:val="DipnotMetni"/>
        <w:jc w:val="both"/>
        <w:rPr>
          <w:rFonts w:ascii="Times New Roman" w:hAnsi="Times New Roman" w:cs="Times New Roman"/>
          <w:lang w:val="en-GB"/>
        </w:rPr>
      </w:pPr>
      <w:r w:rsidRPr="009B5799">
        <w:rPr>
          <w:rStyle w:val="DipnotBavurusu"/>
          <w:rFonts w:ascii="Times New Roman" w:hAnsi="Times New Roman" w:cs="Times New Roman"/>
          <w:lang w:val="en-GB"/>
        </w:rPr>
        <w:footnoteRef/>
      </w:r>
      <w:r w:rsidRPr="009B5799">
        <w:rPr>
          <w:rFonts w:ascii="Times New Roman" w:hAnsi="Times New Roman" w:cs="Times New Roman"/>
          <w:lang w:val="en-GB"/>
        </w:rPr>
        <w:t xml:space="preserve"> The westernmost one of these traces resembles an entrance. This corridor-like trace lying in the north-south orientation is located right across the western niche.</w:t>
      </w:r>
    </w:p>
  </w:footnote>
  <w:footnote w:id="66">
    <w:p w14:paraId="3C54ACD6" w14:textId="77777777" w:rsidR="00BC2CE3" w:rsidRPr="008B1FFF" w:rsidRDefault="00BC2CE3" w:rsidP="00BC2CE3">
      <w:pPr>
        <w:pStyle w:val="DipnotMetni"/>
        <w:jc w:val="both"/>
        <w:rPr>
          <w:rFonts w:ascii="Times New Roman" w:hAnsi="Times New Roman" w:cs="Times New Roman"/>
        </w:rPr>
      </w:pPr>
      <w:r w:rsidRPr="009B5799">
        <w:rPr>
          <w:rStyle w:val="DipnotBavurusu"/>
          <w:rFonts w:ascii="Times New Roman" w:hAnsi="Times New Roman" w:cs="Times New Roman"/>
          <w:lang w:val="en-GB"/>
        </w:rPr>
        <w:footnoteRef/>
      </w:r>
      <w:r w:rsidRPr="009B5799">
        <w:rPr>
          <w:rFonts w:ascii="Times New Roman" w:hAnsi="Times New Roman" w:cs="Times New Roman"/>
          <w:lang w:val="en-GB"/>
        </w:rPr>
        <w:t xml:space="preserve"> The foundation beds to the east of Analıkız</w:t>
      </w:r>
      <w:r w:rsidRPr="009B5799">
        <w:rPr>
          <w:rFonts w:ascii="Times New Roman" w:hAnsi="Times New Roman" w:cs="Times New Roman"/>
          <w:lang w:val="en-GB"/>
        </w:rPr>
        <w:fldChar w:fldCharType="begin"/>
      </w:r>
      <w:r w:rsidRPr="009B5799">
        <w:rPr>
          <w:lang w:val="en-GB"/>
        </w:rPr>
        <w:instrText xml:space="preserve"> XE "</w:instrText>
      </w:r>
      <w:r w:rsidRPr="009B5799">
        <w:rPr>
          <w:rFonts w:asciiTheme="majorBidi" w:hAnsiTheme="majorBidi" w:cstheme="majorBidi"/>
          <w:sz w:val="24"/>
          <w:szCs w:val="24"/>
          <w:lang w:val="en-GB"/>
        </w:rPr>
        <w:instrText>Analıkız</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cover an area of 14 x 7 m</w:t>
      </w:r>
      <w:r w:rsidRPr="009B5799">
        <w:rPr>
          <w:rFonts w:ascii="Times New Roman" w:hAnsi="Times New Roman" w:cs="Times New Roman"/>
          <w:vertAlign w:val="superscript"/>
          <w:lang w:val="en-GB"/>
        </w:rPr>
        <w:t>2</w:t>
      </w:r>
      <w:r w:rsidRPr="009B5799">
        <w:rPr>
          <w:rFonts w:ascii="Times New Roman" w:hAnsi="Times New Roman" w:cs="Times New Roman"/>
          <w:lang w:val="en-GB"/>
        </w:rPr>
        <w:t>. These foundations start from the east of the eastern niche.</w:t>
      </w:r>
    </w:p>
  </w:footnote>
  <w:footnote w:id="67">
    <w:p w14:paraId="0161669C" w14:textId="77777777" w:rsidR="00801D3E" w:rsidRPr="00C867F4" w:rsidRDefault="00801D3E" w:rsidP="00801D3E">
      <w:pPr>
        <w:pStyle w:val="DipnotMetni"/>
        <w:jc w:val="both"/>
        <w:rPr>
          <w:rFonts w:ascii="Times New Roman" w:hAnsi="Times New Roman" w:cs="Times New Roman"/>
        </w:rPr>
      </w:pPr>
      <w:r w:rsidRPr="009B5799">
        <w:rPr>
          <w:rStyle w:val="DipnotBavurusu"/>
          <w:rFonts w:ascii="Times New Roman" w:hAnsi="Times New Roman" w:cs="Times New Roman"/>
          <w:lang w:val="en-GB"/>
        </w:rPr>
        <w:footnoteRef/>
      </w:r>
      <w:r w:rsidRPr="009B5799">
        <w:rPr>
          <w:rFonts w:ascii="Times New Roman" w:hAnsi="Times New Roman" w:cs="Times New Roman"/>
          <w:lang w:val="en-GB"/>
        </w:rPr>
        <w:t xml:space="preserve"> It has been suggested that the “T” shaped rock-cut niches surrounding the citadel were “blind windows”, while some interpretations emphasize their “religious” meanings, as passages to the unknown worlds of gods, goddesses, and ancestors (Tarhan, 2011: 324). “T” shaped niches</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T</w:instrText>
      </w:r>
      <w:r w:rsidRPr="009B5799">
        <w:rPr>
          <w:lang w:val="en-GB"/>
        </w:rPr>
        <w:instrText>\</w:instrText>
      </w:r>
      <w:r w:rsidRPr="009B5799">
        <w:rPr>
          <w:rFonts w:cs="Times New Roman"/>
          <w:lang w:val="en-GB"/>
        </w:rPr>
        <w:instrText>” shaped niches</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were found in other sites as well in the Van </w:t>
      </w:r>
      <w:r>
        <w:rPr>
          <w:rFonts w:ascii="Times New Roman" w:hAnsi="Times New Roman" w:cs="Times New Roman"/>
          <w:lang w:val="en-GB"/>
        </w:rPr>
        <w:t>Lake</w:t>
      </w:r>
      <w:r>
        <w:rPr>
          <w:rFonts w:ascii="Times New Roman" w:hAnsi="Times New Roman" w:cs="Times New Roman"/>
          <w:lang w:val="en-GB"/>
        </w:rPr>
        <w:fldChar w:fldCharType="begin"/>
      </w:r>
      <w:r>
        <w:instrText xml:space="preserve"> XE "</w:instrText>
      </w:r>
      <w:r w:rsidRPr="00510CB9">
        <w:rPr>
          <w:rFonts w:asciiTheme="majorBidi" w:hAnsiTheme="majorBidi" w:cstheme="majorBidi"/>
        </w:rPr>
        <w:instrText>Van Lake</w:instrText>
      </w:r>
      <w:r>
        <w:instrText xml:space="preserve">" </w:instrText>
      </w:r>
      <w:r>
        <w:rPr>
          <w:rFonts w:ascii="Times New Roman" w:hAnsi="Times New Roman" w:cs="Times New Roman"/>
          <w:lang w:val="en-GB"/>
        </w:rPr>
        <w:fldChar w:fldCharType="end"/>
      </w:r>
      <w:r>
        <w:rPr>
          <w:rFonts w:ascii="Times New Roman" w:hAnsi="Times New Roman" w:cs="Times New Roman"/>
          <w:lang w:val="en-GB"/>
        </w:rPr>
        <w:t xml:space="preserve"> b</w:t>
      </w:r>
      <w:r w:rsidRPr="009B5799">
        <w:rPr>
          <w:rFonts w:ascii="Times New Roman" w:hAnsi="Times New Roman" w:cs="Times New Roman"/>
          <w:lang w:val="en-GB"/>
        </w:rPr>
        <w:t>asin,</w:t>
      </w:r>
      <w:r w:rsidRPr="003F2283">
        <w:rPr>
          <w:rFonts w:ascii="Times New Roman" w:hAnsi="Times New Roman" w:cs="Times New Roman"/>
        </w:rPr>
        <w:t xml:space="preserve"> </w:t>
      </w:r>
      <w:r w:rsidRPr="009B5799">
        <w:rPr>
          <w:rFonts w:ascii="Times New Roman" w:hAnsi="Times New Roman" w:cs="Times New Roman"/>
          <w:lang w:val="en-GB"/>
        </w:rPr>
        <w:t>such as Kalecik</w:t>
      </w:r>
      <w:r w:rsidRPr="009B5799">
        <w:rPr>
          <w:rFonts w:ascii="Times New Roman" w:hAnsi="Times New Roman" w:cs="Times New Roman"/>
          <w:lang w:val="en-GB"/>
        </w:rPr>
        <w:fldChar w:fldCharType="begin"/>
      </w:r>
      <w:r w:rsidRPr="009B5799">
        <w:rPr>
          <w:lang w:val="en-GB"/>
        </w:rPr>
        <w:instrText xml:space="preserve"> XE "</w:instrText>
      </w:r>
      <w:r w:rsidRPr="009B5799">
        <w:rPr>
          <w:rFonts w:asciiTheme="majorBidi" w:hAnsiTheme="majorBidi" w:cstheme="majorBidi"/>
          <w:sz w:val="24"/>
          <w:szCs w:val="24"/>
          <w:lang w:val="en-GB"/>
        </w:rPr>
        <w:instrText>Kalecik</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Amik</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Amik</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Topaktaş</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Topaktaş</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Gevaş</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Gevaş</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and Madavank</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Madavank</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(Gökçe, Genç &amp; Kaçmaz Levent, 2019: 327-342) (see chapter 12).</w:t>
      </w:r>
    </w:p>
  </w:footnote>
  <w:footnote w:id="68">
    <w:p w14:paraId="4B7B94EE" w14:textId="77777777" w:rsidR="0022085E" w:rsidRPr="009A4255" w:rsidRDefault="0022085E" w:rsidP="0022085E">
      <w:pPr>
        <w:pStyle w:val="DipnotMetni"/>
        <w:rPr>
          <w:rFonts w:ascii="Times New Roman" w:hAnsi="Times New Roman" w:cs="Times New Roman"/>
          <w:lang w:val="en-GB"/>
        </w:rPr>
      </w:pPr>
      <w:r w:rsidRPr="009A4255">
        <w:rPr>
          <w:rStyle w:val="DipnotBavurusu"/>
          <w:rFonts w:ascii="Times New Roman" w:hAnsi="Times New Roman" w:cs="Times New Roman"/>
          <w:lang w:val="en-GB"/>
        </w:rPr>
        <w:footnoteRef/>
      </w:r>
      <w:r w:rsidRPr="009A4255">
        <w:rPr>
          <w:rFonts w:ascii="Times New Roman" w:hAnsi="Times New Roman" w:cs="Times New Roman"/>
          <w:lang w:val="en-GB"/>
        </w:rPr>
        <w:t xml:space="preserve"> See for new investigations: https://www.arkeolojisanat.com/shop/blog/van-golu-kurudukca-urartu-yapilari-bir-bir-ortaya-cikiyor-tapim-alani-kesfedildi_3_1370993.html (date of access: 31.03.2023).</w:t>
      </w:r>
    </w:p>
  </w:footnote>
  <w:footnote w:id="69">
    <w:p w14:paraId="5F0D4022" w14:textId="77777777" w:rsidR="0022085E" w:rsidRPr="009A4255" w:rsidRDefault="0022085E" w:rsidP="0022085E">
      <w:pPr>
        <w:pStyle w:val="DipnotMetni"/>
        <w:jc w:val="both"/>
        <w:rPr>
          <w:rFonts w:ascii="Times New Roman" w:hAnsi="Times New Roman" w:cs="Times New Roman"/>
          <w:lang w:val="en-GB"/>
        </w:rPr>
      </w:pPr>
      <w:r w:rsidRPr="009A4255">
        <w:rPr>
          <w:rStyle w:val="DipnotBavurusu"/>
          <w:rFonts w:ascii="Times New Roman" w:hAnsi="Times New Roman" w:cs="Times New Roman"/>
          <w:lang w:val="en-GB"/>
        </w:rPr>
        <w:footnoteRef/>
      </w:r>
      <w:r w:rsidRPr="009A4255">
        <w:rPr>
          <w:rFonts w:ascii="Times New Roman" w:hAnsi="Times New Roman" w:cs="Times New Roman"/>
          <w:lang w:val="en-GB"/>
        </w:rPr>
        <w:t xml:space="preserve"> This type of seals, which we encounter with cuneiform inscriptions among Urartian</w:t>
      </w:r>
      <w:r w:rsidRPr="009A4255">
        <w:rPr>
          <w:rFonts w:ascii="Times New Roman" w:hAnsi="Times New Roman" w:cs="Times New Roman"/>
          <w:lang w:val="en-GB"/>
        </w:rPr>
        <w:fldChar w:fldCharType="begin"/>
      </w:r>
      <w:r w:rsidRPr="009A4255">
        <w:rPr>
          <w:rFonts w:ascii="Times New Roman" w:hAnsi="Times New Roman" w:cs="Times New Roman"/>
          <w:lang w:val="en-GB"/>
        </w:rPr>
        <w:instrText xml:space="preserve"> XE "Urartian" </w:instrText>
      </w:r>
      <w:r w:rsidRPr="009A4255">
        <w:rPr>
          <w:rFonts w:ascii="Times New Roman" w:hAnsi="Times New Roman" w:cs="Times New Roman"/>
          <w:lang w:val="en-GB"/>
        </w:rPr>
        <w:fldChar w:fldCharType="end"/>
      </w:r>
      <w:r w:rsidRPr="009A4255">
        <w:rPr>
          <w:rFonts w:ascii="Times New Roman" w:hAnsi="Times New Roman" w:cs="Times New Roman"/>
          <w:lang w:val="en-GB"/>
        </w:rPr>
        <w:t xml:space="preserve"> seals, were evaluated as seals belonging to an official, see; Abay, 2001: 322. The phrase ‘Rusa</w:t>
      </w:r>
      <w:r w:rsidRPr="009A4255">
        <w:rPr>
          <w:rFonts w:ascii="Times New Roman" w:hAnsi="Times New Roman" w:cs="Times New Roman"/>
          <w:lang w:val="en-GB"/>
        </w:rPr>
        <w:fldChar w:fldCharType="begin"/>
      </w:r>
      <w:r w:rsidRPr="009A4255">
        <w:rPr>
          <w:rFonts w:ascii="Times New Roman" w:hAnsi="Times New Roman" w:cs="Times New Roman"/>
          <w:lang w:val="en-GB"/>
        </w:rPr>
        <w:instrText xml:space="preserve"> XE "Rusa" </w:instrText>
      </w:r>
      <w:r w:rsidRPr="009A4255">
        <w:rPr>
          <w:rFonts w:ascii="Times New Roman" w:hAnsi="Times New Roman" w:cs="Times New Roman"/>
          <w:lang w:val="en-GB"/>
        </w:rPr>
        <w:fldChar w:fldCharType="end"/>
      </w:r>
      <w:r w:rsidRPr="009A4255">
        <w:rPr>
          <w:rFonts w:ascii="Times New Roman" w:hAnsi="Times New Roman" w:cs="Times New Roman"/>
          <w:lang w:val="en-GB"/>
        </w:rPr>
        <w:t>, son of Sardu&lt;ri&gt;’ is written on the upper line of the cylinder seal impression, while the ‘seal of the aṣuli</w:t>
      </w:r>
      <w:r w:rsidRPr="009A4255">
        <w:rPr>
          <w:rFonts w:ascii="Times New Roman" w:hAnsi="Times New Roman" w:cs="Times New Roman"/>
          <w:lang w:val="en-GB"/>
        </w:rPr>
        <w:fldChar w:fldCharType="begin"/>
      </w:r>
      <w:r w:rsidRPr="009A4255">
        <w:rPr>
          <w:rFonts w:ascii="Times New Roman" w:hAnsi="Times New Roman" w:cs="Times New Roman"/>
          <w:lang w:val="en-GB"/>
        </w:rPr>
        <w:instrText xml:space="preserve"> XE "aṣuli" </w:instrText>
      </w:r>
      <w:r w:rsidRPr="009A4255">
        <w:rPr>
          <w:rFonts w:ascii="Times New Roman" w:hAnsi="Times New Roman" w:cs="Times New Roman"/>
          <w:lang w:val="en-GB"/>
        </w:rPr>
        <w:fldChar w:fldCharType="end"/>
      </w:r>
      <w:r w:rsidRPr="009A4255">
        <w:rPr>
          <w:rFonts w:ascii="Times New Roman" w:hAnsi="Times New Roman" w:cs="Times New Roman"/>
          <w:lang w:val="en-GB"/>
        </w:rPr>
        <w:t xml:space="preserve"> official’ is written on the lower inscription line (CTU IV. CT Ba-1/2, 127).</w:t>
      </w:r>
    </w:p>
  </w:footnote>
  <w:footnote w:id="70">
    <w:p w14:paraId="1A6231BE" w14:textId="77777777" w:rsidR="0022085E" w:rsidRPr="009A4255" w:rsidRDefault="0022085E" w:rsidP="0022085E">
      <w:pPr>
        <w:pStyle w:val="DipnotMetni"/>
        <w:jc w:val="both"/>
        <w:rPr>
          <w:rFonts w:ascii="Times New Roman" w:hAnsi="Times New Roman" w:cs="Times New Roman"/>
          <w:lang w:val="en-GB"/>
        </w:rPr>
      </w:pPr>
      <w:r w:rsidRPr="009A4255">
        <w:rPr>
          <w:rStyle w:val="DipnotBavurusu"/>
          <w:rFonts w:ascii="Times New Roman" w:hAnsi="Times New Roman" w:cs="Times New Roman"/>
          <w:lang w:val="en-GB"/>
        </w:rPr>
        <w:footnoteRef/>
      </w:r>
      <w:r w:rsidRPr="009A4255">
        <w:rPr>
          <w:rFonts w:ascii="Times New Roman" w:hAnsi="Times New Roman" w:cs="Times New Roman"/>
          <w:lang w:val="en-GB"/>
        </w:rPr>
        <w:t>The rock-cut steps, rock-cut niches, wastewater channels, ditches carved into the bedrock of the Urartian</w:t>
      </w:r>
      <w:r w:rsidRPr="009A4255">
        <w:rPr>
          <w:rFonts w:ascii="Times New Roman" w:hAnsi="Times New Roman" w:cs="Times New Roman"/>
          <w:lang w:val="en-GB"/>
        </w:rPr>
        <w:fldChar w:fldCharType="begin"/>
      </w:r>
      <w:r w:rsidRPr="009A4255">
        <w:rPr>
          <w:rFonts w:ascii="Times New Roman" w:hAnsi="Times New Roman" w:cs="Times New Roman"/>
          <w:lang w:val="en-GB"/>
        </w:rPr>
        <w:instrText xml:space="preserve"> XE "Urartian" </w:instrText>
      </w:r>
      <w:r w:rsidRPr="009A4255">
        <w:rPr>
          <w:rFonts w:ascii="Times New Roman" w:hAnsi="Times New Roman" w:cs="Times New Roman"/>
          <w:lang w:val="en-GB"/>
        </w:rPr>
        <w:fldChar w:fldCharType="end"/>
      </w:r>
      <w:r w:rsidRPr="009A4255">
        <w:rPr>
          <w:rFonts w:ascii="Times New Roman" w:hAnsi="Times New Roman" w:cs="Times New Roman"/>
          <w:lang w:val="en-GB"/>
        </w:rPr>
        <w:t xml:space="preserve"> fortresses, and some rock-cut signs carved into the rocks outside the citadel walls are known as the rock workmanship that stands out in this sense. It has been determined that this rock craftsmanship, which has been wrongly emphasized by some researchers in Urartian architecture, see Belli 1989, for their use in relation to cultic functions, is mostly functional in terms of architecture. For example, it has been suggested that rock-cut signs, which are often stated to be used for a cultic purpose, were used in the production of parts of horse carriages, see Konyar 2006.</w:t>
      </w:r>
    </w:p>
  </w:footnote>
  <w:footnote w:id="71">
    <w:p w14:paraId="441B1440" w14:textId="77777777" w:rsidR="0022085E" w:rsidRPr="009A4255" w:rsidRDefault="0022085E" w:rsidP="0022085E">
      <w:pPr>
        <w:pStyle w:val="DipnotMetni"/>
        <w:jc w:val="both"/>
        <w:rPr>
          <w:rFonts w:ascii="Times New Roman" w:hAnsi="Times New Roman" w:cs="Times New Roman"/>
          <w:lang w:val="en-GB"/>
        </w:rPr>
      </w:pPr>
      <w:r w:rsidRPr="009A4255">
        <w:rPr>
          <w:rStyle w:val="DipnotBavurusu"/>
          <w:rFonts w:ascii="Times New Roman" w:hAnsi="Times New Roman" w:cs="Times New Roman"/>
          <w:lang w:val="en-GB"/>
        </w:rPr>
        <w:footnoteRef/>
      </w:r>
      <w:r w:rsidRPr="009A4255">
        <w:rPr>
          <w:rFonts w:ascii="Times New Roman" w:hAnsi="Times New Roman" w:cs="Times New Roman"/>
          <w:lang w:val="en-GB"/>
        </w:rPr>
        <w:t xml:space="preserve"> I would like to thank Vedat Timur, an archaeologist at the Provincial Directorate of Culture, who informed me about these examples in Hakkari.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E4A700" w14:textId="77777777" w:rsidR="0022085E" w:rsidRDefault="0022085E">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431326"/>
    <w:multiLevelType w:val="multilevel"/>
    <w:tmpl w:val="C49AC798"/>
    <w:styleLink w:val="Stil3"/>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800" w:hanging="180"/>
      </w:pPr>
      <w:rPr>
        <w:rFonts w:hint="default"/>
      </w:rPr>
    </w:lvl>
    <w:lvl w:ilvl="3">
      <w:start w:val="1"/>
      <w:numFmt w:val="decimal"/>
      <w:lvlText w:val="%1.%2.%3.%4."/>
      <w:lvlJc w:val="left"/>
      <w:pPr>
        <w:ind w:left="2520" w:hanging="360"/>
      </w:pPr>
      <w:rPr>
        <w:rFonts w:hint="default"/>
      </w:rPr>
    </w:lvl>
    <w:lvl w:ilvl="4">
      <w:start w:val="1"/>
      <w:numFmt w:val="decimal"/>
      <w:lvlText w:val="%1.%2.%3.%4.%5."/>
      <w:lvlJc w:val="left"/>
      <w:pPr>
        <w:ind w:left="3240" w:hanging="360"/>
      </w:pPr>
      <w:rPr>
        <w:rFonts w:hint="default"/>
      </w:rPr>
    </w:lvl>
    <w:lvl w:ilvl="5">
      <w:start w:val="1"/>
      <w:numFmt w:val="decimal"/>
      <w:lvlText w:val="%1.%2.%3.%4.%5.%6."/>
      <w:lvlJc w:val="left"/>
      <w:pPr>
        <w:ind w:left="3960" w:hanging="180"/>
      </w:pPr>
      <w:rPr>
        <w:rFonts w:hint="default"/>
      </w:rPr>
    </w:lvl>
    <w:lvl w:ilvl="6">
      <w:start w:val="1"/>
      <w:numFmt w:val="decimal"/>
      <w:lvlText w:val="%1.%2.%3.%4.%5.%6.%7."/>
      <w:lvlJc w:val="left"/>
      <w:pPr>
        <w:ind w:left="4680" w:hanging="360"/>
      </w:pPr>
      <w:rPr>
        <w:rFonts w:hint="default"/>
      </w:rPr>
    </w:lvl>
    <w:lvl w:ilvl="7">
      <w:start w:val="1"/>
      <w:numFmt w:val="decimal"/>
      <w:lvlText w:val="%1.%2.%3.%4.%5.%6.%7.%8."/>
      <w:lvlJc w:val="left"/>
      <w:pPr>
        <w:ind w:left="5400" w:hanging="360"/>
      </w:pPr>
      <w:rPr>
        <w:rFonts w:hint="default"/>
      </w:rPr>
    </w:lvl>
    <w:lvl w:ilvl="8">
      <w:start w:val="1"/>
      <w:numFmt w:val="decimal"/>
      <w:lvlText w:val="%1.%2.%3.%4.%5.%6.%7.%8.%9."/>
      <w:lvlJc w:val="left"/>
      <w:pPr>
        <w:ind w:left="6120" w:hanging="180"/>
      </w:pPr>
      <w:rPr>
        <w:rFonts w:hint="default"/>
      </w:rPr>
    </w:lvl>
  </w:abstractNum>
  <w:abstractNum w:abstractNumId="1" w15:restartNumberingAfterBreak="0">
    <w:nsid w:val="138E67FD"/>
    <w:multiLevelType w:val="hybridMultilevel"/>
    <w:tmpl w:val="C032E292"/>
    <w:lvl w:ilvl="0" w:tplc="87F65E48">
      <w:start w:val="1"/>
      <w:numFmt w:val="decimal"/>
      <w:lvlText w:val="(%1)"/>
      <w:lvlJc w:val="left"/>
      <w:pPr>
        <w:ind w:left="1407" w:hanging="840"/>
      </w:pPr>
      <w:rPr>
        <w:rFonts w:ascii="Times New Roman" w:eastAsiaTheme="minorHAnsi" w:hAnsi="Times New Roman" w:cs="Times New Roman"/>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2151" w:hanging="1584"/>
      </w:pPr>
    </w:lvl>
  </w:abstractNum>
  <w:abstractNum w:abstractNumId="3" w15:restartNumberingAfterBreak="0">
    <w:nsid w:val="20116D88"/>
    <w:multiLevelType w:val="multilevel"/>
    <w:tmpl w:val="AA5C3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87E1556"/>
    <w:multiLevelType w:val="hybridMultilevel"/>
    <w:tmpl w:val="E20C856A"/>
    <w:lvl w:ilvl="0" w:tplc="554478C0">
      <w:numFmt w:val="bullet"/>
      <w:lvlText w:val="-"/>
      <w:lvlJc w:val="left"/>
      <w:pPr>
        <w:ind w:left="1068" w:hanging="360"/>
      </w:pPr>
      <w:rPr>
        <w:rFonts w:ascii="Times New Roman" w:eastAsiaTheme="minorHAnsi" w:hAnsi="Times New Roman" w:cs="Times New Roman"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5" w15:restartNumberingAfterBreak="0">
    <w:nsid w:val="290E366C"/>
    <w:multiLevelType w:val="hybridMultilevel"/>
    <w:tmpl w:val="2C5E6F7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6" w15:restartNumberingAfterBreak="0">
    <w:nsid w:val="34BC4C88"/>
    <w:multiLevelType w:val="hybridMultilevel"/>
    <w:tmpl w:val="95D803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34D75A4B"/>
    <w:multiLevelType w:val="hybridMultilevel"/>
    <w:tmpl w:val="66DA19E8"/>
    <w:lvl w:ilvl="0" w:tplc="CA804B8A">
      <w:start w:val="1"/>
      <w:numFmt w:val="decimal"/>
      <w:lvlText w:val="%1"/>
      <w:lvlJc w:val="left"/>
      <w:pPr>
        <w:ind w:left="6372" w:hanging="3540"/>
      </w:pPr>
      <w:rPr>
        <w:rFonts w:hint="default"/>
      </w:rPr>
    </w:lvl>
    <w:lvl w:ilvl="1" w:tplc="041F0019" w:tentative="1">
      <w:start w:val="1"/>
      <w:numFmt w:val="lowerLetter"/>
      <w:lvlText w:val="%2."/>
      <w:lvlJc w:val="left"/>
      <w:pPr>
        <w:ind w:left="3912" w:hanging="360"/>
      </w:pPr>
    </w:lvl>
    <w:lvl w:ilvl="2" w:tplc="041F001B" w:tentative="1">
      <w:start w:val="1"/>
      <w:numFmt w:val="lowerRoman"/>
      <w:lvlText w:val="%3."/>
      <w:lvlJc w:val="right"/>
      <w:pPr>
        <w:ind w:left="4632" w:hanging="180"/>
      </w:pPr>
    </w:lvl>
    <w:lvl w:ilvl="3" w:tplc="041F000F" w:tentative="1">
      <w:start w:val="1"/>
      <w:numFmt w:val="decimal"/>
      <w:lvlText w:val="%4."/>
      <w:lvlJc w:val="left"/>
      <w:pPr>
        <w:ind w:left="5352" w:hanging="360"/>
      </w:pPr>
    </w:lvl>
    <w:lvl w:ilvl="4" w:tplc="041F0019" w:tentative="1">
      <w:start w:val="1"/>
      <w:numFmt w:val="lowerLetter"/>
      <w:lvlText w:val="%5."/>
      <w:lvlJc w:val="left"/>
      <w:pPr>
        <w:ind w:left="6072" w:hanging="360"/>
      </w:pPr>
    </w:lvl>
    <w:lvl w:ilvl="5" w:tplc="041F001B" w:tentative="1">
      <w:start w:val="1"/>
      <w:numFmt w:val="lowerRoman"/>
      <w:lvlText w:val="%6."/>
      <w:lvlJc w:val="right"/>
      <w:pPr>
        <w:ind w:left="6792" w:hanging="180"/>
      </w:pPr>
    </w:lvl>
    <w:lvl w:ilvl="6" w:tplc="041F000F" w:tentative="1">
      <w:start w:val="1"/>
      <w:numFmt w:val="decimal"/>
      <w:lvlText w:val="%7."/>
      <w:lvlJc w:val="left"/>
      <w:pPr>
        <w:ind w:left="7512" w:hanging="360"/>
      </w:pPr>
    </w:lvl>
    <w:lvl w:ilvl="7" w:tplc="041F0019" w:tentative="1">
      <w:start w:val="1"/>
      <w:numFmt w:val="lowerLetter"/>
      <w:lvlText w:val="%8."/>
      <w:lvlJc w:val="left"/>
      <w:pPr>
        <w:ind w:left="8232" w:hanging="360"/>
      </w:pPr>
    </w:lvl>
    <w:lvl w:ilvl="8" w:tplc="041F001B" w:tentative="1">
      <w:start w:val="1"/>
      <w:numFmt w:val="lowerRoman"/>
      <w:lvlText w:val="%9."/>
      <w:lvlJc w:val="right"/>
      <w:pPr>
        <w:ind w:left="8952" w:hanging="180"/>
      </w:pPr>
    </w:lvl>
  </w:abstractNum>
  <w:abstractNum w:abstractNumId="8" w15:restartNumberingAfterBreak="0">
    <w:nsid w:val="50F20DEF"/>
    <w:multiLevelType w:val="hybridMultilevel"/>
    <w:tmpl w:val="E436ACEC"/>
    <w:lvl w:ilvl="0" w:tplc="E578D730">
      <w:start w:val="1"/>
      <w:numFmt w:val="decimal"/>
      <w:lvlText w:val="(%1)"/>
      <w:lvlJc w:val="left"/>
      <w:pPr>
        <w:ind w:left="1421" w:hanging="570"/>
      </w:pPr>
      <w:rPr>
        <w:rFonts w:hint="default"/>
      </w:rPr>
    </w:lvl>
    <w:lvl w:ilvl="1" w:tplc="041F0019" w:tentative="1">
      <w:start w:val="1"/>
      <w:numFmt w:val="lowerLetter"/>
      <w:lvlText w:val="%2."/>
      <w:lvlJc w:val="left"/>
      <w:pPr>
        <w:ind w:left="1931" w:hanging="360"/>
      </w:pPr>
    </w:lvl>
    <w:lvl w:ilvl="2" w:tplc="041F001B" w:tentative="1">
      <w:start w:val="1"/>
      <w:numFmt w:val="lowerRoman"/>
      <w:lvlText w:val="%3."/>
      <w:lvlJc w:val="right"/>
      <w:pPr>
        <w:ind w:left="2651" w:hanging="180"/>
      </w:pPr>
    </w:lvl>
    <w:lvl w:ilvl="3" w:tplc="041F000F" w:tentative="1">
      <w:start w:val="1"/>
      <w:numFmt w:val="decimal"/>
      <w:lvlText w:val="%4."/>
      <w:lvlJc w:val="left"/>
      <w:pPr>
        <w:ind w:left="3371" w:hanging="360"/>
      </w:pPr>
    </w:lvl>
    <w:lvl w:ilvl="4" w:tplc="041F0019" w:tentative="1">
      <w:start w:val="1"/>
      <w:numFmt w:val="lowerLetter"/>
      <w:lvlText w:val="%5."/>
      <w:lvlJc w:val="left"/>
      <w:pPr>
        <w:ind w:left="4091" w:hanging="360"/>
      </w:pPr>
    </w:lvl>
    <w:lvl w:ilvl="5" w:tplc="041F001B" w:tentative="1">
      <w:start w:val="1"/>
      <w:numFmt w:val="lowerRoman"/>
      <w:lvlText w:val="%6."/>
      <w:lvlJc w:val="right"/>
      <w:pPr>
        <w:ind w:left="4811" w:hanging="180"/>
      </w:pPr>
    </w:lvl>
    <w:lvl w:ilvl="6" w:tplc="041F000F" w:tentative="1">
      <w:start w:val="1"/>
      <w:numFmt w:val="decimal"/>
      <w:lvlText w:val="%7."/>
      <w:lvlJc w:val="left"/>
      <w:pPr>
        <w:ind w:left="5531" w:hanging="360"/>
      </w:pPr>
    </w:lvl>
    <w:lvl w:ilvl="7" w:tplc="041F0019" w:tentative="1">
      <w:start w:val="1"/>
      <w:numFmt w:val="lowerLetter"/>
      <w:lvlText w:val="%8."/>
      <w:lvlJc w:val="left"/>
      <w:pPr>
        <w:ind w:left="6251" w:hanging="360"/>
      </w:pPr>
    </w:lvl>
    <w:lvl w:ilvl="8" w:tplc="041F001B" w:tentative="1">
      <w:start w:val="1"/>
      <w:numFmt w:val="lowerRoman"/>
      <w:lvlText w:val="%9."/>
      <w:lvlJc w:val="right"/>
      <w:pPr>
        <w:ind w:left="6971" w:hanging="180"/>
      </w:pPr>
    </w:lvl>
  </w:abstractNum>
  <w:abstractNum w:abstractNumId="9" w15:restartNumberingAfterBreak="0">
    <w:nsid w:val="57A93BF0"/>
    <w:multiLevelType w:val="singleLevel"/>
    <w:tmpl w:val="475048E0"/>
    <w:lvl w:ilvl="0">
      <w:start w:val="3"/>
      <w:numFmt w:val="decimal"/>
      <w:lvlText w:val="%1"/>
      <w:legacy w:legacy="1" w:legacySpace="0" w:legacyIndent="570"/>
      <w:lvlJc w:val="left"/>
      <w:pPr>
        <w:ind w:left="570" w:hanging="570"/>
      </w:pPr>
      <w:rPr>
        <w:rFonts w:ascii="Times New Roman" w:hAnsi="Times New Roman" w:cs="Times New Roman" w:hint="default"/>
      </w:rPr>
    </w:lvl>
  </w:abstractNum>
  <w:abstractNum w:abstractNumId="10" w15:restartNumberingAfterBreak="0">
    <w:nsid w:val="5D0E1E09"/>
    <w:multiLevelType w:val="hybridMultilevel"/>
    <w:tmpl w:val="EF40F6DA"/>
    <w:lvl w:ilvl="0" w:tplc="2E4C8F5A">
      <w:numFmt w:val="bullet"/>
      <w:lvlText w:val="-"/>
      <w:lvlJc w:val="left"/>
      <w:pPr>
        <w:ind w:left="720" w:hanging="360"/>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60C954FF"/>
    <w:multiLevelType w:val="hybridMultilevel"/>
    <w:tmpl w:val="8424C5F0"/>
    <w:lvl w:ilvl="0" w:tplc="73E824AE">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2" w15:restartNumberingAfterBreak="0">
    <w:nsid w:val="673F2D22"/>
    <w:multiLevelType w:val="hybridMultilevel"/>
    <w:tmpl w:val="B8BCBB3E"/>
    <w:lvl w:ilvl="0" w:tplc="9DA2D8DA">
      <w:start w:val="59"/>
      <w:numFmt w:val="bullet"/>
      <w:lvlText w:val="-"/>
      <w:lvlJc w:val="left"/>
      <w:pPr>
        <w:ind w:left="480" w:hanging="360"/>
      </w:pPr>
      <w:rPr>
        <w:rFonts w:ascii="Courier New" w:eastAsia="Times New Roman" w:hAnsi="Courier New" w:cs="Courier New" w:hint="default"/>
      </w:rPr>
    </w:lvl>
    <w:lvl w:ilvl="1" w:tplc="04100003" w:tentative="1">
      <w:start w:val="1"/>
      <w:numFmt w:val="bullet"/>
      <w:lvlText w:val="o"/>
      <w:lvlJc w:val="left"/>
      <w:pPr>
        <w:ind w:left="1200" w:hanging="360"/>
      </w:pPr>
      <w:rPr>
        <w:rFonts w:ascii="Courier New" w:hAnsi="Courier New" w:cs="Courier New" w:hint="default"/>
      </w:rPr>
    </w:lvl>
    <w:lvl w:ilvl="2" w:tplc="04100005" w:tentative="1">
      <w:start w:val="1"/>
      <w:numFmt w:val="bullet"/>
      <w:lvlText w:val=""/>
      <w:lvlJc w:val="left"/>
      <w:pPr>
        <w:ind w:left="1920" w:hanging="360"/>
      </w:pPr>
      <w:rPr>
        <w:rFonts w:ascii="Wingdings" w:hAnsi="Wingdings" w:hint="default"/>
      </w:rPr>
    </w:lvl>
    <w:lvl w:ilvl="3" w:tplc="04100001" w:tentative="1">
      <w:start w:val="1"/>
      <w:numFmt w:val="bullet"/>
      <w:lvlText w:val=""/>
      <w:lvlJc w:val="left"/>
      <w:pPr>
        <w:ind w:left="2640" w:hanging="360"/>
      </w:pPr>
      <w:rPr>
        <w:rFonts w:ascii="Symbol" w:hAnsi="Symbol" w:hint="default"/>
      </w:rPr>
    </w:lvl>
    <w:lvl w:ilvl="4" w:tplc="04100003" w:tentative="1">
      <w:start w:val="1"/>
      <w:numFmt w:val="bullet"/>
      <w:lvlText w:val="o"/>
      <w:lvlJc w:val="left"/>
      <w:pPr>
        <w:ind w:left="3360" w:hanging="360"/>
      </w:pPr>
      <w:rPr>
        <w:rFonts w:ascii="Courier New" w:hAnsi="Courier New" w:cs="Courier New" w:hint="default"/>
      </w:rPr>
    </w:lvl>
    <w:lvl w:ilvl="5" w:tplc="04100005" w:tentative="1">
      <w:start w:val="1"/>
      <w:numFmt w:val="bullet"/>
      <w:lvlText w:val=""/>
      <w:lvlJc w:val="left"/>
      <w:pPr>
        <w:ind w:left="4080" w:hanging="360"/>
      </w:pPr>
      <w:rPr>
        <w:rFonts w:ascii="Wingdings" w:hAnsi="Wingdings" w:hint="default"/>
      </w:rPr>
    </w:lvl>
    <w:lvl w:ilvl="6" w:tplc="04100001" w:tentative="1">
      <w:start w:val="1"/>
      <w:numFmt w:val="bullet"/>
      <w:lvlText w:val=""/>
      <w:lvlJc w:val="left"/>
      <w:pPr>
        <w:ind w:left="4800" w:hanging="360"/>
      </w:pPr>
      <w:rPr>
        <w:rFonts w:ascii="Symbol" w:hAnsi="Symbol" w:hint="default"/>
      </w:rPr>
    </w:lvl>
    <w:lvl w:ilvl="7" w:tplc="04100003" w:tentative="1">
      <w:start w:val="1"/>
      <w:numFmt w:val="bullet"/>
      <w:lvlText w:val="o"/>
      <w:lvlJc w:val="left"/>
      <w:pPr>
        <w:ind w:left="5520" w:hanging="360"/>
      </w:pPr>
      <w:rPr>
        <w:rFonts w:ascii="Courier New" w:hAnsi="Courier New" w:cs="Courier New" w:hint="default"/>
      </w:rPr>
    </w:lvl>
    <w:lvl w:ilvl="8" w:tplc="04100005" w:tentative="1">
      <w:start w:val="1"/>
      <w:numFmt w:val="bullet"/>
      <w:lvlText w:val=""/>
      <w:lvlJc w:val="left"/>
      <w:pPr>
        <w:ind w:left="6240" w:hanging="360"/>
      </w:pPr>
      <w:rPr>
        <w:rFonts w:ascii="Wingdings" w:hAnsi="Wingdings" w:hint="default"/>
      </w:rPr>
    </w:lvl>
  </w:abstractNum>
  <w:abstractNum w:abstractNumId="13" w15:restartNumberingAfterBreak="0">
    <w:nsid w:val="7AFF6AEA"/>
    <w:multiLevelType w:val="hybridMultilevel"/>
    <w:tmpl w:val="EEBAD666"/>
    <w:lvl w:ilvl="0" w:tplc="968CF392">
      <w:start w:val="1"/>
      <w:numFmt w:val="decimal"/>
      <w:lvlText w:val="(%1)"/>
      <w:lvlJc w:val="left"/>
      <w:pPr>
        <w:ind w:left="1407" w:hanging="840"/>
      </w:pPr>
      <w:rPr>
        <w:rFonts w:ascii="Times New Roman" w:eastAsiaTheme="minorHAnsi" w:hAnsi="Times New Roman" w:cs="Times New Roman"/>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num w:numId="1" w16cid:durableId="1989433753">
    <w:abstractNumId w:val="0"/>
  </w:num>
  <w:num w:numId="2" w16cid:durableId="675227718">
    <w:abstractNumId w:val="10"/>
  </w:num>
  <w:num w:numId="3" w16cid:durableId="717050984">
    <w:abstractNumId w:val="11"/>
  </w:num>
  <w:num w:numId="4" w16cid:durableId="485628358">
    <w:abstractNumId w:val="4"/>
  </w:num>
  <w:num w:numId="5" w16cid:durableId="1925990482">
    <w:abstractNumId w:val="7"/>
  </w:num>
  <w:num w:numId="6" w16cid:durableId="981734646">
    <w:abstractNumId w:val="1"/>
  </w:num>
  <w:num w:numId="7" w16cid:durableId="662318142">
    <w:abstractNumId w:val="13"/>
  </w:num>
  <w:num w:numId="8" w16cid:durableId="36244606">
    <w:abstractNumId w:val="8"/>
  </w:num>
  <w:num w:numId="9" w16cid:durableId="438989239">
    <w:abstractNumId w:val="5"/>
  </w:num>
  <w:num w:numId="10" w16cid:durableId="436561900">
    <w:abstractNumId w:val="3"/>
  </w:num>
  <w:num w:numId="11" w16cid:durableId="1822036547">
    <w:abstractNumId w:val="9"/>
  </w:num>
  <w:num w:numId="12" w16cid:durableId="169299084">
    <w:abstractNumId w:val="2"/>
  </w:num>
  <w:num w:numId="13" w16cid:durableId="88354194">
    <w:abstractNumId w:val="2"/>
    <w:lvlOverride w:ilvl="0">
      <w:startOverride w:val="1"/>
    </w:lvlOverride>
  </w:num>
  <w:num w:numId="14" w16cid:durableId="887882608">
    <w:abstractNumId w:val="12"/>
  </w:num>
  <w:num w:numId="15" w16cid:durableId="19892801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outline"/>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764"/>
    <w:rsid w:val="000007F1"/>
    <w:rsid w:val="000146A6"/>
    <w:rsid w:val="000155DA"/>
    <w:rsid w:val="00015643"/>
    <w:rsid w:val="0001656C"/>
    <w:rsid w:val="0002079A"/>
    <w:rsid w:val="00022BF7"/>
    <w:rsid w:val="00022DEF"/>
    <w:rsid w:val="00025A1A"/>
    <w:rsid w:val="00027201"/>
    <w:rsid w:val="00027DBE"/>
    <w:rsid w:val="00030E9E"/>
    <w:rsid w:val="00032DED"/>
    <w:rsid w:val="00032E65"/>
    <w:rsid w:val="00041246"/>
    <w:rsid w:val="00041A7D"/>
    <w:rsid w:val="00045232"/>
    <w:rsid w:val="00050829"/>
    <w:rsid w:val="00050971"/>
    <w:rsid w:val="00050F5C"/>
    <w:rsid w:val="00054D24"/>
    <w:rsid w:val="00055C33"/>
    <w:rsid w:val="000646A7"/>
    <w:rsid w:val="0009163D"/>
    <w:rsid w:val="000924E1"/>
    <w:rsid w:val="000A102C"/>
    <w:rsid w:val="000A2020"/>
    <w:rsid w:val="000A3D33"/>
    <w:rsid w:val="000A4BCA"/>
    <w:rsid w:val="000A5F5D"/>
    <w:rsid w:val="000A6541"/>
    <w:rsid w:val="000B096A"/>
    <w:rsid w:val="000B4A74"/>
    <w:rsid w:val="000C0B54"/>
    <w:rsid w:val="000D025B"/>
    <w:rsid w:val="000D0F8E"/>
    <w:rsid w:val="000D0FE6"/>
    <w:rsid w:val="000D1229"/>
    <w:rsid w:val="000E14C9"/>
    <w:rsid w:val="000E4943"/>
    <w:rsid w:val="000E53D1"/>
    <w:rsid w:val="000E69F3"/>
    <w:rsid w:val="000F08ED"/>
    <w:rsid w:val="000F3586"/>
    <w:rsid w:val="000F6790"/>
    <w:rsid w:val="000F72D0"/>
    <w:rsid w:val="001004F6"/>
    <w:rsid w:val="001054F5"/>
    <w:rsid w:val="001108A6"/>
    <w:rsid w:val="00110B80"/>
    <w:rsid w:val="00111F62"/>
    <w:rsid w:val="001122CA"/>
    <w:rsid w:val="00114F78"/>
    <w:rsid w:val="001174E6"/>
    <w:rsid w:val="0012277B"/>
    <w:rsid w:val="00126B7E"/>
    <w:rsid w:val="00127DA6"/>
    <w:rsid w:val="001315ED"/>
    <w:rsid w:val="00144D58"/>
    <w:rsid w:val="001465B3"/>
    <w:rsid w:val="00147E89"/>
    <w:rsid w:val="001518C5"/>
    <w:rsid w:val="00153229"/>
    <w:rsid w:val="00160229"/>
    <w:rsid w:val="0016201C"/>
    <w:rsid w:val="00164DCD"/>
    <w:rsid w:val="001677C7"/>
    <w:rsid w:val="0017207B"/>
    <w:rsid w:val="00172E00"/>
    <w:rsid w:val="00175556"/>
    <w:rsid w:val="00176FEB"/>
    <w:rsid w:val="00184AC4"/>
    <w:rsid w:val="00184EC8"/>
    <w:rsid w:val="00186426"/>
    <w:rsid w:val="00186669"/>
    <w:rsid w:val="00187795"/>
    <w:rsid w:val="00187FE3"/>
    <w:rsid w:val="00191FB3"/>
    <w:rsid w:val="001928DD"/>
    <w:rsid w:val="00193308"/>
    <w:rsid w:val="001952DF"/>
    <w:rsid w:val="00195999"/>
    <w:rsid w:val="001A15DF"/>
    <w:rsid w:val="001A1DDA"/>
    <w:rsid w:val="001A340D"/>
    <w:rsid w:val="001B4572"/>
    <w:rsid w:val="001B5590"/>
    <w:rsid w:val="001C0864"/>
    <w:rsid w:val="001C0AAE"/>
    <w:rsid w:val="001C11C8"/>
    <w:rsid w:val="001C37D8"/>
    <w:rsid w:val="001C57DB"/>
    <w:rsid w:val="001E0457"/>
    <w:rsid w:val="001E2ED0"/>
    <w:rsid w:val="001E5C71"/>
    <w:rsid w:val="001E6679"/>
    <w:rsid w:val="001F1A53"/>
    <w:rsid w:val="001F2587"/>
    <w:rsid w:val="00205E0B"/>
    <w:rsid w:val="0022085E"/>
    <w:rsid w:val="00222007"/>
    <w:rsid w:val="002235C2"/>
    <w:rsid w:val="00223E38"/>
    <w:rsid w:val="0022436A"/>
    <w:rsid w:val="00225663"/>
    <w:rsid w:val="00230497"/>
    <w:rsid w:val="00233047"/>
    <w:rsid w:val="00233A43"/>
    <w:rsid w:val="00246B1A"/>
    <w:rsid w:val="00247ACF"/>
    <w:rsid w:val="002503EA"/>
    <w:rsid w:val="0025125E"/>
    <w:rsid w:val="002541F5"/>
    <w:rsid w:val="0025498C"/>
    <w:rsid w:val="00257212"/>
    <w:rsid w:val="00260D6B"/>
    <w:rsid w:val="00263D1F"/>
    <w:rsid w:val="00265C03"/>
    <w:rsid w:val="00270549"/>
    <w:rsid w:val="00273435"/>
    <w:rsid w:val="00273C19"/>
    <w:rsid w:val="00274E5C"/>
    <w:rsid w:val="00281077"/>
    <w:rsid w:val="0028132B"/>
    <w:rsid w:val="00285961"/>
    <w:rsid w:val="0028736C"/>
    <w:rsid w:val="00294359"/>
    <w:rsid w:val="00296CC3"/>
    <w:rsid w:val="002A0E12"/>
    <w:rsid w:val="002A1C24"/>
    <w:rsid w:val="002A1DF3"/>
    <w:rsid w:val="002A5937"/>
    <w:rsid w:val="002C5863"/>
    <w:rsid w:val="002D2851"/>
    <w:rsid w:val="002D6E29"/>
    <w:rsid w:val="002E4775"/>
    <w:rsid w:val="002E5786"/>
    <w:rsid w:val="002E7010"/>
    <w:rsid w:val="002F0B3D"/>
    <w:rsid w:val="002F323C"/>
    <w:rsid w:val="002F4530"/>
    <w:rsid w:val="002F467E"/>
    <w:rsid w:val="00302238"/>
    <w:rsid w:val="00311442"/>
    <w:rsid w:val="003159F6"/>
    <w:rsid w:val="003205C0"/>
    <w:rsid w:val="00320632"/>
    <w:rsid w:val="00320641"/>
    <w:rsid w:val="0032491C"/>
    <w:rsid w:val="00326604"/>
    <w:rsid w:val="0032786A"/>
    <w:rsid w:val="00330758"/>
    <w:rsid w:val="0033148E"/>
    <w:rsid w:val="00334E6F"/>
    <w:rsid w:val="00335122"/>
    <w:rsid w:val="003362B1"/>
    <w:rsid w:val="00340183"/>
    <w:rsid w:val="003444DC"/>
    <w:rsid w:val="00350DCE"/>
    <w:rsid w:val="0035259E"/>
    <w:rsid w:val="00352C81"/>
    <w:rsid w:val="003544CB"/>
    <w:rsid w:val="003579B5"/>
    <w:rsid w:val="0036039C"/>
    <w:rsid w:val="0036267B"/>
    <w:rsid w:val="00364E1B"/>
    <w:rsid w:val="00365665"/>
    <w:rsid w:val="00365A1D"/>
    <w:rsid w:val="003717A9"/>
    <w:rsid w:val="00371C04"/>
    <w:rsid w:val="00375308"/>
    <w:rsid w:val="00380D70"/>
    <w:rsid w:val="0038360B"/>
    <w:rsid w:val="00387460"/>
    <w:rsid w:val="00391B9B"/>
    <w:rsid w:val="003A05A7"/>
    <w:rsid w:val="003A0DA8"/>
    <w:rsid w:val="003A4F53"/>
    <w:rsid w:val="003A6C5A"/>
    <w:rsid w:val="003B1BF9"/>
    <w:rsid w:val="003B6A64"/>
    <w:rsid w:val="003C18EA"/>
    <w:rsid w:val="003C4781"/>
    <w:rsid w:val="003C5C9D"/>
    <w:rsid w:val="003C7AE3"/>
    <w:rsid w:val="003D02EC"/>
    <w:rsid w:val="003D045F"/>
    <w:rsid w:val="003D1CE7"/>
    <w:rsid w:val="003D7011"/>
    <w:rsid w:val="003D7A5F"/>
    <w:rsid w:val="003E0B4C"/>
    <w:rsid w:val="003E3196"/>
    <w:rsid w:val="003E4C83"/>
    <w:rsid w:val="003E4F37"/>
    <w:rsid w:val="003E78CB"/>
    <w:rsid w:val="003F1E7A"/>
    <w:rsid w:val="003F7897"/>
    <w:rsid w:val="00404029"/>
    <w:rsid w:val="00404361"/>
    <w:rsid w:val="00410266"/>
    <w:rsid w:val="00410277"/>
    <w:rsid w:val="00411159"/>
    <w:rsid w:val="0042124D"/>
    <w:rsid w:val="004216F2"/>
    <w:rsid w:val="004224C2"/>
    <w:rsid w:val="0042558B"/>
    <w:rsid w:val="00427476"/>
    <w:rsid w:val="00430082"/>
    <w:rsid w:val="004313F6"/>
    <w:rsid w:val="004317CB"/>
    <w:rsid w:val="00431958"/>
    <w:rsid w:val="0043363F"/>
    <w:rsid w:val="00435D90"/>
    <w:rsid w:val="00442152"/>
    <w:rsid w:val="00444979"/>
    <w:rsid w:val="00450DBC"/>
    <w:rsid w:val="00453E61"/>
    <w:rsid w:val="00456C1C"/>
    <w:rsid w:val="00464EA7"/>
    <w:rsid w:val="00465247"/>
    <w:rsid w:val="00470B25"/>
    <w:rsid w:val="00472050"/>
    <w:rsid w:val="004730B0"/>
    <w:rsid w:val="004762BC"/>
    <w:rsid w:val="004809DA"/>
    <w:rsid w:val="00486280"/>
    <w:rsid w:val="004901F4"/>
    <w:rsid w:val="00493205"/>
    <w:rsid w:val="00497A7E"/>
    <w:rsid w:val="004A1AFC"/>
    <w:rsid w:val="004A333E"/>
    <w:rsid w:val="004A5EE9"/>
    <w:rsid w:val="004B0374"/>
    <w:rsid w:val="004B1EAB"/>
    <w:rsid w:val="004B2C91"/>
    <w:rsid w:val="004B62B6"/>
    <w:rsid w:val="004C2475"/>
    <w:rsid w:val="004C35A4"/>
    <w:rsid w:val="004C4D4A"/>
    <w:rsid w:val="004C627D"/>
    <w:rsid w:val="004C6893"/>
    <w:rsid w:val="004E0A5A"/>
    <w:rsid w:val="004E1D07"/>
    <w:rsid w:val="004E59A2"/>
    <w:rsid w:val="004E6F2F"/>
    <w:rsid w:val="004F1AA5"/>
    <w:rsid w:val="004F4D01"/>
    <w:rsid w:val="004F4EE8"/>
    <w:rsid w:val="00500DD7"/>
    <w:rsid w:val="00501C41"/>
    <w:rsid w:val="005067B5"/>
    <w:rsid w:val="0051046F"/>
    <w:rsid w:val="00511443"/>
    <w:rsid w:val="00512579"/>
    <w:rsid w:val="005165E8"/>
    <w:rsid w:val="00522AB2"/>
    <w:rsid w:val="00527377"/>
    <w:rsid w:val="00527D8A"/>
    <w:rsid w:val="00533BB0"/>
    <w:rsid w:val="00535DB1"/>
    <w:rsid w:val="00537B77"/>
    <w:rsid w:val="00546460"/>
    <w:rsid w:val="005563F2"/>
    <w:rsid w:val="005621EB"/>
    <w:rsid w:val="00564D91"/>
    <w:rsid w:val="005654D5"/>
    <w:rsid w:val="00573866"/>
    <w:rsid w:val="00573B62"/>
    <w:rsid w:val="00573E2E"/>
    <w:rsid w:val="00577279"/>
    <w:rsid w:val="00586576"/>
    <w:rsid w:val="00587350"/>
    <w:rsid w:val="00590F1A"/>
    <w:rsid w:val="005B165E"/>
    <w:rsid w:val="005B5F84"/>
    <w:rsid w:val="005B6C8F"/>
    <w:rsid w:val="005C2CE3"/>
    <w:rsid w:val="005C3F29"/>
    <w:rsid w:val="005C6852"/>
    <w:rsid w:val="005C68BB"/>
    <w:rsid w:val="005C7780"/>
    <w:rsid w:val="005D3CB7"/>
    <w:rsid w:val="005D7D83"/>
    <w:rsid w:val="005E2D95"/>
    <w:rsid w:val="005E67DB"/>
    <w:rsid w:val="005E73BD"/>
    <w:rsid w:val="005F421B"/>
    <w:rsid w:val="00600FD9"/>
    <w:rsid w:val="00606D89"/>
    <w:rsid w:val="006104EA"/>
    <w:rsid w:val="0061444B"/>
    <w:rsid w:val="006202A1"/>
    <w:rsid w:val="00621F20"/>
    <w:rsid w:val="00626A07"/>
    <w:rsid w:val="00627764"/>
    <w:rsid w:val="00631C6E"/>
    <w:rsid w:val="006371BE"/>
    <w:rsid w:val="0064377A"/>
    <w:rsid w:val="006438FF"/>
    <w:rsid w:val="006457BD"/>
    <w:rsid w:val="00647545"/>
    <w:rsid w:val="00650A0B"/>
    <w:rsid w:val="0066296E"/>
    <w:rsid w:val="00663FD0"/>
    <w:rsid w:val="00665106"/>
    <w:rsid w:val="006654EC"/>
    <w:rsid w:val="00675BBF"/>
    <w:rsid w:val="00676A4C"/>
    <w:rsid w:val="006827D4"/>
    <w:rsid w:val="00684223"/>
    <w:rsid w:val="00687DE2"/>
    <w:rsid w:val="00694D89"/>
    <w:rsid w:val="00695338"/>
    <w:rsid w:val="006957CF"/>
    <w:rsid w:val="006A1F33"/>
    <w:rsid w:val="006A33C6"/>
    <w:rsid w:val="006A38F9"/>
    <w:rsid w:val="006A457D"/>
    <w:rsid w:val="006A4F71"/>
    <w:rsid w:val="006A560E"/>
    <w:rsid w:val="006A7AD9"/>
    <w:rsid w:val="006B23DC"/>
    <w:rsid w:val="006B5F19"/>
    <w:rsid w:val="006C2DA9"/>
    <w:rsid w:val="006C696B"/>
    <w:rsid w:val="006C6D56"/>
    <w:rsid w:val="006D3D75"/>
    <w:rsid w:val="006D4DC9"/>
    <w:rsid w:val="006D76C2"/>
    <w:rsid w:val="006E31C3"/>
    <w:rsid w:val="006E6619"/>
    <w:rsid w:val="006F28A0"/>
    <w:rsid w:val="006F2CA8"/>
    <w:rsid w:val="006F42F8"/>
    <w:rsid w:val="00700903"/>
    <w:rsid w:val="007012E7"/>
    <w:rsid w:val="007037CA"/>
    <w:rsid w:val="007042EF"/>
    <w:rsid w:val="007073EA"/>
    <w:rsid w:val="00713056"/>
    <w:rsid w:val="00714171"/>
    <w:rsid w:val="0072045F"/>
    <w:rsid w:val="00724615"/>
    <w:rsid w:val="007256E1"/>
    <w:rsid w:val="00726AD2"/>
    <w:rsid w:val="007302DB"/>
    <w:rsid w:val="007310B3"/>
    <w:rsid w:val="007379B0"/>
    <w:rsid w:val="007402FE"/>
    <w:rsid w:val="0074182F"/>
    <w:rsid w:val="00742E05"/>
    <w:rsid w:val="00743210"/>
    <w:rsid w:val="0074745D"/>
    <w:rsid w:val="00750D9B"/>
    <w:rsid w:val="007517B6"/>
    <w:rsid w:val="007521BB"/>
    <w:rsid w:val="00762F61"/>
    <w:rsid w:val="00763ED8"/>
    <w:rsid w:val="007641E0"/>
    <w:rsid w:val="00764FCB"/>
    <w:rsid w:val="00765317"/>
    <w:rsid w:val="0076560A"/>
    <w:rsid w:val="00767AAC"/>
    <w:rsid w:val="007819AE"/>
    <w:rsid w:val="00781EA0"/>
    <w:rsid w:val="00782320"/>
    <w:rsid w:val="007853DB"/>
    <w:rsid w:val="00785E31"/>
    <w:rsid w:val="00792E01"/>
    <w:rsid w:val="0079591B"/>
    <w:rsid w:val="007968FF"/>
    <w:rsid w:val="007A2A9D"/>
    <w:rsid w:val="007A3891"/>
    <w:rsid w:val="007A7BAB"/>
    <w:rsid w:val="007B26F0"/>
    <w:rsid w:val="007B6829"/>
    <w:rsid w:val="007C1DD2"/>
    <w:rsid w:val="007C23CF"/>
    <w:rsid w:val="007C6815"/>
    <w:rsid w:val="007C6821"/>
    <w:rsid w:val="007D0BBE"/>
    <w:rsid w:val="007D19BD"/>
    <w:rsid w:val="007D5113"/>
    <w:rsid w:val="007D76CC"/>
    <w:rsid w:val="007E4D33"/>
    <w:rsid w:val="007E58C8"/>
    <w:rsid w:val="007E7488"/>
    <w:rsid w:val="007F1FD7"/>
    <w:rsid w:val="007F268B"/>
    <w:rsid w:val="007F3733"/>
    <w:rsid w:val="00800CD4"/>
    <w:rsid w:val="00801444"/>
    <w:rsid w:val="00801D3E"/>
    <w:rsid w:val="008023EB"/>
    <w:rsid w:val="0080291C"/>
    <w:rsid w:val="00805AF8"/>
    <w:rsid w:val="00807F56"/>
    <w:rsid w:val="00814086"/>
    <w:rsid w:val="0081622B"/>
    <w:rsid w:val="0081719B"/>
    <w:rsid w:val="0082154E"/>
    <w:rsid w:val="00824BA8"/>
    <w:rsid w:val="008276E7"/>
    <w:rsid w:val="00837243"/>
    <w:rsid w:val="0084047B"/>
    <w:rsid w:val="0084159A"/>
    <w:rsid w:val="00846D49"/>
    <w:rsid w:val="00847A5D"/>
    <w:rsid w:val="00851164"/>
    <w:rsid w:val="00860408"/>
    <w:rsid w:val="00862621"/>
    <w:rsid w:val="00867745"/>
    <w:rsid w:val="0088104F"/>
    <w:rsid w:val="0088351C"/>
    <w:rsid w:val="008835CF"/>
    <w:rsid w:val="00887413"/>
    <w:rsid w:val="00887719"/>
    <w:rsid w:val="0089271C"/>
    <w:rsid w:val="00897EF7"/>
    <w:rsid w:val="008B3242"/>
    <w:rsid w:val="008B3851"/>
    <w:rsid w:val="008C48BB"/>
    <w:rsid w:val="008C4CEB"/>
    <w:rsid w:val="008C5C57"/>
    <w:rsid w:val="008C5F26"/>
    <w:rsid w:val="008D5D63"/>
    <w:rsid w:val="008E2355"/>
    <w:rsid w:val="008E274F"/>
    <w:rsid w:val="008E506E"/>
    <w:rsid w:val="008E60D8"/>
    <w:rsid w:val="008E74CD"/>
    <w:rsid w:val="008F3084"/>
    <w:rsid w:val="008F602E"/>
    <w:rsid w:val="009036A0"/>
    <w:rsid w:val="0091046B"/>
    <w:rsid w:val="0091160E"/>
    <w:rsid w:val="00911DF6"/>
    <w:rsid w:val="0091258A"/>
    <w:rsid w:val="0091415D"/>
    <w:rsid w:val="00916DC9"/>
    <w:rsid w:val="009177D4"/>
    <w:rsid w:val="009320BE"/>
    <w:rsid w:val="00935396"/>
    <w:rsid w:val="0093750D"/>
    <w:rsid w:val="009419BE"/>
    <w:rsid w:val="00953A46"/>
    <w:rsid w:val="00957B45"/>
    <w:rsid w:val="0096233A"/>
    <w:rsid w:val="00965934"/>
    <w:rsid w:val="009661B3"/>
    <w:rsid w:val="009724DD"/>
    <w:rsid w:val="009905E8"/>
    <w:rsid w:val="00991845"/>
    <w:rsid w:val="00996495"/>
    <w:rsid w:val="009A0451"/>
    <w:rsid w:val="009A109C"/>
    <w:rsid w:val="009A2B20"/>
    <w:rsid w:val="009A2F9F"/>
    <w:rsid w:val="009A51E7"/>
    <w:rsid w:val="009A687F"/>
    <w:rsid w:val="009A6D06"/>
    <w:rsid w:val="009A71AE"/>
    <w:rsid w:val="009B5799"/>
    <w:rsid w:val="009C13E9"/>
    <w:rsid w:val="009C4734"/>
    <w:rsid w:val="009D007D"/>
    <w:rsid w:val="009D1AE2"/>
    <w:rsid w:val="009D48F8"/>
    <w:rsid w:val="009D5017"/>
    <w:rsid w:val="009D5EAD"/>
    <w:rsid w:val="009E2B7F"/>
    <w:rsid w:val="009E5CCD"/>
    <w:rsid w:val="009F2B96"/>
    <w:rsid w:val="00A0016C"/>
    <w:rsid w:val="00A01B6B"/>
    <w:rsid w:val="00A04546"/>
    <w:rsid w:val="00A07931"/>
    <w:rsid w:val="00A11B95"/>
    <w:rsid w:val="00A11E42"/>
    <w:rsid w:val="00A13F93"/>
    <w:rsid w:val="00A142EF"/>
    <w:rsid w:val="00A1529D"/>
    <w:rsid w:val="00A16D8C"/>
    <w:rsid w:val="00A22089"/>
    <w:rsid w:val="00A224B7"/>
    <w:rsid w:val="00A224B8"/>
    <w:rsid w:val="00A30139"/>
    <w:rsid w:val="00A31835"/>
    <w:rsid w:val="00A3263E"/>
    <w:rsid w:val="00A34002"/>
    <w:rsid w:val="00A3592F"/>
    <w:rsid w:val="00A37F61"/>
    <w:rsid w:val="00A40580"/>
    <w:rsid w:val="00A513F3"/>
    <w:rsid w:val="00A54842"/>
    <w:rsid w:val="00A5681C"/>
    <w:rsid w:val="00A5737E"/>
    <w:rsid w:val="00A6382E"/>
    <w:rsid w:val="00A649B1"/>
    <w:rsid w:val="00A765A8"/>
    <w:rsid w:val="00A84BA0"/>
    <w:rsid w:val="00A87645"/>
    <w:rsid w:val="00A909CD"/>
    <w:rsid w:val="00A90F52"/>
    <w:rsid w:val="00A927EA"/>
    <w:rsid w:val="00A947F3"/>
    <w:rsid w:val="00A967A3"/>
    <w:rsid w:val="00AA1737"/>
    <w:rsid w:val="00AA75EA"/>
    <w:rsid w:val="00AB0AB0"/>
    <w:rsid w:val="00AB28D0"/>
    <w:rsid w:val="00AB3B27"/>
    <w:rsid w:val="00AB4C67"/>
    <w:rsid w:val="00AB510B"/>
    <w:rsid w:val="00AC3B15"/>
    <w:rsid w:val="00AC607A"/>
    <w:rsid w:val="00AD2754"/>
    <w:rsid w:val="00AD5F68"/>
    <w:rsid w:val="00AE00EE"/>
    <w:rsid w:val="00AE030A"/>
    <w:rsid w:val="00AE031A"/>
    <w:rsid w:val="00AE0D95"/>
    <w:rsid w:val="00AE29F8"/>
    <w:rsid w:val="00AE445E"/>
    <w:rsid w:val="00AF0262"/>
    <w:rsid w:val="00B0122D"/>
    <w:rsid w:val="00B0219D"/>
    <w:rsid w:val="00B03080"/>
    <w:rsid w:val="00B0402A"/>
    <w:rsid w:val="00B05E42"/>
    <w:rsid w:val="00B2024B"/>
    <w:rsid w:val="00B32C1E"/>
    <w:rsid w:val="00B41EB9"/>
    <w:rsid w:val="00B4516E"/>
    <w:rsid w:val="00B45EF7"/>
    <w:rsid w:val="00B51756"/>
    <w:rsid w:val="00B51E2F"/>
    <w:rsid w:val="00B5274F"/>
    <w:rsid w:val="00B53EA2"/>
    <w:rsid w:val="00B54B40"/>
    <w:rsid w:val="00B551F7"/>
    <w:rsid w:val="00B6020C"/>
    <w:rsid w:val="00B62C8A"/>
    <w:rsid w:val="00B62C97"/>
    <w:rsid w:val="00B63412"/>
    <w:rsid w:val="00B640B1"/>
    <w:rsid w:val="00B6522A"/>
    <w:rsid w:val="00B71342"/>
    <w:rsid w:val="00B71584"/>
    <w:rsid w:val="00B73DD7"/>
    <w:rsid w:val="00B76C70"/>
    <w:rsid w:val="00B77430"/>
    <w:rsid w:val="00B83FC2"/>
    <w:rsid w:val="00BA1ED3"/>
    <w:rsid w:val="00BA6C9B"/>
    <w:rsid w:val="00BB6A7C"/>
    <w:rsid w:val="00BB7677"/>
    <w:rsid w:val="00BC2CE3"/>
    <w:rsid w:val="00BC4A02"/>
    <w:rsid w:val="00BC7D7E"/>
    <w:rsid w:val="00BE5FD7"/>
    <w:rsid w:val="00BE7B23"/>
    <w:rsid w:val="00BF310E"/>
    <w:rsid w:val="00BF32C9"/>
    <w:rsid w:val="00BF57F0"/>
    <w:rsid w:val="00C00873"/>
    <w:rsid w:val="00C01948"/>
    <w:rsid w:val="00C0386A"/>
    <w:rsid w:val="00C03D82"/>
    <w:rsid w:val="00C068C9"/>
    <w:rsid w:val="00C07AE6"/>
    <w:rsid w:val="00C10847"/>
    <w:rsid w:val="00C1270A"/>
    <w:rsid w:val="00C1513A"/>
    <w:rsid w:val="00C169B9"/>
    <w:rsid w:val="00C20CB0"/>
    <w:rsid w:val="00C21225"/>
    <w:rsid w:val="00C30BF2"/>
    <w:rsid w:val="00C322C6"/>
    <w:rsid w:val="00C34ACF"/>
    <w:rsid w:val="00C3551A"/>
    <w:rsid w:val="00C37B16"/>
    <w:rsid w:val="00C54B28"/>
    <w:rsid w:val="00C62F7D"/>
    <w:rsid w:val="00C63984"/>
    <w:rsid w:val="00C6414A"/>
    <w:rsid w:val="00C71DF0"/>
    <w:rsid w:val="00C7723F"/>
    <w:rsid w:val="00C77967"/>
    <w:rsid w:val="00C857F9"/>
    <w:rsid w:val="00C86795"/>
    <w:rsid w:val="00C94436"/>
    <w:rsid w:val="00CA7B2B"/>
    <w:rsid w:val="00CB0CA8"/>
    <w:rsid w:val="00CD0F5D"/>
    <w:rsid w:val="00CD3D5E"/>
    <w:rsid w:val="00CD689B"/>
    <w:rsid w:val="00CE5397"/>
    <w:rsid w:val="00CE69CA"/>
    <w:rsid w:val="00D008E2"/>
    <w:rsid w:val="00D02275"/>
    <w:rsid w:val="00D07836"/>
    <w:rsid w:val="00D07C65"/>
    <w:rsid w:val="00D127AC"/>
    <w:rsid w:val="00D151C7"/>
    <w:rsid w:val="00D2795E"/>
    <w:rsid w:val="00D451C9"/>
    <w:rsid w:val="00D46324"/>
    <w:rsid w:val="00D47A59"/>
    <w:rsid w:val="00D54521"/>
    <w:rsid w:val="00D5494C"/>
    <w:rsid w:val="00D61488"/>
    <w:rsid w:val="00D6541B"/>
    <w:rsid w:val="00D65511"/>
    <w:rsid w:val="00D663A5"/>
    <w:rsid w:val="00D70350"/>
    <w:rsid w:val="00D736CD"/>
    <w:rsid w:val="00D73826"/>
    <w:rsid w:val="00D768BB"/>
    <w:rsid w:val="00D7718A"/>
    <w:rsid w:val="00D80427"/>
    <w:rsid w:val="00D83B7E"/>
    <w:rsid w:val="00D87D45"/>
    <w:rsid w:val="00D9063E"/>
    <w:rsid w:val="00D92010"/>
    <w:rsid w:val="00D949B0"/>
    <w:rsid w:val="00DA087A"/>
    <w:rsid w:val="00DA5EF6"/>
    <w:rsid w:val="00DB20BB"/>
    <w:rsid w:val="00DB2A7B"/>
    <w:rsid w:val="00DB682A"/>
    <w:rsid w:val="00DC2C99"/>
    <w:rsid w:val="00DC7A31"/>
    <w:rsid w:val="00DC7D1F"/>
    <w:rsid w:val="00DD0A86"/>
    <w:rsid w:val="00DD3957"/>
    <w:rsid w:val="00DD471B"/>
    <w:rsid w:val="00DD66B3"/>
    <w:rsid w:val="00DE168F"/>
    <w:rsid w:val="00DE4856"/>
    <w:rsid w:val="00DE5A86"/>
    <w:rsid w:val="00DF039C"/>
    <w:rsid w:val="00DF2B14"/>
    <w:rsid w:val="00DF3B77"/>
    <w:rsid w:val="00DF470F"/>
    <w:rsid w:val="00E02664"/>
    <w:rsid w:val="00E0507B"/>
    <w:rsid w:val="00E069EA"/>
    <w:rsid w:val="00E127BC"/>
    <w:rsid w:val="00E13668"/>
    <w:rsid w:val="00E14D19"/>
    <w:rsid w:val="00E14E63"/>
    <w:rsid w:val="00E15FDB"/>
    <w:rsid w:val="00E1684C"/>
    <w:rsid w:val="00E20DA9"/>
    <w:rsid w:val="00E2269D"/>
    <w:rsid w:val="00E231F6"/>
    <w:rsid w:val="00E26E9D"/>
    <w:rsid w:val="00E278D7"/>
    <w:rsid w:val="00E340E0"/>
    <w:rsid w:val="00E353B4"/>
    <w:rsid w:val="00E356F6"/>
    <w:rsid w:val="00E41A1D"/>
    <w:rsid w:val="00E5258A"/>
    <w:rsid w:val="00E541C2"/>
    <w:rsid w:val="00E60B29"/>
    <w:rsid w:val="00E6147F"/>
    <w:rsid w:val="00E61E62"/>
    <w:rsid w:val="00E652FB"/>
    <w:rsid w:val="00E71922"/>
    <w:rsid w:val="00E7318A"/>
    <w:rsid w:val="00E74638"/>
    <w:rsid w:val="00E769F1"/>
    <w:rsid w:val="00E817ED"/>
    <w:rsid w:val="00E82198"/>
    <w:rsid w:val="00E82587"/>
    <w:rsid w:val="00E85612"/>
    <w:rsid w:val="00E86079"/>
    <w:rsid w:val="00E87A5D"/>
    <w:rsid w:val="00E925C1"/>
    <w:rsid w:val="00EA2504"/>
    <w:rsid w:val="00EA481F"/>
    <w:rsid w:val="00EA6C63"/>
    <w:rsid w:val="00EA6C6A"/>
    <w:rsid w:val="00EB0866"/>
    <w:rsid w:val="00EB2684"/>
    <w:rsid w:val="00EB546A"/>
    <w:rsid w:val="00EB71FC"/>
    <w:rsid w:val="00EC24E2"/>
    <w:rsid w:val="00EC5808"/>
    <w:rsid w:val="00EC58D3"/>
    <w:rsid w:val="00EC68C5"/>
    <w:rsid w:val="00ED26BD"/>
    <w:rsid w:val="00ED4137"/>
    <w:rsid w:val="00ED5B28"/>
    <w:rsid w:val="00ED6714"/>
    <w:rsid w:val="00ED7450"/>
    <w:rsid w:val="00ED7BFA"/>
    <w:rsid w:val="00EE3FFA"/>
    <w:rsid w:val="00EE400A"/>
    <w:rsid w:val="00EF0DF1"/>
    <w:rsid w:val="00EF3195"/>
    <w:rsid w:val="00EF5A98"/>
    <w:rsid w:val="00F0221C"/>
    <w:rsid w:val="00F03467"/>
    <w:rsid w:val="00F03A26"/>
    <w:rsid w:val="00F04082"/>
    <w:rsid w:val="00F04285"/>
    <w:rsid w:val="00F10835"/>
    <w:rsid w:val="00F14F5D"/>
    <w:rsid w:val="00F151D7"/>
    <w:rsid w:val="00F15956"/>
    <w:rsid w:val="00F167AF"/>
    <w:rsid w:val="00F172F0"/>
    <w:rsid w:val="00F21556"/>
    <w:rsid w:val="00F21904"/>
    <w:rsid w:val="00F2466F"/>
    <w:rsid w:val="00F26DC8"/>
    <w:rsid w:val="00F37CE5"/>
    <w:rsid w:val="00F40E43"/>
    <w:rsid w:val="00F43BE5"/>
    <w:rsid w:val="00F46CA8"/>
    <w:rsid w:val="00F52B7A"/>
    <w:rsid w:val="00F60AA2"/>
    <w:rsid w:val="00F642D0"/>
    <w:rsid w:val="00F704FB"/>
    <w:rsid w:val="00F723FF"/>
    <w:rsid w:val="00F775EF"/>
    <w:rsid w:val="00F77F49"/>
    <w:rsid w:val="00F87979"/>
    <w:rsid w:val="00F92054"/>
    <w:rsid w:val="00FA3178"/>
    <w:rsid w:val="00FA4151"/>
    <w:rsid w:val="00FA5983"/>
    <w:rsid w:val="00FA65C8"/>
    <w:rsid w:val="00FB13E7"/>
    <w:rsid w:val="00FB6960"/>
    <w:rsid w:val="00FC1AB7"/>
    <w:rsid w:val="00FC1FB1"/>
    <w:rsid w:val="00FC2599"/>
    <w:rsid w:val="00FC2AB0"/>
    <w:rsid w:val="00FC6C0C"/>
    <w:rsid w:val="00FD3038"/>
    <w:rsid w:val="00FD434F"/>
    <w:rsid w:val="00FD6374"/>
    <w:rsid w:val="00FE2602"/>
    <w:rsid w:val="00FE711F"/>
    <w:rsid w:val="00FF0A5F"/>
    <w:rsid w:val="00FF5F34"/>
    <w:rsid w:val="00FF7F82"/>
    <w:rsid w:val="0D258979"/>
  </w:rsids>
  <m:mathPr>
    <m:mathFont m:val="Cambria Math"/>
    <m:brkBin m:val="before"/>
    <m:brkBinSub m:val="--"/>
    <m:smallFrac m:val="0"/>
    <m:dispDef/>
    <m:lMargin m:val="0"/>
    <m:rMargin m:val="0"/>
    <m:defJc m:val="centerGroup"/>
    <m:wrapIndent m:val="1440"/>
    <m:intLim m:val="subSup"/>
    <m:naryLim m:val="undOvr"/>
  </m:mathPr>
  <w:themeFontLang w:val="tr-T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69ECA1"/>
  <w15:docId w15:val="{95842A5D-A9DB-49B4-BC80-FDBF527BC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tr-T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autoRedefine/>
    <w:uiPriority w:val="9"/>
    <w:qFormat/>
    <w:rsid w:val="00860408"/>
    <w:pPr>
      <w:keepNext/>
      <w:keepLines/>
      <w:spacing w:before="240"/>
      <w:jc w:val="center"/>
      <w:outlineLvl w:val="0"/>
    </w:pPr>
    <w:rPr>
      <w:rFonts w:ascii="Times New Roman" w:eastAsiaTheme="majorEastAsia" w:hAnsi="Times New Roman" w:cstheme="majorBidi"/>
      <w:b/>
      <w:bCs/>
      <w:sz w:val="32"/>
      <w:szCs w:val="32"/>
      <w:lang w:val="en-GB"/>
    </w:rPr>
  </w:style>
  <w:style w:type="paragraph" w:styleId="Balk2">
    <w:name w:val="heading 2"/>
    <w:basedOn w:val="Normal"/>
    <w:next w:val="Normal"/>
    <w:link w:val="Balk2Char"/>
    <w:uiPriority w:val="9"/>
    <w:unhideWhenUsed/>
    <w:qFormat/>
    <w:rsid w:val="00FF0A5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unhideWhenUsed/>
    <w:qFormat/>
    <w:rsid w:val="00FF0A5F"/>
    <w:pPr>
      <w:keepNext/>
      <w:keepLines/>
      <w:spacing w:before="320" w:after="80" w:line="276" w:lineRule="auto"/>
      <w:outlineLvl w:val="2"/>
    </w:pPr>
    <w:rPr>
      <w:rFonts w:ascii="Arial" w:eastAsia="Arial" w:hAnsi="Arial" w:cs="Arial"/>
      <w:color w:val="434343"/>
      <w:kern w:val="0"/>
      <w:sz w:val="28"/>
      <w:szCs w:val="28"/>
      <w:lang w:val="tr" w:eastAsia="tr-TR" w:bidi="he-IL"/>
      <w14:ligatures w14:val="none"/>
    </w:rPr>
  </w:style>
  <w:style w:type="paragraph" w:styleId="Balk4">
    <w:name w:val="heading 4"/>
    <w:basedOn w:val="Normal"/>
    <w:next w:val="Normal"/>
    <w:link w:val="Balk4Char"/>
    <w:uiPriority w:val="9"/>
    <w:unhideWhenUsed/>
    <w:qFormat/>
    <w:rsid w:val="00FF0A5F"/>
    <w:pPr>
      <w:keepNext/>
      <w:keepLines/>
      <w:spacing w:before="280" w:after="80" w:line="276" w:lineRule="auto"/>
      <w:outlineLvl w:val="3"/>
    </w:pPr>
    <w:rPr>
      <w:rFonts w:ascii="Arial" w:eastAsia="Arial" w:hAnsi="Arial" w:cs="Arial"/>
      <w:color w:val="666666"/>
      <w:kern w:val="0"/>
      <w:lang w:val="tr" w:eastAsia="tr-TR" w:bidi="he-IL"/>
      <w14:ligatures w14:val="none"/>
    </w:rPr>
  </w:style>
  <w:style w:type="paragraph" w:styleId="Balk5">
    <w:name w:val="heading 5"/>
    <w:basedOn w:val="Normal"/>
    <w:next w:val="Normal"/>
    <w:link w:val="Balk5Char"/>
    <w:uiPriority w:val="9"/>
    <w:unhideWhenUsed/>
    <w:qFormat/>
    <w:rsid w:val="00FF0A5F"/>
    <w:pPr>
      <w:keepNext/>
      <w:keepLines/>
      <w:spacing w:before="240" w:after="80" w:line="276" w:lineRule="auto"/>
      <w:outlineLvl w:val="4"/>
    </w:pPr>
    <w:rPr>
      <w:rFonts w:ascii="Arial" w:eastAsia="Arial" w:hAnsi="Arial" w:cs="Arial"/>
      <w:color w:val="666666"/>
      <w:kern w:val="0"/>
      <w:sz w:val="22"/>
      <w:szCs w:val="22"/>
      <w:lang w:val="tr" w:eastAsia="tr-TR" w:bidi="he-IL"/>
      <w14:ligatures w14:val="none"/>
    </w:rPr>
  </w:style>
  <w:style w:type="paragraph" w:styleId="Balk6">
    <w:name w:val="heading 6"/>
    <w:basedOn w:val="Normal"/>
    <w:next w:val="Normal"/>
    <w:link w:val="Balk6Char"/>
    <w:uiPriority w:val="9"/>
    <w:unhideWhenUsed/>
    <w:qFormat/>
    <w:rsid w:val="00FF0A5F"/>
    <w:pPr>
      <w:keepNext/>
      <w:keepLines/>
      <w:spacing w:before="240" w:after="80" w:line="276" w:lineRule="auto"/>
      <w:outlineLvl w:val="5"/>
    </w:pPr>
    <w:rPr>
      <w:rFonts w:ascii="Arial" w:eastAsia="Arial" w:hAnsi="Arial" w:cs="Arial"/>
      <w:i/>
      <w:color w:val="666666"/>
      <w:kern w:val="0"/>
      <w:sz w:val="22"/>
      <w:szCs w:val="22"/>
      <w:lang w:val="tr" w:eastAsia="tr-TR" w:bidi="he-IL"/>
      <w14:ligatures w14:val="none"/>
    </w:rPr>
  </w:style>
  <w:style w:type="paragraph" w:styleId="Balk7">
    <w:name w:val="heading 7"/>
    <w:basedOn w:val="Normal"/>
    <w:next w:val="Normal"/>
    <w:link w:val="Balk7Char"/>
    <w:uiPriority w:val="9"/>
    <w:semiHidden/>
    <w:unhideWhenUsed/>
    <w:qFormat/>
    <w:rsid w:val="00FF0A5F"/>
    <w:pPr>
      <w:keepNext/>
      <w:keepLines/>
      <w:spacing w:before="200" w:line="259" w:lineRule="auto"/>
      <w:ind w:left="1296" w:hanging="1296"/>
      <w:outlineLvl w:val="6"/>
    </w:pPr>
    <w:rPr>
      <w:rFonts w:asciiTheme="majorHAnsi" w:eastAsiaTheme="majorEastAsia" w:hAnsiTheme="majorHAnsi" w:cstheme="majorBidi"/>
      <w:i/>
      <w:iCs/>
      <w:color w:val="404040" w:themeColor="text1" w:themeTint="BF"/>
      <w:kern w:val="0"/>
      <w:sz w:val="22"/>
      <w:szCs w:val="22"/>
      <w:lang w:val="it-IT"/>
      <w14:ligatures w14:val="none"/>
    </w:rPr>
  </w:style>
  <w:style w:type="paragraph" w:styleId="Balk8">
    <w:name w:val="heading 8"/>
    <w:basedOn w:val="Normal"/>
    <w:next w:val="Normal"/>
    <w:link w:val="Balk8Char"/>
    <w:uiPriority w:val="9"/>
    <w:semiHidden/>
    <w:unhideWhenUsed/>
    <w:qFormat/>
    <w:rsid w:val="00FF0A5F"/>
    <w:pPr>
      <w:keepNext/>
      <w:keepLines/>
      <w:spacing w:before="200" w:line="259" w:lineRule="auto"/>
      <w:ind w:left="1440" w:hanging="1440"/>
      <w:outlineLvl w:val="7"/>
    </w:pPr>
    <w:rPr>
      <w:rFonts w:asciiTheme="majorHAnsi" w:eastAsiaTheme="majorEastAsia" w:hAnsiTheme="majorHAnsi" w:cstheme="majorBidi"/>
      <w:color w:val="404040" w:themeColor="text1" w:themeTint="BF"/>
      <w:kern w:val="0"/>
      <w:sz w:val="20"/>
      <w:szCs w:val="20"/>
      <w:lang w:val="it-IT"/>
      <w14:ligatures w14:val="none"/>
    </w:rPr>
  </w:style>
  <w:style w:type="paragraph" w:styleId="Balk9">
    <w:name w:val="heading 9"/>
    <w:basedOn w:val="Normal"/>
    <w:next w:val="Normal"/>
    <w:link w:val="Balk9Char"/>
    <w:uiPriority w:val="9"/>
    <w:unhideWhenUsed/>
    <w:qFormat/>
    <w:rsid w:val="00FF0A5F"/>
    <w:pPr>
      <w:keepNext/>
      <w:keepLines/>
      <w:spacing w:before="200" w:line="259" w:lineRule="auto"/>
      <w:ind w:left="1584" w:hanging="1584"/>
      <w:outlineLvl w:val="8"/>
    </w:pPr>
    <w:rPr>
      <w:rFonts w:asciiTheme="majorHAnsi" w:eastAsiaTheme="majorEastAsia" w:hAnsiTheme="majorHAnsi" w:cstheme="majorBidi"/>
      <w:i/>
      <w:iCs/>
      <w:color w:val="404040" w:themeColor="text1" w:themeTint="BF"/>
      <w:kern w:val="0"/>
      <w:sz w:val="20"/>
      <w:szCs w:val="20"/>
      <w:lang w:val="it-IT"/>
      <w14:ligatures w14:val="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Stil6">
    <w:name w:val="Stil6"/>
    <w:basedOn w:val="Normal"/>
    <w:autoRedefine/>
    <w:qFormat/>
    <w:rsid w:val="00055C33"/>
    <w:pPr>
      <w:spacing w:before="240" w:after="200" w:line="360" w:lineRule="auto"/>
      <w:ind w:firstLine="709"/>
      <w:jc w:val="both"/>
    </w:pPr>
    <w:rPr>
      <w:rFonts w:ascii="Times New Roman" w:hAnsi="Times New Roman" w:cs="Times New Roman"/>
      <w:kern w:val="0"/>
      <w:lang w:val="en"/>
      <w14:ligatures w14:val="none"/>
    </w:rPr>
  </w:style>
  <w:style w:type="numbering" w:customStyle="1" w:styleId="Stil3">
    <w:name w:val="Stil3"/>
    <w:uiPriority w:val="99"/>
    <w:rsid w:val="0088104F"/>
    <w:pPr>
      <w:numPr>
        <w:numId w:val="1"/>
      </w:numPr>
    </w:pPr>
  </w:style>
  <w:style w:type="character" w:customStyle="1" w:styleId="Balk1Char">
    <w:name w:val="Başlık 1 Char"/>
    <w:basedOn w:val="VarsaylanParagrafYazTipi"/>
    <w:link w:val="Balk1"/>
    <w:uiPriority w:val="9"/>
    <w:rsid w:val="00860408"/>
    <w:rPr>
      <w:rFonts w:ascii="Times New Roman" w:eastAsiaTheme="majorEastAsia" w:hAnsi="Times New Roman" w:cstheme="majorBidi"/>
      <w:b/>
      <w:bCs/>
      <w:sz w:val="32"/>
      <w:szCs w:val="32"/>
      <w:lang w:val="en-GB"/>
    </w:rPr>
  </w:style>
  <w:style w:type="paragraph" w:styleId="stBilgi">
    <w:name w:val="header"/>
    <w:basedOn w:val="Normal"/>
    <w:link w:val="stBilgiChar"/>
    <w:uiPriority w:val="99"/>
    <w:unhideWhenUsed/>
    <w:rsid w:val="00627764"/>
    <w:pPr>
      <w:tabs>
        <w:tab w:val="center" w:pos="4536"/>
        <w:tab w:val="right" w:pos="9072"/>
      </w:tabs>
    </w:pPr>
  </w:style>
  <w:style w:type="character" w:customStyle="1" w:styleId="stBilgiChar">
    <w:name w:val="Üst Bilgi Char"/>
    <w:basedOn w:val="VarsaylanParagrafYazTipi"/>
    <w:link w:val="stBilgi"/>
    <w:uiPriority w:val="99"/>
    <w:rsid w:val="00627764"/>
  </w:style>
  <w:style w:type="paragraph" w:styleId="AltBilgi">
    <w:name w:val="footer"/>
    <w:basedOn w:val="Normal"/>
    <w:link w:val="AltBilgiChar"/>
    <w:uiPriority w:val="99"/>
    <w:unhideWhenUsed/>
    <w:rsid w:val="00627764"/>
    <w:pPr>
      <w:tabs>
        <w:tab w:val="center" w:pos="4536"/>
        <w:tab w:val="right" w:pos="9072"/>
      </w:tabs>
    </w:pPr>
  </w:style>
  <w:style w:type="character" w:customStyle="1" w:styleId="AltBilgiChar">
    <w:name w:val="Alt Bilgi Char"/>
    <w:basedOn w:val="VarsaylanParagrafYazTipi"/>
    <w:link w:val="AltBilgi"/>
    <w:uiPriority w:val="99"/>
    <w:rsid w:val="00627764"/>
  </w:style>
  <w:style w:type="paragraph" w:styleId="DipnotMetni">
    <w:name w:val="footnote text"/>
    <w:basedOn w:val="Normal"/>
    <w:link w:val="DipnotMetniChar"/>
    <w:uiPriority w:val="99"/>
    <w:unhideWhenUsed/>
    <w:rsid w:val="003579B5"/>
    <w:rPr>
      <w:sz w:val="20"/>
      <w:szCs w:val="20"/>
    </w:rPr>
  </w:style>
  <w:style w:type="character" w:customStyle="1" w:styleId="DipnotMetniChar">
    <w:name w:val="Dipnot Metni Char"/>
    <w:basedOn w:val="VarsaylanParagrafYazTipi"/>
    <w:link w:val="DipnotMetni"/>
    <w:uiPriority w:val="99"/>
    <w:rsid w:val="003579B5"/>
    <w:rPr>
      <w:sz w:val="20"/>
      <w:szCs w:val="20"/>
    </w:rPr>
  </w:style>
  <w:style w:type="character" w:styleId="DipnotBavurusu">
    <w:name w:val="footnote reference"/>
    <w:basedOn w:val="VarsaylanParagrafYazTipi"/>
    <w:uiPriority w:val="99"/>
    <w:unhideWhenUsed/>
    <w:rsid w:val="003579B5"/>
    <w:rPr>
      <w:vertAlign w:val="superscript"/>
    </w:rPr>
  </w:style>
  <w:style w:type="character" w:customStyle="1" w:styleId="Balk2Char">
    <w:name w:val="Başlık 2 Char"/>
    <w:basedOn w:val="VarsaylanParagrafYazTipi"/>
    <w:link w:val="Balk2"/>
    <w:uiPriority w:val="9"/>
    <w:rsid w:val="00FF0A5F"/>
    <w:rPr>
      <w:rFonts w:asciiTheme="majorHAnsi" w:eastAsiaTheme="majorEastAsia" w:hAnsiTheme="majorHAnsi" w:cstheme="majorBidi"/>
      <w:color w:val="2F5496" w:themeColor="accent1" w:themeShade="BF"/>
      <w:sz w:val="26"/>
      <w:szCs w:val="26"/>
    </w:rPr>
  </w:style>
  <w:style w:type="paragraph" w:styleId="HTMLncedenBiimlendirilmi">
    <w:name w:val="HTML Preformatted"/>
    <w:basedOn w:val="Normal"/>
    <w:link w:val="HTMLncedenBiimlendirilmiChar"/>
    <w:uiPriority w:val="99"/>
    <w:unhideWhenUsed/>
    <w:rsid w:val="00FF0A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pPr>
    <w:rPr>
      <w:rFonts w:ascii="Courier New" w:eastAsia="Times New Roman" w:hAnsi="Courier New" w:cs="Courier New"/>
      <w:kern w:val="0"/>
      <w:sz w:val="20"/>
      <w:szCs w:val="22"/>
      <w:lang w:val="it-IT" w:eastAsia="it-IT"/>
      <w14:ligatures w14:val="none"/>
    </w:rPr>
  </w:style>
  <w:style w:type="character" w:customStyle="1" w:styleId="HTMLncedenBiimlendirilmiChar">
    <w:name w:val="HTML Önceden Biçimlendirilmiş Char"/>
    <w:basedOn w:val="VarsaylanParagrafYazTipi"/>
    <w:link w:val="HTMLncedenBiimlendirilmi"/>
    <w:uiPriority w:val="99"/>
    <w:rsid w:val="00FF0A5F"/>
    <w:rPr>
      <w:rFonts w:ascii="Courier New" w:eastAsia="Times New Roman" w:hAnsi="Courier New" w:cs="Courier New"/>
      <w:kern w:val="0"/>
      <w:sz w:val="20"/>
      <w:szCs w:val="22"/>
      <w:lang w:val="it-IT" w:eastAsia="it-IT"/>
      <w14:ligatures w14:val="none"/>
    </w:rPr>
  </w:style>
  <w:style w:type="character" w:customStyle="1" w:styleId="Balk3Char">
    <w:name w:val="Başlık 3 Char"/>
    <w:basedOn w:val="VarsaylanParagrafYazTipi"/>
    <w:link w:val="Balk3"/>
    <w:uiPriority w:val="9"/>
    <w:rsid w:val="00FF0A5F"/>
    <w:rPr>
      <w:rFonts w:ascii="Arial" w:eastAsia="Arial" w:hAnsi="Arial" w:cs="Arial"/>
      <w:color w:val="434343"/>
      <w:kern w:val="0"/>
      <w:sz w:val="28"/>
      <w:szCs w:val="28"/>
      <w:lang w:val="tr" w:eastAsia="tr-TR" w:bidi="he-IL"/>
      <w14:ligatures w14:val="none"/>
    </w:rPr>
  </w:style>
  <w:style w:type="character" w:customStyle="1" w:styleId="Balk4Char">
    <w:name w:val="Başlık 4 Char"/>
    <w:basedOn w:val="VarsaylanParagrafYazTipi"/>
    <w:link w:val="Balk4"/>
    <w:uiPriority w:val="9"/>
    <w:rsid w:val="00FF0A5F"/>
    <w:rPr>
      <w:rFonts w:ascii="Arial" w:eastAsia="Arial" w:hAnsi="Arial" w:cs="Arial"/>
      <w:color w:val="666666"/>
      <w:kern w:val="0"/>
      <w:lang w:val="tr" w:eastAsia="tr-TR" w:bidi="he-IL"/>
      <w14:ligatures w14:val="none"/>
    </w:rPr>
  </w:style>
  <w:style w:type="character" w:customStyle="1" w:styleId="Balk5Char">
    <w:name w:val="Başlık 5 Char"/>
    <w:basedOn w:val="VarsaylanParagrafYazTipi"/>
    <w:link w:val="Balk5"/>
    <w:uiPriority w:val="9"/>
    <w:rsid w:val="00FF0A5F"/>
    <w:rPr>
      <w:rFonts w:ascii="Arial" w:eastAsia="Arial" w:hAnsi="Arial" w:cs="Arial"/>
      <w:color w:val="666666"/>
      <w:kern w:val="0"/>
      <w:sz w:val="22"/>
      <w:szCs w:val="22"/>
      <w:lang w:val="tr" w:eastAsia="tr-TR" w:bidi="he-IL"/>
      <w14:ligatures w14:val="none"/>
    </w:rPr>
  </w:style>
  <w:style w:type="character" w:customStyle="1" w:styleId="Balk6Char">
    <w:name w:val="Başlık 6 Char"/>
    <w:basedOn w:val="VarsaylanParagrafYazTipi"/>
    <w:link w:val="Balk6"/>
    <w:uiPriority w:val="9"/>
    <w:rsid w:val="00FF0A5F"/>
    <w:rPr>
      <w:rFonts w:ascii="Arial" w:eastAsia="Arial" w:hAnsi="Arial" w:cs="Arial"/>
      <w:i/>
      <w:color w:val="666666"/>
      <w:kern w:val="0"/>
      <w:sz w:val="22"/>
      <w:szCs w:val="22"/>
      <w:lang w:val="tr" w:eastAsia="tr-TR" w:bidi="he-IL"/>
      <w14:ligatures w14:val="none"/>
    </w:rPr>
  </w:style>
  <w:style w:type="character" w:customStyle="1" w:styleId="Balk7Char">
    <w:name w:val="Başlık 7 Char"/>
    <w:basedOn w:val="VarsaylanParagrafYazTipi"/>
    <w:link w:val="Balk7"/>
    <w:uiPriority w:val="9"/>
    <w:semiHidden/>
    <w:rsid w:val="00FF0A5F"/>
    <w:rPr>
      <w:rFonts w:asciiTheme="majorHAnsi" w:eastAsiaTheme="majorEastAsia" w:hAnsiTheme="majorHAnsi" w:cstheme="majorBidi"/>
      <w:i/>
      <w:iCs/>
      <w:color w:val="404040" w:themeColor="text1" w:themeTint="BF"/>
      <w:kern w:val="0"/>
      <w:sz w:val="22"/>
      <w:szCs w:val="22"/>
      <w:lang w:val="it-IT"/>
      <w14:ligatures w14:val="none"/>
    </w:rPr>
  </w:style>
  <w:style w:type="character" w:customStyle="1" w:styleId="Balk8Char">
    <w:name w:val="Başlık 8 Char"/>
    <w:basedOn w:val="VarsaylanParagrafYazTipi"/>
    <w:link w:val="Balk8"/>
    <w:uiPriority w:val="9"/>
    <w:semiHidden/>
    <w:rsid w:val="00FF0A5F"/>
    <w:rPr>
      <w:rFonts w:asciiTheme="majorHAnsi" w:eastAsiaTheme="majorEastAsia" w:hAnsiTheme="majorHAnsi" w:cstheme="majorBidi"/>
      <w:color w:val="404040" w:themeColor="text1" w:themeTint="BF"/>
      <w:kern w:val="0"/>
      <w:sz w:val="20"/>
      <w:szCs w:val="20"/>
      <w:lang w:val="it-IT"/>
      <w14:ligatures w14:val="none"/>
    </w:rPr>
  </w:style>
  <w:style w:type="character" w:customStyle="1" w:styleId="Balk9Char">
    <w:name w:val="Başlık 9 Char"/>
    <w:basedOn w:val="VarsaylanParagrafYazTipi"/>
    <w:link w:val="Balk9"/>
    <w:uiPriority w:val="9"/>
    <w:rsid w:val="00FF0A5F"/>
    <w:rPr>
      <w:rFonts w:asciiTheme="majorHAnsi" w:eastAsiaTheme="majorEastAsia" w:hAnsiTheme="majorHAnsi" w:cstheme="majorBidi"/>
      <w:i/>
      <w:iCs/>
      <w:color w:val="404040" w:themeColor="text1" w:themeTint="BF"/>
      <w:kern w:val="0"/>
      <w:sz w:val="20"/>
      <w:szCs w:val="20"/>
      <w:lang w:val="it-IT"/>
      <w14:ligatures w14:val="none"/>
    </w:rPr>
  </w:style>
  <w:style w:type="paragraph" w:styleId="BalonMetni">
    <w:name w:val="Balloon Text"/>
    <w:basedOn w:val="Normal"/>
    <w:link w:val="BalonMetniChar"/>
    <w:uiPriority w:val="99"/>
    <w:semiHidden/>
    <w:unhideWhenUsed/>
    <w:rsid w:val="00FF0A5F"/>
    <w:pPr>
      <w:spacing w:after="160" w:line="259" w:lineRule="auto"/>
    </w:pPr>
    <w:rPr>
      <w:rFonts w:ascii="Times New Roman" w:hAnsi="Times New Roman" w:cs="Times New Roman"/>
      <w:kern w:val="0"/>
      <w:sz w:val="18"/>
      <w:szCs w:val="18"/>
      <w14:ligatures w14:val="none"/>
    </w:rPr>
  </w:style>
  <w:style w:type="character" w:customStyle="1" w:styleId="BalonMetniChar">
    <w:name w:val="Balon Metni Char"/>
    <w:basedOn w:val="VarsaylanParagrafYazTipi"/>
    <w:link w:val="BalonMetni"/>
    <w:uiPriority w:val="99"/>
    <w:semiHidden/>
    <w:rsid w:val="00FF0A5F"/>
    <w:rPr>
      <w:rFonts w:ascii="Times New Roman" w:hAnsi="Times New Roman" w:cs="Times New Roman"/>
      <w:kern w:val="0"/>
      <w:sz w:val="18"/>
      <w:szCs w:val="18"/>
      <w14:ligatures w14:val="none"/>
    </w:rPr>
  </w:style>
  <w:style w:type="table" w:customStyle="1" w:styleId="TableNormal1">
    <w:name w:val="Table Normal1"/>
    <w:uiPriority w:val="2"/>
    <w:qFormat/>
    <w:rsid w:val="00FF0A5F"/>
    <w:pPr>
      <w:spacing w:line="276" w:lineRule="auto"/>
    </w:pPr>
    <w:rPr>
      <w:rFonts w:ascii="Arial" w:eastAsia="Arial" w:hAnsi="Arial" w:cs="Arial"/>
      <w:kern w:val="0"/>
      <w:sz w:val="22"/>
      <w:szCs w:val="22"/>
      <w:lang w:val="tr" w:eastAsia="tr-TR" w:bidi="he-IL"/>
      <w14:ligatures w14:val="none"/>
    </w:rPr>
    <w:tblPr>
      <w:tblCellMar>
        <w:top w:w="0" w:type="dxa"/>
        <w:left w:w="0" w:type="dxa"/>
        <w:bottom w:w="0" w:type="dxa"/>
        <w:right w:w="0" w:type="dxa"/>
      </w:tblCellMar>
    </w:tblPr>
  </w:style>
  <w:style w:type="paragraph" w:styleId="KonuBal">
    <w:name w:val="Title"/>
    <w:basedOn w:val="Normal"/>
    <w:next w:val="Normal"/>
    <w:link w:val="KonuBalChar"/>
    <w:uiPriority w:val="10"/>
    <w:qFormat/>
    <w:rsid w:val="00FF0A5F"/>
    <w:pPr>
      <w:keepNext/>
      <w:keepLines/>
      <w:spacing w:after="60" w:line="276" w:lineRule="auto"/>
    </w:pPr>
    <w:rPr>
      <w:rFonts w:ascii="Arial" w:eastAsia="Arial" w:hAnsi="Arial" w:cs="Arial"/>
      <w:kern w:val="0"/>
      <w:sz w:val="52"/>
      <w:szCs w:val="52"/>
      <w:lang w:val="tr" w:eastAsia="tr-TR" w:bidi="he-IL"/>
      <w14:ligatures w14:val="none"/>
    </w:rPr>
  </w:style>
  <w:style w:type="character" w:customStyle="1" w:styleId="KonuBalChar">
    <w:name w:val="Konu Başlığı Char"/>
    <w:basedOn w:val="VarsaylanParagrafYazTipi"/>
    <w:link w:val="KonuBal"/>
    <w:uiPriority w:val="10"/>
    <w:rsid w:val="00FF0A5F"/>
    <w:rPr>
      <w:rFonts w:ascii="Arial" w:eastAsia="Arial" w:hAnsi="Arial" w:cs="Arial"/>
      <w:kern w:val="0"/>
      <w:sz w:val="52"/>
      <w:szCs w:val="52"/>
      <w:lang w:val="tr" w:eastAsia="tr-TR" w:bidi="he-IL"/>
      <w14:ligatures w14:val="none"/>
    </w:rPr>
  </w:style>
  <w:style w:type="paragraph" w:styleId="Altyaz">
    <w:name w:val="Subtitle"/>
    <w:basedOn w:val="Normal"/>
    <w:next w:val="Normal"/>
    <w:link w:val="AltyazChar"/>
    <w:uiPriority w:val="11"/>
    <w:qFormat/>
    <w:rsid w:val="00FF0A5F"/>
    <w:pPr>
      <w:keepNext/>
      <w:keepLines/>
      <w:spacing w:after="320" w:line="276" w:lineRule="auto"/>
    </w:pPr>
    <w:rPr>
      <w:rFonts w:ascii="Arial" w:eastAsia="Arial" w:hAnsi="Arial" w:cs="Arial"/>
      <w:color w:val="666666"/>
      <w:kern w:val="0"/>
      <w:sz w:val="30"/>
      <w:szCs w:val="30"/>
      <w:lang w:val="tr" w:eastAsia="tr-TR" w:bidi="he-IL"/>
      <w14:ligatures w14:val="none"/>
    </w:rPr>
  </w:style>
  <w:style w:type="character" w:customStyle="1" w:styleId="AltyazChar">
    <w:name w:val="Altyazı Char"/>
    <w:basedOn w:val="VarsaylanParagrafYazTipi"/>
    <w:link w:val="Altyaz"/>
    <w:uiPriority w:val="11"/>
    <w:rsid w:val="00FF0A5F"/>
    <w:rPr>
      <w:rFonts w:ascii="Arial" w:eastAsia="Arial" w:hAnsi="Arial" w:cs="Arial"/>
      <w:color w:val="666666"/>
      <w:kern w:val="0"/>
      <w:sz w:val="30"/>
      <w:szCs w:val="30"/>
      <w:lang w:val="tr" w:eastAsia="tr-TR" w:bidi="he-IL"/>
      <w14:ligatures w14:val="none"/>
    </w:rPr>
  </w:style>
  <w:style w:type="paragraph" w:styleId="Dzeltme">
    <w:name w:val="Revision"/>
    <w:hidden/>
    <w:uiPriority w:val="99"/>
    <w:semiHidden/>
    <w:rsid w:val="00FF0A5F"/>
    <w:rPr>
      <w:rFonts w:ascii="Arial" w:eastAsia="Arial" w:hAnsi="Arial" w:cs="Arial"/>
      <w:kern w:val="0"/>
      <w:sz w:val="22"/>
      <w:szCs w:val="22"/>
      <w:lang w:val="tr" w:eastAsia="tr-TR" w:bidi="he-IL"/>
      <w14:ligatures w14:val="none"/>
    </w:rPr>
  </w:style>
  <w:style w:type="paragraph" w:styleId="AralkYok">
    <w:name w:val="No Spacing"/>
    <w:autoRedefine/>
    <w:uiPriority w:val="1"/>
    <w:qFormat/>
    <w:rsid w:val="00FF0A5F"/>
    <w:pPr>
      <w:spacing w:line="360" w:lineRule="auto"/>
    </w:pPr>
    <w:rPr>
      <w:rFonts w:ascii="Times New Roman" w:eastAsiaTheme="minorEastAsia" w:hAnsi="Times New Roman"/>
      <w:kern w:val="0"/>
      <w:szCs w:val="21"/>
      <w14:ligatures w14:val="none"/>
    </w:rPr>
  </w:style>
  <w:style w:type="paragraph" w:customStyle="1" w:styleId="Armaganstil">
    <w:name w:val="Armaganstil"/>
    <w:basedOn w:val="Balk1"/>
    <w:link w:val="ArmaganstilChar"/>
    <w:autoRedefine/>
    <w:qFormat/>
    <w:rsid w:val="00FF0A5F"/>
    <w:pPr>
      <w:spacing w:before="0" w:line="360" w:lineRule="auto"/>
    </w:pPr>
    <w:rPr>
      <w:rFonts w:asciiTheme="majorHAnsi" w:hAnsiTheme="majorHAnsi"/>
      <w:i/>
      <w:kern w:val="0"/>
      <w14:ligatures w14:val="none"/>
    </w:rPr>
  </w:style>
  <w:style w:type="character" w:customStyle="1" w:styleId="ArmaganstilChar">
    <w:name w:val="Armaganstil Char"/>
    <w:basedOn w:val="Balk1Char"/>
    <w:link w:val="Armaganstil"/>
    <w:rsid w:val="00FF0A5F"/>
    <w:rPr>
      <w:rFonts w:asciiTheme="majorHAnsi" w:eastAsiaTheme="majorEastAsia" w:hAnsiTheme="majorHAnsi" w:cstheme="majorBidi"/>
      <w:b/>
      <w:bCs/>
      <w:i/>
      <w:color w:val="2F5496" w:themeColor="accent1" w:themeShade="BF"/>
      <w:kern w:val="0"/>
      <w:sz w:val="32"/>
      <w:szCs w:val="32"/>
      <w:lang w:val="en-US"/>
      <w14:ligatures w14:val="none"/>
    </w:rPr>
  </w:style>
  <w:style w:type="paragraph" w:customStyle="1" w:styleId="1KademeBalk">
    <w:name w:val="1. Kademe Başlık"/>
    <w:basedOn w:val="Normal"/>
    <w:link w:val="1KademeBalkChar"/>
    <w:autoRedefine/>
    <w:qFormat/>
    <w:rsid w:val="00FF0A5F"/>
    <w:pPr>
      <w:keepNext/>
      <w:suppressAutoHyphens/>
      <w:spacing w:after="160"/>
      <w:jc w:val="center"/>
    </w:pPr>
    <w:rPr>
      <w:rFonts w:asciiTheme="majorHAnsi" w:eastAsiaTheme="majorEastAsia" w:hAnsiTheme="majorHAnsi" w:cstheme="majorBidi"/>
      <w:b/>
      <w:color w:val="2F5496" w:themeColor="accent1" w:themeShade="BF"/>
      <w:kern w:val="0"/>
      <w:sz w:val="28"/>
      <w:szCs w:val="32"/>
      <w14:ligatures w14:val="none"/>
    </w:rPr>
  </w:style>
  <w:style w:type="character" w:customStyle="1" w:styleId="1KademeBalkChar">
    <w:name w:val="1. Kademe Başlık Char"/>
    <w:basedOn w:val="Balk1Char"/>
    <w:link w:val="1KademeBalk"/>
    <w:rsid w:val="00FF0A5F"/>
    <w:rPr>
      <w:rFonts w:asciiTheme="majorHAnsi" w:eastAsiaTheme="majorEastAsia" w:hAnsiTheme="majorHAnsi" w:cstheme="majorBidi"/>
      <w:b w:val="0"/>
      <w:bCs/>
      <w:color w:val="2F5496" w:themeColor="accent1" w:themeShade="BF"/>
      <w:kern w:val="0"/>
      <w:sz w:val="28"/>
      <w:szCs w:val="32"/>
      <w:lang w:val="en-US"/>
      <w14:ligatures w14:val="none"/>
    </w:rPr>
  </w:style>
  <w:style w:type="table" w:styleId="TabloKlavuzu">
    <w:name w:val="Table Grid"/>
    <w:basedOn w:val="NormalTablo"/>
    <w:uiPriority w:val="59"/>
    <w:rsid w:val="00FF0A5F"/>
    <w:rPr>
      <w:rFonts w:ascii="Times New Roman" w:hAnsi="Times New Roman"/>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nNotMetni">
    <w:name w:val="endnote text"/>
    <w:basedOn w:val="Normal"/>
    <w:link w:val="SonNotMetniChar"/>
    <w:uiPriority w:val="99"/>
    <w:semiHidden/>
    <w:unhideWhenUsed/>
    <w:rsid w:val="00FF0A5F"/>
    <w:rPr>
      <w:rFonts w:ascii="Times New Roman" w:hAnsi="Times New Roman"/>
      <w:kern w:val="0"/>
      <w:sz w:val="20"/>
      <w:szCs w:val="20"/>
      <w14:ligatures w14:val="none"/>
    </w:rPr>
  </w:style>
  <w:style w:type="character" w:customStyle="1" w:styleId="SonNotMetniChar">
    <w:name w:val="Son Not Metni Char"/>
    <w:basedOn w:val="VarsaylanParagrafYazTipi"/>
    <w:link w:val="SonNotMetni"/>
    <w:uiPriority w:val="99"/>
    <w:semiHidden/>
    <w:rsid w:val="00FF0A5F"/>
    <w:rPr>
      <w:rFonts w:ascii="Times New Roman" w:hAnsi="Times New Roman"/>
      <w:kern w:val="0"/>
      <w:sz w:val="20"/>
      <w:szCs w:val="20"/>
      <w14:ligatures w14:val="none"/>
    </w:rPr>
  </w:style>
  <w:style w:type="character" w:styleId="SonNotBavurusu">
    <w:name w:val="endnote reference"/>
    <w:basedOn w:val="VarsaylanParagrafYazTipi"/>
    <w:uiPriority w:val="99"/>
    <w:semiHidden/>
    <w:unhideWhenUsed/>
    <w:rsid w:val="00FF0A5F"/>
    <w:rPr>
      <w:vertAlign w:val="superscript"/>
    </w:rPr>
  </w:style>
  <w:style w:type="table" w:customStyle="1" w:styleId="ListeTablo1Ak1">
    <w:name w:val="Liste Tablo 1 Açık1"/>
    <w:basedOn w:val="NormalTablo"/>
    <w:uiPriority w:val="46"/>
    <w:rsid w:val="00FF0A5F"/>
    <w:rPr>
      <w:rFonts w:ascii="Times New Roman" w:hAnsi="Times New Roman"/>
      <w:kern w:val="0"/>
      <w:szCs w:val="22"/>
      <w14:ligatures w14:val="none"/>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Kpr">
    <w:name w:val="Hyperlink"/>
    <w:basedOn w:val="VarsaylanParagrafYazTipi"/>
    <w:uiPriority w:val="99"/>
    <w:unhideWhenUsed/>
    <w:rsid w:val="00FF0A5F"/>
    <w:rPr>
      <w:color w:val="0563C1" w:themeColor="hyperlink"/>
      <w:u w:val="single"/>
    </w:rPr>
  </w:style>
  <w:style w:type="paragraph" w:styleId="ListeParagraf">
    <w:name w:val="List Paragraph"/>
    <w:basedOn w:val="Normal"/>
    <w:uiPriority w:val="34"/>
    <w:qFormat/>
    <w:rsid w:val="00FF0A5F"/>
    <w:pPr>
      <w:spacing w:after="160" w:line="259" w:lineRule="auto"/>
      <w:ind w:left="720"/>
      <w:contextualSpacing/>
    </w:pPr>
    <w:rPr>
      <w:rFonts w:ascii="Times New Roman" w:hAnsi="Times New Roman"/>
      <w:kern w:val="0"/>
      <w:szCs w:val="22"/>
      <w14:ligatures w14:val="none"/>
    </w:rPr>
  </w:style>
  <w:style w:type="paragraph" w:customStyle="1" w:styleId="EndNoteBibliographyTitle">
    <w:name w:val="EndNote Bibliography Title"/>
    <w:basedOn w:val="Normal"/>
    <w:link w:val="EndNoteBibliographyTitleChar"/>
    <w:rsid w:val="00FF0A5F"/>
    <w:pPr>
      <w:spacing w:line="259" w:lineRule="auto"/>
      <w:jc w:val="center"/>
    </w:pPr>
    <w:rPr>
      <w:rFonts w:ascii="Times New Roman" w:hAnsi="Times New Roman" w:cs="Times New Roman"/>
      <w:noProof/>
      <w:kern w:val="0"/>
      <w:szCs w:val="22"/>
      <w:lang w:val="en-US"/>
      <w14:ligatures w14:val="none"/>
    </w:rPr>
  </w:style>
  <w:style w:type="character" w:customStyle="1" w:styleId="EndNoteBibliographyTitleChar">
    <w:name w:val="EndNote Bibliography Title Char"/>
    <w:basedOn w:val="VarsaylanParagrafYazTipi"/>
    <w:link w:val="EndNoteBibliographyTitle"/>
    <w:rsid w:val="00FF0A5F"/>
    <w:rPr>
      <w:rFonts w:ascii="Times New Roman" w:hAnsi="Times New Roman" w:cs="Times New Roman"/>
      <w:noProof/>
      <w:kern w:val="0"/>
      <w:szCs w:val="22"/>
      <w:lang w:val="en-US"/>
      <w14:ligatures w14:val="none"/>
    </w:rPr>
  </w:style>
  <w:style w:type="paragraph" w:customStyle="1" w:styleId="EndNoteBibliography">
    <w:name w:val="EndNote Bibliography"/>
    <w:basedOn w:val="Normal"/>
    <w:link w:val="EndNoteBibliographyChar"/>
    <w:rsid w:val="00FF0A5F"/>
    <w:pPr>
      <w:spacing w:after="160"/>
      <w:jc w:val="center"/>
    </w:pPr>
    <w:rPr>
      <w:rFonts w:ascii="Times New Roman" w:hAnsi="Times New Roman" w:cs="Times New Roman"/>
      <w:noProof/>
      <w:kern w:val="0"/>
      <w:szCs w:val="22"/>
      <w:lang w:val="en-US"/>
      <w14:ligatures w14:val="none"/>
    </w:rPr>
  </w:style>
  <w:style w:type="character" w:customStyle="1" w:styleId="EndNoteBibliographyChar">
    <w:name w:val="EndNote Bibliography Char"/>
    <w:basedOn w:val="VarsaylanParagrafYazTipi"/>
    <w:link w:val="EndNoteBibliography"/>
    <w:rsid w:val="00FF0A5F"/>
    <w:rPr>
      <w:rFonts w:ascii="Times New Roman" w:hAnsi="Times New Roman" w:cs="Times New Roman"/>
      <w:noProof/>
      <w:kern w:val="0"/>
      <w:szCs w:val="22"/>
      <w:lang w:val="en-US"/>
      <w14:ligatures w14:val="none"/>
    </w:rPr>
  </w:style>
  <w:style w:type="character" w:styleId="zlenenKpr">
    <w:name w:val="FollowedHyperlink"/>
    <w:basedOn w:val="VarsaylanParagrafYazTipi"/>
    <w:uiPriority w:val="99"/>
    <w:semiHidden/>
    <w:unhideWhenUsed/>
    <w:rsid w:val="00FF0A5F"/>
    <w:rPr>
      <w:color w:val="954F72" w:themeColor="followedHyperlink"/>
      <w:u w:val="single"/>
    </w:rPr>
  </w:style>
  <w:style w:type="paragraph" w:styleId="ResimYazs">
    <w:name w:val="caption"/>
    <w:basedOn w:val="Normal"/>
    <w:next w:val="Normal"/>
    <w:uiPriority w:val="35"/>
    <w:unhideWhenUsed/>
    <w:qFormat/>
    <w:rsid w:val="00FF0A5F"/>
    <w:pPr>
      <w:spacing w:after="200"/>
    </w:pPr>
    <w:rPr>
      <w:rFonts w:ascii="Times New Roman" w:hAnsi="Times New Roman"/>
      <w:i/>
      <w:iCs/>
      <w:color w:val="44546A" w:themeColor="text2"/>
      <w:kern w:val="0"/>
      <w:sz w:val="18"/>
      <w:szCs w:val="18"/>
      <w14:ligatures w14:val="none"/>
    </w:rPr>
  </w:style>
  <w:style w:type="character" w:styleId="AklamaBavurusu">
    <w:name w:val="annotation reference"/>
    <w:basedOn w:val="VarsaylanParagrafYazTipi"/>
    <w:uiPriority w:val="99"/>
    <w:semiHidden/>
    <w:unhideWhenUsed/>
    <w:rsid w:val="00FF0A5F"/>
    <w:rPr>
      <w:sz w:val="16"/>
      <w:szCs w:val="16"/>
    </w:rPr>
  </w:style>
  <w:style w:type="paragraph" w:styleId="AklamaMetni">
    <w:name w:val="annotation text"/>
    <w:basedOn w:val="Normal"/>
    <w:link w:val="AklamaMetniChar"/>
    <w:uiPriority w:val="99"/>
    <w:unhideWhenUsed/>
    <w:rsid w:val="00FF0A5F"/>
    <w:pPr>
      <w:spacing w:after="160"/>
    </w:pPr>
    <w:rPr>
      <w:rFonts w:ascii="Times New Roman" w:hAnsi="Times New Roman"/>
      <w:kern w:val="0"/>
      <w:sz w:val="20"/>
      <w:szCs w:val="20"/>
      <w14:ligatures w14:val="none"/>
    </w:rPr>
  </w:style>
  <w:style w:type="character" w:customStyle="1" w:styleId="AklamaMetniChar">
    <w:name w:val="Açıklama Metni Char"/>
    <w:basedOn w:val="VarsaylanParagrafYazTipi"/>
    <w:link w:val="AklamaMetni"/>
    <w:uiPriority w:val="99"/>
    <w:rsid w:val="00FF0A5F"/>
    <w:rPr>
      <w:rFonts w:ascii="Times New Roman" w:hAnsi="Times New Roman"/>
      <w:kern w:val="0"/>
      <w:sz w:val="20"/>
      <w:szCs w:val="20"/>
      <w14:ligatures w14:val="none"/>
    </w:rPr>
  </w:style>
  <w:style w:type="paragraph" w:styleId="AklamaKonusu">
    <w:name w:val="annotation subject"/>
    <w:basedOn w:val="AklamaMetni"/>
    <w:next w:val="AklamaMetni"/>
    <w:link w:val="AklamaKonusuChar"/>
    <w:uiPriority w:val="99"/>
    <w:semiHidden/>
    <w:unhideWhenUsed/>
    <w:rsid w:val="00FF0A5F"/>
    <w:rPr>
      <w:b/>
      <w:bCs/>
    </w:rPr>
  </w:style>
  <w:style w:type="character" w:customStyle="1" w:styleId="AklamaKonusuChar">
    <w:name w:val="Açıklama Konusu Char"/>
    <w:basedOn w:val="AklamaMetniChar"/>
    <w:link w:val="AklamaKonusu"/>
    <w:uiPriority w:val="99"/>
    <w:semiHidden/>
    <w:rsid w:val="00FF0A5F"/>
    <w:rPr>
      <w:rFonts w:ascii="Times New Roman" w:hAnsi="Times New Roman"/>
      <w:b/>
      <w:bCs/>
      <w:kern w:val="0"/>
      <w:sz w:val="20"/>
      <w:szCs w:val="20"/>
      <w14:ligatures w14:val="none"/>
    </w:rPr>
  </w:style>
  <w:style w:type="character" w:customStyle="1" w:styleId="w">
    <w:name w:val="w"/>
    <w:basedOn w:val="VarsaylanParagrafYazTipi"/>
    <w:rsid w:val="00FF0A5F"/>
  </w:style>
  <w:style w:type="character" w:customStyle="1" w:styleId="r">
    <w:name w:val="r"/>
    <w:basedOn w:val="VarsaylanParagrafYazTipi"/>
    <w:rsid w:val="00FF0A5F"/>
  </w:style>
  <w:style w:type="character" w:customStyle="1" w:styleId="xtr-label">
    <w:name w:val="xtr-label"/>
    <w:basedOn w:val="VarsaylanParagrafYazTipi"/>
    <w:rsid w:val="00FF0A5F"/>
  </w:style>
  <w:style w:type="character" w:customStyle="1" w:styleId="cell">
    <w:name w:val="cell"/>
    <w:basedOn w:val="VarsaylanParagrafYazTipi"/>
    <w:rsid w:val="00FF0A5F"/>
  </w:style>
  <w:style w:type="paragraph" w:customStyle="1" w:styleId="WW-NormalWeb1">
    <w:name w:val="WW-Normal (Web)1"/>
    <w:basedOn w:val="Normal"/>
    <w:link w:val="WW-NormalWeb1Char"/>
    <w:rsid w:val="00FF0A5F"/>
    <w:pPr>
      <w:spacing w:before="280" w:after="119"/>
    </w:pPr>
    <w:rPr>
      <w:rFonts w:ascii="Times New Roman" w:eastAsia="Times New Roman" w:hAnsi="Times New Roman" w:cs="Times New Roman"/>
      <w:kern w:val="0"/>
      <w:lang w:val="en" w:eastAsia="tr-TR"/>
      <w14:ligatures w14:val="none"/>
    </w:rPr>
  </w:style>
  <w:style w:type="character" w:customStyle="1" w:styleId="WW-NormalWeb1Char">
    <w:name w:val="WW-Normal (Web)1 Char"/>
    <w:basedOn w:val="VarsaylanParagrafYazTipi"/>
    <w:link w:val="WW-NormalWeb1"/>
    <w:rsid w:val="00FF0A5F"/>
    <w:rPr>
      <w:rFonts w:ascii="Times New Roman" w:eastAsia="Times New Roman" w:hAnsi="Times New Roman" w:cs="Times New Roman"/>
      <w:kern w:val="0"/>
      <w:lang w:val="en" w:eastAsia="tr-TR"/>
      <w14:ligatures w14:val="none"/>
    </w:rPr>
  </w:style>
  <w:style w:type="character" w:styleId="SayfaNumaras">
    <w:name w:val="page number"/>
    <w:basedOn w:val="VarsaylanParagrafYazTipi"/>
    <w:uiPriority w:val="99"/>
    <w:semiHidden/>
    <w:unhideWhenUsed/>
    <w:rsid w:val="00FF0A5F"/>
  </w:style>
  <w:style w:type="paragraph" w:customStyle="1" w:styleId="Default">
    <w:name w:val="Default"/>
    <w:rsid w:val="00FF0A5F"/>
    <w:pPr>
      <w:autoSpaceDE w:val="0"/>
      <w:autoSpaceDN w:val="0"/>
      <w:adjustRightInd w:val="0"/>
    </w:pPr>
    <w:rPr>
      <w:rFonts w:ascii="Code" w:hAnsi="Code" w:cs="Code"/>
      <w:color w:val="000000"/>
      <w:kern w:val="0"/>
      <w14:ligatures w14:val="none"/>
    </w:rPr>
  </w:style>
  <w:style w:type="character" w:customStyle="1" w:styleId="fontstyle01">
    <w:name w:val="fontstyle01"/>
    <w:basedOn w:val="VarsaylanParagrafYazTipi"/>
    <w:rsid w:val="00FF0A5F"/>
    <w:rPr>
      <w:rFonts w:ascii="Times New Roman" w:hAnsi="Times New Roman" w:cs="Times New Roman" w:hint="default"/>
      <w:b w:val="0"/>
      <w:bCs w:val="0"/>
      <w:i w:val="0"/>
      <w:iCs w:val="0"/>
      <w:color w:val="000000"/>
      <w:sz w:val="24"/>
      <w:szCs w:val="24"/>
    </w:rPr>
  </w:style>
  <w:style w:type="character" w:customStyle="1" w:styleId="fontstyle21">
    <w:name w:val="fontstyle21"/>
    <w:basedOn w:val="VarsaylanParagrafYazTipi"/>
    <w:rsid w:val="00FF0A5F"/>
    <w:rPr>
      <w:rFonts w:ascii="Times New Roman" w:hAnsi="Times New Roman" w:cs="Times New Roman" w:hint="default"/>
      <w:b w:val="0"/>
      <w:bCs w:val="0"/>
      <w:i/>
      <w:iCs/>
      <w:color w:val="000000"/>
      <w:sz w:val="24"/>
      <w:szCs w:val="24"/>
    </w:rPr>
  </w:style>
  <w:style w:type="character" w:customStyle="1" w:styleId="name">
    <w:name w:val="name"/>
    <w:basedOn w:val="VarsaylanParagrafYazTipi"/>
    <w:rsid w:val="00FF0A5F"/>
  </w:style>
  <w:style w:type="character" w:customStyle="1" w:styleId="surname">
    <w:name w:val="surname"/>
    <w:basedOn w:val="VarsaylanParagrafYazTipi"/>
    <w:rsid w:val="00FF0A5F"/>
  </w:style>
  <w:style w:type="character" w:customStyle="1" w:styleId="given-names">
    <w:name w:val="given-names"/>
    <w:basedOn w:val="VarsaylanParagrafYazTipi"/>
    <w:rsid w:val="00FF0A5F"/>
  </w:style>
  <w:style w:type="character" w:customStyle="1" w:styleId="year">
    <w:name w:val="year"/>
    <w:basedOn w:val="VarsaylanParagrafYazTipi"/>
    <w:rsid w:val="00FF0A5F"/>
  </w:style>
  <w:style w:type="character" w:customStyle="1" w:styleId="article-title">
    <w:name w:val="article-title"/>
    <w:basedOn w:val="VarsaylanParagrafYazTipi"/>
    <w:rsid w:val="00FF0A5F"/>
  </w:style>
  <w:style w:type="character" w:customStyle="1" w:styleId="source">
    <w:name w:val="source"/>
    <w:basedOn w:val="VarsaylanParagrafYazTipi"/>
    <w:rsid w:val="00FF0A5F"/>
  </w:style>
  <w:style w:type="character" w:customStyle="1" w:styleId="volume">
    <w:name w:val="volume"/>
    <w:basedOn w:val="VarsaylanParagrafYazTipi"/>
    <w:rsid w:val="00FF0A5F"/>
  </w:style>
  <w:style w:type="paragraph" w:styleId="TBal">
    <w:name w:val="TOC Heading"/>
    <w:basedOn w:val="Balk1"/>
    <w:next w:val="Normal"/>
    <w:uiPriority w:val="39"/>
    <w:unhideWhenUsed/>
    <w:qFormat/>
    <w:rsid w:val="00FF0A5F"/>
    <w:pPr>
      <w:spacing w:before="480" w:line="276" w:lineRule="auto"/>
      <w:outlineLvl w:val="9"/>
    </w:pPr>
    <w:rPr>
      <w:rFonts w:asciiTheme="majorHAnsi" w:hAnsiTheme="majorHAnsi"/>
      <w:b w:val="0"/>
      <w:bCs w:val="0"/>
      <w:kern w:val="0"/>
      <w:sz w:val="28"/>
      <w:szCs w:val="28"/>
      <w:lang w:eastAsia="tr-TR" w:bidi="he-IL"/>
      <w14:ligatures w14:val="none"/>
    </w:rPr>
  </w:style>
  <w:style w:type="paragraph" w:styleId="T2">
    <w:name w:val="toc 2"/>
    <w:basedOn w:val="Normal"/>
    <w:next w:val="Normal"/>
    <w:autoRedefine/>
    <w:uiPriority w:val="39"/>
    <w:unhideWhenUsed/>
    <w:rsid w:val="00EE3FFA"/>
    <w:pPr>
      <w:tabs>
        <w:tab w:val="right" w:leader="dot" w:pos="9062"/>
      </w:tabs>
      <w:spacing w:before="120"/>
      <w:ind w:left="240"/>
    </w:pPr>
    <w:rPr>
      <w:rFonts w:cstheme="minorHAnsi"/>
      <w:i/>
      <w:iCs/>
      <w:sz w:val="20"/>
    </w:rPr>
  </w:style>
  <w:style w:type="paragraph" w:styleId="T1">
    <w:name w:val="toc 1"/>
    <w:basedOn w:val="Normal"/>
    <w:next w:val="Normal"/>
    <w:autoRedefine/>
    <w:uiPriority w:val="39"/>
    <w:unhideWhenUsed/>
    <w:rsid w:val="001108A6"/>
    <w:pPr>
      <w:tabs>
        <w:tab w:val="right" w:leader="dot" w:pos="9062"/>
      </w:tabs>
      <w:spacing w:before="240" w:after="120"/>
    </w:pPr>
    <w:rPr>
      <w:rFonts w:cstheme="minorHAnsi"/>
      <w:b/>
      <w:bCs/>
      <w:sz w:val="20"/>
    </w:rPr>
  </w:style>
  <w:style w:type="paragraph" w:styleId="T3">
    <w:name w:val="toc 3"/>
    <w:basedOn w:val="Normal"/>
    <w:next w:val="Normal"/>
    <w:autoRedefine/>
    <w:uiPriority w:val="39"/>
    <w:unhideWhenUsed/>
    <w:rsid w:val="00FF0A5F"/>
    <w:pPr>
      <w:ind w:left="480"/>
    </w:pPr>
    <w:rPr>
      <w:rFonts w:cstheme="minorHAnsi"/>
      <w:sz w:val="20"/>
    </w:rPr>
  </w:style>
  <w:style w:type="paragraph" w:styleId="T4">
    <w:name w:val="toc 4"/>
    <w:basedOn w:val="Normal"/>
    <w:next w:val="Normal"/>
    <w:autoRedefine/>
    <w:uiPriority w:val="39"/>
    <w:unhideWhenUsed/>
    <w:rsid w:val="00FF0A5F"/>
    <w:pPr>
      <w:ind w:left="720"/>
    </w:pPr>
    <w:rPr>
      <w:rFonts w:cstheme="minorHAnsi"/>
      <w:sz w:val="20"/>
    </w:rPr>
  </w:style>
  <w:style w:type="paragraph" w:styleId="T5">
    <w:name w:val="toc 5"/>
    <w:basedOn w:val="Normal"/>
    <w:next w:val="Normal"/>
    <w:autoRedefine/>
    <w:uiPriority w:val="39"/>
    <w:unhideWhenUsed/>
    <w:rsid w:val="00FF0A5F"/>
    <w:pPr>
      <w:ind w:left="960"/>
    </w:pPr>
    <w:rPr>
      <w:rFonts w:cstheme="minorHAnsi"/>
      <w:sz w:val="20"/>
    </w:rPr>
  </w:style>
  <w:style w:type="paragraph" w:styleId="T6">
    <w:name w:val="toc 6"/>
    <w:basedOn w:val="Normal"/>
    <w:next w:val="Normal"/>
    <w:autoRedefine/>
    <w:uiPriority w:val="39"/>
    <w:unhideWhenUsed/>
    <w:rsid w:val="00FF0A5F"/>
    <w:pPr>
      <w:ind w:left="1200"/>
    </w:pPr>
    <w:rPr>
      <w:rFonts w:cstheme="minorHAnsi"/>
      <w:sz w:val="20"/>
    </w:rPr>
  </w:style>
  <w:style w:type="paragraph" w:styleId="T7">
    <w:name w:val="toc 7"/>
    <w:basedOn w:val="Normal"/>
    <w:next w:val="Normal"/>
    <w:autoRedefine/>
    <w:uiPriority w:val="39"/>
    <w:unhideWhenUsed/>
    <w:rsid w:val="00FF0A5F"/>
    <w:pPr>
      <w:ind w:left="1440"/>
    </w:pPr>
    <w:rPr>
      <w:rFonts w:cstheme="minorHAnsi"/>
      <w:sz w:val="20"/>
    </w:rPr>
  </w:style>
  <w:style w:type="paragraph" w:styleId="T8">
    <w:name w:val="toc 8"/>
    <w:basedOn w:val="Normal"/>
    <w:next w:val="Normal"/>
    <w:autoRedefine/>
    <w:uiPriority w:val="39"/>
    <w:unhideWhenUsed/>
    <w:rsid w:val="00FF0A5F"/>
    <w:pPr>
      <w:ind w:left="1680"/>
    </w:pPr>
    <w:rPr>
      <w:rFonts w:cstheme="minorHAnsi"/>
      <w:sz w:val="20"/>
    </w:rPr>
  </w:style>
  <w:style w:type="paragraph" w:styleId="T9">
    <w:name w:val="toc 9"/>
    <w:basedOn w:val="Normal"/>
    <w:next w:val="Normal"/>
    <w:autoRedefine/>
    <w:uiPriority w:val="39"/>
    <w:unhideWhenUsed/>
    <w:rsid w:val="00FF0A5F"/>
    <w:pPr>
      <w:ind w:left="1920"/>
    </w:pPr>
    <w:rPr>
      <w:rFonts w:cstheme="minorHAnsi"/>
      <w:sz w:val="20"/>
    </w:rPr>
  </w:style>
  <w:style w:type="character" w:styleId="Vurgu">
    <w:name w:val="Emphasis"/>
    <w:basedOn w:val="VarsaylanParagrafYazTipi"/>
    <w:uiPriority w:val="20"/>
    <w:qFormat/>
    <w:rsid w:val="00FF0A5F"/>
    <w:rPr>
      <w:i/>
      <w:iCs/>
    </w:rPr>
  </w:style>
  <w:style w:type="character" w:styleId="Gl">
    <w:name w:val="Strong"/>
    <w:basedOn w:val="VarsaylanParagrafYazTipi"/>
    <w:uiPriority w:val="22"/>
    <w:qFormat/>
    <w:rsid w:val="00FF0A5F"/>
    <w:rPr>
      <w:b/>
      <w:bCs/>
    </w:rPr>
  </w:style>
  <w:style w:type="character" w:customStyle="1" w:styleId="familyname">
    <w:name w:val="familyname"/>
    <w:basedOn w:val="VarsaylanParagrafYazTipi"/>
    <w:rsid w:val="00FF0A5F"/>
  </w:style>
  <w:style w:type="character" w:styleId="YerTutucuMetni">
    <w:name w:val="Placeholder Text"/>
    <w:basedOn w:val="VarsaylanParagrafYazTipi"/>
    <w:uiPriority w:val="99"/>
    <w:semiHidden/>
    <w:rsid w:val="00FF0A5F"/>
    <w:rPr>
      <w:color w:val="808080"/>
    </w:rPr>
  </w:style>
  <w:style w:type="character" w:customStyle="1" w:styleId="a">
    <w:name w:val="a"/>
    <w:basedOn w:val="VarsaylanParagrafYazTipi"/>
    <w:rsid w:val="00FF0A5F"/>
  </w:style>
  <w:style w:type="paragraph" w:customStyle="1" w:styleId="ResimYazs1">
    <w:name w:val="Resim Yazısı1"/>
    <w:basedOn w:val="Normal"/>
    <w:next w:val="Normal"/>
    <w:unhideWhenUsed/>
    <w:qFormat/>
    <w:rsid w:val="00FF0A5F"/>
    <w:pPr>
      <w:spacing w:after="200"/>
    </w:pPr>
    <w:rPr>
      <w:rFonts w:ascii="Times New Roman" w:hAnsi="Times New Roman"/>
      <w:i/>
      <w:iCs/>
      <w:color w:val="44546A"/>
      <w:kern w:val="0"/>
      <w:sz w:val="18"/>
      <w:szCs w:val="18"/>
      <w14:ligatures w14:val="none"/>
    </w:rPr>
  </w:style>
  <w:style w:type="character" w:customStyle="1" w:styleId="a-size-extra-large">
    <w:name w:val="a-size-extra-large"/>
    <w:basedOn w:val="VarsaylanParagrafYazTipi"/>
    <w:rsid w:val="00FF0A5F"/>
  </w:style>
  <w:style w:type="paragraph" w:customStyle="1" w:styleId="para3">
    <w:name w:val="para3"/>
    <w:basedOn w:val="Normal"/>
    <w:rsid w:val="00FF0A5F"/>
    <w:pPr>
      <w:spacing w:before="100" w:beforeAutospacing="1" w:after="100" w:afterAutospacing="1"/>
    </w:pPr>
    <w:rPr>
      <w:rFonts w:ascii="Times New Roman" w:eastAsia="Times New Roman" w:hAnsi="Times New Roman" w:cs="Times New Roman"/>
      <w:kern w:val="0"/>
      <w:lang w:eastAsia="tr-TR" w:bidi="he-IL"/>
      <w14:ligatures w14:val="none"/>
    </w:rPr>
  </w:style>
  <w:style w:type="character" w:customStyle="1" w:styleId="style291">
    <w:name w:val="style291"/>
    <w:basedOn w:val="VarsaylanParagrafYazTipi"/>
    <w:rsid w:val="00FF0A5F"/>
  </w:style>
  <w:style w:type="character" w:customStyle="1" w:styleId="fontstyle11">
    <w:name w:val="fontstyle11"/>
    <w:basedOn w:val="VarsaylanParagrafYazTipi"/>
    <w:rsid w:val="00FF0A5F"/>
    <w:rPr>
      <w:rFonts w:ascii="TimesVvorm" w:hAnsi="TimesVvorm" w:hint="default"/>
      <w:b w:val="0"/>
      <w:bCs w:val="0"/>
      <w:i w:val="0"/>
      <w:iCs w:val="0"/>
      <w:color w:val="242021"/>
      <w:sz w:val="20"/>
      <w:szCs w:val="20"/>
    </w:rPr>
  </w:style>
  <w:style w:type="paragraph" w:customStyle="1" w:styleId="TableParagraph">
    <w:name w:val="Table Paragraph"/>
    <w:basedOn w:val="Normal"/>
    <w:uiPriority w:val="1"/>
    <w:rsid w:val="00FF0A5F"/>
    <w:pPr>
      <w:widowControl w:val="0"/>
      <w:autoSpaceDE w:val="0"/>
      <w:autoSpaceDN w:val="0"/>
      <w:spacing w:after="160" w:line="259" w:lineRule="auto"/>
    </w:pPr>
    <w:rPr>
      <w:rFonts w:ascii="Ungkam Book Basic" w:eastAsia="Ungkam Book Basic" w:hAnsi="Ungkam Book Basic" w:cs="Ungkam Book Basic"/>
      <w:kern w:val="0"/>
      <w:sz w:val="22"/>
      <w:szCs w:val="22"/>
      <w:lang w:val="en-US"/>
      <w14:ligatures w14:val="none"/>
    </w:rPr>
  </w:style>
  <w:style w:type="character" w:customStyle="1" w:styleId="y2iqfc">
    <w:name w:val="y2iqfc"/>
    <w:basedOn w:val="VarsaylanParagrafYazTipi"/>
    <w:rsid w:val="00FF0A5F"/>
  </w:style>
  <w:style w:type="paragraph" w:styleId="GvdeMetni">
    <w:name w:val="Body Text"/>
    <w:aliases w:val="Corpo del testo"/>
    <w:basedOn w:val="Normal"/>
    <w:link w:val="GvdeMetniChar"/>
    <w:uiPriority w:val="99"/>
    <w:rsid w:val="00FF0A5F"/>
    <w:pPr>
      <w:spacing w:after="120" w:line="259" w:lineRule="auto"/>
    </w:pPr>
    <w:rPr>
      <w:rFonts w:ascii="Times New Roman" w:eastAsia="Times New Roman" w:hAnsi="Times New Roman" w:cs="Times New Roman"/>
      <w:kern w:val="0"/>
      <w:sz w:val="22"/>
      <w:lang w:val="en-US" w:eastAsia="x-none" w:bidi="he-IL"/>
      <w14:ligatures w14:val="none"/>
    </w:rPr>
  </w:style>
  <w:style w:type="character" w:customStyle="1" w:styleId="GvdeMetniChar">
    <w:name w:val="Gövde Metni Char"/>
    <w:aliases w:val="Corpo del testo Char"/>
    <w:basedOn w:val="VarsaylanParagrafYazTipi"/>
    <w:link w:val="GvdeMetni"/>
    <w:uiPriority w:val="99"/>
    <w:rsid w:val="00FF0A5F"/>
    <w:rPr>
      <w:rFonts w:ascii="Times New Roman" w:eastAsia="Times New Roman" w:hAnsi="Times New Roman" w:cs="Times New Roman"/>
      <w:kern w:val="0"/>
      <w:sz w:val="22"/>
      <w:lang w:val="en-US" w:eastAsia="x-none" w:bidi="he-IL"/>
      <w14:ligatures w14:val="none"/>
    </w:rPr>
  </w:style>
  <w:style w:type="character" w:customStyle="1" w:styleId="CorpotestoCarattere">
    <w:name w:val="Corpo testo Carattere"/>
    <w:basedOn w:val="VarsaylanParagrafYazTipi"/>
    <w:uiPriority w:val="99"/>
    <w:semiHidden/>
    <w:rsid w:val="00FF0A5F"/>
  </w:style>
  <w:style w:type="character" w:customStyle="1" w:styleId="TestocommentoCarattere1">
    <w:name w:val="Testo commento Carattere1"/>
    <w:basedOn w:val="VarsaylanParagrafYazTipi"/>
    <w:uiPriority w:val="99"/>
    <w:semiHidden/>
    <w:rsid w:val="00FF0A5F"/>
    <w:rPr>
      <w:sz w:val="20"/>
    </w:rPr>
  </w:style>
  <w:style w:type="paragraph" w:styleId="Alnt">
    <w:name w:val="Quote"/>
    <w:basedOn w:val="Normal"/>
    <w:next w:val="Normal"/>
    <w:link w:val="AlntChar"/>
    <w:uiPriority w:val="29"/>
    <w:qFormat/>
    <w:rsid w:val="00FF0A5F"/>
    <w:pPr>
      <w:spacing w:before="160" w:after="160" w:line="259" w:lineRule="auto"/>
      <w:ind w:left="720" w:right="720"/>
    </w:pPr>
    <w:rPr>
      <w:rFonts w:eastAsiaTheme="minorEastAsia"/>
      <w:i/>
      <w:iCs/>
      <w:color w:val="000000" w:themeColor="text1"/>
      <w:kern w:val="0"/>
      <w:sz w:val="22"/>
      <w:szCs w:val="22"/>
      <w:lang w:val="it-IT"/>
      <w14:ligatures w14:val="none"/>
    </w:rPr>
  </w:style>
  <w:style w:type="character" w:customStyle="1" w:styleId="AlntChar">
    <w:name w:val="Alıntı Char"/>
    <w:basedOn w:val="VarsaylanParagrafYazTipi"/>
    <w:link w:val="Alnt"/>
    <w:uiPriority w:val="29"/>
    <w:rsid w:val="00FF0A5F"/>
    <w:rPr>
      <w:rFonts w:eastAsiaTheme="minorEastAsia"/>
      <w:i/>
      <w:iCs/>
      <w:color w:val="000000" w:themeColor="text1"/>
      <w:kern w:val="0"/>
      <w:sz w:val="22"/>
      <w:szCs w:val="22"/>
      <w:lang w:val="it-IT"/>
      <w14:ligatures w14:val="none"/>
    </w:rPr>
  </w:style>
  <w:style w:type="paragraph" w:styleId="GlAlnt">
    <w:name w:val="Intense Quote"/>
    <w:basedOn w:val="Normal"/>
    <w:next w:val="Normal"/>
    <w:link w:val="GlAlntChar"/>
    <w:uiPriority w:val="30"/>
    <w:qFormat/>
    <w:rsid w:val="00FF0A5F"/>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line="259" w:lineRule="auto"/>
      <w:ind w:left="936" w:right="936"/>
      <w:jc w:val="center"/>
    </w:pPr>
    <w:rPr>
      <w:rFonts w:eastAsiaTheme="minorEastAsia"/>
      <w:color w:val="000000" w:themeColor="text1"/>
      <w:kern w:val="0"/>
      <w:sz w:val="22"/>
      <w:szCs w:val="22"/>
      <w:lang w:val="it-IT"/>
      <w14:ligatures w14:val="none"/>
    </w:rPr>
  </w:style>
  <w:style w:type="character" w:customStyle="1" w:styleId="GlAlntChar">
    <w:name w:val="Güçlü Alıntı Char"/>
    <w:basedOn w:val="VarsaylanParagrafYazTipi"/>
    <w:link w:val="GlAlnt"/>
    <w:uiPriority w:val="30"/>
    <w:rsid w:val="00FF0A5F"/>
    <w:rPr>
      <w:rFonts w:eastAsiaTheme="minorEastAsia"/>
      <w:color w:val="000000" w:themeColor="text1"/>
      <w:kern w:val="0"/>
      <w:sz w:val="22"/>
      <w:szCs w:val="22"/>
      <w:shd w:val="clear" w:color="auto" w:fill="F2F2F2" w:themeFill="background1" w:themeFillShade="F2"/>
      <w:lang w:val="it-IT"/>
      <w14:ligatures w14:val="none"/>
    </w:rPr>
  </w:style>
  <w:style w:type="character" w:styleId="HafifVurgulama">
    <w:name w:val="Subtle Emphasis"/>
    <w:basedOn w:val="VarsaylanParagrafYazTipi"/>
    <w:uiPriority w:val="19"/>
    <w:qFormat/>
    <w:rsid w:val="00FF0A5F"/>
    <w:rPr>
      <w:i/>
      <w:iCs/>
      <w:color w:val="404040" w:themeColor="text1" w:themeTint="BF"/>
    </w:rPr>
  </w:style>
  <w:style w:type="character" w:styleId="GlVurgulama">
    <w:name w:val="Intense Emphasis"/>
    <w:basedOn w:val="VarsaylanParagrafYazTipi"/>
    <w:uiPriority w:val="21"/>
    <w:qFormat/>
    <w:rsid w:val="00FF0A5F"/>
    <w:rPr>
      <w:b/>
      <w:bCs/>
      <w:i/>
      <w:iCs/>
      <w:caps/>
    </w:rPr>
  </w:style>
  <w:style w:type="character" w:styleId="HafifBavuru">
    <w:name w:val="Subtle Reference"/>
    <w:basedOn w:val="VarsaylanParagrafYazTipi"/>
    <w:uiPriority w:val="31"/>
    <w:qFormat/>
    <w:rsid w:val="00FF0A5F"/>
    <w:rPr>
      <w:smallCaps/>
      <w:color w:val="404040" w:themeColor="text1" w:themeTint="BF"/>
      <w:u w:val="single" w:color="7F7F7F" w:themeColor="text1" w:themeTint="80"/>
    </w:rPr>
  </w:style>
  <w:style w:type="character" w:styleId="GlBavuru">
    <w:name w:val="Intense Reference"/>
    <w:basedOn w:val="VarsaylanParagrafYazTipi"/>
    <w:uiPriority w:val="32"/>
    <w:qFormat/>
    <w:rsid w:val="00FF0A5F"/>
    <w:rPr>
      <w:b/>
      <w:bCs/>
      <w:smallCaps/>
      <w:u w:val="single"/>
    </w:rPr>
  </w:style>
  <w:style w:type="character" w:styleId="KitapBal">
    <w:name w:val="Book Title"/>
    <w:basedOn w:val="VarsaylanParagrafYazTipi"/>
    <w:uiPriority w:val="33"/>
    <w:qFormat/>
    <w:rsid w:val="00FF0A5F"/>
    <w:rPr>
      <w:b w:val="0"/>
      <w:bCs w:val="0"/>
      <w:smallCaps/>
      <w:spacing w:val="5"/>
    </w:rPr>
  </w:style>
  <w:style w:type="character" w:customStyle="1" w:styleId="fontstyle31">
    <w:name w:val="fontstyle31"/>
    <w:basedOn w:val="VarsaylanParagrafYazTipi"/>
    <w:rsid w:val="00FF0A5F"/>
    <w:rPr>
      <w:rFonts w:ascii="ChaparralPro-Regular" w:hAnsi="ChaparralPro-Regular" w:hint="default"/>
      <w:b w:val="0"/>
      <w:bCs w:val="0"/>
      <w:i w:val="0"/>
      <w:iCs w:val="0"/>
      <w:color w:val="242021"/>
      <w:sz w:val="18"/>
      <w:szCs w:val="18"/>
    </w:rPr>
  </w:style>
  <w:style w:type="character" w:customStyle="1" w:styleId="publisher-loc">
    <w:name w:val="publisher-loc"/>
    <w:basedOn w:val="VarsaylanParagrafYazTipi"/>
    <w:rsid w:val="00FF0A5F"/>
  </w:style>
  <w:style w:type="table" w:customStyle="1" w:styleId="TabloKlavuzu1">
    <w:name w:val="Tablo Kılavuzu1"/>
    <w:basedOn w:val="NormalTablo"/>
    <w:next w:val="TabloKlavuzu"/>
    <w:uiPriority w:val="39"/>
    <w:rsid w:val="00FF0A5F"/>
    <w:rPr>
      <w:kern w:val="0"/>
      <w:sz w:val="22"/>
      <w:szCs w:val="22"/>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F0A5F"/>
    <w:pPr>
      <w:spacing w:before="100" w:beforeAutospacing="1" w:after="100" w:afterAutospacing="1"/>
    </w:pPr>
    <w:rPr>
      <w:rFonts w:ascii="Times New Roman" w:eastAsia="Times New Roman" w:hAnsi="Times New Roman" w:cs="Times New Roman"/>
      <w:kern w:val="0"/>
      <w:lang w:eastAsia="tr-TR"/>
      <w14:ligatures w14:val="none"/>
    </w:rPr>
  </w:style>
  <w:style w:type="character" w:customStyle="1" w:styleId="zmlenmeyenBahsetme1">
    <w:name w:val="Çözümlenmeyen Bahsetme1"/>
    <w:basedOn w:val="VarsaylanParagrafYazTipi"/>
    <w:uiPriority w:val="99"/>
    <w:semiHidden/>
    <w:unhideWhenUsed/>
    <w:rsid w:val="007B26F0"/>
    <w:rPr>
      <w:color w:val="605E5C"/>
      <w:shd w:val="clear" w:color="auto" w:fill="E1DFDD"/>
    </w:rPr>
  </w:style>
  <w:style w:type="paragraph" w:styleId="Dizin1">
    <w:name w:val="index 1"/>
    <w:basedOn w:val="Normal"/>
    <w:next w:val="Normal"/>
    <w:autoRedefine/>
    <w:uiPriority w:val="99"/>
    <w:unhideWhenUsed/>
    <w:rsid w:val="00D5494C"/>
    <w:pPr>
      <w:ind w:left="240" w:hanging="240"/>
    </w:pPr>
    <w:rPr>
      <w:rFonts w:cstheme="minorHAnsi"/>
      <w:sz w:val="18"/>
      <w:szCs w:val="21"/>
    </w:rPr>
  </w:style>
  <w:style w:type="paragraph" w:styleId="Dizin2">
    <w:name w:val="index 2"/>
    <w:basedOn w:val="Normal"/>
    <w:next w:val="Normal"/>
    <w:autoRedefine/>
    <w:uiPriority w:val="99"/>
    <w:unhideWhenUsed/>
    <w:rsid w:val="00D5494C"/>
    <w:pPr>
      <w:ind w:left="480" w:hanging="240"/>
    </w:pPr>
    <w:rPr>
      <w:rFonts w:cstheme="minorHAnsi"/>
      <w:sz w:val="18"/>
      <w:szCs w:val="21"/>
    </w:rPr>
  </w:style>
  <w:style w:type="paragraph" w:styleId="Dizin3">
    <w:name w:val="index 3"/>
    <w:basedOn w:val="Normal"/>
    <w:next w:val="Normal"/>
    <w:autoRedefine/>
    <w:uiPriority w:val="99"/>
    <w:unhideWhenUsed/>
    <w:rsid w:val="00D5494C"/>
    <w:pPr>
      <w:ind w:left="720" w:hanging="240"/>
    </w:pPr>
    <w:rPr>
      <w:rFonts w:cstheme="minorHAnsi"/>
      <w:sz w:val="18"/>
      <w:szCs w:val="21"/>
    </w:rPr>
  </w:style>
  <w:style w:type="paragraph" w:styleId="Dizin4">
    <w:name w:val="index 4"/>
    <w:basedOn w:val="Normal"/>
    <w:next w:val="Normal"/>
    <w:autoRedefine/>
    <w:uiPriority w:val="99"/>
    <w:unhideWhenUsed/>
    <w:rsid w:val="00D5494C"/>
    <w:pPr>
      <w:ind w:left="960" w:hanging="240"/>
    </w:pPr>
    <w:rPr>
      <w:rFonts w:cstheme="minorHAnsi"/>
      <w:sz w:val="18"/>
      <w:szCs w:val="21"/>
    </w:rPr>
  </w:style>
  <w:style w:type="paragraph" w:styleId="Dizin5">
    <w:name w:val="index 5"/>
    <w:basedOn w:val="Normal"/>
    <w:next w:val="Normal"/>
    <w:autoRedefine/>
    <w:uiPriority w:val="99"/>
    <w:unhideWhenUsed/>
    <w:rsid w:val="00D5494C"/>
    <w:pPr>
      <w:ind w:left="1200" w:hanging="240"/>
    </w:pPr>
    <w:rPr>
      <w:rFonts w:cstheme="minorHAnsi"/>
      <w:sz w:val="18"/>
      <w:szCs w:val="21"/>
    </w:rPr>
  </w:style>
  <w:style w:type="paragraph" w:styleId="Dizin6">
    <w:name w:val="index 6"/>
    <w:basedOn w:val="Normal"/>
    <w:next w:val="Normal"/>
    <w:autoRedefine/>
    <w:uiPriority w:val="99"/>
    <w:unhideWhenUsed/>
    <w:rsid w:val="00D5494C"/>
    <w:pPr>
      <w:ind w:left="1440" w:hanging="240"/>
    </w:pPr>
    <w:rPr>
      <w:rFonts w:cstheme="minorHAnsi"/>
      <w:sz w:val="18"/>
      <w:szCs w:val="21"/>
    </w:rPr>
  </w:style>
  <w:style w:type="paragraph" w:styleId="Dizin7">
    <w:name w:val="index 7"/>
    <w:basedOn w:val="Normal"/>
    <w:next w:val="Normal"/>
    <w:autoRedefine/>
    <w:uiPriority w:val="99"/>
    <w:unhideWhenUsed/>
    <w:rsid w:val="00D5494C"/>
    <w:pPr>
      <w:ind w:left="1680" w:hanging="240"/>
    </w:pPr>
    <w:rPr>
      <w:rFonts w:cstheme="minorHAnsi"/>
      <w:sz w:val="18"/>
      <w:szCs w:val="21"/>
    </w:rPr>
  </w:style>
  <w:style w:type="paragraph" w:styleId="Dizin8">
    <w:name w:val="index 8"/>
    <w:basedOn w:val="Normal"/>
    <w:next w:val="Normal"/>
    <w:autoRedefine/>
    <w:uiPriority w:val="99"/>
    <w:unhideWhenUsed/>
    <w:rsid w:val="00D5494C"/>
    <w:pPr>
      <w:ind w:left="1920" w:hanging="240"/>
    </w:pPr>
    <w:rPr>
      <w:rFonts w:cstheme="minorHAnsi"/>
      <w:sz w:val="18"/>
      <w:szCs w:val="21"/>
    </w:rPr>
  </w:style>
  <w:style w:type="paragraph" w:styleId="Dizin9">
    <w:name w:val="index 9"/>
    <w:basedOn w:val="Normal"/>
    <w:next w:val="Normal"/>
    <w:autoRedefine/>
    <w:uiPriority w:val="99"/>
    <w:unhideWhenUsed/>
    <w:rsid w:val="00D5494C"/>
    <w:pPr>
      <w:ind w:left="2160" w:hanging="240"/>
    </w:pPr>
    <w:rPr>
      <w:rFonts w:cstheme="minorHAnsi"/>
      <w:sz w:val="18"/>
      <w:szCs w:val="21"/>
    </w:rPr>
  </w:style>
  <w:style w:type="paragraph" w:styleId="DizinBal">
    <w:name w:val="index heading"/>
    <w:basedOn w:val="Normal"/>
    <w:next w:val="Dizin1"/>
    <w:uiPriority w:val="99"/>
    <w:unhideWhenUsed/>
    <w:rsid w:val="00D5494C"/>
    <w:pPr>
      <w:spacing w:before="240" w:after="120"/>
      <w:jc w:val="center"/>
    </w:pPr>
    <w:rPr>
      <w:rFonts w:cstheme="minorHAnsi"/>
      <w:b/>
      <w:bCs/>
      <w:sz w:val="26"/>
      <w:szCs w:val="31"/>
    </w:rPr>
  </w:style>
  <w:style w:type="character" w:customStyle="1" w:styleId="zmlenmeyenBahsetme2">
    <w:name w:val="Çözümlenmeyen Bahsetme2"/>
    <w:basedOn w:val="VarsaylanParagrafYazTipi"/>
    <w:uiPriority w:val="99"/>
    <w:semiHidden/>
    <w:unhideWhenUsed/>
    <w:rsid w:val="00230497"/>
    <w:rPr>
      <w:color w:val="605E5C"/>
      <w:shd w:val="clear" w:color="auto" w:fill="E1DFDD"/>
    </w:rPr>
  </w:style>
  <w:style w:type="character" w:styleId="zmlenmeyenBahsetme">
    <w:name w:val="Unresolved Mention"/>
    <w:basedOn w:val="VarsaylanParagrafYazTipi"/>
    <w:uiPriority w:val="99"/>
    <w:semiHidden/>
    <w:unhideWhenUsed/>
    <w:rsid w:val="0091160E"/>
    <w:rPr>
      <w:color w:val="605E5C"/>
      <w:shd w:val="clear" w:color="auto" w:fill="E1DFDD"/>
    </w:rPr>
  </w:style>
  <w:style w:type="paragraph" w:customStyle="1" w:styleId="Heading11">
    <w:name w:val="Heading 11"/>
    <w:basedOn w:val="Normal"/>
    <w:next w:val="Normal"/>
    <w:autoRedefine/>
    <w:uiPriority w:val="9"/>
    <w:qFormat/>
    <w:rsid w:val="00EC68C5"/>
    <w:pPr>
      <w:keepNext/>
      <w:keepLines/>
      <w:spacing w:before="240"/>
      <w:jc w:val="center"/>
      <w:outlineLvl w:val="0"/>
    </w:pPr>
    <w:rPr>
      <w:rFonts w:ascii="Times New Roman" w:eastAsia="Times New Roman" w:hAnsi="Times New Roman" w:cs="Times New Roman"/>
      <w:b/>
      <w:bCs/>
      <w:sz w:val="32"/>
      <w:szCs w:val="32"/>
      <w:lang w:val="en-GB"/>
    </w:rPr>
  </w:style>
  <w:style w:type="paragraph" w:customStyle="1" w:styleId="Heading21">
    <w:name w:val="Heading 21"/>
    <w:basedOn w:val="Normal"/>
    <w:next w:val="Normal"/>
    <w:uiPriority w:val="9"/>
    <w:unhideWhenUsed/>
    <w:qFormat/>
    <w:rsid w:val="00EC68C5"/>
    <w:pPr>
      <w:keepNext/>
      <w:keepLines/>
      <w:spacing w:before="40"/>
      <w:outlineLvl w:val="1"/>
    </w:pPr>
    <w:rPr>
      <w:rFonts w:ascii="Calibri Light" w:eastAsia="Times New Roman" w:hAnsi="Calibri Light" w:cs="Times New Roman"/>
      <w:color w:val="2F5496"/>
      <w:sz w:val="26"/>
      <w:szCs w:val="26"/>
    </w:rPr>
  </w:style>
  <w:style w:type="paragraph" w:customStyle="1" w:styleId="Heading71">
    <w:name w:val="Heading 71"/>
    <w:basedOn w:val="Normal"/>
    <w:next w:val="Normal"/>
    <w:uiPriority w:val="9"/>
    <w:semiHidden/>
    <w:unhideWhenUsed/>
    <w:qFormat/>
    <w:rsid w:val="00EC68C5"/>
    <w:pPr>
      <w:keepNext/>
      <w:keepLines/>
      <w:spacing w:before="200" w:line="259" w:lineRule="auto"/>
      <w:ind w:left="1296" w:hanging="1296"/>
      <w:outlineLvl w:val="6"/>
    </w:pPr>
    <w:rPr>
      <w:rFonts w:ascii="Calibri Light" w:eastAsia="Times New Roman" w:hAnsi="Calibri Light" w:cs="Times New Roman"/>
      <w:i/>
      <w:iCs/>
      <w:color w:val="404040"/>
      <w:kern w:val="0"/>
      <w:sz w:val="22"/>
      <w:szCs w:val="22"/>
      <w:lang w:val="it-IT"/>
      <w14:ligatures w14:val="none"/>
    </w:rPr>
  </w:style>
  <w:style w:type="paragraph" w:customStyle="1" w:styleId="Heading81">
    <w:name w:val="Heading 81"/>
    <w:basedOn w:val="Normal"/>
    <w:next w:val="Normal"/>
    <w:uiPriority w:val="9"/>
    <w:semiHidden/>
    <w:unhideWhenUsed/>
    <w:qFormat/>
    <w:rsid w:val="00EC68C5"/>
    <w:pPr>
      <w:keepNext/>
      <w:keepLines/>
      <w:spacing w:before="200" w:line="259" w:lineRule="auto"/>
      <w:ind w:left="1440" w:hanging="1440"/>
      <w:outlineLvl w:val="7"/>
    </w:pPr>
    <w:rPr>
      <w:rFonts w:ascii="Calibri Light" w:eastAsia="Times New Roman" w:hAnsi="Calibri Light" w:cs="Times New Roman"/>
      <w:color w:val="404040"/>
      <w:kern w:val="0"/>
      <w:sz w:val="20"/>
      <w:szCs w:val="20"/>
      <w:lang w:val="it-IT"/>
      <w14:ligatures w14:val="none"/>
    </w:rPr>
  </w:style>
  <w:style w:type="paragraph" w:customStyle="1" w:styleId="Heading91">
    <w:name w:val="Heading 91"/>
    <w:basedOn w:val="Normal"/>
    <w:next w:val="Normal"/>
    <w:uiPriority w:val="9"/>
    <w:unhideWhenUsed/>
    <w:qFormat/>
    <w:rsid w:val="00EC68C5"/>
    <w:pPr>
      <w:keepNext/>
      <w:keepLines/>
      <w:spacing w:before="200" w:line="259" w:lineRule="auto"/>
      <w:ind w:left="1584" w:hanging="1584"/>
      <w:outlineLvl w:val="8"/>
    </w:pPr>
    <w:rPr>
      <w:rFonts w:ascii="Calibri Light" w:eastAsia="Times New Roman" w:hAnsi="Calibri Light" w:cs="Times New Roman"/>
      <w:i/>
      <w:iCs/>
      <w:color w:val="404040"/>
      <w:kern w:val="0"/>
      <w:sz w:val="20"/>
      <w:szCs w:val="20"/>
      <w:lang w:val="it-IT"/>
      <w14:ligatures w14:val="none"/>
    </w:rPr>
  </w:style>
  <w:style w:type="numbering" w:customStyle="1" w:styleId="NoList1">
    <w:name w:val="No List1"/>
    <w:next w:val="ListeYok"/>
    <w:uiPriority w:val="99"/>
    <w:semiHidden/>
    <w:unhideWhenUsed/>
    <w:rsid w:val="00EC68C5"/>
  </w:style>
  <w:style w:type="paragraph" w:customStyle="1" w:styleId="NoSpacing1">
    <w:name w:val="No Spacing1"/>
    <w:next w:val="AralkYok"/>
    <w:autoRedefine/>
    <w:uiPriority w:val="1"/>
    <w:qFormat/>
    <w:rsid w:val="00EC68C5"/>
    <w:pPr>
      <w:spacing w:line="360" w:lineRule="auto"/>
    </w:pPr>
    <w:rPr>
      <w:rFonts w:ascii="Times New Roman" w:eastAsia="Times New Roman" w:hAnsi="Times New Roman"/>
      <w:kern w:val="0"/>
      <w:szCs w:val="21"/>
      <w14:ligatures w14:val="none"/>
    </w:rPr>
  </w:style>
  <w:style w:type="character" w:customStyle="1" w:styleId="Hyperlink1">
    <w:name w:val="Hyperlink1"/>
    <w:basedOn w:val="VarsaylanParagrafYazTipi"/>
    <w:uiPriority w:val="99"/>
    <w:unhideWhenUsed/>
    <w:rsid w:val="00EC68C5"/>
    <w:rPr>
      <w:color w:val="0563C1"/>
      <w:u w:val="single"/>
    </w:rPr>
  </w:style>
  <w:style w:type="character" w:customStyle="1" w:styleId="FollowedHyperlink1">
    <w:name w:val="FollowedHyperlink1"/>
    <w:basedOn w:val="VarsaylanParagrafYazTipi"/>
    <w:uiPriority w:val="99"/>
    <w:semiHidden/>
    <w:unhideWhenUsed/>
    <w:rsid w:val="00EC68C5"/>
    <w:rPr>
      <w:color w:val="954F72"/>
      <w:u w:val="single"/>
    </w:rPr>
  </w:style>
  <w:style w:type="paragraph" w:customStyle="1" w:styleId="Caption1">
    <w:name w:val="Caption1"/>
    <w:basedOn w:val="Normal"/>
    <w:next w:val="Normal"/>
    <w:uiPriority w:val="35"/>
    <w:unhideWhenUsed/>
    <w:qFormat/>
    <w:rsid w:val="00EC68C5"/>
    <w:pPr>
      <w:spacing w:after="200"/>
    </w:pPr>
    <w:rPr>
      <w:rFonts w:ascii="Times New Roman" w:hAnsi="Times New Roman"/>
      <w:i/>
      <w:iCs/>
      <w:color w:val="44546A"/>
      <w:kern w:val="0"/>
      <w:sz w:val="18"/>
      <w:szCs w:val="18"/>
      <w14:ligatures w14:val="none"/>
    </w:rPr>
  </w:style>
  <w:style w:type="paragraph" w:customStyle="1" w:styleId="TOCHeading1">
    <w:name w:val="TOC Heading1"/>
    <w:basedOn w:val="Balk1"/>
    <w:next w:val="Normal"/>
    <w:uiPriority w:val="39"/>
    <w:unhideWhenUsed/>
    <w:qFormat/>
    <w:rsid w:val="00EC68C5"/>
    <w:pPr>
      <w:spacing w:line="259" w:lineRule="auto"/>
      <w:jc w:val="left"/>
    </w:pPr>
    <w:rPr>
      <w:rFonts w:eastAsia="Times New Roman" w:cs="Times New Roman"/>
      <w:kern w:val="0"/>
      <w14:ligatures w14:val="none"/>
    </w:rPr>
  </w:style>
  <w:style w:type="paragraph" w:customStyle="1" w:styleId="TOC21">
    <w:name w:val="TOC 21"/>
    <w:basedOn w:val="Normal"/>
    <w:next w:val="Normal"/>
    <w:autoRedefine/>
    <w:uiPriority w:val="39"/>
    <w:unhideWhenUsed/>
    <w:rsid w:val="00EC68C5"/>
    <w:pPr>
      <w:tabs>
        <w:tab w:val="right" w:leader="dot" w:pos="9062"/>
      </w:tabs>
      <w:spacing w:before="120"/>
      <w:ind w:left="240"/>
    </w:pPr>
    <w:rPr>
      <w:rFonts w:cs="Calibri"/>
      <w:i/>
      <w:iCs/>
      <w:sz w:val="20"/>
    </w:rPr>
  </w:style>
  <w:style w:type="paragraph" w:customStyle="1" w:styleId="TOC11">
    <w:name w:val="TOC 11"/>
    <w:basedOn w:val="Normal"/>
    <w:next w:val="Normal"/>
    <w:autoRedefine/>
    <w:uiPriority w:val="39"/>
    <w:unhideWhenUsed/>
    <w:rsid w:val="00EC68C5"/>
    <w:pPr>
      <w:tabs>
        <w:tab w:val="right" w:leader="dot" w:pos="9062"/>
      </w:tabs>
      <w:spacing w:before="240" w:after="120"/>
    </w:pPr>
    <w:rPr>
      <w:rFonts w:cs="Calibri"/>
      <w:b/>
      <w:bCs/>
      <w:sz w:val="20"/>
    </w:rPr>
  </w:style>
  <w:style w:type="paragraph" w:customStyle="1" w:styleId="TOC31">
    <w:name w:val="TOC 31"/>
    <w:basedOn w:val="Normal"/>
    <w:next w:val="Normal"/>
    <w:autoRedefine/>
    <w:uiPriority w:val="39"/>
    <w:unhideWhenUsed/>
    <w:rsid w:val="00EC68C5"/>
    <w:pPr>
      <w:ind w:left="480"/>
    </w:pPr>
    <w:rPr>
      <w:rFonts w:cs="Calibri"/>
      <w:sz w:val="20"/>
    </w:rPr>
  </w:style>
  <w:style w:type="paragraph" w:customStyle="1" w:styleId="TOC41">
    <w:name w:val="TOC 41"/>
    <w:basedOn w:val="Normal"/>
    <w:next w:val="Normal"/>
    <w:autoRedefine/>
    <w:uiPriority w:val="39"/>
    <w:unhideWhenUsed/>
    <w:rsid w:val="00EC68C5"/>
    <w:pPr>
      <w:ind w:left="720"/>
    </w:pPr>
    <w:rPr>
      <w:rFonts w:cs="Calibri"/>
      <w:sz w:val="20"/>
    </w:rPr>
  </w:style>
  <w:style w:type="paragraph" w:customStyle="1" w:styleId="TOC51">
    <w:name w:val="TOC 51"/>
    <w:basedOn w:val="Normal"/>
    <w:next w:val="Normal"/>
    <w:autoRedefine/>
    <w:uiPriority w:val="39"/>
    <w:unhideWhenUsed/>
    <w:rsid w:val="00EC68C5"/>
    <w:pPr>
      <w:ind w:left="960"/>
    </w:pPr>
    <w:rPr>
      <w:rFonts w:cs="Calibri"/>
      <w:sz w:val="20"/>
    </w:rPr>
  </w:style>
  <w:style w:type="paragraph" w:customStyle="1" w:styleId="TOC61">
    <w:name w:val="TOC 61"/>
    <w:basedOn w:val="Normal"/>
    <w:next w:val="Normal"/>
    <w:autoRedefine/>
    <w:uiPriority w:val="39"/>
    <w:unhideWhenUsed/>
    <w:rsid w:val="00EC68C5"/>
    <w:pPr>
      <w:ind w:left="1200"/>
    </w:pPr>
    <w:rPr>
      <w:rFonts w:cs="Calibri"/>
      <w:sz w:val="20"/>
    </w:rPr>
  </w:style>
  <w:style w:type="paragraph" w:customStyle="1" w:styleId="TOC71">
    <w:name w:val="TOC 71"/>
    <w:basedOn w:val="Normal"/>
    <w:next w:val="Normal"/>
    <w:autoRedefine/>
    <w:uiPriority w:val="39"/>
    <w:unhideWhenUsed/>
    <w:rsid w:val="00EC68C5"/>
    <w:pPr>
      <w:ind w:left="1440"/>
    </w:pPr>
    <w:rPr>
      <w:rFonts w:cs="Calibri"/>
      <w:sz w:val="20"/>
    </w:rPr>
  </w:style>
  <w:style w:type="paragraph" w:customStyle="1" w:styleId="TOC81">
    <w:name w:val="TOC 81"/>
    <w:basedOn w:val="Normal"/>
    <w:next w:val="Normal"/>
    <w:autoRedefine/>
    <w:uiPriority w:val="39"/>
    <w:unhideWhenUsed/>
    <w:rsid w:val="00EC68C5"/>
    <w:pPr>
      <w:ind w:left="1680"/>
    </w:pPr>
    <w:rPr>
      <w:rFonts w:cs="Calibri"/>
      <w:sz w:val="20"/>
    </w:rPr>
  </w:style>
  <w:style w:type="paragraph" w:customStyle="1" w:styleId="TOC91">
    <w:name w:val="TOC 91"/>
    <w:basedOn w:val="Normal"/>
    <w:next w:val="Normal"/>
    <w:autoRedefine/>
    <w:uiPriority w:val="39"/>
    <w:unhideWhenUsed/>
    <w:rsid w:val="00EC68C5"/>
    <w:pPr>
      <w:ind w:left="1920"/>
    </w:pPr>
    <w:rPr>
      <w:rFonts w:cs="Calibri"/>
      <w:sz w:val="20"/>
    </w:rPr>
  </w:style>
  <w:style w:type="paragraph" w:customStyle="1" w:styleId="Quote1">
    <w:name w:val="Quote1"/>
    <w:basedOn w:val="Normal"/>
    <w:next w:val="Normal"/>
    <w:uiPriority w:val="29"/>
    <w:qFormat/>
    <w:rsid w:val="00EC68C5"/>
    <w:pPr>
      <w:spacing w:before="160" w:after="160" w:line="259" w:lineRule="auto"/>
      <w:ind w:left="720" w:right="720"/>
    </w:pPr>
    <w:rPr>
      <w:rFonts w:eastAsia="Times New Roman"/>
      <w:i/>
      <w:iCs/>
      <w:color w:val="000000"/>
      <w:kern w:val="0"/>
      <w:sz w:val="22"/>
      <w:szCs w:val="22"/>
      <w:lang w:val="it-IT"/>
      <w14:ligatures w14:val="none"/>
    </w:rPr>
  </w:style>
  <w:style w:type="paragraph" w:customStyle="1" w:styleId="IntenseQuote1">
    <w:name w:val="Intense Quote1"/>
    <w:basedOn w:val="Normal"/>
    <w:next w:val="Normal"/>
    <w:uiPriority w:val="30"/>
    <w:qFormat/>
    <w:rsid w:val="00EC68C5"/>
    <w:pPr>
      <w:pBdr>
        <w:top w:val="single" w:sz="24" w:space="1" w:color="F2F2F2"/>
        <w:bottom w:val="single" w:sz="24" w:space="1" w:color="F2F2F2"/>
      </w:pBdr>
      <w:shd w:val="clear" w:color="auto" w:fill="F2F2F2"/>
      <w:spacing w:before="240" w:after="240" w:line="259" w:lineRule="auto"/>
      <w:ind w:left="936" w:right="936"/>
      <w:jc w:val="center"/>
    </w:pPr>
    <w:rPr>
      <w:rFonts w:eastAsia="Times New Roman"/>
      <w:color w:val="000000"/>
      <w:kern w:val="0"/>
      <w:sz w:val="22"/>
      <w:szCs w:val="22"/>
      <w:lang w:val="it-IT"/>
      <w14:ligatures w14:val="none"/>
    </w:rPr>
  </w:style>
  <w:style w:type="character" w:customStyle="1" w:styleId="SubtleEmphasis1">
    <w:name w:val="Subtle Emphasis1"/>
    <w:basedOn w:val="VarsaylanParagrafYazTipi"/>
    <w:uiPriority w:val="19"/>
    <w:qFormat/>
    <w:rsid w:val="00EC68C5"/>
    <w:rPr>
      <w:i/>
      <w:iCs/>
      <w:color w:val="404040"/>
    </w:rPr>
  </w:style>
  <w:style w:type="character" w:customStyle="1" w:styleId="SubtleReference1">
    <w:name w:val="Subtle Reference1"/>
    <w:basedOn w:val="VarsaylanParagrafYazTipi"/>
    <w:uiPriority w:val="31"/>
    <w:qFormat/>
    <w:rsid w:val="00EC68C5"/>
    <w:rPr>
      <w:smallCaps/>
      <w:color w:val="404040"/>
      <w:u w:val="single" w:color="7F7F7F"/>
    </w:rPr>
  </w:style>
  <w:style w:type="paragraph" w:customStyle="1" w:styleId="Index11">
    <w:name w:val="Index 11"/>
    <w:basedOn w:val="Normal"/>
    <w:next w:val="Normal"/>
    <w:autoRedefine/>
    <w:uiPriority w:val="99"/>
    <w:unhideWhenUsed/>
    <w:rsid w:val="00EC68C5"/>
    <w:pPr>
      <w:ind w:left="240" w:hanging="240"/>
    </w:pPr>
    <w:rPr>
      <w:rFonts w:cs="Calibri"/>
      <w:sz w:val="18"/>
      <w:szCs w:val="21"/>
    </w:rPr>
  </w:style>
  <w:style w:type="paragraph" w:customStyle="1" w:styleId="Index21">
    <w:name w:val="Index 21"/>
    <w:basedOn w:val="Normal"/>
    <w:next w:val="Normal"/>
    <w:autoRedefine/>
    <w:uiPriority w:val="99"/>
    <w:unhideWhenUsed/>
    <w:rsid w:val="00EC68C5"/>
    <w:pPr>
      <w:ind w:left="480" w:hanging="240"/>
    </w:pPr>
    <w:rPr>
      <w:rFonts w:cs="Calibri"/>
      <w:sz w:val="18"/>
      <w:szCs w:val="21"/>
    </w:rPr>
  </w:style>
  <w:style w:type="paragraph" w:customStyle="1" w:styleId="Index31">
    <w:name w:val="Index 31"/>
    <w:basedOn w:val="Normal"/>
    <w:next w:val="Normal"/>
    <w:autoRedefine/>
    <w:uiPriority w:val="99"/>
    <w:unhideWhenUsed/>
    <w:rsid w:val="00EC68C5"/>
    <w:pPr>
      <w:ind w:left="720" w:hanging="240"/>
    </w:pPr>
    <w:rPr>
      <w:rFonts w:cs="Calibri"/>
      <w:sz w:val="18"/>
      <w:szCs w:val="21"/>
    </w:rPr>
  </w:style>
  <w:style w:type="paragraph" w:customStyle="1" w:styleId="Index41">
    <w:name w:val="Index 41"/>
    <w:basedOn w:val="Normal"/>
    <w:next w:val="Normal"/>
    <w:autoRedefine/>
    <w:uiPriority w:val="99"/>
    <w:unhideWhenUsed/>
    <w:rsid w:val="00EC68C5"/>
    <w:pPr>
      <w:ind w:left="960" w:hanging="240"/>
    </w:pPr>
    <w:rPr>
      <w:rFonts w:cs="Calibri"/>
      <w:sz w:val="18"/>
      <w:szCs w:val="21"/>
    </w:rPr>
  </w:style>
  <w:style w:type="paragraph" w:customStyle="1" w:styleId="Index51">
    <w:name w:val="Index 51"/>
    <w:basedOn w:val="Normal"/>
    <w:next w:val="Normal"/>
    <w:autoRedefine/>
    <w:uiPriority w:val="99"/>
    <w:unhideWhenUsed/>
    <w:rsid w:val="00EC68C5"/>
    <w:pPr>
      <w:ind w:left="1200" w:hanging="240"/>
    </w:pPr>
    <w:rPr>
      <w:rFonts w:cs="Calibri"/>
      <w:sz w:val="18"/>
      <w:szCs w:val="21"/>
    </w:rPr>
  </w:style>
  <w:style w:type="paragraph" w:customStyle="1" w:styleId="Index61">
    <w:name w:val="Index 61"/>
    <w:basedOn w:val="Normal"/>
    <w:next w:val="Normal"/>
    <w:autoRedefine/>
    <w:uiPriority w:val="99"/>
    <w:unhideWhenUsed/>
    <w:rsid w:val="00EC68C5"/>
    <w:pPr>
      <w:ind w:left="1440" w:hanging="240"/>
    </w:pPr>
    <w:rPr>
      <w:rFonts w:cs="Calibri"/>
      <w:sz w:val="18"/>
      <w:szCs w:val="21"/>
    </w:rPr>
  </w:style>
  <w:style w:type="paragraph" w:customStyle="1" w:styleId="Index71">
    <w:name w:val="Index 71"/>
    <w:basedOn w:val="Normal"/>
    <w:next w:val="Normal"/>
    <w:autoRedefine/>
    <w:uiPriority w:val="99"/>
    <w:unhideWhenUsed/>
    <w:rsid w:val="00EC68C5"/>
    <w:pPr>
      <w:ind w:left="1680" w:hanging="240"/>
    </w:pPr>
    <w:rPr>
      <w:rFonts w:cs="Calibri"/>
      <w:sz w:val="18"/>
      <w:szCs w:val="21"/>
    </w:rPr>
  </w:style>
  <w:style w:type="paragraph" w:customStyle="1" w:styleId="Index81">
    <w:name w:val="Index 81"/>
    <w:basedOn w:val="Normal"/>
    <w:next w:val="Normal"/>
    <w:autoRedefine/>
    <w:uiPriority w:val="99"/>
    <w:unhideWhenUsed/>
    <w:rsid w:val="00EC68C5"/>
    <w:pPr>
      <w:ind w:left="1920" w:hanging="240"/>
    </w:pPr>
    <w:rPr>
      <w:rFonts w:cs="Calibri"/>
      <w:sz w:val="18"/>
      <w:szCs w:val="21"/>
    </w:rPr>
  </w:style>
  <w:style w:type="paragraph" w:customStyle="1" w:styleId="Index91">
    <w:name w:val="Index 91"/>
    <w:basedOn w:val="Normal"/>
    <w:next w:val="Normal"/>
    <w:autoRedefine/>
    <w:uiPriority w:val="99"/>
    <w:unhideWhenUsed/>
    <w:rsid w:val="00EC68C5"/>
    <w:pPr>
      <w:ind w:left="2160" w:hanging="240"/>
    </w:pPr>
    <w:rPr>
      <w:rFonts w:cs="Calibri"/>
      <w:sz w:val="18"/>
      <w:szCs w:val="21"/>
    </w:rPr>
  </w:style>
  <w:style w:type="paragraph" w:customStyle="1" w:styleId="IndexHeading1">
    <w:name w:val="Index Heading1"/>
    <w:basedOn w:val="Normal"/>
    <w:next w:val="Dizin1"/>
    <w:uiPriority w:val="99"/>
    <w:unhideWhenUsed/>
    <w:rsid w:val="00EC68C5"/>
    <w:pPr>
      <w:spacing w:before="240" w:after="120"/>
      <w:jc w:val="center"/>
    </w:pPr>
    <w:rPr>
      <w:rFonts w:cs="Calibri"/>
      <w:b/>
      <w:bCs/>
      <w:sz w:val="26"/>
      <w:szCs w:val="31"/>
    </w:rPr>
  </w:style>
  <w:style w:type="character" w:customStyle="1" w:styleId="zmlenmeyenBahsetme3">
    <w:name w:val="Çözümlenmeyen Bahsetme3"/>
    <w:basedOn w:val="VarsaylanParagrafYazTipi"/>
    <w:uiPriority w:val="99"/>
    <w:semiHidden/>
    <w:unhideWhenUsed/>
    <w:rsid w:val="00EC68C5"/>
    <w:rPr>
      <w:color w:val="605E5C"/>
      <w:shd w:val="clear" w:color="auto" w:fill="E1DFDD"/>
    </w:rPr>
  </w:style>
  <w:style w:type="character" w:customStyle="1" w:styleId="Heading1Char1">
    <w:name w:val="Heading 1 Char1"/>
    <w:basedOn w:val="VarsaylanParagrafYazTipi"/>
    <w:uiPriority w:val="9"/>
    <w:rsid w:val="00EC68C5"/>
    <w:rPr>
      <w:rFonts w:asciiTheme="majorHAnsi" w:eastAsiaTheme="majorEastAsia" w:hAnsiTheme="majorHAnsi" w:cstheme="majorBidi"/>
      <w:color w:val="2F5496" w:themeColor="accent1" w:themeShade="BF"/>
      <w:sz w:val="32"/>
      <w:szCs w:val="32"/>
    </w:rPr>
  </w:style>
  <w:style w:type="character" w:customStyle="1" w:styleId="Heading2Char1">
    <w:name w:val="Heading 2 Char1"/>
    <w:basedOn w:val="VarsaylanParagrafYazTipi"/>
    <w:uiPriority w:val="9"/>
    <w:semiHidden/>
    <w:rsid w:val="00EC68C5"/>
    <w:rPr>
      <w:rFonts w:asciiTheme="majorHAnsi" w:eastAsiaTheme="majorEastAsia" w:hAnsiTheme="majorHAnsi" w:cstheme="majorBidi"/>
      <w:color w:val="2F5496" w:themeColor="accent1" w:themeShade="BF"/>
      <w:sz w:val="26"/>
      <w:szCs w:val="26"/>
    </w:rPr>
  </w:style>
  <w:style w:type="character" w:customStyle="1" w:styleId="Heading7Char1">
    <w:name w:val="Heading 7 Char1"/>
    <w:basedOn w:val="VarsaylanParagrafYazTipi"/>
    <w:uiPriority w:val="9"/>
    <w:semiHidden/>
    <w:rsid w:val="00EC68C5"/>
    <w:rPr>
      <w:rFonts w:asciiTheme="majorHAnsi" w:eastAsiaTheme="majorEastAsia" w:hAnsiTheme="majorHAnsi" w:cstheme="majorBidi"/>
      <w:i/>
      <w:iCs/>
      <w:color w:val="1F3763" w:themeColor="accent1" w:themeShade="7F"/>
    </w:rPr>
  </w:style>
  <w:style w:type="character" w:customStyle="1" w:styleId="Heading8Char1">
    <w:name w:val="Heading 8 Char1"/>
    <w:basedOn w:val="VarsaylanParagrafYazTipi"/>
    <w:uiPriority w:val="9"/>
    <w:semiHidden/>
    <w:rsid w:val="00EC68C5"/>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VarsaylanParagrafYazTipi"/>
    <w:uiPriority w:val="9"/>
    <w:semiHidden/>
    <w:rsid w:val="00EC68C5"/>
    <w:rPr>
      <w:rFonts w:asciiTheme="majorHAnsi" w:eastAsiaTheme="majorEastAsia" w:hAnsiTheme="majorHAnsi" w:cstheme="majorBidi"/>
      <w:i/>
      <w:iCs/>
      <w:color w:val="272727" w:themeColor="text1" w:themeTint="D8"/>
      <w:sz w:val="21"/>
      <w:szCs w:val="21"/>
    </w:rPr>
  </w:style>
  <w:style w:type="character" w:customStyle="1" w:styleId="QuoteChar1">
    <w:name w:val="Quote Char1"/>
    <w:basedOn w:val="VarsaylanParagrafYazTipi"/>
    <w:uiPriority w:val="29"/>
    <w:rsid w:val="00EC68C5"/>
    <w:rPr>
      <w:i/>
      <w:iCs/>
      <w:color w:val="404040" w:themeColor="text1" w:themeTint="BF"/>
    </w:rPr>
  </w:style>
  <w:style w:type="character" w:customStyle="1" w:styleId="IntenseQuoteChar1">
    <w:name w:val="Intense Quote Char1"/>
    <w:basedOn w:val="VarsaylanParagrafYazTipi"/>
    <w:uiPriority w:val="30"/>
    <w:rsid w:val="00EC68C5"/>
    <w:rPr>
      <w:i/>
      <w:iCs/>
      <w:color w:val="4472C4" w:themeColor="accent1"/>
    </w:rPr>
  </w:style>
  <w:style w:type="paragraph" w:customStyle="1" w:styleId="FootnoteText1">
    <w:name w:val="Footnote Text1"/>
    <w:basedOn w:val="Normal"/>
    <w:next w:val="DipnotMetni"/>
    <w:link w:val="FootnoteTextChar"/>
    <w:uiPriority w:val="99"/>
    <w:unhideWhenUsed/>
    <w:rsid w:val="001C57DB"/>
    <w:rPr>
      <w:kern w:val="0"/>
      <w:sz w:val="20"/>
      <w:szCs w:val="20"/>
      <w:lang w:val="en-US"/>
      <w14:ligatures w14:val="none"/>
    </w:rPr>
  </w:style>
  <w:style w:type="character" w:customStyle="1" w:styleId="FootnoteTextChar">
    <w:name w:val="Footnote Text Char"/>
    <w:basedOn w:val="VarsaylanParagrafYazTipi"/>
    <w:link w:val="FootnoteText1"/>
    <w:uiPriority w:val="99"/>
    <w:rsid w:val="001C57DB"/>
    <w:rPr>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27435598">
      <w:bodyDiv w:val="1"/>
      <w:marLeft w:val="0"/>
      <w:marRight w:val="0"/>
      <w:marTop w:val="0"/>
      <w:marBottom w:val="0"/>
      <w:divBdr>
        <w:top w:val="none" w:sz="0" w:space="0" w:color="auto"/>
        <w:left w:val="none" w:sz="0" w:space="0" w:color="auto"/>
        <w:bottom w:val="none" w:sz="0" w:space="0" w:color="auto"/>
        <w:right w:val="none" w:sz="0" w:space="0" w:color="auto"/>
      </w:divBdr>
      <w:divsChild>
        <w:div w:id="766313583">
          <w:marLeft w:val="0"/>
          <w:marRight w:val="0"/>
          <w:marTop w:val="0"/>
          <w:marBottom w:val="0"/>
          <w:divBdr>
            <w:top w:val="none" w:sz="0" w:space="0" w:color="auto"/>
            <w:left w:val="none" w:sz="0" w:space="0" w:color="auto"/>
            <w:bottom w:val="none" w:sz="0" w:space="0" w:color="auto"/>
            <w:right w:val="none" w:sz="0" w:space="0" w:color="auto"/>
          </w:divBdr>
        </w:div>
        <w:div w:id="727194151">
          <w:marLeft w:val="0"/>
          <w:marRight w:val="0"/>
          <w:marTop w:val="0"/>
          <w:marBottom w:val="0"/>
          <w:divBdr>
            <w:top w:val="none" w:sz="0" w:space="0" w:color="auto"/>
            <w:left w:val="none" w:sz="0" w:space="0" w:color="auto"/>
            <w:bottom w:val="none" w:sz="0" w:space="0" w:color="auto"/>
            <w:right w:val="none" w:sz="0" w:space="0" w:color="auto"/>
          </w:divBdr>
        </w:div>
        <w:div w:id="1543127068">
          <w:marLeft w:val="0"/>
          <w:marRight w:val="0"/>
          <w:marTop w:val="0"/>
          <w:marBottom w:val="0"/>
          <w:divBdr>
            <w:top w:val="none" w:sz="0" w:space="0" w:color="auto"/>
            <w:left w:val="none" w:sz="0" w:space="0" w:color="auto"/>
            <w:bottom w:val="none" w:sz="0" w:space="0" w:color="auto"/>
            <w:right w:val="none" w:sz="0" w:space="0" w:color="auto"/>
          </w:divBdr>
        </w:div>
        <w:div w:id="245849757">
          <w:marLeft w:val="0"/>
          <w:marRight w:val="0"/>
          <w:marTop w:val="0"/>
          <w:marBottom w:val="0"/>
          <w:divBdr>
            <w:top w:val="none" w:sz="0" w:space="0" w:color="auto"/>
            <w:left w:val="none" w:sz="0" w:space="0" w:color="auto"/>
            <w:bottom w:val="none" w:sz="0" w:space="0" w:color="auto"/>
            <w:right w:val="none" w:sz="0" w:space="0" w:color="auto"/>
          </w:divBdr>
        </w:div>
        <w:div w:id="12246352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image" Target="media/image283.jpe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50.jpeg"/><Relationship Id="rId324" Type="http://schemas.openxmlformats.org/officeDocument/2006/relationships/image" Target="media/image308.jpeg"/><Relationship Id="rId366" Type="http://schemas.openxmlformats.org/officeDocument/2006/relationships/image" Target="media/image348.jpeg"/><Relationship Id="rId170" Type="http://schemas.openxmlformats.org/officeDocument/2006/relationships/image" Target="media/image161.jpeg"/><Relationship Id="rId226" Type="http://schemas.openxmlformats.org/officeDocument/2006/relationships/customXml" Target="ink/ink4.xml"/><Relationship Id="rId268" Type="http://schemas.openxmlformats.org/officeDocument/2006/relationships/image" Target="media/image252.jpeg"/><Relationship Id="rId32" Type="http://schemas.openxmlformats.org/officeDocument/2006/relationships/image" Target="media/image23.jpeg"/><Relationship Id="rId74" Type="http://schemas.openxmlformats.org/officeDocument/2006/relationships/image" Target="media/image65.jpeg"/><Relationship Id="rId128" Type="http://schemas.openxmlformats.org/officeDocument/2006/relationships/image" Target="media/image119.jpeg"/><Relationship Id="rId335" Type="http://schemas.openxmlformats.org/officeDocument/2006/relationships/image" Target="media/image319.jpeg"/><Relationship Id="rId377" Type="http://schemas.openxmlformats.org/officeDocument/2006/relationships/image" Target="media/image359.jpeg"/><Relationship Id="rId5" Type="http://schemas.openxmlformats.org/officeDocument/2006/relationships/webSettings" Target="webSettings.xml"/><Relationship Id="rId181" Type="http://schemas.openxmlformats.org/officeDocument/2006/relationships/image" Target="media/image172.jpeg"/><Relationship Id="rId237" Type="http://schemas.openxmlformats.org/officeDocument/2006/relationships/image" Target="media/image221.png"/><Relationship Id="rId279" Type="http://schemas.openxmlformats.org/officeDocument/2006/relationships/image" Target="media/image263.jpeg"/><Relationship Id="rId43" Type="http://schemas.openxmlformats.org/officeDocument/2006/relationships/image" Target="media/image34.jpeg"/><Relationship Id="rId139" Type="http://schemas.openxmlformats.org/officeDocument/2006/relationships/image" Target="media/image130.jpeg"/><Relationship Id="rId290" Type="http://schemas.openxmlformats.org/officeDocument/2006/relationships/image" Target="media/image274.jpeg"/><Relationship Id="rId304" Type="http://schemas.openxmlformats.org/officeDocument/2006/relationships/image" Target="media/image288.jpeg"/><Relationship Id="rId346" Type="http://schemas.openxmlformats.org/officeDocument/2006/relationships/image" Target="media/image330.jpeg"/><Relationship Id="rId85" Type="http://schemas.openxmlformats.org/officeDocument/2006/relationships/image" Target="media/image76.jpeg"/><Relationship Id="rId150" Type="http://schemas.openxmlformats.org/officeDocument/2006/relationships/image" Target="media/image141.jpeg"/><Relationship Id="rId192" Type="http://schemas.openxmlformats.org/officeDocument/2006/relationships/image" Target="media/image183.jpeg"/><Relationship Id="rId206" Type="http://schemas.openxmlformats.org/officeDocument/2006/relationships/image" Target="media/image197.jpeg"/><Relationship Id="rId248" Type="http://schemas.openxmlformats.org/officeDocument/2006/relationships/image" Target="media/image232.png"/><Relationship Id="rId12" Type="http://schemas.openxmlformats.org/officeDocument/2006/relationships/image" Target="media/image3.jpeg"/><Relationship Id="rId108" Type="http://schemas.openxmlformats.org/officeDocument/2006/relationships/image" Target="media/image99.jpeg"/><Relationship Id="rId315" Type="http://schemas.openxmlformats.org/officeDocument/2006/relationships/image" Target="media/image299.jpeg"/><Relationship Id="rId357" Type="http://schemas.openxmlformats.org/officeDocument/2006/relationships/image" Target="media/image341.jpeg"/><Relationship Id="rId54" Type="http://schemas.openxmlformats.org/officeDocument/2006/relationships/image" Target="media/image45.jpeg"/><Relationship Id="rId96" Type="http://schemas.openxmlformats.org/officeDocument/2006/relationships/image" Target="media/image87.jpeg"/><Relationship Id="rId161" Type="http://schemas.openxmlformats.org/officeDocument/2006/relationships/image" Target="media/image152.jpeg"/><Relationship Id="rId217" Type="http://schemas.openxmlformats.org/officeDocument/2006/relationships/image" Target="media/image208.jpeg"/><Relationship Id="rId259" Type="http://schemas.openxmlformats.org/officeDocument/2006/relationships/image" Target="media/image243.png"/><Relationship Id="rId23" Type="http://schemas.openxmlformats.org/officeDocument/2006/relationships/image" Target="media/image14.jpeg"/><Relationship Id="rId119" Type="http://schemas.openxmlformats.org/officeDocument/2006/relationships/image" Target="media/image110.jpeg"/><Relationship Id="rId270" Type="http://schemas.openxmlformats.org/officeDocument/2006/relationships/image" Target="media/image254.jpeg"/><Relationship Id="rId326" Type="http://schemas.openxmlformats.org/officeDocument/2006/relationships/image" Target="media/image310.jpeg"/><Relationship Id="rId65" Type="http://schemas.openxmlformats.org/officeDocument/2006/relationships/image" Target="media/image56.png"/><Relationship Id="rId130" Type="http://schemas.openxmlformats.org/officeDocument/2006/relationships/image" Target="media/image121.jpeg"/><Relationship Id="rId368" Type="http://schemas.openxmlformats.org/officeDocument/2006/relationships/image" Target="media/image350.jpeg"/><Relationship Id="rId172" Type="http://schemas.openxmlformats.org/officeDocument/2006/relationships/image" Target="media/image163.jpeg"/><Relationship Id="rId228" Type="http://schemas.openxmlformats.org/officeDocument/2006/relationships/image" Target="media/image214.png"/><Relationship Id="rId281" Type="http://schemas.openxmlformats.org/officeDocument/2006/relationships/image" Target="media/image265.jpeg"/><Relationship Id="rId337" Type="http://schemas.openxmlformats.org/officeDocument/2006/relationships/image" Target="media/image321.jpeg"/><Relationship Id="rId34" Type="http://schemas.openxmlformats.org/officeDocument/2006/relationships/image" Target="media/image25.jpeg"/><Relationship Id="rId76" Type="http://schemas.openxmlformats.org/officeDocument/2006/relationships/image" Target="media/image67.jpeg"/><Relationship Id="rId141" Type="http://schemas.openxmlformats.org/officeDocument/2006/relationships/image" Target="media/image132.jpeg"/><Relationship Id="rId379" Type="http://schemas.openxmlformats.org/officeDocument/2006/relationships/image" Target="media/image361.jpeg"/><Relationship Id="rId7" Type="http://schemas.openxmlformats.org/officeDocument/2006/relationships/endnotes" Target="endnotes.xml"/><Relationship Id="rId183" Type="http://schemas.openxmlformats.org/officeDocument/2006/relationships/image" Target="media/image174.jpeg"/><Relationship Id="rId239" Type="http://schemas.openxmlformats.org/officeDocument/2006/relationships/image" Target="media/image223.jpeg"/><Relationship Id="rId250" Type="http://schemas.openxmlformats.org/officeDocument/2006/relationships/image" Target="media/image234.png"/><Relationship Id="rId292" Type="http://schemas.openxmlformats.org/officeDocument/2006/relationships/image" Target="media/image276.jpeg"/><Relationship Id="rId306" Type="http://schemas.openxmlformats.org/officeDocument/2006/relationships/image" Target="media/image290.jpeg"/><Relationship Id="rId45" Type="http://schemas.openxmlformats.org/officeDocument/2006/relationships/image" Target="media/image36.jpeg"/><Relationship Id="rId87" Type="http://schemas.openxmlformats.org/officeDocument/2006/relationships/image" Target="media/image78.jpeg"/><Relationship Id="rId110" Type="http://schemas.openxmlformats.org/officeDocument/2006/relationships/image" Target="media/image101.jpeg"/><Relationship Id="rId348" Type="http://schemas.openxmlformats.org/officeDocument/2006/relationships/image" Target="media/image332.jpeg"/><Relationship Id="rId152" Type="http://schemas.openxmlformats.org/officeDocument/2006/relationships/image" Target="media/image143.jpeg"/><Relationship Id="rId194" Type="http://schemas.openxmlformats.org/officeDocument/2006/relationships/image" Target="media/image185.jpeg"/><Relationship Id="rId208" Type="http://schemas.openxmlformats.org/officeDocument/2006/relationships/image" Target="media/image199.jpeg"/><Relationship Id="rId261" Type="http://schemas.openxmlformats.org/officeDocument/2006/relationships/image" Target="media/image245.jpeg"/><Relationship Id="rId14" Type="http://schemas.openxmlformats.org/officeDocument/2006/relationships/image" Target="media/image5.jpeg"/><Relationship Id="rId56" Type="http://schemas.openxmlformats.org/officeDocument/2006/relationships/image" Target="media/image47.jpeg"/><Relationship Id="rId317" Type="http://schemas.openxmlformats.org/officeDocument/2006/relationships/image" Target="media/image301.jpeg"/><Relationship Id="rId359" Type="http://schemas.openxmlformats.org/officeDocument/2006/relationships/image" Target="media/image343.jpeg"/><Relationship Id="rId98" Type="http://schemas.openxmlformats.org/officeDocument/2006/relationships/image" Target="media/image89.jpeg"/><Relationship Id="rId121" Type="http://schemas.openxmlformats.org/officeDocument/2006/relationships/image" Target="media/image112.jpeg"/><Relationship Id="rId163" Type="http://schemas.openxmlformats.org/officeDocument/2006/relationships/image" Target="media/image154.jpeg"/><Relationship Id="rId219" Type="http://schemas.openxmlformats.org/officeDocument/2006/relationships/image" Target="media/image210.jpeg"/><Relationship Id="rId370" Type="http://schemas.openxmlformats.org/officeDocument/2006/relationships/image" Target="media/image352.jpeg"/><Relationship Id="rId230" Type="http://schemas.openxmlformats.org/officeDocument/2006/relationships/customXml" Target="ink/ink7.xml"/><Relationship Id="rId25" Type="http://schemas.openxmlformats.org/officeDocument/2006/relationships/image" Target="media/image16.jpeg"/><Relationship Id="rId67" Type="http://schemas.openxmlformats.org/officeDocument/2006/relationships/image" Target="media/image58.png"/><Relationship Id="rId272" Type="http://schemas.openxmlformats.org/officeDocument/2006/relationships/image" Target="media/image256.jpeg"/><Relationship Id="rId328" Type="http://schemas.openxmlformats.org/officeDocument/2006/relationships/image" Target="media/image312.jpeg"/><Relationship Id="rId132" Type="http://schemas.openxmlformats.org/officeDocument/2006/relationships/image" Target="media/image123.jpeg"/><Relationship Id="rId174" Type="http://schemas.openxmlformats.org/officeDocument/2006/relationships/image" Target="media/image165.jpeg"/><Relationship Id="rId381" Type="http://schemas.openxmlformats.org/officeDocument/2006/relationships/theme" Target="theme/theme1.xml"/><Relationship Id="rId241" Type="http://schemas.openxmlformats.org/officeDocument/2006/relationships/image" Target="media/image225.jpeg"/><Relationship Id="rId36" Type="http://schemas.openxmlformats.org/officeDocument/2006/relationships/image" Target="media/image27.jpeg"/><Relationship Id="rId283" Type="http://schemas.openxmlformats.org/officeDocument/2006/relationships/image" Target="media/image267.jpeg"/><Relationship Id="rId339" Type="http://schemas.openxmlformats.org/officeDocument/2006/relationships/image" Target="media/image323.jpeg"/><Relationship Id="rId78" Type="http://schemas.openxmlformats.org/officeDocument/2006/relationships/image" Target="media/image69.jpeg"/><Relationship Id="rId101" Type="http://schemas.openxmlformats.org/officeDocument/2006/relationships/image" Target="media/image92.jpeg"/><Relationship Id="rId143" Type="http://schemas.openxmlformats.org/officeDocument/2006/relationships/image" Target="media/image134.jpeg"/><Relationship Id="rId185" Type="http://schemas.openxmlformats.org/officeDocument/2006/relationships/image" Target="media/image176.jpeg"/><Relationship Id="rId350" Type="http://schemas.openxmlformats.org/officeDocument/2006/relationships/image" Target="media/image334.jpeg"/><Relationship Id="rId9" Type="http://schemas.openxmlformats.org/officeDocument/2006/relationships/footer" Target="footer2.xml"/><Relationship Id="rId210" Type="http://schemas.openxmlformats.org/officeDocument/2006/relationships/image" Target="media/image201.jpeg"/><Relationship Id="rId26" Type="http://schemas.openxmlformats.org/officeDocument/2006/relationships/image" Target="media/image17.jpeg"/><Relationship Id="rId231" Type="http://schemas.openxmlformats.org/officeDocument/2006/relationships/image" Target="media/image215.png"/><Relationship Id="rId252" Type="http://schemas.openxmlformats.org/officeDocument/2006/relationships/image" Target="media/image236.jpeg"/><Relationship Id="rId273" Type="http://schemas.openxmlformats.org/officeDocument/2006/relationships/image" Target="media/image257.jpeg"/><Relationship Id="rId294" Type="http://schemas.openxmlformats.org/officeDocument/2006/relationships/image" Target="media/image278.jpeg"/><Relationship Id="rId308" Type="http://schemas.openxmlformats.org/officeDocument/2006/relationships/image" Target="media/image292.jpeg"/><Relationship Id="rId329" Type="http://schemas.openxmlformats.org/officeDocument/2006/relationships/image" Target="media/image313.jpeg"/><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340" Type="http://schemas.openxmlformats.org/officeDocument/2006/relationships/image" Target="media/image324.jpeg"/><Relationship Id="rId361" Type="http://schemas.openxmlformats.org/officeDocument/2006/relationships/image" Target="media/image345.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221" Type="http://schemas.openxmlformats.org/officeDocument/2006/relationships/customXml" Target="ink/ink1.xml"/><Relationship Id="rId242" Type="http://schemas.openxmlformats.org/officeDocument/2006/relationships/image" Target="media/image226.jpeg"/><Relationship Id="rId263" Type="http://schemas.openxmlformats.org/officeDocument/2006/relationships/image" Target="media/image247.jpeg"/><Relationship Id="rId284" Type="http://schemas.openxmlformats.org/officeDocument/2006/relationships/image" Target="media/image268.jpeg"/><Relationship Id="rId319" Type="http://schemas.openxmlformats.org/officeDocument/2006/relationships/image" Target="media/image303.png"/><Relationship Id="rId37" Type="http://schemas.openxmlformats.org/officeDocument/2006/relationships/image" Target="media/image28.jpeg"/><Relationship Id="rId58" Type="http://schemas.openxmlformats.org/officeDocument/2006/relationships/image" Target="media/image49.pn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330" Type="http://schemas.openxmlformats.org/officeDocument/2006/relationships/image" Target="media/image314.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351" Type="http://schemas.openxmlformats.org/officeDocument/2006/relationships/image" Target="media/image335.jpeg"/><Relationship Id="rId372" Type="http://schemas.openxmlformats.org/officeDocument/2006/relationships/image" Target="media/image354.jpeg"/><Relationship Id="rId211" Type="http://schemas.openxmlformats.org/officeDocument/2006/relationships/image" Target="media/image202.jpe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jpeg"/><Relationship Id="rId295" Type="http://schemas.openxmlformats.org/officeDocument/2006/relationships/image" Target="media/image279.jpeg"/><Relationship Id="rId309" Type="http://schemas.openxmlformats.org/officeDocument/2006/relationships/image" Target="media/image293.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5.jpeg"/><Relationship Id="rId320" Type="http://schemas.openxmlformats.org/officeDocument/2006/relationships/image" Target="media/image304.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341" Type="http://schemas.openxmlformats.org/officeDocument/2006/relationships/image" Target="media/image325.jpeg"/><Relationship Id="rId362" Type="http://schemas.openxmlformats.org/officeDocument/2006/relationships/image" Target="media/image346.jpeg"/><Relationship Id="rId201" Type="http://schemas.openxmlformats.org/officeDocument/2006/relationships/image" Target="media/image192.jpeg"/><Relationship Id="rId222" Type="http://schemas.openxmlformats.org/officeDocument/2006/relationships/image" Target="media/image212.png"/><Relationship Id="rId243" Type="http://schemas.openxmlformats.org/officeDocument/2006/relationships/image" Target="media/image227.jpeg"/><Relationship Id="rId264" Type="http://schemas.openxmlformats.org/officeDocument/2006/relationships/image" Target="media/image248.jpeg"/><Relationship Id="rId285" Type="http://schemas.openxmlformats.org/officeDocument/2006/relationships/image" Target="media/image269.jpe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310" Type="http://schemas.openxmlformats.org/officeDocument/2006/relationships/image" Target="media/image294.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331" Type="http://schemas.openxmlformats.org/officeDocument/2006/relationships/image" Target="media/image315.jpeg"/><Relationship Id="rId352" Type="http://schemas.openxmlformats.org/officeDocument/2006/relationships/image" Target="media/image336.jpeg"/><Relationship Id="rId373" Type="http://schemas.openxmlformats.org/officeDocument/2006/relationships/image" Target="media/image355.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17.jpeg"/><Relationship Id="rId254" Type="http://schemas.openxmlformats.org/officeDocument/2006/relationships/image" Target="media/image238.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275" Type="http://schemas.openxmlformats.org/officeDocument/2006/relationships/image" Target="media/image259.jpeg"/><Relationship Id="rId296" Type="http://schemas.openxmlformats.org/officeDocument/2006/relationships/image" Target="media/image280.jpeg"/><Relationship Id="rId300" Type="http://schemas.openxmlformats.org/officeDocument/2006/relationships/image" Target="media/image284.jpeg"/><Relationship Id="rId60" Type="http://schemas.openxmlformats.org/officeDocument/2006/relationships/image" Target="media/image51.pn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321" Type="http://schemas.openxmlformats.org/officeDocument/2006/relationships/image" Target="media/image305.jpeg"/><Relationship Id="rId342" Type="http://schemas.openxmlformats.org/officeDocument/2006/relationships/image" Target="media/image326.jpeg"/><Relationship Id="rId363" Type="http://schemas.openxmlformats.org/officeDocument/2006/relationships/header" Target="header1.xml"/><Relationship Id="rId202" Type="http://schemas.openxmlformats.org/officeDocument/2006/relationships/image" Target="media/image193.jpeg"/><Relationship Id="rId223" Type="http://schemas.openxmlformats.org/officeDocument/2006/relationships/customXml" Target="ink/ink2.xml"/><Relationship Id="rId244" Type="http://schemas.openxmlformats.org/officeDocument/2006/relationships/image" Target="media/image228.pn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image" Target="media/image249.jpeg"/><Relationship Id="rId286" Type="http://schemas.openxmlformats.org/officeDocument/2006/relationships/image" Target="media/image270.jpeg"/><Relationship Id="rId50" Type="http://schemas.openxmlformats.org/officeDocument/2006/relationships/image" Target="media/image41.pn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311" Type="http://schemas.openxmlformats.org/officeDocument/2006/relationships/image" Target="media/image295.png"/><Relationship Id="rId332" Type="http://schemas.openxmlformats.org/officeDocument/2006/relationships/image" Target="media/image316.jpeg"/><Relationship Id="rId353" Type="http://schemas.openxmlformats.org/officeDocument/2006/relationships/image" Target="media/image337.jpeg"/><Relationship Id="rId374" Type="http://schemas.openxmlformats.org/officeDocument/2006/relationships/image" Target="media/image356.jpe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204.jpeg"/><Relationship Id="rId234" Type="http://schemas.openxmlformats.org/officeDocument/2006/relationships/image" Target="media/image218.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39.png"/><Relationship Id="rId276" Type="http://schemas.openxmlformats.org/officeDocument/2006/relationships/image" Target="media/image260.jpeg"/><Relationship Id="rId297" Type="http://schemas.openxmlformats.org/officeDocument/2006/relationships/image" Target="media/image281.jpeg"/><Relationship Id="rId40" Type="http://schemas.openxmlformats.org/officeDocument/2006/relationships/image" Target="media/image31.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301" Type="http://schemas.openxmlformats.org/officeDocument/2006/relationships/image" Target="media/image285.jpeg"/><Relationship Id="rId322" Type="http://schemas.openxmlformats.org/officeDocument/2006/relationships/image" Target="media/image306.jpeg"/><Relationship Id="rId343" Type="http://schemas.openxmlformats.org/officeDocument/2006/relationships/image" Target="media/image327.jpeg"/><Relationship Id="rId364" Type="http://schemas.openxmlformats.org/officeDocument/2006/relationships/footer" Target="footer3.xml"/><Relationship Id="rId61" Type="http://schemas.openxmlformats.org/officeDocument/2006/relationships/image" Target="media/image52.png"/><Relationship Id="rId82" Type="http://schemas.openxmlformats.org/officeDocument/2006/relationships/image" Target="media/image73.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0.jpeg"/><Relationship Id="rId224" Type="http://schemas.openxmlformats.org/officeDocument/2006/relationships/image" Target="media/image213.png"/><Relationship Id="rId245" Type="http://schemas.openxmlformats.org/officeDocument/2006/relationships/image" Target="media/image229.png"/><Relationship Id="rId266" Type="http://schemas.openxmlformats.org/officeDocument/2006/relationships/image" Target="media/image250.jpeg"/><Relationship Id="rId287" Type="http://schemas.openxmlformats.org/officeDocument/2006/relationships/image" Target="media/image271.jpe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312" Type="http://schemas.openxmlformats.org/officeDocument/2006/relationships/image" Target="media/image296.jpeg"/><Relationship Id="rId333" Type="http://schemas.openxmlformats.org/officeDocument/2006/relationships/image" Target="media/image317.jpeg"/><Relationship Id="rId354" Type="http://schemas.openxmlformats.org/officeDocument/2006/relationships/image" Target="media/image338.jpeg"/><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80.jpeg"/><Relationship Id="rId375" Type="http://schemas.openxmlformats.org/officeDocument/2006/relationships/image" Target="media/image357.jpeg"/><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19.jpeg"/><Relationship Id="rId256" Type="http://schemas.openxmlformats.org/officeDocument/2006/relationships/image" Target="media/image240.jpeg"/><Relationship Id="rId277" Type="http://schemas.openxmlformats.org/officeDocument/2006/relationships/image" Target="media/image261.jpeg"/><Relationship Id="rId298" Type="http://schemas.openxmlformats.org/officeDocument/2006/relationships/image" Target="media/image282.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302" Type="http://schemas.openxmlformats.org/officeDocument/2006/relationships/image" Target="media/image286.jpeg"/><Relationship Id="rId323" Type="http://schemas.openxmlformats.org/officeDocument/2006/relationships/image" Target="media/image307.jpeg"/><Relationship Id="rId344" Type="http://schemas.openxmlformats.org/officeDocument/2006/relationships/image" Target="media/image328.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179" Type="http://schemas.openxmlformats.org/officeDocument/2006/relationships/image" Target="media/image170.jpeg"/><Relationship Id="rId365" Type="http://schemas.openxmlformats.org/officeDocument/2006/relationships/image" Target="media/image347.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customXml" Target="ink/ink3.xml"/><Relationship Id="rId246" Type="http://schemas.openxmlformats.org/officeDocument/2006/relationships/image" Target="media/image230.png"/><Relationship Id="rId267" Type="http://schemas.openxmlformats.org/officeDocument/2006/relationships/image" Target="media/image251.jpeg"/><Relationship Id="rId288" Type="http://schemas.openxmlformats.org/officeDocument/2006/relationships/image" Target="media/image272.jpeg"/><Relationship Id="rId106" Type="http://schemas.openxmlformats.org/officeDocument/2006/relationships/image" Target="media/image97.jpeg"/><Relationship Id="rId127" Type="http://schemas.openxmlformats.org/officeDocument/2006/relationships/image" Target="media/image118.jpeg"/><Relationship Id="rId313" Type="http://schemas.openxmlformats.org/officeDocument/2006/relationships/image" Target="media/image297.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image" Target="media/image139.jpeg"/><Relationship Id="rId169" Type="http://schemas.openxmlformats.org/officeDocument/2006/relationships/image" Target="media/image160.jpeg"/><Relationship Id="rId334" Type="http://schemas.openxmlformats.org/officeDocument/2006/relationships/image" Target="media/image318.jpeg"/><Relationship Id="rId355" Type="http://schemas.openxmlformats.org/officeDocument/2006/relationships/image" Target="media/image339.png"/><Relationship Id="rId376" Type="http://schemas.openxmlformats.org/officeDocument/2006/relationships/image" Target="media/image358.jpeg"/><Relationship Id="rId4" Type="http://schemas.openxmlformats.org/officeDocument/2006/relationships/settings" Target="settings.xml"/><Relationship Id="rId180" Type="http://schemas.openxmlformats.org/officeDocument/2006/relationships/image" Target="media/image171.jpeg"/><Relationship Id="rId215" Type="http://schemas.openxmlformats.org/officeDocument/2006/relationships/image" Target="media/image206.jpeg"/><Relationship Id="rId236" Type="http://schemas.openxmlformats.org/officeDocument/2006/relationships/image" Target="media/image220.jpeg"/><Relationship Id="rId257" Type="http://schemas.openxmlformats.org/officeDocument/2006/relationships/image" Target="media/image241.jpeg"/><Relationship Id="rId278" Type="http://schemas.openxmlformats.org/officeDocument/2006/relationships/image" Target="media/image262.jpeg"/><Relationship Id="rId303" Type="http://schemas.openxmlformats.org/officeDocument/2006/relationships/image" Target="media/image287.jpeg"/><Relationship Id="rId42" Type="http://schemas.openxmlformats.org/officeDocument/2006/relationships/image" Target="media/image33.jpeg"/><Relationship Id="rId84" Type="http://schemas.openxmlformats.org/officeDocument/2006/relationships/image" Target="media/image75.jpeg"/><Relationship Id="rId138" Type="http://schemas.openxmlformats.org/officeDocument/2006/relationships/image" Target="media/image129.jpeg"/><Relationship Id="rId345" Type="http://schemas.openxmlformats.org/officeDocument/2006/relationships/image" Target="media/image329.jpeg"/><Relationship Id="rId191" Type="http://schemas.openxmlformats.org/officeDocument/2006/relationships/image" Target="media/image182.jpeg"/><Relationship Id="rId205" Type="http://schemas.openxmlformats.org/officeDocument/2006/relationships/image" Target="media/image196.jpeg"/><Relationship Id="rId247" Type="http://schemas.openxmlformats.org/officeDocument/2006/relationships/image" Target="media/image231.jpeg"/><Relationship Id="rId107" Type="http://schemas.openxmlformats.org/officeDocument/2006/relationships/image" Target="media/image98.jpeg"/><Relationship Id="rId289" Type="http://schemas.openxmlformats.org/officeDocument/2006/relationships/image" Target="media/image273.jpeg"/><Relationship Id="rId11" Type="http://schemas.openxmlformats.org/officeDocument/2006/relationships/image" Target="media/image2.jpeg"/><Relationship Id="rId53" Type="http://schemas.openxmlformats.org/officeDocument/2006/relationships/image" Target="media/image44.jpeg"/><Relationship Id="rId149" Type="http://schemas.openxmlformats.org/officeDocument/2006/relationships/image" Target="media/image140.jpeg"/><Relationship Id="rId314" Type="http://schemas.openxmlformats.org/officeDocument/2006/relationships/image" Target="media/image298.jpeg"/><Relationship Id="rId356" Type="http://schemas.openxmlformats.org/officeDocument/2006/relationships/image" Target="media/image340.jpeg"/><Relationship Id="rId95" Type="http://schemas.openxmlformats.org/officeDocument/2006/relationships/image" Target="media/image86.jpeg"/><Relationship Id="rId160" Type="http://schemas.openxmlformats.org/officeDocument/2006/relationships/image" Target="media/image151.jpeg"/><Relationship Id="rId216" Type="http://schemas.openxmlformats.org/officeDocument/2006/relationships/image" Target="media/image207.jpeg"/><Relationship Id="rId258" Type="http://schemas.openxmlformats.org/officeDocument/2006/relationships/image" Target="media/image242.jpeg"/><Relationship Id="rId22" Type="http://schemas.openxmlformats.org/officeDocument/2006/relationships/image" Target="media/image13.jpeg"/><Relationship Id="rId64" Type="http://schemas.openxmlformats.org/officeDocument/2006/relationships/image" Target="media/image55.jpeg"/><Relationship Id="rId118" Type="http://schemas.openxmlformats.org/officeDocument/2006/relationships/image" Target="media/image109.jpeg"/><Relationship Id="rId325" Type="http://schemas.openxmlformats.org/officeDocument/2006/relationships/image" Target="media/image309.jpeg"/><Relationship Id="rId367" Type="http://schemas.openxmlformats.org/officeDocument/2006/relationships/image" Target="media/image349.jpeg"/><Relationship Id="rId171" Type="http://schemas.openxmlformats.org/officeDocument/2006/relationships/image" Target="media/image162.jpeg"/><Relationship Id="rId227" Type="http://schemas.openxmlformats.org/officeDocument/2006/relationships/customXml" Target="ink/ink5.xml"/><Relationship Id="rId269" Type="http://schemas.openxmlformats.org/officeDocument/2006/relationships/image" Target="media/image253.jpeg"/><Relationship Id="rId33" Type="http://schemas.openxmlformats.org/officeDocument/2006/relationships/image" Target="media/image24.jpeg"/><Relationship Id="rId129" Type="http://schemas.openxmlformats.org/officeDocument/2006/relationships/image" Target="media/image120.jpeg"/><Relationship Id="rId280" Type="http://schemas.openxmlformats.org/officeDocument/2006/relationships/image" Target="media/image264.jpeg"/><Relationship Id="rId336" Type="http://schemas.openxmlformats.org/officeDocument/2006/relationships/image" Target="media/image320.jpeg"/><Relationship Id="rId75" Type="http://schemas.openxmlformats.org/officeDocument/2006/relationships/image" Target="media/image66.jpeg"/><Relationship Id="rId140" Type="http://schemas.openxmlformats.org/officeDocument/2006/relationships/image" Target="media/image131.jpeg"/><Relationship Id="rId182" Type="http://schemas.openxmlformats.org/officeDocument/2006/relationships/image" Target="media/image173.emf"/><Relationship Id="rId378" Type="http://schemas.openxmlformats.org/officeDocument/2006/relationships/image" Target="media/image360.jpeg"/><Relationship Id="rId6" Type="http://schemas.openxmlformats.org/officeDocument/2006/relationships/footnotes" Target="footnotes.xml"/><Relationship Id="rId238" Type="http://schemas.openxmlformats.org/officeDocument/2006/relationships/image" Target="media/image222.jpeg"/><Relationship Id="rId291" Type="http://schemas.openxmlformats.org/officeDocument/2006/relationships/image" Target="media/image275.jpeg"/><Relationship Id="rId305" Type="http://schemas.openxmlformats.org/officeDocument/2006/relationships/image" Target="media/image289.jpeg"/><Relationship Id="rId347" Type="http://schemas.openxmlformats.org/officeDocument/2006/relationships/image" Target="media/image331.jpeg"/><Relationship Id="rId44" Type="http://schemas.openxmlformats.org/officeDocument/2006/relationships/image" Target="media/image35.jpeg"/><Relationship Id="rId86" Type="http://schemas.openxmlformats.org/officeDocument/2006/relationships/image" Target="media/image77.jpeg"/><Relationship Id="rId151" Type="http://schemas.openxmlformats.org/officeDocument/2006/relationships/image" Target="media/image142.jpeg"/><Relationship Id="rId193" Type="http://schemas.openxmlformats.org/officeDocument/2006/relationships/image" Target="media/image184.jpeg"/><Relationship Id="rId207" Type="http://schemas.openxmlformats.org/officeDocument/2006/relationships/image" Target="media/image198.jpeg"/><Relationship Id="rId249" Type="http://schemas.openxmlformats.org/officeDocument/2006/relationships/image" Target="media/image233.png"/><Relationship Id="rId13" Type="http://schemas.openxmlformats.org/officeDocument/2006/relationships/image" Target="media/image4.jpeg"/><Relationship Id="rId109" Type="http://schemas.openxmlformats.org/officeDocument/2006/relationships/image" Target="media/image100.jpeg"/><Relationship Id="rId260" Type="http://schemas.openxmlformats.org/officeDocument/2006/relationships/image" Target="media/image244.jpeg"/><Relationship Id="rId316" Type="http://schemas.openxmlformats.org/officeDocument/2006/relationships/image" Target="media/image300.jpeg"/><Relationship Id="rId55" Type="http://schemas.openxmlformats.org/officeDocument/2006/relationships/image" Target="media/image46.jpeg"/><Relationship Id="rId97" Type="http://schemas.openxmlformats.org/officeDocument/2006/relationships/image" Target="media/image88.jpeg"/><Relationship Id="rId120" Type="http://schemas.openxmlformats.org/officeDocument/2006/relationships/image" Target="media/image111.jpeg"/><Relationship Id="rId358" Type="http://schemas.openxmlformats.org/officeDocument/2006/relationships/image" Target="media/image342.jpeg"/><Relationship Id="rId162" Type="http://schemas.openxmlformats.org/officeDocument/2006/relationships/image" Target="media/image153.jpeg"/><Relationship Id="rId218" Type="http://schemas.openxmlformats.org/officeDocument/2006/relationships/image" Target="media/image209.jpeg"/><Relationship Id="rId271" Type="http://schemas.openxmlformats.org/officeDocument/2006/relationships/image" Target="media/image255.jpeg"/><Relationship Id="rId24" Type="http://schemas.openxmlformats.org/officeDocument/2006/relationships/image" Target="media/image15.png"/><Relationship Id="rId66" Type="http://schemas.openxmlformats.org/officeDocument/2006/relationships/image" Target="media/image57.jpeg"/><Relationship Id="rId131" Type="http://schemas.openxmlformats.org/officeDocument/2006/relationships/image" Target="media/image122.jpeg"/><Relationship Id="rId327" Type="http://schemas.openxmlformats.org/officeDocument/2006/relationships/image" Target="media/image311.jpeg"/><Relationship Id="rId369" Type="http://schemas.openxmlformats.org/officeDocument/2006/relationships/image" Target="media/image351.jpeg"/><Relationship Id="rId173" Type="http://schemas.openxmlformats.org/officeDocument/2006/relationships/image" Target="media/image164.jpeg"/><Relationship Id="rId229" Type="http://schemas.openxmlformats.org/officeDocument/2006/relationships/customXml" Target="ink/ink6.xml"/><Relationship Id="rId380" Type="http://schemas.openxmlformats.org/officeDocument/2006/relationships/fontTable" Target="fontTable.xml"/><Relationship Id="rId240" Type="http://schemas.openxmlformats.org/officeDocument/2006/relationships/image" Target="media/image224.png"/><Relationship Id="rId35" Type="http://schemas.openxmlformats.org/officeDocument/2006/relationships/image" Target="media/image26.jpeg"/><Relationship Id="rId77" Type="http://schemas.openxmlformats.org/officeDocument/2006/relationships/image" Target="media/image68.jpeg"/><Relationship Id="rId100" Type="http://schemas.openxmlformats.org/officeDocument/2006/relationships/image" Target="media/image91.jpeg"/><Relationship Id="rId282" Type="http://schemas.openxmlformats.org/officeDocument/2006/relationships/image" Target="media/image266.jpeg"/><Relationship Id="rId338" Type="http://schemas.openxmlformats.org/officeDocument/2006/relationships/image" Target="media/image322.jpeg"/><Relationship Id="rId8" Type="http://schemas.openxmlformats.org/officeDocument/2006/relationships/footer" Target="footer1.xml"/><Relationship Id="rId142" Type="http://schemas.openxmlformats.org/officeDocument/2006/relationships/image" Target="media/image133.jpeg"/><Relationship Id="rId184" Type="http://schemas.openxmlformats.org/officeDocument/2006/relationships/image" Target="media/image175.jpeg"/><Relationship Id="rId251" Type="http://schemas.openxmlformats.org/officeDocument/2006/relationships/image" Target="media/image235.png"/><Relationship Id="rId46" Type="http://schemas.openxmlformats.org/officeDocument/2006/relationships/image" Target="media/image37.jpeg"/><Relationship Id="rId293" Type="http://schemas.openxmlformats.org/officeDocument/2006/relationships/image" Target="media/image277.jpeg"/><Relationship Id="rId307" Type="http://schemas.openxmlformats.org/officeDocument/2006/relationships/image" Target="media/image291.jpeg"/><Relationship Id="rId349" Type="http://schemas.openxmlformats.org/officeDocument/2006/relationships/image" Target="media/image333.jpeg"/><Relationship Id="rId88" Type="http://schemas.openxmlformats.org/officeDocument/2006/relationships/image" Target="media/image79.jpeg"/><Relationship Id="rId111" Type="http://schemas.openxmlformats.org/officeDocument/2006/relationships/image" Target="media/image102.jpeg"/><Relationship Id="rId153" Type="http://schemas.openxmlformats.org/officeDocument/2006/relationships/image" Target="media/image144.jpeg"/><Relationship Id="rId195" Type="http://schemas.openxmlformats.org/officeDocument/2006/relationships/image" Target="media/image186.jpeg"/><Relationship Id="rId209" Type="http://schemas.openxmlformats.org/officeDocument/2006/relationships/image" Target="media/image200.jpeg"/><Relationship Id="rId360" Type="http://schemas.openxmlformats.org/officeDocument/2006/relationships/image" Target="media/image344.jpeg"/><Relationship Id="rId220" Type="http://schemas.openxmlformats.org/officeDocument/2006/relationships/image" Target="media/image211.jpeg"/><Relationship Id="rId15" Type="http://schemas.openxmlformats.org/officeDocument/2006/relationships/image" Target="media/image6.jpeg"/><Relationship Id="rId57" Type="http://schemas.openxmlformats.org/officeDocument/2006/relationships/image" Target="media/image48.png"/><Relationship Id="rId262" Type="http://schemas.openxmlformats.org/officeDocument/2006/relationships/image" Target="media/image246.jpeg"/><Relationship Id="rId318" Type="http://schemas.openxmlformats.org/officeDocument/2006/relationships/image" Target="media/image302.jpeg"/><Relationship Id="rId99" Type="http://schemas.openxmlformats.org/officeDocument/2006/relationships/image" Target="media/image90.jpeg"/><Relationship Id="rId122" Type="http://schemas.openxmlformats.org/officeDocument/2006/relationships/image" Target="media/image113.jpeg"/><Relationship Id="rId164" Type="http://schemas.openxmlformats.org/officeDocument/2006/relationships/image" Target="media/image155.jpeg"/><Relationship Id="rId371" Type="http://schemas.openxmlformats.org/officeDocument/2006/relationships/image" Target="media/image353.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49.24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1,'0'0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40.762"/>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40.434"/>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9.62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1,'0'0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9.199"/>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0,'571'0,"-553"1,0 0,-1 0,1 2,-1 0,30 9,-33-6</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8.37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1,'0'0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7.949"/>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63,'39'1,"0"-2,0-1,-1-2,-1-2,69-17,-73 14,0 2,1 2,0 1,0 1,66 5,-37-1,-46-1</inkml:trace>
</inkml:ink>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F95FD5-6077-477A-979F-502AFE664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.~WRD0004</Template>
  <TotalTime>15</TotalTime>
  <Pages>413</Pages>
  <Words>114282</Words>
  <Characters>651410</Characters>
  <Application>Microsoft Office Word</Application>
  <DocSecurity>0</DocSecurity>
  <Lines>5428</Lines>
  <Paragraphs>1528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764164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Ayşegül Yolcu</dc:creator>
  <cp:lastModifiedBy>erkan konyar</cp:lastModifiedBy>
  <cp:revision>4</cp:revision>
  <cp:lastPrinted>2024-04-23T11:15:00Z</cp:lastPrinted>
  <dcterms:created xsi:type="dcterms:W3CDTF">2024-07-29T20:01:00Z</dcterms:created>
  <dcterms:modified xsi:type="dcterms:W3CDTF">2024-07-30T08:28:00Z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c0ffd02ddfad426575faf13b94677e7bb39e39196ef552772fbab555646e3751</vt:lpwstr>
  </property>
</Properties>
</file>