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2B10D8" w14:paraId="35F5803D" w14:textId="77777777" w:rsidTr="007B2CCA">
        <w:trPr>
          <w:trHeight w:hRule="exact" w:val="397"/>
        </w:trPr>
        <w:tc>
          <w:tcPr>
            <w:tcW w:w="9736" w:type="dxa"/>
            <w:gridSpan w:val="8"/>
            <w:vAlign w:val="center"/>
          </w:tcPr>
          <w:p w14:paraId="38DDF464" w14:textId="77777777" w:rsidR="00CA7733" w:rsidRPr="00DB1686" w:rsidRDefault="00B02E33" w:rsidP="00DB1686">
            <w:pPr>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2B10D8" w14:paraId="501FB8C7" w14:textId="77777777" w:rsidTr="007B2CCA">
        <w:trPr>
          <w:trHeight w:hRule="exact" w:val="397"/>
        </w:trPr>
        <w:tc>
          <w:tcPr>
            <w:tcW w:w="9736" w:type="dxa"/>
            <w:gridSpan w:val="8"/>
            <w:shd w:val="clear" w:color="auto" w:fill="D9D9D9" w:themeFill="background1" w:themeFillShade="D9"/>
            <w:vAlign w:val="center"/>
          </w:tcPr>
          <w:p w14:paraId="26456AD2" w14:textId="77777777" w:rsidR="00CA7733" w:rsidRPr="00DB1686" w:rsidRDefault="00D16A66" w:rsidP="00DB1686">
            <w:pPr>
              <w:bidi w:val="0"/>
              <w:spacing w:line="276" w:lineRule="auto"/>
              <w:jc w:val="center"/>
              <w:rPr>
                <w:rFonts w:asciiTheme="minorBidi" w:hAnsiTheme="minorBidi"/>
                <w:b/>
                <w:bCs/>
              </w:rPr>
            </w:pPr>
            <w:r w:rsidRPr="00DB1686">
              <w:rPr>
                <w:rFonts w:asciiTheme="minorBidi" w:hAnsiTheme="minorBidi"/>
                <w:b/>
                <w:bCs/>
              </w:rPr>
              <w:t>STRATEGIES</w:t>
            </w:r>
          </w:p>
        </w:tc>
      </w:tr>
      <w:tr w:rsidR="005F3C01" w:rsidRPr="002B10D8" w14:paraId="04BBF047" w14:textId="77777777" w:rsidTr="00B259BF">
        <w:trPr>
          <w:trHeight w:val="1851"/>
        </w:trPr>
        <w:tc>
          <w:tcPr>
            <w:tcW w:w="1622" w:type="dxa"/>
            <w:shd w:val="clear" w:color="auto" w:fill="auto"/>
          </w:tcPr>
          <w:p w14:paraId="6C0096DD" w14:textId="77777777" w:rsidR="005F3C01"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Safeguarding Civil Society and Activists: The Civil Society Protection Hub</w:t>
            </w:r>
            <w:r w:rsidR="00BF73EB" w:rsidRPr="00DB1686">
              <w:rPr>
                <w:rFonts w:asciiTheme="minorBidi" w:hAnsiTheme="minorBidi"/>
                <w:sz w:val="20"/>
                <w:szCs w:val="20"/>
              </w:rPr>
              <w:t xml:space="preserve"> </w:t>
            </w:r>
          </w:p>
        </w:tc>
        <w:tc>
          <w:tcPr>
            <w:tcW w:w="1623" w:type="dxa"/>
            <w:gridSpan w:val="2"/>
            <w:shd w:val="clear" w:color="auto" w:fill="B4C6E7"/>
          </w:tcPr>
          <w:p w14:paraId="6DA87DB1" w14:textId="77777777" w:rsidR="00BF73EB" w:rsidRPr="00DB1686" w:rsidRDefault="005F3C01" w:rsidP="00DB1686">
            <w:pPr>
              <w:bidi w:val="0"/>
              <w:spacing w:line="276" w:lineRule="auto"/>
              <w:jc w:val="center"/>
              <w:rPr>
                <w:rFonts w:asciiTheme="minorBidi" w:hAnsiTheme="minorBidi"/>
                <w:b/>
                <w:bCs/>
                <w:sz w:val="20"/>
                <w:szCs w:val="20"/>
              </w:rPr>
            </w:pPr>
            <w:r w:rsidRPr="00DB1686">
              <w:rPr>
                <w:rFonts w:asciiTheme="minorBidi" w:hAnsiTheme="minorBidi"/>
                <w:b/>
                <w:bCs/>
                <w:sz w:val="20"/>
                <w:szCs w:val="20"/>
              </w:rPr>
              <w:t xml:space="preserve">Advancing Religious </w:t>
            </w:r>
            <w:r w:rsidR="00BF73EB" w:rsidRPr="00DB1686">
              <w:rPr>
                <w:rFonts w:asciiTheme="minorBidi" w:hAnsiTheme="minorBidi"/>
                <w:b/>
                <w:bCs/>
                <w:sz w:val="20"/>
                <w:szCs w:val="20"/>
              </w:rPr>
              <w:t>F</w:t>
            </w:r>
            <w:r w:rsidRPr="00DB1686">
              <w:rPr>
                <w:rFonts w:asciiTheme="minorBidi" w:hAnsiTheme="minorBidi"/>
                <w:b/>
                <w:bCs/>
                <w:sz w:val="20"/>
                <w:szCs w:val="20"/>
              </w:rPr>
              <w:t>reedom and F</w:t>
            </w:r>
            <w:r w:rsidR="00BF73EB" w:rsidRPr="00DB1686">
              <w:rPr>
                <w:rFonts w:asciiTheme="minorBidi" w:hAnsiTheme="minorBidi"/>
                <w:b/>
                <w:bCs/>
                <w:sz w:val="20"/>
                <w:szCs w:val="20"/>
              </w:rPr>
              <w:t>ighting Religious Extremism</w:t>
            </w:r>
          </w:p>
        </w:tc>
        <w:tc>
          <w:tcPr>
            <w:tcW w:w="1623" w:type="dxa"/>
          </w:tcPr>
          <w:p w14:paraId="73EACE3B"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Combating Crime &amp; Violence in Palestinian Israeli Society</w:t>
            </w:r>
          </w:p>
        </w:tc>
        <w:tc>
          <w:tcPr>
            <w:tcW w:w="1622" w:type="dxa"/>
          </w:tcPr>
          <w:p w14:paraId="11F6B309"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Anti-Racism Initiatives &amp; Organizations</w:t>
            </w:r>
          </w:p>
        </w:tc>
        <w:tc>
          <w:tcPr>
            <w:tcW w:w="1623" w:type="dxa"/>
            <w:gridSpan w:val="2"/>
          </w:tcPr>
          <w:p w14:paraId="403F0EA7" w14:textId="77777777" w:rsidR="00BF73EB"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Fighting the Occupation</w:t>
            </w:r>
            <w:r w:rsidR="00BF73EB" w:rsidRPr="00DB1686">
              <w:rPr>
                <w:rFonts w:asciiTheme="minorBidi" w:hAnsiTheme="minorBidi"/>
                <w:sz w:val="20"/>
                <w:szCs w:val="20"/>
              </w:rPr>
              <w:t xml:space="preserve"> </w:t>
            </w:r>
          </w:p>
        </w:tc>
        <w:tc>
          <w:tcPr>
            <w:tcW w:w="1623" w:type="dxa"/>
          </w:tcPr>
          <w:p w14:paraId="4E21E0DA"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Promoting Shared Society</w:t>
            </w:r>
          </w:p>
        </w:tc>
      </w:tr>
      <w:tr w:rsidR="00A30810" w:rsidRPr="002B10D8" w14:paraId="70A62139" w14:textId="77777777" w:rsidTr="00DB1686">
        <w:trPr>
          <w:trHeight w:val="1011"/>
        </w:trPr>
        <w:tc>
          <w:tcPr>
            <w:tcW w:w="2434" w:type="dxa"/>
            <w:gridSpan w:val="2"/>
            <w:shd w:val="clear" w:color="auto" w:fill="auto"/>
          </w:tcPr>
          <w:p w14:paraId="38FD888B"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Advancing Equity in Land, Planning &amp; Housing</w:t>
            </w:r>
          </w:p>
        </w:tc>
        <w:tc>
          <w:tcPr>
            <w:tcW w:w="2434" w:type="dxa"/>
            <w:gridSpan w:val="2"/>
          </w:tcPr>
          <w:p w14:paraId="716C1189"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Gender Equality NGOs</w:t>
            </w:r>
          </w:p>
        </w:tc>
        <w:tc>
          <w:tcPr>
            <w:tcW w:w="2434" w:type="dxa"/>
            <w:gridSpan w:val="2"/>
          </w:tcPr>
          <w:p w14:paraId="59E9BB31" w14:textId="77777777" w:rsidR="00A30810"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Safeguarding</w:t>
            </w:r>
            <w:r w:rsidR="00A30810" w:rsidRPr="00DB1686">
              <w:rPr>
                <w:rFonts w:asciiTheme="minorBidi" w:hAnsiTheme="minorBidi"/>
                <w:sz w:val="20"/>
                <w:szCs w:val="20"/>
              </w:rPr>
              <w:t xml:space="preserve"> Human &amp; Civil Rights</w:t>
            </w:r>
          </w:p>
        </w:tc>
        <w:tc>
          <w:tcPr>
            <w:tcW w:w="2434" w:type="dxa"/>
            <w:gridSpan w:val="2"/>
          </w:tcPr>
          <w:p w14:paraId="76BF1B8B"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Palestinian</w:t>
            </w:r>
            <w:r w:rsidR="005F3C01" w:rsidRPr="00DB1686">
              <w:rPr>
                <w:rFonts w:asciiTheme="minorBidi" w:hAnsiTheme="minorBidi"/>
                <w:sz w:val="20"/>
                <w:szCs w:val="20"/>
              </w:rPr>
              <w:t>-</w:t>
            </w:r>
            <w:r w:rsidRPr="00DB1686">
              <w:rPr>
                <w:rFonts w:asciiTheme="minorBidi" w:hAnsiTheme="minorBidi"/>
                <w:sz w:val="20"/>
                <w:szCs w:val="20"/>
              </w:rPr>
              <w:t>Israeli Society</w:t>
            </w:r>
          </w:p>
          <w:p w14:paraId="1C908E0C" w14:textId="77777777" w:rsidR="005F3C01" w:rsidRPr="00DB1686" w:rsidRDefault="005F3C01" w:rsidP="00DB1686">
            <w:pPr>
              <w:spacing w:line="276" w:lineRule="auto"/>
              <w:rPr>
                <w:rFonts w:asciiTheme="minorBidi" w:hAnsiTheme="minorBidi"/>
                <w:sz w:val="20"/>
                <w:szCs w:val="20"/>
              </w:rPr>
            </w:pPr>
          </w:p>
        </w:tc>
      </w:tr>
      <w:tr w:rsidR="00CA7733" w:rsidRPr="002B10D8" w14:paraId="1F8AD05D" w14:textId="77777777" w:rsidTr="000D3317">
        <w:trPr>
          <w:trHeight w:val="4797"/>
        </w:trPr>
        <w:tc>
          <w:tcPr>
            <w:tcW w:w="9736" w:type="dxa"/>
            <w:gridSpan w:val="8"/>
            <w:tcBorders>
              <w:bottom w:val="single" w:sz="4" w:space="0" w:color="auto"/>
            </w:tcBorders>
          </w:tcPr>
          <w:p w14:paraId="305570C2" w14:textId="77777777" w:rsidR="00A8729A" w:rsidRPr="00DB1686" w:rsidRDefault="00A8729A" w:rsidP="00DB1686">
            <w:pPr>
              <w:bidi w:val="0"/>
              <w:spacing w:line="276" w:lineRule="auto"/>
              <w:rPr>
                <w:rFonts w:asciiTheme="minorBidi" w:hAnsiTheme="minorBidi"/>
                <w:sz w:val="20"/>
                <w:szCs w:val="20"/>
              </w:rPr>
            </w:pPr>
          </w:p>
          <w:p w14:paraId="58D38F6D" w14:textId="77777777" w:rsidR="00A8729A" w:rsidRPr="00DB1686" w:rsidRDefault="00A8729A" w:rsidP="00DB1686">
            <w:pPr>
              <w:bidi w:val="0"/>
              <w:spacing w:line="276" w:lineRule="auto"/>
              <w:jc w:val="center"/>
              <w:rPr>
                <w:rFonts w:asciiTheme="minorBidi" w:hAnsiTheme="minorBidi"/>
                <w:sz w:val="20"/>
                <w:szCs w:val="20"/>
              </w:rPr>
            </w:pPr>
            <w:r w:rsidRPr="00DB1686">
              <w:rPr>
                <w:rFonts w:asciiTheme="minorBidi" w:eastAsia="Times New Roman" w:hAnsiTheme="minorBidi"/>
                <w:noProof/>
                <w:color w:val="000000"/>
                <w:sz w:val="20"/>
                <w:szCs w:val="20"/>
              </w:rPr>
              <w:drawing>
                <wp:anchor distT="0" distB="0" distL="114300" distR="114300" simplePos="0" relativeHeight="251658240" behindDoc="0" locked="0" layoutInCell="1" allowOverlap="1" wp14:anchorId="1BACE66B" wp14:editId="53104B79">
                  <wp:simplePos x="0" y="0"/>
                  <wp:positionH relativeFrom="column">
                    <wp:posOffset>756920</wp:posOffset>
                  </wp:positionH>
                  <wp:positionV relativeFrom="paragraph">
                    <wp:posOffset>50800</wp:posOffset>
                  </wp:positionV>
                  <wp:extent cx="4581525" cy="2762250"/>
                  <wp:effectExtent l="0" t="0" r="9525" b="0"/>
                  <wp:wrapNone/>
                  <wp:docPr id="3" name="Chart 3">
                    <a:extLst xmlns:a="http://schemas.openxmlformats.org/drawingml/2006/main">
                      <a:ext uri="{FF2B5EF4-FFF2-40B4-BE49-F238E27FC236}">
                        <a16:creationId xmlns:a16="http://schemas.microsoft.com/office/drawing/2014/main" id="{7515A49D-D255-442F-A2E1-DAC576CA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7323757" w14:textId="77777777" w:rsidR="00A8729A" w:rsidRPr="00DB1686" w:rsidRDefault="00A8729A" w:rsidP="00DB1686">
            <w:pPr>
              <w:bidi w:val="0"/>
              <w:spacing w:line="276" w:lineRule="auto"/>
              <w:jc w:val="center"/>
              <w:rPr>
                <w:rFonts w:asciiTheme="minorBidi" w:hAnsiTheme="minorBidi"/>
                <w:sz w:val="20"/>
                <w:szCs w:val="20"/>
              </w:rPr>
            </w:pPr>
          </w:p>
          <w:p w14:paraId="6C81F046" w14:textId="77777777" w:rsidR="00A8729A" w:rsidRPr="00DB1686" w:rsidRDefault="00A8729A" w:rsidP="00DB1686">
            <w:pPr>
              <w:bidi w:val="0"/>
              <w:spacing w:line="276" w:lineRule="auto"/>
              <w:jc w:val="center"/>
              <w:rPr>
                <w:rFonts w:asciiTheme="minorBidi" w:hAnsiTheme="minorBidi"/>
                <w:sz w:val="20"/>
                <w:szCs w:val="20"/>
              </w:rPr>
            </w:pPr>
          </w:p>
          <w:p w14:paraId="4FEBAE4E" w14:textId="77777777" w:rsidR="00A8729A" w:rsidRPr="00DB1686" w:rsidRDefault="00A8729A" w:rsidP="00DB1686">
            <w:pPr>
              <w:bidi w:val="0"/>
              <w:spacing w:line="276" w:lineRule="auto"/>
              <w:jc w:val="center"/>
              <w:rPr>
                <w:rFonts w:asciiTheme="minorBidi" w:hAnsiTheme="minorBidi"/>
                <w:sz w:val="20"/>
                <w:szCs w:val="20"/>
              </w:rPr>
            </w:pPr>
          </w:p>
        </w:tc>
      </w:tr>
      <w:tr w:rsidR="00CA7733" w:rsidRPr="002B10D8" w14:paraId="3917C415" w14:textId="77777777" w:rsidTr="007B2CCA">
        <w:tc>
          <w:tcPr>
            <w:tcW w:w="9736" w:type="dxa"/>
            <w:gridSpan w:val="8"/>
          </w:tcPr>
          <w:p w14:paraId="2B683416" w14:textId="192623E5" w:rsidR="00674998" w:rsidRPr="007E3789" w:rsidRDefault="005F7C83" w:rsidP="00DB1686">
            <w:pPr>
              <w:bidi w:val="0"/>
              <w:spacing w:line="276" w:lineRule="auto"/>
              <w:rPr>
                <w:rFonts w:asciiTheme="minorBidi" w:hAnsiTheme="minorBidi"/>
                <w:sz w:val="20"/>
                <w:szCs w:val="20"/>
                <w:highlight w:val="yellow"/>
              </w:rPr>
            </w:pPr>
            <w:r w:rsidRPr="00DB1686">
              <w:rPr>
                <w:rFonts w:asciiTheme="minorBidi" w:hAnsiTheme="minorBidi"/>
                <w:b/>
                <w:bCs/>
                <w:sz w:val="20"/>
                <w:szCs w:val="20"/>
              </w:rPr>
              <w:t xml:space="preserve">The organization was established </w:t>
            </w:r>
            <w:r w:rsidRPr="007E3789">
              <w:rPr>
                <w:rFonts w:asciiTheme="minorBidi" w:hAnsiTheme="minorBidi"/>
                <w:b/>
                <w:bCs/>
                <w:sz w:val="20"/>
                <w:szCs w:val="20"/>
                <w:highlight w:val="yellow"/>
              </w:rPr>
              <w:t>in:</w:t>
            </w:r>
            <w:r w:rsidR="00776293" w:rsidRPr="007E3789">
              <w:rPr>
                <w:rFonts w:asciiTheme="minorBidi" w:hAnsiTheme="minorBidi"/>
                <w:b/>
                <w:bCs/>
                <w:sz w:val="20"/>
                <w:szCs w:val="20"/>
                <w:highlight w:val="yellow"/>
              </w:rPr>
              <w:t xml:space="preserve"> </w:t>
            </w:r>
            <w:r w:rsidR="00674998" w:rsidRPr="007E3789">
              <w:rPr>
                <w:rFonts w:asciiTheme="minorBidi" w:hAnsiTheme="minorBidi"/>
                <w:sz w:val="20"/>
                <w:szCs w:val="20"/>
                <w:highlight w:val="yellow"/>
              </w:rPr>
              <w:t>1984</w:t>
            </w:r>
          </w:p>
          <w:tbl>
            <w:tblPr>
              <w:tblStyle w:val="TableGrid"/>
              <w:tblW w:w="0" w:type="auto"/>
              <w:jc w:val="center"/>
              <w:tblLook w:val="04A0" w:firstRow="1" w:lastRow="0" w:firstColumn="1" w:lastColumn="0" w:noHBand="0" w:noVBand="1"/>
            </w:tblPr>
            <w:tblGrid>
              <w:gridCol w:w="2016"/>
              <w:gridCol w:w="2417"/>
            </w:tblGrid>
            <w:tr w:rsidR="000D3317" w:rsidRPr="007E3789" w14:paraId="58357145" w14:textId="77777777" w:rsidTr="000D3317">
              <w:trPr>
                <w:jc w:val="center"/>
              </w:trPr>
              <w:tc>
                <w:tcPr>
                  <w:tcW w:w="2016" w:type="dxa"/>
                  <w:shd w:val="clear" w:color="auto" w:fill="D9D9D9" w:themeFill="background1" w:themeFillShade="D9"/>
                </w:tcPr>
                <w:p w14:paraId="19997525" w14:textId="2B032397" w:rsidR="000D3317" w:rsidRPr="007E3789" w:rsidRDefault="000D3317" w:rsidP="00E12237">
                  <w:pPr>
                    <w:bidi w:val="0"/>
                    <w:spacing w:line="276" w:lineRule="auto"/>
                    <w:jc w:val="center"/>
                    <w:rPr>
                      <w:rFonts w:asciiTheme="minorBidi" w:hAnsiTheme="minorBidi"/>
                      <w:b/>
                      <w:bCs/>
                      <w:sz w:val="20"/>
                      <w:szCs w:val="20"/>
                      <w:highlight w:val="yellow"/>
                    </w:rPr>
                  </w:pPr>
                  <w:r w:rsidRPr="007E3789">
                    <w:rPr>
                      <w:rFonts w:asciiTheme="minorBidi" w:hAnsiTheme="minorBidi"/>
                      <w:b/>
                      <w:bCs/>
                      <w:sz w:val="20"/>
                      <w:szCs w:val="20"/>
                      <w:highlight w:val="yellow"/>
                    </w:rPr>
                    <w:t>NIF Funding Type</w:t>
                  </w:r>
                </w:p>
              </w:tc>
              <w:tc>
                <w:tcPr>
                  <w:tcW w:w="2417" w:type="dxa"/>
                </w:tcPr>
                <w:p w14:paraId="2F2FCF6E" w14:textId="5A111B7C" w:rsidR="000D3317" w:rsidRPr="007E3789" w:rsidRDefault="000D3317" w:rsidP="00E12237">
                  <w:pPr>
                    <w:bidi w:val="0"/>
                    <w:spacing w:line="276" w:lineRule="auto"/>
                    <w:jc w:val="center"/>
                    <w:rPr>
                      <w:rFonts w:asciiTheme="minorBidi" w:hAnsiTheme="minorBidi"/>
                      <w:b/>
                      <w:bCs/>
                      <w:sz w:val="20"/>
                      <w:szCs w:val="20"/>
                      <w:highlight w:val="yellow"/>
                    </w:rPr>
                  </w:pPr>
                  <w:r w:rsidRPr="007E3789">
                    <w:rPr>
                      <w:rFonts w:asciiTheme="minorBidi" w:hAnsiTheme="minorBidi"/>
                      <w:b/>
                      <w:bCs/>
                      <w:sz w:val="20"/>
                      <w:szCs w:val="20"/>
                      <w:highlight w:val="yellow"/>
                    </w:rPr>
                    <w:t>Past Years of Support</w:t>
                  </w:r>
                </w:p>
              </w:tc>
            </w:tr>
            <w:tr w:rsidR="000D3317" w:rsidRPr="007E3789" w14:paraId="3375AFF0" w14:textId="77777777" w:rsidTr="000D3317">
              <w:trPr>
                <w:jc w:val="center"/>
              </w:trPr>
              <w:tc>
                <w:tcPr>
                  <w:tcW w:w="2016" w:type="dxa"/>
                  <w:shd w:val="clear" w:color="auto" w:fill="D9D9D9" w:themeFill="background1" w:themeFillShade="D9"/>
                </w:tcPr>
                <w:p w14:paraId="15475AC1" w14:textId="1D1D0135"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bCs/>
                      <w:sz w:val="20"/>
                      <w:szCs w:val="20"/>
                      <w:highlight w:val="yellow"/>
                    </w:rPr>
                    <w:t>General Support</w:t>
                  </w:r>
                </w:p>
              </w:tc>
              <w:tc>
                <w:tcPr>
                  <w:tcW w:w="2417" w:type="dxa"/>
                </w:tcPr>
                <w:p w14:paraId="6D716D29" w14:textId="464061C9"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1993-2021</w:t>
                  </w:r>
                </w:p>
              </w:tc>
            </w:tr>
            <w:tr w:rsidR="000D3317" w:rsidRPr="007E3789" w14:paraId="1BCE178D" w14:textId="77777777" w:rsidTr="000D3317">
              <w:trPr>
                <w:jc w:val="center"/>
              </w:trPr>
              <w:tc>
                <w:tcPr>
                  <w:tcW w:w="2016" w:type="dxa"/>
                  <w:shd w:val="clear" w:color="auto" w:fill="D9D9D9" w:themeFill="background1" w:themeFillShade="D9"/>
                </w:tcPr>
                <w:p w14:paraId="44EB4F59" w14:textId="5B29C13A"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Project Support</w:t>
                  </w:r>
                </w:p>
              </w:tc>
              <w:tc>
                <w:tcPr>
                  <w:tcW w:w="2417" w:type="dxa"/>
                </w:tcPr>
                <w:p w14:paraId="124FD5E9" w14:textId="7AD0E8CE"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2016-2013</w:t>
                  </w:r>
                </w:p>
              </w:tc>
            </w:tr>
          </w:tbl>
          <w:p w14:paraId="1705BD63" w14:textId="77777777" w:rsidR="005F7C83" w:rsidRPr="007E3789" w:rsidRDefault="005F7C83"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DA Support (in 2022):</w:t>
            </w:r>
            <w:r w:rsidRPr="007E3789">
              <w:rPr>
                <w:rFonts w:asciiTheme="minorBidi" w:hAnsiTheme="minorBidi"/>
                <w:sz w:val="20"/>
                <w:szCs w:val="20"/>
                <w:highlight w:val="yellow"/>
              </w:rPr>
              <w:t xml:space="preserve"> </w:t>
            </w:r>
            <w:r w:rsidR="0039625A" w:rsidRPr="007E3789">
              <w:rPr>
                <w:rFonts w:asciiTheme="minorBidi" w:hAnsiTheme="minorBidi"/>
                <w:sz w:val="20"/>
                <w:szCs w:val="20"/>
                <w:highlight w:val="yellow"/>
              </w:rPr>
              <w:t>$51,890</w:t>
            </w:r>
          </w:p>
          <w:p w14:paraId="523F4386" w14:textId="20FA6099" w:rsidR="00DB1686" w:rsidRPr="007E3789" w:rsidRDefault="006E4D2F"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Rapid Response Support (in 2022/23):</w:t>
            </w:r>
            <w:r w:rsidRPr="007E3789">
              <w:rPr>
                <w:rFonts w:asciiTheme="minorBidi" w:hAnsiTheme="minorBidi"/>
                <w:sz w:val="20"/>
                <w:szCs w:val="20"/>
                <w:highlight w:val="yellow"/>
              </w:rPr>
              <w:t xml:space="preserve"> </w:t>
            </w:r>
            <w:r w:rsidR="00916A0B" w:rsidRPr="007E3789">
              <w:rPr>
                <w:rFonts w:asciiTheme="minorBidi" w:hAnsiTheme="minorBidi"/>
                <w:sz w:val="20"/>
                <w:szCs w:val="20"/>
                <w:highlight w:val="yellow"/>
              </w:rPr>
              <w:t>$10,000</w:t>
            </w:r>
          </w:p>
          <w:p w14:paraId="40588F4B" w14:textId="77777777" w:rsidR="000D3317" w:rsidRPr="007E3789" w:rsidRDefault="000D3317" w:rsidP="000D3317">
            <w:pPr>
              <w:bidi w:val="0"/>
              <w:spacing w:line="276" w:lineRule="auto"/>
              <w:rPr>
                <w:rFonts w:asciiTheme="minorBidi" w:hAnsiTheme="minorBidi"/>
                <w:sz w:val="20"/>
                <w:szCs w:val="20"/>
                <w:highlight w:val="yellow"/>
              </w:rPr>
            </w:pPr>
          </w:p>
          <w:p w14:paraId="600E4D3C" w14:textId="77777777" w:rsidR="00FC1B5E" w:rsidRPr="007E3789" w:rsidRDefault="005F7C83" w:rsidP="00DB1686">
            <w:pPr>
              <w:spacing w:line="276" w:lineRule="auto"/>
              <w:jc w:val="right"/>
              <w:rPr>
                <w:rFonts w:asciiTheme="minorBidi" w:hAnsiTheme="minorBidi"/>
                <w:b/>
                <w:sz w:val="20"/>
                <w:szCs w:val="20"/>
                <w:highlight w:val="yellow"/>
                <w:rtl/>
              </w:rPr>
            </w:pPr>
            <w:r w:rsidRPr="007E3789">
              <w:rPr>
                <w:rFonts w:asciiTheme="minorBidi" w:hAnsiTheme="minorBidi"/>
                <w:b/>
                <w:bCs/>
                <w:sz w:val="20"/>
                <w:szCs w:val="20"/>
                <w:highlight w:val="yellow"/>
              </w:rPr>
              <w:t>Link to Organizational Website:</w:t>
            </w:r>
            <w:r w:rsidR="00F60D1C" w:rsidRPr="007E3789">
              <w:rPr>
                <w:rFonts w:asciiTheme="minorBidi" w:hAnsiTheme="minorBidi"/>
                <w:b/>
                <w:bCs/>
                <w:sz w:val="20"/>
                <w:szCs w:val="20"/>
                <w:highlight w:val="yellow"/>
              </w:rPr>
              <w:t xml:space="preserve"> </w:t>
            </w:r>
            <w:hyperlink r:id="rId9" w:history="1">
              <w:r w:rsidR="00FC1B5E" w:rsidRPr="007E3789">
                <w:rPr>
                  <w:rStyle w:val="Hyperlink"/>
                  <w:rFonts w:asciiTheme="minorBidi" w:hAnsiTheme="minorBidi"/>
                  <w:sz w:val="20"/>
                  <w:szCs w:val="20"/>
                  <w:highlight w:val="yellow"/>
                </w:rPr>
                <w:t>http://www.datumedina.org.il/</w:t>
              </w:r>
            </w:hyperlink>
          </w:p>
          <w:p w14:paraId="1FB5E3AC" w14:textId="77777777" w:rsidR="00CA7733" w:rsidRPr="007E3789" w:rsidRDefault="005F7C83"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Link to Proposal:</w:t>
            </w:r>
            <w:r w:rsidR="00F60D1C" w:rsidRPr="007E3789">
              <w:rPr>
                <w:rFonts w:asciiTheme="minorBidi" w:hAnsiTheme="minorBidi"/>
                <w:sz w:val="20"/>
                <w:szCs w:val="20"/>
                <w:highlight w:val="yellow"/>
              </w:rPr>
              <w:t xml:space="preserve"> </w:t>
            </w:r>
            <w:hyperlink r:id="rId10" w:history="1">
              <w:r w:rsidR="00042513" w:rsidRPr="007E3789">
                <w:rPr>
                  <w:rStyle w:val="Hyperlink"/>
                  <w:rFonts w:asciiTheme="minorBidi" w:hAnsiTheme="minorBidi"/>
                  <w:sz w:val="20"/>
                  <w:szCs w:val="20"/>
                  <w:highlight w:val="yellow"/>
                </w:rPr>
                <w:t>https://nif.my.site.com/Portal/a0NAb000000QKMo?srPos=19&amp;srKp=a0N</w:t>
              </w:r>
            </w:hyperlink>
          </w:p>
          <w:p w14:paraId="1FEBEE0A" w14:textId="77777777" w:rsidR="00042513" w:rsidRPr="00DB1686" w:rsidRDefault="007B2CCA" w:rsidP="00DB1686">
            <w:pPr>
              <w:bidi w:val="0"/>
              <w:spacing w:line="276" w:lineRule="auto"/>
              <w:rPr>
                <w:rFonts w:asciiTheme="minorBidi" w:hAnsiTheme="minorBidi"/>
                <w:sz w:val="20"/>
                <w:szCs w:val="20"/>
              </w:rPr>
            </w:pPr>
            <w:r w:rsidRPr="007E3789">
              <w:rPr>
                <w:rFonts w:asciiTheme="minorBidi" w:eastAsia="Arial" w:hAnsiTheme="minorBidi"/>
                <w:b/>
                <w:bCs/>
                <w:sz w:val="20"/>
                <w:szCs w:val="20"/>
                <w:highlight w:val="yellow"/>
                <w:lang w:bidi="ar-SA"/>
              </w:rPr>
              <w:t>Link to Interim Reports:</w:t>
            </w:r>
            <w:r w:rsidR="002C11F2" w:rsidRPr="007E3789">
              <w:rPr>
                <w:rFonts w:asciiTheme="minorBidi" w:hAnsiTheme="minorBidi"/>
                <w:sz w:val="20"/>
                <w:szCs w:val="20"/>
                <w:highlight w:val="yellow"/>
              </w:rPr>
              <w:t xml:space="preserve"> </w:t>
            </w:r>
            <w:hyperlink r:id="rId11" w:history="1">
              <w:r w:rsidR="00042513" w:rsidRPr="007E3789">
                <w:rPr>
                  <w:rStyle w:val="Hyperlink"/>
                  <w:rFonts w:asciiTheme="minorBidi" w:hAnsiTheme="minorBidi"/>
                  <w:sz w:val="20"/>
                  <w:szCs w:val="20"/>
                  <w:highlight w:val="yellow"/>
                </w:rPr>
                <w:t>https://nif.my.site.com/Portal/a0N3X000019mvro?srPos=15&amp;srKp=a0N</w:t>
              </w:r>
            </w:hyperlink>
          </w:p>
        </w:tc>
      </w:tr>
      <w:tr w:rsidR="00CA7733" w:rsidRPr="002B10D8" w14:paraId="6C2AE87F" w14:textId="77777777" w:rsidTr="007B2CCA">
        <w:trPr>
          <w:trHeight w:hRule="exact" w:val="397"/>
        </w:trPr>
        <w:tc>
          <w:tcPr>
            <w:tcW w:w="9736" w:type="dxa"/>
            <w:gridSpan w:val="8"/>
            <w:shd w:val="clear" w:color="auto" w:fill="D9D9D9" w:themeFill="background1" w:themeFillShade="D9"/>
            <w:vAlign w:val="center"/>
          </w:tcPr>
          <w:p w14:paraId="5FCA3A49" w14:textId="77777777" w:rsidR="00CA7733" w:rsidRPr="00B850C5" w:rsidRDefault="00DB1686" w:rsidP="00DB1686">
            <w:pPr>
              <w:bidi w:val="0"/>
              <w:spacing w:line="276" w:lineRule="auto"/>
              <w:jc w:val="center"/>
              <w:rPr>
                <w:rFonts w:asciiTheme="minorBidi" w:hAnsiTheme="minorBidi"/>
                <w:b/>
                <w:bCs/>
              </w:rPr>
            </w:pPr>
            <w:r w:rsidRPr="00B850C5">
              <w:rPr>
                <w:rFonts w:asciiTheme="minorBidi" w:hAnsiTheme="minorBidi"/>
                <w:b/>
                <w:bCs/>
              </w:rPr>
              <w:t>INTRODUCTION</w:t>
            </w:r>
          </w:p>
        </w:tc>
      </w:tr>
      <w:tr w:rsidR="00CA7733" w:rsidRPr="002B10D8" w14:paraId="754A2A3E" w14:textId="77777777" w:rsidTr="007B2CCA">
        <w:tc>
          <w:tcPr>
            <w:tcW w:w="9736" w:type="dxa"/>
            <w:gridSpan w:val="8"/>
          </w:tcPr>
          <w:p w14:paraId="655E7F65" w14:textId="207E158D" w:rsidR="00DB1686" w:rsidRPr="00DB1686" w:rsidRDefault="00325EAC" w:rsidP="000D3317">
            <w:pPr>
              <w:pStyle w:val="ListParagraph"/>
              <w:bidi w:val="0"/>
              <w:spacing w:line="276" w:lineRule="auto"/>
              <w:ind w:left="0"/>
              <w:jc w:val="both"/>
              <w:rPr>
                <w:rFonts w:asciiTheme="minorBidi" w:hAnsiTheme="minorBidi" w:cstheme="minorBidi"/>
                <w:sz w:val="20"/>
                <w:szCs w:val="20"/>
              </w:rPr>
            </w:pPr>
            <w:r w:rsidRPr="00DB1686">
              <w:rPr>
                <w:rFonts w:asciiTheme="minorBidi" w:hAnsiTheme="minorBidi" w:cstheme="minorBidi"/>
                <w:b/>
                <w:bCs/>
                <w:sz w:val="20"/>
                <w:szCs w:val="20"/>
              </w:rPr>
              <w:t>The overall current expected impact of the program as a strategy for advancing NIF’s overall mission of a just and democratic Israel is:</w:t>
            </w:r>
            <w:r w:rsidR="002C11F2" w:rsidRPr="00DB1686">
              <w:rPr>
                <w:rFonts w:asciiTheme="minorBidi" w:hAnsiTheme="minorBidi" w:cstheme="minorBidi"/>
                <w:b/>
                <w:bCs/>
                <w:sz w:val="20"/>
                <w:szCs w:val="20"/>
              </w:rPr>
              <w:t xml:space="preserve"> </w:t>
            </w:r>
            <w:r w:rsidR="00911AAD" w:rsidRPr="00DB1686">
              <w:rPr>
                <w:rFonts w:asciiTheme="minorBidi" w:hAnsiTheme="minorBidi" w:cstheme="minorBidi"/>
                <w:b/>
                <w:bCs/>
                <w:sz w:val="20"/>
                <w:szCs w:val="20"/>
              </w:rPr>
              <w:t xml:space="preserve"> </w:t>
            </w:r>
            <w:r w:rsidR="00911AAD" w:rsidRPr="00DB1686">
              <w:rPr>
                <w:rFonts w:asciiTheme="minorBidi" w:hAnsiTheme="minorBidi" w:cstheme="minorBidi"/>
                <w:sz w:val="20"/>
                <w:szCs w:val="20"/>
              </w:rPr>
              <w:t>Policies against religious coercion and unequal distribution of resources as well as those supporting religious tolerance will be measurably advanced. Religious extremism in Israeli society will be reduced.</w:t>
            </w:r>
          </w:p>
        </w:tc>
      </w:tr>
      <w:tr w:rsidR="00CA7733" w:rsidRPr="002B10D8" w14:paraId="3DFDC620" w14:textId="77777777" w:rsidTr="007B2CCA">
        <w:tc>
          <w:tcPr>
            <w:tcW w:w="9736" w:type="dxa"/>
            <w:gridSpan w:val="8"/>
          </w:tcPr>
          <w:p w14:paraId="39438396" w14:textId="77777777" w:rsidR="00CA7733" w:rsidRDefault="00325EAC"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The grantee uses strategies of:</w:t>
            </w:r>
            <w:r w:rsidR="00F60D1C" w:rsidRPr="00DB1686">
              <w:rPr>
                <w:rFonts w:asciiTheme="minorBidi" w:hAnsiTheme="minorBidi"/>
                <w:b/>
                <w:bCs/>
                <w:sz w:val="20"/>
                <w:szCs w:val="20"/>
              </w:rPr>
              <w:t xml:space="preserve"> </w:t>
            </w:r>
            <w:r w:rsidR="00050102" w:rsidRPr="00DB1686">
              <w:rPr>
                <w:rFonts w:asciiTheme="minorBidi" w:hAnsiTheme="minorBidi"/>
                <w:sz w:val="20"/>
                <w:szCs w:val="20"/>
              </w:rPr>
              <w:t>Legal activity, advocacy activity, public campaigns, operation of a hotline</w:t>
            </w:r>
          </w:p>
          <w:p w14:paraId="6E1BDD18" w14:textId="77777777" w:rsidR="00DB1686" w:rsidRPr="00DB1686" w:rsidRDefault="00DB1686" w:rsidP="00DB1686">
            <w:pPr>
              <w:bidi w:val="0"/>
              <w:spacing w:line="276" w:lineRule="auto"/>
              <w:jc w:val="both"/>
              <w:rPr>
                <w:rFonts w:asciiTheme="minorBidi" w:hAnsiTheme="minorBidi"/>
                <w:sz w:val="20"/>
                <w:szCs w:val="20"/>
                <w:rtl/>
              </w:rPr>
            </w:pPr>
          </w:p>
        </w:tc>
      </w:tr>
      <w:tr w:rsidR="00CA7733" w:rsidRPr="002B10D8" w14:paraId="71BFF2D9" w14:textId="77777777" w:rsidTr="007B2CCA">
        <w:tc>
          <w:tcPr>
            <w:tcW w:w="9736" w:type="dxa"/>
            <w:gridSpan w:val="8"/>
          </w:tcPr>
          <w:p w14:paraId="4BA67C63" w14:textId="77777777" w:rsidR="00CA7733" w:rsidRPr="00DB1686" w:rsidRDefault="006F7A01" w:rsidP="00DB1686">
            <w:pPr>
              <w:pStyle w:val="BodyText"/>
              <w:spacing w:line="276" w:lineRule="auto"/>
              <w:rPr>
                <w:rFonts w:asciiTheme="minorBidi" w:hAnsiTheme="minorBidi"/>
                <w:sz w:val="20"/>
                <w:szCs w:val="20"/>
              </w:rPr>
            </w:pPr>
            <w:r w:rsidRPr="00DB1686">
              <w:rPr>
                <w:rFonts w:asciiTheme="minorBidi" w:hAnsiTheme="minorBidi"/>
                <w:sz w:val="20"/>
                <w:szCs w:val="20"/>
              </w:rPr>
              <w:lastRenderedPageBreak/>
              <w:t>These are the goals of the organization and then some relevant benchmarks outcomes on the way to achieving the goals:</w:t>
            </w:r>
          </w:p>
          <w:p w14:paraId="4CFEB5BC" w14:textId="77777777" w:rsidR="00580687" w:rsidRPr="00DB1686" w:rsidRDefault="00580687" w:rsidP="00DB1686">
            <w:pPr>
              <w:bidi w:val="0"/>
              <w:spacing w:line="276" w:lineRule="auto"/>
              <w:jc w:val="both"/>
              <w:rPr>
                <w:rFonts w:asciiTheme="minorBidi" w:hAnsiTheme="minorBidi"/>
                <w:sz w:val="20"/>
                <w:szCs w:val="20"/>
                <w:rtl/>
              </w:rPr>
            </w:pPr>
            <w:r w:rsidRPr="00DB1686">
              <w:rPr>
                <w:rFonts w:asciiTheme="minorBidi" w:hAnsiTheme="minorBidi"/>
                <w:sz w:val="20"/>
                <w:szCs w:val="20"/>
              </w:rPr>
              <w:t>The ultimate goal of the organization is the promotion of religious freedom in Israel and full equality for non-Orthodox movements. Other goals are preventing racist practices and expressions in the public sphere (mainly by rabbis and extreme religious organizations) and preventing the exclusion of women in the public sphere.</w:t>
            </w:r>
          </w:p>
          <w:p w14:paraId="628EC9FB" w14:textId="77777777" w:rsidR="00580687" w:rsidRPr="00DB1686" w:rsidRDefault="00580687" w:rsidP="00DB1686">
            <w:pPr>
              <w:bidi w:val="0"/>
              <w:spacing w:line="276" w:lineRule="auto"/>
              <w:rPr>
                <w:rFonts w:asciiTheme="minorBidi" w:hAnsiTheme="minorBidi"/>
                <w:sz w:val="20"/>
                <w:szCs w:val="20"/>
              </w:rPr>
            </w:pPr>
          </w:p>
          <w:p w14:paraId="1AE7967A" w14:textId="77777777" w:rsidR="00580687" w:rsidRPr="00DB1686" w:rsidRDefault="00580687" w:rsidP="00DB1686">
            <w:pPr>
              <w:bidi w:val="0"/>
              <w:spacing w:line="276" w:lineRule="auto"/>
              <w:rPr>
                <w:rFonts w:asciiTheme="minorBidi" w:hAnsiTheme="minorBidi"/>
                <w:sz w:val="20"/>
                <w:szCs w:val="20"/>
              </w:rPr>
            </w:pPr>
            <w:r w:rsidRPr="00DB1686">
              <w:rPr>
                <w:rFonts w:asciiTheme="minorBidi" w:hAnsiTheme="minorBidi"/>
                <w:sz w:val="20"/>
                <w:szCs w:val="20"/>
              </w:rPr>
              <w:t xml:space="preserve">Intermediate </w:t>
            </w:r>
            <w:r w:rsidR="00050102" w:rsidRPr="00DB1686">
              <w:rPr>
                <w:rFonts w:asciiTheme="minorBidi" w:hAnsiTheme="minorBidi"/>
                <w:sz w:val="20"/>
                <w:szCs w:val="20"/>
              </w:rPr>
              <w:t>objectives</w:t>
            </w:r>
            <w:r w:rsidRPr="00DB1686">
              <w:rPr>
                <w:rFonts w:asciiTheme="minorBidi" w:hAnsiTheme="minorBidi"/>
                <w:sz w:val="20"/>
                <w:szCs w:val="20"/>
              </w:rPr>
              <w:t xml:space="preserve"> to achieve the goal:</w:t>
            </w:r>
          </w:p>
          <w:p w14:paraId="41847633" w14:textId="77777777" w:rsidR="00A639B8" w:rsidRPr="00DB1686" w:rsidRDefault="00580687"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 xml:space="preserve">Adoption of a policy </w:t>
            </w:r>
            <w:r w:rsidR="00A639B8" w:rsidRPr="00DB1686">
              <w:rPr>
                <w:rFonts w:asciiTheme="minorBidi" w:hAnsiTheme="minorBidi" w:cstheme="minorBidi"/>
                <w:sz w:val="20"/>
                <w:szCs w:val="20"/>
              </w:rPr>
              <w:t>–</w:t>
            </w:r>
            <w:r w:rsidRPr="00DB1686">
              <w:rPr>
                <w:rFonts w:asciiTheme="minorBidi" w:hAnsiTheme="minorBidi" w:cstheme="minorBidi"/>
                <w:sz w:val="20"/>
                <w:szCs w:val="20"/>
              </w:rPr>
              <w:t xml:space="preserve"> by the government and by local authorities </w:t>
            </w:r>
            <w:r w:rsidR="00A639B8" w:rsidRPr="00DB1686">
              <w:rPr>
                <w:rFonts w:asciiTheme="minorBidi" w:hAnsiTheme="minorBidi" w:cstheme="minorBidi"/>
                <w:sz w:val="20"/>
                <w:szCs w:val="20"/>
              </w:rPr>
              <w:t>–</w:t>
            </w:r>
            <w:r w:rsidRPr="00DB1686">
              <w:rPr>
                <w:rFonts w:asciiTheme="minorBidi" w:hAnsiTheme="minorBidi" w:cstheme="minorBidi"/>
                <w:sz w:val="20"/>
                <w:szCs w:val="20"/>
              </w:rPr>
              <w:t xml:space="preserve"> that promotes religious freedom and equality for non-Orthodox movements</w:t>
            </w:r>
          </w:p>
          <w:p w14:paraId="11B75EFE" w14:textId="77777777" w:rsidR="00A639B8" w:rsidRPr="00DB1686" w:rsidRDefault="00580687"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 xml:space="preserve">Success in legal proceedings (class actions and tort </w:t>
            </w:r>
            <w:r w:rsidR="006F675B" w:rsidRPr="00DB1686">
              <w:rPr>
                <w:rFonts w:asciiTheme="minorBidi" w:hAnsiTheme="minorBidi" w:cstheme="minorBidi"/>
                <w:sz w:val="20"/>
                <w:szCs w:val="20"/>
              </w:rPr>
              <w:t>claims</w:t>
            </w:r>
            <w:r w:rsidRPr="00DB1686">
              <w:rPr>
                <w:rFonts w:asciiTheme="minorBidi" w:hAnsiTheme="minorBidi" w:cstheme="minorBidi"/>
                <w:sz w:val="20"/>
                <w:szCs w:val="20"/>
              </w:rPr>
              <w:t>) against entities that act in a racist way or in a way that excludes women</w:t>
            </w:r>
          </w:p>
          <w:p w14:paraId="42C3EF4B" w14:textId="77777777" w:rsidR="00124467" w:rsidRPr="00DB1686" w:rsidRDefault="00A639B8"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D</w:t>
            </w:r>
            <w:r w:rsidR="00580687" w:rsidRPr="00DB1686">
              <w:rPr>
                <w:rFonts w:asciiTheme="minorBidi" w:hAnsiTheme="minorBidi" w:cstheme="minorBidi"/>
                <w:sz w:val="20"/>
                <w:szCs w:val="20"/>
              </w:rPr>
              <w:t xml:space="preserve">isciplinary and legal measures </w:t>
            </w:r>
            <w:r w:rsidRPr="00DB1686">
              <w:rPr>
                <w:rFonts w:asciiTheme="minorBidi" w:hAnsiTheme="minorBidi" w:cstheme="minorBidi"/>
                <w:sz w:val="20"/>
                <w:szCs w:val="20"/>
              </w:rPr>
              <w:t xml:space="preserve">taken </w:t>
            </w:r>
            <w:r w:rsidR="00580687" w:rsidRPr="00DB1686">
              <w:rPr>
                <w:rFonts w:asciiTheme="minorBidi" w:hAnsiTheme="minorBidi" w:cstheme="minorBidi"/>
                <w:sz w:val="20"/>
                <w:szCs w:val="20"/>
              </w:rPr>
              <w:t>by the government against rabbis and organizations that act and express themselves in a racist manner</w:t>
            </w:r>
          </w:p>
        </w:tc>
      </w:tr>
      <w:tr w:rsidR="007B2CCA" w:rsidRPr="002B10D8" w14:paraId="553321AB" w14:textId="77777777" w:rsidTr="007B2CCA">
        <w:tc>
          <w:tcPr>
            <w:tcW w:w="9736" w:type="dxa"/>
            <w:gridSpan w:val="8"/>
          </w:tcPr>
          <w:p w14:paraId="6BD47088" w14:textId="77777777" w:rsidR="007B2CCA" w:rsidRPr="00DB1686" w:rsidRDefault="007B2CCA" w:rsidP="00DB1686">
            <w:pPr>
              <w:bidi w:val="0"/>
              <w:spacing w:line="276" w:lineRule="auto"/>
              <w:jc w:val="both"/>
              <w:rPr>
                <w:rFonts w:asciiTheme="minorBidi" w:hAnsiTheme="minorBidi"/>
                <w:b/>
                <w:bCs/>
                <w:sz w:val="20"/>
                <w:szCs w:val="20"/>
                <w:rtl/>
              </w:rPr>
            </w:pPr>
            <w:r w:rsidRPr="00DB1686">
              <w:rPr>
                <w:rFonts w:asciiTheme="minorBidi" w:hAnsiTheme="minorBidi"/>
                <w:b/>
                <w:bCs/>
                <w:sz w:val="20"/>
                <w:szCs w:val="20"/>
              </w:rPr>
              <w:t xml:space="preserve">Main Indicators for the grant include </w:t>
            </w:r>
            <w:r w:rsidRPr="00DB1686">
              <w:rPr>
                <w:rFonts w:asciiTheme="minorBidi" w:hAnsiTheme="minorBidi"/>
                <w:sz w:val="20"/>
                <w:szCs w:val="20"/>
              </w:rPr>
              <w:t>(among others, the total list of indicators and targets can be found in the Salesforce):</w:t>
            </w:r>
            <w:r w:rsidR="00317CE7" w:rsidRPr="00DB1686">
              <w:rPr>
                <w:rFonts w:asciiTheme="minorBidi" w:hAnsiTheme="minorBidi"/>
                <w:b/>
                <w:bCs/>
                <w:sz w:val="20"/>
                <w:szCs w:val="20"/>
              </w:rPr>
              <w:t xml:space="preserve"> </w:t>
            </w:r>
          </w:p>
          <w:p w14:paraId="4FEDFB6E" w14:textId="77777777" w:rsidR="00580687"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number of legal cases that the organization manages and the degree of success in them</w:t>
            </w:r>
          </w:p>
          <w:p w14:paraId="77D385B2" w14:textId="77777777" w:rsidR="00580687"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scope and quality of media coverage of the organization's activities</w:t>
            </w:r>
          </w:p>
          <w:p w14:paraId="08BCFC99" w14:textId="77777777" w:rsidR="001A39F4"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number and scope of public campaigns</w:t>
            </w:r>
          </w:p>
        </w:tc>
      </w:tr>
      <w:tr w:rsidR="00CA7733" w:rsidRPr="002B10D8" w14:paraId="5D6E3612" w14:textId="77777777" w:rsidTr="007B2CCA">
        <w:tc>
          <w:tcPr>
            <w:tcW w:w="9736" w:type="dxa"/>
            <w:gridSpan w:val="8"/>
          </w:tcPr>
          <w:p w14:paraId="259F7DC8" w14:textId="77777777" w:rsidR="00124467" w:rsidRPr="00DB1686" w:rsidRDefault="00325EAC"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Added value of this grant (for the project and in general) include that:</w:t>
            </w:r>
            <w:r w:rsidR="00F60D1C" w:rsidRPr="00DB1686">
              <w:rPr>
                <w:rFonts w:asciiTheme="minorBidi" w:hAnsiTheme="minorBidi"/>
                <w:sz w:val="20"/>
                <w:szCs w:val="20"/>
              </w:rPr>
              <w:t xml:space="preserve"> </w:t>
            </w:r>
          </w:p>
          <w:p w14:paraId="319D46C5" w14:textId="77777777" w:rsidR="00CA7733" w:rsidRDefault="007F4992" w:rsidP="00DB1686">
            <w:pPr>
              <w:bidi w:val="0"/>
              <w:spacing w:line="276" w:lineRule="auto"/>
              <w:jc w:val="both"/>
              <w:rPr>
                <w:rFonts w:asciiTheme="minorBidi" w:hAnsiTheme="minorBidi"/>
                <w:sz w:val="20"/>
                <w:szCs w:val="20"/>
                <w:rtl/>
              </w:rPr>
            </w:pPr>
            <w:r w:rsidRPr="00DB1686">
              <w:rPr>
                <w:rFonts w:asciiTheme="minorBidi" w:hAnsiTheme="minorBidi"/>
                <w:sz w:val="20"/>
                <w:szCs w:val="20"/>
              </w:rPr>
              <w:t>IRAC</w:t>
            </w:r>
            <w:r w:rsidR="00580687" w:rsidRPr="00DB1686">
              <w:rPr>
                <w:rFonts w:asciiTheme="minorBidi" w:hAnsiTheme="minorBidi"/>
                <w:sz w:val="20"/>
                <w:szCs w:val="20"/>
              </w:rPr>
              <w:t xml:space="preserve"> is the main legal organization in the </w:t>
            </w:r>
            <w:r w:rsidRPr="00DB1686">
              <w:rPr>
                <w:rFonts w:asciiTheme="minorBidi" w:hAnsiTheme="minorBidi"/>
                <w:sz w:val="20"/>
                <w:szCs w:val="20"/>
              </w:rPr>
              <w:t xml:space="preserve">sphere </w:t>
            </w:r>
            <w:r w:rsidR="00580687" w:rsidRPr="00DB1686">
              <w:rPr>
                <w:rFonts w:asciiTheme="minorBidi" w:hAnsiTheme="minorBidi"/>
                <w:sz w:val="20"/>
                <w:szCs w:val="20"/>
              </w:rPr>
              <w:t xml:space="preserve">of promoting religious freedom in Israel. </w:t>
            </w:r>
            <w:r w:rsidRPr="00DB1686">
              <w:rPr>
                <w:rFonts w:asciiTheme="minorBidi" w:hAnsiTheme="minorBidi"/>
                <w:sz w:val="20"/>
                <w:szCs w:val="20"/>
              </w:rPr>
              <w:t xml:space="preserve">It </w:t>
            </w:r>
            <w:r w:rsidR="00580687" w:rsidRPr="00DB1686">
              <w:rPr>
                <w:rFonts w:asciiTheme="minorBidi" w:hAnsiTheme="minorBidi"/>
                <w:sz w:val="20"/>
                <w:szCs w:val="20"/>
              </w:rPr>
              <w:t xml:space="preserve">has developed expertise in a variety of legal actions (petitions to the High Court, class actions, tort claims) and manages to influence policy with legal tools. </w:t>
            </w:r>
            <w:r w:rsidRPr="00DB1686">
              <w:rPr>
                <w:rFonts w:asciiTheme="minorBidi" w:hAnsiTheme="minorBidi"/>
                <w:sz w:val="20"/>
                <w:szCs w:val="20"/>
              </w:rPr>
              <w:t>IRAC</w:t>
            </w:r>
            <w:r w:rsidR="00580687" w:rsidRPr="00DB1686">
              <w:rPr>
                <w:rFonts w:asciiTheme="minorBidi" w:hAnsiTheme="minorBidi"/>
                <w:sz w:val="20"/>
                <w:szCs w:val="20"/>
              </w:rPr>
              <w:t xml:space="preserve"> also plays a </w:t>
            </w:r>
            <w:r w:rsidRPr="00DB1686">
              <w:rPr>
                <w:rFonts w:asciiTheme="minorBidi" w:hAnsiTheme="minorBidi"/>
                <w:sz w:val="20"/>
                <w:szCs w:val="20"/>
              </w:rPr>
              <w:t xml:space="preserve">key </w:t>
            </w:r>
            <w:r w:rsidR="00580687" w:rsidRPr="00DB1686">
              <w:rPr>
                <w:rFonts w:asciiTheme="minorBidi" w:hAnsiTheme="minorBidi"/>
                <w:sz w:val="20"/>
                <w:szCs w:val="20"/>
              </w:rPr>
              <w:t xml:space="preserve">role in the </w:t>
            </w:r>
            <w:r w:rsidRPr="00DB1686">
              <w:rPr>
                <w:rFonts w:asciiTheme="minorBidi" w:hAnsiTheme="minorBidi"/>
                <w:sz w:val="20"/>
                <w:szCs w:val="20"/>
              </w:rPr>
              <w:t>sphere</w:t>
            </w:r>
            <w:r w:rsidR="00580687" w:rsidRPr="00DB1686">
              <w:rPr>
                <w:rFonts w:asciiTheme="minorBidi" w:hAnsiTheme="minorBidi"/>
                <w:sz w:val="20"/>
                <w:szCs w:val="20"/>
              </w:rPr>
              <w:t xml:space="preserve"> of combating racism, which is high on its </w:t>
            </w:r>
            <w:r w:rsidRPr="00DB1686">
              <w:rPr>
                <w:rFonts w:asciiTheme="minorBidi" w:hAnsiTheme="minorBidi"/>
                <w:sz w:val="20"/>
                <w:szCs w:val="20"/>
              </w:rPr>
              <w:t xml:space="preserve">list of </w:t>
            </w:r>
            <w:r w:rsidR="00580687" w:rsidRPr="00DB1686">
              <w:rPr>
                <w:rFonts w:asciiTheme="minorBidi" w:hAnsiTheme="minorBidi"/>
                <w:sz w:val="20"/>
                <w:szCs w:val="20"/>
              </w:rPr>
              <w:t xml:space="preserve">priorities. </w:t>
            </w:r>
            <w:r w:rsidRPr="00DB1686">
              <w:rPr>
                <w:rFonts w:asciiTheme="minorBidi" w:hAnsiTheme="minorBidi"/>
                <w:sz w:val="20"/>
                <w:szCs w:val="20"/>
              </w:rPr>
              <w:t>IRAC</w:t>
            </w:r>
            <w:r w:rsidR="00580687" w:rsidRPr="00DB1686">
              <w:rPr>
                <w:rFonts w:asciiTheme="minorBidi" w:hAnsiTheme="minorBidi"/>
                <w:sz w:val="20"/>
                <w:szCs w:val="20"/>
              </w:rPr>
              <w:t xml:space="preserve"> collaborates with a </w:t>
            </w:r>
            <w:r w:rsidRPr="00DB1686">
              <w:rPr>
                <w:rFonts w:asciiTheme="minorBidi" w:hAnsiTheme="minorBidi"/>
                <w:sz w:val="20"/>
                <w:szCs w:val="20"/>
              </w:rPr>
              <w:t xml:space="preserve">variety </w:t>
            </w:r>
            <w:r w:rsidR="00580687" w:rsidRPr="00DB1686">
              <w:rPr>
                <w:rFonts w:asciiTheme="minorBidi" w:hAnsiTheme="minorBidi"/>
                <w:sz w:val="20"/>
                <w:szCs w:val="20"/>
              </w:rPr>
              <w:t xml:space="preserve">of organizations </w:t>
            </w:r>
            <w:r w:rsidRPr="00DB1686">
              <w:rPr>
                <w:rFonts w:asciiTheme="minorBidi" w:hAnsiTheme="minorBidi"/>
                <w:sz w:val="20"/>
                <w:szCs w:val="20"/>
              </w:rPr>
              <w:t>–</w:t>
            </w:r>
            <w:r w:rsidR="00580687" w:rsidRPr="00DB1686">
              <w:rPr>
                <w:rFonts w:asciiTheme="minorBidi" w:hAnsiTheme="minorBidi"/>
                <w:sz w:val="20"/>
                <w:szCs w:val="20"/>
              </w:rPr>
              <w:t xml:space="preserve"> </w:t>
            </w:r>
            <w:r w:rsidRPr="00DB1686">
              <w:rPr>
                <w:rFonts w:asciiTheme="minorBidi" w:hAnsiTheme="minorBidi"/>
                <w:sz w:val="20"/>
                <w:szCs w:val="20"/>
              </w:rPr>
              <w:t>b</w:t>
            </w:r>
            <w:r w:rsidR="00580687" w:rsidRPr="00DB1686">
              <w:rPr>
                <w:rFonts w:asciiTheme="minorBidi" w:hAnsiTheme="minorBidi"/>
                <w:sz w:val="20"/>
                <w:szCs w:val="20"/>
              </w:rPr>
              <w:t xml:space="preserve">oth in the </w:t>
            </w:r>
            <w:r w:rsidRPr="00DB1686">
              <w:rPr>
                <w:rFonts w:asciiTheme="minorBidi" w:hAnsiTheme="minorBidi"/>
                <w:sz w:val="20"/>
                <w:szCs w:val="20"/>
              </w:rPr>
              <w:t>sphere</w:t>
            </w:r>
            <w:r w:rsidR="00580687" w:rsidRPr="00DB1686">
              <w:rPr>
                <w:rFonts w:asciiTheme="minorBidi" w:hAnsiTheme="minorBidi"/>
                <w:sz w:val="20"/>
                <w:szCs w:val="20"/>
              </w:rPr>
              <w:t xml:space="preserve"> of religious freedom and in the </w:t>
            </w:r>
            <w:r w:rsidRPr="00DB1686">
              <w:rPr>
                <w:rFonts w:asciiTheme="minorBidi" w:hAnsiTheme="minorBidi"/>
                <w:sz w:val="20"/>
                <w:szCs w:val="20"/>
              </w:rPr>
              <w:t xml:space="preserve">sphere </w:t>
            </w:r>
            <w:r w:rsidR="00580687" w:rsidRPr="00DB1686">
              <w:rPr>
                <w:rFonts w:asciiTheme="minorBidi" w:hAnsiTheme="minorBidi"/>
                <w:sz w:val="20"/>
                <w:szCs w:val="20"/>
              </w:rPr>
              <w:t xml:space="preserve">of </w:t>
            </w:r>
            <w:r w:rsidRPr="00DB1686">
              <w:rPr>
                <w:rFonts w:asciiTheme="minorBidi" w:hAnsiTheme="minorBidi"/>
                <w:sz w:val="20"/>
                <w:szCs w:val="20"/>
              </w:rPr>
              <w:t xml:space="preserve">combating </w:t>
            </w:r>
            <w:r w:rsidR="00580687" w:rsidRPr="00DB1686">
              <w:rPr>
                <w:rFonts w:asciiTheme="minorBidi" w:hAnsiTheme="minorBidi"/>
                <w:sz w:val="20"/>
                <w:szCs w:val="20"/>
              </w:rPr>
              <w:t>racism.</w:t>
            </w:r>
          </w:p>
          <w:p w14:paraId="72A92145" w14:textId="65175E2E" w:rsidR="00976838" w:rsidRPr="00DB1686" w:rsidRDefault="00976838" w:rsidP="00976838">
            <w:pPr>
              <w:bidi w:val="0"/>
              <w:spacing w:line="276" w:lineRule="auto"/>
              <w:jc w:val="right"/>
              <w:rPr>
                <w:rFonts w:asciiTheme="minorBidi" w:hAnsiTheme="minorBidi"/>
                <w:sz w:val="20"/>
                <w:szCs w:val="20"/>
              </w:rPr>
            </w:pPr>
            <w:r>
              <w:rPr>
                <w:rFonts w:asciiTheme="minorBidi" w:hAnsiTheme="minorBidi" w:hint="cs"/>
                <w:sz w:val="20"/>
                <w:szCs w:val="20"/>
                <w:rtl/>
              </w:rPr>
              <w:t>בתקופה זאת כאשר הממשלה הנוכחית נותנת לגיטימציה מובנית לגזענות ועליונות יהודית, ואנו רואים עליה בתופעות של גזענות ממוסדת - המאבק המשפטי והציבורי של המרכז הרפורמי בתופעות ממסדיות של גזענות חשוב מאין כמוהו.</w:t>
            </w:r>
          </w:p>
        </w:tc>
      </w:tr>
      <w:tr w:rsidR="005B5D27" w:rsidRPr="002B10D8" w14:paraId="028DA557" w14:textId="77777777" w:rsidTr="00DB1686">
        <w:trPr>
          <w:trHeight w:hRule="exact" w:val="2515"/>
        </w:trPr>
        <w:tc>
          <w:tcPr>
            <w:tcW w:w="9736" w:type="dxa"/>
            <w:gridSpan w:val="8"/>
            <w:shd w:val="clear" w:color="auto" w:fill="auto"/>
            <w:vAlign w:val="center"/>
          </w:tcPr>
          <w:p w14:paraId="681D40DB" w14:textId="77777777" w:rsidR="005B5D27" w:rsidRPr="00DB1686" w:rsidRDefault="00DF4CAD" w:rsidP="00DB1686">
            <w:pPr>
              <w:bidi w:val="0"/>
              <w:spacing w:line="276" w:lineRule="auto"/>
              <w:jc w:val="both"/>
              <w:rPr>
                <w:rFonts w:asciiTheme="minorBidi" w:hAnsiTheme="minorBidi"/>
                <w:b/>
                <w:bCs/>
                <w:sz w:val="20"/>
                <w:szCs w:val="20"/>
                <w:rtl/>
              </w:rPr>
            </w:pPr>
            <w:r w:rsidRPr="00DB1686">
              <w:rPr>
                <w:rFonts w:asciiTheme="minorBidi" w:hAnsiTheme="minorBidi"/>
                <w:b/>
                <w:bCs/>
                <w:sz w:val="20"/>
                <w:szCs w:val="20"/>
              </w:rPr>
              <w:t>(</w:t>
            </w:r>
            <w:r w:rsidR="005B5D27" w:rsidRPr="00DB1686">
              <w:rPr>
                <w:rFonts w:asciiTheme="minorBidi" w:hAnsiTheme="minorBidi"/>
                <w:b/>
                <w:bCs/>
                <w:sz w:val="20"/>
                <w:szCs w:val="20"/>
              </w:rPr>
              <w:t>For organizations receiving support 5 or more years) Significant PAST achievements</w:t>
            </w:r>
            <w:r w:rsidR="00C12031" w:rsidRPr="00DB1686">
              <w:rPr>
                <w:rFonts w:asciiTheme="minorBidi" w:hAnsiTheme="minorBidi"/>
                <w:b/>
                <w:bCs/>
                <w:sz w:val="20"/>
                <w:szCs w:val="20"/>
              </w:rPr>
              <w:t xml:space="preserve"> </w:t>
            </w:r>
            <w:r w:rsidR="005B5D27" w:rsidRPr="00DB1686">
              <w:rPr>
                <w:rFonts w:asciiTheme="minorBidi" w:hAnsiTheme="minorBidi"/>
                <w:b/>
                <w:bCs/>
                <w:sz w:val="20"/>
                <w:szCs w:val="20"/>
              </w:rPr>
              <w:t>- relevant to this program or not - of the grantee since NIF began support include:</w:t>
            </w:r>
          </w:p>
          <w:p w14:paraId="454DF61D"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2011 </w:t>
            </w:r>
            <w:r w:rsidR="009978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Declar</w:t>
            </w:r>
            <w:r w:rsidR="004B6D0C" w:rsidRPr="00DB1686">
              <w:rPr>
                <w:rFonts w:asciiTheme="minorBidi" w:eastAsia="Times New Roman" w:hAnsiTheme="minorBidi"/>
                <w:sz w:val="20"/>
                <w:szCs w:val="20"/>
              </w:rPr>
              <w:t xml:space="preserve">ing </w:t>
            </w:r>
            <w:r w:rsidR="006F675B" w:rsidRPr="00DB1686">
              <w:rPr>
                <w:rFonts w:asciiTheme="minorBidi" w:eastAsia="Times New Roman" w:hAnsiTheme="minorBidi"/>
                <w:sz w:val="20"/>
                <w:szCs w:val="20"/>
              </w:rPr>
              <w:t xml:space="preserve">as illegal </w:t>
            </w:r>
            <w:r w:rsidRPr="00DB1686">
              <w:rPr>
                <w:rFonts w:asciiTheme="minorBidi" w:eastAsia="Times New Roman" w:hAnsiTheme="minorBidi"/>
                <w:sz w:val="20"/>
                <w:szCs w:val="20"/>
              </w:rPr>
              <w:t>gender segregation and exclusion of women on buses, on flights</w:t>
            </w:r>
            <w:r w:rsidR="0099780C" w:rsidRPr="00DB1686">
              <w:rPr>
                <w:rFonts w:asciiTheme="minorBidi" w:eastAsia="Times New Roman" w:hAnsiTheme="minorBidi"/>
                <w:sz w:val="20"/>
                <w:szCs w:val="20"/>
              </w:rPr>
              <w:t xml:space="preserve">, </w:t>
            </w:r>
            <w:proofErr w:type="gramStart"/>
            <w:r w:rsidR="0099780C" w:rsidRPr="00DB1686">
              <w:rPr>
                <w:rFonts w:asciiTheme="minorBidi" w:eastAsia="Times New Roman" w:hAnsiTheme="minorBidi"/>
                <w:sz w:val="20"/>
                <w:szCs w:val="20"/>
              </w:rPr>
              <w:t xml:space="preserve">trains </w:t>
            </w:r>
            <w:r w:rsidRPr="00DB1686">
              <w:rPr>
                <w:rFonts w:asciiTheme="minorBidi" w:eastAsia="Times New Roman" w:hAnsiTheme="minorBidi"/>
                <w:sz w:val="20"/>
                <w:szCs w:val="20"/>
              </w:rPr>
              <w:t xml:space="preserve"> and</w:t>
            </w:r>
            <w:proofErr w:type="gramEnd"/>
            <w:r w:rsidRPr="00DB1686">
              <w:rPr>
                <w:rFonts w:asciiTheme="minorBidi" w:eastAsia="Times New Roman" w:hAnsiTheme="minorBidi"/>
                <w:sz w:val="20"/>
                <w:szCs w:val="20"/>
              </w:rPr>
              <w:t xml:space="preserve"> in cemeteries and on </w:t>
            </w:r>
            <w:r w:rsidR="004B6D0C" w:rsidRPr="00DB1686">
              <w:rPr>
                <w:rFonts w:asciiTheme="minorBidi" w:eastAsia="Times New Roman" w:hAnsiTheme="minorBidi"/>
                <w:sz w:val="20"/>
                <w:szCs w:val="20"/>
              </w:rPr>
              <w:t>signs calling for modest</w:t>
            </w:r>
            <w:r w:rsidR="006F675B" w:rsidRPr="00DB1686">
              <w:rPr>
                <w:rFonts w:asciiTheme="minorBidi" w:eastAsia="Times New Roman" w:hAnsiTheme="minorBidi"/>
                <w:sz w:val="20"/>
                <w:szCs w:val="20"/>
              </w:rPr>
              <w:t>y</w:t>
            </w:r>
            <w:r w:rsidR="004B6D0C" w:rsidRPr="00DB1686">
              <w:rPr>
                <w:rFonts w:asciiTheme="minorBidi" w:eastAsia="Times New Roman" w:hAnsiTheme="minorBidi"/>
                <w:sz w:val="20"/>
                <w:szCs w:val="20"/>
              </w:rPr>
              <w:t xml:space="preserve"> </w:t>
            </w:r>
          </w:p>
          <w:p w14:paraId="5AE7873B"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2013 </w:t>
            </w:r>
            <w:r w:rsidR="004B6D0C" w:rsidRPr="00DB1686">
              <w:rPr>
                <w:rFonts w:asciiTheme="minorBidi" w:eastAsia="Times New Roman" w:hAnsiTheme="minorBidi"/>
                <w:sz w:val="20"/>
                <w:szCs w:val="20"/>
              </w:rPr>
              <w:t xml:space="preserve">– Start </w:t>
            </w:r>
            <w:r w:rsidRPr="00DB1686">
              <w:rPr>
                <w:rFonts w:asciiTheme="minorBidi" w:eastAsia="Times New Roman" w:hAnsiTheme="minorBidi"/>
                <w:sz w:val="20"/>
                <w:szCs w:val="20"/>
              </w:rPr>
              <w:t xml:space="preserve">of </w:t>
            </w:r>
            <w:r w:rsidR="004B6D0C" w:rsidRPr="00DB1686">
              <w:rPr>
                <w:rFonts w:asciiTheme="minorBidi" w:eastAsia="Times New Roman" w:hAnsiTheme="minorBidi"/>
                <w:sz w:val="20"/>
                <w:szCs w:val="20"/>
              </w:rPr>
              <w:t xml:space="preserve">state </w:t>
            </w:r>
            <w:r w:rsidRPr="00DB1686">
              <w:rPr>
                <w:rFonts w:asciiTheme="minorBidi" w:eastAsia="Times New Roman" w:hAnsiTheme="minorBidi"/>
                <w:sz w:val="20"/>
                <w:szCs w:val="20"/>
              </w:rPr>
              <w:t xml:space="preserve">funding </w:t>
            </w:r>
            <w:r w:rsidR="004B6D0C" w:rsidRPr="00DB1686">
              <w:rPr>
                <w:rFonts w:asciiTheme="minorBidi" w:eastAsia="Times New Roman" w:hAnsiTheme="minorBidi"/>
                <w:sz w:val="20"/>
                <w:szCs w:val="20"/>
              </w:rPr>
              <w:t>for R</w:t>
            </w:r>
            <w:r w:rsidRPr="00DB1686">
              <w:rPr>
                <w:rFonts w:asciiTheme="minorBidi" w:eastAsia="Times New Roman" w:hAnsiTheme="minorBidi"/>
                <w:sz w:val="20"/>
                <w:szCs w:val="20"/>
              </w:rPr>
              <w:t xml:space="preserve">eform and </w:t>
            </w:r>
            <w:r w:rsidR="004B6D0C" w:rsidRPr="00DB1686">
              <w:rPr>
                <w:rFonts w:asciiTheme="minorBidi" w:eastAsia="Times New Roman" w:hAnsiTheme="minorBidi"/>
                <w:sz w:val="20"/>
                <w:szCs w:val="20"/>
              </w:rPr>
              <w:t>C</w:t>
            </w:r>
            <w:r w:rsidRPr="00DB1686">
              <w:rPr>
                <w:rFonts w:asciiTheme="minorBidi" w:eastAsia="Times New Roman" w:hAnsiTheme="minorBidi"/>
                <w:sz w:val="20"/>
                <w:szCs w:val="20"/>
              </w:rPr>
              <w:t>onservative religious services</w:t>
            </w:r>
          </w:p>
          <w:p w14:paraId="7F3BD452" w14:textId="77777777" w:rsidR="00580687" w:rsidRPr="00DB1686" w:rsidRDefault="004B6D0C"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2015 – </w:t>
            </w:r>
            <w:r w:rsidR="00580687" w:rsidRPr="00DB1686">
              <w:rPr>
                <w:rFonts w:asciiTheme="minorBidi" w:eastAsia="Times New Roman" w:hAnsiTheme="minorBidi"/>
                <w:sz w:val="20"/>
                <w:szCs w:val="20"/>
              </w:rPr>
              <w:t xml:space="preserve">End </w:t>
            </w:r>
            <w:r w:rsidRPr="00DB1686">
              <w:rPr>
                <w:rFonts w:asciiTheme="minorBidi" w:eastAsia="Times New Roman" w:hAnsiTheme="minorBidi"/>
                <w:sz w:val="20"/>
                <w:szCs w:val="20"/>
              </w:rPr>
              <w:t xml:space="preserve">of women’s </w:t>
            </w:r>
            <w:r w:rsidR="00580687" w:rsidRPr="00DB1686">
              <w:rPr>
                <w:rFonts w:asciiTheme="minorBidi" w:eastAsia="Times New Roman" w:hAnsiTheme="minorBidi"/>
                <w:sz w:val="20"/>
                <w:szCs w:val="20"/>
              </w:rPr>
              <w:t xml:space="preserve">exclusion at the </w:t>
            </w:r>
            <w:r w:rsidR="00FC0B52" w:rsidRPr="00DB1686">
              <w:rPr>
                <w:rFonts w:asciiTheme="minorBidi" w:eastAsia="Times New Roman" w:hAnsiTheme="minorBidi"/>
                <w:sz w:val="20"/>
                <w:szCs w:val="20"/>
              </w:rPr>
              <w:t>Haredi</w:t>
            </w:r>
            <w:r w:rsidR="00580687" w:rsidRPr="00DB1686">
              <w:rPr>
                <w:rFonts w:asciiTheme="minorBidi" w:eastAsia="Times New Roman" w:hAnsiTheme="minorBidi"/>
                <w:sz w:val="20"/>
                <w:szCs w:val="20"/>
              </w:rPr>
              <w:t xml:space="preserve"> radio station "Kol Barama" (following the filing of a class action suit by the organization)</w:t>
            </w:r>
          </w:p>
          <w:p w14:paraId="354D5197"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2019 </w:t>
            </w:r>
            <w:r w:rsidR="004B6D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w:t>
            </w:r>
            <w:r w:rsidR="004B6D0C" w:rsidRPr="00DB1686">
              <w:rPr>
                <w:rFonts w:asciiTheme="minorBidi" w:eastAsia="Times New Roman" w:hAnsiTheme="minorBidi"/>
                <w:sz w:val="20"/>
                <w:szCs w:val="20"/>
              </w:rPr>
              <w:t>D</w:t>
            </w:r>
            <w:r w:rsidRPr="00DB1686">
              <w:rPr>
                <w:rFonts w:asciiTheme="minorBidi" w:eastAsia="Times New Roman" w:hAnsiTheme="minorBidi"/>
                <w:sz w:val="20"/>
                <w:szCs w:val="20"/>
              </w:rPr>
              <w:t>isqualification of racist candidates (</w:t>
            </w:r>
            <w:r w:rsidR="004B6D0C" w:rsidRPr="00DB1686">
              <w:rPr>
                <w:rFonts w:asciiTheme="minorBidi" w:eastAsia="Times New Roman" w:hAnsiTheme="minorBidi"/>
                <w:sz w:val="20"/>
                <w:szCs w:val="20"/>
              </w:rPr>
              <w:t>Kahanists) from running for the Knesset</w:t>
            </w:r>
          </w:p>
          <w:p w14:paraId="723FD4CF"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2021 </w:t>
            </w:r>
            <w:r w:rsidR="004B6D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w:t>
            </w:r>
            <w:r w:rsidR="004B6D0C" w:rsidRPr="00DB1686">
              <w:rPr>
                <w:rFonts w:asciiTheme="minorBidi" w:eastAsia="Times New Roman" w:hAnsiTheme="minorBidi"/>
                <w:sz w:val="20"/>
                <w:szCs w:val="20"/>
              </w:rPr>
              <w:t>Recognizing R</w:t>
            </w:r>
            <w:r w:rsidRPr="00DB1686">
              <w:rPr>
                <w:rFonts w:asciiTheme="minorBidi" w:eastAsia="Times New Roman" w:hAnsiTheme="minorBidi"/>
                <w:sz w:val="20"/>
                <w:szCs w:val="20"/>
              </w:rPr>
              <w:t>eform</w:t>
            </w:r>
            <w:r w:rsidR="00DF4CAD" w:rsidRPr="00DB1686">
              <w:rPr>
                <w:rFonts w:asciiTheme="minorBidi" w:eastAsia="Times New Roman" w:hAnsiTheme="minorBidi"/>
                <w:sz w:val="20"/>
                <w:szCs w:val="20"/>
              </w:rPr>
              <w:t xml:space="preserve"> and Conservative</w:t>
            </w:r>
            <w:r w:rsidRPr="00DB1686">
              <w:rPr>
                <w:rFonts w:asciiTheme="minorBidi" w:eastAsia="Times New Roman" w:hAnsiTheme="minorBidi"/>
                <w:sz w:val="20"/>
                <w:szCs w:val="20"/>
              </w:rPr>
              <w:t xml:space="preserve"> conversion for th</w:t>
            </w:r>
            <w:r w:rsidR="004B6D0C" w:rsidRPr="00DB1686">
              <w:rPr>
                <w:rFonts w:asciiTheme="minorBidi" w:eastAsia="Times New Roman" w:hAnsiTheme="minorBidi"/>
                <w:sz w:val="20"/>
                <w:szCs w:val="20"/>
              </w:rPr>
              <w:t>e purposes of the Law of Return</w:t>
            </w:r>
          </w:p>
          <w:p w14:paraId="15D409EE" w14:textId="77777777" w:rsidR="003F4D11" w:rsidRPr="00DB1686" w:rsidRDefault="003F4D11" w:rsidP="00DB1686">
            <w:pPr>
              <w:spacing w:line="276" w:lineRule="auto"/>
              <w:rPr>
                <w:rFonts w:asciiTheme="minorBidi" w:hAnsiTheme="minorBidi"/>
                <w:sz w:val="20"/>
                <w:szCs w:val="20"/>
              </w:rPr>
            </w:pPr>
          </w:p>
        </w:tc>
      </w:tr>
      <w:tr w:rsidR="00CA7733" w:rsidRPr="002B10D8" w14:paraId="7231E7D0" w14:textId="77777777" w:rsidTr="007B2CCA">
        <w:trPr>
          <w:trHeight w:hRule="exact" w:val="397"/>
        </w:trPr>
        <w:tc>
          <w:tcPr>
            <w:tcW w:w="9736" w:type="dxa"/>
            <w:gridSpan w:val="8"/>
            <w:shd w:val="clear" w:color="auto" w:fill="D9D9D9" w:themeFill="background1" w:themeFillShade="D9"/>
            <w:vAlign w:val="center"/>
          </w:tcPr>
          <w:p w14:paraId="0F0C9EB9" w14:textId="77777777" w:rsidR="00CA7733" w:rsidRPr="00B850C5" w:rsidRDefault="00325EAC" w:rsidP="00DB1686">
            <w:pPr>
              <w:bidi w:val="0"/>
              <w:spacing w:line="276" w:lineRule="auto"/>
              <w:jc w:val="center"/>
              <w:rPr>
                <w:rFonts w:asciiTheme="minorBidi" w:hAnsiTheme="minorBidi"/>
                <w:b/>
                <w:bCs/>
              </w:rPr>
            </w:pPr>
            <w:r w:rsidRPr="00B850C5">
              <w:rPr>
                <w:rFonts w:asciiTheme="minorBidi" w:hAnsiTheme="minorBidi"/>
                <w:b/>
                <w:bCs/>
              </w:rPr>
              <w:t>PROGRESS</w:t>
            </w:r>
          </w:p>
        </w:tc>
      </w:tr>
      <w:tr w:rsidR="00CA7733" w:rsidRPr="002B10D8" w14:paraId="520BE369" w14:textId="77777777" w:rsidTr="007B2CCA">
        <w:tc>
          <w:tcPr>
            <w:tcW w:w="9736" w:type="dxa"/>
            <w:gridSpan w:val="8"/>
          </w:tcPr>
          <w:p w14:paraId="7F9707C7" w14:textId="77777777" w:rsidR="00E32B42" w:rsidRPr="00DB1686"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 xml:space="preserve">Overall Progress Evaluation: </w:t>
            </w:r>
            <w:r w:rsidR="00F86310" w:rsidRPr="00DB1686">
              <w:rPr>
                <w:rFonts w:asciiTheme="minorBidi" w:hAnsiTheme="minorBidi"/>
                <w:sz w:val="20"/>
                <w:szCs w:val="20"/>
                <w:shd w:val="clear" w:color="auto" w:fill="E2EFD9"/>
              </w:rPr>
              <w:t xml:space="preserve">Fully Met </w:t>
            </w:r>
            <w:r w:rsidR="00F86310" w:rsidRPr="00DB1686">
              <w:rPr>
                <w:rFonts w:asciiTheme="minorBidi" w:hAnsiTheme="minorBidi"/>
                <w:color w:val="000000"/>
                <w:sz w:val="20"/>
                <w:szCs w:val="20"/>
                <w:shd w:val="clear" w:color="auto" w:fill="E2EFD9"/>
              </w:rPr>
              <w:t>Expectations</w:t>
            </w:r>
          </w:p>
          <w:p w14:paraId="601248D0" w14:textId="77777777" w:rsidR="00580687" w:rsidRPr="00DB1686" w:rsidRDefault="00E32B42" w:rsidP="00DB1686">
            <w:pPr>
              <w:bidi w:val="0"/>
              <w:spacing w:line="276" w:lineRule="auto"/>
              <w:jc w:val="both"/>
              <w:rPr>
                <w:rFonts w:asciiTheme="minorBidi" w:hAnsiTheme="minorBidi"/>
                <w:b/>
                <w:bCs/>
                <w:sz w:val="20"/>
                <w:szCs w:val="20"/>
              </w:rPr>
            </w:pPr>
            <w:r w:rsidRPr="00DB1686">
              <w:rPr>
                <w:rFonts w:asciiTheme="minorBidi" w:hAnsiTheme="minorBidi"/>
                <w:b/>
                <w:bCs/>
                <w:sz w:val="20"/>
                <w:szCs w:val="20"/>
              </w:rPr>
              <w:t>Explanation re. Score:</w:t>
            </w:r>
          </w:p>
          <w:p w14:paraId="38804694" w14:textId="524B8C3A" w:rsidR="00E32B42" w:rsidRDefault="00E32B42" w:rsidP="00DB1686">
            <w:pPr>
              <w:bidi w:val="0"/>
              <w:spacing w:line="276" w:lineRule="auto"/>
              <w:jc w:val="both"/>
              <w:rPr>
                <w:rFonts w:asciiTheme="minorBidi" w:hAnsiTheme="minorBidi"/>
                <w:sz w:val="20"/>
                <w:szCs w:val="20"/>
                <w:rtl/>
              </w:rPr>
            </w:pPr>
            <w:r w:rsidRPr="00DB1686">
              <w:rPr>
                <w:rFonts w:asciiTheme="minorBidi" w:hAnsiTheme="minorBidi"/>
                <w:b/>
                <w:bCs/>
                <w:sz w:val="20"/>
                <w:szCs w:val="20"/>
              </w:rPr>
              <w:t xml:space="preserve"> </w:t>
            </w:r>
            <w:r w:rsidR="00EF5453">
              <w:rPr>
                <w:rFonts w:asciiTheme="minorBidi" w:hAnsiTheme="minorBidi" w:hint="cs"/>
                <w:sz w:val="20"/>
                <w:szCs w:val="20"/>
                <w:rtl/>
              </w:rPr>
              <w:t>הארגון מצליח להיות רלוונטי גם בעת הזאת דרך האסטרטגיה המרכזית שלו- מאבק משפטי. לארגון לא מעט הצלחות למנוע תופעות של גזענות ממוסדת וכן צמצום של המרחב הליברלי, במיוחד בתקופת הממשלה הנוכחית ובעת המלחמה. הארגון הצליח להיות רלוונטי בתקופה זאת עם נוכחות משמעותית במאבק למען החזרת החטופים דרך רתימה של קהילות התנועה הרפורמית.</w:t>
            </w:r>
          </w:p>
          <w:p w14:paraId="374F6676" w14:textId="4F8AB39E" w:rsidR="00EF5453" w:rsidRPr="00DB1686" w:rsidRDefault="00EF5453" w:rsidP="00EF5453">
            <w:pPr>
              <w:bidi w:val="0"/>
              <w:spacing w:line="276" w:lineRule="auto"/>
              <w:jc w:val="both"/>
              <w:rPr>
                <w:rFonts w:asciiTheme="minorBidi" w:hAnsiTheme="minorBidi"/>
                <w:sz w:val="20"/>
                <w:szCs w:val="20"/>
              </w:rPr>
            </w:pPr>
            <w:r>
              <w:rPr>
                <w:rFonts w:asciiTheme="minorBidi" w:hAnsiTheme="minorBidi" w:hint="cs"/>
                <w:sz w:val="20"/>
                <w:szCs w:val="20"/>
                <w:rtl/>
              </w:rPr>
              <w:t xml:space="preserve">לארגון תפקיד משמעותי ברתימת קהילות התנועה הרפורמית למאבק נגד הרפורמה המשפטית, וכן בעת הבחירות ברמה המוניציפלית- ביצירת מנופי לחץ למול מועמדים בדרישה לחופש דת ושוויון לזרמים. </w:t>
            </w:r>
          </w:p>
          <w:p w14:paraId="2C206EA3" w14:textId="77777777" w:rsidR="00DE1314" w:rsidRPr="00DB1686" w:rsidRDefault="00580687" w:rsidP="00990EEA">
            <w:pPr>
              <w:bidi w:val="0"/>
              <w:spacing w:line="276" w:lineRule="auto"/>
              <w:jc w:val="right"/>
              <w:rPr>
                <w:rFonts w:asciiTheme="minorBidi" w:hAnsiTheme="minorBidi"/>
                <w:sz w:val="20"/>
                <w:szCs w:val="20"/>
                <w:rtl/>
              </w:rPr>
            </w:pPr>
            <w:r w:rsidRPr="00DB1686">
              <w:rPr>
                <w:rFonts w:asciiTheme="minorBidi" w:hAnsiTheme="minorBidi"/>
                <w:sz w:val="20"/>
                <w:szCs w:val="20"/>
                <w:rtl/>
              </w:rPr>
              <w:t xml:space="preserve"> </w:t>
            </w:r>
          </w:p>
          <w:p w14:paraId="73413901" w14:textId="77777777" w:rsidR="00E32B42" w:rsidRPr="00DB1686"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Main Progress in 2022</w:t>
            </w:r>
            <w:r w:rsidR="002731D7" w:rsidRPr="00DB1686">
              <w:rPr>
                <w:rFonts w:asciiTheme="minorBidi" w:hAnsiTheme="minorBidi"/>
                <w:b/>
                <w:bCs/>
                <w:sz w:val="20"/>
                <w:szCs w:val="20"/>
              </w:rPr>
              <w:t>/23</w:t>
            </w:r>
            <w:r w:rsidRPr="00DB1686">
              <w:rPr>
                <w:rFonts w:asciiTheme="minorBidi" w:hAnsiTheme="minorBidi"/>
                <w:b/>
                <w:bCs/>
                <w:sz w:val="20"/>
                <w:szCs w:val="20"/>
              </w:rPr>
              <w:t>:</w:t>
            </w:r>
            <w:r w:rsidR="0040578B" w:rsidRPr="00DB1686">
              <w:rPr>
                <w:rFonts w:asciiTheme="minorBidi" w:hAnsiTheme="minorBidi"/>
                <w:b/>
                <w:bCs/>
                <w:sz w:val="20"/>
                <w:szCs w:val="20"/>
              </w:rPr>
              <w:t xml:space="preserve"> </w:t>
            </w:r>
          </w:p>
          <w:p w14:paraId="2834DABE" w14:textId="77777777" w:rsidR="00E32B42" w:rsidRPr="00DB1686" w:rsidRDefault="00E32B42" w:rsidP="00DB1686">
            <w:pPr>
              <w:bidi w:val="0"/>
              <w:spacing w:line="276" w:lineRule="auto"/>
              <w:jc w:val="both"/>
              <w:rPr>
                <w:rFonts w:asciiTheme="minorBidi" w:hAnsiTheme="minorBidi"/>
                <w:b/>
                <w:bCs/>
                <w:sz w:val="20"/>
                <w:szCs w:val="20"/>
              </w:rPr>
            </w:pPr>
            <w:r w:rsidRPr="00DB1686">
              <w:rPr>
                <w:rFonts w:asciiTheme="minorBidi" w:hAnsiTheme="minorBidi"/>
                <w:b/>
                <w:bCs/>
                <w:sz w:val="20"/>
                <w:szCs w:val="20"/>
              </w:rPr>
              <w:t>Outcomes:</w:t>
            </w:r>
          </w:p>
          <w:p w14:paraId="28F652D7" w14:textId="6044F6A3" w:rsidR="00F64C34" w:rsidRDefault="00EF5453" w:rsidP="00EF5453">
            <w:pPr>
              <w:pStyle w:val="ListParagraph"/>
              <w:numPr>
                <w:ilvl w:val="0"/>
                <w:numId w:val="12"/>
              </w:numPr>
              <w:spacing w:line="276" w:lineRule="auto"/>
              <w:rPr>
                <w:rFonts w:asciiTheme="minorBidi" w:hAnsiTheme="minorBidi" w:cstheme="minorBidi"/>
                <w:sz w:val="20"/>
                <w:szCs w:val="20"/>
              </w:rPr>
            </w:pPr>
            <w:r>
              <w:rPr>
                <w:rFonts w:asciiTheme="minorBidi" w:hAnsiTheme="minorBidi" w:cstheme="minorBidi" w:hint="cs"/>
                <w:sz w:val="20"/>
                <w:szCs w:val="20"/>
                <w:rtl/>
              </w:rPr>
              <w:t>בזכות עתירת הארגון ליועץ המשפטי לממשלה, נבלם "חוק הרבנים"- המאפשר מימון לרבני שכונות במאצעות משרד הפנים הנשלט על ידי ש"ס, במתכונתו הנוכחית</w:t>
            </w:r>
          </w:p>
          <w:p w14:paraId="50B6B90F" w14:textId="7608AE6D" w:rsidR="00EF5453" w:rsidRPr="00EF5453" w:rsidRDefault="00EF5453" w:rsidP="00EF5453">
            <w:pPr>
              <w:pStyle w:val="ListParagraph"/>
              <w:numPr>
                <w:ilvl w:val="0"/>
                <w:numId w:val="12"/>
              </w:numPr>
              <w:spacing w:line="276" w:lineRule="auto"/>
              <w:rPr>
                <w:rFonts w:asciiTheme="minorBidi" w:hAnsiTheme="minorBidi" w:cstheme="minorBidi"/>
                <w:sz w:val="20"/>
                <w:szCs w:val="20"/>
              </w:rPr>
            </w:pPr>
            <w:r w:rsidRPr="00EF5453">
              <w:rPr>
                <w:rFonts w:asciiTheme="minorBidi" w:hAnsiTheme="minorBidi"/>
                <w:sz w:val="20"/>
                <w:szCs w:val="20"/>
                <w:rtl/>
              </w:rPr>
              <w:lastRenderedPageBreak/>
              <w:t xml:space="preserve">כתוצאה מהמאמצים של </w:t>
            </w:r>
            <w:r w:rsidRPr="00EF5453">
              <w:rPr>
                <w:rFonts w:asciiTheme="minorBidi" w:hAnsiTheme="minorBidi" w:cstheme="minorBidi"/>
                <w:sz w:val="20"/>
                <w:szCs w:val="20"/>
              </w:rPr>
              <w:t>IRAC</w:t>
            </w:r>
            <w:r w:rsidRPr="00EF5453">
              <w:rPr>
                <w:rFonts w:asciiTheme="minorBidi" w:hAnsiTheme="minorBidi"/>
                <w:sz w:val="20"/>
                <w:szCs w:val="20"/>
                <w:rtl/>
              </w:rPr>
              <w:t xml:space="preserve">, בינואר 2024, הורשע בנצי גופשטיין, מנהיג הארגון </w:t>
            </w:r>
            <w:r>
              <w:rPr>
                <w:rFonts w:asciiTheme="minorBidi" w:hAnsiTheme="minorBidi" w:hint="cs"/>
                <w:sz w:val="20"/>
                <w:szCs w:val="20"/>
                <w:rtl/>
              </w:rPr>
              <w:t>"</w:t>
            </w:r>
            <w:r w:rsidRPr="00EF5453">
              <w:rPr>
                <w:rFonts w:asciiTheme="minorBidi" w:hAnsiTheme="minorBidi"/>
                <w:sz w:val="20"/>
                <w:szCs w:val="20"/>
                <w:rtl/>
              </w:rPr>
              <w:t>להבה</w:t>
            </w:r>
            <w:r>
              <w:rPr>
                <w:rFonts w:asciiTheme="minorBidi" w:hAnsiTheme="minorBidi" w:hint="cs"/>
                <w:sz w:val="20"/>
                <w:szCs w:val="20"/>
                <w:rtl/>
              </w:rPr>
              <w:t>"</w:t>
            </w:r>
            <w:r w:rsidRPr="00EF5453">
              <w:rPr>
                <w:rFonts w:asciiTheme="minorBidi" w:hAnsiTheme="minorBidi"/>
                <w:sz w:val="20"/>
                <w:szCs w:val="20"/>
                <w:rtl/>
              </w:rPr>
              <w:t xml:space="preserve">, בהסתה לגזענות. באפריל הוא קיבל עונש קל של 260 שעות עבודות שירות ועונש מאסר על תנאי של ארבעה חודשי מאסר. </w:t>
            </w:r>
            <w:r>
              <w:rPr>
                <w:rFonts w:asciiTheme="minorBidi" w:hAnsiTheme="minorBidi" w:cstheme="minorBidi" w:hint="cs"/>
                <w:sz w:val="20"/>
                <w:szCs w:val="20"/>
                <w:rtl/>
              </w:rPr>
              <w:t>(בנוסף-</w:t>
            </w:r>
            <w:r w:rsidRPr="00EF5453">
              <w:rPr>
                <w:rFonts w:asciiTheme="minorBidi" w:hAnsiTheme="minorBidi"/>
                <w:sz w:val="20"/>
                <w:szCs w:val="20"/>
                <w:rtl/>
              </w:rPr>
              <w:t xml:space="preserve">בעקבות הטלת הסנקציות על להבה על ידי ארה"ב והאיחוד האירופי, </w:t>
            </w:r>
            <w:r w:rsidRPr="00EF5453">
              <w:rPr>
                <w:rFonts w:asciiTheme="minorBidi" w:hAnsiTheme="minorBidi" w:cstheme="minorBidi"/>
                <w:sz w:val="20"/>
                <w:szCs w:val="20"/>
              </w:rPr>
              <w:t>IRAC</w:t>
            </w:r>
            <w:r w:rsidRPr="00EF5453">
              <w:rPr>
                <w:rFonts w:asciiTheme="minorBidi" w:hAnsiTheme="minorBidi"/>
                <w:sz w:val="20"/>
                <w:szCs w:val="20"/>
                <w:rtl/>
              </w:rPr>
              <w:t xml:space="preserve"> יצרה קשר עם כל 11 הבנקים ושבע חברות כרטיסי האשראי בדרישה ליישם אותן ולסרב לשירותים ללהבה, גופשטיין ולכל עמותה המשמשת כצינור להעברת כספים. לרשם העמותות ודרשה לפרק את הקרן להצלת עם ישראל, שבאמצעותה מועברים כספים ללהבה, </w:t>
            </w:r>
            <w:r>
              <w:rPr>
                <w:rFonts w:asciiTheme="minorBidi" w:hAnsiTheme="minorBidi" w:hint="cs"/>
                <w:sz w:val="20"/>
                <w:szCs w:val="20"/>
                <w:rtl/>
              </w:rPr>
              <w:t>ו</w:t>
            </w:r>
            <w:r w:rsidRPr="00EF5453">
              <w:rPr>
                <w:rFonts w:asciiTheme="minorBidi" w:hAnsiTheme="minorBidi"/>
                <w:sz w:val="20"/>
                <w:szCs w:val="20"/>
                <w:rtl/>
              </w:rPr>
              <w:t xml:space="preserve"> לרשתות החברתיות (פייסבוק, אינסטגרם, וואטסאפ, טוויטר, יוטיוב, טלגרם) ודרשה מהם לחסום את החשבונות של להבה וגופשטיין</w:t>
            </w:r>
            <w:r>
              <w:rPr>
                <w:rFonts w:asciiTheme="minorBidi" w:hAnsiTheme="minorBidi" w:hint="cs"/>
                <w:sz w:val="20"/>
                <w:szCs w:val="20"/>
                <w:rtl/>
              </w:rPr>
              <w:t>)</w:t>
            </w:r>
          </w:p>
          <w:p w14:paraId="46188D99" w14:textId="57372630" w:rsidR="00EF5453" w:rsidRDefault="00565E35" w:rsidP="00EF5453">
            <w:pPr>
              <w:pStyle w:val="ListParagraph"/>
              <w:numPr>
                <w:ilvl w:val="0"/>
                <w:numId w:val="12"/>
              </w:numPr>
              <w:spacing w:line="276" w:lineRule="auto"/>
              <w:rPr>
                <w:rFonts w:asciiTheme="minorBidi" w:hAnsiTheme="minorBidi" w:cstheme="minorBidi"/>
                <w:sz w:val="20"/>
                <w:szCs w:val="20"/>
              </w:rPr>
            </w:pPr>
            <w:r>
              <w:rPr>
                <w:rFonts w:asciiTheme="minorBidi" w:hAnsiTheme="minorBidi" w:cstheme="minorBidi" w:hint="cs"/>
                <w:sz w:val="20"/>
                <w:szCs w:val="20"/>
                <w:rtl/>
              </w:rPr>
              <w:t xml:space="preserve">בעקבות העתירות של המרכז הרפורמי לדת ומדינה, נמנעו העברות כספים </w:t>
            </w:r>
            <w:r w:rsidR="00E95131">
              <w:rPr>
                <w:rFonts w:asciiTheme="minorBidi" w:hAnsiTheme="minorBidi" w:cstheme="minorBidi" w:hint="cs"/>
                <w:sz w:val="20"/>
                <w:szCs w:val="20"/>
                <w:rtl/>
              </w:rPr>
              <w:t xml:space="preserve">בסך 50 מליון דולר </w:t>
            </w:r>
            <w:r>
              <w:rPr>
                <w:rFonts w:asciiTheme="minorBidi" w:hAnsiTheme="minorBidi" w:cstheme="minorBidi" w:hint="cs"/>
                <w:sz w:val="20"/>
                <w:szCs w:val="20"/>
                <w:rtl/>
              </w:rPr>
              <w:t xml:space="preserve">בעת המלחמה </w:t>
            </w:r>
            <w:r w:rsidR="00E95131">
              <w:rPr>
                <w:rFonts w:asciiTheme="minorBidi" w:hAnsiTheme="minorBidi" w:cstheme="minorBidi" w:hint="cs"/>
                <w:sz w:val="20"/>
                <w:szCs w:val="20"/>
                <w:rtl/>
              </w:rPr>
              <w:t xml:space="preserve">ותו"כ קיצוץ כולל בתקציב המדינה, </w:t>
            </w:r>
            <w:r>
              <w:rPr>
                <w:rFonts w:asciiTheme="minorBidi" w:hAnsiTheme="minorBidi" w:cstheme="minorBidi" w:hint="cs"/>
                <w:sz w:val="20"/>
                <w:szCs w:val="20"/>
                <w:rtl/>
              </w:rPr>
              <w:t xml:space="preserve">למוסדות </w:t>
            </w:r>
            <w:r w:rsidR="00E95131">
              <w:rPr>
                <w:rFonts w:asciiTheme="minorBidi" w:hAnsiTheme="minorBidi" w:cstheme="minorBidi" w:hint="cs"/>
                <w:sz w:val="20"/>
                <w:szCs w:val="20"/>
                <w:rtl/>
              </w:rPr>
              <w:t>הפטור (מוסדות חינוך חרדיים שאינם מלמדים לימודי ליבה, ואינם מפוקחים על ידי משרד החינוך)</w:t>
            </w:r>
          </w:p>
          <w:p w14:paraId="79C0F034" w14:textId="4AEAE6D0" w:rsidR="00E95131" w:rsidRDefault="00E95131" w:rsidP="00EF5453">
            <w:pPr>
              <w:pStyle w:val="ListParagraph"/>
              <w:numPr>
                <w:ilvl w:val="0"/>
                <w:numId w:val="12"/>
              </w:numPr>
              <w:spacing w:line="276" w:lineRule="auto"/>
              <w:rPr>
                <w:rFonts w:asciiTheme="minorBidi" w:hAnsiTheme="minorBidi" w:cstheme="minorBidi"/>
                <w:sz w:val="20"/>
                <w:szCs w:val="20"/>
              </w:rPr>
            </w:pPr>
            <w:r>
              <w:rPr>
                <w:rFonts w:asciiTheme="minorBidi" w:hAnsiTheme="minorBidi" w:cstheme="minorBidi" w:hint="cs"/>
                <w:sz w:val="20"/>
                <w:szCs w:val="20"/>
                <w:rtl/>
              </w:rPr>
              <w:t>בזכות עתירת המרכז הרפורמי לדת ומדינה לבית המשפט- ניתן פסק דין דרמטי ואושר קיומו של ליין המסיבות הגאות "טיפולי הרמה" במתחם מגדל דוד, זאת על אף לחץ רבנים על המקום בעקבותיו ביטל המקום את קיום המסיבה. בזכות עתירת המרכז, נערכה המסיבה במקום ונרשם נצחון לקהילה הגאה בעיר ירושלים.</w:t>
            </w:r>
          </w:p>
          <w:p w14:paraId="30A59666" w14:textId="205B773C" w:rsidR="00E95131" w:rsidRPr="00EF5453" w:rsidRDefault="00E95131" w:rsidP="00EF5453">
            <w:pPr>
              <w:pStyle w:val="ListParagraph"/>
              <w:numPr>
                <w:ilvl w:val="0"/>
                <w:numId w:val="12"/>
              </w:numPr>
              <w:spacing w:line="276" w:lineRule="auto"/>
              <w:rPr>
                <w:rFonts w:asciiTheme="minorBidi" w:hAnsiTheme="minorBidi" w:cstheme="minorBidi"/>
                <w:sz w:val="20"/>
                <w:szCs w:val="20"/>
              </w:rPr>
            </w:pPr>
            <w:r>
              <w:rPr>
                <w:rFonts w:asciiTheme="minorBidi" w:hAnsiTheme="minorBidi" w:cstheme="minorBidi" w:hint="cs"/>
                <w:sz w:val="20"/>
                <w:szCs w:val="20"/>
                <w:rtl/>
              </w:rPr>
              <w:t>ביולי- הוקם ביוזמן שתיל- פרויקט משותף לארגונים המרכז הרפורמי, שלום עכשיו ו</w:t>
            </w:r>
            <w:r w:rsidR="009D653D">
              <w:rPr>
                <w:rFonts w:asciiTheme="minorBidi" w:hAnsiTheme="minorBidi" w:cstheme="minorBidi" w:hint="cs"/>
                <w:sz w:val="20"/>
                <w:szCs w:val="20"/>
                <w:rtl/>
              </w:rPr>
              <w:t>קרן ברל כצלנסון-"משמר התקציב" במטרה לעקוב אחר שינויים בתקציב המדינה.</w:t>
            </w:r>
          </w:p>
          <w:p w14:paraId="0CD4D940" w14:textId="77777777" w:rsidR="00CA7733" w:rsidRPr="00DB1686"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Outputs:</w:t>
            </w:r>
            <w:r w:rsidR="0040578B" w:rsidRPr="00DB1686">
              <w:rPr>
                <w:rFonts w:asciiTheme="minorBidi" w:hAnsiTheme="minorBidi"/>
                <w:sz w:val="20"/>
                <w:szCs w:val="20"/>
              </w:rPr>
              <w:t xml:space="preserve"> </w:t>
            </w:r>
          </w:p>
          <w:p w14:paraId="19EFEC1A" w14:textId="77777777" w:rsidR="000D3317" w:rsidRDefault="006B69DA" w:rsidP="009D653D">
            <w:pPr>
              <w:pStyle w:val="ListParagraph"/>
              <w:numPr>
                <w:ilvl w:val="0"/>
                <w:numId w:val="3"/>
              </w:numPr>
              <w:bidi w:val="0"/>
              <w:spacing w:line="276" w:lineRule="auto"/>
              <w:jc w:val="both"/>
              <w:rPr>
                <w:rFonts w:asciiTheme="minorBidi" w:hAnsiTheme="minorBidi"/>
                <w:sz w:val="20"/>
                <w:szCs w:val="20"/>
              </w:rPr>
            </w:pPr>
            <w:r>
              <w:rPr>
                <w:rFonts w:asciiTheme="minorBidi" w:hAnsiTheme="minorBidi" w:hint="cs"/>
                <w:sz w:val="20"/>
                <w:szCs w:val="20"/>
                <w:rtl/>
              </w:rPr>
              <w:t xml:space="preserve">החל מה7.10 המרכז הרפורמי יחד עם התנועה הרפורמית מובילים </w:t>
            </w:r>
            <w:r w:rsidR="00845D4D">
              <w:rPr>
                <w:rFonts w:asciiTheme="minorBidi" w:hAnsiTheme="minorBidi" w:hint="cs"/>
                <w:sz w:val="20"/>
                <w:szCs w:val="20"/>
                <w:rtl/>
              </w:rPr>
              <w:t>הבדלה וקבלת שבת בכיכר החטופים ומצליחים להביא מדי שבת כאלף חברי קהילה להפגנות למען החטופים</w:t>
            </w:r>
          </w:p>
          <w:p w14:paraId="2CACFAC5" w14:textId="77777777" w:rsidR="00845D4D" w:rsidRDefault="00845D4D" w:rsidP="00845D4D">
            <w:pPr>
              <w:pStyle w:val="ListParagraph"/>
              <w:numPr>
                <w:ilvl w:val="0"/>
                <w:numId w:val="3"/>
              </w:numPr>
              <w:bidi w:val="0"/>
              <w:spacing w:line="276" w:lineRule="auto"/>
              <w:jc w:val="both"/>
              <w:rPr>
                <w:rFonts w:asciiTheme="minorBidi" w:hAnsiTheme="minorBidi"/>
                <w:sz w:val="20"/>
                <w:szCs w:val="20"/>
              </w:rPr>
            </w:pPr>
            <w:r>
              <w:rPr>
                <w:rFonts w:asciiTheme="minorBidi" w:hAnsiTheme="minorBidi" w:hint="cs"/>
                <w:sz w:val="20"/>
                <w:szCs w:val="20"/>
                <w:rtl/>
              </w:rPr>
              <w:t>המרכז הרפורמי הגיש עתירות לפסילת מועמדי מפלגת "עוצמה יהודית" בבחירות המוניציפליות בערים מעלה אדומים וירושלים- אך העתירה נפסלה</w:t>
            </w:r>
          </w:p>
          <w:p w14:paraId="14EE82E0" w14:textId="77777777" w:rsidR="00845D4D" w:rsidRDefault="00845D4D" w:rsidP="00845D4D">
            <w:pPr>
              <w:pStyle w:val="ListParagraph"/>
              <w:numPr>
                <w:ilvl w:val="0"/>
                <w:numId w:val="3"/>
              </w:numPr>
              <w:bidi w:val="0"/>
              <w:spacing w:line="276" w:lineRule="auto"/>
              <w:jc w:val="both"/>
              <w:rPr>
                <w:rFonts w:asciiTheme="minorBidi" w:hAnsiTheme="minorBidi"/>
                <w:sz w:val="20"/>
                <w:szCs w:val="20"/>
              </w:rPr>
            </w:pPr>
            <w:r>
              <w:rPr>
                <w:rFonts w:asciiTheme="minorBidi" w:hAnsiTheme="minorBidi" w:hint="cs"/>
                <w:sz w:val="20"/>
                <w:szCs w:val="20"/>
                <w:rtl/>
              </w:rPr>
              <w:t>נכתב מסמך 100 ימים לחברי מועצות מקומיות לקידום חופש דת בעירם- המכתב מקודם במעל חמש ערים על ידי חברי הקהילה הרפורמית בעיר.</w:t>
            </w:r>
          </w:p>
          <w:p w14:paraId="6CC71364" w14:textId="77777777" w:rsidR="00845D4D" w:rsidRDefault="00845D4D" w:rsidP="00845D4D">
            <w:pPr>
              <w:pStyle w:val="ListParagraph"/>
              <w:numPr>
                <w:ilvl w:val="0"/>
                <w:numId w:val="3"/>
              </w:numPr>
              <w:bidi w:val="0"/>
              <w:spacing w:line="276" w:lineRule="auto"/>
              <w:jc w:val="both"/>
              <w:rPr>
                <w:rFonts w:asciiTheme="minorBidi" w:hAnsiTheme="minorBidi"/>
                <w:sz w:val="20"/>
                <w:szCs w:val="20"/>
              </w:rPr>
            </w:pPr>
            <w:r>
              <w:rPr>
                <w:rFonts w:asciiTheme="minorBidi" w:hAnsiTheme="minorBidi" w:hint="cs"/>
                <w:sz w:val="20"/>
                <w:szCs w:val="20"/>
                <w:rtl/>
              </w:rPr>
              <w:t>קמפיין שנערך במרכז הרפורמי נגד זכייתו של הרב יצחק יוסף בפרס ישראל, החתים מעל 15 אלף חתימות</w:t>
            </w:r>
          </w:p>
          <w:p w14:paraId="773BF3FB" w14:textId="48905FF5" w:rsidR="00845D4D" w:rsidRPr="000D3317" w:rsidRDefault="00845D4D" w:rsidP="00845D4D">
            <w:pPr>
              <w:pStyle w:val="ListParagraph"/>
              <w:numPr>
                <w:ilvl w:val="0"/>
                <w:numId w:val="3"/>
              </w:numPr>
              <w:bidi w:val="0"/>
              <w:spacing w:line="276" w:lineRule="auto"/>
              <w:jc w:val="both"/>
              <w:rPr>
                <w:rFonts w:asciiTheme="minorBidi" w:hAnsiTheme="minorBidi"/>
                <w:sz w:val="20"/>
                <w:szCs w:val="20"/>
                <w:rtl/>
              </w:rPr>
            </w:pPr>
            <w:r>
              <w:rPr>
                <w:rFonts w:asciiTheme="minorBidi" w:hAnsiTheme="minorBidi" w:hint="cs"/>
                <w:sz w:val="20"/>
                <w:szCs w:val="20"/>
                <w:rtl/>
              </w:rPr>
              <w:t>הושק פודקאסט בעל 12 פרקים של המרכז הרפורמי העוסק בדת ומדינה, בשיתוף עם רשת הרדיו 103.</w:t>
            </w:r>
          </w:p>
        </w:tc>
      </w:tr>
      <w:tr w:rsidR="00E32B42" w:rsidRPr="002B10D8" w14:paraId="1B3B4922" w14:textId="77777777" w:rsidTr="007B2CCA">
        <w:tc>
          <w:tcPr>
            <w:tcW w:w="9736" w:type="dxa"/>
            <w:gridSpan w:val="8"/>
          </w:tcPr>
          <w:p w14:paraId="2D201D78" w14:textId="77777777" w:rsidR="00C2129E" w:rsidRPr="00DB1686" w:rsidRDefault="00AA1687" w:rsidP="00DB1686">
            <w:pPr>
              <w:bidi w:val="0"/>
              <w:spacing w:line="276" w:lineRule="auto"/>
              <w:jc w:val="both"/>
              <w:rPr>
                <w:rFonts w:asciiTheme="minorBidi" w:hAnsiTheme="minorBidi"/>
                <w:b/>
                <w:bCs/>
                <w:sz w:val="20"/>
                <w:szCs w:val="20"/>
              </w:rPr>
            </w:pPr>
            <w:r w:rsidRPr="00DB1686">
              <w:rPr>
                <w:rFonts w:asciiTheme="minorBidi" w:hAnsiTheme="minorBidi"/>
                <w:sz w:val="20"/>
                <w:szCs w:val="20"/>
              </w:rPr>
              <w:lastRenderedPageBreak/>
              <w:t>Particular</w:t>
            </w:r>
            <w:r w:rsidRPr="00DB1686">
              <w:rPr>
                <w:rFonts w:asciiTheme="minorBidi" w:hAnsiTheme="minorBidi"/>
                <w:b/>
                <w:bCs/>
                <w:sz w:val="20"/>
                <w:szCs w:val="20"/>
              </w:rPr>
              <w:t xml:space="preserve"> </w:t>
            </w:r>
            <w:r w:rsidRPr="00DB1686">
              <w:rPr>
                <w:rFonts w:asciiTheme="minorBidi" w:hAnsiTheme="minorBidi"/>
                <w:b/>
                <w:bCs/>
                <w:sz w:val="20"/>
                <w:szCs w:val="20"/>
                <w:u w:val="single"/>
              </w:rPr>
              <w:t>challenges</w:t>
            </w:r>
            <w:r w:rsidRPr="00DB1686">
              <w:rPr>
                <w:rFonts w:asciiTheme="minorBidi" w:hAnsiTheme="minorBidi"/>
                <w:b/>
                <w:bCs/>
                <w:sz w:val="20"/>
                <w:szCs w:val="20"/>
              </w:rPr>
              <w:t xml:space="preserve"> and/or </w:t>
            </w:r>
            <w:r w:rsidR="000A7FF7" w:rsidRPr="00DB1686">
              <w:rPr>
                <w:rFonts w:asciiTheme="minorBidi" w:hAnsiTheme="minorBidi"/>
                <w:b/>
                <w:bCs/>
                <w:sz w:val="20"/>
                <w:szCs w:val="20"/>
              </w:rPr>
              <w:t xml:space="preserve">significant program or organizational </w:t>
            </w:r>
            <w:r w:rsidR="000A7FF7" w:rsidRPr="00DB1686">
              <w:rPr>
                <w:rFonts w:asciiTheme="minorBidi" w:hAnsiTheme="minorBidi"/>
                <w:b/>
                <w:bCs/>
                <w:sz w:val="20"/>
                <w:szCs w:val="20"/>
                <w:u w:val="single"/>
              </w:rPr>
              <w:t>changes</w:t>
            </w:r>
            <w:r w:rsidR="000A7FF7" w:rsidRPr="00DB1686">
              <w:rPr>
                <w:rFonts w:asciiTheme="minorBidi" w:hAnsiTheme="minorBidi"/>
                <w:b/>
                <w:bCs/>
                <w:sz w:val="20"/>
                <w:szCs w:val="20"/>
              </w:rPr>
              <w:t>:</w:t>
            </w:r>
            <w:r w:rsidR="002C11F2" w:rsidRPr="00DB1686">
              <w:rPr>
                <w:rFonts w:asciiTheme="minorBidi" w:hAnsiTheme="minorBidi"/>
                <w:b/>
                <w:bCs/>
                <w:sz w:val="20"/>
                <w:szCs w:val="20"/>
              </w:rPr>
              <w:t xml:space="preserve"> </w:t>
            </w:r>
            <w:r w:rsidR="000A7FF7" w:rsidRPr="00DB1686">
              <w:rPr>
                <w:rFonts w:asciiTheme="minorBidi" w:hAnsiTheme="minorBidi"/>
                <w:b/>
                <w:bCs/>
                <w:sz w:val="20"/>
                <w:szCs w:val="20"/>
              </w:rPr>
              <w:t xml:space="preserve"> </w:t>
            </w:r>
          </w:p>
          <w:p w14:paraId="441754C4" w14:textId="23D0122D" w:rsidR="009926C0" w:rsidRPr="00DB1686" w:rsidRDefault="00783DCC" w:rsidP="00DB1686">
            <w:pPr>
              <w:bidi w:val="0"/>
              <w:spacing w:line="276" w:lineRule="auto"/>
              <w:jc w:val="both"/>
              <w:rPr>
                <w:rFonts w:asciiTheme="minorBidi" w:hAnsiTheme="minorBidi"/>
                <w:sz w:val="20"/>
                <w:szCs w:val="20"/>
              </w:rPr>
            </w:pPr>
            <w:r>
              <w:rPr>
                <w:rFonts w:asciiTheme="minorBidi" w:hAnsiTheme="minorBidi" w:hint="cs"/>
                <w:sz w:val="20"/>
                <w:szCs w:val="20"/>
                <w:rtl/>
              </w:rPr>
              <w:t>כמו בארגוני חברה אזרחית אחרים, גם במרכז הרפורמי הצוות וקהילת התנועה נפגעו באופן ישיר ועקיף במלחמה- מאבידות וכן צוות שגוייס למילואים. המרכז בסיוע שתיל התמודד עם אתגרי התקופה והסיוע הנדרש לצוות. כחלק מהמאבק להחזרת החטופים- החל מה7.10 המרכז הרפורמי והתנועה הרפורמית השקיעו משאבים רבים במאבק להשמעת קול יהודי למען השבת החטופים ועסקה.</w:t>
            </w:r>
          </w:p>
          <w:p w14:paraId="4E1BCAAE" w14:textId="77777777" w:rsidR="00E32B42" w:rsidRPr="00DB1686" w:rsidRDefault="00E32B42" w:rsidP="00DB1686">
            <w:pPr>
              <w:bidi w:val="0"/>
              <w:spacing w:line="276" w:lineRule="auto"/>
              <w:jc w:val="right"/>
              <w:rPr>
                <w:rFonts w:asciiTheme="minorBidi" w:hAnsiTheme="minorBidi"/>
                <w:sz w:val="20"/>
                <w:szCs w:val="20"/>
              </w:rPr>
            </w:pPr>
          </w:p>
        </w:tc>
      </w:tr>
      <w:tr w:rsidR="000A7FF7" w:rsidRPr="002B10D8" w14:paraId="4D0B9D29" w14:textId="77777777" w:rsidTr="007B2CCA">
        <w:tc>
          <w:tcPr>
            <w:tcW w:w="9736" w:type="dxa"/>
            <w:gridSpan w:val="8"/>
          </w:tcPr>
          <w:p w14:paraId="4C71619C" w14:textId="77777777" w:rsidR="000A7FF7" w:rsidRPr="00DB1686" w:rsidRDefault="000A7FF7" w:rsidP="00DB1686">
            <w:pPr>
              <w:spacing w:line="276" w:lineRule="auto"/>
              <w:jc w:val="right"/>
              <w:rPr>
                <w:rFonts w:asciiTheme="minorBidi" w:hAnsiTheme="minorBidi"/>
                <w:sz w:val="20"/>
                <w:szCs w:val="20"/>
              </w:rPr>
            </w:pPr>
            <w:r w:rsidRPr="00DB1686">
              <w:rPr>
                <w:rFonts w:asciiTheme="minorBidi" w:hAnsiTheme="minorBidi"/>
                <w:b/>
                <w:bCs/>
                <w:sz w:val="20"/>
                <w:szCs w:val="20"/>
              </w:rPr>
              <w:t xml:space="preserve">2022 </w:t>
            </w:r>
            <w:r w:rsidRPr="00DB1686">
              <w:rPr>
                <w:rFonts w:asciiTheme="minorBidi" w:hAnsiTheme="minorBidi"/>
                <w:b/>
                <w:bCs/>
                <w:sz w:val="20"/>
                <w:szCs w:val="20"/>
                <w:u w:val="single"/>
              </w:rPr>
              <w:t>Organizational</w:t>
            </w:r>
            <w:r w:rsidRPr="00DB1686">
              <w:rPr>
                <w:rFonts w:asciiTheme="minorBidi" w:hAnsiTheme="minorBidi"/>
                <w:b/>
                <w:bCs/>
                <w:sz w:val="20"/>
                <w:szCs w:val="20"/>
              </w:rPr>
              <w:t xml:space="preserve"> income: </w:t>
            </w:r>
            <w:r w:rsidRPr="00DB1686">
              <w:rPr>
                <w:rFonts w:asciiTheme="minorBidi" w:hAnsiTheme="minorBidi"/>
                <w:sz w:val="20"/>
                <w:szCs w:val="20"/>
              </w:rPr>
              <w:t>$</w:t>
            </w:r>
            <w:r w:rsidR="00022102" w:rsidRPr="00DB1686">
              <w:rPr>
                <w:rFonts w:asciiTheme="minorBidi" w:hAnsiTheme="minorBidi"/>
                <w:sz w:val="20"/>
                <w:szCs w:val="20"/>
              </w:rPr>
              <w:t>1</w:t>
            </w:r>
            <w:r w:rsidR="00294FA0" w:rsidRPr="00DB1686">
              <w:rPr>
                <w:rFonts w:asciiTheme="minorBidi" w:hAnsiTheme="minorBidi"/>
                <w:sz w:val="20"/>
                <w:szCs w:val="20"/>
              </w:rPr>
              <w:t>,9</w:t>
            </w:r>
            <w:r w:rsidR="00022102" w:rsidRPr="00DB1686">
              <w:rPr>
                <w:rFonts w:asciiTheme="minorBidi" w:hAnsiTheme="minorBidi"/>
                <w:sz w:val="20"/>
                <w:szCs w:val="20"/>
              </w:rPr>
              <w:t>1</w:t>
            </w:r>
            <w:r w:rsidR="00294FA0" w:rsidRPr="00DB1686">
              <w:rPr>
                <w:rFonts w:asciiTheme="minorBidi" w:hAnsiTheme="minorBidi"/>
                <w:sz w:val="20"/>
                <w:szCs w:val="20"/>
              </w:rPr>
              <w:t>9</w:t>
            </w:r>
            <w:r w:rsidR="00C67BAE" w:rsidRPr="00DB1686">
              <w:rPr>
                <w:rFonts w:asciiTheme="minorBidi" w:hAnsiTheme="minorBidi"/>
                <w:sz w:val="20"/>
                <w:szCs w:val="20"/>
              </w:rPr>
              <w:t>,000</w:t>
            </w:r>
          </w:p>
          <w:p w14:paraId="73422ED5" w14:textId="70FD0353" w:rsidR="000A7FF7" w:rsidRPr="00DB1686" w:rsidRDefault="000A7FF7" w:rsidP="000D3317">
            <w:pPr>
              <w:spacing w:line="276" w:lineRule="auto"/>
              <w:jc w:val="right"/>
              <w:rPr>
                <w:rFonts w:asciiTheme="minorBidi" w:hAnsiTheme="minorBidi"/>
                <w:sz w:val="20"/>
                <w:szCs w:val="20"/>
              </w:rPr>
            </w:pPr>
            <w:r w:rsidRPr="00DB1686">
              <w:rPr>
                <w:rFonts w:asciiTheme="minorBidi" w:hAnsiTheme="minorBidi"/>
                <w:b/>
                <w:bCs/>
                <w:sz w:val="20"/>
                <w:szCs w:val="20"/>
              </w:rPr>
              <w:t xml:space="preserve">2023 Expected </w:t>
            </w:r>
            <w:r w:rsidRPr="00DB1686">
              <w:rPr>
                <w:rFonts w:asciiTheme="minorBidi" w:hAnsiTheme="minorBidi"/>
                <w:b/>
                <w:bCs/>
                <w:sz w:val="20"/>
                <w:szCs w:val="20"/>
                <w:u w:val="single"/>
              </w:rPr>
              <w:t>Organizational</w:t>
            </w:r>
            <w:r w:rsidRPr="00DB1686">
              <w:rPr>
                <w:rFonts w:asciiTheme="minorBidi" w:hAnsiTheme="minorBidi"/>
                <w:b/>
                <w:bCs/>
                <w:sz w:val="20"/>
                <w:szCs w:val="20"/>
              </w:rPr>
              <w:t xml:space="preserve"> Budget:</w:t>
            </w:r>
            <w:r w:rsidR="00D15FB7">
              <w:rPr>
                <w:rFonts w:asciiTheme="minorBidi" w:hAnsiTheme="minorBidi"/>
                <w:b/>
                <w:bCs/>
                <w:sz w:val="20"/>
                <w:szCs w:val="20"/>
              </w:rPr>
              <w:t xml:space="preserve"> </w:t>
            </w:r>
            <w:r w:rsidR="00D15FB7" w:rsidRPr="00D15FB7">
              <w:rPr>
                <w:rFonts w:asciiTheme="minorBidi" w:hAnsiTheme="minorBidi"/>
                <w:sz w:val="20"/>
                <w:szCs w:val="20"/>
              </w:rPr>
              <w:t>$2,692,000</w:t>
            </w:r>
          </w:p>
        </w:tc>
      </w:tr>
      <w:tr w:rsidR="000D1A4F" w:rsidRPr="002B10D8" w14:paraId="7732044F" w14:textId="77777777" w:rsidTr="000D1A4F">
        <w:tc>
          <w:tcPr>
            <w:tcW w:w="9736" w:type="dxa"/>
            <w:gridSpan w:val="8"/>
            <w:shd w:val="clear" w:color="auto" w:fill="D9D9D9"/>
          </w:tcPr>
          <w:p w14:paraId="51990A6E" w14:textId="77777777" w:rsidR="000D1A4F" w:rsidRPr="00B850C5" w:rsidRDefault="000D1A4F" w:rsidP="000D1A4F">
            <w:pPr>
              <w:bidi w:val="0"/>
              <w:spacing w:line="276" w:lineRule="auto"/>
              <w:jc w:val="center"/>
              <w:rPr>
                <w:rFonts w:asciiTheme="minorBidi" w:hAnsiTheme="minorBidi"/>
                <w:b/>
                <w:bCs/>
                <w:u w:val="single"/>
              </w:rPr>
            </w:pPr>
            <w:r w:rsidRPr="00B850C5">
              <w:rPr>
                <w:rFonts w:asciiTheme="minorBidi" w:hAnsiTheme="minorBidi" w:cs="Arial"/>
                <w:b/>
                <w:bCs/>
                <w:u w:val="single"/>
              </w:rPr>
              <w:t xml:space="preserve">2023 </w:t>
            </w:r>
            <w:r w:rsidRPr="00B850C5">
              <w:rPr>
                <w:rFonts w:asciiTheme="minorBidi" w:hAnsiTheme="minorBidi"/>
                <w:b/>
                <w:bCs/>
                <w:u w:val="single"/>
              </w:rPr>
              <w:t>RECOMMENDATION</w:t>
            </w:r>
          </w:p>
        </w:tc>
      </w:tr>
      <w:tr w:rsidR="000D1A4F" w:rsidRPr="002B10D8" w14:paraId="05ED7ABF" w14:textId="77777777" w:rsidTr="007B2CCA">
        <w:tc>
          <w:tcPr>
            <w:tcW w:w="9736" w:type="dxa"/>
            <w:gridSpan w:val="8"/>
          </w:tcPr>
          <w:p w14:paraId="54DC4F8C" w14:textId="77777777" w:rsidR="004A0FB5" w:rsidRPr="00DB1686" w:rsidRDefault="004A0FB5" w:rsidP="004A0FB5">
            <w:pPr>
              <w:bidi w:val="0"/>
              <w:spacing w:line="276" w:lineRule="auto"/>
              <w:rPr>
                <w:rFonts w:asciiTheme="minorBidi" w:eastAsia="Arial" w:hAnsiTheme="minorBidi"/>
                <w:b/>
                <w:sz w:val="20"/>
                <w:szCs w:val="20"/>
                <w:rtl/>
              </w:rPr>
            </w:pPr>
            <w:r w:rsidRPr="00DB1686">
              <w:rPr>
                <w:rFonts w:asciiTheme="minorBidi" w:eastAsia="Arial" w:hAnsiTheme="minorBidi"/>
                <w:b/>
                <w:sz w:val="20"/>
                <w:szCs w:val="20"/>
              </w:rPr>
              <w:t xml:space="preserve">2022 Grant: </w:t>
            </w:r>
            <w:r w:rsidRPr="00F03BAA">
              <w:rPr>
                <w:rFonts w:asciiTheme="minorBidi" w:eastAsia="Arial" w:hAnsiTheme="minorBidi"/>
                <w:bCs/>
                <w:sz w:val="20"/>
                <w:szCs w:val="20"/>
              </w:rPr>
              <w:t>$</w:t>
            </w:r>
            <w:r w:rsidRPr="00F03BAA">
              <w:rPr>
                <w:rFonts w:asciiTheme="minorBidi" w:eastAsia="Arial" w:hAnsiTheme="minorBidi"/>
                <w:b/>
                <w:sz w:val="20"/>
                <w:szCs w:val="20"/>
                <w:rtl/>
              </w:rPr>
              <w:t>50,000</w:t>
            </w:r>
          </w:p>
          <w:p w14:paraId="22E489A6" w14:textId="77777777" w:rsidR="004A0FB5" w:rsidRPr="00DB1686" w:rsidRDefault="004A0FB5" w:rsidP="004A0FB5">
            <w:pPr>
              <w:bidi w:val="0"/>
              <w:spacing w:line="276" w:lineRule="auto"/>
              <w:rPr>
                <w:rFonts w:asciiTheme="minorBidi" w:hAnsiTheme="minorBidi"/>
                <w:bCs/>
                <w:sz w:val="20"/>
                <w:szCs w:val="20"/>
              </w:rPr>
            </w:pPr>
            <w:r w:rsidRPr="00DB1686">
              <w:rPr>
                <w:rFonts w:asciiTheme="minorBidi" w:hAnsiTheme="minorBidi"/>
                <w:b/>
                <w:sz w:val="20"/>
                <w:szCs w:val="20"/>
              </w:rPr>
              <w:t xml:space="preserve">2022 Grants from Other Programs: </w:t>
            </w:r>
            <w:r w:rsidRPr="00DB1686">
              <w:rPr>
                <w:rFonts w:asciiTheme="minorBidi" w:hAnsiTheme="minorBidi"/>
                <w:bCs/>
                <w:sz w:val="20"/>
                <w:szCs w:val="20"/>
              </w:rPr>
              <w:t>$45,000 (from the Strengthening Anti-Racism Initiatives and Organizations program – approved in March 2023)</w:t>
            </w:r>
          </w:p>
          <w:p w14:paraId="34816C56" w14:textId="77777777" w:rsidR="004A0FB5" w:rsidRPr="00DB1686" w:rsidRDefault="004A0FB5" w:rsidP="004A0FB5">
            <w:pPr>
              <w:bidi w:val="0"/>
              <w:spacing w:line="276" w:lineRule="auto"/>
              <w:rPr>
                <w:rFonts w:asciiTheme="minorBidi" w:eastAsia="Arial" w:hAnsiTheme="minorBidi"/>
                <w:b/>
                <w:sz w:val="20"/>
                <w:szCs w:val="20"/>
                <w:rtl/>
              </w:rPr>
            </w:pPr>
            <w:r w:rsidRPr="00DB1686">
              <w:rPr>
                <w:rFonts w:asciiTheme="minorBidi" w:eastAsia="Arial" w:hAnsiTheme="minorBidi"/>
                <w:b/>
                <w:sz w:val="20"/>
                <w:szCs w:val="20"/>
              </w:rPr>
              <w:t xml:space="preserve">2023 Staff Recommendation: </w:t>
            </w:r>
            <w:r w:rsidRPr="00F03BAA">
              <w:rPr>
                <w:rFonts w:asciiTheme="minorBidi" w:eastAsia="Arial" w:hAnsiTheme="minorBidi"/>
                <w:bCs/>
                <w:sz w:val="20"/>
                <w:szCs w:val="20"/>
              </w:rPr>
              <w:t>$</w:t>
            </w:r>
            <w:r w:rsidRPr="00DB1686">
              <w:rPr>
                <w:rFonts w:asciiTheme="minorBidi" w:eastAsia="Arial" w:hAnsiTheme="minorBidi"/>
                <w:b/>
                <w:sz w:val="20"/>
                <w:szCs w:val="20"/>
                <w:rtl/>
              </w:rPr>
              <w:t>50,000</w:t>
            </w:r>
          </w:p>
          <w:p w14:paraId="64260092" w14:textId="77777777" w:rsidR="004A0FB5" w:rsidRPr="00DB1686" w:rsidRDefault="004A0FB5" w:rsidP="004A0FB5">
            <w:pPr>
              <w:bidi w:val="0"/>
              <w:spacing w:line="276" w:lineRule="auto"/>
              <w:rPr>
                <w:rFonts w:asciiTheme="minorBidi" w:eastAsia="Arial" w:hAnsiTheme="minorBidi"/>
                <w:bCs/>
                <w:sz w:val="20"/>
                <w:szCs w:val="20"/>
              </w:rPr>
            </w:pPr>
            <w:r w:rsidRPr="00DB1686">
              <w:rPr>
                <w:rFonts w:asciiTheme="minorBidi" w:eastAsia="Arial" w:hAnsiTheme="minorBidi"/>
                <w:b/>
                <w:sz w:val="20"/>
                <w:szCs w:val="20"/>
              </w:rPr>
              <w:t xml:space="preserve">% of NIF Grant out of Total </w:t>
            </w:r>
            <w:r w:rsidRPr="00DB1686">
              <w:rPr>
                <w:rFonts w:asciiTheme="minorBidi" w:eastAsia="Arial" w:hAnsiTheme="minorBidi"/>
                <w:b/>
                <w:sz w:val="20"/>
                <w:szCs w:val="20"/>
                <w:u w:val="single"/>
              </w:rPr>
              <w:t>Organizational</w:t>
            </w:r>
            <w:r w:rsidRPr="00DB1686">
              <w:rPr>
                <w:rFonts w:asciiTheme="minorBidi" w:eastAsia="Arial" w:hAnsiTheme="minorBidi"/>
                <w:b/>
                <w:sz w:val="20"/>
                <w:szCs w:val="20"/>
              </w:rPr>
              <w:t xml:space="preserve"> Budget</w:t>
            </w:r>
            <w:r w:rsidRPr="000B246E">
              <w:rPr>
                <w:rFonts w:asciiTheme="minorBidi" w:eastAsia="Arial" w:hAnsiTheme="minorBidi"/>
                <w:bCs/>
                <w:sz w:val="20"/>
                <w:szCs w:val="20"/>
              </w:rPr>
              <w:t>:</w:t>
            </w:r>
            <w:r w:rsidR="000B246E" w:rsidRPr="000B246E">
              <w:rPr>
                <w:rFonts w:asciiTheme="minorBidi" w:eastAsia="Arial" w:hAnsiTheme="minorBidi"/>
                <w:bCs/>
                <w:sz w:val="20"/>
                <w:szCs w:val="20"/>
              </w:rPr>
              <w:t xml:space="preserve"> 1.8</w:t>
            </w:r>
            <w:r w:rsidRPr="000B246E">
              <w:rPr>
                <w:rFonts w:asciiTheme="minorBidi" w:eastAsia="Arial" w:hAnsiTheme="minorBidi"/>
                <w:b/>
                <w:sz w:val="20"/>
                <w:szCs w:val="20"/>
                <w:rtl/>
              </w:rPr>
              <w:t>%</w:t>
            </w:r>
          </w:p>
          <w:p w14:paraId="20F0DF5F" w14:textId="77777777" w:rsidR="004A0FB5" w:rsidRPr="00DB1686" w:rsidRDefault="004A0FB5" w:rsidP="004A0FB5">
            <w:pPr>
              <w:bidi w:val="0"/>
              <w:spacing w:line="276" w:lineRule="auto"/>
              <w:jc w:val="both"/>
              <w:rPr>
                <w:rFonts w:asciiTheme="minorBidi" w:eastAsia="Arial" w:hAnsiTheme="minorBidi"/>
                <w:bCs/>
                <w:sz w:val="20"/>
                <w:szCs w:val="20"/>
              </w:rPr>
            </w:pPr>
          </w:p>
          <w:p w14:paraId="53B5FC6D" w14:textId="77777777" w:rsidR="004A0FB5" w:rsidRPr="00DB1686" w:rsidRDefault="004A0FB5" w:rsidP="004A0FB5">
            <w:pPr>
              <w:bidi w:val="0"/>
              <w:spacing w:line="276" w:lineRule="auto"/>
              <w:jc w:val="both"/>
              <w:rPr>
                <w:rFonts w:asciiTheme="minorBidi" w:eastAsia="Arial" w:hAnsiTheme="minorBidi"/>
                <w:b/>
                <w:sz w:val="20"/>
                <w:szCs w:val="20"/>
                <w:rtl/>
              </w:rPr>
            </w:pPr>
            <w:r w:rsidRPr="00DB1686">
              <w:rPr>
                <w:rFonts w:asciiTheme="minorBidi" w:eastAsia="Arial" w:hAnsiTheme="minorBidi"/>
                <w:b/>
                <w:sz w:val="20"/>
                <w:szCs w:val="20"/>
              </w:rPr>
              <w:t xml:space="preserve">Explain Staff Recommendation: </w:t>
            </w:r>
          </w:p>
          <w:p w14:paraId="66803CBD" w14:textId="613A7D13" w:rsidR="004A0FB5" w:rsidRPr="00DB1686" w:rsidRDefault="00783DCC" w:rsidP="004A0FB5">
            <w:pPr>
              <w:bidi w:val="0"/>
              <w:spacing w:line="276" w:lineRule="auto"/>
              <w:jc w:val="both"/>
              <w:rPr>
                <w:rFonts w:asciiTheme="minorBidi" w:eastAsia="Arial" w:hAnsiTheme="minorBidi" w:hint="cs"/>
                <w:b/>
                <w:sz w:val="20"/>
                <w:szCs w:val="20"/>
                <w:rtl/>
              </w:rPr>
            </w:pPr>
            <w:r>
              <w:rPr>
                <w:rFonts w:asciiTheme="minorBidi" w:eastAsia="Arial" w:hAnsiTheme="minorBidi" w:hint="cs"/>
                <w:b/>
                <w:sz w:val="20"/>
                <w:szCs w:val="20"/>
                <w:rtl/>
              </w:rPr>
              <w:t>גם באקלים הפוליטי הנוכחי, וגם למול ממשלה לא ידודותית ומתקפות על מערכת המשפט- למרכז הרפורמי לדת ומדינה ממשיכות להיות הצלחות משמעותיות ואפקטיביות לקידום חברה ליברלית ולמאבק בגזענות. אנו רואים בצורה אפקטיבית את החיבור שמבצע המרכז בין שני תחומים אלו. המגמה של הארגון- להניע את חברי הקהילות הרפורמיות בארץ לפעולה (בתחילה נגד ההפיכה המשטרית וכעת עבור קידום העסקה להשבת החטופים ומאבק בממשלה) כאפקטיבי ומניב פירות ומאמינים שההשקעה בתחום תניב הישגים משמעותיים</w:t>
            </w:r>
            <w:bookmarkStart w:id="0" w:name="_GoBack"/>
            <w:bookmarkEnd w:id="0"/>
          </w:p>
          <w:p w14:paraId="60A71C17" w14:textId="77777777" w:rsidR="000D1A4F" w:rsidRPr="00CC0944" w:rsidRDefault="004A0FB5" w:rsidP="00CC0944">
            <w:pPr>
              <w:bidi w:val="0"/>
              <w:spacing w:line="276" w:lineRule="auto"/>
              <w:jc w:val="both"/>
              <w:rPr>
                <w:rFonts w:asciiTheme="minorBidi" w:eastAsia="Arial" w:hAnsiTheme="minorBidi"/>
                <w:b/>
                <w:sz w:val="20"/>
                <w:szCs w:val="20"/>
                <w:lang w:bidi="ar-SA"/>
              </w:rPr>
            </w:pPr>
            <w:r w:rsidRPr="00DB1686">
              <w:rPr>
                <w:rFonts w:asciiTheme="minorBidi" w:eastAsia="Arial" w:hAnsiTheme="minorBidi"/>
                <w:b/>
                <w:sz w:val="20"/>
                <w:szCs w:val="20"/>
                <w:lang w:bidi="ar-SA"/>
              </w:rPr>
              <w:t xml:space="preserve">Recommendation of Board/Grants Committee 2023: </w:t>
            </w:r>
          </w:p>
        </w:tc>
      </w:tr>
    </w:tbl>
    <w:p w14:paraId="028AA371" w14:textId="77777777" w:rsidR="00E0704B" w:rsidRPr="002B10D8" w:rsidRDefault="00E0704B" w:rsidP="00DB1686">
      <w:pPr>
        <w:bidi w:val="0"/>
        <w:spacing w:after="0" w:line="276" w:lineRule="auto"/>
        <w:rPr>
          <w:rFonts w:ascii="Cambria" w:hAnsi="Cambria"/>
        </w:rPr>
      </w:pPr>
    </w:p>
    <w:sectPr w:rsidR="00E0704B" w:rsidRPr="002B10D8" w:rsidSect="004E6879">
      <w:headerReference w:type="default" r:id="rId12"/>
      <w:footerReference w:type="default" r:id="rId13"/>
      <w:pgSz w:w="11906" w:h="16838"/>
      <w:pgMar w:top="1440" w:right="1080" w:bottom="1440" w:left="1080" w:header="567" w:footer="283" w:gutter="0"/>
      <w:pgNumType w:start="3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E94B" w14:textId="77777777" w:rsidR="008514D3" w:rsidRDefault="008514D3" w:rsidP="00CA7733">
      <w:pPr>
        <w:spacing w:after="0" w:line="240" w:lineRule="auto"/>
      </w:pPr>
      <w:r>
        <w:separator/>
      </w:r>
    </w:p>
  </w:endnote>
  <w:endnote w:type="continuationSeparator" w:id="0">
    <w:p w14:paraId="2F13B225" w14:textId="77777777" w:rsidR="008514D3" w:rsidRDefault="008514D3"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tl/>
      </w:rPr>
      <w:id w:val="-762297698"/>
      <w:docPartObj>
        <w:docPartGallery w:val="Page Numbers (Bottom of Page)"/>
        <w:docPartUnique/>
      </w:docPartObj>
    </w:sdtPr>
    <w:sdtEndPr>
      <w:rPr>
        <w:noProof/>
      </w:rPr>
    </w:sdtEndPr>
    <w:sdtContent>
      <w:p w14:paraId="283C2375" w14:textId="77777777" w:rsidR="004E6879" w:rsidRPr="004E6879" w:rsidRDefault="004E6879">
        <w:pPr>
          <w:pStyle w:val="Footer"/>
          <w:jc w:val="center"/>
          <w:rPr>
            <w:rFonts w:asciiTheme="minorBidi" w:hAnsiTheme="minorBidi"/>
          </w:rPr>
        </w:pPr>
        <w:r w:rsidRPr="004E6879">
          <w:rPr>
            <w:rFonts w:asciiTheme="minorBidi" w:hAnsiTheme="minorBidi"/>
          </w:rPr>
          <w:fldChar w:fldCharType="begin"/>
        </w:r>
        <w:r w:rsidRPr="004E6879">
          <w:rPr>
            <w:rFonts w:asciiTheme="minorBidi" w:hAnsiTheme="minorBidi"/>
          </w:rPr>
          <w:instrText xml:space="preserve"> PAGE   \* MERGEFORMAT </w:instrText>
        </w:r>
        <w:r w:rsidRPr="004E6879">
          <w:rPr>
            <w:rFonts w:asciiTheme="minorBidi" w:hAnsiTheme="minorBidi"/>
          </w:rPr>
          <w:fldChar w:fldCharType="separate"/>
        </w:r>
        <w:r w:rsidRPr="004E6879">
          <w:rPr>
            <w:rFonts w:asciiTheme="minorBidi" w:hAnsiTheme="minorBidi"/>
            <w:noProof/>
          </w:rPr>
          <w:t>2</w:t>
        </w:r>
        <w:r w:rsidRPr="004E6879">
          <w:rPr>
            <w:rFonts w:asciiTheme="minorBidi" w:hAnsiTheme="minorBidi"/>
            <w:noProof/>
          </w:rPr>
          <w:fldChar w:fldCharType="end"/>
        </w:r>
      </w:p>
    </w:sdtContent>
  </w:sdt>
  <w:p w14:paraId="26290F61" w14:textId="77777777" w:rsidR="004E6879" w:rsidRDefault="004E6879" w:rsidP="004E6879">
    <w:pPr>
      <w:pStyle w:val="Footer"/>
      <w:tabs>
        <w:tab w:val="clear" w:pos="8306"/>
        <w:tab w:val="left" w:pos="58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DACC" w14:textId="77777777" w:rsidR="008514D3" w:rsidRDefault="008514D3" w:rsidP="00CA7733">
      <w:pPr>
        <w:spacing w:after="0" w:line="240" w:lineRule="auto"/>
      </w:pPr>
      <w:r>
        <w:separator/>
      </w:r>
    </w:p>
  </w:footnote>
  <w:footnote w:type="continuationSeparator" w:id="0">
    <w:p w14:paraId="0E68039A" w14:textId="77777777" w:rsidR="008514D3" w:rsidRDefault="008514D3"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D4CE" w14:textId="77777777" w:rsidR="00CA7733" w:rsidRPr="002408FE" w:rsidRDefault="007B2CCA" w:rsidP="00CA7733">
    <w:pPr>
      <w:pStyle w:val="Header"/>
      <w:spacing w:line="276" w:lineRule="auto"/>
      <w:jc w:val="right"/>
      <w:rPr>
        <w:rFonts w:asciiTheme="minorBidi" w:hAnsiTheme="minorBidi"/>
        <w:b/>
        <w:bCs/>
        <w:sz w:val="16"/>
        <w:szCs w:val="16"/>
      </w:rPr>
    </w:pPr>
    <w:r w:rsidRPr="002408FE">
      <w:rPr>
        <w:rFonts w:asciiTheme="minorBidi" w:hAnsiTheme="minorBidi"/>
        <w:b/>
        <w:bCs/>
        <w:sz w:val="16"/>
        <w:szCs w:val="16"/>
      </w:rPr>
      <w:t>On-going</w:t>
    </w:r>
    <w:r w:rsidR="00CA7733" w:rsidRPr="002408FE">
      <w:rPr>
        <w:rFonts w:asciiTheme="minorBidi" w:hAnsiTheme="minorBidi"/>
        <w:b/>
        <w:bCs/>
        <w:sz w:val="16"/>
        <w:szCs w:val="16"/>
      </w:rPr>
      <w:t xml:space="preserve"> General &amp; Project </w:t>
    </w:r>
    <w:r w:rsidRPr="002408FE">
      <w:rPr>
        <w:rFonts w:asciiTheme="minorBidi" w:hAnsiTheme="minorBidi"/>
        <w:b/>
        <w:bCs/>
        <w:sz w:val="16"/>
        <w:szCs w:val="16"/>
      </w:rPr>
      <w:t xml:space="preserve">Progress Report </w:t>
    </w:r>
  </w:p>
  <w:p w14:paraId="3489DDDF" w14:textId="77777777" w:rsidR="00CA7733" w:rsidRPr="002408FE" w:rsidRDefault="00CA7733" w:rsidP="00CA7733">
    <w:pPr>
      <w:pStyle w:val="Header"/>
      <w:spacing w:line="276" w:lineRule="auto"/>
      <w:jc w:val="right"/>
      <w:rPr>
        <w:rFonts w:asciiTheme="minorBidi" w:hAnsiTheme="minorBidi"/>
        <w:b/>
        <w:bCs/>
        <w:sz w:val="16"/>
        <w:szCs w:val="16"/>
        <w:rtl/>
      </w:rPr>
    </w:pPr>
    <w:r w:rsidRPr="002408FE">
      <w:rPr>
        <w:rFonts w:asciiTheme="minorBidi" w:hAnsiTheme="minorBidi"/>
        <w:b/>
        <w:bCs/>
        <w:sz w:val="16"/>
        <w:szCs w:val="16"/>
      </w:rPr>
      <w:t xml:space="preserve">September 2023 </w:t>
    </w:r>
  </w:p>
  <w:p w14:paraId="28117161" w14:textId="77777777" w:rsidR="00CA7733" w:rsidRPr="00DB1686" w:rsidRDefault="00CA7733" w:rsidP="00CA7733">
    <w:pPr>
      <w:pStyle w:val="Header"/>
      <w:spacing w:line="276" w:lineRule="auto"/>
      <w:jc w:val="right"/>
      <w:rPr>
        <w:rFonts w:asciiTheme="minorBidi" w:hAnsiTheme="minorBidi"/>
        <w:b/>
        <w:bCs/>
        <w:sz w:val="16"/>
        <w:szCs w:val="16"/>
      </w:rPr>
    </w:pPr>
    <w:r w:rsidRPr="002408FE">
      <w:rPr>
        <w:rFonts w:asciiTheme="minorBidi" w:hAnsiTheme="minorBidi"/>
        <w:b/>
        <w:bCs/>
        <w:sz w:val="16"/>
        <w:szCs w:val="16"/>
      </w:rPr>
      <w:t>Grant</w:t>
    </w:r>
    <w:r w:rsidR="00776293" w:rsidRPr="002408FE">
      <w:rPr>
        <w:rFonts w:asciiTheme="minorBidi" w:hAnsiTheme="minorBidi"/>
        <w:b/>
        <w:bCs/>
        <w:sz w:val="16"/>
        <w:szCs w:val="16"/>
      </w:rPr>
      <w:t>s</w:t>
    </w:r>
    <w:r w:rsidRPr="002408FE">
      <w:rPr>
        <w:rFonts w:asciiTheme="minorBidi" w:hAnsiTheme="minorBidi"/>
        <w:b/>
        <w:bCs/>
        <w:sz w:val="16"/>
        <w:szCs w:val="16"/>
      </w:rPr>
      <w:t xml:space="preserve"> Officer: </w:t>
    </w:r>
    <w:r w:rsidR="0057560D" w:rsidRPr="002408FE">
      <w:rPr>
        <w:rFonts w:asciiTheme="minorBidi" w:hAnsiTheme="minorBidi"/>
        <w:b/>
        <w:bCs/>
        <w:sz w:val="16"/>
        <w:szCs w:val="16"/>
      </w:rPr>
      <w:t>Yuval Yavneh</w:t>
    </w:r>
  </w:p>
  <w:p w14:paraId="40376703" w14:textId="77777777" w:rsidR="00CA7733" w:rsidRPr="00DB1686" w:rsidRDefault="00CA7733" w:rsidP="00CA7733">
    <w:pPr>
      <w:pStyle w:val="Header"/>
      <w:spacing w:line="276" w:lineRule="auto"/>
      <w:jc w:val="right"/>
      <w:rPr>
        <w:rFonts w:asciiTheme="minorBidi" w:hAnsiTheme="minorBidi"/>
        <w:b/>
        <w:bCs/>
        <w:sz w:val="16"/>
        <w:szCs w:val="16"/>
        <w:rtl/>
      </w:rPr>
    </w:pPr>
  </w:p>
  <w:p w14:paraId="2877B096" w14:textId="77777777" w:rsidR="00CA7733" w:rsidRPr="002408FE" w:rsidRDefault="00D41C4C" w:rsidP="00DB1686">
    <w:pPr>
      <w:tabs>
        <w:tab w:val="left" w:pos="2200"/>
        <w:tab w:val="center" w:pos="4873"/>
        <w:tab w:val="right" w:pos="5664"/>
      </w:tabs>
      <w:bidi w:val="0"/>
      <w:rPr>
        <w:rFonts w:asciiTheme="minorBidi" w:hAnsiTheme="minorBidi"/>
        <w:b/>
        <w:bCs/>
        <w:i/>
        <w:iCs/>
        <w:sz w:val="28"/>
        <w:szCs w:val="28"/>
        <w:rtl/>
      </w:rPr>
    </w:pPr>
    <w:r w:rsidRPr="00DB1686">
      <w:rPr>
        <w:rFonts w:asciiTheme="minorBidi" w:hAnsiTheme="minorBidi"/>
        <w:b/>
        <w:bCs/>
        <w:sz w:val="24"/>
        <w:szCs w:val="24"/>
      </w:rPr>
      <w:tab/>
    </w:r>
    <w:r w:rsidRPr="00DB1686">
      <w:rPr>
        <w:rFonts w:asciiTheme="minorBidi" w:hAnsiTheme="minorBidi"/>
        <w:b/>
        <w:bCs/>
        <w:sz w:val="24"/>
        <w:szCs w:val="24"/>
      </w:rPr>
      <w:tab/>
    </w:r>
    <w:r w:rsidR="009D19DE" w:rsidRPr="002408FE">
      <w:rPr>
        <w:rFonts w:asciiTheme="minorBidi" w:hAnsiTheme="minorBidi"/>
        <w:b/>
        <w:bCs/>
        <w:sz w:val="28"/>
        <w:szCs w:val="28"/>
      </w:rPr>
      <w:t>IRAC</w:t>
    </w:r>
    <w:r w:rsidR="00C73153" w:rsidRPr="002408FE">
      <w:rPr>
        <w:rFonts w:asciiTheme="minorBidi" w:hAnsiTheme="minorBidi"/>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B84"/>
    <w:multiLevelType w:val="hybridMultilevel"/>
    <w:tmpl w:val="7AFA268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2A62F4"/>
    <w:multiLevelType w:val="hybridMultilevel"/>
    <w:tmpl w:val="F92EDC1E"/>
    <w:lvl w:ilvl="0" w:tplc="04090001">
      <w:start w:val="1"/>
      <w:numFmt w:val="bullet"/>
      <w:lvlText w:val=""/>
      <w:lvlJc w:val="left"/>
      <w:pPr>
        <w:ind w:left="360" w:hanging="360"/>
      </w:pPr>
      <w:rPr>
        <w:rFonts w:ascii="Symbol" w:hAnsi="Symbol" w:hint="default"/>
      </w:rPr>
    </w:lvl>
    <w:lvl w:ilvl="1" w:tplc="0060A61E">
      <w:start w:val="2"/>
      <w:numFmt w:val="bullet"/>
      <w:lvlText w:val="•"/>
      <w:lvlJc w:val="left"/>
      <w:pPr>
        <w:ind w:left="1080" w:hanging="360"/>
      </w:pPr>
      <w:rPr>
        <w:rFonts w:ascii="Cambria" w:eastAsiaTheme="minorHAnsi"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4A1F41"/>
    <w:multiLevelType w:val="hybridMultilevel"/>
    <w:tmpl w:val="6B447D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6BA42E0E"/>
    <w:multiLevelType w:val="hybridMultilevel"/>
    <w:tmpl w:val="26CEF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C8E53ED"/>
    <w:multiLevelType w:val="hybridMultilevel"/>
    <w:tmpl w:val="3B5C8C70"/>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8" w15:restartNumberingAfterBreak="0">
    <w:nsid w:val="6E62680F"/>
    <w:multiLevelType w:val="hybridMultilevel"/>
    <w:tmpl w:val="B4C4636E"/>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9" w15:restartNumberingAfterBreak="0">
    <w:nsid w:val="719375EE"/>
    <w:multiLevelType w:val="hybridMultilevel"/>
    <w:tmpl w:val="D2189BBE"/>
    <w:lvl w:ilvl="0" w:tplc="4C9A45D8">
      <w:start w:val="2"/>
      <w:numFmt w:val="bullet"/>
      <w:lvlText w:val="-"/>
      <w:lvlJc w:val="left"/>
      <w:pPr>
        <w:ind w:left="360" w:hanging="360"/>
      </w:pPr>
      <w:rPr>
        <w:rFonts w:ascii="Arial" w:eastAsia="Times New Roman" w:hAnsi="Arial" w:hint="default"/>
      </w:rPr>
    </w:lvl>
    <w:lvl w:ilvl="1" w:tplc="20000003">
      <w:start w:val="1"/>
      <w:numFmt w:val="bullet"/>
      <w:lvlText w:val="o"/>
      <w:lvlJc w:val="left"/>
      <w:pPr>
        <w:ind w:left="1080" w:hanging="360"/>
      </w:pPr>
      <w:rPr>
        <w:rFonts w:ascii="Courier New" w:hAnsi="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hint="default"/>
      </w:rPr>
    </w:lvl>
    <w:lvl w:ilvl="8" w:tplc="20000005">
      <w:start w:val="1"/>
      <w:numFmt w:val="bullet"/>
      <w:lvlText w:val=""/>
      <w:lvlJc w:val="left"/>
      <w:pPr>
        <w:ind w:left="6120" w:hanging="360"/>
      </w:pPr>
      <w:rPr>
        <w:rFonts w:ascii="Wingdings" w:hAnsi="Wingdings" w:hint="default"/>
      </w:rPr>
    </w:lvl>
  </w:abstractNum>
  <w:abstractNum w:abstractNumId="10" w15:restartNumberingAfterBreak="0">
    <w:nsid w:val="7A347136"/>
    <w:multiLevelType w:val="hybridMultilevel"/>
    <w:tmpl w:val="B156C4D6"/>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9"/>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22102"/>
    <w:rsid w:val="00041D70"/>
    <w:rsid w:val="00042513"/>
    <w:rsid w:val="00043D56"/>
    <w:rsid w:val="00050102"/>
    <w:rsid w:val="00077BB6"/>
    <w:rsid w:val="000A7FF7"/>
    <w:rsid w:val="000B1030"/>
    <w:rsid w:val="000B246E"/>
    <w:rsid w:val="000D0478"/>
    <w:rsid w:val="000D1A4F"/>
    <w:rsid w:val="000D3317"/>
    <w:rsid w:val="000D3938"/>
    <w:rsid w:val="000D41F4"/>
    <w:rsid w:val="000F2C82"/>
    <w:rsid w:val="00124467"/>
    <w:rsid w:val="001328B8"/>
    <w:rsid w:val="00193485"/>
    <w:rsid w:val="001A39F4"/>
    <w:rsid w:val="001D1140"/>
    <w:rsid w:val="001E347A"/>
    <w:rsid w:val="001E45D7"/>
    <w:rsid w:val="001F508B"/>
    <w:rsid w:val="002164B2"/>
    <w:rsid w:val="00221FA9"/>
    <w:rsid w:val="002408FE"/>
    <w:rsid w:val="00245202"/>
    <w:rsid w:val="002619B2"/>
    <w:rsid w:val="002731D7"/>
    <w:rsid w:val="002834E2"/>
    <w:rsid w:val="00294FA0"/>
    <w:rsid w:val="00296368"/>
    <w:rsid w:val="002B10D8"/>
    <w:rsid w:val="002C11F2"/>
    <w:rsid w:val="002C5ACF"/>
    <w:rsid w:val="002D1A62"/>
    <w:rsid w:val="002D4E50"/>
    <w:rsid w:val="002D5897"/>
    <w:rsid w:val="002F255F"/>
    <w:rsid w:val="00300B32"/>
    <w:rsid w:val="00307D3D"/>
    <w:rsid w:val="003147A1"/>
    <w:rsid w:val="00317CE7"/>
    <w:rsid w:val="00321BAA"/>
    <w:rsid w:val="00325EAC"/>
    <w:rsid w:val="00326185"/>
    <w:rsid w:val="00345B3B"/>
    <w:rsid w:val="003919EC"/>
    <w:rsid w:val="0039625A"/>
    <w:rsid w:val="003B49F0"/>
    <w:rsid w:val="003D2E5F"/>
    <w:rsid w:val="003E567B"/>
    <w:rsid w:val="003F4D11"/>
    <w:rsid w:val="00403EE1"/>
    <w:rsid w:val="0040578B"/>
    <w:rsid w:val="00437A5E"/>
    <w:rsid w:val="004605FB"/>
    <w:rsid w:val="00464607"/>
    <w:rsid w:val="00464933"/>
    <w:rsid w:val="004714A3"/>
    <w:rsid w:val="0047427C"/>
    <w:rsid w:val="00497E2F"/>
    <w:rsid w:val="004A0FB5"/>
    <w:rsid w:val="004A6DE4"/>
    <w:rsid w:val="004B6D0C"/>
    <w:rsid w:val="004E6879"/>
    <w:rsid w:val="004F4EE5"/>
    <w:rsid w:val="004F7798"/>
    <w:rsid w:val="005038CB"/>
    <w:rsid w:val="00503C99"/>
    <w:rsid w:val="005054D1"/>
    <w:rsid w:val="0050780C"/>
    <w:rsid w:val="00516CA8"/>
    <w:rsid w:val="00517A72"/>
    <w:rsid w:val="00522ACE"/>
    <w:rsid w:val="00523D83"/>
    <w:rsid w:val="00525200"/>
    <w:rsid w:val="00527792"/>
    <w:rsid w:val="00543338"/>
    <w:rsid w:val="0055111A"/>
    <w:rsid w:val="005567AD"/>
    <w:rsid w:val="00565E35"/>
    <w:rsid w:val="00565ED5"/>
    <w:rsid w:val="00570B25"/>
    <w:rsid w:val="0057560D"/>
    <w:rsid w:val="00580687"/>
    <w:rsid w:val="00583165"/>
    <w:rsid w:val="00597918"/>
    <w:rsid w:val="005A23E4"/>
    <w:rsid w:val="005B5D27"/>
    <w:rsid w:val="005C0B0C"/>
    <w:rsid w:val="005F3C01"/>
    <w:rsid w:val="005F7C83"/>
    <w:rsid w:val="006158E1"/>
    <w:rsid w:val="00631ADD"/>
    <w:rsid w:val="00647C20"/>
    <w:rsid w:val="006703A5"/>
    <w:rsid w:val="00674998"/>
    <w:rsid w:val="00681760"/>
    <w:rsid w:val="00685D22"/>
    <w:rsid w:val="00690DA3"/>
    <w:rsid w:val="00696B33"/>
    <w:rsid w:val="006B69DA"/>
    <w:rsid w:val="006B778F"/>
    <w:rsid w:val="006C1B02"/>
    <w:rsid w:val="006C7983"/>
    <w:rsid w:val="006E4D2F"/>
    <w:rsid w:val="006F675B"/>
    <w:rsid w:val="006F7A01"/>
    <w:rsid w:val="00716669"/>
    <w:rsid w:val="00726FC4"/>
    <w:rsid w:val="00744267"/>
    <w:rsid w:val="007704FB"/>
    <w:rsid w:val="00776293"/>
    <w:rsid w:val="0077797F"/>
    <w:rsid w:val="00783DCC"/>
    <w:rsid w:val="007851FA"/>
    <w:rsid w:val="00786DE7"/>
    <w:rsid w:val="00791A6E"/>
    <w:rsid w:val="00793326"/>
    <w:rsid w:val="007A30AC"/>
    <w:rsid w:val="007A57FA"/>
    <w:rsid w:val="007B2CCA"/>
    <w:rsid w:val="007B3E5B"/>
    <w:rsid w:val="007E3789"/>
    <w:rsid w:val="007F4992"/>
    <w:rsid w:val="00806FE4"/>
    <w:rsid w:val="008071F4"/>
    <w:rsid w:val="00811E59"/>
    <w:rsid w:val="00814CA5"/>
    <w:rsid w:val="00834199"/>
    <w:rsid w:val="00845D4D"/>
    <w:rsid w:val="008514D3"/>
    <w:rsid w:val="00883CA0"/>
    <w:rsid w:val="008A2135"/>
    <w:rsid w:val="008A40B9"/>
    <w:rsid w:val="008B6DFA"/>
    <w:rsid w:val="008C481F"/>
    <w:rsid w:val="008E1133"/>
    <w:rsid w:val="00911AAD"/>
    <w:rsid w:val="00916A0B"/>
    <w:rsid w:val="0092602A"/>
    <w:rsid w:val="00941FE8"/>
    <w:rsid w:val="00965D6A"/>
    <w:rsid w:val="00976838"/>
    <w:rsid w:val="00990EEA"/>
    <w:rsid w:val="00991E68"/>
    <w:rsid w:val="009926C0"/>
    <w:rsid w:val="0099780C"/>
    <w:rsid w:val="009B4187"/>
    <w:rsid w:val="009C1286"/>
    <w:rsid w:val="009C3366"/>
    <w:rsid w:val="009D11FD"/>
    <w:rsid w:val="009D19DE"/>
    <w:rsid w:val="009D3013"/>
    <w:rsid w:val="009D42CB"/>
    <w:rsid w:val="009D653D"/>
    <w:rsid w:val="009F1186"/>
    <w:rsid w:val="00A30018"/>
    <w:rsid w:val="00A30810"/>
    <w:rsid w:val="00A47295"/>
    <w:rsid w:val="00A577F6"/>
    <w:rsid w:val="00A639B8"/>
    <w:rsid w:val="00A731C9"/>
    <w:rsid w:val="00A8133C"/>
    <w:rsid w:val="00A8729A"/>
    <w:rsid w:val="00A92424"/>
    <w:rsid w:val="00AA0981"/>
    <w:rsid w:val="00AA1687"/>
    <w:rsid w:val="00AA17EC"/>
    <w:rsid w:val="00AB6F06"/>
    <w:rsid w:val="00AD6FDE"/>
    <w:rsid w:val="00AE2CEF"/>
    <w:rsid w:val="00B02E33"/>
    <w:rsid w:val="00B259BF"/>
    <w:rsid w:val="00B41796"/>
    <w:rsid w:val="00B850C5"/>
    <w:rsid w:val="00BA2BF6"/>
    <w:rsid w:val="00BA649E"/>
    <w:rsid w:val="00BB078C"/>
    <w:rsid w:val="00BC1A23"/>
    <w:rsid w:val="00BD4CDB"/>
    <w:rsid w:val="00BF73EB"/>
    <w:rsid w:val="00C12031"/>
    <w:rsid w:val="00C2129E"/>
    <w:rsid w:val="00C23A6F"/>
    <w:rsid w:val="00C27A51"/>
    <w:rsid w:val="00C41685"/>
    <w:rsid w:val="00C54123"/>
    <w:rsid w:val="00C57BD6"/>
    <w:rsid w:val="00C57DCF"/>
    <w:rsid w:val="00C67BAE"/>
    <w:rsid w:val="00C70AE8"/>
    <w:rsid w:val="00C73153"/>
    <w:rsid w:val="00C7646D"/>
    <w:rsid w:val="00CA0B37"/>
    <w:rsid w:val="00CA7733"/>
    <w:rsid w:val="00CB0C2B"/>
    <w:rsid w:val="00CC0944"/>
    <w:rsid w:val="00CD322F"/>
    <w:rsid w:val="00CF1E76"/>
    <w:rsid w:val="00D137CB"/>
    <w:rsid w:val="00D15FB7"/>
    <w:rsid w:val="00D16A66"/>
    <w:rsid w:val="00D3410A"/>
    <w:rsid w:val="00D41C4C"/>
    <w:rsid w:val="00DB1686"/>
    <w:rsid w:val="00DC4E47"/>
    <w:rsid w:val="00DC5C43"/>
    <w:rsid w:val="00DE1314"/>
    <w:rsid w:val="00DF096B"/>
    <w:rsid w:val="00DF4CAD"/>
    <w:rsid w:val="00E06F11"/>
    <w:rsid w:val="00E0704B"/>
    <w:rsid w:val="00E12237"/>
    <w:rsid w:val="00E16104"/>
    <w:rsid w:val="00E2190F"/>
    <w:rsid w:val="00E32B42"/>
    <w:rsid w:val="00E43365"/>
    <w:rsid w:val="00E95131"/>
    <w:rsid w:val="00E95955"/>
    <w:rsid w:val="00EB7E77"/>
    <w:rsid w:val="00EF5453"/>
    <w:rsid w:val="00F03BAA"/>
    <w:rsid w:val="00F1702F"/>
    <w:rsid w:val="00F35070"/>
    <w:rsid w:val="00F60D1C"/>
    <w:rsid w:val="00F64C34"/>
    <w:rsid w:val="00F71688"/>
    <w:rsid w:val="00F82701"/>
    <w:rsid w:val="00F86310"/>
    <w:rsid w:val="00FB73CE"/>
    <w:rsid w:val="00FC0B52"/>
    <w:rsid w:val="00FC1B5E"/>
    <w:rsid w:val="00FD2C1F"/>
    <w:rsid w:val="00FD549B"/>
    <w:rsid w:val="00FE039A"/>
    <w:rsid w:val="00FE2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231E"/>
  <w15:docId w15:val="{80273ABD-1DD5-43FE-BC42-260087A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F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link w:val="ListParagraphChar"/>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042513"/>
    <w:rPr>
      <w:color w:val="605E5C"/>
      <w:shd w:val="clear" w:color="auto" w:fill="E1DFDD"/>
    </w:rPr>
  </w:style>
  <w:style w:type="character" w:customStyle="1" w:styleId="ListParagraphChar">
    <w:name w:val="List Paragraph Char"/>
    <w:link w:val="ListParagraph"/>
    <w:uiPriority w:val="34"/>
    <w:locked/>
    <w:rsid w:val="00911AAD"/>
    <w:rPr>
      <w:rFonts w:eastAsia="Times New Roman" w:cs="Arial"/>
    </w:rPr>
  </w:style>
  <w:style w:type="paragraph" w:styleId="BodyText">
    <w:name w:val="Body Text"/>
    <w:basedOn w:val="Normal"/>
    <w:link w:val="BodyTextChar"/>
    <w:uiPriority w:val="99"/>
    <w:unhideWhenUsed/>
    <w:rsid w:val="00050102"/>
    <w:pPr>
      <w:bidi w:val="0"/>
      <w:spacing w:after="0" w:line="240" w:lineRule="auto"/>
      <w:jc w:val="both"/>
    </w:pPr>
    <w:rPr>
      <w:rFonts w:ascii="Cambria" w:hAnsi="Cambria"/>
      <w:b/>
      <w:bCs/>
    </w:rPr>
  </w:style>
  <w:style w:type="character" w:customStyle="1" w:styleId="BodyTextChar">
    <w:name w:val="Body Text Char"/>
    <w:basedOn w:val="DefaultParagraphFont"/>
    <w:link w:val="BodyText"/>
    <w:uiPriority w:val="99"/>
    <w:rsid w:val="00050102"/>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19758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f.my.site.com/Portal/a0N3X000019mvro?srPos=15&amp;srKp=a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f.my.site.com/Portal/a0NAb000000QKMo?srPos=19&amp;srKp=a0N" TargetMode="External"/><Relationship Id="rId4" Type="http://schemas.openxmlformats.org/officeDocument/2006/relationships/settings" Target="settings.xml"/><Relationship Id="rId9" Type="http://schemas.openxmlformats.org/officeDocument/2006/relationships/hyperlink" Target="http://www.datumedina.org.i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ifshare.file.core.windows.net\grants\AA%20-%20Docket%20Books%20Since%20Jan%202009\1%20-%20September%202023\2%20-%20SOCIAL%20CHANGE\Weakening%20the%20Orthodox%20Monopoly%20&amp;%20Fighting%20Religious%20Extremism\4-&#1506;&#1493;&#1490;&#1493;&#1514;%20&#1490;&#1512;&#1508;&#1497;&#1493;&#1514;\ir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aseline="0">
                <a:latin typeface="Arial" panose="020B0604020202020204" pitchFamily="34" charset="0"/>
              </a:rPr>
              <a:t>Advancing Religious Freedom</a:t>
            </a:r>
          </a:p>
        </c:rich>
      </c:tx>
      <c:layout>
        <c:manualLayout>
          <c:xMode val="edge"/>
          <c:yMode val="edge"/>
          <c:x val="0.33370155133934659"/>
          <c:y val="4.1475246628654178E-2"/>
        </c:manualLayout>
      </c:layout>
      <c:overlay val="0"/>
      <c:spPr>
        <a:noFill/>
        <a:ln>
          <a:noFill/>
        </a:ln>
        <a:effectLst/>
      </c:spPr>
    </c:title>
    <c:autoTitleDeleted val="0"/>
    <c:plotArea>
      <c:layout/>
      <c:pieChart>
        <c:varyColors val="1"/>
        <c:ser>
          <c:idx val="0"/>
          <c:order val="0"/>
          <c:tx>
            <c:strRef>
              <c:f>[irac.xlsx]ניסיון!$B$1</c:f>
              <c:strCache>
                <c:ptCount val="1"/>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69-41A3-AA19-EACB5C17608A}"/>
              </c:ext>
            </c:extLst>
          </c:dPt>
          <c:dPt>
            <c:idx val="1"/>
            <c:bubble3D val="0"/>
            <c:explosion val="18"/>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69-41A3-AA19-EACB5C17608A}"/>
              </c:ext>
            </c:extLst>
          </c:dPt>
          <c:dLbls>
            <c:dLbl>
              <c:idx val="0"/>
              <c:layout>
                <c:manualLayout>
                  <c:x val="-6.8918635170603801E-2"/>
                  <c:y val="-0.12688702974628188"/>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FF65E38E-74D3-4643-8964-E09E25D1B906}" type="CELLRANGE">
                      <a:rPr lang="en-US" baseline="0"/>
                      <a:pPr rtl="0">
                        <a:defRPr sz="1000" b="1" i="0" u="none" strike="noStrike" kern="1200" baseline="0">
                          <a:solidFill>
                            <a:schemeClr val="lt1"/>
                          </a:solidFill>
                          <a:latin typeface="+mn-lt"/>
                          <a:ea typeface="+mn-ea"/>
                          <a:cs typeface="+mn-cs"/>
                        </a:defRPr>
                      </a:pPr>
                      <a:t>[CELLRANGE]</a:t>
                    </a:fld>
                    <a:r>
                      <a:rPr lang="en-US" baseline="0"/>
                      <a:t>, </a:t>
                    </a:r>
                    <a:fld id="{5D2C11A5-5E64-4EC0-9067-5F8B8E128727}" type="PERCENTAGE">
                      <a:rPr lang="en-US" baseline="0"/>
                      <a:pPr rtl="0">
                        <a:defRPr sz="1000" b="1" i="0" u="none" strike="noStrike" kern="1200" baseline="0">
                          <a:solidFill>
                            <a:schemeClr val="lt1"/>
                          </a:solidFill>
                          <a:latin typeface="+mn-lt"/>
                          <a:ea typeface="+mn-ea"/>
                          <a:cs typeface="+mn-cs"/>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20319444444444446"/>
                      <c:h val="9.0277777777777762E-2"/>
                    </c:manualLayout>
                  </c15:layout>
                  <c15:dlblFieldTable/>
                  <c15:showDataLabelsRange val="1"/>
                </c:ext>
                <c:ext xmlns:c16="http://schemas.microsoft.com/office/drawing/2014/chart" uri="{C3380CC4-5D6E-409C-BE32-E72D297353CC}">
                  <c16:uniqueId val="{00000001-7569-41A3-AA19-EACB5C17608A}"/>
                </c:ext>
              </c:extLst>
            </c:dLbl>
            <c:dLbl>
              <c:idx val="1"/>
              <c:tx>
                <c:rich>
                  <a:bodyPr/>
                  <a:lstStyle/>
                  <a:p>
                    <a:fld id="{9FB1BC41-838E-4C83-880C-BF7D07EEE748}" type="CELLRANGE">
                      <a:rPr lang="en-US"/>
                      <a:pPr/>
                      <a:t>[CELLRANGE]</a:t>
                    </a:fld>
                    <a:r>
                      <a:rPr lang="en-US" baseline="0"/>
                      <a:t>, </a:t>
                    </a:r>
                    <a:fld id="{4B2DB5DA-D838-4C1C-A722-DB0A8BD6290F}"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569-41A3-AA19-EACB5C17608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LID4096"/>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[irac.xlsx]ניסיון!$A$2:$A$3</c:f>
              <c:strCache>
                <c:ptCount val="2"/>
                <c:pt idx="0">
                  <c:v>Be Free Israel</c:v>
                </c:pt>
                <c:pt idx="1">
                  <c:v>IRAC</c:v>
                </c:pt>
              </c:strCache>
            </c:strRef>
          </c:cat>
          <c:val>
            <c:numRef>
              <c:f>[irac.xlsx]ניסיון!$B$2:$B$3</c:f>
              <c:numCache>
                <c:formatCode>#,##0</c:formatCode>
                <c:ptCount val="2"/>
                <c:pt idx="0">
                  <c:v>65000</c:v>
                </c:pt>
                <c:pt idx="1">
                  <c:v>50000</c:v>
                </c:pt>
              </c:numCache>
            </c:numRef>
          </c:val>
          <c:extLst>
            <c:ext xmlns:c15="http://schemas.microsoft.com/office/drawing/2012/chart" uri="{02D57815-91ED-43cb-92C2-25804820EDAC}">
              <c15:datalabelsRange>
                <c15:f>[irac.xlsx]ניסיון!$B$2:$B$3</c15:f>
                <c15:dlblRangeCache>
                  <c:ptCount val="2"/>
                  <c:pt idx="0">
                    <c:v>65,000</c:v>
                  </c:pt>
                  <c:pt idx="1">
                    <c:v>50,000</c:v>
                  </c:pt>
                </c15:dlblRangeCache>
              </c15:datalabelsRange>
            </c:ext>
            <c:ext xmlns:c16="http://schemas.microsoft.com/office/drawing/2014/chart" uri="{C3380CC4-5D6E-409C-BE32-E72D297353CC}">
              <c16:uniqueId val="{00000004-7569-41A3-AA19-EACB5C17608A}"/>
            </c:ext>
          </c:extLst>
        </c:ser>
        <c:dLbls>
          <c:showLegendKey val="0"/>
          <c:showVal val="0"/>
          <c:showCatName val="0"/>
          <c:showSerName val="0"/>
          <c:showPercent val="1"/>
          <c:showBubbleSize val="0"/>
          <c:showLeaderLines val="1"/>
        </c:dLbls>
        <c:firstSliceAng val="360"/>
      </c:pieChart>
      <c:spPr>
        <a:noFill/>
        <a:ln>
          <a:noFill/>
        </a:ln>
        <a:effectLst/>
      </c:spPr>
    </c:plotArea>
    <c:legend>
      <c:legendPos val="l"/>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LID4096"/>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ID4096"/>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EE28-C8B3-4B61-A800-782D90D3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1226</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Brit Yakobi</cp:lastModifiedBy>
  <cp:revision>7</cp:revision>
  <cp:lastPrinted>2023-08-20T07:25:00Z</cp:lastPrinted>
  <dcterms:created xsi:type="dcterms:W3CDTF">2024-08-14T09:20:00Z</dcterms:created>
  <dcterms:modified xsi:type="dcterms:W3CDTF">2024-08-21T09:46:00Z</dcterms:modified>
</cp:coreProperties>
</file>