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733B94" w:rsidTr="007B2CCA">
        <w:trPr>
          <w:trHeight w:hRule="exact" w:val="397"/>
        </w:trPr>
        <w:tc>
          <w:tcPr>
            <w:tcW w:w="9736" w:type="dxa"/>
            <w:gridSpan w:val="8"/>
            <w:vAlign w:val="center"/>
          </w:tcPr>
          <w:p w:rsidR="00CA7733" w:rsidRPr="00D02181" w:rsidRDefault="008518C1" w:rsidP="00536B9A">
            <w:pPr>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733B94" w:rsidTr="007B2CCA">
        <w:trPr>
          <w:trHeight w:hRule="exact" w:val="397"/>
        </w:trPr>
        <w:tc>
          <w:tcPr>
            <w:tcW w:w="9736" w:type="dxa"/>
            <w:gridSpan w:val="8"/>
            <w:shd w:val="clear" w:color="auto" w:fill="D9D9D9" w:themeFill="background1" w:themeFillShade="D9"/>
            <w:vAlign w:val="center"/>
          </w:tcPr>
          <w:p w:rsidR="00CA7733" w:rsidRPr="00E25A04" w:rsidRDefault="00D16A66" w:rsidP="00536B9A">
            <w:pPr>
              <w:bidi w:val="0"/>
              <w:spacing w:line="276" w:lineRule="auto"/>
              <w:jc w:val="center"/>
              <w:rPr>
                <w:rFonts w:asciiTheme="minorBidi" w:hAnsiTheme="minorBidi"/>
                <w:b/>
                <w:bCs/>
              </w:rPr>
            </w:pPr>
            <w:r w:rsidRPr="00E25A04">
              <w:rPr>
                <w:rFonts w:asciiTheme="minorBidi" w:hAnsiTheme="minorBidi"/>
                <w:b/>
                <w:bCs/>
              </w:rPr>
              <w:t>STRATEGIES</w:t>
            </w:r>
          </w:p>
        </w:tc>
      </w:tr>
      <w:tr w:rsidR="005F3C01" w:rsidRPr="00733B94" w:rsidTr="0057560D">
        <w:trPr>
          <w:trHeight w:val="1851"/>
        </w:trPr>
        <w:tc>
          <w:tcPr>
            <w:tcW w:w="1622" w:type="dxa"/>
            <w:shd w:val="clear" w:color="auto" w:fill="auto"/>
          </w:tcPr>
          <w:p w:rsidR="005F3C01"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Safeguarding Civil Society and Activists: The Civil Society Protection Hub</w:t>
            </w:r>
            <w:r w:rsidR="00BF73EB" w:rsidRPr="00D02181">
              <w:rPr>
                <w:rFonts w:asciiTheme="minorBidi" w:hAnsiTheme="minorBidi"/>
                <w:sz w:val="20"/>
                <w:szCs w:val="20"/>
              </w:rPr>
              <w:t xml:space="preserve"> </w:t>
            </w:r>
          </w:p>
        </w:tc>
        <w:tc>
          <w:tcPr>
            <w:tcW w:w="1623" w:type="dxa"/>
            <w:gridSpan w:val="2"/>
          </w:tcPr>
          <w:p w:rsidR="00BF73EB"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 xml:space="preserve">Advancing Religious </w:t>
            </w:r>
            <w:r w:rsidR="00BF73EB" w:rsidRPr="00D02181">
              <w:rPr>
                <w:rFonts w:asciiTheme="minorBidi" w:hAnsiTheme="minorBidi"/>
                <w:sz w:val="20"/>
                <w:szCs w:val="20"/>
              </w:rPr>
              <w:t>F</w:t>
            </w:r>
            <w:r w:rsidRPr="00D02181">
              <w:rPr>
                <w:rFonts w:asciiTheme="minorBidi" w:hAnsiTheme="minorBidi"/>
                <w:sz w:val="20"/>
                <w:szCs w:val="20"/>
              </w:rPr>
              <w:t>reedom and F</w:t>
            </w:r>
            <w:r w:rsidR="00BF73EB" w:rsidRPr="00D02181">
              <w:rPr>
                <w:rFonts w:asciiTheme="minorBidi" w:hAnsiTheme="minorBidi"/>
                <w:sz w:val="20"/>
                <w:szCs w:val="20"/>
              </w:rPr>
              <w:t>ighting Religious Extremism</w:t>
            </w:r>
          </w:p>
        </w:tc>
        <w:tc>
          <w:tcPr>
            <w:tcW w:w="1623" w:type="dxa"/>
          </w:tcPr>
          <w:p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Combating Crime &amp; Violence in Palestinian Israeli Society</w:t>
            </w:r>
          </w:p>
        </w:tc>
        <w:tc>
          <w:tcPr>
            <w:tcW w:w="1622" w:type="dxa"/>
          </w:tcPr>
          <w:p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Strengthening Anti-Racism Initiatives &amp; Organizations</w:t>
            </w:r>
          </w:p>
        </w:tc>
        <w:tc>
          <w:tcPr>
            <w:tcW w:w="1623" w:type="dxa"/>
            <w:gridSpan w:val="2"/>
          </w:tcPr>
          <w:p w:rsidR="00BF73EB"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Fighting the Occupation</w:t>
            </w:r>
            <w:r w:rsidR="00BF73EB" w:rsidRPr="00D02181">
              <w:rPr>
                <w:rFonts w:asciiTheme="minorBidi" w:hAnsiTheme="minorBidi"/>
                <w:sz w:val="20"/>
                <w:szCs w:val="20"/>
              </w:rPr>
              <w:t xml:space="preserve"> </w:t>
            </w:r>
          </w:p>
        </w:tc>
        <w:tc>
          <w:tcPr>
            <w:tcW w:w="1623" w:type="dxa"/>
          </w:tcPr>
          <w:p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Promoting Shared Society</w:t>
            </w:r>
          </w:p>
        </w:tc>
      </w:tr>
      <w:tr w:rsidR="00A30810" w:rsidRPr="00733B94" w:rsidTr="00D02181">
        <w:trPr>
          <w:trHeight w:val="904"/>
        </w:trPr>
        <w:tc>
          <w:tcPr>
            <w:tcW w:w="2434" w:type="dxa"/>
            <w:gridSpan w:val="2"/>
            <w:shd w:val="clear" w:color="auto" w:fill="auto"/>
          </w:tcPr>
          <w:p w:rsidR="00A30810" w:rsidRPr="00D02181" w:rsidRDefault="00A30810" w:rsidP="00536B9A">
            <w:pPr>
              <w:bidi w:val="0"/>
              <w:spacing w:line="276" w:lineRule="auto"/>
              <w:jc w:val="center"/>
              <w:rPr>
                <w:rFonts w:asciiTheme="minorBidi" w:hAnsiTheme="minorBidi"/>
                <w:sz w:val="20"/>
                <w:szCs w:val="20"/>
              </w:rPr>
            </w:pPr>
            <w:r w:rsidRPr="00D02181">
              <w:rPr>
                <w:rFonts w:asciiTheme="minorBidi" w:hAnsiTheme="minorBidi"/>
                <w:sz w:val="20"/>
                <w:szCs w:val="20"/>
              </w:rPr>
              <w:t>Advancing Equity in Land, Planning &amp; Housing</w:t>
            </w:r>
          </w:p>
        </w:tc>
        <w:tc>
          <w:tcPr>
            <w:tcW w:w="2434" w:type="dxa"/>
            <w:gridSpan w:val="2"/>
            <w:shd w:val="clear" w:color="auto" w:fill="B4C6E7"/>
          </w:tcPr>
          <w:p w:rsidR="00A30810" w:rsidRPr="00D02181" w:rsidRDefault="00A30810"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Strengthening Gender Equality NGOs</w:t>
            </w:r>
          </w:p>
        </w:tc>
        <w:tc>
          <w:tcPr>
            <w:tcW w:w="2434" w:type="dxa"/>
            <w:gridSpan w:val="2"/>
          </w:tcPr>
          <w:p w:rsidR="00A30810"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Safeguarding</w:t>
            </w:r>
            <w:r w:rsidR="00A30810" w:rsidRPr="00D02181">
              <w:rPr>
                <w:rFonts w:asciiTheme="minorBidi" w:hAnsiTheme="minorBidi"/>
                <w:sz w:val="20"/>
                <w:szCs w:val="20"/>
              </w:rPr>
              <w:t xml:space="preserve"> Human &amp; Civil Rights</w:t>
            </w:r>
          </w:p>
        </w:tc>
        <w:tc>
          <w:tcPr>
            <w:tcW w:w="2434" w:type="dxa"/>
            <w:gridSpan w:val="2"/>
          </w:tcPr>
          <w:p w:rsidR="00A30810" w:rsidRPr="00D02181" w:rsidRDefault="00A30810" w:rsidP="00536B9A">
            <w:pPr>
              <w:bidi w:val="0"/>
              <w:spacing w:line="276" w:lineRule="auto"/>
              <w:jc w:val="center"/>
              <w:rPr>
                <w:rFonts w:asciiTheme="minorBidi" w:hAnsiTheme="minorBidi"/>
                <w:sz w:val="20"/>
                <w:szCs w:val="20"/>
              </w:rPr>
            </w:pPr>
            <w:r w:rsidRPr="00D02181">
              <w:rPr>
                <w:rFonts w:asciiTheme="minorBidi" w:hAnsiTheme="minorBidi"/>
                <w:sz w:val="20"/>
                <w:szCs w:val="20"/>
              </w:rPr>
              <w:t>Strengthening Palestinian</w:t>
            </w:r>
            <w:r w:rsidR="005F3C01" w:rsidRPr="00D02181">
              <w:rPr>
                <w:rFonts w:asciiTheme="minorBidi" w:hAnsiTheme="minorBidi"/>
                <w:sz w:val="20"/>
                <w:szCs w:val="20"/>
              </w:rPr>
              <w:t>-</w:t>
            </w:r>
            <w:r w:rsidRPr="00D02181">
              <w:rPr>
                <w:rFonts w:asciiTheme="minorBidi" w:hAnsiTheme="minorBidi"/>
                <w:sz w:val="20"/>
                <w:szCs w:val="20"/>
              </w:rPr>
              <w:t>Israeli Society</w:t>
            </w:r>
          </w:p>
          <w:p w:rsidR="005F3C01" w:rsidRPr="00D02181" w:rsidRDefault="005F3C01" w:rsidP="00536B9A">
            <w:pPr>
              <w:spacing w:line="276" w:lineRule="auto"/>
              <w:rPr>
                <w:rFonts w:asciiTheme="minorBidi" w:hAnsiTheme="minorBidi"/>
                <w:sz w:val="20"/>
                <w:szCs w:val="20"/>
              </w:rPr>
            </w:pPr>
          </w:p>
        </w:tc>
      </w:tr>
      <w:tr w:rsidR="00CA7733" w:rsidRPr="00733B94" w:rsidTr="007B2CCA">
        <w:tc>
          <w:tcPr>
            <w:tcW w:w="9736" w:type="dxa"/>
            <w:gridSpan w:val="8"/>
          </w:tcPr>
          <w:tbl>
            <w:tblPr>
              <w:bidiVisual/>
              <w:tblW w:w="7672" w:type="dxa"/>
              <w:tblLook w:val="04A0" w:firstRow="1" w:lastRow="0" w:firstColumn="1" w:lastColumn="0" w:noHBand="0" w:noVBand="1"/>
            </w:tblPr>
            <w:tblGrid>
              <w:gridCol w:w="1296"/>
              <w:gridCol w:w="1096"/>
              <w:gridCol w:w="1096"/>
              <w:gridCol w:w="1096"/>
              <w:gridCol w:w="1096"/>
              <w:gridCol w:w="1096"/>
              <w:gridCol w:w="1096"/>
            </w:tblGrid>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spacing w:after="0" w:line="240" w:lineRule="auto"/>
                    <w:rPr>
                      <w:rFonts w:ascii="Arial" w:eastAsia="Times New Roman" w:hAnsi="Arial" w:cs="Arial"/>
                      <w:color w:val="000000"/>
                    </w:rPr>
                  </w:pPr>
                </w:p>
                <w:tbl>
                  <w:tblPr>
                    <w:bidiVisual/>
                    <w:tblW w:w="0" w:type="auto"/>
                    <w:tblCellSpacing w:w="0" w:type="dxa"/>
                    <w:tblCellMar>
                      <w:left w:w="0" w:type="dxa"/>
                      <w:right w:w="0" w:type="dxa"/>
                    </w:tblCellMar>
                    <w:tblLook w:val="04A0" w:firstRow="1" w:lastRow="0" w:firstColumn="1" w:lastColumn="0" w:noHBand="0" w:noVBand="1"/>
                  </w:tblPr>
                  <w:tblGrid>
                    <w:gridCol w:w="1080"/>
                  </w:tblGrid>
                  <w:tr w:rsidR="00072698" w:rsidRPr="00072698">
                    <w:trPr>
                      <w:trHeight w:val="285"/>
                      <w:tblCellSpacing w:w="0" w:type="dxa"/>
                    </w:trPr>
                    <w:tc>
                      <w:tcPr>
                        <w:tcW w:w="1080" w:type="dxa"/>
                        <w:tcBorders>
                          <w:top w:val="nil"/>
                          <w:left w:val="nil"/>
                          <w:bottom w:val="nil"/>
                          <w:right w:val="nil"/>
                        </w:tcBorders>
                        <w:shd w:val="clear" w:color="auto" w:fill="auto"/>
                        <w:noWrap/>
                        <w:vAlign w:val="bottom"/>
                        <w:hideMark/>
                      </w:tcPr>
                      <w:p w:rsidR="00072698" w:rsidRPr="00072698" w:rsidRDefault="00072698" w:rsidP="00072698">
                        <w:pPr>
                          <w:spacing w:after="0" w:line="240" w:lineRule="auto"/>
                          <w:rPr>
                            <w:rFonts w:ascii="Arial" w:eastAsia="Times New Roman" w:hAnsi="Arial" w:cs="Arial"/>
                            <w:color w:val="000000"/>
                            <w:rtl/>
                          </w:rPr>
                        </w:pPr>
                      </w:p>
                    </w:tc>
                  </w:tr>
                </w:tbl>
                <w:p w:rsidR="00072698" w:rsidRPr="00072698" w:rsidRDefault="00072698" w:rsidP="00072698">
                  <w:pPr>
                    <w:spacing w:after="0" w:line="240" w:lineRule="auto"/>
                    <w:rPr>
                      <w:rFonts w:ascii="Arial" w:eastAsia="Times New Roman" w:hAnsi="Arial" w:cs="Arial"/>
                      <w:color w:val="00000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rsidTr="00072698">
              <w:trPr>
                <w:trHeight w:val="285"/>
              </w:trPr>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72698" w:rsidRPr="00072698" w:rsidRDefault="00072698" w:rsidP="00072698">
                  <w:pPr>
                    <w:bidi w:val="0"/>
                    <w:spacing w:after="0" w:line="240" w:lineRule="auto"/>
                    <w:rPr>
                      <w:rFonts w:ascii="Times New Roman" w:eastAsia="Times New Roman" w:hAnsi="Times New Roman" w:cs="Times New Roman"/>
                      <w:sz w:val="20"/>
                      <w:szCs w:val="20"/>
                    </w:rPr>
                  </w:pPr>
                </w:p>
              </w:tc>
            </w:tr>
          </w:tbl>
          <w:p w:rsidR="00776293" w:rsidRPr="00D02181" w:rsidRDefault="00072698" w:rsidP="00536B9A">
            <w:pPr>
              <w:bidi w:val="0"/>
              <w:spacing w:line="276" w:lineRule="auto"/>
              <w:jc w:val="center"/>
              <w:rPr>
                <w:rFonts w:asciiTheme="minorBidi" w:hAnsiTheme="minorBidi"/>
                <w:sz w:val="20"/>
                <w:szCs w:val="20"/>
              </w:rPr>
            </w:pPr>
            <w:r w:rsidRPr="00072698">
              <w:rPr>
                <w:rFonts w:ascii="Arial" w:eastAsia="Times New Roman" w:hAnsi="Arial" w:cs="Arial"/>
                <w:noProof/>
                <w:color w:val="000000"/>
              </w:rPr>
              <w:drawing>
                <wp:anchor distT="0" distB="0" distL="114300" distR="114300" simplePos="0" relativeHeight="251659264" behindDoc="0" locked="0" layoutInCell="1" allowOverlap="1">
                  <wp:simplePos x="0" y="0"/>
                  <wp:positionH relativeFrom="column">
                    <wp:posOffset>728345</wp:posOffset>
                  </wp:positionH>
                  <wp:positionV relativeFrom="paragraph">
                    <wp:posOffset>-2656205</wp:posOffset>
                  </wp:positionV>
                  <wp:extent cx="4581525" cy="2762250"/>
                  <wp:effectExtent l="0" t="0" r="9525" b="0"/>
                  <wp:wrapNone/>
                  <wp:docPr id="2" name="Chart 2">
                    <a:extLst xmlns:a="http://schemas.openxmlformats.org/drawingml/2006/main">
                      <a:ext uri="{FF2B5EF4-FFF2-40B4-BE49-F238E27FC236}">
                        <a16:creationId xmlns:a16="http://schemas.microsoft.com/office/drawing/2014/main" id="{7515A49D-D255-442F-A2E1-DAC576CA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r w:rsidR="00CA7733" w:rsidRPr="00733B94" w:rsidTr="007B2CCA">
        <w:tc>
          <w:tcPr>
            <w:tcW w:w="9736" w:type="dxa"/>
            <w:gridSpan w:val="8"/>
          </w:tcPr>
          <w:p w:rsidR="005F7C83"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The organization was established in:</w:t>
            </w:r>
            <w:r w:rsidR="00776293" w:rsidRPr="00D02181">
              <w:rPr>
                <w:rFonts w:asciiTheme="minorBidi" w:hAnsiTheme="minorBidi"/>
                <w:b/>
                <w:bCs/>
                <w:sz w:val="20"/>
                <w:szCs w:val="20"/>
              </w:rPr>
              <w:t xml:space="preserve"> </w:t>
            </w:r>
            <w:r w:rsidR="005C0B0C" w:rsidRPr="00D02181">
              <w:rPr>
                <w:rFonts w:asciiTheme="minorBidi" w:hAnsiTheme="minorBidi"/>
                <w:sz w:val="20"/>
                <w:szCs w:val="20"/>
                <w:rtl/>
              </w:rPr>
              <w:t>200</w:t>
            </w:r>
            <w:r w:rsidR="00F358B3" w:rsidRPr="00D02181">
              <w:rPr>
                <w:rFonts w:asciiTheme="minorBidi" w:hAnsiTheme="minorBidi"/>
                <w:sz w:val="20"/>
                <w:szCs w:val="20"/>
                <w:rtl/>
              </w:rPr>
              <w:t>0</w:t>
            </w:r>
          </w:p>
          <w:tbl>
            <w:tblPr>
              <w:tblStyle w:val="TableGrid"/>
              <w:tblW w:w="0" w:type="auto"/>
              <w:jc w:val="center"/>
              <w:tblLook w:val="04A0" w:firstRow="1" w:lastRow="0" w:firstColumn="1" w:lastColumn="0" w:noHBand="0" w:noVBand="1"/>
            </w:tblPr>
            <w:tblGrid>
              <w:gridCol w:w="2631"/>
              <w:gridCol w:w="2631"/>
            </w:tblGrid>
            <w:tr w:rsidR="008B6DFA" w:rsidRPr="00D02181" w:rsidTr="003919EC">
              <w:trPr>
                <w:jc w:val="center"/>
              </w:trPr>
              <w:tc>
                <w:tcPr>
                  <w:tcW w:w="2631" w:type="dxa"/>
                  <w:shd w:val="clear" w:color="auto" w:fill="D9D9D9" w:themeFill="background1" w:themeFillShade="D9"/>
                  <w:vAlign w:val="center"/>
                </w:tcPr>
                <w:p w:rsidR="008B6DFA" w:rsidRPr="00D02181" w:rsidRDefault="008B6DFA"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NIF Funding Type</w:t>
                  </w:r>
                </w:p>
              </w:tc>
              <w:tc>
                <w:tcPr>
                  <w:tcW w:w="2631" w:type="dxa"/>
                  <w:vAlign w:val="center"/>
                </w:tcPr>
                <w:p w:rsidR="008B6DFA" w:rsidRPr="00D02181" w:rsidRDefault="008B6DFA"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Past Years of Support</w:t>
                  </w:r>
                </w:p>
              </w:tc>
            </w:tr>
            <w:tr w:rsidR="008B6DFA" w:rsidRPr="00D02181" w:rsidTr="003919EC">
              <w:trPr>
                <w:jc w:val="center"/>
              </w:trPr>
              <w:tc>
                <w:tcPr>
                  <w:tcW w:w="2631" w:type="dxa"/>
                  <w:shd w:val="clear" w:color="auto" w:fill="D9D9D9" w:themeFill="background1" w:themeFillShade="D9"/>
                  <w:vAlign w:val="center"/>
                </w:tcPr>
                <w:p w:rsidR="008B6DFA" w:rsidRPr="00D02181" w:rsidRDefault="008B6DFA" w:rsidP="00536B9A">
                  <w:pPr>
                    <w:bidi w:val="0"/>
                    <w:spacing w:line="276" w:lineRule="auto"/>
                    <w:jc w:val="center"/>
                    <w:rPr>
                      <w:rFonts w:asciiTheme="minorBidi" w:hAnsiTheme="minorBidi"/>
                      <w:sz w:val="20"/>
                      <w:szCs w:val="20"/>
                    </w:rPr>
                  </w:pPr>
                  <w:r w:rsidRPr="00D02181">
                    <w:rPr>
                      <w:rFonts w:asciiTheme="minorBidi" w:hAnsiTheme="minorBidi"/>
                      <w:sz w:val="20"/>
                      <w:szCs w:val="20"/>
                    </w:rPr>
                    <w:t>General Support</w:t>
                  </w:r>
                </w:p>
              </w:tc>
              <w:tc>
                <w:tcPr>
                  <w:tcW w:w="2631" w:type="dxa"/>
                  <w:vAlign w:val="center"/>
                </w:tcPr>
                <w:p w:rsidR="008B6DFA" w:rsidRPr="00D02181" w:rsidRDefault="00690DA3" w:rsidP="00536B9A">
                  <w:pPr>
                    <w:bidi w:val="0"/>
                    <w:spacing w:line="276" w:lineRule="auto"/>
                    <w:jc w:val="center"/>
                    <w:rPr>
                      <w:rFonts w:asciiTheme="minorBidi" w:hAnsiTheme="minorBidi"/>
                      <w:sz w:val="20"/>
                      <w:szCs w:val="20"/>
                    </w:rPr>
                  </w:pPr>
                  <w:r w:rsidRPr="00D02181">
                    <w:rPr>
                      <w:rFonts w:asciiTheme="minorBidi" w:hAnsiTheme="minorBidi"/>
                      <w:sz w:val="20"/>
                      <w:szCs w:val="20"/>
                    </w:rPr>
                    <w:t>200</w:t>
                  </w:r>
                  <w:r w:rsidR="00F358B3" w:rsidRPr="00D02181">
                    <w:rPr>
                      <w:rFonts w:asciiTheme="minorBidi" w:hAnsiTheme="minorBidi"/>
                      <w:sz w:val="20"/>
                      <w:szCs w:val="20"/>
                      <w:rtl/>
                    </w:rPr>
                    <w:t>0</w:t>
                  </w:r>
                  <w:r w:rsidRPr="00D02181">
                    <w:rPr>
                      <w:rFonts w:asciiTheme="minorBidi" w:hAnsiTheme="minorBidi"/>
                      <w:sz w:val="20"/>
                      <w:szCs w:val="20"/>
                    </w:rPr>
                    <w:t>-2023</w:t>
                  </w:r>
                </w:p>
              </w:tc>
            </w:tr>
          </w:tbl>
          <w:p w:rsidR="006E566F"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DA Support (in 2022):</w:t>
            </w:r>
            <w:r w:rsidRPr="00D02181">
              <w:rPr>
                <w:rFonts w:asciiTheme="minorBidi" w:hAnsiTheme="minorBidi"/>
                <w:sz w:val="20"/>
                <w:szCs w:val="20"/>
              </w:rPr>
              <w:t xml:space="preserve"> </w:t>
            </w:r>
            <w:r w:rsidR="006E566F" w:rsidRPr="00D02181">
              <w:rPr>
                <w:rFonts w:asciiTheme="minorBidi" w:hAnsiTheme="minorBidi"/>
                <w:sz w:val="20"/>
                <w:szCs w:val="20"/>
                <w:rtl/>
              </w:rPr>
              <w:t>$350</w:t>
            </w:r>
          </w:p>
          <w:p w:rsidR="005F7C83" w:rsidRPr="00D02181" w:rsidRDefault="006E4D2F" w:rsidP="00536B9A">
            <w:pPr>
              <w:bidi w:val="0"/>
              <w:spacing w:line="276" w:lineRule="auto"/>
              <w:rPr>
                <w:rFonts w:asciiTheme="minorBidi" w:hAnsiTheme="minorBidi"/>
                <w:sz w:val="20"/>
                <w:szCs w:val="20"/>
              </w:rPr>
            </w:pPr>
            <w:r w:rsidRPr="00D02181">
              <w:rPr>
                <w:rFonts w:asciiTheme="minorBidi" w:hAnsiTheme="minorBidi"/>
                <w:b/>
                <w:bCs/>
                <w:sz w:val="20"/>
                <w:szCs w:val="20"/>
              </w:rPr>
              <w:t>Rapid Response Support (in 2022/23):</w:t>
            </w:r>
            <w:r w:rsidRPr="00D02181">
              <w:rPr>
                <w:rFonts w:asciiTheme="minorBidi" w:hAnsiTheme="minorBidi"/>
                <w:sz w:val="20"/>
                <w:szCs w:val="20"/>
              </w:rPr>
              <w:t xml:space="preserve"> </w:t>
            </w:r>
            <w:r w:rsidR="00690DA3" w:rsidRPr="00D02181">
              <w:rPr>
                <w:rFonts w:asciiTheme="minorBidi" w:hAnsiTheme="minorBidi"/>
                <w:sz w:val="20"/>
                <w:szCs w:val="20"/>
              </w:rPr>
              <w:t>None</w:t>
            </w:r>
          </w:p>
          <w:p w:rsidR="006E566F" w:rsidRPr="00D02181" w:rsidRDefault="005F7C83" w:rsidP="00536B9A">
            <w:pPr>
              <w:bidi w:val="0"/>
              <w:spacing w:line="276" w:lineRule="auto"/>
              <w:rPr>
                <w:rFonts w:asciiTheme="minorBidi" w:hAnsiTheme="minorBidi"/>
                <w:sz w:val="20"/>
                <w:szCs w:val="20"/>
              </w:rPr>
            </w:pPr>
            <w:r w:rsidRPr="00D02181">
              <w:rPr>
                <w:rFonts w:asciiTheme="minorBidi" w:hAnsiTheme="minorBidi"/>
                <w:b/>
                <w:bCs/>
                <w:sz w:val="20"/>
                <w:szCs w:val="20"/>
              </w:rPr>
              <w:t>Link to Organizational Website:</w:t>
            </w:r>
            <w:r w:rsidR="00F60D1C" w:rsidRPr="00D02181">
              <w:rPr>
                <w:rFonts w:asciiTheme="minorBidi" w:hAnsiTheme="minorBidi"/>
                <w:b/>
                <w:bCs/>
                <w:sz w:val="20"/>
                <w:szCs w:val="20"/>
              </w:rPr>
              <w:t xml:space="preserve"> </w:t>
            </w:r>
            <w:hyperlink r:id="rId8" w:history="1">
              <w:r w:rsidR="006E566F" w:rsidRPr="00D02181">
                <w:rPr>
                  <w:rStyle w:val="Hyperlink"/>
                  <w:rFonts w:asciiTheme="minorBidi" w:hAnsiTheme="minorBidi"/>
                  <w:bCs/>
                  <w:sz w:val="20"/>
                  <w:szCs w:val="20"/>
                </w:rPr>
                <w:t>https://achoti.com/</w:t>
              </w:r>
            </w:hyperlink>
          </w:p>
          <w:p w:rsidR="00CA7733"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Link to Proposal:</w:t>
            </w:r>
            <w:r w:rsidR="00F60D1C" w:rsidRPr="00D02181">
              <w:rPr>
                <w:rFonts w:asciiTheme="minorBidi" w:hAnsiTheme="minorBidi"/>
                <w:sz w:val="20"/>
                <w:szCs w:val="20"/>
              </w:rPr>
              <w:t xml:space="preserve"> </w:t>
            </w:r>
            <w:hyperlink r:id="rId9" w:history="1">
              <w:r w:rsidR="00F358B3" w:rsidRPr="00D02181">
                <w:rPr>
                  <w:rStyle w:val="Hyperlink"/>
                  <w:rFonts w:asciiTheme="minorBidi" w:hAnsiTheme="minorBidi"/>
                  <w:sz w:val="20"/>
                  <w:szCs w:val="20"/>
                </w:rPr>
                <w:t>https://nif.my.site.com/Portal/a0NAb000000RiGA?srPos=4&amp;srKp=a0N</w:t>
              </w:r>
            </w:hyperlink>
          </w:p>
          <w:p w:rsidR="006E566F" w:rsidRPr="00D02181" w:rsidRDefault="007B2CCA" w:rsidP="00536B9A">
            <w:pPr>
              <w:bidi w:val="0"/>
              <w:spacing w:line="276" w:lineRule="auto"/>
              <w:rPr>
                <w:rFonts w:asciiTheme="minorBidi" w:hAnsiTheme="minorBidi"/>
                <w:sz w:val="20"/>
                <w:szCs w:val="20"/>
              </w:rPr>
            </w:pPr>
            <w:r w:rsidRPr="00D02181">
              <w:rPr>
                <w:rFonts w:asciiTheme="minorBidi" w:eastAsia="Arial" w:hAnsiTheme="minorBidi"/>
                <w:b/>
                <w:bCs/>
                <w:sz w:val="20"/>
                <w:szCs w:val="20"/>
                <w:lang w:bidi="ar-SA"/>
              </w:rPr>
              <w:t>Link to Interim Reports:</w:t>
            </w:r>
            <w:r w:rsidR="002C11F2" w:rsidRPr="00D02181">
              <w:rPr>
                <w:rFonts w:asciiTheme="minorBidi" w:hAnsiTheme="minorBidi"/>
                <w:sz w:val="20"/>
                <w:szCs w:val="20"/>
              </w:rPr>
              <w:t xml:space="preserve"> </w:t>
            </w:r>
            <w:hyperlink r:id="rId10" w:history="1">
              <w:r w:rsidR="006E566F" w:rsidRPr="00D02181">
                <w:rPr>
                  <w:rStyle w:val="Hyperlink"/>
                  <w:rFonts w:asciiTheme="minorBidi" w:hAnsiTheme="minorBidi"/>
                  <w:sz w:val="20"/>
                  <w:szCs w:val="20"/>
                </w:rPr>
                <w:t>https://nif.my.site.com/Portal/a0N3X000019nuvq?srPos=3&amp;srKp=a0N</w:t>
              </w:r>
            </w:hyperlink>
          </w:p>
        </w:tc>
      </w:tr>
      <w:tr w:rsidR="00CA7733" w:rsidRPr="00733B94" w:rsidTr="009B3854">
        <w:trPr>
          <w:trHeight w:hRule="exact" w:val="433"/>
        </w:trPr>
        <w:tc>
          <w:tcPr>
            <w:tcW w:w="9736" w:type="dxa"/>
            <w:gridSpan w:val="8"/>
            <w:shd w:val="clear" w:color="auto" w:fill="D9D9D9" w:themeFill="background1" w:themeFillShade="D9"/>
            <w:vAlign w:val="center"/>
          </w:tcPr>
          <w:p w:rsidR="00CA7733" w:rsidRPr="00E25A04" w:rsidRDefault="00D02181" w:rsidP="00536B9A">
            <w:pPr>
              <w:bidi w:val="0"/>
              <w:spacing w:line="276" w:lineRule="auto"/>
              <w:jc w:val="center"/>
              <w:rPr>
                <w:rFonts w:asciiTheme="minorBidi" w:hAnsiTheme="minorBidi"/>
                <w:b/>
                <w:bCs/>
              </w:rPr>
            </w:pPr>
            <w:r w:rsidRPr="00E25A04">
              <w:rPr>
                <w:rFonts w:asciiTheme="minorBidi" w:hAnsiTheme="minorBidi"/>
                <w:b/>
                <w:bCs/>
              </w:rPr>
              <w:t>INTRODUCTION</w:t>
            </w:r>
          </w:p>
        </w:tc>
      </w:tr>
      <w:tr w:rsidR="00CA7733" w:rsidRPr="00733B94" w:rsidTr="007B2CCA">
        <w:tc>
          <w:tcPr>
            <w:tcW w:w="9736" w:type="dxa"/>
            <w:gridSpan w:val="8"/>
          </w:tcPr>
          <w:p w:rsidR="0092602A" w:rsidRPr="00D02181" w:rsidRDefault="00325EAC" w:rsidP="00536B9A">
            <w:pPr>
              <w:bidi w:val="0"/>
              <w:spacing w:line="276" w:lineRule="auto"/>
              <w:jc w:val="both"/>
              <w:rPr>
                <w:rFonts w:asciiTheme="minorBidi" w:hAnsiTheme="minorBidi"/>
                <w:b/>
                <w:bCs/>
                <w:sz w:val="20"/>
                <w:szCs w:val="20"/>
              </w:rPr>
            </w:pPr>
            <w:r w:rsidRPr="00D02181">
              <w:rPr>
                <w:rFonts w:asciiTheme="minorBidi" w:hAnsiTheme="minorBidi"/>
                <w:b/>
                <w:bCs/>
                <w:sz w:val="20"/>
                <w:szCs w:val="20"/>
              </w:rPr>
              <w:t>The overall current expected impact of the program as a strategy for advancing NIF’s overall mission of a just and democratic Israel is:</w:t>
            </w:r>
            <w:r w:rsidR="002C11F2" w:rsidRPr="00D02181">
              <w:rPr>
                <w:rFonts w:asciiTheme="minorBidi" w:hAnsiTheme="minorBidi"/>
                <w:b/>
                <w:bCs/>
                <w:sz w:val="20"/>
                <w:szCs w:val="20"/>
              </w:rPr>
              <w:t xml:space="preserve"> </w:t>
            </w:r>
          </w:p>
          <w:p w:rsidR="00CA7733" w:rsidRDefault="00EF7C1E" w:rsidP="00536B9A">
            <w:pPr>
              <w:bidi w:val="0"/>
              <w:spacing w:line="276" w:lineRule="auto"/>
              <w:jc w:val="both"/>
              <w:rPr>
                <w:rFonts w:asciiTheme="minorBidi" w:eastAsia="Times New Roman" w:hAnsiTheme="minorBidi"/>
                <w:sz w:val="20"/>
                <w:szCs w:val="20"/>
              </w:rPr>
            </w:pPr>
            <w:r w:rsidRPr="00D02181">
              <w:rPr>
                <w:rFonts w:asciiTheme="minorBidi" w:eastAsia="Times New Roman" w:hAnsiTheme="minorBidi"/>
                <w:sz w:val="20"/>
                <w:szCs w:val="20"/>
              </w:rPr>
              <w:t>Especially in the current reality with the most anti-feminist government in Israel’s history, and as a mandatory component of any just society, gender equality will be advanced and anti-feminist forces thwarted in measurable ways, through the widening of public knowledge and dialogue and the strengthening of activists and organizations working with wider and more diverse (especially disenfranchised) populations, including ultra-Orthodox, Palestinians, Mizrachi.</w:t>
            </w:r>
          </w:p>
          <w:p w:rsidR="00C562F2" w:rsidRDefault="00C562F2" w:rsidP="00095AC0">
            <w:pPr>
              <w:bidi w:val="0"/>
              <w:spacing w:line="276" w:lineRule="auto"/>
              <w:jc w:val="both"/>
              <w:rPr>
                <w:rFonts w:asciiTheme="minorBidi" w:eastAsia="Times New Roman" w:hAnsiTheme="minorBidi"/>
                <w:sz w:val="20"/>
                <w:szCs w:val="20"/>
              </w:rPr>
            </w:pPr>
          </w:p>
          <w:p w:rsidR="00095AC0" w:rsidRPr="00C562F2" w:rsidRDefault="00C562F2" w:rsidP="00C562F2">
            <w:pPr>
              <w:tabs>
                <w:tab w:val="left" w:pos="5715"/>
              </w:tabs>
              <w:bidi w:val="0"/>
              <w:rPr>
                <w:rFonts w:asciiTheme="minorBidi" w:eastAsia="Times New Roman" w:hAnsiTheme="minorBidi"/>
                <w:sz w:val="20"/>
                <w:szCs w:val="20"/>
              </w:rPr>
            </w:pPr>
            <w:r>
              <w:rPr>
                <w:rFonts w:asciiTheme="minorBidi" w:eastAsia="Times New Roman" w:hAnsiTheme="minorBidi"/>
                <w:sz w:val="20"/>
                <w:szCs w:val="20"/>
              </w:rPr>
              <w:lastRenderedPageBreak/>
              <w:tab/>
            </w:r>
          </w:p>
        </w:tc>
      </w:tr>
      <w:tr w:rsidR="00CA7733" w:rsidRPr="00733B94" w:rsidTr="007B2CCA">
        <w:tc>
          <w:tcPr>
            <w:tcW w:w="9736" w:type="dxa"/>
            <w:gridSpan w:val="8"/>
          </w:tcPr>
          <w:p w:rsidR="003740A8" w:rsidRPr="00D02181" w:rsidRDefault="00325EAC" w:rsidP="00536B9A">
            <w:pPr>
              <w:bidi w:val="0"/>
              <w:spacing w:line="276" w:lineRule="auto"/>
              <w:jc w:val="both"/>
              <w:rPr>
                <w:rFonts w:asciiTheme="minorBidi" w:hAnsiTheme="minorBidi"/>
                <w:sz w:val="20"/>
                <w:szCs w:val="20"/>
                <w:rtl/>
              </w:rPr>
            </w:pPr>
            <w:r w:rsidRPr="00D02181">
              <w:rPr>
                <w:rFonts w:asciiTheme="minorBidi" w:hAnsiTheme="minorBidi"/>
                <w:b/>
                <w:bCs/>
                <w:sz w:val="20"/>
                <w:szCs w:val="20"/>
              </w:rPr>
              <w:lastRenderedPageBreak/>
              <w:t>The grantee uses strategies of:</w:t>
            </w:r>
            <w:r w:rsidR="00F60D1C" w:rsidRPr="00D02181">
              <w:rPr>
                <w:rFonts w:asciiTheme="minorBidi" w:hAnsiTheme="minorBidi"/>
                <w:b/>
                <w:bCs/>
                <w:sz w:val="20"/>
                <w:szCs w:val="20"/>
              </w:rPr>
              <w:t xml:space="preserve"> </w:t>
            </w:r>
          </w:p>
          <w:p w:rsidR="00CA7733" w:rsidRPr="00D02181" w:rsidRDefault="003740A8" w:rsidP="00536B9A">
            <w:pPr>
              <w:bidi w:val="0"/>
              <w:spacing w:line="276" w:lineRule="auto"/>
              <w:jc w:val="both"/>
              <w:rPr>
                <w:rFonts w:asciiTheme="minorBidi" w:hAnsiTheme="minorBidi"/>
                <w:sz w:val="20"/>
                <w:szCs w:val="20"/>
                <w:rtl/>
              </w:rPr>
            </w:pPr>
            <w:r w:rsidRPr="00D02181">
              <w:rPr>
                <w:rFonts w:asciiTheme="minorBidi" w:hAnsiTheme="minorBidi"/>
                <w:sz w:val="20"/>
                <w:szCs w:val="20"/>
              </w:rPr>
              <w:t xml:space="preserve">Advocacy, legal activity, production of cultural events, book and </w:t>
            </w:r>
            <w:r w:rsidR="001761A9" w:rsidRPr="00D02181">
              <w:rPr>
                <w:rFonts w:asciiTheme="minorBidi" w:hAnsiTheme="minorBidi"/>
                <w:sz w:val="20"/>
                <w:szCs w:val="20"/>
              </w:rPr>
              <w:t>periodical</w:t>
            </w:r>
            <w:r w:rsidRPr="00D02181">
              <w:rPr>
                <w:rFonts w:asciiTheme="minorBidi" w:hAnsiTheme="minorBidi"/>
                <w:sz w:val="20"/>
                <w:szCs w:val="20"/>
              </w:rPr>
              <w:t xml:space="preserve"> publishing,</w:t>
            </w:r>
            <w:r w:rsidR="0067420F" w:rsidRPr="00D02181">
              <w:rPr>
                <w:rFonts w:asciiTheme="minorBidi" w:hAnsiTheme="minorBidi"/>
                <w:sz w:val="20"/>
                <w:szCs w:val="20"/>
              </w:rPr>
              <w:t xml:space="preserve"> c</w:t>
            </w:r>
            <w:r w:rsidRPr="00D02181">
              <w:rPr>
                <w:rFonts w:asciiTheme="minorBidi" w:hAnsiTheme="minorBidi"/>
                <w:sz w:val="20"/>
                <w:szCs w:val="20"/>
              </w:rPr>
              <w:t>ommunity organizing.</w:t>
            </w:r>
          </w:p>
        </w:tc>
      </w:tr>
      <w:tr w:rsidR="00CA7733" w:rsidRPr="00733B94" w:rsidTr="007B2CCA">
        <w:tc>
          <w:tcPr>
            <w:tcW w:w="9736" w:type="dxa"/>
            <w:gridSpan w:val="8"/>
          </w:tcPr>
          <w:p w:rsidR="00124467" w:rsidRPr="00D02181" w:rsidRDefault="006F7A01" w:rsidP="00536B9A">
            <w:pPr>
              <w:bidi w:val="0"/>
              <w:spacing w:line="276" w:lineRule="auto"/>
              <w:jc w:val="both"/>
              <w:rPr>
                <w:rFonts w:asciiTheme="minorBidi" w:hAnsiTheme="minorBidi"/>
                <w:b/>
                <w:bCs/>
                <w:sz w:val="20"/>
                <w:szCs w:val="20"/>
              </w:rPr>
            </w:pPr>
            <w:r w:rsidRPr="00D02181">
              <w:rPr>
                <w:rFonts w:asciiTheme="minorBidi" w:hAnsiTheme="minorBidi"/>
                <w:b/>
                <w:bCs/>
                <w:sz w:val="20"/>
                <w:szCs w:val="20"/>
              </w:rPr>
              <w:t>These are the goals of the organization and then some relevant benchmarks outcomes on the way to achieving the goals:</w:t>
            </w:r>
          </w:p>
          <w:p w:rsidR="00192EE6" w:rsidRPr="00D02181"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The goals of the organization include: empower</w:t>
            </w:r>
            <w:r w:rsidR="003E3E07" w:rsidRPr="00D02181">
              <w:rPr>
                <w:rFonts w:asciiTheme="minorBidi" w:hAnsiTheme="minorBidi"/>
                <w:sz w:val="20"/>
                <w:szCs w:val="20"/>
              </w:rPr>
              <w:t xml:space="preserve">ment of </w:t>
            </w:r>
            <w:r w:rsidRPr="00D02181">
              <w:rPr>
                <w:rFonts w:asciiTheme="minorBidi" w:hAnsiTheme="minorBidi"/>
                <w:sz w:val="20"/>
                <w:szCs w:val="20"/>
              </w:rPr>
              <w:t xml:space="preserve">women from </w:t>
            </w:r>
            <w:r w:rsidR="003E3E07" w:rsidRPr="00D02181">
              <w:rPr>
                <w:rFonts w:asciiTheme="minorBidi" w:hAnsiTheme="minorBidi"/>
                <w:sz w:val="20"/>
                <w:szCs w:val="20"/>
              </w:rPr>
              <w:t>disenfranchised</w:t>
            </w:r>
            <w:r w:rsidRPr="00D02181">
              <w:rPr>
                <w:rFonts w:asciiTheme="minorBidi" w:hAnsiTheme="minorBidi"/>
                <w:sz w:val="20"/>
                <w:szCs w:val="20"/>
              </w:rPr>
              <w:t xml:space="preserve"> communities (mainly in south Tel Aviv), </w:t>
            </w:r>
            <w:r w:rsidR="003E3E07" w:rsidRPr="00D02181">
              <w:rPr>
                <w:rFonts w:asciiTheme="minorBidi" w:hAnsiTheme="minorBidi"/>
                <w:sz w:val="20"/>
                <w:szCs w:val="20"/>
              </w:rPr>
              <w:t>supporting Mizrachi</w:t>
            </w:r>
            <w:r w:rsidRPr="00D02181">
              <w:rPr>
                <w:rFonts w:asciiTheme="minorBidi" w:hAnsiTheme="minorBidi"/>
                <w:sz w:val="20"/>
                <w:szCs w:val="20"/>
              </w:rPr>
              <w:t xml:space="preserve"> art and culture and in particular empowering </w:t>
            </w:r>
            <w:r w:rsidR="003E3E07" w:rsidRPr="00D02181">
              <w:rPr>
                <w:rFonts w:asciiTheme="minorBidi" w:hAnsiTheme="minorBidi"/>
                <w:sz w:val="20"/>
                <w:szCs w:val="20"/>
              </w:rPr>
              <w:t xml:space="preserve">Mizrachi women </w:t>
            </w:r>
            <w:r w:rsidRPr="00D02181">
              <w:rPr>
                <w:rFonts w:asciiTheme="minorBidi" w:hAnsiTheme="minorBidi"/>
                <w:sz w:val="20"/>
                <w:szCs w:val="20"/>
              </w:rPr>
              <w:t xml:space="preserve">artists, protecting the rights of </w:t>
            </w:r>
            <w:r w:rsidR="001761A9" w:rsidRPr="00D02181">
              <w:rPr>
                <w:rFonts w:asciiTheme="minorBidi" w:hAnsiTheme="minorBidi"/>
                <w:sz w:val="20"/>
                <w:szCs w:val="20"/>
              </w:rPr>
              <w:t xml:space="preserve">residents in </w:t>
            </w:r>
            <w:r w:rsidRPr="00D02181">
              <w:rPr>
                <w:rFonts w:asciiTheme="minorBidi" w:hAnsiTheme="minorBidi"/>
                <w:sz w:val="20"/>
                <w:szCs w:val="20"/>
              </w:rPr>
              <w:t xml:space="preserve">south Tel Aviv, creating collaborations between </w:t>
            </w:r>
            <w:r w:rsidR="001761A9" w:rsidRPr="00D02181">
              <w:rPr>
                <w:rFonts w:asciiTheme="minorBidi" w:hAnsiTheme="minorBidi"/>
                <w:sz w:val="20"/>
                <w:szCs w:val="20"/>
              </w:rPr>
              <w:t xml:space="preserve">residents </w:t>
            </w:r>
            <w:r w:rsidRPr="00D02181">
              <w:rPr>
                <w:rFonts w:asciiTheme="minorBidi" w:hAnsiTheme="minorBidi"/>
                <w:sz w:val="20"/>
                <w:szCs w:val="20"/>
              </w:rPr>
              <w:t>in south Tel Aviv and asylum seekers and protecting the rights of asylum seekers.</w:t>
            </w:r>
          </w:p>
          <w:p w:rsidR="00192EE6" w:rsidRPr="00D02181"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 xml:space="preserve">Intermediate </w:t>
            </w:r>
            <w:r w:rsidR="003E3E07" w:rsidRPr="00D02181">
              <w:rPr>
                <w:rFonts w:asciiTheme="minorBidi" w:hAnsiTheme="minorBidi"/>
                <w:sz w:val="20"/>
                <w:szCs w:val="20"/>
              </w:rPr>
              <w:t xml:space="preserve">objectives </w:t>
            </w:r>
            <w:r w:rsidRPr="00D02181">
              <w:rPr>
                <w:rFonts w:asciiTheme="minorBidi" w:hAnsiTheme="minorBidi"/>
                <w:sz w:val="20"/>
                <w:szCs w:val="20"/>
              </w:rPr>
              <w:t>to achieve the</w:t>
            </w:r>
            <w:r w:rsidR="003E3E07" w:rsidRPr="00D02181">
              <w:rPr>
                <w:rFonts w:asciiTheme="minorBidi" w:hAnsiTheme="minorBidi"/>
                <w:sz w:val="20"/>
                <w:szCs w:val="20"/>
              </w:rPr>
              <w:t>se</w:t>
            </w:r>
            <w:r w:rsidRPr="00D02181">
              <w:rPr>
                <w:rFonts w:asciiTheme="minorBidi" w:hAnsiTheme="minorBidi"/>
                <w:sz w:val="20"/>
                <w:szCs w:val="20"/>
              </w:rPr>
              <w:t xml:space="preserve"> goals include:</w:t>
            </w:r>
          </w:p>
          <w:p w:rsidR="00192EE6" w:rsidRPr="00D02181" w:rsidRDefault="00192EE6" w:rsidP="00536B9A">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A change in the Tel Aviv Municipality's policy regarding gentrification processes in the south</w:t>
            </w:r>
            <w:r w:rsidR="003E3E07" w:rsidRPr="00D02181">
              <w:rPr>
                <w:rFonts w:asciiTheme="minorBidi" w:hAnsiTheme="minorBidi" w:cstheme="minorBidi"/>
                <w:sz w:val="20"/>
                <w:szCs w:val="20"/>
              </w:rPr>
              <w:t>ern part</w:t>
            </w:r>
            <w:r w:rsidRPr="00D02181">
              <w:rPr>
                <w:rFonts w:asciiTheme="minorBidi" w:hAnsiTheme="minorBidi" w:cstheme="minorBidi"/>
                <w:sz w:val="20"/>
                <w:szCs w:val="20"/>
              </w:rPr>
              <w:t xml:space="preserve"> of the city in a way that benefit</w:t>
            </w:r>
            <w:r w:rsidR="00A25588" w:rsidRPr="00D02181">
              <w:rPr>
                <w:rFonts w:asciiTheme="minorBidi" w:hAnsiTheme="minorBidi" w:cstheme="minorBidi"/>
                <w:sz w:val="20"/>
                <w:szCs w:val="20"/>
              </w:rPr>
              <w:t>s</w:t>
            </w:r>
            <w:r w:rsidRPr="00D02181">
              <w:rPr>
                <w:rFonts w:asciiTheme="minorBidi" w:hAnsiTheme="minorBidi" w:cstheme="minorBidi"/>
                <w:sz w:val="20"/>
                <w:szCs w:val="20"/>
              </w:rPr>
              <w:t xml:space="preserve"> </w:t>
            </w:r>
            <w:r w:rsidR="002E7DB3">
              <w:rPr>
                <w:rFonts w:asciiTheme="minorBidi" w:hAnsiTheme="minorBidi" w:cstheme="minorBidi"/>
                <w:sz w:val="20"/>
                <w:szCs w:val="20"/>
              </w:rPr>
              <w:t>veteran</w:t>
            </w:r>
            <w:r w:rsidRPr="00D02181">
              <w:rPr>
                <w:rFonts w:asciiTheme="minorBidi" w:hAnsiTheme="minorBidi" w:cstheme="minorBidi"/>
                <w:sz w:val="20"/>
                <w:szCs w:val="20"/>
              </w:rPr>
              <w:t xml:space="preserve"> residents</w:t>
            </w:r>
          </w:p>
          <w:p w:rsidR="00192EE6" w:rsidRPr="00D02181" w:rsidRDefault="00A25588" w:rsidP="00536B9A">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E</w:t>
            </w:r>
            <w:r w:rsidR="00192EE6" w:rsidRPr="00D02181">
              <w:rPr>
                <w:rFonts w:asciiTheme="minorBidi" w:hAnsiTheme="minorBidi" w:cstheme="minorBidi"/>
                <w:sz w:val="20"/>
                <w:szCs w:val="20"/>
              </w:rPr>
              <w:t>stablishment of independent organization</w:t>
            </w:r>
            <w:r w:rsidR="005D76F2">
              <w:rPr>
                <w:rFonts w:asciiTheme="minorBidi" w:hAnsiTheme="minorBidi" w:cstheme="minorBidi"/>
                <w:sz w:val="20"/>
                <w:szCs w:val="20"/>
              </w:rPr>
              <w:t>s</w:t>
            </w:r>
            <w:r w:rsidR="00192EE6" w:rsidRPr="00D02181">
              <w:rPr>
                <w:rFonts w:asciiTheme="minorBidi" w:hAnsiTheme="minorBidi" w:cstheme="minorBidi"/>
                <w:sz w:val="20"/>
                <w:szCs w:val="20"/>
              </w:rPr>
              <w:t xml:space="preserve"> of </w:t>
            </w:r>
            <w:r w:rsidRPr="00D02181">
              <w:rPr>
                <w:rFonts w:asciiTheme="minorBidi" w:hAnsiTheme="minorBidi" w:cstheme="minorBidi"/>
                <w:sz w:val="20"/>
                <w:szCs w:val="20"/>
              </w:rPr>
              <w:t xml:space="preserve">disenfranchised </w:t>
            </w:r>
            <w:r w:rsidR="00192EE6" w:rsidRPr="00D02181">
              <w:rPr>
                <w:rFonts w:asciiTheme="minorBidi" w:hAnsiTheme="minorBidi" w:cstheme="minorBidi"/>
                <w:sz w:val="20"/>
                <w:szCs w:val="20"/>
              </w:rPr>
              <w:t>groups that the organization works with (for example, the organization of women who work in prostitution)</w:t>
            </w:r>
          </w:p>
          <w:p w:rsidR="00ED148D" w:rsidRPr="00E25A04" w:rsidRDefault="00192EE6" w:rsidP="00E25A04">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Increasing the scope of the Ministry of Culture's support for Mizrahi culture and Mizrahi artists</w:t>
            </w:r>
          </w:p>
        </w:tc>
      </w:tr>
      <w:tr w:rsidR="0049067C" w:rsidRPr="00733B94" w:rsidTr="007B2CCA">
        <w:tc>
          <w:tcPr>
            <w:tcW w:w="9736" w:type="dxa"/>
            <w:gridSpan w:val="8"/>
          </w:tcPr>
          <w:p w:rsidR="0049067C" w:rsidRPr="00D02181" w:rsidRDefault="0049067C" w:rsidP="00536B9A">
            <w:pPr>
              <w:bidi w:val="0"/>
              <w:spacing w:line="276" w:lineRule="auto"/>
              <w:jc w:val="both"/>
              <w:rPr>
                <w:rFonts w:asciiTheme="minorBidi" w:hAnsiTheme="minorBidi"/>
                <w:sz w:val="20"/>
                <w:szCs w:val="20"/>
              </w:rPr>
            </w:pPr>
            <w:r w:rsidRPr="00D02181">
              <w:rPr>
                <w:rFonts w:asciiTheme="minorBidi" w:hAnsiTheme="minorBidi"/>
                <w:b/>
                <w:bCs/>
                <w:sz w:val="20"/>
                <w:szCs w:val="20"/>
              </w:rPr>
              <w:t xml:space="preserve">Main Indicators for the grant include </w:t>
            </w:r>
            <w:r w:rsidRPr="00D02181">
              <w:rPr>
                <w:rFonts w:asciiTheme="minorBidi" w:hAnsiTheme="minorBidi"/>
                <w:sz w:val="20"/>
                <w:szCs w:val="20"/>
              </w:rPr>
              <w:t>(among others, the total list of indicators and targets can be found in the Salesforce):</w:t>
            </w:r>
          </w:p>
          <w:p w:rsidR="00192EE6" w:rsidRPr="00D02181" w:rsidRDefault="00192EE6" w:rsidP="00536B9A">
            <w:pPr>
              <w:pStyle w:val="ListParagraph"/>
              <w:numPr>
                <w:ilvl w:val="0"/>
                <w:numId w:val="7"/>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The number of legal and advocacy actions to protect asylum seekers in </w:t>
            </w:r>
            <w:r w:rsidR="00F37865" w:rsidRPr="00D02181">
              <w:rPr>
                <w:rFonts w:asciiTheme="minorBidi" w:hAnsiTheme="minorBidi" w:cstheme="minorBidi"/>
                <w:sz w:val="20"/>
                <w:szCs w:val="20"/>
              </w:rPr>
              <w:t>s</w:t>
            </w:r>
            <w:r w:rsidRPr="00D02181">
              <w:rPr>
                <w:rFonts w:asciiTheme="minorBidi" w:hAnsiTheme="minorBidi" w:cstheme="minorBidi"/>
                <w:sz w:val="20"/>
                <w:szCs w:val="20"/>
              </w:rPr>
              <w:t xml:space="preserve">outh Tel Aviv and </w:t>
            </w:r>
            <w:r w:rsidR="00F37865" w:rsidRPr="00D02181">
              <w:rPr>
                <w:rFonts w:asciiTheme="minorBidi" w:hAnsiTheme="minorBidi" w:cstheme="minorBidi"/>
                <w:sz w:val="20"/>
                <w:szCs w:val="20"/>
              </w:rPr>
              <w:t xml:space="preserve">their </w:t>
            </w:r>
            <w:r w:rsidRPr="00D02181">
              <w:rPr>
                <w:rFonts w:asciiTheme="minorBidi" w:hAnsiTheme="minorBidi" w:cstheme="minorBidi"/>
                <w:sz w:val="20"/>
                <w:szCs w:val="20"/>
              </w:rPr>
              <w:t>degree of success</w:t>
            </w:r>
          </w:p>
          <w:p w:rsidR="00192EE6" w:rsidRPr="00D02181" w:rsidRDefault="00192EE6" w:rsidP="00536B9A">
            <w:pPr>
              <w:pStyle w:val="ListParagraph"/>
              <w:numPr>
                <w:ilvl w:val="0"/>
                <w:numId w:val="7"/>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The number of advocacy actions to promote an increase in the Ministry of Culture's support for Mizrahi culture and Mizrahi artists and the</w:t>
            </w:r>
            <w:r w:rsidR="00F37865" w:rsidRPr="00D02181">
              <w:rPr>
                <w:rFonts w:asciiTheme="minorBidi" w:hAnsiTheme="minorBidi" w:cstheme="minorBidi"/>
                <w:sz w:val="20"/>
                <w:szCs w:val="20"/>
              </w:rPr>
              <w:t>ir</w:t>
            </w:r>
            <w:r w:rsidRPr="00D02181">
              <w:rPr>
                <w:rFonts w:asciiTheme="minorBidi" w:hAnsiTheme="minorBidi" w:cstheme="minorBidi"/>
                <w:sz w:val="20"/>
                <w:szCs w:val="20"/>
              </w:rPr>
              <w:t xml:space="preserve"> degree of success </w:t>
            </w:r>
          </w:p>
          <w:p w:rsidR="0049067C" w:rsidRPr="00E47EA7" w:rsidRDefault="00192EE6" w:rsidP="00536B9A">
            <w:pPr>
              <w:pStyle w:val="ListParagraph"/>
              <w:numPr>
                <w:ilvl w:val="0"/>
                <w:numId w:val="7"/>
              </w:numPr>
              <w:bidi w:val="0"/>
              <w:spacing w:line="276" w:lineRule="auto"/>
              <w:jc w:val="both"/>
              <w:rPr>
                <w:rFonts w:asciiTheme="minorBidi" w:hAnsiTheme="minorBidi" w:cstheme="minorBidi"/>
                <w:sz w:val="20"/>
                <w:szCs w:val="20"/>
                <w:rtl/>
              </w:rPr>
            </w:pPr>
            <w:r w:rsidRPr="00D02181">
              <w:rPr>
                <w:rFonts w:asciiTheme="minorBidi" w:hAnsiTheme="minorBidi" w:cstheme="minorBidi"/>
                <w:sz w:val="20"/>
                <w:szCs w:val="20"/>
              </w:rPr>
              <w:t>The number and quality of cultural events and books that the organization produces and the</w:t>
            </w:r>
            <w:r w:rsidR="00F37865" w:rsidRPr="00D02181">
              <w:rPr>
                <w:rFonts w:asciiTheme="minorBidi" w:hAnsiTheme="minorBidi" w:cstheme="minorBidi"/>
                <w:sz w:val="20"/>
                <w:szCs w:val="20"/>
              </w:rPr>
              <w:t>ir</w:t>
            </w:r>
            <w:r w:rsidRPr="00D02181">
              <w:rPr>
                <w:rFonts w:asciiTheme="minorBidi" w:hAnsiTheme="minorBidi" w:cstheme="minorBidi"/>
                <w:sz w:val="20"/>
                <w:szCs w:val="20"/>
              </w:rPr>
              <w:t xml:space="preserve"> degree of exposure </w:t>
            </w:r>
          </w:p>
        </w:tc>
      </w:tr>
      <w:tr w:rsidR="0049067C" w:rsidRPr="00733B94" w:rsidTr="007B2CCA">
        <w:tc>
          <w:tcPr>
            <w:tcW w:w="9736" w:type="dxa"/>
            <w:gridSpan w:val="8"/>
          </w:tcPr>
          <w:p w:rsidR="00192EE6" w:rsidRPr="00D02181" w:rsidRDefault="0049067C" w:rsidP="00536B9A">
            <w:pPr>
              <w:bidi w:val="0"/>
              <w:spacing w:line="276" w:lineRule="auto"/>
              <w:jc w:val="both"/>
              <w:rPr>
                <w:rFonts w:asciiTheme="minorBidi" w:hAnsiTheme="minorBidi"/>
                <w:sz w:val="20"/>
                <w:szCs w:val="20"/>
              </w:rPr>
            </w:pPr>
            <w:r w:rsidRPr="00D02181">
              <w:rPr>
                <w:rFonts w:asciiTheme="minorBidi" w:hAnsiTheme="minorBidi"/>
                <w:b/>
                <w:bCs/>
                <w:sz w:val="20"/>
                <w:szCs w:val="20"/>
              </w:rPr>
              <w:t>Added value of this grant (for the project and in general) include that:</w:t>
            </w:r>
            <w:r w:rsidRPr="00D02181">
              <w:rPr>
                <w:rFonts w:asciiTheme="minorBidi" w:hAnsiTheme="minorBidi"/>
                <w:sz w:val="20"/>
                <w:szCs w:val="20"/>
              </w:rPr>
              <w:t xml:space="preserve"> </w:t>
            </w:r>
          </w:p>
          <w:p w:rsidR="0049067C"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 xml:space="preserve">"Ahoti" is the oldest and </w:t>
            </w:r>
            <w:r w:rsidR="002210D5" w:rsidRPr="00D02181">
              <w:rPr>
                <w:rFonts w:asciiTheme="minorBidi" w:hAnsiTheme="minorBidi"/>
                <w:sz w:val="20"/>
                <w:szCs w:val="20"/>
              </w:rPr>
              <w:t xml:space="preserve">main </w:t>
            </w:r>
            <w:r w:rsidRPr="00D02181">
              <w:rPr>
                <w:rFonts w:asciiTheme="minorBidi" w:hAnsiTheme="minorBidi"/>
                <w:sz w:val="20"/>
                <w:szCs w:val="20"/>
              </w:rPr>
              <w:t xml:space="preserve">Mizrahi feminist organization operating today in Israel. The organization is located and operates mainly in south Tel Aviv and </w:t>
            </w:r>
            <w:r w:rsidR="002210D5" w:rsidRPr="00D02181">
              <w:rPr>
                <w:rFonts w:asciiTheme="minorBidi" w:hAnsiTheme="minorBidi"/>
                <w:sz w:val="20"/>
                <w:szCs w:val="20"/>
              </w:rPr>
              <w:t xml:space="preserve">plays </w:t>
            </w:r>
            <w:r w:rsidRPr="00D02181">
              <w:rPr>
                <w:rFonts w:asciiTheme="minorBidi" w:hAnsiTheme="minorBidi"/>
                <w:sz w:val="20"/>
                <w:szCs w:val="20"/>
              </w:rPr>
              <w:t xml:space="preserve">an important role both in protecting the rights of the </w:t>
            </w:r>
            <w:r w:rsidR="008F2BBB">
              <w:rPr>
                <w:rFonts w:asciiTheme="minorBidi" w:hAnsiTheme="minorBidi"/>
                <w:sz w:val="20"/>
                <w:szCs w:val="20"/>
              </w:rPr>
              <w:t>veteran</w:t>
            </w:r>
            <w:r w:rsidR="002210D5" w:rsidRPr="00D02181">
              <w:rPr>
                <w:rFonts w:asciiTheme="minorBidi" w:hAnsiTheme="minorBidi"/>
                <w:sz w:val="20"/>
                <w:szCs w:val="20"/>
              </w:rPr>
              <w:t xml:space="preserve"> </w:t>
            </w:r>
            <w:r w:rsidRPr="00D02181">
              <w:rPr>
                <w:rFonts w:asciiTheme="minorBidi" w:hAnsiTheme="minorBidi"/>
                <w:sz w:val="20"/>
                <w:szCs w:val="20"/>
              </w:rPr>
              <w:t xml:space="preserve">residents in the face of gentrification trends and in protecting the asylum seeker community </w:t>
            </w:r>
            <w:r w:rsidR="002210D5" w:rsidRPr="00D02181">
              <w:rPr>
                <w:rFonts w:asciiTheme="minorBidi" w:hAnsiTheme="minorBidi"/>
                <w:sz w:val="20"/>
                <w:szCs w:val="20"/>
              </w:rPr>
              <w:t xml:space="preserve">from </w:t>
            </w:r>
            <w:r w:rsidRPr="00D02181">
              <w:rPr>
                <w:rFonts w:asciiTheme="minorBidi" w:hAnsiTheme="minorBidi"/>
                <w:sz w:val="20"/>
                <w:szCs w:val="20"/>
              </w:rPr>
              <w:t xml:space="preserve">racist phenomena on the part of residents and attempts by the government to harm their rights. In addition, the organization has a central role </w:t>
            </w:r>
            <w:r w:rsidR="00055D59" w:rsidRPr="00D02181">
              <w:rPr>
                <w:rFonts w:asciiTheme="minorBidi" w:hAnsiTheme="minorBidi"/>
                <w:sz w:val="20"/>
                <w:szCs w:val="20"/>
              </w:rPr>
              <w:t>in promoting</w:t>
            </w:r>
            <w:r w:rsidRPr="00D02181">
              <w:rPr>
                <w:rFonts w:asciiTheme="minorBidi" w:hAnsiTheme="minorBidi"/>
                <w:sz w:val="20"/>
                <w:szCs w:val="20"/>
              </w:rPr>
              <w:t xml:space="preserve"> Mizrahi culture </w:t>
            </w:r>
            <w:r w:rsidR="002210D5" w:rsidRPr="00D02181">
              <w:rPr>
                <w:rFonts w:asciiTheme="minorBidi" w:hAnsiTheme="minorBidi"/>
                <w:sz w:val="20"/>
                <w:szCs w:val="20"/>
              </w:rPr>
              <w:t>–</w:t>
            </w:r>
            <w:r w:rsidRPr="00D02181">
              <w:rPr>
                <w:rFonts w:asciiTheme="minorBidi" w:hAnsiTheme="minorBidi"/>
                <w:sz w:val="20"/>
                <w:szCs w:val="20"/>
              </w:rPr>
              <w:t xml:space="preserve"> especially </w:t>
            </w:r>
            <w:r w:rsidR="002210D5" w:rsidRPr="00D02181">
              <w:rPr>
                <w:rFonts w:asciiTheme="minorBidi" w:hAnsiTheme="minorBidi"/>
                <w:sz w:val="20"/>
                <w:szCs w:val="20"/>
              </w:rPr>
              <w:t xml:space="preserve">regarding </w:t>
            </w:r>
            <w:r w:rsidRPr="00D02181">
              <w:rPr>
                <w:rFonts w:asciiTheme="minorBidi" w:hAnsiTheme="minorBidi"/>
                <w:sz w:val="20"/>
                <w:szCs w:val="20"/>
              </w:rPr>
              <w:t xml:space="preserve">its feminist </w:t>
            </w:r>
            <w:r w:rsidR="002210D5" w:rsidRPr="00D02181">
              <w:rPr>
                <w:rFonts w:asciiTheme="minorBidi" w:hAnsiTheme="minorBidi"/>
                <w:sz w:val="20"/>
                <w:szCs w:val="20"/>
              </w:rPr>
              <w:t>component –</w:t>
            </w:r>
            <w:r w:rsidRPr="00D02181">
              <w:rPr>
                <w:rFonts w:asciiTheme="minorBidi" w:hAnsiTheme="minorBidi"/>
                <w:sz w:val="20"/>
                <w:szCs w:val="20"/>
              </w:rPr>
              <w:t xml:space="preserve"> and it manages to influence the Ministry of Culture to increase support for Mizrahi culture and Mizrahi artists.</w:t>
            </w:r>
          </w:p>
          <w:p w:rsidR="009B3854" w:rsidRPr="00D02181" w:rsidRDefault="009B3854" w:rsidP="009B3854">
            <w:pPr>
              <w:bidi w:val="0"/>
              <w:spacing w:line="276" w:lineRule="auto"/>
              <w:jc w:val="both"/>
              <w:rPr>
                <w:rFonts w:asciiTheme="minorBidi" w:hAnsiTheme="minorBidi" w:hint="cs"/>
                <w:sz w:val="20"/>
                <w:szCs w:val="20"/>
                <w:rtl/>
              </w:rPr>
            </w:pPr>
            <w:r>
              <w:rPr>
                <w:rFonts w:asciiTheme="minorBidi" w:hAnsiTheme="minorBidi" w:hint="cs"/>
                <w:sz w:val="20"/>
                <w:szCs w:val="20"/>
                <w:rtl/>
              </w:rPr>
              <w:t>לארגון ישנו תפקיד מרכזי בקידום דה- אסקלציה בדרום ושכנות טובה בדרום תל אביב בין הקהילות השונות ועסק בזה רבות אחרי ה7.10</w:t>
            </w:r>
          </w:p>
        </w:tc>
      </w:tr>
      <w:tr w:rsidR="0049067C" w:rsidRPr="00733B94" w:rsidTr="00E47EA7">
        <w:trPr>
          <w:trHeight w:hRule="exact" w:val="3825"/>
        </w:trPr>
        <w:tc>
          <w:tcPr>
            <w:tcW w:w="9736" w:type="dxa"/>
            <w:gridSpan w:val="8"/>
            <w:shd w:val="clear" w:color="auto" w:fill="auto"/>
            <w:vAlign w:val="center"/>
          </w:tcPr>
          <w:p w:rsidR="0049067C" w:rsidRPr="00D02181" w:rsidRDefault="008F2BBB" w:rsidP="00536B9A">
            <w:pPr>
              <w:bidi w:val="0"/>
              <w:spacing w:line="276" w:lineRule="auto"/>
              <w:jc w:val="both"/>
              <w:rPr>
                <w:rFonts w:asciiTheme="minorBidi" w:hAnsiTheme="minorBidi"/>
                <w:b/>
                <w:bCs/>
                <w:sz w:val="20"/>
                <w:szCs w:val="20"/>
              </w:rPr>
            </w:pPr>
            <w:r>
              <w:rPr>
                <w:rFonts w:asciiTheme="minorBidi" w:hAnsiTheme="minorBidi"/>
                <w:b/>
                <w:bCs/>
                <w:sz w:val="20"/>
                <w:szCs w:val="20"/>
              </w:rPr>
              <w:t>(</w:t>
            </w:r>
            <w:r w:rsidR="00E47EA7">
              <w:rPr>
                <w:rFonts w:asciiTheme="minorBidi" w:hAnsiTheme="minorBidi"/>
                <w:b/>
                <w:bCs/>
                <w:sz w:val="20"/>
                <w:szCs w:val="20"/>
              </w:rPr>
              <w:t>F</w:t>
            </w:r>
            <w:r w:rsidR="0049067C" w:rsidRPr="00D02181">
              <w:rPr>
                <w:rFonts w:asciiTheme="minorBidi" w:hAnsiTheme="minorBidi"/>
                <w:b/>
                <w:bCs/>
                <w:sz w:val="20"/>
                <w:szCs w:val="20"/>
              </w:rPr>
              <w:t xml:space="preserve">or organizations receiving support 5 or more years) Significant PAST achievements - relevant to this program or not - of the grantee since NIF began support include: </w:t>
            </w:r>
          </w:p>
          <w:p w:rsidR="00192EE6" w:rsidRPr="00D02181" w:rsidRDefault="00192EE6"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As part of the </w:t>
            </w:r>
            <w:r w:rsidR="007B5D78" w:rsidRPr="00D02181">
              <w:rPr>
                <w:rFonts w:asciiTheme="minorBidi" w:hAnsiTheme="minorBidi" w:cstheme="minorBidi"/>
                <w:sz w:val="20"/>
                <w:szCs w:val="20"/>
              </w:rPr>
              <w:t xml:space="preserve">struggle </w:t>
            </w:r>
            <w:r w:rsidRPr="00D02181">
              <w:rPr>
                <w:rFonts w:asciiTheme="minorBidi" w:hAnsiTheme="minorBidi" w:cstheme="minorBidi"/>
                <w:sz w:val="20"/>
                <w:szCs w:val="20"/>
              </w:rPr>
              <w:t xml:space="preserve">to stop the </w:t>
            </w:r>
            <w:r w:rsidR="001761A9" w:rsidRPr="00D02181">
              <w:rPr>
                <w:rFonts w:asciiTheme="minorBidi" w:hAnsiTheme="minorBidi" w:cstheme="minorBidi"/>
                <w:sz w:val="20"/>
                <w:szCs w:val="20"/>
              </w:rPr>
              <w:t>deportation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 xml:space="preserve">of asylum seekers in 2018, the organization played a </w:t>
            </w:r>
            <w:r w:rsidR="007B5D78" w:rsidRPr="00D02181">
              <w:rPr>
                <w:rFonts w:asciiTheme="minorBidi" w:hAnsiTheme="minorBidi" w:cstheme="minorBidi"/>
                <w:sz w:val="20"/>
                <w:szCs w:val="20"/>
              </w:rPr>
              <w:t xml:space="preserve">key </w:t>
            </w:r>
            <w:r w:rsidRPr="00D02181">
              <w:rPr>
                <w:rFonts w:asciiTheme="minorBidi" w:hAnsiTheme="minorBidi" w:cstheme="minorBidi"/>
                <w:sz w:val="20"/>
                <w:szCs w:val="20"/>
              </w:rPr>
              <w:t xml:space="preserve">role in </w:t>
            </w:r>
            <w:r w:rsidR="007B5D78" w:rsidRPr="00D02181">
              <w:rPr>
                <w:rFonts w:asciiTheme="minorBidi" w:hAnsiTheme="minorBidi" w:cstheme="minorBidi"/>
                <w:sz w:val="20"/>
                <w:szCs w:val="20"/>
              </w:rPr>
              <w:t xml:space="preserve">presenting the view </w:t>
            </w:r>
            <w:r w:rsidRPr="00D02181">
              <w:rPr>
                <w:rFonts w:asciiTheme="minorBidi" w:hAnsiTheme="minorBidi" w:cstheme="minorBidi"/>
                <w:sz w:val="20"/>
                <w:szCs w:val="20"/>
              </w:rPr>
              <w:t xml:space="preserve">of </w:t>
            </w:r>
            <w:r w:rsidR="00055D59">
              <w:rPr>
                <w:rFonts w:asciiTheme="minorBidi" w:hAnsiTheme="minorBidi" w:cstheme="minorBidi"/>
                <w:sz w:val="20"/>
                <w:szCs w:val="20"/>
              </w:rPr>
              <w:t>veteran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residents of south Tel Aviv who oppose</w:t>
            </w:r>
            <w:r w:rsidR="007B5D78" w:rsidRPr="00D02181">
              <w:rPr>
                <w:rFonts w:asciiTheme="minorBidi" w:hAnsiTheme="minorBidi" w:cstheme="minorBidi"/>
                <w:sz w:val="20"/>
                <w:szCs w:val="20"/>
              </w:rPr>
              <w:t>d</w:t>
            </w:r>
            <w:r w:rsidRPr="00D02181">
              <w:rPr>
                <w:rFonts w:asciiTheme="minorBidi" w:hAnsiTheme="minorBidi" w:cstheme="minorBidi"/>
                <w:sz w:val="20"/>
                <w:szCs w:val="20"/>
              </w:rPr>
              <w:t xml:space="preserve"> </w:t>
            </w:r>
            <w:r w:rsidR="007B5D78" w:rsidRPr="00D02181">
              <w:rPr>
                <w:rFonts w:asciiTheme="minorBidi" w:hAnsiTheme="minorBidi" w:cstheme="minorBidi"/>
                <w:sz w:val="20"/>
                <w:szCs w:val="20"/>
              </w:rPr>
              <w:t>this step</w:t>
            </w:r>
            <w:r w:rsidRPr="00D02181">
              <w:rPr>
                <w:rFonts w:asciiTheme="minorBidi" w:hAnsiTheme="minorBidi" w:cstheme="minorBidi"/>
                <w:sz w:val="20"/>
                <w:szCs w:val="20"/>
              </w:rPr>
              <w:t xml:space="preserve">. Against the background of the government's claims that the </w:t>
            </w:r>
            <w:r w:rsidR="00055D59">
              <w:rPr>
                <w:rFonts w:asciiTheme="minorBidi" w:hAnsiTheme="minorBidi" w:cstheme="minorBidi"/>
                <w:sz w:val="20"/>
                <w:szCs w:val="20"/>
              </w:rPr>
              <w:t>veteran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residents are suffering because of the asylum seekers and support th</w:t>
            </w:r>
            <w:r w:rsidR="007B5D78" w:rsidRPr="00D02181">
              <w:rPr>
                <w:rFonts w:asciiTheme="minorBidi" w:hAnsiTheme="minorBidi" w:cstheme="minorBidi"/>
                <w:sz w:val="20"/>
                <w:szCs w:val="20"/>
              </w:rPr>
              <w:t>e</w:t>
            </w:r>
            <w:r w:rsidRPr="00D02181">
              <w:rPr>
                <w:rFonts w:asciiTheme="minorBidi" w:hAnsiTheme="minorBidi" w:cstheme="minorBidi"/>
                <w:sz w:val="20"/>
                <w:szCs w:val="20"/>
              </w:rPr>
              <w:t xml:space="preserve"> </w:t>
            </w:r>
            <w:r w:rsidR="001761A9" w:rsidRPr="00D02181">
              <w:rPr>
                <w:rFonts w:asciiTheme="minorBidi" w:hAnsiTheme="minorBidi" w:cstheme="minorBidi"/>
                <w:sz w:val="20"/>
                <w:szCs w:val="20"/>
              </w:rPr>
              <w:t>deportation</w:t>
            </w:r>
            <w:r w:rsidRPr="00D02181">
              <w:rPr>
                <w:rFonts w:asciiTheme="minorBidi" w:hAnsiTheme="minorBidi" w:cstheme="minorBidi"/>
                <w:sz w:val="20"/>
                <w:szCs w:val="20"/>
              </w:rPr>
              <w:t>, making the voice</w:t>
            </w:r>
            <w:r w:rsidR="007B5D78" w:rsidRPr="00D02181">
              <w:rPr>
                <w:rFonts w:asciiTheme="minorBidi" w:hAnsiTheme="minorBidi" w:cstheme="minorBidi"/>
                <w:sz w:val="20"/>
                <w:szCs w:val="20"/>
              </w:rPr>
              <w:t>s</w:t>
            </w:r>
            <w:r w:rsidRPr="00D02181">
              <w:rPr>
                <w:rFonts w:asciiTheme="minorBidi" w:hAnsiTheme="minorBidi" w:cstheme="minorBidi"/>
                <w:sz w:val="20"/>
                <w:szCs w:val="20"/>
              </w:rPr>
              <w:t xml:space="preserve"> </w:t>
            </w:r>
            <w:r w:rsidR="007B5D78" w:rsidRPr="00D02181">
              <w:rPr>
                <w:rFonts w:asciiTheme="minorBidi" w:hAnsiTheme="minorBidi" w:cstheme="minorBidi"/>
                <w:sz w:val="20"/>
                <w:szCs w:val="20"/>
              </w:rPr>
              <w:t xml:space="preserve">heard </w:t>
            </w:r>
            <w:r w:rsidRPr="00D02181">
              <w:rPr>
                <w:rFonts w:asciiTheme="minorBidi" w:hAnsiTheme="minorBidi" w:cstheme="minorBidi"/>
                <w:sz w:val="20"/>
                <w:szCs w:val="20"/>
              </w:rPr>
              <w:t>of residents who oppose th</w:t>
            </w:r>
            <w:r w:rsidR="00665320" w:rsidRPr="00D02181">
              <w:rPr>
                <w:rFonts w:asciiTheme="minorBidi" w:hAnsiTheme="minorBidi" w:cstheme="minorBidi"/>
                <w:sz w:val="20"/>
                <w:szCs w:val="20"/>
              </w:rPr>
              <w:t xml:space="preserve">is move </w:t>
            </w:r>
            <w:r w:rsidR="007B5D78" w:rsidRPr="00D02181">
              <w:rPr>
                <w:rFonts w:asciiTheme="minorBidi" w:hAnsiTheme="minorBidi" w:cstheme="minorBidi"/>
                <w:sz w:val="20"/>
                <w:szCs w:val="20"/>
              </w:rPr>
              <w:t xml:space="preserve">was </w:t>
            </w:r>
            <w:r w:rsidRPr="00D02181">
              <w:rPr>
                <w:rFonts w:asciiTheme="minorBidi" w:hAnsiTheme="minorBidi" w:cstheme="minorBidi"/>
                <w:sz w:val="20"/>
                <w:szCs w:val="20"/>
              </w:rPr>
              <w:t xml:space="preserve">a very significant contribution to the success of the struggle and </w:t>
            </w:r>
            <w:r w:rsidR="007B5D78" w:rsidRPr="00D02181">
              <w:rPr>
                <w:rFonts w:asciiTheme="minorBidi" w:hAnsiTheme="minorBidi" w:cstheme="minorBidi"/>
                <w:sz w:val="20"/>
                <w:szCs w:val="20"/>
              </w:rPr>
              <w:t xml:space="preserve">to </w:t>
            </w:r>
            <w:r w:rsidRPr="00D02181">
              <w:rPr>
                <w:rFonts w:asciiTheme="minorBidi" w:hAnsiTheme="minorBidi" w:cstheme="minorBidi"/>
                <w:sz w:val="20"/>
                <w:szCs w:val="20"/>
              </w:rPr>
              <w:t xml:space="preserve">stopping the </w:t>
            </w:r>
            <w:r w:rsidR="001761A9" w:rsidRPr="00D02181">
              <w:rPr>
                <w:rFonts w:asciiTheme="minorBidi" w:hAnsiTheme="minorBidi" w:cstheme="minorBidi"/>
                <w:sz w:val="20"/>
                <w:szCs w:val="20"/>
              </w:rPr>
              <w:t>deportation</w:t>
            </w:r>
            <w:r w:rsidRPr="00D02181">
              <w:rPr>
                <w:rFonts w:asciiTheme="minorBidi" w:hAnsiTheme="minorBidi" w:cstheme="minorBidi"/>
                <w:sz w:val="20"/>
                <w:szCs w:val="20"/>
              </w:rPr>
              <w:t>.</w:t>
            </w:r>
          </w:p>
          <w:p w:rsidR="00FF4C72" w:rsidRPr="00D02181" w:rsidRDefault="00192EE6"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Following the </w:t>
            </w:r>
            <w:r w:rsidR="00665320" w:rsidRPr="00D02181">
              <w:rPr>
                <w:rFonts w:asciiTheme="minorBidi" w:hAnsiTheme="minorBidi" w:cstheme="minorBidi"/>
                <w:sz w:val="20"/>
                <w:szCs w:val="20"/>
              </w:rPr>
              <w:t>years-</w:t>
            </w:r>
            <w:r w:rsidRPr="00D02181">
              <w:rPr>
                <w:rFonts w:asciiTheme="minorBidi" w:hAnsiTheme="minorBidi" w:cstheme="minorBidi"/>
                <w:sz w:val="20"/>
                <w:szCs w:val="20"/>
              </w:rPr>
              <w:t xml:space="preserve">long struggle to clear the </w:t>
            </w:r>
            <w:r w:rsidR="00055D59">
              <w:rPr>
                <w:rFonts w:asciiTheme="minorBidi" w:hAnsiTheme="minorBidi" w:cstheme="minorBidi"/>
                <w:sz w:val="20"/>
                <w:szCs w:val="20"/>
              </w:rPr>
              <w:t xml:space="preserve">Tel Aviv </w:t>
            </w:r>
            <w:r w:rsidRPr="00D02181">
              <w:rPr>
                <w:rFonts w:asciiTheme="minorBidi" w:hAnsiTheme="minorBidi" w:cstheme="minorBidi"/>
                <w:sz w:val="20"/>
                <w:szCs w:val="20"/>
              </w:rPr>
              <w:t>central station of buses, which the organization led, in October 2021 the Minister of Transport at the time, Merav Michaeli, and Tel Aviv Mayor Ron Huldai announced in a joint statement that the buses would be removed by the end of 2023. However, it was later decided to postpone the date to 2026</w:t>
            </w:r>
            <w:r w:rsidR="009E0EDB" w:rsidRPr="00D02181">
              <w:rPr>
                <w:rFonts w:asciiTheme="minorBidi" w:hAnsiTheme="minorBidi" w:cstheme="minorBidi"/>
                <w:sz w:val="20"/>
                <w:szCs w:val="20"/>
              </w:rPr>
              <w:t>.</w:t>
            </w:r>
          </w:p>
          <w:p w:rsidR="0049067C" w:rsidRDefault="009E0EDB"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Following the organization's intensive work with asylum-seeking mothers, an independent organization of asylum-seekers </w:t>
            </w:r>
            <w:r w:rsidR="00665320" w:rsidRPr="00D02181">
              <w:rPr>
                <w:rFonts w:asciiTheme="minorBidi" w:hAnsiTheme="minorBidi" w:cstheme="minorBidi"/>
                <w:sz w:val="20"/>
                <w:szCs w:val="20"/>
              </w:rPr>
              <w:t>–</w:t>
            </w:r>
            <w:r w:rsidRPr="00D02181">
              <w:rPr>
                <w:rFonts w:asciiTheme="minorBidi" w:hAnsiTheme="minorBidi" w:cstheme="minorBidi"/>
                <w:sz w:val="20"/>
                <w:szCs w:val="20"/>
              </w:rPr>
              <w:t xml:space="preserve"> United Children of Israel </w:t>
            </w:r>
            <w:r w:rsidR="00665320" w:rsidRPr="00D02181">
              <w:rPr>
                <w:rFonts w:asciiTheme="minorBidi" w:hAnsiTheme="minorBidi" w:cstheme="minorBidi"/>
                <w:sz w:val="20"/>
                <w:szCs w:val="20"/>
              </w:rPr>
              <w:t>–</w:t>
            </w:r>
            <w:r w:rsidRPr="00D02181">
              <w:rPr>
                <w:rFonts w:asciiTheme="minorBidi" w:hAnsiTheme="minorBidi" w:cstheme="minorBidi"/>
                <w:sz w:val="20"/>
                <w:szCs w:val="20"/>
              </w:rPr>
              <w:t xml:space="preserve"> was established</w:t>
            </w:r>
            <w:r w:rsidR="00665320" w:rsidRPr="00D02181">
              <w:rPr>
                <w:rFonts w:asciiTheme="minorBidi" w:hAnsiTheme="minorBidi" w:cstheme="minorBidi"/>
                <w:sz w:val="20"/>
                <w:szCs w:val="20"/>
              </w:rPr>
              <w:t>.</w:t>
            </w:r>
          </w:p>
          <w:p w:rsidR="00E25A04" w:rsidRDefault="00E25A04" w:rsidP="00E25A04">
            <w:pPr>
              <w:bidi w:val="0"/>
              <w:spacing w:line="276" w:lineRule="auto"/>
              <w:jc w:val="both"/>
              <w:rPr>
                <w:rFonts w:asciiTheme="minorBidi" w:hAnsiTheme="minorBidi"/>
                <w:sz w:val="20"/>
                <w:szCs w:val="20"/>
              </w:rPr>
            </w:pPr>
          </w:p>
          <w:p w:rsidR="0099268E" w:rsidRDefault="0099268E" w:rsidP="0099268E">
            <w:pPr>
              <w:bidi w:val="0"/>
              <w:spacing w:line="276" w:lineRule="auto"/>
              <w:jc w:val="both"/>
              <w:rPr>
                <w:rFonts w:asciiTheme="minorBidi" w:hAnsiTheme="minorBidi"/>
                <w:sz w:val="20"/>
                <w:szCs w:val="20"/>
              </w:rPr>
            </w:pPr>
          </w:p>
          <w:p w:rsidR="0099268E" w:rsidRPr="00E25A04" w:rsidRDefault="0099268E" w:rsidP="0099268E">
            <w:pPr>
              <w:bidi w:val="0"/>
              <w:spacing w:line="276" w:lineRule="auto"/>
              <w:jc w:val="both"/>
              <w:rPr>
                <w:rFonts w:asciiTheme="minorBidi" w:hAnsiTheme="minorBidi"/>
                <w:sz w:val="20"/>
                <w:szCs w:val="20"/>
              </w:rPr>
            </w:pPr>
          </w:p>
        </w:tc>
      </w:tr>
      <w:tr w:rsidR="0049067C" w:rsidRPr="00733B94" w:rsidTr="007B2CCA">
        <w:trPr>
          <w:trHeight w:hRule="exact" w:val="397"/>
        </w:trPr>
        <w:tc>
          <w:tcPr>
            <w:tcW w:w="9736" w:type="dxa"/>
            <w:gridSpan w:val="8"/>
            <w:shd w:val="clear" w:color="auto" w:fill="D9D9D9" w:themeFill="background1" w:themeFillShade="D9"/>
            <w:vAlign w:val="center"/>
          </w:tcPr>
          <w:p w:rsidR="0049067C" w:rsidRPr="00E25A04" w:rsidRDefault="0049067C" w:rsidP="00536B9A">
            <w:pPr>
              <w:bidi w:val="0"/>
              <w:spacing w:line="276" w:lineRule="auto"/>
              <w:jc w:val="center"/>
              <w:rPr>
                <w:rFonts w:asciiTheme="minorBidi" w:hAnsiTheme="minorBidi"/>
                <w:b/>
                <w:bCs/>
              </w:rPr>
            </w:pPr>
            <w:r w:rsidRPr="00E25A04">
              <w:rPr>
                <w:rFonts w:asciiTheme="minorBidi" w:hAnsiTheme="minorBidi"/>
                <w:b/>
                <w:bCs/>
              </w:rPr>
              <w:t>PROGRESS</w:t>
            </w:r>
          </w:p>
        </w:tc>
      </w:tr>
      <w:tr w:rsidR="0049067C" w:rsidRPr="00733B94" w:rsidTr="007B2CCA">
        <w:tc>
          <w:tcPr>
            <w:tcW w:w="9736" w:type="dxa"/>
            <w:gridSpan w:val="8"/>
          </w:tcPr>
          <w:p w:rsidR="0049067C"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lastRenderedPageBreak/>
              <w:t xml:space="preserve">Overall Progress Evaluation: </w:t>
            </w:r>
            <w:r w:rsidR="001D4336" w:rsidRPr="00191BFA">
              <w:rPr>
                <w:rFonts w:asciiTheme="minorBidi" w:eastAsia="Times New Roman" w:hAnsiTheme="minorBidi" w:cs="Arial"/>
                <w:sz w:val="20"/>
                <w:szCs w:val="20"/>
              </w:rPr>
              <w:t>Fully Met Expectations</w:t>
            </w:r>
          </w:p>
          <w:p w:rsidR="0049067C"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 xml:space="preserve">Explanation re. Score: </w:t>
            </w:r>
          </w:p>
          <w:p w:rsidR="001B6D43" w:rsidRPr="00191BFA" w:rsidRDefault="00650814" w:rsidP="00536B9A">
            <w:pPr>
              <w:bidi w:val="0"/>
              <w:spacing w:line="276" w:lineRule="auto"/>
              <w:jc w:val="both"/>
              <w:rPr>
                <w:rFonts w:asciiTheme="minorBidi" w:eastAsia="Times New Roman" w:hAnsiTheme="minorBidi" w:cs="Arial" w:hint="cs"/>
                <w:sz w:val="20"/>
                <w:szCs w:val="20"/>
                <w:rtl/>
              </w:rPr>
            </w:pPr>
            <w:r>
              <w:rPr>
                <w:rFonts w:asciiTheme="minorBidi" w:eastAsia="Times New Roman" w:hAnsiTheme="minorBidi" w:cs="Arial" w:hint="cs"/>
                <w:sz w:val="20"/>
                <w:szCs w:val="20"/>
                <w:rtl/>
              </w:rPr>
              <w:t>תנועת אחותי מצליחה ליצג את קולן של נשים ומיעוטים בדרום תל אביב וברחבי הארץ, היא הצליחה להתאים את עצמה ולהיות רלוונטית עם פרוץ המלחמה, ולסייע למאות תושבי דרום תל אביב, ומפונים אל שכונות דרום תל אביב</w:t>
            </w:r>
            <w:r w:rsidR="0082141A">
              <w:rPr>
                <w:rFonts w:asciiTheme="minorBidi" w:eastAsia="Times New Roman" w:hAnsiTheme="minorBidi" w:cs="Arial" w:hint="cs"/>
                <w:sz w:val="20"/>
                <w:szCs w:val="20"/>
                <w:rtl/>
              </w:rPr>
              <w:t>- בסיוע הומניטרי, וכן מקדמת דה- אסקלציה בין הקהילות השונות. זאת תוך מימוש כלל מטרותיה בשנה האחרונה</w:t>
            </w:r>
            <w:r w:rsidR="004245D8">
              <w:rPr>
                <w:rFonts w:asciiTheme="minorBidi" w:eastAsia="Times New Roman" w:hAnsiTheme="minorBidi" w:cs="Arial" w:hint="cs"/>
                <w:sz w:val="20"/>
                <w:szCs w:val="20"/>
                <w:rtl/>
              </w:rPr>
              <w:t xml:space="preserve"> בוניית שותפויות עם ארגוני חברה אזרחית אחרים</w:t>
            </w:r>
            <w:r w:rsidR="0082141A">
              <w:rPr>
                <w:rFonts w:asciiTheme="minorBidi" w:eastAsia="Times New Roman" w:hAnsiTheme="minorBidi" w:cs="Arial" w:hint="cs"/>
                <w:sz w:val="20"/>
                <w:szCs w:val="20"/>
                <w:rtl/>
              </w:rPr>
              <w:t>.</w:t>
            </w:r>
          </w:p>
          <w:p w:rsidR="00FE5318" w:rsidRPr="00191BFA" w:rsidRDefault="00ED7D94" w:rsidP="00536B9A">
            <w:pPr>
              <w:bidi w:val="0"/>
              <w:spacing w:line="276" w:lineRule="auto"/>
              <w:jc w:val="right"/>
              <w:rPr>
                <w:rFonts w:asciiTheme="minorBidi" w:eastAsia="Times New Roman" w:hAnsiTheme="minorBidi" w:cs="Arial"/>
                <w:sz w:val="20"/>
                <w:szCs w:val="20"/>
              </w:rPr>
            </w:pPr>
            <w:r w:rsidRPr="00191BFA">
              <w:rPr>
                <w:rFonts w:asciiTheme="minorBidi" w:eastAsia="Times New Roman" w:hAnsiTheme="minorBidi" w:cs="Arial"/>
                <w:sz w:val="20"/>
                <w:szCs w:val="20"/>
                <w:rtl/>
              </w:rPr>
              <w:t xml:space="preserve"> </w:t>
            </w:r>
          </w:p>
          <w:p w:rsidR="0049067C"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 xml:space="preserve">Main Progress in 2022/23: </w:t>
            </w:r>
          </w:p>
          <w:p w:rsidR="001B6D43"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Outcomes:</w:t>
            </w:r>
          </w:p>
          <w:p w:rsidR="008A05BA" w:rsidRDefault="00172829" w:rsidP="00172829">
            <w:pPr>
              <w:pStyle w:val="ListParagraph"/>
              <w:numPr>
                <w:ilvl w:val="0"/>
                <w:numId w:val="13"/>
              </w:numPr>
              <w:spacing w:line="276" w:lineRule="auto"/>
              <w:rPr>
                <w:rFonts w:asciiTheme="minorBidi" w:hAnsiTheme="minorBidi"/>
                <w:sz w:val="20"/>
                <w:szCs w:val="20"/>
              </w:rPr>
            </w:pPr>
            <w:r>
              <w:rPr>
                <w:rFonts w:asciiTheme="minorBidi" w:hAnsiTheme="minorBidi" w:hint="cs"/>
                <w:sz w:val="20"/>
                <w:szCs w:val="20"/>
                <w:rtl/>
              </w:rPr>
              <w:t xml:space="preserve"> לאחר ה7.10 ובשל החשש מאסקלציה ביחסי יהודים- ערבים ושלל הקהילות המרכיבות את דרום תל אביב, הוקם 'משמר השלום' על ידי תנועת אחותי (מענק חירום של </w:t>
            </w:r>
            <w:r>
              <w:rPr>
                <w:rFonts w:asciiTheme="minorBidi" w:hAnsiTheme="minorBidi" w:hint="cs"/>
                <w:sz w:val="20"/>
                <w:szCs w:val="20"/>
              </w:rPr>
              <w:t>NIF</w:t>
            </w:r>
            <w:r>
              <w:rPr>
                <w:rFonts w:asciiTheme="minorBidi" w:hAnsiTheme="minorBidi" w:hint="cs"/>
                <w:sz w:val="20"/>
                <w:szCs w:val="20"/>
                <w:rtl/>
              </w:rPr>
              <w:t>). המשמר גייס 250 מתנדבים ששמרו על הבטחון בשכונות דרום העיר, לקחו חלק בחלוקת סלי מזון ובסיוע הומניטרי לתושבי דרום העיר ולמפונים.</w:t>
            </w:r>
          </w:p>
          <w:p w:rsidR="00606587" w:rsidRDefault="00C433EC" w:rsidP="00172829">
            <w:pPr>
              <w:pStyle w:val="ListParagraph"/>
              <w:numPr>
                <w:ilvl w:val="0"/>
                <w:numId w:val="13"/>
              </w:numPr>
              <w:spacing w:line="276" w:lineRule="auto"/>
              <w:rPr>
                <w:rFonts w:asciiTheme="minorBidi" w:hAnsiTheme="minorBidi"/>
                <w:sz w:val="20"/>
                <w:szCs w:val="20"/>
              </w:rPr>
            </w:pPr>
            <w:r>
              <w:rPr>
                <w:rFonts w:asciiTheme="minorBidi" w:hAnsiTheme="minorBidi" w:hint="cs"/>
                <w:sz w:val="20"/>
                <w:szCs w:val="20"/>
                <w:rtl/>
              </w:rPr>
              <w:t>לראשונה, הצליחו בתנועת אחותי יחד עם עיריית תל אביב לקדם מהלך שיאפשר חלוקת מלגות למבקשי מקלט בדרום תל אביב, עבור התנדבותם ב"משמר השלום"</w:t>
            </w:r>
          </w:p>
          <w:p w:rsidR="00C433EC" w:rsidRDefault="00C433EC" w:rsidP="00172829">
            <w:pPr>
              <w:pStyle w:val="ListParagraph"/>
              <w:numPr>
                <w:ilvl w:val="0"/>
                <w:numId w:val="13"/>
              </w:numPr>
              <w:spacing w:line="276" w:lineRule="auto"/>
              <w:rPr>
                <w:rFonts w:asciiTheme="minorBidi" w:hAnsiTheme="minorBidi"/>
                <w:sz w:val="20"/>
                <w:szCs w:val="20"/>
              </w:rPr>
            </w:pPr>
            <w:r>
              <w:rPr>
                <w:rFonts w:asciiTheme="minorBidi" w:hAnsiTheme="minorBidi" w:hint="cs"/>
                <w:sz w:val="20"/>
                <w:szCs w:val="20"/>
                <w:rtl/>
              </w:rPr>
              <w:t>הארגון סייע למעל 20 משפחות שפונו מהצפון והדרום ושוכנו במלונות בדרום תל אביב- וגייס עבורן מזון וציוד הומניטרי</w:t>
            </w:r>
          </w:p>
          <w:p w:rsidR="00CF72D1" w:rsidRDefault="00CF72D1" w:rsidP="00172829">
            <w:pPr>
              <w:pStyle w:val="ListParagraph"/>
              <w:numPr>
                <w:ilvl w:val="0"/>
                <w:numId w:val="13"/>
              </w:numPr>
              <w:spacing w:line="276" w:lineRule="auto"/>
              <w:rPr>
                <w:rFonts w:asciiTheme="minorBidi" w:hAnsiTheme="minorBidi"/>
                <w:sz w:val="20"/>
                <w:szCs w:val="20"/>
              </w:rPr>
            </w:pPr>
            <w:r w:rsidRPr="00BF6A13">
              <w:rPr>
                <w:rFonts w:asciiTheme="minorBidi" w:hAnsiTheme="minorBidi"/>
                <w:sz w:val="20"/>
                <w:szCs w:val="20"/>
                <w:rtl/>
              </w:rPr>
              <w:t xml:space="preserve">בזכות המאבק הציבורי </w:t>
            </w:r>
            <w:r w:rsidRPr="00BF6A13">
              <w:rPr>
                <w:rFonts w:asciiTheme="minorBidi" w:hAnsiTheme="minorBidi" w:hint="cs"/>
                <w:sz w:val="20"/>
                <w:szCs w:val="20"/>
                <w:rtl/>
              </w:rPr>
              <w:t xml:space="preserve">של תנועת אחותי בנושא זיהום האויר בתחנה המרכזית החדשה, </w:t>
            </w:r>
            <w:r w:rsidRPr="00BF6A13">
              <w:rPr>
                <w:rFonts w:asciiTheme="minorBidi" w:hAnsiTheme="minorBidi"/>
                <w:sz w:val="20"/>
                <w:szCs w:val="20"/>
                <w:rtl/>
              </w:rPr>
              <w:t>הוקמו בחודש אפריל 2023 תחנות ניטור אוויר בבתי הספר הקרובים לתחנה</w:t>
            </w:r>
            <w:r w:rsidRPr="00BF6A13">
              <w:rPr>
                <w:rFonts w:asciiTheme="minorBidi" w:hAnsiTheme="minorBidi" w:hint="cs"/>
                <w:sz w:val="20"/>
                <w:szCs w:val="20"/>
                <w:rtl/>
              </w:rPr>
              <w:t xml:space="preserve"> המרכזית</w:t>
            </w:r>
            <w:r w:rsidRPr="00BF6A13">
              <w:rPr>
                <w:rFonts w:asciiTheme="minorBidi" w:hAnsiTheme="minorBidi"/>
                <w:sz w:val="20"/>
                <w:szCs w:val="20"/>
                <w:rtl/>
              </w:rPr>
              <w:t>.</w:t>
            </w:r>
            <w:r w:rsidRPr="00BF6A13">
              <w:rPr>
                <w:rFonts w:asciiTheme="minorBidi" w:hAnsiTheme="minorBidi" w:hint="cs"/>
                <w:sz w:val="20"/>
                <w:szCs w:val="20"/>
                <w:rtl/>
              </w:rPr>
              <w:t xml:space="preserve"> עם זאת</w:t>
            </w:r>
            <w:r w:rsidRPr="00BF6A13">
              <w:rPr>
                <w:rFonts w:asciiTheme="minorBidi" w:hAnsiTheme="minorBidi"/>
                <w:sz w:val="20"/>
                <w:szCs w:val="20"/>
                <w:rtl/>
              </w:rPr>
              <w:t xml:space="preserve"> בחודש בפברואר 2024 הודיעה העירייה להורי בית הספר היסודי הסמוך לתחנה, על החלטתה לפנות את תחנת ניטור האוויר - 'אחותי' </w:t>
            </w:r>
            <w:r w:rsidRPr="00BF6A13">
              <w:rPr>
                <w:rFonts w:asciiTheme="minorBidi" w:hAnsiTheme="minorBidi" w:hint="cs"/>
                <w:sz w:val="20"/>
                <w:szCs w:val="20"/>
                <w:rtl/>
              </w:rPr>
              <w:t>מסייעת גם כעת לתושבים במאבק מול החלטה זאת שטרם יושמה.</w:t>
            </w:r>
          </w:p>
          <w:p w:rsidR="00191BFA" w:rsidRPr="00CF72D1" w:rsidRDefault="00191BFA" w:rsidP="00172829">
            <w:pPr>
              <w:pStyle w:val="ListParagraph"/>
              <w:numPr>
                <w:ilvl w:val="0"/>
                <w:numId w:val="13"/>
              </w:numPr>
              <w:spacing w:line="276" w:lineRule="auto"/>
              <w:rPr>
                <w:rFonts w:asciiTheme="minorBidi" w:hAnsiTheme="minorBidi"/>
                <w:sz w:val="20"/>
                <w:szCs w:val="20"/>
              </w:rPr>
            </w:pPr>
            <w:r w:rsidRPr="00191BFA">
              <w:rPr>
                <w:rFonts w:asciiTheme="minorBidi" w:hAnsiTheme="minorBidi"/>
                <w:sz w:val="20"/>
                <w:szCs w:val="20"/>
                <w:rtl/>
              </w:rPr>
              <w:t>הגשת עתירה בעניין התיקון לחוק יסוד: השפיטה בייצוג של האגודה לזכויות האזרח לישראל</w:t>
            </w:r>
            <w:r w:rsidRPr="00191BFA">
              <w:rPr>
                <w:rFonts w:asciiTheme="minorBidi" w:hAnsiTheme="minorBidi"/>
                <w:sz w:val="20"/>
                <w:szCs w:val="20"/>
              </w:rPr>
              <w:t xml:space="preserve"> -</w:t>
            </w:r>
            <w:r w:rsidRPr="00191BFA">
              <w:rPr>
                <w:rFonts w:asciiTheme="minorBidi" w:hAnsiTheme="minorBidi"/>
                <w:sz w:val="20"/>
                <w:szCs w:val="20"/>
              </w:rPr>
              <w:br/>
            </w:r>
            <w:r w:rsidRPr="00191BFA">
              <w:rPr>
                <w:rFonts w:asciiTheme="minorBidi" w:hAnsiTheme="minorBidi"/>
                <w:sz w:val="20"/>
                <w:szCs w:val="20"/>
                <w:rtl/>
              </w:rPr>
              <w:t>תנועת אחותי יחד עם עוד ארגוני זכויות האדם – 38 במספר ממגוון תחומים התאחדו בהליך התיקון לחוק יסוד: השפיטה בייצוג של האגודה לזכויות האזרח לישראל – צורפו כידידי בית המשפט. העתירה הוגשה באוגוסט 2023</w:t>
            </w:r>
            <w:r w:rsidRPr="00191BFA">
              <w:rPr>
                <w:rFonts w:asciiTheme="minorBidi" w:hAnsiTheme="minorBidi"/>
                <w:sz w:val="20"/>
                <w:szCs w:val="20"/>
              </w:rPr>
              <w:t>.</w:t>
            </w:r>
            <w:r w:rsidRPr="00191BFA">
              <w:rPr>
                <w:rFonts w:asciiTheme="minorBidi" w:hAnsiTheme="minorBidi" w:hint="cs"/>
                <w:sz w:val="20"/>
                <w:szCs w:val="20"/>
                <w:rtl/>
              </w:rPr>
              <w:t xml:space="preserve"> </w:t>
            </w:r>
            <w:r w:rsidRPr="00191BFA">
              <w:rPr>
                <w:rFonts w:asciiTheme="minorBidi" w:hAnsiTheme="minorBidi"/>
                <w:sz w:val="20"/>
                <w:szCs w:val="20"/>
                <w:rtl/>
              </w:rPr>
              <w:t>ברוב של 8 לעומת 7 החליטו לבטל את התיקון הקונקרטי. מדובר בשיתוף הפעולה שתוצאותיו משמעותיים ביותר לחברה הישראלית. תיקון החוק שהיה מעניק לשלטון כוח בלתי מוגבל, כוח שהיה יכול לפגוע בזכויות של קבוצות רבות באוכלוסיה, ביניהן גם זכויות הנשים וקהילות מודרות</w:t>
            </w:r>
            <w:r w:rsidRPr="00191BFA">
              <w:rPr>
                <w:rFonts w:asciiTheme="minorBidi" w:hAnsiTheme="minorBidi"/>
                <w:sz w:val="20"/>
                <w:szCs w:val="20"/>
              </w:rPr>
              <w:t>.</w:t>
            </w:r>
          </w:p>
          <w:p w:rsidR="00CF72D1" w:rsidRPr="009B3854" w:rsidRDefault="00CF72D1" w:rsidP="00BF6A13">
            <w:pPr>
              <w:pStyle w:val="ListParagraph"/>
              <w:spacing w:line="276" w:lineRule="auto"/>
              <w:rPr>
                <w:rFonts w:asciiTheme="minorBidi" w:hAnsiTheme="minorBidi"/>
                <w:sz w:val="20"/>
                <w:szCs w:val="20"/>
                <w:rtl/>
              </w:rPr>
            </w:pPr>
          </w:p>
          <w:p w:rsidR="001B6D43"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Outputs:</w:t>
            </w:r>
          </w:p>
          <w:p w:rsidR="0049067C" w:rsidRPr="00191BFA" w:rsidRDefault="00BF6A13" w:rsidP="00BF6A13">
            <w:pPr>
              <w:pStyle w:val="ListParagraph"/>
              <w:numPr>
                <w:ilvl w:val="0"/>
                <w:numId w:val="3"/>
              </w:numPr>
              <w:spacing w:line="276" w:lineRule="auto"/>
              <w:jc w:val="both"/>
              <w:rPr>
                <w:rFonts w:asciiTheme="minorBidi" w:hAnsiTheme="minorBidi"/>
                <w:sz w:val="20"/>
                <w:szCs w:val="20"/>
              </w:rPr>
            </w:pPr>
            <w:r>
              <w:rPr>
                <w:rFonts w:asciiTheme="minorBidi" w:hAnsiTheme="minorBidi" w:hint="cs"/>
                <w:sz w:val="20"/>
                <w:szCs w:val="20"/>
                <w:rtl/>
              </w:rPr>
              <w:t>פורסמו שני גליונות של כתב העת בהוצאת תנועת אחותי "הכיוון מזרח"- האחד בנושא המאבק כנגד חלוקה מופקרת של נשקים (נושא שהארגון פעיל בו גם כחלק מקואליציית "האקדח על שולחן המטבח" בתמיכת הקרן) והשני גליון בעקבות פרוץ המלחמה, שעוסק בסוגיות המלחמה וההפקרה.</w:t>
            </w:r>
          </w:p>
          <w:p w:rsidR="00BF6A13" w:rsidRPr="00191BFA" w:rsidRDefault="00E669A2" w:rsidP="00BF6A13">
            <w:pPr>
              <w:pStyle w:val="ListParagraph"/>
              <w:numPr>
                <w:ilvl w:val="0"/>
                <w:numId w:val="3"/>
              </w:numPr>
              <w:spacing w:line="276" w:lineRule="auto"/>
              <w:jc w:val="both"/>
              <w:rPr>
                <w:rFonts w:asciiTheme="minorBidi" w:hAnsiTheme="minorBidi"/>
                <w:sz w:val="20"/>
                <w:szCs w:val="20"/>
              </w:rPr>
            </w:pPr>
            <w:r w:rsidRPr="00E669A2">
              <w:rPr>
                <w:rFonts w:asciiTheme="minorBidi" w:hAnsiTheme="minorBidi"/>
                <w:sz w:val="20"/>
                <w:szCs w:val="20"/>
                <w:rtl/>
              </w:rPr>
              <w:t>בתאריכים 18-21.12.2023 התקיים פסטיבל לבי במזרח. המצב הבטחוני והלחימה בעזה ערערו תחילה את היתכנות קיומו של הפסטיבל אשר היה אמור להתקיים בחודש נובמב</w:t>
            </w:r>
            <w:r w:rsidRPr="00E669A2">
              <w:rPr>
                <w:rFonts w:asciiTheme="minorBidi" w:hAnsiTheme="minorBidi" w:hint="cs"/>
                <w:sz w:val="20"/>
                <w:szCs w:val="20"/>
                <w:rtl/>
              </w:rPr>
              <w:t>ר, אך יחד עם עמותת "ערוס אל בחר" שינו בתנועת אחותי את יעודו של הפסטיבל לעיסוק בתרבות יהודית ערבית- בעת הזאת, דווקא בעת המלחמה.</w:t>
            </w:r>
            <w:r w:rsidR="003A5FDA" w:rsidRPr="003A5FDA">
              <w:rPr>
                <w:rFonts w:asciiTheme="minorBidi" w:hAnsiTheme="minorBidi"/>
                <w:sz w:val="20"/>
                <w:szCs w:val="20"/>
                <w:rtl/>
              </w:rPr>
              <w:t>. הפסטיבל התקיים ב-</w:t>
            </w:r>
            <w:r>
              <w:rPr>
                <w:rFonts w:asciiTheme="minorBidi" w:hAnsiTheme="minorBidi" w:hint="cs"/>
                <w:sz w:val="20"/>
                <w:szCs w:val="20"/>
                <w:rtl/>
              </w:rPr>
              <w:t>4</w:t>
            </w:r>
            <w:r w:rsidR="003A5FDA" w:rsidRPr="003A5FDA">
              <w:rPr>
                <w:rFonts w:asciiTheme="minorBidi" w:hAnsiTheme="minorBidi"/>
                <w:sz w:val="20"/>
                <w:szCs w:val="20"/>
                <w:rtl/>
              </w:rPr>
              <w:t xml:space="preserve"> מוקדים שונים בתל אביב במהלך </w:t>
            </w:r>
            <w:r>
              <w:rPr>
                <w:rFonts w:asciiTheme="minorBidi" w:hAnsiTheme="minorBidi" w:hint="cs"/>
                <w:sz w:val="20"/>
                <w:szCs w:val="20"/>
                <w:rtl/>
              </w:rPr>
              <w:t>4</w:t>
            </w:r>
            <w:r w:rsidR="003A5FDA" w:rsidRPr="003A5FDA">
              <w:rPr>
                <w:rFonts w:asciiTheme="minorBidi" w:hAnsiTheme="minorBidi"/>
                <w:sz w:val="20"/>
                <w:szCs w:val="20"/>
                <w:rtl/>
              </w:rPr>
              <w:t xml:space="preserve"> ימים. </w:t>
            </w:r>
            <w:r>
              <w:rPr>
                <w:rFonts w:asciiTheme="minorBidi" w:hAnsiTheme="minorBidi" w:hint="cs"/>
                <w:sz w:val="20"/>
                <w:szCs w:val="20"/>
                <w:rtl/>
              </w:rPr>
              <w:t xml:space="preserve">בשפות עברית וערבית והפקות מקור. </w:t>
            </w:r>
            <w:r w:rsidR="003A5FDA" w:rsidRPr="003A5FDA">
              <w:rPr>
                <w:rFonts w:asciiTheme="minorBidi" w:hAnsiTheme="minorBidi"/>
                <w:sz w:val="20"/>
                <w:szCs w:val="20"/>
                <w:rtl/>
              </w:rPr>
              <w:t>קהל רב השתתף בפסטיבל והוא זכה לחשיפה תקשורתית.</w:t>
            </w:r>
          </w:p>
          <w:p w:rsidR="009820C9" w:rsidRPr="00191BFA" w:rsidRDefault="009820C9" w:rsidP="00BF6A13">
            <w:pPr>
              <w:pStyle w:val="ListParagraph"/>
              <w:numPr>
                <w:ilvl w:val="0"/>
                <w:numId w:val="3"/>
              </w:numPr>
              <w:spacing w:line="276" w:lineRule="auto"/>
              <w:jc w:val="both"/>
              <w:rPr>
                <w:rFonts w:asciiTheme="minorBidi" w:hAnsiTheme="minorBidi"/>
                <w:sz w:val="20"/>
                <w:szCs w:val="20"/>
              </w:rPr>
            </w:pPr>
            <w:r w:rsidRPr="00191BFA">
              <w:rPr>
                <w:rFonts w:asciiTheme="minorBidi" w:hAnsiTheme="minorBidi" w:hint="cs"/>
                <w:sz w:val="20"/>
                <w:szCs w:val="20"/>
                <w:rtl/>
              </w:rPr>
              <w:t>במסגרת פרויקט הכרות עם הנרטיב הפלסטיני קויימו השנה שני סיורים שיזמה תנועת אחותי. סיור ברהט- 20 נשים תושבות דרום תל אביב בסיור עם ראש המועצה ברהט, נפגשו עם 30 נשים בדואיות תושבות רהט. וסיור ללוד- בהשתתפות 20 נשים מדרום תל אביב ו20 פעילות חברתיות פלסטיניות מלוד, יחד עם ארגוני חברה אזרחית בעיר. הסיור הינו פתח לשיתופי פעולה בין הקהילות.</w:t>
            </w:r>
          </w:p>
          <w:p w:rsidR="00E669A2" w:rsidRPr="00191BFA" w:rsidRDefault="009820C9" w:rsidP="00BF6A13">
            <w:pPr>
              <w:pStyle w:val="ListParagraph"/>
              <w:numPr>
                <w:ilvl w:val="0"/>
                <w:numId w:val="3"/>
              </w:numPr>
              <w:spacing w:line="276" w:lineRule="auto"/>
              <w:jc w:val="both"/>
              <w:rPr>
                <w:rFonts w:asciiTheme="minorBidi" w:hAnsiTheme="minorBidi"/>
                <w:sz w:val="20"/>
                <w:szCs w:val="20"/>
                <w:rtl/>
              </w:rPr>
            </w:pPr>
            <w:r w:rsidRPr="00191BFA">
              <w:rPr>
                <w:rFonts w:asciiTheme="minorBidi" w:hAnsiTheme="minorBidi" w:hint="cs"/>
                <w:sz w:val="20"/>
                <w:szCs w:val="20"/>
                <w:rtl/>
              </w:rPr>
              <w:t xml:space="preserve"> </w:t>
            </w:r>
            <w:r w:rsidR="00191BFA">
              <w:rPr>
                <w:rFonts w:asciiTheme="minorBidi" w:hAnsiTheme="minorBidi" w:hint="cs"/>
                <w:sz w:val="20"/>
                <w:szCs w:val="20"/>
                <w:rtl/>
              </w:rPr>
              <w:t xml:space="preserve">תנועת אחותי פעילה בחידוש המאבק כנגד </w:t>
            </w:r>
            <w:r w:rsidR="00191BFA" w:rsidRPr="00691072">
              <w:rPr>
                <w:rFonts w:asciiTheme="minorBidi" w:hAnsiTheme="minorBidi"/>
                <w:sz w:val="20"/>
                <w:szCs w:val="20"/>
                <w:rtl/>
              </w:rPr>
              <w:t xml:space="preserve">מעצר אמהות מהגרות עבודה וילדות.ים שנולדו בישראל והניסיון לגרשם – </w:t>
            </w:r>
            <w:r w:rsidR="00191BFA" w:rsidRPr="00691072">
              <w:rPr>
                <w:rFonts w:asciiTheme="minorBidi" w:hAnsiTheme="minorBidi" w:hint="cs"/>
                <w:sz w:val="20"/>
                <w:szCs w:val="20"/>
                <w:rtl/>
              </w:rPr>
              <w:t>בשל התחדשות</w:t>
            </w:r>
            <w:r w:rsidR="00191BFA" w:rsidRPr="00691072">
              <w:rPr>
                <w:rFonts w:asciiTheme="minorBidi" w:hAnsiTheme="minorBidi"/>
                <w:sz w:val="20"/>
                <w:szCs w:val="20"/>
                <w:rtl/>
              </w:rPr>
              <w:t xml:space="preserve"> מעצרים רבים של משטרת ההגירה</w:t>
            </w:r>
            <w:r w:rsidR="00191BFA" w:rsidRPr="00691072">
              <w:rPr>
                <w:rFonts w:asciiTheme="minorBidi" w:hAnsiTheme="minorBidi" w:hint="cs"/>
                <w:sz w:val="20"/>
                <w:szCs w:val="20"/>
                <w:rtl/>
              </w:rPr>
              <w:t>. תחילת 2024 התנועה לקחה חלק בהובלת הפגנה בנושא והשתתפה בעשרות דיונים בכנסת בנושא.</w:t>
            </w:r>
          </w:p>
        </w:tc>
      </w:tr>
      <w:tr w:rsidR="0049067C" w:rsidRPr="00733B94" w:rsidTr="007B2CCA">
        <w:tc>
          <w:tcPr>
            <w:tcW w:w="9736" w:type="dxa"/>
            <w:gridSpan w:val="8"/>
          </w:tcPr>
          <w:p w:rsidR="008A1D07" w:rsidRPr="00E47EA7" w:rsidRDefault="0049067C" w:rsidP="00536B9A">
            <w:pPr>
              <w:bidi w:val="0"/>
              <w:spacing w:line="276" w:lineRule="auto"/>
              <w:jc w:val="both"/>
              <w:rPr>
                <w:rFonts w:asciiTheme="minorBidi" w:hAnsiTheme="minorBidi"/>
                <w:b/>
                <w:bCs/>
                <w:sz w:val="20"/>
                <w:szCs w:val="20"/>
              </w:rPr>
            </w:pPr>
            <w:r w:rsidRPr="00E47EA7">
              <w:rPr>
                <w:rFonts w:asciiTheme="minorBidi" w:hAnsiTheme="minorBidi"/>
                <w:sz w:val="20"/>
                <w:szCs w:val="20"/>
              </w:rPr>
              <w:t>Particular</w:t>
            </w:r>
            <w:r w:rsidRPr="00E47EA7">
              <w:rPr>
                <w:rFonts w:asciiTheme="minorBidi" w:hAnsiTheme="minorBidi"/>
                <w:b/>
                <w:bCs/>
                <w:sz w:val="20"/>
                <w:szCs w:val="20"/>
              </w:rPr>
              <w:t xml:space="preserve"> </w:t>
            </w:r>
            <w:r w:rsidRPr="00E47EA7">
              <w:rPr>
                <w:rFonts w:asciiTheme="minorBidi" w:hAnsiTheme="minorBidi"/>
                <w:b/>
                <w:bCs/>
                <w:sz w:val="20"/>
                <w:szCs w:val="20"/>
                <w:u w:val="single"/>
              </w:rPr>
              <w:t>challenges</w:t>
            </w:r>
            <w:r w:rsidRPr="00E47EA7">
              <w:rPr>
                <w:rFonts w:asciiTheme="minorBidi" w:hAnsiTheme="minorBidi"/>
                <w:b/>
                <w:bCs/>
                <w:sz w:val="20"/>
                <w:szCs w:val="20"/>
              </w:rPr>
              <w:t xml:space="preserve"> and/or significant program or organizational </w:t>
            </w:r>
            <w:r w:rsidRPr="00E47EA7">
              <w:rPr>
                <w:rFonts w:asciiTheme="minorBidi" w:hAnsiTheme="minorBidi"/>
                <w:b/>
                <w:bCs/>
                <w:sz w:val="20"/>
                <w:szCs w:val="20"/>
                <w:u w:val="single"/>
              </w:rPr>
              <w:t>changes</w:t>
            </w:r>
            <w:r w:rsidRPr="00E47EA7">
              <w:rPr>
                <w:rFonts w:asciiTheme="minorBidi" w:hAnsiTheme="minorBidi"/>
                <w:b/>
                <w:bCs/>
                <w:sz w:val="20"/>
                <w:szCs w:val="20"/>
              </w:rPr>
              <w:t>:</w:t>
            </w:r>
          </w:p>
          <w:p w:rsidR="0049067C" w:rsidRPr="00E47EA7" w:rsidRDefault="008A18ED" w:rsidP="00536B9A">
            <w:pPr>
              <w:bidi w:val="0"/>
              <w:spacing w:line="276" w:lineRule="auto"/>
              <w:jc w:val="both"/>
              <w:rPr>
                <w:rFonts w:asciiTheme="minorBidi" w:hAnsiTheme="minorBidi"/>
                <w:sz w:val="20"/>
                <w:szCs w:val="20"/>
              </w:rPr>
            </w:pPr>
            <w:r>
              <w:rPr>
                <w:rFonts w:asciiTheme="minorBidi" w:hAnsiTheme="minorBidi" w:hint="cs"/>
                <w:sz w:val="20"/>
                <w:szCs w:val="20"/>
                <w:rtl/>
              </w:rPr>
              <w:t>גם השנה- אתגר מרכזי העומד בפני הארגון הוא מיקוד אסטרטגי בין כל הפעולות ותחומי העניין בארגון. אתגר נוסף- בעקבות פרוץ המלחמה, שינו באחותי את מיקודם ועסקו רבות בקידום דה אסקלציה ובסיוע הומניטרי, בעקבות זאת- תוכנית הסיוע לנשים להקים עסקים קטנים- הופסקה לעת עתה.</w:t>
            </w:r>
          </w:p>
        </w:tc>
      </w:tr>
      <w:tr w:rsidR="0049067C" w:rsidRPr="00733B94" w:rsidTr="007B2CCA">
        <w:tc>
          <w:tcPr>
            <w:tcW w:w="9736" w:type="dxa"/>
            <w:gridSpan w:val="8"/>
          </w:tcPr>
          <w:p w:rsidR="00F97ED2" w:rsidRPr="00E47EA7" w:rsidRDefault="0049067C" w:rsidP="00536B9A">
            <w:pPr>
              <w:spacing w:line="276" w:lineRule="auto"/>
              <w:jc w:val="right"/>
              <w:rPr>
                <w:rFonts w:asciiTheme="minorBidi" w:hAnsiTheme="minorBidi"/>
                <w:sz w:val="20"/>
                <w:szCs w:val="20"/>
              </w:rPr>
            </w:pPr>
            <w:r w:rsidRPr="00E47EA7">
              <w:rPr>
                <w:rFonts w:asciiTheme="minorBidi" w:hAnsiTheme="minorBidi"/>
                <w:b/>
                <w:bCs/>
                <w:sz w:val="20"/>
                <w:szCs w:val="20"/>
              </w:rPr>
              <w:t xml:space="preserve">2022 </w:t>
            </w:r>
            <w:r w:rsidRPr="00E47EA7">
              <w:rPr>
                <w:rFonts w:asciiTheme="minorBidi" w:hAnsiTheme="minorBidi"/>
                <w:b/>
                <w:bCs/>
                <w:sz w:val="20"/>
                <w:szCs w:val="20"/>
                <w:u w:val="single"/>
              </w:rPr>
              <w:t>Organizational</w:t>
            </w:r>
            <w:r w:rsidRPr="00E47EA7">
              <w:rPr>
                <w:rFonts w:asciiTheme="minorBidi" w:hAnsiTheme="minorBidi"/>
                <w:b/>
                <w:bCs/>
                <w:sz w:val="20"/>
                <w:szCs w:val="20"/>
              </w:rPr>
              <w:t xml:space="preserve"> income: </w:t>
            </w:r>
            <w:r w:rsidRPr="00E47EA7">
              <w:rPr>
                <w:rFonts w:asciiTheme="minorBidi" w:hAnsiTheme="minorBidi"/>
                <w:sz w:val="20"/>
                <w:szCs w:val="20"/>
              </w:rPr>
              <w:t>$3</w:t>
            </w:r>
            <w:r w:rsidR="00F97ED2" w:rsidRPr="00E47EA7">
              <w:rPr>
                <w:rFonts w:asciiTheme="minorBidi" w:hAnsiTheme="minorBidi"/>
                <w:sz w:val="20"/>
                <w:szCs w:val="20"/>
              </w:rPr>
              <w:t>06</w:t>
            </w:r>
            <w:r w:rsidRPr="00E47EA7">
              <w:rPr>
                <w:rFonts w:asciiTheme="minorBidi" w:hAnsiTheme="minorBidi"/>
                <w:sz w:val="20"/>
                <w:szCs w:val="20"/>
              </w:rPr>
              <w:t>,000</w:t>
            </w:r>
          </w:p>
          <w:p w:rsidR="00536B9A" w:rsidRPr="00E47EA7" w:rsidRDefault="0049067C" w:rsidP="00536B9A">
            <w:pPr>
              <w:spacing w:line="276" w:lineRule="auto"/>
              <w:jc w:val="right"/>
              <w:rPr>
                <w:rFonts w:asciiTheme="minorBidi" w:hAnsiTheme="minorBidi"/>
                <w:sz w:val="20"/>
                <w:szCs w:val="20"/>
              </w:rPr>
            </w:pPr>
            <w:r w:rsidRPr="00E47EA7">
              <w:rPr>
                <w:rFonts w:asciiTheme="minorBidi" w:hAnsiTheme="minorBidi"/>
                <w:b/>
                <w:bCs/>
                <w:sz w:val="20"/>
                <w:szCs w:val="20"/>
              </w:rPr>
              <w:t xml:space="preserve">2023 Expected </w:t>
            </w:r>
            <w:r w:rsidRPr="00E47EA7">
              <w:rPr>
                <w:rFonts w:asciiTheme="minorBidi" w:hAnsiTheme="minorBidi"/>
                <w:b/>
                <w:bCs/>
                <w:sz w:val="20"/>
                <w:szCs w:val="20"/>
                <w:u w:val="single"/>
              </w:rPr>
              <w:t>Organizational</w:t>
            </w:r>
            <w:r w:rsidRPr="00E47EA7">
              <w:rPr>
                <w:rFonts w:asciiTheme="minorBidi" w:hAnsiTheme="minorBidi"/>
                <w:b/>
                <w:bCs/>
                <w:sz w:val="20"/>
                <w:szCs w:val="20"/>
              </w:rPr>
              <w:t xml:space="preserve"> Budget: </w:t>
            </w:r>
            <w:r w:rsidRPr="00E47EA7">
              <w:rPr>
                <w:rFonts w:asciiTheme="minorBidi" w:hAnsiTheme="minorBidi"/>
                <w:sz w:val="20"/>
                <w:szCs w:val="20"/>
              </w:rPr>
              <w:t>$</w:t>
            </w:r>
            <w:r w:rsidR="00EC44C7" w:rsidRPr="00E47EA7">
              <w:rPr>
                <w:rFonts w:asciiTheme="minorBidi" w:hAnsiTheme="minorBidi"/>
                <w:sz w:val="20"/>
                <w:szCs w:val="20"/>
              </w:rPr>
              <w:t>2</w:t>
            </w:r>
            <w:r w:rsidRPr="00E47EA7">
              <w:rPr>
                <w:rFonts w:asciiTheme="minorBidi" w:hAnsiTheme="minorBidi"/>
                <w:sz w:val="20"/>
                <w:szCs w:val="20"/>
              </w:rPr>
              <w:t>9</w:t>
            </w:r>
            <w:r w:rsidR="00EC44C7" w:rsidRPr="00E47EA7">
              <w:rPr>
                <w:rFonts w:asciiTheme="minorBidi" w:hAnsiTheme="minorBidi"/>
                <w:sz w:val="20"/>
                <w:szCs w:val="20"/>
              </w:rPr>
              <w:t>8</w:t>
            </w:r>
            <w:r w:rsidRPr="00E47EA7">
              <w:rPr>
                <w:rFonts w:asciiTheme="minorBidi" w:hAnsiTheme="minorBidi"/>
                <w:sz w:val="20"/>
                <w:szCs w:val="20"/>
              </w:rPr>
              <w:t>,000</w:t>
            </w:r>
          </w:p>
        </w:tc>
      </w:tr>
      <w:tr w:rsidR="00E25A04" w:rsidRPr="00733B94" w:rsidTr="00E25A04">
        <w:tc>
          <w:tcPr>
            <w:tcW w:w="9736" w:type="dxa"/>
            <w:gridSpan w:val="8"/>
            <w:shd w:val="clear" w:color="auto" w:fill="D9D9D9"/>
          </w:tcPr>
          <w:p w:rsidR="00E25A04" w:rsidRPr="00E47EA7" w:rsidRDefault="00E25A04" w:rsidP="00E25A04">
            <w:pPr>
              <w:spacing w:line="276" w:lineRule="auto"/>
              <w:jc w:val="center"/>
              <w:rPr>
                <w:rFonts w:asciiTheme="minorBidi" w:hAnsiTheme="minorBidi"/>
                <w:b/>
                <w:bCs/>
                <w:sz w:val="20"/>
                <w:szCs w:val="20"/>
              </w:rPr>
            </w:pPr>
            <w:r w:rsidRPr="00E25A04">
              <w:rPr>
                <w:rFonts w:asciiTheme="minorBidi" w:hAnsiTheme="minorBidi" w:cs="Arial"/>
                <w:b/>
                <w:bCs/>
                <w:u w:val="single"/>
              </w:rPr>
              <w:t>2023 RECOMMENDATION</w:t>
            </w:r>
          </w:p>
        </w:tc>
      </w:tr>
      <w:tr w:rsidR="00E25A04" w:rsidRPr="00733B94" w:rsidTr="007B2CCA">
        <w:tc>
          <w:tcPr>
            <w:tcW w:w="9736" w:type="dxa"/>
            <w:gridSpan w:val="8"/>
          </w:tcPr>
          <w:p w:rsidR="00E25A04" w:rsidRPr="00536B9A" w:rsidRDefault="00E25A04" w:rsidP="00E25A04">
            <w:pPr>
              <w:bidi w:val="0"/>
              <w:spacing w:line="276" w:lineRule="auto"/>
              <w:rPr>
                <w:rFonts w:asciiTheme="minorBidi" w:eastAsia="Arial" w:hAnsiTheme="minorBidi"/>
                <w:bCs/>
                <w:sz w:val="20"/>
                <w:szCs w:val="20"/>
              </w:rPr>
            </w:pPr>
            <w:r w:rsidRPr="00536B9A">
              <w:rPr>
                <w:rFonts w:asciiTheme="minorBidi" w:eastAsia="Arial" w:hAnsiTheme="minorBidi"/>
                <w:b/>
                <w:sz w:val="20"/>
                <w:szCs w:val="20"/>
              </w:rPr>
              <w:lastRenderedPageBreak/>
              <w:t>2022</w:t>
            </w: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Grant: </w:t>
            </w:r>
            <w:r w:rsidRPr="00536B9A">
              <w:rPr>
                <w:rFonts w:asciiTheme="minorBidi" w:eastAsia="Arial" w:hAnsiTheme="minorBidi"/>
                <w:bCs/>
                <w:sz w:val="20"/>
                <w:szCs w:val="20"/>
              </w:rPr>
              <w:t>$93,000</w:t>
            </w:r>
          </w:p>
          <w:p w:rsidR="00E25A04" w:rsidRPr="00536B9A" w:rsidRDefault="00E25A04" w:rsidP="00E25A04">
            <w:pPr>
              <w:bidi w:val="0"/>
              <w:spacing w:line="276" w:lineRule="auto"/>
              <w:rPr>
                <w:rFonts w:asciiTheme="minorBidi" w:eastAsia="Arial" w:hAnsiTheme="minorBidi"/>
                <w:b/>
                <w:sz w:val="20"/>
                <w:szCs w:val="20"/>
              </w:rPr>
            </w:pPr>
            <w:r w:rsidRPr="00536B9A">
              <w:rPr>
                <w:rFonts w:asciiTheme="minorBidi" w:eastAsia="Arial" w:hAnsiTheme="minorBidi"/>
                <w:b/>
                <w:sz w:val="20"/>
                <w:szCs w:val="20"/>
              </w:rPr>
              <w:t>2023</w:t>
            </w: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Staff Recommendation: </w:t>
            </w:r>
            <w:r w:rsidRPr="00536B9A">
              <w:rPr>
                <w:rFonts w:asciiTheme="minorBidi" w:eastAsia="Arial" w:hAnsiTheme="minorBidi"/>
                <w:bCs/>
                <w:sz w:val="20"/>
                <w:szCs w:val="20"/>
              </w:rPr>
              <w:t>$60,000</w:t>
            </w:r>
          </w:p>
          <w:p w:rsidR="00E25A04" w:rsidRPr="00536B9A" w:rsidRDefault="00E25A04" w:rsidP="00E25A04">
            <w:pPr>
              <w:bidi w:val="0"/>
              <w:spacing w:line="276" w:lineRule="auto"/>
              <w:rPr>
                <w:rFonts w:asciiTheme="minorBidi" w:eastAsia="Arial" w:hAnsiTheme="minorBidi"/>
                <w:b/>
                <w:sz w:val="20"/>
                <w:szCs w:val="20"/>
              </w:rPr>
            </w:pP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of NIF Grant out of Total Organizational Budget: </w:t>
            </w:r>
            <w:r w:rsidRPr="00536B9A">
              <w:rPr>
                <w:rFonts w:asciiTheme="minorBidi" w:eastAsia="Arial" w:hAnsiTheme="minorBidi"/>
                <w:bCs/>
                <w:sz w:val="20"/>
                <w:szCs w:val="20"/>
              </w:rPr>
              <w:t>20%</w:t>
            </w:r>
          </w:p>
          <w:p w:rsidR="00E25A04" w:rsidRPr="00536B9A" w:rsidRDefault="00E25A04" w:rsidP="00E25A04">
            <w:pPr>
              <w:bidi w:val="0"/>
              <w:spacing w:line="276" w:lineRule="auto"/>
              <w:rPr>
                <w:rFonts w:asciiTheme="minorBidi" w:eastAsia="Arial" w:hAnsiTheme="minorBidi"/>
                <w:b/>
                <w:sz w:val="20"/>
                <w:szCs w:val="20"/>
              </w:rPr>
            </w:pPr>
            <w:r w:rsidRPr="00536B9A">
              <w:rPr>
                <w:rFonts w:asciiTheme="minorBidi" w:eastAsia="Arial" w:hAnsiTheme="minorBidi"/>
                <w:b/>
                <w:sz w:val="20"/>
                <w:szCs w:val="20"/>
              </w:rPr>
              <w:t>Explain Staff Recommendation</w:t>
            </w:r>
            <w:r>
              <w:rPr>
                <w:rFonts w:asciiTheme="minorBidi" w:eastAsia="Arial" w:hAnsiTheme="minorBidi" w:cs="Arial"/>
                <w:b/>
                <w:sz w:val="20"/>
                <w:szCs w:val="20"/>
              </w:rPr>
              <w:t>:</w:t>
            </w:r>
          </w:p>
          <w:p w:rsidR="00E25A04" w:rsidRPr="00536B9A" w:rsidRDefault="009759EE" w:rsidP="00E25A04">
            <w:pPr>
              <w:bidi w:val="0"/>
              <w:spacing w:line="276" w:lineRule="auto"/>
              <w:jc w:val="both"/>
              <w:rPr>
                <w:rFonts w:asciiTheme="minorBidi" w:eastAsia="Arial" w:hAnsiTheme="minorBidi" w:hint="cs"/>
                <w:bCs/>
                <w:sz w:val="20"/>
                <w:szCs w:val="20"/>
                <w:rtl/>
              </w:rPr>
            </w:pPr>
            <w:r>
              <w:rPr>
                <w:rFonts w:asciiTheme="minorBidi" w:eastAsia="Arial" w:hAnsiTheme="minorBidi" w:hint="cs"/>
                <w:bCs/>
                <w:sz w:val="20"/>
                <w:szCs w:val="20"/>
                <w:rtl/>
              </w:rPr>
              <w:t>הארגון- הפועל בעיקר ברמה המקומית מצליח להשפיע על מדיניות ומיצג את שכבות האוכלוסיה, שאין אף ארגון אחר שמצליח לעבוד איתם. פעילות הארגון בתחום הדה- אסקלציה, עבודה עם הקהילות השונות ובכללן מהגרי העבודה ומבקשי המקלט יחד עם תושבי דרום תל אביב הותקים, פעילות הנמצאת בתנופה- הינה מאוד משמעותית, בעיקר בתקופות של מתח בין קהילות. לארגון הופחת בשנה שעברה המענק בצורה משמעותית ועל אף זאת הוא הצליח לממש את פעילותו בצורה טובה השנה- ולכן אנו ממליצים על יציבות במענק השנה.</w:t>
            </w:r>
            <w:bookmarkStart w:id="0" w:name="_GoBack"/>
            <w:bookmarkEnd w:id="0"/>
          </w:p>
          <w:p w:rsidR="00E25A04" w:rsidRPr="00536B9A" w:rsidRDefault="00E25A04" w:rsidP="00E25A04">
            <w:pPr>
              <w:spacing w:line="276" w:lineRule="auto"/>
              <w:rPr>
                <w:rFonts w:asciiTheme="minorBidi" w:hAnsiTheme="minorBidi"/>
                <w:b/>
                <w:bCs/>
                <w:sz w:val="20"/>
                <w:szCs w:val="20"/>
                <w:u w:val="single"/>
              </w:rPr>
            </w:pPr>
          </w:p>
          <w:p w:rsidR="00E25A04" w:rsidRPr="00E47EA7" w:rsidRDefault="00E25A04" w:rsidP="00E25A04">
            <w:pPr>
              <w:spacing w:line="276" w:lineRule="auto"/>
              <w:jc w:val="right"/>
              <w:rPr>
                <w:rFonts w:asciiTheme="minorBidi" w:hAnsiTheme="minorBidi"/>
                <w:b/>
                <w:bCs/>
                <w:sz w:val="20"/>
                <w:szCs w:val="20"/>
              </w:rPr>
            </w:pPr>
            <w:r w:rsidRPr="00536B9A">
              <w:rPr>
                <w:rFonts w:asciiTheme="minorBidi" w:hAnsiTheme="minorBidi"/>
                <w:b/>
                <w:bCs/>
                <w:sz w:val="20"/>
                <w:szCs w:val="20"/>
              </w:rPr>
              <w:t>Recommendation of Board/Grants Committee 2023:</w:t>
            </w:r>
          </w:p>
        </w:tc>
      </w:tr>
    </w:tbl>
    <w:p w:rsidR="00E0704B" w:rsidRPr="00733B94" w:rsidRDefault="00E0704B" w:rsidP="00536B9A">
      <w:pPr>
        <w:bidi w:val="0"/>
        <w:spacing w:after="0" w:line="276" w:lineRule="auto"/>
        <w:rPr>
          <w:rFonts w:ascii="Cambria" w:hAnsi="Cambria"/>
        </w:rPr>
      </w:pPr>
    </w:p>
    <w:sectPr w:rsidR="00E0704B" w:rsidRPr="00733B94" w:rsidSect="00C562F2">
      <w:headerReference w:type="default" r:id="rId11"/>
      <w:footerReference w:type="default" r:id="rId12"/>
      <w:pgSz w:w="11906" w:h="16838"/>
      <w:pgMar w:top="1440" w:right="1080" w:bottom="1440" w:left="1080" w:header="567" w:footer="283" w:gutter="0"/>
      <w:pgNumType w:start="10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472" w:rsidRDefault="009A2472" w:rsidP="00CA7733">
      <w:pPr>
        <w:spacing w:after="0" w:line="240" w:lineRule="auto"/>
      </w:pPr>
      <w:r>
        <w:separator/>
      </w:r>
    </w:p>
  </w:endnote>
  <w:endnote w:type="continuationSeparator" w:id="0">
    <w:p w:rsidR="009A2472" w:rsidRDefault="009A2472"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93451712"/>
      <w:docPartObj>
        <w:docPartGallery w:val="Page Numbers (Bottom of Page)"/>
        <w:docPartUnique/>
      </w:docPartObj>
    </w:sdtPr>
    <w:sdtEndPr>
      <w:rPr>
        <w:rFonts w:asciiTheme="minorBidi" w:hAnsiTheme="minorBidi"/>
      </w:rPr>
    </w:sdtEndPr>
    <w:sdtContent>
      <w:p w:rsidR="00C562F2" w:rsidRPr="00C562F2" w:rsidRDefault="00C562F2">
        <w:pPr>
          <w:pStyle w:val="Footer"/>
          <w:jc w:val="center"/>
          <w:rPr>
            <w:rFonts w:asciiTheme="minorBidi" w:hAnsiTheme="minorBidi"/>
          </w:rPr>
        </w:pPr>
        <w:r w:rsidRPr="00C562F2">
          <w:rPr>
            <w:rFonts w:asciiTheme="minorBidi" w:hAnsiTheme="minorBidi"/>
          </w:rPr>
          <w:fldChar w:fldCharType="begin"/>
        </w:r>
        <w:r w:rsidRPr="00C562F2">
          <w:rPr>
            <w:rFonts w:asciiTheme="minorBidi" w:hAnsiTheme="minorBidi"/>
          </w:rPr>
          <w:instrText xml:space="preserve"> PAGE   \* MERGEFORMAT </w:instrText>
        </w:r>
        <w:r w:rsidRPr="00C562F2">
          <w:rPr>
            <w:rFonts w:asciiTheme="minorBidi" w:hAnsiTheme="minorBidi"/>
          </w:rPr>
          <w:fldChar w:fldCharType="separate"/>
        </w:r>
        <w:r w:rsidRPr="00C562F2">
          <w:rPr>
            <w:rFonts w:asciiTheme="minorBidi" w:hAnsiTheme="minorBidi"/>
            <w:noProof/>
          </w:rPr>
          <w:t>2</w:t>
        </w:r>
        <w:r w:rsidRPr="00C562F2">
          <w:rPr>
            <w:rFonts w:asciiTheme="minorBidi" w:hAnsiTheme="minorBidi"/>
            <w:noProof/>
          </w:rPr>
          <w:fldChar w:fldCharType="end"/>
        </w:r>
      </w:p>
    </w:sdtContent>
  </w:sdt>
  <w:p w:rsidR="00C562F2" w:rsidRDefault="00C5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472" w:rsidRDefault="009A2472" w:rsidP="00CA7733">
      <w:pPr>
        <w:spacing w:after="0" w:line="240" w:lineRule="auto"/>
      </w:pPr>
      <w:r>
        <w:separator/>
      </w:r>
    </w:p>
  </w:footnote>
  <w:footnote w:type="continuationSeparator" w:id="0">
    <w:p w:rsidR="009A2472" w:rsidRDefault="009A2472"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33" w:rsidRPr="00335607" w:rsidRDefault="007B2CCA" w:rsidP="00CA7733">
    <w:pPr>
      <w:pStyle w:val="Header"/>
      <w:spacing w:line="276" w:lineRule="auto"/>
      <w:jc w:val="right"/>
      <w:rPr>
        <w:rFonts w:asciiTheme="minorBidi" w:hAnsiTheme="minorBidi"/>
        <w:b/>
        <w:bCs/>
        <w:sz w:val="16"/>
        <w:szCs w:val="16"/>
      </w:rPr>
    </w:pPr>
    <w:r w:rsidRPr="00335607">
      <w:rPr>
        <w:rFonts w:asciiTheme="minorBidi" w:hAnsiTheme="minorBidi"/>
        <w:b/>
        <w:bCs/>
        <w:sz w:val="16"/>
        <w:szCs w:val="16"/>
      </w:rPr>
      <w:t>On-going</w:t>
    </w:r>
    <w:r w:rsidR="00CA7733" w:rsidRPr="00335607">
      <w:rPr>
        <w:rFonts w:asciiTheme="minorBidi" w:hAnsiTheme="minorBidi"/>
        <w:b/>
        <w:bCs/>
        <w:sz w:val="16"/>
        <w:szCs w:val="16"/>
      </w:rPr>
      <w:t xml:space="preserve"> General &amp; Project </w:t>
    </w:r>
    <w:r w:rsidRPr="00335607">
      <w:rPr>
        <w:rFonts w:asciiTheme="minorBidi" w:hAnsiTheme="minorBidi"/>
        <w:b/>
        <w:bCs/>
        <w:sz w:val="16"/>
        <w:szCs w:val="16"/>
      </w:rPr>
      <w:t xml:space="preserve">Progress Report </w:t>
    </w:r>
  </w:p>
  <w:p w:rsidR="00CA7733" w:rsidRPr="00335607" w:rsidRDefault="00CA7733" w:rsidP="00CA7733">
    <w:pPr>
      <w:pStyle w:val="Header"/>
      <w:spacing w:line="276" w:lineRule="auto"/>
      <w:jc w:val="right"/>
      <w:rPr>
        <w:rFonts w:asciiTheme="minorBidi" w:hAnsiTheme="minorBidi"/>
        <w:b/>
        <w:bCs/>
        <w:sz w:val="16"/>
        <w:szCs w:val="16"/>
        <w:rtl/>
      </w:rPr>
    </w:pPr>
    <w:r w:rsidRPr="00335607">
      <w:rPr>
        <w:rFonts w:asciiTheme="minorBidi" w:hAnsiTheme="minorBidi"/>
        <w:b/>
        <w:bCs/>
        <w:sz w:val="16"/>
        <w:szCs w:val="16"/>
      </w:rPr>
      <w:t xml:space="preserve">September 2023 </w:t>
    </w:r>
  </w:p>
  <w:p w:rsidR="00CA7733" w:rsidRPr="00335607" w:rsidRDefault="00CA7733" w:rsidP="00CA7733">
    <w:pPr>
      <w:pStyle w:val="Header"/>
      <w:spacing w:line="276" w:lineRule="auto"/>
      <w:jc w:val="right"/>
      <w:rPr>
        <w:rFonts w:asciiTheme="minorBidi" w:hAnsiTheme="minorBidi"/>
        <w:b/>
        <w:bCs/>
        <w:sz w:val="16"/>
        <w:szCs w:val="16"/>
      </w:rPr>
    </w:pPr>
    <w:r w:rsidRPr="00335607">
      <w:rPr>
        <w:rFonts w:asciiTheme="minorBidi" w:hAnsiTheme="minorBidi"/>
        <w:b/>
        <w:bCs/>
        <w:sz w:val="16"/>
        <w:szCs w:val="16"/>
      </w:rPr>
      <w:t>Grant</w:t>
    </w:r>
    <w:r w:rsidR="00776293" w:rsidRPr="00335607">
      <w:rPr>
        <w:rFonts w:asciiTheme="minorBidi" w:hAnsiTheme="minorBidi"/>
        <w:b/>
        <w:bCs/>
        <w:sz w:val="16"/>
        <w:szCs w:val="16"/>
      </w:rPr>
      <w:t>s</w:t>
    </w:r>
    <w:r w:rsidRPr="00335607">
      <w:rPr>
        <w:rFonts w:asciiTheme="minorBidi" w:hAnsiTheme="minorBidi"/>
        <w:b/>
        <w:bCs/>
        <w:sz w:val="16"/>
        <w:szCs w:val="16"/>
      </w:rPr>
      <w:t xml:space="preserve"> Officer: </w:t>
    </w:r>
    <w:r w:rsidR="0057560D" w:rsidRPr="00335607">
      <w:rPr>
        <w:rFonts w:asciiTheme="minorBidi" w:hAnsiTheme="minorBidi"/>
        <w:b/>
        <w:bCs/>
        <w:sz w:val="16"/>
        <w:szCs w:val="16"/>
      </w:rPr>
      <w:t>Yuval Yavneh</w:t>
    </w:r>
  </w:p>
  <w:p w:rsidR="00CA7733" w:rsidRPr="00335607" w:rsidRDefault="00CA7733" w:rsidP="00CA7733">
    <w:pPr>
      <w:pStyle w:val="Header"/>
      <w:spacing w:line="276" w:lineRule="auto"/>
      <w:jc w:val="right"/>
      <w:rPr>
        <w:rFonts w:asciiTheme="minorBidi" w:hAnsiTheme="minorBidi"/>
        <w:rtl/>
      </w:rPr>
    </w:pPr>
  </w:p>
  <w:p w:rsidR="00CA7733" w:rsidRDefault="00F358B3" w:rsidP="00E25A04">
    <w:pPr>
      <w:tabs>
        <w:tab w:val="right" w:pos="5664"/>
      </w:tabs>
      <w:spacing w:after="0" w:line="276" w:lineRule="auto"/>
      <w:jc w:val="center"/>
      <w:rPr>
        <w:rFonts w:asciiTheme="minorBidi" w:hAnsiTheme="minorBidi"/>
        <w:b/>
        <w:bCs/>
        <w:sz w:val="28"/>
        <w:szCs w:val="28"/>
        <w:rtl/>
      </w:rPr>
    </w:pPr>
    <w:bookmarkStart w:id="1" w:name="_Hlk142978006"/>
    <w:r w:rsidRPr="00335607">
      <w:rPr>
        <w:rFonts w:asciiTheme="minorBidi" w:hAnsiTheme="minorBidi"/>
        <w:b/>
        <w:bCs/>
        <w:sz w:val="28"/>
        <w:szCs w:val="28"/>
      </w:rPr>
      <w:t>AHOTI- FOR WOMEN IN ISRAEL</w:t>
    </w:r>
  </w:p>
  <w:bookmarkEnd w:id="1"/>
  <w:p w:rsidR="00E25A04" w:rsidRPr="00335607" w:rsidRDefault="00E25A04" w:rsidP="00E25A04">
    <w:pPr>
      <w:tabs>
        <w:tab w:val="right" w:pos="5664"/>
      </w:tabs>
      <w:spacing w:after="0" w:line="276" w:lineRule="auto"/>
      <w:jc w:val="center"/>
      <w:rPr>
        <w:rFonts w:asciiTheme="minorBidi" w:hAnsiTheme="minorBidi"/>
        <w:b/>
        <w:bCs/>
        <w:i/>
        <w:iCs/>
        <w:color w:val="00B050"/>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483D73"/>
    <w:multiLevelType w:val="hybridMultilevel"/>
    <w:tmpl w:val="623275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F43FC2"/>
    <w:multiLevelType w:val="hybridMultilevel"/>
    <w:tmpl w:val="83E44186"/>
    <w:lvl w:ilvl="0" w:tplc="A66E348A">
      <w:start w:val="198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D118D"/>
    <w:multiLevelType w:val="hybridMultilevel"/>
    <w:tmpl w:val="2612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003CA9"/>
    <w:multiLevelType w:val="hybridMultilevel"/>
    <w:tmpl w:val="9EF0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6014A"/>
    <w:multiLevelType w:val="hybridMultilevel"/>
    <w:tmpl w:val="4C26D3EA"/>
    <w:lvl w:ilvl="0" w:tplc="9F3EA59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EDD3F95"/>
    <w:multiLevelType w:val="hybridMultilevel"/>
    <w:tmpl w:val="07D6F5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010499D"/>
    <w:multiLevelType w:val="hybridMultilevel"/>
    <w:tmpl w:val="A362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5E4C6686"/>
    <w:multiLevelType w:val="hybridMultilevel"/>
    <w:tmpl w:val="065438C0"/>
    <w:lvl w:ilvl="0" w:tplc="65200E90">
      <w:start w:val="202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62BE60F0"/>
    <w:multiLevelType w:val="hybridMultilevel"/>
    <w:tmpl w:val="33D28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347136"/>
    <w:multiLevelType w:val="hybridMultilevel"/>
    <w:tmpl w:val="B156C4D6"/>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10"/>
  </w:num>
  <w:num w:numId="6">
    <w:abstractNumId w:val="4"/>
  </w:num>
  <w:num w:numId="7">
    <w:abstractNumId w:val="3"/>
  </w:num>
  <w:num w:numId="8">
    <w:abstractNumId w:val="8"/>
  </w:num>
  <w:num w:numId="9">
    <w:abstractNumId w:val="11"/>
  </w:num>
  <w:num w:numId="10">
    <w:abstractNumId w:val="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20807"/>
    <w:rsid w:val="00022102"/>
    <w:rsid w:val="00041D70"/>
    <w:rsid w:val="00043D56"/>
    <w:rsid w:val="00055D59"/>
    <w:rsid w:val="00072698"/>
    <w:rsid w:val="00077BB6"/>
    <w:rsid w:val="00090437"/>
    <w:rsid w:val="00095AC0"/>
    <w:rsid w:val="000A283F"/>
    <w:rsid w:val="000A7FF7"/>
    <w:rsid w:val="000B1030"/>
    <w:rsid w:val="000D0478"/>
    <w:rsid w:val="00124467"/>
    <w:rsid w:val="001328B8"/>
    <w:rsid w:val="00154B9F"/>
    <w:rsid w:val="00172829"/>
    <w:rsid w:val="001761A9"/>
    <w:rsid w:val="00182943"/>
    <w:rsid w:val="00191BFA"/>
    <w:rsid w:val="00192EE6"/>
    <w:rsid w:val="00193485"/>
    <w:rsid w:val="001B6D43"/>
    <w:rsid w:val="001D4336"/>
    <w:rsid w:val="001D55A0"/>
    <w:rsid w:val="001E347A"/>
    <w:rsid w:val="001E45D7"/>
    <w:rsid w:val="001F5BD9"/>
    <w:rsid w:val="002210D5"/>
    <w:rsid w:val="00221FA9"/>
    <w:rsid w:val="0023559C"/>
    <w:rsid w:val="00251EAD"/>
    <w:rsid w:val="002619B2"/>
    <w:rsid w:val="00262110"/>
    <w:rsid w:val="002731D7"/>
    <w:rsid w:val="00275DD4"/>
    <w:rsid w:val="002C11F2"/>
    <w:rsid w:val="002D1A62"/>
    <w:rsid w:val="002D4CA1"/>
    <w:rsid w:val="002E7DB3"/>
    <w:rsid w:val="002F255F"/>
    <w:rsid w:val="00300B32"/>
    <w:rsid w:val="003042A4"/>
    <w:rsid w:val="00317CE7"/>
    <w:rsid w:val="00321BAA"/>
    <w:rsid w:val="00325EAC"/>
    <w:rsid w:val="00333E47"/>
    <w:rsid w:val="00333FAE"/>
    <w:rsid w:val="00335607"/>
    <w:rsid w:val="003740A8"/>
    <w:rsid w:val="003919EC"/>
    <w:rsid w:val="003A5FDA"/>
    <w:rsid w:val="003B49F0"/>
    <w:rsid w:val="003D2CA3"/>
    <w:rsid w:val="003D2E5F"/>
    <w:rsid w:val="003E3E07"/>
    <w:rsid w:val="003F4D11"/>
    <w:rsid w:val="00403EE1"/>
    <w:rsid w:val="0040578B"/>
    <w:rsid w:val="004245D8"/>
    <w:rsid w:val="00451A2C"/>
    <w:rsid w:val="00464607"/>
    <w:rsid w:val="0047427C"/>
    <w:rsid w:val="00481193"/>
    <w:rsid w:val="0049067C"/>
    <w:rsid w:val="00492F94"/>
    <w:rsid w:val="004A6DE4"/>
    <w:rsid w:val="004F7798"/>
    <w:rsid w:val="00503C99"/>
    <w:rsid w:val="005054D1"/>
    <w:rsid w:val="00511D4F"/>
    <w:rsid w:val="00516CA8"/>
    <w:rsid w:val="00517A72"/>
    <w:rsid w:val="0052039F"/>
    <w:rsid w:val="00523D83"/>
    <w:rsid w:val="00525200"/>
    <w:rsid w:val="00527792"/>
    <w:rsid w:val="00527C2B"/>
    <w:rsid w:val="00531C2B"/>
    <w:rsid w:val="00532BF8"/>
    <w:rsid w:val="00534EFD"/>
    <w:rsid w:val="00536B9A"/>
    <w:rsid w:val="00545267"/>
    <w:rsid w:val="0055111A"/>
    <w:rsid w:val="005567AD"/>
    <w:rsid w:val="00563C41"/>
    <w:rsid w:val="00570B25"/>
    <w:rsid w:val="0057560D"/>
    <w:rsid w:val="00583165"/>
    <w:rsid w:val="00596E3D"/>
    <w:rsid w:val="005A23E4"/>
    <w:rsid w:val="005B5D27"/>
    <w:rsid w:val="005C0B0C"/>
    <w:rsid w:val="005C7400"/>
    <w:rsid w:val="005D76F2"/>
    <w:rsid w:val="005F3C01"/>
    <w:rsid w:val="005F4CBE"/>
    <w:rsid w:val="005F7C83"/>
    <w:rsid w:val="00606587"/>
    <w:rsid w:val="00631ADD"/>
    <w:rsid w:val="00650814"/>
    <w:rsid w:val="00665320"/>
    <w:rsid w:val="00667976"/>
    <w:rsid w:val="006703A5"/>
    <w:rsid w:val="0067420F"/>
    <w:rsid w:val="00685D22"/>
    <w:rsid w:val="00690DA3"/>
    <w:rsid w:val="00691072"/>
    <w:rsid w:val="006A07D6"/>
    <w:rsid w:val="006B778F"/>
    <w:rsid w:val="006B7A63"/>
    <w:rsid w:val="006C1B02"/>
    <w:rsid w:val="006C7983"/>
    <w:rsid w:val="006E4D2F"/>
    <w:rsid w:val="006E566F"/>
    <w:rsid w:val="006F7A01"/>
    <w:rsid w:val="00726FC4"/>
    <w:rsid w:val="00733B94"/>
    <w:rsid w:val="00744267"/>
    <w:rsid w:val="007704FB"/>
    <w:rsid w:val="00776293"/>
    <w:rsid w:val="007851FA"/>
    <w:rsid w:val="00791A6E"/>
    <w:rsid w:val="00793326"/>
    <w:rsid w:val="007A57FA"/>
    <w:rsid w:val="007B2CCA"/>
    <w:rsid w:val="007B5D78"/>
    <w:rsid w:val="007F31FC"/>
    <w:rsid w:val="0080397A"/>
    <w:rsid w:val="00806FE4"/>
    <w:rsid w:val="008071F4"/>
    <w:rsid w:val="00814CA5"/>
    <w:rsid w:val="0082141A"/>
    <w:rsid w:val="00834199"/>
    <w:rsid w:val="008518C1"/>
    <w:rsid w:val="00871EEA"/>
    <w:rsid w:val="008A05BA"/>
    <w:rsid w:val="008A18ED"/>
    <w:rsid w:val="008A1D07"/>
    <w:rsid w:val="008B3493"/>
    <w:rsid w:val="008B6DFA"/>
    <w:rsid w:val="008C481F"/>
    <w:rsid w:val="008E1133"/>
    <w:rsid w:val="008F2BBB"/>
    <w:rsid w:val="0092602A"/>
    <w:rsid w:val="009759EE"/>
    <w:rsid w:val="009820C9"/>
    <w:rsid w:val="0099268E"/>
    <w:rsid w:val="009A2472"/>
    <w:rsid w:val="009B0437"/>
    <w:rsid w:val="009B3854"/>
    <w:rsid w:val="009C5650"/>
    <w:rsid w:val="009D11FD"/>
    <w:rsid w:val="009D3013"/>
    <w:rsid w:val="009D42CB"/>
    <w:rsid w:val="009E0EDB"/>
    <w:rsid w:val="009F65B0"/>
    <w:rsid w:val="00A10C42"/>
    <w:rsid w:val="00A25131"/>
    <w:rsid w:val="00A25588"/>
    <w:rsid w:val="00A30018"/>
    <w:rsid w:val="00A30810"/>
    <w:rsid w:val="00A43A57"/>
    <w:rsid w:val="00A577F6"/>
    <w:rsid w:val="00AA1687"/>
    <w:rsid w:val="00AA17EC"/>
    <w:rsid w:val="00AB68BD"/>
    <w:rsid w:val="00AD7CBF"/>
    <w:rsid w:val="00AE2CEF"/>
    <w:rsid w:val="00AE3595"/>
    <w:rsid w:val="00B201CF"/>
    <w:rsid w:val="00B22A64"/>
    <w:rsid w:val="00B34764"/>
    <w:rsid w:val="00BA2BF6"/>
    <w:rsid w:val="00BA649E"/>
    <w:rsid w:val="00BB4B95"/>
    <w:rsid w:val="00BD6F1F"/>
    <w:rsid w:val="00BF0FBF"/>
    <w:rsid w:val="00BF1CE8"/>
    <w:rsid w:val="00BF6A13"/>
    <w:rsid w:val="00BF73EB"/>
    <w:rsid w:val="00C12031"/>
    <w:rsid w:val="00C16E44"/>
    <w:rsid w:val="00C206F8"/>
    <w:rsid w:val="00C433EC"/>
    <w:rsid w:val="00C562F2"/>
    <w:rsid w:val="00C57BD6"/>
    <w:rsid w:val="00C57DCF"/>
    <w:rsid w:val="00C6108B"/>
    <w:rsid w:val="00C67BAE"/>
    <w:rsid w:val="00C70AE8"/>
    <w:rsid w:val="00C73153"/>
    <w:rsid w:val="00CA4F86"/>
    <w:rsid w:val="00CA7733"/>
    <w:rsid w:val="00CB0C2B"/>
    <w:rsid w:val="00CD322F"/>
    <w:rsid w:val="00CE00A5"/>
    <w:rsid w:val="00CF72D1"/>
    <w:rsid w:val="00D02181"/>
    <w:rsid w:val="00D11920"/>
    <w:rsid w:val="00D16A66"/>
    <w:rsid w:val="00D3410A"/>
    <w:rsid w:val="00D50246"/>
    <w:rsid w:val="00D52670"/>
    <w:rsid w:val="00D53842"/>
    <w:rsid w:val="00DB7860"/>
    <w:rsid w:val="00DE1314"/>
    <w:rsid w:val="00E06F3B"/>
    <w:rsid w:val="00E0704B"/>
    <w:rsid w:val="00E16104"/>
    <w:rsid w:val="00E25A04"/>
    <w:rsid w:val="00E271EC"/>
    <w:rsid w:val="00E30027"/>
    <w:rsid w:val="00E32B42"/>
    <w:rsid w:val="00E43365"/>
    <w:rsid w:val="00E47EA7"/>
    <w:rsid w:val="00E63C9B"/>
    <w:rsid w:val="00E63CEE"/>
    <w:rsid w:val="00E669A2"/>
    <w:rsid w:val="00E95930"/>
    <w:rsid w:val="00E95955"/>
    <w:rsid w:val="00EB7E77"/>
    <w:rsid w:val="00EC44C7"/>
    <w:rsid w:val="00ED148D"/>
    <w:rsid w:val="00ED7D94"/>
    <w:rsid w:val="00EF0CCE"/>
    <w:rsid w:val="00EF7C1E"/>
    <w:rsid w:val="00F1702F"/>
    <w:rsid w:val="00F35070"/>
    <w:rsid w:val="00F358B3"/>
    <w:rsid w:val="00F37865"/>
    <w:rsid w:val="00F60D1C"/>
    <w:rsid w:val="00F82701"/>
    <w:rsid w:val="00F97ED2"/>
    <w:rsid w:val="00FB1BF8"/>
    <w:rsid w:val="00FC6072"/>
    <w:rsid w:val="00FD2C1F"/>
    <w:rsid w:val="00FD549B"/>
    <w:rsid w:val="00FE5318"/>
    <w:rsid w:val="00FF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D009"/>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D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F3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8070">
      <w:bodyDiv w:val="1"/>
      <w:marLeft w:val="0"/>
      <w:marRight w:val="0"/>
      <w:marTop w:val="0"/>
      <w:marBottom w:val="0"/>
      <w:divBdr>
        <w:top w:val="none" w:sz="0" w:space="0" w:color="auto"/>
        <w:left w:val="none" w:sz="0" w:space="0" w:color="auto"/>
        <w:bottom w:val="none" w:sz="0" w:space="0" w:color="auto"/>
        <w:right w:val="none" w:sz="0" w:space="0" w:color="auto"/>
      </w:divBdr>
    </w:div>
    <w:div w:id="259871846">
      <w:bodyDiv w:val="1"/>
      <w:marLeft w:val="0"/>
      <w:marRight w:val="0"/>
      <w:marTop w:val="0"/>
      <w:marBottom w:val="0"/>
      <w:divBdr>
        <w:top w:val="none" w:sz="0" w:space="0" w:color="auto"/>
        <w:left w:val="none" w:sz="0" w:space="0" w:color="auto"/>
        <w:bottom w:val="none" w:sz="0" w:space="0" w:color="auto"/>
        <w:right w:val="none" w:sz="0" w:space="0" w:color="auto"/>
      </w:divBdr>
    </w:div>
    <w:div w:id="786310395">
      <w:bodyDiv w:val="1"/>
      <w:marLeft w:val="0"/>
      <w:marRight w:val="0"/>
      <w:marTop w:val="0"/>
      <w:marBottom w:val="0"/>
      <w:divBdr>
        <w:top w:val="none" w:sz="0" w:space="0" w:color="auto"/>
        <w:left w:val="none" w:sz="0" w:space="0" w:color="auto"/>
        <w:bottom w:val="none" w:sz="0" w:space="0" w:color="auto"/>
        <w:right w:val="none" w:sz="0" w:space="0" w:color="auto"/>
      </w:divBdr>
    </w:div>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ot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if.my.site.com/Portal/a0N3X000019nuvq?srPos=3&amp;srKp=a0N" TargetMode="External"/><Relationship Id="rId4" Type="http://schemas.openxmlformats.org/officeDocument/2006/relationships/webSettings" Target="webSettings.xml"/><Relationship Id="rId9" Type="http://schemas.openxmlformats.org/officeDocument/2006/relationships/hyperlink" Target="https://nif.my.site.com/Portal/a0NAb000000RiGA?srPos=4&amp;srKp=a0N"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ifshare.file.core.windows.net\grants\AA%20-%20Docket%20Books%20Since%20Jan%202009\1%20-%20September%202023\2%20-%20SOCIAL%20CHANGE\1&#1502;&#1490;&#1491;&#1512;\4-&#1506;&#1493;&#1490;&#1493;&#1514;%20&#1490;&#1512;&#1508;&#1497;&#1493;&#1514;\&#1488;&#1495;&#1493;&#1514;&#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mn-cs"/>
              </a:defRPr>
            </a:pPr>
            <a:r>
              <a:rPr lang="en-US" sz="1100" baseline="0">
                <a:latin typeface="Arial" panose="020B0604020202020204" pitchFamily="34" charset="0"/>
              </a:rPr>
              <a:t>Gender Equality</a:t>
            </a:r>
          </a:p>
        </c:rich>
      </c:tx>
      <c:layout>
        <c:manualLayout>
          <c:xMode val="edge"/>
          <c:yMode val="edge"/>
          <c:x val="0.47796705245524146"/>
          <c:y val="2.314815820436238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mn-cs"/>
            </a:defRPr>
          </a:pPr>
          <a:endParaRPr lang="LID4096"/>
        </a:p>
      </c:txPr>
    </c:title>
    <c:autoTitleDeleted val="0"/>
    <c:plotArea>
      <c:layout/>
      <c:pieChart>
        <c:varyColors val="1"/>
        <c:ser>
          <c:idx val="0"/>
          <c:order val="0"/>
          <c:tx>
            <c:strRef>
              <c:f>ניסיון!$B$1</c:f>
              <c:strCache>
                <c:ptCount val="1"/>
              </c:strCache>
            </c:strRef>
          </c:tx>
          <c:explosion val="1"/>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23-40C6-B363-E07FA8F9275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23-40C6-B363-E07FA8F92750}"/>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23-40C6-B363-E07FA8F92750}"/>
              </c:ext>
            </c:extLst>
          </c:dPt>
          <c:dPt>
            <c:idx val="3"/>
            <c:bubble3D val="0"/>
            <c:explosion val="16"/>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23-40C6-B363-E07FA8F92750}"/>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23-40C6-B363-E07FA8F92750}"/>
              </c:ext>
            </c:extLst>
          </c:dPt>
          <c:dLbls>
            <c:dLbl>
              <c:idx val="0"/>
              <c:layout>
                <c:manualLayout>
                  <c:x val="-7.6613079615048221E-2"/>
                  <c:y val="0.18226687809857101"/>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92CF5D65-0286-4408-A549-DCF1D419497A}" type="CELLRANGE">
                      <a:rPr lang="en-US" baseline="0"/>
                      <a:pPr rtl="0">
                        <a:defRPr/>
                      </a:pPr>
                      <a:t>[CELLRANGE]</a:t>
                    </a:fld>
                    <a:r>
                      <a:rPr lang="en-US" baseline="0"/>
                      <a:t>, </a:t>
                    </a:r>
                    <a:fld id="{3111B4FB-E59A-4747-AC7A-884541D7B702}" type="PERCENTAGE">
                      <a:rPr lang="en-US" baseline="0"/>
                      <a:pPr rtl="0">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endParaRPr lang="LID4096"/>
                </a:p>
              </c:txPr>
              <c:dLblPos val="bestFit"/>
              <c:showLegendKey val="0"/>
              <c:showVal val="0"/>
              <c:showCatName val="0"/>
              <c:showSerName val="0"/>
              <c:showPercent val="1"/>
              <c:showBubbleSize val="0"/>
              <c:extLst>
                <c:ext xmlns:c15="http://schemas.microsoft.com/office/drawing/2012/chart" uri="{CE6537A1-D6FC-4f65-9D91-7224C49458BB}">
                  <c15:layout>
                    <c:manualLayout>
                      <c:w val="0.21986111111111112"/>
                      <c:h val="8.564814814814814E-2"/>
                    </c:manualLayout>
                  </c15:layout>
                  <c15:dlblFieldTable/>
                  <c15:showDataLabelsRange val="1"/>
                </c:ext>
                <c:ext xmlns:c16="http://schemas.microsoft.com/office/drawing/2014/chart" uri="{C3380CC4-5D6E-409C-BE32-E72D297353CC}">
                  <c16:uniqueId val="{00000001-1C23-40C6-B363-E07FA8F92750}"/>
                </c:ext>
              </c:extLst>
            </c:dLbl>
            <c:dLbl>
              <c:idx val="1"/>
              <c:tx>
                <c:rich>
                  <a:bodyPr/>
                  <a:lstStyle/>
                  <a:p>
                    <a:fld id="{F6F2E353-43B2-4E73-856A-37A473A069A7}" type="CELLRANGE">
                      <a:rPr lang="en-US"/>
                      <a:pPr/>
                      <a:t>[CELLRANGE]</a:t>
                    </a:fld>
                    <a:r>
                      <a:rPr lang="en-US" baseline="0"/>
                      <a:t>, </a:t>
                    </a:r>
                    <a:fld id="{2DD84CF8-8EEC-4230-88EF-5153AF9DA0F8}"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C23-40C6-B363-E07FA8F92750}"/>
                </c:ext>
              </c:extLst>
            </c:dLbl>
            <c:dLbl>
              <c:idx val="2"/>
              <c:layout>
                <c:manualLayout>
                  <c:x val="0.10747014435695539"/>
                  <c:y val="-0.11762777048702246"/>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CC51B54D-304C-4FE4-B493-A8200B069A75}" type="CELLRANGE">
                      <a:rPr lang="en-US" baseline="0"/>
                      <a:pPr rtl="0">
                        <a:defRPr/>
                      </a:pPr>
                      <a:t>[CELLRANGE]</a:t>
                    </a:fld>
                    <a:r>
                      <a:rPr lang="en-US" baseline="0"/>
                      <a:t>, </a:t>
                    </a:r>
                    <a:fld id="{2918F094-421A-4A98-921E-CF8CAC9AACD3}" type="PERCENTAGE">
                      <a:rPr lang="en-US" baseline="0"/>
                      <a:pPr rtl="0">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endParaRPr lang="LID4096"/>
                </a:p>
              </c:txPr>
              <c:dLblPos val="bestFit"/>
              <c:showLegendKey val="0"/>
              <c:showVal val="0"/>
              <c:showCatName val="0"/>
              <c:showSerName val="0"/>
              <c:showPercent val="1"/>
              <c:showBubbleSize val="0"/>
              <c:extLst>
                <c:ext xmlns:c15="http://schemas.microsoft.com/office/drawing/2012/chart" uri="{CE6537A1-D6FC-4f65-9D91-7224C49458BB}">
                  <c15:layout>
                    <c:manualLayout>
                      <c:w val="0.22819444444444442"/>
                      <c:h val="9.0277777777777762E-2"/>
                    </c:manualLayout>
                  </c15:layout>
                  <c15:dlblFieldTable/>
                  <c15:showDataLabelsRange val="1"/>
                </c:ext>
                <c:ext xmlns:c16="http://schemas.microsoft.com/office/drawing/2014/chart" uri="{C3380CC4-5D6E-409C-BE32-E72D297353CC}">
                  <c16:uniqueId val="{00000005-1C23-40C6-B363-E07FA8F92750}"/>
                </c:ext>
              </c:extLst>
            </c:dLbl>
            <c:dLbl>
              <c:idx val="3"/>
              <c:tx>
                <c:rich>
                  <a:bodyPr/>
                  <a:lstStyle/>
                  <a:p>
                    <a:fld id="{98A488E8-3C27-4DE5-A717-7BBD510E2DD2}" type="CELLRANGE">
                      <a:rPr lang="en-US"/>
                      <a:pPr/>
                      <a:t>[CELLRANGE]</a:t>
                    </a:fld>
                    <a:r>
                      <a:rPr lang="en-US" baseline="0"/>
                      <a:t>, </a:t>
                    </a:r>
                    <a:fld id="{1FB6ED76-2398-4F2B-9C8B-72C7A7C30C40}"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C23-40C6-B363-E07FA8F92750}"/>
                </c:ext>
              </c:extLst>
            </c:dLbl>
            <c:dLbl>
              <c:idx val="4"/>
              <c:tx>
                <c:rich>
                  <a:bodyPr/>
                  <a:lstStyle/>
                  <a:p>
                    <a:endParaRPr lang="he-IL"/>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C23-40C6-B363-E07FA8F9275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LID4096"/>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ניסיון!$A$2:$A$6</c:f>
              <c:strCache>
                <c:ptCount val="4"/>
                <c:pt idx="0">
                  <c:v>IWN</c:v>
                </c:pt>
                <c:pt idx="1">
                  <c:v>Joint Lobyst</c:v>
                </c:pt>
                <c:pt idx="2">
                  <c:v>WAV</c:v>
                </c:pt>
                <c:pt idx="3">
                  <c:v>Ahoti</c:v>
                </c:pt>
              </c:strCache>
            </c:strRef>
          </c:cat>
          <c:val>
            <c:numRef>
              <c:f>ניסיון!$B$2:$B$6</c:f>
              <c:numCache>
                <c:formatCode>#,##0</c:formatCode>
                <c:ptCount val="5"/>
                <c:pt idx="0">
                  <c:v>40000</c:v>
                </c:pt>
                <c:pt idx="1">
                  <c:v>40000</c:v>
                </c:pt>
                <c:pt idx="2">
                  <c:v>75000</c:v>
                </c:pt>
                <c:pt idx="3">
                  <c:v>60000</c:v>
                </c:pt>
              </c:numCache>
            </c:numRef>
          </c:val>
          <c:extLst>
            <c:ext xmlns:c15="http://schemas.microsoft.com/office/drawing/2012/chart" uri="{02D57815-91ED-43cb-92C2-25804820EDAC}">
              <c15:datalabelsRange>
                <c15:f>ניסיון!$B$2:$B$6</c15:f>
                <c15:dlblRangeCache>
                  <c:ptCount val="5"/>
                  <c:pt idx="0">
                    <c:v>40,000</c:v>
                  </c:pt>
                  <c:pt idx="1">
                    <c:v>40,000</c:v>
                  </c:pt>
                  <c:pt idx="2">
                    <c:v>75,000</c:v>
                  </c:pt>
                  <c:pt idx="3">
                    <c:v>60,000</c:v>
                  </c:pt>
                </c15:dlblRangeCache>
              </c15:datalabelsRange>
            </c:ext>
            <c:ext xmlns:c16="http://schemas.microsoft.com/office/drawing/2014/chart" uri="{C3380CC4-5D6E-409C-BE32-E72D297353CC}">
              <c16:uniqueId val="{0000000A-1C23-40C6-B363-E07FA8F92750}"/>
            </c:ext>
          </c:extLst>
        </c:ser>
        <c:dLbls>
          <c:dLblPos val="ctr"/>
          <c:showLegendKey val="0"/>
          <c:showVal val="0"/>
          <c:showCatName val="0"/>
          <c:showSerName val="0"/>
          <c:showPercent val="1"/>
          <c:showBubbleSize val="0"/>
          <c:showLeaderLines val="1"/>
        </c:dLbls>
        <c:firstSliceAng val="360"/>
      </c:pieChart>
      <c:spPr>
        <a:noFill/>
        <a:ln>
          <a:noFill/>
        </a:ln>
        <a:effectLst/>
      </c:spPr>
    </c:plotArea>
    <c:legend>
      <c:legendPos val="l"/>
      <c:legendEntry>
        <c:idx val="4"/>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1443</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Brit Yakobi</cp:lastModifiedBy>
  <cp:revision>13</cp:revision>
  <dcterms:created xsi:type="dcterms:W3CDTF">2024-08-22T07:30:00Z</dcterms:created>
  <dcterms:modified xsi:type="dcterms:W3CDTF">2024-08-22T08:06:00Z</dcterms:modified>
</cp:coreProperties>
</file>