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26DEF" w14:textId="77777777" w:rsidR="007C75FF" w:rsidRDefault="00000000">
      <w:pPr>
        <w:widowControl w:val="0"/>
        <w:pBdr>
          <w:top w:val="nil"/>
          <w:left w:val="nil"/>
          <w:bottom w:val="nil"/>
          <w:right w:val="nil"/>
          <w:between w:val="nil"/>
        </w:pBdr>
        <w:spacing w:line="240" w:lineRule="auto"/>
        <w:ind w:left="960"/>
        <w:rPr>
          <w:rFonts w:ascii="Times New Roman" w:eastAsia="Times New Roman" w:hAnsi="Times New Roman" w:cs="Times New Roman"/>
          <w:color w:val="222222"/>
          <w:sz w:val="24"/>
          <w:szCs w:val="24"/>
        </w:rPr>
      </w:pPr>
      <w:r>
        <w:rPr>
          <w:noProof/>
          <w:color w:val="000000"/>
          <w:sz w:val="24"/>
          <w:szCs w:val="24"/>
        </w:rPr>
        <w:drawing>
          <wp:inline distT="19050" distB="19050" distL="19050" distR="19050" wp14:anchorId="538EB396" wp14:editId="248C59D6">
            <wp:extent cx="1836420" cy="647700"/>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1836420" cy="647700"/>
                    </a:xfrm>
                    <a:prstGeom prst="rect">
                      <a:avLst/>
                    </a:prstGeom>
                    <a:ln/>
                  </pic:spPr>
                </pic:pic>
              </a:graphicData>
            </a:graphic>
          </wp:inline>
        </w:drawing>
      </w:r>
      <w:r>
        <w:rPr>
          <w:rFonts w:ascii="Times New Roman" w:eastAsia="Times New Roman" w:hAnsi="Times New Roman" w:cs="Times New Roman"/>
          <w:color w:val="222222"/>
          <w:sz w:val="24"/>
          <w:szCs w:val="24"/>
        </w:rPr>
        <w:t>18 January 2023</w:t>
      </w:r>
      <w:r>
        <w:rPr>
          <w:noProof/>
        </w:rPr>
        <w:drawing>
          <wp:anchor distT="19050" distB="19050" distL="19050" distR="19050" simplePos="0" relativeHeight="251658240" behindDoc="0" locked="0" layoutInCell="1" hidden="0" allowOverlap="1" wp14:anchorId="375F2023" wp14:editId="5760BDCC">
            <wp:simplePos x="0" y="0"/>
            <wp:positionH relativeFrom="column">
              <wp:posOffset>-421004</wp:posOffset>
            </wp:positionH>
            <wp:positionV relativeFrom="paragraph">
              <wp:posOffset>28575</wp:posOffset>
            </wp:positionV>
            <wp:extent cx="7594600" cy="1472565"/>
            <wp:effectExtent l="0" t="0" r="0" b="0"/>
            <wp:wrapSquare wrapText="bothSides" distT="19050" distB="19050" distL="19050" distR="1905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7594600" cy="1472565"/>
                    </a:xfrm>
                    <a:prstGeom prst="rect">
                      <a:avLst/>
                    </a:prstGeom>
                    <a:ln/>
                  </pic:spPr>
                </pic:pic>
              </a:graphicData>
            </a:graphic>
          </wp:anchor>
        </w:drawing>
      </w:r>
    </w:p>
    <w:p w14:paraId="14E0113D" w14:textId="77777777" w:rsidR="007C75FF" w:rsidRDefault="007C75FF">
      <w:pPr>
        <w:widowControl w:val="0"/>
        <w:pBdr>
          <w:top w:val="nil"/>
          <w:left w:val="nil"/>
          <w:bottom w:val="nil"/>
          <w:right w:val="nil"/>
          <w:between w:val="nil"/>
        </w:pBdr>
        <w:spacing w:line="240" w:lineRule="auto"/>
        <w:ind w:left="960"/>
        <w:rPr>
          <w:rFonts w:ascii="Times New Roman" w:eastAsia="Times New Roman" w:hAnsi="Times New Roman" w:cs="Times New Roman"/>
          <w:color w:val="222222"/>
          <w:sz w:val="24"/>
          <w:szCs w:val="24"/>
        </w:rPr>
      </w:pPr>
    </w:p>
    <w:p w14:paraId="73021977" w14:textId="77777777" w:rsidR="007C75FF" w:rsidRDefault="00000000">
      <w:pPr>
        <w:widowControl w:val="0"/>
        <w:pBdr>
          <w:top w:val="nil"/>
          <w:left w:val="nil"/>
          <w:bottom w:val="nil"/>
          <w:right w:val="nil"/>
          <w:between w:val="nil"/>
        </w:pBdr>
        <w:spacing w:before="987" w:line="240" w:lineRule="auto"/>
        <w:rPr>
          <w:rFonts w:ascii="Tahoma" w:eastAsia="Tahoma" w:hAnsi="Tahoma" w:cs="Tahoma"/>
          <w:color w:val="222222"/>
          <w:sz w:val="24"/>
          <w:szCs w:val="24"/>
        </w:rPr>
      </w:pPr>
      <w:r>
        <w:rPr>
          <w:rFonts w:ascii="Tahoma" w:eastAsia="Tahoma" w:hAnsi="Tahoma" w:cs="Tahoma"/>
          <w:color w:val="222222"/>
          <w:sz w:val="24"/>
          <w:szCs w:val="24"/>
        </w:rPr>
        <w:t>I have selected four relevant journals with a range of impact factors that all publish original research in areas related to the topic of your article</w:t>
      </w:r>
      <w:proofErr w:type="gramStart"/>
      <w:r>
        <w:rPr>
          <w:rFonts w:ascii="Tahoma" w:eastAsia="Tahoma" w:hAnsi="Tahoma" w:cs="Tahoma"/>
          <w:color w:val="222222"/>
          <w:sz w:val="24"/>
          <w:szCs w:val="24"/>
        </w:rPr>
        <w:t>:  “</w:t>
      </w:r>
      <w:proofErr w:type="gramEnd"/>
      <w:r>
        <w:rPr>
          <w:rFonts w:ascii="Tahoma" w:eastAsia="Tahoma" w:hAnsi="Tahoma" w:cs="Tahoma"/>
          <w:color w:val="222222"/>
          <w:sz w:val="24"/>
          <w:szCs w:val="24"/>
        </w:rPr>
        <w:t xml:space="preserve">Linguistic and Stylistic Changes in the Poetry of Ronny </w:t>
      </w:r>
      <w:proofErr w:type="spellStart"/>
      <w:r>
        <w:rPr>
          <w:rFonts w:ascii="Tahoma" w:eastAsia="Tahoma" w:hAnsi="Tahoma" w:cs="Tahoma"/>
          <w:color w:val="222222"/>
          <w:sz w:val="24"/>
          <w:szCs w:val="24"/>
        </w:rPr>
        <w:t>Somek:A</w:t>
      </w:r>
      <w:proofErr w:type="spellEnd"/>
      <w:r>
        <w:rPr>
          <w:rFonts w:ascii="Tahoma" w:eastAsia="Tahoma" w:hAnsi="Tahoma" w:cs="Tahoma"/>
          <w:color w:val="222222"/>
          <w:sz w:val="24"/>
          <w:szCs w:val="24"/>
        </w:rPr>
        <w:t xml:space="preserve"> Diachronic View”</w:t>
      </w:r>
    </w:p>
    <w:p w14:paraId="3297CEEF" w14:textId="77777777" w:rsidR="007C75FF" w:rsidRDefault="00000000">
      <w:pPr>
        <w:widowControl w:val="0"/>
        <w:pBdr>
          <w:top w:val="nil"/>
          <w:left w:val="nil"/>
          <w:bottom w:val="nil"/>
          <w:right w:val="nil"/>
          <w:between w:val="nil"/>
        </w:pBdr>
        <w:spacing w:before="987" w:line="240" w:lineRule="auto"/>
        <w:jc w:val="center"/>
        <w:rPr>
          <w:rFonts w:ascii="Tahoma" w:eastAsia="Tahoma" w:hAnsi="Tahoma" w:cs="Tahoma"/>
          <w:b/>
          <w:color w:val="222222"/>
          <w:sz w:val="24"/>
          <w:szCs w:val="24"/>
        </w:rPr>
      </w:pPr>
      <w:r>
        <w:rPr>
          <w:rFonts w:ascii="Tahoma" w:eastAsia="Tahoma" w:hAnsi="Tahoma" w:cs="Tahoma"/>
          <w:b/>
          <w:color w:val="222222"/>
          <w:sz w:val="24"/>
          <w:szCs w:val="24"/>
          <w:u w:val="single"/>
        </w:rPr>
        <w:t>Journal Selection Report</w:t>
      </w:r>
      <w:r>
        <w:rPr>
          <w:rFonts w:ascii="Tahoma" w:eastAsia="Tahoma" w:hAnsi="Tahoma" w:cs="Tahoma"/>
          <w:b/>
          <w:color w:val="222222"/>
          <w:sz w:val="24"/>
          <w:szCs w:val="24"/>
        </w:rPr>
        <w:t xml:space="preserve"> </w:t>
      </w:r>
    </w:p>
    <w:p w14:paraId="04EA8576" w14:textId="77777777" w:rsidR="007C75FF" w:rsidRDefault="007C75FF">
      <w:pPr>
        <w:bidi/>
        <w:spacing w:after="160" w:line="259" w:lineRule="auto"/>
        <w:rPr>
          <w:rFonts w:ascii="Calibri" w:eastAsia="Calibri" w:hAnsi="Calibri" w:cs="Calibri"/>
        </w:rPr>
      </w:pPr>
    </w:p>
    <w:p w14:paraId="340EC327" w14:textId="77777777" w:rsidR="007C75FF" w:rsidRDefault="00000000">
      <w:pPr>
        <w:spacing w:after="160" w:line="259" w:lineRule="auto"/>
        <w:rPr>
          <w:rFonts w:ascii="Calibri" w:eastAsia="Calibri" w:hAnsi="Calibri" w:cs="Calibri"/>
          <w:b/>
          <w:color w:val="1155CC"/>
          <w:sz w:val="28"/>
          <w:szCs w:val="28"/>
        </w:rPr>
      </w:pPr>
      <w:r>
        <w:rPr>
          <w:rFonts w:ascii="Calibri" w:eastAsia="Calibri" w:hAnsi="Calibri" w:cs="Calibri"/>
          <w:b/>
          <w:color w:val="1155CC"/>
          <w:sz w:val="28"/>
          <w:szCs w:val="28"/>
        </w:rPr>
        <w:t>Journal of Language, Literature and Culture</w:t>
      </w:r>
    </w:p>
    <w:p w14:paraId="35618D5B" w14:textId="77777777" w:rsidR="007C75FF" w:rsidRDefault="00000000">
      <w:pPr>
        <w:spacing w:after="160" w:line="259" w:lineRule="auto"/>
        <w:rPr>
          <w:rFonts w:ascii="Calibri" w:eastAsia="Calibri" w:hAnsi="Calibri" w:cs="Calibri"/>
        </w:rPr>
      </w:pPr>
      <w:r>
        <w:rPr>
          <w:i/>
          <w:color w:val="333333"/>
        </w:rPr>
        <w:t>The Journal of Language, Literature and Culture</w:t>
      </w:r>
      <w:r>
        <w:rPr>
          <w:color w:val="333333"/>
        </w:rPr>
        <w:t> (formerly known as </w:t>
      </w:r>
      <w:r>
        <w:rPr>
          <w:i/>
          <w:color w:val="333333"/>
        </w:rPr>
        <w:t>AUMLA</w:t>
      </w:r>
      <w:r>
        <w:rPr>
          <w:color w:val="333333"/>
        </w:rPr>
        <w:t xml:space="preserve">) is the journal of the Australasian Universities Language and Literature Association. For sixty years, the journal has been an important part of the academic culture of the humanities, in countries around the world but especially so in Australia and New Zealand. It aims to publish stimulating, well-written, authoritative peer-reviewed articles on all topics relevant to the broad fields of language, literature and culture. It is consciously eclectic and diverse in its range of </w:t>
      </w:r>
      <w:proofErr w:type="gramStart"/>
      <w:r>
        <w:rPr>
          <w:color w:val="333333"/>
        </w:rPr>
        <w:t>content:</w:t>
      </w:r>
      <w:proofErr w:type="gramEnd"/>
      <w:r>
        <w:rPr>
          <w:color w:val="333333"/>
        </w:rPr>
        <w:t xml:space="preserve"> works ancient and modern; all languages and literatures; and is open to a broad interpretation of text and culture.  It serves a wide cross-section of interests and backgrounds, enabling the journal to place a priority on clear writing and readability. The journal is international in focus and </w:t>
      </w:r>
      <w:proofErr w:type="gramStart"/>
      <w:r>
        <w:rPr>
          <w:color w:val="333333"/>
        </w:rPr>
        <w:t>content, and</w:t>
      </w:r>
      <w:proofErr w:type="gramEnd"/>
      <w:r>
        <w:rPr>
          <w:color w:val="333333"/>
        </w:rPr>
        <w:t xml:space="preserve"> attracts contributors from universities all over the world. </w:t>
      </w:r>
    </w:p>
    <w:p w14:paraId="7A789BE5" w14:textId="77777777" w:rsidR="007C75FF" w:rsidRDefault="00000000">
      <w:pPr>
        <w:numPr>
          <w:ilvl w:val="0"/>
          <w:numId w:val="1"/>
        </w:numPr>
        <w:spacing w:after="280" w:line="240" w:lineRule="auto"/>
        <w:ind w:left="240"/>
        <w:rPr>
          <w:sz w:val="24"/>
          <w:szCs w:val="24"/>
        </w:rPr>
      </w:pPr>
      <w:r>
        <w:rPr>
          <w:b/>
          <w:sz w:val="24"/>
          <w:szCs w:val="24"/>
        </w:rPr>
        <w:t>IF: 0.152 (2021)</w:t>
      </w:r>
      <w:r>
        <w:rPr>
          <w:sz w:val="24"/>
          <w:szCs w:val="24"/>
        </w:rPr>
        <w:t> SJR</w:t>
      </w:r>
    </w:p>
    <w:p w14:paraId="0001971B" w14:textId="77777777" w:rsidR="007C75FF" w:rsidRDefault="00000000">
      <w:pPr>
        <w:numPr>
          <w:ilvl w:val="0"/>
          <w:numId w:val="1"/>
        </w:numPr>
        <w:shd w:val="clear" w:color="auto" w:fill="FFFFFF"/>
        <w:rPr>
          <w:color w:val="333333"/>
          <w:sz w:val="24"/>
          <w:szCs w:val="24"/>
        </w:rPr>
      </w:pPr>
      <w:r>
        <w:rPr>
          <w:color w:val="333333"/>
          <w:sz w:val="24"/>
          <w:szCs w:val="24"/>
        </w:rPr>
        <w:t xml:space="preserve">Eric </w:t>
      </w:r>
      <w:proofErr w:type="spellStart"/>
      <w:r>
        <w:rPr>
          <w:color w:val="333333"/>
          <w:sz w:val="24"/>
          <w:szCs w:val="24"/>
        </w:rPr>
        <w:t>Meljac</w:t>
      </w:r>
      <w:proofErr w:type="spellEnd"/>
      <w:r>
        <w:rPr>
          <w:color w:val="333333"/>
          <w:sz w:val="24"/>
          <w:szCs w:val="24"/>
        </w:rPr>
        <w:t xml:space="preserve"> (2018) Windows in George Herbert and Philip Larkin: A Study of Poetic Metaphor, Journal of Language, Literature and Culture, 65:3, 187-199, DOI: </w:t>
      </w:r>
      <w:hyperlink r:id="rId7">
        <w:r>
          <w:rPr>
            <w:color w:val="333333"/>
            <w:sz w:val="24"/>
            <w:szCs w:val="24"/>
            <w:u w:val="single"/>
          </w:rPr>
          <w:t>10.1080/20512856.2018.1546653</w:t>
        </w:r>
      </w:hyperlink>
    </w:p>
    <w:p w14:paraId="580EA479" w14:textId="77777777" w:rsidR="007C75FF" w:rsidRDefault="007C75FF">
      <w:pPr>
        <w:spacing w:before="280" w:after="280" w:line="240" w:lineRule="auto"/>
        <w:rPr>
          <w:color w:val="222222"/>
          <w:sz w:val="24"/>
          <w:szCs w:val="24"/>
        </w:rPr>
      </w:pPr>
    </w:p>
    <w:p w14:paraId="44C8A29B" w14:textId="77777777" w:rsidR="007C75FF" w:rsidRDefault="007C75FF">
      <w:pPr>
        <w:widowControl w:val="0"/>
        <w:pBdr>
          <w:top w:val="nil"/>
          <w:left w:val="nil"/>
          <w:bottom w:val="nil"/>
          <w:right w:val="nil"/>
          <w:between w:val="nil"/>
        </w:pBdr>
        <w:spacing w:before="188" w:line="259" w:lineRule="auto"/>
        <w:rPr>
          <w:color w:val="333333"/>
          <w:sz w:val="24"/>
          <w:szCs w:val="24"/>
        </w:rPr>
      </w:pPr>
    </w:p>
    <w:p w14:paraId="6012E42E" w14:textId="77777777" w:rsidR="007C75FF" w:rsidRDefault="00000000">
      <w:pPr>
        <w:widowControl w:val="0"/>
        <w:pBdr>
          <w:top w:val="nil"/>
          <w:left w:val="nil"/>
          <w:bottom w:val="nil"/>
          <w:right w:val="nil"/>
          <w:between w:val="nil"/>
        </w:pBdr>
        <w:spacing w:before="303" w:line="199" w:lineRule="auto"/>
        <w:rPr>
          <w:rFonts w:ascii="Calibri" w:eastAsia="Calibri" w:hAnsi="Calibri" w:cs="Calibri"/>
          <w:color w:val="FFC000"/>
          <w:sz w:val="24"/>
          <w:szCs w:val="24"/>
        </w:rPr>
        <w:sectPr w:rsidR="007C75FF">
          <w:pgSz w:w="12240" w:h="15840"/>
          <w:pgMar w:top="585" w:right="13" w:bottom="16" w:left="0" w:header="0" w:footer="720" w:gutter="0"/>
          <w:pgNumType w:start="1"/>
          <w:cols w:space="720"/>
        </w:sectPr>
      </w:pPr>
      <w:r>
        <w:rPr>
          <w:rFonts w:ascii="Tahoma" w:eastAsia="Tahoma" w:hAnsi="Tahoma" w:cs="Tahoma"/>
          <w:noProof/>
          <w:color w:val="222222"/>
          <w:sz w:val="24"/>
          <w:szCs w:val="24"/>
        </w:rPr>
        <w:lastRenderedPageBreak/>
        <w:drawing>
          <wp:inline distT="19050" distB="19050" distL="19050" distR="19050" wp14:anchorId="355E2835" wp14:editId="78393EB6">
            <wp:extent cx="7754620" cy="231394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7754620" cy="2313940"/>
                    </a:xfrm>
                    <a:prstGeom prst="rect">
                      <a:avLst/>
                    </a:prstGeom>
                    <a:ln/>
                  </pic:spPr>
                </pic:pic>
              </a:graphicData>
            </a:graphic>
          </wp:inline>
        </w:drawing>
      </w:r>
      <w:r>
        <w:rPr>
          <w:rFonts w:ascii="Calibri" w:eastAsia="Calibri" w:hAnsi="Calibri" w:cs="Calibri"/>
          <w:b/>
          <w:color w:val="FFC000"/>
          <w:sz w:val="24"/>
          <w:szCs w:val="24"/>
        </w:rPr>
        <w:t xml:space="preserve">International Tel: </w:t>
      </w:r>
      <w:r>
        <w:rPr>
          <w:rFonts w:ascii="Calibri" w:eastAsia="Calibri" w:hAnsi="Calibri" w:cs="Calibri"/>
          <w:color w:val="FFC000"/>
          <w:sz w:val="24"/>
          <w:szCs w:val="24"/>
        </w:rPr>
        <w:t xml:space="preserve">+972 (0)52-241-4342 </w:t>
      </w:r>
    </w:p>
    <w:p w14:paraId="4FC8AAAD" w14:textId="77777777" w:rsidR="007C75FF" w:rsidRDefault="00000000">
      <w:pPr>
        <w:widowControl w:val="0"/>
        <w:pBdr>
          <w:top w:val="nil"/>
          <w:left w:val="nil"/>
          <w:bottom w:val="nil"/>
          <w:right w:val="nil"/>
          <w:between w:val="nil"/>
        </w:pBdr>
        <w:spacing w:line="240" w:lineRule="auto"/>
        <w:rPr>
          <w:rFonts w:ascii="Calibri" w:eastAsia="Calibri" w:hAnsi="Calibri" w:cs="Calibri"/>
          <w:color w:val="B785BB"/>
          <w:sz w:val="24"/>
          <w:szCs w:val="24"/>
        </w:rPr>
      </w:pPr>
      <w:r>
        <w:rPr>
          <w:rFonts w:ascii="Calibri" w:eastAsia="Calibri" w:hAnsi="Calibri" w:cs="Calibri"/>
          <w:noProof/>
          <w:color w:val="FFC000"/>
          <w:sz w:val="24"/>
          <w:szCs w:val="24"/>
        </w:rPr>
        <w:drawing>
          <wp:inline distT="19050" distB="19050" distL="19050" distR="19050" wp14:anchorId="4727B491" wp14:editId="5947009B">
            <wp:extent cx="200025" cy="200025"/>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00025" cy="200025"/>
                    </a:xfrm>
                    <a:prstGeom prst="rect">
                      <a:avLst/>
                    </a:prstGeom>
                    <a:ln/>
                  </pic:spPr>
                </pic:pic>
              </a:graphicData>
            </a:graphic>
          </wp:inline>
        </w:drawing>
      </w:r>
      <w:r>
        <w:rPr>
          <w:rFonts w:ascii="Calibri" w:eastAsia="Calibri" w:hAnsi="Calibri" w:cs="Calibri"/>
          <w:noProof/>
          <w:color w:val="FFC000"/>
          <w:sz w:val="24"/>
          <w:szCs w:val="24"/>
        </w:rPr>
        <w:drawing>
          <wp:inline distT="19050" distB="19050" distL="19050" distR="19050" wp14:anchorId="13EF23A9" wp14:editId="5837CCB4">
            <wp:extent cx="992124" cy="185928"/>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992124" cy="185928"/>
                    </a:xfrm>
                    <a:prstGeom prst="rect">
                      <a:avLst/>
                    </a:prstGeom>
                    <a:ln/>
                  </pic:spPr>
                </pic:pic>
              </a:graphicData>
            </a:graphic>
          </wp:inline>
        </w:drawing>
      </w:r>
      <w:r>
        <w:rPr>
          <w:rFonts w:ascii="Calibri" w:eastAsia="Calibri" w:hAnsi="Calibri" w:cs="Calibri"/>
          <w:color w:val="AEEB60"/>
          <w:sz w:val="24"/>
          <w:szCs w:val="24"/>
        </w:rPr>
        <w:t xml:space="preserve">aclang.com </w:t>
      </w:r>
      <w:r>
        <w:rPr>
          <w:rFonts w:ascii="Calibri" w:eastAsia="Calibri" w:hAnsi="Calibri" w:cs="Calibri"/>
          <w:noProof/>
          <w:color w:val="AEEB60"/>
          <w:sz w:val="24"/>
          <w:szCs w:val="24"/>
        </w:rPr>
        <w:drawing>
          <wp:inline distT="19050" distB="19050" distL="19050" distR="19050" wp14:anchorId="6FB50C13" wp14:editId="0F9D2A51">
            <wp:extent cx="209550" cy="20955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09550" cy="209550"/>
                    </a:xfrm>
                    <a:prstGeom prst="rect">
                      <a:avLst/>
                    </a:prstGeom>
                    <a:ln/>
                  </pic:spPr>
                </pic:pic>
              </a:graphicData>
            </a:graphic>
          </wp:inline>
        </w:drawing>
      </w:r>
      <w:r>
        <w:rPr>
          <w:rFonts w:ascii="Calibri" w:eastAsia="Calibri" w:hAnsi="Calibri" w:cs="Calibri"/>
          <w:noProof/>
          <w:color w:val="AEEB60"/>
          <w:sz w:val="24"/>
          <w:szCs w:val="24"/>
        </w:rPr>
        <w:drawing>
          <wp:inline distT="19050" distB="19050" distL="19050" distR="19050" wp14:anchorId="1B6D312E" wp14:editId="47047DB0">
            <wp:extent cx="1391412" cy="185928"/>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1391412" cy="185928"/>
                    </a:xfrm>
                    <a:prstGeom prst="rect">
                      <a:avLst/>
                    </a:prstGeom>
                    <a:ln/>
                  </pic:spPr>
                </pic:pic>
              </a:graphicData>
            </a:graphic>
          </wp:inline>
        </w:drawing>
      </w:r>
      <w:r>
        <w:rPr>
          <w:rFonts w:ascii="Calibri" w:eastAsia="Calibri" w:hAnsi="Calibri" w:cs="Calibri"/>
          <w:color w:val="B785BB"/>
          <w:sz w:val="24"/>
          <w:szCs w:val="24"/>
        </w:rPr>
        <w:t xml:space="preserve">Info@aclang.com </w:t>
      </w:r>
    </w:p>
    <w:p w14:paraId="60489340" w14:textId="77777777" w:rsidR="007C75FF" w:rsidRDefault="00000000">
      <w:pPr>
        <w:widowControl w:val="0"/>
        <w:pBdr>
          <w:top w:val="nil"/>
          <w:left w:val="nil"/>
          <w:bottom w:val="nil"/>
          <w:right w:val="nil"/>
          <w:between w:val="nil"/>
        </w:pBdr>
        <w:spacing w:line="261" w:lineRule="auto"/>
        <w:rPr>
          <w:rFonts w:ascii="Calibri" w:eastAsia="Calibri" w:hAnsi="Calibri" w:cs="Calibri"/>
          <w:color w:val="FFC000"/>
          <w:sz w:val="24"/>
          <w:szCs w:val="24"/>
        </w:rPr>
        <w:sectPr w:rsidR="007C75FF">
          <w:type w:val="continuous"/>
          <w:pgSz w:w="12240" w:h="15840"/>
          <w:pgMar w:top="585" w:right="2765" w:bottom="16" w:left="1530" w:header="0" w:footer="720" w:gutter="0"/>
          <w:cols w:num="2" w:space="720" w:equalWidth="0">
            <w:col w:w="3980" w:space="0"/>
            <w:col w:w="3980" w:space="0"/>
          </w:cols>
        </w:sectPr>
      </w:pPr>
      <w:r>
        <w:rPr>
          <w:rFonts w:ascii="Calibri" w:eastAsia="Calibri" w:hAnsi="Calibri" w:cs="Calibri"/>
          <w:b/>
          <w:color w:val="FFC000"/>
          <w:sz w:val="24"/>
          <w:szCs w:val="24"/>
        </w:rPr>
        <w:t xml:space="preserve">USA Tel: </w:t>
      </w:r>
      <w:r>
        <w:rPr>
          <w:rFonts w:ascii="Calibri" w:eastAsia="Calibri" w:hAnsi="Calibri" w:cs="Calibri"/>
          <w:color w:val="FFC000"/>
          <w:sz w:val="24"/>
          <w:szCs w:val="24"/>
        </w:rPr>
        <w:t xml:space="preserve">1-667-309-1572 </w:t>
      </w:r>
      <w:r>
        <w:rPr>
          <w:rFonts w:ascii="Calibri" w:eastAsia="Calibri" w:hAnsi="Calibri" w:cs="Calibri"/>
          <w:b/>
          <w:color w:val="FFC000"/>
          <w:sz w:val="24"/>
          <w:szCs w:val="24"/>
        </w:rPr>
        <w:t xml:space="preserve">Canada Tel: </w:t>
      </w:r>
      <w:r>
        <w:rPr>
          <w:rFonts w:ascii="Calibri" w:eastAsia="Calibri" w:hAnsi="Calibri" w:cs="Calibri"/>
          <w:color w:val="FFC000"/>
          <w:sz w:val="24"/>
          <w:szCs w:val="24"/>
        </w:rPr>
        <w:t xml:space="preserve">1-647-495-9018 </w:t>
      </w:r>
      <w:r>
        <w:rPr>
          <w:rFonts w:ascii="Calibri" w:eastAsia="Calibri" w:hAnsi="Calibri" w:cs="Calibri"/>
          <w:b/>
          <w:color w:val="FFC000"/>
          <w:sz w:val="24"/>
          <w:szCs w:val="24"/>
        </w:rPr>
        <w:t xml:space="preserve">UK Tel: </w:t>
      </w:r>
      <w:r>
        <w:rPr>
          <w:rFonts w:ascii="Calibri" w:eastAsia="Calibri" w:hAnsi="Calibri" w:cs="Calibri"/>
          <w:color w:val="FFC000"/>
          <w:sz w:val="24"/>
          <w:szCs w:val="24"/>
        </w:rPr>
        <w:t xml:space="preserve">0203-769-0297 </w:t>
      </w:r>
      <w:r>
        <w:rPr>
          <w:noProof/>
        </w:rPr>
        <w:drawing>
          <wp:anchor distT="19050" distB="19050" distL="19050" distR="19050" simplePos="0" relativeHeight="251659264" behindDoc="0" locked="0" layoutInCell="1" hidden="0" allowOverlap="1" wp14:anchorId="1256A9D3" wp14:editId="21BDB1CF">
            <wp:simplePos x="0" y="0"/>
            <wp:positionH relativeFrom="column">
              <wp:posOffset>19050</wp:posOffset>
            </wp:positionH>
            <wp:positionV relativeFrom="paragraph">
              <wp:posOffset>86271</wp:posOffset>
            </wp:positionV>
            <wp:extent cx="176530" cy="180975"/>
            <wp:effectExtent l="0" t="0" r="0" b="0"/>
            <wp:wrapSquare wrapText="right" distT="19050" distB="19050" distL="19050" distR="1905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76530" cy="180975"/>
                    </a:xfrm>
                    <a:prstGeom prst="rect">
                      <a:avLst/>
                    </a:prstGeom>
                    <a:ln/>
                  </pic:spPr>
                </pic:pic>
              </a:graphicData>
            </a:graphic>
          </wp:anchor>
        </w:drawing>
      </w:r>
      <w:r>
        <w:rPr>
          <w:noProof/>
        </w:rPr>
        <w:drawing>
          <wp:anchor distT="19050" distB="19050" distL="19050" distR="19050" simplePos="0" relativeHeight="251660288" behindDoc="0" locked="0" layoutInCell="1" hidden="0" allowOverlap="1" wp14:anchorId="055B27D9" wp14:editId="1514548D">
            <wp:simplePos x="0" y="0"/>
            <wp:positionH relativeFrom="column">
              <wp:posOffset>-78758</wp:posOffset>
            </wp:positionH>
            <wp:positionV relativeFrom="paragraph">
              <wp:posOffset>-158952</wp:posOffset>
            </wp:positionV>
            <wp:extent cx="2915412" cy="672084"/>
            <wp:effectExtent l="0" t="0" r="0" b="0"/>
            <wp:wrapSquare wrapText="bothSides" distT="19050" distB="19050" distL="19050" distR="1905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915412" cy="672084"/>
                    </a:xfrm>
                    <a:prstGeom prst="rect">
                      <a:avLst/>
                    </a:prstGeom>
                    <a:ln/>
                  </pic:spPr>
                </pic:pic>
              </a:graphicData>
            </a:graphic>
          </wp:anchor>
        </w:drawing>
      </w:r>
    </w:p>
    <w:p w14:paraId="5B45E760" w14:textId="77777777" w:rsidR="007C75FF" w:rsidRDefault="00000000">
      <w:pPr>
        <w:widowControl w:val="0"/>
        <w:pBdr>
          <w:top w:val="nil"/>
          <w:left w:val="nil"/>
          <w:bottom w:val="nil"/>
          <w:right w:val="nil"/>
          <w:between w:val="nil"/>
        </w:pBdr>
        <w:spacing w:line="227" w:lineRule="auto"/>
        <w:ind w:left="1456" w:hanging="1189"/>
        <w:rPr>
          <w:rFonts w:ascii="Times New Roman" w:eastAsia="Times New Roman" w:hAnsi="Times New Roman" w:cs="Times New Roman"/>
          <w:color w:val="00B0F0"/>
          <w:sz w:val="24"/>
          <w:szCs w:val="24"/>
        </w:rPr>
      </w:pPr>
      <w:r>
        <w:rPr>
          <w:rFonts w:ascii="Calibri" w:eastAsia="Calibri" w:hAnsi="Calibri" w:cs="Calibri"/>
          <w:noProof/>
          <w:color w:val="FFC000"/>
          <w:sz w:val="24"/>
          <w:szCs w:val="24"/>
        </w:rPr>
        <w:drawing>
          <wp:inline distT="19050" distB="19050" distL="19050" distR="19050" wp14:anchorId="47FC58D9" wp14:editId="36E95C71">
            <wp:extent cx="7594600" cy="147256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7594600" cy="1472565"/>
                    </a:xfrm>
                    <a:prstGeom prst="rect">
                      <a:avLst/>
                    </a:prstGeom>
                    <a:ln/>
                  </pic:spPr>
                </pic:pic>
              </a:graphicData>
            </a:graphic>
          </wp:inline>
        </w:drawing>
      </w:r>
      <w:r>
        <w:rPr>
          <w:rFonts w:ascii="Calibri" w:eastAsia="Calibri" w:hAnsi="Calibri" w:cs="Calibri"/>
          <w:noProof/>
          <w:color w:val="FFC000"/>
          <w:sz w:val="24"/>
          <w:szCs w:val="24"/>
        </w:rPr>
        <w:drawing>
          <wp:inline distT="19050" distB="19050" distL="19050" distR="19050" wp14:anchorId="318C2C33" wp14:editId="69886F80">
            <wp:extent cx="1836420" cy="6477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836420" cy="647700"/>
                    </a:xfrm>
                    <a:prstGeom prst="rect">
                      <a:avLst/>
                    </a:prstGeom>
                    <a:ln/>
                  </pic:spPr>
                </pic:pic>
              </a:graphicData>
            </a:graphic>
          </wp:inline>
        </w:drawing>
      </w:r>
      <w:r>
        <w:rPr>
          <w:rFonts w:ascii="Times New Roman" w:eastAsia="Times New Roman" w:hAnsi="Times New Roman" w:cs="Times New Roman"/>
          <w:color w:val="00B0F0"/>
          <w:sz w:val="24"/>
          <w:szCs w:val="24"/>
        </w:rPr>
        <w:t>18 January 2023</w:t>
      </w:r>
    </w:p>
    <w:p w14:paraId="23CA21A6" w14:textId="77777777" w:rsidR="007C75FF" w:rsidRDefault="007C75FF">
      <w:pPr>
        <w:widowControl w:val="0"/>
        <w:pBdr>
          <w:top w:val="nil"/>
          <w:left w:val="nil"/>
          <w:bottom w:val="nil"/>
          <w:right w:val="nil"/>
          <w:between w:val="nil"/>
        </w:pBdr>
        <w:spacing w:line="227" w:lineRule="auto"/>
        <w:ind w:left="1456" w:hanging="1189"/>
        <w:rPr>
          <w:rFonts w:ascii="Tahoma" w:eastAsia="Tahoma" w:hAnsi="Tahoma" w:cs="Tahoma"/>
          <w:color w:val="1155CC"/>
          <w:sz w:val="24"/>
          <w:szCs w:val="24"/>
          <w:u w:val="single"/>
        </w:rPr>
      </w:pPr>
    </w:p>
    <w:p w14:paraId="1C7993A1" w14:textId="77777777" w:rsidR="007C75FF" w:rsidRDefault="00000000">
      <w:pPr>
        <w:spacing w:before="280" w:after="280" w:line="240" w:lineRule="auto"/>
        <w:rPr>
          <w:b/>
          <w:color w:val="1155CC"/>
          <w:sz w:val="24"/>
          <w:szCs w:val="24"/>
        </w:rPr>
      </w:pPr>
      <w:r>
        <w:rPr>
          <w:b/>
          <w:color w:val="1155CC"/>
          <w:sz w:val="24"/>
          <w:szCs w:val="24"/>
        </w:rPr>
        <w:t xml:space="preserve">Journal of Semantics </w:t>
      </w:r>
    </w:p>
    <w:p w14:paraId="7F215569" w14:textId="77777777" w:rsidR="007C75FF" w:rsidRDefault="00000000">
      <w:pPr>
        <w:shd w:val="clear" w:color="auto" w:fill="FFFFFF"/>
        <w:spacing w:before="280" w:after="280" w:line="240" w:lineRule="auto"/>
        <w:rPr>
          <w:highlight w:val="white"/>
        </w:rPr>
      </w:pPr>
      <w:r>
        <w:rPr>
          <w:highlight w:val="white"/>
        </w:rPr>
        <w:t>Scope</w:t>
      </w:r>
      <w:r>
        <w:rPr>
          <w:highlight w:val="white"/>
        </w:rPr>
        <w:br/>
        <w:t>Journal of Semantics aims to be the premier journal in semantics. It covers all areas in the study of meaning, with a focus on formal and experimental methods. The Journal welcomes submissions on semantics, pragmatics, the syntax/semantics interface, cross-linguistic semantics, experimental studies of meaning (processing, acquisition, neurolinguistics), and semantically informed philosophy of language.</w:t>
      </w:r>
      <w:r>
        <w:rPr>
          <w:highlight w:val="white"/>
        </w:rPr>
        <w:br/>
      </w:r>
      <w:r>
        <w:rPr>
          <w:highlight w:val="white"/>
        </w:rPr>
        <w:br/>
        <w:t>Types of articles</w:t>
      </w:r>
      <w:r>
        <w:rPr>
          <w:highlight w:val="white"/>
        </w:rPr>
        <w:br/>
        <w:t>Journal of Semantics all types of research articles – with the usual proviso that length must be justified by scientific value. Typical contributions fall anywhere in the range of 500 - 20,000 words range. Very rarely we will consider manuscripts that fall outside of this range provided that the content of the paper warrants it.</w:t>
      </w:r>
    </w:p>
    <w:p w14:paraId="3CD699C0" w14:textId="77777777" w:rsidR="007C75FF" w:rsidRDefault="00000000">
      <w:pPr>
        <w:shd w:val="clear" w:color="auto" w:fill="FFFFFF"/>
        <w:spacing w:before="280" w:after="280" w:line="240" w:lineRule="auto"/>
        <w:rPr>
          <w:highlight w:val="white"/>
        </w:rPr>
      </w:pPr>
      <w:r>
        <w:rPr>
          <w:highlight w:val="white"/>
        </w:rPr>
        <w:t>Short Contributions</w:t>
      </w:r>
      <w:r>
        <w:rPr>
          <w:highlight w:val="white"/>
        </w:rPr>
        <w:br/>
        <w:t>Short Contributions should be compact (between 500 and 4,500 words) yet make an influential contribution to the field. Such contributions may point out challenges that are highly relevant to theoretical issues in semantics and pragmatics ('squibs') or they may influence the future direction of the field, be it theoretically, empirically, technically or any other way. In other words, such contributions provide a stimulus to (part of) the field, without necessarily offering a fully worked out model or theory. Short contributions are online only and will be published Open Access before issue publication.</w:t>
      </w:r>
    </w:p>
    <w:p w14:paraId="0FD5374A" w14:textId="77777777" w:rsidR="007C75FF" w:rsidRDefault="00000000">
      <w:pPr>
        <w:shd w:val="clear" w:color="auto" w:fill="FFFFFF"/>
        <w:spacing w:before="280" w:after="280" w:line="240" w:lineRule="auto"/>
        <w:rPr>
          <w:highlight w:val="white"/>
        </w:rPr>
      </w:pPr>
      <w:r>
        <w:rPr>
          <w:highlight w:val="white"/>
        </w:rPr>
        <w:t>IF: 1.0 SJR</w:t>
      </w:r>
    </w:p>
    <w:p w14:paraId="01B6D1E0" w14:textId="77777777" w:rsidR="007C75FF" w:rsidRDefault="00000000">
      <w:pPr>
        <w:shd w:val="clear" w:color="auto" w:fill="FFFFFF"/>
        <w:spacing w:line="240" w:lineRule="auto"/>
        <w:rPr>
          <w:highlight w:val="white"/>
        </w:rPr>
      </w:pPr>
      <w:r>
        <w:rPr>
          <w:highlight w:val="white"/>
        </w:rPr>
        <w:lastRenderedPageBreak/>
        <w:t xml:space="preserve">Anna Szabolcsi, Bill Haddican, Conjunction Meets Negation: A Study in Cross‐linguistic Variation, Journal of Semantics, Volume 21, Issue 3, August 2004, Pages 219–249, </w:t>
      </w:r>
      <w:hyperlink r:id="rId15">
        <w:r>
          <w:rPr>
            <w:highlight w:val="white"/>
          </w:rPr>
          <w:t>https://doi.org/10.1093/jos/21.3.219</w:t>
        </w:r>
      </w:hyperlink>
    </w:p>
    <w:p w14:paraId="5D9E367F" w14:textId="77777777" w:rsidR="007C75FF" w:rsidRDefault="007C75FF">
      <w:pPr>
        <w:shd w:val="clear" w:color="auto" w:fill="FFFFFF"/>
        <w:spacing w:before="280" w:after="280" w:line="240" w:lineRule="auto"/>
        <w:rPr>
          <w:highlight w:val="white"/>
        </w:rPr>
      </w:pPr>
    </w:p>
    <w:p w14:paraId="199D81DB" w14:textId="77777777" w:rsidR="007C75FF" w:rsidRDefault="007C75FF">
      <w:pPr>
        <w:shd w:val="clear" w:color="auto" w:fill="FFFFFF"/>
        <w:spacing w:before="280" w:after="280" w:line="240" w:lineRule="auto"/>
        <w:rPr>
          <w:b/>
          <w:color w:val="1155CC"/>
          <w:sz w:val="24"/>
          <w:szCs w:val="24"/>
          <w:highlight w:val="white"/>
        </w:rPr>
      </w:pPr>
    </w:p>
    <w:p w14:paraId="4A8B5F43" w14:textId="77777777" w:rsidR="007C75FF" w:rsidRDefault="007C75FF">
      <w:pPr>
        <w:shd w:val="clear" w:color="auto" w:fill="FFFFFF"/>
        <w:spacing w:before="280" w:after="280" w:line="240" w:lineRule="auto"/>
        <w:rPr>
          <w:b/>
          <w:color w:val="1155CC"/>
          <w:sz w:val="24"/>
          <w:szCs w:val="24"/>
          <w:highlight w:val="white"/>
        </w:rPr>
      </w:pPr>
    </w:p>
    <w:p w14:paraId="5FD269BA" w14:textId="77777777" w:rsidR="007C75FF" w:rsidRDefault="00000000">
      <w:pPr>
        <w:shd w:val="clear" w:color="auto" w:fill="FFFFFF"/>
        <w:spacing w:before="280" w:after="280" w:line="240" w:lineRule="auto"/>
        <w:rPr>
          <w:b/>
          <w:color w:val="1155CC"/>
          <w:sz w:val="24"/>
          <w:szCs w:val="24"/>
          <w:highlight w:val="white"/>
        </w:rPr>
      </w:pPr>
      <w:proofErr w:type="spellStart"/>
      <w:r>
        <w:rPr>
          <w:b/>
          <w:color w:val="1155CC"/>
          <w:sz w:val="24"/>
          <w:szCs w:val="24"/>
          <w:highlight w:val="white"/>
        </w:rPr>
        <w:t>Semiotica</w:t>
      </w:r>
      <w:proofErr w:type="spellEnd"/>
    </w:p>
    <w:p w14:paraId="262EDCFD" w14:textId="77777777" w:rsidR="007C75FF" w:rsidRDefault="00000000">
      <w:pPr>
        <w:spacing w:after="160" w:line="259" w:lineRule="auto"/>
        <w:rPr>
          <w:highlight w:val="white"/>
        </w:rPr>
      </w:pPr>
      <w:proofErr w:type="spellStart"/>
      <w:r>
        <w:rPr>
          <w:highlight w:val="white"/>
        </w:rPr>
        <w:t>Semiotica</w:t>
      </w:r>
      <w:proofErr w:type="spellEnd"/>
      <w:r>
        <w:rPr>
          <w:highlight w:val="white"/>
        </w:rPr>
        <w:t xml:space="preserve"> is published in six annual issues, in two languages (English and French), and occasionally in German. From time to time, Special Issues, devoted to topics of particular interest, are assembled by Guest Editors. The publishers of </w:t>
      </w:r>
      <w:proofErr w:type="spellStart"/>
      <w:r>
        <w:rPr>
          <w:highlight w:val="white"/>
        </w:rPr>
        <w:t>Semiotica</w:t>
      </w:r>
      <w:proofErr w:type="spellEnd"/>
      <w:r>
        <w:rPr>
          <w:highlight w:val="white"/>
        </w:rPr>
        <w:t xml:space="preserve"> offer an annual prize, the Mouton d'Or, to the author of the best article each year. The article is selected by an independent international jury.</w:t>
      </w:r>
    </w:p>
    <w:p w14:paraId="6EE09645" w14:textId="77777777" w:rsidR="007C75FF" w:rsidRDefault="007C75FF">
      <w:pPr>
        <w:spacing w:after="160" w:line="259" w:lineRule="auto"/>
        <w:rPr>
          <w:sz w:val="27"/>
          <w:szCs w:val="27"/>
          <w:highlight w:val="white"/>
        </w:rPr>
      </w:pPr>
    </w:p>
    <w:p w14:paraId="38F1D665" w14:textId="77777777" w:rsidR="007C75FF" w:rsidRDefault="00000000">
      <w:pPr>
        <w:spacing w:after="160" w:line="259" w:lineRule="auto"/>
        <w:rPr>
          <w:b/>
          <w:sz w:val="27"/>
          <w:szCs w:val="27"/>
          <w:highlight w:val="white"/>
        </w:rPr>
      </w:pPr>
      <w:r>
        <w:rPr>
          <w:b/>
          <w:sz w:val="27"/>
          <w:szCs w:val="27"/>
          <w:highlight w:val="white"/>
        </w:rPr>
        <w:t>IF: 0.29 SJR</w:t>
      </w:r>
    </w:p>
    <w:p w14:paraId="30BAA7F3" w14:textId="77777777" w:rsidR="007C75FF" w:rsidRDefault="00000000">
      <w:pPr>
        <w:widowControl w:val="0"/>
        <w:spacing w:before="188" w:line="259" w:lineRule="auto"/>
        <w:rPr>
          <w:i/>
          <w:color w:val="333333"/>
          <w:sz w:val="24"/>
          <w:szCs w:val="24"/>
        </w:rPr>
      </w:pPr>
      <w:r>
        <w:rPr>
          <w:rFonts w:ascii="Montserrat" w:eastAsia="Montserrat" w:hAnsi="Montserrat" w:cs="Montserrat"/>
          <w:i/>
          <w:color w:val="3B3D3F"/>
          <w:sz w:val="24"/>
          <w:szCs w:val="24"/>
          <w:shd w:val="clear" w:color="auto" w:fill="F7F8F9"/>
        </w:rPr>
        <w:t xml:space="preserve">Sedaghat, Amir. "Semiotic hybridization in Persian poetry and Iranian music" </w:t>
      </w:r>
      <w:proofErr w:type="spellStart"/>
      <w:r>
        <w:rPr>
          <w:rFonts w:ascii="Montserrat" w:eastAsia="Montserrat" w:hAnsi="Montserrat" w:cs="Montserrat"/>
          <w:i/>
          <w:color w:val="3B3D3F"/>
          <w:sz w:val="24"/>
          <w:szCs w:val="24"/>
          <w:shd w:val="clear" w:color="auto" w:fill="F7F8F9"/>
        </w:rPr>
        <w:t>Semiotica</w:t>
      </w:r>
      <w:proofErr w:type="spellEnd"/>
      <w:r>
        <w:rPr>
          <w:rFonts w:ascii="Montserrat" w:eastAsia="Montserrat" w:hAnsi="Montserrat" w:cs="Montserrat"/>
          <w:i/>
          <w:color w:val="3B3D3F"/>
          <w:sz w:val="24"/>
          <w:szCs w:val="24"/>
          <w:shd w:val="clear" w:color="auto" w:fill="F7F8F9"/>
        </w:rPr>
        <w:t xml:space="preserve">, vol. 2021, no. 241, 2021, pp. 275-310. </w:t>
      </w:r>
      <w:hyperlink r:id="rId16">
        <w:r>
          <w:rPr>
            <w:rFonts w:ascii="Montserrat" w:eastAsia="Montserrat" w:hAnsi="Montserrat" w:cs="Montserrat"/>
            <w:i/>
            <w:color w:val="1155CC"/>
            <w:sz w:val="24"/>
            <w:szCs w:val="24"/>
            <w:shd w:val="clear" w:color="auto" w:fill="F7F8F9"/>
          </w:rPr>
          <w:t>https://doi.org/10.1515/sem-2018-0096</w:t>
        </w:r>
      </w:hyperlink>
    </w:p>
    <w:p w14:paraId="03C9E528" w14:textId="77777777" w:rsidR="007C75FF" w:rsidRDefault="00000000">
      <w:pPr>
        <w:widowControl w:val="0"/>
        <w:spacing w:before="188" w:line="259" w:lineRule="auto"/>
        <w:rPr>
          <w:i/>
          <w:color w:val="333333"/>
          <w:sz w:val="24"/>
          <w:szCs w:val="24"/>
        </w:rPr>
      </w:pPr>
      <w:r>
        <w:rPr>
          <w:rFonts w:ascii="Montserrat" w:eastAsia="Montserrat" w:hAnsi="Montserrat" w:cs="Montserrat"/>
          <w:i/>
          <w:color w:val="3B3D3F"/>
          <w:sz w:val="24"/>
          <w:szCs w:val="24"/>
          <w:shd w:val="clear" w:color="auto" w:fill="F7F8F9"/>
        </w:rPr>
        <w:t xml:space="preserve">Zauderer, Elizabeth. "Is a rose </w:t>
      </w:r>
      <w:proofErr w:type="gramStart"/>
      <w:r>
        <w:rPr>
          <w:rFonts w:ascii="Montserrat" w:eastAsia="Montserrat" w:hAnsi="Montserrat" w:cs="Montserrat"/>
          <w:i/>
          <w:color w:val="3B3D3F"/>
          <w:sz w:val="24"/>
          <w:szCs w:val="24"/>
          <w:shd w:val="clear" w:color="auto" w:fill="F7F8F9"/>
        </w:rPr>
        <w:t>is</w:t>
      </w:r>
      <w:proofErr w:type="gramEnd"/>
      <w:r>
        <w:rPr>
          <w:rFonts w:ascii="Montserrat" w:eastAsia="Montserrat" w:hAnsi="Montserrat" w:cs="Montserrat"/>
          <w:i/>
          <w:color w:val="3B3D3F"/>
          <w:sz w:val="24"/>
          <w:szCs w:val="24"/>
          <w:shd w:val="clear" w:color="auto" w:fill="F7F8F9"/>
        </w:rPr>
        <w:t xml:space="preserve"> a rose is a rose? Appropriating polysemy in film: The case of rose imagery in American Beauty" </w:t>
      </w:r>
      <w:proofErr w:type="spellStart"/>
      <w:r>
        <w:rPr>
          <w:rFonts w:ascii="Montserrat" w:eastAsia="Montserrat" w:hAnsi="Montserrat" w:cs="Montserrat"/>
          <w:i/>
          <w:color w:val="3B3D3F"/>
          <w:sz w:val="24"/>
          <w:szCs w:val="24"/>
          <w:shd w:val="clear" w:color="auto" w:fill="F7F8F9"/>
        </w:rPr>
        <w:t>Semiotica</w:t>
      </w:r>
      <w:proofErr w:type="spellEnd"/>
      <w:r>
        <w:rPr>
          <w:rFonts w:ascii="Montserrat" w:eastAsia="Montserrat" w:hAnsi="Montserrat" w:cs="Montserrat"/>
          <w:i/>
          <w:color w:val="3B3D3F"/>
          <w:sz w:val="24"/>
          <w:szCs w:val="24"/>
          <w:shd w:val="clear" w:color="auto" w:fill="F7F8F9"/>
        </w:rPr>
        <w:t xml:space="preserve">, vol. 2015, no. 205, 2015, pp. 191-205. </w:t>
      </w:r>
      <w:hyperlink r:id="rId17">
        <w:r>
          <w:rPr>
            <w:rFonts w:ascii="Montserrat" w:eastAsia="Montserrat" w:hAnsi="Montserrat" w:cs="Montserrat"/>
            <w:i/>
            <w:color w:val="1155CC"/>
            <w:sz w:val="24"/>
            <w:szCs w:val="24"/>
            <w:shd w:val="clear" w:color="auto" w:fill="F7F8F9"/>
          </w:rPr>
          <w:t>https://doi.org/10.1515/sem-2015-0009</w:t>
        </w:r>
      </w:hyperlink>
    </w:p>
    <w:p w14:paraId="7368D4C5" w14:textId="77777777" w:rsidR="007C75FF" w:rsidRDefault="007C75FF">
      <w:pPr>
        <w:widowControl w:val="0"/>
        <w:spacing w:before="188" w:line="259" w:lineRule="auto"/>
        <w:rPr>
          <w:i/>
          <w:color w:val="333333"/>
          <w:sz w:val="24"/>
          <w:szCs w:val="24"/>
        </w:rPr>
      </w:pPr>
    </w:p>
    <w:p w14:paraId="17B76DF9" w14:textId="77777777" w:rsidR="007C75FF" w:rsidRDefault="007C75FF">
      <w:pPr>
        <w:spacing w:after="160" w:line="259" w:lineRule="auto"/>
        <w:rPr>
          <w:b/>
          <w:sz w:val="27"/>
          <w:szCs w:val="27"/>
          <w:highlight w:val="white"/>
        </w:rPr>
      </w:pPr>
    </w:p>
    <w:p w14:paraId="7302AC37" w14:textId="77777777" w:rsidR="007C75FF" w:rsidRDefault="007C75FF">
      <w:pPr>
        <w:shd w:val="clear" w:color="auto" w:fill="FFFFFF"/>
        <w:spacing w:before="280" w:after="280" w:line="240" w:lineRule="auto"/>
        <w:rPr>
          <w:highlight w:val="white"/>
        </w:rPr>
      </w:pPr>
    </w:p>
    <w:p w14:paraId="4895B41D" w14:textId="77777777" w:rsidR="007C75FF" w:rsidRDefault="007C75FF">
      <w:pPr>
        <w:widowControl w:val="0"/>
        <w:pBdr>
          <w:top w:val="nil"/>
          <w:left w:val="nil"/>
          <w:bottom w:val="nil"/>
          <w:right w:val="nil"/>
          <w:between w:val="nil"/>
        </w:pBdr>
        <w:spacing w:before="174" w:line="258" w:lineRule="auto"/>
        <w:rPr>
          <w:rFonts w:ascii="Merriweather" w:eastAsia="Merriweather" w:hAnsi="Merriweather" w:cs="Merriweather"/>
          <w:b/>
          <w:color w:val="2A2A2A"/>
          <w:sz w:val="23"/>
          <w:szCs w:val="23"/>
          <w:highlight w:val="white"/>
        </w:rPr>
      </w:pPr>
    </w:p>
    <w:p w14:paraId="322B995F" w14:textId="77777777" w:rsidR="007C75FF" w:rsidRDefault="00000000">
      <w:pPr>
        <w:widowControl w:val="0"/>
        <w:pBdr>
          <w:top w:val="nil"/>
          <w:left w:val="nil"/>
          <w:bottom w:val="nil"/>
          <w:right w:val="nil"/>
          <w:between w:val="nil"/>
        </w:pBdr>
        <w:spacing w:before="2675" w:line="199" w:lineRule="auto"/>
        <w:rPr>
          <w:rFonts w:ascii="Calibri" w:eastAsia="Calibri" w:hAnsi="Calibri" w:cs="Calibri"/>
          <w:color w:val="FFC000"/>
          <w:sz w:val="24"/>
          <w:szCs w:val="24"/>
        </w:rPr>
        <w:sectPr w:rsidR="007C75FF">
          <w:type w:val="continuous"/>
          <w:pgSz w:w="12240" w:h="15840"/>
          <w:pgMar w:top="585" w:right="13" w:bottom="16" w:left="0" w:header="0" w:footer="720" w:gutter="0"/>
          <w:cols w:space="720" w:equalWidth="0">
            <w:col w:w="12226" w:space="0"/>
          </w:cols>
        </w:sectPr>
      </w:pPr>
      <w:r>
        <w:rPr>
          <w:rFonts w:ascii="Tahoma" w:eastAsia="Tahoma" w:hAnsi="Tahoma" w:cs="Tahoma"/>
          <w:noProof/>
          <w:color w:val="222222"/>
          <w:sz w:val="24"/>
          <w:szCs w:val="24"/>
          <w:highlight w:val="white"/>
        </w:rPr>
        <w:lastRenderedPageBreak/>
        <w:drawing>
          <wp:inline distT="19050" distB="19050" distL="19050" distR="19050" wp14:anchorId="322A6C93" wp14:editId="20940C89">
            <wp:extent cx="7754620" cy="231394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754620" cy="2313940"/>
                    </a:xfrm>
                    <a:prstGeom prst="rect">
                      <a:avLst/>
                    </a:prstGeom>
                    <a:ln/>
                  </pic:spPr>
                </pic:pic>
              </a:graphicData>
            </a:graphic>
          </wp:inline>
        </w:drawing>
      </w:r>
      <w:r>
        <w:rPr>
          <w:rFonts w:ascii="Calibri" w:eastAsia="Calibri" w:hAnsi="Calibri" w:cs="Calibri"/>
          <w:b/>
          <w:color w:val="FFC000"/>
          <w:sz w:val="24"/>
          <w:szCs w:val="24"/>
        </w:rPr>
        <w:t xml:space="preserve">International Tel: </w:t>
      </w:r>
      <w:r>
        <w:rPr>
          <w:rFonts w:ascii="Calibri" w:eastAsia="Calibri" w:hAnsi="Calibri" w:cs="Calibri"/>
          <w:color w:val="FFC000"/>
          <w:sz w:val="24"/>
          <w:szCs w:val="24"/>
        </w:rPr>
        <w:t xml:space="preserve">+972 (0)52-241-4342 </w:t>
      </w:r>
    </w:p>
    <w:p w14:paraId="4DA7AD60" w14:textId="77777777" w:rsidR="007C75FF" w:rsidRDefault="00000000">
      <w:pPr>
        <w:widowControl w:val="0"/>
        <w:pBdr>
          <w:top w:val="nil"/>
          <w:left w:val="nil"/>
          <w:bottom w:val="nil"/>
          <w:right w:val="nil"/>
          <w:between w:val="nil"/>
        </w:pBdr>
        <w:spacing w:line="240" w:lineRule="auto"/>
        <w:rPr>
          <w:rFonts w:ascii="Calibri" w:eastAsia="Calibri" w:hAnsi="Calibri" w:cs="Calibri"/>
          <w:color w:val="B785BB"/>
          <w:sz w:val="24"/>
          <w:szCs w:val="24"/>
        </w:rPr>
      </w:pPr>
      <w:r>
        <w:rPr>
          <w:rFonts w:ascii="Calibri" w:eastAsia="Calibri" w:hAnsi="Calibri" w:cs="Calibri"/>
          <w:noProof/>
          <w:color w:val="FFC000"/>
          <w:sz w:val="24"/>
          <w:szCs w:val="24"/>
        </w:rPr>
        <w:drawing>
          <wp:inline distT="19050" distB="19050" distL="19050" distR="19050" wp14:anchorId="6AB1A208" wp14:editId="3BA20AF0">
            <wp:extent cx="200025" cy="2000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00025" cy="200025"/>
                    </a:xfrm>
                    <a:prstGeom prst="rect">
                      <a:avLst/>
                    </a:prstGeom>
                    <a:ln/>
                  </pic:spPr>
                </pic:pic>
              </a:graphicData>
            </a:graphic>
          </wp:inline>
        </w:drawing>
      </w:r>
      <w:r>
        <w:rPr>
          <w:rFonts w:ascii="Calibri" w:eastAsia="Calibri" w:hAnsi="Calibri" w:cs="Calibri"/>
          <w:noProof/>
          <w:color w:val="FFC000"/>
          <w:sz w:val="24"/>
          <w:szCs w:val="24"/>
        </w:rPr>
        <w:drawing>
          <wp:inline distT="19050" distB="19050" distL="19050" distR="19050" wp14:anchorId="528A6098" wp14:editId="21A88508">
            <wp:extent cx="992124" cy="18592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992124" cy="185928"/>
                    </a:xfrm>
                    <a:prstGeom prst="rect">
                      <a:avLst/>
                    </a:prstGeom>
                    <a:ln/>
                  </pic:spPr>
                </pic:pic>
              </a:graphicData>
            </a:graphic>
          </wp:inline>
        </w:drawing>
      </w:r>
      <w:r>
        <w:rPr>
          <w:rFonts w:ascii="Calibri" w:eastAsia="Calibri" w:hAnsi="Calibri" w:cs="Calibri"/>
          <w:color w:val="AEEB60"/>
          <w:sz w:val="24"/>
          <w:szCs w:val="24"/>
        </w:rPr>
        <w:t xml:space="preserve">aclang.com </w:t>
      </w:r>
      <w:r>
        <w:rPr>
          <w:rFonts w:ascii="Calibri" w:eastAsia="Calibri" w:hAnsi="Calibri" w:cs="Calibri"/>
          <w:noProof/>
          <w:color w:val="AEEB60"/>
          <w:sz w:val="24"/>
          <w:szCs w:val="24"/>
        </w:rPr>
        <w:drawing>
          <wp:inline distT="19050" distB="19050" distL="19050" distR="19050" wp14:anchorId="59044744" wp14:editId="142EE0DC">
            <wp:extent cx="209550" cy="209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09550" cy="209550"/>
                    </a:xfrm>
                    <a:prstGeom prst="rect">
                      <a:avLst/>
                    </a:prstGeom>
                    <a:ln/>
                  </pic:spPr>
                </pic:pic>
              </a:graphicData>
            </a:graphic>
          </wp:inline>
        </w:drawing>
      </w:r>
      <w:r>
        <w:rPr>
          <w:rFonts w:ascii="Calibri" w:eastAsia="Calibri" w:hAnsi="Calibri" w:cs="Calibri"/>
          <w:noProof/>
          <w:color w:val="AEEB60"/>
          <w:sz w:val="24"/>
          <w:szCs w:val="24"/>
        </w:rPr>
        <w:drawing>
          <wp:inline distT="19050" distB="19050" distL="19050" distR="19050" wp14:anchorId="657513A3" wp14:editId="577F4B80">
            <wp:extent cx="1391412" cy="185928"/>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391412" cy="185928"/>
                    </a:xfrm>
                    <a:prstGeom prst="rect">
                      <a:avLst/>
                    </a:prstGeom>
                    <a:ln/>
                  </pic:spPr>
                </pic:pic>
              </a:graphicData>
            </a:graphic>
          </wp:inline>
        </w:drawing>
      </w:r>
      <w:r>
        <w:rPr>
          <w:rFonts w:ascii="Calibri" w:eastAsia="Calibri" w:hAnsi="Calibri" w:cs="Calibri"/>
          <w:color w:val="B785BB"/>
          <w:sz w:val="24"/>
          <w:szCs w:val="24"/>
        </w:rPr>
        <w:t xml:space="preserve">Info@aclang.com </w:t>
      </w:r>
    </w:p>
    <w:p w14:paraId="34B309E0" w14:textId="77777777" w:rsidR="007C75FF" w:rsidRDefault="00000000">
      <w:pPr>
        <w:widowControl w:val="0"/>
        <w:pBdr>
          <w:top w:val="nil"/>
          <w:left w:val="nil"/>
          <w:bottom w:val="nil"/>
          <w:right w:val="nil"/>
          <w:between w:val="nil"/>
        </w:pBdr>
        <w:spacing w:line="261" w:lineRule="auto"/>
        <w:rPr>
          <w:rFonts w:ascii="Calibri" w:eastAsia="Calibri" w:hAnsi="Calibri" w:cs="Calibri"/>
          <w:color w:val="FFC000"/>
          <w:sz w:val="24"/>
          <w:szCs w:val="24"/>
        </w:rPr>
      </w:pPr>
      <w:r>
        <w:rPr>
          <w:rFonts w:ascii="Calibri" w:eastAsia="Calibri" w:hAnsi="Calibri" w:cs="Calibri"/>
          <w:b/>
          <w:color w:val="FFC000"/>
          <w:sz w:val="24"/>
          <w:szCs w:val="24"/>
        </w:rPr>
        <w:t xml:space="preserve">USA Tel: </w:t>
      </w:r>
      <w:r>
        <w:rPr>
          <w:rFonts w:ascii="Calibri" w:eastAsia="Calibri" w:hAnsi="Calibri" w:cs="Calibri"/>
          <w:color w:val="FFC000"/>
          <w:sz w:val="24"/>
          <w:szCs w:val="24"/>
        </w:rPr>
        <w:t xml:space="preserve">1-667-309-1572 </w:t>
      </w:r>
      <w:r>
        <w:rPr>
          <w:rFonts w:ascii="Calibri" w:eastAsia="Calibri" w:hAnsi="Calibri" w:cs="Calibri"/>
          <w:b/>
          <w:color w:val="FFC000"/>
          <w:sz w:val="24"/>
          <w:szCs w:val="24"/>
        </w:rPr>
        <w:t xml:space="preserve">Canada Tel: </w:t>
      </w:r>
      <w:r>
        <w:rPr>
          <w:rFonts w:ascii="Calibri" w:eastAsia="Calibri" w:hAnsi="Calibri" w:cs="Calibri"/>
          <w:color w:val="FFC000"/>
          <w:sz w:val="24"/>
          <w:szCs w:val="24"/>
        </w:rPr>
        <w:t xml:space="preserve">1-647-495-9018 </w:t>
      </w:r>
      <w:r>
        <w:rPr>
          <w:rFonts w:ascii="Calibri" w:eastAsia="Calibri" w:hAnsi="Calibri" w:cs="Calibri"/>
          <w:b/>
          <w:color w:val="FFC000"/>
          <w:sz w:val="24"/>
          <w:szCs w:val="24"/>
        </w:rPr>
        <w:t xml:space="preserve">UK Tel: </w:t>
      </w:r>
      <w:r>
        <w:rPr>
          <w:rFonts w:ascii="Calibri" w:eastAsia="Calibri" w:hAnsi="Calibri" w:cs="Calibri"/>
          <w:color w:val="FFC000"/>
          <w:sz w:val="24"/>
          <w:szCs w:val="24"/>
        </w:rPr>
        <w:t xml:space="preserve">0203-769-0297 </w:t>
      </w:r>
      <w:r>
        <w:rPr>
          <w:noProof/>
        </w:rPr>
        <w:drawing>
          <wp:anchor distT="19050" distB="19050" distL="19050" distR="19050" simplePos="0" relativeHeight="251661312" behindDoc="0" locked="0" layoutInCell="1" hidden="0" allowOverlap="1" wp14:anchorId="49804DEF" wp14:editId="5A3A9AE5">
            <wp:simplePos x="0" y="0"/>
            <wp:positionH relativeFrom="column">
              <wp:posOffset>19050</wp:posOffset>
            </wp:positionH>
            <wp:positionV relativeFrom="paragraph">
              <wp:posOffset>86271</wp:posOffset>
            </wp:positionV>
            <wp:extent cx="176530" cy="180975"/>
            <wp:effectExtent l="0" t="0" r="0" b="0"/>
            <wp:wrapSquare wrapText="right" distT="19050" distB="19050" distL="19050" distR="1905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76530" cy="180975"/>
                    </a:xfrm>
                    <a:prstGeom prst="rect">
                      <a:avLst/>
                    </a:prstGeom>
                    <a:ln/>
                  </pic:spPr>
                </pic:pic>
              </a:graphicData>
            </a:graphic>
          </wp:anchor>
        </w:drawing>
      </w:r>
      <w:r>
        <w:rPr>
          <w:noProof/>
        </w:rPr>
        <w:drawing>
          <wp:anchor distT="19050" distB="19050" distL="19050" distR="19050" simplePos="0" relativeHeight="251662336" behindDoc="0" locked="0" layoutInCell="1" hidden="0" allowOverlap="1" wp14:anchorId="15553190" wp14:editId="005B2A26">
            <wp:simplePos x="0" y="0"/>
            <wp:positionH relativeFrom="column">
              <wp:posOffset>-78758</wp:posOffset>
            </wp:positionH>
            <wp:positionV relativeFrom="paragraph">
              <wp:posOffset>-158952</wp:posOffset>
            </wp:positionV>
            <wp:extent cx="2915412" cy="672084"/>
            <wp:effectExtent l="0" t="0" r="0" b="0"/>
            <wp:wrapSquare wrapText="bothSides" distT="19050" distB="19050" distL="19050" distR="1905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915412" cy="672084"/>
                    </a:xfrm>
                    <a:prstGeom prst="rect">
                      <a:avLst/>
                    </a:prstGeom>
                    <a:ln/>
                  </pic:spPr>
                </pic:pic>
              </a:graphicData>
            </a:graphic>
          </wp:anchor>
        </w:drawing>
      </w:r>
    </w:p>
    <w:sectPr w:rsidR="007C75FF">
      <w:type w:val="continuous"/>
      <w:pgSz w:w="12240" w:h="15840"/>
      <w:pgMar w:top="585" w:right="2765" w:bottom="16" w:left="1530" w:header="0" w:footer="720" w:gutter="0"/>
      <w:cols w:num="2" w:space="720" w:equalWidth="0">
        <w:col w:w="3980" w:space="0"/>
        <w:col w:w="39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374557F-3636-4DF8-9B12-74E54E26DC8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A00600B-1170-4991-B715-7A99CEF1CC5F}"/>
    <w:embedItalic r:id="rId3" w:fontKey="{1FE7B897-7B18-498E-8420-EA8871466806}"/>
  </w:font>
  <w:font w:name="Tahoma">
    <w:panose1 w:val="020B0604030504040204"/>
    <w:charset w:val="00"/>
    <w:family w:val="swiss"/>
    <w:pitch w:val="variable"/>
    <w:sig w:usb0="E1002EFF" w:usb1="C000605B" w:usb2="00000029" w:usb3="00000000" w:csb0="000101FF" w:csb1="00000000"/>
    <w:embedRegular r:id="rId4" w:fontKey="{DD72A1D2-F0A1-424D-8F9D-20707795EDAE}"/>
    <w:embedBold r:id="rId5" w:fontKey="{88E869C2-B8AE-464D-9C7E-6E73844305F1}"/>
  </w:font>
  <w:font w:name="Calibri">
    <w:panose1 w:val="020F0502020204030204"/>
    <w:charset w:val="00"/>
    <w:family w:val="swiss"/>
    <w:pitch w:val="variable"/>
    <w:sig w:usb0="E4002EFF" w:usb1="C200247B" w:usb2="00000009" w:usb3="00000000" w:csb0="000001FF" w:csb1="00000000"/>
    <w:embedRegular r:id="rId6" w:fontKey="{80F1B1ED-DA15-44C0-901B-D2358ECAAF4B}"/>
    <w:embedBold r:id="rId7" w:fontKey="{170ECC3E-8BCB-49E0-9356-A264D810D0EA}"/>
  </w:font>
  <w:font w:name="Montserrat">
    <w:charset w:val="00"/>
    <w:family w:val="auto"/>
    <w:pitch w:val="variable"/>
    <w:sig w:usb0="2000020F" w:usb1="00000003" w:usb2="00000000" w:usb3="00000000" w:csb0="00000197" w:csb1="00000000"/>
    <w:embedRegular r:id="rId8" w:fontKey="{0A67CDF2-8FBD-4079-9B7A-D21B39741242}"/>
    <w:embedItalic r:id="rId9" w:fontKey="{151229C9-6CEE-49B6-A640-ED75A76743A4}"/>
  </w:font>
  <w:font w:name="Merriweather">
    <w:charset w:val="00"/>
    <w:family w:val="auto"/>
    <w:pitch w:val="variable"/>
    <w:sig w:usb0="20000207" w:usb1="00000002" w:usb2="00000000" w:usb3="00000000" w:csb0="00000197" w:csb1="00000000"/>
    <w:embedRegular r:id="rId10" w:fontKey="{E87D9E07-DF41-4ED1-B323-831A908AECA8}"/>
    <w:embedBold r:id="rId11" w:fontKey="{628902AC-685C-4D75-A335-2C61D6BB6A8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2" w:fontKey="{18F43935-EA2D-4A34-AADA-C71AA7686A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E8098A"/>
    <w:multiLevelType w:val="multilevel"/>
    <w:tmpl w:val="361E6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96064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Q1MLWwNDQxMDGwMDVR0lEKTi0uzszPAykwrAUAbc0B8iwAAAA="/>
  </w:docVars>
  <w:rsids>
    <w:rsidRoot w:val="007C75FF"/>
    <w:rsid w:val="002B16F5"/>
    <w:rsid w:val="00487F9D"/>
    <w:rsid w:val="007C75FF"/>
  </w:rsids>
  <m:mathPr>
    <m:mathFont m:val="Cambria Math"/>
    <m:brkBin m:val="before"/>
    <m:brkBinSub m:val="--"/>
    <m:smallFrac m:val="0"/>
    <m:dispDef/>
    <m:lMargin m:val="0"/>
    <m:rMargin m:val="0"/>
    <m:defJc m:val="centerGroup"/>
    <m:wrapIndent m:val="1440"/>
    <m:intLim m:val="subSup"/>
    <m:naryLim m:val="undOvr"/>
  </m:mathPr>
  <w:themeFontLang w:val="en-I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5CBB8"/>
  <w15:docId w15:val="{D5B217F9-CF34-408F-A961-EDC0790F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IL" w:eastAsia="zh-CN"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1080/20512856.2018.1546653" TargetMode="External"/><Relationship Id="rId12" Type="http://schemas.openxmlformats.org/officeDocument/2006/relationships/image" Target="media/image7.png"/><Relationship Id="rId17" Type="http://schemas.openxmlformats.org/officeDocument/2006/relationships/hyperlink" Target="https://doi.org/10.1515/sem-2015-0009" TargetMode="External"/><Relationship Id="rId2" Type="http://schemas.openxmlformats.org/officeDocument/2006/relationships/styles" Target="styles.xml"/><Relationship Id="rId16" Type="http://schemas.openxmlformats.org/officeDocument/2006/relationships/hyperlink" Target="https://doi.org/10.1515/sem-2018-0096"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doi.org/10.1093/jos/21.3.219" TargetMode="Externa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664</Words>
  <Characters>3791</Characters>
  <Application>Microsoft Office Word</Application>
  <DocSecurity>0</DocSecurity>
  <Lines>31</Lines>
  <Paragraphs>8</Paragraphs>
  <ScaleCrop>false</ScaleCrop>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Susan Doron</cp:lastModifiedBy>
  <cp:revision>2</cp:revision>
  <dcterms:created xsi:type="dcterms:W3CDTF">2024-08-30T15:38:00Z</dcterms:created>
  <dcterms:modified xsi:type="dcterms:W3CDTF">2024-08-30T15:38:00Z</dcterms:modified>
</cp:coreProperties>
</file>