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2F0F9" w14:textId="51E461D7" w:rsidR="00255C1B" w:rsidRPr="00311CD4" w:rsidRDefault="004F0495" w:rsidP="004C761E">
      <w:pPr>
        <w:spacing w:line="360" w:lineRule="auto"/>
        <w:rPr>
          <w:rFonts w:asciiTheme="majorBidi" w:hAnsiTheme="majorBidi" w:cstheme="majorBidi"/>
          <w:sz w:val="24"/>
          <w:szCs w:val="24"/>
        </w:rPr>
      </w:pPr>
      <w:r w:rsidRPr="00311CD4">
        <w:rPr>
          <w:rFonts w:asciiTheme="majorBidi" w:hAnsiTheme="majorBidi" w:cstheme="majorBidi"/>
          <w:sz w:val="24"/>
          <w:szCs w:val="24"/>
        </w:rPr>
        <w:t xml:space="preserve">September 1, </w:t>
      </w:r>
      <w:proofErr w:type="gramStart"/>
      <w:r w:rsidRPr="00311CD4">
        <w:rPr>
          <w:rFonts w:asciiTheme="majorBidi" w:hAnsiTheme="majorBidi" w:cstheme="majorBidi"/>
          <w:sz w:val="24"/>
          <w:szCs w:val="24"/>
        </w:rPr>
        <w:t>1939</w:t>
      </w:r>
      <w:proofErr w:type="gramEnd"/>
      <w:r w:rsidR="00141EED">
        <w:rPr>
          <w:rFonts w:asciiTheme="majorBidi" w:hAnsiTheme="majorBidi" w:cstheme="majorBidi"/>
          <w:sz w:val="24"/>
          <w:szCs w:val="24"/>
        </w:rPr>
        <w:t xml:space="preserve"> not only marked</w:t>
      </w:r>
      <w:r w:rsidRPr="00311CD4">
        <w:rPr>
          <w:rFonts w:asciiTheme="majorBidi" w:hAnsiTheme="majorBidi" w:cstheme="majorBidi"/>
          <w:sz w:val="24"/>
          <w:szCs w:val="24"/>
        </w:rPr>
        <w:t xml:space="preserve"> the beginning of unprecedented suffering for the inhabitants of Central and Eastern Europe</w:t>
      </w:r>
      <w:r w:rsidR="00141EED">
        <w:rPr>
          <w:rFonts w:asciiTheme="majorBidi" w:hAnsiTheme="majorBidi" w:cstheme="majorBidi"/>
          <w:sz w:val="24"/>
          <w:szCs w:val="24"/>
        </w:rPr>
        <w:t>. It also ushered in</w:t>
      </w:r>
      <w:r w:rsidRPr="00311CD4">
        <w:rPr>
          <w:rFonts w:asciiTheme="majorBidi" w:hAnsiTheme="majorBidi" w:cstheme="majorBidi"/>
          <w:sz w:val="24"/>
          <w:szCs w:val="24"/>
        </w:rPr>
        <w:t xml:space="preserve"> the beginning of the end for the old world of Eastern Galicia.</w:t>
      </w:r>
      <w:r w:rsidR="00141EED">
        <w:rPr>
          <w:rFonts w:asciiTheme="majorBidi" w:hAnsiTheme="majorBidi" w:cstheme="majorBidi"/>
          <w:sz w:val="24"/>
          <w:szCs w:val="24"/>
        </w:rPr>
        <w:t xml:space="preserve"> For centuries,</w:t>
      </w:r>
      <w:r w:rsidRPr="00311CD4">
        <w:rPr>
          <w:rFonts w:asciiTheme="majorBidi" w:hAnsiTheme="majorBidi" w:cstheme="majorBidi"/>
          <w:sz w:val="24"/>
          <w:szCs w:val="24"/>
        </w:rPr>
        <w:t xml:space="preserve"> Ukrainians, Poles, Jews, Armenians, Germans, and other peoples had </w:t>
      </w:r>
      <w:r w:rsidR="00141EED">
        <w:rPr>
          <w:rFonts w:asciiTheme="majorBidi" w:hAnsiTheme="majorBidi" w:cstheme="majorBidi"/>
          <w:sz w:val="24"/>
          <w:szCs w:val="24"/>
        </w:rPr>
        <w:t>succeeded in living</w:t>
      </w:r>
      <w:r w:rsidRPr="00311CD4">
        <w:rPr>
          <w:rFonts w:asciiTheme="majorBidi" w:hAnsiTheme="majorBidi" w:cstheme="majorBidi"/>
          <w:sz w:val="24"/>
          <w:szCs w:val="24"/>
        </w:rPr>
        <w:t xml:space="preserve"> side by side</w:t>
      </w:r>
      <w:r w:rsidR="00141EED" w:rsidRPr="00311CD4">
        <w:rPr>
          <w:rFonts w:asciiTheme="majorBidi" w:hAnsiTheme="majorBidi" w:cstheme="majorBidi"/>
          <w:sz w:val="24"/>
          <w:szCs w:val="24"/>
        </w:rPr>
        <w:t xml:space="preserve"> </w:t>
      </w:r>
      <w:r w:rsidR="00141EED">
        <w:rPr>
          <w:rFonts w:asciiTheme="majorBidi" w:hAnsiTheme="majorBidi" w:cstheme="majorBidi"/>
          <w:sz w:val="24"/>
          <w:szCs w:val="24"/>
        </w:rPr>
        <w:t>i</w:t>
      </w:r>
      <w:r w:rsidR="00141EED">
        <w:rPr>
          <w:rFonts w:asciiTheme="majorBidi" w:hAnsiTheme="majorBidi" w:cstheme="majorBidi"/>
          <w:sz w:val="24"/>
          <w:szCs w:val="24"/>
        </w:rPr>
        <w:t>n this</w:t>
      </w:r>
      <w:r w:rsidR="00141EED" w:rsidRPr="00311CD4">
        <w:rPr>
          <w:rFonts w:asciiTheme="majorBidi" w:hAnsiTheme="majorBidi" w:cstheme="majorBidi"/>
          <w:sz w:val="24"/>
          <w:szCs w:val="24"/>
        </w:rPr>
        <w:t xml:space="preserve"> multi-ethnic region</w:t>
      </w:r>
      <w:r w:rsidR="00141EED">
        <w:rPr>
          <w:rFonts w:asciiTheme="majorBidi" w:hAnsiTheme="majorBidi" w:cstheme="majorBidi"/>
          <w:sz w:val="24"/>
          <w:szCs w:val="24"/>
        </w:rPr>
        <w:t xml:space="preserve">. About 318,000 people were living in Lviv, Eastern Galicia’s largest city, in </w:t>
      </w:r>
      <w:proofErr w:type="gramStart"/>
      <w:r w:rsidR="00141EED">
        <w:rPr>
          <w:rFonts w:asciiTheme="majorBidi" w:hAnsiTheme="majorBidi" w:cstheme="majorBidi"/>
          <w:sz w:val="24"/>
          <w:szCs w:val="24"/>
        </w:rPr>
        <w:t>1939.</w:t>
      </w:r>
      <w:r w:rsidRPr="00311CD4">
        <w:rPr>
          <w:rFonts w:asciiTheme="majorBidi" w:hAnsiTheme="majorBidi" w:cstheme="majorBidi"/>
          <w:sz w:val="24"/>
          <w:szCs w:val="24"/>
        </w:rPr>
        <w:t>.</w:t>
      </w:r>
      <w:proofErr w:type="gramEnd"/>
      <w:r w:rsidRPr="00311CD4">
        <w:rPr>
          <w:rFonts w:asciiTheme="majorBidi" w:hAnsiTheme="majorBidi" w:cstheme="majorBidi"/>
          <w:sz w:val="24"/>
          <w:szCs w:val="24"/>
        </w:rPr>
        <w:t xml:space="preserve"> </w:t>
      </w:r>
      <w:r w:rsidR="00141EED">
        <w:rPr>
          <w:rFonts w:asciiTheme="majorBidi" w:hAnsiTheme="majorBidi" w:cstheme="majorBidi"/>
          <w:sz w:val="24"/>
          <w:szCs w:val="24"/>
        </w:rPr>
        <w:t>The population then was composed of 51</w:t>
      </w:r>
      <w:proofErr w:type="gramStart"/>
      <w:r w:rsidR="00141EED">
        <w:rPr>
          <w:rFonts w:asciiTheme="majorBidi" w:hAnsiTheme="majorBidi" w:cstheme="majorBidi"/>
          <w:sz w:val="24"/>
          <w:szCs w:val="24"/>
        </w:rPr>
        <w:t xml:space="preserve">% </w:t>
      </w:r>
      <w:r w:rsidRPr="00311CD4">
        <w:rPr>
          <w:rFonts w:asciiTheme="majorBidi" w:hAnsiTheme="majorBidi" w:cstheme="majorBidi"/>
          <w:sz w:val="24"/>
          <w:szCs w:val="24"/>
        </w:rPr>
        <w:t xml:space="preserve"> Roman</w:t>
      </w:r>
      <w:proofErr w:type="gramEnd"/>
      <w:r w:rsidRPr="00311CD4">
        <w:rPr>
          <w:rFonts w:asciiTheme="majorBidi" w:hAnsiTheme="majorBidi" w:cstheme="majorBidi"/>
          <w:sz w:val="24"/>
          <w:szCs w:val="24"/>
        </w:rPr>
        <w:t xml:space="preserve"> Catholics, </w:t>
      </w:r>
      <w:r w:rsidR="00141EED">
        <w:rPr>
          <w:rFonts w:asciiTheme="majorBidi" w:hAnsiTheme="majorBidi" w:cstheme="majorBidi"/>
          <w:sz w:val="24"/>
          <w:szCs w:val="24"/>
        </w:rPr>
        <w:t>most of them</w:t>
      </w:r>
      <w:r w:rsidRPr="00311CD4">
        <w:rPr>
          <w:rFonts w:asciiTheme="majorBidi" w:hAnsiTheme="majorBidi" w:cstheme="majorBidi"/>
          <w:sz w:val="24"/>
          <w:szCs w:val="24"/>
        </w:rPr>
        <w:t xml:space="preserve"> Poles</w:t>
      </w:r>
      <w:r w:rsidR="00141EED">
        <w:rPr>
          <w:rFonts w:asciiTheme="majorBidi" w:hAnsiTheme="majorBidi" w:cstheme="majorBidi"/>
          <w:sz w:val="24"/>
          <w:szCs w:val="24"/>
        </w:rPr>
        <w:t xml:space="preserve"> ( 30% </w:t>
      </w:r>
      <w:r w:rsidRPr="00311CD4">
        <w:rPr>
          <w:rFonts w:asciiTheme="majorBidi" w:hAnsiTheme="majorBidi" w:cstheme="majorBidi"/>
          <w:sz w:val="24"/>
          <w:szCs w:val="24"/>
        </w:rPr>
        <w:t>Jews</w:t>
      </w:r>
      <w:r w:rsidR="00141EED">
        <w:rPr>
          <w:rFonts w:asciiTheme="majorBidi" w:hAnsiTheme="majorBidi" w:cstheme="majorBidi"/>
          <w:sz w:val="24"/>
          <w:szCs w:val="24"/>
        </w:rPr>
        <w:t>,</w:t>
      </w:r>
      <w:r w:rsidRPr="00311CD4">
        <w:rPr>
          <w:rFonts w:asciiTheme="majorBidi" w:hAnsiTheme="majorBidi" w:cstheme="majorBidi"/>
          <w:sz w:val="24"/>
          <w:szCs w:val="24"/>
        </w:rPr>
        <w:t xml:space="preserve"> and </w:t>
      </w:r>
      <w:r w:rsidR="00141EED">
        <w:rPr>
          <w:rFonts w:asciiTheme="majorBidi" w:hAnsiTheme="majorBidi" w:cstheme="majorBidi"/>
          <w:sz w:val="24"/>
          <w:szCs w:val="24"/>
        </w:rPr>
        <w:t xml:space="preserve">16% </w:t>
      </w:r>
      <w:r w:rsidRPr="00311CD4">
        <w:rPr>
          <w:rFonts w:asciiTheme="majorBidi" w:hAnsiTheme="majorBidi" w:cstheme="majorBidi"/>
          <w:sz w:val="24"/>
          <w:szCs w:val="24"/>
        </w:rPr>
        <w:t xml:space="preserve">Greek Catholics, the majority of whom were Ukrainians%. After 1945, only about 7% of the </w:t>
      </w:r>
      <w:r w:rsidR="00141EED">
        <w:rPr>
          <w:rFonts w:asciiTheme="majorBidi" w:hAnsiTheme="majorBidi" w:cstheme="majorBidi"/>
          <w:sz w:val="24"/>
          <w:szCs w:val="24"/>
        </w:rPr>
        <w:t xml:space="preserve">large </w:t>
      </w:r>
      <w:r w:rsidRPr="00311CD4">
        <w:rPr>
          <w:rFonts w:asciiTheme="majorBidi" w:hAnsiTheme="majorBidi" w:cstheme="majorBidi"/>
          <w:sz w:val="24"/>
          <w:szCs w:val="24"/>
        </w:rPr>
        <w:t xml:space="preserve">pre-war population remained in the city. This number is truly staggering and </w:t>
      </w:r>
      <w:r w:rsidR="007E2D86">
        <w:rPr>
          <w:rFonts w:asciiTheme="majorBidi" w:hAnsiTheme="majorBidi" w:cstheme="majorBidi"/>
          <w:sz w:val="24"/>
          <w:szCs w:val="24"/>
        </w:rPr>
        <w:t>inevitably prompts</w:t>
      </w:r>
      <w:r w:rsidRPr="00311CD4">
        <w:rPr>
          <w:rFonts w:asciiTheme="majorBidi" w:hAnsiTheme="majorBidi" w:cstheme="majorBidi"/>
          <w:sz w:val="24"/>
          <w:szCs w:val="24"/>
        </w:rPr>
        <w:t xml:space="preserve"> </w:t>
      </w:r>
      <w:r w:rsidR="007E2D86">
        <w:rPr>
          <w:rFonts w:asciiTheme="majorBidi" w:hAnsiTheme="majorBidi" w:cstheme="majorBidi"/>
          <w:sz w:val="24"/>
          <w:szCs w:val="24"/>
        </w:rPr>
        <w:t>consideration of</w:t>
      </w:r>
      <w:r w:rsidRPr="00311CD4">
        <w:rPr>
          <w:rFonts w:asciiTheme="majorBidi" w:hAnsiTheme="majorBidi" w:cstheme="majorBidi"/>
          <w:sz w:val="24"/>
          <w:szCs w:val="24"/>
        </w:rPr>
        <w:t xml:space="preserve"> on the cruelty of the two totalitarian regimes that successively controlled this land. </w:t>
      </w:r>
      <w:r w:rsidR="00141EED">
        <w:rPr>
          <w:rFonts w:asciiTheme="majorBidi" w:hAnsiTheme="majorBidi" w:cstheme="majorBidi"/>
          <w:sz w:val="24"/>
          <w:szCs w:val="24"/>
        </w:rPr>
        <w:t>Their destruction of</w:t>
      </w:r>
      <w:r w:rsidRPr="00311CD4">
        <w:rPr>
          <w:rFonts w:asciiTheme="majorBidi" w:hAnsiTheme="majorBidi" w:cstheme="majorBidi"/>
          <w:sz w:val="24"/>
          <w:szCs w:val="24"/>
        </w:rPr>
        <w:t xml:space="preserve"> everything that had been </w:t>
      </w:r>
      <w:r w:rsidR="00141EED">
        <w:rPr>
          <w:rFonts w:asciiTheme="majorBidi" w:hAnsiTheme="majorBidi" w:cstheme="majorBidi"/>
          <w:sz w:val="24"/>
          <w:szCs w:val="24"/>
        </w:rPr>
        <w:t>created and evolved</w:t>
      </w:r>
      <w:r w:rsidRPr="00311CD4">
        <w:rPr>
          <w:rFonts w:asciiTheme="majorBidi" w:hAnsiTheme="majorBidi" w:cstheme="majorBidi"/>
          <w:sz w:val="24"/>
          <w:szCs w:val="24"/>
        </w:rPr>
        <w:t xml:space="preserve"> here over centuries</w:t>
      </w:r>
      <w:r w:rsidR="00141EED">
        <w:rPr>
          <w:rFonts w:asciiTheme="majorBidi" w:hAnsiTheme="majorBidi" w:cstheme="majorBidi"/>
          <w:sz w:val="24"/>
          <w:szCs w:val="24"/>
        </w:rPr>
        <w:t xml:space="preserve"> –</w:t>
      </w:r>
      <w:r w:rsidRPr="00311CD4">
        <w:rPr>
          <w:rFonts w:asciiTheme="majorBidi" w:hAnsiTheme="majorBidi" w:cstheme="majorBidi"/>
          <w:sz w:val="24"/>
          <w:szCs w:val="24"/>
        </w:rPr>
        <w:t xml:space="preserve"> the people, the cultural heritage, and the institutions around which the peoples had gathered</w:t>
      </w:r>
      <w:r w:rsidR="00141EED">
        <w:rPr>
          <w:rFonts w:asciiTheme="majorBidi" w:hAnsiTheme="majorBidi" w:cstheme="majorBidi"/>
          <w:sz w:val="24"/>
          <w:szCs w:val="24"/>
        </w:rPr>
        <w:t xml:space="preserve"> </w:t>
      </w:r>
      <w:r w:rsidR="00141EED">
        <w:rPr>
          <w:rFonts w:asciiTheme="majorBidi" w:hAnsiTheme="majorBidi" w:cstheme="majorBidi"/>
          <w:sz w:val="24"/>
          <w:szCs w:val="24"/>
        </w:rPr>
        <w:t>–</w:t>
      </w:r>
      <w:r w:rsidR="00141EED">
        <w:rPr>
          <w:rFonts w:asciiTheme="majorBidi" w:hAnsiTheme="majorBidi" w:cstheme="majorBidi"/>
          <w:sz w:val="24"/>
          <w:szCs w:val="24"/>
        </w:rPr>
        <w:t xml:space="preserve"> was truly merciless</w:t>
      </w:r>
      <w:r w:rsidR="00311CD4">
        <w:rPr>
          <w:rFonts w:asciiTheme="majorBidi" w:hAnsiTheme="majorBidi" w:cstheme="majorBidi"/>
          <w:sz w:val="24"/>
          <w:szCs w:val="24"/>
        </w:rPr>
        <w:t>.</w:t>
      </w:r>
    </w:p>
    <w:p w14:paraId="618BF734" w14:textId="77777777" w:rsidR="004F0495" w:rsidRPr="00311CD4" w:rsidRDefault="004F0495" w:rsidP="004C761E">
      <w:pPr>
        <w:spacing w:line="360" w:lineRule="auto"/>
        <w:rPr>
          <w:rFonts w:asciiTheme="majorBidi" w:hAnsiTheme="majorBidi" w:cstheme="majorBidi"/>
          <w:sz w:val="24"/>
          <w:szCs w:val="24"/>
        </w:rPr>
      </w:pPr>
    </w:p>
    <w:p w14:paraId="3B73813E" w14:textId="7E7CA771" w:rsidR="004F0495" w:rsidRPr="00311CD4" w:rsidRDefault="004F0495" w:rsidP="00234862">
      <w:pPr>
        <w:spacing w:line="360" w:lineRule="auto"/>
        <w:rPr>
          <w:rFonts w:asciiTheme="majorBidi" w:hAnsiTheme="majorBidi" w:cstheme="majorBidi"/>
          <w:sz w:val="24"/>
          <w:szCs w:val="24"/>
        </w:rPr>
      </w:pPr>
      <w:r w:rsidRPr="00311CD4">
        <w:rPr>
          <w:rFonts w:asciiTheme="majorBidi" w:hAnsiTheme="majorBidi" w:cstheme="majorBidi"/>
          <w:sz w:val="24"/>
          <w:szCs w:val="24"/>
        </w:rPr>
        <w:t>One of the ancient institutions that survived the war but did not survive post-war Sovietization was the Greek Catholic Church</w:t>
      </w:r>
      <w:r w:rsidR="00151BFB">
        <w:rPr>
          <w:rFonts w:asciiTheme="majorBidi" w:hAnsiTheme="majorBidi" w:cstheme="majorBidi"/>
          <w:sz w:val="24"/>
          <w:szCs w:val="24"/>
        </w:rPr>
        <w:t>,</w:t>
      </w:r>
      <w:r w:rsidR="00234862" w:rsidRPr="00234862">
        <w:rPr>
          <w:rFonts w:asciiTheme="majorBidi" w:hAnsiTheme="majorBidi" w:cstheme="majorBidi"/>
          <w:sz w:val="24"/>
          <w:szCs w:val="24"/>
        </w:rPr>
        <w:t xml:space="preserve"> </w:t>
      </w:r>
      <w:r w:rsidR="00234862" w:rsidRPr="00311CD4">
        <w:rPr>
          <w:rFonts w:asciiTheme="majorBidi" w:hAnsiTheme="majorBidi" w:cstheme="majorBidi"/>
          <w:sz w:val="24"/>
          <w:szCs w:val="24"/>
        </w:rPr>
        <w:t>one of the successor churches to the Baptism of Volodymyr in 988</w:t>
      </w:r>
      <w:r w:rsidR="00234862">
        <w:rPr>
          <w:rFonts w:asciiTheme="majorBidi" w:hAnsiTheme="majorBidi" w:cstheme="majorBidi"/>
          <w:sz w:val="24"/>
          <w:szCs w:val="24"/>
        </w:rPr>
        <w:t>.</w:t>
      </w:r>
      <w:r w:rsidR="00234862" w:rsidRPr="00311CD4">
        <w:rPr>
          <w:rStyle w:val="FootnoteReference"/>
          <w:rFonts w:asciiTheme="majorBidi" w:hAnsiTheme="majorBidi" w:cstheme="majorBidi"/>
          <w:sz w:val="24"/>
          <w:szCs w:val="24"/>
        </w:rPr>
        <w:footnoteReference w:id="1"/>
      </w:r>
      <w:r w:rsidRPr="00311CD4">
        <w:rPr>
          <w:rFonts w:asciiTheme="majorBidi" w:hAnsiTheme="majorBidi" w:cstheme="majorBidi"/>
          <w:sz w:val="24"/>
          <w:szCs w:val="24"/>
        </w:rPr>
        <w:t xml:space="preserve"> </w:t>
      </w:r>
      <w:r w:rsidR="007E2D86">
        <w:rPr>
          <w:rFonts w:asciiTheme="majorBidi" w:hAnsiTheme="majorBidi" w:cstheme="majorBidi"/>
          <w:sz w:val="24"/>
          <w:szCs w:val="24"/>
        </w:rPr>
        <w:t>In</w:t>
      </w:r>
      <w:r w:rsidRPr="00311CD4">
        <w:rPr>
          <w:rFonts w:asciiTheme="majorBidi" w:hAnsiTheme="majorBidi" w:cstheme="majorBidi"/>
          <w:sz w:val="24"/>
          <w:szCs w:val="24"/>
        </w:rPr>
        <w:t xml:space="preserve"> 1939, it was the largest of the Eastern Catholic Churches</w:t>
      </w:r>
      <w:r w:rsidR="00151BFB">
        <w:rPr>
          <w:rFonts w:asciiTheme="majorBidi" w:hAnsiTheme="majorBidi" w:cstheme="majorBidi"/>
          <w:sz w:val="24"/>
          <w:szCs w:val="24"/>
        </w:rPr>
        <w:t>. W</w:t>
      </w:r>
      <w:r w:rsidR="00234862">
        <w:rPr>
          <w:rFonts w:asciiTheme="majorBidi" w:hAnsiTheme="majorBidi" w:cstheme="majorBidi"/>
          <w:sz w:val="24"/>
          <w:szCs w:val="24"/>
        </w:rPr>
        <w:t>ith</w:t>
      </w:r>
      <w:r w:rsidRPr="00311CD4">
        <w:rPr>
          <w:rFonts w:asciiTheme="majorBidi" w:hAnsiTheme="majorBidi" w:cstheme="majorBidi"/>
          <w:sz w:val="24"/>
          <w:szCs w:val="24"/>
        </w:rPr>
        <w:t xml:space="preserve"> its own law (</w:t>
      </w:r>
      <w:r w:rsidRPr="00311CD4">
        <w:rPr>
          <w:rStyle w:val="Emphasis"/>
          <w:rFonts w:asciiTheme="majorBidi" w:hAnsiTheme="majorBidi" w:cstheme="majorBidi"/>
          <w:sz w:val="24"/>
          <w:szCs w:val="24"/>
        </w:rPr>
        <w:t>Ecclesia sui juris</w:t>
      </w:r>
      <w:r w:rsidRPr="00311CD4">
        <w:rPr>
          <w:rFonts w:asciiTheme="majorBidi" w:hAnsiTheme="majorBidi" w:cstheme="majorBidi"/>
          <w:sz w:val="24"/>
          <w:szCs w:val="24"/>
        </w:rPr>
        <w:t>)</w:t>
      </w:r>
      <w:r w:rsidR="00234862">
        <w:rPr>
          <w:rFonts w:asciiTheme="majorBidi" w:hAnsiTheme="majorBidi" w:cstheme="majorBidi"/>
          <w:sz w:val="24"/>
          <w:szCs w:val="24"/>
        </w:rPr>
        <w:t>, it remained</w:t>
      </w:r>
      <w:r w:rsidR="00151BFB">
        <w:rPr>
          <w:rFonts w:asciiTheme="majorBidi" w:hAnsiTheme="majorBidi" w:cstheme="majorBidi"/>
          <w:sz w:val="24"/>
          <w:szCs w:val="24"/>
        </w:rPr>
        <w:t xml:space="preserve"> united with and under the authority of</w:t>
      </w:r>
      <w:r w:rsidRPr="00311CD4">
        <w:rPr>
          <w:rFonts w:asciiTheme="majorBidi" w:hAnsiTheme="majorBidi" w:cstheme="majorBidi"/>
          <w:sz w:val="24"/>
          <w:szCs w:val="24"/>
        </w:rPr>
        <w:t xml:space="preserve"> </w:t>
      </w:r>
      <w:commentRangeStart w:id="0"/>
      <w:r w:rsidRPr="00311CD4">
        <w:rPr>
          <w:rFonts w:asciiTheme="majorBidi" w:hAnsiTheme="majorBidi" w:cstheme="majorBidi"/>
          <w:sz w:val="24"/>
          <w:szCs w:val="24"/>
        </w:rPr>
        <w:t>the</w:t>
      </w:r>
      <w:commentRangeEnd w:id="0"/>
      <w:r w:rsidR="00151BFB">
        <w:rPr>
          <w:rStyle w:val="CommentReference"/>
        </w:rPr>
        <w:commentReference w:id="0"/>
      </w:r>
      <w:r w:rsidRPr="00311CD4">
        <w:rPr>
          <w:rFonts w:asciiTheme="majorBidi" w:hAnsiTheme="majorBidi" w:cstheme="majorBidi"/>
          <w:sz w:val="24"/>
          <w:szCs w:val="24"/>
        </w:rPr>
        <w:t xml:space="preserve"> Apostolic See while preserving the Byzantine liturgical tradition. </w:t>
      </w:r>
    </w:p>
    <w:p w14:paraId="668ED4A9" w14:textId="77777777" w:rsidR="00A84C07" w:rsidRPr="00311CD4" w:rsidRDefault="00A84C07" w:rsidP="004C761E">
      <w:pPr>
        <w:spacing w:line="360" w:lineRule="auto"/>
        <w:rPr>
          <w:rFonts w:asciiTheme="majorBidi" w:hAnsiTheme="majorBidi" w:cstheme="majorBidi"/>
          <w:sz w:val="24"/>
          <w:szCs w:val="24"/>
        </w:rPr>
      </w:pPr>
    </w:p>
    <w:p w14:paraId="483931BC" w14:textId="7007B64D" w:rsidR="00A84C07" w:rsidRPr="00311CD4" w:rsidRDefault="00A84C07" w:rsidP="004C761E">
      <w:pPr>
        <w:spacing w:line="360" w:lineRule="auto"/>
        <w:rPr>
          <w:rFonts w:asciiTheme="majorBidi" w:hAnsiTheme="majorBidi" w:cstheme="majorBidi"/>
          <w:sz w:val="24"/>
          <w:szCs w:val="24"/>
        </w:rPr>
      </w:pPr>
      <w:r w:rsidRPr="00311CD4">
        <w:rPr>
          <w:rFonts w:asciiTheme="majorBidi" w:hAnsiTheme="majorBidi" w:cstheme="majorBidi"/>
          <w:sz w:val="24"/>
          <w:szCs w:val="24"/>
        </w:rPr>
        <w:t xml:space="preserve">For centuries, the Greek Catholic Church was the institution through which Galician Ukrainians preserved their culture and national identity. Until 1596, this </w:t>
      </w:r>
      <w:r w:rsidR="00151BFB">
        <w:rPr>
          <w:rFonts w:asciiTheme="majorBidi" w:hAnsiTheme="majorBidi" w:cstheme="majorBidi"/>
          <w:sz w:val="24"/>
          <w:szCs w:val="24"/>
        </w:rPr>
        <w:t>c</w:t>
      </w:r>
      <w:r w:rsidRPr="00311CD4">
        <w:rPr>
          <w:rFonts w:asciiTheme="majorBidi" w:hAnsiTheme="majorBidi" w:cstheme="majorBidi"/>
          <w:sz w:val="24"/>
          <w:szCs w:val="24"/>
        </w:rPr>
        <w:t xml:space="preserve">hurch, </w:t>
      </w:r>
      <w:commentRangeStart w:id="1"/>
      <w:r w:rsidRPr="00311CD4">
        <w:rPr>
          <w:rFonts w:asciiTheme="majorBidi" w:hAnsiTheme="majorBidi" w:cstheme="majorBidi"/>
          <w:sz w:val="24"/>
          <w:szCs w:val="24"/>
        </w:rPr>
        <w:t>the</w:t>
      </w:r>
      <w:commentRangeEnd w:id="1"/>
      <w:r w:rsidR="00151BFB">
        <w:rPr>
          <w:rStyle w:val="CommentReference"/>
        </w:rPr>
        <w:commentReference w:id="1"/>
      </w:r>
      <w:r w:rsidRPr="00311CD4">
        <w:rPr>
          <w:rFonts w:asciiTheme="majorBidi" w:hAnsiTheme="majorBidi" w:cstheme="majorBidi"/>
          <w:sz w:val="24"/>
          <w:szCs w:val="24"/>
        </w:rPr>
        <w:t xml:space="preserve"> Kyiv Orthodox Metropolis, was under the jurisdiction of the Ecumenical Patriarchate of Constantinople. In 1594, the bishops of this metropolis, led by Metropolitan Mykhailo </w:t>
      </w:r>
      <w:proofErr w:type="spellStart"/>
      <w:r w:rsidRPr="00311CD4">
        <w:rPr>
          <w:rFonts w:asciiTheme="majorBidi" w:hAnsiTheme="majorBidi" w:cstheme="majorBidi"/>
          <w:sz w:val="24"/>
          <w:szCs w:val="24"/>
        </w:rPr>
        <w:t>Rahoza</w:t>
      </w:r>
      <w:proofErr w:type="spellEnd"/>
      <w:r w:rsidRPr="00311CD4">
        <w:rPr>
          <w:rFonts w:asciiTheme="majorBidi" w:hAnsiTheme="majorBidi" w:cstheme="majorBidi"/>
          <w:sz w:val="24"/>
          <w:szCs w:val="24"/>
        </w:rPr>
        <w:t xml:space="preserve"> (c. 1540</w:t>
      </w:r>
      <w:r w:rsidR="00151BFB">
        <w:rPr>
          <w:rFonts w:asciiTheme="majorBidi" w:hAnsiTheme="majorBidi" w:cstheme="majorBidi"/>
          <w:sz w:val="24"/>
          <w:szCs w:val="24"/>
        </w:rPr>
        <w:t>–</w:t>
      </w:r>
      <w:r w:rsidRPr="00311CD4">
        <w:rPr>
          <w:rFonts w:asciiTheme="majorBidi" w:hAnsiTheme="majorBidi" w:cstheme="majorBidi"/>
          <w:sz w:val="24"/>
          <w:szCs w:val="24"/>
        </w:rPr>
        <w:t xml:space="preserve">1599), expressed their desire to restore unity with the Catholic Church. The Apostolic See responded </w:t>
      </w:r>
      <w:proofErr w:type="spellStart"/>
      <w:r w:rsidRPr="00311CD4">
        <w:rPr>
          <w:rFonts w:asciiTheme="majorBidi" w:hAnsiTheme="majorBidi" w:cstheme="majorBidi"/>
          <w:sz w:val="24"/>
          <w:szCs w:val="24"/>
        </w:rPr>
        <w:t>favorably</w:t>
      </w:r>
      <w:proofErr w:type="spellEnd"/>
      <w:r w:rsidRPr="00311CD4">
        <w:rPr>
          <w:rFonts w:asciiTheme="majorBidi" w:hAnsiTheme="majorBidi" w:cstheme="majorBidi"/>
          <w:sz w:val="24"/>
          <w:szCs w:val="24"/>
        </w:rPr>
        <w:t xml:space="preserve"> to this request</w:t>
      </w:r>
      <w:r w:rsidR="00151BFB">
        <w:rPr>
          <w:rFonts w:asciiTheme="majorBidi" w:hAnsiTheme="majorBidi" w:cstheme="majorBidi"/>
          <w:sz w:val="24"/>
          <w:szCs w:val="24"/>
        </w:rPr>
        <w:t>, and on</w:t>
      </w:r>
      <w:r w:rsidRPr="00311CD4">
        <w:rPr>
          <w:rFonts w:asciiTheme="majorBidi" w:hAnsiTheme="majorBidi" w:cstheme="majorBidi"/>
          <w:sz w:val="24"/>
          <w:szCs w:val="24"/>
        </w:rPr>
        <w:t xml:space="preserve"> December 23, 1595, Pope Clement VIII (1536</w:t>
      </w:r>
      <w:r w:rsidR="00151BFB">
        <w:rPr>
          <w:rFonts w:asciiTheme="majorBidi" w:hAnsiTheme="majorBidi" w:cstheme="majorBidi"/>
          <w:sz w:val="24"/>
          <w:szCs w:val="24"/>
        </w:rPr>
        <w:t>–</w:t>
      </w:r>
      <w:r w:rsidRPr="00311CD4">
        <w:rPr>
          <w:rFonts w:asciiTheme="majorBidi" w:hAnsiTheme="majorBidi" w:cstheme="majorBidi"/>
          <w:sz w:val="24"/>
          <w:szCs w:val="24"/>
        </w:rPr>
        <w:t xml:space="preserve">1605) officially proclaimed the acceptance of the Kyiv Metropolis into communion with the Catholic Church. The following year, in October 1596, a synod of bishops was held in Brest, where the bishops, led by Metropolitan Mykhailo </w:t>
      </w:r>
      <w:proofErr w:type="spellStart"/>
      <w:r w:rsidRPr="00311CD4">
        <w:rPr>
          <w:rFonts w:asciiTheme="majorBidi" w:hAnsiTheme="majorBidi" w:cstheme="majorBidi"/>
          <w:sz w:val="24"/>
          <w:szCs w:val="24"/>
        </w:rPr>
        <w:t>Rahoza</w:t>
      </w:r>
      <w:proofErr w:type="spellEnd"/>
      <w:r w:rsidRPr="00311CD4">
        <w:rPr>
          <w:rFonts w:asciiTheme="majorBidi" w:hAnsiTheme="majorBidi" w:cstheme="majorBidi"/>
          <w:sz w:val="24"/>
          <w:szCs w:val="24"/>
        </w:rPr>
        <w:t xml:space="preserve">, </w:t>
      </w:r>
      <w:r w:rsidRPr="00311CD4">
        <w:rPr>
          <w:rFonts w:asciiTheme="majorBidi" w:hAnsiTheme="majorBidi" w:cstheme="majorBidi"/>
          <w:sz w:val="24"/>
          <w:szCs w:val="24"/>
        </w:rPr>
        <w:lastRenderedPageBreak/>
        <w:t>proclaimed the Union.</w:t>
      </w:r>
      <w:r w:rsidR="004C761E" w:rsidRPr="00311CD4">
        <w:rPr>
          <w:rStyle w:val="FootnoteReference"/>
          <w:rFonts w:asciiTheme="majorBidi" w:hAnsiTheme="majorBidi" w:cstheme="majorBidi"/>
          <w:sz w:val="24"/>
          <w:szCs w:val="24"/>
        </w:rPr>
        <w:footnoteReference w:id="2"/>
      </w:r>
      <w:r w:rsidR="004C761E" w:rsidRPr="00311CD4">
        <w:rPr>
          <w:rFonts w:asciiTheme="majorBidi" w:hAnsiTheme="majorBidi" w:cstheme="majorBidi"/>
          <w:sz w:val="24"/>
          <w:szCs w:val="24"/>
        </w:rPr>
        <w:t xml:space="preserve"> </w:t>
      </w:r>
      <w:r w:rsidR="004C761E" w:rsidRPr="00311CD4">
        <w:rPr>
          <w:rFonts w:asciiTheme="majorBidi" w:hAnsiTheme="majorBidi" w:cstheme="majorBidi"/>
          <w:sz w:val="24"/>
          <w:szCs w:val="24"/>
        </w:rPr>
        <w:t xml:space="preserve">Thus, from that time on, </w:t>
      </w:r>
      <w:r w:rsidR="00151BFB">
        <w:rPr>
          <w:rFonts w:asciiTheme="majorBidi" w:hAnsiTheme="majorBidi" w:cstheme="majorBidi"/>
          <w:sz w:val="24"/>
          <w:szCs w:val="24"/>
        </w:rPr>
        <w:t>the church is referred to as</w:t>
      </w:r>
      <w:r w:rsidR="004C761E" w:rsidRPr="00311CD4">
        <w:rPr>
          <w:rFonts w:asciiTheme="majorBidi" w:hAnsiTheme="majorBidi" w:cstheme="majorBidi"/>
          <w:sz w:val="24"/>
          <w:szCs w:val="24"/>
        </w:rPr>
        <w:t xml:space="preserve"> the Kyiv Uniate Metropolis</w:t>
      </w:r>
      <w:r w:rsidR="004C761E" w:rsidRPr="00311CD4">
        <w:rPr>
          <w:rFonts w:asciiTheme="majorBidi" w:hAnsiTheme="majorBidi" w:cstheme="majorBidi"/>
          <w:sz w:val="24"/>
          <w:szCs w:val="24"/>
        </w:rPr>
        <w:t>.</w:t>
      </w:r>
      <w:r w:rsidR="004C761E" w:rsidRPr="00311CD4">
        <w:rPr>
          <w:rStyle w:val="FootnoteReference"/>
          <w:rFonts w:asciiTheme="majorBidi" w:hAnsiTheme="majorBidi" w:cstheme="majorBidi"/>
          <w:sz w:val="24"/>
          <w:szCs w:val="24"/>
        </w:rPr>
        <w:footnoteReference w:id="3"/>
      </w:r>
    </w:p>
    <w:p w14:paraId="0D3B2A8C" w14:textId="5CDEFCE3" w:rsidR="004C761E" w:rsidRPr="00311CD4" w:rsidRDefault="004C761E" w:rsidP="004C761E">
      <w:pPr>
        <w:spacing w:line="360" w:lineRule="auto"/>
        <w:rPr>
          <w:rFonts w:asciiTheme="majorBidi" w:hAnsiTheme="majorBidi" w:cstheme="majorBidi"/>
          <w:sz w:val="24"/>
          <w:szCs w:val="24"/>
        </w:rPr>
      </w:pPr>
      <w:r w:rsidRPr="00311CD4">
        <w:rPr>
          <w:rFonts w:asciiTheme="majorBidi" w:hAnsiTheme="majorBidi" w:cstheme="majorBidi"/>
          <w:sz w:val="24"/>
          <w:szCs w:val="24"/>
        </w:rPr>
        <w:t>During the 17th century, the Kyiv Uniate Metropolis experienced difficult times of political instability in the Polish-Lithuanian Commonwealth</w:t>
      </w:r>
      <w:r w:rsidR="006256F9" w:rsidRPr="00311CD4">
        <w:rPr>
          <w:rFonts w:asciiTheme="majorBidi" w:hAnsiTheme="majorBidi" w:cstheme="majorBidi"/>
          <w:sz w:val="24"/>
          <w:szCs w:val="24"/>
        </w:rPr>
        <w:t>.</w:t>
      </w:r>
      <w:r w:rsidR="006256F9" w:rsidRPr="00311CD4">
        <w:rPr>
          <w:rStyle w:val="FootnoteReference"/>
          <w:rFonts w:asciiTheme="majorBidi" w:hAnsiTheme="majorBidi" w:cstheme="majorBidi"/>
          <w:sz w:val="24"/>
          <w:szCs w:val="24"/>
        </w:rPr>
        <w:footnoteReference w:id="4"/>
      </w:r>
      <w:r w:rsidR="00906AB7" w:rsidRPr="00311CD4">
        <w:rPr>
          <w:rFonts w:asciiTheme="majorBidi" w:hAnsiTheme="majorBidi" w:cstheme="majorBidi"/>
          <w:sz w:val="24"/>
          <w:szCs w:val="24"/>
        </w:rPr>
        <w:t xml:space="preserve"> </w:t>
      </w:r>
      <w:r w:rsidR="00906AB7" w:rsidRPr="00311CD4">
        <w:rPr>
          <w:rFonts w:asciiTheme="majorBidi" w:hAnsiTheme="majorBidi" w:cstheme="majorBidi"/>
          <w:sz w:val="24"/>
          <w:szCs w:val="24"/>
        </w:rPr>
        <w:t>In the 18th century, it</w:t>
      </w:r>
      <w:r w:rsidR="00351909">
        <w:rPr>
          <w:rFonts w:asciiTheme="majorBidi" w:hAnsiTheme="majorBidi" w:cstheme="majorBidi"/>
          <w:sz w:val="24"/>
          <w:szCs w:val="24"/>
        </w:rPr>
        <w:t xml:space="preserve"> </w:t>
      </w:r>
      <w:r w:rsidR="00730344">
        <w:rPr>
          <w:rFonts w:asciiTheme="majorBidi" w:hAnsiTheme="majorBidi" w:cstheme="majorBidi"/>
          <w:sz w:val="24"/>
          <w:szCs w:val="24"/>
        </w:rPr>
        <w:t>enjoyed</w:t>
      </w:r>
      <w:r w:rsidR="00351909">
        <w:rPr>
          <w:rFonts w:asciiTheme="majorBidi" w:hAnsiTheme="majorBidi" w:cstheme="majorBidi"/>
          <w:sz w:val="24"/>
          <w:szCs w:val="24"/>
        </w:rPr>
        <w:t xml:space="preserve"> significant growth, reaching</w:t>
      </w:r>
      <w:r w:rsidR="00906AB7" w:rsidRPr="00311CD4">
        <w:rPr>
          <w:rFonts w:asciiTheme="majorBidi" w:hAnsiTheme="majorBidi" w:cstheme="majorBidi"/>
          <w:sz w:val="24"/>
          <w:szCs w:val="24"/>
        </w:rPr>
        <w:t xml:space="preserve"> approximately 4.5 million faithful at that </w:t>
      </w:r>
      <w:r w:rsidR="00351909">
        <w:rPr>
          <w:rFonts w:asciiTheme="majorBidi" w:hAnsiTheme="majorBidi" w:cstheme="majorBidi"/>
          <w:sz w:val="24"/>
          <w:szCs w:val="24"/>
        </w:rPr>
        <w:t>period</w:t>
      </w:r>
      <w:r w:rsidR="00906AB7" w:rsidRPr="00311CD4">
        <w:rPr>
          <w:rFonts w:asciiTheme="majorBidi" w:hAnsiTheme="majorBidi" w:cstheme="majorBidi"/>
          <w:sz w:val="24"/>
          <w:szCs w:val="24"/>
        </w:rPr>
        <w:t>.</w:t>
      </w:r>
      <w:r w:rsidR="00906AB7" w:rsidRPr="00311CD4">
        <w:rPr>
          <w:rStyle w:val="FootnoteReference"/>
          <w:rFonts w:asciiTheme="majorBidi" w:hAnsiTheme="majorBidi" w:cstheme="majorBidi"/>
          <w:sz w:val="24"/>
          <w:szCs w:val="24"/>
        </w:rPr>
        <w:footnoteReference w:id="5"/>
      </w:r>
      <w:r w:rsidR="00906AB7" w:rsidRPr="00311CD4">
        <w:rPr>
          <w:rFonts w:asciiTheme="majorBidi" w:hAnsiTheme="majorBidi" w:cstheme="majorBidi"/>
          <w:sz w:val="24"/>
          <w:szCs w:val="24"/>
        </w:rPr>
        <w:t xml:space="preserve"> </w:t>
      </w:r>
      <w:r w:rsidR="00906AB7" w:rsidRPr="00311CD4">
        <w:rPr>
          <w:rFonts w:asciiTheme="majorBidi" w:hAnsiTheme="majorBidi" w:cstheme="majorBidi"/>
          <w:sz w:val="24"/>
          <w:szCs w:val="24"/>
        </w:rPr>
        <w:t xml:space="preserve">However, </w:t>
      </w:r>
      <w:r w:rsidR="00351909">
        <w:rPr>
          <w:rFonts w:asciiTheme="majorBidi" w:hAnsiTheme="majorBidi" w:cstheme="majorBidi"/>
          <w:sz w:val="24"/>
          <w:szCs w:val="24"/>
        </w:rPr>
        <w:t xml:space="preserve">with </w:t>
      </w:r>
      <w:r w:rsidR="00906AB7" w:rsidRPr="00311CD4">
        <w:rPr>
          <w:rFonts w:asciiTheme="majorBidi" w:hAnsiTheme="majorBidi" w:cstheme="majorBidi"/>
          <w:sz w:val="24"/>
          <w:szCs w:val="24"/>
        </w:rPr>
        <w:t xml:space="preserve">the </w:t>
      </w:r>
      <w:r w:rsidR="00351909">
        <w:rPr>
          <w:rFonts w:asciiTheme="majorBidi" w:hAnsiTheme="majorBidi" w:cstheme="majorBidi"/>
          <w:sz w:val="24"/>
          <w:szCs w:val="24"/>
          <w:lang w:val="en-US"/>
        </w:rPr>
        <w:t xml:space="preserve">several </w:t>
      </w:r>
      <w:r w:rsidR="00906AB7" w:rsidRPr="00311CD4">
        <w:rPr>
          <w:rFonts w:asciiTheme="majorBidi" w:hAnsiTheme="majorBidi" w:cstheme="majorBidi"/>
          <w:sz w:val="24"/>
          <w:szCs w:val="24"/>
        </w:rPr>
        <w:t>partitions of the Polish-Lithuanian Commonwealth</w:t>
      </w:r>
      <w:r w:rsidR="00D9071C">
        <w:rPr>
          <w:rFonts w:asciiTheme="majorBidi" w:hAnsiTheme="majorBidi" w:cstheme="majorBidi"/>
          <w:sz w:val="24"/>
          <w:szCs w:val="24"/>
        </w:rPr>
        <w:t xml:space="preserve"> late in the </w:t>
      </w:r>
      <w:commentRangeStart w:id="2"/>
      <w:r w:rsidR="00D9071C">
        <w:rPr>
          <w:rFonts w:asciiTheme="majorBidi" w:hAnsiTheme="majorBidi" w:cstheme="majorBidi"/>
          <w:sz w:val="24"/>
          <w:szCs w:val="24"/>
        </w:rPr>
        <w:t>century</w:t>
      </w:r>
      <w:commentRangeEnd w:id="2"/>
      <w:r w:rsidR="00730344">
        <w:rPr>
          <w:rStyle w:val="CommentReference"/>
        </w:rPr>
        <w:commentReference w:id="2"/>
      </w:r>
      <w:r w:rsidR="00351909">
        <w:rPr>
          <w:rFonts w:asciiTheme="majorBidi" w:hAnsiTheme="majorBidi" w:cstheme="majorBidi"/>
          <w:sz w:val="24"/>
          <w:szCs w:val="24"/>
        </w:rPr>
        <w:t xml:space="preserve">, the </w:t>
      </w:r>
      <w:r w:rsidR="00D9071C">
        <w:rPr>
          <w:rFonts w:asciiTheme="majorBidi" w:hAnsiTheme="majorBidi" w:cstheme="majorBidi"/>
          <w:sz w:val="24"/>
          <w:szCs w:val="24"/>
        </w:rPr>
        <w:t>C</w:t>
      </w:r>
      <w:r w:rsidR="00351909">
        <w:rPr>
          <w:rFonts w:asciiTheme="majorBidi" w:hAnsiTheme="majorBidi" w:cstheme="majorBidi"/>
          <w:sz w:val="24"/>
          <w:szCs w:val="24"/>
        </w:rPr>
        <w:t xml:space="preserve">hurch began declining </w:t>
      </w:r>
      <w:r w:rsidR="00906AB7" w:rsidRPr="00311CD4">
        <w:rPr>
          <w:rFonts w:asciiTheme="majorBidi" w:hAnsiTheme="majorBidi" w:cstheme="majorBidi"/>
          <w:sz w:val="24"/>
          <w:szCs w:val="24"/>
        </w:rPr>
        <w:t>within its old borders.</w:t>
      </w:r>
      <w:r w:rsidR="00906AB7" w:rsidRPr="00311CD4">
        <w:rPr>
          <w:rStyle w:val="FootnoteReference"/>
          <w:rFonts w:asciiTheme="majorBidi" w:hAnsiTheme="majorBidi" w:cstheme="majorBidi"/>
          <w:sz w:val="24"/>
          <w:szCs w:val="24"/>
        </w:rPr>
        <w:footnoteReference w:id="6"/>
      </w:r>
      <w:r w:rsidR="00906AB7" w:rsidRPr="00311CD4">
        <w:rPr>
          <w:rFonts w:asciiTheme="majorBidi" w:hAnsiTheme="majorBidi" w:cstheme="majorBidi"/>
          <w:sz w:val="24"/>
          <w:szCs w:val="24"/>
        </w:rPr>
        <w:t xml:space="preserve"> </w:t>
      </w:r>
      <w:r w:rsidR="00D9071C">
        <w:rPr>
          <w:rFonts w:asciiTheme="majorBidi" w:hAnsiTheme="majorBidi" w:cstheme="majorBidi"/>
          <w:sz w:val="24"/>
          <w:szCs w:val="24"/>
        </w:rPr>
        <w:t xml:space="preserve">In the area that became </w:t>
      </w:r>
      <w:r w:rsidR="00906AB7" w:rsidRPr="00311CD4">
        <w:rPr>
          <w:rFonts w:asciiTheme="majorBidi" w:hAnsiTheme="majorBidi" w:cstheme="majorBidi"/>
          <w:sz w:val="24"/>
          <w:szCs w:val="24"/>
        </w:rPr>
        <w:t>part of the Russian Empire, this Church existed until 1839, when it was dissolved at the insistence of Emperor Nicholas I (1796</w:t>
      </w:r>
      <w:r w:rsidR="00D9071C">
        <w:rPr>
          <w:rFonts w:asciiTheme="majorBidi" w:hAnsiTheme="majorBidi" w:cstheme="majorBidi"/>
          <w:sz w:val="24"/>
          <w:szCs w:val="24"/>
        </w:rPr>
        <w:t>–</w:t>
      </w:r>
      <w:r w:rsidR="00906AB7" w:rsidRPr="00311CD4">
        <w:rPr>
          <w:rFonts w:asciiTheme="majorBidi" w:hAnsiTheme="majorBidi" w:cstheme="majorBidi"/>
          <w:sz w:val="24"/>
          <w:szCs w:val="24"/>
        </w:rPr>
        <w:t>1855). The last Uniate diocese within the Russian Empire—</w:t>
      </w:r>
      <w:r w:rsidR="00D9071C">
        <w:rPr>
          <w:rFonts w:asciiTheme="majorBidi" w:hAnsiTheme="majorBidi" w:cstheme="majorBidi"/>
          <w:sz w:val="24"/>
          <w:szCs w:val="24"/>
        </w:rPr>
        <w:t xml:space="preserve">that in </w:t>
      </w:r>
      <w:proofErr w:type="spellStart"/>
      <w:r w:rsidR="00906AB7" w:rsidRPr="00311CD4">
        <w:rPr>
          <w:rFonts w:asciiTheme="majorBidi" w:hAnsiTheme="majorBidi" w:cstheme="majorBidi"/>
          <w:sz w:val="24"/>
          <w:szCs w:val="24"/>
        </w:rPr>
        <w:t>Chełm</w:t>
      </w:r>
      <w:proofErr w:type="spellEnd"/>
      <w:r w:rsidR="00906AB7" w:rsidRPr="00311CD4">
        <w:rPr>
          <w:rFonts w:asciiTheme="majorBidi" w:hAnsiTheme="majorBidi" w:cstheme="majorBidi"/>
          <w:sz w:val="24"/>
          <w:szCs w:val="24"/>
        </w:rPr>
        <w:t>—was dissolved by the Russian authorities in 1875.</w:t>
      </w:r>
      <w:r w:rsidR="00906AB7" w:rsidRPr="00311CD4">
        <w:rPr>
          <w:rStyle w:val="FootnoteReference"/>
          <w:rFonts w:asciiTheme="majorBidi" w:hAnsiTheme="majorBidi" w:cstheme="majorBidi"/>
          <w:sz w:val="24"/>
          <w:szCs w:val="24"/>
        </w:rPr>
        <w:footnoteReference w:id="7"/>
      </w:r>
    </w:p>
    <w:p w14:paraId="614F3AD0" w14:textId="6CB2E169" w:rsidR="0090164E" w:rsidRPr="00311CD4" w:rsidRDefault="0090164E" w:rsidP="004C761E">
      <w:pPr>
        <w:spacing w:line="360" w:lineRule="auto"/>
        <w:rPr>
          <w:rFonts w:asciiTheme="majorBidi" w:hAnsiTheme="majorBidi" w:cstheme="majorBidi"/>
          <w:sz w:val="24"/>
          <w:szCs w:val="24"/>
        </w:rPr>
      </w:pPr>
      <w:r w:rsidRPr="00311CD4">
        <w:rPr>
          <w:rFonts w:asciiTheme="majorBidi" w:hAnsiTheme="majorBidi" w:cstheme="majorBidi"/>
          <w:sz w:val="24"/>
          <w:szCs w:val="24"/>
        </w:rPr>
        <w:t xml:space="preserve">The fate of the part of the Kyiv Uniate Metropolis that came under Habsburg rule during the First Partition of the Polish-Lithuanian Commonwealth in 1772 </w:t>
      </w:r>
      <w:r w:rsidR="00D9071C">
        <w:rPr>
          <w:rFonts w:asciiTheme="majorBidi" w:hAnsiTheme="majorBidi" w:cstheme="majorBidi"/>
          <w:sz w:val="24"/>
          <w:szCs w:val="24"/>
        </w:rPr>
        <w:t>was quite different</w:t>
      </w:r>
      <w:r w:rsidRPr="00311CD4">
        <w:rPr>
          <w:rFonts w:asciiTheme="majorBidi" w:hAnsiTheme="majorBidi" w:cstheme="majorBidi"/>
          <w:sz w:val="24"/>
          <w:szCs w:val="24"/>
        </w:rPr>
        <w:t>.</w:t>
      </w:r>
      <w:r w:rsidRPr="00311CD4">
        <w:rPr>
          <w:rStyle w:val="FootnoteReference"/>
          <w:rFonts w:asciiTheme="majorBidi" w:hAnsiTheme="majorBidi" w:cstheme="majorBidi"/>
          <w:sz w:val="24"/>
          <w:szCs w:val="24"/>
        </w:rPr>
        <w:footnoteReference w:id="8"/>
      </w:r>
      <w:r w:rsidRPr="00311CD4">
        <w:rPr>
          <w:rFonts w:asciiTheme="majorBidi" w:hAnsiTheme="majorBidi" w:cstheme="majorBidi"/>
          <w:sz w:val="24"/>
          <w:szCs w:val="24"/>
        </w:rPr>
        <w:t xml:space="preserve"> </w:t>
      </w:r>
      <w:r w:rsidRPr="00311CD4">
        <w:rPr>
          <w:rFonts w:asciiTheme="majorBidi" w:hAnsiTheme="majorBidi" w:cstheme="majorBidi"/>
          <w:sz w:val="24"/>
          <w:szCs w:val="24"/>
        </w:rPr>
        <w:t xml:space="preserve">Unlike the Romanovs, the Habsburgs supported the Uniate bishops within their state. </w:t>
      </w:r>
      <w:r w:rsidR="00D9071C">
        <w:rPr>
          <w:rFonts w:asciiTheme="majorBidi" w:hAnsiTheme="majorBidi" w:cstheme="majorBidi"/>
          <w:sz w:val="24"/>
          <w:szCs w:val="24"/>
        </w:rPr>
        <w:t xml:space="preserve">Nonetheless, the Church first had to undergo </w:t>
      </w:r>
      <w:r w:rsidRPr="00311CD4">
        <w:rPr>
          <w:rFonts w:asciiTheme="majorBidi" w:hAnsiTheme="majorBidi" w:cstheme="majorBidi"/>
          <w:sz w:val="24"/>
          <w:szCs w:val="24"/>
        </w:rPr>
        <w:t>a name change. In 1774, Empress Maria Theresa (1717</w:t>
      </w:r>
      <w:r w:rsidR="00D9071C">
        <w:rPr>
          <w:rFonts w:asciiTheme="majorBidi" w:hAnsiTheme="majorBidi" w:cstheme="majorBidi"/>
          <w:sz w:val="24"/>
          <w:szCs w:val="24"/>
        </w:rPr>
        <w:t>–</w:t>
      </w:r>
      <w:r w:rsidRPr="00311CD4">
        <w:rPr>
          <w:rFonts w:asciiTheme="majorBidi" w:hAnsiTheme="majorBidi" w:cstheme="majorBidi"/>
          <w:sz w:val="24"/>
          <w:szCs w:val="24"/>
        </w:rPr>
        <w:t xml:space="preserve">1780) issued a decree banning the use of the word </w:t>
      </w:r>
      <w:r w:rsidR="00B71324">
        <w:rPr>
          <w:rFonts w:asciiTheme="majorBidi" w:hAnsiTheme="majorBidi" w:cstheme="majorBidi"/>
          <w:sz w:val="24"/>
          <w:szCs w:val="24"/>
        </w:rPr>
        <w:t>“</w:t>
      </w:r>
      <w:r w:rsidRPr="00311CD4">
        <w:rPr>
          <w:rFonts w:asciiTheme="majorBidi" w:hAnsiTheme="majorBidi" w:cstheme="majorBidi"/>
          <w:sz w:val="24"/>
          <w:szCs w:val="24"/>
        </w:rPr>
        <w:t>Uniate,</w:t>
      </w:r>
      <w:r w:rsidR="00B71324">
        <w:rPr>
          <w:rFonts w:asciiTheme="majorBidi" w:hAnsiTheme="majorBidi" w:cstheme="majorBidi"/>
          <w:sz w:val="24"/>
          <w:szCs w:val="24"/>
        </w:rPr>
        <w:t>”</w:t>
      </w:r>
      <w:r w:rsidRPr="00311CD4">
        <w:rPr>
          <w:rFonts w:asciiTheme="majorBidi" w:hAnsiTheme="majorBidi" w:cstheme="majorBidi"/>
          <w:sz w:val="24"/>
          <w:szCs w:val="24"/>
        </w:rPr>
        <w:t xml:space="preserve"> considering it offensive, and introduced the term </w:t>
      </w:r>
      <w:r w:rsidR="00B71324">
        <w:rPr>
          <w:rFonts w:asciiTheme="majorBidi" w:hAnsiTheme="majorBidi" w:cstheme="majorBidi"/>
          <w:sz w:val="24"/>
          <w:szCs w:val="24"/>
        </w:rPr>
        <w:t>“</w:t>
      </w:r>
      <w:r w:rsidRPr="00311CD4">
        <w:rPr>
          <w:rFonts w:asciiTheme="majorBidi" w:hAnsiTheme="majorBidi" w:cstheme="majorBidi"/>
          <w:sz w:val="24"/>
          <w:szCs w:val="24"/>
        </w:rPr>
        <w:t>Greek Catholic</w:t>
      </w:r>
      <w:r w:rsidR="00B71324">
        <w:rPr>
          <w:rFonts w:asciiTheme="majorBidi" w:hAnsiTheme="majorBidi" w:cstheme="majorBidi"/>
          <w:sz w:val="24"/>
          <w:szCs w:val="24"/>
        </w:rPr>
        <w:t>”</w:t>
      </w:r>
      <w:r w:rsidRPr="00311CD4">
        <w:rPr>
          <w:rFonts w:asciiTheme="majorBidi" w:hAnsiTheme="majorBidi" w:cstheme="majorBidi"/>
          <w:sz w:val="24"/>
          <w:szCs w:val="24"/>
        </w:rPr>
        <w:t xml:space="preserve"> instead.</w:t>
      </w:r>
      <w:r w:rsidRPr="00311CD4">
        <w:rPr>
          <w:rStyle w:val="FootnoteReference"/>
          <w:rFonts w:asciiTheme="majorBidi" w:hAnsiTheme="majorBidi" w:cstheme="majorBidi"/>
          <w:sz w:val="24"/>
          <w:szCs w:val="24"/>
        </w:rPr>
        <w:footnoteReference w:id="9"/>
      </w:r>
      <w:r w:rsidRPr="00311CD4">
        <w:rPr>
          <w:rFonts w:asciiTheme="majorBidi" w:hAnsiTheme="majorBidi" w:cstheme="majorBidi"/>
          <w:sz w:val="24"/>
          <w:szCs w:val="24"/>
        </w:rPr>
        <w:t xml:space="preserve"> </w:t>
      </w:r>
      <w:r w:rsidRPr="00311CD4">
        <w:rPr>
          <w:rFonts w:asciiTheme="majorBidi" w:hAnsiTheme="majorBidi" w:cstheme="majorBidi"/>
          <w:sz w:val="24"/>
          <w:szCs w:val="24"/>
        </w:rPr>
        <w:t xml:space="preserve">From that time, the term </w:t>
      </w:r>
      <w:r w:rsidR="00B71324">
        <w:rPr>
          <w:rFonts w:asciiTheme="majorBidi" w:hAnsiTheme="majorBidi" w:cstheme="majorBidi"/>
          <w:sz w:val="24"/>
          <w:szCs w:val="24"/>
        </w:rPr>
        <w:t>“</w:t>
      </w:r>
      <w:r w:rsidRPr="00311CD4">
        <w:rPr>
          <w:rFonts w:asciiTheme="majorBidi" w:hAnsiTheme="majorBidi" w:cstheme="majorBidi"/>
          <w:sz w:val="24"/>
          <w:szCs w:val="24"/>
        </w:rPr>
        <w:t>Greek Catholic Church</w:t>
      </w:r>
      <w:r w:rsidR="00B71324">
        <w:rPr>
          <w:rFonts w:asciiTheme="majorBidi" w:hAnsiTheme="majorBidi" w:cstheme="majorBidi"/>
          <w:sz w:val="24"/>
          <w:szCs w:val="24"/>
        </w:rPr>
        <w:t>”</w:t>
      </w:r>
      <w:r w:rsidRPr="00311CD4">
        <w:rPr>
          <w:rFonts w:asciiTheme="majorBidi" w:hAnsiTheme="majorBidi" w:cstheme="majorBidi"/>
          <w:sz w:val="24"/>
          <w:szCs w:val="24"/>
        </w:rPr>
        <w:t xml:space="preserve"> emerged</w:t>
      </w:r>
      <w:r w:rsidR="00B71324">
        <w:rPr>
          <w:rFonts w:asciiTheme="majorBidi" w:hAnsiTheme="majorBidi" w:cstheme="majorBidi"/>
          <w:sz w:val="24"/>
          <w:szCs w:val="24"/>
        </w:rPr>
        <w:t xml:space="preserve"> and was used when referring to the church</w:t>
      </w:r>
      <w:r w:rsidRPr="00311CD4">
        <w:rPr>
          <w:rFonts w:asciiTheme="majorBidi" w:hAnsiTheme="majorBidi" w:cstheme="majorBidi"/>
          <w:sz w:val="24"/>
          <w:szCs w:val="24"/>
        </w:rPr>
        <w:t xml:space="preserve">. Another important event for Eastern Galicia during that period was the Edict of Toleration of 1781 </w:t>
      </w:r>
      <w:r w:rsidR="00B71324">
        <w:rPr>
          <w:rFonts w:asciiTheme="majorBidi" w:hAnsiTheme="majorBidi" w:cstheme="majorBidi"/>
          <w:sz w:val="24"/>
          <w:szCs w:val="24"/>
        </w:rPr>
        <w:t xml:space="preserve">issued </w:t>
      </w:r>
      <w:r w:rsidRPr="00311CD4">
        <w:rPr>
          <w:rFonts w:asciiTheme="majorBidi" w:hAnsiTheme="majorBidi" w:cstheme="majorBidi"/>
          <w:sz w:val="24"/>
          <w:szCs w:val="24"/>
        </w:rPr>
        <w:t>by Emperor Joseph II (1741</w:t>
      </w:r>
      <w:r w:rsidR="00B71324">
        <w:rPr>
          <w:rFonts w:asciiTheme="majorBidi" w:hAnsiTheme="majorBidi" w:cstheme="majorBidi"/>
          <w:sz w:val="24"/>
          <w:szCs w:val="24"/>
        </w:rPr>
        <w:t>–</w:t>
      </w:r>
      <w:r w:rsidRPr="00311CD4">
        <w:rPr>
          <w:rFonts w:asciiTheme="majorBidi" w:hAnsiTheme="majorBidi" w:cstheme="majorBidi"/>
          <w:sz w:val="24"/>
          <w:szCs w:val="24"/>
        </w:rPr>
        <w:t xml:space="preserve">1790), which granted equal rights to people of different confessions, </w:t>
      </w:r>
      <w:r w:rsidRPr="00311CD4">
        <w:rPr>
          <w:rFonts w:asciiTheme="majorBidi" w:hAnsiTheme="majorBidi" w:cstheme="majorBidi"/>
          <w:sz w:val="24"/>
          <w:szCs w:val="24"/>
        </w:rPr>
        <w:lastRenderedPageBreak/>
        <w:t xml:space="preserve">particularly to </w:t>
      </w:r>
      <w:r w:rsidR="00B71324">
        <w:rPr>
          <w:rFonts w:asciiTheme="majorBidi" w:hAnsiTheme="majorBidi" w:cstheme="majorBidi"/>
          <w:sz w:val="24"/>
          <w:szCs w:val="24"/>
        </w:rPr>
        <w:t xml:space="preserve">both </w:t>
      </w:r>
      <w:r w:rsidRPr="00311CD4">
        <w:rPr>
          <w:rFonts w:asciiTheme="majorBidi" w:hAnsiTheme="majorBidi" w:cstheme="majorBidi"/>
          <w:sz w:val="24"/>
          <w:szCs w:val="24"/>
        </w:rPr>
        <w:t xml:space="preserve">Greek </w:t>
      </w:r>
      <w:r w:rsidR="00B71324">
        <w:rPr>
          <w:rFonts w:asciiTheme="majorBidi" w:hAnsiTheme="majorBidi" w:cstheme="majorBidi"/>
          <w:sz w:val="24"/>
          <w:szCs w:val="24"/>
        </w:rPr>
        <w:t xml:space="preserve">and Roman </w:t>
      </w:r>
      <w:r w:rsidRPr="00311CD4">
        <w:rPr>
          <w:rFonts w:asciiTheme="majorBidi" w:hAnsiTheme="majorBidi" w:cstheme="majorBidi"/>
          <w:sz w:val="24"/>
          <w:szCs w:val="24"/>
        </w:rPr>
        <w:t xml:space="preserve">Catholics. The peak of Habsburg support for the Greek Catholic Church came with </w:t>
      </w:r>
      <w:r w:rsidR="00730344">
        <w:rPr>
          <w:rFonts w:asciiTheme="majorBidi" w:hAnsiTheme="majorBidi" w:cstheme="majorBidi"/>
          <w:sz w:val="24"/>
          <w:szCs w:val="24"/>
        </w:rPr>
        <w:t>its</w:t>
      </w:r>
      <w:r w:rsidRPr="00311CD4">
        <w:rPr>
          <w:rFonts w:asciiTheme="majorBidi" w:hAnsiTheme="majorBidi" w:cstheme="majorBidi"/>
          <w:sz w:val="24"/>
          <w:szCs w:val="24"/>
        </w:rPr>
        <w:t xml:space="preserve"> restoration of the Galician Metropolis in 1808</w:t>
      </w:r>
      <w:r w:rsidRPr="00311CD4">
        <w:rPr>
          <w:rFonts w:asciiTheme="majorBidi" w:hAnsiTheme="majorBidi" w:cstheme="majorBidi"/>
          <w:sz w:val="24"/>
          <w:szCs w:val="24"/>
        </w:rPr>
        <w:t>,</w:t>
      </w:r>
      <w:r w:rsidRPr="00311CD4">
        <w:rPr>
          <w:rStyle w:val="FootnoteReference"/>
          <w:rFonts w:asciiTheme="majorBidi" w:hAnsiTheme="majorBidi" w:cstheme="majorBidi"/>
          <w:sz w:val="24"/>
          <w:szCs w:val="24"/>
        </w:rPr>
        <w:footnoteReference w:id="10"/>
      </w:r>
      <w:r w:rsidR="00B71324">
        <w:rPr>
          <w:rFonts w:asciiTheme="majorBidi" w:hAnsiTheme="majorBidi" w:cstheme="majorBidi"/>
          <w:sz w:val="24"/>
          <w:szCs w:val="24"/>
        </w:rPr>
        <w:t xml:space="preserve"> </w:t>
      </w:r>
      <w:r w:rsidR="00311CD4" w:rsidRPr="00311CD4">
        <w:rPr>
          <w:rFonts w:asciiTheme="majorBidi" w:hAnsiTheme="majorBidi" w:cstheme="majorBidi"/>
          <w:sz w:val="24"/>
          <w:szCs w:val="24"/>
        </w:rPr>
        <w:t xml:space="preserve">which had </w:t>
      </w:r>
      <w:r w:rsidR="00730344">
        <w:rPr>
          <w:rFonts w:asciiTheme="majorBidi" w:hAnsiTheme="majorBidi" w:cstheme="majorBidi"/>
          <w:sz w:val="24"/>
          <w:szCs w:val="24"/>
        </w:rPr>
        <w:t>once been active</w:t>
      </w:r>
      <w:r w:rsidR="00311CD4" w:rsidRPr="00311CD4">
        <w:rPr>
          <w:rFonts w:asciiTheme="majorBidi" w:hAnsiTheme="majorBidi" w:cstheme="majorBidi"/>
          <w:sz w:val="24"/>
          <w:szCs w:val="24"/>
        </w:rPr>
        <w:t xml:space="preserve"> intermittently between 1302 and 1401. After this, Lviv became the seat of the Galician metropolitans, who had their residence on St. George</w:t>
      </w:r>
      <w:r w:rsidR="00B71324">
        <w:rPr>
          <w:rFonts w:asciiTheme="majorBidi" w:hAnsiTheme="majorBidi" w:cstheme="majorBidi"/>
          <w:sz w:val="24"/>
          <w:szCs w:val="24"/>
        </w:rPr>
        <w:t>’</w:t>
      </w:r>
      <w:r w:rsidR="00311CD4" w:rsidRPr="00311CD4">
        <w:rPr>
          <w:rFonts w:asciiTheme="majorBidi" w:hAnsiTheme="majorBidi" w:cstheme="majorBidi"/>
          <w:sz w:val="24"/>
          <w:szCs w:val="24"/>
        </w:rPr>
        <w:t>s Hill next to the St. George</w:t>
      </w:r>
      <w:r w:rsidR="00B71324">
        <w:rPr>
          <w:rFonts w:asciiTheme="majorBidi" w:hAnsiTheme="majorBidi" w:cstheme="majorBidi"/>
          <w:sz w:val="24"/>
          <w:szCs w:val="24"/>
        </w:rPr>
        <w:t>’</w:t>
      </w:r>
      <w:r w:rsidR="00311CD4" w:rsidRPr="00311CD4">
        <w:rPr>
          <w:rFonts w:asciiTheme="majorBidi" w:hAnsiTheme="majorBidi" w:cstheme="majorBidi"/>
          <w:sz w:val="24"/>
          <w:szCs w:val="24"/>
        </w:rPr>
        <w:t xml:space="preserve">s </w:t>
      </w:r>
      <w:proofErr w:type="spellStart"/>
      <w:r w:rsidR="00311CD4" w:rsidRPr="00311CD4">
        <w:rPr>
          <w:rFonts w:asciiTheme="majorBidi" w:hAnsiTheme="majorBidi" w:cstheme="majorBidi"/>
          <w:sz w:val="24"/>
          <w:szCs w:val="24"/>
        </w:rPr>
        <w:t>Archcathedral</w:t>
      </w:r>
      <w:commentRangeStart w:id="3"/>
      <w:proofErr w:type="spellEnd"/>
      <w:r w:rsidR="00311CD4" w:rsidRPr="00311CD4">
        <w:rPr>
          <w:rFonts w:asciiTheme="majorBidi" w:hAnsiTheme="majorBidi" w:cstheme="majorBidi"/>
          <w:sz w:val="24"/>
          <w:szCs w:val="24"/>
        </w:rPr>
        <w:t>.</w:t>
      </w:r>
      <w:r w:rsidR="00311CD4" w:rsidRPr="00311CD4">
        <w:rPr>
          <w:rStyle w:val="FootnoteReference"/>
          <w:rFonts w:asciiTheme="majorBidi" w:hAnsiTheme="majorBidi" w:cstheme="majorBidi"/>
          <w:sz w:val="24"/>
          <w:szCs w:val="24"/>
        </w:rPr>
        <w:footnoteReference w:id="11"/>
      </w:r>
      <w:commentRangeEnd w:id="3"/>
      <w:r w:rsidR="00730344">
        <w:rPr>
          <w:rStyle w:val="CommentReference"/>
        </w:rPr>
        <w:commentReference w:id="3"/>
      </w:r>
    </w:p>
    <w:sectPr w:rsidR="0090164E" w:rsidRPr="00311CD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09-24T18:15:00Z" w:initials="SD">
    <w:p w14:paraId="652A01D3" w14:textId="77777777" w:rsidR="00151BFB" w:rsidRDefault="00151BFB" w:rsidP="00151BFB">
      <w:pPr>
        <w:pStyle w:val="CommentText"/>
      </w:pPr>
      <w:r>
        <w:rPr>
          <w:rStyle w:val="CommentReference"/>
        </w:rPr>
        <w:annotationRef/>
      </w:r>
      <w:r>
        <w:rPr>
          <w:lang w:val="en-US"/>
        </w:rPr>
        <w:t>Technically, the translation reads “it remained in communion with the Apostolic See”. Will the reader understand this?</w:t>
      </w:r>
    </w:p>
  </w:comment>
  <w:comment w:id="1" w:author="Susan Doron" w:date="2024-09-24T18:14:00Z" w:initials="SD">
    <w:p w14:paraId="40FAD2CC" w14:textId="33465FD4" w:rsidR="00151BFB" w:rsidRDefault="00151BFB" w:rsidP="00151BFB">
      <w:pPr>
        <w:pStyle w:val="CommentText"/>
      </w:pPr>
      <w:r>
        <w:rPr>
          <w:rStyle w:val="CommentReference"/>
        </w:rPr>
        <w:annotationRef/>
      </w:r>
      <w:r>
        <w:rPr>
          <w:lang w:val="en-US"/>
        </w:rPr>
        <w:t>Should this read “known as”?</w:t>
      </w:r>
    </w:p>
  </w:comment>
  <w:comment w:id="2" w:author="Susan Doron" w:date="2024-09-24T18:42:00Z" w:initials="SD">
    <w:p w14:paraId="74D20994" w14:textId="77777777" w:rsidR="00730344" w:rsidRDefault="00730344" w:rsidP="00730344">
      <w:pPr>
        <w:pStyle w:val="CommentText"/>
      </w:pPr>
      <w:r>
        <w:rPr>
          <w:rStyle w:val="CommentReference"/>
        </w:rPr>
        <w:annotationRef/>
      </w:r>
      <w:r>
        <w:rPr>
          <w:lang w:val="en-US"/>
        </w:rPr>
        <w:t>Is any further detail about the partitions needed for the reader?</w:t>
      </w:r>
    </w:p>
  </w:comment>
  <w:comment w:id="3" w:author="Susan Doron" w:date="2024-09-24T18:36:00Z" w:initials="SD">
    <w:p w14:paraId="051351FB" w14:textId="07FF07DE" w:rsidR="00730344" w:rsidRDefault="00730344" w:rsidP="00730344">
      <w:pPr>
        <w:pStyle w:val="CommentText"/>
      </w:pPr>
      <w:r>
        <w:rPr>
          <w:rStyle w:val="CommentReference"/>
        </w:rPr>
        <w:annotationRef/>
      </w:r>
      <w:r>
        <w:rPr>
          <w:lang w:val="en-US"/>
        </w:rPr>
        <w:t>Should this read simply Cathedral or Church?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2A01D3" w15:done="0"/>
  <w15:commentEx w15:paraId="40FAD2CC" w15:done="0"/>
  <w15:commentEx w15:paraId="74D20994" w15:done="0"/>
  <w15:commentEx w15:paraId="05135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959CE3" w16cex:dateUtc="2024-09-24T15:15:00Z"/>
  <w16cex:commentExtensible w16cex:durableId="2BCB85E1" w16cex:dateUtc="2024-09-24T15:14:00Z"/>
  <w16cex:commentExtensible w16cex:durableId="18418952" w16cex:dateUtc="2024-09-24T15:42:00Z"/>
  <w16cex:commentExtensible w16cex:durableId="574D6F34" w16cex:dateUtc="2024-09-24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2A01D3" w16cid:durableId="36959CE3"/>
  <w16cid:commentId w16cid:paraId="40FAD2CC" w16cid:durableId="2BCB85E1"/>
  <w16cid:commentId w16cid:paraId="74D20994" w16cid:durableId="18418952"/>
  <w16cid:commentId w16cid:paraId="051351FB" w16cid:durableId="574D6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441B5" w14:textId="77777777" w:rsidR="0043229F" w:rsidRDefault="0043229F" w:rsidP="004F0495">
      <w:pPr>
        <w:spacing w:after="0" w:line="240" w:lineRule="auto"/>
      </w:pPr>
      <w:r>
        <w:separator/>
      </w:r>
    </w:p>
  </w:endnote>
  <w:endnote w:type="continuationSeparator" w:id="0">
    <w:p w14:paraId="4495A5E4" w14:textId="77777777" w:rsidR="0043229F" w:rsidRDefault="0043229F" w:rsidP="004F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9962A" w14:textId="77777777" w:rsidR="0043229F" w:rsidRDefault="0043229F" w:rsidP="004F0495">
      <w:pPr>
        <w:spacing w:after="0" w:line="240" w:lineRule="auto"/>
      </w:pPr>
      <w:r>
        <w:separator/>
      </w:r>
    </w:p>
  </w:footnote>
  <w:footnote w:type="continuationSeparator" w:id="0">
    <w:p w14:paraId="1F99D43A" w14:textId="77777777" w:rsidR="0043229F" w:rsidRDefault="0043229F" w:rsidP="004F0495">
      <w:pPr>
        <w:spacing w:after="0" w:line="240" w:lineRule="auto"/>
      </w:pPr>
      <w:r>
        <w:continuationSeparator/>
      </w:r>
    </w:p>
  </w:footnote>
  <w:footnote w:id="1">
    <w:p w14:paraId="2479413E" w14:textId="601D9278" w:rsidR="00234862" w:rsidRPr="00311CD4" w:rsidRDefault="00234862" w:rsidP="00234862">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For more on the Baptism of Volodymyr in 988, see: </w:t>
      </w:r>
      <w:r w:rsidR="00151BFB" w:rsidRPr="00311CD4">
        <w:rPr>
          <w:rFonts w:asciiTheme="majorBidi" w:hAnsiTheme="majorBidi" w:cstheme="majorBidi"/>
          <w:sz w:val="22"/>
          <w:szCs w:val="22"/>
        </w:rPr>
        <w:t>N.</w:t>
      </w:r>
      <w:r w:rsidR="00151BFB">
        <w:rPr>
          <w:rFonts w:asciiTheme="majorBidi" w:hAnsiTheme="majorBidi" w:cstheme="majorBidi"/>
          <w:sz w:val="22"/>
          <w:szCs w:val="22"/>
        </w:rPr>
        <w:t xml:space="preserve"> </w:t>
      </w:r>
      <w:r w:rsidRPr="00311CD4">
        <w:rPr>
          <w:rFonts w:asciiTheme="majorBidi" w:hAnsiTheme="majorBidi" w:cstheme="majorBidi"/>
          <w:sz w:val="22"/>
          <w:szCs w:val="22"/>
        </w:rPr>
        <w:t xml:space="preserve">Yakovenko, </w:t>
      </w:r>
      <w:r w:rsidRPr="00311CD4">
        <w:rPr>
          <w:rStyle w:val="Emphasis"/>
          <w:rFonts w:asciiTheme="majorBidi" w:hAnsiTheme="majorBidi" w:cstheme="majorBidi"/>
          <w:sz w:val="22"/>
          <w:szCs w:val="22"/>
        </w:rPr>
        <w:t>An Outline of the History of Medieval and Early Modern Ukraine</w:t>
      </w:r>
      <w:r w:rsidRPr="00311CD4">
        <w:rPr>
          <w:rFonts w:asciiTheme="majorBidi" w:hAnsiTheme="majorBidi" w:cstheme="majorBidi"/>
          <w:sz w:val="22"/>
          <w:szCs w:val="22"/>
        </w:rPr>
        <w:t>. Kyiv: Krytyka Publishing, 2006, 47</w:t>
      </w:r>
      <w:r w:rsidR="00151BFB">
        <w:rPr>
          <w:rFonts w:asciiTheme="majorBidi" w:hAnsiTheme="majorBidi" w:cstheme="majorBidi"/>
          <w:sz w:val="22"/>
          <w:szCs w:val="22"/>
        </w:rPr>
        <w:t>–</w:t>
      </w:r>
      <w:r w:rsidRPr="00311CD4">
        <w:rPr>
          <w:rFonts w:asciiTheme="majorBidi" w:hAnsiTheme="majorBidi" w:cstheme="majorBidi"/>
          <w:sz w:val="22"/>
          <w:szCs w:val="22"/>
        </w:rPr>
        <w:t xml:space="preserve">52; </w:t>
      </w:r>
      <w:r w:rsidR="00151BFB" w:rsidRPr="00311CD4">
        <w:rPr>
          <w:rFonts w:asciiTheme="majorBidi" w:hAnsiTheme="majorBidi" w:cstheme="majorBidi"/>
          <w:sz w:val="22"/>
          <w:szCs w:val="22"/>
        </w:rPr>
        <w:t>G.</w:t>
      </w:r>
      <w:r w:rsidR="00151BFB">
        <w:rPr>
          <w:rFonts w:asciiTheme="majorBidi" w:hAnsiTheme="majorBidi" w:cstheme="majorBidi"/>
          <w:sz w:val="22"/>
          <w:szCs w:val="22"/>
        </w:rPr>
        <w:t xml:space="preserve"> </w:t>
      </w:r>
      <w:proofErr w:type="spellStart"/>
      <w:r w:rsidRPr="00311CD4">
        <w:rPr>
          <w:rFonts w:asciiTheme="majorBidi" w:hAnsiTheme="majorBidi" w:cstheme="majorBidi"/>
          <w:sz w:val="22"/>
          <w:szCs w:val="22"/>
        </w:rPr>
        <w:t>Ostrogorsky</w:t>
      </w:r>
      <w:proofErr w:type="spellEnd"/>
      <w:r w:rsidRPr="00311CD4">
        <w:rPr>
          <w:rFonts w:asciiTheme="majorBidi" w:hAnsiTheme="majorBidi" w:cstheme="majorBidi"/>
          <w:sz w:val="22"/>
          <w:szCs w:val="22"/>
        </w:rPr>
        <w:t xml:space="preserve">, </w:t>
      </w:r>
      <w:r w:rsidRPr="00311CD4">
        <w:rPr>
          <w:rStyle w:val="Emphasis"/>
          <w:rFonts w:asciiTheme="majorBidi" w:hAnsiTheme="majorBidi" w:cstheme="majorBidi"/>
          <w:sz w:val="22"/>
          <w:szCs w:val="22"/>
        </w:rPr>
        <w:t>History of Byzantium</w:t>
      </w:r>
      <w:r w:rsidRPr="00311CD4">
        <w:rPr>
          <w:rFonts w:asciiTheme="majorBidi" w:hAnsiTheme="majorBidi" w:cstheme="majorBidi"/>
          <w:sz w:val="22"/>
          <w:szCs w:val="22"/>
        </w:rPr>
        <w:t xml:space="preserve">. Lviv: </w:t>
      </w:r>
      <w:proofErr w:type="spellStart"/>
      <w:r w:rsidRPr="00311CD4">
        <w:rPr>
          <w:rFonts w:asciiTheme="majorBidi" w:hAnsiTheme="majorBidi" w:cstheme="majorBidi"/>
          <w:sz w:val="22"/>
          <w:szCs w:val="22"/>
        </w:rPr>
        <w:t>Litopys</w:t>
      </w:r>
      <w:proofErr w:type="spellEnd"/>
      <w:r w:rsidRPr="00311CD4">
        <w:rPr>
          <w:rFonts w:asciiTheme="majorBidi" w:hAnsiTheme="majorBidi" w:cstheme="majorBidi"/>
          <w:sz w:val="22"/>
          <w:szCs w:val="22"/>
        </w:rPr>
        <w:t xml:space="preserve"> Publishing, 2002, 266</w:t>
      </w:r>
      <w:r w:rsidR="00151BFB">
        <w:rPr>
          <w:rFonts w:asciiTheme="majorBidi" w:hAnsiTheme="majorBidi" w:cstheme="majorBidi"/>
          <w:sz w:val="24"/>
          <w:szCs w:val="24"/>
        </w:rPr>
        <w:t>–</w:t>
      </w:r>
      <w:r w:rsidRPr="00311CD4">
        <w:rPr>
          <w:rFonts w:asciiTheme="majorBidi" w:hAnsiTheme="majorBidi" w:cstheme="majorBidi"/>
          <w:sz w:val="22"/>
          <w:szCs w:val="22"/>
        </w:rPr>
        <w:t>67.</w:t>
      </w:r>
    </w:p>
  </w:footnote>
  <w:footnote w:id="2">
    <w:p w14:paraId="532347A9" w14:textId="4C354DA9" w:rsidR="004C761E" w:rsidRPr="00311CD4" w:rsidRDefault="004C761E">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Pr="00311CD4">
        <w:rPr>
          <w:rFonts w:asciiTheme="majorBidi" w:hAnsiTheme="majorBidi" w:cstheme="majorBidi"/>
          <w:sz w:val="22"/>
          <w:szCs w:val="22"/>
        </w:rPr>
        <w:t>For more on the events surrounding the adoption of the Union of Brest in 1596, see</w:t>
      </w:r>
      <w:r w:rsidR="00B71324" w:rsidRPr="00311CD4">
        <w:rPr>
          <w:rFonts w:asciiTheme="majorBidi" w:hAnsiTheme="majorBidi" w:cstheme="majorBidi"/>
          <w:sz w:val="22"/>
          <w:szCs w:val="22"/>
        </w:rPr>
        <w:t xml:space="preserve"> B.</w:t>
      </w:r>
      <w:r w:rsidRPr="00311CD4">
        <w:rPr>
          <w:rFonts w:asciiTheme="majorBidi" w:hAnsiTheme="majorBidi" w:cstheme="majorBidi"/>
          <w:sz w:val="22"/>
          <w:szCs w:val="22"/>
        </w:rPr>
        <w:t xml:space="preserve"> </w:t>
      </w:r>
      <w:proofErr w:type="spellStart"/>
      <w:r w:rsidRPr="00311CD4">
        <w:rPr>
          <w:rFonts w:asciiTheme="majorBidi" w:hAnsiTheme="majorBidi" w:cstheme="majorBidi"/>
          <w:sz w:val="22"/>
          <w:szCs w:val="22"/>
        </w:rPr>
        <w:t>Gudziak</w:t>
      </w:r>
      <w:proofErr w:type="spellEnd"/>
      <w:r w:rsidRPr="00311CD4">
        <w:rPr>
          <w:rFonts w:asciiTheme="majorBidi" w:hAnsiTheme="majorBidi" w:cstheme="majorBidi"/>
          <w:sz w:val="22"/>
          <w:szCs w:val="22"/>
        </w:rPr>
        <w:t xml:space="preserve">, </w:t>
      </w:r>
      <w:r w:rsidRPr="00311CD4">
        <w:rPr>
          <w:rStyle w:val="Emphasis"/>
          <w:rFonts w:asciiTheme="majorBidi" w:hAnsiTheme="majorBidi" w:cstheme="majorBidi"/>
          <w:sz w:val="22"/>
          <w:szCs w:val="22"/>
        </w:rPr>
        <w:t xml:space="preserve">Crisis and Reform. The Kyivan </w:t>
      </w:r>
      <w:proofErr w:type="spellStart"/>
      <w:r w:rsidRPr="00311CD4">
        <w:rPr>
          <w:rStyle w:val="Emphasis"/>
          <w:rFonts w:asciiTheme="majorBidi" w:hAnsiTheme="majorBidi" w:cstheme="majorBidi"/>
          <w:sz w:val="22"/>
          <w:szCs w:val="22"/>
        </w:rPr>
        <w:t>Metropolitanate</w:t>
      </w:r>
      <w:proofErr w:type="spellEnd"/>
      <w:r w:rsidRPr="00311CD4">
        <w:rPr>
          <w:rStyle w:val="Emphasis"/>
          <w:rFonts w:asciiTheme="majorBidi" w:hAnsiTheme="majorBidi" w:cstheme="majorBidi"/>
          <w:sz w:val="22"/>
          <w:szCs w:val="22"/>
        </w:rPr>
        <w:t>, the Patriarchate of Constantinople, and the Genesis of the Union of Brest</w:t>
      </w:r>
      <w:r w:rsidRPr="00311CD4">
        <w:rPr>
          <w:rFonts w:asciiTheme="majorBidi" w:hAnsiTheme="majorBidi" w:cstheme="majorBidi"/>
          <w:sz w:val="22"/>
          <w:szCs w:val="22"/>
        </w:rPr>
        <w:t xml:space="preserve">. Cambridge: Harvard Ukrainian Research Institute, 1998; </w:t>
      </w:r>
      <w:r w:rsidR="00730344" w:rsidRPr="00311CD4">
        <w:rPr>
          <w:rFonts w:asciiTheme="majorBidi" w:hAnsiTheme="majorBidi" w:cstheme="majorBidi"/>
          <w:sz w:val="22"/>
          <w:szCs w:val="22"/>
        </w:rPr>
        <w:t>N.</w:t>
      </w:r>
      <w:r w:rsidR="00730344">
        <w:rPr>
          <w:rFonts w:asciiTheme="majorBidi" w:hAnsiTheme="majorBidi" w:cstheme="majorBidi"/>
          <w:sz w:val="22"/>
          <w:szCs w:val="22"/>
        </w:rPr>
        <w:t xml:space="preserve"> </w:t>
      </w:r>
      <w:r w:rsidRPr="00311CD4">
        <w:rPr>
          <w:rFonts w:asciiTheme="majorBidi" w:hAnsiTheme="majorBidi" w:cstheme="majorBidi"/>
          <w:sz w:val="22"/>
          <w:szCs w:val="22"/>
        </w:rPr>
        <w:t xml:space="preserve">Yakovenko, </w:t>
      </w:r>
      <w:r w:rsidRPr="00311CD4">
        <w:rPr>
          <w:rStyle w:val="Emphasis"/>
          <w:rFonts w:asciiTheme="majorBidi" w:hAnsiTheme="majorBidi" w:cstheme="majorBidi"/>
          <w:sz w:val="22"/>
          <w:szCs w:val="22"/>
        </w:rPr>
        <w:t xml:space="preserve">An </w:t>
      </w:r>
      <w:proofErr w:type="gramStart"/>
      <w:r w:rsidRPr="00311CD4">
        <w:rPr>
          <w:rStyle w:val="Emphasis"/>
          <w:rFonts w:asciiTheme="majorBidi" w:hAnsiTheme="majorBidi" w:cstheme="majorBidi"/>
          <w:sz w:val="22"/>
          <w:szCs w:val="22"/>
        </w:rPr>
        <w:t>Outline</w:t>
      </w:r>
      <w:r w:rsidRPr="00311CD4">
        <w:rPr>
          <w:rFonts w:asciiTheme="majorBidi" w:hAnsiTheme="majorBidi" w:cstheme="majorBidi"/>
          <w:sz w:val="22"/>
          <w:szCs w:val="22"/>
        </w:rPr>
        <w:t>,.</w:t>
      </w:r>
      <w:proofErr w:type="gramEnd"/>
      <w:r w:rsidRPr="00311CD4">
        <w:rPr>
          <w:rFonts w:asciiTheme="majorBidi" w:hAnsiTheme="majorBidi" w:cstheme="majorBidi"/>
          <w:sz w:val="22"/>
          <w:szCs w:val="22"/>
        </w:rPr>
        <w:t xml:space="preserve"> 213</w:t>
      </w:r>
      <w:r w:rsidR="00B71324">
        <w:rPr>
          <w:rFonts w:asciiTheme="majorBidi" w:hAnsiTheme="majorBidi" w:cstheme="majorBidi"/>
          <w:sz w:val="24"/>
          <w:szCs w:val="24"/>
        </w:rPr>
        <w:t>–</w:t>
      </w:r>
      <w:r w:rsidRPr="00311CD4">
        <w:rPr>
          <w:rFonts w:asciiTheme="majorBidi" w:hAnsiTheme="majorBidi" w:cstheme="majorBidi"/>
          <w:sz w:val="22"/>
          <w:szCs w:val="22"/>
        </w:rPr>
        <w:t xml:space="preserve">20; </w:t>
      </w:r>
      <w:r w:rsidR="00B71324" w:rsidRPr="00311CD4">
        <w:rPr>
          <w:rFonts w:asciiTheme="majorBidi" w:hAnsiTheme="majorBidi" w:cstheme="majorBidi"/>
          <w:sz w:val="22"/>
          <w:szCs w:val="22"/>
        </w:rPr>
        <w:t xml:space="preserve">I. </w:t>
      </w:r>
      <w:proofErr w:type="spellStart"/>
      <w:r w:rsidRPr="00311CD4">
        <w:rPr>
          <w:rFonts w:asciiTheme="majorBidi" w:hAnsiTheme="majorBidi" w:cstheme="majorBidi"/>
          <w:sz w:val="22"/>
          <w:szCs w:val="22"/>
        </w:rPr>
        <w:t>Nahayevskyi</w:t>
      </w:r>
      <w:proofErr w:type="spellEnd"/>
      <w:r w:rsidRPr="00311CD4">
        <w:rPr>
          <w:rFonts w:asciiTheme="majorBidi" w:hAnsiTheme="majorBidi" w:cstheme="majorBidi"/>
          <w:sz w:val="22"/>
          <w:szCs w:val="22"/>
        </w:rPr>
        <w:t xml:space="preserve">, </w:t>
      </w:r>
      <w:r w:rsidRPr="00311CD4">
        <w:rPr>
          <w:rStyle w:val="Emphasis"/>
          <w:rFonts w:asciiTheme="majorBidi" w:hAnsiTheme="majorBidi" w:cstheme="majorBidi"/>
          <w:sz w:val="22"/>
          <w:szCs w:val="22"/>
        </w:rPr>
        <w:t>History of the Roman Universal Pontiffs</w:t>
      </w:r>
      <w:r w:rsidRPr="00311CD4">
        <w:rPr>
          <w:rFonts w:asciiTheme="majorBidi" w:hAnsiTheme="majorBidi" w:cstheme="majorBidi"/>
          <w:sz w:val="22"/>
          <w:szCs w:val="22"/>
        </w:rPr>
        <w:t>, Vol. II. Rome: Ukrainian Catholic University of St. Clement Pope, 1967, 299</w:t>
      </w:r>
      <w:r w:rsidR="00B71324">
        <w:rPr>
          <w:rFonts w:asciiTheme="majorBidi" w:hAnsiTheme="majorBidi" w:cstheme="majorBidi"/>
          <w:sz w:val="24"/>
          <w:szCs w:val="24"/>
        </w:rPr>
        <w:t>–</w:t>
      </w:r>
      <w:r w:rsidRPr="00311CD4">
        <w:rPr>
          <w:rFonts w:asciiTheme="majorBidi" w:hAnsiTheme="majorBidi" w:cstheme="majorBidi"/>
          <w:sz w:val="22"/>
          <w:szCs w:val="22"/>
        </w:rPr>
        <w:t>318.</w:t>
      </w:r>
    </w:p>
  </w:footnote>
  <w:footnote w:id="3">
    <w:p w14:paraId="3A51CB71" w14:textId="43B0F05A" w:rsidR="004C761E" w:rsidRPr="00311CD4" w:rsidRDefault="004C761E">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00B71324" w:rsidRPr="00311CD4">
        <w:rPr>
          <w:rFonts w:asciiTheme="majorBidi" w:hAnsiTheme="majorBidi" w:cstheme="majorBidi"/>
          <w:sz w:val="22"/>
          <w:szCs w:val="22"/>
        </w:rPr>
        <w:t>I.</w:t>
      </w:r>
      <w:r w:rsidR="00B71324">
        <w:rPr>
          <w:rFonts w:asciiTheme="majorBidi" w:hAnsiTheme="majorBidi" w:cstheme="majorBidi"/>
          <w:sz w:val="22"/>
          <w:szCs w:val="22"/>
        </w:rPr>
        <w:t xml:space="preserve"> </w:t>
      </w:r>
      <w:proofErr w:type="spellStart"/>
      <w:r w:rsidRPr="00311CD4">
        <w:rPr>
          <w:rFonts w:asciiTheme="majorBidi" w:hAnsiTheme="majorBidi" w:cstheme="majorBidi"/>
          <w:sz w:val="22"/>
          <w:szCs w:val="22"/>
        </w:rPr>
        <w:t>Skochylyas</w:t>
      </w:r>
      <w:proofErr w:type="spellEnd"/>
      <w:r w:rsidRPr="00311CD4">
        <w:rPr>
          <w:rFonts w:asciiTheme="majorBidi" w:hAnsiTheme="majorBidi" w:cstheme="majorBidi"/>
          <w:sz w:val="22"/>
          <w:szCs w:val="22"/>
        </w:rPr>
        <w:t xml:space="preserve">, </w:t>
      </w:r>
      <w:r w:rsidRPr="00311CD4">
        <w:rPr>
          <w:rStyle w:val="Emphasis"/>
          <w:rFonts w:asciiTheme="majorBidi" w:hAnsiTheme="majorBidi" w:cstheme="majorBidi"/>
          <w:sz w:val="22"/>
          <w:szCs w:val="22"/>
        </w:rPr>
        <w:t>Slavia Unita</w:t>
      </w:r>
      <w:r w:rsidRPr="00311CD4">
        <w:rPr>
          <w:rFonts w:asciiTheme="majorBidi" w:hAnsiTheme="majorBidi" w:cstheme="majorBidi"/>
          <w:sz w:val="22"/>
          <w:szCs w:val="22"/>
        </w:rPr>
        <w:t xml:space="preserve"> in the History and Culture of the Kyiv Metropolis from the Late 16th to the 18th Century. Lviv-Kyiv: Ukrainian Catholic University Press, 2024.</w:t>
      </w:r>
    </w:p>
  </w:footnote>
  <w:footnote w:id="4">
    <w:p w14:paraId="43C85DB8" w14:textId="47A3FB10" w:rsidR="006256F9" w:rsidRPr="00311CD4" w:rsidRDefault="006256F9">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00730344" w:rsidRPr="00311CD4">
        <w:rPr>
          <w:rFonts w:asciiTheme="majorBidi" w:hAnsiTheme="majorBidi" w:cstheme="majorBidi"/>
          <w:sz w:val="22"/>
          <w:szCs w:val="22"/>
        </w:rPr>
        <w:t>N.</w:t>
      </w:r>
      <w:r w:rsidR="00730344">
        <w:rPr>
          <w:rFonts w:asciiTheme="majorBidi" w:hAnsiTheme="majorBidi" w:cstheme="majorBidi"/>
          <w:sz w:val="22"/>
          <w:szCs w:val="22"/>
        </w:rPr>
        <w:t xml:space="preserve"> </w:t>
      </w:r>
      <w:r w:rsidRPr="00311CD4">
        <w:rPr>
          <w:rFonts w:asciiTheme="majorBidi" w:hAnsiTheme="majorBidi" w:cstheme="majorBidi"/>
          <w:sz w:val="22"/>
          <w:szCs w:val="22"/>
        </w:rPr>
        <w:t xml:space="preserve">Yakovenko, </w:t>
      </w:r>
      <w:r w:rsidRPr="00311CD4">
        <w:rPr>
          <w:rStyle w:val="Emphasis"/>
          <w:rFonts w:asciiTheme="majorBidi" w:hAnsiTheme="majorBidi" w:cstheme="majorBidi"/>
          <w:sz w:val="22"/>
          <w:szCs w:val="22"/>
        </w:rPr>
        <w:t>An Outline</w:t>
      </w:r>
      <w:r w:rsidRPr="00311CD4">
        <w:rPr>
          <w:rFonts w:asciiTheme="majorBidi" w:hAnsiTheme="majorBidi" w:cstheme="majorBidi"/>
          <w:sz w:val="22"/>
          <w:szCs w:val="22"/>
        </w:rPr>
        <w:t>, 313</w:t>
      </w:r>
      <w:r w:rsidR="00B71324">
        <w:rPr>
          <w:rFonts w:asciiTheme="majorBidi" w:hAnsiTheme="majorBidi" w:cstheme="majorBidi"/>
          <w:sz w:val="24"/>
          <w:szCs w:val="24"/>
        </w:rPr>
        <w:t>–</w:t>
      </w:r>
      <w:r w:rsidRPr="00311CD4">
        <w:rPr>
          <w:rFonts w:asciiTheme="majorBidi" w:hAnsiTheme="majorBidi" w:cstheme="majorBidi"/>
          <w:sz w:val="22"/>
          <w:szCs w:val="22"/>
        </w:rPr>
        <w:t xml:space="preserve">69; </w:t>
      </w:r>
      <w:r w:rsidR="00B71324" w:rsidRPr="00311CD4">
        <w:rPr>
          <w:rFonts w:asciiTheme="majorBidi" w:hAnsiTheme="majorBidi" w:cstheme="majorBidi"/>
          <w:sz w:val="22"/>
          <w:szCs w:val="22"/>
        </w:rPr>
        <w:t>N.</w:t>
      </w:r>
      <w:r w:rsidR="00730344">
        <w:rPr>
          <w:rFonts w:asciiTheme="majorBidi" w:hAnsiTheme="majorBidi" w:cstheme="majorBidi"/>
          <w:sz w:val="22"/>
          <w:szCs w:val="22"/>
        </w:rPr>
        <w:t xml:space="preserve"> </w:t>
      </w:r>
      <w:r w:rsidRPr="00311CD4">
        <w:rPr>
          <w:rFonts w:asciiTheme="majorBidi" w:hAnsiTheme="majorBidi" w:cstheme="majorBidi"/>
          <w:sz w:val="22"/>
          <w:szCs w:val="22"/>
        </w:rPr>
        <w:t xml:space="preserve">Davies, </w:t>
      </w:r>
      <w:r w:rsidRPr="00311CD4">
        <w:rPr>
          <w:rStyle w:val="Emphasis"/>
          <w:rFonts w:asciiTheme="majorBidi" w:hAnsiTheme="majorBidi" w:cstheme="majorBidi"/>
          <w:sz w:val="22"/>
          <w:szCs w:val="22"/>
        </w:rPr>
        <w:t>God</w:t>
      </w:r>
      <w:r w:rsidR="00B71324">
        <w:rPr>
          <w:rStyle w:val="Emphasis"/>
          <w:rFonts w:asciiTheme="majorBidi" w:hAnsiTheme="majorBidi" w:cstheme="majorBidi"/>
          <w:sz w:val="22"/>
          <w:szCs w:val="22"/>
        </w:rPr>
        <w:t>’</w:t>
      </w:r>
      <w:r w:rsidRPr="00311CD4">
        <w:rPr>
          <w:rStyle w:val="Emphasis"/>
          <w:rFonts w:asciiTheme="majorBidi" w:hAnsiTheme="majorBidi" w:cstheme="majorBidi"/>
          <w:sz w:val="22"/>
          <w:szCs w:val="22"/>
        </w:rPr>
        <w:t>s Playground: A History of Poland</w:t>
      </w:r>
      <w:r w:rsidRPr="00311CD4">
        <w:rPr>
          <w:rFonts w:asciiTheme="majorBidi" w:hAnsiTheme="majorBidi" w:cstheme="majorBidi"/>
          <w:sz w:val="22"/>
          <w:szCs w:val="22"/>
        </w:rPr>
        <w:t xml:space="preserve">. Kyiv: Solomiya </w:t>
      </w:r>
      <w:proofErr w:type="spellStart"/>
      <w:r w:rsidRPr="00311CD4">
        <w:rPr>
          <w:rFonts w:asciiTheme="majorBidi" w:hAnsiTheme="majorBidi" w:cstheme="majorBidi"/>
          <w:sz w:val="22"/>
          <w:szCs w:val="22"/>
        </w:rPr>
        <w:t>Pavlychko</w:t>
      </w:r>
      <w:proofErr w:type="spellEnd"/>
      <w:r w:rsidRPr="00311CD4">
        <w:rPr>
          <w:rFonts w:asciiTheme="majorBidi" w:hAnsiTheme="majorBidi" w:cstheme="majorBidi"/>
          <w:sz w:val="22"/>
          <w:szCs w:val="22"/>
        </w:rPr>
        <w:t xml:space="preserve"> </w:t>
      </w:r>
      <w:r w:rsidR="00B71324">
        <w:rPr>
          <w:rFonts w:asciiTheme="majorBidi" w:hAnsiTheme="majorBidi" w:cstheme="majorBidi"/>
          <w:sz w:val="22"/>
          <w:szCs w:val="22"/>
        </w:rPr>
        <w:t>“</w:t>
      </w:r>
      <w:proofErr w:type="spellStart"/>
      <w:r w:rsidRPr="00311CD4">
        <w:rPr>
          <w:rFonts w:asciiTheme="majorBidi" w:hAnsiTheme="majorBidi" w:cstheme="majorBidi"/>
          <w:sz w:val="22"/>
          <w:szCs w:val="22"/>
        </w:rPr>
        <w:t>Osnovy</w:t>
      </w:r>
      <w:proofErr w:type="spellEnd"/>
      <w:r w:rsidR="00B71324">
        <w:rPr>
          <w:rFonts w:asciiTheme="majorBidi" w:hAnsiTheme="majorBidi" w:cstheme="majorBidi"/>
          <w:sz w:val="22"/>
          <w:szCs w:val="22"/>
        </w:rPr>
        <w:t>”</w:t>
      </w:r>
      <w:r w:rsidRPr="00311CD4">
        <w:rPr>
          <w:rFonts w:asciiTheme="majorBidi" w:hAnsiTheme="majorBidi" w:cstheme="majorBidi"/>
          <w:sz w:val="22"/>
          <w:szCs w:val="22"/>
        </w:rPr>
        <w:t xml:space="preserve"> Publishing, 2008, 388</w:t>
      </w:r>
      <w:r w:rsidR="00B71324">
        <w:rPr>
          <w:rFonts w:asciiTheme="majorBidi" w:hAnsiTheme="majorBidi" w:cstheme="majorBidi"/>
          <w:sz w:val="24"/>
          <w:szCs w:val="24"/>
        </w:rPr>
        <w:t>–</w:t>
      </w:r>
      <w:r w:rsidRPr="00311CD4">
        <w:rPr>
          <w:rFonts w:asciiTheme="majorBidi" w:hAnsiTheme="majorBidi" w:cstheme="majorBidi"/>
          <w:sz w:val="22"/>
          <w:szCs w:val="22"/>
        </w:rPr>
        <w:t>409.</w:t>
      </w:r>
    </w:p>
  </w:footnote>
  <w:footnote w:id="5">
    <w:p w14:paraId="7AE2082F" w14:textId="1D304D7A" w:rsidR="00906AB7" w:rsidRPr="00311CD4" w:rsidRDefault="00906AB7">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00B71324" w:rsidRPr="00311CD4">
        <w:rPr>
          <w:rFonts w:asciiTheme="majorBidi" w:hAnsiTheme="majorBidi" w:cstheme="majorBidi"/>
          <w:sz w:val="22"/>
          <w:szCs w:val="22"/>
        </w:rPr>
        <w:t>N.</w:t>
      </w:r>
      <w:r w:rsidR="00B71324">
        <w:rPr>
          <w:rFonts w:asciiTheme="majorBidi" w:hAnsiTheme="majorBidi" w:cstheme="majorBidi"/>
          <w:sz w:val="22"/>
          <w:szCs w:val="22"/>
        </w:rPr>
        <w:t xml:space="preserve"> </w:t>
      </w:r>
      <w:r w:rsidRPr="00311CD4">
        <w:rPr>
          <w:rFonts w:asciiTheme="majorBidi" w:hAnsiTheme="majorBidi" w:cstheme="majorBidi"/>
          <w:sz w:val="22"/>
          <w:szCs w:val="22"/>
        </w:rPr>
        <w:t xml:space="preserve">Yakovenko, </w:t>
      </w:r>
      <w:r w:rsidRPr="00311CD4">
        <w:rPr>
          <w:rStyle w:val="Emphasis"/>
          <w:rFonts w:asciiTheme="majorBidi" w:hAnsiTheme="majorBidi" w:cstheme="majorBidi"/>
          <w:sz w:val="22"/>
          <w:szCs w:val="22"/>
        </w:rPr>
        <w:t>An Outline</w:t>
      </w:r>
      <w:r w:rsidRPr="00311CD4">
        <w:rPr>
          <w:rFonts w:asciiTheme="majorBidi" w:hAnsiTheme="majorBidi" w:cstheme="majorBidi"/>
          <w:sz w:val="22"/>
          <w:szCs w:val="22"/>
        </w:rPr>
        <w:t>, 491</w:t>
      </w:r>
      <w:r w:rsidR="00B71324">
        <w:rPr>
          <w:rFonts w:asciiTheme="majorBidi" w:hAnsiTheme="majorBidi" w:cstheme="majorBidi"/>
          <w:sz w:val="24"/>
          <w:szCs w:val="24"/>
        </w:rPr>
        <w:t>–</w:t>
      </w:r>
      <w:r w:rsidRPr="00311CD4">
        <w:rPr>
          <w:rFonts w:asciiTheme="majorBidi" w:hAnsiTheme="majorBidi" w:cstheme="majorBidi"/>
          <w:sz w:val="22"/>
          <w:szCs w:val="22"/>
        </w:rPr>
        <w:t xml:space="preserve">93; see also: </w:t>
      </w:r>
      <w:r w:rsidRPr="00311CD4">
        <w:rPr>
          <w:rStyle w:val="Emphasis"/>
          <w:rFonts w:asciiTheme="majorBidi" w:hAnsiTheme="majorBidi" w:cstheme="majorBidi"/>
          <w:sz w:val="22"/>
          <w:szCs w:val="22"/>
        </w:rPr>
        <w:t xml:space="preserve">The </w:t>
      </w:r>
      <w:proofErr w:type="spellStart"/>
      <w:r w:rsidRPr="00311CD4">
        <w:rPr>
          <w:rStyle w:val="Emphasis"/>
          <w:rFonts w:asciiTheme="majorBidi" w:hAnsiTheme="majorBidi" w:cstheme="majorBidi"/>
          <w:sz w:val="22"/>
          <w:szCs w:val="22"/>
        </w:rPr>
        <w:t>Zamość</w:t>
      </w:r>
      <w:proofErr w:type="spellEnd"/>
      <w:r w:rsidRPr="00311CD4">
        <w:rPr>
          <w:rStyle w:val="Emphasis"/>
          <w:rFonts w:asciiTheme="majorBidi" w:hAnsiTheme="majorBidi" w:cstheme="majorBidi"/>
          <w:sz w:val="22"/>
          <w:szCs w:val="22"/>
        </w:rPr>
        <w:t xml:space="preserve"> Provincial Synod of the Ruthenian Uniate Church of 1720</w:t>
      </w:r>
      <w:r w:rsidRPr="00311CD4">
        <w:rPr>
          <w:rFonts w:asciiTheme="majorBidi" w:hAnsiTheme="majorBidi" w:cstheme="majorBidi"/>
          <w:sz w:val="22"/>
          <w:szCs w:val="22"/>
        </w:rPr>
        <w:t xml:space="preserve">, Vol. I: Acts and Decrees / Compiled by R. </w:t>
      </w:r>
      <w:proofErr w:type="spellStart"/>
      <w:r w:rsidRPr="00311CD4">
        <w:rPr>
          <w:rFonts w:asciiTheme="majorBidi" w:hAnsiTheme="majorBidi" w:cstheme="majorBidi"/>
          <w:sz w:val="22"/>
          <w:szCs w:val="22"/>
        </w:rPr>
        <w:t>Paranko</w:t>
      </w:r>
      <w:proofErr w:type="spellEnd"/>
      <w:r w:rsidRPr="00311CD4">
        <w:rPr>
          <w:rFonts w:asciiTheme="majorBidi" w:hAnsiTheme="majorBidi" w:cstheme="majorBidi"/>
          <w:sz w:val="22"/>
          <w:szCs w:val="22"/>
        </w:rPr>
        <w:t xml:space="preserve">, </w:t>
      </w:r>
      <w:proofErr w:type="spellStart"/>
      <w:r w:rsidRPr="00311CD4">
        <w:rPr>
          <w:rFonts w:asciiTheme="majorBidi" w:hAnsiTheme="majorBidi" w:cstheme="majorBidi"/>
          <w:sz w:val="22"/>
          <w:szCs w:val="22"/>
        </w:rPr>
        <w:t>Ih</w:t>
      </w:r>
      <w:proofErr w:type="spellEnd"/>
      <w:r w:rsidRPr="00311CD4">
        <w:rPr>
          <w:rFonts w:asciiTheme="majorBidi" w:hAnsiTheme="majorBidi" w:cstheme="majorBidi"/>
          <w:sz w:val="22"/>
          <w:szCs w:val="22"/>
        </w:rPr>
        <w:t xml:space="preserve">. </w:t>
      </w:r>
      <w:proofErr w:type="spellStart"/>
      <w:r w:rsidRPr="00311CD4">
        <w:rPr>
          <w:rFonts w:asciiTheme="majorBidi" w:hAnsiTheme="majorBidi" w:cstheme="majorBidi"/>
          <w:sz w:val="22"/>
          <w:szCs w:val="22"/>
        </w:rPr>
        <w:t>Skochylas</w:t>
      </w:r>
      <w:proofErr w:type="spellEnd"/>
      <w:r w:rsidRPr="00311CD4">
        <w:rPr>
          <w:rFonts w:asciiTheme="majorBidi" w:hAnsiTheme="majorBidi" w:cstheme="majorBidi"/>
          <w:sz w:val="22"/>
          <w:szCs w:val="22"/>
        </w:rPr>
        <w:t xml:space="preserve">, Ir. </w:t>
      </w:r>
      <w:proofErr w:type="spellStart"/>
      <w:r w:rsidRPr="00311CD4">
        <w:rPr>
          <w:rFonts w:asciiTheme="majorBidi" w:hAnsiTheme="majorBidi" w:cstheme="majorBidi"/>
          <w:sz w:val="22"/>
          <w:szCs w:val="22"/>
        </w:rPr>
        <w:t>Skochylas</w:t>
      </w:r>
      <w:proofErr w:type="spellEnd"/>
      <w:r w:rsidRPr="00311CD4">
        <w:rPr>
          <w:rFonts w:asciiTheme="majorBidi" w:hAnsiTheme="majorBidi" w:cstheme="majorBidi"/>
          <w:sz w:val="22"/>
          <w:szCs w:val="22"/>
        </w:rPr>
        <w:t>. Lviv: Ukrainian Catholic University Press, 2021</w:t>
      </w:r>
      <w:r w:rsidR="00730344">
        <w:rPr>
          <w:rFonts w:asciiTheme="majorBidi" w:hAnsiTheme="majorBidi" w:cstheme="majorBidi"/>
          <w:sz w:val="22"/>
          <w:szCs w:val="22"/>
        </w:rPr>
        <w:t>.</w:t>
      </w:r>
    </w:p>
  </w:footnote>
  <w:footnote w:id="6">
    <w:p w14:paraId="5D02EB8D" w14:textId="6119152A" w:rsidR="00906AB7" w:rsidRPr="00311CD4" w:rsidRDefault="00906AB7">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Pr="00311CD4">
        <w:rPr>
          <w:rFonts w:asciiTheme="majorBidi" w:hAnsiTheme="majorBidi" w:cstheme="majorBidi"/>
          <w:sz w:val="22"/>
          <w:szCs w:val="22"/>
        </w:rPr>
        <w:t xml:space="preserve">For more on the partitions of the Polish-Lithuanian Commonwealth and the Kyiv Uniate Metropolis, see: </w:t>
      </w:r>
      <w:r w:rsidR="00B71324" w:rsidRPr="00311CD4">
        <w:rPr>
          <w:rFonts w:asciiTheme="majorBidi" w:hAnsiTheme="majorBidi" w:cstheme="majorBidi"/>
          <w:sz w:val="22"/>
          <w:szCs w:val="22"/>
        </w:rPr>
        <w:t xml:space="preserve">L. </w:t>
      </w:r>
      <w:r w:rsidRPr="00311CD4">
        <w:rPr>
          <w:rFonts w:asciiTheme="majorBidi" w:hAnsiTheme="majorBidi" w:cstheme="majorBidi"/>
          <w:sz w:val="22"/>
          <w:szCs w:val="22"/>
        </w:rPr>
        <w:t xml:space="preserve">Wolff, </w:t>
      </w:r>
      <w:r w:rsidRPr="00311CD4">
        <w:rPr>
          <w:rStyle w:val="Emphasis"/>
          <w:rFonts w:asciiTheme="majorBidi" w:hAnsiTheme="majorBidi" w:cstheme="majorBidi"/>
          <w:sz w:val="22"/>
          <w:szCs w:val="22"/>
        </w:rPr>
        <w:t>Disunion within the Union. The Uniate Church and the Partitions of Poland</w:t>
      </w:r>
      <w:r w:rsidRPr="00311CD4">
        <w:rPr>
          <w:rFonts w:asciiTheme="majorBidi" w:hAnsiTheme="majorBidi" w:cstheme="majorBidi"/>
          <w:sz w:val="22"/>
          <w:szCs w:val="22"/>
        </w:rPr>
        <w:t>. Cambridge: Harvard Ukrainian Research Institute, 2019</w:t>
      </w:r>
      <w:r w:rsidR="00B71324">
        <w:rPr>
          <w:rFonts w:asciiTheme="majorBidi" w:hAnsiTheme="majorBidi" w:cstheme="majorBidi"/>
          <w:sz w:val="22"/>
          <w:szCs w:val="22"/>
        </w:rPr>
        <w:t>.</w:t>
      </w:r>
    </w:p>
  </w:footnote>
  <w:footnote w:id="7">
    <w:p w14:paraId="50BBEA50" w14:textId="3F1DACA7" w:rsidR="00906AB7" w:rsidRPr="00311CD4" w:rsidRDefault="00906AB7">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00B71324" w:rsidRPr="00311CD4">
        <w:rPr>
          <w:rFonts w:asciiTheme="majorBidi" w:hAnsiTheme="majorBidi" w:cstheme="majorBidi"/>
          <w:sz w:val="22"/>
          <w:szCs w:val="22"/>
        </w:rPr>
        <w:t xml:space="preserve">I. </w:t>
      </w:r>
      <w:proofErr w:type="spellStart"/>
      <w:r w:rsidRPr="00311CD4">
        <w:rPr>
          <w:rFonts w:asciiTheme="majorBidi" w:hAnsiTheme="majorBidi" w:cstheme="majorBidi"/>
          <w:sz w:val="22"/>
          <w:szCs w:val="22"/>
        </w:rPr>
        <w:t>Nahayevskyi</w:t>
      </w:r>
      <w:proofErr w:type="spellEnd"/>
      <w:r w:rsidRPr="00311CD4">
        <w:rPr>
          <w:rFonts w:asciiTheme="majorBidi" w:hAnsiTheme="majorBidi" w:cstheme="majorBidi"/>
          <w:sz w:val="22"/>
          <w:szCs w:val="22"/>
        </w:rPr>
        <w:t xml:space="preserve">, </w:t>
      </w:r>
      <w:r w:rsidRPr="00311CD4">
        <w:rPr>
          <w:rStyle w:val="Emphasis"/>
          <w:rFonts w:asciiTheme="majorBidi" w:hAnsiTheme="majorBidi" w:cstheme="majorBidi"/>
          <w:sz w:val="22"/>
          <w:szCs w:val="22"/>
        </w:rPr>
        <w:t>History of the Roman Universal Pontiffs</w:t>
      </w:r>
      <w:r w:rsidRPr="00311CD4">
        <w:rPr>
          <w:rFonts w:asciiTheme="majorBidi" w:hAnsiTheme="majorBidi" w:cstheme="majorBidi"/>
          <w:sz w:val="22"/>
          <w:szCs w:val="22"/>
        </w:rPr>
        <w:t>, 158</w:t>
      </w:r>
      <w:r w:rsidR="00B71324">
        <w:rPr>
          <w:rFonts w:asciiTheme="majorBidi" w:hAnsiTheme="majorBidi" w:cstheme="majorBidi"/>
          <w:sz w:val="24"/>
          <w:szCs w:val="24"/>
        </w:rPr>
        <w:t>–</w:t>
      </w:r>
      <w:r w:rsidRPr="00311CD4">
        <w:rPr>
          <w:rFonts w:asciiTheme="majorBidi" w:hAnsiTheme="majorBidi" w:cstheme="majorBidi"/>
          <w:sz w:val="22"/>
          <w:szCs w:val="22"/>
        </w:rPr>
        <w:t>70</w:t>
      </w:r>
      <w:r w:rsidR="00B71324">
        <w:rPr>
          <w:rFonts w:asciiTheme="majorBidi" w:hAnsiTheme="majorBidi" w:cstheme="majorBidi"/>
          <w:sz w:val="22"/>
          <w:szCs w:val="22"/>
        </w:rPr>
        <w:t>.</w:t>
      </w:r>
    </w:p>
  </w:footnote>
  <w:footnote w:id="8">
    <w:p w14:paraId="326B1142" w14:textId="40FB04FF" w:rsidR="0090164E" w:rsidRPr="00311CD4" w:rsidRDefault="0090164E">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Pr="00311CD4">
        <w:rPr>
          <w:rFonts w:asciiTheme="majorBidi" w:hAnsiTheme="majorBidi" w:cstheme="majorBidi"/>
          <w:sz w:val="22"/>
          <w:szCs w:val="22"/>
        </w:rPr>
        <w:t>For more on Eastern Galicia under Habsburg rule, see also</w:t>
      </w:r>
      <w:r w:rsidRPr="00311CD4">
        <w:rPr>
          <w:rFonts w:asciiTheme="majorBidi" w:hAnsiTheme="majorBidi" w:cstheme="majorBidi"/>
          <w:sz w:val="22"/>
          <w:szCs w:val="22"/>
        </w:rPr>
        <w:t xml:space="preserve"> </w:t>
      </w:r>
      <w:r w:rsidR="00B71324" w:rsidRPr="00311CD4">
        <w:rPr>
          <w:rFonts w:asciiTheme="majorBidi" w:hAnsiTheme="majorBidi" w:cstheme="majorBidi"/>
          <w:sz w:val="22"/>
          <w:szCs w:val="22"/>
          <w:lang w:val="en-US"/>
        </w:rPr>
        <w:t>L.</w:t>
      </w:r>
      <w:r w:rsidR="00B71324" w:rsidRPr="00311CD4">
        <w:rPr>
          <w:rFonts w:asciiTheme="majorBidi" w:hAnsiTheme="majorBidi" w:cstheme="majorBidi"/>
          <w:sz w:val="22"/>
          <w:szCs w:val="22"/>
        </w:rPr>
        <w:t xml:space="preserve"> </w:t>
      </w:r>
      <w:r w:rsidRPr="00311CD4">
        <w:rPr>
          <w:rFonts w:asciiTheme="majorBidi" w:hAnsiTheme="majorBidi" w:cstheme="majorBidi"/>
          <w:sz w:val="22"/>
          <w:szCs w:val="22"/>
        </w:rPr>
        <w:t>Wolff</w:t>
      </w:r>
      <w:r w:rsidR="00B71324">
        <w:rPr>
          <w:rFonts w:asciiTheme="majorBidi" w:hAnsiTheme="majorBidi" w:cstheme="majorBidi"/>
          <w:sz w:val="22"/>
          <w:szCs w:val="22"/>
        </w:rPr>
        <w:t>,</w:t>
      </w:r>
      <w:r w:rsidRPr="00311CD4">
        <w:rPr>
          <w:rFonts w:asciiTheme="majorBidi" w:hAnsiTheme="majorBidi" w:cstheme="majorBidi"/>
          <w:sz w:val="22"/>
          <w:szCs w:val="22"/>
        </w:rPr>
        <w:t xml:space="preserve"> The Idea of Galicia: History and Fantasy in Habsburg Political Culture. Redwood City: Stanford University Press, 2010.</w:t>
      </w:r>
    </w:p>
  </w:footnote>
  <w:footnote w:id="9">
    <w:p w14:paraId="56FF2830" w14:textId="3D8CA8E3" w:rsidR="0090164E" w:rsidRPr="00311CD4" w:rsidRDefault="0090164E">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00B71324" w:rsidRPr="00311CD4">
        <w:rPr>
          <w:rFonts w:asciiTheme="majorBidi" w:hAnsiTheme="majorBidi" w:cstheme="majorBidi"/>
          <w:sz w:val="22"/>
          <w:szCs w:val="22"/>
        </w:rPr>
        <w:t>Y.</w:t>
      </w:r>
      <w:r w:rsidR="00B71324">
        <w:rPr>
          <w:rFonts w:asciiTheme="majorBidi" w:hAnsiTheme="majorBidi" w:cstheme="majorBidi"/>
          <w:sz w:val="22"/>
          <w:szCs w:val="22"/>
        </w:rPr>
        <w:t xml:space="preserve"> </w:t>
      </w:r>
      <w:proofErr w:type="spellStart"/>
      <w:r w:rsidRPr="00311CD4">
        <w:rPr>
          <w:rFonts w:asciiTheme="majorBidi" w:hAnsiTheme="majorBidi" w:cstheme="majorBidi"/>
          <w:sz w:val="22"/>
          <w:szCs w:val="22"/>
        </w:rPr>
        <w:t>Hrytsak</w:t>
      </w:r>
      <w:proofErr w:type="spellEnd"/>
      <w:r w:rsidRPr="00311CD4">
        <w:rPr>
          <w:rFonts w:asciiTheme="majorBidi" w:hAnsiTheme="majorBidi" w:cstheme="majorBidi"/>
          <w:sz w:val="22"/>
          <w:szCs w:val="22"/>
        </w:rPr>
        <w:t xml:space="preserve">, </w:t>
      </w:r>
      <w:r w:rsidRPr="00311CD4">
        <w:rPr>
          <w:rStyle w:val="Emphasis"/>
          <w:rFonts w:asciiTheme="majorBidi" w:hAnsiTheme="majorBidi" w:cstheme="majorBidi"/>
          <w:sz w:val="22"/>
          <w:szCs w:val="22"/>
        </w:rPr>
        <w:t>An Outline of the History of Ukraine: The Formation of a Modern Nation in the 19th</w:t>
      </w:r>
      <w:r w:rsidR="00B71324">
        <w:rPr>
          <w:rFonts w:asciiTheme="majorBidi" w:hAnsiTheme="majorBidi" w:cstheme="majorBidi"/>
          <w:sz w:val="24"/>
          <w:szCs w:val="24"/>
        </w:rPr>
        <w:t>–</w:t>
      </w:r>
      <w:r w:rsidRPr="00311CD4">
        <w:rPr>
          <w:rStyle w:val="Emphasis"/>
          <w:rFonts w:asciiTheme="majorBidi" w:hAnsiTheme="majorBidi" w:cstheme="majorBidi"/>
          <w:sz w:val="22"/>
          <w:szCs w:val="22"/>
        </w:rPr>
        <w:t>20th Centuries</w:t>
      </w:r>
      <w:r w:rsidRPr="00311CD4">
        <w:rPr>
          <w:rFonts w:asciiTheme="majorBidi" w:hAnsiTheme="majorBidi" w:cstheme="majorBidi"/>
          <w:sz w:val="22"/>
          <w:szCs w:val="22"/>
        </w:rPr>
        <w:t xml:space="preserve">. Kyiv: </w:t>
      </w:r>
      <w:proofErr w:type="spellStart"/>
      <w:r w:rsidRPr="00311CD4">
        <w:rPr>
          <w:rFonts w:asciiTheme="majorBidi" w:hAnsiTheme="majorBidi" w:cstheme="majorBidi"/>
          <w:sz w:val="22"/>
          <w:szCs w:val="22"/>
        </w:rPr>
        <w:t>Yakaboo</w:t>
      </w:r>
      <w:proofErr w:type="spellEnd"/>
      <w:r w:rsidRPr="00311CD4">
        <w:rPr>
          <w:rFonts w:asciiTheme="majorBidi" w:hAnsiTheme="majorBidi" w:cstheme="majorBidi"/>
          <w:sz w:val="22"/>
          <w:szCs w:val="22"/>
        </w:rPr>
        <w:t xml:space="preserve"> Publishing, 84; </w:t>
      </w:r>
      <w:r w:rsidR="00730344" w:rsidRPr="00311CD4">
        <w:rPr>
          <w:rFonts w:asciiTheme="majorBidi" w:hAnsiTheme="majorBidi" w:cstheme="majorBidi"/>
          <w:sz w:val="22"/>
          <w:szCs w:val="22"/>
        </w:rPr>
        <w:t>N.</w:t>
      </w:r>
      <w:r w:rsidR="00730344">
        <w:rPr>
          <w:rFonts w:asciiTheme="majorBidi" w:hAnsiTheme="majorBidi" w:cstheme="majorBidi"/>
          <w:sz w:val="22"/>
          <w:szCs w:val="22"/>
        </w:rPr>
        <w:t xml:space="preserve"> </w:t>
      </w:r>
      <w:r w:rsidRPr="00311CD4">
        <w:rPr>
          <w:rFonts w:asciiTheme="majorBidi" w:hAnsiTheme="majorBidi" w:cstheme="majorBidi"/>
          <w:sz w:val="22"/>
          <w:szCs w:val="22"/>
        </w:rPr>
        <w:t xml:space="preserve">Yakovenko, </w:t>
      </w:r>
      <w:r w:rsidRPr="00311CD4">
        <w:rPr>
          <w:rStyle w:val="Emphasis"/>
          <w:rFonts w:asciiTheme="majorBidi" w:hAnsiTheme="majorBidi" w:cstheme="majorBidi"/>
          <w:sz w:val="22"/>
          <w:szCs w:val="22"/>
        </w:rPr>
        <w:t xml:space="preserve">An </w:t>
      </w:r>
      <w:proofErr w:type="gramStart"/>
      <w:r w:rsidRPr="00311CD4">
        <w:rPr>
          <w:rStyle w:val="Emphasis"/>
          <w:rFonts w:asciiTheme="majorBidi" w:hAnsiTheme="majorBidi" w:cstheme="majorBidi"/>
          <w:sz w:val="22"/>
          <w:szCs w:val="22"/>
        </w:rPr>
        <w:t>Outline</w:t>
      </w:r>
      <w:r w:rsidR="00730344">
        <w:rPr>
          <w:rStyle w:val="Emphasis"/>
          <w:rFonts w:asciiTheme="majorBidi" w:hAnsiTheme="majorBidi" w:cstheme="majorBidi"/>
          <w:sz w:val="22"/>
          <w:szCs w:val="22"/>
        </w:rPr>
        <w:t>,</w:t>
      </w:r>
      <w:r w:rsidRPr="00311CD4">
        <w:rPr>
          <w:rStyle w:val="Emphasis"/>
          <w:rFonts w:asciiTheme="majorBidi" w:hAnsiTheme="majorBidi" w:cstheme="majorBidi"/>
          <w:sz w:val="22"/>
          <w:szCs w:val="22"/>
        </w:rPr>
        <w:t xml:space="preserve"> </w:t>
      </w:r>
      <w:r w:rsidRPr="00311CD4">
        <w:rPr>
          <w:rFonts w:asciiTheme="majorBidi" w:hAnsiTheme="majorBidi" w:cstheme="majorBidi"/>
          <w:sz w:val="22"/>
          <w:szCs w:val="22"/>
        </w:rPr>
        <w:t xml:space="preserve"> 493</w:t>
      </w:r>
      <w:proofErr w:type="gramEnd"/>
      <w:r w:rsidR="00B71324">
        <w:rPr>
          <w:rFonts w:asciiTheme="majorBidi" w:hAnsiTheme="majorBidi" w:cstheme="majorBidi"/>
          <w:sz w:val="22"/>
          <w:szCs w:val="22"/>
        </w:rPr>
        <w:t>.</w:t>
      </w:r>
    </w:p>
  </w:footnote>
  <w:footnote w:id="10">
    <w:p w14:paraId="01FBB6A9" w14:textId="548F4E96" w:rsidR="0090164E" w:rsidRPr="00311CD4" w:rsidRDefault="0090164E">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S</w:t>
      </w:r>
      <w:r w:rsidRPr="00311CD4">
        <w:rPr>
          <w:rFonts w:asciiTheme="majorBidi" w:hAnsiTheme="majorBidi" w:cstheme="majorBidi"/>
          <w:sz w:val="22"/>
          <w:szCs w:val="22"/>
        </w:rPr>
        <w:t xml:space="preserve">ee </w:t>
      </w:r>
      <w:r w:rsidRPr="00311CD4">
        <w:rPr>
          <w:rStyle w:val="Emphasis"/>
          <w:rFonts w:asciiTheme="majorBidi" w:hAnsiTheme="majorBidi" w:cstheme="majorBidi"/>
          <w:sz w:val="22"/>
          <w:szCs w:val="22"/>
        </w:rPr>
        <w:t>The Division of the Kyiv and the Elevation of the Galician Uniate Metropolises: Documents and Materials from the Vatican Archives, 1802–1808</w:t>
      </w:r>
      <w:r w:rsidRPr="00311CD4">
        <w:rPr>
          <w:rFonts w:asciiTheme="majorBidi" w:hAnsiTheme="majorBidi" w:cstheme="majorBidi"/>
          <w:sz w:val="22"/>
          <w:szCs w:val="22"/>
        </w:rPr>
        <w:t xml:space="preserve"> / Compiled, with an introductory article and commentary, translated from French by V. </w:t>
      </w:r>
      <w:proofErr w:type="spellStart"/>
      <w:r w:rsidRPr="00311CD4">
        <w:rPr>
          <w:rFonts w:asciiTheme="majorBidi" w:hAnsiTheme="majorBidi" w:cstheme="majorBidi"/>
          <w:sz w:val="22"/>
          <w:szCs w:val="22"/>
        </w:rPr>
        <w:t>Adadurov</w:t>
      </w:r>
      <w:proofErr w:type="spellEnd"/>
      <w:r w:rsidRPr="00311CD4">
        <w:rPr>
          <w:rFonts w:asciiTheme="majorBidi" w:hAnsiTheme="majorBidi" w:cstheme="majorBidi"/>
          <w:sz w:val="22"/>
          <w:szCs w:val="22"/>
        </w:rPr>
        <w:t>. Lviv: Ukrainian Catholic University Press, 2019."</w:t>
      </w:r>
    </w:p>
  </w:footnote>
  <w:footnote w:id="11">
    <w:p w14:paraId="4FDDE949" w14:textId="17E6D183" w:rsidR="00311CD4" w:rsidRPr="00311CD4" w:rsidRDefault="00311CD4">
      <w:pPr>
        <w:pStyle w:val="FootnoteText"/>
        <w:rPr>
          <w:rFonts w:asciiTheme="majorBidi" w:hAnsiTheme="majorBidi" w:cstheme="majorBidi"/>
          <w:sz w:val="22"/>
          <w:szCs w:val="22"/>
          <w:lang w:val="en-US"/>
        </w:rPr>
      </w:pPr>
      <w:r w:rsidRPr="00311CD4">
        <w:rPr>
          <w:rStyle w:val="FootnoteReference"/>
          <w:rFonts w:asciiTheme="majorBidi" w:hAnsiTheme="majorBidi" w:cstheme="majorBidi"/>
          <w:sz w:val="22"/>
          <w:szCs w:val="22"/>
        </w:rPr>
        <w:footnoteRef/>
      </w:r>
      <w:r w:rsidRPr="00311CD4">
        <w:rPr>
          <w:rFonts w:asciiTheme="majorBidi" w:hAnsiTheme="majorBidi" w:cstheme="majorBidi"/>
          <w:sz w:val="22"/>
          <w:szCs w:val="22"/>
        </w:rPr>
        <w:t xml:space="preserve"> </w:t>
      </w:r>
      <w:r w:rsidRPr="00311CD4">
        <w:rPr>
          <w:rFonts w:asciiTheme="majorBidi" w:hAnsiTheme="majorBidi" w:cstheme="majorBidi"/>
          <w:sz w:val="22"/>
          <w:szCs w:val="22"/>
        </w:rPr>
        <w:t xml:space="preserve">It is important to note that St. George's Church in Lviv became a cathedral in 1539, at which time it belonged to the Lviv Diocese of the Kyiv Orthodox Metropolis. In 1700, the Lviv Diocese accepted the Union. For more details on the history of the St. George's </w:t>
      </w:r>
      <w:proofErr w:type="spellStart"/>
      <w:r w:rsidRPr="00311CD4">
        <w:rPr>
          <w:rFonts w:asciiTheme="majorBidi" w:hAnsiTheme="majorBidi" w:cstheme="majorBidi"/>
          <w:sz w:val="22"/>
          <w:szCs w:val="22"/>
        </w:rPr>
        <w:t>Archcathedral</w:t>
      </w:r>
      <w:proofErr w:type="spellEnd"/>
      <w:r w:rsidRPr="00311CD4">
        <w:rPr>
          <w:rFonts w:asciiTheme="majorBidi" w:hAnsiTheme="majorBidi" w:cstheme="majorBidi"/>
          <w:sz w:val="22"/>
          <w:szCs w:val="22"/>
        </w:rPr>
        <w:t xml:space="preserve">, see: </w:t>
      </w:r>
      <w:proofErr w:type="spellStart"/>
      <w:r w:rsidRPr="00311CD4">
        <w:rPr>
          <w:rFonts w:asciiTheme="majorBidi" w:hAnsiTheme="majorBidi" w:cstheme="majorBidi"/>
          <w:sz w:val="22"/>
          <w:szCs w:val="22"/>
        </w:rPr>
        <w:t>Vuytsyk</w:t>
      </w:r>
      <w:proofErr w:type="spellEnd"/>
      <w:r w:rsidRPr="00311CD4">
        <w:rPr>
          <w:rFonts w:asciiTheme="majorBidi" w:hAnsiTheme="majorBidi" w:cstheme="majorBidi"/>
          <w:sz w:val="22"/>
          <w:szCs w:val="22"/>
        </w:rPr>
        <w:t xml:space="preserve">, V. </w:t>
      </w:r>
      <w:r w:rsidRPr="00311CD4">
        <w:rPr>
          <w:rStyle w:val="Emphasis"/>
          <w:rFonts w:asciiTheme="majorBidi" w:hAnsiTheme="majorBidi" w:cstheme="majorBidi"/>
          <w:sz w:val="22"/>
          <w:szCs w:val="22"/>
        </w:rPr>
        <w:t xml:space="preserve">The St. George's </w:t>
      </w:r>
      <w:proofErr w:type="spellStart"/>
      <w:r w:rsidRPr="00311CD4">
        <w:rPr>
          <w:rStyle w:val="Emphasis"/>
          <w:rFonts w:asciiTheme="majorBidi" w:hAnsiTheme="majorBidi" w:cstheme="majorBidi"/>
          <w:sz w:val="22"/>
          <w:szCs w:val="22"/>
        </w:rPr>
        <w:t>Archcathedral</w:t>
      </w:r>
      <w:proofErr w:type="spellEnd"/>
      <w:r w:rsidRPr="00311CD4">
        <w:rPr>
          <w:rStyle w:val="Emphasis"/>
          <w:rFonts w:asciiTheme="majorBidi" w:hAnsiTheme="majorBidi" w:cstheme="majorBidi"/>
          <w:sz w:val="22"/>
          <w:szCs w:val="22"/>
        </w:rPr>
        <w:t xml:space="preserve"> in Lviv</w:t>
      </w:r>
      <w:r w:rsidRPr="00311CD4">
        <w:rPr>
          <w:rFonts w:asciiTheme="majorBidi" w:hAnsiTheme="majorBidi" w:cstheme="majorBidi"/>
          <w:sz w:val="22"/>
          <w:szCs w:val="22"/>
        </w:rPr>
        <w:t>. LEOPOLITANA. Lviv: VNTL-</w:t>
      </w:r>
      <w:proofErr w:type="spellStart"/>
      <w:r w:rsidRPr="00311CD4">
        <w:rPr>
          <w:rFonts w:asciiTheme="majorBidi" w:hAnsiTheme="majorBidi" w:cstheme="majorBidi"/>
          <w:sz w:val="22"/>
          <w:szCs w:val="22"/>
        </w:rPr>
        <w:t>Klassika</w:t>
      </w:r>
      <w:proofErr w:type="spellEnd"/>
      <w:r w:rsidRPr="00311CD4">
        <w:rPr>
          <w:rFonts w:asciiTheme="majorBidi" w:hAnsiTheme="majorBidi" w:cstheme="majorBidi"/>
          <w:sz w:val="22"/>
          <w:szCs w:val="22"/>
        </w:rPr>
        <w:t xml:space="preserve">, 2013, pp. 136-178. For more on the Lviv Diocese, see: </w:t>
      </w:r>
      <w:proofErr w:type="spellStart"/>
      <w:r w:rsidRPr="00311CD4">
        <w:rPr>
          <w:rFonts w:asciiTheme="majorBidi" w:hAnsiTheme="majorBidi" w:cstheme="majorBidi"/>
          <w:sz w:val="22"/>
          <w:szCs w:val="22"/>
        </w:rPr>
        <w:t>Skochylas</w:t>
      </w:r>
      <w:proofErr w:type="spellEnd"/>
      <w:r w:rsidRPr="00311CD4">
        <w:rPr>
          <w:rFonts w:asciiTheme="majorBidi" w:hAnsiTheme="majorBidi" w:cstheme="majorBidi"/>
          <w:sz w:val="22"/>
          <w:szCs w:val="22"/>
        </w:rPr>
        <w:t xml:space="preserve">, I. </w:t>
      </w:r>
      <w:r w:rsidRPr="00311CD4">
        <w:rPr>
          <w:rStyle w:val="Emphasis"/>
          <w:rFonts w:asciiTheme="majorBidi" w:hAnsiTheme="majorBidi" w:cstheme="majorBidi"/>
          <w:sz w:val="22"/>
          <w:szCs w:val="22"/>
        </w:rPr>
        <w:t>The Galician (Lviv) Diocese of the 12th–18th Centuries: Organizational Structure and Legal Status</w:t>
      </w:r>
      <w:r w:rsidRPr="00311CD4">
        <w:rPr>
          <w:rFonts w:asciiTheme="majorBidi" w:hAnsiTheme="majorBidi" w:cstheme="majorBidi"/>
          <w:sz w:val="22"/>
          <w:szCs w:val="22"/>
        </w:rPr>
        <w:t>. Lviv: Ukrainian Catholic University Press, 2010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zNTQ3MzEwMTI2MjVV0lEKTi0uzszPAykwrAUAqFrzfywAAAA="/>
  </w:docVars>
  <w:rsids>
    <w:rsidRoot w:val="004F0495"/>
    <w:rsid w:val="00002EF5"/>
    <w:rsid w:val="00122C24"/>
    <w:rsid w:val="00141EED"/>
    <w:rsid w:val="00151BFB"/>
    <w:rsid w:val="00234862"/>
    <w:rsid w:val="00255C1B"/>
    <w:rsid w:val="00311CD4"/>
    <w:rsid w:val="00351909"/>
    <w:rsid w:val="003773E6"/>
    <w:rsid w:val="0043229F"/>
    <w:rsid w:val="004C761E"/>
    <w:rsid w:val="004F0495"/>
    <w:rsid w:val="006256F9"/>
    <w:rsid w:val="00730344"/>
    <w:rsid w:val="007E2D86"/>
    <w:rsid w:val="0090164E"/>
    <w:rsid w:val="00906AB7"/>
    <w:rsid w:val="00A84C07"/>
    <w:rsid w:val="00B71324"/>
    <w:rsid w:val="00C632C6"/>
    <w:rsid w:val="00D9071C"/>
    <w:rsid w:val="00E913BD"/>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8C27"/>
  <w15:chartTrackingRefBased/>
  <w15:docId w15:val="{A5411DA4-4FD6-43D7-91E7-F0CA93F1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495"/>
    <w:rPr>
      <w:rFonts w:eastAsiaTheme="majorEastAsia" w:cstheme="majorBidi"/>
      <w:color w:val="272727" w:themeColor="text1" w:themeTint="D8"/>
    </w:rPr>
  </w:style>
  <w:style w:type="paragraph" w:styleId="Title">
    <w:name w:val="Title"/>
    <w:basedOn w:val="Normal"/>
    <w:next w:val="Normal"/>
    <w:link w:val="TitleChar"/>
    <w:uiPriority w:val="10"/>
    <w:qFormat/>
    <w:rsid w:val="004F0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495"/>
    <w:pPr>
      <w:spacing w:before="160"/>
      <w:jc w:val="center"/>
    </w:pPr>
    <w:rPr>
      <w:i/>
      <w:iCs/>
      <w:color w:val="404040" w:themeColor="text1" w:themeTint="BF"/>
    </w:rPr>
  </w:style>
  <w:style w:type="character" w:customStyle="1" w:styleId="QuoteChar">
    <w:name w:val="Quote Char"/>
    <w:basedOn w:val="DefaultParagraphFont"/>
    <w:link w:val="Quote"/>
    <w:uiPriority w:val="29"/>
    <w:rsid w:val="004F0495"/>
    <w:rPr>
      <w:i/>
      <w:iCs/>
      <w:color w:val="404040" w:themeColor="text1" w:themeTint="BF"/>
    </w:rPr>
  </w:style>
  <w:style w:type="paragraph" w:styleId="ListParagraph">
    <w:name w:val="List Paragraph"/>
    <w:basedOn w:val="Normal"/>
    <w:uiPriority w:val="34"/>
    <w:qFormat/>
    <w:rsid w:val="004F0495"/>
    <w:pPr>
      <w:ind w:left="720"/>
      <w:contextualSpacing/>
    </w:pPr>
  </w:style>
  <w:style w:type="character" w:styleId="IntenseEmphasis">
    <w:name w:val="Intense Emphasis"/>
    <w:basedOn w:val="DefaultParagraphFont"/>
    <w:uiPriority w:val="21"/>
    <w:qFormat/>
    <w:rsid w:val="004F0495"/>
    <w:rPr>
      <w:i/>
      <w:iCs/>
      <w:color w:val="0F4761" w:themeColor="accent1" w:themeShade="BF"/>
    </w:rPr>
  </w:style>
  <w:style w:type="paragraph" w:styleId="IntenseQuote">
    <w:name w:val="Intense Quote"/>
    <w:basedOn w:val="Normal"/>
    <w:next w:val="Normal"/>
    <w:link w:val="IntenseQuoteChar"/>
    <w:uiPriority w:val="30"/>
    <w:qFormat/>
    <w:rsid w:val="004F0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495"/>
    <w:rPr>
      <w:i/>
      <w:iCs/>
      <w:color w:val="0F4761" w:themeColor="accent1" w:themeShade="BF"/>
    </w:rPr>
  </w:style>
  <w:style w:type="character" w:styleId="IntenseReference">
    <w:name w:val="Intense Reference"/>
    <w:basedOn w:val="DefaultParagraphFont"/>
    <w:uiPriority w:val="32"/>
    <w:qFormat/>
    <w:rsid w:val="004F0495"/>
    <w:rPr>
      <w:b/>
      <w:bCs/>
      <w:smallCaps/>
      <w:color w:val="0F4761" w:themeColor="accent1" w:themeShade="BF"/>
      <w:spacing w:val="5"/>
    </w:rPr>
  </w:style>
  <w:style w:type="character" w:styleId="Emphasis">
    <w:name w:val="Emphasis"/>
    <w:basedOn w:val="DefaultParagraphFont"/>
    <w:uiPriority w:val="20"/>
    <w:qFormat/>
    <w:rsid w:val="004F0495"/>
    <w:rPr>
      <w:i/>
      <w:iCs/>
    </w:rPr>
  </w:style>
  <w:style w:type="paragraph" w:styleId="FootnoteText">
    <w:name w:val="footnote text"/>
    <w:basedOn w:val="Normal"/>
    <w:link w:val="FootnoteTextChar"/>
    <w:uiPriority w:val="99"/>
    <w:semiHidden/>
    <w:unhideWhenUsed/>
    <w:rsid w:val="004F0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495"/>
    <w:rPr>
      <w:sz w:val="20"/>
      <w:szCs w:val="20"/>
    </w:rPr>
  </w:style>
  <w:style w:type="character" w:styleId="FootnoteReference">
    <w:name w:val="footnote reference"/>
    <w:basedOn w:val="DefaultParagraphFont"/>
    <w:uiPriority w:val="99"/>
    <w:semiHidden/>
    <w:unhideWhenUsed/>
    <w:rsid w:val="004F0495"/>
    <w:rPr>
      <w:vertAlign w:val="superscript"/>
    </w:rPr>
  </w:style>
  <w:style w:type="paragraph" w:styleId="Revision">
    <w:name w:val="Revision"/>
    <w:hidden/>
    <w:uiPriority w:val="99"/>
    <w:semiHidden/>
    <w:rsid w:val="00141EED"/>
    <w:pPr>
      <w:spacing w:after="0" w:line="240" w:lineRule="auto"/>
    </w:pPr>
  </w:style>
  <w:style w:type="character" w:styleId="CommentReference">
    <w:name w:val="annotation reference"/>
    <w:basedOn w:val="DefaultParagraphFont"/>
    <w:uiPriority w:val="99"/>
    <w:semiHidden/>
    <w:unhideWhenUsed/>
    <w:rsid w:val="00151BFB"/>
    <w:rPr>
      <w:sz w:val="16"/>
      <w:szCs w:val="16"/>
    </w:rPr>
  </w:style>
  <w:style w:type="paragraph" w:styleId="CommentText">
    <w:name w:val="annotation text"/>
    <w:basedOn w:val="Normal"/>
    <w:link w:val="CommentTextChar"/>
    <w:uiPriority w:val="99"/>
    <w:unhideWhenUsed/>
    <w:rsid w:val="00151BFB"/>
    <w:pPr>
      <w:spacing w:line="240" w:lineRule="auto"/>
    </w:pPr>
    <w:rPr>
      <w:sz w:val="20"/>
      <w:szCs w:val="20"/>
    </w:rPr>
  </w:style>
  <w:style w:type="character" w:customStyle="1" w:styleId="CommentTextChar">
    <w:name w:val="Comment Text Char"/>
    <w:basedOn w:val="DefaultParagraphFont"/>
    <w:link w:val="CommentText"/>
    <w:uiPriority w:val="99"/>
    <w:rsid w:val="00151BFB"/>
    <w:rPr>
      <w:sz w:val="20"/>
      <w:szCs w:val="20"/>
    </w:rPr>
  </w:style>
  <w:style w:type="paragraph" w:styleId="CommentSubject">
    <w:name w:val="annotation subject"/>
    <w:basedOn w:val="CommentText"/>
    <w:next w:val="CommentText"/>
    <w:link w:val="CommentSubjectChar"/>
    <w:uiPriority w:val="99"/>
    <w:semiHidden/>
    <w:unhideWhenUsed/>
    <w:rsid w:val="00151BFB"/>
    <w:rPr>
      <w:b/>
      <w:bCs/>
    </w:rPr>
  </w:style>
  <w:style w:type="character" w:customStyle="1" w:styleId="CommentSubjectChar">
    <w:name w:val="Comment Subject Char"/>
    <w:basedOn w:val="CommentTextChar"/>
    <w:link w:val="CommentSubject"/>
    <w:uiPriority w:val="99"/>
    <w:semiHidden/>
    <w:rsid w:val="00151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C9F1-BAF1-4A63-8580-9B7C26E5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3</cp:revision>
  <dcterms:created xsi:type="dcterms:W3CDTF">2024-09-25T10:23:00Z</dcterms:created>
  <dcterms:modified xsi:type="dcterms:W3CDTF">2024-09-25T10:23:00Z</dcterms:modified>
</cp:coreProperties>
</file>