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BD0FB" w14:textId="4B22BF93" w:rsidR="000225AE" w:rsidRPr="006E64B5" w:rsidRDefault="000225AE" w:rsidP="000225AE">
      <w:pPr>
        <w:spacing w:line="360" w:lineRule="auto"/>
        <w:jc w:val="both"/>
        <w:rPr>
          <w:rFonts w:asciiTheme="majorBidi" w:hAnsiTheme="majorBidi" w:cstheme="majorBidi"/>
          <w:b/>
          <w:lang w:val="en-US"/>
        </w:rPr>
      </w:pPr>
      <w:r w:rsidRPr="006E64B5">
        <w:rPr>
          <w:rFonts w:asciiTheme="majorBidi" w:hAnsiTheme="majorBidi" w:cstheme="majorBidi"/>
          <w:b/>
          <w:lang w:val="en-US"/>
        </w:rPr>
        <w:t xml:space="preserve">Introduction </w:t>
      </w:r>
    </w:p>
    <w:p w14:paraId="734D1076" w14:textId="77777777" w:rsidR="000225AE" w:rsidRPr="006E64B5" w:rsidRDefault="000225AE" w:rsidP="000225AE">
      <w:pPr>
        <w:spacing w:line="360" w:lineRule="auto"/>
        <w:jc w:val="both"/>
        <w:rPr>
          <w:rFonts w:asciiTheme="majorBidi" w:hAnsiTheme="majorBidi" w:cstheme="majorBidi"/>
          <w:lang w:val="en-US"/>
        </w:rPr>
      </w:pPr>
    </w:p>
    <w:p w14:paraId="6E7D728E" w14:textId="227CEEE7" w:rsidR="000225AE" w:rsidRPr="006E64B5" w:rsidRDefault="000225AE" w:rsidP="000225AE">
      <w:pPr>
        <w:spacing w:line="360" w:lineRule="auto"/>
        <w:jc w:val="both"/>
        <w:rPr>
          <w:rFonts w:asciiTheme="majorBidi" w:hAnsiTheme="majorBidi" w:cstheme="majorBidi"/>
          <w:lang w:val="en-US"/>
        </w:rPr>
      </w:pPr>
      <w:r w:rsidRPr="006E64B5">
        <w:rPr>
          <w:rFonts w:asciiTheme="majorBidi" w:hAnsiTheme="majorBidi" w:cstheme="majorBidi"/>
          <w:lang w:val="en-US"/>
        </w:rPr>
        <w:t xml:space="preserve">On April 25, 1978, the Israeli daily </w:t>
      </w:r>
      <w:r w:rsidRPr="006E64B5">
        <w:rPr>
          <w:rFonts w:asciiTheme="majorBidi" w:hAnsiTheme="majorBidi" w:cstheme="majorBidi"/>
          <w:i/>
          <w:lang w:val="en-US"/>
        </w:rPr>
        <w:t>Maariv</w:t>
      </w:r>
      <w:r w:rsidRPr="006E64B5">
        <w:rPr>
          <w:rFonts w:asciiTheme="majorBidi" w:hAnsiTheme="majorBidi" w:cstheme="majorBidi"/>
          <w:lang w:val="en-US"/>
        </w:rPr>
        <w:t xml:space="preserve"> printed a caricature depicting the entrance to a house labeled as Europe with a revolving door at its entrance. </w:t>
      </w:r>
      <w:r w:rsidR="00C70F90" w:rsidRPr="00C70F90">
        <w:rPr>
          <w:rFonts w:asciiTheme="majorBidi" w:hAnsiTheme="majorBidi" w:cstheme="majorBidi"/>
          <w:lang w:val="en-US"/>
        </w:rPr>
        <w:t xml:space="preserve">A jubilant artist, microphone in hand, entered through the door, while a dejected soccer player exited, holding a piece of paper marked with the word </w:t>
      </w:r>
      <w:r w:rsidR="00C70F90">
        <w:rPr>
          <w:rFonts w:asciiTheme="majorBidi" w:hAnsiTheme="majorBidi" w:cstheme="majorBidi"/>
          <w:lang w:val="en-US"/>
        </w:rPr>
        <w:t>“</w:t>
      </w:r>
      <w:r w:rsidR="00C70F90" w:rsidRPr="00C70F90">
        <w:rPr>
          <w:rFonts w:asciiTheme="majorBidi" w:hAnsiTheme="majorBidi" w:cstheme="majorBidi"/>
          <w:lang w:val="en-US"/>
        </w:rPr>
        <w:t>no.</w:t>
      </w:r>
      <w:r w:rsidR="00C70F90">
        <w:rPr>
          <w:rFonts w:asciiTheme="majorBidi" w:hAnsiTheme="majorBidi" w:cstheme="majorBidi"/>
          <w:lang w:val="en-US"/>
        </w:rPr>
        <w:t>”</w:t>
      </w:r>
      <w:r w:rsidR="00C70F90" w:rsidRPr="00C70F90">
        <w:rPr>
          <w:rFonts w:asciiTheme="majorBidi" w:hAnsiTheme="majorBidi" w:cstheme="majorBidi"/>
          <w:lang w:val="en-US"/>
        </w:rPr>
        <w:t xml:space="preserve"> The man entering, identifiable by his distinctive Afro hairstyle, was Izhar Cohen, who had won the Eurovision Song Contest (ESC) for Israel just three days earlier.</w:t>
      </w:r>
      <w:r w:rsidR="00D43506" w:rsidRPr="00CE25E2">
        <w:rPr>
          <w:rStyle w:val="FootnoteReference"/>
        </w:rPr>
        <w:footnoteReference w:id="1"/>
      </w:r>
    </w:p>
    <w:p w14:paraId="5DA09CCF" w14:textId="77777777" w:rsidR="000225AE" w:rsidRPr="006E64B5" w:rsidRDefault="000225AE" w:rsidP="000225AE">
      <w:pPr>
        <w:spacing w:line="360" w:lineRule="auto"/>
        <w:ind w:firstLine="540"/>
        <w:jc w:val="both"/>
        <w:rPr>
          <w:rFonts w:asciiTheme="majorBidi" w:hAnsiTheme="majorBidi" w:cstheme="majorBidi"/>
          <w:lang w:val="en-US"/>
        </w:rPr>
      </w:pPr>
      <w:r w:rsidRPr="006E64B5">
        <w:rPr>
          <w:rFonts w:asciiTheme="majorBidi" w:hAnsiTheme="majorBidi" w:cstheme="majorBidi"/>
          <w:noProof/>
          <w:lang w:eastAsia="de-DE"/>
        </w:rPr>
        <w:drawing>
          <wp:anchor distT="0" distB="0" distL="114300" distR="114300" simplePos="0" relativeHeight="251659264" behindDoc="1" locked="0" layoutInCell="1" allowOverlap="1" wp14:anchorId="63EF394C" wp14:editId="6B75FE5C">
            <wp:simplePos x="0" y="0"/>
            <wp:positionH relativeFrom="column">
              <wp:posOffset>247672</wp:posOffset>
            </wp:positionH>
            <wp:positionV relativeFrom="paragraph">
              <wp:posOffset>158225</wp:posOffset>
            </wp:positionV>
            <wp:extent cx="2962800" cy="2386800"/>
            <wp:effectExtent l="0" t="0" r="0" b="1270"/>
            <wp:wrapNone/>
            <wp:docPr id="508768213" name="Picture 50876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962800" cy="2386800"/>
                    </a:xfrm>
                    <a:prstGeom prst="rect">
                      <a:avLst/>
                    </a:prstGeom>
                  </pic:spPr>
                </pic:pic>
              </a:graphicData>
            </a:graphic>
            <wp14:sizeRelH relativeFrom="page">
              <wp14:pctWidth>0</wp14:pctWidth>
            </wp14:sizeRelH>
            <wp14:sizeRelV relativeFrom="page">
              <wp14:pctHeight>0</wp14:pctHeight>
            </wp14:sizeRelV>
          </wp:anchor>
        </w:drawing>
      </w:r>
    </w:p>
    <w:p w14:paraId="75AC8856" w14:textId="77777777" w:rsidR="000225AE" w:rsidRPr="006E64B5" w:rsidRDefault="000225AE" w:rsidP="000225AE">
      <w:pPr>
        <w:spacing w:line="360" w:lineRule="auto"/>
        <w:ind w:firstLine="540"/>
        <w:jc w:val="both"/>
        <w:rPr>
          <w:rFonts w:asciiTheme="majorBidi" w:hAnsiTheme="majorBidi" w:cstheme="majorBidi"/>
          <w:lang w:val="en-US"/>
        </w:rPr>
      </w:pPr>
    </w:p>
    <w:p w14:paraId="76F754F5" w14:textId="77777777" w:rsidR="000225AE" w:rsidRPr="006E64B5" w:rsidRDefault="000225AE" w:rsidP="000225AE">
      <w:pPr>
        <w:spacing w:line="360" w:lineRule="auto"/>
        <w:ind w:firstLine="540"/>
        <w:jc w:val="both"/>
        <w:rPr>
          <w:rFonts w:asciiTheme="majorBidi" w:hAnsiTheme="majorBidi" w:cstheme="majorBidi"/>
          <w:lang w:val="en-US"/>
        </w:rPr>
      </w:pPr>
    </w:p>
    <w:p w14:paraId="098335AA" w14:textId="77777777" w:rsidR="000225AE" w:rsidRPr="006E64B5" w:rsidRDefault="000225AE" w:rsidP="000225AE">
      <w:pPr>
        <w:spacing w:line="360" w:lineRule="auto"/>
        <w:ind w:firstLine="540"/>
        <w:jc w:val="both"/>
        <w:rPr>
          <w:rFonts w:asciiTheme="majorBidi" w:hAnsiTheme="majorBidi" w:cstheme="majorBidi"/>
          <w:lang w:val="en-US"/>
        </w:rPr>
      </w:pPr>
    </w:p>
    <w:p w14:paraId="09AE7B93" w14:textId="77777777" w:rsidR="000225AE" w:rsidRPr="006E64B5" w:rsidRDefault="000225AE" w:rsidP="000225AE">
      <w:pPr>
        <w:spacing w:line="360" w:lineRule="auto"/>
        <w:ind w:firstLine="540"/>
        <w:jc w:val="both"/>
        <w:rPr>
          <w:rFonts w:asciiTheme="majorBidi" w:hAnsiTheme="majorBidi" w:cstheme="majorBidi"/>
          <w:lang w:val="en-US"/>
        </w:rPr>
      </w:pPr>
    </w:p>
    <w:p w14:paraId="05C76E74" w14:textId="77777777" w:rsidR="000225AE" w:rsidRPr="006E64B5" w:rsidRDefault="000225AE" w:rsidP="000225AE">
      <w:pPr>
        <w:spacing w:line="360" w:lineRule="auto"/>
        <w:ind w:firstLine="540"/>
        <w:jc w:val="both"/>
        <w:rPr>
          <w:rFonts w:asciiTheme="majorBidi" w:hAnsiTheme="majorBidi" w:cstheme="majorBidi"/>
          <w:lang w:val="en-US"/>
        </w:rPr>
      </w:pPr>
    </w:p>
    <w:p w14:paraId="4EE50685" w14:textId="77777777" w:rsidR="000225AE" w:rsidRPr="006E64B5" w:rsidRDefault="000225AE" w:rsidP="000225AE">
      <w:pPr>
        <w:spacing w:line="360" w:lineRule="auto"/>
        <w:ind w:firstLine="540"/>
        <w:jc w:val="both"/>
        <w:rPr>
          <w:rFonts w:asciiTheme="majorBidi" w:hAnsiTheme="majorBidi" w:cstheme="majorBidi"/>
          <w:lang w:val="en-US"/>
        </w:rPr>
      </w:pPr>
    </w:p>
    <w:p w14:paraId="433806DD" w14:textId="77777777" w:rsidR="000225AE" w:rsidRPr="006E64B5" w:rsidRDefault="000225AE" w:rsidP="000225AE">
      <w:pPr>
        <w:spacing w:line="360" w:lineRule="auto"/>
        <w:ind w:firstLine="540"/>
        <w:jc w:val="both"/>
        <w:rPr>
          <w:rFonts w:asciiTheme="majorBidi" w:hAnsiTheme="majorBidi" w:cstheme="majorBidi"/>
          <w:lang w:val="en-US"/>
        </w:rPr>
      </w:pPr>
    </w:p>
    <w:p w14:paraId="576C315D" w14:textId="77777777" w:rsidR="000225AE" w:rsidRPr="006E64B5" w:rsidRDefault="000225AE" w:rsidP="000225AE">
      <w:pPr>
        <w:spacing w:line="360" w:lineRule="auto"/>
        <w:ind w:firstLine="540"/>
        <w:jc w:val="both"/>
        <w:rPr>
          <w:rFonts w:asciiTheme="majorBidi" w:hAnsiTheme="majorBidi" w:cstheme="majorBidi"/>
          <w:lang w:val="en-US"/>
        </w:rPr>
      </w:pPr>
    </w:p>
    <w:p w14:paraId="6CAE97E5" w14:textId="77777777" w:rsidR="000225AE" w:rsidRPr="006E64B5" w:rsidRDefault="000225AE" w:rsidP="000225AE">
      <w:pPr>
        <w:spacing w:line="360" w:lineRule="auto"/>
        <w:jc w:val="both"/>
        <w:rPr>
          <w:rFonts w:asciiTheme="majorBidi" w:hAnsiTheme="majorBidi" w:cstheme="majorBidi"/>
          <w:lang w:val="en-US"/>
        </w:rPr>
      </w:pPr>
    </w:p>
    <w:p w14:paraId="0106279A" w14:textId="77777777" w:rsidR="000225AE" w:rsidRPr="006E64B5" w:rsidRDefault="000225AE" w:rsidP="000225AE">
      <w:pPr>
        <w:spacing w:line="360" w:lineRule="auto"/>
        <w:ind w:firstLine="708"/>
        <w:jc w:val="both"/>
        <w:rPr>
          <w:rFonts w:asciiTheme="majorBidi" w:hAnsiTheme="majorBidi" w:cstheme="majorBidi"/>
          <w:sz w:val="20"/>
          <w:szCs w:val="20"/>
          <w:lang w:val="en-US"/>
        </w:rPr>
      </w:pPr>
      <w:r w:rsidRPr="006E64B5">
        <w:rPr>
          <w:rFonts w:asciiTheme="majorBidi" w:hAnsiTheme="majorBidi" w:cstheme="majorBidi"/>
          <w:sz w:val="20"/>
          <w:szCs w:val="20"/>
          <w:lang w:val="en-US"/>
        </w:rPr>
        <w:t xml:space="preserve">“Europe,” </w:t>
      </w:r>
      <w:r w:rsidRPr="006E64B5">
        <w:rPr>
          <w:rFonts w:asciiTheme="majorBidi" w:hAnsiTheme="majorBidi" w:cstheme="majorBidi"/>
          <w:i/>
          <w:iCs/>
          <w:sz w:val="20"/>
          <w:szCs w:val="20"/>
          <w:lang w:val="en-US"/>
        </w:rPr>
        <w:t>Maariv</w:t>
      </w:r>
      <w:r w:rsidRPr="006E64B5">
        <w:rPr>
          <w:rFonts w:asciiTheme="majorBidi" w:hAnsiTheme="majorBidi" w:cstheme="majorBidi"/>
          <w:sz w:val="20"/>
          <w:szCs w:val="20"/>
          <w:lang w:val="en-US"/>
        </w:rPr>
        <w:t>, April 25, 1978</w:t>
      </w:r>
    </w:p>
    <w:p w14:paraId="6429F8B7" w14:textId="77777777" w:rsidR="000225AE" w:rsidRPr="006E64B5" w:rsidRDefault="000225AE" w:rsidP="000225AE">
      <w:pPr>
        <w:spacing w:line="360" w:lineRule="auto"/>
        <w:ind w:firstLine="708"/>
        <w:jc w:val="both"/>
        <w:rPr>
          <w:rFonts w:asciiTheme="majorBidi" w:hAnsiTheme="majorBidi" w:cstheme="majorBidi"/>
          <w:lang w:val="en-US"/>
        </w:rPr>
      </w:pPr>
    </w:p>
    <w:p w14:paraId="3937600B" w14:textId="1E87ECAB" w:rsidR="000225AE" w:rsidRPr="006E64B5" w:rsidRDefault="00C70F90" w:rsidP="000225AE">
      <w:pPr>
        <w:spacing w:line="360" w:lineRule="auto"/>
        <w:jc w:val="both"/>
        <w:rPr>
          <w:rFonts w:asciiTheme="majorBidi" w:hAnsiTheme="majorBidi" w:cstheme="majorBidi"/>
          <w:lang w:val="en-US"/>
        </w:rPr>
      </w:pPr>
      <w:r w:rsidRPr="00C70F90">
        <w:rPr>
          <w:rFonts w:asciiTheme="majorBidi" w:hAnsiTheme="majorBidi" w:cstheme="majorBidi"/>
          <w:lang w:val="en-US"/>
        </w:rPr>
        <w:t>Cohen was the first Israeli to win the Eurovision, and Israelis enthusiastically celebrated this national victory. However, while Israeli artists found success on Europe</w:t>
      </w:r>
      <w:r>
        <w:rPr>
          <w:rFonts w:asciiTheme="majorBidi" w:hAnsiTheme="majorBidi" w:cstheme="majorBidi"/>
          <w:lang w:val="en-US"/>
        </w:rPr>
        <w:t>’</w:t>
      </w:r>
      <w:r w:rsidRPr="00C70F90">
        <w:rPr>
          <w:rFonts w:asciiTheme="majorBidi" w:hAnsiTheme="majorBidi" w:cstheme="majorBidi"/>
          <w:lang w:val="en-US"/>
        </w:rPr>
        <w:t xml:space="preserve">s glamorous pop music stage, the country's soccer teams were barred from participating in most European competitions, apart from the relatively minor European </w:t>
      </w:r>
      <w:proofErr w:type="spellStart"/>
      <w:r w:rsidRPr="00C70F90">
        <w:rPr>
          <w:rFonts w:asciiTheme="majorBidi" w:hAnsiTheme="majorBidi" w:cstheme="majorBidi"/>
          <w:lang w:val="en-US"/>
        </w:rPr>
        <w:t>Intertoto</w:t>
      </w:r>
      <w:proofErr w:type="spellEnd"/>
      <w:r w:rsidRPr="00C70F90">
        <w:rPr>
          <w:rFonts w:asciiTheme="majorBidi" w:hAnsiTheme="majorBidi" w:cstheme="majorBidi"/>
          <w:lang w:val="en-US"/>
        </w:rPr>
        <w:t xml:space="preserve"> Cup.</w:t>
      </w:r>
      <w:r>
        <w:rPr>
          <w:rFonts w:asciiTheme="majorBidi" w:hAnsiTheme="majorBidi" w:cstheme="majorBidi"/>
          <w:lang w:val="en-US"/>
        </w:rPr>
        <w:t xml:space="preserve"> </w:t>
      </w:r>
      <w:r w:rsidR="00972BC4" w:rsidRPr="00972BC4">
        <w:rPr>
          <w:rFonts w:asciiTheme="majorBidi" w:hAnsiTheme="majorBidi" w:cstheme="majorBidi"/>
          <w:lang w:val="en-US"/>
        </w:rPr>
        <w:t>The Israel Football Association (IFA) had been a member of the Asian Football Confederation (AFC), but political pressure from Arab states led to its expulsion in 1974. Following this, the IFA sought affiliation with the Union of European Football Associations (UEFA). Coincidentally, on the same day Cohen won the ESC, UEFA denied Israel</w:t>
      </w:r>
      <w:r w:rsidR="00972BC4">
        <w:rPr>
          <w:rFonts w:asciiTheme="majorBidi" w:hAnsiTheme="majorBidi" w:cstheme="majorBidi"/>
          <w:lang w:val="en-US"/>
        </w:rPr>
        <w:t>’</w:t>
      </w:r>
      <w:r w:rsidR="00972BC4" w:rsidRPr="00972BC4">
        <w:rPr>
          <w:rFonts w:asciiTheme="majorBidi" w:hAnsiTheme="majorBidi" w:cstheme="majorBidi"/>
          <w:lang w:val="en-US"/>
        </w:rPr>
        <w:t>s application for membership</w:t>
      </w:r>
    </w:p>
    <w:p w14:paraId="1C6C69F4" w14:textId="75BEE2A5" w:rsidR="000225AE" w:rsidRPr="006E64B5" w:rsidRDefault="000225AE" w:rsidP="000225AE">
      <w:pPr>
        <w:spacing w:line="360" w:lineRule="auto"/>
        <w:ind w:firstLine="540"/>
        <w:jc w:val="both"/>
        <w:rPr>
          <w:rFonts w:asciiTheme="majorBidi" w:hAnsiTheme="majorBidi" w:cstheme="majorBidi"/>
          <w:lang w:val="en-US"/>
        </w:rPr>
      </w:pPr>
      <w:r w:rsidRPr="006E64B5">
        <w:rPr>
          <w:rFonts w:asciiTheme="majorBidi" w:hAnsiTheme="majorBidi" w:cstheme="majorBidi"/>
          <w:lang w:val="en-US"/>
        </w:rPr>
        <w:tab/>
      </w:r>
      <w:r w:rsidR="00A673EF" w:rsidRPr="00A673EF">
        <w:rPr>
          <w:rFonts w:asciiTheme="majorBidi" w:hAnsiTheme="majorBidi" w:cstheme="majorBidi"/>
          <w:lang w:val="en-US"/>
        </w:rPr>
        <w:t>These contrasting experiences on the European stage—Cohen’s Eurovision triumph and the rejection of Israel’s soccer team—were not isolated incidents. They sparked a broader debate within Israeli society, raising questions about the country’s relationship to Europe and its place within the geopolitical landscape</w:t>
      </w:r>
      <w:r w:rsidR="00A673EF">
        <w:rPr>
          <w:rFonts w:asciiTheme="majorBidi" w:hAnsiTheme="majorBidi" w:cstheme="majorBidi"/>
          <w:lang w:val="en-US"/>
        </w:rPr>
        <w:t xml:space="preserve">. </w:t>
      </w:r>
      <w:r w:rsidR="00A9694A" w:rsidRPr="00A9694A">
        <w:rPr>
          <w:rFonts w:asciiTheme="majorBidi" w:hAnsiTheme="majorBidi" w:cstheme="majorBidi"/>
          <w:lang w:val="en-US"/>
        </w:rPr>
        <w:t xml:space="preserve">The search for continental affiliations ignited debates that extended far beyond sports and popular music. Just two days earlier, </w:t>
      </w:r>
      <w:r w:rsidR="00A9694A" w:rsidRPr="00F110EE">
        <w:rPr>
          <w:rFonts w:asciiTheme="majorBidi" w:hAnsiTheme="majorBidi" w:cstheme="majorBidi"/>
          <w:i/>
          <w:lang w:val="en-US"/>
        </w:rPr>
        <w:t>Maariv</w:t>
      </w:r>
      <w:r w:rsidR="00A9694A" w:rsidRPr="00A9694A">
        <w:rPr>
          <w:rFonts w:asciiTheme="majorBidi" w:hAnsiTheme="majorBidi" w:cstheme="majorBidi"/>
          <w:lang w:val="en-US"/>
        </w:rPr>
        <w:t xml:space="preserve"> had published a deeply concerned editorial titled </w:t>
      </w:r>
      <w:r w:rsidR="00A9694A">
        <w:rPr>
          <w:rFonts w:asciiTheme="majorBidi" w:hAnsiTheme="majorBidi" w:cstheme="majorBidi"/>
          <w:lang w:val="en-US"/>
        </w:rPr>
        <w:t>“</w:t>
      </w:r>
      <w:r w:rsidR="00A9694A" w:rsidRPr="00A9694A">
        <w:rPr>
          <w:rFonts w:asciiTheme="majorBidi" w:hAnsiTheme="majorBidi" w:cstheme="majorBidi"/>
          <w:lang w:val="en-US"/>
        </w:rPr>
        <w:t>People without a Continent.</w:t>
      </w:r>
      <w:r w:rsidR="00A9694A">
        <w:rPr>
          <w:rFonts w:asciiTheme="majorBidi" w:hAnsiTheme="majorBidi" w:cstheme="majorBidi"/>
          <w:lang w:val="en-US"/>
        </w:rPr>
        <w:t>”</w:t>
      </w:r>
      <w:r w:rsidR="00A9694A" w:rsidRPr="00A9694A">
        <w:rPr>
          <w:rFonts w:asciiTheme="majorBidi" w:hAnsiTheme="majorBidi" w:cstheme="majorBidi"/>
          <w:lang w:val="en-US"/>
        </w:rPr>
        <w:t xml:space="preserve"> The editorial argued that the </w:t>
      </w:r>
      <w:r w:rsidR="00A9694A" w:rsidRPr="00A9694A">
        <w:rPr>
          <w:rFonts w:asciiTheme="majorBidi" w:hAnsiTheme="majorBidi" w:cstheme="majorBidi"/>
          <w:lang w:val="en-US"/>
        </w:rPr>
        <w:lastRenderedPageBreak/>
        <w:t>coincidence of Israel’s Eurovision victory and UEFA’s rejection raised a crucial question:</w:t>
      </w:r>
      <w:r w:rsidRPr="006E64B5">
        <w:rPr>
          <w:rFonts w:asciiTheme="majorBidi" w:hAnsiTheme="majorBidi" w:cstheme="majorBidi"/>
          <w:lang w:val="en-US"/>
        </w:rPr>
        <w:t xml:space="preserve"> “Do we belong to Europe or Asia?” </w:t>
      </w:r>
      <w:r w:rsidR="00A9694A">
        <w:rPr>
          <w:rFonts w:asciiTheme="majorBidi" w:hAnsiTheme="majorBidi" w:cstheme="majorBidi"/>
          <w:lang w:val="en-US"/>
        </w:rPr>
        <w:t>Answering</w:t>
      </w:r>
      <w:r w:rsidRPr="006E64B5">
        <w:rPr>
          <w:rFonts w:asciiTheme="majorBidi" w:hAnsiTheme="majorBidi" w:cstheme="majorBidi"/>
          <w:lang w:val="en-US"/>
        </w:rPr>
        <w:t xml:space="preserve"> </w:t>
      </w:r>
      <w:r w:rsidR="00F110EE">
        <w:rPr>
          <w:rFonts w:asciiTheme="majorBidi" w:hAnsiTheme="majorBidi" w:cstheme="majorBidi"/>
          <w:lang w:val="en-US"/>
        </w:rPr>
        <w:t>himself</w:t>
      </w:r>
      <w:r w:rsidR="00A9694A">
        <w:rPr>
          <w:rFonts w:asciiTheme="majorBidi" w:hAnsiTheme="majorBidi" w:cstheme="majorBidi"/>
          <w:lang w:val="en-US"/>
        </w:rPr>
        <w:t>, the author started</w:t>
      </w:r>
      <w:r w:rsidRPr="006E64B5">
        <w:rPr>
          <w:rFonts w:asciiTheme="majorBidi" w:hAnsiTheme="majorBidi" w:cstheme="majorBidi"/>
          <w:lang w:val="en-US"/>
        </w:rPr>
        <w:t>: “The considerations upon which one decides if we are part of Europe or Asia, are not geographical, of course; they are first and foremost political.” There was, he claimed, no difference of opinion as to where the western borders of the Asian continent lay.</w:t>
      </w:r>
      <w:r w:rsidR="007E47F8" w:rsidRPr="006E64B5">
        <w:rPr>
          <w:rFonts w:asciiTheme="majorBidi" w:hAnsiTheme="majorBidi" w:cstheme="majorBidi"/>
          <w:lang w:val="en-US"/>
        </w:rPr>
        <w:t xml:space="preserve"> </w:t>
      </w:r>
      <w:r w:rsidR="004C4278" w:rsidRPr="006E64B5">
        <w:rPr>
          <w:rFonts w:asciiTheme="majorBidi" w:hAnsiTheme="majorBidi" w:cstheme="majorBidi"/>
          <w:lang w:val="en-US"/>
        </w:rPr>
        <w:t xml:space="preserve">Israel’s exclusion from Asian frameworks was motivated by strictly political considerations. </w:t>
      </w:r>
      <w:r w:rsidR="00A9694A" w:rsidRPr="00A9694A">
        <w:rPr>
          <w:rFonts w:asciiTheme="majorBidi" w:hAnsiTheme="majorBidi" w:cstheme="majorBidi"/>
          <w:lang w:val="en-US"/>
        </w:rPr>
        <w:t>In this context, Israel’s relationship with Europe became increasingly important. However</w:t>
      </w:r>
      <w:r w:rsidR="00A9694A">
        <w:rPr>
          <w:rFonts w:asciiTheme="majorBidi" w:hAnsiTheme="majorBidi" w:cstheme="majorBidi"/>
          <w:lang w:val="en-US"/>
        </w:rPr>
        <w:t>, he lamented:</w:t>
      </w:r>
      <w:r w:rsidRPr="006E64B5">
        <w:rPr>
          <w:rFonts w:asciiTheme="majorBidi" w:hAnsiTheme="majorBidi" w:cstheme="majorBidi"/>
          <w:lang w:val="en-US"/>
        </w:rPr>
        <w:t xml:space="preserve"> </w:t>
      </w:r>
    </w:p>
    <w:p w14:paraId="062974F5" w14:textId="77777777" w:rsidR="000225AE" w:rsidRPr="006E64B5" w:rsidRDefault="000225AE" w:rsidP="000225AE">
      <w:pPr>
        <w:spacing w:line="360" w:lineRule="auto"/>
        <w:ind w:firstLine="540"/>
        <w:jc w:val="both"/>
        <w:rPr>
          <w:rFonts w:asciiTheme="majorBidi" w:hAnsiTheme="majorBidi" w:cstheme="majorBidi"/>
          <w:lang w:val="en-US"/>
        </w:rPr>
      </w:pPr>
    </w:p>
    <w:p w14:paraId="7F78A122" w14:textId="07AA7CBE" w:rsidR="000225AE" w:rsidRPr="006E64B5" w:rsidRDefault="00D06199" w:rsidP="000225AE">
      <w:pPr>
        <w:spacing w:after="240" w:line="360" w:lineRule="auto"/>
        <w:ind w:left="567" w:right="708"/>
        <w:jc w:val="both"/>
        <w:rPr>
          <w:rFonts w:asciiTheme="majorBidi" w:hAnsiTheme="majorBidi" w:cstheme="majorBidi"/>
          <w:lang w:val="en-US"/>
        </w:rPr>
      </w:pPr>
      <w:r w:rsidRPr="00D06199">
        <w:rPr>
          <w:rFonts w:asciiTheme="majorBidi" w:hAnsiTheme="majorBidi" w:cstheme="majorBidi"/>
          <w:lang w:val="en-US"/>
        </w:rPr>
        <w:t>[Europe]… apparently does not know how to deal with us. […] We are allowed to be associate members of the common European market. [...] We are permitted to present the best song at the competition of European television and to win the competition... And we will even be allowed to host the next music festival of the European Broadcasting Authority... But in all other matters, we remain the “wandering Jew,” who, despite successfully putting down roots in his homeland, must still fight for the right to belong to a continent.</w:t>
      </w:r>
      <w:r w:rsidR="000F4128" w:rsidRPr="00CE25E2">
        <w:rPr>
          <w:rStyle w:val="FootnoteReference"/>
        </w:rPr>
        <w:footnoteReference w:id="2"/>
      </w:r>
    </w:p>
    <w:p w14:paraId="51CA9627" w14:textId="40596A49" w:rsidR="000225AE" w:rsidRPr="006E64B5" w:rsidRDefault="000225AE" w:rsidP="000225AE">
      <w:pPr>
        <w:spacing w:line="360" w:lineRule="auto"/>
        <w:ind w:firstLine="567"/>
        <w:jc w:val="both"/>
        <w:rPr>
          <w:rFonts w:asciiTheme="majorBidi" w:hAnsiTheme="majorBidi" w:cstheme="majorBidi"/>
          <w:lang w:val="en-US"/>
        </w:rPr>
      </w:pPr>
      <w:r w:rsidRPr="006E64B5">
        <w:rPr>
          <w:rFonts w:asciiTheme="majorBidi" w:hAnsiTheme="majorBidi" w:cstheme="majorBidi"/>
          <w:lang w:val="en-US"/>
        </w:rPr>
        <w:t>Israelis have ascribed major significance to cultural diplomacy in the form of international music or sport competitions, due to the ongoing conflict with their neighbors and the Arab states’ attempts to isolate the Jewish state</w:t>
      </w:r>
      <w:r w:rsidR="00CE25E2">
        <w:rPr>
          <w:rStyle w:val="FootnoteReference"/>
          <w:rFonts w:asciiTheme="majorBidi" w:hAnsiTheme="majorBidi" w:cstheme="majorBidi"/>
          <w:lang w:val="en-US"/>
        </w:rPr>
        <w:footnoteReference w:id="3"/>
      </w:r>
      <w:r w:rsidRPr="006E64B5">
        <w:rPr>
          <w:rFonts w:asciiTheme="majorBidi" w:hAnsiTheme="majorBidi" w:cstheme="majorBidi"/>
          <w:lang w:val="en-US"/>
        </w:rPr>
        <w:t xml:space="preserve"> internationally. The comment in </w:t>
      </w:r>
      <w:r w:rsidRPr="006E64B5">
        <w:rPr>
          <w:rFonts w:asciiTheme="majorBidi" w:hAnsiTheme="majorBidi" w:cstheme="majorBidi"/>
          <w:i/>
          <w:lang w:val="en-US"/>
        </w:rPr>
        <w:t>Maariv</w:t>
      </w:r>
      <w:r w:rsidRPr="006E64B5">
        <w:rPr>
          <w:rFonts w:asciiTheme="majorBidi" w:hAnsiTheme="majorBidi" w:cstheme="majorBidi"/>
          <w:lang w:val="en-US"/>
        </w:rPr>
        <w:t xml:space="preserve">, however, illustrates how considerations as to Israeli participation in these contests has gone beyond diplomatic and political ones, raising questions about the state’s sense of belonging and geo-cultural self-understanding as well as about the character and borders of Europe. The investigation of such debates is at the heart of this book. </w:t>
      </w:r>
    </w:p>
    <w:p w14:paraId="1A500487" w14:textId="77777777" w:rsidR="005877FF" w:rsidRDefault="000225AE" w:rsidP="00491641">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C4748E" w:rsidRPr="00C4748E">
        <w:rPr>
          <w:rFonts w:asciiTheme="majorBidi" w:hAnsiTheme="majorBidi" w:cstheme="majorBidi"/>
          <w:lang w:val="en-US"/>
        </w:rPr>
        <w:t>Europe held profound importance for Israel in the second half of the 20th century, shaping its social, cultural, economic, and political ties.</w:t>
      </w:r>
      <w:r w:rsidRPr="006E64B5">
        <w:rPr>
          <w:rFonts w:asciiTheme="majorBidi" w:hAnsiTheme="majorBidi" w:cstheme="majorBidi"/>
          <w:lang w:val="en-US"/>
        </w:rPr>
        <w:t xml:space="preserve"> Previous research on Israeli-European relations has focused heavily on the negotiations for political and economic ties with the European Economic Community (EEC) and later the European Union (EU)</w:t>
      </w:r>
      <w:r w:rsidR="00F84BCB" w:rsidRPr="006E64B5">
        <w:rPr>
          <w:rFonts w:asciiTheme="majorBidi" w:hAnsiTheme="majorBidi" w:cstheme="majorBidi"/>
          <w:lang w:val="en-US"/>
        </w:rPr>
        <w:t>,</w:t>
      </w:r>
      <w:r w:rsidR="00A6432C" w:rsidRPr="00CE25E2">
        <w:rPr>
          <w:rStyle w:val="FootnoteReference"/>
        </w:rPr>
        <w:footnoteReference w:id="4"/>
      </w:r>
      <w:r w:rsidR="00F84BCB" w:rsidRPr="006E64B5">
        <w:rPr>
          <w:rFonts w:asciiTheme="majorBidi" w:hAnsiTheme="majorBidi" w:cstheme="majorBidi"/>
          <w:lang w:val="en-US"/>
        </w:rPr>
        <w:t xml:space="preserve"> as well as the </w:t>
      </w:r>
      <w:r w:rsidR="0001071D">
        <w:rPr>
          <w:rFonts w:asciiTheme="majorBidi" w:hAnsiTheme="majorBidi" w:cstheme="majorBidi"/>
          <w:lang w:val="en-US"/>
        </w:rPr>
        <w:lastRenderedPageBreak/>
        <w:t>body</w:t>
      </w:r>
      <w:r w:rsidR="00F84BCB" w:rsidRPr="006E64B5">
        <w:rPr>
          <w:rFonts w:asciiTheme="majorBidi" w:hAnsiTheme="majorBidi" w:cstheme="majorBidi"/>
          <w:lang w:val="en-US"/>
        </w:rPr>
        <w:t>’s policies toward the conflict between Israelis and Arabs.</w:t>
      </w:r>
      <w:r w:rsidR="00F84BCB" w:rsidRPr="00CE25E2">
        <w:rPr>
          <w:rStyle w:val="FootnoteReference"/>
        </w:rPr>
        <w:footnoteReference w:id="5"/>
      </w:r>
      <w:r w:rsidRPr="006E64B5">
        <w:rPr>
          <w:rFonts w:asciiTheme="majorBidi" w:hAnsiTheme="majorBidi" w:cstheme="majorBidi"/>
          <w:lang w:val="en-US"/>
        </w:rPr>
        <w:t xml:space="preserve"> This study, on the other hand, examines the perceptions and ideas that Israelis associated with Europe and its significance for their own state.</w:t>
      </w:r>
      <w:r w:rsidR="00D42391" w:rsidRPr="00CE25E2">
        <w:rPr>
          <w:rStyle w:val="FootnoteReference"/>
        </w:rPr>
        <w:footnoteReference w:id="6"/>
      </w:r>
      <w:r w:rsidRPr="006E64B5">
        <w:rPr>
          <w:rFonts w:asciiTheme="majorBidi" w:hAnsiTheme="majorBidi" w:cstheme="majorBidi"/>
          <w:lang w:val="en-US"/>
        </w:rPr>
        <w:t xml:space="preserve"> It focuses on </w:t>
      </w:r>
      <w:r w:rsidR="001A5836">
        <w:rPr>
          <w:rFonts w:asciiTheme="majorBidi" w:hAnsiTheme="majorBidi" w:cstheme="majorBidi"/>
          <w:lang w:val="en-US"/>
        </w:rPr>
        <w:t xml:space="preserve">media </w:t>
      </w:r>
      <w:r w:rsidRPr="006E64B5">
        <w:rPr>
          <w:rFonts w:asciiTheme="majorBidi" w:hAnsiTheme="majorBidi" w:cstheme="majorBidi"/>
          <w:lang w:val="en-US"/>
        </w:rPr>
        <w:t xml:space="preserve">debates and perceptions rather than </w:t>
      </w:r>
      <w:r w:rsidR="00C311EA" w:rsidRPr="006E64B5">
        <w:rPr>
          <w:rFonts w:asciiTheme="majorBidi" w:hAnsiTheme="majorBidi" w:cstheme="majorBidi"/>
          <w:lang w:val="en-US"/>
        </w:rPr>
        <w:t xml:space="preserve">the </w:t>
      </w:r>
      <w:r w:rsidR="00D3250A" w:rsidRPr="006E64B5">
        <w:rPr>
          <w:rFonts w:asciiTheme="majorBidi" w:hAnsiTheme="majorBidi" w:cstheme="majorBidi"/>
          <w:lang w:val="en-US"/>
        </w:rPr>
        <w:t>ins</w:t>
      </w:r>
      <w:r w:rsidR="00C311EA" w:rsidRPr="006E64B5">
        <w:rPr>
          <w:rFonts w:asciiTheme="majorBidi" w:hAnsiTheme="majorBidi" w:cstheme="majorBidi"/>
          <w:lang w:val="en-US"/>
        </w:rPr>
        <w:t xml:space="preserve"> and </w:t>
      </w:r>
      <w:r w:rsidR="00D3250A" w:rsidRPr="006E64B5">
        <w:rPr>
          <w:rFonts w:asciiTheme="majorBidi" w:hAnsiTheme="majorBidi" w:cstheme="majorBidi"/>
          <w:lang w:val="en-US"/>
        </w:rPr>
        <w:t>outs</w:t>
      </w:r>
      <w:r w:rsidR="00C311EA" w:rsidRPr="006E64B5">
        <w:rPr>
          <w:rFonts w:asciiTheme="majorBidi" w:hAnsiTheme="majorBidi" w:cstheme="majorBidi"/>
          <w:lang w:val="en-US"/>
        </w:rPr>
        <w:t xml:space="preserve"> of </w:t>
      </w:r>
      <w:r w:rsidRPr="006E64B5">
        <w:rPr>
          <w:rFonts w:asciiTheme="majorBidi" w:hAnsiTheme="majorBidi" w:cstheme="majorBidi"/>
          <w:lang w:val="en-US"/>
        </w:rPr>
        <w:t>diplomatic negotiations and political disputes.</w:t>
      </w:r>
      <w:r w:rsidR="00CE1EC9">
        <w:rPr>
          <w:rFonts w:asciiTheme="majorBidi" w:hAnsiTheme="majorBidi" w:cstheme="majorBidi"/>
          <w:lang w:val="en-US"/>
        </w:rPr>
        <w:t xml:space="preserve"> </w:t>
      </w:r>
    </w:p>
    <w:p w14:paraId="55F221FA" w14:textId="77777777" w:rsidR="005877FF" w:rsidRDefault="0090509A" w:rsidP="005877FF">
      <w:pPr>
        <w:spacing w:line="360" w:lineRule="auto"/>
        <w:ind w:firstLine="708"/>
        <w:jc w:val="both"/>
        <w:rPr>
          <w:rFonts w:asciiTheme="majorBidi" w:hAnsiTheme="majorBidi" w:cstheme="majorBidi"/>
          <w:lang w:val="en-US"/>
        </w:rPr>
      </w:pPr>
      <w:r w:rsidRPr="0090509A">
        <w:rPr>
          <w:rFonts w:asciiTheme="majorBidi" w:hAnsiTheme="majorBidi" w:cstheme="majorBidi"/>
          <w:lang w:val="en-US"/>
        </w:rPr>
        <w:t>The first part examines discussions about the political and economic aspects of Europe, with a particular focus on the EEC/EU, which became the most central and powerful European institution over time.</w:t>
      </w:r>
      <w:r w:rsidR="00CE25E2">
        <w:rPr>
          <w:rStyle w:val="FootnoteReference"/>
          <w:rFonts w:asciiTheme="majorBidi" w:hAnsiTheme="majorBidi" w:cstheme="majorBidi"/>
          <w:lang w:val="en-US"/>
        </w:rPr>
        <w:footnoteReference w:id="7"/>
      </w:r>
      <w:r>
        <w:rPr>
          <w:rFonts w:asciiTheme="majorBidi" w:hAnsiTheme="majorBidi" w:cstheme="majorBidi"/>
          <w:lang w:val="en-US"/>
        </w:rPr>
        <w:t xml:space="preserve"> </w:t>
      </w:r>
      <w:r w:rsidR="002E5139" w:rsidRPr="002E5139">
        <w:rPr>
          <w:rFonts w:asciiTheme="majorBidi" w:hAnsiTheme="majorBidi" w:cstheme="majorBidi"/>
          <w:lang w:val="en-US"/>
        </w:rPr>
        <w:t xml:space="preserve">But while many commentators identified the body with Europe as a whole, for most of the years under consideration here, its scope was mostly limited to the western parts of the continent. </w:t>
      </w:r>
      <w:r w:rsidR="005877FF" w:rsidRPr="005877FF">
        <w:rPr>
          <w:rFonts w:asciiTheme="majorBidi" w:hAnsiTheme="majorBidi" w:cstheme="majorBidi"/>
          <w:lang w:val="en-US"/>
        </w:rPr>
        <w:t>Therefore, this study also considers how Israeli media portrayed Eastern Europe and discussed Europe's presence in the region in the context of colonialism.</w:t>
      </w:r>
    </w:p>
    <w:p w14:paraId="487DF115" w14:textId="0F0617CA" w:rsidR="005877FF" w:rsidRDefault="005877FF" w:rsidP="005877FF">
      <w:pPr>
        <w:spacing w:line="360" w:lineRule="auto"/>
        <w:ind w:firstLine="708"/>
        <w:jc w:val="both"/>
        <w:rPr>
          <w:rFonts w:asciiTheme="majorBidi" w:hAnsiTheme="majorBidi" w:cstheme="majorBidi"/>
          <w:lang w:val="en-US"/>
        </w:rPr>
      </w:pPr>
      <w:r w:rsidRPr="005877FF">
        <w:rPr>
          <w:rFonts w:asciiTheme="majorBidi" w:hAnsiTheme="majorBidi" w:cstheme="majorBidi"/>
          <w:lang w:val="en-US"/>
        </w:rPr>
        <w:t xml:space="preserve">Beyond politics and economics, Israelis also engaged with Europe through cultural interactions. As the debates over Eurovision and soccer illustrate, these were not merely forms of entertainment but </w:t>
      </w:r>
      <w:r>
        <w:rPr>
          <w:rFonts w:asciiTheme="majorBidi" w:hAnsiTheme="majorBidi" w:cstheme="majorBidi"/>
          <w:lang w:val="en-US"/>
        </w:rPr>
        <w:t>also venues</w:t>
      </w:r>
      <w:r w:rsidRPr="005877FF">
        <w:rPr>
          <w:rFonts w:asciiTheme="majorBidi" w:hAnsiTheme="majorBidi" w:cstheme="majorBidi"/>
          <w:lang w:val="en-US"/>
        </w:rPr>
        <w:t xml:space="preserve"> for discussing Europe’s influence on Israeli society. Such activities allowed the Israeli public to "experience" Europe directly, while giving commentators a chance to confront and analyze Israel's connections to the continent. Accordingly, the second part of the study examines three key areas where Israeli engagement with Europe was most visible: participation in European sporting events, the Eurovision Song Contest, and tourism to Europe.</w:t>
      </w:r>
    </w:p>
    <w:p w14:paraId="1E9EF4EB" w14:textId="4ADB8AD4" w:rsidR="005877FF" w:rsidRDefault="00034E6D" w:rsidP="005877FF">
      <w:pPr>
        <w:spacing w:line="360" w:lineRule="auto"/>
        <w:jc w:val="both"/>
        <w:rPr>
          <w:rFonts w:ascii="Times New Roman" w:hAnsi="Times New Roman" w:cs="Times New Roman"/>
          <w:lang w:val="en-US"/>
        </w:rPr>
      </w:pPr>
      <w:r w:rsidRPr="006E64B5">
        <w:rPr>
          <w:rFonts w:asciiTheme="majorBidi" w:hAnsiTheme="majorBidi" w:cstheme="majorBidi"/>
          <w:lang w:val="en-US"/>
        </w:rPr>
        <w:tab/>
      </w:r>
      <w:r w:rsidR="00A673EF" w:rsidRPr="00A673EF">
        <w:rPr>
          <w:rFonts w:asciiTheme="majorBidi" w:hAnsiTheme="majorBidi" w:cstheme="majorBidi"/>
          <w:lang w:val="en-US"/>
        </w:rPr>
        <w:t>Given Europe’s profound historical, cultural, and political significance to Israel, it is no surprise that these themes permeated the country’s public discourse.</w:t>
      </w:r>
      <w:r w:rsidR="00A673EF">
        <w:rPr>
          <w:rFonts w:asciiTheme="majorBidi" w:hAnsiTheme="majorBidi" w:cstheme="majorBidi"/>
          <w:lang w:val="en-US"/>
        </w:rPr>
        <w:t xml:space="preserve"> </w:t>
      </w:r>
      <w:r w:rsidRPr="006E64B5">
        <w:rPr>
          <w:rFonts w:asciiTheme="majorBidi" w:hAnsiTheme="majorBidi" w:cstheme="majorBidi"/>
          <w:lang w:val="en-US"/>
        </w:rPr>
        <w:t xml:space="preserve">The </w:t>
      </w:r>
      <w:r w:rsidR="005877FF" w:rsidRPr="005877FF">
        <w:rPr>
          <w:rFonts w:asciiTheme="majorBidi" w:hAnsiTheme="majorBidi" w:cstheme="majorBidi"/>
          <w:lang w:val="en-US"/>
        </w:rPr>
        <w:t>investigation draws on the major Hebrew-language newspapers,</w:t>
      </w:r>
      <w:r w:rsidR="005877FF" w:rsidRPr="00CE25E2">
        <w:rPr>
          <w:rStyle w:val="FootnoteReference"/>
        </w:rPr>
        <w:footnoteReference w:id="8"/>
      </w:r>
      <w:r w:rsidR="005877FF" w:rsidRPr="005877FF">
        <w:rPr>
          <w:rFonts w:asciiTheme="majorBidi" w:hAnsiTheme="majorBidi" w:cstheme="majorBidi"/>
          <w:lang w:val="en-US"/>
        </w:rPr>
        <w:t xml:space="preserve"> focusing on the Jewish-Zionist sectors of Israeli </w:t>
      </w:r>
      <w:r w:rsidR="005877FF" w:rsidRPr="005877FF">
        <w:rPr>
          <w:rFonts w:asciiTheme="majorBidi" w:hAnsiTheme="majorBidi" w:cstheme="majorBidi"/>
          <w:lang w:val="en-US"/>
        </w:rPr>
        <w:lastRenderedPageBreak/>
        <w:t xml:space="preserve">society, where most discussions about Israel’s relationship with Europe </w:t>
      </w:r>
      <w:r w:rsidR="00D01242" w:rsidRPr="00D01242">
        <w:rPr>
          <w:rFonts w:ascii="Times New Roman" w:hAnsi="Times New Roman" w:cs="Times New Roman"/>
          <w:lang w:val="en-US"/>
        </w:rPr>
        <w:t xml:space="preserve">took place. </w:t>
      </w:r>
      <w:r w:rsidR="00D53C52" w:rsidRPr="00111122">
        <w:rPr>
          <w:rFonts w:ascii="Times New Roman" w:hAnsi="Times New Roman" w:cs="Times New Roman"/>
          <w:lang w:val="en-US"/>
        </w:rPr>
        <w:t xml:space="preserve">Ultra-Orthodox and Palestinian-Arab </w:t>
      </w:r>
      <w:r w:rsidR="00D53C52">
        <w:rPr>
          <w:rFonts w:ascii="Times New Roman" w:hAnsi="Times New Roman" w:cs="Times New Roman"/>
          <w:lang w:val="en-US"/>
        </w:rPr>
        <w:t>communities</w:t>
      </w:r>
      <w:r w:rsidR="00D53C52" w:rsidRPr="00111122">
        <w:rPr>
          <w:rFonts w:ascii="Times New Roman" w:hAnsi="Times New Roman" w:cs="Times New Roman"/>
          <w:lang w:val="en-US"/>
        </w:rPr>
        <w:t xml:space="preserve"> are addressed where relevant, but to fully explore each of their very different backgrounds and thus perspectives on Europe would require separate projects.</w:t>
      </w:r>
      <w:r w:rsidR="008950F8" w:rsidRPr="00CE25E2">
        <w:rPr>
          <w:rStyle w:val="FootnoteReference"/>
        </w:rPr>
        <w:footnoteReference w:id="9"/>
      </w:r>
      <w:r w:rsidR="00A1174B" w:rsidRPr="00111122">
        <w:rPr>
          <w:rFonts w:ascii="Times New Roman" w:hAnsi="Times New Roman" w:cs="Times New Roman"/>
          <w:lang w:val="en-US"/>
        </w:rPr>
        <w:t xml:space="preserve"> </w:t>
      </w:r>
      <w:r w:rsidR="008C1790" w:rsidRPr="008C1790">
        <w:rPr>
          <w:rFonts w:ascii="Times New Roman" w:hAnsi="Times New Roman" w:cs="Times New Roman"/>
          <w:lang w:val="en-US"/>
        </w:rPr>
        <w:t xml:space="preserve">While the two groups were largely marginalized for much of the decades under discussion, the Zionist sector was central to the establishment and governance of the state and its institutions. </w:t>
      </w:r>
    </w:p>
    <w:p w14:paraId="442E76BF" w14:textId="6D86B3B5" w:rsidR="00034E6D" w:rsidRPr="006E64B5" w:rsidRDefault="008C7474" w:rsidP="00E10EE6">
      <w:pPr>
        <w:spacing w:line="360" w:lineRule="auto"/>
        <w:ind w:firstLine="708"/>
        <w:jc w:val="both"/>
        <w:rPr>
          <w:rFonts w:asciiTheme="majorBidi" w:hAnsiTheme="majorBidi" w:cstheme="majorBidi"/>
          <w:lang w:val="en-US"/>
        </w:rPr>
      </w:pPr>
      <w:r w:rsidRPr="008C7474">
        <w:rPr>
          <w:rFonts w:ascii="Times New Roman" w:hAnsi="Times New Roman" w:cs="Times New Roman"/>
          <w:lang w:val="en-US"/>
        </w:rPr>
        <w:t xml:space="preserve">The media served as a key platform for intellectual and political elites to express their opinions, and the high circulation of these newspapers suggests that such debates resonated widely among ordinary Israelis. </w:t>
      </w:r>
      <w:r w:rsidR="00326116" w:rsidRPr="00326116">
        <w:rPr>
          <w:rFonts w:asciiTheme="majorBidi" w:hAnsiTheme="majorBidi" w:cstheme="majorBidi"/>
          <w:lang w:val="en-US"/>
        </w:rPr>
        <w:t>Print media played a pivotal role in the formation and negotiation of the newly formed Israeli national collective</w:t>
      </w:r>
      <w:r w:rsidR="005877FF">
        <w:rPr>
          <w:rFonts w:asciiTheme="majorBidi" w:hAnsiTheme="majorBidi" w:cstheme="majorBidi"/>
          <w:lang w:val="en-US"/>
        </w:rPr>
        <w:t>,</w:t>
      </w:r>
      <w:r w:rsidR="00326116" w:rsidRPr="00326116">
        <w:rPr>
          <w:rFonts w:asciiTheme="majorBidi" w:hAnsiTheme="majorBidi" w:cstheme="majorBidi"/>
          <w:lang w:val="en-US"/>
        </w:rPr>
        <w:t xml:space="preserve"> simultaneously </w:t>
      </w:r>
      <w:r w:rsidR="005877FF">
        <w:rPr>
          <w:rFonts w:asciiTheme="majorBidi" w:hAnsiTheme="majorBidi" w:cstheme="majorBidi"/>
          <w:lang w:val="en-US"/>
        </w:rPr>
        <w:t>constituting</w:t>
      </w:r>
      <w:r w:rsidR="00326116" w:rsidRPr="00326116">
        <w:rPr>
          <w:rFonts w:asciiTheme="majorBidi" w:hAnsiTheme="majorBidi" w:cstheme="majorBidi"/>
          <w:lang w:val="en-US"/>
        </w:rPr>
        <w:t xml:space="preserve"> and shap</w:t>
      </w:r>
      <w:r w:rsidR="005877FF">
        <w:rPr>
          <w:rFonts w:asciiTheme="majorBidi" w:hAnsiTheme="majorBidi" w:cstheme="majorBidi"/>
          <w:lang w:val="en-US"/>
        </w:rPr>
        <w:t>ing</w:t>
      </w:r>
      <w:r w:rsidR="00326116" w:rsidRPr="00326116">
        <w:rPr>
          <w:rFonts w:asciiTheme="majorBidi" w:hAnsiTheme="majorBidi" w:cstheme="majorBidi"/>
          <w:lang w:val="en-US"/>
        </w:rPr>
        <w:t xml:space="preserve"> the public for which it claimed to speak. Against this backdrop, the book interprets media discussions about Europe both as a reflection on the Israeli-Zionist collective and as integral to the development of “</w:t>
      </w:r>
      <w:proofErr w:type="spellStart"/>
      <w:r w:rsidR="00326116" w:rsidRPr="00326116">
        <w:rPr>
          <w:rFonts w:asciiTheme="majorBidi" w:hAnsiTheme="majorBidi" w:cstheme="majorBidi"/>
          <w:lang w:val="en-US"/>
        </w:rPr>
        <w:t>Israeliness</w:t>
      </w:r>
      <w:proofErr w:type="spellEnd"/>
      <w:r w:rsidR="00326116" w:rsidRPr="00326116">
        <w:rPr>
          <w:rFonts w:asciiTheme="majorBidi" w:hAnsiTheme="majorBidi" w:cstheme="majorBidi"/>
          <w:lang w:val="en-US"/>
        </w:rPr>
        <w:t>.”</w:t>
      </w:r>
      <w:r w:rsidR="008C1790" w:rsidRPr="00CE25E2">
        <w:rPr>
          <w:rStyle w:val="FootnoteReference"/>
        </w:rPr>
        <w:footnoteReference w:id="10"/>
      </w:r>
      <w:r w:rsidR="00A1174B" w:rsidRPr="00A1174B">
        <w:rPr>
          <w:rFonts w:asciiTheme="majorBidi" w:hAnsiTheme="majorBidi" w:cstheme="majorBidi"/>
          <w:lang w:val="en-US"/>
        </w:rPr>
        <w:t xml:space="preserve"> This process, however, has always been an evolving and multi-voiced phenomenon. </w:t>
      </w:r>
      <w:r w:rsidR="00841CEB" w:rsidRPr="00841CEB">
        <w:rPr>
          <w:rFonts w:asciiTheme="majorBidi" w:hAnsiTheme="majorBidi" w:cstheme="majorBidi"/>
          <w:lang w:val="en-US"/>
        </w:rPr>
        <w:t xml:space="preserve">To capture </w:t>
      </w:r>
      <w:r w:rsidR="00B52B89">
        <w:rPr>
          <w:rFonts w:asciiTheme="majorBidi" w:hAnsiTheme="majorBidi" w:cstheme="majorBidi"/>
          <w:lang w:val="en-US"/>
        </w:rPr>
        <w:t>such</w:t>
      </w:r>
      <w:r w:rsidR="00841CEB" w:rsidRPr="00841CEB">
        <w:rPr>
          <w:rFonts w:asciiTheme="majorBidi" w:hAnsiTheme="majorBidi" w:cstheme="majorBidi"/>
          <w:lang w:val="en-US"/>
        </w:rPr>
        <w:t xml:space="preserve"> complexit</w:t>
      </w:r>
      <w:r w:rsidR="00B52B89">
        <w:rPr>
          <w:rFonts w:asciiTheme="majorBidi" w:hAnsiTheme="majorBidi" w:cstheme="majorBidi"/>
          <w:lang w:val="en-US"/>
        </w:rPr>
        <w:t>ies</w:t>
      </w:r>
      <w:r w:rsidR="00841CEB" w:rsidRPr="00841CEB">
        <w:rPr>
          <w:rFonts w:asciiTheme="majorBidi" w:hAnsiTheme="majorBidi" w:cstheme="majorBidi"/>
          <w:lang w:val="en-US"/>
        </w:rPr>
        <w:t xml:space="preserve">, the book draws </w:t>
      </w:r>
      <w:r w:rsidR="00326116" w:rsidRPr="00111122">
        <w:rPr>
          <w:rFonts w:ascii="Times New Roman" w:hAnsi="Times New Roman" w:cs="Times New Roman"/>
          <w:lang w:val="en-US"/>
        </w:rPr>
        <w:t>upon a diverse array of newspapers from the Zionist sector, representing a wide spectrum of political, social</w:t>
      </w:r>
      <w:r w:rsidR="00326116">
        <w:rPr>
          <w:rFonts w:ascii="Times New Roman" w:hAnsi="Times New Roman" w:cs="Times New Roman"/>
          <w:lang w:val="en-US"/>
        </w:rPr>
        <w:t>,</w:t>
      </w:r>
      <w:r w:rsidR="00326116" w:rsidRPr="00111122">
        <w:rPr>
          <w:rFonts w:ascii="Times New Roman" w:hAnsi="Times New Roman" w:cs="Times New Roman"/>
          <w:lang w:val="en-US"/>
        </w:rPr>
        <w:t xml:space="preserve"> and cultural perspectives, and </w:t>
      </w:r>
      <w:r w:rsidR="00326116">
        <w:rPr>
          <w:rFonts w:ascii="Times New Roman" w:hAnsi="Times New Roman" w:cs="Times New Roman"/>
          <w:lang w:val="en-US"/>
        </w:rPr>
        <w:t>interpret</w:t>
      </w:r>
      <w:r w:rsidR="00326116" w:rsidRPr="00111122">
        <w:rPr>
          <w:rFonts w:ascii="Times New Roman" w:hAnsi="Times New Roman" w:cs="Times New Roman"/>
          <w:lang w:val="en-US"/>
        </w:rPr>
        <w:t xml:space="preserve"> them in </w:t>
      </w:r>
      <w:r w:rsidR="00326116">
        <w:rPr>
          <w:rFonts w:ascii="Times New Roman" w:hAnsi="Times New Roman" w:cs="Times New Roman"/>
          <w:lang w:val="en-US"/>
        </w:rPr>
        <w:t>a systematically comparative fashion.</w:t>
      </w:r>
      <w:r w:rsidR="00034E6D" w:rsidRPr="006E64B5">
        <w:rPr>
          <w:rFonts w:asciiTheme="majorBidi" w:hAnsiTheme="majorBidi" w:cstheme="majorBidi"/>
          <w:lang w:val="en-US"/>
        </w:rPr>
        <w:t xml:space="preserve"> </w:t>
      </w:r>
      <w:r w:rsidR="00841CEB" w:rsidRPr="00841CEB">
        <w:rPr>
          <w:rFonts w:asciiTheme="majorBidi" w:hAnsiTheme="majorBidi" w:cstheme="majorBidi"/>
          <w:lang w:val="en-US"/>
        </w:rPr>
        <w:t xml:space="preserve">Additionally, the chapter on travel examines narratives found in several Hebrew-language travel guides to Europe (rather than guides focused on individual countries), published between the 1970s and the 2000s. Many of these guides were printed in large quantities and widely used by Israeli travelers, significantly influencing how they perceived </w:t>
      </w:r>
      <w:r w:rsidR="00841CEB">
        <w:rPr>
          <w:rFonts w:asciiTheme="majorBidi" w:hAnsiTheme="majorBidi" w:cstheme="majorBidi"/>
          <w:lang w:val="en-US"/>
        </w:rPr>
        <w:t>the continent</w:t>
      </w:r>
      <w:r w:rsidR="00841CEB" w:rsidRPr="00841CEB">
        <w:rPr>
          <w:rFonts w:asciiTheme="majorBidi" w:hAnsiTheme="majorBidi" w:cstheme="majorBidi"/>
          <w:lang w:val="en-US"/>
        </w:rPr>
        <w:t>.</w:t>
      </w:r>
      <w:r w:rsidR="00841CEB">
        <w:rPr>
          <w:rFonts w:asciiTheme="majorBidi" w:hAnsiTheme="majorBidi" w:cstheme="majorBidi"/>
          <w:lang w:val="en-US"/>
        </w:rPr>
        <w:t xml:space="preserve"> </w:t>
      </w:r>
      <w:r w:rsidR="00034E6D" w:rsidRPr="006E64B5">
        <w:rPr>
          <w:rFonts w:asciiTheme="majorBidi" w:hAnsiTheme="majorBidi" w:cstheme="majorBidi"/>
          <w:i/>
          <w:lang w:val="en-US"/>
        </w:rPr>
        <w:t>Europe through Israeli Eyes</w:t>
      </w:r>
      <w:r w:rsidR="00795A39" w:rsidRPr="006E64B5">
        <w:rPr>
          <w:rFonts w:asciiTheme="majorBidi" w:hAnsiTheme="majorBidi" w:cstheme="majorBidi"/>
          <w:i/>
          <w:lang w:val="en-US"/>
        </w:rPr>
        <w:t xml:space="preserve"> </w:t>
      </w:r>
      <w:r w:rsidR="00795A39" w:rsidRPr="006E64B5">
        <w:rPr>
          <w:rFonts w:asciiTheme="majorBidi" w:hAnsiTheme="majorBidi" w:cstheme="majorBidi"/>
          <w:lang w:val="en-US"/>
        </w:rPr>
        <w:t xml:space="preserve">thus focuses on the Hebrew public sphere in which Zionist segments of society debated the prospects and future of their state, </w:t>
      </w:r>
      <w:proofErr w:type="gramStart"/>
      <w:r w:rsidR="00795A39" w:rsidRPr="006E64B5">
        <w:rPr>
          <w:rFonts w:asciiTheme="majorBidi" w:hAnsiTheme="majorBidi" w:cstheme="majorBidi"/>
          <w:lang w:val="en-US"/>
        </w:rPr>
        <w:t>in order to</w:t>
      </w:r>
      <w:proofErr w:type="gramEnd"/>
      <w:r w:rsidR="00795A39" w:rsidRPr="006E64B5">
        <w:rPr>
          <w:rFonts w:asciiTheme="majorBidi" w:hAnsiTheme="majorBidi" w:cstheme="majorBidi"/>
          <w:lang w:val="en-US"/>
        </w:rPr>
        <w:t xml:space="preserve"> explore the various meanings of Europe for Israelis in the second half of the twentieth century.</w:t>
      </w:r>
      <w:r w:rsidR="0082745B" w:rsidRPr="00CE25E2">
        <w:rPr>
          <w:rStyle w:val="FootnoteReference"/>
        </w:rPr>
        <w:footnoteReference w:id="11"/>
      </w:r>
    </w:p>
    <w:p w14:paraId="138EF513" w14:textId="77777777" w:rsidR="00086F31" w:rsidRPr="006E64B5" w:rsidRDefault="00086F31" w:rsidP="000225AE">
      <w:pPr>
        <w:spacing w:line="360" w:lineRule="auto"/>
        <w:jc w:val="both"/>
        <w:rPr>
          <w:rFonts w:asciiTheme="majorBidi" w:hAnsiTheme="majorBidi" w:cstheme="majorBidi"/>
          <w:lang w:val="en-US"/>
        </w:rPr>
      </w:pPr>
    </w:p>
    <w:p w14:paraId="6EF65BED" w14:textId="08A0E997" w:rsidR="00086F31" w:rsidRPr="006E64B5" w:rsidRDefault="00086F31" w:rsidP="000225AE">
      <w:pPr>
        <w:spacing w:line="360" w:lineRule="auto"/>
        <w:jc w:val="both"/>
        <w:rPr>
          <w:rFonts w:asciiTheme="majorBidi" w:hAnsiTheme="majorBidi" w:cstheme="majorBidi"/>
          <w:b/>
          <w:lang w:val="en-US"/>
        </w:rPr>
      </w:pPr>
      <w:r w:rsidRPr="006E64B5">
        <w:rPr>
          <w:rFonts w:asciiTheme="majorBidi" w:hAnsiTheme="majorBidi" w:cstheme="majorBidi"/>
          <w:b/>
          <w:lang w:val="en-US"/>
        </w:rPr>
        <w:t>Why Europe?</w:t>
      </w:r>
    </w:p>
    <w:p w14:paraId="1F4A1D7A" w14:textId="2B577372" w:rsidR="00086F31" w:rsidRPr="006E64B5" w:rsidRDefault="00086F31" w:rsidP="000225AE">
      <w:pPr>
        <w:spacing w:line="360" w:lineRule="auto"/>
        <w:jc w:val="both"/>
        <w:rPr>
          <w:rFonts w:asciiTheme="majorBidi" w:hAnsiTheme="majorBidi" w:cstheme="majorBidi"/>
          <w:lang w:val="en-US"/>
        </w:rPr>
      </w:pPr>
      <w:r w:rsidRPr="006E64B5">
        <w:rPr>
          <w:rFonts w:asciiTheme="majorBidi" w:hAnsiTheme="majorBidi" w:cstheme="majorBidi"/>
          <w:lang w:val="en-US"/>
        </w:rPr>
        <w:t xml:space="preserve">The history of the State of Israel is inextricably linked to that of Europe. For many centuries, the continent was home to the largest Jewish community in the world. Since the heyday of Enlightenment and secularization, </w:t>
      </w:r>
      <w:r w:rsidR="00DE1FE5" w:rsidRPr="00DE1FE5">
        <w:rPr>
          <w:rFonts w:asciiTheme="majorBidi" w:hAnsiTheme="majorBidi" w:cstheme="majorBidi"/>
          <w:lang w:val="en-US"/>
        </w:rPr>
        <w:t>many European Jews began seeking emancipation and integration into surrounding societies. These efforts to integrate—and the tensions that arose—</w:t>
      </w:r>
      <w:r w:rsidR="00DE1FE5" w:rsidRPr="00DE1FE5">
        <w:rPr>
          <w:rFonts w:asciiTheme="majorBidi" w:hAnsiTheme="majorBidi" w:cstheme="majorBidi"/>
          <w:lang w:val="en-US"/>
        </w:rPr>
        <w:lastRenderedPageBreak/>
        <w:t>played a crucial role in shaping Jewish and later Israeli perceptions of Europe, both as a place of opportunity and exclusion.</w:t>
      </w:r>
      <w:r w:rsidR="00DE1FE5">
        <w:rPr>
          <w:rFonts w:asciiTheme="majorBidi" w:hAnsiTheme="majorBidi" w:cstheme="majorBidi"/>
          <w:lang w:val="en-US"/>
        </w:rPr>
        <w:tab/>
      </w:r>
      <w:r w:rsidRPr="006E64B5">
        <w:rPr>
          <w:rFonts w:asciiTheme="majorBidi" w:hAnsiTheme="majorBidi" w:cstheme="majorBidi"/>
          <w:lang w:val="en-US"/>
        </w:rPr>
        <w:t xml:space="preserve"> In this context, Jews assumed a pivotal role in the social, economic, scientific, and sometimes political spheres of the continent, becoming an integral part of European modernity. At the same time, however, many national movements and states displayed strong hostility towards Jewish integration.</w:t>
      </w:r>
      <w:r w:rsidR="002D7C6E" w:rsidRPr="006E64B5">
        <w:rPr>
          <w:rFonts w:asciiTheme="majorBidi" w:hAnsiTheme="majorBidi" w:cstheme="majorBidi"/>
          <w:lang w:val="en-US"/>
        </w:rPr>
        <w:t xml:space="preserve"> Against this background, the concept of a supranational Europe attracted enlightened Jewish thinkers, who no longer defined themselves solely in terms of religious tradition, but also experienced limited acceptance within the respective national cultures.</w:t>
      </w:r>
      <w:r w:rsidR="00AF4EB4" w:rsidRPr="00CE25E2">
        <w:rPr>
          <w:rStyle w:val="FootnoteReference"/>
        </w:rPr>
        <w:footnoteReference w:id="12"/>
      </w:r>
    </w:p>
    <w:p w14:paraId="5431D87D" w14:textId="62A96917" w:rsidR="001F533D" w:rsidRPr="006E64B5" w:rsidRDefault="00AF4EB4" w:rsidP="000225AE">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176DA9" w:rsidRPr="006E64B5">
        <w:rPr>
          <w:rFonts w:asciiTheme="majorBidi" w:hAnsiTheme="majorBidi" w:cstheme="majorBidi"/>
          <w:lang w:val="en-US"/>
        </w:rPr>
        <w:t xml:space="preserve">Yet also pan-European thinking was profoundly influenced by anti-Jewish sentiments. The </w:t>
      </w:r>
      <w:r w:rsidR="004805AB">
        <w:rPr>
          <w:rFonts w:asciiTheme="majorBidi" w:hAnsiTheme="majorBidi" w:cstheme="majorBidi"/>
          <w:lang w:val="en-US"/>
        </w:rPr>
        <w:t>dominantly</w:t>
      </w:r>
      <w:r w:rsidR="00176DA9" w:rsidRPr="006E64B5">
        <w:rPr>
          <w:rFonts w:asciiTheme="majorBidi" w:hAnsiTheme="majorBidi" w:cstheme="majorBidi"/>
          <w:lang w:val="en-US"/>
        </w:rPr>
        <w:t xml:space="preserve"> </w:t>
      </w:r>
      <w:r w:rsidR="00BA4524" w:rsidRPr="006E64B5">
        <w:rPr>
          <w:rFonts w:asciiTheme="majorBidi" w:hAnsiTheme="majorBidi" w:cstheme="majorBidi"/>
          <w:lang w:val="en-US"/>
        </w:rPr>
        <w:t>Christian</w:t>
      </w:r>
      <w:r w:rsidR="00176DA9" w:rsidRPr="006E64B5">
        <w:rPr>
          <w:rFonts w:asciiTheme="majorBidi" w:hAnsiTheme="majorBidi" w:cstheme="majorBidi"/>
          <w:lang w:val="en-US"/>
        </w:rPr>
        <w:t xml:space="preserve"> continent defined itself not least by distinguishing itself from the non-Christian world. In addition to Islam as the external enemy, this applied above all to the Jews as the largest and most enduring minority </w:t>
      </w:r>
      <w:r w:rsidR="00BA4524" w:rsidRPr="006E64B5">
        <w:rPr>
          <w:rFonts w:asciiTheme="majorBidi" w:hAnsiTheme="majorBidi" w:cstheme="majorBidi"/>
          <w:lang w:val="en-US"/>
        </w:rPr>
        <w:t>living in Europe itself</w:t>
      </w:r>
      <w:r w:rsidR="00176DA9" w:rsidRPr="006E64B5">
        <w:rPr>
          <w:rFonts w:asciiTheme="majorBidi" w:hAnsiTheme="majorBidi" w:cstheme="majorBidi"/>
          <w:lang w:val="en-US"/>
        </w:rPr>
        <w:t xml:space="preserve">. </w:t>
      </w:r>
      <w:r w:rsidR="00BA621A" w:rsidRPr="006E64B5">
        <w:rPr>
          <w:rFonts w:asciiTheme="majorBidi" w:hAnsiTheme="majorBidi" w:cstheme="majorBidi"/>
          <w:lang w:val="en-US"/>
        </w:rPr>
        <w:t xml:space="preserve">The Enlightenment, which laid the foundations for contemporary </w:t>
      </w:r>
      <w:r w:rsidR="00E47857">
        <w:rPr>
          <w:rFonts w:asciiTheme="majorBidi" w:hAnsiTheme="majorBidi" w:cstheme="majorBidi"/>
          <w:lang w:val="en-US"/>
        </w:rPr>
        <w:t>self-perceptions</w:t>
      </w:r>
      <w:r w:rsidR="00BA621A" w:rsidRPr="006E64B5">
        <w:rPr>
          <w:rFonts w:asciiTheme="majorBidi" w:hAnsiTheme="majorBidi" w:cstheme="majorBidi"/>
          <w:lang w:val="en-US"/>
        </w:rPr>
        <w:t xml:space="preserve"> of the continent, had already revealed a complex and ambivalent relationship with European Jews. The processes initiated by these thinkers reflected these ambivalences in the future. </w:t>
      </w:r>
      <w:r w:rsidR="00F95549">
        <w:rPr>
          <w:rFonts w:asciiTheme="majorBidi" w:hAnsiTheme="majorBidi" w:cstheme="majorBidi"/>
          <w:lang w:val="en-US"/>
        </w:rPr>
        <w:t xml:space="preserve">Against this backdrop, </w:t>
      </w:r>
      <w:r w:rsidR="00F95549" w:rsidRPr="00F95549">
        <w:rPr>
          <w:rFonts w:asciiTheme="majorBidi" w:hAnsiTheme="majorBidi" w:cstheme="majorBidi"/>
          <w:lang w:val="en-US"/>
        </w:rPr>
        <w:t xml:space="preserve">sociologist Gerard Delanty has argued that the modern </w:t>
      </w:r>
      <w:r w:rsidR="00F95549">
        <w:rPr>
          <w:rFonts w:asciiTheme="majorBidi" w:hAnsiTheme="majorBidi" w:cstheme="majorBidi"/>
          <w:lang w:val="en-US"/>
        </w:rPr>
        <w:t xml:space="preserve">idea of Europe should </w:t>
      </w:r>
      <w:r w:rsidR="00F95549" w:rsidRPr="00F95549">
        <w:rPr>
          <w:rFonts w:asciiTheme="majorBidi" w:hAnsiTheme="majorBidi" w:cstheme="majorBidi"/>
          <w:lang w:val="en-US"/>
        </w:rPr>
        <w:t>be understood as the secularized equivalent of Christianity, rather than a departure from it.</w:t>
      </w:r>
      <w:r w:rsidR="00F95549">
        <w:rPr>
          <w:rFonts w:asciiTheme="majorBidi" w:hAnsiTheme="majorBidi" w:cstheme="majorBidi"/>
          <w:lang w:val="en-US"/>
        </w:rPr>
        <w:t xml:space="preserve"> </w:t>
      </w:r>
      <w:r w:rsidR="00C422AA" w:rsidRPr="006E64B5">
        <w:rPr>
          <w:rFonts w:asciiTheme="majorBidi" w:hAnsiTheme="majorBidi" w:cstheme="majorBidi"/>
          <w:lang w:val="en-US"/>
        </w:rPr>
        <w:t>“</w:t>
      </w:r>
      <w:r w:rsidR="000F01CE" w:rsidRPr="006E64B5">
        <w:rPr>
          <w:rFonts w:asciiTheme="majorBidi" w:hAnsiTheme="majorBidi" w:cstheme="majorBidi"/>
          <w:lang w:val="en-US"/>
        </w:rPr>
        <w:t>The principal components of European identity,” Delanty</w:t>
      </w:r>
      <w:r w:rsidR="00F95549">
        <w:rPr>
          <w:rFonts w:asciiTheme="majorBidi" w:hAnsiTheme="majorBidi" w:cstheme="majorBidi"/>
          <w:lang w:val="en-US"/>
        </w:rPr>
        <w:t xml:space="preserve"> writes</w:t>
      </w:r>
      <w:r w:rsidR="000F01CE" w:rsidRPr="006E64B5">
        <w:rPr>
          <w:rFonts w:asciiTheme="majorBidi" w:hAnsiTheme="majorBidi" w:cstheme="majorBidi"/>
          <w:lang w:val="en-US"/>
        </w:rPr>
        <w:t xml:space="preserve">, “were the ideas of progress, </w:t>
      </w:r>
      <w:proofErr w:type="spellStart"/>
      <w:r w:rsidR="000F01CE" w:rsidRPr="006E64B5">
        <w:rPr>
          <w:rFonts w:asciiTheme="majorBidi" w:hAnsiTheme="majorBidi" w:cstheme="majorBidi"/>
          <w:lang w:val="en-US"/>
        </w:rPr>
        <w:t>civilisation</w:t>
      </w:r>
      <w:proofErr w:type="spellEnd"/>
      <w:r w:rsidR="000F01CE" w:rsidRPr="006E64B5">
        <w:rPr>
          <w:rFonts w:asciiTheme="majorBidi" w:hAnsiTheme="majorBidi" w:cstheme="majorBidi"/>
          <w:lang w:val="en-US"/>
        </w:rPr>
        <w:t xml:space="preserve"> and Christian redemption. Antisemitism thrived along with these ideas and gave them an orientation.”</w:t>
      </w:r>
      <w:r w:rsidR="000F01CE" w:rsidRPr="00CE25E2">
        <w:rPr>
          <w:rStyle w:val="FootnoteReference"/>
        </w:rPr>
        <w:footnoteReference w:id="13"/>
      </w:r>
      <w:r w:rsidR="000F01CE" w:rsidRPr="006E64B5">
        <w:rPr>
          <w:rFonts w:asciiTheme="majorBidi" w:hAnsiTheme="majorBidi" w:cstheme="majorBidi"/>
          <w:lang w:val="en-US"/>
        </w:rPr>
        <w:t xml:space="preserve"> </w:t>
      </w:r>
    </w:p>
    <w:p w14:paraId="184E6614" w14:textId="61A410C5" w:rsidR="00AF4EB4" w:rsidRPr="001953C4" w:rsidRDefault="000F01CE" w:rsidP="001F533D">
      <w:pPr>
        <w:spacing w:line="360" w:lineRule="auto"/>
        <w:ind w:firstLine="708"/>
        <w:jc w:val="both"/>
        <w:rPr>
          <w:rFonts w:asciiTheme="majorBidi" w:hAnsiTheme="majorBidi" w:cstheme="majorBidi"/>
          <w:lang w:val="en-US"/>
        </w:rPr>
      </w:pPr>
      <w:r w:rsidRPr="006E64B5">
        <w:rPr>
          <w:rFonts w:asciiTheme="majorBidi" w:hAnsiTheme="majorBidi" w:cstheme="majorBidi"/>
          <w:lang w:val="en-US"/>
        </w:rPr>
        <w:t>Exclusion and hatred were not least an important driving force behind the emergence of modern Jewish nationalism</w:t>
      </w:r>
      <w:proofErr w:type="gramStart"/>
      <w:r w:rsidRPr="006E64B5">
        <w:rPr>
          <w:rFonts w:asciiTheme="majorBidi" w:hAnsiTheme="majorBidi" w:cstheme="majorBidi"/>
          <w:lang w:val="en-US"/>
        </w:rPr>
        <w:t xml:space="preserve"> and in particular</w:t>
      </w:r>
      <w:proofErr w:type="gramEnd"/>
      <w:r w:rsidRPr="006E64B5">
        <w:rPr>
          <w:rFonts w:asciiTheme="majorBidi" w:hAnsiTheme="majorBidi" w:cstheme="majorBidi"/>
          <w:lang w:val="en-US"/>
        </w:rPr>
        <w:t xml:space="preserve"> its Zionist variant. The latter negated the viability of Jewish life in the (European) diaspora and strove to establish </w:t>
      </w:r>
      <w:r w:rsidR="00FC1C5F" w:rsidRPr="006E64B5">
        <w:rPr>
          <w:rFonts w:asciiTheme="majorBidi" w:hAnsiTheme="majorBidi" w:cstheme="majorBidi"/>
          <w:lang w:val="en-US"/>
        </w:rPr>
        <w:t>“</w:t>
      </w:r>
      <w:r w:rsidRPr="006E64B5">
        <w:rPr>
          <w:rFonts w:asciiTheme="majorBidi" w:hAnsiTheme="majorBidi" w:cstheme="majorBidi"/>
          <w:lang w:val="en-US"/>
        </w:rPr>
        <w:t>a national home</w:t>
      </w:r>
      <w:r w:rsidR="00FC1C5F" w:rsidRPr="006E64B5">
        <w:rPr>
          <w:rFonts w:asciiTheme="majorBidi" w:hAnsiTheme="majorBidi" w:cstheme="majorBidi"/>
          <w:lang w:val="en-US"/>
        </w:rPr>
        <w:t>”</w:t>
      </w:r>
      <w:r w:rsidRPr="006E64B5">
        <w:rPr>
          <w:rFonts w:asciiTheme="majorBidi" w:hAnsiTheme="majorBidi" w:cstheme="majorBidi"/>
          <w:lang w:val="en-US"/>
        </w:rPr>
        <w:t xml:space="preserve"> in Palestine for the Jews they defined as a modern nation.</w:t>
      </w:r>
      <w:r w:rsidR="00990307">
        <w:rPr>
          <w:rFonts w:asciiTheme="majorBidi" w:hAnsiTheme="majorBidi" w:cstheme="majorBidi"/>
          <w:lang w:val="en-US"/>
        </w:rPr>
        <w:t xml:space="preserve"> </w:t>
      </w:r>
      <w:r w:rsidRPr="006E64B5">
        <w:rPr>
          <w:rFonts w:asciiTheme="majorBidi" w:hAnsiTheme="majorBidi" w:cstheme="majorBidi"/>
          <w:lang w:val="en-US"/>
        </w:rPr>
        <w:t xml:space="preserve">However, even this undertaking did not represent a final departure from the </w:t>
      </w:r>
      <w:proofErr w:type="gramStart"/>
      <w:r w:rsidRPr="006E64B5">
        <w:rPr>
          <w:rFonts w:asciiTheme="majorBidi" w:hAnsiTheme="majorBidi" w:cstheme="majorBidi"/>
          <w:lang w:val="en-US"/>
        </w:rPr>
        <w:t>continent, but</w:t>
      </w:r>
      <w:proofErr w:type="gramEnd"/>
      <w:r w:rsidRPr="006E64B5">
        <w:rPr>
          <w:rFonts w:asciiTheme="majorBidi" w:hAnsiTheme="majorBidi" w:cstheme="majorBidi"/>
          <w:lang w:val="en-US"/>
        </w:rPr>
        <w:t xml:space="preserve"> was deeply influenced in all its facets by ideas of European modernity.</w:t>
      </w:r>
      <w:r w:rsidR="00CE252C" w:rsidRPr="006E64B5">
        <w:rPr>
          <w:rFonts w:asciiTheme="majorBidi" w:hAnsiTheme="majorBidi" w:cstheme="majorBidi"/>
          <w:lang w:val="en-US"/>
        </w:rPr>
        <w:t xml:space="preserve"> In essence, the Zionists sought to transform the Jews into a world-historic people by establishing a nation-state based on European models.</w:t>
      </w:r>
      <w:r w:rsidR="00CE252C" w:rsidRPr="00CE25E2">
        <w:rPr>
          <w:rStyle w:val="FootnoteReference"/>
        </w:rPr>
        <w:footnoteReference w:id="14"/>
      </w:r>
      <w:r w:rsidR="00CE252C" w:rsidRPr="006E64B5">
        <w:rPr>
          <w:rFonts w:asciiTheme="majorBidi" w:hAnsiTheme="majorBidi" w:cstheme="majorBidi"/>
          <w:lang w:val="en-US"/>
        </w:rPr>
        <w:t xml:space="preserve"> </w:t>
      </w:r>
      <w:r w:rsidR="001953C4" w:rsidRPr="001953C4">
        <w:rPr>
          <w:rFonts w:asciiTheme="majorBidi" w:hAnsiTheme="majorBidi" w:cstheme="majorBidi"/>
          <w:lang w:val="en-US"/>
        </w:rPr>
        <w:t xml:space="preserve">The culture and society that </w:t>
      </w:r>
      <w:r w:rsidR="001953C4" w:rsidRPr="001953C4">
        <w:rPr>
          <w:rFonts w:asciiTheme="majorBidi" w:hAnsiTheme="majorBidi" w:cstheme="majorBidi"/>
          <w:lang w:val="en-US"/>
        </w:rPr>
        <w:lastRenderedPageBreak/>
        <w:t xml:space="preserve">would emerge as part of this endeavor was also in many ways the model of European national movements. </w:t>
      </w:r>
      <w:r w:rsidR="00CE252C" w:rsidRPr="001953C4">
        <w:rPr>
          <w:rFonts w:asciiTheme="majorBidi" w:hAnsiTheme="majorBidi" w:cstheme="majorBidi"/>
          <w:lang w:val="en-US"/>
        </w:rPr>
        <w:t>“</w:t>
      </w:r>
      <w:proofErr w:type="spellStart"/>
      <w:r w:rsidR="00CE252C" w:rsidRPr="001953C4">
        <w:rPr>
          <w:rFonts w:asciiTheme="majorBidi" w:hAnsiTheme="majorBidi" w:cstheme="majorBidi"/>
          <w:lang w:val="en-US"/>
        </w:rPr>
        <w:t>Altneuland</w:t>
      </w:r>
      <w:proofErr w:type="spellEnd"/>
      <w:r w:rsidR="00CE252C" w:rsidRPr="001953C4">
        <w:rPr>
          <w:rFonts w:asciiTheme="majorBidi" w:hAnsiTheme="majorBidi" w:cstheme="majorBidi"/>
          <w:lang w:val="en-US"/>
        </w:rPr>
        <w:t>,” Max Nordau famously wrote, referring to his close friend Theodor Herzl’s eponymous book and Zionist vision, “is a piece of Europe in Asia.”</w:t>
      </w:r>
      <w:r w:rsidR="00CE252C" w:rsidRPr="00CE25E2">
        <w:rPr>
          <w:rStyle w:val="FootnoteReference"/>
        </w:rPr>
        <w:footnoteReference w:id="15"/>
      </w:r>
    </w:p>
    <w:p w14:paraId="6482E281" w14:textId="59B1A997" w:rsidR="001577E6" w:rsidRPr="006E64B5" w:rsidRDefault="00CE252C" w:rsidP="00CE252C">
      <w:pPr>
        <w:spacing w:line="360" w:lineRule="auto"/>
        <w:jc w:val="both"/>
        <w:rPr>
          <w:rFonts w:asciiTheme="majorBidi" w:hAnsiTheme="majorBidi" w:cstheme="majorBidi"/>
          <w:lang w:val="en-US"/>
        </w:rPr>
      </w:pPr>
      <w:r w:rsidRPr="001953C4">
        <w:rPr>
          <w:rFonts w:asciiTheme="majorBidi" w:hAnsiTheme="majorBidi" w:cstheme="majorBidi"/>
          <w:lang w:val="en-US"/>
        </w:rPr>
        <w:tab/>
      </w:r>
      <w:r w:rsidRPr="006E64B5">
        <w:rPr>
          <w:rFonts w:asciiTheme="majorBidi" w:hAnsiTheme="majorBidi" w:cstheme="majorBidi"/>
          <w:lang w:val="en-US"/>
        </w:rPr>
        <w:t xml:space="preserve">The </w:t>
      </w:r>
      <w:r w:rsidR="008C1790">
        <w:rPr>
          <w:rFonts w:asciiTheme="majorBidi" w:hAnsiTheme="majorBidi" w:cstheme="majorBidi"/>
          <w:lang w:val="en-US"/>
        </w:rPr>
        <w:t>H</w:t>
      </w:r>
      <w:r w:rsidRPr="006E64B5">
        <w:rPr>
          <w:rFonts w:asciiTheme="majorBidi" w:hAnsiTheme="majorBidi" w:cstheme="majorBidi"/>
          <w:lang w:val="en-US"/>
        </w:rPr>
        <w:t xml:space="preserve">olocaust ultimately seemed to vindicate the Zionist attitude toward Jewish life in Europe and to make a separate nation-state in the Middle East indispensable. </w:t>
      </w:r>
      <w:r w:rsidR="0033501C" w:rsidRPr="006E64B5">
        <w:rPr>
          <w:rFonts w:asciiTheme="majorBidi" w:hAnsiTheme="majorBidi" w:cstheme="majorBidi"/>
          <w:lang w:val="en-US"/>
        </w:rPr>
        <w:t>Concurrently</w:t>
      </w:r>
      <w:r w:rsidRPr="006E64B5">
        <w:rPr>
          <w:rFonts w:asciiTheme="majorBidi" w:hAnsiTheme="majorBidi" w:cstheme="majorBidi"/>
          <w:lang w:val="en-US"/>
        </w:rPr>
        <w:t>, the genocide changed the basis and conditions for the future state. The Germans and their collaborators had murdered a large proportion of the people who, in the eyes of the Zionists, were to form the basis of the new society.</w:t>
      </w:r>
      <w:r w:rsidR="0038227D" w:rsidRPr="006E64B5">
        <w:rPr>
          <w:rFonts w:asciiTheme="majorBidi" w:hAnsiTheme="majorBidi" w:cstheme="majorBidi"/>
          <w:lang w:val="en-US"/>
        </w:rPr>
        <w:t xml:space="preserve"> Moreover, in the wake of the creation of the state and the ensuing geopolitical tensions of the late 1940s and early 1950s, hundreds of thousands of Jews from the Middle East and North Africa immigrated to Israel. </w:t>
      </w:r>
      <w:r w:rsidR="0033501C" w:rsidRPr="006E64B5">
        <w:rPr>
          <w:rFonts w:asciiTheme="majorBidi" w:hAnsiTheme="majorBidi" w:cstheme="majorBidi"/>
          <w:lang w:val="en-US"/>
        </w:rPr>
        <w:t>Such developments notwithstanding</w:t>
      </w:r>
      <w:r w:rsidR="0038227D" w:rsidRPr="006E64B5">
        <w:rPr>
          <w:rFonts w:asciiTheme="majorBidi" w:hAnsiTheme="majorBidi" w:cstheme="majorBidi"/>
          <w:lang w:val="en-US"/>
        </w:rPr>
        <w:t>, the European foundations of the state remained of paramount importance, on the one hand in the form of institutions and foundations created by Ashkenazi Jews, and on the other through their dominance in the political, economic</w:t>
      </w:r>
      <w:r w:rsidR="0033501C" w:rsidRPr="006E64B5">
        <w:rPr>
          <w:rFonts w:asciiTheme="majorBidi" w:hAnsiTheme="majorBidi" w:cstheme="majorBidi"/>
          <w:lang w:val="en-US"/>
        </w:rPr>
        <w:t>, social and cultural spheres</w:t>
      </w:r>
      <w:r w:rsidR="0038227D" w:rsidRPr="006E64B5">
        <w:rPr>
          <w:rFonts w:asciiTheme="majorBidi" w:hAnsiTheme="majorBidi" w:cstheme="majorBidi"/>
          <w:lang w:val="en-US"/>
        </w:rPr>
        <w:t>.</w:t>
      </w:r>
      <w:r w:rsidR="004805AB" w:rsidRPr="00CE25E2">
        <w:rPr>
          <w:rStyle w:val="FootnoteReference"/>
        </w:rPr>
        <w:footnoteReference w:id="16"/>
      </w:r>
      <w:r w:rsidR="004B2753" w:rsidRPr="006E64B5">
        <w:rPr>
          <w:rFonts w:asciiTheme="majorBidi" w:hAnsiTheme="majorBidi" w:cstheme="majorBidi"/>
          <w:lang w:val="en-US"/>
        </w:rPr>
        <w:t xml:space="preserve"> Finally, due to Israel</w:t>
      </w:r>
      <w:r w:rsidR="001F533D" w:rsidRPr="006E64B5">
        <w:rPr>
          <w:rFonts w:asciiTheme="majorBidi" w:hAnsiTheme="majorBidi" w:cstheme="majorBidi"/>
          <w:lang w:val="en-US"/>
        </w:rPr>
        <w:t>’</w:t>
      </w:r>
      <w:r w:rsidR="004B2753" w:rsidRPr="006E64B5">
        <w:rPr>
          <w:rFonts w:asciiTheme="majorBidi" w:hAnsiTheme="majorBidi" w:cstheme="majorBidi"/>
          <w:lang w:val="en-US"/>
        </w:rPr>
        <w:t xml:space="preserve">s geopolitical isolation in the Middle East, the Western European powers became important allies. In addition to political and economic aspects, these relations were also highly relevant in cultural terms, </w:t>
      </w:r>
      <w:proofErr w:type="gramStart"/>
      <w:r w:rsidR="004B2753" w:rsidRPr="006E64B5">
        <w:rPr>
          <w:rFonts w:asciiTheme="majorBidi" w:hAnsiTheme="majorBidi" w:cstheme="majorBidi"/>
          <w:lang w:val="en-US"/>
        </w:rPr>
        <w:t>all the more</w:t>
      </w:r>
      <w:proofErr w:type="gramEnd"/>
      <w:r w:rsidR="004B2753" w:rsidRPr="006E64B5">
        <w:rPr>
          <w:rFonts w:asciiTheme="majorBidi" w:hAnsiTheme="majorBidi" w:cstheme="majorBidi"/>
          <w:lang w:val="en-US"/>
        </w:rPr>
        <w:t xml:space="preserve"> so as questions of geo-cultural belonging and the state</w:t>
      </w:r>
      <w:r w:rsidR="008073A1" w:rsidRPr="006E64B5">
        <w:rPr>
          <w:rFonts w:asciiTheme="majorBidi" w:hAnsiTheme="majorBidi" w:cstheme="majorBidi"/>
          <w:lang w:val="en-US"/>
        </w:rPr>
        <w:t>’</w:t>
      </w:r>
      <w:r w:rsidR="004B2753" w:rsidRPr="006E64B5">
        <w:rPr>
          <w:rFonts w:asciiTheme="majorBidi" w:hAnsiTheme="majorBidi" w:cstheme="majorBidi"/>
          <w:lang w:val="en-US"/>
        </w:rPr>
        <w:t>s imagined European identity quickly became the focus of public debate.</w:t>
      </w:r>
      <w:r w:rsidR="001F0581" w:rsidRPr="006E64B5">
        <w:rPr>
          <w:rFonts w:asciiTheme="majorBidi" w:hAnsiTheme="majorBidi" w:cstheme="majorBidi"/>
          <w:lang w:val="en-US"/>
        </w:rPr>
        <w:t xml:space="preserve"> </w:t>
      </w:r>
      <w:r w:rsidR="00F12077" w:rsidRPr="00F12077">
        <w:rPr>
          <w:rFonts w:asciiTheme="majorBidi" w:hAnsiTheme="majorBidi" w:cstheme="majorBidi"/>
          <w:lang w:val="en-US"/>
        </w:rPr>
        <w:t>These factors continued to influence Israeli society and the state even after the United States became Israel</w:t>
      </w:r>
      <w:r w:rsidR="0041127C">
        <w:rPr>
          <w:rFonts w:asciiTheme="majorBidi" w:hAnsiTheme="majorBidi" w:cstheme="majorBidi"/>
          <w:lang w:val="en-US"/>
        </w:rPr>
        <w:t>’</w:t>
      </w:r>
      <w:r w:rsidR="00F12077" w:rsidRPr="00F12077">
        <w:rPr>
          <w:rFonts w:asciiTheme="majorBidi" w:hAnsiTheme="majorBidi" w:cstheme="majorBidi"/>
          <w:lang w:val="en-US"/>
        </w:rPr>
        <w:t>s primary political ally in the 1960s and 1970s, and the country underwent a process of Americanization on various levels, most notably in the cultural sphere</w:t>
      </w:r>
      <w:r w:rsidR="001F0581" w:rsidRPr="006E64B5">
        <w:rPr>
          <w:rFonts w:asciiTheme="majorBidi" w:hAnsiTheme="majorBidi" w:cstheme="majorBidi"/>
          <w:lang w:val="en-US"/>
        </w:rPr>
        <w:t xml:space="preserve">. </w:t>
      </w:r>
      <w:r w:rsidR="00430515" w:rsidRPr="006E64B5">
        <w:rPr>
          <w:rFonts w:asciiTheme="majorBidi" w:hAnsiTheme="majorBidi" w:cstheme="majorBidi"/>
          <w:lang w:val="en-US"/>
        </w:rPr>
        <w:t>Moreover, the memory of the Holocaust</w:t>
      </w:r>
      <w:r w:rsidR="00C4748E" w:rsidRPr="00C4748E">
        <w:rPr>
          <w:rFonts w:asciiTheme="majorBidi" w:hAnsiTheme="majorBidi" w:cstheme="majorBidi"/>
          <w:lang w:val="en-US"/>
        </w:rPr>
        <w:t xml:space="preserve"> became central to Jewish-Israeli </w:t>
      </w:r>
      <w:r w:rsidR="00C4748E">
        <w:rPr>
          <w:rFonts w:asciiTheme="majorBidi" w:hAnsiTheme="majorBidi" w:cstheme="majorBidi"/>
          <w:lang w:val="en-US"/>
        </w:rPr>
        <w:t>self-understanding</w:t>
      </w:r>
      <w:r w:rsidR="00C4748E" w:rsidRPr="00C4748E">
        <w:rPr>
          <w:rFonts w:asciiTheme="majorBidi" w:hAnsiTheme="majorBidi" w:cstheme="majorBidi"/>
          <w:lang w:val="en-US"/>
        </w:rPr>
        <w:t>, reinforcing Europe’s significance to Israel in the 20th century.</w:t>
      </w:r>
      <w:r w:rsidR="001F0581" w:rsidRPr="006E64B5">
        <w:rPr>
          <w:rFonts w:asciiTheme="majorBidi" w:hAnsiTheme="majorBidi" w:cstheme="majorBidi"/>
          <w:lang w:val="en-US"/>
        </w:rPr>
        <w:t xml:space="preserve"> </w:t>
      </w:r>
      <w:r w:rsidR="001B0E65" w:rsidRPr="006E64B5">
        <w:rPr>
          <w:rFonts w:asciiTheme="majorBidi" w:hAnsiTheme="majorBidi" w:cstheme="majorBidi"/>
          <w:lang w:val="en-US"/>
        </w:rPr>
        <w:t>Europe was thus in many ways of central importance to Israel in the second half of the 20th century.</w:t>
      </w:r>
    </w:p>
    <w:p w14:paraId="7FBFE98A" w14:textId="78F0CD72" w:rsidR="0015257C" w:rsidRPr="006E64B5" w:rsidRDefault="001577E6" w:rsidP="004C3357">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DE1FE5" w:rsidRPr="00DE1FE5">
        <w:rPr>
          <w:rFonts w:asciiTheme="majorBidi" w:hAnsiTheme="majorBidi" w:cstheme="majorBidi"/>
          <w:lang w:val="en-US"/>
        </w:rPr>
        <w:t xml:space="preserve">Given </w:t>
      </w:r>
      <w:r w:rsidR="00F2772B">
        <w:rPr>
          <w:rFonts w:asciiTheme="majorBidi" w:hAnsiTheme="majorBidi" w:cstheme="majorBidi"/>
          <w:lang w:val="en-US"/>
        </w:rPr>
        <w:t>this background</w:t>
      </w:r>
      <w:r w:rsidR="00DE1FE5" w:rsidRPr="00DE1FE5">
        <w:rPr>
          <w:rFonts w:asciiTheme="majorBidi" w:hAnsiTheme="majorBidi" w:cstheme="majorBidi"/>
          <w:lang w:val="en-US"/>
        </w:rPr>
        <w:t xml:space="preserve">, it is crucial to explore how these dynamics were reflected and debated within Israeli society. </w:t>
      </w:r>
      <w:proofErr w:type="gramStart"/>
      <w:r w:rsidR="00DE1FE5" w:rsidRPr="00DE1FE5">
        <w:rPr>
          <w:rFonts w:asciiTheme="majorBidi" w:hAnsiTheme="majorBidi" w:cstheme="majorBidi"/>
          <w:lang w:val="en-US"/>
        </w:rPr>
        <w:t>In particular, Israeli</w:t>
      </w:r>
      <w:proofErr w:type="gramEnd"/>
      <w:r w:rsidR="00DE1FE5" w:rsidRPr="00DE1FE5">
        <w:rPr>
          <w:rFonts w:asciiTheme="majorBidi" w:hAnsiTheme="majorBidi" w:cstheme="majorBidi"/>
          <w:lang w:val="en-US"/>
        </w:rPr>
        <w:t xml:space="preserve"> media played a pivotal role in shaping public perceptions of Europe, serving as a key forum where ideas about the continent were constructed, </w:t>
      </w:r>
      <w:r w:rsidR="00DE1FE5" w:rsidRPr="00DE1FE5">
        <w:rPr>
          <w:rFonts w:asciiTheme="majorBidi" w:hAnsiTheme="majorBidi" w:cstheme="majorBidi"/>
          <w:lang w:val="en-US"/>
        </w:rPr>
        <w:lastRenderedPageBreak/>
        <w:t>challenged, and redefined.</w:t>
      </w:r>
      <w:r w:rsidRPr="006E64B5">
        <w:rPr>
          <w:rFonts w:asciiTheme="majorBidi" w:hAnsiTheme="majorBidi" w:cstheme="majorBidi"/>
          <w:lang w:val="en-US"/>
        </w:rPr>
        <w:t xml:space="preserve"> </w:t>
      </w:r>
      <w:r w:rsidR="004C3357" w:rsidRPr="006E64B5">
        <w:rPr>
          <w:rFonts w:asciiTheme="majorBidi" w:hAnsiTheme="majorBidi" w:cstheme="majorBidi"/>
          <w:lang w:val="en-US"/>
        </w:rPr>
        <w:t>Such a project is situated within the broader body of literature that investigates how Europe is perceived, represented, and understood in different contexts; not as a geographical, political, or social reality, but as a subject that is constantly told and retold, described, invented, interpreted, and challenged through different narratives and discourses.</w:t>
      </w:r>
      <w:r w:rsidR="001F1C9A" w:rsidRPr="00CE25E2">
        <w:rPr>
          <w:rStyle w:val="FootnoteReference"/>
        </w:rPr>
        <w:footnoteReference w:id="17"/>
      </w:r>
      <w:r w:rsidR="004C3357" w:rsidRPr="006E64B5">
        <w:rPr>
          <w:rFonts w:asciiTheme="majorBidi" w:hAnsiTheme="majorBidi" w:cstheme="majorBidi"/>
          <w:lang w:val="en-US"/>
        </w:rPr>
        <w:t xml:space="preserve"> In this context, s</w:t>
      </w:r>
      <w:r w:rsidR="00742BFF" w:rsidRPr="006E64B5">
        <w:rPr>
          <w:rFonts w:asciiTheme="majorBidi" w:hAnsiTheme="majorBidi" w:cstheme="majorBidi"/>
          <w:lang w:val="en-US"/>
        </w:rPr>
        <w:t>cholars have increasingly questioned the Eurocentrism that has long been inscribed in narratives of the continent.</w:t>
      </w:r>
      <w:r w:rsidR="004C3357" w:rsidRPr="006E64B5">
        <w:rPr>
          <w:rFonts w:asciiTheme="majorBidi" w:hAnsiTheme="majorBidi" w:cstheme="majorBidi"/>
          <w:lang w:val="en-US"/>
        </w:rPr>
        <w:t xml:space="preserve"> </w:t>
      </w:r>
      <w:r w:rsidR="003531A2" w:rsidRPr="006E64B5">
        <w:rPr>
          <w:rFonts w:asciiTheme="majorBidi" w:hAnsiTheme="majorBidi" w:cstheme="majorBidi"/>
          <w:lang w:val="en-US"/>
        </w:rPr>
        <w:t>Critical scholarship</w:t>
      </w:r>
      <w:r w:rsidR="004C3357" w:rsidRPr="006E64B5">
        <w:rPr>
          <w:rFonts w:asciiTheme="majorBidi" w:hAnsiTheme="majorBidi" w:cstheme="majorBidi"/>
          <w:lang w:val="en-US"/>
        </w:rPr>
        <w:t xml:space="preserve">, as the literary scholar Shane Weller has noted, must begin by acknowledging </w:t>
      </w:r>
      <w:r w:rsidR="003531A2" w:rsidRPr="006E64B5">
        <w:rPr>
          <w:rFonts w:asciiTheme="majorBidi" w:hAnsiTheme="majorBidi" w:cstheme="majorBidi"/>
          <w:lang w:val="en-US"/>
        </w:rPr>
        <w:t>“</w:t>
      </w:r>
      <w:r w:rsidR="004C3357" w:rsidRPr="006E64B5">
        <w:rPr>
          <w:rFonts w:asciiTheme="majorBidi" w:hAnsiTheme="majorBidi" w:cstheme="majorBidi"/>
          <w:lang w:val="en-US"/>
        </w:rPr>
        <w:t>that the idea of Europe embraces both unity and diversity; both nationalism and internationalism; both republicanism and imperialism/colonialism; both democracy and totalitarianism (communism, Fascism, and Nazism); both human rights and genocide; both monolingualism and multilingualism; both tolerance and intolerance.</w:t>
      </w:r>
      <w:r w:rsidR="003531A2" w:rsidRPr="006E64B5">
        <w:rPr>
          <w:rFonts w:asciiTheme="majorBidi" w:hAnsiTheme="majorBidi" w:cstheme="majorBidi"/>
          <w:lang w:val="en-US"/>
        </w:rPr>
        <w:t>”</w:t>
      </w:r>
      <w:r w:rsidR="009968E9" w:rsidRPr="00CE25E2">
        <w:rPr>
          <w:rStyle w:val="FootnoteReference"/>
        </w:rPr>
        <w:footnoteReference w:id="18"/>
      </w:r>
      <w:r w:rsidR="009968E9" w:rsidRPr="006E64B5">
        <w:rPr>
          <w:rFonts w:asciiTheme="majorBidi" w:hAnsiTheme="majorBidi" w:cstheme="majorBidi"/>
          <w:lang w:val="en-US"/>
        </w:rPr>
        <w:t xml:space="preserve"> </w:t>
      </w:r>
    </w:p>
    <w:p w14:paraId="0E2E302C" w14:textId="5E3F5F9D" w:rsidR="00D9209C" w:rsidRDefault="009968E9" w:rsidP="009D49AE">
      <w:pPr>
        <w:spacing w:line="360" w:lineRule="auto"/>
        <w:ind w:firstLine="708"/>
        <w:jc w:val="both"/>
        <w:rPr>
          <w:rFonts w:asciiTheme="majorBidi" w:hAnsiTheme="majorBidi" w:cstheme="majorBidi"/>
          <w:lang w:val="en-US"/>
        </w:rPr>
      </w:pPr>
      <w:r w:rsidRPr="006E64B5">
        <w:rPr>
          <w:rFonts w:asciiTheme="majorBidi" w:hAnsiTheme="majorBidi" w:cstheme="majorBidi"/>
          <w:lang w:val="en-US"/>
        </w:rPr>
        <w:t xml:space="preserve">From the perspective of Israeli Jews, the dual character of Europe is readily apparent. “It is very easy to be seduced by the side of Europe that consists of democratization and humanism,” Israeli journalist Ben-Dror Yemini </w:t>
      </w:r>
      <w:r w:rsidR="00C54EF2" w:rsidRPr="006E64B5">
        <w:rPr>
          <w:rFonts w:asciiTheme="majorBidi" w:hAnsiTheme="majorBidi" w:cstheme="majorBidi"/>
          <w:lang w:val="en-US"/>
        </w:rPr>
        <w:t>noted</w:t>
      </w:r>
      <w:r w:rsidRPr="006E64B5">
        <w:rPr>
          <w:rFonts w:asciiTheme="majorBidi" w:hAnsiTheme="majorBidi" w:cstheme="majorBidi"/>
          <w:lang w:val="en-US"/>
        </w:rPr>
        <w:t xml:space="preserve"> in 1989. “But it always, always goes hand in hand with the ugly, threatening side of nationalism and anti</w:t>
      </w:r>
      <w:r w:rsidR="00D716C2" w:rsidRPr="006E64B5">
        <w:rPr>
          <w:rFonts w:asciiTheme="majorBidi" w:hAnsiTheme="majorBidi" w:cstheme="majorBidi"/>
          <w:lang w:val="en-US"/>
        </w:rPr>
        <w:t>s</w:t>
      </w:r>
      <w:r w:rsidRPr="006E64B5">
        <w:rPr>
          <w:rFonts w:asciiTheme="majorBidi" w:hAnsiTheme="majorBidi" w:cstheme="majorBidi"/>
          <w:lang w:val="en-US"/>
        </w:rPr>
        <w:t>emitism.”</w:t>
      </w:r>
      <w:r w:rsidR="0015257C" w:rsidRPr="00CE25E2">
        <w:rPr>
          <w:rStyle w:val="FootnoteReference"/>
        </w:rPr>
        <w:footnoteReference w:id="19"/>
      </w:r>
      <w:r w:rsidR="0015257C" w:rsidRPr="006E64B5">
        <w:rPr>
          <w:rFonts w:asciiTheme="majorBidi" w:hAnsiTheme="majorBidi" w:cstheme="majorBidi"/>
          <w:lang w:val="en-US"/>
        </w:rPr>
        <w:t xml:space="preserve"> For Jews, Europe was both “glorious” and “accursed,” as Yehuda </w:t>
      </w:r>
      <w:proofErr w:type="spellStart"/>
      <w:r w:rsidR="0015257C" w:rsidRPr="006E64B5">
        <w:rPr>
          <w:rFonts w:asciiTheme="majorBidi" w:hAnsiTheme="majorBidi" w:cstheme="majorBidi"/>
          <w:lang w:val="en-US"/>
        </w:rPr>
        <w:t>Reinharz</w:t>
      </w:r>
      <w:proofErr w:type="spellEnd"/>
      <w:r w:rsidR="0015257C" w:rsidRPr="006E64B5">
        <w:rPr>
          <w:rFonts w:asciiTheme="majorBidi" w:hAnsiTheme="majorBidi" w:cstheme="majorBidi"/>
          <w:lang w:val="en-US"/>
        </w:rPr>
        <w:t xml:space="preserve"> and Yaakov Shavit have pointed out</w:t>
      </w:r>
      <w:r w:rsidR="003A5AB1">
        <w:rPr>
          <w:rFonts w:asciiTheme="majorBidi" w:hAnsiTheme="majorBidi" w:cstheme="majorBidi"/>
          <w:lang w:val="en-US"/>
        </w:rPr>
        <w:t>,</w:t>
      </w:r>
      <w:r w:rsidR="0015257C" w:rsidRPr="00CE25E2">
        <w:rPr>
          <w:rStyle w:val="FootnoteReference"/>
        </w:rPr>
        <w:footnoteReference w:id="20"/>
      </w:r>
      <w:r w:rsidR="003A5AB1">
        <w:rPr>
          <w:rFonts w:asciiTheme="majorBidi" w:hAnsiTheme="majorBidi" w:cstheme="majorBidi"/>
          <w:lang w:val="en-US"/>
        </w:rPr>
        <w:t xml:space="preserve"> a “wonderful, murderous continent,” in the words of Amos Oz.</w:t>
      </w:r>
      <w:r w:rsidR="003A5AB1" w:rsidRPr="00CE25E2">
        <w:rPr>
          <w:rStyle w:val="FootnoteReference"/>
        </w:rPr>
        <w:footnoteReference w:id="21"/>
      </w:r>
      <w:r w:rsidR="0015257C" w:rsidRPr="006E64B5">
        <w:rPr>
          <w:rFonts w:asciiTheme="majorBidi" w:hAnsiTheme="majorBidi" w:cstheme="majorBidi"/>
          <w:lang w:val="en-US"/>
        </w:rPr>
        <w:t xml:space="preserve"> </w:t>
      </w:r>
      <w:r w:rsidR="00C90BDF" w:rsidRPr="006E64B5">
        <w:rPr>
          <w:rFonts w:asciiTheme="majorBidi" w:hAnsiTheme="majorBidi" w:cstheme="majorBidi"/>
          <w:lang w:val="en-US"/>
        </w:rPr>
        <w:t>Such a</w:t>
      </w:r>
      <w:r w:rsidR="00D27106" w:rsidRPr="006E64B5">
        <w:rPr>
          <w:rFonts w:asciiTheme="majorBidi" w:hAnsiTheme="majorBidi" w:cstheme="majorBidi"/>
          <w:lang w:val="en-US"/>
        </w:rPr>
        <w:t xml:space="preserve"> </w:t>
      </w:r>
      <w:r w:rsidR="00BC06A2">
        <w:rPr>
          <w:rFonts w:asciiTheme="majorBidi" w:hAnsiTheme="majorBidi" w:cstheme="majorBidi"/>
          <w:lang w:val="en-US"/>
        </w:rPr>
        <w:t>juxtaposition</w:t>
      </w:r>
      <w:r w:rsidR="00D27106" w:rsidRPr="006E64B5">
        <w:rPr>
          <w:rFonts w:asciiTheme="majorBidi" w:hAnsiTheme="majorBidi" w:cstheme="majorBidi"/>
          <w:lang w:val="en-US"/>
        </w:rPr>
        <w:t xml:space="preserve"> presents a stark dichotomy between an unrestrained admiration and appropriation of </w:t>
      </w:r>
      <w:r w:rsidR="006B700C">
        <w:rPr>
          <w:rFonts w:asciiTheme="majorBidi" w:hAnsiTheme="majorBidi" w:cstheme="majorBidi"/>
          <w:lang w:val="en-US"/>
        </w:rPr>
        <w:t xml:space="preserve">an emancipatory political </w:t>
      </w:r>
      <w:r w:rsidR="00D27106" w:rsidRPr="006E64B5">
        <w:rPr>
          <w:rFonts w:asciiTheme="majorBidi" w:hAnsiTheme="majorBidi" w:cstheme="majorBidi"/>
          <w:lang w:val="en-US"/>
        </w:rPr>
        <w:t xml:space="preserve">culture and technological progress on the one hand, and the experience of exclusion, hatred, and mass murder on the other. Yet the continent and its meaning are far more diverse than such </w:t>
      </w:r>
      <w:r w:rsidR="00746FE0" w:rsidRPr="006E64B5">
        <w:rPr>
          <w:rFonts w:asciiTheme="majorBidi" w:hAnsiTheme="majorBidi" w:cstheme="majorBidi"/>
          <w:lang w:val="en-US"/>
        </w:rPr>
        <w:t>a binary</w:t>
      </w:r>
      <w:r w:rsidR="00D27106" w:rsidRPr="006E64B5">
        <w:rPr>
          <w:rFonts w:asciiTheme="majorBidi" w:hAnsiTheme="majorBidi" w:cstheme="majorBidi"/>
          <w:lang w:val="en-US"/>
        </w:rPr>
        <w:t xml:space="preserve"> suggest</w:t>
      </w:r>
      <w:r w:rsidR="00746FE0" w:rsidRPr="006E64B5">
        <w:rPr>
          <w:rFonts w:asciiTheme="majorBidi" w:hAnsiTheme="majorBidi" w:cstheme="majorBidi"/>
          <w:lang w:val="en-US"/>
        </w:rPr>
        <w:t>s</w:t>
      </w:r>
      <w:r w:rsidR="00D27106" w:rsidRPr="006E64B5">
        <w:rPr>
          <w:rFonts w:asciiTheme="majorBidi" w:hAnsiTheme="majorBidi" w:cstheme="majorBidi"/>
          <w:lang w:val="en-US"/>
        </w:rPr>
        <w:t xml:space="preserve">. </w:t>
      </w:r>
      <w:r w:rsidR="006B15A8" w:rsidRPr="006E64B5">
        <w:rPr>
          <w:rFonts w:asciiTheme="majorBidi" w:hAnsiTheme="majorBidi" w:cstheme="majorBidi"/>
          <w:lang w:val="en-US"/>
        </w:rPr>
        <w:t>And while there have certainly been periods when more sympathetic views of Europe prevailed, and others when the continent appeared to Israelis in a much more adverse light</w:t>
      </w:r>
      <w:r w:rsidR="009D49AE" w:rsidRPr="006E64B5">
        <w:rPr>
          <w:rFonts w:asciiTheme="majorBidi" w:hAnsiTheme="majorBidi" w:cstheme="majorBidi"/>
          <w:lang w:val="en-US"/>
        </w:rPr>
        <w:t>, pointing to such tendencies alone is not sufficient.</w:t>
      </w:r>
    </w:p>
    <w:p w14:paraId="5BDF198D" w14:textId="24AA81C0" w:rsidR="00D9209C" w:rsidRDefault="00D9209C" w:rsidP="009D49AE">
      <w:pPr>
        <w:spacing w:line="360" w:lineRule="auto"/>
        <w:ind w:firstLine="708"/>
        <w:jc w:val="both"/>
        <w:rPr>
          <w:rFonts w:asciiTheme="majorBidi" w:hAnsiTheme="majorBidi" w:cstheme="majorBidi"/>
          <w:lang w:val="en-US"/>
        </w:rPr>
      </w:pPr>
      <w:r>
        <w:rPr>
          <w:rFonts w:asciiTheme="majorBidi" w:hAnsiTheme="majorBidi" w:cstheme="majorBidi"/>
          <w:lang w:val="en-US"/>
        </w:rPr>
        <w:t>What is more, when discussin</w:t>
      </w:r>
      <w:r w:rsidR="004043B2">
        <w:rPr>
          <w:rFonts w:asciiTheme="majorBidi" w:hAnsiTheme="majorBidi" w:cstheme="majorBidi"/>
          <w:lang w:val="en-US"/>
        </w:rPr>
        <w:t>g</w:t>
      </w:r>
      <w:r>
        <w:rPr>
          <w:rFonts w:asciiTheme="majorBidi" w:hAnsiTheme="majorBidi" w:cstheme="majorBidi"/>
          <w:lang w:val="en-US"/>
        </w:rPr>
        <w:t xml:space="preserve"> Europe</w:t>
      </w:r>
      <w:r w:rsidRPr="006E64B5">
        <w:rPr>
          <w:rFonts w:asciiTheme="majorBidi" w:hAnsiTheme="majorBidi" w:cstheme="majorBidi"/>
          <w:lang w:val="en-US"/>
        </w:rPr>
        <w:t xml:space="preserve">, Israelis consistently </w:t>
      </w:r>
      <w:r>
        <w:rPr>
          <w:rFonts w:asciiTheme="majorBidi" w:hAnsiTheme="majorBidi" w:cstheme="majorBidi"/>
          <w:lang w:val="en-US"/>
        </w:rPr>
        <w:t>also debated their</w:t>
      </w:r>
      <w:r w:rsidRPr="006E64B5">
        <w:rPr>
          <w:rFonts w:asciiTheme="majorBidi" w:hAnsiTheme="majorBidi" w:cstheme="majorBidi"/>
          <w:lang w:val="en-US"/>
        </w:rPr>
        <w:t xml:space="preserve"> own society. The perception of the continent was of central importance to their self-image and served as a crucial reference point for the formation and development of the Jewish nation state and its </w:t>
      </w:r>
      <w:r w:rsidRPr="006E64B5">
        <w:rPr>
          <w:rFonts w:asciiTheme="majorBidi" w:hAnsiTheme="majorBidi" w:cstheme="majorBidi"/>
          <w:lang w:val="en-US"/>
        </w:rPr>
        <w:lastRenderedPageBreak/>
        <w:t xml:space="preserve">society. </w:t>
      </w:r>
      <w:r w:rsidRPr="006B700C">
        <w:rPr>
          <w:rFonts w:asciiTheme="majorBidi" w:hAnsiTheme="majorBidi" w:cstheme="majorBidi"/>
          <w:lang w:val="en-US"/>
        </w:rPr>
        <w:t>This was not merely about adopting</w:t>
      </w:r>
      <w:r w:rsidR="006B700C" w:rsidRPr="006B700C">
        <w:rPr>
          <w:rFonts w:asciiTheme="majorBidi" w:hAnsiTheme="majorBidi" w:cstheme="majorBidi"/>
          <w:lang w:val="en-US"/>
        </w:rPr>
        <w:t xml:space="preserve"> specific political, economic or cultural aspects and developments</w:t>
      </w:r>
      <w:r w:rsidRPr="006B700C">
        <w:rPr>
          <w:rFonts w:asciiTheme="majorBidi" w:hAnsiTheme="majorBidi" w:cstheme="majorBidi"/>
          <w:lang w:val="en-US"/>
        </w:rPr>
        <w:t>;</w:t>
      </w:r>
      <w:r w:rsidRPr="006E64B5">
        <w:rPr>
          <w:rFonts w:asciiTheme="majorBidi" w:hAnsiTheme="majorBidi" w:cstheme="majorBidi"/>
          <w:lang w:val="en-US"/>
        </w:rPr>
        <w:t xml:space="preserve"> it also involved a process of differentiation from and friction with Europe, both the concrete European powers and institutions, as well as the ideals </w:t>
      </w:r>
      <w:r w:rsidR="006B700C">
        <w:rPr>
          <w:rFonts w:asciiTheme="majorBidi" w:hAnsiTheme="majorBidi" w:cstheme="majorBidi"/>
          <w:lang w:val="en-US"/>
        </w:rPr>
        <w:t xml:space="preserve">the Israeli public </w:t>
      </w:r>
      <w:r w:rsidRPr="006E64B5">
        <w:rPr>
          <w:rFonts w:asciiTheme="majorBidi" w:hAnsiTheme="majorBidi" w:cstheme="majorBidi"/>
          <w:lang w:val="en-US"/>
        </w:rPr>
        <w:t xml:space="preserve">associated with the continent. Moreover, this entailed struggles over the </w:t>
      </w:r>
      <w:proofErr w:type="spellStart"/>
      <w:r w:rsidRPr="006E64B5">
        <w:rPr>
          <w:rFonts w:asciiTheme="majorBidi" w:hAnsiTheme="majorBidi" w:cstheme="majorBidi"/>
          <w:lang w:val="en-US"/>
        </w:rPr>
        <w:t>geocultural</w:t>
      </w:r>
      <w:proofErr w:type="spellEnd"/>
      <w:r w:rsidRPr="006E64B5">
        <w:rPr>
          <w:rFonts w:asciiTheme="majorBidi" w:hAnsiTheme="majorBidi" w:cstheme="majorBidi"/>
          <w:lang w:val="en-US"/>
        </w:rPr>
        <w:t xml:space="preserve"> orientation of the</w:t>
      </w:r>
      <w:r w:rsidR="003A299A">
        <w:rPr>
          <w:rFonts w:asciiTheme="majorBidi" w:hAnsiTheme="majorBidi" w:cstheme="majorBidi"/>
          <w:lang w:val="en-US"/>
        </w:rPr>
        <w:t xml:space="preserve"> Jewish</w:t>
      </w:r>
      <w:r w:rsidRPr="006E64B5">
        <w:rPr>
          <w:rFonts w:asciiTheme="majorBidi" w:hAnsiTheme="majorBidi" w:cstheme="majorBidi"/>
          <w:lang w:val="en-US"/>
        </w:rPr>
        <w:t xml:space="preserve"> state and the fabric of </w:t>
      </w:r>
      <w:r w:rsidR="003A299A">
        <w:rPr>
          <w:rFonts w:asciiTheme="majorBidi" w:hAnsiTheme="majorBidi" w:cstheme="majorBidi"/>
          <w:lang w:val="en-US"/>
        </w:rPr>
        <w:t xml:space="preserve">its </w:t>
      </w:r>
      <w:r w:rsidRPr="006E64B5">
        <w:rPr>
          <w:rFonts w:asciiTheme="majorBidi" w:hAnsiTheme="majorBidi" w:cstheme="majorBidi"/>
          <w:lang w:val="en-US"/>
        </w:rPr>
        <w:t>society.</w:t>
      </w:r>
    </w:p>
    <w:p w14:paraId="6EC20177" w14:textId="2A047989" w:rsidR="00D860BA" w:rsidRPr="006E64B5" w:rsidRDefault="000E2961" w:rsidP="008742B3">
      <w:pPr>
        <w:spacing w:line="360" w:lineRule="auto"/>
        <w:ind w:firstLine="708"/>
        <w:jc w:val="both"/>
        <w:rPr>
          <w:rFonts w:asciiTheme="majorBidi" w:hAnsiTheme="majorBidi" w:cstheme="majorBidi"/>
          <w:lang w:val="en-US"/>
        </w:rPr>
      </w:pPr>
      <w:proofErr w:type="gramStart"/>
      <w:r>
        <w:rPr>
          <w:rFonts w:asciiTheme="majorBidi" w:hAnsiTheme="majorBidi" w:cstheme="majorBidi"/>
          <w:lang w:val="en-US"/>
        </w:rPr>
        <w:t>In light of</w:t>
      </w:r>
      <w:proofErr w:type="gramEnd"/>
      <w:r>
        <w:rPr>
          <w:rFonts w:asciiTheme="majorBidi" w:hAnsiTheme="majorBidi" w:cstheme="majorBidi"/>
          <w:lang w:val="en-US"/>
        </w:rPr>
        <w:t xml:space="preserve"> this, </w:t>
      </w:r>
      <w:r w:rsidRPr="000E2961">
        <w:rPr>
          <w:rFonts w:asciiTheme="majorBidi" w:hAnsiTheme="majorBidi" w:cstheme="majorBidi"/>
          <w:i/>
          <w:lang w:val="en-US"/>
        </w:rPr>
        <w:t>Europe Through Israeli Eyes</w:t>
      </w:r>
      <w:r>
        <w:rPr>
          <w:rFonts w:asciiTheme="majorBidi" w:hAnsiTheme="majorBidi" w:cstheme="majorBidi"/>
          <w:lang w:val="en-US"/>
        </w:rPr>
        <w:t xml:space="preserve"> holds that while </w:t>
      </w:r>
      <w:r w:rsidR="00FF3E4A">
        <w:rPr>
          <w:rFonts w:asciiTheme="majorBidi" w:hAnsiTheme="majorBidi" w:cstheme="majorBidi"/>
          <w:lang w:val="en-US"/>
        </w:rPr>
        <w:t xml:space="preserve">both Israel and Europe, as well as </w:t>
      </w:r>
      <w:r>
        <w:rPr>
          <w:rFonts w:asciiTheme="majorBidi" w:hAnsiTheme="majorBidi" w:cstheme="majorBidi"/>
          <w:lang w:val="en-US"/>
        </w:rPr>
        <w:t xml:space="preserve">the perception of the continent </w:t>
      </w:r>
      <w:r w:rsidR="00FF3E4A">
        <w:rPr>
          <w:rFonts w:asciiTheme="majorBidi" w:hAnsiTheme="majorBidi" w:cstheme="majorBidi"/>
          <w:lang w:val="en-US"/>
        </w:rPr>
        <w:t>in Israeli media</w:t>
      </w:r>
      <w:r w:rsidR="005D020C">
        <w:rPr>
          <w:rFonts w:asciiTheme="majorBidi" w:hAnsiTheme="majorBidi" w:cstheme="majorBidi"/>
          <w:lang w:val="en-US"/>
        </w:rPr>
        <w:t>,</w:t>
      </w:r>
      <w:r w:rsidR="00FF3E4A">
        <w:rPr>
          <w:rFonts w:asciiTheme="majorBidi" w:hAnsiTheme="majorBidi" w:cstheme="majorBidi"/>
          <w:lang w:val="en-US"/>
        </w:rPr>
        <w:t xml:space="preserve"> </w:t>
      </w:r>
      <w:r>
        <w:rPr>
          <w:rFonts w:asciiTheme="majorBidi" w:hAnsiTheme="majorBidi" w:cstheme="majorBidi"/>
          <w:lang w:val="en-US"/>
        </w:rPr>
        <w:t xml:space="preserve">underwent </w:t>
      </w:r>
      <w:r w:rsidR="00C17422">
        <w:rPr>
          <w:rFonts w:asciiTheme="majorBidi" w:hAnsiTheme="majorBidi" w:cstheme="majorBidi"/>
          <w:lang w:val="en-US"/>
        </w:rPr>
        <w:t>great</w:t>
      </w:r>
      <w:r>
        <w:rPr>
          <w:rFonts w:asciiTheme="majorBidi" w:hAnsiTheme="majorBidi" w:cstheme="majorBidi"/>
          <w:lang w:val="en-US"/>
        </w:rPr>
        <w:t xml:space="preserve"> changes during the second half of the 20</w:t>
      </w:r>
      <w:r w:rsidRPr="000E2961">
        <w:rPr>
          <w:rFonts w:asciiTheme="majorBidi" w:hAnsiTheme="majorBidi" w:cstheme="majorBidi"/>
          <w:vertAlign w:val="superscript"/>
          <w:lang w:val="en-US"/>
        </w:rPr>
        <w:t>th</w:t>
      </w:r>
      <w:r>
        <w:rPr>
          <w:rFonts w:asciiTheme="majorBidi" w:hAnsiTheme="majorBidi" w:cstheme="majorBidi"/>
          <w:lang w:val="en-US"/>
        </w:rPr>
        <w:t xml:space="preserve"> century, </w:t>
      </w:r>
      <w:r w:rsidR="005B63F7">
        <w:rPr>
          <w:rFonts w:asciiTheme="majorBidi" w:hAnsiTheme="majorBidi" w:cstheme="majorBidi"/>
          <w:lang w:val="en-US"/>
        </w:rPr>
        <w:t>the continent</w:t>
      </w:r>
      <w:r>
        <w:rPr>
          <w:rFonts w:asciiTheme="majorBidi" w:hAnsiTheme="majorBidi" w:cstheme="majorBidi"/>
          <w:lang w:val="en-US"/>
        </w:rPr>
        <w:t xml:space="preserve"> remained </w:t>
      </w:r>
      <w:r w:rsidR="00614D64">
        <w:rPr>
          <w:rFonts w:asciiTheme="majorBidi" w:hAnsiTheme="majorBidi" w:cstheme="majorBidi"/>
          <w:lang w:val="en-US"/>
        </w:rPr>
        <w:t xml:space="preserve">on many levels </w:t>
      </w:r>
      <w:r>
        <w:rPr>
          <w:rFonts w:asciiTheme="majorBidi" w:hAnsiTheme="majorBidi" w:cstheme="majorBidi"/>
          <w:lang w:val="en-US"/>
        </w:rPr>
        <w:t xml:space="preserve">of central significance to Israelis throughout whole period. </w:t>
      </w:r>
      <w:r w:rsidR="00006A2C" w:rsidRPr="00006A2C">
        <w:rPr>
          <w:rFonts w:asciiTheme="majorBidi" w:hAnsiTheme="majorBidi" w:cstheme="majorBidi"/>
          <w:lang w:val="en-US"/>
        </w:rPr>
        <w:t xml:space="preserve">This study does not merely document shifts in Israeli perceptions of Europe; it delves into the complex and often contradictory ways that Israeli Jews engaged with </w:t>
      </w:r>
      <w:r w:rsidR="00006A2C">
        <w:rPr>
          <w:rFonts w:asciiTheme="majorBidi" w:hAnsiTheme="majorBidi" w:cstheme="majorBidi"/>
          <w:lang w:val="en-US"/>
        </w:rPr>
        <w:t>the continent</w:t>
      </w:r>
      <w:r w:rsidR="0015257C" w:rsidRPr="006E64B5">
        <w:rPr>
          <w:rFonts w:asciiTheme="majorBidi" w:hAnsiTheme="majorBidi" w:cstheme="majorBidi"/>
          <w:lang w:val="en-US"/>
        </w:rPr>
        <w:t>, arguing that for Israeli Jews, Europe took on a profoundly Janus-faced character, in which its positive and negative dimensions remained intimately intertwined, dynamically and reciprocally influencing and shaping the Jewish Israeli gaze.</w:t>
      </w:r>
      <w:r w:rsidR="008742B3">
        <w:rPr>
          <w:rFonts w:asciiTheme="majorBidi" w:hAnsiTheme="majorBidi" w:cstheme="majorBidi"/>
          <w:lang w:val="en-US"/>
        </w:rPr>
        <w:t xml:space="preserve"> </w:t>
      </w:r>
      <w:r w:rsidR="00D3250A" w:rsidRPr="006E64B5">
        <w:rPr>
          <w:rFonts w:asciiTheme="majorBidi" w:hAnsiTheme="majorBidi" w:cstheme="majorBidi"/>
          <w:lang w:val="en-US"/>
        </w:rPr>
        <w:t xml:space="preserve">Consequently, the study offers insights into both </w:t>
      </w:r>
      <w:r w:rsidR="00E962E0">
        <w:rPr>
          <w:rFonts w:asciiTheme="majorBidi" w:hAnsiTheme="majorBidi" w:cstheme="majorBidi"/>
          <w:lang w:val="en-US"/>
        </w:rPr>
        <w:t>Israeli</w:t>
      </w:r>
      <w:r w:rsidR="00B97DC7">
        <w:rPr>
          <w:rFonts w:asciiTheme="majorBidi" w:hAnsiTheme="majorBidi" w:cstheme="majorBidi"/>
          <w:lang w:val="en-US"/>
        </w:rPr>
        <w:t xml:space="preserve"> discourse</w:t>
      </w:r>
      <w:r w:rsidR="00CB680D">
        <w:rPr>
          <w:rFonts w:asciiTheme="majorBidi" w:hAnsiTheme="majorBidi" w:cstheme="majorBidi"/>
          <w:lang w:val="en-US"/>
        </w:rPr>
        <w:t xml:space="preserve"> </w:t>
      </w:r>
      <w:r w:rsidR="00D3250A" w:rsidRPr="006E64B5">
        <w:rPr>
          <w:rFonts w:asciiTheme="majorBidi" w:hAnsiTheme="majorBidi" w:cstheme="majorBidi"/>
          <w:lang w:val="en-US"/>
        </w:rPr>
        <w:t>o</w:t>
      </w:r>
      <w:r w:rsidR="00B97DC7">
        <w:rPr>
          <w:rFonts w:asciiTheme="majorBidi" w:hAnsiTheme="majorBidi" w:cstheme="majorBidi"/>
          <w:lang w:val="en-US"/>
        </w:rPr>
        <w:t>n</w:t>
      </w:r>
      <w:r w:rsidR="00D3250A" w:rsidRPr="006E64B5">
        <w:rPr>
          <w:rFonts w:asciiTheme="majorBidi" w:hAnsiTheme="majorBidi" w:cstheme="majorBidi"/>
          <w:lang w:val="en-US"/>
        </w:rPr>
        <w:t xml:space="preserve"> Europe and the related internal societal debates and processes.</w:t>
      </w:r>
    </w:p>
    <w:p w14:paraId="1AA241E2" w14:textId="08DD8B8C" w:rsidR="001D56A7" w:rsidRPr="006E64B5" w:rsidRDefault="00AC5407" w:rsidP="0015257C">
      <w:pPr>
        <w:spacing w:line="360" w:lineRule="auto"/>
        <w:ind w:firstLine="708"/>
        <w:jc w:val="both"/>
        <w:rPr>
          <w:rFonts w:asciiTheme="majorBidi" w:hAnsiTheme="majorBidi" w:cstheme="majorBidi"/>
          <w:lang w:val="en-US"/>
        </w:rPr>
      </w:pPr>
      <w:r>
        <w:rPr>
          <w:rFonts w:asciiTheme="majorBidi" w:hAnsiTheme="majorBidi" w:cstheme="majorBidi"/>
          <w:lang w:val="en-US"/>
        </w:rPr>
        <w:t>I</w:t>
      </w:r>
      <w:r w:rsidRPr="00AC5407">
        <w:rPr>
          <w:rFonts w:asciiTheme="majorBidi" w:hAnsiTheme="majorBidi" w:cstheme="majorBidi"/>
          <w:lang w:val="en-US"/>
        </w:rPr>
        <w:t xml:space="preserve">n addition to </w:t>
      </w:r>
      <w:r w:rsidR="00EA60B5">
        <w:rPr>
          <w:rFonts w:asciiTheme="majorBidi" w:hAnsiTheme="majorBidi" w:cstheme="majorBidi"/>
          <w:lang w:val="en-US"/>
        </w:rPr>
        <w:t>providing fresh perspectives on</w:t>
      </w:r>
      <w:r w:rsidRPr="00AC5407">
        <w:rPr>
          <w:rFonts w:asciiTheme="majorBidi" w:hAnsiTheme="majorBidi" w:cstheme="majorBidi"/>
          <w:lang w:val="en-US"/>
        </w:rPr>
        <w:t xml:space="preserve"> Israeli-European relations, this book contributes to the broader field of European studies</w:t>
      </w:r>
      <w:r>
        <w:rPr>
          <w:rFonts w:asciiTheme="majorBidi" w:hAnsiTheme="majorBidi" w:cstheme="majorBidi"/>
          <w:lang w:val="en-US"/>
        </w:rPr>
        <w:t xml:space="preserve">. </w:t>
      </w:r>
      <w:r w:rsidR="00431ED4" w:rsidRPr="00431ED4">
        <w:rPr>
          <w:rFonts w:asciiTheme="majorBidi" w:hAnsiTheme="majorBidi" w:cstheme="majorBidi"/>
          <w:lang w:val="en-US"/>
        </w:rPr>
        <w:t>Challenging long-inscribed Eurocentric narratives of the continent, scholars increasingly examine the view of Europe from its margins.</w:t>
      </w:r>
      <w:r w:rsidR="001D56A7" w:rsidRPr="00CE25E2">
        <w:rPr>
          <w:rStyle w:val="FootnoteReference"/>
        </w:rPr>
        <w:footnoteReference w:id="22"/>
      </w:r>
      <w:r w:rsidR="001D56A7" w:rsidRPr="006E64B5">
        <w:rPr>
          <w:rFonts w:asciiTheme="majorBidi" w:hAnsiTheme="majorBidi" w:cstheme="majorBidi"/>
          <w:lang w:val="en-US"/>
        </w:rPr>
        <w:t xml:space="preserve"> </w:t>
      </w:r>
      <w:r w:rsidR="00431ED4" w:rsidRPr="00431ED4">
        <w:rPr>
          <w:rFonts w:asciiTheme="majorBidi" w:hAnsiTheme="majorBidi" w:cstheme="majorBidi"/>
          <w:lang w:val="en-US"/>
        </w:rPr>
        <w:t>Conceptions of Europe, as most intriguingly and with such complexity and nuance demonstrated in the Israeli example in correlation with Asia, the Middle East, Asia more broadly, and the United States, are never formed in a vacuum. The book’s analysis of perspectives from Israel make</w:t>
      </w:r>
      <w:r w:rsidR="00431ED4">
        <w:rPr>
          <w:rFonts w:asciiTheme="majorBidi" w:hAnsiTheme="majorBidi" w:cstheme="majorBidi"/>
          <w:lang w:val="en-US"/>
        </w:rPr>
        <w:t>s</w:t>
      </w:r>
      <w:r w:rsidR="00431ED4" w:rsidRPr="00431ED4">
        <w:rPr>
          <w:rFonts w:asciiTheme="majorBidi" w:hAnsiTheme="majorBidi" w:cstheme="majorBidi"/>
          <w:lang w:val="en-US"/>
        </w:rPr>
        <w:t xml:space="preserve"> an innovative and distinctive contribution to these discussions.</w:t>
      </w:r>
      <w:r w:rsidR="001D56A7" w:rsidRPr="006E64B5">
        <w:rPr>
          <w:rFonts w:asciiTheme="majorBidi" w:hAnsiTheme="majorBidi" w:cstheme="majorBidi"/>
          <w:lang w:val="en-US"/>
        </w:rPr>
        <w:t xml:space="preserve"> This is </w:t>
      </w:r>
      <w:proofErr w:type="gramStart"/>
      <w:r w:rsidR="001D56A7" w:rsidRPr="006E64B5">
        <w:rPr>
          <w:rFonts w:asciiTheme="majorBidi" w:hAnsiTheme="majorBidi" w:cstheme="majorBidi"/>
          <w:lang w:val="en-US"/>
        </w:rPr>
        <w:t>all the more</w:t>
      </w:r>
      <w:proofErr w:type="gramEnd"/>
      <w:r w:rsidR="001D56A7" w:rsidRPr="006E64B5">
        <w:rPr>
          <w:rFonts w:asciiTheme="majorBidi" w:hAnsiTheme="majorBidi" w:cstheme="majorBidi"/>
          <w:lang w:val="en-US"/>
        </w:rPr>
        <w:t xml:space="preserve"> significant as the Jewish state has played a central role in debates on the continent</w:t>
      </w:r>
      <w:r w:rsidR="00AC460E">
        <w:rPr>
          <w:rFonts w:asciiTheme="majorBidi" w:hAnsiTheme="majorBidi" w:cstheme="majorBidi"/>
          <w:lang w:val="en-US"/>
        </w:rPr>
        <w:t xml:space="preserve"> itself</w:t>
      </w:r>
      <w:r w:rsidR="001D56A7" w:rsidRPr="006E64B5">
        <w:rPr>
          <w:rFonts w:asciiTheme="majorBidi" w:hAnsiTheme="majorBidi" w:cstheme="majorBidi"/>
          <w:lang w:val="en-US"/>
        </w:rPr>
        <w:t>, not least because of the important legacy of European-Jewish history and the European interest in security and stability in its immediate neighborhood.</w:t>
      </w:r>
    </w:p>
    <w:p w14:paraId="1DC45628" w14:textId="77777777" w:rsidR="00F70991" w:rsidRPr="006E64B5" w:rsidRDefault="00F70991" w:rsidP="00F70991">
      <w:pPr>
        <w:spacing w:line="360" w:lineRule="auto"/>
        <w:jc w:val="both"/>
        <w:rPr>
          <w:rFonts w:asciiTheme="majorBidi" w:hAnsiTheme="majorBidi" w:cstheme="majorBidi"/>
          <w:lang w:val="en-US"/>
        </w:rPr>
      </w:pPr>
    </w:p>
    <w:p w14:paraId="41403B39" w14:textId="41B975F5" w:rsidR="00F70991" w:rsidRPr="006E64B5" w:rsidRDefault="00F70991" w:rsidP="00F70991">
      <w:pPr>
        <w:spacing w:line="360" w:lineRule="auto"/>
        <w:jc w:val="both"/>
        <w:rPr>
          <w:rFonts w:asciiTheme="majorBidi" w:hAnsiTheme="majorBidi" w:cstheme="majorBidi"/>
          <w:b/>
          <w:lang w:val="en-US"/>
        </w:rPr>
      </w:pPr>
      <w:r w:rsidRPr="006E64B5">
        <w:rPr>
          <w:rFonts w:asciiTheme="majorBidi" w:hAnsiTheme="majorBidi" w:cstheme="majorBidi"/>
          <w:b/>
          <w:lang w:val="en-US"/>
        </w:rPr>
        <w:t>Which Europe?</w:t>
      </w:r>
    </w:p>
    <w:p w14:paraId="293BB541" w14:textId="2D331B19" w:rsidR="00F70991" w:rsidRPr="00B56BC7" w:rsidRDefault="00CF4A21" w:rsidP="00CF4A21">
      <w:pPr>
        <w:spacing w:line="360" w:lineRule="auto"/>
        <w:jc w:val="both"/>
        <w:rPr>
          <w:rFonts w:asciiTheme="majorBidi" w:hAnsiTheme="majorBidi" w:cstheme="majorBidi"/>
          <w:lang w:val="en-US"/>
        </w:rPr>
      </w:pPr>
      <w:r>
        <w:rPr>
          <w:rFonts w:asciiTheme="majorBidi" w:hAnsiTheme="majorBidi" w:cstheme="majorBidi" w:hint="cs"/>
          <w:rtl/>
          <w:lang w:val="en-US"/>
        </w:rPr>
        <w:t>ִ</w:t>
      </w:r>
      <w:r w:rsidR="00647362" w:rsidRPr="00647362">
        <w:rPr>
          <w:rFonts w:asciiTheme="majorBidi" w:hAnsiTheme="majorBidi" w:cstheme="majorBidi"/>
          <w:lang w:val="en-US"/>
        </w:rPr>
        <w:t xml:space="preserve">This book explores the narratives and discourses surrounding Europe, recognizing that these discussions were shaped by geopolitical realities, economic dependencies, and power dynamics </w:t>
      </w:r>
      <w:r w:rsidR="00647362" w:rsidRPr="00647362">
        <w:rPr>
          <w:rFonts w:asciiTheme="majorBidi" w:hAnsiTheme="majorBidi" w:cstheme="majorBidi"/>
          <w:lang w:val="en-US"/>
        </w:rPr>
        <w:lastRenderedPageBreak/>
        <w:t>rather than existing in isolation.</w:t>
      </w:r>
      <w:r w:rsidR="003B7820" w:rsidRPr="006E64B5">
        <w:rPr>
          <w:rFonts w:asciiTheme="majorBidi" w:hAnsiTheme="majorBidi" w:cstheme="majorBidi"/>
          <w:lang w:val="en-US"/>
        </w:rPr>
        <w:t xml:space="preserve"> </w:t>
      </w:r>
      <w:r w:rsidR="00BE530B" w:rsidRPr="006E64B5">
        <w:rPr>
          <w:rFonts w:asciiTheme="majorBidi" w:hAnsiTheme="majorBidi" w:cstheme="majorBidi"/>
          <w:lang w:val="en-US"/>
        </w:rPr>
        <w:t xml:space="preserve">Moreover, </w:t>
      </w:r>
      <w:r w:rsidR="00647362" w:rsidRPr="00647362">
        <w:rPr>
          <w:rFonts w:asciiTheme="majorBidi" w:hAnsiTheme="majorBidi" w:cstheme="majorBidi"/>
          <w:lang w:val="en-US"/>
        </w:rPr>
        <w:t>Europe is not a fixed entity; its definition depends on specific interpretations and world views.</w:t>
      </w:r>
      <w:r w:rsidR="003B7820" w:rsidRPr="00CE25E2">
        <w:rPr>
          <w:rStyle w:val="FootnoteReference"/>
        </w:rPr>
        <w:footnoteReference w:id="23"/>
      </w:r>
      <w:r w:rsidR="00B56BC7">
        <w:rPr>
          <w:rFonts w:asciiTheme="majorBidi" w:hAnsiTheme="majorBidi" w:cstheme="majorBidi"/>
          <w:lang w:val="en-US"/>
        </w:rPr>
        <w:t xml:space="preserve"> </w:t>
      </w:r>
    </w:p>
    <w:p w14:paraId="7C4EB69E" w14:textId="708DDCB7" w:rsidR="00067F37" w:rsidRDefault="00ED060D" w:rsidP="00067F37">
      <w:pPr>
        <w:spacing w:line="360" w:lineRule="auto"/>
        <w:jc w:val="both"/>
        <w:rPr>
          <w:rFonts w:asciiTheme="majorBidi" w:hAnsiTheme="majorBidi" w:cstheme="majorBidi"/>
          <w:lang w:val="en-US"/>
        </w:rPr>
      </w:pPr>
      <w:r w:rsidRPr="00B56BC7">
        <w:rPr>
          <w:rFonts w:asciiTheme="majorBidi" w:hAnsiTheme="majorBidi" w:cstheme="majorBidi"/>
          <w:lang w:val="en-US"/>
        </w:rPr>
        <w:tab/>
      </w:r>
      <w:r w:rsidR="00BE4550">
        <w:rPr>
          <w:rFonts w:asciiTheme="majorBidi" w:hAnsiTheme="majorBidi" w:cstheme="majorBidi"/>
          <w:lang w:val="en-US"/>
        </w:rPr>
        <w:t>Therefore</w:t>
      </w:r>
      <w:r w:rsidR="005006B6" w:rsidRPr="006E64B5">
        <w:rPr>
          <w:rFonts w:asciiTheme="majorBidi" w:hAnsiTheme="majorBidi" w:cstheme="majorBidi"/>
          <w:lang w:val="en-US"/>
        </w:rPr>
        <w:t>, it is important to understand the political</w:t>
      </w:r>
      <w:r w:rsidR="00386D10">
        <w:rPr>
          <w:rFonts w:asciiTheme="majorBidi" w:hAnsiTheme="majorBidi" w:cstheme="majorBidi"/>
          <w:lang w:val="en-US"/>
        </w:rPr>
        <w:t>, economic and societal</w:t>
      </w:r>
      <w:r w:rsidR="005006B6" w:rsidRPr="006E64B5">
        <w:rPr>
          <w:rFonts w:asciiTheme="majorBidi" w:hAnsiTheme="majorBidi" w:cstheme="majorBidi"/>
          <w:lang w:val="en-US"/>
        </w:rPr>
        <w:t xml:space="preserve"> realities that shaped</w:t>
      </w:r>
      <w:r w:rsidR="00C2250B">
        <w:rPr>
          <w:rFonts w:asciiTheme="majorBidi" w:hAnsiTheme="majorBidi" w:cstheme="majorBidi"/>
          <w:lang w:val="en-US"/>
        </w:rPr>
        <w:t xml:space="preserve"> </w:t>
      </w:r>
      <w:r w:rsidR="005006B6" w:rsidRPr="006E64B5">
        <w:rPr>
          <w:rFonts w:asciiTheme="majorBidi" w:hAnsiTheme="majorBidi" w:cstheme="majorBidi"/>
          <w:lang w:val="en-US"/>
        </w:rPr>
        <w:t xml:space="preserve">Israeli perceptions of </w:t>
      </w:r>
      <w:r w:rsidR="00F90046">
        <w:rPr>
          <w:rFonts w:asciiTheme="majorBidi" w:hAnsiTheme="majorBidi" w:cstheme="majorBidi"/>
          <w:lang w:val="en-US"/>
        </w:rPr>
        <w:t>the continent</w:t>
      </w:r>
      <w:r w:rsidR="005006B6" w:rsidRPr="006E64B5">
        <w:rPr>
          <w:rFonts w:asciiTheme="majorBidi" w:hAnsiTheme="majorBidi" w:cstheme="majorBidi"/>
          <w:lang w:val="en-US"/>
        </w:rPr>
        <w:t xml:space="preserve">. </w:t>
      </w:r>
      <w:r w:rsidR="00647362" w:rsidRPr="00647362">
        <w:rPr>
          <w:rFonts w:asciiTheme="majorBidi" w:hAnsiTheme="majorBidi" w:cstheme="majorBidi"/>
          <w:lang w:val="en-US"/>
        </w:rPr>
        <w:t>Throughout most of the period</w:t>
      </w:r>
      <w:r w:rsidR="00647362">
        <w:rPr>
          <w:rFonts w:asciiTheme="majorBidi" w:hAnsiTheme="majorBidi" w:cstheme="majorBidi"/>
          <w:lang w:val="en-US"/>
        </w:rPr>
        <w:t xml:space="preserve"> under discussion</w:t>
      </w:r>
      <w:r w:rsidR="00647362" w:rsidRPr="00647362">
        <w:rPr>
          <w:rFonts w:asciiTheme="majorBidi" w:hAnsiTheme="majorBidi" w:cstheme="majorBidi"/>
          <w:lang w:val="en-US"/>
        </w:rPr>
        <w:t xml:space="preserve">, Israeli discourse centered on Western Europe due to regional isolation and Cold War dynamics. After briefly considering non-alignment post-independence, Israel </w:t>
      </w:r>
      <w:r w:rsidR="00647362">
        <w:rPr>
          <w:rFonts w:asciiTheme="majorBidi" w:hAnsiTheme="majorBidi" w:cstheme="majorBidi"/>
          <w:lang w:val="en-US"/>
        </w:rPr>
        <w:t>joined</w:t>
      </w:r>
      <w:r w:rsidR="00647362" w:rsidRPr="00647362">
        <w:rPr>
          <w:rFonts w:asciiTheme="majorBidi" w:hAnsiTheme="majorBidi" w:cstheme="majorBidi"/>
          <w:lang w:val="en-US"/>
        </w:rPr>
        <w:t xml:space="preserve"> with the Western bloc</w:t>
      </w:r>
      <w:r w:rsidR="00647362">
        <w:rPr>
          <w:rFonts w:asciiTheme="majorBidi" w:hAnsiTheme="majorBidi" w:cstheme="majorBidi"/>
          <w:lang w:val="en-US"/>
        </w:rPr>
        <w:t>.</w:t>
      </w:r>
      <w:r w:rsidR="005006B6" w:rsidRPr="006E64B5">
        <w:rPr>
          <w:rFonts w:asciiTheme="majorBidi" w:hAnsiTheme="majorBidi" w:cstheme="majorBidi"/>
          <w:lang w:val="en-US"/>
        </w:rPr>
        <w:t xml:space="preserve"> Since the United States had a rather ambivalent relationship with Israel in the 1950s, it was the Western European powers, Great Britain and France, that assumed the greatest importance. </w:t>
      </w:r>
      <w:r w:rsidR="00D4027E" w:rsidRPr="006E64B5">
        <w:rPr>
          <w:rFonts w:asciiTheme="majorBidi" w:hAnsiTheme="majorBidi" w:cstheme="majorBidi"/>
          <w:lang w:val="en-US"/>
        </w:rPr>
        <w:t xml:space="preserve">And </w:t>
      </w:r>
      <w:r w:rsidR="00C84536">
        <w:rPr>
          <w:rFonts w:asciiTheme="majorBidi" w:hAnsiTheme="majorBidi" w:cstheme="majorBidi"/>
          <w:lang w:val="en-US"/>
        </w:rPr>
        <w:t>d</w:t>
      </w:r>
      <w:r w:rsidR="00C84536" w:rsidRPr="00C84536">
        <w:rPr>
          <w:rFonts w:asciiTheme="majorBidi" w:hAnsiTheme="majorBidi" w:cstheme="majorBidi"/>
          <w:lang w:val="en-US"/>
        </w:rPr>
        <w:t>espite lingering resentment toward Germany after the Holocaust, the Federal Republic became a key partner following the 1952 reparations agreement and the 1965 establishment of diplomatic relations</w:t>
      </w:r>
      <w:r w:rsidR="00D4027E" w:rsidRPr="006E64B5">
        <w:rPr>
          <w:rFonts w:asciiTheme="majorBidi" w:hAnsiTheme="majorBidi" w:cstheme="majorBidi"/>
          <w:lang w:val="en-US"/>
        </w:rPr>
        <w:t>.</w:t>
      </w:r>
      <w:r w:rsidR="00E54A65" w:rsidRPr="00CE25E2">
        <w:rPr>
          <w:rStyle w:val="FootnoteReference"/>
        </w:rPr>
        <w:footnoteReference w:id="24"/>
      </w:r>
    </w:p>
    <w:p w14:paraId="5FA8AB13" w14:textId="41AB23F2" w:rsidR="00067F37" w:rsidRDefault="00F810AB" w:rsidP="00067F37">
      <w:pPr>
        <w:spacing w:line="360" w:lineRule="auto"/>
        <w:ind w:firstLine="708"/>
        <w:jc w:val="both"/>
        <w:rPr>
          <w:rFonts w:asciiTheme="majorBidi" w:hAnsiTheme="majorBidi" w:cstheme="majorBidi"/>
          <w:lang w:val="en-US"/>
        </w:rPr>
      </w:pPr>
      <w:r w:rsidRPr="00F810AB">
        <w:rPr>
          <w:rFonts w:asciiTheme="majorBidi" w:hAnsiTheme="majorBidi" w:cstheme="majorBidi"/>
          <w:lang w:val="en-US"/>
        </w:rPr>
        <w:t>As Israel navigated its complex relationship with Western Europe</w:t>
      </w:r>
      <w:r>
        <w:rPr>
          <w:rFonts w:asciiTheme="majorBidi" w:hAnsiTheme="majorBidi" w:cstheme="majorBidi"/>
          <w:lang w:val="en-US"/>
        </w:rPr>
        <w:t xml:space="preserve">, </w:t>
      </w:r>
      <w:r w:rsidRPr="00F810AB">
        <w:rPr>
          <w:rFonts w:asciiTheme="majorBidi" w:hAnsiTheme="majorBidi" w:cstheme="majorBidi"/>
          <w:lang w:val="en-US"/>
        </w:rPr>
        <w:t>the formation of the European Economic Community (EEC) in 1957 provided another significant avenue for Israeli engagement.</w:t>
      </w:r>
      <w:r w:rsidR="00E54A65" w:rsidRPr="00CE25E2">
        <w:rPr>
          <w:rStyle w:val="FootnoteReference"/>
        </w:rPr>
        <w:footnoteReference w:id="25"/>
      </w:r>
      <w:r w:rsidR="000F00DE" w:rsidRPr="006E64B5">
        <w:rPr>
          <w:rFonts w:asciiTheme="majorBidi" w:hAnsiTheme="majorBidi" w:cstheme="majorBidi"/>
          <w:lang w:val="en-US"/>
        </w:rPr>
        <w:t xml:space="preserve"> The EEC quickly gained prominence as the most important pan-European organization and came to be perceived as representing Western Europe and, ultimately, Europe. With its six founding members - France, Germany, Italy, Belgium, Luxembourg, and the Netherlands - the EEC initially defined Europe in a </w:t>
      </w:r>
      <w:r w:rsidR="00BE4550">
        <w:rPr>
          <w:rFonts w:asciiTheme="majorBidi" w:hAnsiTheme="majorBidi" w:cstheme="majorBidi"/>
          <w:lang w:val="en-US"/>
        </w:rPr>
        <w:t>rather</w:t>
      </w:r>
      <w:r w:rsidR="000F00DE" w:rsidRPr="006E64B5">
        <w:rPr>
          <w:rFonts w:asciiTheme="majorBidi" w:hAnsiTheme="majorBidi" w:cstheme="majorBidi"/>
          <w:lang w:val="en-US"/>
        </w:rPr>
        <w:t xml:space="preserve"> narrow way, but with successive rounds of enlargement, this definition expanded steadily.</w:t>
      </w:r>
      <w:r w:rsidR="00BE4550">
        <w:rPr>
          <w:rFonts w:asciiTheme="majorBidi" w:hAnsiTheme="majorBidi" w:cstheme="majorBidi"/>
          <w:lang w:val="en-US"/>
        </w:rPr>
        <w:t xml:space="preserve"> </w:t>
      </w:r>
      <w:r w:rsidR="00BE4550" w:rsidRPr="00BE4550">
        <w:rPr>
          <w:rFonts w:asciiTheme="majorBidi" w:hAnsiTheme="majorBidi" w:cstheme="majorBidi"/>
          <w:lang w:val="en-US"/>
        </w:rPr>
        <w:t xml:space="preserve">Moreover, </w:t>
      </w:r>
      <w:r w:rsidR="00F904C0" w:rsidRPr="00F904C0">
        <w:rPr>
          <w:rFonts w:asciiTheme="majorBidi" w:hAnsiTheme="majorBidi" w:cstheme="majorBidi"/>
          <w:lang w:val="en-US"/>
        </w:rPr>
        <w:t>EEC’s vision extended beyond Europe</w:t>
      </w:r>
      <w:r w:rsidR="00F904C0">
        <w:rPr>
          <w:rFonts w:asciiTheme="majorBidi" w:hAnsiTheme="majorBidi" w:cstheme="majorBidi"/>
          <w:lang w:val="en-US"/>
        </w:rPr>
        <w:t>’</w:t>
      </w:r>
      <w:r w:rsidR="00F904C0" w:rsidRPr="00F904C0">
        <w:rPr>
          <w:rFonts w:asciiTheme="majorBidi" w:hAnsiTheme="majorBidi" w:cstheme="majorBidi"/>
          <w:lang w:val="en-US"/>
        </w:rPr>
        <w:t>s geography, with early French efforts to include Algeria reflecting a broader definition.</w:t>
      </w:r>
      <w:r w:rsidR="00BE4550" w:rsidRPr="00CE25E2">
        <w:rPr>
          <w:rStyle w:val="FootnoteReference"/>
        </w:rPr>
        <w:footnoteReference w:id="26"/>
      </w:r>
      <w:r w:rsidR="00BE4550" w:rsidRPr="00BE4550">
        <w:rPr>
          <w:rFonts w:asciiTheme="majorBidi" w:hAnsiTheme="majorBidi" w:cstheme="majorBidi"/>
          <w:lang w:val="en-US"/>
        </w:rPr>
        <w:t xml:space="preserve"> </w:t>
      </w:r>
      <w:r w:rsidR="00E5546A" w:rsidRPr="00E5546A">
        <w:rPr>
          <w:rFonts w:asciiTheme="majorBidi" w:hAnsiTheme="majorBidi" w:cstheme="majorBidi"/>
          <w:lang w:val="en-US"/>
        </w:rPr>
        <w:t>As a result, the EEC</w:t>
      </w:r>
      <w:r w:rsidR="00BE4550">
        <w:rPr>
          <w:rFonts w:asciiTheme="majorBidi" w:hAnsiTheme="majorBidi" w:cstheme="majorBidi"/>
          <w:lang w:val="en-US"/>
        </w:rPr>
        <w:t>’</w:t>
      </w:r>
      <w:r w:rsidR="00E5546A" w:rsidRPr="00E5546A">
        <w:rPr>
          <w:rFonts w:asciiTheme="majorBidi" w:hAnsiTheme="majorBidi" w:cstheme="majorBidi"/>
          <w:lang w:val="en-US"/>
        </w:rPr>
        <w:t>s own understanding of Europe, and thus the external perception of the body, constantly evolved and developed</w:t>
      </w:r>
      <w:r w:rsidR="00E5546A">
        <w:rPr>
          <w:rFonts w:asciiTheme="majorBidi" w:hAnsiTheme="majorBidi" w:cstheme="majorBidi"/>
          <w:lang w:val="en-US"/>
        </w:rPr>
        <w:t xml:space="preserve">. </w:t>
      </w:r>
    </w:p>
    <w:p w14:paraId="6F27D596" w14:textId="020B5505" w:rsidR="000F00DE" w:rsidRPr="006E64B5" w:rsidRDefault="000C3F23" w:rsidP="0012616D">
      <w:pPr>
        <w:spacing w:line="360" w:lineRule="auto"/>
        <w:ind w:firstLine="708"/>
        <w:jc w:val="both"/>
        <w:rPr>
          <w:rFonts w:asciiTheme="majorBidi" w:hAnsiTheme="majorBidi" w:cstheme="majorBidi"/>
          <w:lang w:val="en-US"/>
        </w:rPr>
      </w:pPr>
      <w:r w:rsidRPr="006E64B5">
        <w:rPr>
          <w:rFonts w:asciiTheme="majorBidi" w:hAnsiTheme="majorBidi" w:cstheme="majorBidi"/>
          <w:lang w:val="en-US"/>
        </w:rPr>
        <w:t>Despite the EEC</w:t>
      </w:r>
      <w:r w:rsidR="00E5546A">
        <w:rPr>
          <w:rFonts w:asciiTheme="majorBidi" w:hAnsiTheme="majorBidi" w:cstheme="majorBidi"/>
          <w:lang w:val="en-US"/>
        </w:rPr>
        <w:t>’</w:t>
      </w:r>
      <w:r w:rsidRPr="006E64B5">
        <w:rPr>
          <w:rFonts w:asciiTheme="majorBidi" w:hAnsiTheme="majorBidi" w:cstheme="majorBidi"/>
          <w:lang w:val="en-US"/>
        </w:rPr>
        <w:t>s considerable influence, Europe was not constrained to this institution.</w:t>
      </w:r>
      <w:r w:rsidR="00E5546A">
        <w:rPr>
          <w:rFonts w:asciiTheme="majorBidi" w:hAnsiTheme="majorBidi" w:cstheme="majorBidi"/>
          <w:lang w:val="en-US"/>
        </w:rPr>
        <w:t xml:space="preserve"> </w:t>
      </w:r>
      <w:r w:rsidR="007B66D4" w:rsidRPr="007B66D4">
        <w:rPr>
          <w:rFonts w:asciiTheme="majorBidi" w:hAnsiTheme="majorBidi" w:cstheme="majorBidi"/>
          <w:lang w:val="en-US"/>
        </w:rPr>
        <w:t>This was true even in the political and economic spheres, where organizations such as the European Free Trade Association (EFTA), founded in 1960 by major Western European countries outside the EEC, offered differing definitions of the continent</w:t>
      </w:r>
      <w:r w:rsidR="00E5546A" w:rsidRPr="007B66D4">
        <w:rPr>
          <w:rFonts w:asciiTheme="majorBidi" w:hAnsiTheme="majorBidi" w:cstheme="majorBidi"/>
          <w:lang w:val="en-US"/>
        </w:rPr>
        <w:t>.</w:t>
      </w:r>
      <w:r w:rsidR="00E54A65" w:rsidRPr="00CE25E2">
        <w:rPr>
          <w:rStyle w:val="FootnoteReference"/>
        </w:rPr>
        <w:footnoteReference w:id="27"/>
      </w:r>
      <w:r w:rsidR="00E5546A" w:rsidRPr="00E5546A">
        <w:rPr>
          <w:rFonts w:asciiTheme="majorBidi" w:hAnsiTheme="majorBidi" w:cstheme="majorBidi"/>
          <w:lang w:val="en-US"/>
        </w:rPr>
        <w:t xml:space="preserve"> Even more so </w:t>
      </w:r>
      <w:r w:rsidR="00067F37">
        <w:rPr>
          <w:rFonts w:asciiTheme="majorBidi" w:hAnsiTheme="majorBidi" w:cstheme="majorBidi"/>
          <w:lang w:val="en-US"/>
        </w:rPr>
        <w:t xml:space="preserve">did </w:t>
      </w:r>
      <w:r w:rsidR="00E5546A" w:rsidRPr="00E5546A">
        <w:rPr>
          <w:rFonts w:asciiTheme="majorBidi" w:hAnsiTheme="majorBidi" w:cstheme="majorBidi"/>
          <w:lang w:val="en-US"/>
        </w:rPr>
        <w:t xml:space="preserve">the </w:t>
      </w:r>
      <w:r w:rsidR="00E5546A" w:rsidRPr="00E5546A">
        <w:rPr>
          <w:rFonts w:asciiTheme="majorBidi" w:hAnsiTheme="majorBidi" w:cstheme="majorBidi"/>
          <w:lang w:val="en-US"/>
        </w:rPr>
        <w:lastRenderedPageBreak/>
        <w:t>diverse institutions in the field of sport and culture.</w:t>
      </w:r>
      <w:r w:rsidR="000B2420">
        <w:rPr>
          <w:rFonts w:asciiTheme="majorBidi" w:hAnsiTheme="majorBidi" w:cstheme="majorBidi"/>
          <w:lang w:val="en-US"/>
        </w:rPr>
        <w:t xml:space="preserve"> </w:t>
      </w:r>
      <w:r w:rsidRPr="006E64B5">
        <w:rPr>
          <w:rFonts w:asciiTheme="majorBidi" w:hAnsiTheme="majorBidi" w:cstheme="majorBidi"/>
          <w:lang w:val="en-US"/>
        </w:rPr>
        <w:t xml:space="preserve">For example, the early Israeli tourism industry focused on seven Western European countries—Austria, Belgium, France, Great Britain, the Netherlands, Italy, and Switzerland—that were collectively marketed as </w:t>
      </w:r>
      <w:r w:rsidR="00C43116" w:rsidRPr="006E64B5">
        <w:rPr>
          <w:rFonts w:asciiTheme="majorBidi" w:hAnsiTheme="majorBidi" w:cstheme="majorBidi"/>
          <w:lang w:val="en-US"/>
        </w:rPr>
        <w:t>“</w:t>
      </w:r>
      <w:r w:rsidRPr="006E64B5">
        <w:rPr>
          <w:rFonts w:asciiTheme="majorBidi" w:hAnsiTheme="majorBidi" w:cstheme="majorBidi"/>
          <w:lang w:val="en-US"/>
        </w:rPr>
        <w:t>classical Europe.</w:t>
      </w:r>
      <w:r w:rsidR="00C43116" w:rsidRPr="006E64B5">
        <w:rPr>
          <w:rFonts w:asciiTheme="majorBidi" w:hAnsiTheme="majorBidi" w:cstheme="majorBidi"/>
          <w:lang w:val="en-US"/>
        </w:rPr>
        <w:t>”</w:t>
      </w:r>
      <w:r w:rsidR="002C0DD5" w:rsidRPr="006E64B5">
        <w:rPr>
          <w:rFonts w:asciiTheme="majorBidi" w:hAnsiTheme="majorBidi" w:cstheme="majorBidi"/>
          <w:lang w:val="en-US"/>
        </w:rPr>
        <w:t xml:space="preserve"> Here, too, the focus widened to include not only much of Western Europe, but by the late 1970s also individual countries on the other side of the Iron Curtain, such as Romania and Hungary. In the Eurovision Song Contest, Israeli</w:t>
      </w:r>
      <w:r w:rsidR="00611331">
        <w:rPr>
          <w:rFonts w:asciiTheme="majorBidi" w:hAnsiTheme="majorBidi" w:cstheme="majorBidi"/>
          <w:lang w:val="en-US"/>
        </w:rPr>
        <w:t xml:space="preserve"> representatives</w:t>
      </w:r>
      <w:r w:rsidR="002C0DD5" w:rsidRPr="006E64B5">
        <w:rPr>
          <w:rFonts w:asciiTheme="majorBidi" w:hAnsiTheme="majorBidi" w:cstheme="majorBidi"/>
          <w:lang w:val="en-US"/>
        </w:rPr>
        <w:t xml:space="preserve"> </w:t>
      </w:r>
      <w:r w:rsidR="00611331">
        <w:rPr>
          <w:rFonts w:asciiTheme="majorBidi" w:hAnsiTheme="majorBidi" w:cstheme="majorBidi"/>
          <w:lang w:val="en-US"/>
        </w:rPr>
        <w:t xml:space="preserve">faced </w:t>
      </w:r>
      <w:r w:rsidR="002C0DD5" w:rsidRPr="006E64B5">
        <w:rPr>
          <w:rFonts w:asciiTheme="majorBidi" w:hAnsiTheme="majorBidi" w:cstheme="majorBidi"/>
          <w:lang w:val="en-US"/>
        </w:rPr>
        <w:t>Yugoslavia</w:t>
      </w:r>
      <w:r w:rsidR="00611331">
        <w:rPr>
          <w:rFonts w:asciiTheme="majorBidi" w:hAnsiTheme="majorBidi" w:cstheme="majorBidi"/>
          <w:lang w:val="en-US"/>
        </w:rPr>
        <w:t>n artists</w:t>
      </w:r>
      <w:r w:rsidR="002C0DD5" w:rsidRPr="006E64B5">
        <w:rPr>
          <w:rFonts w:asciiTheme="majorBidi" w:hAnsiTheme="majorBidi" w:cstheme="majorBidi"/>
          <w:lang w:val="en-US"/>
        </w:rPr>
        <w:t xml:space="preserve"> and, from 1975, Turk</w:t>
      </w:r>
      <w:r w:rsidR="00611331">
        <w:rPr>
          <w:rFonts w:asciiTheme="majorBidi" w:hAnsiTheme="majorBidi" w:cstheme="majorBidi"/>
          <w:lang w:val="en-US"/>
        </w:rPr>
        <w:t>ish musicians as well</w:t>
      </w:r>
      <w:r w:rsidR="002C0DD5" w:rsidRPr="006E64B5">
        <w:rPr>
          <w:rFonts w:asciiTheme="majorBidi" w:hAnsiTheme="majorBidi" w:cstheme="majorBidi"/>
          <w:lang w:val="en-US"/>
        </w:rPr>
        <w:t>, until in the 1990s numerous additional East Central European states joined. Finally, the sports federations were among the few truly pan-European federations during the Cold War years.</w:t>
      </w:r>
      <w:r w:rsidR="00FF0809" w:rsidRPr="00CE25E2">
        <w:rPr>
          <w:rStyle w:val="FootnoteReference"/>
        </w:rPr>
        <w:footnoteReference w:id="28"/>
      </w:r>
      <w:r w:rsidR="002C0DD5" w:rsidRPr="006E64B5">
        <w:rPr>
          <w:rFonts w:asciiTheme="majorBidi" w:hAnsiTheme="majorBidi" w:cstheme="majorBidi"/>
          <w:lang w:val="en-US"/>
        </w:rPr>
        <w:t xml:space="preserve"> </w:t>
      </w:r>
      <w:r w:rsidR="0012616D" w:rsidRPr="0012616D">
        <w:rPr>
          <w:rFonts w:asciiTheme="majorBidi" w:hAnsiTheme="majorBidi" w:cstheme="majorBidi"/>
          <w:lang w:val="en-US"/>
        </w:rPr>
        <w:t xml:space="preserve">While UEFA admitted the IFA only in the 1990s, Israeli basketball teams competed in </w:t>
      </w:r>
      <w:r w:rsidR="0012616D" w:rsidRPr="006E64B5">
        <w:rPr>
          <w:rFonts w:asciiTheme="majorBidi" w:hAnsiTheme="majorBidi" w:cstheme="majorBidi"/>
          <w:lang w:val="en-US"/>
        </w:rPr>
        <w:t>the International Basketball Federation</w:t>
      </w:r>
      <w:r w:rsidR="0012616D" w:rsidRPr="0012616D">
        <w:rPr>
          <w:rFonts w:asciiTheme="majorBidi" w:hAnsiTheme="majorBidi" w:cstheme="majorBidi"/>
          <w:lang w:val="en-US"/>
        </w:rPr>
        <w:t xml:space="preserve">’s </w:t>
      </w:r>
      <w:r w:rsidR="0012616D">
        <w:rPr>
          <w:rFonts w:asciiTheme="majorBidi" w:hAnsiTheme="majorBidi" w:cstheme="majorBidi"/>
          <w:lang w:val="en-US"/>
        </w:rPr>
        <w:t>(</w:t>
      </w:r>
      <w:r w:rsidR="0012616D" w:rsidRPr="0012616D">
        <w:rPr>
          <w:rFonts w:asciiTheme="majorBidi" w:hAnsiTheme="majorBidi" w:cstheme="majorBidi"/>
          <w:lang w:val="en-US"/>
        </w:rPr>
        <w:t>FIBA</w:t>
      </w:r>
      <w:r w:rsidR="0012616D">
        <w:rPr>
          <w:rFonts w:asciiTheme="majorBidi" w:hAnsiTheme="majorBidi" w:cstheme="majorBidi"/>
          <w:lang w:val="en-US"/>
        </w:rPr>
        <w:t>)</w:t>
      </w:r>
      <w:r w:rsidR="0012616D" w:rsidRPr="0012616D">
        <w:rPr>
          <w:rFonts w:asciiTheme="majorBidi" w:hAnsiTheme="majorBidi" w:cstheme="majorBidi"/>
          <w:lang w:val="en-US"/>
        </w:rPr>
        <w:t xml:space="preserve"> European wing throughout this period.</w:t>
      </w:r>
      <w:r w:rsidR="00292ACC">
        <w:rPr>
          <w:rFonts w:asciiTheme="majorBidi" w:hAnsiTheme="majorBidi" w:cstheme="majorBidi"/>
          <w:lang w:val="en-US"/>
        </w:rPr>
        <w:t xml:space="preserve"> </w:t>
      </w:r>
      <w:r w:rsidR="008E7FA7" w:rsidRPr="006E64B5">
        <w:rPr>
          <w:rFonts w:asciiTheme="majorBidi" w:hAnsiTheme="majorBidi" w:cstheme="majorBidi"/>
          <w:lang w:val="en-US"/>
        </w:rPr>
        <w:t xml:space="preserve">While UEFA did not accept the IFA as a full member until the 1990s, Israeli basketball teams played throughout the period in the European wing of the International Basketball Federation (FIBA). </w:t>
      </w:r>
      <w:r w:rsidR="002C0DD5" w:rsidRPr="006E64B5">
        <w:rPr>
          <w:rFonts w:asciiTheme="majorBidi" w:hAnsiTheme="majorBidi" w:cstheme="majorBidi"/>
          <w:lang w:val="en-US"/>
        </w:rPr>
        <w:t xml:space="preserve"> </w:t>
      </w:r>
    </w:p>
    <w:p w14:paraId="092F7D55" w14:textId="26F02251" w:rsidR="0093167C" w:rsidRPr="006E64B5" w:rsidRDefault="0093167C" w:rsidP="000F00DE">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5473E9" w:rsidRPr="006E64B5">
        <w:rPr>
          <w:rFonts w:asciiTheme="majorBidi" w:hAnsiTheme="majorBidi" w:cstheme="majorBidi"/>
          <w:lang w:val="en-US"/>
        </w:rPr>
        <w:t>Critical to the development of Western images of Europe after World War II was the division with the Soviet Union and its satellites.</w:t>
      </w:r>
      <w:r w:rsidR="004E0723" w:rsidRPr="00CE25E2">
        <w:rPr>
          <w:rStyle w:val="FootnoteReference"/>
        </w:rPr>
        <w:footnoteReference w:id="29"/>
      </w:r>
      <w:r w:rsidR="005473E9" w:rsidRPr="006E64B5">
        <w:rPr>
          <w:rFonts w:asciiTheme="majorBidi" w:hAnsiTheme="majorBidi" w:cstheme="majorBidi"/>
          <w:lang w:val="en-US"/>
        </w:rPr>
        <w:t xml:space="preserve"> From a Jewish perspective, however, the countries now enclosed behind the Iron Wall had been crucial before the war, as they had been major centers of Jewish life. Many of the Zionist pioneers, and ultimately the political, economic, and social elites of the young State of Israel, hailed from these areas.</w:t>
      </w:r>
      <w:r w:rsidR="0074663E" w:rsidRPr="006E64B5">
        <w:rPr>
          <w:rFonts w:asciiTheme="majorBidi" w:hAnsiTheme="majorBidi" w:cstheme="majorBidi"/>
          <w:lang w:val="en-US"/>
        </w:rPr>
        <w:t xml:space="preserve"> At the same time, </w:t>
      </w:r>
      <w:r w:rsidR="002D6A1C" w:rsidRPr="002D6A1C">
        <w:rPr>
          <w:rFonts w:asciiTheme="majorBidi" w:hAnsiTheme="majorBidi" w:cstheme="majorBidi"/>
          <w:lang w:val="en-US"/>
        </w:rPr>
        <w:t>Zionists often adopted the critiques of Eastern European Jewry (Ostjuden) voiced by German Jews,</w:t>
      </w:r>
      <w:r w:rsidR="002D6A1C" w:rsidRPr="00CE25E2">
        <w:rPr>
          <w:rStyle w:val="FootnoteReference"/>
        </w:rPr>
        <w:footnoteReference w:id="30"/>
      </w:r>
      <w:r w:rsidR="002D6A1C" w:rsidRPr="002D6A1C">
        <w:rPr>
          <w:rFonts w:asciiTheme="majorBidi" w:hAnsiTheme="majorBidi" w:cstheme="majorBidi"/>
          <w:lang w:val="en-US"/>
        </w:rPr>
        <w:t xml:space="preserve"> viewing a shift toward Western European trends as essential to their vision.</w:t>
      </w:r>
      <w:r w:rsidR="002D6A1C" w:rsidRPr="002D6A1C">
        <w:rPr>
          <w:rStyle w:val="FootnoteReference"/>
          <w:lang w:val="en-US"/>
        </w:rPr>
        <w:t xml:space="preserve"> </w:t>
      </w:r>
      <w:r w:rsidR="002D6A1C" w:rsidRPr="00CE25E2">
        <w:rPr>
          <w:rStyle w:val="FootnoteReference"/>
        </w:rPr>
        <w:footnoteReference w:id="31"/>
      </w:r>
      <w:r w:rsidR="002D6A1C">
        <w:rPr>
          <w:rFonts w:asciiTheme="majorBidi" w:hAnsiTheme="majorBidi" w:cstheme="majorBidi"/>
          <w:lang w:val="en-US"/>
        </w:rPr>
        <w:t xml:space="preserve"> </w:t>
      </w:r>
      <w:r w:rsidR="007C3690" w:rsidRPr="006E64B5">
        <w:rPr>
          <w:rFonts w:asciiTheme="majorBidi" w:hAnsiTheme="majorBidi" w:cstheme="majorBidi"/>
          <w:lang w:val="en-US"/>
        </w:rPr>
        <w:t xml:space="preserve">In this vein, historian Michael </w:t>
      </w:r>
      <w:proofErr w:type="spellStart"/>
      <w:r w:rsidR="007C3690" w:rsidRPr="006E64B5">
        <w:rPr>
          <w:rFonts w:asciiTheme="majorBidi" w:hAnsiTheme="majorBidi" w:cstheme="majorBidi"/>
          <w:lang w:val="en-US"/>
        </w:rPr>
        <w:t>Harsegor</w:t>
      </w:r>
      <w:proofErr w:type="spellEnd"/>
      <w:r w:rsidR="007C3690" w:rsidRPr="006E64B5">
        <w:rPr>
          <w:rFonts w:asciiTheme="majorBidi" w:hAnsiTheme="majorBidi" w:cstheme="majorBidi"/>
          <w:lang w:val="en-US"/>
        </w:rPr>
        <w:t xml:space="preserve"> posited in </w:t>
      </w:r>
      <w:r w:rsidR="007C3690" w:rsidRPr="006E64B5">
        <w:rPr>
          <w:rFonts w:asciiTheme="majorBidi" w:hAnsiTheme="majorBidi" w:cstheme="majorBidi"/>
          <w:i/>
          <w:lang w:val="en-US"/>
        </w:rPr>
        <w:t>Maariv</w:t>
      </w:r>
      <w:r w:rsidR="007C3690" w:rsidRPr="006E64B5">
        <w:rPr>
          <w:rFonts w:asciiTheme="majorBidi" w:hAnsiTheme="majorBidi" w:cstheme="majorBidi"/>
          <w:lang w:val="en-US"/>
        </w:rPr>
        <w:t xml:space="preserve"> in 1989 that Zionism could not have taken root among typical Ostjuden. “We would not have immigrated to Israel,” he wrote, “if our gaze had not previously been directed toward Europe and Western culture.”</w:t>
      </w:r>
      <w:r w:rsidR="007C3690" w:rsidRPr="00CE25E2">
        <w:rPr>
          <w:rStyle w:val="FootnoteReference"/>
        </w:rPr>
        <w:footnoteReference w:id="32"/>
      </w:r>
    </w:p>
    <w:p w14:paraId="73A7C945" w14:textId="4C9C621E" w:rsidR="00734B37" w:rsidRPr="006E64B5" w:rsidRDefault="006F2E94" w:rsidP="00734B37">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F0349A" w:rsidRPr="00F0349A">
        <w:rPr>
          <w:rFonts w:asciiTheme="majorBidi" w:hAnsiTheme="majorBidi" w:cstheme="majorBidi"/>
          <w:lang w:val="en-US"/>
        </w:rPr>
        <w:t xml:space="preserve">The Holocaust and Cold War turned Eastern Europe into a terra incognita for many Israelis. Despite initial Soviet support for the 1948 partition plan, geopolitical shifts and antisemitic campaigns strained relations. Still, Israeli leaders sought to develop economic ties with the countries in the region, some even hoping to offset the state’s enormous dependence </w:t>
      </w:r>
      <w:r w:rsidR="00F0349A" w:rsidRPr="00F0349A">
        <w:rPr>
          <w:rFonts w:asciiTheme="majorBidi" w:hAnsiTheme="majorBidi" w:cstheme="majorBidi"/>
          <w:lang w:val="en-US"/>
        </w:rPr>
        <w:lastRenderedPageBreak/>
        <w:t>on Western Europe, but these efforts faltered after the Six-Day War of 1967, when most Warsaw Pact states, except Romania, severed diplomatic relations.</w:t>
      </w:r>
      <w:r w:rsidR="007436EA" w:rsidRPr="00CE25E2">
        <w:rPr>
          <w:rStyle w:val="FootnoteReference"/>
        </w:rPr>
        <w:footnoteReference w:id="33"/>
      </w:r>
    </w:p>
    <w:p w14:paraId="328D868A" w14:textId="4E5F1266" w:rsidR="00A3392E" w:rsidRPr="006E64B5" w:rsidRDefault="00C4297E" w:rsidP="00C4297E">
      <w:pPr>
        <w:spacing w:line="360" w:lineRule="auto"/>
        <w:ind w:firstLine="708"/>
        <w:jc w:val="both"/>
        <w:rPr>
          <w:rFonts w:asciiTheme="majorBidi" w:hAnsiTheme="majorBidi" w:cstheme="majorBidi"/>
          <w:lang w:val="en-US"/>
        </w:rPr>
      </w:pPr>
      <w:r w:rsidRPr="00C4297E">
        <w:rPr>
          <w:rFonts w:asciiTheme="majorBidi" w:hAnsiTheme="majorBidi" w:cstheme="majorBidi"/>
          <w:lang w:val="en-US"/>
        </w:rPr>
        <w:t>Despite the diplomatic rupture after the Six-Day War, Israel maintained some ties with Eastern Europe through cultural and economic exchanges. Romania remained an important partner, and Israel</w:t>
      </w:r>
      <w:r>
        <w:rPr>
          <w:rFonts w:asciiTheme="majorBidi" w:hAnsiTheme="majorBidi" w:cstheme="majorBidi"/>
          <w:lang w:val="en-US"/>
        </w:rPr>
        <w:t>’</w:t>
      </w:r>
      <w:r w:rsidRPr="00C4297E">
        <w:rPr>
          <w:rFonts w:asciiTheme="majorBidi" w:hAnsiTheme="majorBidi" w:cstheme="majorBidi"/>
          <w:lang w:val="en-US"/>
        </w:rPr>
        <w:t>s cultural links with Yugoslavia continued, including through Eurovision. Israeli athletes, particularly in basketball, competed against Eastern European teams, including Maccabi Tel Aviv’s notable victory over CSKA Moscow</w:t>
      </w:r>
      <w:r>
        <w:rPr>
          <w:rFonts w:asciiTheme="majorBidi" w:hAnsiTheme="majorBidi" w:cstheme="majorBidi"/>
          <w:lang w:val="en-US"/>
        </w:rPr>
        <w:t xml:space="preserve"> in January 1977</w:t>
      </w:r>
      <w:r w:rsidRPr="00C4297E">
        <w:rPr>
          <w:rFonts w:asciiTheme="majorBidi" w:hAnsiTheme="majorBidi" w:cstheme="majorBidi"/>
          <w:lang w:val="en-US"/>
        </w:rPr>
        <w:t>, which became a cultural touchstone.</w:t>
      </w:r>
      <w:r>
        <w:rPr>
          <w:rFonts w:asciiTheme="majorBidi" w:hAnsiTheme="majorBidi" w:cstheme="majorBidi"/>
          <w:lang w:val="en-US"/>
        </w:rPr>
        <w:t xml:space="preserve"> </w:t>
      </w:r>
      <w:r w:rsidR="00A3392E" w:rsidRPr="006E64B5">
        <w:rPr>
          <w:rFonts w:asciiTheme="majorBidi" w:hAnsiTheme="majorBidi" w:cstheme="majorBidi"/>
          <w:lang w:val="en-US"/>
        </w:rPr>
        <w:t xml:space="preserve">Subsequently, Maccabi Tel Aviv proceeded to play the final against the Italian club </w:t>
      </w:r>
      <w:proofErr w:type="spellStart"/>
      <w:r w:rsidR="00A3392E" w:rsidRPr="006E64B5">
        <w:rPr>
          <w:rFonts w:asciiTheme="majorBidi" w:hAnsiTheme="majorBidi" w:cstheme="majorBidi"/>
          <w:lang w:val="en-US"/>
        </w:rPr>
        <w:t>Mobilgirgi</w:t>
      </w:r>
      <w:proofErr w:type="spellEnd"/>
      <w:r w:rsidR="00A3392E" w:rsidRPr="006E64B5">
        <w:rPr>
          <w:rFonts w:asciiTheme="majorBidi" w:hAnsiTheme="majorBidi" w:cstheme="majorBidi"/>
          <w:lang w:val="en-US"/>
        </w:rPr>
        <w:t xml:space="preserve"> Varese in Belgrade. On this occasion, 2,000 Israeli</w:t>
      </w:r>
      <w:r w:rsidR="00C218B3">
        <w:rPr>
          <w:rFonts w:asciiTheme="majorBidi" w:hAnsiTheme="majorBidi" w:cstheme="majorBidi"/>
          <w:lang w:val="en-US"/>
        </w:rPr>
        <w:t xml:space="preserve"> fans</w:t>
      </w:r>
      <w:r w:rsidR="00A3392E" w:rsidRPr="006E64B5">
        <w:rPr>
          <w:rFonts w:asciiTheme="majorBidi" w:hAnsiTheme="majorBidi" w:cstheme="majorBidi"/>
          <w:lang w:val="en-US"/>
        </w:rPr>
        <w:t xml:space="preserve"> traveled to the Yugoslavian capital on two specially chartered EL AL planes.</w:t>
      </w:r>
      <w:r w:rsidR="009441B4" w:rsidRPr="00CE25E2">
        <w:rPr>
          <w:rStyle w:val="FootnoteReference"/>
        </w:rPr>
        <w:footnoteReference w:id="34"/>
      </w:r>
      <w:r w:rsidR="00D35BF6" w:rsidRPr="006E64B5">
        <w:rPr>
          <w:rFonts w:asciiTheme="majorBidi" w:hAnsiTheme="majorBidi" w:cstheme="majorBidi"/>
          <w:lang w:val="en-US"/>
        </w:rPr>
        <w:t xml:space="preserve"> </w:t>
      </w:r>
      <w:r w:rsidR="004D13E3" w:rsidRPr="004D13E3">
        <w:rPr>
          <w:rFonts w:asciiTheme="majorBidi" w:hAnsiTheme="majorBidi" w:cstheme="majorBidi"/>
          <w:lang w:val="en-US"/>
        </w:rPr>
        <w:t>In the 1980s, improving geopolitical conditions fostered closer economic ties with East Central Europe and increased Israeli tourism to the region. After the Soviet Union’s collapse, renewed diplomatic relations further broadened Israeli engagement with Europe.</w:t>
      </w:r>
      <w:r w:rsidR="004E0723" w:rsidRPr="00CE25E2">
        <w:rPr>
          <w:rStyle w:val="FootnoteReference"/>
        </w:rPr>
        <w:footnoteReference w:id="35"/>
      </w:r>
    </w:p>
    <w:p w14:paraId="5FC5D9DC" w14:textId="27B95BC6" w:rsidR="000575C5" w:rsidRPr="006E64B5" w:rsidRDefault="00451D0B" w:rsidP="00734B37">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E312A0" w:rsidRPr="00E312A0">
        <w:rPr>
          <w:rFonts w:asciiTheme="majorBidi" w:hAnsiTheme="majorBidi" w:cstheme="majorBidi"/>
          <w:lang w:val="en-US"/>
        </w:rPr>
        <w:t>This overview highlights the multifaceted nature of Israel’s engagement with Europe throughout the second half of the 20th century. From political alliances and economic ties to cultural exchanges and sporting events, Israeli perceptions of Europe were shaped by a complex interplay of geopolitical, economic, social, and cultural forces. Understanding this dynamic relationship is crucial to grasping the evolving</w:t>
      </w:r>
      <w:r w:rsidR="00E312A0">
        <w:rPr>
          <w:rFonts w:asciiTheme="majorBidi" w:hAnsiTheme="majorBidi" w:cstheme="majorBidi"/>
          <w:lang w:val="en-US"/>
        </w:rPr>
        <w:t xml:space="preserve"> Israelis </w:t>
      </w:r>
      <w:r w:rsidRPr="006E64B5">
        <w:rPr>
          <w:rFonts w:asciiTheme="majorBidi" w:hAnsiTheme="majorBidi" w:cstheme="majorBidi"/>
          <w:lang w:val="en-US"/>
        </w:rPr>
        <w:t>ideas about Europe</w:t>
      </w:r>
      <w:r w:rsidR="00E312A0">
        <w:rPr>
          <w:rFonts w:asciiTheme="majorBidi" w:hAnsiTheme="majorBidi" w:cstheme="majorBidi"/>
          <w:lang w:val="en-US"/>
        </w:rPr>
        <w:t xml:space="preserve"> during this period</w:t>
      </w:r>
      <w:r w:rsidRPr="006E64B5">
        <w:rPr>
          <w:rFonts w:asciiTheme="majorBidi" w:hAnsiTheme="majorBidi" w:cstheme="majorBidi"/>
          <w:lang w:val="en-US"/>
        </w:rPr>
        <w:t>.</w:t>
      </w:r>
    </w:p>
    <w:p w14:paraId="6ED0896D" w14:textId="77777777" w:rsidR="00A22FED" w:rsidRPr="006E64B5" w:rsidRDefault="00A22FED" w:rsidP="00734B37">
      <w:pPr>
        <w:spacing w:line="360" w:lineRule="auto"/>
        <w:jc w:val="both"/>
        <w:rPr>
          <w:rFonts w:asciiTheme="majorBidi" w:hAnsiTheme="majorBidi" w:cstheme="majorBidi"/>
          <w:lang w:val="en-US"/>
        </w:rPr>
      </w:pPr>
    </w:p>
    <w:p w14:paraId="7A46FF30" w14:textId="216AB03F" w:rsidR="00A22FED" w:rsidRPr="005811B4" w:rsidRDefault="00A22FED" w:rsidP="00734B37">
      <w:pPr>
        <w:spacing w:line="360" w:lineRule="auto"/>
        <w:jc w:val="both"/>
        <w:rPr>
          <w:rFonts w:asciiTheme="majorBidi" w:hAnsiTheme="majorBidi" w:cstheme="majorBidi"/>
          <w:b/>
          <w:lang w:val="en-US"/>
        </w:rPr>
      </w:pPr>
      <w:r w:rsidRPr="005811B4">
        <w:rPr>
          <w:rFonts w:asciiTheme="majorBidi" w:hAnsiTheme="majorBidi" w:cstheme="majorBidi"/>
          <w:b/>
          <w:lang w:val="en-US"/>
        </w:rPr>
        <w:t xml:space="preserve">Between Europe and Asia </w:t>
      </w:r>
    </w:p>
    <w:p w14:paraId="76E4E96A" w14:textId="26588690" w:rsidR="00A22FED" w:rsidRPr="006E64B5" w:rsidRDefault="007C2EB3" w:rsidP="00734B37">
      <w:pPr>
        <w:spacing w:line="360" w:lineRule="auto"/>
        <w:jc w:val="both"/>
        <w:rPr>
          <w:rFonts w:asciiTheme="majorBidi" w:hAnsiTheme="majorBidi" w:cstheme="majorBidi"/>
          <w:lang w:val="en-US"/>
        </w:rPr>
      </w:pPr>
      <w:r w:rsidRPr="006E64B5">
        <w:rPr>
          <w:rFonts w:asciiTheme="majorBidi" w:hAnsiTheme="majorBidi" w:cstheme="majorBidi"/>
          <w:lang w:val="en-US"/>
        </w:rPr>
        <w:t xml:space="preserve">European influence, however, did not stop at the borders of the continent. Several scholars, in fact, have suggested that Europe and European modernity cannot be understood without accounting for </w:t>
      </w:r>
      <w:r w:rsidR="00BE1190" w:rsidRPr="006E64B5">
        <w:rPr>
          <w:rFonts w:asciiTheme="majorBidi" w:hAnsiTheme="majorBidi" w:cstheme="majorBidi"/>
          <w:lang w:val="en-US"/>
        </w:rPr>
        <w:t xml:space="preserve">the continent’s </w:t>
      </w:r>
      <w:r w:rsidRPr="006E64B5">
        <w:rPr>
          <w:rFonts w:asciiTheme="majorBidi" w:hAnsiTheme="majorBidi" w:cstheme="majorBidi"/>
          <w:lang w:val="en-US"/>
        </w:rPr>
        <w:t>colonial history.</w:t>
      </w:r>
      <w:r w:rsidR="000744E9" w:rsidRPr="00CE25E2">
        <w:rPr>
          <w:rStyle w:val="FootnoteReference"/>
        </w:rPr>
        <w:footnoteReference w:id="36"/>
      </w:r>
      <w:r w:rsidR="000744E9" w:rsidRPr="006E64B5">
        <w:rPr>
          <w:rFonts w:asciiTheme="majorBidi" w:hAnsiTheme="majorBidi" w:cstheme="majorBidi"/>
          <w:lang w:val="en-US"/>
        </w:rPr>
        <w:t xml:space="preserve"> As Talal Assad put it: “Europe did not simply expand overseas; it made itself through that expansion.“</w:t>
      </w:r>
      <w:r w:rsidR="000744E9" w:rsidRPr="00CE25E2">
        <w:rPr>
          <w:rStyle w:val="FootnoteReference"/>
        </w:rPr>
        <w:footnoteReference w:id="37"/>
      </w:r>
      <w:r w:rsidR="000744E9" w:rsidRPr="006E64B5">
        <w:rPr>
          <w:rFonts w:asciiTheme="majorBidi" w:hAnsiTheme="majorBidi" w:cstheme="majorBidi"/>
          <w:lang w:val="en-US"/>
        </w:rPr>
        <w:t xml:space="preserve"> </w:t>
      </w:r>
      <w:r w:rsidR="006B366C" w:rsidRPr="006B366C">
        <w:rPr>
          <w:rFonts w:asciiTheme="majorBidi" w:hAnsiTheme="majorBidi" w:cstheme="majorBidi"/>
          <w:lang w:val="en-US"/>
        </w:rPr>
        <w:t>As Europe’s colonial expansion played a central role in shaping</w:t>
      </w:r>
      <w:r w:rsidR="006B366C">
        <w:rPr>
          <w:rFonts w:asciiTheme="majorBidi" w:hAnsiTheme="majorBidi" w:cstheme="majorBidi"/>
          <w:lang w:val="en-US"/>
        </w:rPr>
        <w:t xml:space="preserve"> the continent’s postwar</w:t>
      </w:r>
      <w:r w:rsidR="006B366C" w:rsidRPr="006B366C">
        <w:rPr>
          <w:rFonts w:asciiTheme="majorBidi" w:hAnsiTheme="majorBidi" w:cstheme="majorBidi"/>
          <w:lang w:val="en-US"/>
        </w:rPr>
        <w:t xml:space="preserve"> identity, this legacy also profoundly </w:t>
      </w:r>
      <w:r w:rsidR="006B366C" w:rsidRPr="006B366C">
        <w:rPr>
          <w:rFonts w:asciiTheme="majorBidi" w:hAnsiTheme="majorBidi" w:cstheme="majorBidi"/>
          <w:lang w:val="en-US"/>
        </w:rPr>
        <w:lastRenderedPageBreak/>
        <w:t>influenced Zionism.</w:t>
      </w:r>
      <w:r w:rsidR="006B366C">
        <w:rPr>
          <w:rFonts w:asciiTheme="majorBidi" w:hAnsiTheme="majorBidi" w:cstheme="majorBidi"/>
          <w:lang w:val="en-US"/>
        </w:rPr>
        <w:t xml:space="preserve"> </w:t>
      </w:r>
      <w:r w:rsidR="00594E86">
        <w:rPr>
          <w:rFonts w:asciiTheme="majorBidi" w:hAnsiTheme="majorBidi" w:cstheme="majorBidi"/>
          <w:lang w:val="en-US"/>
        </w:rPr>
        <w:t>The</w:t>
      </w:r>
      <w:r w:rsidR="000744E9" w:rsidRPr="006E64B5">
        <w:rPr>
          <w:rFonts w:asciiTheme="majorBidi" w:hAnsiTheme="majorBidi" w:cstheme="majorBidi"/>
          <w:lang w:val="en-US"/>
        </w:rPr>
        <w:t xml:space="preserve"> </w:t>
      </w:r>
      <w:r w:rsidR="00DE204B">
        <w:rPr>
          <w:rFonts w:asciiTheme="majorBidi" w:hAnsiTheme="majorBidi" w:cstheme="majorBidi"/>
          <w:lang w:val="en-US"/>
        </w:rPr>
        <w:t>Jewish national movement</w:t>
      </w:r>
      <w:r w:rsidR="000744E9" w:rsidRPr="006E64B5">
        <w:rPr>
          <w:rFonts w:asciiTheme="majorBidi" w:hAnsiTheme="majorBidi" w:cstheme="majorBidi"/>
          <w:lang w:val="en-US"/>
        </w:rPr>
        <w:t xml:space="preserve"> adopted many practices and techniques associated with colonial settlement activities and maintained close ties with the British colonial power in Palestine, at least during the 1920s.</w:t>
      </w:r>
      <w:r w:rsidR="00962B12" w:rsidRPr="006E64B5">
        <w:rPr>
          <w:rFonts w:asciiTheme="majorBidi" w:hAnsiTheme="majorBidi" w:cstheme="majorBidi"/>
          <w:lang w:val="en-US"/>
        </w:rPr>
        <w:t xml:space="preserve"> </w:t>
      </w:r>
      <w:r w:rsidR="00D43BD1" w:rsidRPr="00D43BD1">
        <w:rPr>
          <w:rFonts w:asciiTheme="majorBidi" w:hAnsiTheme="majorBidi" w:cstheme="majorBidi"/>
          <w:lang w:val="en-US"/>
        </w:rPr>
        <w:t>In fact, it would have been difficult to conceive of the Zionist project without the context of European overseas expansion.</w:t>
      </w:r>
      <w:r w:rsidR="00227D1E" w:rsidRPr="006E64B5">
        <w:rPr>
          <w:rFonts w:asciiTheme="majorBidi" w:hAnsiTheme="majorBidi" w:cstheme="majorBidi"/>
          <w:lang w:val="en-US"/>
        </w:rPr>
        <w:t xml:space="preserve"> At the same time, </w:t>
      </w:r>
      <w:r w:rsidR="00BE1190" w:rsidRPr="006E64B5">
        <w:rPr>
          <w:rFonts w:asciiTheme="majorBidi" w:hAnsiTheme="majorBidi" w:cstheme="majorBidi"/>
          <w:lang w:val="en-US"/>
        </w:rPr>
        <w:t>Zionism</w:t>
      </w:r>
      <w:r w:rsidR="00227D1E" w:rsidRPr="006E64B5">
        <w:rPr>
          <w:rFonts w:asciiTheme="majorBidi" w:hAnsiTheme="majorBidi" w:cstheme="majorBidi"/>
          <w:lang w:val="en-US"/>
        </w:rPr>
        <w:t xml:space="preserve"> differed from classical European colonialism in numerous respects</w:t>
      </w:r>
      <w:r w:rsidR="00BE1190" w:rsidRPr="006E64B5">
        <w:rPr>
          <w:rFonts w:asciiTheme="majorBidi" w:hAnsiTheme="majorBidi" w:cstheme="majorBidi"/>
          <w:lang w:val="en-US"/>
        </w:rPr>
        <w:t>, for instance</w:t>
      </w:r>
      <w:r w:rsidR="00227D1E" w:rsidRPr="006E64B5">
        <w:rPr>
          <w:rFonts w:asciiTheme="majorBidi" w:hAnsiTheme="majorBidi" w:cstheme="majorBidi"/>
          <w:lang w:val="en-US"/>
        </w:rPr>
        <w:t xml:space="preserve"> by the close connection of Jewish tradition to the land of Israel</w:t>
      </w:r>
      <w:r w:rsidR="00015CD4">
        <w:rPr>
          <w:rFonts w:asciiTheme="majorBidi" w:hAnsiTheme="majorBidi" w:cstheme="majorBidi"/>
          <w:lang w:val="en-US"/>
        </w:rPr>
        <w:t>, as well as a continued presence of Jews there,</w:t>
      </w:r>
      <w:r w:rsidR="00227D1E" w:rsidRPr="006E64B5">
        <w:rPr>
          <w:rFonts w:asciiTheme="majorBidi" w:hAnsiTheme="majorBidi" w:cstheme="majorBidi"/>
          <w:lang w:val="en-US"/>
        </w:rPr>
        <w:t xml:space="preserve"> or the lack of an</w:t>
      </w:r>
      <w:r w:rsidR="00BE1190" w:rsidRPr="006E64B5">
        <w:rPr>
          <w:rFonts w:asciiTheme="majorBidi" w:hAnsiTheme="majorBidi" w:cstheme="majorBidi"/>
          <w:lang w:val="en-US"/>
        </w:rPr>
        <w:t>y</w:t>
      </w:r>
      <w:r w:rsidR="00227D1E" w:rsidRPr="006E64B5">
        <w:rPr>
          <w:rFonts w:asciiTheme="majorBidi" w:hAnsiTheme="majorBidi" w:cstheme="majorBidi"/>
          <w:lang w:val="en-US"/>
        </w:rPr>
        <w:t xml:space="preserve"> imperial center. </w:t>
      </w:r>
      <w:r w:rsidR="004D13E3">
        <w:rPr>
          <w:rFonts w:asciiTheme="majorBidi" w:hAnsiTheme="majorBidi" w:cstheme="majorBidi"/>
          <w:lang w:val="en-US"/>
        </w:rPr>
        <w:t xml:space="preserve">It did not fit neatly into </w:t>
      </w:r>
      <w:r w:rsidR="00227D1E" w:rsidRPr="006E64B5">
        <w:rPr>
          <w:rFonts w:asciiTheme="majorBidi" w:hAnsiTheme="majorBidi" w:cstheme="majorBidi"/>
          <w:lang w:val="en-US"/>
        </w:rPr>
        <w:t xml:space="preserve">the </w:t>
      </w:r>
      <w:r w:rsidR="004D13E3">
        <w:rPr>
          <w:rFonts w:asciiTheme="majorBidi" w:hAnsiTheme="majorBidi" w:cstheme="majorBidi"/>
          <w:lang w:val="en-US"/>
        </w:rPr>
        <w:t>dichotomy of colonialism</w:t>
      </w:r>
      <w:r w:rsidR="00227D1E" w:rsidRPr="006E64B5">
        <w:rPr>
          <w:rFonts w:asciiTheme="majorBidi" w:hAnsiTheme="majorBidi" w:cstheme="majorBidi"/>
          <w:lang w:val="en-US"/>
        </w:rPr>
        <w:t xml:space="preserve">, and </w:t>
      </w:r>
      <w:r w:rsidR="00BC3F78" w:rsidRPr="006E64B5">
        <w:rPr>
          <w:rFonts w:asciiTheme="majorBidi" w:hAnsiTheme="majorBidi" w:cstheme="majorBidi"/>
          <w:lang w:val="en-US"/>
        </w:rPr>
        <w:t>against this backdrop</w:t>
      </w:r>
      <w:r w:rsidR="00227D1E" w:rsidRPr="006E64B5">
        <w:rPr>
          <w:rFonts w:asciiTheme="majorBidi" w:hAnsiTheme="majorBidi" w:cstheme="majorBidi"/>
          <w:lang w:val="en-US"/>
        </w:rPr>
        <w:t xml:space="preserve"> developed an ambivalent relationship to the European </w:t>
      </w:r>
      <w:r w:rsidR="005324DD" w:rsidRPr="006E64B5">
        <w:rPr>
          <w:rFonts w:asciiTheme="majorBidi" w:hAnsiTheme="majorBidi" w:cstheme="majorBidi"/>
          <w:lang w:val="en-US"/>
        </w:rPr>
        <w:t>endeavors</w:t>
      </w:r>
      <w:r w:rsidR="00227D1E" w:rsidRPr="006E64B5">
        <w:rPr>
          <w:rFonts w:asciiTheme="majorBidi" w:hAnsiTheme="majorBidi" w:cstheme="majorBidi"/>
          <w:lang w:val="en-US"/>
        </w:rPr>
        <w:t>.</w:t>
      </w:r>
      <w:r w:rsidR="00B22A42" w:rsidRPr="00CE25E2">
        <w:rPr>
          <w:rStyle w:val="FootnoteReference"/>
        </w:rPr>
        <w:footnoteReference w:id="38"/>
      </w:r>
    </w:p>
    <w:p w14:paraId="2689445F" w14:textId="04855FAF" w:rsidR="006D27B2" w:rsidRPr="006E64B5" w:rsidRDefault="006D27B2" w:rsidP="00734B37">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911985" w:rsidRPr="006E64B5">
        <w:rPr>
          <w:rFonts w:asciiTheme="majorBidi" w:hAnsiTheme="majorBidi" w:cstheme="majorBidi"/>
          <w:lang w:val="en-US"/>
        </w:rPr>
        <w:t>In the 1950s and 1960s, Israeli leaders sought cooperation with both France and Britain. Close ties with the two most prominent colonial powers further complicated the process of Israeli integration in the region. Moreover, by this time the European overseas empires were in sharp decline. The processes of decolonization</w:t>
      </w:r>
      <w:r w:rsidR="00015CD4">
        <w:rPr>
          <w:rFonts w:asciiTheme="majorBidi" w:hAnsiTheme="majorBidi" w:cstheme="majorBidi"/>
          <w:lang w:val="en-US"/>
        </w:rPr>
        <w:t xml:space="preserve"> transformed Europe itself and</w:t>
      </w:r>
      <w:r w:rsidR="00911985" w:rsidRPr="006E64B5">
        <w:rPr>
          <w:rFonts w:asciiTheme="majorBidi" w:hAnsiTheme="majorBidi" w:cstheme="majorBidi"/>
          <w:lang w:val="en-US"/>
        </w:rPr>
        <w:t xml:space="preserve"> impacted on Israel</w:t>
      </w:r>
      <w:r w:rsidR="00D43BD1">
        <w:rPr>
          <w:rFonts w:asciiTheme="majorBidi" w:hAnsiTheme="majorBidi" w:cstheme="majorBidi"/>
          <w:lang w:val="en-US"/>
        </w:rPr>
        <w:t>’</w:t>
      </w:r>
      <w:r w:rsidR="00911985" w:rsidRPr="006E64B5">
        <w:rPr>
          <w:rFonts w:asciiTheme="majorBidi" w:hAnsiTheme="majorBidi" w:cstheme="majorBidi"/>
          <w:lang w:val="en-US"/>
        </w:rPr>
        <w:t xml:space="preserve">s relations with the European colonial powers, and thus on Israeli debates about Europe itself, as we will see in the following chapters. </w:t>
      </w:r>
    </w:p>
    <w:p w14:paraId="04DA23DB" w14:textId="6D4E9870" w:rsidR="00257930" w:rsidRPr="006E64B5" w:rsidRDefault="00BC023C" w:rsidP="00257930">
      <w:pPr>
        <w:spacing w:line="360" w:lineRule="auto"/>
        <w:ind w:firstLine="708"/>
        <w:jc w:val="both"/>
        <w:rPr>
          <w:rFonts w:asciiTheme="majorBidi" w:hAnsiTheme="majorBidi" w:cstheme="majorBidi"/>
          <w:lang w:val="en-US"/>
        </w:rPr>
      </w:pPr>
      <w:r w:rsidRPr="00BC023C">
        <w:rPr>
          <w:rFonts w:asciiTheme="majorBidi" w:hAnsiTheme="majorBidi" w:cstheme="majorBidi"/>
          <w:lang w:val="en-US"/>
        </w:rPr>
        <w:t>Of particular importance was the juxtaposition of the supposedly well-defined and bounded entities of Europe and Asia.</w:t>
      </w:r>
      <w:r w:rsidR="00257930" w:rsidRPr="006E64B5">
        <w:rPr>
          <w:rFonts w:asciiTheme="majorBidi" w:hAnsiTheme="majorBidi" w:cstheme="majorBidi"/>
          <w:lang w:val="en-US"/>
        </w:rPr>
        <w:t xml:space="preserve"> </w:t>
      </w:r>
      <w:r w:rsidR="00A23DF9">
        <w:rPr>
          <w:rFonts w:asciiTheme="majorBidi" w:hAnsiTheme="majorBidi" w:cstheme="majorBidi"/>
          <w:lang w:val="en-US"/>
        </w:rPr>
        <w:t>S</w:t>
      </w:r>
      <w:r w:rsidR="00257930" w:rsidRPr="006E64B5">
        <w:rPr>
          <w:rFonts w:asciiTheme="majorBidi" w:hAnsiTheme="majorBidi" w:cstheme="majorBidi"/>
          <w:lang w:val="en-US"/>
        </w:rPr>
        <w:t xml:space="preserve">cholars have long pointed to the profound mutual dynamics and connections that were constitutive for both continents. For Europeans, Asia, and especially the Islamic world, was an important arena against which </w:t>
      </w:r>
      <w:r w:rsidR="00CD0537" w:rsidRPr="006E64B5">
        <w:rPr>
          <w:rFonts w:asciiTheme="majorBidi" w:hAnsiTheme="majorBidi" w:cstheme="majorBidi"/>
          <w:lang w:val="en-US"/>
        </w:rPr>
        <w:t>they had long</w:t>
      </w:r>
      <w:r w:rsidR="00257930" w:rsidRPr="006E64B5">
        <w:rPr>
          <w:rFonts w:asciiTheme="majorBidi" w:hAnsiTheme="majorBidi" w:cstheme="majorBidi"/>
          <w:lang w:val="en-US"/>
        </w:rPr>
        <w:t xml:space="preserve"> define</w:t>
      </w:r>
      <w:r w:rsidR="00CD0537" w:rsidRPr="006E64B5">
        <w:rPr>
          <w:rFonts w:asciiTheme="majorBidi" w:hAnsiTheme="majorBidi" w:cstheme="majorBidi"/>
          <w:lang w:val="en-US"/>
        </w:rPr>
        <w:t>d</w:t>
      </w:r>
      <w:r w:rsidR="00257930" w:rsidRPr="006E64B5">
        <w:rPr>
          <w:rFonts w:asciiTheme="majorBidi" w:hAnsiTheme="majorBidi" w:cstheme="majorBidi"/>
          <w:lang w:val="en-US"/>
        </w:rPr>
        <w:t xml:space="preserve"> their own European </w:t>
      </w:r>
      <w:r w:rsidR="00B22A42">
        <w:rPr>
          <w:rFonts w:asciiTheme="majorBidi" w:hAnsiTheme="majorBidi" w:cstheme="majorBidi"/>
          <w:lang w:val="en-US"/>
        </w:rPr>
        <w:t>collectivity</w:t>
      </w:r>
      <w:r w:rsidR="00257930" w:rsidRPr="006E64B5">
        <w:rPr>
          <w:rFonts w:asciiTheme="majorBidi" w:hAnsiTheme="majorBidi" w:cstheme="majorBidi"/>
          <w:lang w:val="en-US"/>
        </w:rPr>
        <w:t>.</w:t>
      </w:r>
      <w:r w:rsidR="00257930" w:rsidRPr="00CE25E2">
        <w:rPr>
          <w:rStyle w:val="FootnoteReference"/>
        </w:rPr>
        <w:footnoteReference w:id="39"/>
      </w:r>
      <w:r w:rsidR="003755C5" w:rsidRPr="006E64B5">
        <w:rPr>
          <w:rFonts w:asciiTheme="majorBidi" w:hAnsiTheme="majorBidi" w:cstheme="majorBidi"/>
          <w:lang w:val="en-US"/>
        </w:rPr>
        <w:t xml:space="preserve"> In the wake of Edward Said</w:t>
      </w:r>
      <w:r w:rsidR="00173894" w:rsidRPr="006E64B5">
        <w:rPr>
          <w:rFonts w:asciiTheme="majorBidi" w:hAnsiTheme="majorBidi" w:cstheme="majorBidi"/>
          <w:lang w:val="en-US"/>
        </w:rPr>
        <w:t>’</w:t>
      </w:r>
      <w:r w:rsidR="003755C5" w:rsidRPr="006E64B5">
        <w:rPr>
          <w:rFonts w:asciiTheme="majorBidi" w:hAnsiTheme="majorBidi" w:cstheme="majorBidi"/>
          <w:lang w:val="en-US"/>
        </w:rPr>
        <w:t>s pioneering work on Orientalism,</w:t>
      </w:r>
      <w:r w:rsidR="0049456D" w:rsidRPr="00CE25E2">
        <w:rPr>
          <w:rStyle w:val="FootnoteReference"/>
        </w:rPr>
        <w:footnoteReference w:id="40"/>
      </w:r>
      <w:r w:rsidR="003755C5" w:rsidRPr="006E64B5">
        <w:rPr>
          <w:rFonts w:asciiTheme="majorBidi" w:hAnsiTheme="majorBidi" w:cstheme="majorBidi"/>
          <w:lang w:val="en-US"/>
        </w:rPr>
        <w:t xml:space="preserve"> historians have sought to unravel the multiple Zionist conceptualizations of the Orient and to illuminate the profound ambivalence that Zionists have historically exhibited regarding their position within this cultural landscape.</w:t>
      </w:r>
      <w:r w:rsidR="00C12912" w:rsidRPr="00CE25E2">
        <w:rPr>
          <w:rStyle w:val="FootnoteReference"/>
        </w:rPr>
        <w:footnoteReference w:id="41"/>
      </w:r>
      <w:r w:rsidR="003755C5" w:rsidRPr="006E64B5">
        <w:rPr>
          <w:rFonts w:asciiTheme="majorBidi" w:hAnsiTheme="majorBidi" w:cstheme="majorBidi"/>
          <w:lang w:val="en-US"/>
        </w:rPr>
        <w:t xml:space="preserve"> While a significant portion of the Zionist leadership saw its role as facilitating a “European” presence in the “East,” some intellectuals and activists argued that the desired return to the historic homeland ought to be accompanied by a </w:t>
      </w:r>
      <w:r w:rsidR="003755C5" w:rsidRPr="006E64B5">
        <w:rPr>
          <w:rFonts w:asciiTheme="majorBidi" w:hAnsiTheme="majorBidi" w:cstheme="majorBidi"/>
          <w:lang w:val="en-US"/>
        </w:rPr>
        <w:lastRenderedPageBreak/>
        <w:t xml:space="preserve">reintegration into the local culture and the formation of a </w:t>
      </w:r>
      <w:r w:rsidR="00142EB2" w:rsidRPr="006E64B5">
        <w:rPr>
          <w:rFonts w:asciiTheme="majorBidi" w:hAnsiTheme="majorBidi" w:cstheme="majorBidi"/>
          <w:lang w:val="en-US"/>
        </w:rPr>
        <w:t>“</w:t>
      </w:r>
      <w:r w:rsidR="003755C5" w:rsidRPr="006E64B5">
        <w:rPr>
          <w:rFonts w:asciiTheme="majorBidi" w:hAnsiTheme="majorBidi" w:cstheme="majorBidi"/>
          <w:lang w:val="en-US"/>
        </w:rPr>
        <w:t>pan-Semitic</w:t>
      </w:r>
      <w:r w:rsidR="00142EB2" w:rsidRPr="006E64B5">
        <w:rPr>
          <w:rFonts w:asciiTheme="majorBidi" w:hAnsiTheme="majorBidi" w:cstheme="majorBidi"/>
          <w:lang w:val="en-US"/>
        </w:rPr>
        <w:t>”</w:t>
      </w:r>
      <w:r w:rsidR="003755C5" w:rsidRPr="006E64B5">
        <w:rPr>
          <w:rFonts w:asciiTheme="majorBidi" w:hAnsiTheme="majorBidi" w:cstheme="majorBidi"/>
          <w:lang w:val="en-US"/>
        </w:rPr>
        <w:t xml:space="preserve"> union with the region</w:t>
      </w:r>
      <w:r w:rsidR="002A475E" w:rsidRPr="006E64B5">
        <w:rPr>
          <w:rFonts w:asciiTheme="majorBidi" w:hAnsiTheme="majorBidi" w:cstheme="majorBidi"/>
          <w:lang w:val="en-US"/>
        </w:rPr>
        <w:t>’</w:t>
      </w:r>
      <w:r w:rsidR="003755C5" w:rsidRPr="006E64B5">
        <w:rPr>
          <w:rFonts w:asciiTheme="majorBidi" w:hAnsiTheme="majorBidi" w:cstheme="majorBidi"/>
          <w:lang w:val="en-US"/>
        </w:rPr>
        <w:t xml:space="preserve">s Arab </w:t>
      </w:r>
      <w:r w:rsidR="00A24067" w:rsidRPr="006E64B5">
        <w:rPr>
          <w:rFonts w:asciiTheme="majorBidi" w:hAnsiTheme="majorBidi" w:cstheme="majorBidi"/>
          <w:lang w:val="en-US"/>
        </w:rPr>
        <w:t>populations</w:t>
      </w:r>
      <w:r w:rsidR="003755C5" w:rsidRPr="006E64B5">
        <w:rPr>
          <w:rFonts w:asciiTheme="majorBidi" w:hAnsiTheme="majorBidi" w:cstheme="majorBidi"/>
          <w:lang w:val="en-US"/>
        </w:rPr>
        <w:t>.</w:t>
      </w:r>
      <w:r w:rsidR="00DE1130" w:rsidRPr="00CE25E2">
        <w:rPr>
          <w:rStyle w:val="FootnoteReference"/>
        </w:rPr>
        <w:footnoteReference w:id="42"/>
      </w:r>
    </w:p>
    <w:p w14:paraId="24BEE617" w14:textId="48EB325B" w:rsidR="008C0CED" w:rsidRPr="00613C48" w:rsidRDefault="00CA6144" w:rsidP="009C17DC">
      <w:pPr>
        <w:spacing w:line="360" w:lineRule="auto"/>
        <w:ind w:firstLine="708"/>
        <w:jc w:val="both"/>
        <w:rPr>
          <w:rFonts w:asciiTheme="majorBidi" w:hAnsiTheme="majorBidi" w:cstheme="majorBidi"/>
          <w:lang w:val="en-US"/>
        </w:rPr>
      </w:pPr>
      <w:proofErr w:type="gramStart"/>
      <w:r w:rsidRPr="006E64B5">
        <w:rPr>
          <w:rFonts w:asciiTheme="majorBidi" w:hAnsiTheme="majorBidi" w:cstheme="majorBidi"/>
          <w:lang w:val="en-US"/>
        </w:rPr>
        <w:t>In light of</w:t>
      </w:r>
      <w:proofErr w:type="gramEnd"/>
      <w:r w:rsidRPr="006E64B5">
        <w:rPr>
          <w:rFonts w:asciiTheme="majorBidi" w:hAnsiTheme="majorBidi" w:cstheme="majorBidi"/>
          <w:lang w:val="en-US"/>
        </w:rPr>
        <w:t xml:space="preserve"> the geopolitical developments of the 1930s and 1940s, these ideas seemed to fade into oblivion. In Europe</w:t>
      </w:r>
      <w:r w:rsidR="00066C8C">
        <w:rPr>
          <w:rFonts w:asciiTheme="majorBidi" w:hAnsiTheme="majorBidi" w:cstheme="majorBidi"/>
          <w:lang w:val="en-US"/>
        </w:rPr>
        <w:t>an countries</w:t>
      </w:r>
      <w:r w:rsidRPr="006E64B5">
        <w:rPr>
          <w:rFonts w:asciiTheme="majorBidi" w:hAnsiTheme="majorBidi" w:cstheme="majorBidi"/>
          <w:lang w:val="en-US"/>
        </w:rPr>
        <w:t>, Jews had been vilified as “half-Asians” by opponents of emancipation. In Asia, they seemed to have at last become Europeans.</w:t>
      </w:r>
      <w:r w:rsidR="007327A5" w:rsidRPr="006E64B5">
        <w:rPr>
          <w:rFonts w:asciiTheme="majorBidi" w:hAnsiTheme="majorBidi" w:cstheme="majorBidi"/>
          <w:lang w:val="en-US"/>
        </w:rPr>
        <w:t xml:space="preserve"> </w:t>
      </w:r>
      <w:r w:rsidR="009C17DC" w:rsidRPr="009C17DC">
        <w:rPr>
          <w:rFonts w:asciiTheme="majorBidi" w:hAnsiTheme="majorBidi" w:cstheme="majorBidi"/>
          <w:lang w:val="en-US"/>
        </w:rPr>
        <w:t xml:space="preserve">The immigration of Jews from the Middle East and North Africa (Mizrahim) after Israel's founding further complicated these categories. Ashkenazi elites, now a minority among </w:t>
      </w:r>
      <w:r w:rsidR="009C17DC" w:rsidRPr="006E64B5">
        <w:rPr>
          <w:rFonts w:asciiTheme="majorBidi" w:hAnsiTheme="majorBidi" w:cstheme="majorBidi"/>
          <w:lang w:val="en-US"/>
        </w:rPr>
        <w:t>their brethren from the Arab-Islamic region and the non-Jewish Arab</w:t>
      </w:r>
      <w:r w:rsidR="009C17DC">
        <w:rPr>
          <w:rFonts w:asciiTheme="majorBidi" w:hAnsiTheme="majorBidi" w:cstheme="majorBidi"/>
          <w:lang w:val="en-US"/>
        </w:rPr>
        <w:t>/Palestinian</w:t>
      </w:r>
      <w:r w:rsidR="009C17DC" w:rsidRPr="006E64B5">
        <w:rPr>
          <w:rFonts w:asciiTheme="majorBidi" w:hAnsiTheme="majorBidi" w:cstheme="majorBidi"/>
          <w:lang w:val="en-US"/>
        </w:rPr>
        <w:t xml:space="preserve"> inhabitants of the state</w:t>
      </w:r>
      <w:r w:rsidR="009C17DC" w:rsidRPr="009C17DC">
        <w:rPr>
          <w:rFonts w:asciiTheme="majorBidi" w:hAnsiTheme="majorBidi" w:cstheme="majorBidi"/>
          <w:lang w:val="en-US"/>
        </w:rPr>
        <w:t xml:space="preserve">, sought to </w:t>
      </w:r>
      <w:r w:rsidR="009C17DC">
        <w:rPr>
          <w:rFonts w:asciiTheme="majorBidi" w:hAnsiTheme="majorBidi" w:cstheme="majorBidi"/>
          <w:lang w:val="en-US"/>
        </w:rPr>
        <w:t>‘</w:t>
      </w:r>
      <w:r w:rsidR="009C17DC" w:rsidRPr="009C17DC">
        <w:rPr>
          <w:rFonts w:asciiTheme="majorBidi" w:hAnsiTheme="majorBidi" w:cstheme="majorBidi"/>
          <w:lang w:val="en-US"/>
        </w:rPr>
        <w:t>westernize</w:t>
      </w:r>
      <w:r w:rsidR="009C17DC">
        <w:rPr>
          <w:rFonts w:asciiTheme="majorBidi" w:hAnsiTheme="majorBidi" w:cstheme="majorBidi"/>
          <w:lang w:val="en-US"/>
        </w:rPr>
        <w:t>’</w:t>
      </w:r>
      <w:r w:rsidR="009C17DC" w:rsidRPr="009C17DC">
        <w:rPr>
          <w:rFonts w:asciiTheme="majorBidi" w:hAnsiTheme="majorBidi" w:cstheme="majorBidi"/>
          <w:lang w:val="en-US"/>
        </w:rPr>
        <w:t xml:space="preserve"> </w:t>
      </w:r>
      <w:r w:rsidR="009C17DC">
        <w:rPr>
          <w:rFonts w:asciiTheme="majorBidi" w:hAnsiTheme="majorBidi" w:cstheme="majorBidi"/>
          <w:lang w:val="en-US"/>
        </w:rPr>
        <w:t xml:space="preserve">or ‘Europeanize’ </w:t>
      </w:r>
      <w:r w:rsidR="009C17DC" w:rsidRPr="009C17DC">
        <w:rPr>
          <w:rFonts w:asciiTheme="majorBidi" w:hAnsiTheme="majorBidi" w:cstheme="majorBidi"/>
          <w:lang w:val="en-US"/>
        </w:rPr>
        <w:t>Mizrahi Jews, often adopting Orientalist and condescending attitudes.</w:t>
      </w:r>
      <w:r w:rsidR="00A23DF9" w:rsidRPr="00A23DF9">
        <w:rPr>
          <w:rFonts w:asciiTheme="majorBidi" w:hAnsiTheme="majorBidi" w:cstheme="majorBidi"/>
          <w:lang w:val="en-US"/>
        </w:rPr>
        <w:t xml:space="preserve"> </w:t>
      </w:r>
      <w:r w:rsidR="00BD7841" w:rsidRPr="006E64B5">
        <w:rPr>
          <w:rFonts w:asciiTheme="majorBidi" w:hAnsiTheme="majorBidi" w:cstheme="majorBidi"/>
          <w:lang w:val="en-US"/>
        </w:rPr>
        <w:t xml:space="preserve">“We cannot turn into a Mizrahi people,” novelist Haim </w:t>
      </w:r>
      <w:proofErr w:type="spellStart"/>
      <w:r w:rsidR="00BD7841" w:rsidRPr="006E64B5">
        <w:rPr>
          <w:rFonts w:asciiTheme="majorBidi" w:hAnsiTheme="majorBidi" w:cstheme="majorBidi"/>
          <w:lang w:val="en-US"/>
        </w:rPr>
        <w:t>Hazaz</w:t>
      </w:r>
      <w:proofErr w:type="spellEnd"/>
      <w:r w:rsidR="00BD7841" w:rsidRPr="006E64B5">
        <w:rPr>
          <w:rFonts w:asciiTheme="majorBidi" w:hAnsiTheme="majorBidi" w:cstheme="majorBidi"/>
          <w:lang w:val="en-US"/>
        </w:rPr>
        <w:t xml:space="preserve"> characteristically declared in 1966. “We traveled for two thousand years to become a Jewish European cultural entity. We cannot now turn back the wheel and accept the culture of Yemen, Morocco and Iraq. </w:t>
      </w:r>
      <w:r w:rsidR="00BD7841" w:rsidRPr="00613C48">
        <w:rPr>
          <w:rFonts w:asciiTheme="majorBidi" w:hAnsiTheme="majorBidi" w:cstheme="majorBidi"/>
          <w:lang w:val="en-US"/>
        </w:rPr>
        <w:t xml:space="preserve">We are approaching the abyss </w:t>
      </w:r>
      <w:proofErr w:type="gramStart"/>
      <w:r w:rsidR="00BD7841" w:rsidRPr="00613C48">
        <w:rPr>
          <w:rFonts w:asciiTheme="majorBidi" w:hAnsiTheme="majorBidi" w:cstheme="majorBidi"/>
          <w:lang w:val="en-US"/>
        </w:rPr>
        <w:t>with regard to</w:t>
      </w:r>
      <w:proofErr w:type="gramEnd"/>
      <w:r w:rsidR="00BD7841" w:rsidRPr="00613C48">
        <w:rPr>
          <w:rFonts w:asciiTheme="majorBidi" w:hAnsiTheme="majorBidi" w:cstheme="majorBidi"/>
          <w:lang w:val="en-US"/>
        </w:rPr>
        <w:t xml:space="preserve"> </w:t>
      </w:r>
      <w:proofErr w:type="spellStart"/>
      <w:r w:rsidR="00BD7841" w:rsidRPr="00613C48">
        <w:rPr>
          <w:rFonts w:asciiTheme="majorBidi" w:hAnsiTheme="majorBidi" w:cstheme="majorBidi"/>
          <w:lang w:val="en-US"/>
        </w:rPr>
        <w:t>Levantinism</w:t>
      </w:r>
      <w:proofErr w:type="spellEnd"/>
      <w:r w:rsidR="00BD7841" w:rsidRPr="00613C48">
        <w:rPr>
          <w:rFonts w:asciiTheme="majorBidi" w:hAnsiTheme="majorBidi" w:cstheme="majorBidi"/>
          <w:lang w:val="en-US"/>
        </w:rPr>
        <w:t>.”</w:t>
      </w:r>
      <w:r w:rsidR="00E80476" w:rsidRPr="00CE25E2">
        <w:rPr>
          <w:rStyle w:val="FootnoteReference"/>
        </w:rPr>
        <w:footnoteReference w:id="43"/>
      </w:r>
      <w:r w:rsidR="00AC4604" w:rsidRPr="00613C48">
        <w:rPr>
          <w:rFonts w:asciiTheme="majorBidi" w:hAnsiTheme="majorBidi" w:cstheme="majorBidi"/>
          <w:lang w:val="en-US"/>
        </w:rPr>
        <w:t xml:space="preserve"> </w:t>
      </w:r>
    </w:p>
    <w:p w14:paraId="1828001A" w14:textId="73D173A6" w:rsidR="0069182E" w:rsidRPr="004E1B0C" w:rsidRDefault="001F3071" w:rsidP="0069182E">
      <w:pPr>
        <w:spacing w:line="360" w:lineRule="auto"/>
        <w:ind w:firstLine="708"/>
        <w:jc w:val="both"/>
        <w:rPr>
          <w:rFonts w:asciiTheme="majorBidi" w:hAnsiTheme="majorBidi" w:cstheme="majorBidi"/>
          <w:lang w:val="en-US"/>
        </w:rPr>
      </w:pPr>
      <w:r w:rsidRPr="001F3071">
        <w:rPr>
          <w:rFonts w:asciiTheme="majorBidi" w:hAnsiTheme="majorBidi" w:cstheme="majorBidi"/>
          <w:lang w:val="en-US"/>
        </w:rPr>
        <w:t>As Ashkenazi elites aimed to preserve a European identity amid a growing Mizrahi population, notions of racial and cultural superiority emerged. They often aligned Israel with Europe’s 'whiteness,' contrasting it with the 'blackness' of Africa and 'yellowness' of Asia, reinforcing Eurocentric views.</w:t>
      </w:r>
      <w:r w:rsidR="00E7692B" w:rsidRPr="00E7692B">
        <w:rPr>
          <w:rFonts w:asciiTheme="majorBidi" w:hAnsiTheme="majorBidi" w:cstheme="majorBidi"/>
          <w:lang w:val="en-US"/>
        </w:rPr>
        <w:t xml:space="preserve"> This racialized discourse reinforced Eurocentric ideas within Israeli society.</w:t>
      </w:r>
      <w:r w:rsidR="00E7692B">
        <w:rPr>
          <w:rFonts w:asciiTheme="majorBidi" w:hAnsiTheme="majorBidi" w:cstheme="majorBidi"/>
          <w:lang w:val="en-US"/>
        </w:rPr>
        <w:t xml:space="preserve"> </w:t>
      </w:r>
      <w:r w:rsidR="008747DD" w:rsidRPr="008747DD">
        <w:rPr>
          <w:rFonts w:asciiTheme="majorBidi" w:hAnsiTheme="majorBidi" w:cstheme="majorBidi"/>
          <w:lang w:val="en-US"/>
        </w:rPr>
        <w:t>Inspired by the</w:t>
      </w:r>
      <w:r w:rsidR="008747DD">
        <w:rPr>
          <w:rFonts w:asciiTheme="majorBidi" w:hAnsiTheme="majorBidi" w:cstheme="majorBidi"/>
          <w:lang w:val="en-US"/>
        </w:rPr>
        <w:t xml:space="preserve"> pioneering research of Stuart Hall as well as the</w:t>
      </w:r>
      <w:r w:rsidR="008747DD" w:rsidRPr="008747DD">
        <w:rPr>
          <w:rFonts w:asciiTheme="majorBidi" w:hAnsiTheme="majorBidi" w:cstheme="majorBidi"/>
          <w:lang w:val="en-US"/>
        </w:rPr>
        <w:t xml:space="preserve"> growing field of critical whiteness studies in the United States in recent decades, scholars have examined the continued relevance of race as a category of social stratification and exclusion, despite the discrediting of racism after World War II and the rapid changes in European societies.</w:t>
      </w:r>
      <w:r w:rsidR="004C2EFB" w:rsidRPr="00CE25E2">
        <w:rPr>
          <w:rStyle w:val="FootnoteReference"/>
        </w:rPr>
        <w:footnoteReference w:id="44"/>
      </w:r>
      <w:r w:rsidR="008C0CED" w:rsidRPr="00046936">
        <w:rPr>
          <w:rFonts w:asciiTheme="majorBidi" w:hAnsiTheme="majorBidi" w:cstheme="majorBidi"/>
          <w:lang w:val="en-US"/>
        </w:rPr>
        <w:t xml:space="preserve"> </w:t>
      </w:r>
      <w:r w:rsidR="00C70E64">
        <w:rPr>
          <w:rFonts w:asciiTheme="majorBidi" w:hAnsiTheme="majorBidi" w:cstheme="majorBidi"/>
          <w:lang w:val="en-US"/>
        </w:rPr>
        <w:t>Some Ashkenazi</w:t>
      </w:r>
      <w:r w:rsidR="00046936" w:rsidRPr="00046936">
        <w:rPr>
          <w:rFonts w:asciiTheme="majorBidi" w:hAnsiTheme="majorBidi" w:cstheme="majorBidi"/>
          <w:lang w:val="en-US"/>
        </w:rPr>
        <w:t xml:space="preserve"> </w:t>
      </w:r>
      <w:r w:rsidR="00C70E64">
        <w:rPr>
          <w:rFonts w:asciiTheme="majorBidi" w:hAnsiTheme="majorBidi" w:cstheme="majorBidi"/>
          <w:lang w:val="en-US"/>
        </w:rPr>
        <w:t xml:space="preserve">voices </w:t>
      </w:r>
      <w:r w:rsidR="00046936" w:rsidRPr="00046936">
        <w:rPr>
          <w:rFonts w:asciiTheme="majorBidi" w:hAnsiTheme="majorBidi" w:cstheme="majorBidi"/>
          <w:lang w:val="en-US"/>
        </w:rPr>
        <w:t>echoed such ideas and included Israelis in them, for example in stereotypical depict</w:t>
      </w:r>
      <w:r w:rsidR="002A659B">
        <w:rPr>
          <w:rFonts w:asciiTheme="majorBidi" w:hAnsiTheme="majorBidi" w:cstheme="majorBidi"/>
          <w:lang w:val="en-US"/>
        </w:rPr>
        <w:t>i</w:t>
      </w:r>
      <w:r w:rsidR="00046936" w:rsidRPr="00046936">
        <w:rPr>
          <w:rFonts w:asciiTheme="majorBidi" w:hAnsiTheme="majorBidi" w:cstheme="majorBidi"/>
          <w:lang w:val="en-US"/>
        </w:rPr>
        <w:t>ons</w:t>
      </w:r>
      <w:r w:rsidR="004C2EFB">
        <w:rPr>
          <w:rFonts w:asciiTheme="majorBidi" w:hAnsiTheme="majorBidi" w:cstheme="majorBidi"/>
          <w:lang w:val="en-US"/>
        </w:rPr>
        <w:t xml:space="preserve"> of light-skinned Israelis</w:t>
      </w:r>
      <w:r w:rsidR="002A659B">
        <w:rPr>
          <w:rFonts w:asciiTheme="majorBidi" w:hAnsiTheme="majorBidi" w:cstheme="majorBidi"/>
          <w:lang w:val="en-US"/>
        </w:rPr>
        <w:t xml:space="preserve"> in cartoons </w:t>
      </w:r>
      <w:r w:rsidR="002A659B" w:rsidRPr="002A659B">
        <w:rPr>
          <w:rFonts w:asciiTheme="majorBidi" w:hAnsiTheme="majorBidi" w:cstheme="majorBidi"/>
          <w:lang w:val="en-US"/>
        </w:rPr>
        <w:t xml:space="preserve">(tellingly, in the cartoon discussed at the beginning of this introduction, even Izhar Cohen is depicted as white, despite his </w:t>
      </w:r>
      <w:r w:rsidR="00394010">
        <w:rPr>
          <w:rFonts w:asciiTheme="majorBidi" w:hAnsiTheme="majorBidi" w:cstheme="majorBidi"/>
          <w:lang w:val="en-US"/>
        </w:rPr>
        <w:t xml:space="preserve">Afro and </w:t>
      </w:r>
      <w:r w:rsidR="002A659B" w:rsidRPr="002A659B">
        <w:rPr>
          <w:rFonts w:asciiTheme="majorBidi" w:hAnsiTheme="majorBidi" w:cstheme="majorBidi"/>
          <w:lang w:val="en-US"/>
        </w:rPr>
        <w:t>Yemenite heritage, to say nothing of the blond light-skinned soccer player)</w:t>
      </w:r>
      <w:r w:rsidR="00046936" w:rsidRPr="00046936">
        <w:rPr>
          <w:rFonts w:asciiTheme="majorBidi" w:hAnsiTheme="majorBidi" w:cstheme="majorBidi"/>
          <w:lang w:val="en-US"/>
        </w:rPr>
        <w:t>, or in comments such as those made by journalist Josef „Tommy“ Lapid:</w:t>
      </w:r>
      <w:r w:rsidR="008C0CED" w:rsidRPr="00046936">
        <w:rPr>
          <w:rFonts w:asciiTheme="majorBidi" w:hAnsiTheme="majorBidi" w:cstheme="majorBidi"/>
          <w:lang w:val="en-US"/>
        </w:rPr>
        <w:t xml:space="preserve"> „</w:t>
      </w:r>
      <w:r w:rsidR="008C0CED" w:rsidRPr="00046936">
        <w:rPr>
          <w:rFonts w:asciiTheme="majorBidi" w:eastAsia="Times New Roman" w:hAnsiTheme="majorBidi" w:cstheme="majorBidi"/>
          <w:lang w:val="en-US" w:eastAsia="de-DE"/>
        </w:rPr>
        <w:t>The Asians</w:t>
      </w:r>
      <w:r w:rsidR="00046936">
        <w:rPr>
          <w:rFonts w:asciiTheme="majorBidi" w:eastAsia="Times New Roman" w:hAnsiTheme="majorBidi" w:cstheme="majorBidi"/>
          <w:lang w:val="en-US" w:eastAsia="de-DE"/>
        </w:rPr>
        <w:t xml:space="preserve">,” he stated </w:t>
      </w:r>
      <w:r w:rsidR="004C2EFB">
        <w:rPr>
          <w:rFonts w:asciiTheme="majorBidi" w:eastAsia="Times New Roman" w:hAnsiTheme="majorBidi" w:cstheme="majorBidi"/>
          <w:lang w:val="en-US" w:eastAsia="de-DE"/>
        </w:rPr>
        <w:t xml:space="preserve">in November 1974 </w:t>
      </w:r>
      <w:r w:rsidR="00046936">
        <w:rPr>
          <w:rFonts w:asciiTheme="majorBidi" w:eastAsia="Times New Roman" w:hAnsiTheme="majorBidi" w:cstheme="majorBidi"/>
          <w:lang w:val="en-US" w:eastAsia="de-DE"/>
        </w:rPr>
        <w:t>regarding continental affiliations of his country,</w:t>
      </w:r>
      <w:r w:rsidR="008C0CED" w:rsidRPr="00046936">
        <w:rPr>
          <w:rFonts w:asciiTheme="majorBidi" w:eastAsia="Times New Roman" w:hAnsiTheme="majorBidi" w:cstheme="majorBidi"/>
          <w:lang w:val="en-US" w:eastAsia="de-DE"/>
        </w:rPr>
        <w:t xml:space="preserve"> </w:t>
      </w:r>
      <w:r w:rsidR="00046936">
        <w:rPr>
          <w:rFonts w:asciiTheme="majorBidi" w:eastAsia="Times New Roman" w:hAnsiTheme="majorBidi" w:cstheme="majorBidi"/>
          <w:lang w:val="en-US" w:eastAsia="de-DE"/>
        </w:rPr>
        <w:t>“</w:t>
      </w:r>
      <w:r w:rsidR="008C0CED" w:rsidRPr="00046936">
        <w:rPr>
          <w:rFonts w:asciiTheme="majorBidi" w:eastAsia="Times New Roman" w:hAnsiTheme="majorBidi" w:cstheme="majorBidi"/>
          <w:lang w:val="en-US" w:eastAsia="de-DE"/>
        </w:rPr>
        <w:t xml:space="preserve">[…] say we are ‘Europeans.’ </w:t>
      </w:r>
      <w:r w:rsidR="008C0CED" w:rsidRPr="001D0636">
        <w:rPr>
          <w:rFonts w:asciiTheme="majorBidi" w:eastAsia="Times New Roman" w:hAnsiTheme="majorBidi" w:cstheme="majorBidi"/>
          <w:lang w:val="en-US" w:eastAsia="de-DE"/>
        </w:rPr>
        <w:t xml:space="preserve">Maybe because we are ‘white,’ even if our skin is sometimes darker than theirs; maybe because we </w:t>
      </w:r>
      <w:r w:rsidR="008C0CED" w:rsidRPr="001D0636">
        <w:rPr>
          <w:rFonts w:asciiTheme="majorBidi" w:eastAsia="Times New Roman" w:hAnsiTheme="majorBidi" w:cstheme="majorBidi"/>
          <w:lang w:val="en-US" w:eastAsia="de-DE"/>
        </w:rPr>
        <w:lastRenderedPageBreak/>
        <w:t xml:space="preserve">come from the West; maybe because we are new to the region. </w:t>
      </w:r>
      <w:r w:rsidR="008C0CED" w:rsidRPr="008C0CED">
        <w:rPr>
          <w:rFonts w:asciiTheme="majorBidi" w:eastAsia="Times New Roman" w:hAnsiTheme="majorBidi" w:cstheme="majorBidi"/>
          <w:lang w:val="en-US" w:eastAsia="de-DE"/>
        </w:rPr>
        <w:t>And not only in our minds, but among ourselves, we know they are right.”</w:t>
      </w:r>
      <w:r w:rsidR="008C0CED" w:rsidRPr="00CE25E2">
        <w:rPr>
          <w:rStyle w:val="FootnoteReference"/>
        </w:rPr>
        <w:footnoteReference w:id="45"/>
      </w:r>
      <w:r w:rsidR="008C0CED" w:rsidRPr="008C0CED">
        <w:rPr>
          <w:rFonts w:asciiTheme="majorBidi" w:hAnsiTheme="majorBidi" w:cstheme="majorBidi"/>
          <w:lang w:val="en-US"/>
        </w:rPr>
        <w:t xml:space="preserve"> </w:t>
      </w:r>
      <w:r w:rsidR="00046936" w:rsidRPr="00046936">
        <w:rPr>
          <w:rFonts w:asciiTheme="majorBidi" w:hAnsiTheme="majorBidi" w:cstheme="majorBidi"/>
          <w:lang w:val="en-US"/>
        </w:rPr>
        <w:t xml:space="preserve">In doing so, Lapid and other commentators portrayed themselves as European, and Europeans as white. At the same time, the commentary makes clear that such representations were not only, or even primarily, about skin color or physiological characteristics, but were associated with specific attributes, behaviors, and cultural traits that were assumed to be inherent or </w:t>
      </w:r>
      <w:r w:rsidR="00046936">
        <w:rPr>
          <w:rFonts w:asciiTheme="majorBidi" w:hAnsiTheme="majorBidi" w:cstheme="majorBidi"/>
          <w:lang w:val="en-US"/>
        </w:rPr>
        <w:t>“</w:t>
      </w:r>
      <w:r w:rsidR="00046936" w:rsidRPr="00046936">
        <w:rPr>
          <w:rFonts w:asciiTheme="majorBidi" w:hAnsiTheme="majorBidi" w:cstheme="majorBidi"/>
          <w:lang w:val="en-US"/>
        </w:rPr>
        <w:t xml:space="preserve">natural“ to Europeans and Israelis. </w:t>
      </w:r>
      <w:r w:rsidR="00360513" w:rsidRPr="00360513">
        <w:rPr>
          <w:rFonts w:asciiTheme="majorBidi" w:hAnsiTheme="majorBidi" w:cstheme="majorBidi"/>
          <w:lang w:val="en-US"/>
        </w:rPr>
        <w:t xml:space="preserve">These aspects will be considered, while also addressing the differences in narratives of European whiteness, shaped by Israel’s </w:t>
      </w:r>
      <w:r w:rsidR="00360513">
        <w:rPr>
          <w:rFonts w:asciiTheme="majorBidi" w:hAnsiTheme="majorBidi" w:cstheme="majorBidi"/>
          <w:lang w:val="en-US"/>
        </w:rPr>
        <w:t>specific</w:t>
      </w:r>
      <w:r w:rsidR="00360513" w:rsidRPr="00360513">
        <w:rPr>
          <w:rFonts w:asciiTheme="majorBidi" w:hAnsiTheme="majorBidi" w:cstheme="majorBidi"/>
          <w:lang w:val="en-US"/>
        </w:rPr>
        <w:t xml:space="preserve"> historical, geographical, and cultural context.</w:t>
      </w:r>
      <w:r w:rsidR="00360513" w:rsidRPr="00360513">
        <w:rPr>
          <w:rStyle w:val="FootnoteReference"/>
          <w:rFonts w:asciiTheme="majorBidi" w:hAnsiTheme="majorBidi" w:cstheme="majorBidi"/>
          <w:vertAlign w:val="baseline"/>
          <w:lang w:val="en-US"/>
        </w:rPr>
        <w:t xml:space="preserve"> </w:t>
      </w:r>
      <w:r w:rsidR="008747DD" w:rsidRPr="00CE25E2">
        <w:rPr>
          <w:rStyle w:val="FootnoteReference"/>
        </w:rPr>
        <w:footnoteReference w:id="46"/>
      </w:r>
    </w:p>
    <w:p w14:paraId="350AB78B" w14:textId="5411CE9F" w:rsidR="00E05E69" w:rsidRPr="00F73236" w:rsidRDefault="00A575E9" w:rsidP="00BD7841">
      <w:pPr>
        <w:spacing w:line="360" w:lineRule="auto"/>
        <w:ind w:firstLine="708"/>
        <w:jc w:val="both"/>
        <w:rPr>
          <w:rFonts w:asciiTheme="majorBidi" w:hAnsiTheme="majorBidi" w:cstheme="majorBidi"/>
          <w:lang w:val="en-US"/>
        </w:rPr>
      </w:pPr>
      <w:r w:rsidRPr="006E64B5">
        <w:rPr>
          <w:rFonts w:asciiTheme="majorBidi" w:hAnsiTheme="majorBidi" w:cstheme="majorBidi"/>
          <w:lang w:val="en-US"/>
        </w:rPr>
        <w:t xml:space="preserve">During the last </w:t>
      </w:r>
      <w:r w:rsidR="00134126" w:rsidRPr="006E64B5">
        <w:rPr>
          <w:rFonts w:asciiTheme="majorBidi" w:hAnsiTheme="majorBidi" w:cstheme="majorBidi"/>
          <w:lang w:val="en-US"/>
        </w:rPr>
        <w:t>decades</w:t>
      </w:r>
      <w:r w:rsidRPr="006E64B5">
        <w:rPr>
          <w:rFonts w:asciiTheme="majorBidi" w:hAnsiTheme="majorBidi" w:cstheme="majorBidi"/>
          <w:lang w:val="en-US"/>
        </w:rPr>
        <w:t>, scholars have conducted important work in identifying the Eurocentric perspectives that have historically shaped state and societal norms, and in exposing the pervasive discrimination faced by Mizrahi Jews and Arab/Palestinian citizens of Israel.</w:t>
      </w:r>
      <w:r w:rsidR="00E80476" w:rsidRPr="00CE25E2">
        <w:rPr>
          <w:rStyle w:val="FootnoteReference"/>
        </w:rPr>
        <w:footnoteReference w:id="47"/>
      </w:r>
      <w:r w:rsidRPr="006E64B5">
        <w:rPr>
          <w:rFonts w:asciiTheme="majorBidi" w:hAnsiTheme="majorBidi" w:cstheme="majorBidi"/>
          <w:lang w:val="en-US"/>
        </w:rPr>
        <w:t xml:space="preserve"> Yet notwithstanding the substantial value of this literature, there is still a need for a more in-depth examination of Israeli perceptions of Europe.</w:t>
      </w:r>
      <w:r w:rsidR="00857EA4" w:rsidRPr="006E64B5">
        <w:rPr>
          <w:rFonts w:asciiTheme="majorBidi" w:hAnsiTheme="majorBidi" w:cstheme="majorBidi"/>
          <w:lang w:val="en-US"/>
        </w:rPr>
        <w:t xml:space="preserve"> Ella </w:t>
      </w:r>
      <w:proofErr w:type="spellStart"/>
      <w:r w:rsidR="00857EA4" w:rsidRPr="006E64B5">
        <w:rPr>
          <w:rFonts w:asciiTheme="majorBidi" w:hAnsiTheme="majorBidi" w:cstheme="majorBidi"/>
          <w:lang w:val="en-US"/>
        </w:rPr>
        <w:t>Shohat</w:t>
      </w:r>
      <w:proofErr w:type="spellEnd"/>
      <w:r w:rsidR="00857EA4" w:rsidRPr="006E64B5">
        <w:rPr>
          <w:rFonts w:asciiTheme="majorBidi" w:hAnsiTheme="majorBidi" w:cstheme="majorBidi"/>
          <w:lang w:val="en-US"/>
        </w:rPr>
        <w:t>, for example, who has been instrumental in advancing these discussions, speaks in truncated terms simply of “Euro-Israel.”</w:t>
      </w:r>
      <w:r w:rsidR="00857EA4" w:rsidRPr="00CE25E2">
        <w:rPr>
          <w:rStyle w:val="FootnoteReference"/>
        </w:rPr>
        <w:footnoteReference w:id="48"/>
      </w:r>
      <w:r w:rsidR="00857EA4" w:rsidRPr="006E64B5">
        <w:rPr>
          <w:rFonts w:asciiTheme="majorBidi" w:hAnsiTheme="majorBidi" w:cstheme="majorBidi"/>
          <w:lang w:val="en-US"/>
        </w:rPr>
        <w:t xml:space="preserve"> </w:t>
      </w:r>
      <w:r w:rsidR="005057C7">
        <w:rPr>
          <w:rFonts w:asciiTheme="majorBidi" w:hAnsiTheme="majorBidi" w:cstheme="majorBidi"/>
          <w:lang w:val="en-US"/>
        </w:rPr>
        <w:t>T</w:t>
      </w:r>
      <w:r w:rsidR="005057C7" w:rsidRPr="005057C7">
        <w:rPr>
          <w:rFonts w:asciiTheme="majorBidi" w:hAnsiTheme="majorBidi" w:cstheme="majorBidi"/>
          <w:lang w:val="en-US"/>
        </w:rPr>
        <w:t xml:space="preserve">he term has </w:t>
      </w:r>
      <w:r w:rsidR="005057C7">
        <w:rPr>
          <w:rFonts w:asciiTheme="majorBidi" w:hAnsiTheme="majorBidi" w:cstheme="majorBidi"/>
          <w:lang w:val="en-US"/>
        </w:rPr>
        <w:t xml:space="preserve">indeed </w:t>
      </w:r>
      <w:r w:rsidR="005057C7" w:rsidRPr="005057C7">
        <w:rPr>
          <w:rFonts w:asciiTheme="majorBidi" w:hAnsiTheme="majorBidi" w:cstheme="majorBidi"/>
          <w:lang w:val="en-US"/>
        </w:rPr>
        <w:t>become a common shorthand in scholarship that seeks to deconstruct Eurocentric representations of Israel.</w:t>
      </w:r>
      <w:r w:rsidR="005057C7" w:rsidRPr="00CE25E2">
        <w:rPr>
          <w:rStyle w:val="FootnoteReference"/>
        </w:rPr>
        <w:footnoteReference w:id="49"/>
      </w:r>
      <w:r w:rsidR="005057C7" w:rsidRPr="005057C7">
        <w:rPr>
          <w:rFonts w:asciiTheme="majorBidi" w:hAnsiTheme="majorBidi" w:cstheme="majorBidi"/>
          <w:lang w:val="en-US"/>
        </w:rPr>
        <w:t xml:space="preserve"> </w:t>
      </w:r>
      <w:r w:rsidR="00857EA4" w:rsidRPr="006E64B5">
        <w:rPr>
          <w:rFonts w:asciiTheme="majorBidi" w:hAnsiTheme="majorBidi" w:cstheme="majorBidi"/>
          <w:lang w:val="en-US"/>
        </w:rPr>
        <w:t>This view, however, essentializes European influences</w:t>
      </w:r>
      <w:r w:rsidR="00015CD4">
        <w:rPr>
          <w:rFonts w:asciiTheme="majorBidi" w:hAnsiTheme="majorBidi" w:cstheme="majorBidi"/>
          <w:lang w:val="en-US"/>
        </w:rPr>
        <w:t xml:space="preserve"> as well as Europe itself</w:t>
      </w:r>
      <w:r w:rsidR="00857EA4" w:rsidRPr="006E64B5">
        <w:rPr>
          <w:rFonts w:asciiTheme="majorBidi" w:hAnsiTheme="majorBidi" w:cstheme="majorBidi"/>
          <w:lang w:val="en-US"/>
        </w:rPr>
        <w:t>, much like the Eurocentric worldview of those it rightly criticizes. After all, Ashkenazi Jews are not simply Europeans</w:t>
      </w:r>
      <w:r w:rsidR="008918FC">
        <w:rPr>
          <w:rFonts w:asciiTheme="majorBidi" w:hAnsiTheme="majorBidi" w:cstheme="majorBidi"/>
          <w:lang w:val="en-US"/>
        </w:rPr>
        <w:t>,</w:t>
      </w:r>
      <w:r w:rsidR="00857EA4" w:rsidRPr="006E64B5">
        <w:rPr>
          <w:rFonts w:asciiTheme="majorBidi" w:hAnsiTheme="majorBidi" w:cstheme="majorBidi"/>
          <w:lang w:val="en-US"/>
        </w:rPr>
        <w:t xml:space="preserve"> </w:t>
      </w:r>
      <w:r w:rsidR="008918FC">
        <w:rPr>
          <w:rFonts w:asciiTheme="majorBidi" w:hAnsiTheme="majorBidi" w:cstheme="majorBidi"/>
          <w:lang w:val="en-US"/>
        </w:rPr>
        <w:t xml:space="preserve">much </w:t>
      </w:r>
      <w:r w:rsidR="00857EA4" w:rsidRPr="006E64B5">
        <w:rPr>
          <w:rFonts w:asciiTheme="majorBidi" w:hAnsiTheme="majorBidi" w:cstheme="majorBidi"/>
          <w:lang w:val="en-US"/>
        </w:rPr>
        <w:t>less Western Europeans. By deconstructing the notion of “Ashkenazi Jewry” as (Western) European, scholars have begun to inquire how Israeli Jews of Eastern and Central European heritage became secularized and “Western.”</w:t>
      </w:r>
      <w:r w:rsidR="00857EA4" w:rsidRPr="00CE25E2">
        <w:rPr>
          <w:rStyle w:val="FootnoteReference"/>
        </w:rPr>
        <w:footnoteReference w:id="50"/>
      </w:r>
      <w:r w:rsidR="00857EA4" w:rsidRPr="006E64B5">
        <w:rPr>
          <w:rFonts w:asciiTheme="majorBidi" w:hAnsiTheme="majorBidi" w:cstheme="majorBidi"/>
          <w:lang w:val="en-US"/>
        </w:rPr>
        <w:t xml:space="preserve"> Ashkenazim, as has already become clear, held deeply ambivalent feelings </w:t>
      </w:r>
      <w:r w:rsidR="00857EA4" w:rsidRPr="006E64B5">
        <w:rPr>
          <w:rFonts w:asciiTheme="majorBidi" w:hAnsiTheme="majorBidi" w:cstheme="majorBidi"/>
          <w:lang w:val="en-US"/>
        </w:rPr>
        <w:lastRenderedPageBreak/>
        <w:t xml:space="preserve">about the continent. </w:t>
      </w:r>
      <w:proofErr w:type="gramStart"/>
      <w:r w:rsidR="00857EA4" w:rsidRPr="006E64B5">
        <w:rPr>
          <w:rFonts w:asciiTheme="majorBidi" w:hAnsiTheme="majorBidi" w:cstheme="majorBidi"/>
          <w:lang w:val="en-US"/>
        </w:rPr>
        <w:t>With this in mind, this</w:t>
      </w:r>
      <w:proofErr w:type="gramEnd"/>
      <w:r w:rsidR="00857EA4" w:rsidRPr="006E64B5">
        <w:rPr>
          <w:rFonts w:asciiTheme="majorBidi" w:hAnsiTheme="majorBidi" w:cstheme="majorBidi"/>
          <w:lang w:val="en-US"/>
        </w:rPr>
        <w:t xml:space="preserve"> study examines the Ashkenazi dominated debates on Europe with a critical eye on Eurocentric perspectives and, wherever possible, attempts to make Mizrahi voices visible.</w:t>
      </w:r>
      <w:r w:rsidR="006D590D">
        <w:rPr>
          <w:rFonts w:asciiTheme="majorBidi" w:hAnsiTheme="majorBidi" w:cstheme="majorBidi"/>
          <w:lang w:val="en-US"/>
        </w:rPr>
        <w:t xml:space="preserve"> </w:t>
      </w:r>
      <w:r w:rsidR="006D590D" w:rsidRPr="006D590D">
        <w:rPr>
          <w:rFonts w:asciiTheme="majorBidi" w:hAnsiTheme="majorBidi" w:cstheme="majorBidi"/>
          <w:lang w:val="en-US"/>
        </w:rPr>
        <w:t xml:space="preserve">The analysis is centered on the discussions within the Zionist sector, while critically </w:t>
      </w:r>
      <w:proofErr w:type="gramStart"/>
      <w:r w:rsidR="006D590D" w:rsidRPr="006D590D">
        <w:rPr>
          <w:rFonts w:asciiTheme="majorBidi" w:hAnsiTheme="majorBidi" w:cstheme="majorBidi"/>
          <w:lang w:val="en-US"/>
        </w:rPr>
        <w:t>taking into account</w:t>
      </w:r>
      <w:proofErr w:type="gramEnd"/>
      <w:r w:rsidR="006D590D" w:rsidRPr="006D590D">
        <w:rPr>
          <w:rFonts w:asciiTheme="majorBidi" w:hAnsiTheme="majorBidi" w:cstheme="majorBidi"/>
          <w:lang w:val="en-US"/>
        </w:rPr>
        <w:t xml:space="preserve"> the fact that these discussions often excluded, and even </w:t>
      </w:r>
      <w:r w:rsidR="00613C48">
        <w:rPr>
          <w:rFonts w:asciiTheme="majorBidi" w:hAnsiTheme="majorBidi" w:cstheme="majorBidi"/>
          <w:lang w:val="en-US"/>
        </w:rPr>
        <w:t>ignored</w:t>
      </w:r>
      <w:r w:rsidR="006D590D" w:rsidRPr="006D590D">
        <w:rPr>
          <w:rFonts w:asciiTheme="majorBidi" w:hAnsiTheme="majorBidi" w:cstheme="majorBidi"/>
          <w:lang w:val="en-US"/>
        </w:rPr>
        <w:t xml:space="preserve">, the existence </w:t>
      </w:r>
      <w:r w:rsidR="006D590D">
        <w:rPr>
          <w:rFonts w:asciiTheme="majorBidi" w:hAnsiTheme="majorBidi" w:cstheme="majorBidi"/>
          <w:lang w:val="en-US"/>
        </w:rPr>
        <w:t xml:space="preserve">not only of Mizrahim, but even more so of Arab/Palestinian and ultraorthodox Israelis as </w:t>
      </w:r>
      <w:r w:rsidR="006D590D" w:rsidRPr="006D590D">
        <w:rPr>
          <w:rFonts w:asciiTheme="majorBidi" w:hAnsiTheme="majorBidi" w:cstheme="majorBidi"/>
          <w:lang w:val="en-US"/>
        </w:rPr>
        <w:t xml:space="preserve">component of Israeli society. </w:t>
      </w:r>
      <w:r w:rsidR="00857EA4" w:rsidRPr="006E64B5">
        <w:rPr>
          <w:rFonts w:asciiTheme="majorBidi" w:hAnsiTheme="majorBidi" w:cstheme="majorBidi"/>
          <w:lang w:val="en-US"/>
        </w:rPr>
        <w:t xml:space="preserve">Such a reading draws </w:t>
      </w:r>
      <w:r w:rsidR="00134126" w:rsidRPr="006E64B5">
        <w:rPr>
          <w:rFonts w:asciiTheme="majorBidi" w:hAnsiTheme="majorBidi" w:cstheme="majorBidi"/>
          <w:lang w:val="en-US"/>
        </w:rPr>
        <w:t>on</w:t>
      </w:r>
      <w:r w:rsidR="00857EA4" w:rsidRPr="006E64B5">
        <w:rPr>
          <w:rFonts w:asciiTheme="majorBidi" w:hAnsiTheme="majorBidi" w:cstheme="majorBidi"/>
          <w:lang w:val="en-US"/>
        </w:rPr>
        <w:t xml:space="preserve"> the criticism of Zionism by Mizrahi scholars, yet simultaneously challenges the simplistic and totalizing notion of </w:t>
      </w:r>
      <w:r w:rsidR="00D35C1D" w:rsidRPr="006E64B5">
        <w:rPr>
          <w:rFonts w:asciiTheme="majorBidi" w:hAnsiTheme="majorBidi" w:cstheme="majorBidi"/>
          <w:lang w:val="en-US"/>
        </w:rPr>
        <w:t>“</w:t>
      </w:r>
      <w:r w:rsidR="00857EA4" w:rsidRPr="006E64B5">
        <w:rPr>
          <w:rFonts w:asciiTheme="majorBidi" w:hAnsiTheme="majorBidi" w:cstheme="majorBidi"/>
          <w:lang w:val="en-US"/>
        </w:rPr>
        <w:t>Euro-Israel.</w:t>
      </w:r>
      <w:r w:rsidR="00D35C1D" w:rsidRPr="006E64B5">
        <w:rPr>
          <w:rFonts w:asciiTheme="majorBidi" w:hAnsiTheme="majorBidi" w:cstheme="majorBidi"/>
          <w:lang w:val="en-US"/>
        </w:rPr>
        <w:t>”</w:t>
      </w:r>
      <w:r w:rsidR="00857EA4" w:rsidRPr="006E64B5">
        <w:rPr>
          <w:rFonts w:asciiTheme="majorBidi" w:hAnsiTheme="majorBidi" w:cstheme="majorBidi"/>
          <w:lang w:val="en-US"/>
        </w:rPr>
        <w:t xml:space="preserve"> In this way, it demonstrates that Zionist Israel should not be simply understood as an </w:t>
      </w:r>
      <w:r w:rsidR="00D35C1D" w:rsidRPr="006E64B5">
        <w:rPr>
          <w:rFonts w:asciiTheme="majorBidi" w:hAnsiTheme="majorBidi" w:cstheme="majorBidi"/>
          <w:lang w:val="en-US"/>
        </w:rPr>
        <w:t>“</w:t>
      </w:r>
      <w:r w:rsidR="00857EA4" w:rsidRPr="006E64B5">
        <w:rPr>
          <w:rFonts w:asciiTheme="majorBidi" w:hAnsiTheme="majorBidi" w:cstheme="majorBidi"/>
          <w:lang w:val="en-US"/>
        </w:rPr>
        <w:t>outpost of the West</w:t>
      </w:r>
      <w:r w:rsidR="00D35C1D" w:rsidRPr="006E64B5">
        <w:rPr>
          <w:rFonts w:asciiTheme="majorBidi" w:hAnsiTheme="majorBidi" w:cstheme="majorBidi"/>
          <w:lang w:val="en-US"/>
        </w:rPr>
        <w:t>”</w:t>
      </w:r>
      <w:r w:rsidR="00857EA4" w:rsidRPr="006E64B5">
        <w:rPr>
          <w:rFonts w:asciiTheme="majorBidi" w:hAnsiTheme="majorBidi" w:cstheme="majorBidi"/>
          <w:lang w:val="en-US"/>
        </w:rPr>
        <w:t xml:space="preserve"> and reveals the deep ambivalence of many </w:t>
      </w:r>
      <w:r w:rsidR="00547EA5">
        <w:rPr>
          <w:rFonts w:asciiTheme="majorBidi" w:hAnsiTheme="majorBidi" w:cstheme="majorBidi"/>
          <w:lang w:val="en-US"/>
        </w:rPr>
        <w:t>commentators</w:t>
      </w:r>
      <w:r w:rsidR="00857EA4" w:rsidRPr="006E64B5">
        <w:rPr>
          <w:rFonts w:asciiTheme="majorBidi" w:hAnsiTheme="majorBidi" w:cstheme="majorBidi"/>
          <w:lang w:val="en-US"/>
        </w:rPr>
        <w:t xml:space="preserve"> towards such geo-cultural affiliations.</w:t>
      </w:r>
      <w:r w:rsidR="00AF76AE" w:rsidRPr="00F73236">
        <w:rPr>
          <w:rFonts w:asciiTheme="majorBidi" w:hAnsiTheme="majorBidi" w:cstheme="majorBidi"/>
          <w:lang w:val="en-US"/>
        </w:rPr>
        <w:t xml:space="preserve"> </w:t>
      </w:r>
    </w:p>
    <w:p w14:paraId="1C19DDE6" w14:textId="0BA207C5" w:rsidR="00EA71DB" w:rsidRPr="00E2016B" w:rsidRDefault="00EA71DB" w:rsidP="00E2016B">
      <w:pPr>
        <w:spacing w:line="360" w:lineRule="auto"/>
        <w:ind w:firstLine="708"/>
        <w:jc w:val="both"/>
        <w:rPr>
          <w:rFonts w:asciiTheme="majorBidi" w:hAnsiTheme="majorBidi" w:cstheme="majorBidi"/>
          <w:lang/>
        </w:rPr>
      </w:pPr>
      <w:r w:rsidRPr="006E64B5">
        <w:rPr>
          <w:rFonts w:asciiTheme="majorBidi" w:hAnsiTheme="majorBidi" w:cstheme="majorBidi"/>
          <w:lang w:val="en-US"/>
        </w:rPr>
        <w:t xml:space="preserve">In this context, it is necessary to consider the political and economic power relations mentioned above. </w:t>
      </w:r>
      <w:r w:rsidR="008918FC" w:rsidRPr="008918FC">
        <w:rPr>
          <w:rFonts w:asciiTheme="majorBidi" w:hAnsiTheme="majorBidi" w:cstheme="majorBidi"/>
          <w:lang w:val="en-US"/>
        </w:rPr>
        <w:t xml:space="preserve">Sociologist Tomasz </w:t>
      </w:r>
      <w:proofErr w:type="spellStart"/>
      <w:r w:rsidR="008918FC" w:rsidRPr="008918FC">
        <w:rPr>
          <w:rFonts w:asciiTheme="majorBidi" w:hAnsiTheme="majorBidi" w:cstheme="majorBidi"/>
          <w:lang w:val="en-US"/>
        </w:rPr>
        <w:t>Zaryck</w:t>
      </w:r>
      <w:proofErr w:type="spellEnd"/>
      <w:r w:rsidR="008918FC" w:rsidRPr="008918FC">
        <w:rPr>
          <w:rFonts w:asciiTheme="majorBidi" w:hAnsiTheme="majorBidi" w:cstheme="majorBidi"/>
          <w:lang w:val="en-US"/>
        </w:rPr>
        <w:t xml:space="preserve"> notes that in Central and Eastern Europe, defining oneself as 'Western' is almost unavoidable due to regional dependencies. He writes, </w:t>
      </w:r>
      <w:r w:rsidR="008918FC">
        <w:rPr>
          <w:rFonts w:asciiTheme="majorBidi" w:hAnsiTheme="majorBidi" w:cstheme="majorBidi"/>
          <w:lang w:val="en-US"/>
        </w:rPr>
        <w:t>“</w:t>
      </w:r>
      <w:r w:rsidR="008918FC" w:rsidRPr="008918FC">
        <w:rPr>
          <w:rFonts w:asciiTheme="majorBidi" w:hAnsiTheme="majorBidi" w:cstheme="majorBidi"/>
          <w:lang w:val="en-US"/>
        </w:rPr>
        <w:t xml:space="preserve">rejection of </w:t>
      </w:r>
      <w:proofErr w:type="spellStart"/>
      <w:r w:rsidR="008918FC" w:rsidRPr="008918FC">
        <w:rPr>
          <w:rFonts w:asciiTheme="majorBidi" w:hAnsiTheme="majorBidi" w:cstheme="majorBidi"/>
          <w:lang w:val="en-US"/>
        </w:rPr>
        <w:t>Westness</w:t>
      </w:r>
      <w:proofErr w:type="spellEnd"/>
      <w:r w:rsidR="008918FC" w:rsidRPr="008918FC">
        <w:rPr>
          <w:rFonts w:asciiTheme="majorBidi" w:hAnsiTheme="majorBidi" w:cstheme="majorBidi"/>
          <w:lang w:val="en-US"/>
        </w:rPr>
        <w:t xml:space="preserve"> is practically impossible; it would be seen as nihilism or extreme nationalism.</w:t>
      </w:r>
      <w:r w:rsidR="008918FC">
        <w:rPr>
          <w:rFonts w:asciiTheme="majorBidi" w:hAnsiTheme="majorBidi" w:cstheme="majorBidi"/>
          <w:lang w:val="en-US"/>
        </w:rPr>
        <w:t>”</w:t>
      </w:r>
      <w:r w:rsidR="008918FC" w:rsidRPr="008918FC">
        <w:rPr>
          <w:rFonts w:asciiTheme="majorBidi" w:hAnsiTheme="majorBidi" w:cstheme="majorBidi"/>
          <w:lang w:val="en-US"/>
        </w:rPr>
        <w:t xml:space="preserve"> Similarly, Israel’s dependence on Europe and the West recurs in debates amid regional tensions and its geopolitical isolation.</w:t>
      </w:r>
      <w:r w:rsidR="003E58E8" w:rsidRPr="00CE25E2">
        <w:rPr>
          <w:rStyle w:val="FootnoteReference"/>
        </w:rPr>
        <w:footnoteReference w:id="51"/>
      </w:r>
      <w:r w:rsidR="0037329E" w:rsidRPr="006E64B5">
        <w:rPr>
          <w:rFonts w:asciiTheme="majorBidi" w:hAnsiTheme="majorBidi" w:cstheme="majorBidi"/>
          <w:lang w:val="en-US"/>
        </w:rPr>
        <w:t xml:space="preserve"> </w:t>
      </w:r>
      <w:r w:rsidR="00E177E2" w:rsidRPr="006E64B5">
        <w:rPr>
          <w:rFonts w:asciiTheme="majorBidi" w:hAnsiTheme="majorBidi" w:cstheme="majorBidi"/>
          <w:lang w:val="en-US"/>
        </w:rPr>
        <w:t>In this sense, a comment made by Julius Margolin, a Pinsk-born writer, in the context of the non-alignment debates of the early 1950s, that “the West will not recognize us until we cease to arouse skepticism through policies directed at the Levantine mob and the Soviet fifth column,” can be read both an example of unbridled Eurocentrism and at the same time as a reflection of the profound dependence on such relationships.</w:t>
      </w:r>
      <w:r w:rsidR="00F600E1" w:rsidRPr="00CE25E2">
        <w:rPr>
          <w:rStyle w:val="FootnoteReference"/>
        </w:rPr>
        <w:footnoteReference w:id="52"/>
      </w:r>
      <w:r w:rsidR="00E177E2" w:rsidRPr="006E64B5">
        <w:rPr>
          <w:rFonts w:asciiTheme="majorBidi" w:hAnsiTheme="majorBidi" w:cstheme="majorBidi"/>
          <w:lang w:val="en-US"/>
        </w:rPr>
        <w:t xml:space="preserve"> </w:t>
      </w:r>
      <w:r w:rsidR="00E2016B">
        <w:rPr>
          <w:rFonts w:asciiTheme="majorBidi" w:hAnsiTheme="majorBidi" w:cstheme="majorBidi"/>
          <w:lang w:val="en-US"/>
        </w:rPr>
        <w:t>Translating such feelings into concrete policies, in 1952 Foreign Minister Moshe Sharett stated that by mostly cultivating ties with Europe and the US, Israeli leaders were “</w:t>
      </w:r>
      <w:r w:rsidR="00E2016B" w:rsidRPr="00E2016B">
        <w:rPr>
          <w:rFonts w:asciiTheme="majorBidi" w:hAnsiTheme="majorBidi" w:cstheme="majorBidi"/>
          <w:lang/>
        </w:rPr>
        <w:t>simply obeying and iron law of our national existence</w:t>
      </w:r>
      <w:r w:rsidR="00E2016B">
        <w:rPr>
          <w:rFonts w:asciiTheme="majorBidi" w:hAnsiTheme="majorBidi" w:cstheme="majorBidi"/>
          <w:lang/>
        </w:rPr>
        <w:t>.”</w:t>
      </w:r>
      <w:r w:rsidR="00E2016B" w:rsidRPr="00CE25E2">
        <w:rPr>
          <w:rStyle w:val="FootnoteReference"/>
        </w:rPr>
        <w:footnoteReference w:id="53"/>
      </w:r>
      <w:r w:rsidR="00E2016B">
        <w:rPr>
          <w:rFonts w:asciiTheme="majorBidi" w:hAnsiTheme="majorBidi" w:cstheme="majorBidi"/>
          <w:lang/>
        </w:rPr>
        <w:t xml:space="preserve"> </w:t>
      </w:r>
      <w:r w:rsidR="00B24099" w:rsidRPr="006E64B5">
        <w:rPr>
          <w:rFonts w:asciiTheme="majorBidi" w:hAnsiTheme="majorBidi" w:cstheme="majorBidi"/>
          <w:lang w:val="en-US"/>
        </w:rPr>
        <w:t xml:space="preserve">As we will see, </w:t>
      </w:r>
      <w:r w:rsidR="00D52EB5" w:rsidRPr="00D52EB5">
        <w:rPr>
          <w:rFonts w:asciiTheme="majorBidi" w:hAnsiTheme="majorBidi" w:cstheme="majorBidi"/>
          <w:lang w:val="en-US"/>
        </w:rPr>
        <w:t>Mizrahi intellectuals, despite criticizing Israel’s Eurocentrism, did not reject Western influences outright.</w:t>
      </w:r>
      <w:r w:rsidR="00D52EB5">
        <w:rPr>
          <w:rFonts w:asciiTheme="majorBidi" w:hAnsiTheme="majorBidi" w:cstheme="majorBidi"/>
          <w:lang w:val="en-US"/>
        </w:rPr>
        <w:t xml:space="preserve"> </w:t>
      </w:r>
      <w:r w:rsidR="00F21868" w:rsidRPr="00F21868">
        <w:rPr>
          <w:rFonts w:asciiTheme="majorBidi" w:hAnsiTheme="majorBidi" w:cstheme="majorBidi"/>
          <w:lang w:val="en-US"/>
        </w:rPr>
        <w:t xml:space="preserve">Instead, </w:t>
      </w:r>
      <w:r w:rsidR="00D52EB5" w:rsidRPr="00D52EB5">
        <w:rPr>
          <w:rFonts w:asciiTheme="majorBidi" w:hAnsiTheme="majorBidi" w:cstheme="majorBidi"/>
          <w:lang w:val="en-US"/>
        </w:rPr>
        <w:t>they advocated for a balanced relationship that respected ties to both Europe and the Middle East</w:t>
      </w:r>
      <w:r w:rsidR="00F21868" w:rsidRPr="00F21868">
        <w:rPr>
          <w:rFonts w:asciiTheme="majorBidi" w:hAnsiTheme="majorBidi" w:cstheme="majorBidi"/>
          <w:lang w:val="en-US"/>
        </w:rPr>
        <w:t>, while challenging the hierarchical power dynamics imposed by Ashkenazi elites.</w:t>
      </w:r>
      <w:r w:rsidR="00B24099" w:rsidRPr="006E64B5">
        <w:rPr>
          <w:rFonts w:asciiTheme="majorBidi" w:hAnsiTheme="majorBidi" w:cstheme="majorBidi"/>
          <w:lang w:val="en-US"/>
        </w:rPr>
        <w:t xml:space="preserve"> “We want a Western society,” wrote Iraqi-born journalist Ahron Geva in Davar in 1976, “and the argument that Ashkenazim come from the West is irrelevant. […] What counts is that </w:t>
      </w:r>
      <w:proofErr w:type="gramStart"/>
      <w:r w:rsidR="00B24099" w:rsidRPr="006E64B5">
        <w:rPr>
          <w:rFonts w:asciiTheme="majorBidi" w:hAnsiTheme="majorBidi" w:cstheme="majorBidi"/>
          <w:lang w:val="en-US"/>
        </w:rPr>
        <w:t>the vast majority of</w:t>
      </w:r>
      <w:proofErr w:type="gramEnd"/>
      <w:r w:rsidR="00B24099" w:rsidRPr="006E64B5">
        <w:rPr>
          <w:rFonts w:asciiTheme="majorBidi" w:hAnsiTheme="majorBidi" w:cstheme="majorBidi"/>
          <w:lang w:val="en-US"/>
        </w:rPr>
        <w:t xml:space="preserve"> people, representing all ethnic groups, without exception, want to live in such a society.</w:t>
      </w:r>
      <w:r w:rsidR="002F3899" w:rsidRPr="006E64B5">
        <w:rPr>
          <w:rFonts w:asciiTheme="majorBidi" w:hAnsiTheme="majorBidi" w:cstheme="majorBidi"/>
          <w:lang w:val="en-US"/>
        </w:rPr>
        <w:t>”</w:t>
      </w:r>
      <w:r w:rsidR="002F3899" w:rsidRPr="00CE25E2">
        <w:rPr>
          <w:rStyle w:val="FootnoteReference"/>
        </w:rPr>
        <w:footnoteReference w:id="54"/>
      </w:r>
    </w:p>
    <w:p w14:paraId="4F1277E3" w14:textId="75E9CBA8" w:rsidR="00DE1130" w:rsidRPr="006E64B5" w:rsidRDefault="00D52EB5" w:rsidP="00257930">
      <w:pPr>
        <w:spacing w:line="360" w:lineRule="auto"/>
        <w:ind w:firstLine="708"/>
        <w:jc w:val="both"/>
        <w:rPr>
          <w:rFonts w:asciiTheme="majorBidi" w:hAnsiTheme="majorBidi" w:cstheme="majorBidi"/>
          <w:lang w:val="en-US"/>
        </w:rPr>
      </w:pPr>
      <w:r w:rsidRPr="00D52EB5">
        <w:rPr>
          <w:rFonts w:asciiTheme="majorBidi" w:hAnsiTheme="majorBidi" w:cstheme="majorBidi"/>
          <w:lang w:val="en-US"/>
        </w:rPr>
        <w:lastRenderedPageBreak/>
        <w:t>Building on Dipesh Chakrabarty’s</w:t>
      </w:r>
      <w:r>
        <w:rPr>
          <w:rFonts w:asciiTheme="majorBidi" w:hAnsiTheme="majorBidi" w:cstheme="majorBidi"/>
          <w:lang w:val="en-US"/>
        </w:rPr>
        <w:t xml:space="preserve"> influential</w:t>
      </w:r>
      <w:r w:rsidRPr="00D52EB5">
        <w:rPr>
          <w:rFonts w:asciiTheme="majorBidi" w:hAnsiTheme="majorBidi" w:cstheme="majorBidi"/>
          <w:lang w:val="en-US"/>
        </w:rPr>
        <w:t xml:space="preserve"> </w:t>
      </w:r>
      <w:r>
        <w:rPr>
          <w:rFonts w:asciiTheme="majorBidi" w:hAnsiTheme="majorBidi" w:cstheme="majorBidi"/>
          <w:lang w:val="en-US"/>
        </w:rPr>
        <w:t>“</w:t>
      </w:r>
      <w:r w:rsidRPr="00D52EB5">
        <w:rPr>
          <w:rFonts w:asciiTheme="majorBidi" w:hAnsiTheme="majorBidi" w:cstheme="majorBidi"/>
          <w:lang w:val="en-US"/>
        </w:rPr>
        <w:t>provincializing Europe,</w:t>
      </w:r>
      <w:r>
        <w:rPr>
          <w:rFonts w:asciiTheme="majorBidi" w:hAnsiTheme="majorBidi" w:cstheme="majorBidi"/>
          <w:lang w:val="en-US"/>
        </w:rPr>
        <w:t>”</w:t>
      </w:r>
      <w:r w:rsidR="002D51B0" w:rsidRPr="002D51B0">
        <w:rPr>
          <w:rStyle w:val="FootnoteReference"/>
          <w:lang w:val="en-US"/>
        </w:rPr>
        <w:t xml:space="preserve"> </w:t>
      </w:r>
      <w:r w:rsidR="002D51B0" w:rsidRPr="00CE25E2">
        <w:rPr>
          <w:rStyle w:val="FootnoteReference"/>
        </w:rPr>
        <w:footnoteReference w:id="55"/>
      </w:r>
      <w:r w:rsidRPr="00D52EB5">
        <w:rPr>
          <w:rFonts w:asciiTheme="majorBidi" w:hAnsiTheme="majorBidi" w:cstheme="majorBidi"/>
          <w:lang w:val="en-US"/>
        </w:rPr>
        <w:t xml:space="preserve"> postcolonial scholars have increasingly challenged Eurocentric notions, questioning a universal path to modernity and dismantling</w:t>
      </w:r>
      <w:r w:rsidR="00AA66A1" w:rsidRPr="006E64B5">
        <w:rPr>
          <w:rFonts w:asciiTheme="majorBidi" w:hAnsiTheme="majorBidi" w:cstheme="majorBidi"/>
          <w:lang w:val="en-US"/>
        </w:rPr>
        <w:t xml:space="preserve"> rigid binaries</w:t>
      </w:r>
      <w:r w:rsidR="002D51B0">
        <w:rPr>
          <w:rFonts w:asciiTheme="majorBidi" w:hAnsiTheme="majorBidi" w:cstheme="majorBidi"/>
          <w:lang w:val="en-US"/>
        </w:rPr>
        <w:t xml:space="preserve"> like </w:t>
      </w:r>
      <w:r w:rsidR="00AA66A1" w:rsidRPr="006E64B5">
        <w:rPr>
          <w:rFonts w:asciiTheme="majorBidi" w:hAnsiTheme="majorBidi" w:cstheme="majorBidi"/>
          <w:lang w:val="en-US"/>
        </w:rPr>
        <w:t>Europe</w:t>
      </w:r>
      <w:r w:rsidR="002D51B0">
        <w:rPr>
          <w:rFonts w:asciiTheme="majorBidi" w:hAnsiTheme="majorBidi" w:cstheme="majorBidi"/>
          <w:lang w:val="en-US"/>
        </w:rPr>
        <w:t>/</w:t>
      </w:r>
      <w:r w:rsidR="00AA66A1" w:rsidRPr="006E64B5">
        <w:rPr>
          <w:rFonts w:asciiTheme="majorBidi" w:hAnsiTheme="majorBidi" w:cstheme="majorBidi"/>
          <w:lang w:val="en-US"/>
        </w:rPr>
        <w:t>Asia</w:t>
      </w:r>
      <w:r w:rsidR="002D51B0">
        <w:rPr>
          <w:rFonts w:asciiTheme="majorBidi" w:hAnsiTheme="majorBidi" w:cstheme="majorBidi"/>
          <w:lang w:val="en-US"/>
        </w:rPr>
        <w:t xml:space="preserve">, </w:t>
      </w:r>
      <w:r w:rsidR="00AA66A1" w:rsidRPr="006E64B5">
        <w:rPr>
          <w:rFonts w:asciiTheme="majorBidi" w:hAnsiTheme="majorBidi" w:cstheme="majorBidi"/>
          <w:lang w:val="en-US"/>
        </w:rPr>
        <w:t>East</w:t>
      </w:r>
      <w:r w:rsidR="002D51B0">
        <w:rPr>
          <w:rFonts w:asciiTheme="majorBidi" w:hAnsiTheme="majorBidi" w:cstheme="majorBidi"/>
          <w:lang w:val="en-US"/>
        </w:rPr>
        <w:t>/</w:t>
      </w:r>
      <w:r w:rsidR="00AA66A1" w:rsidRPr="006E64B5">
        <w:rPr>
          <w:rFonts w:asciiTheme="majorBidi" w:hAnsiTheme="majorBidi" w:cstheme="majorBidi"/>
          <w:lang w:val="en-US"/>
        </w:rPr>
        <w:t>West or colonialists</w:t>
      </w:r>
      <w:r w:rsidR="002D51B0">
        <w:rPr>
          <w:rFonts w:asciiTheme="majorBidi" w:hAnsiTheme="majorBidi" w:cstheme="majorBidi"/>
          <w:lang w:val="en-US"/>
        </w:rPr>
        <w:t>/</w:t>
      </w:r>
      <w:r w:rsidR="00AA66A1" w:rsidRPr="006E64B5">
        <w:rPr>
          <w:rFonts w:asciiTheme="majorBidi" w:hAnsiTheme="majorBidi" w:cstheme="majorBidi"/>
          <w:lang w:val="en-US"/>
        </w:rPr>
        <w:t>colonized.</w:t>
      </w:r>
      <w:r w:rsidR="004C5D18" w:rsidRPr="006E64B5">
        <w:rPr>
          <w:rFonts w:asciiTheme="majorBidi" w:hAnsiTheme="majorBidi" w:cstheme="majorBidi"/>
          <w:lang w:val="en-US"/>
        </w:rPr>
        <w:t xml:space="preserve"> In this context, Walter </w:t>
      </w:r>
      <w:proofErr w:type="spellStart"/>
      <w:r w:rsidR="004C5D18" w:rsidRPr="006E64B5">
        <w:rPr>
          <w:rFonts w:asciiTheme="majorBidi" w:hAnsiTheme="majorBidi" w:cstheme="majorBidi"/>
          <w:lang w:val="en-US"/>
        </w:rPr>
        <w:t>Mignolo</w:t>
      </w:r>
      <w:proofErr w:type="spellEnd"/>
      <w:r w:rsidR="004C5D18" w:rsidRPr="006E64B5">
        <w:rPr>
          <w:rFonts w:asciiTheme="majorBidi" w:hAnsiTheme="majorBidi" w:cstheme="majorBidi"/>
          <w:lang w:val="en-US"/>
        </w:rPr>
        <w:t xml:space="preserve"> coined the term “border thinking,” which aims to critically question both Western universalism and Eastern challenges and nationalism, thereby overcoming the “love/hate attitude toward the Western core.”</w:t>
      </w:r>
      <w:r w:rsidR="007E2288" w:rsidRPr="00CE25E2">
        <w:rPr>
          <w:rStyle w:val="FootnoteReference"/>
        </w:rPr>
        <w:footnoteReference w:id="56"/>
      </w:r>
      <w:r w:rsidR="004C5D18" w:rsidRPr="006E64B5">
        <w:rPr>
          <w:rFonts w:asciiTheme="majorBidi" w:hAnsiTheme="majorBidi" w:cstheme="majorBidi"/>
          <w:lang w:val="en-US"/>
        </w:rPr>
        <w:t xml:space="preserve"> Such approaches are increasingly being adopted in other fields as well.</w:t>
      </w:r>
      <w:r w:rsidR="004C5D18" w:rsidRPr="00CE25E2">
        <w:rPr>
          <w:rStyle w:val="FootnoteReference"/>
        </w:rPr>
        <w:footnoteReference w:id="57"/>
      </w:r>
    </w:p>
    <w:p w14:paraId="3369C32B" w14:textId="3BAAC2D6" w:rsidR="00107EA8" w:rsidRPr="004B5C7C" w:rsidRDefault="00107EA8" w:rsidP="00257930">
      <w:pPr>
        <w:spacing w:line="360" w:lineRule="auto"/>
        <w:ind w:firstLine="708"/>
        <w:jc w:val="both"/>
        <w:rPr>
          <w:rFonts w:asciiTheme="majorBidi" w:hAnsiTheme="majorBidi" w:cstheme="majorBidi"/>
          <w:lang w:val="en-US"/>
        </w:rPr>
      </w:pPr>
      <w:r w:rsidRPr="006E64B5">
        <w:rPr>
          <w:rFonts w:asciiTheme="majorBidi" w:hAnsiTheme="majorBidi" w:cstheme="majorBidi"/>
          <w:lang w:val="en-US"/>
        </w:rPr>
        <w:t>Discussions about Israel and its position in the Middle East have historically often been characterized by the establishment of precisely such rigid binaries.</w:t>
      </w:r>
      <w:r w:rsidR="0004204A" w:rsidRPr="00CE25E2">
        <w:rPr>
          <w:rStyle w:val="FootnoteReference"/>
        </w:rPr>
        <w:footnoteReference w:id="58"/>
      </w:r>
      <w:r w:rsidRPr="006E64B5">
        <w:rPr>
          <w:rFonts w:asciiTheme="majorBidi" w:hAnsiTheme="majorBidi" w:cstheme="majorBidi"/>
          <w:lang w:val="en-US"/>
        </w:rPr>
        <w:t xml:space="preserve"> </w:t>
      </w:r>
      <w:r w:rsidR="00B25B65" w:rsidRPr="006E64B5">
        <w:rPr>
          <w:rFonts w:asciiTheme="majorBidi" w:hAnsiTheme="majorBidi" w:cstheme="majorBidi"/>
          <w:lang w:val="en-US"/>
        </w:rPr>
        <w:t>Moreover, these</w:t>
      </w:r>
      <w:r w:rsidRPr="006E64B5">
        <w:rPr>
          <w:rFonts w:asciiTheme="majorBidi" w:hAnsiTheme="majorBidi" w:cstheme="majorBidi"/>
          <w:lang w:val="en-US"/>
        </w:rPr>
        <w:t xml:space="preserve"> dichotomies have also</w:t>
      </w:r>
      <w:r w:rsidR="00B25B65" w:rsidRPr="006E64B5">
        <w:rPr>
          <w:rFonts w:asciiTheme="majorBidi" w:hAnsiTheme="majorBidi" w:cstheme="majorBidi"/>
          <w:lang w:val="en-US"/>
        </w:rPr>
        <w:t xml:space="preserve"> been reflected</w:t>
      </w:r>
      <w:r w:rsidRPr="006E64B5">
        <w:rPr>
          <w:rFonts w:asciiTheme="majorBidi" w:hAnsiTheme="majorBidi" w:cstheme="majorBidi"/>
          <w:lang w:val="en-US"/>
        </w:rPr>
        <w:t xml:space="preserve"> in academic discourse, as evidenced by phrases such as Israel being “from Europe but not in Europe” or “in the Middle East but not of the Middle East.”</w:t>
      </w:r>
      <w:r w:rsidR="001F3396" w:rsidRPr="00CE25E2">
        <w:rPr>
          <w:rStyle w:val="FootnoteReference"/>
        </w:rPr>
        <w:footnoteReference w:id="59"/>
      </w:r>
      <w:r w:rsidR="003D2190" w:rsidRPr="006E64B5">
        <w:rPr>
          <w:rFonts w:asciiTheme="majorBidi" w:hAnsiTheme="majorBidi" w:cstheme="majorBidi"/>
          <w:lang w:val="en-US"/>
        </w:rPr>
        <w:t xml:space="preserve"> </w:t>
      </w:r>
      <w:r w:rsidR="00DA5661" w:rsidRPr="00DA5661">
        <w:rPr>
          <w:rFonts w:asciiTheme="majorBidi" w:hAnsiTheme="majorBidi" w:cstheme="majorBidi"/>
          <w:lang w:val="en-US"/>
        </w:rPr>
        <w:t xml:space="preserve">These dichotomies are </w:t>
      </w:r>
      <w:r w:rsidR="00C90D33">
        <w:rPr>
          <w:rFonts w:asciiTheme="majorBidi" w:hAnsiTheme="majorBidi" w:cstheme="majorBidi"/>
          <w:lang w:val="en-US"/>
        </w:rPr>
        <w:t>especially relevant</w:t>
      </w:r>
      <w:r w:rsidR="00DA5661" w:rsidRPr="00DA5661">
        <w:rPr>
          <w:rFonts w:asciiTheme="majorBidi" w:hAnsiTheme="majorBidi" w:cstheme="majorBidi"/>
          <w:lang w:val="en-US"/>
        </w:rPr>
        <w:t xml:space="preserve"> to the debates surrounding Zionism and colonialism, where Israel is often cast as either a settler-colonial state imposed on indigenous Arab peoples or entirely disconnected from colonial frameworks</w:t>
      </w:r>
      <w:r w:rsidR="00937E81">
        <w:rPr>
          <w:rFonts w:asciiTheme="majorBidi" w:hAnsiTheme="majorBidi" w:cstheme="majorBidi"/>
          <w:lang w:val="en-US"/>
        </w:rPr>
        <w:t>, a</w:t>
      </w:r>
      <w:r w:rsidR="009C157C">
        <w:rPr>
          <w:rFonts w:asciiTheme="majorBidi" w:hAnsiTheme="majorBidi" w:cstheme="majorBidi"/>
          <w:lang w:val="en-US"/>
        </w:rPr>
        <w:t>s</w:t>
      </w:r>
      <w:r w:rsidR="00937E81">
        <w:rPr>
          <w:rFonts w:asciiTheme="majorBidi" w:hAnsiTheme="majorBidi" w:cstheme="majorBidi"/>
          <w:lang w:val="en-US"/>
        </w:rPr>
        <w:t xml:space="preserve"> </w:t>
      </w:r>
      <w:r w:rsidR="009C157C">
        <w:rPr>
          <w:rFonts w:asciiTheme="majorBidi" w:hAnsiTheme="majorBidi" w:cstheme="majorBidi"/>
          <w:lang w:val="en-US"/>
        </w:rPr>
        <w:t xml:space="preserve">Derek </w:t>
      </w:r>
      <w:proofErr w:type="spellStart"/>
      <w:r w:rsidR="009C157C">
        <w:rPr>
          <w:rFonts w:asciiTheme="majorBidi" w:hAnsiTheme="majorBidi" w:cstheme="majorBidi"/>
          <w:lang w:val="en-US"/>
        </w:rPr>
        <w:t>Penslar</w:t>
      </w:r>
      <w:proofErr w:type="spellEnd"/>
      <w:r w:rsidR="009C157C">
        <w:rPr>
          <w:rFonts w:asciiTheme="majorBidi" w:hAnsiTheme="majorBidi" w:cstheme="majorBidi"/>
          <w:lang w:val="en-US"/>
        </w:rPr>
        <w:t xml:space="preserve"> </w:t>
      </w:r>
      <w:r w:rsidR="00937E81">
        <w:rPr>
          <w:rFonts w:asciiTheme="majorBidi" w:hAnsiTheme="majorBidi" w:cstheme="majorBidi"/>
          <w:lang w:val="en-US"/>
        </w:rPr>
        <w:t xml:space="preserve">has </w:t>
      </w:r>
      <w:r w:rsidR="009C157C">
        <w:rPr>
          <w:rFonts w:asciiTheme="majorBidi" w:hAnsiTheme="majorBidi" w:cstheme="majorBidi"/>
          <w:lang w:val="en-US"/>
        </w:rPr>
        <w:t>pointedly</w:t>
      </w:r>
      <w:r w:rsidR="00937E81">
        <w:rPr>
          <w:rFonts w:asciiTheme="majorBidi" w:hAnsiTheme="majorBidi" w:cstheme="majorBidi"/>
          <w:lang w:val="en-US"/>
        </w:rPr>
        <w:t xml:space="preserve"> criticized</w:t>
      </w:r>
      <w:r w:rsidR="00DA5661" w:rsidRPr="00DA5661">
        <w:rPr>
          <w:rFonts w:asciiTheme="majorBidi" w:hAnsiTheme="majorBidi" w:cstheme="majorBidi"/>
          <w:lang w:val="en-US"/>
        </w:rPr>
        <w:t>.</w:t>
      </w:r>
      <w:r w:rsidR="007E2288" w:rsidRPr="00CE25E2">
        <w:rPr>
          <w:rStyle w:val="FootnoteReference"/>
        </w:rPr>
        <w:footnoteReference w:id="60"/>
      </w:r>
      <w:r w:rsidR="00DA18F6" w:rsidRPr="006E64B5">
        <w:rPr>
          <w:rFonts w:asciiTheme="majorBidi" w:hAnsiTheme="majorBidi" w:cstheme="majorBidi"/>
          <w:lang w:val="en-US"/>
        </w:rPr>
        <w:t xml:space="preserve"> </w:t>
      </w:r>
      <w:r w:rsidR="00BB0A98" w:rsidRPr="00BB0A98">
        <w:rPr>
          <w:rFonts w:asciiTheme="majorBidi" w:hAnsiTheme="majorBidi" w:cstheme="majorBidi"/>
          <w:lang w:val="en-US"/>
        </w:rPr>
        <w:t>A critical analysis of Israeli images of Europe challenges these simplistic representations, highlighting the complexity of Israeli perceptions and self-images</w:t>
      </w:r>
      <w:r w:rsidR="00DA18F6" w:rsidRPr="006E64B5">
        <w:rPr>
          <w:rFonts w:asciiTheme="majorBidi" w:hAnsiTheme="majorBidi" w:cstheme="majorBidi"/>
          <w:lang w:val="en-US"/>
        </w:rPr>
        <w:t>.</w:t>
      </w:r>
    </w:p>
    <w:p w14:paraId="308463E4" w14:textId="1887D057" w:rsidR="004175AE" w:rsidRPr="004175AE" w:rsidRDefault="001D6111" w:rsidP="00665E95">
      <w:pPr>
        <w:spacing w:line="360" w:lineRule="auto"/>
        <w:ind w:firstLine="708"/>
        <w:jc w:val="both"/>
        <w:rPr>
          <w:rFonts w:asciiTheme="majorBidi" w:hAnsiTheme="majorBidi" w:cstheme="majorBidi"/>
          <w:lang w:val="en-US"/>
        </w:rPr>
      </w:pPr>
      <w:r w:rsidRPr="001D6111">
        <w:rPr>
          <w:rFonts w:asciiTheme="majorBidi" w:hAnsiTheme="majorBidi" w:cstheme="majorBidi"/>
          <w:lang w:val="en-US"/>
        </w:rPr>
        <w:t>The book highlights the dynamic and fluid nature of these perceptions and their interplay with other affiliations</w:t>
      </w:r>
      <w:r>
        <w:rPr>
          <w:rFonts w:asciiTheme="majorBidi" w:hAnsiTheme="majorBidi" w:cstheme="majorBidi"/>
          <w:lang w:val="en-US"/>
        </w:rPr>
        <w:t>.</w:t>
      </w:r>
      <w:r w:rsidR="0014746E" w:rsidRPr="00CE25E2">
        <w:rPr>
          <w:rStyle w:val="FootnoteReference"/>
        </w:rPr>
        <w:footnoteReference w:id="61"/>
      </w:r>
      <w:r w:rsidR="003038C0" w:rsidRPr="006E64B5">
        <w:rPr>
          <w:rFonts w:asciiTheme="majorBidi" w:hAnsiTheme="majorBidi" w:cstheme="majorBidi"/>
          <w:lang w:val="en-US"/>
        </w:rPr>
        <w:t xml:space="preserve"> By way of example, in the context of the challenges facing Israeli soccer in Asia, numerous commentators constructed a highly positive image of European civilization and subtly incorporated Israel into it.</w:t>
      </w:r>
      <w:r w:rsidR="00A9795A">
        <w:rPr>
          <w:rFonts w:asciiTheme="majorBidi" w:hAnsiTheme="majorBidi" w:cstheme="majorBidi"/>
          <w:lang w:val="en-US"/>
        </w:rPr>
        <w:t xml:space="preserve"> </w:t>
      </w:r>
      <w:r w:rsidR="00A9795A" w:rsidRPr="00A9795A">
        <w:rPr>
          <w:rFonts w:asciiTheme="majorBidi" w:hAnsiTheme="majorBidi" w:cstheme="majorBidi"/>
          <w:lang w:val="en-US"/>
        </w:rPr>
        <w:t xml:space="preserve">In contrast, Israeli basketball’s integration into European leagues highlighted tensions around their European identity, as they were seen as </w:t>
      </w:r>
      <w:r w:rsidR="00A9795A">
        <w:rPr>
          <w:rFonts w:asciiTheme="majorBidi" w:hAnsiTheme="majorBidi" w:cstheme="majorBidi"/>
          <w:lang w:val="en-US"/>
        </w:rPr>
        <w:t>“</w:t>
      </w:r>
      <w:r w:rsidR="00A9795A" w:rsidRPr="00A9795A">
        <w:rPr>
          <w:rFonts w:asciiTheme="majorBidi" w:hAnsiTheme="majorBidi" w:cstheme="majorBidi"/>
          <w:lang w:val="en-US"/>
        </w:rPr>
        <w:t xml:space="preserve">an </w:t>
      </w:r>
      <w:r w:rsidR="00A9795A" w:rsidRPr="00A9795A">
        <w:rPr>
          <w:rFonts w:asciiTheme="majorBidi" w:hAnsiTheme="majorBidi" w:cstheme="majorBidi"/>
          <w:lang w:val="en-US"/>
        </w:rPr>
        <w:lastRenderedPageBreak/>
        <w:t>Asian team playing for European trophies with an American team.</w:t>
      </w:r>
      <w:r w:rsidR="00A9795A">
        <w:rPr>
          <w:rFonts w:asciiTheme="majorBidi" w:hAnsiTheme="majorBidi" w:cstheme="majorBidi"/>
          <w:lang w:val="en-US"/>
        </w:rPr>
        <w:t>”</w:t>
      </w:r>
      <w:r w:rsidR="00A9795A" w:rsidRPr="00CE25E2">
        <w:rPr>
          <w:rStyle w:val="FootnoteReference"/>
        </w:rPr>
        <w:footnoteReference w:id="62"/>
      </w:r>
      <w:r w:rsidR="00A9795A" w:rsidRPr="00A9795A">
        <w:rPr>
          <w:rFonts w:asciiTheme="majorBidi" w:hAnsiTheme="majorBidi" w:cstheme="majorBidi"/>
          <w:lang w:val="en-US"/>
        </w:rPr>
        <w:t xml:space="preserve"> Similarly, at the Eurovision Song Contest, Israelis did not simply present themselves as a Europeans either. Rather, participation in sports and cultural events provided space for debate about </w:t>
      </w:r>
      <w:r w:rsidR="00A9795A">
        <w:rPr>
          <w:rFonts w:asciiTheme="majorBidi" w:hAnsiTheme="majorBidi" w:cstheme="majorBidi"/>
          <w:lang w:val="en-US"/>
        </w:rPr>
        <w:t>the continent’s</w:t>
      </w:r>
      <w:r w:rsidR="00A9795A" w:rsidRPr="00A9795A">
        <w:rPr>
          <w:rFonts w:asciiTheme="majorBidi" w:hAnsiTheme="majorBidi" w:cstheme="majorBidi"/>
          <w:lang w:val="en-US"/>
        </w:rPr>
        <w:t xml:space="preserve"> significance to Israel.</w:t>
      </w:r>
      <w:r w:rsidR="00665E95">
        <w:rPr>
          <w:rFonts w:asciiTheme="majorBidi" w:hAnsiTheme="majorBidi" w:cstheme="majorBidi"/>
          <w:lang w:val="en-US"/>
        </w:rPr>
        <w:t xml:space="preserve"> </w:t>
      </w:r>
      <w:r w:rsidR="001865E8">
        <w:rPr>
          <w:rFonts w:asciiTheme="majorBidi" w:hAnsiTheme="majorBidi" w:cstheme="majorBidi"/>
          <w:lang w:val="en-US"/>
        </w:rPr>
        <w:t>What is more</w:t>
      </w:r>
      <w:r w:rsidR="001865E8" w:rsidRPr="001865E8">
        <w:rPr>
          <w:rFonts w:asciiTheme="majorBidi" w:hAnsiTheme="majorBidi" w:cstheme="majorBidi"/>
          <w:lang w:val="en-US"/>
        </w:rPr>
        <w:t>, through their participation in sports and music, Israelis not only debated their affiliation with European culture, but actively contributed to and shaped it.</w:t>
      </w:r>
      <w:r w:rsidR="002F154C" w:rsidRPr="006E64B5">
        <w:rPr>
          <w:rFonts w:asciiTheme="majorBidi" w:hAnsiTheme="majorBidi" w:cstheme="majorBidi"/>
          <w:lang w:val="en-US"/>
        </w:rPr>
        <w:t xml:space="preserve"> </w:t>
      </w:r>
      <w:r w:rsidR="00EC71B8" w:rsidRPr="00EC71B8">
        <w:rPr>
          <w:rFonts w:asciiTheme="majorBidi" w:hAnsiTheme="majorBidi" w:cstheme="majorBidi"/>
          <w:lang w:val="en-US"/>
        </w:rPr>
        <w:t>This study explores the multifaceted images of Europe in Israeli discourse during the second half of the 20th century, examining how Israelis positioned themselves and defined their society in relation to Europe.</w:t>
      </w:r>
    </w:p>
    <w:p w14:paraId="0E1F7928" w14:textId="77777777" w:rsidR="007F0C2F" w:rsidRPr="006E64B5" w:rsidRDefault="007F0C2F" w:rsidP="007F0C2F">
      <w:pPr>
        <w:spacing w:line="360" w:lineRule="auto"/>
        <w:jc w:val="both"/>
        <w:rPr>
          <w:rFonts w:asciiTheme="majorBidi" w:hAnsiTheme="majorBidi" w:cstheme="majorBidi"/>
          <w:lang w:val="en-US"/>
        </w:rPr>
      </w:pPr>
    </w:p>
    <w:p w14:paraId="6DA2126C" w14:textId="77777777" w:rsidR="007F0C2F" w:rsidRPr="006E64B5" w:rsidRDefault="007F0C2F" w:rsidP="007F0C2F">
      <w:pPr>
        <w:spacing w:line="360" w:lineRule="auto"/>
        <w:jc w:val="both"/>
        <w:rPr>
          <w:rFonts w:asciiTheme="majorBidi" w:hAnsiTheme="majorBidi" w:cstheme="majorBidi"/>
          <w:b/>
          <w:lang w:val="en-US"/>
        </w:rPr>
      </w:pPr>
      <w:r w:rsidRPr="006E64B5">
        <w:rPr>
          <w:rFonts w:asciiTheme="majorBidi" w:hAnsiTheme="majorBidi" w:cstheme="majorBidi"/>
          <w:b/>
          <w:lang w:val="en-US"/>
        </w:rPr>
        <w:t xml:space="preserve">Chapters </w:t>
      </w:r>
    </w:p>
    <w:p w14:paraId="5AB7AADE" w14:textId="4248FAA8" w:rsidR="00C4210A" w:rsidRDefault="00433248" w:rsidP="004C33DA">
      <w:pPr>
        <w:spacing w:line="360" w:lineRule="auto"/>
        <w:jc w:val="both"/>
        <w:rPr>
          <w:rFonts w:asciiTheme="majorBidi" w:hAnsiTheme="majorBidi" w:cstheme="majorBidi"/>
          <w:lang w:val="en-US"/>
        </w:rPr>
      </w:pPr>
      <w:r w:rsidRPr="00433248">
        <w:rPr>
          <w:rFonts w:asciiTheme="majorBidi" w:hAnsiTheme="majorBidi" w:cstheme="majorBidi"/>
          <w:lang w:val="en-US"/>
        </w:rPr>
        <w:t>A central challenge to systematic research on Israeli perceptions of Europe lies in the very nature of the term itself. Europe represents not just a geographic entity but a fluid and contested concept, one that eludes easy definition.</w:t>
      </w:r>
      <w:r w:rsidR="005605CB" w:rsidRPr="005605CB">
        <w:rPr>
          <w:rFonts w:asciiTheme="majorBidi" w:hAnsiTheme="majorBidi" w:cstheme="majorBidi"/>
          <w:lang w:val="en-US"/>
        </w:rPr>
        <w:t xml:space="preserve"> There is no one Europe; there are many competing ideas and narratives, often conflicting and at odds with each other. </w:t>
      </w:r>
      <w:r w:rsidRPr="00433248">
        <w:rPr>
          <w:rFonts w:asciiTheme="majorBidi" w:hAnsiTheme="majorBidi" w:cstheme="majorBidi"/>
          <w:lang w:val="en-US"/>
        </w:rPr>
        <w:t xml:space="preserve">As a result, scholarship on Israeli </w:t>
      </w:r>
      <w:r>
        <w:rPr>
          <w:rFonts w:asciiTheme="majorBidi" w:hAnsiTheme="majorBidi" w:cstheme="majorBidi"/>
          <w:lang w:val="en-US"/>
        </w:rPr>
        <w:t>attitudes and ideas</w:t>
      </w:r>
      <w:r w:rsidRPr="00433248">
        <w:rPr>
          <w:rFonts w:asciiTheme="majorBidi" w:hAnsiTheme="majorBidi" w:cstheme="majorBidi"/>
          <w:lang w:val="en-US"/>
        </w:rPr>
        <w:t xml:space="preserve"> has often been limited, focusing on attitudes toward individual countries rather than Europe as a cohesive idea. This book seeks to address that gap by exploring how Israeli discourse engaged with the broader, often ambiguous notion of Europe.</w:t>
      </w:r>
      <w:r w:rsidR="00664D75" w:rsidRPr="00CE25E2">
        <w:rPr>
          <w:rStyle w:val="FootnoteReference"/>
        </w:rPr>
        <w:footnoteReference w:id="63"/>
      </w:r>
    </w:p>
    <w:p w14:paraId="7DC0B2FB" w14:textId="1D1DBF22" w:rsidR="003C0A19" w:rsidRPr="00D703B2" w:rsidRDefault="00AE0028" w:rsidP="00AE0028">
      <w:pPr>
        <w:spacing w:line="360" w:lineRule="auto"/>
        <w:ind w:firstLine="708"/>
        <w:jc w:val="both"/>
        <w:rPr>
          <w:rFonts w:asciiTheme="majorBidi" w:hAnsiTheme="majorBidi" w:cstheme="majorBidi"/>
          <w:lang w:val="en-US"/>
        </w:rPr>
      </w:pPr>
      <w:r w:rsidRPr="00AE0028">
        <w:rPr>
          <w:rFonts w:asciiTheme="majorBidi" w:hAnsiTheme="majorBidi" w:cstheme="majorBidi"/>
          <w:lang w:val="en-US"/>
        </w:rPr>
        <w:t>Recent scholarship on Europeanization highlights the discursive nature of these processes, suggesting that Europe exists wherever it is discussed, sung about, or memorialized.</w:t>
      </w:r>
      <w:r w:rsidRPr="00CE25E2">
        <w:rPr>
          <w:rStyle w:val="FootnoteReference"/>
        </w:rPr>
        <w:footnoteReference w:id="64"/>
      </w:r>
      <w:r w:rsidRPr="00AE0028">
        <w:rPr>
          <w:rFonts w:asciiTheme="majorBidi" w:hAnsiTheme="majorBidi" w:cstheme="majorBidi"/>
          <w:lang w:val="en-US"/>
        </w:rPr>
        <w:t xml:space="preserve"> This book similarly views Europe as a discourse rather than a fixed entity.</w:t>
      </w:r>
      <w:r w:rsidRPr="00AE0028">
        <w:rPr>
          <w:rFonts w:asciiTheme="majorBidi" w:hAnsiTheme="majorBidi" w:cstheme="majorBidi"/>
          <w:vertAlign w:val="superscript"/>
          <w:lang w:val="en-US"/>
        </w:rPr>
        <w:t xml:space="preserve"> </w:t>
      </w:r>
      <w:r w:rsidR="00BE3C8F" w:rsidRPr="00BE3C8F">
        <w:rPr>
          <w:rFonts w:asciiTheme="majorBidi" w:hAnsiTheme="majorBidi" w:cstheme="majorBidi"/>
          <w:lang w:val="en-US"/>
        </w:rPr>
        <w:t>While acknowledging the material and social factors that inform</w:t>
      </w:r>
      <w:r w:rsidR="00FC751F">
        <w:rPr>
          <w:rFonts w:asciiTheme="majorBidi" w:hAnsiTheme="majorBidi" w:cstheme="majorBidi"/>
          <w:lang w:val="en-US"/>
        </w:rPr>
        <w:t>ed</w:t>
      </w:r>
      <w:r w:rsidR="00BE3C8F" w:rsidRPr="00BE3C8F">
        <w:rPr>
          <w:rFonts w:asciiTheme="majorBidi" w:hAnsiTheme="majorBidi" w:cstheme="majorBidi"/>
          <w:lang w:val="en-US"/>
        </w:rPr>
        <w:t xml:space="preserve"> this disc</w:t>
      </w:r>
      <w:r w:rsidR="00716F7A">
        <w:rPr>
          <w:rFonts w:asciiTheme="majorBidi" w:hAnsiTheme="majorBidi" w:cstheme="majorBidi"/>
          <w:lang w:val="en-US"/>
        </w:rPr>
        <w:t>ourse</w:t>
      </w:r>
      <w:r w:rsidR="00BE3C8F" w:rsidRPr="00BE3C8F">
        <w:rPr>
          <w:rFonts w:asciiTheme="majorBidi" w:hAnsiTheme="majorBidi" w:cstheme="majorBidi"/>
          <w:lang w:val="en-US"/>
        </w:rPr>
        <w:t xml:space="preserve">, it recognizes the inherent ambiguity and malleability of any idea or concept related to the continent. </w:t>
      </w:r>
      <w:r w:rsidR="00977716" w:rsidRPr="00977716">
        <w:rPr>
          <w:rFonts w:asciiTheme="majorBidi" w:hAnsiTheme="majorBidi" w:cstheme="majorBidi"/>
          <w:lang w:val="en-US"/>
        </w:rPr>
        <w:t>This approach allows us to explore the many layers of meaning associated with the continent, examining how these ideas coalesced in specific media debates, political discussions, and cultural interactions</w:t>
      </w:r>
      <w:r w:rsidR="00977716">
        <w:rPr>
          <w:rFonts w:asciiTheme="majorBidi" w:hAnsiTheme="majorBidi" w:cstheme="majorBidi"/>
          <w:lang w:val="en-US"/>
        </w:rPr>
        <w:t xml:space="preserve">. </w:t>
      </w:r>
      <w:r w:rsidR="00716F7A">
        <w:rPr>
          <w:rFonts w:asciiTheme="majorBidi" w:hAnsiTheme="majorBidi" w:cstheme="majorBidi"/>
          <w:lang w:val="en-US"/>
        </w:rPr>
        <w:t>Accordingly, t</w:t>
      </w:r>
      <w:r w:rsidR="00D703B2" w:rsidRPr="00D703B2">
        <w:rPr>
          <w:rFonts w:asciiTheme="majorBidi" w:hAnsiTheme="majorBidi" w:cstheme="majorBidi"/>
          <w:lang w:val="en-US"/>
        </w:rPr>
        <w:t xml:space="preserve">he formation of perceptions of Europe is understood as the result of complex and ongoing processes of social negotiation. The ambiguity of Europe at the same time facilitated its adaptability to different voices and opinions in Israeli discourse, </w:t>
      </w:r>
      <w:r w:rsidR="005315E3">
        <w:rPr>
          <w:rFonts w:asciiTheme="majorBidi" w:hAnsiTheme="majorBidi" w:cstheme="majorBidi"/>
          <w:lang w:val="en-US"/>
        </w:rPr>
        <w:t>contingent</w:t>
      </w:r>
      <w:r w:rsidR="00D703B2" w:rsidRPr="00D703B2">
        <w:rPr>
          <w:rFonts w:asciiTheme="majorBidi" w:hAnsiTheme="majorBidi" w:cstheme="majorBidi"/>
          <w:lang w:val="en-US"/>
        </w:rPr>
        <w:t xml:space="preserve"> on their </w:t>
      </w:r>
      <w:r w:rsidR="000544A1">
        <w:rPr>
          <w:rFonts w:asciiTheme="majorBidi" w:hAnsiTheme="majorBidi" w:cstheme="majorBidi"/>
          <w:lang w:val="en-US"/>
        </w:rPr>
        <w:t>specific personal background, and</w:t>
      </w:r>
      <w:r w:rsidR="00D703B2" w:rsidRPr="00D703B2">
        <w:rPr>
          <w:rFonts w:asciiTheme="majorBidi" w:hAnsiTheme="majorBidi" w:cstheme="majorBidi"/>
          <w:lang w:val="en-US"/>
        </w:rPr>
        <w:t xml:space="preserve"> historical or ideological perspective</w:t>
      </w:r>
      <w:r w:rsidR="00885624">
        <w:rPr>
          <w:rFonts w:asciiTheme="majorBidi" w:hAnsiTheme="majorBidi" w:cstheme="majorBidi"/>
          <w:lang w:val="en-US"/>
        </w:rPr>
        <w:t>s</w:t>
      </w:r>
      <w:r w:rsidR="00D703B2" w:rsidRPr="00D703B2">
        <w:rPr>
          <w:rFonts w:asciiTheme="majorBidi" w:hAnsiTheme="majorBidi" w:cstheme="majorBidi"/>
          <w:lang w:val="en-US"/>
        </w:rPr>
        <w:t xml:space="preserve">. </w:t>
      </w:r>
    </w:p>
    <w:p w14:paraId="0512B764" w14:textId="236157BD" w:rsidR="00AC6498" w:rsidRDefault="00081EAA" w:rsidP="00220F31">
      <w:pPr>
        <w:spacing w:line="360" w:lineRule="auto"/>
        <w:ind w:firstLine="708"/>
        <w:jc w:val="both"/>
        <w:rPr>
          <w:rFonts w:asciiTheme="majorBidi" w:hAnsiTheme="majorBidi" w:cstheme="majorBidi"/>
          <w:lang w:val="en-US"/>
        </w:rPr>
      </w:pPr>
      <w:r w:rsidRPr="00081EAA">
        <w:rPr>
          <w:rFonts w:asciiTheme="majorBidi" w:hAnsiTheme="majorBidi" w:cstheme="majorBidi"/>
          <w:lang w:val="en-US"/>
        </w:rPr>
        <w:lastRenderedPageBreak/>
        <w:t>To capture the full complexity of Israeli perceptions of Europe</w:t>
      </w:r>
      <w:r w:rsidR="00134126" w:rsidRPr="006E64B5">
        <w:rPr>
          <w:rFonts w:asciiTheme="majorBidi" w:hAnsiTheme="majorBidi" w:cstheme="majorBidi"/>
          <w:lang w:val="en-US"/>
        </w:rPr>
        <w:t>,</w:t>
      </w:r>
      <w:r w:rsidR="00220F31" w:rsidRPr="00220F31">
        <w:rPr>
          <w:lang w:val="en-US"/>
        </w:rPr>
        <w:t xml:space="preserve"> </w:t>
      </w:r>
      <w:r w:rsidR="00220F31" w:rsidRPr="00220F31">
        <w:rPr>
          <w:rFonts w:asciiTheme="majorBidi" w:hAnsiTheme="majorBidi" w:cstheme="majorBidi"/>
          <w:lang w:val="en-US"/>
        </w:rPr>
        <w:t>this book examines six frameworks where media discourse converged, each highlighting a different aspect of Europe’s significance to Israel in the latter half of the 20th century. It explores what Europe represented to Israeli commentators, the ideas and influences they associated with it, and their evaluations.</w:t>
      </w:r>
      <w:r w:rsidRPr="00081EAA">
        <w:rPr>
          <w:lang w:val="en-US"/>
        </w:rPr>
        <w:t xml:space="preserve"> </w:t>
      </w:r>
      <w:r w:rsidR="00220F31" w:rsidRPr="00220F31">
        <w:rPr>
          <w:rFonts w:asciiTheme="majorBidi" w:hAnsiTheme="majorBidi" w:cstheme="majorBidi"/>
          <w:lang w:val="en-US"/>
        </w:rPr>
        <w:t>While some voices consciously reflected on Europe, many debates assumed its presence, unconsciously shaping ideas about the continent. This implicit construction makes press debates and travel guides valuable sources.</w:t>
      </w:r>
      <w:r w:rsidR="00015E91" w:rsidRPr="00015E91">
        <w:rPr>
          <w:rFonts w:asciiTheme="majorBidi" w:hAnsiTheme="majorBidi" w:cstheme="majorBidi"/>
          <w:lang w:val="en-US"/>
        </w:rPr>
        <w:t xml:space="preserve"> </w:t>
      </w:r>
    </w:p>
    <w:p w14:paraId="4AB61B8F" w14:textId="6E040B8B" w:rsidR="000279FA" w:rsidRPr="006E64B5" w:rsidRDefault="002B3E02" w:rsidP="00AC6498">
      <w:pPr>
        <w:spacing w:line="360" w:lineRule="auto"/>
        <w:ind w:firstLine="708"/>
        <w:jc w:val="both"/>
        <w:rPr>
          <w:rFonts w:asciiTheme="majorBidi" w:hAnsiTheme="majorBidi" w:cstheme="majorBidi"/>
          <w:lang w:val="en-US"/>
        </w:rPr>
      </w:pPr>
      <w:r w:rsidRPr="006E64B5">
        <w:rPr>
          <w:rFonts w:asciiTheme="majorBidi" w:hAnsiTheme="majorBidi" w:cstheme="majorBidi"/>
          <w:lang w:val="en-US"/>
        </w:rPr>
        <w:t>The chapters that follow do not claim to be exhaustive, nor do they cover all Israeli discourses on Europe. Nevertheless, I hope that the reader will gain an appreciation for the complexity and dynamism of these discourses and their profound significance for Israeli society and state.</w:t>
      </w:r>
      <w:r w:rsidR="00AC6498">
        <w:rPr>
          <w:rFonts w:asciiTheme="majorBidi" w:hAnsiTheme="majorBidi" w:cstheme="majorBidi"/>
          <w:lang w:val="en-US"/>
        </w:rPr>
        <w:t xml:space="preserve"> </w:t>
      </w:r>
      <w:r w:rsidR="000279FA" w:rsidRPr="006E64B5">
        <w:rPr>
          <w:rFonts w:asciiTheme="majorBidi" w:hAnsiTheme="majorBidi" w:cstheme="majorBidi"/>
          <w:lang w:val="en-US"/>
        </w:rPr>
        <w:t>The period under study encompasses the second half of the twentieth century, beginning with the establishment of the state in 1948 and extending to the turn of the millennium, which witnessed a multitude of political and social changes</w:t>
      </w:r>
      <w:r w:rsidR="006C3BC1">
        <w:rPr>
          <w:rFonts w:asciiTheme="majorBidi" w:hAnsiTheme="majorBidi" w:cstheme="majorBidi"/>
          <w:lang w:val="en-US"/>
        </w:rPr>
        <w:t xml:space="preserve">, such as the </w:t>
      </w:r>
      <w:r w:rsidR="006C3BC1" w:rsidRPr="006C3BC1">
        <w:rPr>
          <w:rFonts w:asciiTheme="majorBidi" w:hAnsiTheme="majorBidi" w:cstheme="majorBidi"/>
          <w:lang w:val="en-US"/>
        </w:rPr>
        <w:t xml:space="preserve">expansion of the EU on the one hand, and the collapse of the Israeli-Palestinian peace process and the outbreak of the Second Intifada on the other, </w:t>
      </w:r>
      <w:r w:rsidR="000279FA" w:rsidRPr="006E64B5">
        <w:rPr>
          <w:rFonts w:asciiTheme="majorBidi" w:hAnsiTheme="majorBidi" w:cstheme="majorBidi"/>
          <w:lang w:val="en-US"/>
        </w:rPr>
        <w:t>that significantly altered the nature of Israeli-European relations and consequently affected Israeli perceptions.</w:t>
      </w:r>
      <w:r w:rsidR="00AD166D" w:rsidRPr="006E64B5">
        <w:rPr>
          <w:rFonts w:asciiTheme="majorBidi" w:hAnsiTheme="majorBidi" w:cstheme="majorBidi"/>
          <w:lang w:val="en-US"/>
        </w:rPr>
        <w:t xml:space="preserve"> The chapters vary in their temporal focus. While some, such as the chapters on the EU and Eastern Europe, cover the full range of these decades, others concentrate on specific periods due to geopolitical or organizational circumstances.</w:t>
      </w:r>
    </w:p>
    <w:p w14:paraId="3A5A4FA2" w14:textId="6D1B52DB" w:rsidR="006E535A" w:rsidRPr="006E64B5" w:rsidRDefault="006E535A" w:rsidP="004C33DA">
      <w:pPr>
        <w:spacing w:line="360" w:lineRule="auto"/>
        <w:jc w:val="both"/>
        <w:rPr>
          <w:rFonts w:asciiTheme="majorBidi" w:hAnsiTheme="majorBidi" w:cstheme="majorBidi"/>
          <w:lang w:val="en-US"/>
        </w:rPr>
      </w:pPr>
      <w:r w:rsidRPr="006E64B5">
        <w:rPr>
          <w:rFonts w:asciiTheme="majorBidi" w:hAnsiTheme="majorBidi" w:cstheme="majorBidi"/>
          <w:lang w:val="en-US"/>
        </w:rPr>
        <w:tab/>
        <w:t xml:space="preserve">The book is divided into two parts, each comprising three chapters. </w:t>
      </w:r>
      <w:r w:rsidR="008E3F14" w:rsidRPr="008E3F14">
        <w:rPr>
          <w:rFonts w:asciiTheme="majorBidi" w:hAnsiTheme="majorBidi" w:cstheme="majorBidi"/>
          <w:lang w:val="en-US"/>
        </w:rPr>
        <w:t>Part one focuses on Israeli discourse about European political and economic frameworks, shaped by the East/West and North/South divides. It examines debates on the EEC/EU’s development, Israeli views on the Soviet sphere, and discussions about European colonialism and decolonization in Asia and Africa.</w:t>
      </w:r>
    </w:p>
    <w:p w14:paraId="06EBC772" w14:textId="695789EF" w:rsidR="00FC5257" w:rsidRPr="006E64B5" w:rsidRDefault="00FC5257" w:rsidP="009C534B">
      <w:pPr>
        <w:spacing w:line="360" w:lineRule="auto"/>
        <w:jc w:val="both"/>
        <w:rPr>
          <w:rFonts w:asciiTheme="majorBidi" w:hAnsiTheme="majorBidi" w:cstheme="majorBidi"/>
          <w:lang w:val="en-US"/>
        </w:rPr>
      </w:pPr>
      <w:r w:rsidRPr="006E64B5">
        <w:rPr>
          <w:rFonts w:asciiTheme="majorBidi" w:hAnsiTheme="majorBidi" w:cstheme="majorBidi"/>
          <w:lang w:val="en-US"/>
        </w:rPr>
        <w:tab/>
        <w:t xml:space="preserve">Chapter I </w:t>
      </w:r>
      <w:r w:rsidR="009C534B" w:rsidRPr="006E64B5">
        <w:rPr>
          <w:rFonts w:asciiTheme="majorBidi" w:hAnsiTheme="majorBidi" w:cstheme="majorBidi"/>
          <w:lang w:val="en-US"/>
        </w:rPr>
        <w:t xml:space="preserve">traces Israeli discussions about the creation and development of the EEC/EU up to the Oslo peace process in the 1990s and the EU’s Association Agreement with Israel in 2000. </w:t>
      </w:r>
      <w:r w:rsidR="009C534B">
        <w:rPr>
          <w:rFonts w:asciiTheme="majorBidi" w:hAnsiTheme="majorBidi" w:cstheme="majorBidi"/>
          <w:lang w:val="en-US"/>
        </w:rPr>
        <w:t>It examines how</w:t>
      </w:r>
      <w:r w:rsidR="00053C77" w:rsidRPr="00053C77">
        <w:rPr>
          <w:rFonts w:asciiTheme="majorBidi" w:hAnsiTheme="majorBidi" w:cstheme="majorBidi"/>
          <w:lang w:val="en-US"/>
        </w:rPr>
        <w:t xml:space="preserve"> Israeli media discussions </w:t>
      </w:r>
      <w:r w:rsidR="009C534B">
        <w:rPr>
          <w:rFonts w:asciiTheme="majorBidi" w:hAnsiTheme="majorBidi" w:cstheme="majorBidi"/>
          <w:lang w:val="en-US"/>
        </w:rPr>
        <w:t xml:space="preserve">and about </w:t>
      </w:r>
      <w:r w:rsidR="009C534B" w:rsidRPr="009C534B">
        <w:rPr>
          <w:rFonts w:asciiTheme="majorBidi" w:hAnsiTheme="majorBidi" w:cstheme="majorBidi"/>
          <w:lang w:val="en-US"/>
        </w:rPr>
        <w:t xml:space="preserve">the </w:t>
      </w:r>
      <w:r w:rsidR="009C534B">
        <w:rPr>
          <w:rFonts w:asciiTheme="majorBidi" w:hAnsiTheme="majorBidi" w:cstheme="majorBidi"/>
          <w:lang w:val="en-US"/>
        </w:rPr>
        <w:t xml:space="preserve">body </w:t>
      </w:r>
      <w:r w:rsidR="009C534B" w:rsidRPr="009C534B">
        <w:rPr>
          <w:rFonts w:asciiTheme="majorBidi" w:hAnsiTheme="majorBidi" w:cstheme="majorBidi"/>
          <w:lang w:val="en-US"/>
        </w:rPr>
        <w:t>were shaped by a complex interplay of economic, political, and historical considerations.</w:t>
      </w:r>
      <w:r w:rsidR="009C534B">
        <w:rPr>
          <w:rFonts w:asciiTheme="majorBidi" w:hAnsiTheme="majorBidi" w:cstheme="majorBidi"/>
          <w:lang w:val="en-US"/>
        </w:rPr>
        <w:t xml:space="preserve"> </w:t>
      </w:r>
      <w:r w:rsidR="009C534B" w:rsidRPr="009C534B">
        <w:rPr>
          <w:rFonts w:asciiTheme="majorBidi" w:hAnsiTheme="majorBidi" w:cstheme="majorBidi"/>
          <w:lang w:val="en-US"/>
        </w:rPr>
        <w:t xml:space="preserve">Economic interests, such as access to European markets and trade partnerships, often clashed with the political realities of Europe’s evolving stance on the Middle East conflict. The memory of the Holocaust, a persistent theme in Israeli political discourse, further colored perceptions of Europe’s role as a political actor. </w:t>
      </w:r>
      <w:r w:rsidR="00053C77" w:rsidRPr="00A66D41">
        <w:rPr>
          <w:rFonts w:asciiTheme="majorBidi" w:hAnsiTheme="majorBidi" w:cstheme="majorBidi"/>
          <w:lang w:val="en-US"/>
        </w:rPr>
        <w:t xml:space="preserve">The chapter highlights conflicting attitudes toward the postwar European project, arguing that it was Western Europe’s profound importance to the Jewish state </w:t>
      </w:r>
      <w:r w:rsidR="00053C77">
        <w:rPr>
          <w:rFonts w:asciiTheme="majorBidi" w:hAnsiTheme="majorBidi" w:cstheme="majorBidi"/>
          <w:lang w:val="en-US"/>
        </w:rPr>
        <w:t>due to</w:t>
      </w:r>
      <w:r w:rsidR="00053C77" w:rsidRPr="00A66D41">
        <w:rPr>
          <w:rFonts w:asciiTheme="majorBidi" w:hAnsiTheme="majorBidi" w:cstheme="majorBidi"/>
          <w:lang w:val="en-US"/>
        </w:rPr>
        <w:t xml:space="preserve"> its geographical and, in many ways, ideological proximity </w:t>
      </w:r>
      <w:r w:rsidR="00053C77">
        <w:rPr>
          <w:rFonts w:asciiTheme="majorBidi" w:hAnsiTheme="majorBidi" w:cstheme="majorBidi"/>
          <w:lang w:val="en-US"/>
        </w:rPr>
        <w:t xml:space="preserve">to it </w:t>
      </w:r>
      <w:r w:rsidR="00053C77" w:rsidRPr="00A66D41">
        <w:rPr>
          <w:rFonts w:asciiTheme="majorBidi" w:hAnsiTheme="majorBidi" w:cstheme="majorBidi"/>
          <w:lang w:val="en-US"/>
        </w:rPr>
        <w:t>that created this ambivalence.</w:t>
      </w:r>
    </w:p>
    <w:p w14:paraId="3D904121" w14:textId="77777777" w:rsidR="005F4374" w:rsidRDefault="00567871" w:rsidP="005F4374">
      <w:pPr>
        <w:spacing w:line="360" w:lineRule="auto"/>
        <w:jc w:val="both"/>
        <w:rPr>
          <w:rFonts w:asciiTheme="majorBidi" w:hAnsiTheme="majorBidi" w:cstheme="majorBidi"/>
          <w:i/>
          <w:lang w:val="en-US"/>
        </w:rPr>
      </w:pPr>
      <w:r w:rsidRPr="006E64B5">
        <w:rPr>
          <w:rFonts w:asciiTheme="majorBidi" w:hAnsiTheme="majorBidi" w:cstheme="majorBidi"/>
          <w:lang w:val="en-US"/>
        </w:rPr>
        <w:lastRenderedPageBreak/>
        <w:tab/>
      </w:r>
      <w:r w:rsidR="005F4374" w:rsidRPr="00A66D41">
        <w:rPr>
          <w:rFonts w:asciiTheme="majorBidi" w:hAnsiTheme="majorBidi" w:cstheme="majorBidi"/>
          <w:lang w:val="en-US"/>
        </w:rPr>
        <w:t xml:space="preserve">The emergence of </w:t>
      </w:r>
      <w:r w:rsidR="005F4374">
        <w:rPr>
          <w:rFonts w:asciiTheme="majorBidi" w:hAnsiTheme="majorBidi" w:cstheme="majorBidi"/>
          <w:lang w:val="en-US"/>
        </w:rPr>
        <w:t xml:space="preserve">what became </w:t>
      </w:r>
      <w:r w:rsidR="005F4374" w:rsidRPr="00A66D41">
        <w:rPr>
          <w:rFonts w:asciiTheme="majorBidi" w:hAnsiTheme="majorBidi" w:cstheme="majorBidi"/>
          <w:lang w:val="en-US"/>
        </w:rPr>
        <w:t>the E</w:t>
      </w:r>
      <w:r w:rsidR="005F4374">
        <w:rPr>
          <w:rFonts w:asciiTheme="majorBidi" w:hAnsiTheme="majorBidi" w:cstheme="majorBidi"/>
          <w:lang w:val="en-US"/>
        </w:rPr>
        <w:t>U</w:t>
      </w:r>
      <w:r w:rsidR="005F4374" w:rsidRPr="00A66D41">
        <w:rPr>
          <w:rFonts w:asciiTheme="majorBidi" w:hAnsiTheme="majorBidi" w:cstheme="majorBidi"/>
          <w:lang w:val="en-US"/>
        </w:rPr>
        <w:t xml:space="preserve"> </w:t>
      </w:r>
      <w:r w:rsidR="005F4374">
        <w:rPr>
          <w:rFonts w:asciiTheme="majorBidi" w:hAnsiTheme="majorBidi" w:cstheme="majorBidi"/>
          <w:lang w:val="en-US"/>
        </w:rPr>
        <w:t>generated a powerful Israeli</w:t>
      </w:r>
      <w:r w:rsidR="005F4374" w:rsidRPr="00A66D41">
        <w:rPr>
          <w:rFonts w:asciiTheme="majorBidi" w:hAnsiTheme="majorBidi" w:cstheme="majorBidi"/>
          <w:lang w:val="en-US"/>
        </w:rPr>
        <w:t xml:space="preserve"> focus on the continent</w:t>
      </w:r>
      <w:r w:rsidR="005F4374">
        <w:rPr>
          <w:rFonts w:asciiTheme="majorBidi" w:hAnsiTheme="majorBidi" w:cstheme="majorBidi"/>
          <w:lang w:val="en-US"/>
        </w:rPr>
        <w:t>’s West,</w:t>
      </w:r>
      <w:r w:rsidR="005F4374" w:rsidRPr="00A66D41">
        <w:rPr>
          <w:rFonts w:asciiTheme="majorBidi" w:hAnsiTheme="majorBidi" w:cstheme="majorBidi"/>
          <w:lang w:val="en-US"/>
        </w:rPr>
        <w:t xml:space="preserve"> while</w:t>
      </w:r>
      <w:r w:rsidR="005F4374">
        <w:rPr>
          <w:rFonts w:asciiTheme="majorBidi" w:hAnsiTheme="majorBidi" w:cstheme="majorBidi"/>
          <w:lang w:val="en-US"/>
        </w:rPr>
        <w:t xml:space="preserve"> Central and Eastern Europe</w:t>
      </w:r>
      <w:r w:rsidR="005F4374" w:rsidRPr="00A66D41">
        <w:rPr>
          <w:rFonts w:asciiTheme="majorBidi" w:hAnsiTheme="majorBidi" w:cstheme="majorBidi"/>
          <w:lang w:val="en-US"/>
        </w:rPr>
        <w:t xml:space="preserve"> disappeared behind the Iron Curtain. Yet, as Chapter II shows, the Warsaw Pact countries remained extremely important to Israelis, in terms of </w:t>
      </w:r>
      <w:r w:rsidR="005F4374" w:rsidRPr="00AE4154">
        <w:rPr>
          <w:rFonts w:asciiTheme="majorBidi" w:hAnsiTheme="majorBidi" w:cstheme="majorBidi"/>
          <w:lang w:val="en-US"/>
        </w:rPr>
        <w:t>both</w:t>
      </w:r>
      <w:r w:rsidR="005F4374" w:rsidRPr="00872E75">
        <w:rPr>
          <w:rFonts w:asciiTheme="majorBidi" w:hAnsiTheme="majorBidi" w:cstheme="majorBidi"/>
          <w:lang w:val="en-US"/>
        </w:rPr>
        <w:t xml:space="preserve"> </w:t>
      </w:r>
      <w:r w:rsidR="005F4374" w:rsidRPr="00A66D41">
        <w:rPr>
          <w:rFonts w:asciiTheme="majorBidi" w:hAnsiTheme="majorBidi" w:cstheme="majorBidi"/>
          <w:lang w:val="en-US"/>
        </w:rPr>
        <w:t xml:space="preserve">national policy and the Jewish heritage </w:t>
      </w:r>
      <w:r w:rsidR="005F4374">
        <w:rPr>
          <w:rFonts w:asciiTheme="majorBidi" w:hAnsiTheme="majorBidi" w:cstheme="majorBidi"/>
          <w:lang w:val="en-US"/>
        </w:rPr>
        <w:t xml:space="preserve">of many there </w:t>
      </w:r>
      <w:r w:rsidR="005F4374" w:rsidRPr="00A66D41">
        <w:rPr>
          <w:rFonts w:asciiTheme="majorBidi" w:hAnsiTheme="majorBidi" w:cstheme="majorBidi"/>
          <w:lang w:val="en-US"/>
        </w:rPr>
        <w:t>and the</w:t>
      </w:r>
      <w:r w:rsidR="005F4374">
        <w:rPr>
          <w:rFonts w:asciiTheme="majorBidi" w:hAnsiTheme="majorBidi" w:cstheme="majorBidi"/>
          <w:lang w:val="en-US"/>
        </w:rPr>
        <w:t>ir links to the</w:t>
      </w:r>
      <w:r w:rsidR="005F4374" w:rsidRPr="00A66D41">
        <w:rPr>
          <w:rFonts w:asciiTheme="majorBidi" w:hAnsiTheme="majorBidi" w:cstheme="majorBidi"/>
          <w:lang w:val="en-US"/>
        </w:rPr>
        <w:t xml:space="preserve"> Jews who </w:t>
      </w:r>
      <w:r w:rsidR="005F4374">
        <w:rPr>
          <w:rFonts w:asciiTheme="majorBidi" w:hAnsiTheme="majorBidi" w:cstheme="majorBidi"/>
          <w:lang w:val="en-US"/>
        </w:rPr>
        <w:t>were still there</w:t>
      </w:r>
      <w:r w:rsidR="005F4374" w:rsidRPr="00A66D41">
        <w:rPr>
          <w:rFonts w:asciiTheme="majorBidi" w:hAnsiTheme="majorBidi" w:cstheme="majorBidi"/>
          <w:lang w:val="en-US"/>
        </w:rPr>
        <w:t xml:space="preserve">. The chapter examines the ideas Israelis associated with </w:t>
      </w:r>
      <w:r w:rsidR="005F4374">
        <w:rPr>
          <w:rFonts w:asciiTheme="majorBidi" w:hAnsiTheme="majorBidi" w:cstheme="majorBidi"/>
          <w:lang w:val="en-US"/>
        </w:rPr>
        <w:t>Central and Eastern Europe</w:t>
      </w:r>
      <w:r w:rsidR="005F4374" w:rsidRPr="00A66D41">
        <w:rPr>
          <w:rFonts w:asciiTheme="majorBidi" w:hAnsiTheme="majorBidi" w:cstheme="majorBidi"/>
          <w:lang w:val="en-US"/>
        </w:rPr>
        <w:t xml:space="preserve"> and how these changed throughout the Cold War and after the </w:t>
      </w:r>
      <w:r w:rsidR="005F4374">
        <w:rPr>
          <w:rFonts w:asciiTheme="majorBidi" w:hAnsiTheme="majorBidi" w:cstheme="majorBidi"/>
          <w:lang w:val="en-US"/>
        </w:rPr>
        <w:t>demise</w:t>
      </w:r>
      <w:r w:rsidR="005F4374" w:rsidRPr="00A66D41">
        <w:rPr>
          <w:rFonts w:asciiTheme="majorBidi" w:hAnsiTheme="majorBidi" w:cstheme="majorBidi"/>
          <w:lang w:val="en-US"/>
        </w:rPr>
        <w:t xml:space="preserve"> of the Soviet Union. The rupture with Central and Eastern Europe and the construction of the Soviet Union as an </w:t>
      </w:r>
      <w:r w:rsidR="005F4374">
        <w:rPr>
          <w:rFonts w:asciiTheme="majorBidi" w:hAnsiTheme="majorBidi" w:cstheme="majorBidi"/>
          <w:lang w:val="en-US"/>
        </w:rPr>
        <w:t>“</w:t>
      </w:r>
      <w:r w:rsidR="005F4374" w:rsidRPr="00A66D41">
        <w:rPr>
          <w:rFonts w:asciiTheme="majorBidi" w:hAnsiTheme="majorBidi" w:cstheme="majorBidi"/>
          <w:lang w:val="en-US"/>
        </w:rPr>
        <w:t>other,</w:t>
      </w:r>
      <w:r w:rsidR="005F4374">
        <w:rPr>
          <w:rFonts w:asciiTheme="majorBidi" w:hAnsiTheme="majorBidi" w:cstheme="majorBidi"/>
          <w:lang w:val="en-US"/>
        </w:rPr>
        <w:t>”</w:t>
      </w:r>
      <w:r w:rsidR="005F4374" w:rsidRPr="00A66D41">
        <w:rPr>
          <w:rFonts w:asciiTheme="majorBidi" w:hAnsiTheme="majorBidi" w:cstheme="majorBidi"/>
          <w:lang w:val="en-US"/>
        </w:rPr>
        <w:t xml:space="preserve"> I argue, </w:t>
      </w:r>
      <w:r w:rsidR="005F4374">
        <w:rPr>
          <w:rFonts w:asciiTheme="majorBidi" w:hAnsiTheme="majorBidi" w:cstheme="majorBidi"/>
          <w:lang w:val="en-US"/>
        </w:rPr>
        <w:t>con</w:t>
      </w:r>
      <w:r w:rsidR="005F4374" w:rsidRPr="000436F3">
        <w:rPr>
          <w:rFonts w:asciiTheme="majorBidi" w:hAnsiTheme="majorBidi" w:cstheme="majorBidi"/>
          <w:lang w:val="en-US"/>
        </w:rPr>
        <w:t>solid</w:t>
      </w:r>
      <w:r w:rsidR="005F4374">
        <w:rPr>
          <w:rFonts w:asciiTheme="majorBidi" w:hAnsiTheme="majorBidi" w:cstheme="majorBidi"/>
          <w:lang w:val="en-US"/>
        </w:rPr>
        <w:t>ated</w:t>
      </w:r>
      <w:r w:rsidR="005F4374" w:rsidRPr="009D5960">
        <w:rPr>
          <w:rFonts w:asciiTheme="majorBidi" w:hAnsiTheme="majorBidi" w:cstheme="majorBidi"/>
          <w:lang w:val="en-US"/>
        </w:rPr>
        <w:t xml:space="preserve"> </w:t>
      </w:r>
      <w:r w:rsidR="005F4374" w:rsidRPr="00A66D41">
        <w:rPr>
          <w:rFonts w:asciiTheme="majorBidi" w:hAnsiTheme="majorBidi" w:cstheme="majorBidi"/>
          <w:lang w:val="en-US"/>
        </w:rPr>
        <w:t>Israelis</w:t>
      </w:r>
      <w:r w:rsidR="005F4374">
        <w:rPr>
          <w:rFonts w:asciiTheme="majorBidi" w:hAnsiTheme="majorBidi" w:cstheme="majorBidi"/>
          <w:lang w:val="en-US"/>
        </w:rPr>
        <w:t>’</w:t>
      </w:r>
      <w:r w:rsidR="005F4374" w:rsidRPr="00A66D41">
        <w:rPr>
          <w:rFonts w:asciiTheme="majorBidi" w:hAnsiTheme="majorBidi" w:cstheme="majorBidi"/>
          <w:lang w:val="en-US"/>
        </w:rPr>
        <w:t xml:space="preserve"> </w:t>
      </w:r>
      <w:r w:rsidR="005F4374">
        <w:rPr>
          <w:rFonts w:asciiTheme="majorBidi" w:hAnsiTheme="majorBidi" w:cstheme="majorBidi"/>
          <w:lang w:val="en-US"/>
        </w:rPr>
        <w:t>sense of themselves</w:t>
      </w:r>
      <w:r w:rsidR="005F4374" w:rsidRPr="00A66D41">
        <w:rPr>
          <w:rFonts w:asciiTheme="majorBidi" w:hAnsiTheme="majorBidi" w:cstheme="majorBidi"/>
          <w:lang w:val="en-US"/>
        </w:rPr>
        <w:t xml:space="preserve"> as </w:t>
      </w:r>
      <w:r w:rsidR="005F4374">
        <w:rPr>
          <w:rFonts w:asciiTheme="majorBidi" w:hAnsiTheme="majorBidi" w:cstheme="majorBidi"/>
          <w:lang w:val="en-US"/>
        </w:rPr>
        <w:t xml:space="preserve">belonging to </w:t>
      </w:r>
      <w:r w:rsidR="005F4374" w:rsidRPr="00A66D41">
        <w:rPr>
          <w:rFonts w:asciiTheme="majorBidi" w:hAnsiTheme="majorBidi" w:cstheme="majorBidi"/>
          <w:lang w:val="en-US"/>
        </w:rPr>
        <w:t>a Western</w:t>
      </w:r>
      <w:r w:rsidR="005F4374">
        <w:rPr>
          <w:rFonts w:asciiTheme="majorBidi" w:hAnsiTheme="majorBidi" w:cstheme="majorBidi"/>
          <w:lang w:val="en-US"/>
        </w:rPr>
        <w:t>-style</w:t>
      </w:r>
      <w:r w:rsidR="005F4374" w:rsidRPr="00A66D41">
        <w:rPr>
          <w:rFonts w:asciiTheme="majorBidi" w:hAnsiTheme="majorBidi" w:cstheme="majorBidi"/>
          <w:lang w:val="en-US"/>
        </w:rPr>
        <w:t xml:space="preserve"> state </w:t>
      </w:r>
      <w:r w:rsidR="005F4374">
        <w:rPr>
          <w:rFonts w:asciiTheme="majorBidi" w:hAnsiTheme="majorBidi" w:cstheme="majorBidi"/>
          <w:lang w:val="en-US"/>
        </w:rPr>
        <w:t>and furthered</w:t>
      </w:r>
      <w:r w:rsidR="005F4374" w:rsidRPr="00A66D41">
        <w:rPr>
          <w:rFonts w:asciiTheme="majorBidi" w:hAnsiTheme="majorBidi" w:cstheme="majorBidi"/>
          <w:lang w:val="en-US"/>
        </w:rPr>
        <w:t xml:space="preserve"> their estrangement from the former centers of Ashkenazi Jewry.</w:t>
      </w:r>
    </w:p>
    <w:p w14:paraId="060E0019" w14:textId="0E259F15" w:rsidR="007C0A00" w:rsidRPr="005F4374" w:rsidRDefault="00F3459D" w:rsidP="00465B80">
      <w:pPr>
        <w:spacing w:line="360" w:lineRule="auto"/>
        <w:ind w:firstLine="709"/>
        <w:jc w:val="both"/>
        <w:rPr>
          <w:rFonts w:asciiTheme="majorBidi" w:hAnsiTheme="majorBidi" w:cstheme="majorBidi"/>
          <w:i/>
          <w:lang w:val="en-US"/>
        </w:rPr>
      </w:pPr>
      <w:r w:rsidRPr="00F3459D">
        <w:rPr>
          <w:rFonts w:asciiTheme="majorBidi" w:hAnsiTheme="majorBidi" w:cstheme="majorBidi"/>
          <w:lang w:val="en-US"/>
        </w:rPr>
        <w:t xml:space="preserve">At the same time, Israeli self-perceptions were influenced also by the broader dynamics between Europe and the global South. As decolonization reshaped relations between </w:t>
      </w:r>
      <w:r w:rsidR="006C2B95">
        <w:rPr>
          <w:rFonts w:asciiTheme="majorBidi" w:hAnsiTheme="majorBidi" w:cstheme="majorBidi"/>
          <w:lang w:val="en-US"/>
        </w:rPr>
        <w:t>Europe</w:t>
      </w:r>
      <w:r w:rsidRPr="00F3459D">
        <w:rPr>
          <w:rFonts w:asciiTheme="majorBidi" w:hAnsiTheme="majorBidi" w:cstheme="majorBidi"/>
          <w:lang w:val="en-US"/>
        </w:rPr>
        <w:t>, Africa, and Asia, Israeli commentators grappled with their own place between these worlds.</w:t>
      </w:r>
      <w:r w:rsidR="006C2B95">
        <w:rPr>
          <w:rFonts w:asciiTheme="majorBidi" w:hAnsiTheme="majorBidi" w:cstheme="majorBidi"/>
          <w:lang w:val="en-US"/>
        </w:rPr>
        <w:t xml:space="preserve"> </w:t>
      </w:r>
      <w:r w:rsidR="00840A12" w:rsidRPr="006E64B5">
        <w:rPr>
          <w:rFonts w:asciiTheme="majorBidi" w:hAnsiTheme="majorBidi" w:cstheme="majorBidi"/>
          <w:lang w:val="en-US"/>
        </w:rPr>
        <w:t xml:space="preserve">Not only did numerous Asians and Africans view Israelis as Europeans, but many </w:t>
      </w:r>
      <w:proofErr w:type="gramStart"/>
      <w:r w:rsidR="00840A12" w:rsidRPr="006E64B5">
        <w:rPr>
          <w:rFonts w:asciiTheme="majorBidi" w:hAnsiTheme="majorBidi" w:cstheme="majorBidi"/>
          <w:lang w:val="en-US"/>
        </w:rPr>
        <w:t>Israeli</w:t>
      </w:r>
      <w:proofErr w:type="gramEnd"/>
      <w:r w:rsidR="00840A12" w:rsidRPr="006E64B5">
        <w:rPr>
          <w:rFonts w:asciiTheme="majorBidi" w:hAnsiTheme="majorBidi" w:cstheme="majorBidi"/>
          <w:lang w:val="en-US"/>
        </w:rPr>
        <w:t xml:space="preserve"> themselves, especially the Ashkenazi elite, felt a sense of belonging </w:t>
      </w:r>
      <w:r w:rsidR="00716F7A">
        <w:rPr>
          <w:rFonts w:asciiTheme="majorBidi" w:hAnsiTheme="majorBidi" w:cstheme="majorBidi"/>
          <w:lang w:val="en-US"/>
        </w:rPr>
        <w:t xml:space="preserve">to </w:t>
      </w:r>
      <w:r w:rsidR="00A70E84">
        <w:rPr>
          <w:rFonts w:asciiTheme="majorBidi" w:hAnsiTheme="majorBidi" w:cstheme="majorBidi"/>
          <w:lang w:val="en-US"/>
        </w:rPr>
        <w:t xml:space="preserve">what they perceived to be the </w:t>
      </w:r>
      <w:r w:rsidR="00840A12" w:rsidRPr="006E64B5">
        <w:rPr>
          <w:rFonts w:asciiTheme="majorBidi" w:hAnsiTheme="majorBidi" w:cstheme="majorBidi"/>
          <w:lang w:val="en-US"/>
        </w:rPr>
        <w:t xml:space="preserve">Western Europe </w:t>
      </w:r>
      <w:r w:rsidR="00A70E84">
        <w:rPr>
          <w:rFonts w:asciiTheme="majorBidi" w:hAnsiTheme="majorBidi" w:cstheme="majorBidi"/>
          <w:lang w:val="en-US"/>
        </w:rPr>
        <w:t>culture sphere</w:t>
      </w:r>
      <w:r w:rsidR="00840A12" w:rsidRPr="00716F7A">
        <w:rPr>
          <w:rFonts w:asciiTheme="majorBidi" w:hAnsiTheme="majorBidi" w:cstheme="majorBidi"/>
          <w:lang w:val="en-US"/>
        </w:rPr>
        <w:t>,</w:t>
      </w:r>
      <w:r w:rsidR="00A70E84">
        <w:rPr>
          <w:rFonts w:asciiTheme="majorBidi" w:hAnsiTheme="majorBidi" w:cstheme="majorBidi"/>
          <w:lang w:val="en-US"/>
        </w:rPr>
        <w:t xml:space="preserve"> and</w:t>
      </w:r>
      <w:r w:rsidR="00840A12" w:rsidRPr="006E64B5">
        <w:rPr>
          <w:rFonts w:asciiTheme="majorBidi" w:hAnsiTheme="majorBidi" w:cstheme="majorBidi"/>
          <w:lang w:val="en-US"/>
        </w:rPr>
        <w:t xml:space="preserve"> at the same time, an alienation from the state</w:t>
      </w:r>
      <w:r w:rsidR="002845B2" w:rsidRPr="006E64B5">
        <w:rPr>
          <w:rFonts w:asciiTheme="majorBidi" w:hAnsiTheme="majorBidi" w:cstheme="majorBidi"/>
          <w:lang w:val="en-US"/>
        </w:rPr>
        <w:t>’</w:t>
      </w:r>
      <w:r w:rsidR="00840A12" w:rsidRPr="006E64B5">
        <w:rPr>
          <w:rFonts w:asciiTheme="majorBidi" w:hAnsiTheme="majorBidi" w:cstheme="majorBidi"/>
          <w:lang w:val="en-US"/>
        </w:rPr>
        <w:t xml:space="preserve">s immediate surroundings. </w:t>
      </w:r>
      <w:r w:rsidR="00530B23">
        <w:rPr>
          <w:rFonts w:asciiTheme="majorBidi" w:hAnsiTheme="majorBidi" w:cstheme="majorBidi"/>
          <w:lang w:val="en-US"/>
        </w:rPr>
        <w:t xml:space="preserve">What is more, during the 1950s and 1960s, the </w:t>
      </w:r>
      <w:r w:rsidR="000C50E8">
        <w:rPr>
          <w:rFonts w:asciiTheme="majorBidi" w:hAnsiTheme="majorBidi" w:cstheme="majorBidi"/>
          <w:lang w:val="en-US"/>
        </w:rPr>
        <w:t>state</w:t>
      </w:r>
      <w:r w:rsidR="00530B23">
        <w:rPr>
          <w:rFonts w:asciiTheme="majorBidi" w:hAnsiTheme="majorBidi" w:cstheme="majorBidi"/>
          <w:lang w:val="en-US"/>
        </w:rPr>
        <w:t xml:space="preserve"> was closely aligned with the two colonial powers, Great Britain and France.</w:t>
      </w:r>
      <w:r w:rsidR="00840A12" w:rsidRPr="006E64B5">
        <w:rPr>
          <w:rFonts w:asciiTheme="majorBidi" w:hAnsiTheme="majorBidi" w:cstheme="majorBidi"/>
          <w:lang w:val="en-US"/>
        </w:rPr>
        <w:t xml:space="preserve"> Chapter III traces the media debates about European colonialism and its legacy, as well as the related self-positioning of the Jewish state between Europe and the global South in general, and Asia in particular. It does so with an eye to intra-Israeli tensions between Ashkenazim and Mizrahim and the question of </w:t>
      </w:r>
      <w:proofErr w:type="spellStart"/>
      <w:r w:rsidR="00840A12" w:rsidRPr="006E64B5">
        <w:rPr>
          <w:rFonts w:asciiTheme="majorBidi" w:hAnsiTheme="majorBidi" w:cstheme="majorBidi"/>
          <w:lang w:val="en-US"/>
        </w:rPr>
        <w:t>geocultural</w:t>
      </w:r>
      <w:proofErr w:type="spellEnd"/>
      <w:r w:rsidR="00840A12" w:rsidRPr="006E64B5">
        <w:rPr>
          <w:rFonts w:asciiTheme="majorBidi" w:hAnsiTheme="majorBidi" w:cstheme="majorBidi"/>
          <w:lang w:val="en-US"/>
        </w:rPr>
        <w:t xml:space="preserve"> belonging</w:t>
      </w:r>
      <w:r w:rsidR="00442A5D">
        <w:rPr>
          <w:rFonts w:asciiTheme="majorBidi" w:hAnsiTheme="majorBidi" w:cstheme="majorBidi"/>
          <w:lang w:val="en-US"/>
        </w:rPr>
        <w:t xml:space="preserve">, </w:t>
      </w:r>
      <w:r w:rsidR="00442A5D" w:rsidRPr="00016062">
        <w:rPr>
          <w:rFonts w:asciiTheme="majorBidi" w:hAnsiTheme="majorBidi" w:cstheme="majorBidi"/>
          <w:lang w:val="en-US"/>
        </w:rPr>
        <w:t>as well as to racial notions of different continental cultures</w:t>
      </w:r>
      <w:r w:rsidR="00840A12" w:rsidRPr="00016062">
        <w:rPr>
          <w:rFonts w:asciiTheme="majorBidi" w:hAnsiTheme="majorBidi" w:cstheme="majorBidi"/>
          <w:lang w:val="en-US"/>
        </w:rPr>
        <w:t xml:space="preserve">. </w:t>
      </w:r>
      <w:r w:rsidR="000D297E" w:rsidRPr="000D297E">
        <w:rPr>
          <w:rFonts w:asciiTheme="majorBidi" w:hAnsiTheme="majorBidi" w:cstheme="majorBidi"/>
          <w:lang w:val="en-US"/>
        </w:rPr>
        <w:t>These tensions, as well as the broader dynamics between Europe and the Afro-Asian world, I argue, complicated Israelis’ ability to find their place on the continent.</w:t>
      </w:r>
      <w:r w:rsidR="00530B23" w:rsidRPr="00530B23">
        <w:rPr>
          <w:rFonts w:ascii="Times New Roman" w:hAnsi="Times New Roman" w:cs="Times New Roman"/>
          <w:lang w:val="en-US"/>
        </w:rPr>
        <w:t xml:space="preserve"> </w:t>
      </w:r>
      <w:r w:rsidR="00530B23" w:rsidRPr="003F0630">
        <w:rPr>
          <w:rFonts w:ascii="Times New Roman" w:hAnsi="Times New Roman" w:cs="Times New Roman"/>
          <w:lang w:val="en-US"/>
        </w:rPr>
        <w:t>Emphasis is placed on the 1950s and 1960s. Due to geopolitical shifts,</w:t>
      </w:r>
      <w:r w:rsidR="00530B23">
        <w:rPr>
          <w:rFonts w:ascii="Times New Roman" w:hAnsi="Times New Roman" w:cs="Times New Roman"/>
          <w:lang w:val="en-US"/>
        </w:rPr>
        <w:t xml:space="preserve"> in particular the decolonization of large parts of Asia an Afrika and Israeli territorial conquests in the war of 1967,</w:t>
      </w:r>
      <w:r w:rsidR="00530B23" w:rsidRPr="003F0630">
        <w:rPr>
          <w:rFonts w:ascii="Times New Roman" w:hAnsi="Times New Roman" w:cs="Times New Roman"/>
          <w:lang w:val="en-US"/>
        </w:rPr>
        <w:t xml:space="preserve"> such debates subsequently receded into the background.</w:t>
      </w:r>
    </w:p>
    <w:p w14:paraId="046D112D" w14:textId="68564650" w:rsidR="009737C3" w:rsidRPr="000D5944" w:rsidRDefault="009737C3" w:rsidP="004C33DA">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465B80" w:rsidRPr="00A66D41">
        <w:rPr>
          <w:rFonts w:asciiTheme="majorBidi" w:hAnsiTheme="majorBidi" w:cstheme="majorBidi"/>
          <w:lang w:val="en-US"/>
        </w:rPr>
        <w:t xml:space="preserve">The second part of the book is devoted to three contexts </w:t>
      </w:r>
      <w:r w:rsidR="00465B80">
        <w:rPr>
          <w:rFonts w:asciiTheme="majorBidi" w:hAnsiTheme="majorBidi" w:cstheme="majorBidi"/>
          <w:lang w:val="en-US"/>
        </w:rPr>
        <w:t>through</w:t>
      </w:r>
      <w:r w:rsidR="00465B80" w:rsidRPr="00A66D41">
        <w:rPr>
          <w:rFonts w:asciiTheme="majorBidi" w:hAnsiTheme="majorBidi" w:cstheme="majorBidi"/>
          <w:lang w:val="en-US"/>
        </w:rPr>
        <w:t xml:space="preserve"> which a wider Israeli public experienced Europe in a more direct manner: </w:t>
      </w:r>
      <w:r w:rsidR="00465B80" w:rsidRPr="00FD41DF">
        <w:rPr>
          <w:rFonts w:asciiTheme="majorBidi" w:hAnsiTheme="majorBidi" w:cstheme="majorBidi"/>
          <w:lang w:val="en-US"/>
        </w:rPr>
        <w:t>Israeli participation in European sports leagues</w:t>
      </w:r>
      <w:r w:rsidR="00465B80">
        <w:rPr>
          <w:rFonts w:asciiTheme="majorBidi" w:hAnsiTheme="majorBidi" w:cstheme="majorBidi"/>
          <w:lang w:val="en-US"/>
        </w:rPr>
        <w:t>;</w:t>
      </w:r>
      <w:r w:rsidR="00465B80" w:rsidRPr="00FD41DF">
        <w:rPr>
          <w:rFonts w:asciiTheme="majorBidi" w:hAnsiTheme="majorBidi" w:cstheme="majorBidi"/>
          <w:lang w:val="en-US"/>
        </w:rPr>
        <w:t xml:space="preserve"> </w:t>
      </w:r>
      <w:r w:rsidR="00465B80">
        <w:rPr>
          <w:rFonts w:asciiTheme="majorBidi" w:hAnsiTheme="majorBidi" w:cstheme="majorBidi"/>
          <w:lang w:val="en-US"/>
        </w:rPr>
        <w:t>t</w:t>
      </w:r>
      <w:r w:rsidR="00465B80" w:rsidRPr="00872E75">
        <w:rPr>
          <w:rFonts w:ascii="Times New Roman" w:hAnsi="Times New Roman" w:cs="Times New Roman"/>
          <w:lang w:val="en-US"/>
        </w:rPr>
        <w:t>he media spectacle of Eurovision</w:t>
      </w:r>
      <w:r w:rsidR="00465B80">
        <w:rPr>
          <w:rFonts w:asciiTheme="majorBidi" w:hAnsiTheme="majorBidi" w:cstheme="majorBidi"/>
          <w:lang w:val="en-US"/>
        </w:rPr>
        <w:t>;</w:t>
      </w:r>
      <w:r w:rsidR="00465B80" w:rsidRPr="00A66D41">
        <w:rPr>
          <w:rFonts w:asciiTheme="majorBidi" w:hAnsiTheme="majorBidi" w:cstheme="majorBidi"/>
          <w:lang w:val="en-US"/>
        </w:rPr>
        <w:t xml:space="preserve"> and travel to Europe. </w:t>
      </w:r>
      <w:r w:rsidRPr="006E64B5">
        <w:rPr>
          <w:rFonts w:asciiTheme="majorBidi" w:hAnsiTheme="majorBidi" w:cstheme="majorBidi"/>
          <w:lang w:val="en-US"/>
        </w:rPr>
        <w:t xml:space="preserve">In </w:t>
      </w:r>
      <w:proofErr w:type="gramStart"/>
      <w:r w:rsidRPr="006E64B5">
        <w:rPr>
          <w:rFonts w:asciiTheme="majorBidi" w:hAnsiTheme="majorBidi" w:cstheme="majorBidi"/>
          <w:lang w:val="en-US"/>
        </w:rPr>
        <w:t>all of</w:t>
      </w:r>
      <w:proofErr w:type="gramEnd"/>
      <w:r w:rsidRPr="006E64B5">
        <w:rPr>
          <w:rFonts w:asciiTheme="majorBidi" w:hAnsiTheme="majorBidi" w:cstheme="majorBidi"/>
          <w:lang w:val="en-US"/>
        </w:rPr>
        <w:t xml:space="preserve"> these contexts, Israeli</w:t>
      </w:r>
      <w:r w:rsidR="0070080C">
        <w:rPr>
          <w:rFonts w:asciiTheme="majorBidi" w:hAnsiTheme="majorBidi" w:cstheme="majorBidi"/>
          <w:lang w:val="en-US"/>
        </w:rPr>
        <w:t xml:space="preserve"> commentators</w:t>
      </w:r>
      <w:r w:rsidRPr="006E64B5">
        <w:rPr>
          <w:rFonts w:asciiTheme="majorBidi" w:hAnsiTheme="majorBidi" w:cstheme="majorBidi"/>
          <w:lang w:val="en-US"/>
        </w:rPr>
        <w:t xml:space="preserve"> discussed what Europe meant to them, both conceptually and geographically, and what influence the continent had or should have on their country.</w:t>
      </w:r>
      <w:r w:rsidR="00A05057">
        <w:rPr>
          <w:rFonts w:asciiTheme="majorBidi" w:hAnsiTheme="majorBidi" w:cstheme="majorBidi"/>
          <w:lang w:val="en-US"/>
        </w:rPr>
        <w:t xml:space="preserve"> </w:t>
      </w:r>
    </w:p>
    <w:p w14:paraId="5AF850CF" w14:textId="3B8E84C2" w:rsidR="002F64CC" w:rsidRPr="006E64B5" w:rsidRDefault="002F64CC" w:rsidP="00BA6120">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BA6120" w:rsidRPr="00BA6120">
        <w:rPr>
          <w:rFonts w:asciiTheme="majorBidi" w:hAnsiTheme="majorBidi" w:cstheme="majorBidi"/>
          <w:lang w:val="en-US"/>
        </w:rPr>
        <w:t xml:space="preserve">Chapter IV looks at debates about the fate of the two most popular team sports in Israel: Soccer and basketball. Israel’s problematic geopolitical circumstances found a very real expression in the country’s international sporting affiliations. While some athletic disciplines, </w:t>
      </w:r>
      <w:r w:rsidR="00BA6120" w:rsidRPr="00BA6120">
        <w:rPr>
          <w:rFonts w:asciiTheme="majorBidi" w:hAnsiTheme="majorBidi" w:cstheme="majorBidi"/>
          <w:lang w:val="en-US"/>
        </w:rPr>
        <w:lastRenderedPageBreak/>
        <w:t xml:space="preserve">like basketball, were integrated into European frameworks early on, other athletes joined Asian leagues, most prominently the country’s soccer teams. However, Arab soccer organizations started joining the leagues during the late 1960s and early 1970s which had been dominated by teams from eastern Asia. Against the deteriorating standing of Israel in the global south after the Israeli-Arab wars from 1967 and 1973, Arab sports administrators managed to push out the Israeli Football Association (IFA) in 1974. The IFA subsequently attempted to enter European leagues which, due to fierce Soviet opposition, succeeded only in the early 1990s. Israeli sports, one commentator bemoaned, fell between all the stools. Chapter IV demonstrates that these issues sparked debates about Israel’s </w:t>
      </w:r>
      <w:proofErr w:type="spellStart"/>
      <w:r w:rsidR="00BA6120" w:rsidRPr="00BA6120">
        <w:rPr>
          <w:rFonts w:asciiTheme="majorBidi" w:hAnsiTheme="majorBidi" w:cstheme="majorBidi"/>
          <w:lang w:val="en-US"/>
        </w:rPr>
        <w:t>geocultural</w:t>
      </w:r>
      <w:proofErr w:type="spellEnd"/>
      <w:r w:rsidR="00BA6120" w:rsidRPr="00BA6120">
        <w:rPr>
          <w:rFonts w:asciiTheme="majorBidi" w:hAnsiTheme="majorBidi" w:cstheme="majorBidi"/>
          <w:lang w:val="en-US"/>
        </w:rPr>
        <w:t xml:space="preserve"> orientation and allegiances far beyond the sports arena. These debates illustrate that Israelis of the period always discussed Europe in the context of and in dynamic interaction with other </w:t>
      </w:r>
      <w:proofErr w:type="spellStart"/>
      <w:r w:rsidR="00BA6120" w:rsidRPr="00BA6120">
        <w:rPr>
          <w:rFonts w:asciiTheme="majorBidi" w:hAnsiTheme="majorBidi" w:cstheme="majorBidi"/>
          <w:lang w:val="en-US"/>
        </w:rPr>
        <w:t>geocultural</w:t>
      </w:r>
      <w:proofErr w:type="spellEnd"/>
      <w:r w:rsidR="00BA6120" w:rsidRPr="00BA6120">
        <w:rPr>
          <w:rFonts w:asciiTheme="majorBidi" w:hAnsiTheme="majorBidi" w:cstheme="majorBidi"/>
          <w:lang w:val="en-US"/>
        </w:rPr>
        <w:t xml:space="preserve"> connections and influences. Israeli images of Europe, the chapter makes clear, must therefore be understood in the context of these dynamics.</w:t>
      </w:r>
    </w:p>
    <w:p w14:paraId="76DDF89B" w14:textId="3D2E9AA3" w:rsidR="00FA5889" w:rsidRDefault="00FA5889" w:rsidP="002078FB">
      <w:pPr>
        <w:spacing w:line="360" w:lineRule="auto"/>
        <w:jc w:val="both"/>
        <w:rPr>
          <w:rFonts w:asciiTheme="majorBidi" w:hAnsiTheme="majorBidi" w:cstheme="majorBidi"/>
          <w:lang w:val="en-US"/>
        </w:rPr>
      </w:pPr>
      <w:r w:rsidRPr="006E64B5">
        <w:rPr>
          <w:rFonts w:asciiTheme="majorBidi" w:hAnsiTheme="majorBidi" w:cstheme="majorBidi"/>
          <w:lang w:val="en-US"/>
        </w:rPr>
        <w:tab/>
      </w:r>
      <w:r w:rsidR="002078FB" w:rsidRPr="002078FB">
        <w:rPr>
          <w:rFonts w:asciiTheme="majorBidi" w:hAnsiTheme="majorBidi" w:cstheme="majorBidi"/>
          <w:lang w:val="en-US"/>
        </w:rPr>
        <w:t>Just as sports leagues provided Israelis with a platform to engage with Europe, the Eurovision Song Contest became another key venue for cultural interaction</w:t>
      </w:r>
      <w:r w:rsidR="00BA6120">
        <w:rPr>
          <w:rFonts w:asciiTheme="majorBidi" w:hAnsiTheme="majorBidi" w:cstheme="majorBidi"/>
          <w:lang w:val="en-US"/>
        </w:rPr>
        <w:t>, which Chapter V explores</w:t>
      </w:r>
      <w:r w:rsidR="002078FB" w:rsidRPr="002078FB">
        <w:rPr>
          <w:rFonts w:asciiTheme="majorBidi" w:hAnsiTheme="majorBidi" w:cstheme="majorBidi"/>
          <w:lang w:val="en-US"/>
        </w:rPr>
        <w:t xml:space="preserve">. </w:t>
      </w:r>
      <w:r w:rsidR="00BA6120" w:rsidRPr="00A66D41">
        <w:rPr>
          <w:rFonts w:asciiTheme="majorBidi" w:hAnsiTheme="majorBidi" w:cstheme="majorBidi"/>
          <w:lang w:val="en-US"/>
        </w:rPr>
        <w:t xml:space="preserve">Due to their membership </w:t>
      </w:r>
      <w:r w:rsidR="00BA6120">
        <w:rPr>
          <w:rFonts w:asciiTheme="majorBidi" w:hAnsiTheme="majorBidi" w:cstheme="majorBidi"/>
          <w:lang w:val="en-US"/>
        </w:rPr>
        <w:t>in</w:t>
      </w:r>
      <w:r w:rsidR="00BA6120" w:rsidRPr="00A66D41">
        <w:rPr>
          <w:rFonts w:asciiTheme="majorBidi" w:hAnsiTheme="majorBidi" w:cstheme="majorBidi"/>
          <w:lang w:val="en-US"/>
        </w:rPr>
        <w:t xml:space="preserve"> the European Broadcasting Union, Israel w</w:t>
      </w:r>
      <w:r w:rsidR="00BA6120">
        <w:rPr>
          <w:rFonts w:asciiTheme="majorBidi" w:hAnsiTheme="majorBidi" w:cstheme="majorBidi"/>
          <w:lang w:val="en-US"/>
        </w:rPr>
        <w:t>as</w:t>
      </w:r>
      <w:r w:rsidR="00BA6120" w:rsidRPr="00A66D41">
        <w:rPr>
          <w:rFonts w:asciiTheme="majorBidi" w:hAnsiTheme="majorBidi" w:cstheme="majorBidi"/>
          <w:lang w:val="en-US"/>
        </w:rPr>
        <w:t xml:space="preserve"> eligible to </w:t>
      </w:r>
      <w:r w:rsidR="00BA6120">
        <w:rPr>
          <w:rFonts w:asciiTheme="majorBidi" w:hAnsiTheme="majorBidi" w:cstheme="majorBidi"/>
          <w:lang w:val="en-US"/>
        </w:rPr>
        <w:t>participate</w:t>
      </w:r>
      <w:r w:rsidR="00BA6120" w:rsidRPr="00A66D41">
        <w:rPr>
          <w:rFonts w:asciiTheme="majorBidi" w:hAnsiTheme="majorBidi" w:cstheme="majorBidi"/>
          <w:lang w:val="en-US"/>
        </w:rPr>
        <w:t xml:space="preserve"> </w:t>
      </w:r>
      <w:r w:rsidR="00BA6120">
        <w:rPr>
          <w:rFonts w:asciiTheme="majorBidi" w:hAnsiTheme="majorBidi" w:cstheme="majorBidi"/>
          <w:lang w:val="en-US"/>
        </w:rPr>
        <w:t xml:space="preserve">in </w:t>
      </w:r>
      <w:r w:rsidR="00BA6120" w:rsidRPr="00A66D41">
        <w:rPr>
          <w:rFonts w:asciiTheme="majorBidi" w:hAnsiTheme="majorBidi" w:cstheme="majorBidi"/>
          <w:lang w:val="en-US"/>
        </w:rPr>
        <w:t xml:space="preserve">the </w:t>
      </w:r>
      <w:r w:rsidR="00BA6120" w:rsidRPr="00963F89">
        <w:rPr>
          <w:rFonts w:asciiTheme="majorBidi" w:hAnsiTheme="majorBidi" w:cstheme="majorBidi"/>
          <w:lang w:val="en-US"/>
        </w:rPr>
        <w:t>Eurovision Song Contest</w:t>
      </w:r>
      <w:r w:rsidR="00BA6120" w:rsidRPr="00A66D41">
        <w:rPr>
          <w:rFonts w:asciiTheme="majorBidi" w:hAnsiTheme="majorBidi" w:cstheme="majorBidi"/>
          <w:lang w:val="en-US"/>
        </w:rPr>
        <w:t>, which</w:t>
      </w:r>
      <w:r w:rsidR="00BA6120">
        <w:rPr>
          <w:rFonts w:asciiTheme="majorBidi" w:hAnsiTheme="majorBidi" w:cstheme="majorBidi"/>
          <w:lang w:val="en-US"/>
        </w:rPr>
        <w:t xml:space="preserve"> Israel has done</w:t>
      </w:r>
      <w:r w:rsidR="00BA6120" w:rsidRPr="00A66D41">
        <w:rPr>
          <w:rFonts w:asciiTheme="majorBidi" w:hAnsiTheme="majorBidi" w:cstheme="majorBidi"/>
          <w:lang w:val="en-US"/>
        </w:rPr>
        <w:t xml:space="preserve"> regularly </w:t>
      </w:r>
      <w:r w:rsidR="00BA6120">
        <w:rPr>
          <w:rFonts w:asciiTheme="majorBidi" w:hAnsiTheme="majorBidi" w:cstheme="majorBidi"/>
          <w:lang w:val="en-US"/>
        </w:rPr>
        <w:t>since</w:t>
      </w:r>
      <w:r w:rsidR="00BA6120" w:rsidRPr="00A66D41">
        <w:rPr>
          <w:rFonts w:asciiTheme="majorBidi" w:hAnsiTheme="majorBidi" w:cstheme="majorBidi"/>
          <w:lang w:val="en-US"/>
        </w:rPr>
        <w:t xml:space="preserve"> 1973. Eurovision </w:t>
      </w:r>
      <w:r w:rsidR="00BA6120">
        <w:rPr>
          <w:rFonts w:asciiTheme="majorBidi" w:hAnsiTheme="majorBidi" w:cstheme="majorBidi"/>
          <w:lang w:val="en-US"/>
        </w:rPr>
        <w:t xml:space="preserve">participation </w:t>
      </w:r>
      <w:r w:rsidR="00BA6120" w:rsidRPr="00A66D41">
        <w:rPr>
          <w:rFonts w:asciiTheme="majorBidi" w:hAnsiTheme="majorBidi" w:cstheme="majorBidi"/>
          <w:lang w:val="en-US"/>
        </w:rPr>
        <w:t>challenged Israelis</w:t>
      </w:r>
      <w:r w:rsidR="00BA6120">
        <w:rPr>
          <w:rFonts w:asciiTheme="majorBidi" w:hAnsiTheme="majorBidi" w:cstheme="majorBidi"/>
          <w:lang w:val="en-US"/>
        </w:rPr>
        <w:t xml:space="preserve">, their country </w:t>
      </w:r>
      <w:r w:rsidR="00BA6120" w:rsidRPr="00A1182C">
        <w:rPr>
          <w:rFonts w:asciiTheme="majorBidi" w:hAnsiTheme="majorBidi" w:cstheme="majorBidi"/>
          <w:lang w:val="en-US"/>
        </w:rPr>
        <w:t xml:space="preserve">one of the few participants </w:t>
      </w:r>
      <w:r w:rsidR="00BA6120">
        <w:rPr>
          <w:rFonts w:asciiTheme="majorBidi" w:hAnsiTheme="majorBidi" w:cstheme="majorBidi"/>
          <w:lang w:val="en-US"/>
        </w:rPr>
        <w:t>from</w:t>
      </w:r>
      <w:r w:rsidR="00BA6120" w:rsidRPr="00A1182C">
        <w:rPr>
          <w:rFonts w:asciiTheme="majorBidi" w:hAnsiTheme="majorBidi" w:cstheme="majorBidi"/>
          <w:lang w:val="en-US"/>
        </w:rPr>
        <w:t xml:space="preserve"> outside of the continent</w:t>
      </w:r>
      <w:r w:rsidR="00BA6120">
        <w:rPr>
          <w:rFonts w:asciiTheme="majorBidi" w:hAnsiTheme="majorBidi" w:cstheme="majorBidi"/>
          <w:lang w:val="en-US"/>
        </w:rPr>
        <w:t xml:space="preserve"> (except for Turkey),</w:t>
      </w:r>
      <w:r w:rsidR="00BA6120" w:rsidRPr="00E606B6">
        <w:rPr>
          <w:rFonts w:asciiTheme="majorBidi" w:hAnsiTheme="majorBidi" w:cstheme="majorBidi"/>
          <w:lang w:val="en-US"/>
        </w:rPr>
        <w:t xml:space="preserve"> </w:t>
      </w:r>
      <w:r w:rsidR="00BA6120" w:rsidRPr="00A66D41">
        <w:rPr>
          <w:rFonts w:asciiTheme="majorBidi" w:hAnsiTheme="majorBidi" w:cstheme="majorBidi"/>
          <w:lang w:val="en-US"/>
        </w:rPr>
        <w:t xml:space="preserve">to grapple with their different affiliations with Europe and its institutions. </w:t>
      </w:r>
      <w:r w:rsidR="00BA6120" w:rsidRPr="00B77BB1">
        <w:rPr>
          <w:rFonts w:asciiTheme="majorBidi" w:hAnsiTheme="majorBidi" w:cstheme="majorBidi"/>
          <w:lang w:val="en-US"/>
        </w:rPr>
        <w:t xml:space="preserve">In fact, since the winners of the contest are easily determined, the spectacle is often accompanied by debates about </w:t>
      </w:r>
      <w:r w:rsidR="00BA6120">
        <w:rPr>
          <w:rFonts w:asciiTheme="majorBidi" w:hAnsiTheme="majorBidi" w:cstheme="majorBidi"/>
          <w:lang w:val="en-US"/>
        </w:rPr>
        <w:t>a particular</w:t>
      </w:r>
      <w:r w:rsidR="00BA6120" w:rsidRPr="00B77BB1">
        <w:rPr>
          <w:rFonts w:asciiTheme="majorBidi" w:hAnsiTheme="majorBidi" w:cstheme="majorBidi"/>
          <w:lang w:val="en-US"/>
        </w:rPr>
        <w:t xml:space="preserve"> country</w:t>
      </w:r>
      <w:r w:rsidR="00BA6120">
        <w:rPr>
          <w:rFonts w:asciiTheme="majorBidi" w:hAnsiTheme="majorBidi" w:cstheme="majorBidi"/>
          <w:lang w:val="en-US"/>
        </w:rPr>
        <w:t>’</w:t>
      </w:r>
      <w:r w:rsidR="00BA6120" w:rsidRPr="00B77BB1">
        <w:rPr>
          <w:rFonts w:asciiTheme="majorBidi" w:hAnsiTheme="majorBidi" w:cstheme="majorBidi"/>
          <w:lang w:val="en-US"/>
        </w:rPr>
        <w:t xml:space="preserve">s results and what can be inferred from the support or lack thereof of other countries. </w:t>
      </w:r>
      <w:r w:rsidR="00BA6120" w:rsidRPr="00674E7A">
        <w:rPr>
          <w:rFonts w:asciiTheme="majorBidi" w:hAnsiTheme="majorBidi" w:cstheme="majorBidi"/>
          <w:lang w:val="en-US"/>
        </w:rPr>
        <w:t xml:space="preserve">Against this backdrop, Israelis regularly interpret the placement of their artists on the pop stage </w:t>
      </w:r>
      <w:proofErr w:type="gramStart"/>
      <w:r w:rsidR="00BA6120" w:rsidRPr="00674E7A">
        <w:rPr>
          <w:rFonts w:asciiTheme="majorBidi" w:hAnsiTheme="majorBidi" w:cstheme="majorBidi"/>
          <w:lang w:val="en-US"/>
        </w:rPr>
        <w:t>in light of</w:t>
      </w:r>
      <w:proofErr w:type="gramEnd"/>
      <w:r w:rsidR="00BA6120" w:rsidRPr="00674E7A">
        <w:rPr>
          <w:rFonts w:asciiTheme="majorBidi" w:hAnsiTheme="majorBidi" w:cstheme="majorBidi"/>
          <w:lang w:val="en-US"/>
        </w:rPr>
        <w:t xml:space="preserve"> issues such as historical and contemporary antisemitism or political friction over the Arab-Israeli conflict, sometimes in a highly caustic manner, sometimes with humor and irony, </w:t>
      </w:r>
      <w:r w:rsidR="00BA6120">
        <w:rPr>
          <w:rFonts w:asciiTheme="majorBidi" w:hAnsiTheme="majorBidi" w:cstheme="majorBidi"/>
          <w:lang w:val="en-US"/>
        </w:rPr>
        <w:t>in the process</w:t>
      </w:r>
      <w:r w:rsidR="00BA6120" w:rsidRPr="00674E7A">
        <w:rPr>
          <w:rFonts w:asciiTheme="majorBidi" w:hAnsiTheme="majorBidi" w:cstheme="majorBidi"/>
          <w:lang w:val="en-US"/>
        </w:rPr>
        <w:t xml:space="preserve"> addressing not only their relationship </w:t>
      </w:r>
      <w:r w:rsidR="00BA6120">
        <w:rPr>
          <w:rFonts w:asciiTheme="majorBidi" w:hAnsiTheme="majorBidi" w:cstheme="majorBidi"/>
          <w:lang w:val="en-US"/>
        </w:rPr>
        <w:t>with</w:t>
      </w:r>
      <w:r w:rsidR="00BA6120" w:rsidRPr="00674E7A">
        <w:rPr>
          <w:rFonts w:asciiTheme="majorBidi" w:hAnsiTheme="majorBidi" w:cstheme="majorBidi"/>
          <w:lang w:val="en-US"/>
        </w:rPr>
        <w:t xml:space="preserve"> the continent but also their own country</w:t>
      </w:r>
      <w:r w:rsidR="00BA6120">
        <w:rPr>
          <w:rFonts w:asciiTheme="majorBidi" w:hAnsiTheme="majorBidi" w:cstheme="majorBidi"/>
          <w:lang w:val="en-US"/>
        </w:rPr>
        <w:t>’</w:t>
      </w:r>
      <w:r w:rsidR="00BA6120" w:rsidRPr="00674E7A">
        <w:rPr>
          <w:rFonts w:asciiTheme="majorBidi" w:hAnsiTheme="majorBidi" w:cstheme="majorBidi"/>
          <w:lang w:val="en-US"/>
        </w:rPr>
        <w:t xml:space="preserve">s cultural outlook. </w:t>
      </w:r>
      <w:r w:rsidR="00BA6120" w:rsidRPr="00A66D41">
        <w:rPr>
          <w:rFonts w:asciiTheme="majorBidi" w:hAnsiTheme="majorBidi" w:cstheme="majorBidi"/>
          <w:lang w:val="en-US"/>
        </w:rPr>
        <w:t>Focusing on these issues, I argue that participation in the annual spectacle became an important ritual that help</w:t>
      </w:r>
      <w:r w:rsidR="00BA6120">
        <w:rPr>
          <w:rFonts w:asciiTheme="majorBidi" w:hAnsiTheme="majorBidi" w:cstheme="majorBidi"/>
          <w:lang w:val="en-US"/>
        </w:rPr>
        <w:t>ed</w:t>
      </w:r>
      <w:r w:rsidR="00BA6120" w:rsidRPr="00A66D41">
        <w:rPr>
          <w:rFonts w:asciiTheme="majorBidi" w:hAnsiTheme="majorBidi" w:cstheme="majorBidi"/>
          <w:lang w:val="en-US"/>
        </w:rPr>
        <w:t xml:space="preserve"> Israelis come to terms with their complex relationship with the continent.</w:t>
      </w:r>
    </w:p>
    <w:p w14:paraId="6BE88CA1" w14:textId="0B796B26" w:rsidR="00AE6703" w:rsidRPr="00B144A2" w:rsidRDefault="00AE6703" w:rsidP="00AE6703">
      <w:pPr>
        <w:spacing w:line="360" w:lineRule="auto"/>
        <w:jc w:val="both"/>
        <w:rPr>
          <w:rFonts w:asciiTheme="majorBidi" w:hAnsiTheme="majorBidi" w:cstheme="majorBidi"/>
          <w:lang w:val="en-US"/>
        </w:rPr>
      </w:pPr>
      <w:r>
        <w:rPr>
          <w:rFonts w:asciiTheme="majorBidi" w:hAnsiTheme="majorBidi" w:cstheme="majorBidi"/>
          <w:lang w:val="en-US"/>
        </w:rPr>
        <w:tab/>
      </w:r>
      <w:r w:rsidR="006552DE" w:rsidRPr="006552DE">
        <w:rPr>
          <w:rFonts w:asciiTheme="majorBidi" w:hAnsiTheme="majorBidi" w:cstheme="majorBidi"/>
          <w:lang w:val="en-US"/>
        </w:rPr>
        <w:t xml:space="preserve">Israelis participated in the European cultural sphere also quite concretely through travel. Israel’s proximity to the continent and its highly developed tourism industry turned it into the most popular leisure tourism destination for Israelis which became a mass phenomenon during the 1970s. Europe is home to many places of great historical significance to Jewish tourists, but the </w:t>
      </w:r>
      <w:proofErr w:type="gramStart"/>
      <w:r w:rsidR="006552DE" w:rsidRPr="006552DE">
        <w:rPr>
          <w:rFonts w:asciiTheme="majorBidi" w:hAnsiTheme="majorBidi" w:cstheme="majorBidi"/>
          <w:lang w:val="en-US"/>
        </w:rPr>
        <w:t>particular memory</w:t>
      </w:r>
      <w:proofErr w:type="gramEnd"/>
      <w:r w:rsidR="006552DE" w:rsidRPr="006552DE">
        <w:rPr>
          <w:rFonts w:asciiTheme="majorBidi" w:hAnsiTheme="majorBidi" w:cstheme="majorBidi"/>
          <w:lang w:val="en-US"/>
        </w:rPr>
        <w:t xml:space="preserve"> of the Holocaust made it impossible for Israeli visitors to enjoy the </w:t>
      </w:r>
      <w:r w:rsidR="006552DE" w:rsidRPr="006552DE">
        <w:rPr>
          <w:rFonts w:asciiTheme="majorBidi" w:hAnsiTheme="majorBidi" w:cstheme="majorBidi"/>
          <w:lang w:val="en-US"/>
        </w:rPr>
        <w:lastRenderedPageBreak/>
        <w:t xml:space="preserve">continent’s attractions without reservation. Hebrew-language guidebooks, which emerged in response to the increased tourism in the 1970s, directed Israeli travelers to sites of particular interest, provided advice, and both reflected their experiences and steered their expectations, thereby constructing a specific Jewish-Israeli view of Europe. Chapter VI analyzes four such guidebooks that enjoyed enormous popularity, arguing that the tensions between leisure and heritage aspects of Jewish-Israeli tourism were crucial in shaping Hebrew guidebooks’ perspectives on the continent. </w:t>
      </w:r>
      <w:r w:rsidRPr="00B144A2">
        <w:rPr>
          <w:rFonts w:asciiTheme="majorBidi" w:hAnsiTheme="majorBidi" w:cstheme="majorBidi"/>
          <w:lang w:val="en-US"/>
        </w:rPr>
        <w:t>It examines how each of these guides produced a specific image of Europe while attempting to shape and reinforce a specific idea of Israeli-Jewish identity among its readers.</w:t>
      </w:r>
    </w:p>
    <w:p w14:paraId="3B82A097" w14:textId="06F7F0C6" w:rsidR="0022795E" w:rsidRPr="00A66D41" w:rsidRDefault="005D1032" w:rsidP="0022795E">
      <w:pPr>
        <w:spacing w:line="360" w:lineRule="auto"/>
        <w:ind w:firstLine="708"/>
        <w:jc w:val="both"/>
        <w:rPr>
          <w:rFonts w:asciiTheme="majorBidi" w:hAnsiTheme="majorBidi" w:cstheme="majorBidi"/>
          <w:lang w:val="en-US"/>
        </w:rPr>
      </w:pPr>
      <w:r w:rsidRPr="005D1032">
        <w:rPr>
          <w:rFonts w:asciiTheme="majorBidi" w:hAnsiTheme="majorBidi" w:cstheme="majorBidi"/>
          <w:lang w:val="en-US"/>
        </w:rPr>
        <w:t>A brief epilogue summarizes the findings, highlighting the enduring tensions and ambivalences in Israeli views of Europe. It shows how these dynamics remain relevant despite significant changes since the 2000s, offering insights into contemporary Israeli-European relations.</w:t>
      </w:r>
      <w:r w:rsidR="0022795E" w:rsidRPr="00A66D41">
        <w:rPr>
          <w:rFonts w:asciiTheme="majorBidi" w:hAnsiTheme="majorBidi" w:cstheme="majorBidi"/>
          <w:lang w:val="en-US"/>
        </w:rPr>
        <w:t xml:space="preserve"> </w:t>
      </w:r>
    </w:p>
    <w:p w14:paraId="3260C948" w14:textId="5367EA08" w:rsidR="00AE6703" w:rsidRPr="006E64B5" w:rsidRDefault="00AE6703" w:rsidP="004C33DA">
      <w:pPr>
        <w:spacing w:line="360" w:lineRule="auto"/>
        <w:jc w:val="both"/>
        <w:rPr>
          <w:rFonts w:asciiTheme="majorBidi" w:hAnsiTheme="majorBidi" w:cstheme="majorBidi"/>
          <w:lang w:val="en-US"/>
        </w:rPr>
      </w:pPr>
    </w:p>
    <w:sectPr w:rsidR="00AE6703" w:rsidRPr="006E64B5">
      <w:footerReference w:type="even"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89293" w14:textId="77777777" w:rsidR="002070EE" w:rsidRDefault="002070EE" w:rsidP="00034E6D">
      <w:r>
        <w:separator/>
      </w:r>
    </w:p>
  </w:endnote>
  <w:endnote w:type="continuationSeparator" w:id="0">
    <w:p w14:paraId="1AA65A55" w14:textId="77777777" w:rsidR="002070EE" w:rsidRDefault="002070EE" w:rsidP="00034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2032726"/>
      <w:docPartObj>
        <w:docPartGallery w:val="Page Numbers (Bottom of Page)"/>
        <w:docPartUnique/>
      </w:docPartObj>
    </w:sdtPr>
    <w:sdtContent>
      <w:p w14:paraId="41AA48D5" w14:textId="1BCAC207" w:rsidR="000744E9" w:rsidRDefault="000744E9" w:rsidP="000725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80BB9E" w14:textId="77777777" w:rsidR="000744E9" w:rsidRDefault="000744E9" w:rsidP="000744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04794314"/>
      <w:docPartObj>
        <w:docPartGallery w:val="Page Numbers (Bottom of Page)"/>
        <w:docPartUnique/>
      </w:docPartObj>
    </w:sdtPr>
    <w:sdtContent>
      <w:p w14:paraId="0006F6A5" w14:textId="7263034F" w:rsidR="000744E9" w:rsidRDefault="000744E9" w:rsidP="000725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64C5D9" w14:textId="77777777" w:rsidR="000744E9" w:rsidRDefault="000744E9" w:rsidP="000744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35D38" w14:textId="77777777" w:rsidR="002070EE" w:rsidRDefault="002070EE" w:rsidP="00034E6D">
      <w:r>
        <w:separator/>
      </w:r>
    </w:p>
  </w:footnote>
  <w:footnote w:type="continuationSeparator" w:id="0">
    <w:p w14:paraId="0C6B13B8" w14:textId="77777777" w:rsidR="002070EE" w:rsidRDefault="002070EE" w:rsidP="00034E6D">
      <w:r>
        <w:continuationSeparator/>
      </w:r>
    </w:p>
  </w:footnote>
  <w:footnote w:id="1">
    <w:p w14:paraId="66551279" w14:textId="181D7044" w:rsidR="00D43506" w:rsidRPr="003B056B" w:rsidRDefault="00D43506">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i/>
          <w:lang w:val="en-US"/>
        </w:rPr>
        <w:t>Maariv</w:t>
      </w:r>
      <w:r w:rsidRPr="003B056B">
        <w:rPr>
          <w:rFonts w:ascii="Times New Roman" w:hAnsi="Times New Roman" w:cs="Times New Roman"/>
          <w:lang w:val="en-US"/>
        </w:rPr>
        <w:t>, April 25, 1978, 5.</w:t>
      </w:r>
    </w:p>
  </w:footnote>
  <w:footnote w:id="2">
    <w:p w14:paraId="7795A050" w14:textId="6EF66923" w:rsidR="000F4128" w:rsidRPr="003B056B" w:rsidRDefault="000F4128">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i/>
          <w:lang w:val="en-US"/>
        </w:rPr>
        <w:t>Maariv</w:t>
      </w:r>
      <w:r w:rsidRPr="003B056B">
        <w:rPr>
          <w:rFonts w:ascii="Times New Roman" w:hAnsi="Times New Roman" w:cs="Times New Roman"/>
          <w:lang w:val="en-US"/>
        </w:rPr>
        <w:t>, April 23, 1978, 5.</w:t>
      </w:r>
    </w:p>
  </w:footnote>
  <w:footnote w:id="3">
    <w:p w14:paraId="414F3E7F" w14:textId="374DD5AF" w:rsidR="00CE25E2" w:rsidRPr="003B056B" w:rsidRDefault="00CE25E2">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The term ‘Jewish state’ is used in this book as a substitute for Israel, with an understanding of its exclusionary and contentious implications. This terminology mirrors the self-identification of many voices in the Zionist media debates that the book examines, without endorsing it as a normative concept.</w:t>
      </w:r>
    </w:p>
  </w:footnote>
  <w:footnote w:id="4">
    <w:p w14:paraId="74DF4FFE" w14:textId="5DC8945B" w:rsidR="00A6432C" w:rsidRPr="003B056B" w:rsidRDefault="00A6432C">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00F84BCB" w:rsidRPr="003B056B">
        <w:rPr>
          <w:rFonts w:ascii="Times New Roman" w:hAnsi="Times New Roman" w:cs="Times New Roman"/>
          <w:lang w:val="en-US"/>
        </w:rPr>
        <w:t xml:space="preserve"> For some examples, see</w:t>
      </w:r>
      <w:r w:rsidR="00C95B95" w:rsidRPr="003B056B">
        <w:rPr>
          <w:rFonts w:ascii="Times New Roman" w:hAnsi="Times New Roman" w:cs="Times New Roman"/>
          <w:lang w:val="en-US"/>
        </w:rPr>
        <w:t xml:space="preserve">: </w:t>
      </w:r>
      <w:r w:rsidR="00C95B95" w:rsidRPr="003B056B">
        <w:rPr>
          <w:rFonts w:ascii="Times New Roman" w:hAnsi="Times New Roman" w:cs="Times New Roman"/>
          <w:lang w:val="en-US"/>
        </w:rPr>
        <w:fldChar w:fldCharType="begin"/>
      </w:r>
      <w:r w:rsidR="00F9007C" w:rsidRPr="003B056B">
        <w:rPr>
          <w:rFonts w:ascii="Times New Roman" w:hAnsi="Times New Roman" w:cs="Times New Roman"/>
          <w:lang w:val="en-US"/>
        </w:rPr>
        <w:instrText xml:space="preserve"> ADDIN ZOTERO_ITEM CSL_CITATION {"citationID":"U2v4doEt","properties":{"formattedCitation":"Efrayim Ahiram and Alfred Tovias, {\\i{}Whither EU-Israeli Relations?: Common and Divergent Interests} (Frankfurt a.M: Peter Lang, 1995); Klaus Boehnke, {\\i{}Israel and Europe: A Complex Relationship} (Wiesbaden: Deutscber Universit\\uc0\\u228{}tsverlag, 2012); Raffaella A. Del Sarto, {\\i{}Israel and the European Union: Between Rhetoric and Reality} (London: I.B. Tauris, 2014); Emmanuel Navon, \\uc0\\u8220{}Israel\\uc0\\u8217{}s European Dilemma,\\uc0\\u8221{} {\\i{}Israel Journal of Foreign Affairs} 12, no. 3 (2018): 325\\uc0\\u8211{}31; Sharon Pardo, {\\i{}Normative Power Europe Meets Israel: Perceptions and Realities} (Lanham: Lexington Books, 2015); Sharon Pardo and Joel Peters, {\\i{}Uneasy Neighbors: Israel and the European Union} (Lanham: Lexington Books, 2009); Caroline du Plessix, \\uc0\\u8220{}The European Union and Israel. A Lasting and Ambiguous\" Special\" Relationship,\\uc0\\u8221{} {\\i{}Bulletin Du Centre de Recherche Fran\\uc0\\u231{}ais \\uc0\\u224{} J\\uc0\\u233{}rusalem}, no. 22 (2011); Alfred Tovias and Amichai Magen, \\uc0\\u8220{}Reflections from the New near Outside: An Israeli Perspective on the Economic and Legal Impact of EU Enlargement,\\uc0\\u8221{} {\\i{}European Foreign Affairs Review} 10, no. 3 (2005).","plainCitation":"Efrayim Ahiram and Alfred Tovias, Whither EU-Israeli Relations?: Common and Divergent Interests (Frankfurt a.M: Peter Lang, 1995); Klaus Boehnke, Israel and Europe: A Complex Relationship (Wiesbaden: Deutscber Universitätsverlag, 2012); Raffaella A. Del Sarto, Israel and the European Union: Between Rhetoric and Reality (London: I.B. Tauris, 2014); Emmanuel Navon, “Israel’s European Dilemma,” Israel Journal of Foreign Affairs 12, no. 3 (2018): 325–31; Sharon Pardo, Normative Power Europe Meets Israel: Perceptions and Realities (Lanham: Lexington Books, 2015); Sharon Pardo and Joel Peters, Uneasy Neighbors: Israel and the European Union (Lanham: Lexington Books, 2009); Caroline du Plessix, “The European Union and Israel. A Lasting and Ambiguous\" Special\" Relationship,” Bulletin Du Centre de Recherche Français à Jérusalem, no. 22 (2011); Alfred Tovias and Amichai Magen, “Reflections from the New near Outside: An Israeli Perspective on the Economic and Legal Impact of EU Enlargement,” European Foreign Affairs Review 10, no. 3 (2005).","noteIndex":3},"citationItems":[{"id":4669,"uris":["http://zotero.org/users/1231610/items/NRLDEFIA"],"itemData":{"id":4669,"type":"book","event-place":"Frankfurt a.M","publisher":"Peter Lang","publisher-place":"Frankfurt a.M","source":"Google Scholar","title":"Whither EU-Israeli relations?: common and divergent interests","title-short":"Whither EU-Israeli relations?","author":[{"family":"Ahiram","given":"Efrayim"},{"family":"Tovias","given":"Alfred"}],"issued":{"date-parts":[["1995"]]}}},{"id":4668,"uris":["http://zotero.org/users/1231610/items/M9DPSB7X"],"itemData":{"id":4668,"type":"book","event-place":"Wiesbaden","publisher":"Deutscber Universitätsverlag","publisher-place":"Wiesbaden","source":"Google Scholar","title":"Israel and Europe: a complex relationship","title-short":"Israel and Europe","author":[{"family":"Boehnke","given":"Klaus"}],"issued":{"date-parts":[["2012"]]}}},{"id":4667,"uris":["http://zotero.org/users/1231610/items/9RGKWZTV"],"itemData":{"id":4667,"type":"book","event-place":"London","publisher":"I.B. Tauris","publisher-place":"London","source":"Google Scholar","title":"Israel and the European Union: between rhetoric and reality","title-short":"Israel and the European Union","author":[{"family":"Del Sarto","given":"Raffaella A."}],"issued":{"date-parts":[["2014"]]}}},{"id":3090,"uris":["http://zotero.org/users/1231610/items/T47BSSUU"],"itemData":{"id":3090,"type":"article-journal","container-title":"Israel Journal of Foreign Affairs","issue":"3","note":"publisher: Taylor &amp; Francis","page":"325–331","source":"Google Scholar","title":"Israel's European Dilemma","volume":"12","author":[{"family":"Navon","given":"Emmanuel"}],"issued":{"date-parts":[["2018"]]}}},{"id":2546,"uris":["http://zotero.org/users/1231610/items/5KGRLIEF"],"itemData":{"id":2546,"type":"book","event-place":"Lanham","publisher":"Lexington Books","publisher-place":"Lanham","source":"Google Scholar","title":"Normative power Europe meets Israel: perceptions and realities","title-short":"Normative power Europe meets Israel","author":[{"family":"Pardo","given":"Sharon"}],"issued":{"date-parts":[["2015"]]}}},{"id":2543,"uris":["http://zotero.org/users/1231610/items/JA8WYQ8K"],"itemData":{"id":2543,"type":"book","event-place":"Lanham","publisher":"Lexington Books","publisher-place":"Lanham","source":"Google Scholar","title":"Uneasy Neighbors: Israel and the European Union","title-short":"Uneasy Neighbors","author":[{"family":"Pardo","given":"Sharon"},{"family":"Peters","given":"Joel"}],"issued":{"date-parts":[["2009"]]}}},{"id":3100,"uris":["http://zotero.org/users/1231610/items/ESLVBZDH"],"itemData":{"id":3100,"type":"article-journal","container-title":"Bulletin du Centre de recherche français à Jérusalem","issue":"22","note":"publisher: Centre de recherche français à Jérusalem","source":"Google Scholar","title":"The European Union and Israel. A lasting and ambiguous\" special\" relationship","author":[{"family":"Plessix","given":"Caroline","dropping-particle":"du"}],"issued":{"date-parts":[["2011"]]}}},{"id":4673,"uris":["http://zotero.org/users/1231610/items/GQZYML7A"],"itemData":{"id":4673,"type":"article-journal","container-title":"European Foreign Affairs Review","issue":"3","source":"Google Scholar","title":"Reflections from the new near outside: an Israeli perspective on the economic and legal impact of EU enlargement","title-short":"Reflections from the new near outside","volume":"10","author":[{"family":"Tovias","given":"Alfred"},{"family":"Magen","given":"Amichai"}],"issued":{"date-parts":[["2005"]]}}}],"schema":"https://github.com/citation-style-language/schema/raw/master/csl-citation.json"} </w:instrText>
      </w:r>
      <w:r w:rsidR="00C95B95" w:rsidRPr="003B056B">
        <w:rPr>
          <w:rFonts w:ascii="Times New Roman" w:hAnsi="Times New Roman" w:cs="Times New Roman"/>
          <w:lang w:val="en-US"/>
        </w:rPr>
        <w:fldChar w:fldCharType="separate"/>
      </w:r>
      <w:r w:rsidR="00F9007C" w:rsidRPr="003B056B">
        <w:rPr>
          <w:rFonts w:ascii="Times New Roman" w:hAnsi="Times New Roman" w:cs="Times New Roman"/>
          <w:kern w:val="0"/>
          <w:lang w:val="en-US"/>
        </w:rPr>
        <w:t xml:space="preserve">Efrayim Ahiram and Alfred Tovias, </w:t>
      </w:r>
      <w:r w:rsidR="00F9007C" w:rsidRPr="003B056B">
        <w:rPr>
          <w:rFonts w:ascii="Times New Roman" w:hAnsi="Times New Roman" w:cs="Times New Roman"/>
          <w:i/>
          <w:iCs/>
          <w:kern w:val="0"/>
          <w:lang w:val="en-US"/>
        </w:rPr>
        <w:t>Whither EU-Israeli Relations?: Common and Divergent Interests</w:t>
      </w:r>
      <w:r w:rsidR="00F9007C" w:rsidRPr="003B056B">
        <w:rPr>
          <w:rFonts w:ascii="Times New Roman" w:hAnsi="Times New Roman" w:cs="Times New Roman"/>
          <w:kern w:val="0"/>
          <w:lang w:val="en-US"/>
        </w:rPr>
        <w:t xml:space="preserve"> (Frankfurt a.M: Peter Lang, 1995); Klaus Boehnke, </w:t>
      </w:r>
      <w:r w:rsidR="00F9007C" w:rsidRPr="003B056B">
        <w:rPr>
          <w:rFonts w:ascii="Times New Roman" w:hAnsi="Times New Roman" w:cs="Times New Roman"/>
          <w:i/>
          <w:iCs/>
          <w:kern w:val="0"/>
          <w:lang w:val="en-US"/>
        </w:rPr>
        <w:t>Israel and Europe: A Complex Relationship</w:t>
      </w:r>
      <w:r w:rsidR="00F9007C" w:rsidRPr="003B056B">
        <w:rPr>
          <w:rFonts w:ascii="Times New Roman" w:hAnsi="Times New Roman" w:cs="Times New Roman"/>
          <w:kern w:val="0"/>
          <w:lang w:val="en-US"/>
        </w:rPr>
        <w:t xml:space="preserve"> (Wiesbaden: Deutscber Universitätsverlag, 2012); Raffaella A. Del Sarto, </w:t>
      </w:r>
      <w:r w:rsidR="00F9007C" w:rsidRPr="003B056B">
        <w:rPr>
          <w:rFonts w:ascii="Times New Roman" w:hAnsi="Times New Roman" w:cs="Times New Roman"/>
          <w:i/>
          <w:iCs/>
          <w:kern w:val="0"/>
          <w:lang w:val="en-US"/>
        </w:rPr>
        <w:t>Israel and the European Union: Between Rhetoric and Reality</w:t>
      </w:r>
      <w:r w:rsidR="00F9007C" w:rsidRPr="003B056B">
        <w:rPr>
          <w:rFonts w:ascii="Times New Roman" w:hAnsi="Times New Roman" w:cs="Times New Roman"/>
          <w:kern w:val="0"/>
          <w:lang w:val="en-US"/>
        </w:rPr>
        <w:t xml:space="preserve"> (London: I.B. Tauris, 2014); Emmanuel Navon, “Israel’s European Dilemma,” </w:t>
      </w:r>
      <w:r w:rsidR="00F9007C" w:rsidRPr="003B056B">
        <w:rPr>
          <w:rFonts w:ascii="Times New Roman" w:hAnsi="Times New Roman" w:cs="Times New Roman"/>
          <w:i/>
          <w:iCs/>
          <w:kern w:val="0"/>
          <w:lang w:val="en-US"/>
        </w:rPr>
        <w:t>Israel Journal of Foreign Affairs</w:t>
      </w:r>
      <w:r w:rsidR="00F9007C" w:rsidRPr="003B056B">
        <w:rPr>
          <w:rFonts w:ascii="Times New Roman" w:hAnsi="Times New Roman" w:cs="Times New Roman"/>
          <w:kern w:val="0"/>
          <w:lang w:val="en-US"/>
        </w:rPr>
        <w:t xml:space="preserve"> 12, no. 3 (2018): 325–31; Sharon Pardo, </w:t>
      </w:r>
      <w:r w:rsidR="00F9007C" w:rsidRPr="003B056B">
        <w:rPr>
          <w:rFonts w:ascii="Times New Roman" w:hAnsi="Times New Roman" w:cs="Times New Roman"/>
          <w:i/>
          <w:iCs/>
          <w:kern w:val="0"/>
          <w:lang w:val="en-US"/>
        </w:rPr>
        <w:t>Normative Power Europe Meets Israel: Perceptions and Realities</w:t>
      </w:r>
      <w:r w:rsidR="00F9007C" w:rsidRPr="003B056B">
        <w:rPr>
          <w:rFonts w:ascii="Times New Roman" w:hAnsi="Times New Roman" w:cs="Times New Roman"/>
          <w:kern w:val="0"/>
          <w:lang w:val="en-US"/>
        </w:rPr>
        <w:t xml:space="preserve"> (Lanham: Lexington Books, 2015); Sharon Pardo and Joel Peters, </w:t>
      </w:r>
      <w:r w:rsidR="00F9007C" w:rsidRPr="003B056B">
        <w:rPr>
          <w:rFonts w:ascii="Times New Roman" w:hAnsi="Times New Roman" w:cs="Times New Roman"/>
          <w:i/>
          <w:iCs/>
          <w:kern w:val="0"/>
          <w:lang w:val="en-US"/>
        </w:rPr>
        <w:t>Uneasy Neighbors: Israel and the European Union</w:t>
      </w:r>
      <w:r w:rsidR="00F9007C" w:rsidRPr="003B056B">
        <w:rPr>
          <w:rFonts w:ascii="Times New Roman" w:hAnsi="Times New Roman" w:cs="Times New Roman"/>
          <w:kern w:val="0"/>
          <w:lang w:val="en-US"/>
        </w:rPr>
        <w:t xml:space="preserve"> (Lanham: Lexington Books, 2009); Caroline du Plessix, “The European Union and Israel. A Lasting and Ambiguous" Special" Relationship,” </w:t>
      </w:r>
      <w:r w:rsidR="00F9007C" w:rsidRPr="003B056B">
        <w:rPr>
          <w:rFonts w:ascii="Times New Roman" w:hAnsi="Times New Roman" w:cs="Times New Roman"/>
          <w:i/>
          <w:iCs/>
          <w:kern w:val="0"/>
          <w:lang w:val="en-US"/>
        </w:rPr>
        <w:t>Bulletin Du Centre de Recherche Français à Jérusalem</w:t>
      </w:r>
      <w:r w:rsidR="00F9007C" w:rsidRPr="003B056B">
        <w:rPr>
          <w:rFonts w:ascii="Times New Roman" w:hAnsi="Times New Roman" w:cs="Times New Roman"/>
          <w:kern w:val="0"/>
          <w:lang w:val="en-US"/>
        </w:rPr>
        <w:t xml:space="preserve">, no. 22 (2011); Alfred Tovias and Amichai Magen, “Reflections from the New near Outside: An Israeli Perspective on the Economic and Legal Impact of EU Enlargement,” </w:t>
      </w:r>
      <w:r w:rsidR="00F9007C" w:rsidRPr="003B056B">
        <w:rPr>
          <w:rFonts w:ascii="Times New Roman" w:hAnsi="Times New Roman" w:cs="Times New Roman"/>
          <w:i/>
          <w:iCs/>
          <w:kern w:val="0"/>
          <w:lang w:val="en-US"/>
        </w:rPr>
        <w:t>European Foreign Affairs Review</w:t>
      </w:r>
      <w:r w:rsidR="00F9007C" w:rsidRPr="003B056B">
        <w:rPr>
          <w:rFonts w:ascii="Times New Roman" w:hAnsi="Times New Roman" w:cs="Times New Roman"/>
          <w:kern w:val="0"/>
          <w:lang w:val="en-US"/>
        </w:rPr>
        <w:t xml:space="preserve"> 10, no. 3 (2005).</w:t>
      </w:r>
      <w:r w:rsidR="00C95B95" w:rsidRPr="003B056B">
        <w:rPr>
          <w:rFonts w:ascii="Times New Roman" w:hAnsi="Times New Roman" w:cs="Times New Roman"/>
          <w:lang w:val="en-US"/>
        </w:rPr>
        <w:fldChar w:fldCharType="end"/>
      </w:r>
    </w:p>
  </w:footnote>
  <w:footnote w:id="5">
    <w:p w14:paraId="03B55D74" w14:textId="7A1299B4" w:rsidR="00F84BCB" w:rsidRPr="003B056B" w:rsidRDefault="00F84BCB">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Among many others: </w:t>
      </w:r>
      <w:r w:rsidRPr="003B056B">
        <w:rPr>
          <w:rFonts w:ascii="Times New Roman" w:hAnsi="Times New Roman" w:cs="Times New Roman"/>
          <w:lang w:val="en-US"/>
        </w:rPr>
        <w:fldChar w:fldCharType="begin"/>
      </w:r>
      <w:r w:rsidR="008747DD" w:rsidRPr="003B056B">
        <w:rPr>
          <w:rFonts w:ascii="Times New Roman" w:hAnsi="Times New Roman" w:cs="Times New Roman"/>
          <w:lang w:val="en-US"/>
        </w:rPr>
        <w:instrText xml:space="preserve"> ADDIN ZOTERO_ITEM CSL_CITATION {"citationID":"I8eDrwBA","properties":{"formattedCitation":"Muriel Asseburg, \\uc0\\u8220{}The EU and the Middle East Conflict: Tackling the Main Obstacle to Euro-Mediterranean Partnership,\\uc0\\u8221{} {\\i{}Mediterranean Politics} 8, no. 2\\uc0\\u8211{}3 (2003): 174\\uc0\\u8211{}93; Timo Behr, \\uc0\\u8220{}Enduring Differences? France, Germany and Europe\\uc0\\u8217{}s Middle East Dilemma,\\uc0\\u8221{} {\\i{}European Integration} 30, no. 1 (2008): 79\\uc0\\u8211{}96; Del Sarto, {\\i{}Israel and the European Union}; Nathalie Tocci, {\\i{}The EU and Conflict Resolution: Promoting Peace in the Backyard} (London: Routledge, 2007); Haim Yacobi and David Newman, \\uc0\\u8220{}The EU and the Israel-Palestine Conflict,\\uc0\\u8221{} in {\\i{}The European Union and Border Conflicts: The Power of Integration and Association}, ed. Thomas Diez, Mathias Albert, and Stetter (Cambridge: Cambridge University Press, 2008), 173\\uc0\\u8211{}202.","plainCitation":"Muriel Asseburg, “The EU and the Middle East Conflict: Tackling the Main Obstacle to Euro-Mediterranean Partnership,” Mediterranean Politics 8, no. 2–3 (2003): 174–93; Timo Behr, “Enduring Differences? France, Germany and Europe’s Middle East Dilemma,” European Integration 30, no. 1 (2008): 79–96; Del Sarto, Israel and the European Union; Nathalie Tocci, The EU and Conflict Resolution: Promoting Peace in the Backyard (London: Routledge, 2007); Haim Yacobi and David Newman, “The EU and the Israel-Palestine Conflict,” in The European Union and Border Conflicts: The Power of Integration and Association, ed. Thomas Diez, Mathias Albert, and Stetter (Cambridge: Cambridge University Press, 2008), 173–202.","noteIndex":4},"citationItems":[{"id":4674,"uris":["http://zotero.org/users/1231610/items/S2AKPBAM"],"itemData":{"id":4674,"type":"article-journal","container-title":"Mediterranean Politics","issue":"2-3","note":"publisher: Taylor &amp; Francis","page":"174–193","source":"Google Scholar","title":"The EU and the Middle East conflict: Tackling the main obstacle to Euro-Mediterranean partnership","title-short":"The EU and the Middle East conflict","volume":"8","author":[{"family":"Asseburg","given":"Muriel"}],"issued":{"date-parts":[["2003"]]}}},{"id":1623,"uris":["http://zotero.org/users/1231610/items/K2565VJB"],"itemData":{"id":1623,"type":"article-journal","container-title":"European Integration","issue":"1","page":"79–96","source":"Google Scholar","title":"Enduring Differences? France, Germany and Europe’s Middle East Dilemma","title-short":"Enduring Differences?","volume":"30","author":[{"family":"Behr","given":"Timo"}],"issued":{"date-parts":[["2008"]]}}},{"id":4667,"uris":["http://zotero.org/users/1231610/items/9RGKWZTV"],"itemData":{"id":4667,"type":"book","event-place":"London","publisher":"I.B. Tauris","publisher-place":"London","source":"Google Scholar","title":"Israel and the European Union: between rhetoric and reality","title-short":"Israel and the European Union","author":[{"family":"Del Sarto","given":"Raffaella A."}],"issued":{"date-parts":[["2014"]]}}},{"id":4676,"uris":["http://zotero.org/users/1231610/items/QG7DNHI2"],"itemData":{"id":4676,"type":"book","event-place":"London","publisher":"Routledge","publisher-place":"London","source":"Google Scholar","title":"The EU and conflict resolution: promoting peace in the backyard","title-short":"The EU and conflict resolution","author":[{"family":"Tocci","given":"Nathalie"}],"issued":{"date-parts":[["2007"]]}}},{"id":3104,"uris":["http://zotero.org/users/1231610/items/RFBGAALQ"],"itemData":{"id":3104,"type":"chapter","container-title":"The European Union and Border Conflicts: The Power of Integration and Association","event-place":"Cambridge","note":"publisher: Cambridge University Press Cambridge","page":"173–202","publisher":"Cambridge University Press","publisher-place":"Cambridge","source":"Google Scholar","title":"The EU and the Israel-Palestine conflict","author":[{"family":"Yacobi","given":"Haim"},{"family":"Newman","given":"David"}],"editor":[{"family":"Diez","given":"Thomas"},{"family":"Albert","given":"Mathias"},{"family":"Stetter","given":""}],"issued":{"date-parts":[["2008"]]}}}],"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Muriel Asseburg, “The EU and the Middle East Conflict: Tackling the Main Obstacle to Euro-Mediterranean Partnership,” </w:t>
      </w:r>
      <w:r w:rsidRPr="003B056B">
        <w:rPr>
          <w:rFonts w:ascii="Times New Roman" w:hAnsi="Times New Roman" w:cs="Times New Roman"/>
          <w:i/>
          <w:iCs/>
          <w:kern w:val="0"/>
          <w:lang w:val="en-US"/>
        </w:rPr>
        <w:t>Mediterranean Politics</w:t>
      </w:r>
      <w:r w:rsidRPr="003B056B">
        <w:rPr>
          <w:rFonts w:ascii="Times New Roman" w:hAnsi="Times New Roman" w:cs="Times New Roman"/>
          <w:kern w:val="0"/>
          <w:lang w:val="en-US"/>
        </w:rPr>
        <w:t xml:space="preserve"> 8, no. 2–3 (2003): 174–93; Timo Behr, “Enduring Differences? France, Germany and Europe’s Middle East Dilemma,” </w:t>
      </w:r>
      <w:r w:rsidRPr="003B056B">
        <w:rPr>
          <w:rFonts w:ascii="Times New Roman" w:hAnsi="Times New Roman" w:cs="Times New Roman"/>
          <w:i/>
          <w:iCs/>
          <w:kern w:val="0"/>
          <w:lang w:val="en-US"/>
        </w:rPr>
        <w:t>European Integration</w:t>
      </w:r>
      <w:r w:rsidRPr="003B056B">
        <w:rPr>
          <w:rFonts w:ascii="Times New Roman" w:hAnsi="Times New Roman" w:cs="Times New Roman"/>
          <w:kern w:val="0"/>
          <w:lang w:val="en-US"/>
        </w:rPr>
        <w:t xml:space="preserve"> 30, no. 1 (2008): 79–96; Del Sarto, </w:t>
      </w:r>
      <w:r w:rsidRPr="003B056B">
        <w:rPr>
          <w:rFonts w:ascii="Times New Roman" w:hAnsi="Times New Roman" w:cs="Times New Roman"/>
          <w:i/>
          <w:iCs/>
          <w:kern w:val="0"/>
          <w:lang w:val="en-US"/>
        </w:rPr>
        <w:t>Israel and the European Union</w:t>
      </w:r>
      <w:r w:rsidRPr="003B056B">
        <w:rPr>
          <w:rFonts w:ascii="Times New Roman" w:hAnsi="Times New Roman" w:cs="Times New Roman"/>
          <w:kern w:val="0"/>
          <w:lang w:val="en-US"/>
        </w:rPr>
        <w:t xml:space="preserve">; Nathalie Tocci, </w:t>
      </w:r>
      <w:r w:rsidRPr="003B056B">
        <w:rPr>
          <w:rFonts w:ascii="Times New Roman" w:hAnsi="Times New Roman" w:cs="Times New Roman"/>
          <w:i/>
          <w:iCs/>
          <w:kern w:val="0"/>
          <w:lang w:val="en-US"/>
        </w:rPr>
        <w:t>The EU and Conflict Resolution: Promoting Peace in the Backyard</w:t>
      </w:r>
      <w:r w:rsidRPr="003B056B">
        <w:rPr>
          <w:rFonts w:ascii="Times New Roman" w:hAnsi="Times New Roman" w:cs="Times New Roman"/>
          <w:kern w:val="0"/>
          <w:lang w:val="en-US"/>
        </w:rPr>
        <w:t xml:space="preserve"> (London: Routledge, 2007); Haim Yacobi and David Newman, “The EU and the Israel-Palestine Conflict,” in </w:t>
      </w:r>
      <w:r w:rsidRPr="003B056B">
        <w:rPr>
          <w:rFonts w:ascii="Times New Roman" w:hAnsi="Times New Roman" w:cs="Times New Roman"/>
          <w:i/>
          <w:iCs/>
          <w:kern w:val="0"/>
          <w:lang w:val="en-US"/>
        </w:rPr>
        <w:t>The European Union and Border Conflicts: The Power of Integration and Association</w:t>
      </w:r>
      <w:r w:rsidRPr="003B056B">
        <w:rPr>
          <w:rFonts w:ascii="Times New Roman" w:hAnsi="Times New Roman" w:cs="Times New Roman"/>
          <w:kern w:val="0"/>
          <w:lang w:val="en-US"/>
        </w:rPr>
        <w:t>, ed. Thomas Diez, Mathias Albert, and Stetter (Cambridge: Cambridge University Press, 2008), 173–202.</w:t>
      </w:r>
      <w:r w:rsidRPr="003B056B">
        <w:rPr>
          <w:rFonts w:ascii="Times New Roman" w:hAnsi="Times New Roman" w:cs="Times New Roman"/>
          <w:lang w:val="en-US"/>
        </w:rPr>
        <w:fldChar w:fldCharType="end"/>
      </w:r>
      <w:r w:rsidRPr="003B056B">
        <w:rPr>
          <w:rFonts w:ascii="Times New Roman" w:hAnsi="Times New Roman" w:cs="Times New Roman"/>
          <w:lang w:val="en-US"/>
        </w:rPr>
        <w:t xml:space="preserve"> </w:t>
      </w:r>
    </w:p>
  </w:footnote>
  <w:footnote w:id="6">
    <w:p w14:paraId="0EC6112A" w14:textId="21994542" w:rsidR="00D42391" w:rsidRPr="003B056B" w:rsidRDefault="00D42391">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Two exceptions are </w:t>
      </w:r>
      <w:r w:rsidRPr="003B056B">
        <w:rPr>
          <w:rFonts w:ascii="Times New Roman" w:hAnsi="Times New Roman" w:cs="Times New Roman"/>
          <w:lang w:val="en-US"/>
        </w:rPr>
        <w:fldChar w:fldCharType="begin"/>
      </w:r>
      <w:r w:rsidR="008747DD" w:rsidRPr="003B056B">
        <w:rPr>
          <w:rFonts w:ascii="Times New Roman" w:hAnsi="Times New Roman" w:cs="Times New Roman"/>
          <w:lang w:val="en-US"/>
        </w:rPr>
        <w:instrText xml:space="preserve"> ADDIN ZOTERO_ITEM CSL_CITATION {"citationID":"YFUI7GSG","properties":{"formattedCitation":"Jehuda Reinharz and Yaacov Shavit, {\\i{}Glorious, Accursed Europe: An Essay on Jewish Ambivalence} (Waltham, Mass.: Brandeis University Press, 2010); Howard M. Sachar, {\\i{}Israel and Europe: An Appraisal in History} (New York: Alfred A. Knopf, 2010).","plainCitation":"Jehuda Reinharz and Yaacov Shavit, Glorious, Accursed Europe: An Essay on Jewish Ambivalence (Waltham, Mass.: Brandeis University Press, 2010); Howard M. Sachar, Israel and Europe: An Appraisal in History (New York: Alfred A. Knopf, 2010).","noteIndex":5},"citationItems":[{"id":1861,"uris":["http://zotero.org/users/1231610/items/W94JVFPK"],"itemData":{"id":1861,"type":"book","event-place":"Waltham, Mass.","publisher":"Brandeis University Press","publisher-place":"Waltham, Mass.","source":"Google Scholar","title":"Glorious, Accursed Europe: An Essay on Jewish Ambivalence","author":[{"family":"Reinharz","given":"Jehuda"},{"family":"Shavit","given":"Yaacov"}],"issued":{"date-parts":[["2010"]]}}},{"id":2778,"uris":["http://zotero.org/users/1231610/items/SD77VEIL"],"itemData":{"id":2778,"type":"book","event-place":"New York","publisher":"Alfred A. Knopf","publisher-place":"New York","source":"Google Scholar","title":"Israel and Europe: an appraisal in history","title-short":"Israel and Europe","author":[{"family":"Sachar","given":"Howard M."}],"issued":{"date-parts":[["2010"]]}}}],"schema":"https://github.com/citation-style-language/schema/raw/master/csl-citation.json"} </w:instrText>
      </w:r>
      <w:r w:rsidRPr="003B056B">
        <w:rPr>
          <w:rFonts w:ascii="Times New Roman" w:hAnsi="Times New Roman" w:cs="Times New Roman"/>
          <w:lang w:val="en-US"/>
        </w:rPr>
        <w:fldChar w:fldCharType="separate"/>
      </w:r>
      <w:r w:rsidR="00AA1C12" w:rsidRPr="003B056B">
        <w:rPr>
          <w:rFonts w:ascii="Times New Roman" w:hAnsi="Times New Roman" w:cs="Times New Roman"/>
          <w:kern w:val="0"/>
          <w:lang w:val="en-US"/>
        </w:rPr>
        <w:t xml:space="preserve">Jehuda Reinharz and Yaacov Shavit, </w:t>
      </w:r>
      <w:r w:rsidR="00AA1C12" w:rsidRPr="003B056B">
        <w:rPr>
          <w:rFonts w:ascii="Times New Roman" w:hAnsi="Times New Roman" w:cs="Times New Roman"/>
          <w:i/>
          <w:iCs/>
          <w:kern w:val="0"/>
          <w:lang w:val="en-US"/>
        </w:rPr>
        <w:t>Glorious, Accursed Europe: An Essay on Jewish Ambivalence</w:t>
      </w:r>
      <w:r w:rsidR="00AA1C12" w:rsidRPr="003B056B">
        <w:rPr>
          <w:rFonts w:ascii="Times New Roman" w:hAnsi="Times New Roman" w:cs="Times New Roman"/>
          <w:kern w:val="0"/>
          <w:lang w:val="en-US"/>
        </w:rPr>
        <w:t xml:space="preserve"> (Waltham, Mass.: Brandeis University Press, 2010); Howard M. Sachar, </w:t>
      </w:r>
      <w:r w:rsidR="00AA1C12" w:rsidRPr="003B056B">
        <w:rPr>
          <w:rFonts w:ascii="Times New Roman" w:hAnsi="Times New Roman" w:cs="Times New Roman"/>
          <w:i/>
          <w:iCs/>
          <w:kern w:val="0"/>
          <w:lang w:val="en-US"/>
        </w:rPr>
        <w:t>Israel and Europe: An Appraisal in History</w:t>
      </w:r>
      <w:r w:rsidR="00AA1C12" w:rsidRPr="003B056B">
        <w:rPr>
          <w:rFonts w:ascii="Times New Roman" w:hAnsi="Times New Roman" w:cs="Times New Roman"/>
          <w:kern w:val="0"/>
          <w:lang w:val="en-US"/>
        </w:rPr>
        <w:t xml:space="preserve"> (New York: Alfred A. Knopf, 2010).</w:t>
      </w:r>
      <w:r w:rsidRPr="003B056B">
        <w:rPr>
          <w:rFonts w:ascii="Times New Roman" w:hAnsi="Times New Roman" w:cs="Times New Roman"/>
          <w:lang w:val="en-US"/>
        </w:rPr>
        <w:fldChar w:fldCharType="end"/>
      </w:r>
      <w:r w:rsidR="00D82A4B" w:rsidRPr="003B056B">
        <w:rPr>
          <w:rFonts w:ascii="Times New Roman" w:hAnsi="Times New Roman" w:cs="Times New Roman"/>
          <w:lang w:val="en-US"/>
        </w:rPr>
        <w:t xml:space="preserve"> For a critique, see below.</w:t>
      </w:r>
    </w:p>
  </w:footnote>
  <w:footnote w:id="7">
    <w:p w14:paraId="27FF95B7" w14:textId="0206DE6E" w:rsidR="00CE25E2" w:rsidRPr="003B056B" w:rsidRDefault="00CE25E2" w:rsidP="00CE25E2">
      <w:pPr>
        <w:pStyle w:val="FootnoteText"/>
        <w:rPr>
          <w:rFonts w:ascii="Times New Roman" w:hAnsi="Times New Roman" w:cs="Times New Roman"/>
          <w:lang w:val="en-US"/>
        </w:rPr>
      </w:pPr>
      <w:r w:rsidRPr="003B056B">
        <w:rPr>
          <w:rStyle w:val="FootnoteReference"/>
          <w:rFonts w:ascii="Times New Roman" w:hAnsi="Times New Roman" w:cs="Times New Roman"/>
        </w:rPr>
        <w:footnoteRef/>
      </w:r>
      <w:r w:rsidRPr="003B056B">
        <w:rPr>
          <w:rFonts w:ascii="Times New Roman" w:hAnsi="Times New Roman" w:cs="Times New Roman"/>
          <w:lang w:val="en-US"/>
        </w:rPr>
        <w:t xml:space="preserve"> In this book, I use the term EEC/EU to refer to the body that evolved into the European Union. This terminology acknowledges the organization's progression from its initial formation as the European Economic Community (EEC) in 1957, aimed at fostering economic integration, through various stages including the establishment of the European Community (EC) in 1992, and its eventual consolidation as the European Union (EU) following the Maastricht Treaty in 1993.</w:t>
      </w:r>
    </w:p>
  </w:footnote>
  <w:footnote w:id="8">
    <w:p w14:paraId="13602D59" w14:textId="77777777" w:rsidR="005877FF" w:rsidRPr="003B056B" w:rsidRDefault="005877FF" w:rsidP="005877FF">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The one exception is the English-language Jerusalem Post, which I consulted in addition, as it was a central voice for translating Israeli debates into English during the period under study and thus served as a source of information for many immigrants, especially from the Anglo-American world, as well as a link to the biggest and most important diaspora community.</w:t>
      </w:r>
    </w:p>
  </w:footnote>
  <w:footnote w:id="9">
    <w:p w14:paraId="15B20B7D" w14:textId="345149FE" w:rsidR="008950F8" w:rsidRPr="003B056B" w:rsidRDefault="008950F8">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For the observation that ultra-Orthodox and Palestinian Israelis have very different predispositions and traumas than the Zionist mainstream and therefore require separate studies, see also </w:t>
      </w:r>
      <w:r w:rsidRPr="003B056B">
        <w:rPr>
          <w:rFonts w:ascii="Times New Roman" w:hAnsi="Times New Roman" w:cs="Times New Roman"/>
          <w:lang w:val="en-US"/>
        </w:rPr>
        <w:fldChar w:fldCharType="begin"/>
      </w:r>
      <w:r w:rsidR="008747DD" w:rsidRPr="003B056B">
        <w:rPr>
          <w:rFonts w:ascii="Times New Roman" w:hAnsi="Times New Roman" w:cs="Times New Roman"/>
          <w:lang w:val="en-US"/>
        </w:rPr>
        <w:instrText xml:space="preserve"> ADDIN ZOTERO_ITEM CSL_CITATION {"citationID":"Y3mbxav1","properties":{"formattedCitation":"Gad Yair, \\uc0\\u8220{}The Germans: Cultural Trauma and the Israeli Habitus,\\uc0\\u8221{} {\\i{}American Journal of Cultural Sociology} 3, no. 2 (2015): 272.","plainCitation":"Gad Yair, “The Germans: Cultural Trauma and the Israeli Habitus,” American Journal of Cultural Sociology 3, no. 2 (2015): 272.","noteIndex":7},"citationItems":[{"id":3920,"uris":["http://zotero.org/users/1231610/items/SX5WHTAD"],"itemData":{"id":3920,"type":"article-journal","container-title":"American Journal of Cultural Sociology","issue":"2","note":"publisher: Springer","page":"254–279","source":"Google Scholar","title":"The Germans: Cultural trauma and the Israeli habitus","title-short":"The Germans","volume":"3","author":[{"family":"Yair","given":"Gad"}],"issued":{"date-parts":[["2015"]]}},"locator":"272","label":"page"}],"schema":"https://github.com/citation-style-language/schema/raw/master/csl-citation.json"}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Gad Yair, “The Germans: Cultural Trauma and the Israeli Habitus,” </w:t>
      </w:r>
      <w:r w:rsidRPr="003B056B">
        <w:rPr>
          <w:rFonts w:ascii="Times New Roman" w:hAnsi="Times New Roman" w:cs="Times New Roman"/>
          <w:i/>
          <w:iCs/>
          <w:kern w:val="0"/>
          <w:lang w:val="en-US"/>
        </w:rPr>
        <w:t>American Journal of Cultural Sociology</w:t>
      </w:r>
      <w:r w:rsidRPr="003B056B">
        <w:rPr>
          <w:rFonts w:ascii="Times New Roman" w:hAnsi="Times New Roman" w:cs="Times New Roman"/>
          <w:kern w:val="0"/>
          <w:lang w:val="en-US"/>
        </w:rPr>
        <w:t xml:space="preserve"> 3, no. 2 (2015): 272.</w:t>
      </w:r>
      <w:r w:rsidRPr="003B056B">
        <w:rPr>
          <w:rFonts w:ascii="Times New Roman" w:hAnsi="Times New Roman" w:cs="Times New Roman"/>
          <w:lang w:val="en-US"/>
        </w:rPr>
        <w:fldChar w:fldCharType="end"/>
      </w:r>
    </w:p>
  </w:footnote>
  <w:footnote w:id="10">
    <w:p w14:paraId="67CA9717" w14:textId="1CDA4E81" w:rsidR="008C1790" w:rsidRPr="003B056B" w:rsidRDefault="008C1790">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For the emergence and development of various forms of “</w:t>
      </w:r>
      <w:proofErr w:type="spellStart"/>
      <w:r w:rsidRPr="003B056B">
        <w:rPr>
          <w:rFonts w:ascii="Times New Roman" w:hAnsi="Times New Roman" w:cs="Times New Roman"/>
          <w:lang w:val="en-US"/>
        </w:rPr>
        <w:t>Israeliness</w:t>
      </w:r>
      <w:proofErr w:type="spellEnd"/>
      <w:r w:rsidRPr="003B056B">
        <w:rPr>
          <w:rFonts w:ascii="Times New Roman" w:hAnsi="Times New Roman" w:cs="Times New Roman"/>
          <w:lang w:val="en-US"/>
        </w:rPr>
        <w:t xml:space="preserve">”, see </w:t>
      </w:r>
      <w:r w:rsidRPr="003B056B">
        <w:rPr>
          <w:rFonts w:ascii="Times New Roman" w:hAnsi="Times New Roman" w:cs="Times New Roman"/>
          <w:lang w:val="en-US"/>
        </w:rPr>
        <w:fldChar w:fldCharType="begin"/>
      </w:r>
      <w:r w:rsidR="008747DD" w:rsidRPr="003B056B">
        <w:rPr>
          <w:rFonts w:ascii="Times New Roman" w:hAnsi="Times New Roman" w:cs="Times New Roman"/>
          <w:lang w:val="en-US"/>
        </w:rPr>
        <w:instrText xml:space="preserve"> ADDIN ZOTERO_ITEM CSL_CITATION {"citationID":"vMKSi6d6","properties":{"formattedCitation":"Baruch Kimmerling, {\\i{}The Invention and Decline of Israeliness: State, Society, and the Military} (Berkeley: Univ of California Press, 2001).","plainCitation":"Baruch Kimmerling, The Invention and Decline of Israeliness: State, Society, and the Military (Berkeley: Univ of California Press, 2001).","noteIndex":8},"citationItems":[{"id":2647,"uris":["http://zotero.org/users/1231610/items/4DFLRZJY"],"itemData":{"id":2647,"type":"book","event-place":"Berkeley","publisher":"Univ of California Press","publisher-place":"Berkeley","source":"Google Scholar","title":"The invention and decline of Israeliness: State, society, and the military","title-short":"The invention and decline of Israeliness","author":[{"family":"Kimmerling","given":"Baruch"}],"issued":{"date-parts":[["2001"]]}}}],"schema":"https://github.com/citation-style-language/schema/raw/master/csl-citation.json"}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Baruch Kimmerling, </w:t>
      </w:r>
      <w:r w:rsidRPr="003B056B">
        <w:rPr>
          <w:rFonts w:ascii="Times New Roman" w:hAnsi="Times New Roman" w:cs="Times New Roman"/>
          <w:i/>
          <w:iCs/>
          <w:kern w:val="0"/>
          <w:lang w:val="en-US"/>
        </w:rPr>
        <w:t>The Invention and Decline of Israeliness: State, Society, and the Military</w:t>
      </w:r>
      <w:r w:rsidRPr="003B056B">
        <w:rPr>
          <w:rFonts w:ascii="Times New Roman" w:hAnsi="Times New Roman" w:cs="Times New Roman"/>
          <w:kern w:val="0"/>
          <w:lang w:val="en-US"/>
        </w:rPr>
        <w:t xml:space="preserve"> (Berkeley: Univ of California Press, 2001).</w:t>
      </w:r>
      <w:r w:rsidRPr="003B056B">
        <w:rPr>
          <w:rFonts w:ascii="Times New Roman" w:hAnsi="Times New Roman" w:cs="Times New Roman"/>
          <w:lang w:val="en-US"/>
        </w:rPr>
        <w:fldChar w:fldCharType="end"/>
      </w:r>
    </w:p>
  </w:footnote>
  <w:footnote w:id="11">
    <w:p w14:paraId="7CF70D0C" w14:textId="664087BB" w:rsidR="0082745B" w:rsidRPr="003B056B" w:rsidRDefault="0082745B" w:rsidP="0082745B">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00640CEE" w:rsidRPr="003B056B">
        <w:rPr>
          <w:rFonts w:ascii="Times New Roman" w:hAnsi="Times New Roman" w:cs="Times New Roman"/>
          <w:lang w:val="en-US"/>
        </w:rPr>
        <w:t xml:space="preserve"> For discussion of the Jewish public sphere, see </w:t>
      </w:r>
      <w:r w:rsidR="00640CEE" w:rsidRPr="003B056B">
        <w:rPr>
          <w:rFonts w:ascii="Times New Roman" w:hAnsi="Times New Roman" w:cs="Times New Roman"/>
          <w:lang w:val="en-US"/>
        </w:rPr>
        <w:fldChar w:fldCharType="begin"/>
      </w:r>
      <w:r w:rsidR="00535C99" w:rsidRPr="003B056B">
        <w:rPr>
          <w:rFonts w:ascii="Times New Roman" w:hAnsi="Times New Roman" w:cs="Times New Roman"/>
          <w:lang w:val="en-US"/>
        </w:rPr>
        <w:instrText xml:space="preserve"> ADDIN ZOTERO_ITEM CSL_CITATION {"citationID":"6O3cdUpO","properties":{"formattedCitation":"Derek Penslar, \\uc0\\u8220{}The Press and the Jewish Public Sphere,\\uc0\\u8221{} {\\i{}Jewish History} 14, no. 1 (2000): 3\\uc0\\u8211{}8; Scott Ury, {\\i{}Barricades and Banners: The Revolution of 1905 and the Transformation of Warsaw Jewry} (Stanford, Calif: Stanford University Press, 2012), 141\\uc0\\u8211{}71.","plainCitation":"Derek Penslar, “The Press and the Jewish Public Sphere,” Jewish History 14, no. 1 (2000): 3–8; Scott Ury, Barricades and Banners: The Revolution of 1905 and the Transformation of Warsaw Jewry (Stanford, Calif: Stanford University Press, 2012), 141–71.","noteIndex":9},"citationItems":[{"id":4265,"uris":["http://zotero.org/users/1231610/items/4ITESA8L"],"itemData":{"id":4265,"type":"article-journal","container-title":"Jewish History","issue":"1","note":"publisher: Springer","page":"3-8","source":"Google Scholar","title":"The Press and the Jewish Public Sphere","volume":"14","author":[{"family":"Penslar","given":"Derek"}],"issued":{"date-parts":[["2000"]]}}},{"id":1719,"uris":["http://zotero.org/users/1231610/items/ZJBAZSKQ"],"itemData":{"id":1719,"type":"book","event-place":"Stanford, Calif","publisher":"Stanford University Press","publisher-place":"Stanford, Calif","source":"Google Scholar","title":"Barricades and banners: The revolution of 1905 and the transformation of Warsaw Jewry","title-short":"Barricades and banners","author":[{"family":"Ury","given":"Scott"}],"accessed":{"date-parts":[["2016",10,4]]},"issued":{"date-parts":[["2012"]]}},"locator":"141-171","label":"page"}],"schema":"https://github.com/citation-style-language/schema/raw/master/csl-citation.json"} </w:instrText>
      </w:r>
      <w:r w:rsidR="00640CEE" w:rsidRPr="003B056B">
        <w:rPr>
          <w:rFonts w:ascii="Times New Roman" w:hAnsi="Times New Roman" w:cs="Times New Roman"/>
          <w:lang w:val="en-US"/>
        </w:rPr>
        <w:fldChar w:fldCharType="separate"/>
      </w:r>
      <w:r w:rsidR="00640CEE" w:rsidRPr="003B056B">
        <w:rPr>
          <w:rFonts w:ascii="Times New Roman" w:hAnsi="Times New Roman" w:cs="Times New Roman"/>
          <w:kern w:val="0"/>
          <w:lang w:val="en-US"/>
        </w:rPr>
        <w:t xml:space="preserve">Derek Penslar, “The Press and the Jewish Public Sphere,” </w:t>
      </w:r>
      <w:r w:rsidR="00640CEE" w:rsidRPr="003B056B">
        <w:rPr>
          <w:rFonts w:ascii="Times New Roman" w:hAnsi="Times New Roman" w:cs="Times New Roman"/>
          <w:i/>
          <w:iCs/>
          <w:kern w:val="0"/>
          <w:lang w:val="en-US"/>
        </w:rPr>
        <w:t>Jewish History</w:t>
      </w:r>
      <w:r w:rsidR="00640CEE" w:rsidRPr="003B056B">
        <w:rPr>
          <w:rFonts w:ascii="Times New Roman" w:hAnsi="Times New Roman" w:cs="Times New Roman"/>
          <w:kern w:val="0"/>
          <w:lang w:val="en-US"/>
        </w:rPr>
        <w:t xml:space="preserve"> 14, no. 1 (2000): 3–8; Scott Ury, </w:t>
      </w:r>
      <w:r w:rsidR="00640CEE" w:rsidRPr="003B056B">
        <w:rPr>
          <w:rFonts w:ascii="Times New Roman" w:hAnsi="Times New Roman" w:cs="Times New Roman"/>
          <w:i/>
          <w:iCs/>
          <w:kern w:val="0"/>
          <w:lang w:val="en-US"/>
        </w:rPr>
        <w:t>Barricades and Banners: The Revolution of 1905 and the Transformation of Warsaw Jewry</w:t>
      </w:r>
      <w:r w:rsidR="00640CEE" w:rsidRPr="003B056B">
        <w:rPr>
          <w:rFonts w:ascii="Times New Roman" w:hAnsi="Times New Roman" w:cs="Times New Roman"/>
          <w:kern w:val="0"/>
          <w:lang w:val="en-US"/>
        </w:rPr>
        <w:t xml:space="preserve"> (Stanford, Calif: Stanford University Press, 2012), 141–71.</w:t>
      </w:r>
      <w:r w:rsidR="00640CEE" w:rsidRPr="003B056B">
        <w:rPr>
          <w:rFonts w:ascii="Times New Roman" w:hAnsi="Times New Roman" w:cs="Times New Roman"/>
          <w:lang w:val="en-US"/>
        </w:rPr>
        <w:fldChar w:fldCharType="end"/>
      </w:r>
    </w:p>
  </w:footnote>
  <w:footnote w:id="12">
    <w:p w14:paraId="1EF3B506" w14:textId="19434099" w:rsidR="00AF4EB4" w:rsidRPr="003B056B" w:rsidRDefault="00AF4EB4">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In detail, </w:t>
      </w:r>
      <w:r w:rsidR="00640CEE" w:rsidRPr="003B056B">
        <w:rPr>
          <w:rFonts w:ascii="Times New Roman" w:hAnsi="Times New Roman" w:cs="Times New Roman"/>
          <w:lang w:val="en-US"/>
        </w:rPr>
        <w:t xml:space="preserve">see </w:t>
      </w:r>
      <w:r w:rsidR="00640CEE" w:rsidRPr="003B056B">
        <w:rPr>
          <w:rFonts w:ascii="Times New Roman" w:hAnsi="Times New Roman" w:cs="Times New Roman"/>
          <w:lang w:val="en-US"/>
        </w:rPr>
        <w:fldChar w:fldCharType="begin"/>
      </w:r>
      <w:r w:rsidR="00FC493A" w:rsidRPr="003B056B">
        <w:rPr>
          <w:rFonts w:ascii="Times New Roman" w:hAnsi="Times New Roman" w:cs="Times New Roman"/>
          <w:lang w:val="en-US"/>
        </w:rPr>
        <w:instrText xml:space="preserve"> ADDIN ZOTERO_ITEM CSL_CITATION {"citationID":"JbzDltyS","properties":{"formattedCitation":"Reinharz and Shavit, {\\i{}Glorious, Accursed Europe: An Essay on Jewish Ambivalence}.","plainCitation":"Reinharz and Shavit, Glorious, Accursed Europe: An Essay on Jewish Ambivalence.","noteIndex":10},"citationItems":[{"id":1861,"uris":["http://zotero.org/users/1231610/items/W94JVFPK"],"itemData":{"id":1861,"type":"book","event-place":"Waltham, Mass.","publisher":"Brandeis University Press","publisher-place":"Waltham, Mass.","source":"Google Scholar","title":"Glorious, Accursed Europe: An Essay on Jewish Ambivalence","author":[{"family":"Reinharz","given":"Jehuda"},{"family":"Shavit","given":"Yaacov"}],"issued":{"date-parts":[["2010"]]}}}],"schema":"https://github.com/citation-style-language/schema/raw/master/csl-citation.json"} </w:instrText>
      </w:r>
      <w:r w:rsidR="00640CEE" w:rsidRPr="003B056B">
        <w:rPr>
          <w:rFonts w:ascii="Times New Roman" w:hAnsi="Times New Roman" w:cs="Times New Roman"/>
          <w:lang w:val="en-US"/>
        </w:rPr>
        <w:fldChar w:fldCharType="separate"/>
      </w:r>
      <w:r w:rsidR="00D42391" w:rsidRPr="003B056B">
        <w:rPr>
          <w:rFonts w:ascii="Times New Roman" w:hAnsi="Times New Roman" w:cs="Times New Roman"/>
          <w:kern w:val="0"/>
          <w:lang w:val="en-US"/>
        </w:rPr>
        <w:t xml:space="preserve">Reinharz and Shavit, </w:t>
      </w:r>
      <w:r w:rsidR="00D42391" w:rsidRPr="003B056B">
        <w:rPr>
          <w:rFonts w:ascii="Times New Roman" w:hAnsi="Times New Roman" w:cs="Times New Roman"/>
          <w:i/>
          <w:iCs/>
          <w:kern w:val="0"/>
          <w:lang w:val="en-US"/>
        </w:rPr>
        <w:t>Glorious, Accursed Europe: An Essay on Jewish Ambivalence</w:t>
      </w:r>
      <w:r w:rsidR="00D42391" w:rsidRPr="003B056B">
        <w:rPr>
          <w:rFonts w:ascii="Times New Roman" w:hAnsi="Times New Roman" w:cs="Times New Roman"/>
          <w:kern w:val="0"/>
          <w:lang w:val="en-US"/>
        </w:rPr>
        <w:t>.</w:t>
      </w:r>
      <w:r w:rsidR="00640CEE" w:rsidRPr="003B056B">
        <w:rPr>
          <w:rFonts w:ascii="Times New Roman" w:hAnsi="Times New Roman" w:cs="Times New Roman"/>
          <w:lang w:val="en-US"/>
        </w:rPr>
        <w:fldChar w:fldCharType="end"/>
      </w:r>
    </w:p>
  </w:footnote>
  <w:footnote w:id="13">
    <w:p w14:paraId="4DC6D650" w14:textId="44C7B062" w:rsidR="000F01CE" w:rsidRPr="003B056B" w:rsidRDefault="000F01CE" w:rsidP="000F01CE">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640CEE" w:rsidRPr="003B056B">
        <w:rPr>
          <w:rFonts w:ascii="Times New Roman" w:hAnsi="Times New Roman" w:cs="Times New Roman"/>
          <w:lang w:val="en-US"/>
        </w:rPr>
        <w:fldChar w:fldCharType="begin"/>
      </w:r>
      <w:r w:rsidR="008747DD" w:rsidRPr="003B056B">
        <w:rPr>
          <w:rFonts w:ascii="Times New Roman" w:hAnsi="Times New Roman" w:cs="Times New Roman"/>
          <w:lang w:val="en-US"/>
        </w:rPr>
        <w:instrText xml:space="preserve"> ADDIN ZOTERO_ITEM CSL_CITATION {"citationID":"p5A16Yfg","properties":{"formattedCitation":"Gerard Delanty, {\\i{}Inventing Europe: Idea, Identity, Reality}, vol. 66 (New York: St. Martin\\uc0\\u8217{}s Press, 1995), 69.","plainCitation":"Gerard Delanty, Inventing Europe: Idea, Identity, Reality, vol. 66 (New York: St. Martin’s Press, 1995), 69.","noteIndex":11},"citationItems":[{"id":4869,"uris":["http://zotero.org/users/1231610/items/P98E8IAC"],"itemData":{"id":4869,"type":"book","event-place":"New York","publisher":"St. Martin's Press","publisher-place":"New York","title":"Inventing Europe: Idea, Identity, Reality","title-short":"Inventing Europe","volume":"66","author":[{"family":"Delanty","given":"Gerard"}],"issued":{"date-parts":[["1995"]]}},"locator":"69","label":"page"}],"schema":"https://github.com/citation-style-language/schema/raw/master/csl-citation.json"} </w:instrText>
      </w:r>
      <w:r w:rsidR="00640CEE" w:rsidRPr="003B056B">
        <w:rPr>
          <w:rFonts w:ascii="Times New Roman" w:hAnsi="Times New Roman" w:cs="Times New Roman"/>
          <w:lang w:val="en-US"/>
        </w:rPr>
        <w:fldChar w:fldCharType="separate"/>
      </w:r>
      <w:r w:rsidR="00640CEE" w:rsidRPr="003B056B">
        <w:rPr>
          <w:rFonts w:ascii="Times New Roman" w:hAnsi="Times New Roman" w:cs="Times New Roman"/>
          <w:kern w:val="0"/>
          <w:lang w:val="en-US"/>
        </w:rPr>
        <w:t xml:space="preserve">Gerard Delanty, </w:t>
      </w:r>
      <w:r w:rsidR="00640CEE" w:rsidRPr="003B056B">
        <w:rPr>
          <w:rFonts w:ascii="Times New Roman" w:hAnsi="Times New Roman" w:cs="Times New Roman"/>
          <w:i/>
          <w:iCs/>
          <w:kern w:val="0"/>
          <w:lang w:val="en-US"/>
        </w:rPr>
        <w:t>Inventing Europe: Idea, Identity, Reality</w:t>
      </w:r>
      <w:r w:rsidR="00640CEE" w:rsidRPr="003B056B">
        <w:rPr>
          <w:rFonts w:ascii="Times New Roman" w:hAnsi="Times New Roman" w:cs="Times New Roman"/>
          <w:kern w:val="0"/>
          <w:lang w:val="en-US"/>
        </w:rPr>
        <w:t>, vol. 66 (New York: St. Martin’s Press, 1995), 69.</w:t>
      </w:r>
      <w:r w:rsidR="00640CEE" w:rsidRPr="003B056B">
        <w:rPr>
          <w:rFonts w:ascii="Times New Roman" w:hAnsi="Times New Roman" w:cs="Times New Roman"/>
          <w:lang w:val="en-US"/>
        </w:rPr>
        <w:fldChar w:fldCharType="end"/>
      </w:r>
      <w:r w:rsidR="00640CEE" w:rsidRPr="003B056B">
        <w:rPr>
          <w:rFonts w:ascii="Times New Roman" w:hAnsi="Times New Roman" w:cs="Times New Roman"/>
          <w:lang w:val="en-US"/>
        </w:rPr>
        <w:t xml:space="preserve"> </w:t>
      </w:r>
      <w:r w:rsidRPr="003B056B">
        <w:rPr>
          <w:rFonts w:ascii="Times New Roman" w:hAnsi="Times New Roman" w:cs="Times New Roman"/>
          <w:lang w:val="en-US"/>
        </w:rPr>
        <w:t xml:space="preserve">Delanty, 69. </w:t>
      </w:r>
      <w:r w:rsidR="009D49AE" w:rsidRPr="003B056B">
        <w:rPr>
          <w:rFonts w:ascii="Times New Roman" w:hAnsi="Times New Roman" w:cs="Times New Roman"/>
          <w:lang w:val="en-US"/>
        </w:rPr>
        <w:t xml:space="preserve"> See also </w:t>
      </w:r>
      <w:r w:rsidR="00640CEE" w:rsidRPr="003B056B">
        <w:rPr>
          <w:rFonts w:ascii="Times New Roman" w:hAnsi="Times New Roman" w:cs="Times New Roman"/>
          <w:lang w:val="en-US"/>
        </w:rPr>
        <w:fldChar w:fldCharType="begin"/>
      </w:r>
      <w:r w:rsidR="00F2772B" w:rsidRPr="003B056B">
        <w:rPr>
          <w:rFonts w:ascii="Times New Roman" w:hAnsi="Times New Roman" w:cs="Times New Roman"/>
          <w:lang w:val="en-US"/>
        </w:rPr>
        <w:instrText xml:space="preserve"> ADDIN ZOTERO_ITEM CSL_CITATION {"citationID":"q5cDzLJN","properties":{"formattedCitation":"David Nirenberg, {\\i{}Anti-Judaism: The Western Tradition} (New York and London: W.W. Norton &amp; Company, 2013); Shane Weller, {\\i{}The Idea of Europe: A Critical History} (Cambridge, UK: Cambridge University Press, 2021).","plainCitation":"David Nirenberg, Anti-Judaism: The Western Tradition (New York and London: W.W. Norton &amp; Company, 2013); Shane Weller, The Idea of Europe: A Critical History (Cambridge, UK: Cambridge University Press, 2021).","noteIndex":11},"citationItems":[{"id":5263,"uris":["http://zotero.org/users/1231610/items/GSKW5D88"],"itemData":{"id":5263,"type":"book","event-place":"New York and London","publisher":"W.W. Norton &amp; Company","publisher-place":"New York and London","source":"Google Scholar","title":"Anti-Judaism: the western tradition","title-short":"Anti-Judaism","author":[{"family":"Nirenberg","given":"David"}],"accessed":{"date-parts":[["2024",4,3]]},"issued":{"date-parts":[["2013"]]}}},{"id":4533,"uris":["http://zotero.org/users/1231610/items/4A6BTML7"],"itemData":{"id":4533,"type":"book","event-place":"Cambridge, UK","publisher":"Cambridge University Press","publisher-place":"Cambridge, UK","source":"Google Scholar","title":"The Idea of Europe: A Critical History","title-short":"The Idea of Europe","author":[{"family":"Weller","given":"Shane"}],"issued":{"date-parts":[["2021"]]}}}],"schema":"https://github.com/citation-style-language/schema/raw/master/csl-citation.json"} </w:instrText>
      </w:r>
      <w:r w:rsidR="00640CEE" w:rsidRPr="003B056B">
        <w:rPr>
          <w:rFonts w:ascii="Times New Roman" w:hAnsi="Times New Roman" w:cs="Times New Roman"/>
          <w:lang w:val="en-US"/>
        </w:rPr>
        <w:fldChar w:fldCharType="separate"/>
      </w:r>
      <w:r w:rsidR="00F2772B" w:rsidRPr="003B056B">
        <w:rPr>
          <w:rFonts w:ascii="Times New Roman" w:hAnsi="Times New Roman" w:cs="Times New Roman"/>
          <w:kern w:val="0"/>
          <w:lang w:val="en-US"/>
        </w:rPr>
        <w:t xml:space="preserve">David Nirenberg, </w:t>
      </w:r>
      <w:r w:rsidR="00F2772B" w:rsidRPr="003B056B">
        <w:rPr>
          <w:rFonts w:ascii="Times New Roman" w:hAnsi="Times New Roman" w:cs="Times New Roman"/>
          <w:i/>
          <w:iCs/>
          <w:kern w:val="0"/>
          <w:lang w:val="en-US"/>
        </w:rPr>
        <w:t>Anti-Judaism: The Western Tradition</w:t>
      </w:r>
      <w:r w:rsidR="00F2772B" w:rsidRPr="003B056B">
        <w:rPr>
          <w:rFonts w:ascii="Times New Roman" w:hAnsi="Times New Roman" w:cs="Times New Roman"/>
          <w:kern w:val="0"/>
          <w:lang w:val="en-US"/>
        </w:rPr>
        <w:t xml:space="preserve"> (New York and London: W.W. Norton &amp; Company, 2013); Shane Weller, </w:t>
      </w:r>
      <w:r w:rsidR="00F2772B" w:rsidRPr="003B056B">
        <w:rPr>
          <w:rFonts w:ascii="Times New Roman" w:hAnsi="Times New Roman" w:cs="Times New Roman"/>
          <w:i/>
          <w:iCs/>
          <w:kern w:val="0"/>
          <w:lang w:val="en-US"/>
        </w:rPr>
        <w:t>The Idea of Europe: A Critical History</w:t>
      </w:r>
      <w:r w:rsidR="00F2772B" w:rsidRPr="003B056B">
        <w:rPr>
          <w:rFonts w:ascii="Times New Roman" w:hAnsi="Times New Roman" w:cs="Times New Roman"/>
          <w:kern w:val="0"/>
          <w:lang w:val="en-US"/>
        </w:rPr>
        <w:t xml:space="preserve"> (Cambridge, UK: Cambridge University Press, 2021).</w:t>
      </w:r>
      <w:r w:rsidR="00640CEE" w:rsidRPr="003B056B">
        <w:rPr>
          <w:rFonts w:ascii="Times New Roman" w:hAnsi="Times New Roman" w:cs="Times New Roman"/>
          <w:lang w:val="en-US"/>
        </w:rPr>
        <w:fldChar w:fldCharType="end"/>
      </w:r>
    </w:p>
  </w:footnote>
  <w:footnote w:id="14">
    <w:p w14:paraId="6D95719F" w14:textId="1E38DE78" w:rsidR="00CE252C" w:rsidRPr="003B056B" w:rsidRDefault="00CE252C" w:rsidP="00CE252C">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DA606B" w:rsidRPr="003B056B">
        <w:rPr>
          <w:rFonts w:ascii="Times New Roman" w:hAnsi="Times New Roman" w:cs="Times New Roman"/>
          <w:lang w:val="en-US"/>
        </w:rPr>
        <w:t xml:space="preserve">In detail, see </w:t>
      </w:r>
      <w:r w:rsidR="00DA606B" w:rsidRPr="003B056B">
        <w:rPr>
          <w:rFonts w:ascii="Times New Roman" w:hAnsi="Times New Roman" w:cs="Times New Roman"/>
          <w:lang w:val="en-US"/>
        </w:rPr>
        <w:fldChar w:fldCharType="begin"/>
      </w:r>
      <w:r w:rsidR="00535C99" w:rsidRPr="003B056B">
        <w:rPr>
          <w:rFonts w:ascii="Times New Roman" w:hAnsi="Times New Roman" w:cs="Times New Roman"/>
          <w:lang w:val="en-US"/>
        </w:rPr>
        <w:instrText xml:space="preserve"> ADDIN ZOTERO_ITEM CSL_CITATION {"citationID":"qyBqil1O","properties":{"formattedCitation":"Todd Samuel Presner, {\\i{}Muscular Judaism: The Jewish Body and the Politics of Regeneration} (London: Routledge, 2007); Amnon Raz-Krakotzkin, \\uc0\\u8220{}Exile, History, and the Nationalization of Jewish Memory: Some Reflections on the Zionist Notion of History and Return,\\uc0\\u8221{} {\\i{}Journal of Levantine Studies} 3, no. 2 (2013): 37\\uc0\\u8211{}70; Amnon Raz-Krakotzkin, \\uc0\\u8220{}Orientalism, Jewish Studies and Israeli Society: A Few Comments,\\uc0\\u8221{} {\\i{}Philological Encounters} 2, no. 3\\uc0\\u8211{}4 (2017): 237\\uc0\\u8211{}69; Ella Shohat, {\\i{}Israeli Cinema: East/West, and the Politics of Representation} (London: I.B. Tauris, 2010); Ella Shohat, \\uc0\\u8220{}The Invention of the Mizrahim,\\uc0\\u8221{} {\\i{}Journal of Palestine Studies} 29, no. 1 (1999): 5\\uc0\\u8211{}20.","plainCitation":"Todd Samuel Presner, Muscular Judaism: The Jewish Body and the Politics of Regeneration (London: Routledge, 2007); Amnon Raz-Krakotzkin, “Exile, History, and the Nationalization of Jewish Memory: Some Reflections on the Zionist Notion of History and Return,” Journal of Levantine Studies 3, no. 2 (2013): 37–70; Amnon Raz-Krakotzkin, “Orientalism, Jewish Studies and Israeli Society: A Few Comments,” Philological Encounters 2, no. 3–4 (2017): 237–69; Ella Shohat, Israeli Cinema: East/West, and the Politics of Representation (London: I.B. Tauris, 2010); Ella Shohat, “The Invention of the Mizrahim,” Journal of Palestine Studies 29, no. 1 (1999): 5–20.","noteIndex":12},"citationItems":[{"id":5109,"uris":["http://zotero.org/users/1231610/items/2QRZAIKR"],"itemData":{"id":5109,"type":"book","event-place":"London","publisher":"Routledge","publisher-place":"London","source":"Google Scholar","title":"Muscular Judaism: the Jewish body and the politics of regeneration","title-short":"Muscular Judaism","author":[{"family":"Presner","given":"Todd Samuel"}],"accessed":{"date-parts":[["2024",2,25]]},"issued":{"date-parts":[["2007"]]}}},{"id":5087,"uris":["http://zotero.org/users/1231610/items/DWKMZP6P"],"itemData":{"id":5087,"type":"article-journal","container-title":"Journal of levantine studies","issue":"2","page":"37–70","source":"Google Scholar","title":"Exile, history, and the nationalization of Jewish memory: Some reflections on the Zionist notion of history and return","title-short":"Exile","volume":"3","author":[{"family":"Raz-Krakotzkin","given":"Amnon"}],"issued":{"date-parts":[["2013"]]}}},{"id":4682,"uris":["http://zotero.org/users/1231610/items/MFVSR2WJ"],"itemData":{"id":4682,"type":"article-journal","container-title":"Philological Encounters","issue":"3-4","note":"publisher: Brill","page":"237–269","source":"Google Scholar","title":"Orientalism, Jewish Studies and Israeli Society: A Few Comments","title-short":"Orientalism, Jewish Studies and Israeli Society","volume":"2","author":[{"family":"Raz-Krakotzkin","given":"Amnon"}],"issued":{"date-parts":[["2017"]]}}},{"id":4181,"uris":["http://zotero.org/users/1231610/items/GMPCP889"],"itemData":{"id":4181,"type":"book","event-place":"London","publisher":"I.B. Tauris","publisher-place":"London","source":"Google Scholar","title":"Israeli Cinema: East/West, and the Politics of Representation","title-short":"Israeli Cinema","author":[{"family":"Shohat","given":"Ella"}],"issued":{"date-parts":[["2010"]]}},"label":"page"},{"id":4113,"uris":["http://zotero.org/users/1231610/items/TWVAS2US"],"itemData":{"id":4113,"type":"article-journal","container-title":"Journal of Palestine studies","issue":"1","note":"publisher: University of California Press","page":"5–20","source":"Google Scholar","title":"The invention of the Mizrahim","volume":"29","author":[{"family":"Shohat","given":"Ella"}],"issued":{"date-parts":[["1999"]]}}}],"schema":"https://github.com/citation-style-language/schema/raw/master/csl-citation.json"} </w:instrText>
      </w:r>
      <w:r w:rsidR="00DA606B" w:rsidRPr="003B056B">
        <w:rPr>
          <w:rFonts w:ascii="Times New Roman" w:hAnsi="Times New Roman" w:cs="Times New Roman"/>
          <w:lang w:val="en-US"/>
        </w:rPr>
        <w:fldChar w:fldCharType="separate"/>
      </w:r>
      <w:r w:rsidR="00DA606B" w:rsidRPr="003B056B">
        <w:rPr>
          <w:rFonts w:ascii="Times New Roman" w:hAnsi="Times New Roman" w:cs="Times New Roman"/>
          <w:kern w:val="0"/>
          <w:lang w:val="en-US"/>
        </w:rPr>
        <w:t xml:space="preserve">Todd Samuel Presner, </w:t>
      </w:r>
      <w:r w:rsidR="00DA606B" w:rsidRPr="003B056B">
        <w:rPr>
          <w:rFonts w:ascii="Times New Roman" w:hAnsi="Times New Roman" w:cs="Times New Roman"/>
          <w:i/>
          <w:iCs/>
          <w:kern w:val="0"/>
          <w:lang w:val="en-US"/>
        </w:rPr>
        <w:t>Muscular Judaism: The Jewish Body and the Politics of Regeneration</w:t>
      </w:r>
      <w:r w:rsidR="00DA606B" w:rsidRPr="003B056B">
        <w:rPr>
          <w:rFonts w:ascii="Times New Roman" w:hAnsi="Times New Roman" w:cs="Times New Roman"/>
          <w:kern w:val="0"/>
          <w:lang w:val="en-US"/>
        </w:rPr>
        <w:t xml:space="preserve"> (London: Routledge, 2007); Amnon Raz-Krakotzkin, “Exile, History, and the Nationalization of Jewish Memory: Some Reflections on the Zionist Notion of History and Return,” </w:t>
      </w:r>
      <w:r w:rsidR="00DA606B" w:rsidRPr="003B056B">
        <w:rPr>
          <w:rFonts w:ascii="Times New Roman" w:hAnsi="Times New Roman" w:cs="Times New Roman"/>
          <w:i/>
          <w:iCs/>
          <w:kern w:val="0"/>
          <w:lang w:val="en-US"/>
        </w:rPr>
        <w:t>Journal of Levantine Studies</w:t>
      </w:r>
      <w:r w:rsidR="00DA606B" w:rsidRPr="003B056B">
        <w:rPr>
          <w:rFonts w:ascii="Times New Roman" w:hAnsi="Times New Roman" w:cs="Times New Roman"/>
          <w:kern w:val="0"/>
          <w:lang w:val="en-US"/>
        </w:rPr>
        <w:t xml:space="preserve"> 3, no. 2 (2013): 37–70; Amnon Raz-Krakotzkin, “Orientalism, Jewish Studies and Israeli Society: A Few Comments,” </w:t>
      </w:r>
      <w:r w:rsidR="00DA606B" w:rsidRPr="003B056B">
        <w:rPr>
          <w:rFonts w:ascii="Times New Roman" w:hAnsi="Times New Roman" w:cs="Times New Roman"/>
          <w:i/>
          <w:iCs/>
          <w:kern w:val="0"/>
          <w:lang w:val="en-US"/>
        </w:rPr>
        <w:t>Philological Encounters</w:t>
      </w:r>
      <w:r w:rsidR="00DA606B" w:rsidRPr="003B056B">
        <w:rPr>
          <w:rFonts w:ascii="Times New Roman" w:hAnsi="Times New Roman" w:cs="Times New Roman"/>
          <w:kern w:val="0"/>
          <w:lang w:val="en-US"/>
        </w:rPr>
        <w:t xml:space="preserve"> 2, no. 3–4 (2017): 237–69; Ella Shohat, </w:t>
      </w:r>
      <w:r w:rsidR="00DA606B" w:rsidRPr="003B056B">
        <w:rPr>
          <w:rFonts w:ascii="Times New Roman" w:hAnsi="Times New Roman" w:cs="Times New Roman"/>
          <w:i/>
          <w:iCs/>
          <w:kern w:val="0"/>
          <w:lang w:val="en-US"/>
        </w:rPr>
        <w:t>Israeli Cinema: East/West, and the Politics of Representation</w:t>
      </w:r>
      <w:r w:rsidR="00DA606B" w:rsidRPr="003B056B">
        <w:rPr>
          <w:rFonts w:ascii="Times New Roman" w:hAnsi="Times New Roman" w:cs="Times New Roman"/>
          <w:kern w:val="0"/>
          <w:lang w:val="en-US"/>
        </w:rPr>
        <w:t xml:space="preserve"> (London: I.B. Tauris, 2010); Ella Shohat, “The Invention of the Mizrahim,” </w:t>
      </w:r>
      <w:r w:rsidR="00DA606B" w:rsidRPr="003B056B">
        <w:rPr>
          <w:rFonts w:ascii="Times New Roman" w:hAnsi="Times New Roman" w:cs="Times New Roman"/>
          <w:i/>
          <w:iCs/>
          <w:kern w:val="0"/>
          <w:lang w:val="en-US"/>
        </w:rPr>
        <w:t>Journal of Palestine Studies</w:t>
      </w:r>
      <w:r w:rsidR="00DA606B" w:rsidRPr="003B056B">
        <w:rPr>
          <w:rFonts w:ascii="Times New Roman" w:hAnsi="Times New Roman" w:cs="Times New Roman"/>
          <w:kern w:val="0"/>
          <w:lang w:val="en-US"/>
        </w:rPr>
        <w:t xml:space="preserve"> 29, no. 1 (1999): 5–20.</w:t>
      </w:r>
      <w:r w:rsidR="00DA606B" w:rsidRPr="003B056B">
        <w:rPr>
          <w:rFonts w:ascii="Times New Roman" w:hAnsi="Times New Roman" w:cs="Times New Roman"/>
          <w:lang w:val="en-US"/>
        </w:rPr>
        <w:fldChar w:fldCharType="end"/>
      </w:r>
    </w:p>
  </w:footnote>
  <w:footnote w:id="15">
    <w:p w14:paraId="4B77D667" w14:textId="558FC125" w:rsidR="00CE252C" w:rsidRPr="003B056B" w:rsidRDefault="00CE252C" w:rsidP="00CE252C">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Cited after </w:t>
      </w:r>
      <w:r w:rsidR="00DA606B" w:rsidRPr="003B056B">
        <w:rPr>
          <w:rFonts w:ascii="Times New Roman" w:hAnsi="Times New Roman" w:cs="Times New Roman"/>
          <w:lang w:val="en-US"/>
        </w:rPr>
        <w:fldChar w:fldCharType="begin"/>
      </w:r>
      <w:r w:rsidR="00535C99" w:rsidRPr="003B056B">
        <w:rPr>
          <w:rFonts w:ascii="Times New Roman" w:hAnsi="Times New Roman" w:cs="Times New Roman"/>
          <w:lang w:val="en-US"/>
        </w:rPr>
        <w:instrText xml:space="preserve"> ADDIN ZOTERO_ITEM CSL_CITATION {"citationID":"iSMwhUEQ","properties":{"formattedCitation":"Michael Stanislawski, {\\i{}Zionism and the Fin de Si\\uc0\\u232{}cle: Cosmopolitanism and Nationalism from Nordau to Jabotinsky} (Oakland: Univ of California Press, 2001), 17.","plainCitation":"Michael Stanislawski, Zionism and the Fin de Siècle: Cosmopolitanism and Nationalism from Nordau to Jabotinsky (Oakland: Univ of California Press, 2001), 17.","noteIndex":13},"citationItems":[{"id":1273,"uris":["http://zotero.org/users/1231610/items/V654JDAC"],"itemData":{"id":1273,"type":"book","event-place":"Oakland","publisher":"Univ of California Press","publisher-place":"Oakland","source":"Google Scholar","title":"Zionism and the fin de siècle: cosmopolitanism and nationalism from Nordau to Jabotinsky","title-short":"Zionism and the fin de siècle","author":[{"family":"Stanislawski","given":"Michael"}],"accessed":{"date-parts":[["2015",4,6]]},"issued":{"date-parts":[["2001"]]}},"locator":"17","label":"page"}],"schema":"https://github.com/citation-style-language/schema/raw/master/csl-citation.json"} </w:instrText>
      </w:r>
      <w:r w:rsidR="00DA606B" w:rsidRPr="003B056B">
        <w:rPr>
          <w:rFonts w:ascii="Times New Roman" w:hAnsi="Times New Roman" w:cs="Times New Roman"/>
          <w:lang w:val="en-US"/>
        </w:rPr>
        <w:fldChar w:fldCharType="separate"/>
      </w:r>
      <w:r w:rsidR="00DA606B" w:rsidRPr="003B056B">
        <w:rPr>
          <w:rFonts w:ascii="Times New Roman" w:hAnsi="Times New Roman" w:cs="Times New Roman"/>
          <w:kern w:val="0"/>
          <w:lang w:val="en-US"/>
        </w:rPr>
        <w:t xml:space="preserve">Michael Stanislawski, </w:t>
      </w:r>
      <w:r w:rsidR="00DA606B" w:rsidRPr="003B056B">
        <w:rPr>
          <w:rFonts w:ascii="Times New Roman" w:hAnsi="Times New Roman" w:cs="Times New Roman"/>
          <w:i/>
          <w:iCs/>
          <w:kern w:val="0"/>
          <w:lang w:val="en-US"/>
        </w:rPr>
        <w:t>Zionism and the Fin de Siècle: Cosmopolitanism and Nationalism from Nordau to Jabotinsky</w:t>
      </w:r>
      <w:r w:rsidR="00DA606B" w:rsidRPr="003B056B">
        <w:rPr>
          <w:rFonts w:ascii="Times New Roman" w:hAnsi="Times New Roman" w:cs="Times New Roman"/>
          <w:kern w:val="0"/>
          <w:lang w:val="en-US"/>
        </w:rPr>
        <w:t xml:space="preserve"> (Oakland: Univ of California Press, 2001), 17.</w:t>
      </w:r>
      <w:r w:rsidR="00DA606B" w:rsidRPr="003B056B">
        <w:rPr>
          <w:rFonts w:ascii="Times New Roman" w:hAnsi="Times New Roman" w:cs="Times New Roman"/>
          <w:lang w:val="en-US"/>
        </w:rPr>
        <w:fldChar w:fldCharType="end"/>
      </w:r>
      <w:r w:rsidR="00DA606B" w:rsidRPr="003B056B">
        <w:rPr>
          <w:rFonts w:ascii="Times New Roman" w:hAnsi="Times New Roman" w:cs="Times New Roman"/>
          <w:lang w:val="en-US"/>
        </w:rPr>
        <w:t xml:space="preserve"> </w:t>
      </w:r>
      <w:r w:rsidR="00DA606B" w:rsidRPr="005877FF">
        <w:rPr>
          <w:rFonts w:ascii="Times New Roman" w:hAnsi="Times New Roman" w:cs="Times New Roman"/>
        </w:rPr>
        <w:t xml:space="preserve">See also </w:t>
      </w:r>
      <w:r w:rsidR="00DA606B" w:rsidRPr="003B056B">
        <w:rPr>
          <w:rFonts w:ascii="Times New Roman" w:hAnsi="Times New Roman" w:cs="Times New Roman"/>
          <w:lang w:val="en-US"/>
        </w:rPr>
        <w:fldChar w:fldCharType="begin"/>
      </w:r>
      <w:r w:rsidR="00535C99" w:rsidRPr="005877FF">
        <w:rPr>
          <w:rFonts w:ascii="Times New Roman" w:hAnsi="Times New Roman" w:cs="Times New Roman"/>
        </w:rPr>
        <w:instrText xml:space="preserve"> ADDIN ZOTERO_ITEM CSL_CITATION {"citationID":"m3PavQtL","properties":{"formattedCitation":"Steven Aschheim, \\uc0\\u8220{}Zionism and the Idea of Europe,\\uc0\\u8221{} in {\\i{}Die Gegenw\\uc0\\u228{}rtigkeit Deutsch-J\\uc0\\u252{}dischen Denkens}, ed. Julia Matveev and Ashraf Noor (Munich: Wilhelm Fink, 2011), 303\\uc0\\u8211{}19.","plainCitation":"Steven Aschheim, “Zionism and the Idea of Europe,” in Die Gegenwärtigkeit Deutsch-Jüdischen Denkens, ed. Julia Matveev and Ashraf Noor (Munich: Wilhelm Fink, 2011), 303–19.","noteIndex":13},"citationItems":[{"id":4231,"uris":["http://zotero.org/users/1231610/items/TB9BJ6SU"],"itemData":{"id":4231,"type":"chapter","container-title":"Die Gegenwärtigkeit Deutsch-Jüdischen Denkens","event-place":"Munich","page":"303-319","publisher":"Wilhelm Fink","publisher-place":"Munich","source":"Google Scholar","title":"Zionism and the Idea of Europe","editor":[{"family":"Matveev","given":"Julia"},{"family":"Noor","given":"Ashraf"}],"author":[{"family":"Aschheim","given":"Steven"}],"issued":{"date-parts":[["2011"]]}}}],"schema":"https://github.com/citation-style-language/schema/raw/master/csl-citation.json"} </w:instrText>
      </w:r>
      <w:r w:rsidR="00DA606B" w:rsidRPr="003B056B">
        <w:rPr>
          <w:rFonts w:ascii="Times New Roman" w:hAnsi="Times New Roman" w:cs="Times New Roman"/>
          <w:lang w:val="en-US"/>
        </w:rPr>
        <w:fldChar w:fldCharType="separate"/>
      </w:r>
      <w:r w:rsidR="00DA606B" w:rsidRPr="005877FF">
        <w:rPr>
          <w:rFonts w:ascii="Times New Roman" w:hAnsi="Times New Roman" w:cs="Times New Roman"/>
          <w:kern w:val="0"/>
        </w:rPr>
        <w:t xml:space="preserve">Steven Aschheim, “Zionism and the Idea of Europe,” in </w:t>
      </w:r>
      <w:r w:rsidR="00DA606B" w:rsidRPr="005877FF">
        <w:rPr>
          <w:rFonts w:ascii="Times New Roman" w:hAnsi="Times New Roman" w:cs="Times New Roman"/>
          <w:i/>
          <w:iCs/>
          <w:kern w:val="0"/>
        </w:rPr>
        <w:t>Die Gegenwärtigkeit Deutsch-Jüdischen Denkens</w:t>
      </w:r>
      <w:r w:rsidR="00DA606B" w:rsidRPr="005877FF">
        <w:rPr>
          <w:rFonts w:ascii="Times New Roman" w:hAnsi="Times New Roman" w:cs="Times New Roman"/>
          <w:kern w:val="0"/>
        </w:rPr>
        <w:t xml:space="preserve">, ed. </w:t>
      </w:r>
      <w:r w:rsidR="00DA606B" w:rsidRPr="003B056B">
        <w:rPr>
          <w:rFonts w:ascii="Times New Roman" w:hAnsi="Times New Roman" w:cs="Times New Roman"/>
          <w:kern w:val="0"/>
          <w:lang w:val="en-US"/>
        </w:rPr>
        <w:t>Julia Matveev and Ashraf Noor (Munich: Wilhelm Fink, 2011), 303–19.</w:t>
      </w:r>
      <w:r w:rsidR="00DA606B" w:rsidRPr="003B056B">
        <w:rPr>
          <w:rFonts w:ascii="Times New Roman" w:hAnsi="Times New Roman" w:cs="Times New Roman"/>
          <w:lang w:val="en-US"/>
        </w:rPr>
        <w:fldChar w:fldCharType="end"/>
      </w:r>
    </w:p>
  </w:footnote>
  <w:footnote w:id="16">
    <w:p w14:paraId="0F84C593" w14:textId="0B62F0A6" w:rsidR="004805AB" w:rsidRPr="003B056B" w:rsidRDefault="004805AB" w:rsidP="004805AB">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proofErr w:type="gramStart"/>
      <w:r w:rsidRPr="003B056B">
        <w:rPr>
          <w:rFonts w:ascii="Times New Roman" w:hAnsi="Times New Roman" w:cs="Times New Roman"/>
          <w:lang w:val="en-US"/>
        </w:rPr>
        <w:t>A large number of</w:t>
      </w:r>
      <w:proofErr w:type="gramEnd"/>
      <w:r w:rsidRPr="003B056B">
        <w:rPr>
          <w:rFonts w:ascii="Times New Roman" w:hAnsi="Times New Roman" w:cs="Times New Roman"/>
          <w:lang w:val="en-US"/>
        </w:rPr>
        <w:t xml:space="preserve"> studies have emphasized the myriad influences of Europe on the emerging state and its society and culture, ranging from institution building and political culture to music and fashion on the one hand, and even Orthodox Jewish theology on the other. To name but a few, see </w:t>
      </w:r>
      <w:r w:rsidRPr="003B056B">
        <w:rPr>
          <w:rFonts w:ascii="Times New Roman" w:hAnsi="Times New Roman" w:cs="Times New Roman"/>
          <w:lang w:val="en-US"/>
        </w:rPr>
        <w:fldChar w:fldCharType="begin"/>
      </w:r>
      <w:r w:rsidR="008747DD" w:rsidRPr="003B056B">
        <w:rPr>
          <w:rFonts w:ascii="Times New Roman" w:hAnsi="Times New Roman" w:cs="Times New Roman"/>
          <w:lang w:val="en-US"/>
        </w:rPr>
        <w:instrText xml:space="preserve"> ADDIN ZOTERO_ITEM CSL_CITATION {"citationID":"PysG1DJ2","properties":{"formattedCitation":"Anat Helman, {\\i{}A Coat of Many Colors: Dress Culture in the Young State of Israel} (Boston: Academic Studies Press, 2011); Alexander Kaye, {\\i{}The Invention of Jewish Theocracy: The Struggle for Legal Authority in Modern Israel} (New York: Oxford University Press, 2020); Orit Rozin, {\\i{}The Rise of the Individual in 1950s Israel: A Challenge to Collectivism} (Waltham, Mass.: Brandeis University Press, 2011); Yfaat Weiss, \\uc0\\u8220{}The Golem and Its Creator, or How the Jewish Nation-State Became Multiethnic,\\uc0\\u8221{} in {\\i{}Challenging Ethnic Citizenship: German and Israeli Perspectives on Immigration}, ed. Yifat Weiss and Daniel Levy (New York: Berghahn Books, 2002), 82\\uc0\\u8211{}104.","plainCitation":"Anat Helman, A Coat of Many Colors: Dress Culture in the Young State of Israel (Boston: Academic Studies Press, 2011); Alexander Kaye, The Invention of Jewish Theocracy: The Struggle for Legal Authority in Modern Israel (New York: Oxford University Press, 2020); Orit Rozin, The Rise of the Individual in 1950s Israel: A Challenge to Collectivism (Waltham, Mass.: Brandeis University Press, 2011); Yfaat Weiss, “The Golem and Its Creator, or How the Jewish Nation-State Became Multiethnic,” in Challenging Ethnic Citizenship: German and Israeli Perspectives on Immigration, ed. Yifat Weiss and Daniel Levy (New York: Berghahn Books, 2002), 82–104.","noteIndex":14},"citationItems":[{"id":3016,"uris":["http://zotero.org/users/1231610/items/7EBR5UD2"],"itemData":{"id":3016,"type":"book","event-place":"Boston","publisher":"Academic Studies Press","publisher-place":"Boston","source":"Google Scholar","title":"A Coat of Many Colors: Dress Culture in the Young State of Israel","title-short":"A Coat of Many Colors","author":[{"family":"Helman","given":"Anat"}],"issued":{"date-parts":[["2011"]]}}},{"id":5388,"uris":["http://zotero.org/users/1231610/items/RCYJ63WQ"],"itemData":{"id":5388,"type":"book","event-place":"New York","publisher":"Oxford University Press","publisher-place":"New York","source":"Google Scholar","title":"The invention of Jewish theocracy: The struggle for legal authority in modern Israel","title-short":"The invention of Jewish theocracy","author":[{"family":"Kaye","given":"Alexander"}],"accessed":{"date-parts":[["2024",9,10]]},"issued":{"date-parts":[["2020"]]}}},{"id":5272,"uris":["http://zotero.org/users/1231610/items/V8NSY5ZB"],"itemData":{"id":5272,"type":"book","event-place":"Waltham, Mass.","publisher":"Brandeis University Press","publisher-place":"Waltham, Mass.","source":"Google Scholar","title":"The rise of the individual in 1950s Israel: A challenge to collectivism","title-short":"The rise of the individual in 1950s Israel","author":[{"family":"Rozin","given":"Orit"}],"accessed":{"date-parts":[["2024",4,20]]},"issued":{"date-parts":[["2011"]]}}},{"id":4539,"uris":["http://zotero.org/users/1231610/items/2BF22JIU"],"itemData":{"id":4539,"type":"chapter","container-title":"Challenging ethnic citizenship: German and Israeli perspectives on immigration","event-place":"New York","note":"publisher: Berghahn Books New York","page":"82–104","publisher":"Berghahn Books","publisher-place":"New York","source":"Google Scholar","title":"The Golem and its creator, or how the Jewish nation-state became multiethnic","author":[{"family":"Weiss","given":"Yfaat"}],"editor":[{"family":"Weiss","given":"Yifat"},{"family":"Levy","given":"Daniel"}],"issued":{"date-parts":[["2002"]]}}}],"schema":"https://github.com/citation-style-language/schema/raw/master/csl-citation.json"}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Anat Helman, </w:t>
      </w:r>
      <w:r w:rsidRPr="003B056B">
        <w:rPr>
          <w:rFonts w:ascii="Times New Roman" w:hAnsi="Times New Roman" w:cs="Times New Roman"/>
          <w:i/>
          <w:iCs/>
          <w:kern w:val="0"/>
          <w:lang w:val="en-US"/>
        </w:rPr>
        <w:t>A Coat of Many Colors: Dress Culture in the Young State of Israel</w:t>
      </w:r>
      <w:r w:rsidRPr="003B056B">
        <w:rPr>
          <w:rFonts w:ascii="Times New Roman" w:hAnsi="Times New Roman" w:cs="Times New Roman"/>
          <w:kern w:val="0"/>
          <w:lang w:val="en-US"/>
        </w:rPr>
        <w:t xml:space="preserve"> (Boston: Academic Studies Press, 2011); Alexander Kaye, </w:t>
      </w:r>
      <w:r w:rsidRPr="003B056B">
        <w:rPr>
          <w:rFonts w:ascii="Times New Roman" w:hAnsi="Times New Roman" w:cs="Times New Roman"/>
          <w:i/>
          <w:iCs/>
          <w:kern w:val="0"/>
          <w:lang w:val="en-US"/>
        </w:rPr>
        <w:t>The Invention of Jewish Theocracy: The Struggle for Legal Authority in Modern Israel</w:t>
      </w:r>
      <w:r w:rsidRPr="003B056B">
        <w:rPr>
          <w:rFonts w:ascii="Times New Roman" w:hAnsi="Times New Roman" w:cs="Times New Roman"/>
          <w:kern w:val="0"/>
          <w:lang w:val="en-US"/>
        </w:rPr>
        <w:t xml:space="preserve"> (New York: Oxford University Press, 2020); Orit Rozin, </w:t>
      </w:r>
      <w:r w:rsidRPr="003B056B">
        <w:rPr>
          <w:rFonts w:ascii="Times New Roman" w:hAnsi="Times New Roman" w:cs="Times New Roman"/>
          <w:i/>
          <w:iCs/>
          <w:kern w:val="0"/>
          <w:lang w:val="en-US"/>
        </w:rPr>
        <w:t>The Rise of the Individual in 1950s Israel: A Challenge to Collectivism</w:t>
      </w:r>
      <w:r w:rsidRPr="003B056B">
        <w:rPr>
          <w:rFonts w:ascii="Times New Roman" w:hAnsi="Times New Roman" w:cs="Times New Roman"/>
          <w:kern w:val="0"/>
          <w:lang w:val="en-US"/>
        </w:rPr>
        <w:t xml:space="preserve"> (Waltham, Mass.: Brandeis University Press, 2011); Yfaat Weiss, “The Golem and Its Creator, or How the Jewish Nation-State Became Multiethnic,” in </w:t>
      </w:r>
      <w:r w:rsidRPr="003B056B">
        <w:rPr>
          <w:rFonts w:ascii="Times New Roman" w:hAnsi="Times New Roman" w:cs="Times New Roman"/>
          <w:i/>
          <w:iCs/>
          <w:kern w:val="0"/>
          <w:lang w:val="en-US"/>
        </w:rPr>
        <w:t>Challenging Ethnic Citizenship: German and Israeli Perspectives on Immigration</w:t>
      </w:r>
      <w:r w:rsidRPr="003B056B">
        <w:rPr>
          <w:rFonts w:ascii="Times New Roman" w:hAnsi="Times New Roman" w:cs="Times New Roman"/>
          <w:kern w:val="0"/>
          <w:lang w:val="en-US"/>
        </w:rPr>
        <w:t>, ed. Yifat Weiss and Daniel Levy (New York: Berghahn Books, 2002), 82–104.</w:t>
      </w:r>
      <w:r w:rsidRPr="003B056B">
        <w:rPr>
          <w:rFonts w:ascii="Times New Roman" w:hAnsi="Times New Roman" w:cs="Times New Roman"/>
          <w:lang w:val="en-US"/>
        </w:rPr>
        <w:fldChar w:fldCharType="end"/>
      </w:r>
    </w:p>
  </w:footnote>
  <w:footnote w:id="17">
    <w:p w14:paraId="7FCAB478" w14:textId="2207FF95" w:rsidR="001F1C9A" w:rsidRPr="003B056B" w:rsidRDefault="001F1C9A" w:rsidP="001F1C9A">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994B58" w:rsidRPr="003B056B">
        <w:rPr>
          <w:rFonts w:ascii="Times New Roman" w:hAnsi="Times New Roman" w:cs="Times New Roman"/>
          <w:lang w:val="en-US"/>
        </w:rPr>
        <w:t xml:space="preserve">Among many others: </w:t>
      </w:r>
      <w:r w:rsidR="0033501C"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{"citationID":"vb1y3XQ2","properties":{"formattedCitation":"Delanty, {\\i{}Inventing Europe}; Vladimir Biti, Joep Leerssen, and Vivian Liska, \\uc0\\u8220{}The Idea of Europe,\\uc0\\u8221{} 2021; Frank B\\uc0\\u246{}sch, Ariane Brill, and Florian Greiner, eds., {\\i{}Europabilder Im 20. Jahrhundert} (G\\uc0\\u246{}ttingen: Wallstein, 2012); Chiara Bottici and Beno\\uc0\\u238{}t Challand, {\\i{}Imagining Europe: Myth, Memory, and Identity} (Cambridge University Press, 2013); Catherine Lee and Robert Bideleux, \\uc0\\u8220{}\\uc0\\u8216{}Europe\\uc0\\u8217{}: What Kind of Idea?,\\uc0\\u8221{} {\\i{}European Legacy} 14, no. 2 (2009): 163\\uc0\\u8211{}76; Peter Hearns Liotta, \\uc0\\u8220{}Imagining Europe: Symbolic Geography and the Future,\\uc0\\u8221{} {\\i{}Mediterranean Quarterly} 16, no. 3 (2005): 67\\uc0\\u8211{}85; Anthony Pagden, ed., {\\i{}The Idea of Europe: From Antiquity to the European Union} (Cambridge: Cambridge University Press, 2002); Hans-J\\uc0\\u246{}rg Trenz, {\\i{}Narrating European Society} (Taylor &amp; Francis, 2017); Weller, {\\i{}The Idea of Europe}.","plainCitation":"Delanty, Inventing Europe; Vladimir Biti, Joep Leerssen, and Vivian Liska, “The Idea of Europe,” 2021; Frank Bösch, Ariane Brill, and Florian Greiner, eds., Europabilder Im 20. Jahrhundert (Göttingen: Wallstein, 2012); Chiara Bottici and Benoît Challand, Imagining Europe: Myth, Memory, and Identity (Cambridge University Press, 2013); Catherine Lee and Robert Bideleux, “‘Europe’: What Kind of Idea?,” European Legacy 14, no. 2 (2009): 163–76; Peter Hearns Liotta, “Imagining Europe: Symbolic Geography and the Future,” Mediterranean Quarterly 16, no. 3 (2005): 67–85; Anthony Pagden, ed., The Idea of Europe: From Antiquity to the European Union (Cambridge: Cambridge University Press, 2002); Hans-Jörg Trenz, Narrating European Society (Taylor &amp; Francis, 2017); Weller, The Idea of Europe.","noteIndex":15},"citationItems":[{"id":4869,"uris":["http://zotero.org/users/1231610/items/P98E8IAC"],"itemData":{"id":4869,"type":"book","event-place":"New York","publisher":"St. Martin's Press","publisher-place":"New York","title":"Inventing Europe: Idea, Identity, Reality","title-short":"Inventing Europe","volume":"66","author":[{"family":"Delanty","given":"Gerard"}],"issued":{"date-parts":[["1995"]]}}},{"id":4491,"uris":["http://zotero.org/users/1231610/items/LIA6PBR5"],"itemData":{"id":4491,"type":"article-journal","source":"Google Scholar","title":"The Idea of Europe","author":[{"family":"Biti","given":"Vladimir"},{"family":"Leerssen","given":"Joep"},{"family":"Liska","given":"Vivian"}],"issued":{"date-parts":[["2021"]]}}},{"id":2800,"uris":["http://zotero.org/users/1231610/items/QVPB9XHT"],"itemData":{"id":2800,"type":"book","event-place":"Göttingen","publisher":"Wallstein","publisher-place":"Göttingen","title":"Europabilder im 20. Jahrhundert","editor":[{"family":"Bösch","given":"Frank"},{"family":"Brill","given":"Ariane"},{"family":"Greiner","given":"Florian"}],"issued":{"date-parts":[["2012"]]}}},{"id":4152,"uris":["http://zotero.org/users/1231610/items/72THW3DC"],"itemData":{"id":4152,"type":"book","publisher":"Cambridge University Press","source":"Google Scholar","title":"Imagining Europe: Myth, memory, and identity","title-short":"Imagining Europe","author":[{"family":"Bottici","given":"Chiara"},{"family":"Challand","given":"Benoît"}],"issued":{"date-parts":[["2013"]]}}},{"id":2600,"uris":["http://zotero.org/users/1231610/items/YRSIIU37"],"itemData":{"id":2600,"type":"article-journal","container-title":"European Legacy","issue":"2","note":"publisher: Taylor &amp; Francis","page":"163–176","source":"Google Scholar","title":"‘Europe’: What Kind of Idea?","title-short":"‘Europe’","volume":"14","author":[{"family":"Lee","given":"Catherine"},{"family":"Bideleux","given":"Robert"}],"issued":{"date-parts":[["2009"]]}}},{"id":2688,"uris":["http://zotero.org/users/1231610/items/Y2HYHTRH"],"itemData":{"id":2688,"type":"article-journal","container-title":"Mediterranean Quarterly","issue":"3","note":"publisher: Duke University Press","page":"67–85","source":"Google Scholar","title":"Imagining Europe: symbolic geography and the future","title-short":"Imagining Europe","volume":"16","author":[{"family":"Liotta","given":"Peter Hearns"}],"issued":{"date-parts":[["2005"]]}}},{"id":2840,"uris":["http://zotero.org/users/1231610/items/XBBPYID5"],"itemData":{"id":2840,"type":"book","event-place":"Cambridge","publisher":"Cambridge University Press","publisher-place":"Cambridge","source":"Google Scholar","title":"The idea of Europe: from antiquity to the European Union","title-short":"The idea of Europe","editor":[{"family":"Pagden","given":"Anthony"}],"issued":{"date-parts":[["2002"]]}}},{"id":3899,"uris":["http://zotero.org/users/1231610/items/H6YVQX4A"],"itemData":{"id":3899,"type":"book","publisher":"Taylor &amp; Francis","source":"Google Scholar","title":"Narrating European society","author":[{"family":"Trenz","given":"Hans-Jörg"}],"issued":{"date-parts":[["2017"]]}}},{"id":4533,"uris":["http://zotero.org/users/1231610/items/4A6BTML7"],"itemData":{"id":4533,"type":"book","event-place":"Cambridge, UK","publisher":"Cambridge University Press","publisher-place":"Cambridge, UK","source":"Google Scholar","title":"The Idea of Europe: A Critical History","title-short":"The Idea of Europe","author":[{"family":"Weller","given":"Shane"}],"issued":{"date-parts":[["2021"]]}}}],"schema":"https://github.com/citation-style-language/schema/raw/master/csl-citation.json"} </w:instrText>
      </w:r>
      <w:r w:rsidR="0033501C" w:rsidRPr="003B056B">
        <w:rPr>
          <w:rFonts w:ascii="Times New Roman" w:hAnsi="Times New Roman" w:cs="Times New Roman"/>
          <w:lang w:val="en-US"/>
        </w:rPr>
        <w:fldChar w:fldCharType="separate"/>
      </w:r>
      <w:r w:rsidR="00D3317D" w:rsidRPr="003B056B">
        <w:rPr>
          <w:rFonts w:ascii="Times New Roman" w:hAnsi="Times New Roman" w:cs="Times New Roman"/>
          <w:kern w:val="0"/>
          <w:lang w:val="en-US"/>
        </w:rPr>
        <w:t xml:space="preserve">Delanty, </w:t>
      </w:r>
      <w:r w:rsidR="00D3317D" w:rsidRPr="003B056B">
        <w:rPr>
          <w:rFonts w:ascii="Times New Roman" w:hAnsi="Times New Roman" w:cs="Times New Roman"/>
          <w:i/>
          <w:iCs/>
          <w:kern w:val="0"/>
          <w:lang w:val="en-US"/>
        </w:rPr>
        <w:t>Inventing Europe</w:t>
      </w:r>
      <w:r w:rsidR="00D3317D" w:rsidRPr="003B056B">
        <w:rPr>
          <w:rFonts w:ascii="Times New Roman" w:hAnsi="Times New Roman" w:cs="Times New Roman"/>
          <w:kern w:val="0"/>
          <w:lang w:val="en-US"/>
        </w:rPr>
        <w:t xml:space="preserve">; Vladimir Biti, Joep Leerssen, and Vivian Liska, “The Idea of Europe,” 2021; Frank Bösch, Ariane Brill, and Florian Greiner, eds., </w:t>
      </w:r>
      <w:r w:rsidR="00D3317D" w:rsidRPr="003B056B">
        <w:rPr>
          <w:rFonts w:ascii="Times New Roman" w:hAnsi="Times New Roman" w:cs="Times New Roman"/>
          <w:i/>
          <w:iCs/>
          <w:kern w:val="0"/>
          <w:lang w:val="en-US"/>
        </w:rPr>
        <w:t>Europabilder Im 20. Jahrhundert</w:t>
      </w:r>
      <w:r w:rsidR="00D3317D" w:rsidRPr="003B056B">
        <w:rPr>
          <w:rFonts w:ascii="Times New Roman" w:hAnsi="Times New Roman" w:cs="Times New Roman"/>
          <w:kern w:val="0"/>
          <w:lang w:val="en-US"/>
        </w:rPr>
        <w:t xml:space="preserve"> (Göttingen: Wallstein, 2012); Chiara Bottici and Benoît Challand, </w:t>
      </w:r>
      <w:r w:rsidR="00D3317D" w:rsidRPr="003B056B">
        <w:rPr>
          <w:rFonts w:ascii="Times New Roman" w:hAnsi="Times New Roman" w:cs="Times New Roman"/>
          <w:i/>
          <w:iCs/>
          <w:kern w:val="0"/>
          <w:lang w:val="en-US"/>
        </w:rPr>
        <w:t>Imagining Europe: Myth, Memory, and Identity</w:t>
      </w:r>
      <w:r w:rsidR="00D3317D" w:rsidRPr="003B056B">
        <w:rPr>
          <w:rFonts w:ascii="Times New Roman" w:hAnsi="Times New Roman" w:cs="Times New Roman"/>
          <w:kern w:val="0"/>
          <w:lang w:val="en-US"/>
        </w:rPr>
        <w:t xml:space="preserve"> (Cambridge University Press, 2013); Catherine Lee and Robert Bideleux, “‘Europe’: What Kind of Idea?,” </w:t>
      </w:r>
      <w:r w:rsidR="00D3317D" w:rsidRPr="003B056B">
        <w:rPr>
          <w:rFonts w:ascii="Times New Roman" w:hAnsi="Times New Roman" w:cs="Times New Roman"/>
          <w:i/>
          <w:iCs/>
          <w:kern w:val="0"/>
          <w:lang w:val="en-US"/>
        </w:rPr>
        <w:t>European Legacy</w:t>
      </w:r>
      <w:r w:rsidR="00D3317D" w:rsidRPr="003B056B">
        <w:rPr>
          <w:rFonts w:ascii="Times New Roman" w:hAnsi="Times New Roman" w:cs="Times New Roman"/>
          <w:kern w:val="0"/>
          <w:lang w:val="en-US"/>
        </w:rPr>
        <w:t xml:space="preserve"> 14, no. 2 (2009): 163–76; Peter Hearns Liotta, “Imagining Europe: Symbolic Geography and the Future,” </w:t>
      </w:r>
      <w:r w:rsidR="00D3317D" w:rsidRPr="003B056B">
        <w:rPr>
          <w:rFonts w:ascii="Times New Roman" w:hAnsi="Times New Roman" w:cs="Times New Roman"/>
          <w:i/>
          <w:iCs/>
          <w:kern w:val="0"/>
          <w:lang w:val="en-US"/>
        </w:rPr>
        <w:t>Mediterranean Quarterly</w:t>
      </w:r>
      <w:r w:rsidR="00D3317D" w:rsidRPr="003B056B">
        <w:rPr>
          <w:rFonts w:ascii="Times New Roman" w:hAnsi="Times New Roman" w:cs="Times New Roman"/>
          <w:kern w:val="0"/>
          <w:lang w:val="en-US"/>
        </w:rPr>
        <w:t xml:space="preserve"> 16, no. 3 (2005): 67–85; Anthony Pagden, ed., </w:t>
      </w:r>
      <w:r w:rsidR="00D3317D" w:rsidRPr="003B056B">
        <w:rPr>
          <w:rFonts w:ascii="Times New Roman" w:hAnsi="Times New Roman" w:cs="Times New Roman"/>
          <w:i/>
          <w:iCs/>
          <w:kern w:val="0"/>
          <w:lang w:val="en-US"/>
        </w:rPr>
        <w:t>The Idea of Europe: From Antiquity to the European Union</w:t>
      </w:r>
      <w:r w:rsidR="00D3317D" w:rsidRPr="003B056B">
        <w:rPr>
          <w:rFonts w:ascii="Times New Roman" w:hAnsi="Times New Roman" w:cs="Times New Roman"/>
          <w:kern w:val="0"/>
          <w:lang w:val="en-US"/>
        </w:rPr>
        <w:t xml:space="preserve"> (Cambridge: Cambridge University Press, 2002); Hans-Jörg Trenz, </w:t>
      </w:r>
      <w:r w:rsidR="00D3317D" w:rsidRPr="003B056B">
        <w:rPr>
          <w:rFonts w:ascii="Times New Roman" w:hAnsi="Times New Roman" w:cs="Times New Roman"/>
          <w:i/>
          <w:iCs/>
          <w:kern w:val="0"/>
          <w:lang w:val="en-US"/>
        </w:rPr>
        <w:t>Narrating European Society</w:t>
      </w:r>
      <w:r w:rsidR="00D3317D" w:rsidRPr="003B056B">
        <w:rPr>
          <w:rFonts w:ascii="Times New Roman" w:hAnsi="Times New Roman" w:cs="Times New Roman"/>
          <w:kern w:val="0"/>
          <w:lang w:val="en-US"/>
        </w:rPr>
        <w:t xml:space="preserve"> (Taylor &amp; Francis, 2017); Weller, </w:t>
      </w:r>
      <w:r w:rsidR="00D3317D" w:rsidRPr="003B056B">
        <w:rPr>
          <w:rFonts w:ascii="Times New Roman" w:hAnsi="Times New Roman" w:cs="Times New Roman"/>
          <w:i/>
          <w:iCs/>
          <w:kern w:val="0"/>
          <w:lang w:val="en-US"/>
        </w:rPr>
        <w:t>The Idea of Europe</w:t>
      </w:r>
      <w:r w:rsidR="00D3317D" w:rsidRPr="003B056B">
        <w:rPr>
          <w:rFonts w:ascii="Times New Roman" w:hAnsi="Times New Roman" w:cs="Times New Roman"/>
          <w:kern w:val="0"/>
          <w:lang w:val="en-US"/>
        </w:rPr>
        <w:t>.</w:t>
      </w:r>
      <w:r w:rsidR="0033501C" w:rsidRPr="003B056B">
        <w:rPr>
          <w:rFonts w:ascii="Times New Roman" w:hAnsi="Times New Roman" w:cs="Times New Roman"/>
          <w:lang w:val="en-US"/>
        </w:rPr>
        <w:fldChar w:fldCharType="end"/>
      </w:r>
      <w:r w:rsidR="00D9209C" w:rsidRPr="003B056B">
        <w:rPr>
          <w:rFonts w:ascii="Times New Roman" w:hAnsi="Times New Roman" w:cs="Times New Roman"/>
          <w:lang w:val="en-US"/>
        </w:rPr>
        <w:t xml:space="preserve"> </w:t>
      </w:r>
    </w:p>
  </w:footnote>
  <w:footnote w:id="18">
    <w:p w14:paraId="4CB5A216" w14:textId="6116ADE1" w:rsidR="009968E9" w:rsidRPr="003B056B" w:rsidRDefault="009968E9" w:rsidP="009968E9">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33501C"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{"citationID":"XNYIxBKg","properties":{"formattedCitation":"Weller, {\\i{}The Idea of Europe}, 13.","plainCitation":"Weller, The Idea of Europe, 13.","noteIndex":16},"citationItems":[{"id":4533,"uris":["http://zotero.org/users/1231610/items/4A6BTML7"],"itemData":{"id":4533,"type":"book","event-place":"Cambridge, UK","publisher":"Cambridge University Press","publisher-place":"Cambridge, UK","source":"Google Scholar","title":"The Idea of Europe: A Critical History","title-short":"The Idea of Europe","author":[{"family":"Weller","given":"Shane"}],"issued":{"date-parts":[["2021"]]}},"locator":"13","label":"page"}],"schema":"https://github.com/citation-style-language/schema/raw/master/csl-citation.json"} </w:instrText>
      </w:r>
      <w:r w:rsidR="0033501C" w:rsidRPr="003B056B">
        <w:rPr>
          <w:rFonts w:ascii="Times New Roman" w:hAnsi="Times New Roman" w:cs="Times New Roman"/>
          <w:lang w:val="en-US"/>
        </w:rPr>
        <w:fldChar w:fldCharType="separate"/>
      </w:r>
      <w:r w:rsidR="0033501C" w:rsidRPr="003B056B">
        <w:rPr>
          <w:rFonts w:ascii="Times New Roman" w:hAnsi="Times New Roman" w:cs="Times New Roman"/>
          <w:kern w:val="0"/>
          <w:lang w:val="en-US"/>
        </w:rPr>
        <w:t xml:space="preserve">Weller, </w:t>
      </w:r>
      <w:r w:rsidR="0033501C" w:rsidRPr="003B056B">
        <w:rPr>
          <w:rFonts w:ascii="Times New Roman" w:hAnsi="Times New Roman" w:cs="Times New Roman"/>
          <w:i/>
          <w:iCs/>
          <w:kern w:val="0"/>
          <w:lang w:val="en-US"/>
        </w:rPr>
        <w:t>The Idea of Europe</w:t>
      </w:r>
      <w:r w:rsidR="0033501C" w:rsidRPr="003B056B">
        <w:rPr>
          <w:rFonts w:ascii="Times New Roman" w:hAnsi="Times New Roman" w:cs="Times New Roman"/>
          <w:kern w:val="0"/>
          <w:lang w:val="en-US"/>
        </w:rPr>
        <w:t>, 13.</w:t>
      </w:r>
      <w:r w:rsidR="0033501C" w:rsidRPr="003B056B">
        <w:rPr>
          <w:rFonts w:ascii="Times New Roman" w:hAnsi="Times New Roman" w:cs="Times New Roman"/>
          <w:lang w:val="en-US"/>
        </w:rPr>
        <w:fldChar w:fldCharType="end"/>
      </w:r>
    </w:p>
  </w:footnote>
  <w:footnote w:id="19">
    <w:p w14:paraId="512E4E63" w14:textId="4C281B54" w:rsidR="0015257C" w:rsidRPr="003B056B" w:rsidRDefault="0015257C" w:rsidP="0015257C">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E54A65" w:rsidRPr="003B056B">
        <w:rPr>
          <w:rFonts w:ascii="Times New Roman" w:hAnsi="Times New Roman" w:cs="Times New Roman"/>
          <w:i/>
          <w:lang w:val="en-US"/>
        </w:rPr>
        <w:t>Yediot Aharonot</w:t>
      </w:r>
      <w:r w:rsidR="00E54A65" w:rsidRPr="003B056B">
        <w:rPr>
          <w:rFonts w:ascii="Times New Roman" w:hAnsi="Times New Roman" w:cs="Times New Roman"/>
          <w:lang w:val="en-US"/>
        </w:rPr>
        <w:t>, December 12, 1989, add. 3.</w:t>
      </w:r>
    </w:p>
  </w:footnote>
  <w:footnote w:id="20">
    <w:p w14:paraId="5706FD45" w14:textId="1904EC02" w:rsidR="0015257C" w:rsidRPr="003B056B" w:rsidRDefault="0015257C" w:rsidP="0015257C">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{"citationID":"3llX015Y","properties":{"formattedCitation":"Reinharz and Shavit, {\\i{}Glorious, Accursed Europe: An Essay on Jewish Ambivalence}.","plainCitation":"Reinharz and Shavit, Glorious, Accursed Europe: An Essay on Jewish Ambivalence.","noteIndex":18},"citationItems":[{"id":1861,"uris":["http://zotero.org/users/1231610/items/W94JVFPK"],"itemData":{"id":1861,"type":"book","event-place":"Waltham, Mass.","publisher":"Brandeis University Press","publisher-place":"Waltham, Mass.","source":"Google Scholar","title":"Glorious, Accursed Europe: An Essay on Jewish Ambivalence","author":[{"family":"Reinharz","given":"Jehuda"},{"family":"Shavit","given":"Yaacov"}],"issued":{"date-parts":[["2010"]]}}}],"schema":"https://github.com/citation-style-language/schema/raw/master/csl-citation.json"} </w:instrText>
      </w:r>
      <w:r w:rsidRPr="003B056B">
        <w:rPr>
          <w:rFonts w:ascii="Times New Roman" w:hAnsi="Times New Roman" w:cs="Times New Roman"/>
          <w:lang w:val="en-US"/>
        </w:rPr>
        <w:fldChar w:fldCharType="separate"/>
      </w:r>
      <w:r w:rsidR="00640CEE" w:rsidRPr="003B056B">
        <w:rPr>
          <w:rFonts w:ascii="Times New Roman" w:hAnsi="Times New Roman" w:cs="Times New Roman"/>
          <w:kern w:val="0"/>
          <w:lang w:val="en-US"/>
        </w:rPr>
        <w:t xml:space="preserve">Reinharz and Shavit, </w:t>
      </w:r>
      <w:r w:rsidR="00640CEE" w:rsidRPr="003B056B">
        <w:rPr>
          <w:rFonts w:ascii="Times New Roman" w:hAnsi="Times New Roman" w:cs="Times New Roman"/>
          <w:i/>
          <w:iCs/>
          <w:kern w:val="0"/>
          <w:lang w:val="en-US"/>
        </w:rPr>
        <w:t>Glorious, Accursed Europe: An Essay on Jewish Ambivalence</w:t>
      </w:r>
      <w:r w:rsidR="00640CEE" w:rsidRPr="003B056B">
        <w:rPr>
          <w:rFonts w:ascii="Times New Roman" w:hAnsi="Times New Roman" w:cs="Times New Roman"/>
          <w:kern w:val="0"/>
          <w:lang w:val="en-US"/>
        </w:rPr>
        <w:t>.</w:t>
      </w:r>
      <w:r w:rsidRPr="003B056B">
        <w:rPr>
          <w:rFonts w:ascii="Times New Roman" w:hAnsi="Times New Roman" w:cs="Times New Roman"/>
          <w:lang w:val="en-US"/>
        </w:rPr>
        <w:fldChar w:fldCharType="end"/>
      </w:r>
    </w:p>
  </w:footnote>
  <w:footnote w:id="21">
    <w:p w14:paraId="5D7FCC3A" w14:textId="434A6F10" w:rsidR="003A5AB1" w:rsidRPr="003B056B" w:rsidRDefault="003A5AB1">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Amos Oz, </w:t>
      </w:r>
      <w:r w:rsidRPr="003B056B">
        <w:rPr>
          <w:rFonts w:ascii="Times New Roman" w:hAnsi="Times New Roman" w:cs="Times New Roman"/>
          <w:i/>
          <w:lang w:val="en-US"/>
        </w:rPr>
        <w:t>A Tale of Love and Darkness</w:t>
      </w:r>
      <w:r w:rsidRPr="003B056B">
        <w:rPr>
          <w:rFonts w:ascii="Times New Roman" w:hAnsi="Times New Roman" w:cs="Times New Roman"/>
          <w:lang w:val="en-US"/>
        </w:rPr>
        <w:t xml:space="preserve"> (</w:t>
      </w:r>
      <w:r w:rsidR="003A662B" w:rsidRPr="003B056B">
        <w:rPr>
          <w:rFonts w:ascii="Times New Roman" w:hAnsi="Times New Roman" w:cs="Times New Roman"/>
          <w:lang w:val="en-US"/>
        </w:rPr>
        <w:t>Boston: Houghton Mifflin Harcourt</w:t>
      </w:r>
      <w:r w:rsidRPr="003B056B">
        <w:rPr>
          <w:rFonts w:ascii="Times New Roman" w:hAnsi="Times New Roman" w:cs="Times New Roman"/>
          <w:lang w:val="en-US"/>
        </w:rPr>
        <w:t>, 2004)</w:t>
      </w:r>
      <w:r w:rsidR="003428C3" w:rsidRPr="003B056B">
        <w:rPr>
          <w:rFonts w:ascii="Times New Roman" w:hAnsi="Times New Roman" w:cs="Times New Roman"/>
          <w:lang w:val="en-US"/>
        </w:rPr>
        <w:t>, 5</w:t>
      </w:r>
      <w:r w:rsidRPr="003B056B">
        <w:rPr>
          <w:rFonts w:ascii="Times New Roman" w:hAnsi="Times New Roman" w:cs="Times New Roman"/>
          <w:lang w:val="en-US"/>
        </w:rPr>
        <w:t>.</w:t>
      </w:r>
    </w:p>
  </w:footnote>
  <w:footnote w:id="22">
    <w:p w14:paraId="383A418C" w14:textId="3B6EE130" w:rsidR="001D56A7" w:rsidRPr="003B056B" w:rsidRDefault="001D56A7" w:rsidP="001D56A7">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00E54A65" w:rsidRPr="003B056B">
        <w:rPr>
          <w:rFonts w:ascii="Times New Roman" w:hAnsi="Times New Roman" w:cs="Times New Roman"/>
          <w:lang w:val="en-US"/>
        </w:rPr>
        <w:t xml:space="preserve"> E.g. </w:t>
      </w:r>
      <w:r w:rsidR="00E54A65"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{"citationID":"KhFkXxEm","properties":{"formattedCitation":"Mehmet D\\uc0\\u246{}\\uc0\\u351{}emeci, {\\i{}Debating Turkish Modernity: Civilization, Nationalism, and the EEC} (Cambridge University Press, 2013); Benjamin Drechsel et al., eds., {\\i{}Bilder von Europa: Innen-Und Au\\uc0\\u223{}enansichten von Der Antike Bis Zur Gegenwart} (transcript Verlag, 2010); Bilge F\\uc0\\u305{}rat, \\uc0\\u8220{}Negotiating Europe/Avrupa: Prelude for an Anthropological Approach to Turkish Europeanization and the Cultures of EU Lobbying in Brussels,\\uc0\\u8221{} {\\i{}European Journal of Turkish Studies. Social Sciences on Contemporary Turkey}, no. 9 (2009); Shannon Jones and Jelena Subotic, \\uc0\\u8220{}Fantasies of Power: Performing Europeanization on the European Periphery,\\uc0\\u8221{} {\\i{}European Journal of Cultural Studies} 14, no. 5 (2011): 542\\uc0\\u8211{}57; Iver B. Neumann, {\\i{}Uses of the Other:\" The East\" in European Identity Formation}, vol. 9 (U of Minnesota Press, 1999).","plainCitation":"Mehmet Döşemeci, Debating Turkish Modernity: Civilization, Nationalism, and the EEC (Cambridge University Press, 2013); Benjamin Drechsel et al., eds., Bilder von Europa: Innen-Und Außenansichten von Der Antike Bis Zur Gegenwart (transcript Verlag, 2010); Bilge Fırat, “Negotiating Europe/Avrupa: Prelude for an Anthropological Approach to Turkish Europeanization and the Cultures of EU Lobbying in Brussels,” European Journal of Turkish Studies. Social Sciences on Contemporary Turkey, no. 9 (2009); Shannon Jones and Jelena Subotic, “Fantasies of Power: Performing Europeanization on the European Periphery,” European Journal of Cultural Studies 14, no. 5 (2011): 542–57; Iver B. Neumann, Uses of the Other:\" The East\" in European Identity Formation, vol. 9 (U of Minnesota Press, 1999).","noteIndex":20},"citationItems":[{"id":4209,"uris":["http://zotero.org/users/1231610/items/6B26DTBJ"],"itemData":{"id":4209,"type":"book","publisher":"Cambridge University Press","source":"Google Scholar","title":"Debating Turkish modernity: civilization, nationalism, and the EEC","title-short":"Debating Turkish modernity","author":[{"family":"Döşemeci","given":"Mehmet"}],"issued":{"date-parts":[["2013"]]}}},{"id":4566,"uris":["http://zotero.org/users/1231610/items/9D7K45DC"],"itemData":{"id":4566,"type":"book","publisher":"transcript Verlag","source":"Google Scholar","title":"Bilder von Europa: Innen-und Außenansichten von der Antike bis zur Gegenwart","title-short":"Bilder von Europa","editor":[{"family":"Drechsel","given":"Benjamin"},{"family":"Jaeger","given":"Friedrich"},{"family":"König","given":"Helmut"},{"family":"Lang","given":"Anne-Katrin"},{"family":"Leggewie","given":"Claus"}],"issued":{"date-parts":[["2010"]]}}},{"id":2702,"uris":["http://zotero.org/users/1231610/items/965BSDUZ"],"itemData":{"id":2702,"type":"article-journal","container-title":"European Journal of Turkish Studies. Social Sciences on Contemporary Turkey","issue":"9","note":"publisher: European Journal of Turkish Studies","source":"Google Scholar","title":"Negotiating Europe/Avrupa: Prelude for an Anthropological Approach to Turkish Europeanization and the Cultures of EU Lobbying in Brussels","title-short":"Negotiating Europe/Avrupa","author":[{"family":"Fırat","given":"Bilge"}],"issued":{"date-parts":[["2009"]]}}},{"id":1909,"uris":["http://zotero.org/users/1231610/items/GV2Z95LX"],"itemData":{"id":1909,"type":"article-journal","container-title":"European Journal of Cultural Studies","issue":"5","page":"542–557","source":"Google Scholar","title":"Fantasies of power: Performing Europeanization on the European periphery","title-short":"Fantasies of power","volume":"14","author":[{"family":"Jones","given":"Shannon"},{"family":"Subotic","given":"Jelena"}],"issued":{"date-parts":[["2011"]]}}},{"id":4447,"uris":["http://zotero.org/users/1231610/items/FHH8XPHX"],"itemData":{"id":4447,"type":"book","publisher":"U of Minnesota Press","source":"Google Scholar","title":"Uses of the other:\" the East\" in European identity formation","title-short":"Uses of the other","volume":"9","author":[{"family":"Neumann","given":"Iver B."}],"issued":{"date-parts":[["1999"]]}}}],"schema":"https://github.com/citation-style-language/schema/raw/master/csl-citation.json"} </w:instrText>
      </w:r>
      <w:r w:rsidR="00E54A65" w:rsidRPr="003B056B">
        <w:rPr>
          <w:rFonts w:ascii="Times New Roman" w:hAnsi="Times New Roman" w:cs="Times New Roman"/>
          <w:lang w:val="en-US"/>
        </w:rPr>
        <w:fldChar w:fldCharType="separate"/>
      </w:r>
      <w:r w:rsidR="00E54A65" w:rsidRPr="003B056B">
        <w:rPr>
          <w:rFonts w:ascii="Times New Roman" w:hAnsi="Times New Roman" w:cs="Times New Roman"/>
          <w:kern w:val="0"/>
          <w:lang w:val="en-US"/>
        </w:rPr>
        <w:t xml:space="preserve">Mehmet Döşemeci, </w:t>
      </w:r>
      <w:r w:rsidR="00E54A65" w:rsidRPr="003B056B">
        <w:rPr>
          <w:rFonts w:ascii="Times New Roman" w:hAnsi="Times New Roman" w:cs="Times New Roman"/>
          <w:i/>
          <w:iCs/>
          <w:kern w:val="0"/>
          <w:lang w:val="en-US"/>
        </w:rPr>
        <w:t>Debating Turkish Modernity: Civilization, Nationalism, and the EEC</w:t>
      </w:r>
      <w:r w:rsidR="00E54A65" w:rsidRPr="003B056B">
        <w:rPr>
          <w:rFonts w:ascii="Times New Roman" w:hAnsi="Times New Roman" w:cs="Times New Roman"/>
          <w:kern w:val="0"/>
          <w:lang w:val="en-US"/>
        </w:rPr>
        <w:t xml:space="preserve"> (Cambridge University Press, 2013); Benjamin Drechsel et al., eds., </w:t>
      </w:r>
      <w:r w:rsidR="00E54A65" w:rsidRPr="003B056B">
        <w:rPr>
          <w:rFonts w:ascii="Times New Roman" w:hAnsi="Times New Roman" w:cs="Times New Roman"/>
          <w:i/>
          <w:iCs/>
          <w:kern w:val="0"/>
          <w:lang w:val="en-US"/>
        </w:rPr>
        <w:t>Bilder von Europa: Innen-Und Außenansichten von Der Antike Bis Zur Gegenwart</w:t>
      </w:r>
      <w:r w:rsidR="00E54A65" w:rsidRPr="003B056B">
        <w:rPr>
          <w:rFonts w:ascii="Times New Roman" w:hAnsi="Times New Roman" w:cs="Times New Roman"/>
          <w:kern w:val="0"/>
          <w:lang w:val="en-US"/>
        </w:rPr>
        <w:t xml:space="preserve"> (transcript Verlag, 2010); Bilge Fırat, “Negotiating Europe/Avrupa: Prelude for an Anthropological Approach to Turkish Europeanization and the Cultures of EU Lobbying in Brussels,” </w:t>
      </w:r>
      <w:r w:rsidR="00E54A65" w:rsidRPr="003B056B">
        <w:rPr>
          <w:rFonts w:ascii="Times New Roman" w:hAnsi="Times New Roman" w:cs="Times New Roman"/>
          <w:i/>
          <w:iCs/>
          <w:kern w:val="0"/>
          <w:lang w:val="en-US"/>
        </w:rPr>
        <w:t>European Journal of Turkish Studies. Social Sciences on Contemporary Turkey</w:t>
      </w:r>
      <w:r w:rsidR="00E54A65" w:rsidRPr="003B056B">
        <w:rPr>
          <w:rFonts w:ascii="Times New Roman" w:hAnsi="Times New Roman" w:cs="Times New Roman"/>
          <w:kern w:val="0"/>
          <w:lang w:val="en-US"/>
        </w:rPr>
        <w:t xml:space="preserve">, no. 9 (2009); Shannon Jones and Jelena Subotic, “Fantasies of Power: Performing Europeanization on the European Periphery,” </w:t>
      </w:r>
      <w:r w:rsidR="00E54A65" w:rsidRPr="003B056B">
        <w:rPr>
          <w:rFonts w:ascii="Times New Roman" w:hAnsi="Times New Roman" w:cs="Times New Roman"/>
          <w:i/>
          <w:iCs/>
          <w:kern w:val="0"/>
          <w:lang w:val="en-US"/>
        </w:rPr>
        <w:t>European Journal of Cultural Studies</w:t>
      </w:r>
      <w:r w:rsidR="00E54A65" w:rsidRPr="003B056B">
        <w:rPr>
          <w:rFonts w:ascii="Times New Roman" w:hAnsi="Times New Roman" w:cs="Times New Roman"/>
          <w:kern w:val="0"/>
          <w:lang w:val="en-US"/>
        </w:rPr>
        <w:t xml:space="preserve"> 14, no. 5 (2011): 542–57; Iver B. Neumann, </w:t>
      </w:r>
      <w:r w:rsidR="00E54A65" w:rsidRPr="003B056B">
        <w:rPr>
          <w:rFonts w:ascii="Times New Roman" w:hAnsi="Times New Roman" w:cs="Times New Roman"/>
          <w:i/>
          <w:iCs/>
          <w:kern w:val="0"/>
          <w:lang w:val="en-US"/>
        </w:rPr>
        <w:t>Uses of the Other:" The East" in European Identity Formation</w:t>
      </w:r>
      <w:r w:rsidR="00E54A65" w:rsidRPr="003B056B">
        <w:rPr>
          <w:rFonts w:ascii="Times New Roman" w:hAnsi="Times New Roman" w:cs="Times New Roman"/>
          <w:kern w:val="0"/>
          <w:lang w:val="en-US"/>
        </w:rPr>
        <w:t>, vol. 9 (U of Minnesota Press, 1999).</w:t>
      </w:r>
      <w:r w:rsidR="00E54A65" w:rsidRPr="003B056B">
        <w:rPr>
          <w:rFonts w:ascii="Times New Roman" w:hAnsi="Times New Roman" w:cs="Times New Roman"/>
          <w:lang w:val="en-US"/>
        </w:rPr>
        <w:fldChar w:fldCharType="end"/>
      </w:r>
      <w:r w:rsidRPr="003B056B">
        <w:rPr>
          <w:rFonts w:ascii="Times New Roman" w:hAnsi="Times New Roman" w:cs="Times New Roman"/>
          <w:lang w:val="en-US"/>
        </w:rPr>
        <w:t xml:space="preserve"> </w:t>
      </w:r>
    </w:p>
  </w:footnote>
  <w:footnote w:id="23">
    <w:p w14:paraId="254AA43C" w14:textId="0EB8C9AC" w:rsidR="003B7820" w:rsidRPr="003B056B" w:rsidRDefault="003B7820" w:rsidP="003B7820">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E54A65"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{"citationID":"95gc0Dah","properties":{"formattedCitation":"Lorraine Bluche, Veronika Lipphardt, and Kiran Klaus Patel, {\\i{}Der Europ\\uc0\\u228{}er\\uc0\\u8211{}Ein Konstrukt. Wissensbest\\uc0\\u228{}nde, Diskurse, Praktiken} (Wallstein, 2009), 14; Martin Conway and Kiran Patel, {\\i{}Europeanization in the Twentieth Century: Historical Approaches} (London: Palgrave Macmillan, 2010), 5; Klaus Eder, \\uc0\\u8220{}Europe\\uc0\\u8217{}s Borders: The Narrative Construction of the Boundaries of Europe,\\uc0\\u8221{} {\\i{}European Journal of Social Theory} 9, no. 2 (2006): 255\\uc0\\u8211{}71; Liotta, \\uc0\\u8220{}Imagining Europe.\\uc0\\u8221{}","plainCitation":"Lorraine Bluche, Veronika Lipphardt, and Kiran Klaus Patel, Der Europäer–Ein Konstrukt. Wissensbestände, Diskurse, Praktiken (Wallstein, 2009), 14; Martin Conway and Kiran Patel, Europeanization in the Twentieth Century: Historical Approaches (London: Palgrave Macmillan, 2010), 5; Klaus Eder, “Europe’s Borders: The Narrative Construction of the Boundaries of Europe,” European Journal of Social Theory 9, no. 2 (2006): 255–71; Liotta, “Imagining Europe.”","noteIndex":21},"citationItems":[{"id":2811,"uris":["http://zotero.org/users/1231610/items/Z7CIBCI8"],"itemData":{"id":2811,"type":"book","publisher":"Wallstein","source":"Google Scholar","title":"Der Europäer–ein Konstrukt. Wissensbestände, Diskurse, Praktiken","author":[{"family":"Bluche","given":"Lorraine"},{"family":"Lipphardt","given":"Veronika"},{"family":"Patel","given":"Kiran Klaus"}],"issued":{"date-parts":[["2009"]]}},"locator":"14","label":"page"},{"id":4196,"uris":["http://zotero.org/users/1231610/item</w:instrText>
      </w:r>
      <w:r w:rsidR="00D82A4B" w:rsidRPr="005877FF">
        <w:rPr>
          <w:rFonts w:ascii="Times New Roman" w:hAnsi="Times New Roman" w:cs="Times New Roman"/>
        </w:rPr>
        <w:instrText xml:space="preserve">s/CUJCZBPP"],"itemData":{"id":4196,"type":"book","event-place":"London","publisher":"Palgrave Macmillan","publisher-place":"London","source":"Google Scholar","title":"Europeanization in the Twentieth Century: Historical Approaches","title-short":"Europeanization in the Twentieth Century","author":[{"family":"Conway","given":"Martin"},{"family":"Patel","given":"Kiran"}],"issued":{"date-parts":[["2010"]]}},"locator":"5","label":"page"},{"id":2595,"uris":["http://zotero.org/users/1231610/items/S8VT5CGF"],"itemData":{"id":2595,"type":"article-journal","container-title":"European journal of social theory","issue":"2","note":"publisher: Sage Publications London, Thousand Oaks, CA and New Delhi","page":"255–271","source":"Google Scholar","title":"Europe's borders: The narrative construction of the boundaries of Europe","title-short":"Europe's borders","volume":"9","author":[{"family":"Eder","given":"Klaus"}],"issued":{"date-parts":[["2006"]]}}},{"id":2688,"uris":["http://zotero.org/users/1231610/items/Y2HYHTRH"],"itemData":{"id":2688,"type":"article-journal","container-title":"Mediterranean Quarterly","issue":"3","note":"publisher: Duke University Press","page":"67–85","source":"Google Scholar","title":"Imagining Europe: symbolic geography and the future","title-short":"Imagining Europe","volume":"16","author":[{"family":"Liotta","given":"Peter Hearns"}],"issued":{"date-parts":[["2005"]]}}}],"schema":"https://github.com/citation-style-language/schema/raw/master/csl-citation.json"} </w:instrText>
      </w:r>
      <w:r w:rsidR="00E54A65" w:rsidRPr="003B056B">
        <w:rPr>
          <w:rFonts w:ascii="Times New Roman" w:hAnsi="Times New Roman" w:cs="Times New Roman"/>
          <w:lang w:val="en-US"/>
        </w:rPr>
        <w:fldChar w:fldCharType="separate"/>
      </w:r>
      <w:r w:rsidR="00E54A65" w:rsidRPr="005877FF">
        <w:rPr>
          <w:rFonts w:ascii="Times New Roman" w:hAnsi="Times New Roman" w:cs="Times New Roman"/>
          <w:kern w:val="0"/>
        </w:rPr>
        <w:t xml:space="preserve">Lorraine Bluche, Veronika Lipphardt, and Kiran Klaus Patel, </w:t>
      </w:r>
      <w:r w:rsidR="00E54A65" w:rsidRPr="005877FF">
        <w:rPr>
          <w:rFonts w:ascii="Times New Roman" w:hAnsi="Times New Roman" w:cs="Times New Roman"/>
          <w:i/>
          <w:iCs/>
          <w:kern w:val="0"/>
        </w:rPr>
        <w:t xml:space="preserve">Der Europäer–Ein Konstrukt. </w:t>
      </w:r>
      <w:r w:rsidR="00E54A65" w:rsidRPr="003B056B">
        <w:rPr>
          <w:rFonts w:ascii="Times New Roman" w:hAnsi="Times New Roman" w:cs="Times New Roman"/>
          <w:i/>
          <w:iCs/>
          <w:kern w:val="0"/>
          <w:lang w:val="en-US"/>
        </w:rPr>
        <w:t>Wissensbestände, Diskurse, Praktiken</w:t>
      </w:r>
      <w:r w:rsidR="00E54A65" w:rsidRPr="003B056B">
        <w:rPr>
          <w:rFonts w:ascii="Times New Roman" w:hAnsi="Times New Roman" w:cs="Times New Roman"/>
          <w:kern w:val="0"/>
          <w:lang w:val="en-US"/>
        </w:rPr>
        <w:t xml:space="preserve"> (Wallstein, 2009), 14; Martin Conway and Kiran Patel, </w:t>
      </w:r>
      <w:r w:rsidR="00E54A65" w:rsidRPr="003B056B">
        <w:rPr>
          <w:rFonts w:ascii="Times New Roman" w:hAnsi="Times New Roman" w:cs="Times New Roman"/>
          <w:i/>
          <w:iCs/>
          <w:kern w:val="0"/>
          <w:lang w:val="en-US"/>
        </w:rPr>
        <w:t>Europeanization in the Twentieth Century: Historical Approaches</w:t>
      </w:r>
      <w:r w:rsidR="00E54A65" w:rsidRPr="003B056B">
        <w:rPr>
          <w:rFonts w:ascii="Times New Roman" w:hAnsi="Times New Roman" w:cs="Times New Roman"/>
          <w:kern w:val="0"/>
          <w:lang w:val="en-US"/>
        </w:rPr>
        <w:t xml:space="preserve"> (London: Palgrave Macmillan, 2010), 5; Klaus Eder, “Europe’s Borders: The Narrative Construction of the Boundaries of Europe,” </w:t>
      </w:r>
      <w:r w:rsidR="00E54A65" w:rsidRPr="003B056B">
        <w:rPr>
          <w:rFonts w:ascii="Times New Roman" w:hAnsi="Times New Roman" w:cs="Times New Roman"/>
          <w:i/>
          <w:iCs/>
          <w:kern w:val="0"/>
          <w:lang w:val="en-US"/>
        </w:rPr>
        <w:t>European Journal of Social Theory</w:t>
      </w:r>
      <w:r w:rsidR="00E54A65" w:rsidRPr="003B056B">
        <w:rPr>
          <w:rFonts w:ascii="Times New Roman" w:hAnsi="Times New Roman" w:cs="Times New Roman"/>
          <w:kern w:val="0"/>
          <w:lang w:val="en-US"/>
        </w:rPr>
        <w:t xml:space="preserve"> 9, no. 2 (2006): 255–71; Liotta, “Imagining Europe.”</w:t>
      </w:r>
      <w:r w:rsidR="00E54A65" w:rsidRPr="003B056B">
        <w:rPr>
          <w:rFonts w:ascii="Times New Roman" w:hAnsi="Times New Roman" w:cs="Times New Roman"/>
          <w:lang w:val="en-US"/>
        </w:rPr>
        <w:fldChar w:fldCharType="end"/>
      </w:r>
    </w:p>
  </w:footnote>
  <w:footnote w:id="24">
    <w:p w14:paraId="55316D9E" w14:textId="4C09E82B" w:rsidR="00E54A65" w:rsidRPr="003B056B" w:rsidRDefault="00E54A65">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In detail</w:t>
      </w:r>
      <w:r w:rsidR="004E0723" w:rsidRPr="003B056B">
        <w:rPr>
          <w:rFonts w:ascii="Times New Roman" w:hAnsi="Times New Roman" w:cs="Times New Roman"/>
          <w:lang w:val="en-US"/>
        </w:rPr>
        <w:t xml:space="preserve"> on Israeli foreign policies</w:t>
      </w:r>
      <w:r w:rsidRPr="003B056B">
        <w:rPr>
          <w:rFonts w:ascii="Times New Roman" w:hAnsi="Times New Roman" w:cs="Times New Roman"/>
          <w:lang w:val="en-US"/>
        </w:rPr>
        <w:t>, see</w:t>
      </w:r>
      <w:r w:rsidR="004E0723" w:rsidRPr="003B056B">
        <w:rPr>
          <w:rFonts w:ascii="Times New Roman" w:hAnsi="Times New Roman" w:cs="Times New Roman"/>
          <w:lang w:val="en-US"/>
        </w:rPr>
        <w:t xml:space="preserv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{"citationID":"0CjdPs2h","properties":{"formattedCitation":"Uri Bialer, {\\i{}Israeli Foreign Policy: A People Shall Not Dwell Alone} (Bloomington: Indiana University Press, 2020).","plainCitation":"Uri Bialer, Israeli Foreign Policy: A People Shall Not Dwell Alone (Bloomington: Indiana University Press, 2020).","noteIndex":22},"citationItems":[{"id":4555,"uris":["http://zotero.org/users/1231610/items/4U7MYWTJ"],"itemData":{"id":4555,"type":"book","event-place":"Bloomington","publisher":"Indiana University Press","publisher-place":"Bloomington","source":"Google Scholar","title":"Israeli foreign policy: A people shall not dwell alone","title-short":"Israeli foreign policy","author":[{"family":"Bialer","given":"Uri"}],"issued":{"date-parts":[["2020"]]}}}],"schema":"https://github.com/citation-style-language/schema/raw/master/csl-citation.json"} </w:instrText>
      </w:r>
      <w:r w:rsidRPr="003B056B">
        <w:rPr>
          <w:rFonts w:ascii="Times New Roman" w:hAnsi="Times New Roman" w:cs="Times New Roman"/>
          <w:lang w:val="en-US"/>
        </w:rPr>
        <w:fldChar w:fldCharType="separate"/>
      </w:r>
      <w:r w:rsidR="00D3317D" w:rsidRPr="003B056B">
        <w:rPr>
          <w:rFonts w:ascii="Times New Roman" w:hAnsi="Times New Roman" w:cs="Times New Roman"/>
          <w:kern w:val="0"/>
          <w:lang w:val="en-US"/>
        </w:rPr>
        <w:t xml:space="preserve">Uri Bialer, </w:t>
      </w:r>
      <w:r w:rsidR="00D3317D" w:rsidRPr="003B056B">
        <w:rPr>
          <w:rFonts w:ascii="Times New Roman" w:hAnsi="Times New Roman" w:cs="Times New Roman"/>
          <w:i/>
          <w:iCs/>
          <w:kern w:val="0"/>
          <w:lang w:val="en-US"/>
        </w:rPr>
        <w:t>Israeli Foreign Policy: A People Shall Not Dwell Alone</w:t>
      </w:r>
      <w:r w:rsidR="00D3317D" w:rsidRPr="003B056B">
        <w:rPr>
          <w:rFonts w:ascii="Times New Roman" w:hAnsi="Times New Roman" w:cs="Times New Roman"/>
          <w:kern w:val="0"/>
          <w:lang w:val="en-US"/>
        </w:rPr>
        <w:t xml:space="preserve"> (Bloomington: Indiana University Press, 2020).</w:t>
      </w:r>
      <w:r w:rsidRPr="003B056B">
        <w:rPr>
          <w:rFonts w:ascii="Times New Roman" w:hAnsi="Times New Roman" w:cs="Times New Roman"/>
          <w:lang w:val="en-US"/>
        </w:rPr>
        <w:fldChar w:fldCharType="end"/>
      </w:r>
    </w:p>
  </w:footnote>
  <w:footnote w:id="25">
    <w:p w14:paraId="15351951" w14:textId="37CAE469" w:rsidR="00E54A65" w:rsidRPr="003B056B" w:rsidRDefault="00E54A65">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{"citationID":"ngUfBc9G","properties":{"formattedCitation":"Gadi Heimann, \\uc0\\u8220{}The Need to Be Part of Europe: Israel\\uc0\\u8217{}s Struggle for an Association Agreement with the EEC, 1957\\uc0\\u8211{}1961,\\uc0\\u8221{} {\\i{}Israel Studies} 20, no. 1 (2015): 86\\uc0\\u8211{}109; Sharon Pardo, \\uc0\\u8220{}The Year That Israel Considered Joining the European Economic Community,\\uc0\\u8221{} {\\i{}JCMS: Journal of Common Market Studies} 51, no. 5 (2013): 901\\uc0\\u8211{}15.","plainCitation":"Gadi Heimann, “The Need to Be Part of Europe: Israel’s Struggle for an Association Agreement with the EEC, 1957–1961,” Israel Studies 20, no. 1 (2015): 86–109; Sharon Pardo, “The Year That Israel Considered Joining the European Economic Community,” JCMS: Journal of Common Market Studies 51, no. 5 (2013): 901–15.","noteIndex":23},"citationItems":[{"id":1692,"uris":["http://zotero.org/users/1231610/items/TFRBN69S"],"itemData":{"id":1692,"type":"article-journal","container-title":"Israel Studies","issue":"1","page":"86–109","source":"Google Scholar","title":"The Need to be Part of Europe: Israel's Struggle for an Association Agreement with the EEC, 1957–1961","title-short":"The Need to be Part of Europe","volume":"20","author":[{"family":"Heimann","given":"Gadi"}],"issued":{"date-parts":[["2015"]]}}},{"id":1636,"uris":["http://zotero.org/users/1231610/items/7S78MRQT"],"itemData":{"id":1636,"type":"article-journal","container-title":"JCMS: Journal of Common Market Studies","issue":"5","page":"901–915","source":"Google Scholar","title":"The year that Israel considered joining the European Economic Community","volume":"51","author":[{"family":"Pardo","given":"Sharon"}],"issued":{"date-parts":[["2013"]]}}}],"schema":"https://github.com/citation-style-language/schema/raw/master/csl-citation.json"}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Gadi Heimann, “The Need to Be Part of Europe: Israel’s Struggle for an Association Agreement with the EEC, 1957–1961,” </w:t>
      </w:r>
      <w:r w:rsidRPr="003B056B">
        <w:rPr>
          <w:rFonts w:ascii="Times New Roman" w:hAnsi="Times New Roman" w:cs="Times New Roman"/>
          <w:i/>
          <w:iCs/>
          <w:kern w:val="0"/>
          <w:lang w:val="en-US"/>
        </w:rPr>
        <w:t>Israel Studies</w:t>
      </w:r>
      <w:r w:rsidRPr="003B056B">
        <w:rPr>
          <w:rFonts w:ascii="Times New Roman" w:hAnsi="Times New Roman" w:cs="Times New Roman"/>
          <w:kern w:val="0"/>
          <w:lang w:val="en-US"/>
        </w:rPr>
        <w:t xml:space="preserve"> 20, no. 1 (2015): 86–109; Sharon Pardo, “The Year That Israel Considered Joining the European Economic Community,” </w:t>
      </w:r>
      <w:r w:rsidRPr="003B056B">
        <w:rPr>
          <w:rFonts w:ascii="Times New Roman" w:hAnsi="Times New Roman" w:cs="Times New Roman"/>
          <w:i/>
          <w:iCs/>
          <w:kern w:val="0"/>
          <w:lang w:val="en-US"/>
        </w:rPr>
        <w:t>JCMS: Journal of Common Market Studies</w:t>
      </w:r>
      <w:r w:rsidRPr="003B056B">
        <w:rPr>
          <w:rFonts w:ascii="Times New Roman" w:hAnsi="Times New Roman" w:cs="Times New Roman"/>
          <w:kern w:val="0"/>
          <w:lang w:val="en-US"/>
        </w:rPr>
        <w:t xml:space="preserve"> 51, no. 5 (2013): 901–15.</w:t>
      </w:r>
      <w:r w:rsidRPr="003B056B">
        <w:rPr>
          <w:rFonts w:ascii="Times New Roman" w:hAnsi="Times New Roman" w:cs="Times New Roman"/>
          <w:lang w:val="en-US"/>
        </w:rPr>
        <w:fldChar w:fldCharType="end"/>
      </w:r>
    </w:p>
  </w:footnote>
  <w:footnote w:id="26">
    <w:p w14:paraId="15E2D391" w14:textId="6F4F267C" w:rsidR="00BE4550" w:rsidRPr="003B056B" w:rsidRDefault="00BE4550">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F12E2D" w:rsidRPr="003B056B">
        <w:rPr>
          <w:rFonts w:ascii="Times New Roman" w:hAnsi="Times New Roman" w:cs="Times New Roman"/>
          <w:lang w:val="en-US"/>
        </w:rPr>
        <w:t xml:space="preserve">For a critical look at this aspect of the EEC, see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{"citationID":"pHFKsnx9","properties":{"formattedCitation":"Peo Hansen and Stefan Jonsson, {\\i{}Eurafrica: The Untold History of European Integration and Colonialism} (London: Bloomsbury Publishing, 2014).","plainCitation":"Peo Hansen and Stefan Jonsson, Eurafrica: The Untold History of European Integration and Colonialism (London: Bloomsbury Publishing, 2014).","noteIndex":24},"citationItems":[{"id":2851,"uris":["http://zotero.org/users/1231610/items/EWCXDGWU"],"itemData":{"id":2851,"type":"book","event-place":"London","publisher":"Bloomsbury Publishing","publisher-place":"London","source":"Google Scholar","title":"Eurafrica: The untold history of European integration and colonialism","title-short":"Eurafrica","author":[{"family":"Hansen","given":"Peo"},{"family":"Jonsson","given":"Stefan"}],"issued":{"date-parts":[["2014"]]}}}],"schema":"https://github.com/citation-style-language/schema/raw/master/csl-citation.json"}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Peo Hansen and Stefan Jonsson, </w:t>
      </w:r>
      <w:r w:rsidRPr="003B056B">
        <w:rPr>
          <w:rFonts w:ascii="Times New Roman" w:hAnsi="Times New Roman" w:cs="Times New Roman"/>
          <w:i/>
          <w:iCs/>
          <w:kern w:val="0"/>
          <w:lang w:val="en-US"/>
        </w:rPr>
        <w:t>Eurafrica: The Untold History of European Integration and Colonialism</w:t>
      </w:r>
      <w:r w:rsidRPr="003B056B">
        <w:rPr>
          <w:rFonts w:ascii="Times New Roman" w:hAnsi="Times New Roman" w:cs="Times New Roman"/>
          <w:kern w:val="0"/>
          <w:lang w:val="en-US"/>
        </w:rPr>
        <w:t xml:space="preserve"> (London: Bloomsbury Publishing, 2014).</w:t>
      </w:r>
      <w:r w:rsidRPr="003B056B">
        <w:rPr>
          <w:rFonts w:ascii="Times New Roman" w:hAnsi="Times New Roman" w:cs="Times New Roman"/>
          <w:lang w:val="en-US"/>
        </w:rPr>
        <w:fldChar w:fldCharType="end"/>
      </w:r>
    </w:p>
  </w:footnote>
  <w:footnote w:id="27">
    <w:p w14:paraId="6FE2AC39" w14:textId="2C8D3916" w:rsidR="00E54A65" w:rsidRPr="003B056B" w:rsidRDefault="00E54A65">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7B66D4" w:rsidRPr="003B056B">
        <w:rPr>
          <w:rFonts w:ascii="Times New Roman" w:hAnsi="Times New Roman" w:cs="Times New Roman"/>
          <w:lang w:val="en-US"/>
        </w:rPr>
        <w:t xml:space="preserve">For more on the various competitors and the gradual dominance of the EEC, see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{"citationID":"PxiGKWPh","properties":{"formattedCitation":"Kiran Klaus Patel, {\\i{}Project Europe: A History} (New York: Cambridge University Press, 2020).","plainCitation":"Kiran Klaus Patel, Project Europe: A History (New York: Cambridge University Press, 2020).","noteIndex":25},"citationItems":[{"id":4828,"uris":["http://zotero.org/users/1231610/items/VDW5VPVT"],"itemData":{"id":4828,"type":"book","event-place":"New York","publisher":"Cambridge University Press","publisher-place":"New York","source":"Google Scholar","title":"Project Europe: a history","title-short":"Project Europe","author":[{"family":"Patel","given":"Kiran Klaus"}],"accessed":{"date-parts":[["2023",10,29]]},"issued":{"date-parts":[["2020"]]}}}],"schema":"https://github.com/citation-style-language/schema/raw/master/csl-citation.json"}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Kiran Klaus Patel, </w:t>
      </w:r>
      <w:r w:rsidRPr="003B056B">
        <w:rPr>
          <w:rFonts w:ascii="Times New Roman" w:hAnsi="Times New Roman" w:cs="Times New Roman"/>
          <w:i/>
          <w:iCs/>
          <w:kern w:val="0"/>
          <w:lang w:val="en-US"/>
        </w:rPr>
        <w:t>Project Europe: A History</w:t>
      </w:r>
      <w:r w:rsidRPr="003B056B">
        <w:rPr>
          <w:rFonts w:ascii="Times New Roman" w:hAnsi="Times New Roman" w:cs="Times New Roman"/>
          <w:kern w:val="0"/>
          <w:lang w:val="en-US"/>
        </w:rPr>
        <w:t xml:space="preserve"> (New York: Cambridge University Press, 2020).</w:t>
      </w:r>
      <w:r w:rsidRPr="003B056B">
        <w:rPr>
          <w:rFonts w:ascii="Times New Roman" w:hAnsi="Times New Roman" w:cs="Times New Roman"/>
          <w:lang w:val="en-US"/>
        </w:rPr>
        <w:fldChar w:fldCharType="end"/>
      </w:r>
    </w:p>
  </w:footnote>
  <w:footnote w:id="28">
    <w:p w14:paraId="02560CF9" w14:textId="4F6DCE24" w:rsidR="00FF0809" w:rsidRPr="003B056B" w:rsidRDefault="00FF0809">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A7675A" w:rsidRPr="003B056B">
        <w:rPr>
          <w:rFonts w:ascii="Times New Roman" w:hAnsi="Times New Roman" w:cs="Times New Roman"/>
          <w:lang w:val="en-US"/>
        </w:rPr>
        <w:t>On the significance of such pan-European aspects</w:t>
      </w:r>
      <w:r w:rsidRPr="003B056B">
        <w:rPr>
          <w:rFonts w:ascii="Times New Roman" w:hAnsi="Times New Roman" w:cs="Times New Roman"/>
          <w:lang w:val="en-US"/>
        </w:rPr>
        <w:t xml:space="preserve">, see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{"citationID":"mULdROHw","properties":{"formattedCitation":"Stephen Wagg and David L. Andrews, {\\i{}East Plays West: Sport and the Cold War} (London: Routledge, 2007).","plainCitation":"Stephen Wagg and David L. Andrews, East Plays West: Sport and the Cold War (London: Routledge, 2007).","noteIndex":26},"citationItems":[{"id":2326,"uris":["http://zotero.org/users/1231610/items/CQJ7VIT3"],"itemData":{"id":2326,"type":"book","event-place":"London","publisher":"Routledge","publisher-place":"London","source":"Google Scholar","title":"East plays west: Sport and the Cold War","title-short":"East plays west","author":[{"family":"Wagg","given":"Stephen"},{"family":"Andrews","given":"David L."}],"issued":{"date-parts":[["2007"]]}}}],"schema":"https://github.com/citation-style-language/schema/raw/master/csl-citation.json"}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Stephen Wagg and David L. Andrews, </w:t>
      </w:r>
      <w:r w:rsidRPr="003B056B">
        <w:rPr>
          <w:rFonts w:ascii="Times New Roman" w:hAnsi="Times New Roman" w:cs="Times New Roman"/>
          <w:i/>
          <w:iCs/>
          <w:kern w:val="0"/>
          <w:lang w:val="en-US"/>
        </w:rPr>
        <w:t>East Plays West: Sport and the Cold War</w:t>
      </w:r>
      <w:r w:rsidRPr="003B056B">
        <w:rPr>
          <w:rFonts w:ascii="Times New Roman" w:hAnsi="Times New Roman" w:cs="Times New Roman"/>
          <w:kern w:val="0"/>
          <w:lang w:val="en-US"/>
        </w:rPr>
        <w:t xml:space="preserve"> (London: Routledge, 2007).</w:t>
      </w:r>
      <w:r w:rsidRPr="003B056B">
        <w:rPr>
          <w:rFonts w:ascii="Times New Roman" w:hAnsi="Times New Roman" w:cs="Times New Roman"/>
          <w:lang w:val="en-US"/>
        </w:rPr>
        <w:fldChar w:fldCharType="end"/>
      </w:r>
    </w:p>
  </w:footnote>
  <w:footnote w:id="29">
    <w:p w14:paraId="139DE075" w14:textId="594910D1" w:rsidR="004E0723" w:rsidRPr="003B056B" w:rsidRDefault="004E0723">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{"citationID":"hgjfERzX","properties":{"formattedCitation":"Patel, {\\i{}Project Europe}; Neumann, {\\i{}Uses of the Other}; Weller, {\\i{}The Idea of Europe}.","plainCitation":"Patel, Project Europe; Neumann, Uses of the Other; Weller, The Idea of Europe.","noteIndex":27},"citationItems":[{"id":4828,"uris":["http://zotero.org/users/1231610/items/VDW5VPVT"],"itemData":{"id":4828,"type":"book","event-place":"New York","publisher":"Cambridge University Press","publisher-place":"New York","source":"Google Scholar","title":"Project Europe: a history","title-short":"Project Europe","author":[{"family":"Patel","given":"Kiran Klaus"}],"accessed":{"date-parts":[["2023",10,29]]},"issued":{"date-parts":[["2020"]]}},"label":"page"},{"id":4447,"uris":["http://zotero.org/users/1231610/items/FHH8XPHX"],"itemData":{"id":4447,"type":"book","publisher":"U of Minnesota Press","source":"Google Scholar","title":"Uses of the other:\" the East\" in European identity formation","title-short":"Uses of the other","volume":"9","author":[{"family":"Neumann","given":"Iver B."}],"issued":{"date-parts":[["1999"]]}}},{"id":4533,"uris":["http://zotero.org/users/1231610/items/4A6BTML7"],"itemData":{"id":4533,"type":"book","event-place":"Cambridge, UK","publisher":"Cambridge University Press","publisher-place":"Cambridge, UK","source":"Google Scholar","title":"The Idea of Europe: A Critical History","title-short":"The Idea of Europe","author":[{"family":"Weller","given":"Shane"}],"issued":{"date-parts":[["2021"]]}}}],"schema":"https://github.com/citation-style-language/schema/raw/master/csl-citation.json"} </w:instrText>
      </w:r>
      <w:r w:rsidRPr="003B056B">
        <w:rPr>
          <w:rFonts w:ascii="Times New Roman" w:hAnsi="Times New Roman" w:cs="Times New Roman"/>
          <w:lang w:val="en-US"/>
        </w:rPr>
        <w:fldChar w:fldCharType="separate"/>
      </w:r>
      <w:r w:rsidR="00FF0809" w:rsidRPr="003B056B">
        <w:rPr>
          <w:rFonts w:ascii="Times New Roman" w:hAnsi="Times New Roman" w:cs="Times New Roman"/>
          <w:kern w:val="0"/>
          <w:lang w:val="en-US"/>
        </w:rPr>
        <w:t xml:space="preserve">Patel, </w:t>
      </w:r>
      <w:r w:rsidR="00FF0809" w:rsidRPr="003B056B">
        <w:rPr>
          <w:rFonts w:ascii="Times New Roman" w:hAnsi="Times New Roman" w:cs="Times New Roman"/>
          <w:i/>
          <w:iCs/>
          <w:kern w:val="0"/>
          <w:lang w:val="en-US"/>
        </w:rPr>
        <w:t>Project Europe</w:t>
      </w:r>
      <w:r w:rsidR="00FF0809" w:rsidRPr="003B056B">
        <w:rPr>
          <w:rFonts w:ascii="Times New Roman" w:hAnsi="Times New Roman" w:cs="Times New Roman"/>
          <w:kern w:val="0"/>
          <w:lang w:val="en-US"/>
        </w:rPr>
        <w:t xml:space="preserve">; Neumann, </w:t>
      </w:r>
      <w:r w:rsidR="00FF0809" w:rsidRPr="003B056B">
        <w:rPr>
          <w:rFonts w:ascii="Times New Roman" w:hAnsi="Times New Roman" w:cs="Times New Roman"/>
          <w:i/>
          <w:iCs/>
          <w:kern w:val="0"/>
          <w:lang w:val="en-US"/>
        </w:rPr>
        <w:t>Uses of the Other</w:t>
      </w:r>
      <w:r w:rsidR="00FF0809" w:rsidRPr="003B056B">
        <w:rPr>
          <w:rFonts w:ascii="Times New Roman" w:hAnsi="Times New Roman" w:cs="Times New Roman"/>
          <w:kern w:val="0"/>
          <w:lang w:val="en-US"/>
        </w:rPr>
        <w:t xml:space="preserve">; Weller, </w:t>
      </w:r>
      <w:r w:rsidR="00FF0809" w:rsidRPr="003B056B">
        <w:rPr>
          <w:rFonts w:ascii="Times New Roman" w:hAnsi="Times New Roman" w:cs="Times New Roman"/>
          <w:i/>
          <w:iCs/>
          <w:kern w:val="0"/>
          <w:lang w:val="en-US"/>
        </w:rPr>
        <w:t>The Idea of Europe</w:t>
      </w:r>
      <w:r w:rsidR="00FF0809" w:rsidRPr="003B056B">
        <w:rPr>
          <w:rFonts w:ascii="Times New Roman" w:hAnsi="Times New Roman" w:cs="Times New Roman"/>
          <w:kern w:val="0"/>
          <w:lang w:val="en-US"/>
        </w:rPr>
        <w:t>.</w:t>
      </w:r>
      <w:r w:rsidRPr="003B056B">
        <w:rPr>
          <w:rFonts w:ascii="Times New Roman" w:hAnsi="Times New Roman" w:cs="Times New Roman"/>
          <w:lang w:val="en-US"/>
        </w:rPr>
        <w:fldChar w:fldCharType="end"/>
      </w:r>
    </w:p>
  </w:footnote>
  <w:footnote w:id="30">
    <w:p w14:paraId="4D42030E" w14:textId="77777777" w:rsidR="002D6A1C" w:rsidRPr="003B056B" w:rsidRDefault="002D6A1C" w:rsidP="002D6A1C">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For a by now classic work on this divide, see </w:t>
      </w:r>
      <w:r w:rsidRPr="003B056B">
        <w:rPr>
          <w:rFonts w:ascii="Times New Roman" w:hAnsi="Times New Roman" w:cs="Times New Roman"/>
          <w:lang w:val="en-US"/>
        </w:rPr>
        <w:fldChar w:fldCharType="begin"/>
      </w:r>
      <w:r w:rsidRPr="003B056B">
        <w:rPr>
          <w:rFonts w:ascii="Times New Roman" w:hAnsi="Times New Roman" w:cs="Times New Roman"/>
          <w:lang w:val="en-US"/>
        </w:rPr>
        <w:instrText xml:space="preserve"> ADDIN ZOTERO_ITEM CSL_CITATION {"citationID":"mQFLYZex","properties":{"formattedCitation":"Steven E. Aschheim, {\\i{}Brothers and Strangers: The East European Jew in German and German Jewish Consciousness, 1800\\uc0\\u8211{}1923} (Madison, Wis.: University of Wisconsin Press, 1982).","plainCitation":"Steven E. Aschheim, Brothers and Strangers: The East European Jew in German and German Jewish Consciousness, 1800–1923 (Madison, Wis.: University of Wisconsin Press, 1982).","noteIndex":28},"citationItems":[{"id":5397,"uris":["http://zotero.org/users/1231610/items/BKX7DXRR"],"itemData":{"id":5397,"type":"book","event-place":"Madison, Wis.","publisher":"University of Wisconsin Press","publisher-place":"Madison, Wis.","title":"Brothers and Strangers: The East European Jew in German and German Jewish Consciousness, 1800–1923","title-short":"Brothers and Strangers","author":[{"family":"Aschheim","given":"Steven E."}],"accessed":{"date-parts":[["2024",9,17]]},"issued":{"date-parts":[["1982"]]}}}],"schema":"https://github.com/citation-style-language/schema/raw/master/csl-citation.json"}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Steven E. Aschheim, </w:t>
      </w:r>
      <w:r w:rsidRPr="003B056B">
        <w:rPr>
          <w:rFonts w:ascii="Times New Roman" w:hAnsi="Times New Roman" w:cs="Times New Roman"/>
          <w:i/>
          <w:iCs/>
          <w:kern w:val="0"/>
          <w:lang w:val="en-US"/>
        </w:rPr>
        <w:t>Brothers and Strangers: The East European Jew in German and German Jewish Consciousness, 1800–1923</w:t>
      </w:r>
      <w:r w:rsidRPr="003B056B">
        <w:rPr>
          <w:rFonts w:ascii="Times New Roman" w:hAnsi="Times New Roman" w:cs="Times New Roman"/>
          <w:kern w:val="0"/>
          <w:lang w:val="en-US"/>
        </w:rPr>
        <w:t xml:space="preserve"> (Madison, Wis.: University of Wisconsin Press, 1982).</w:t>
      </w:r>
      <w:r w:rsidRPr="003B056B">
        <w:rPr>
          <w:rFonts w:ascii="Times New Roman" w:hAnsi="Times New Roman" w:cs="Times New Roman"/>
          <w:lang w:val="en-US"/>
        </w:rPr>
        <w:fldChar w:fldCharType="end"/>
      </w:r>
    </w:p>
  </w:footnote>
  <w:footnote w:id="31">
    <w:p w14:paraId="4C2C3003" w14:textId="77777777" w:rsidR="002D6A1C" w:rsidRPr="003B056B" w:rsidRDefault="002D6A1C" w:rsidP="002D6A1C">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In detail, see: </w:t>
      </w:r>
      <w:r w:rsidRPr="003B056B">
        <w:rPr>
          <w:rFonts w:ascii="Times New Roman" w:hAnsi="Times New Roman" w:cs="Times New Roman"/>
          <w:lang w:val="en-US"/>
        </w:rPr>
        <w:fldChar w:fldCharType="begin"/>
      </w:r>
      <w:r w:rsidRPr="003B056B">
        <w:rPr>
          <w:rFonts w:ascii="Times New Roman" w:hAnsi="Times New Roman" w:cs="Times New Roman"/>
          <w:lang w:val="en-US"/>
        </w:rPr>
        <w:instrText xml:space="preserve"> ADDIN ZOTERO_ITEM CSL_CITATION {"citationID":"tSiANfer","properties":{"formattedCitation":"Arieh Bruce Saposnik, \\uc0\\u8220{}Europe and Its Orients in Zionist Culture before the First World War,\\uc0\\u8221{} {\\i{}Historical Journal}, 2006, 1105\\uc0\\u8211{}23.","plainCitation":"Arieh Bruce Saposnik, “Europe and Its Orients in Zionist Culture before the First World War,” Historical Journal, 2006, 1105–23.","noteIndex":29},"citationItems":[{"id":2705,"uris":["http://zotero.org/users/1231610/items/7MW4XUDP"],"itemData":{"id":2705,"type":"article-journal","container-title":"Historical Journal","note":"publisher: JSTOR","page":"1105–1123","source":"Google Scholar","title":"Europe and its Orients in Zionist Culture before the First World War","author":[{"family":"Saposnik","given":"Arieh Bruce"}],"issued":{"date-parts":[["2006"]]}},"label":"page"}],"schema":"https://github.com/citation-style-language/schema/raw/master/csl-citation.json"}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Arieh Bruce Saposnik, “Europe and Its Orients in Zionist Culture before the First World War,” </w:t>
      </w:r>
      <w:r w:rsidRPr="003B056B">
        <w:rPr>
          <w:rFonts w:ascii="Times New Roman" w:hAnsi="Times New Roman" w:cs="Times New Roman"/>
          <w:i/>
          <w:iCs/>
          <w:kern w:val="0"/>
          <w:lang w:val="en-US"/>
        </w:rPr>
        <w:t>Historical Journal</w:t>
      </w:r>
      <w:r w:rsidRPr="003B056B">
        <w:rPr>
          <w:rFonts w:ascii="Times New Roman" w:hAnsi="Times New Roman" w:cs="Times New Roman"/>
          <w:kern w:val="0"/>
          <w:lang w:val="en-US"/>
        </w:rPr>
        <w:t>, 2006, 1105–23.</w:t>
      </w:r>
      <w:r w:rsidRPr="003B056B">
        <w:rPr>
          <w:rFonts w:ascii="Times New Roman" w:hAnsi="Times New Roman" w:cs="Times New Roman"/>
          <w:lang w:val="en-US"/>
        </w:rPr>
        <w:fldChar w:fldCharType="end"/>
      </w:r>
      <w:r w:rsidRPr="003B056B">
        <w:rPr>
          <w:rFonts w:ascii="Times New Roman" w:hAnsi="Times New Roman" w:cs="Times New Roman"/>
          <w:lang w:val="en-US"/>
        </w:rPr>
        <w:t xml:space="preserve"> </w:t>
      </w:r>
    </w:p>
  </w:footnote>
  <w:footnote w:id="32">
    <w:p w14:paraId="771B06CB" w14:textId="77777777" w:rsidR="007C3690" w:rsidRPr="003B056B" w:rsidRDefault="007C3690" w:rsidP="007C3690">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i/>
          <w:lang w:val="en-US"/>
        </w:rPr>
        <w:t>Maariv</w:t>
      </w:r>
      <w:r w:rsidRPr="003B056B">
        <w:rPr>
          <w:rFonts w:ascii="Times New Roman" w:hAnsi="Times New Roman" w:cs="Times New Roman"/>
          <w:lang w:val="en-US"/>
        </w:rPr>
        <w:t>, December 18, 1989, add.7</w:t>
      </w:r>
    </w:p>
  </w:footnote>
  <w:footnote w:id="33">
    <w:p w14:paraId="5C40A55B" w14:textId="2F2048C3" w:rsidR="007436EA" w:rsidRPr="003B056B" w:rsidRDefault="007436EA">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For an overview, see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{"citationID":"ol7nufXU","properties":{"formattedCitation":"Yaacov Ro\\uc0\\u8217{}i, \\uc0\\u8220{}Soviet Policies and Attitudes Toward Israel, 1948\\uc0\\u8211{}1978\\uc0\\u8212{}An Overview,\\uc0\\u8221{} {\\i{}Soviet Jewish Affairs} 8, no. 1 (1978): 35\\uc0\\u8211{}45.","plainCitation":"Yaacov Ro’i, “Soviet Policies and Attitudes Toward Israel, 1948–1978—An Overview,” Soviet Jewish Affairs 8, no. 1 (1978): 35–45.","noteIndex":31},"citationItems":[{"id":5490,"uris":["http://zotero.org/users/1231610/items/JHEQNARP"],"itemData":{"id":5490,"type":"article-journal","container-title":"Soviet Jewish Affairs","issue":"1","journalAbbreviation":"Soviet Jewish Affairs","page":"35-45","source":"DOI.org (Crossref)","title":"Soviet Policies and Attitudes Toward Israel, 1948–1978—An Overview","volume":"8","author":[{"family":"Ro'i","given":"Yaacov"}],"issued":{"date-parts":[["1978"]]}}}],"schema":"https://github.com/citation-style-language/schema/raw/master/csl-citation.json"}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Yaacov Ro’i, “Soviet Policies and Attitudes Toward Israel, 1948–1978—An Overview,” </w:t>
      </w:r>
      <w:r w:rsidRPr="003B056B">
        <w:rPr>
          <w:rFonts w:ascii="Times New Roman" w:hAnsi="Times New Roman" w:cs="Times New Roman"/>
          <w:i/>
          <w:iCs/>
          <w:kern w:val="0"/>
          <w:lang w:val="en-US"/>
        </w:rPr>
        <w:t>Soviet Jewish Affairs</w:t>
      </w:r>
      <w:r w:rsidRPr="003B056B">
        <w:rPr>
          <w:rFonts w:ascii="Times New Roman" w:hAnsi="Times New Roman" w:cs="Times New Roman"/>
          <w:kern w:val="0"/>
          <w:lang w:val="en-US"/>
        </w:rPr>
        <w:t xml:space="preserve"> 8, no. 1 (1978): 35–45.</w:t>
      </w:r>
      <w:r w:rsidRPr="003B056B">
        <w:rPr>
          <w:rFonts w:ascii="Times New Roman" w:hAnsi="Times New Roman" w:cs="Times New Roman"/>
          <w:lang w:val="en-US"/>
        </w:rPr>
        <w:fldChar w:fldCharType="end"/>
      </w:r>
    </w:p>
  </w:footnote>
  <w:footnote w:id="34">
    <w:p w14:paraId="33CBF2CA" w14:textId="2DAC978D" w:rsidR="009441B4" w:rsidRPr="003B056B" w:rsidRDefault="009441B4">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In detail, see Chapter IV.</w:t>
      </w:r>
    </w:p>
  </w:footnote>
  <w:footnote w:id="35">
    <w:p w14:paraId="76DCAFDF" w14:textId="773287CB" w:rsidR="004E0723" w:rsidRPr="003B056B" w:rsidRDefault="004E0723" w:rsidP="004E0723">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For an overview of the political relations, see: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{"citationID":"K3McSql4","properties":{"formattedCitation":"Yosef Govrin, {\\i{}Israel\\uc0\\u8217{}s Relations with the East European States: From Disruption (1967) to Resumption (1989-91)} (London\\uc0\\u8239{}; Portland, OR: Valentine Mitchell, 2011).","plainCitation":"Yosef Govrin, Israel’s Relations with the East European States: From Disruption (1967) to Resumption (1989-91) (London ; Portland, OR: Valentine Mitchell, 2011).","noteIndex":33},"citationItems":[{"id":5021,"uris":["http://zotero.org/users/1231610/items/SYTYVWNB"],"itemData":{"id":5021,"type":"book","event-place":"London ; Portland, OR","publisher":"Valentine Mitchell","publisher-place":"London ; Portland, OR","title":"Israel's Relations with the East European States: From Disruption (1967) to Resumption (1989-91)","author":[{"family":"Govrin","given":"Yosef"}],"issued":{"date-parts":[["2011"]]}}}],"schema":"https://github.com/citation-style-language/schema/raw/master/csl-citation.json"}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Yosef Govrin, </w:t>
      </w:r>
      <w:r w:rsidRPr="003B056B">
        <w:rPr>
          <w:rFonts w:ascii="Times New Roman" w:hAnsi="Times New Roman" w:cs="Times New Roman"/>
          <w:i/>
          <w:iCs/>
          <w:kern w:val="0"/>
          <w:lang w:val="en-US"/>
        </w:rPr>
        <w:t>Israel’s Relations with the East European States: From Disruption (1967) to Resumption (1989-91)</w:t>
      </w:r>
      <w:r w:rsidRPr="003B056B">
        <w:rPr>
          <w:rFonts w:ascii="Times New Roman" w:hAnsi="Times New Roman" w:cs="Times New Roman"/>
          <w:kern w:val="0"/>
          <w:lang w:val="en-US"/>
        </w:rPr>
        <w:t xml:space="preserve"> (London ; Portland, OR: Valentine Mitchell, 2011).</w:t>
      </w:r>
      <w:r w:rsidRPr="003B056B">
        <w:rPr>
          <w:rFonts w:ascii="Times New Roman" w:hAnsi="Times New Roman" w:cs="Times New Roman"/>
          <w:lang w:val="en-US"/>
        </w:rPr>
        <w:fldChar w:fldCharType="end"/>
      </w:r>
    </w:p>
  </w:footnote>
  <w:footnote w:id="36">
    <w:p w14:paraId="3D034233" w14:textId="6417280E" w:rsidR="000744E9" w:rsidRPr="003B056B" w:rsidRDefault="000744E9" w:rsidP="000744E9">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7C0F59" w:rsidRPr="003B056B">
        <w:rPr>
          <w:rFonts w:ascii="Times New Roman" w:hAnsi="Times New Roman" w:cs="Times New Roman"/>
          <w:lang w:val="en-US"/>
        </w:rPr>
        <w:t xml:space="preserve">E.g. </w:t>
      </w:r>
      <w:r w:rsidR="007C0F59"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{"citationID":"BUAP6g3e","properties":{"formattedCitation":"Delanty, {\\i{}Inventing Europe}; Johan Forn\\uc0\\u228{}s, {\\i{}Europe Faces Europe: Narratives from Its Eastern Half} (Bristol: Intellect Books, 2017); Ute Frevert, {\\i{}Eurovisionen: Ansichten Guter Europ\\uc0\\u228{}er Im 19. Und 20. Jahrhundert} (Fischer-Taschenbuch-Verlag, 2003); Peo Hansen, \\uc0\\u8220{}In the Name of Europe,\\uc0\\u8221{} {\\i{}Race &amp; Class} 45, no. 3 (2004): 49\\uc0\\u8211{}61; Mahmood Mamdani, {\\i{}Neither Settler nor Native} (Harvard: Harvard University Press, 2020); Walter Mignolo, {\\i{}The Darker Side of Western Modernity: Global Futures, Decolonial Options} (Durham, North Carolina: Duke University Press, 2011); Anthony Pagden, {\\i{}The Pursuit of Europe: A History} (Oxford: Oxford University Press, 2022).","plainCitation":"Delanty, Inventing Europe; Johan Fornäs, Europe Faces Europe: Narratives from Its Eastern Half (Bristol: Intellect Books, 2017); Ute Frevert, Eurovisionen: Ansichten Guter Europäer Im 19. Und 20. Jahrhundert (Fischer-Taschenbuch-Verlag, 2003); Peo Hansen, “In the Name of Europe,” Race &amp; Class 45, no. 3 (2004): 49–61; Mahmood Mamdani, Neither Settler nor Native (Harvard: Harvard University Press, 2020); Walter Mignolo, The Darker Side of Western Modernity: Global Futures, Decolonial Options (Durham, North Carolina: Duke University Press, 2011); Anthony Pagden, The Pursuit of Europe: A History (Oxford: Oxford University Press, 2022).","noteIndex":34},"citationItems":[{"id":4869,"uris":["http://zotero.org/users/1231610/items/P98E8IAC"],"itemData":{"id":4869,"type":"book","event-place":"New York","publisher":"St. Martin's Press","publisher-place":"New York","title":"Inventing Europe: Idea, Identity, Reality","title-short":"Inventing Europe","volume":"66","author":[{"family":"Delanty","given":"Gerard"}],"issued":{"date-parts":[["1995"]]}}},{"id":2090,"uris":["http://zotero.org/users/1231610/items/J94IQHHV"],"itemData":{"id":2090,"type":"book","event-place":"Bristol","publisher":"Intellect Books","publisher-place":"Bristol","source":"Google Scholar","title":"Europe Faces Europe: Narratives from Its Eastern Half","title-short":"Euro-visions","author":[{"family":"Fornäs","given":"Johan"}],"issued":{"date-parts":[["2017"]]}}},{"id":5285,"uris":["http://zotero.org/users/1231610/items/QQY2UIDY"],"itemData":{"id":5285,"type":"book","publisher":"Fischer-Taschenbuch-Verlag","source":"Google Scholar","title":"Eurovisionen: Ansichten guter Europäer im 19. und 20. Jahrhundert","title-short":"Eurovisionen","author":[{"family":"Frevert","given":"Ute"}],"accessed":{"date-parts":[["2024",6,9]]},"issued":{"date-parts":[["2003"]]}}},{"id":2604,"uris":["http://zotero.org/users/1231610/items/3XD45F32"],"itemData":{"id":2604,"type":"article-journal","container-title":"Race &amp; Class","issue":"3","note":"publisher: Sage Publications Sage CA: Thousand Oaks, CA","page":"49–61","source":"Google Scholar","title":"In the name of Europe","volume":"45","author":[{"family":"Hansen","given":"Peo"}],"issued":{"date-parts":[["2004"]]}}},{"id":5131,"uris":["http://zotero.org/users/1231610/items/FM8958SQ"],"itemData":{"id":5131,"type":"book","event-place":"Harvard","ISBN":"978-0-674-24999-8","publisher":"Harvard University Press","publisher-place":"Harvard","source":"DOI.org (Crossref)","title":"Neither Settler nor Native","author":[{"family":"Mamdani","given":"Mahmood"}],"accessed":{"date-parts":[["2024",2,29]]},"issued":{"date-parts":[["2020",11,11]]}}},{"id":5260,"uris":["http://zotero.org/users/1231610/items/NG2ZGR24"],"itemData":{"id":5260,"type":"book","event-place":"Durham, North Carolina","publisher":"Duke University Press","publisher-place":"Durham, North Carolina","source":"Google Scholar","title":"The darker side of western modernity: Global futures, decolonial options","title-short":"The darker side of western modernity","author":[{"family":"Mignolo","given":"Walter"}],"accessed":{"date-parts":[["2024",3,27]]},"issued":{"date-parts":[["2011"]]}}},{"id":5284,"uris":["http://zotero.org/users/1231610/items/HTZRZGGT"],"itemData":{"id":5284,"type":"book","event-place":"Oxford","publisher":"Oxford University Press","publisher-place":"Oxford","source":"Google Scholar","title":"The pursuit of Europe: A history","title-short":"The pursuit of Europe","author":[{"family":"Pagden","given":"Anthony"}],"accessed":{"date-parts":[["2024",6,9]]},"issued":{"date-parts":[["2022"]]}}}],"schema":"https://github.com/citation-style-language/schema/raw/master/csl-citation.json"} </w:instrText>
      </w:r>
      <w:r w:rsidR="007C0F59" w:rsidRPr="003B056B">
        <w:rPr>
          <w:rFonts w:ascii="Times New Roman" w:hAnsi="Times New Roman" w:cs="Times New Roman"/>
          <w:lang w:val="en-US"/>
        </w:rPr>
        <w:fldChar w:fldCharType="separate"/>
      </w:r>
      <w:r w:rsidR="00D3317D" w:rsidRPr="003B056B">
        <w:rPr>
          <w:rFonts w:ascii="Times New Roman" w:hAnsi="Times New Roman" w:cs="Times New Roman"/>
          <w:kern w:val="0"/>
          <w:lang w:val="en-US"/>
        </w:rPr>
        <w:t xml:space="preserve">Delanty, </w:t>
      </w:r>
      <w:r w:rsidR="00D3317D" w:rsidRPr="003B056B">
        <w:rPr>
          <w:rFonts w:ascii="Times New Roman" w:hAnsi="Times New Roman" w:cs="Times New Roman"/>
          <w:i/>
          <w:iCs/>
          <w:kern w:val="0"/>
          <w:lang w:val="en-US"/>
        </w:rPr>
        <w:t>Inventing Europe</w:t>
      </w:r>
      <w:r w:rsidR="00D3317D" w:rsidRPr="003B056B">
        <w:rPr>
          <w:rFonts w:ascii="Times New Roman" w:hAnsi="Times New Roman" w:cs="Times New Roman"/>
          <w:kern w:val="0"/>
          <w:lang w:val="en-US"/>
        </w:rPr>
        <w:t xml:space="preserve">; Johan Fornäs, </w:t>
      </w:r>
      <w:r w:rsidR="00D3317D" w:rsidRPr="003B056B">
        <w:rPr>
          <w:rFonts w:ascii="Times New Roman" w:hAnsi="Times New Roman" w:cs="Times New Roman"/>
          <w:i/>
          <w:iCs/>
          <w:kern w:val="0"/>
          <w:lang w:val="en-US"/>
        </w:rPr>
        <w:t>Europe Faces Europe: Narratives from Its Eastern Half</w:t>
      </w:r>
      <w:r w:rsidR="00D3317D" w:rsidRPr="003B056B">
        <w:rPr>
          <w:rFonts w:ascii="Times New Roman" w:hAnsi="Times New Roman" w:cs="Times New Roman"/>
          <w:kern w:val="0"/>
          <w:lang w:val="en-US"/>
        </w:rPr>
        <w:t xml:space="preserve"> (Bristol: Intellect Books, 2017); Ute Frevert, </w:t>
      </w:r>
      <w:r w:rsidR="00D3317D" w:rsidRPr="003B056B">
        <w:rPr>
          <w:rFonts w:ascii="Times New Roman" w:hAnsi="Times New Roman" w:cs="Times New Roman"/>
          <w:i/>
          <w:iCs/>
          <w:kern w:val="0"/>
          <w:lang w:val="en-US"/>
        </w:rPr>
        <w:t>Eurovisionen: Ansichten Guter Europäer Im 19. Und 20. Jahrhundert</w:t>
      </w:r>
      <w:r w:rsidR="00D3317D" w:rsidRPr="003B056B">
        <w:rPr>
          <w:rFonts w:ascii="Times New Roman" w:hAnsi="Times New Roman" w:cs="Times New Roman"/>
          <w:kern w:val="0"/>
          <w:lang w:val="en-US"/>
        </w:rPr>
        <w:t xml:space="preserve"> (Fischer-Taschenbuch-Verlag, 2003); Peo Hansen, “In the Name of Europe,” </w:t>
      </w:r>
      <w:r w:rsidR="00D3317D" w:rsidRPr="003B056B">
        <w:rPr>
          <w:rFonts w:ascii="Times New Roman" w:hAnsi="Times New Roman" w:cs="Times New Roman"/>
          <w:i/>
          <w:iCs/>
          <w:kern w:val="0"/>
          <w:lang w:val="en-US"/>
        </w:rPr>
        <w:t>Race &amp; Class</w:t>
      </w:r>
      <w:r w:rsidR="00D3317D" w:rsidRPr="003B056B">
        <w:rPr>
          <w:rFonts w:ascii="Times New Roman" w:hAnsi="Times New Roman" w:cs="Times New Roman"/>
          <w:kern w:val="0"/>
          <w:lang w:val="en-US"/>
        </w:rPr>
        <w:t xml:space="preserve"> 45, no. 3 (2004): 49–61; Mahmood Mamdani, </w:t>
      </w:r>
      <w:r w:rsidR="00D3317D" w:rsidRPr="003B056B">
        <w:rPr>
          <w:rFonts w:ascii="Times New Roman" w:hAnsi="Times New Roman" w:cs="Times New Roman"/>
          <w:i/>
          <w:iCs/>
          <w:kern w:val="0"/>
          <w:lang w:val="en-US"/>
        </w:rPr>
        <w:t>Neither Settler nor Native</w:t>
      </w:r>
      <w:r w:rsidR="00D3317D" w:rsidRPr="003B056B">
        <w:rPr>
          <w:rFonts w:ascii="Times New Roman" w:hAnsi="Times New Roman" w:cs="Times New Roman"/>
          <w:kern w:val="0"/>
          <w:lang w:val="en-US"/>
        </w:rPr>
        <w:t xml:space="preserve"> (Harvard: Harvard University Press, 2020); Walter Mignolo, </w:t>
      </w:r>
      <w:r w:rsidR="00D3317D" w:rsidRPr="003B056B">
        <w:rPr>
          <w:rFonts w:ascii="Times New Roman" w:hAnsi="Times New Roman" w:cs="Times New Roman"/>
          <w:i/>
          <w:iCs/>
          <w:kern w:val="0"/>
          <w:lang w:val="en-US"/>
        </w:rPr>
        <w:t>The Darker Side of Western Modernity: Global Futures, Decolonial Options</w:t>
      </w:r>
      <w:r w:rsidR="00D3317D" w:rsidRPr="003B056B">
        <w:rPr>
          <w:rFonts w:ascii="Times New Roman" w:hAnsi="Times New Roman" w:cs="Times New Roman"/>
          <w:kern w:val="0"/>
          <w:lang w:val="en-US"/>
        </w:rPr>
        <w:t xml:space="preserve"> (Durham, North Carolina: Duke University Press, 2011); Anthony Pagden, </w:t>
      </w:r>
      <w:r w:rsidR="00D3317D" w:rsidRPr="003B056B">
        <w:rPr>
          <w:rFonts w:ascii="Times New Roman" w:hAnsi="Times New Roman" w:cs="Times New Roman"/>
          <w:i/>
          <w:iCs/>
          <w:kern w:val="0"/>
          <w:lang w:val="en-US"/>
        </w:rPr>
        <w:t>The Pursuit of Europe: A History</w:t>
      </w:r>
      <w:r w:rsidR="00D3317D" w:rsidRPr="003B056B">
        <w:rPr>
          <w:rFonts w:ascii="Times New Roman" w:hAnsi="Times New Roman" w:cs="Times New Roman"/>
          <w:kern w:val="0"/>
          <w:lang w:val="en-US"/>
        </w:rPr>
        <w:t xml:space="preserve"> (Oxford: Oxford University Press, 2022).</w:t>
      </w:r>
      <w:r w:rsidR="007C0F59" w:rsidRPr="003B056B">
        <w:rPr>
          <w:rFonts w:ascii="Times New Roman" w:hAnsi="Times New Roman" w:cs="Times New Roman"/>
          <w:lang w:val="en-US"/>
        </w:rPr>
        <w:fldChar w:fldCharType="end"/>
      </w:r>
    </w:p>
  </w:footnote>
  <w:footnote w:id="37">
    <w:p w14:paraId="322BF769" w14:textId="2FB30DD4" w:rsidR="000744E9" w:rsidRPr="003B056B" w:rsidRDefault="000744E9" w:rsidP="000744E9">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Talal Assad</w:t>
      </w:r>
      <w:r w:rsidR="007C0F59" w:rsidRPr="003B056B">
        <w:rPr>
          <w:rFonts w:ascii="Times New Roman" w:hAnsi="Times New Roman" w:cs="Times New Roman"/>
          <w:lang w:val="en-US"/>
        </w:rPr>
        <w:t xml:space="preserve">, “Muslims and European Identity: Can Europe represent Islam?,” in </w:t>
      </w:r>
      <w:r w:rsidR="007C0F59"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{"citationID":"iwbHmUs0","properties":{"formattedCitation":"Pagden, {\\i{}The Idea of Europe}, 220.","plainCitation":"Pagden, The Idea of Europe, 220.","noteIndex":35},"citationItems":[{"id":2840,"uris":["http://zotero.org/users/1231610/items/XBBPYID5"],"itemData":{"id":2840,"type":"book","event-place":"Cambridge","publisher":"Cambridge University Press","publisher-place":"Cambridge","source":"Google Scholar","title":"The idea of Europe: from antiquity to the European Union","title-short":"The idea of Europe","editor":[{"family":"Pagden","given":"Anthony"}],"issued":{"date-parts":[["2002"]]}},"locator":"220","label":"page"}],"schema":"https://github.com/citation-style-language/schema/raw/master/csl-citation.json"} </w:instrText>
      </w:r>
      <w:r w:rsidR="007C0F59" w:rsidRPr="003B056B">
        <w:rPr>
          <w:rFonts w:ascii="Times New Roman" w:hAnsi="Times New Roman" w:cs="Times New Roman"/>
          <w:lang w:val="en-US"/>
        </w:rPr>
        <w:fldChar w:fldCharType="separate"/>
      </w:r>
      <w:r w:rsidR="00BB417E" w:rsidRPr="003B056B">
        <w:rPr>
          <w:rFonts w:ascii="Times New Roman" w:hAnsi="Times New Roman" w:cs="Times New Roman"/>
          <w:kern w:val="0"/>
          <w:lang w:val="en-US"/>
        </w:rPr>
        <w:t xml:space="preserve">Pagden, </w:t>
      </w:r>
      <w:r w:rsidR="00BB417E" w:rsidRPr="003B056B">
        <w:rPr>
          <w:rFonts w:ascii="Times New Roman" w:hAnsi="Times New Roman" w:cs="Times New Roman"/>
          <w:i/>
          <w:iCs/>
          <w:kern w:val="0"/>
          <w:lang w:val="en-US"/>
        </w:rPr>
        <w:t>The Idea of Europe</w:t>
      </w:r>
      <w:r w:rsidR="00BB417E" w:rsidRPr="003B056B">
        <w:rPr>
          <w:rFonts w:ascii="Times New Roman" w:hAnsi="Times New Roman" w:cs="Times New Roman"/>
          <w:kern w:val="0"/>
          <w:lang w:val="en-US"/>
        </w:rPr>
        <w:t>, 220.</w:t>
      </w:r>
      <w:r w:rsidR="007C0F59" w:rsidRPr="003B056B">
        <w:rPr>
          <w:rFonts w:ascii="Times New Roman" w:hAnsi="Times New Roman" w:cs="Times New Roman"/>
          <w:lang w:val="en-US"/>
        </w:rPr>
        <w:fldChar w:fldCharType="end"/>
      </w:r>
    </w:p>
  </w:footnote>
  <w:footnote w:id="38">
    <w:p w14:paraId="3E8B9022" w14:textId="401835A0" w:rsidR="00B22A42" w:rsidRPr="003B056B" w:rsidRDefault="00B22A42">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In detail, see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{"citationID":"KaeDLzzs","properties":{"formattedCitation":"Derek Penslar, \\uc0\\u8220{}Is Zionism a Colonial Movement?,\\uc0\\u8221{} in {\\i{}Israel in History: The Jewish State in Comparative Perspective} (London: Routledge, 2007), 90\\uc0\\u8211{}111.","plainCitation":"Derek Penslar, “Is Zionism a Colonial Movement?,” in Israel in History: The Jewish State in Comparative Perspective (London: Routledge, 2007), 90–111.","noteIndex":36},"citationItems":[{"id":1279,"uris":["http://zotero.org/users/1231610/items/C9BTCNKS"],"itemData":{"id":1279,"type":"chapter","container-title":"Israel in History: The Jewish State in Comparative Perspective","event-place":"London","page":"90-111","publisher":"Routledge","publisher-place":"London","source":"Google Scholar","title":"Is Zionism a colonial movement?","author":[{"family":"Penslar","given":"Derek"}],"issued":{"date-parts":[["2007"]]}}}],"schema":"https://github.com/citation-style-language/schema/raw/master/csl-citation.json"}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Derek Penslar, “Is Zionism a Colonial Movement?,” in </w:t>
      </w:r>
      <w:r w:rsidRPr="003B056B">
        <w:rPr>
          <w:rFonts w:ascii="Times New Roman" w:hAnsi="Times New Roman" w:cs="Times New Roman"/>
          <w:i/>
          <w:iCs/>
          <w:kern w:val="0"/>
          <w:lang w:val="en-US"/>
        </w:rPr>
        <w:t>Israel in History: The Jewish State in Comparative Perspective</w:t>
      </w:r>
      <w:r w:rsidRPr="003B056B">
        <w:rPr>
          <w:rFonts w:ascii="Times New Roman" w:hAnsi="Times New Roman" w:cs="Times New Roman"/>
          <w:kern w:val="0"/>
          <w:lang w:val="en-US"/>
        </w:rPr>
        <w:t xml:space="preserve"> (London: Routledge, 2007), 90–111.</w:t>
      </w:r>
      <w:r w:rsidRPr="003B056B">
        <w:rPr>
          <w:rFonts w:ascii="Times New Roman" w:hAnsi="Times New Roman" w:cs="Times New Roman"/>
          <w:lang w:val="en-US"/>
        </w:rPr>
        <w:fldChar w:fldCharType="end"/>
      </w:r>
    </w:p>
  </w:footnote>
  <w:footnote w:id="39">
    <w:p w14:paraId="43685A77" w14:textId="49993EF0" w:rsidR="00257930" w:rsidRPr="003B056B" w:rsidRDefault="00257930" w:rsidP="00257930">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49456D"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{"citationID":"uIpEw5ZU","properties":{"formattedCitation":"Gerard Delanty, {\\i{}Europe and Asia beyond East and West} (London: Routledge, 2006); Wang Hui, \\uc0\\u8220{}The Idea of Asia and Its Ambiguities,\\uc0\\u8221{} {\\i{}The Journal of Asian Studies} 69, no. 4 (2010): 985\\uc0\\u8211{}89; Tobias Metzler, \\uc0\\u8220{}Entangled Refractions Global Perspectives on Europeanism and Asianism,\\uc0\\u8221{} in {\\i{}Proceedings of the 1st International Conference Europe in Discourse: Identity, Diversity, Borders Athens, September 23-25, 2016}, ed. Juliane House and Themis Kaniklidou (Nashua, NH: Helenic American University, 2017), 193\\uc0\\u8211{}204; Srilata Ravi, Mario Rutten, and Beng-Lan Goh, {\\i{}Asia in Europe, Europe in Asia} (Singapore: Institute of Southeast Asian Studies, 2004).","plainCitation":"Gerard Delanty, Europe and Asia beyond East and West (London: Routledge, 2006); Wang Hui, “The Idea of Asia and Its Ambiguities,” The Journal of Asian Studies 69, no. 4 (2010): 985–89; Tobias Metzler, “Entangled Refractions Global Perspectives on Europeanism and Asianism,” in Proceedings of the 1st International Conference Europe in Discourse: Identity, Diversity, Borders Athens, September 23-25, 2016, ed. Juliane House and Themis Kaniklidou (Nashua, NH: Helenic American University, 2017), 193–204; Srilata Ravi, Mario Rutten, and Beng-Lan Goh, Asia in Europe, Europe in Asia (Singapore: Institute of Southeast Asian Studies, 2004).","noteIndex":37},"citationItems":[{"id":2669,"uris":["http://zotero.org/users/1231610/items/C2FTZCHD"],"itemData":{"id":2669,"type":"book","event-place":"London","publisher":"Routledge","publisher-place":"London","source":"Google Scholar","title":"Europe and Asia beyond East and West","author":[{"family":"Delanty","given":"Gerard"}],"issued":{"date-parts":[["2006"]]}}},{"id":4520,"uris":["http://zotero.org/users/1231610/items/D64LARAT"],"itemData":{"id":4520,"type":"article-journal","container-title":"The Journal of Asian Studies","issue":"4","note":"publisher: Cambridge University Press","page":"985–989","source":"Google Scholar","title":"The idea of Asia and its ambiguities","volume":"69","author":[{"family":"Hui","given":"Wang"}],"issued":{"date-parts":[["2010"]]}}},{"id":2540,"uris":["http://zotero.org/users/1231610/items/WFK3U3N9"],"itemData":{"id":2540,"type":"chapter","container-title":"Proceedings of the 1st International Conference Europe in Discourse: Identity, Diversity, Borders Athens, September 23-25, 2016","event-place":"Nashua, NH","page":"193-204","publisher":"Helenic American University","publisher-place":"Nashua, NH","source":"Google Scholar","title":"Entangled Refractions Global Perspectives on Europeanism and Asianism","author":[{"family":"Metzler","given":"Tobias"}],"editor":[{"family":"House","given":"Juliane"},{"family":"Kaniklidou","given":"Themis"}],"issued":{"date-parts":[["2017"]]}}},{"id":2698,"uris":["http://zotero.org/users/1231610/items/BMX6VRTT"],"itemData":{"id":2698,"type":"book","event-place":"Singapore","publisher":"Institute of Southeast Asian Studies","publisher-place":"Singapore","source":"Google Scholar","title":"Asia in Europe, Europe in Asia","author":[{"family":"Ravi","given":"Srilata"},{"family":"Rutten","given":"Mario"},{"family":"Goh","given":"Beng-Lan"}],"issued":{"date-parts":[["2004"]]}}}],"schema":"https://github.com/citation-style-language/schema/raw/master/csl-citation.json"} </w:instrText>
      </w:r>
      <w:r w:rsidR="0049456D" w:rsidRPr="003B056B">
        <w:rPr>
          <w:rFonts w:ascii="Times New Roman" w:hAnsi="Times New Roman" w:cs="Times New Roman"/>
          <w:lang w:val="en-US"/>
        </w:rPr>
        <w:fldChar w:fldCharType="separate"/>
      </w:r>
      <w:r w:rsidR="00CF4A21" w:rsidRPr="003B056B">
        <w:rPr>
          <w:rFonts w:ascii="Times New Roman" w:hAnsi="Times New Roman" w:cs="Times New Roman"/>
          <w:kern w:val="0"/>
          <w:lang w:val="en-US"/>
        </w:rPr>
        <w:t xml:space="preserve">Gerard Delanty, </w:t>
      </w:r>
      <w:r w:rsidR="00CF4A21" w:rsidRPr="003B056B">
        <w:rPr>
          <w:rFonts w:ascii="Times New Roman" w:hAnsi="Times New Roman" w:cs="Times New Roman"/>
          <w:i/>
          <w:iCs/>
          <w:kern w:val="0"/>
          <w:lang w:val="en-US"/>
        </w:rPr>
        <w:t>Europe and Asia beyond East and West</w:t>
      </w:r>
      <w:r w:rsidR="00CF4A21" w:rsidRPr="003B056B">
        <w:rPr>
          <w:rFonts w:ascii="Times New Roman" w:hAnsi="Times New Roman" w:cs="Times New Roman"/>
          <w:kern w:val="0"/>
          <w:lang w:val="en-US"/>
        </w:rPr>
        <w:t xml:space="preserve"> (London: Routledge, 2006); Wang Hui, “The Idea of Asia and Its Ambiguities,” </w:t>
      </w:r>
      <w:r w:rsidR="00CF4A21" w:rsidRPr="003B056B">
        <w:rPr>
          <w:rFonts w:ascii="Times New Roman" w:hAnsi="Times New Roman" w:cs="Times New Roman"/>
          <w:i/>
          <w:iCs/>
          <w:kern w:val="0"/>
          <w:lang w:val="en-US"/>
        </w:rPr>
        <w:t>The Journal of Asian Studies</w:t>
      </w:r>
      <w:r w:rsidR="00CF4A21" w:rsidRPr="003B056B">
        <w:rPr>
          <w:rFonts w:ascii="Times New Roman" w:hAnsi="Times New Roman" w:cs="Times New Roman"/>
          <w:kern w:val="0"/>
          <w:lang w:val="en-US"/>
        </w:rPr>
        <w:t xml:space="preserve"> 69, no. 4 (2010): 985–89; Tobias Metzler, “Entangled Refractions Global Perspectives on Europeanism and Asianism,” in </w:t>
      </w:r>
      <w:r w:rsidR="00CF4A21" w:rsidRPr="003B056B">
        <w:rPr>
          <w:rFonts w:ascii="Times New Roman" w:hAnsi="Times New Roman" w:cs="Times New Roman"/>
          <w:i/>
          <w:iCs/>
          <w:kern w:val="0"/>
          <w:lang w:val="en-US"/>
        </w:rPr>
        <w:t>Proceedings of the 1st International Conference Europe in Discourse: Identity, Diversity, Borders Athens, September 23-25, 2016</w:t>
      </w:r>
      <w:r w:rsidR="00CF4A21" w:rsidRPr="003B056B">
        <w:rPr>
          <w:rFonts w:ascii="Times New Roman" w:hAnsi="Times New Roman" w:cs="Times New Roman"/>
          <w:kern w:val="0"/>
          <w:lang w:val="en-US"/>
        </w:rPr>
        <w:t xml:space="preserve">, ed. Juliane House and Themis Kaniklidou (Nashua, NH: Helenic American University, 2017), 193–204; Srilata Ravi, Mario Rutten, and Beng-Lan Goh, </w:t>
      </w:r>
      <w:r w:rsidR="00CF4A21" w:rsidRPr="003B056B">
        <w:rPr>
          <w:rFonts w:ascii="Times New Roman" w:hAnsi="Times New Roman" w:cs="Times New Roman"/>
          <w:i/>
          <w:iCs/>
          <w:kern w:val="0"/>
          <w:lang w:val="en-US"/>
        </w:rPr>
        <w:t>Asia in Europe, Europe in Asia</w:t>
      </w:r>
      <w:r w:rsidR="00CF4A21" w:rsidRPr="003B056B">
        <w:rPr>
          <w:rFonts w:ascii="Times New Roman" w:hAnsi="Times New Roman" w:cs="Times New Roman"/>
          <w:kern w:val="0"/>
          <w:lang w:val="en-US"/>
        </w:rPr>
        <w:t xml:space="preserve"> (Singapore: Institute of Southeast Asian Studies, 2004).</w:t>
      </w:r>
      <w:r w:rsidR="0049456D" w:rsidRPr="003B056B">
        <w:rPr>
          <w:rFonts w:ascii="Times New Roman" w:hAnsi="Times New Roman" w:cs="Times New Roman"/>
          <w:lang w:val="en-US"/>
        </w:rPr>
        <w:fldChar w:fldCharType="end"/>
      </w:r>
    </w:p>
  </w:footnote>
  <w:footnote w:id="40">
    <w:p w14:paraId="01F727D6" w14:textId="07E707F0" w:rsidR="0049456D" w:rsidRPr="003B056B" w:rsidRDefault="0049456D">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{"citationID":"fb3D0r3i","properties":{"formattedCitation":"Edward W. Said, {\\i{}Orientalism} (New York: Pantheon Books, 2014).","plainCitation":"Edward W. Said, Orientalism (New York: Pantheon Books, 2014).","noteIndex":38},"citationItems":[{"id":4888,"uris":["http://zotero.org/users/1231610/items/4YUWX4TX"],"itemData":{"id":4888,"type":"book","event-place":"New York","publisher":"Pantheon Books","publisher-place":"New York","source":"Google Scholar","title":"Orientalism","author":[{"family":"Said","given":"Edward W."}],"accessed":{"date-parts":[["2023",11,27]]},"issued":{"date-parts":[["2014"]]}}}],"schema":"https://github.com/citation-style-language/schema/raw/master/csl-citation.json"}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Edward W. Said, </w:t>
      </w:r>
      <w:r w:rsidRPr="003B056B">
        <w:rPr>
          <w:rFonts w:ascii="Times New Roman" w:hAnsi="Times New Roman" w:cs="Times New Roman"/>
          <w:i/>
          <w:iCs/>
          <w:kern w:val="0"/>
          <w:lang w:val="en-US"/>
        </w:rPr>
        <w:t>Orientalism</w:t>
      </w:r>
      <w:r w:rsidRPr="003B056B">
        <w:rPr>
          <w:rFonts w:ascii="Times New Roman" w:hAnsi="Times New Roman" w:cs="Times New Roman"/>
          <w:kern w:val="0"/>
          <w:lang w:val="en-US"/>
        </w:rPr>
        <w:t xml:space="preserve"> (New York: Pantheon Books, 2014).</w:t>
      </w:r>
      <w:r w:rsidRPr="003B056B">
        <w:rPr>
          <w:rFonts w:ascii="Times New Roman" w:hAnsi="Times New Roman" w:cs="Times New Roman"/>
          <w:lang w:val="en-US"/>
        </w:rPr>
        <w:fldChar w:fldCharType="end"/>
      </w:r>
    </w:p>
  </w:footnote>
  <w:footnote w:id="41">
    <w:p w14:paraId="5FCB8101" w14:textId="685B72EE" w:rsidR="00C12912" w:rsidRPr="003B056B" w:rsidRDefault="00C12912">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Among many others: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{"citationID":"qSnAJZJO","properties":{"formattedCitation":"Ivan Davidson Kalmar and Derek Jonathan Penslar, {\\i{}Orientalism and the Jews} (Waltham, Mass.: Brandeis University Press, 2005); Yaron Peleg, {\\i{}Orientalism and the Hebrew Imagination} (Ithaca, NY: Cornell University Press, 2005).","plainCitation":"Ivan Davidson Kalmar and Derek Jonathan Penslar, Orientalism and the Jews (Waltham, Mass.: Brandeis University Press, 2005); Yaron Peleg, Orientalism and the Hebrew Imagination (Ithaca, NY: Cornell University Press, 2005).","noteIndex":39},"citationItems":[{"id":2463,"uris":["http://zotero.org/users/1231610/items/JZ3MDUY8"],"itemData":{"id":2463,"type":"book","event-place":"Waltham, Mass.","publisher":"Brandeis University Press","publisher-place":"Waltham, Mass.","source":"Google Scholar","title":"Orientalism and the Jews","author":[{"family":"Kalmar","given":"Ivan Davidson"},{"family":"Penslar","given":"Derek Jonathan"}],"issued":{"date-parts":[["2005"]]}}},{"id":4799,"uris":["http://zotero.org/users/1231610/items/5YZ4H6DL"],"itemData":{"id":4799,"type":"book","event-place":"Ithaca, NY","publisher":"Cornell University Press","publisher-place":"Ithaca, NY","source":"Google Scholar","title":"Orientalism and the Hebrew imagination","author":[{"family":"Peleg","given":"Yaron"}],"accessed":{"date-parts":[["2023",10,10]]},"issued":{"date-parts":[["2005"]]}}}],"schema":"https://github.com/citation-style-language/schema/raw/master/csl-citation.json"}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Ivan Davidson Kalmar and Derek Jonathan Penslar, </w:t>
      </w:r>
      <w:r w:rsidRPr="003B056B">
        <w:rPr>
          <w:rFonts w:ascii="Times New Roman" w:hAnsi="Times New Roman" w:cs="Times New Roman"/>
          <w:i/>
          <w:iCs/>
          <w:kern w:val="0"/>
          <w:lang w:val="en-US"/>
        </w:rPr>
        <w:t>Orientalism and the Jews</w:t>
      </w:r>
      <w:r w:rsidRPr="003B056B">
        <w:rPr>
          <w:rFonts w:ascii="Times New Roman" w:hAnsi="Times New Roman" w:cs="Times New Roman"/>
          <w:kern w:val="0"/>
          <w:lang w:val="en-US"/>
        </w:rPr>
        <w:t xml:space="preserve"> (Waltham, Mass.: Brandeis University Press, 2005); Yaron Peleg, </w:t>
      </w:r>
      <w:r w:rsidRPr="003B056B">
        <w:rPr>
          <w:rFonts w:ascii="Times New Roman" w:hAnsi="Times New Roman" w:cs="Times New Roman"/>
          <w:i/>
          <w:iCs/>
          <w:kern w:val="0"/>
          <w:lang w:val="en-US"/>
        </w:rPr>
        <w:t>Orientalism and the Hebrew Imagination</w:t>
      </w:r>
      <w:r w:rsidRPr="003B056B">
        <w:rPr>
          <w:rFonts w:ascii="Times New Roman" w:hAnsi="Times New Roman" w:cs="Times New Roman"/>
          <w:kern w:val="0"/>
          <w:lang w:val="en-US"/>
        </w:rPr>
        <w:t xml:space="preserve"> (Ithaca, NY: Cornell University Press, 2005).</w:t>
      </w:r>
      <w:r w:rsidRPr="003B056B">
        <w:rPr>
          <w:rFonts w:ascii="Times New Roman" w:hAnsi="Times New Roman" w:cs="Times New Roman"/>
          <w:lang w:val="en-US"/>
        </w:rPr>
        <w:fldChar w:fldCharType="end"/>
      </w:r>
    </w:p>
  </w:footnote>
  <w:footnote w:id="42">
    <w:p w14:paraId="763A0E3F" w14:textId="326F03A8" w:rsidR="00DE1130" w:rsidRPr="003B056B" w:rsidRDefault="00DE1130" w:rsidP="00DE1130">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0049456D" w:rsidRPr="003B056B">
        <w:rPr>
          <w:rFonts w:ascii="Times New Roman" w:hAnsi="Times New Roman" w:cs="Times New Roman"/>
          <w:lang w:val="en-US"/>
        </w:rPr>
        <w:t xml:space="preserve"> In detail, see: </w:t>
      </w:r>
      <w:r w:rsidR="0049456D"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{"citationID":"2xwIR5q1","properties":{"formattedCitation":"Hanan Harif, {\\i{}Anashim Achim Anachnu. Ha-Pniya Misraha Be-Hagut Ha-Tsyionit (For We Be Brethren. The Turn to the East in Zionist Thought)} (Jerusalem: Zalman Shazar Center, 2019).","plainCitation":"Hanan Harif, Anashim Achim Anachnu. Ha-Pniya Misraha Be-Hagut Ha-Tsyionit (For We Be Brethren. The Turn to the East in Zionist Thought) (Jerusalem: Zalman Shazar Center, 2019).","noteIndex":40},"citationItems":[{"id":2947,"uris":["http://zotero.org/users/1231610/items/RLYBK7QN"],"itemData":{"id":2947,"type":"book","event-place":"Jerusalem","publisher":"Zalman Shazar Center","publisher-place":"Jerusalem","title":"Anashim Achim Anachnu. Ha-pniya misraha be-hagut ha-tsyionit (For We Be Brethren. The Turn to the East in Zionist Thought)","author":[{"family":"Harif","given":"Hanan"}],"issued":{"date-parts":[["2019"]]}}}],"schema":"https://github.com/citation-style-language/schema/raw/master/csl-citation.json"} </w:instrText>
      </w:r>
      <w:r w:rsidR="0049456D" w:rsidRPr="003B056B">
        <w:rPr>
          <w:rFonts w:ascii="Times New Roman" w:hAnsi="Times New Roman" w:cs="Times New Roman"/>
          <w:lang w:val="en-US"/>
        </w:rPr>
        <w:fldChar w:fldCharType="separate"/>
      </w:r>
      <w:r w:rsidR="0049456D" w:rsidRPr="003B056B">
        <w:rPr>
          <w:rFonts w:ascii="Times New Roman" w:hAnsi="Times New Roman" w:cs="Times New Roman"/>
          <w:kern w:val="0"/>
          <w:lang w:val="en-US"/>
        </w:rPr>
        <w:t xml:space="preserve">Hanan Harif, </w:t>
      </w:r>
      <w:r w:rsidR="0049456D" w:rsidRPr="003B056B">
        <w:rPr>
          <w:rFonts w:ascii="Times New Roman" w:hAnsi="Times New Roman" w:cs="Times New Roman"/>
          <w:i/>
          <w:iCs/>
          <w:kern w:val="0"/>
          <w:lang w:val="en-US"/>
        </w:rPr>
        <w:t>Anashim Achim Anachnu. Ha-Pniya Misraha Be-Hagut Ha-Tsyionit (For We Be Brethren. The Turn to the East in Zionist Thought)</w:t>
      </w:r>
      <w:r w:rsidR="0049456D" w:rsidRPr="003B056B">
        <w:rPr>
          <w:rFonts w:ascii="Times New Roman" w:hAnsi="Times New Roman" w:cs="Times New Roman"/>
          <w:kern w:val="0"/>
          <w:lang w:val="en-US"/>
        </w:rPr>
        <w:t xml:space="preserve"> (Jerusalem: Zalman Shazar Center, 2019).</w:t>
      </w:r>
      <w:r w:rsidR="0049456D" w:rsidRPr="003B056B">
        <w:rPr>
          <w:rFonts w:ascii="Times New Roman" w:hAnsi="Times New Roman" w:cs="Times New Roman"/>
          <w:lang w:val="en-US"/>
        </w:rPr>
        <w:fldChar w:fldCharType="end"/>
      </w:r>
      <w:r w:rsidRPr="003B056B">
        <w:rPr>
          <w:rFonts w:ascii="Times New Roman" w:hAnsi="Times New Roman" w:cs="Times New Roman"/>
          <w:lang w:val="en-US"/>
        </w:rPr>
        <w:t xml:space="preserve"> </w:t>
      </w:r>
    </w:p>
  </w:footnote>
  <w:footnote w:id="43">
    <w:p w14:paraId="7D93C110" w14:textId="47F70C71" w:rsidR="00E80476" w:rsidRPr="003B056B" w:rsidRDefault="00E80476">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Cited after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{"citationID":"Ijq81SJw","properties":{"formattedCitation":"Tom Segev, {\\i{}1967: Israel, the War, and the Year That Transformed the Middle East} (Metropolitan Books, 2007), 61.","plainCitation":"Tom Segev, 1967: Israel, the War, and the Year That Transformed the Middle East (Metropolitan Books, 2007), 61.","noteIndex":41},"citationItems":[{"id":3990,"uris":["http://zotero.org/users/1231610/items/LRXADQ9A"],"itemData":{"id":3990,"type":"book","publisher":"Metropolitan Books","source":"Google Scholar","title":"1967: Israel, the war, and the year that transformed the Middle East","title-short":"1967","author":[{"family":"Segev","given":"Tom"}],"issued":{"date-parts":[["2007"]]}},"locator":"61","label":"page"}],"schema":"https://github.com/citation-style-language/schema/raw/master/csl-citation.json"}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Tom Segev, </w:t>
      </w:r>
      <w:r w:rsidRPr="003B056B">
        <w:rPr>
          <w:rFonts w:ascii="Times New Roman" w:hAnsi="Times New Roman" w:cs="Times New Roman"/>
          <w:i/>
          <w:iCs/>
          <w:kern w:val="0"/>
          <w:lang w:val="en-US"/>
        </w:rPr>
        <w:t>1967: Israel, the War, and the Year That Transformed the Middle East</w:t>
      </w:r>
      <w:r w:rsidRPr="003B056B">
        <w:rPr>
          <w:rFonts w:ascii="Times New Roman" w:hAnsi="Times New Roman" w:cs="Times New Roman"/>
          <w:kern w:val="0"/>
          <w:lang w:val="en-US"/>
        </w:rPr>
        <w:t xml:space="preserve"> (Metropolitan Books, 2007), 61.</w:t>
      </w:r>
      <w:r w:rsidRPr="003B056B">
        <w:rPr>
          <w:rFonts w:ascii="Times New Roman" w:hAnsi="Times New Roman" w:cs="Times New Roman"/>
          <w:lang w:val="en-US"/>
        </w:rPr>
        <w:fldChar w:fldCharType="end"/>
      </w:r>
    </w:p>
  </w:footnote>
  <w:footnote w:id="44">
    <w:p w14:paraId="0A357404" w14:textId="15125525" w:rsidR="004C2EFB" w:rsidRPr="003B056B" w:rsidRDefault="004C2EFB">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8747DD"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{"citationID":"vJBJTCmx","properties":{"formattedCitation":"Stuart Hall et al., {\\i{}Policing the Crisis: Mugging, the State and Law and Order} (London: Macmillan, 1978).","plainCitation":"Stuart Hall et al., Policing the Crisis: Mugging, the State and Law and Order (London: Macmillan, 1978).","noteIndex":42},"citationItems":[{"id":5381,"uris":["http://zotero.org/users/1231610/items/W7SUGDC7"],"itemData":{"id":5381,"type":"book","event-place":"London","publisher":"Macmillan","publisher-place":"London","source":"Google Scholar","title":"Policing the crisis: Mugging, the state and law and order","title-short":"Policing the crisis","author":[{"family":"Hall","given":"Stuart"},{"family":"Critcher","given":"Chas"},{"family":"Jefferson","given":"Tony"},{"family":"Clarke","given":"John"},{"family":"Roberts","given":"Brian"}],"issued":{"date-parts":[["1978"]]}}}],"schema":"https://github.com/citation-style-language/schema/raw/master/csl-citation.json"} </w:instrText>
      </w:r>
      <w:r w:rsidR="008747DD" w:rsidRPr="003B056B">
        <w:rPr>
          <w:rFonts w:ascii="Times New Roman" w:hAnsi="Times New Roman" w:cs="Times New Roman"/>
          <w:lang w:val="en-US"/>
        </w:rPr>
        <w:fldChar w:fldCharType="separate"/>
      </w:r>
      <w:r w:rsidR="008747DD" w:rsidRPr="003B056B">
        <w:rPr>
          <w:rFonts w:ascii="Times New Roman" w:hAnsi="Times New Roman" w:cs="Times New Roman"/>
          <w:kern w:val="0"/>
          <w:lang w:val="en-US"/>
        </w:rPr>
        <w:t xml:space="preserve">Stuart Hall et al., </w:t>
      </w:r>
      <w:r w:rsidR="008747DD" w:rsidRPr="003B056B">
        <w:rPr>
          <w:rFonts w:ascii="Times New Roman" w:hAnsi="Times New Roman" w:cs="Times New Roman"/>
          <w:i/>
          <w:iCs/>
          <w:kern w:val="0"/>
          <w:lang w:val="en-US"/>
        </w:rPr>
        <w:t>Policing the Crisis: Mugging, the State and Law and Order</w:t>
      </w:r>
      <w:r w:rsidR="008747DD" w:rsidRPr="003B056B">
        <w:rPr>
          <w:rFonts w:ascii="Times New Roman" w:hAnsi="Times New Roman" w:cs="Times New Roman"/>
          <w:kern w:val="0"/>
          <w:lang w:val="en-US"/>
        </w:rPr>
        <w:t xml:space="preserve"> (London: Macmillan, 1978).</w:t>
      </w:r>
      <w:r w:rsidR="008747DD" w:rsidRPr="003B056B">
        <w:rPr>
          <w:rFonts w:ascii="Times New Roman" w:hAnsi="Times New Roman" w:cs="Times New Roman"/>
          <w:lang w:val="en-US"/>
        </w:rPr>
        <w:fldChar w:fldCharType="end"/>
      </w:r>
      <w:r w:rsidR="008747DD" w:rsidRPr="003B056B">
        <w:rPr>
          <w:rFonts w:ascii="Times New Roman" w:hAnsi="Times New Roman" w:cs="Times New Roman"/>
          <w:lang w:val="en-US"/>
        </w:rPr>
        <w:t xml:space="preserve"> For an introduction to </w:t>
      </w:r>
      <w:r w:rsidR="006D48A8" w:rsidRPr="003B056B">
        <w:rPr>
          <w:rFonts w:ascii="Times New Roman" w:hAnsi="Times New Roman" w:cs="Times New Roman"/>
          <w:lang w:val="en-US"/>
        </w:rPr>
        <w:t xml:space="preserve">European whiteness studies </w:t>
      </w:r>
      <w:r w:rsidR="008747DD" w:rsidRPr="003B056B">
        <w:rPr>
          <w:rFonts w:ascii="Times New Roman" w:hAnsi="Times New Roman" w:cs="Times New Roman"/>
          <w:lang w:val="en-US"/>
        </w:rPr>
        <w:t xml:space="preserve">and examples, see: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{"citationID":"GIDEiKOw","properties":{"formattedCitation":"Nicholas De Genova, \\uc0\\u8220{}The \\uc0\\u8216{}Migrant Crisis\\uc0\\u8217{} as Racial Crisis: Do Black Lives Matter in Europe?,\\uc0\\u8221{} {\\i{}Ethnic and Racial Studies} 41, no. 10 (2018): 1765\\uc0\\u8211{}82; Steve Garner, {\\i{}Whiteness: An Introduction} (Routledge, 2007); David Theo Goldberg, \\uc0\\u8220{}Racial Europeanization,\\uc0\\u8221{} {\\i{}Ethnic and Racial Studies} 29, no. 2 (March 2006): 331\\uc0\\u8211{}64.","plainCitation":"Nicholas De Genova, “The ‘Migrant Crisis’ as Racial Crisis: Do Black Lives Matter in Europe?,” Ethnic and Racial Studies 41, no. 10 (2018): 1765–82; Steve Garner, Whiteness: An Introduction (Routledge, 2007); David Theo Goldberg, “Racial Europeanization,” Ethnic and Racial Studies 29, no. 2 (March 2006): 331–64.","noteIndex":42},"citationItems":[{"id":5369,"uris":["http://zotero.org/users/1231610/items/J5CII9AE"],"itemData":{"id":5369,"type":"article-journal","container-title":"Ethnic and Racial Studies","issue":"10","page":"1765–1782","source":"Google Scholar","title":"The “migrant crisis” as racial crisis: do Black Lives Matter in Europe?","volume":"41","author":[{"family":"De Genova","given":"Nicholas"}],"issued":{"date-parts":[["2018"]]}}},{"id":5394,"uris":["http://zotero.org/users/1231610/items/96TEN53Z"],"itemData":{"id":5394,"type":"book","publisher":"Routledge","source":"Google Scholar","title":"Whiteness: an introduction","title-short":"Whiteness","author":[{"family":"Garner","given":"Steve"}],"accessed":{"date-parts":[["2024",9,13]]},"issued":{"date-parts":[["2007"]]}}},{"id":5374,"uris":["http://zotero.org/users/1231610/items/YCK39VUY"],"itemData":{"id":5374,"type":"article-journal","container-title":"Ethnic and Racial Studies","ISSN":"0141-9870, 1466-4356","issue":"2","journalAbbreviation":"Ethnic and Racial Studies","language":"en","page":"331-364","source":"DOI.org (Crossref)","title":"Racial Europeanization","volume":"29","author":[{"family":"Goldberg","given":"David Theo"}],"issued":{"date-parts":[["2006",3]]}}}],"schema":"https://github.com/citation-style-language/schema/raw/master/csl-citation.json"} </w:instrText>
      </w:r>
      <w:r w:rsidRPr="003B056B">
        <w:rPr>
          <w:rFonts w:ascii="Times New Roman" w:hAnsi="Times New Roman" w:cs="Times New Roman"/>
          <w:lang w:val="en-US"/>
        </w:rPr>
        <w:fldChar w:fldCharType="separate"/>
      </w:r>
      <w:r w:rsidR="008747DD" w:rsidRPr="003B056B">
        <w:rPr>
          <w:rFonts w:ascii="Times New Roman" w:hAnsi="Times New Roman" w:cs="Times New Roman"/>
          <w:kern w:val="0"/>
          <w:lang w:val="en-US"/>
        </w:rPr>
        <w:t xml:space="preserve">Nicholas De Genova, “The ‘Migrant Crisis’ as Racial Crisis: Do Black Lives Matter in Europe?,” </w:t>
      </w:r>
      <w:r w:rsidR="008747DD" w:rsidRPr="003B056B">
        <w:rPr>
          <w:rFonts w:ascii="Times New Roman" w:hAnsi="Times New Roman" w:cs="Times New Roman"/>
          <w:i/>
          <w:iCs/>
          <w:kern w:val="0"/>
          <w:lang w:val="en-US"/>
        </w:rPr>
        <w:t>Ethnic and Racial Studies</w:t>
      </w:r>
      <w:r w:rsidR="008747DD" w:rsidRPr="003B056B">
        <w:rPr>
          <w:rFonts w:ascii="Times New Roman" w:hAnsi="Times New Roman" w:cs="Times New Roman"/>
          <w:kern w:val="0"/>
          <w:lang w:val="en-US"/>
        </w:rPr>
        <w:t xml:space="preserve"> 41, no. 10 (2018): 1765–82; Steve Garner, </w:t>
      </w:r>
      <w:r w:rsidR="008747DD" w:rsidRPr="003B056B">
        <w:rPr>
          <w:rFonts w:ascii="Times New Roman" w:hAnsi="Times New Roman" w:cs="Times New Roman"/>
          <w:i/>
          <w:iCs/>
          <w:kern w:val="0"/>
          <w:lang w:val="en-US"/>
        </w:rPr>
        <w:t>Whiteness: An Introduction</w:t>
      </w:r>
      <w:r w:rsidR="008747DD" w:rsidRPr="003B056B">
        <w:rPr>
          <w:rFonts w:ascii="Times New Roman" w:hAnsi="Times New Roman" w:cs="Times New Roman"/>
          <w:kern w:val="0"/>
          <w:lang w:val="en-US"/>
        </w:rPr>
        <w:t xml:space="preserve"> (Routledge, 2007); David Theo Goldberg, “Racial Europeanization,” </w:t>
      </w:r>
      <w:r w:rsidR="008747DD" w:rsidRPr="003B056B">
        <w:rPr>
          <w:rFonts w:ascii="Times New Roman" w:hAnsi="Times New Roman" w:cs="Times New Roman"/>
          <w:i/>
          <w:iCs/>
          <w:kern w:val="0"/>
          <w:lang w:val="en-US"/>
        </w:rPr>
        <w:t>Ethnic and Racial Studies</w:t>
      </w:r>
      <w:r w:rsidR="008747DD" w:rsidRPr="003B056B">
        <w:rPr>
          <w:rFonts w:ascii="Times New Roman" w:hAnsi="Times New Roman" w:cs="Times New Roman"/>
          <w:kern w:val="0"/>
          <w:lang w:val="en-US"/>
        </w:rPr>
        <w:t xml:space="preserve"> 29, no. 2 (March 2006): 331–64.</w:t>
      </w:r>
      <w:r w:rsidRPr="003B056B">
        <w:rPr>
          <w:rFonts w:ascii="Times New Roman" w:hAnsi="Times New Roman" w:cs="Times New Roman"/>
          <w:lang w:val="en-US"/>
        </w:rPr>
        <w:fldChar w:fldCharType="end"/>
      </w:r>
    </w:p>
  </w:footnote>
  <w:footnote w:id="45">
    <w:p w14:paraId="1B333299" w14:textId="77777777" w:rsidR="008C0CED" w:rsidRPr="003B056B" w:rsidRDefault="008C0CED" w:rsidP="008C0CED">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i/>
          <w:lang w:val="en-US"/>
        </w:rPr>
        <w:t>Maariv</w:t>
      </w:r>
      <w:r w:rsidRPr="003B056B">
        <w:rPr>
          <w:rFonts w:ascii="Times New Roman" w:hAnsi="Times New Roman" w:cs="Times New Roman"/>
          <w:lang w:val="en-US"/>
        </w:rPr>
        <w:t xml:space="preserve">, </w:t>
      </w:r>
      <w:r w:rsidRPr="003B056B">
        <w:rPr>
          <w:rFonts w:ascii="Times New Roman" w:eastAsia="Times New Roman" w:hAnsi="Times New Roman" w:cs="Times New Roman"/>
          <w:lang w:val="en-US" w:eastAsia="de-DE"/>
        </w:rPr>
        <w:t>November 19, 1974, 5.</w:t>
      </w:r>
    </w:p>
  </w:footnote>
  <w:footnote w:id="46">
    <w:p w14:paraId="343727DF" w14:textId="11B56E91" w:rsidR="008747DD" w:rsidRPr="003B056B" w:rsidRDefault="008747DD">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On whiteness and processes of self-whitening in Zionist-Israeli society, see e.g.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{"citationID":"QPjxUoND","properties":{"formattedCitation":"Eitan Bar-Yosef, \\uc0\\u8220{}Zionism, Apartheid, Blackface: Cry the Beloved Country on the Israeli Stage,\\uc0\\u8221{} {\\i{}Representations} 123, no. 1 (2013): 117\\uc0\\u8211{}53; Sara Chinski, \\uc0\\u8220{}\\uc0\\u8216{}Eynayim Atsumot Le-Revacha:\\uc0\\u8217{} Al Tismonet Ha-Lavkanut Hanirkeshet Be-Sade Ha-Omanut Ha-Yisraelit [Eyes Wide Shut: The Acquired Albino Syndrome of the Israeli Art Field],\\uc0\\u8221{} {\\i{}Teoria Ve-Bikoret [Theory and Criticism]} 20 (2002): 57\\uc0\\u8211{}87; Orna Sasson-Levy, \\uc0\\u8220{}A Different Kind of Whiteness: Marking and Unmarking of Social Boundaries in the Construction of Hegemonic Ethnicity,\\uc0\\u8221{} {\\i{}Sociological Forum} 28, no. 1 (2013): 27\\uc0\\u8211{}50; Shohat, \\uc0\\u8220{}The Invention of the Mizrahim.\\uc0\\u8221{}","plainCitation":"Eitan Bar-Yosef, “Zionism, Apartheid, Blackface: Cry the Beloved Country on the Israeli Stage,” Representations 123, no. 1 (2013): 117–53; Sara Chinski, “‘Eynayim Atsumot Le-Revacha:’ Al Tismonet Ha-Lavkanut Hanirkeshet Be-Sade Ha-Omanut Ha-Yisraelit [Eyes Wide Shut: The Acquired Albino Syndrome of the Israeli Art Field],” Teoria Ve-Bikoret [Theory and Criticism] 20 (2002): 57–87; Orna Sasson-Levy, “A Different Kind of Whiteness: Marking and Unmarking of Social Boundaries in the Construction of Hegemonic Ethnicity,” Sociological Forum 28, no. 1 (2013): 27–50; Shohat, “The Invention of the Mizrahim.”","noteIndex":44},"citationItems":[{"id":4756,"uris":["http://zotero.org/users/1231610/items/BAAJQJL7"],"itemData":{"id":4756,"type":"article-journal","container-title":"Representations","issue":"1","note":"publisher: University of California Press","page":"117–153","source":"Google Scholar","title":"Zionism, apartheid, blackface: Cry the beloved country on the Israeli stage","title-short":"Zionism, apartheid, blackface","volume":"123","author":[{"family":"Bar-Yosef","given":"Eitan"}],"issued":{"date-parts":[["2013"]]}}},{"id":4585,"uris":["http://zotero.org/users/1231610/items/F28ZGQE5"],"itemData":{"id":4585,"type":"article-journal","container-title":"Teoria ve-Bikoret [Theory and Criticism]","page":"57–87","source":"Google Scholar","title":"\"Eynayim Atsumot le-Revacha:\" Al Tismonet ha-Lavkanut hanirkeshet be-Sade ha-Omanut ha-Yisraelit [Eyes wide shut: The acquired albino syndrome of the Israeli art field]","title-short":"Eyes wide shut","volume":"20","author":[{"family":"Chinski","given":"Sara"}],"issued":{"date-parts":[["2002"]]}}},{"id":3043,"uris":["http://zotero.org/users/1231610/items/KJRVSHWV"],"itemData":{"id":3043,"type":"article-journal","container-title":"Sociological Forum","issue":"1","page":"27–50","source":"Google Scholar","title":"A different kind of whiteness: Marking and unmarking of social boundaries in the construction of hegemonic ethnicity","title-short":"A different kind of whiteness","volume":"28","author":[{"family":"Sasson-Levy","given":"Orna"}],"issued":{"date-parts":[["2013"]]}}},{"id":4113,"uris":["http://zotero.org/users/1231610/items/TWVAS2US"],"itemData":{"id":4113,"type":"article-journal","container-title":"Journal of Palestine studies","issue":"1","note":"publisher: University of California Press","page":"5–20","source":"Google Scholar","title":"The invention of the Mizrahim","volume":"29","author":[{"family":"Shohat","given":"Ella"}],"issued":{"date-parts":[["1999"]]}}}],"schema":"https://github.com/citation-style-language/schema/raw/master/csl-citation.json"}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Eitan Bar-Yosef, “Zionism, Apartheid, Blackface: Cry the Beloved Country on the Israeli Stage,” </w:t>
      </w:r>
      <w:r w:rsidRPr="003B056B">
        <w:rPr>
          <w:rFonts w:ascii="Times New Roman" w:hAnsi="Times New Roman" w:cs="Times New Roman"/>
          <w:i/>
          <w:iCs/>
          <w:kern w:val="0"/>
          <w:lang w:val="en-US"/>
        </w:rPr>
        <w:t>Representations</w:t>
      </w:r>
      <w:r w:rsidRPr="003B056B">
        <w:rPr>
          <w:rFonts w:ascii="Times New Roman" w:hAnsi="Times New Roman" w:cs="Times New Roman"/>
          <w:kern w:val="0"/>
          <w:lang w:val="en-US"/>
        </w:rPr>
        <w:t xml:space="preserve"> 123, no. 1 (2013): 117–53; Sara Chinski, “‘Eynayim Atsumot Le-Revacha:’ Al Tismonet Ha-Lavkanut Hanirkeshet Be-Sade Ha-Omanut Ha-Yisraelit [Eyes Wide Shut: The Acquired Albino Syndrome of the Israeli Art Field],” </w:t>
      </w:r>
      <w:r w:rsidRPr="003B056B">
        <w:rPr>
          <w:rFonts w:ascii="Times New Roman" w:hAnsi="Times New Roman" w:cs="Times New Roman"/>
          <w:i/>
          <w:iCs/>
          <w:kern w:val="0"/>
          <w:lang w:val="en-US"/>
        </w:rPr>
        <w:t>Teoria Ve-Bikoret [Theory and Criticism]</w:t>
      </w:r>
      <w:r w:rsidRPr="003B056B">
        <w:rPr>
          <w:rFonts w:ascii="Times New Roman" w:hAnsi="Times New Roman" w:cs="Times New Roman"/>
          <w:kern w:val="0"/>
          <w:lang w:val="en-US"/>
        </w:rPr>
        <w:t xml:space="preserve"> 20 (2002): 57–87; Orna Sasson-Levy, “A Different Kind of Whiteness: Marking and Unmarking of Social Boundaries in the Construction of Hegemonic Ethnicity,” </w:t>
      </w:r>
      <w:r w:rsidRPr="003B056B">
        <w:rPr>
          <w:rFonts w:ascii="Times New Roman" w:hAnsi="Times New Roman" w:cs="Times New Roman"/>
          <w:i/>
          <w:iCs/>
          <w:kern w:val="0"/>
          <w:lang w:val="en-US"/>
        </w:rPr>
        <w:t>Sociological Forum</w:t>
      </w:r>
      <w:r w:rsidRPr="003B056B">
        <w:rPr>
          <w:rFonts w:ascii="Times New Roman" w:hAnsi="Times New Roman" w:cs="Times New Roman"/>
          <w:kern w:val="0"/>
          <w:lang w:val="en-US"/>
        </w:rPr>
        <w:t xml:space="preserve"> 28, no. 1 (2013): 27–50; Shohat, “The Invention of the Mizrahim.”</w:t>
      </w:r>
      <w:r w:rsidRPr="003B056B">
        <w:rPr>
          <w:rFonts w:ascii="Times New Roman" w:hAnsi="Times New Roman" w:cs="Times New Roman"/>
          <w:lang w:val="en-US"/>
        </w:rPr>
        <w:fldChar w:fldCharType="end"/>
      </w:r>
    </w:p>
  </w:footnote>
  <w:footnote w:id="47">
    <w:p w14:paraId="2237442E" w14:textId="1E28DB3A" w:rsidR="00E80476" w:rsidRPr="003B056B" w:rsidRDefault="00E80476">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E.g.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{"citationID":"wcQriJOL","properties":{"formattedCitation":"Sami Shalom Chetrit, {\\i{}Intra-Jewish Conflict in Israel: White Jews, Black Jews} (Routledge, 2009); Aziza Khazzoom, {\\i{}Shifting Ethnic Boundaries and Inequality in Israel: Or, How the Polish Peddler Became a German Intellectual} (Stanford, Calif: Stanford University Press, 2008); Bryan K. Roby, {\\i{}The Mizrahi Era of Rebellion: Israel\\uc0\\u8217{}s Forgotten Civil Rights Struggle 1948-1966} (New York: Syracuse University Press, 2015); Ella Shohat, \\uc0\\u8220{}Sephardim in Israel: Zionism from the Standpoint of Its Jewish Victims,\\uc0\\u8221{} {\\i{}Social Text}, no. 19/20 (1988): 1\\uc0\\u8211{}35.","plainCitation":"Sami Shalom Chetrit, Intra-Jewish Conflict in Israel: White Jews, Black Jews (Routledge, 2009); Aziza Khazzoom, Shifting Ethnic Boundaries and Inequality in Israel: Or, How the Polish Peddler Became a German Intellectual (Stanford, Calif: Stanford University Press, 2008); Bryan K. Roby, The Mizrahi Era of Rebellion: Israel’s Forgotten Civil Rights Struggle 1948-1966 (New York: Syracuse University Press, 2015); Ella Shohat, “Sephardim in Israel: Zionism from the Standpoint of Its Jewish Victims,” Social Text, no. 19/20 (1988): 1–35.","noteIndex":45},"citationItems":[{"id":4680,"uris":["http://zotero.org/users/1231610/items/ICQK4U4S"],"itemData":{"id":4680,"type":"book","publisher":"Routledge","source":"Google Scholar","title":"Intra-Jewish Conflict in Israel: White Jews, Black Jews","title-short":"Intra-Jewish Conflict in Israel","author":[{"family":"Chetrit","given":"Sami Shalom"}],"issued":{"date-parts":[["2009"]]}}},{"id":5141,"uris":["http://zotero.org/users/1231610/items/VJG6JSP9"],"itemData":{"id":5141,"type":"book","event-place":"Stanford, Calif","publisher":"Stanford University Press","publisher-place":"Stanford, Calif","source":"Google Scholar","title":"Shifting ethnic boundaries and inequality in Israel: Or, how the Polish peddler became a German intellectual","title-short":"Shifting ethnic boundaries and inequality in Israel","author":[{"family":"Khazzoom","given":"Aziza"}],"issued":{"date-parts":[["2008"]]}}},{"id":4681,"uris":["http://zotero.org/users/1231610/items/A859A7C8"],"itemData":{"id":4681,"type":"book","event-place":"New York","publisher":"Syracuse University Press","publisher-place":"New York","source":"Google Scholar","title":"The Mizrahi Era of Rebellion: Israel's Forgotten Civil Rights Struggle 1948-1966","title-short":"The Mizrahi Era of Rebellion","author":[{"family":"Roby","given":"Bryan K."}],"issued":{"date-parts":[["2015"]]}}},{"id":"gxVMvUPD/gVde0bj8","uris":["http://zotero.org/users/1231610/items/92YJ3H3B"],"itemData":{"id":"5pbsH0bv/A0vvWI8L","type":"article-journal","container-title":"Social text","issue":"19/20","note":"publisher: JSTOR","page":"1–35","source":"Google Scholar","title":"Sephardim in Israel: Zionism from the standpoint of its Jewish victims","title-short":"Sephardim in Israel","author":[{"family":"Shohat","given":"Ella"}],"issued":{"date-parts":[["1988"]]}}}],"schema":"https://github.com/citation-style-language/schema/raw/master/csl-citation.json"} </w:instrText>
      </w:r>
      <w:r w:rsidRPr="003B056B">
        <w:rPr>
          <w:rFonts w:ascii="Times New Roman" w:hAnsi="Times New Roman" w:cs="Times New Roman"/>
          <w:lang w:val="en-US"/>
        </w:rPr>
        <w:fldChar w:fldCharType="separate"/>
      </w:r>
      <w:r w:rsidR="00D3317D" w:rsidRPr="003B056B">
        <w:rPr>
          <w:rFonts w:ascii="Times New Roman" w:hAnsi="Times New Roman" w:cs="Times New Roman"/>
          <w:kern w:val="0"/>
          <w:lang w:val="en-US"/>
        </w:rPr>
        <w:t xml:space="preserve">Sami Shalom Chetrit, </w:t>
      </w:r>
      <w:r w:rsidR="00D3317D" w:rsidRPr="003B056B">
        <w:rPr>
          <w:rFonts w:ascii="Times New Roman" w:hAnsi="Times New Roman" w:cs="Times New Roman"/>
          <w:i/>
          <w:iCs/>
          <w:kern w:val="0"/>
          <w:lang w:val="en-US"/>
        </w:rPr>
        <w:t>Intra-Jewish Conflict in Israel: White Jews, Black Jews</w:t>
      </w:r>
      <w:r w:rsidR="00D3317D" w:rsidRPr="003B056B">
        <w:rPr>
          <w:rFonts w:ascii="Times New Roman" w:hAnsi="Times New Roman" w:cs="Times New Roman"/>
          <w:kern w:val="0"/>
          <w:lang w:val="en-US"/>
        </w:rPr>
        <w:t xml:space="preserve"> (Routledge, 2009); Aziza Khazzoom, </w:t>
      </w:r>
      <w:r w:rsidR="00D3317D" w:rsidRPr="003B056B">
        <w:rPr>
          <w:rFonts w:ascii="Times New Roman" w:hAnsi="Times New Roman" w:cs="Times New Roman"/>
          <w:i/>
          <w:iCs/>
          <w:kern w:val="0"/>
          <w:lang w:val="en-US"/>
        </w:rPr>
        <w:t>Shifting Ethnic Boundaries and Inequality in Israel: Or, How the Polish Peddler Became a German Intellectual</w:t>
      </w:r>
      <w:r w:rsidR="00D3317D" w:rsidRPr="003B056B">
        <w:rPr>
          <w:rFonts w:ascii="Times New Roman" w:hAnsi="Times New Roman" w:cs="Times New Roman"/>
          <w:kern w:val="0"/>
          <w:lang w:val="en-US"/>
        </w:rPr>
        <w:t xml:space="preserve"> (Stanford, Calif: Stanford University Press, 2008); Bryan K. Roby, </w:t>
      </w:r>
      <w:r w:rsidR="00D3317D" w:rsidRPr="003B056B">
        <w:rPr>
          <w:rFonts w:ascii="Times New Roman" w:hAnsi="Times New Roman" w:cs="Times New Roman"/>
          <w:i/>
          <w:iCs/>
          <w:kern w:val="0"/>
          <w:lang w:val="en-US"/>
        </w:rPr>
        <w:t>The Mizrahi Era of Rebellion: Israel’s Forgotten Civil Rights Struggle 1948-1966</w:t>
      </w:r>
      <w:r w:rsidR="00D3317D" w:rsidRPr="003B056B">
        <w:rPr>
          <w:rFonts w:ascii="Times New Roman" w:hAnsi="Times New Roman" w:cs="Times New Roman"/>
          <w:kern w:val="0"/>
          <w:lang w:val="en-US"/>
        </w:rPr>
        <w:t xml:space="preserve"> (New York: Syracuse University Press, 2015); Ella Shohat, “Sephardim in Israel: Zionism from the Standpoint of Its Jewish Victims,” </w:t>
      </w:r>
      <w:r w:rsidR="00D3317D" w:rsidRPr="003B056B">
        <w:rPr>
          <w:rFonts w:ascii="Times New Roman" w:hAnsi="Times New Roman" w:cs="Times New Roman"/>
          <w:i/>
          <w:iCs/>
          <w:kern w:val="0"/>
          <w:lang w:val="en-US"/>
        </w:rPr>
        <w:t>Social Text</w:t>
      </w:r>
      <w:r w:rsidR="00D3317D" w:rsidRPr="003B056B">
        <w:rPr>
          <w:rFonts w:ascii="Times New Roman" w:hAnsi="Times New Roman" w:cs="Times New Roman"/>
          <w:kern w:val="0"/>
          <w:lang w:val="en-US"/>
        </w:rPr>
        <w:t>, no. 19/20 (1988): 1–35.</w:t>
      </w:r>
      <w:r w:rsidRPr="003B056B">
        <w:rPr>
          <w:rFonts w:ascii="Times New Roman" w:hAnsi="Times New Roman" w:cs="Times New Roman"/>
          <w:lang w:val="en-US"/>
        </w:rPr>
        <w:fldChar w:fldCharType="end"/>
      </w:r>
    </w:p>
  </w:footnote>
  <w:footnote w:id="48">
    <w:p w14:paraId="274A10E5" w14:textId="4A95B5FE" w:rsidR="00857EA4" w:rsidRPr="003B056B" w:rsidRDefault="00857EA4" w:rsidP="00857EA4">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{"citationID":"mGem2R4I","properties":{"formattedCitation":"Shohat, \\uc0\\u8220{}Sephardim in Israel.\\uc0\\u8221{}","plainCitation":"Shohat, “Sephardim in Israel.”","noteIndex":46},"citationItems":[{"id":"gxVMvUPD/gVde0bj8","uris":["http://zotero.org/users/1231610/items/92YJ3H3B"],"itemData":{"id":3081,"type":"article-journal","container-title":"Social text","issue":"19/20","note":"publisher: JSTOR","page":"1–35","source":"Google Scholar","title":"Sephardim in Israel: Zionism from the standpoint of its Jewish victims","title-short":"Sephardim in Israel","author":[{"family":"Shohat","given":"Ella"}],"issued":{"date-parts":[["1988"]]}}}],"schema":"https://github.com/citation-style-language/schema/raw/master/csl-citation.json"} </w:instrText>
      </w:r>
      <w:r w:rsidRPr="003B056B">
        <w:rPr>
          <w:rFonts w:ascii="Times New Roman" w:hAnsi="Times New Roman" w:cs="Times New Roman"/>
          <w:lang w:val="en-US"/>
        </w:rPr>
        <w:fldChar w:fldCharType="separate"/>
      </w:r>
      <w:r w:rsidR="00E80476" w:rsidRPr="003B056B">
        <w:rPr>
          <w:rFonts w:ascii="Times New Roman" w:hAnsi="Times New Roman" w:cs="Times New Roman"/>
          <w:kern w:val="0"/>
          <w:lang w:val="en-US"/>
        </w:rPr>
        <w:t>Shohat, “Sephardim in Israel.”</w:t>
      </w:r>
      <w:r w:rsidRPr="003B056B">
        <w:rPr>
          <w:rFonts w:ascii="Times New Roman" w:hAnsi="Times New Roman" w:cs="Times New Roman"/>
          <w:lang w:val="en-US"/>
        </w:rPr>
        <w:fldChar w:fldCharType="end"/>
      </w:r>
    </w:p>
  </w:footnote>
  <w:footnote w:id="49">
    <w:p w14:paraId="498AA8C0" w14:textId="3604F58B" w:rsidR="005057C7" w:rsidRPr="003B056B" w:rsidRDefault="005057C7">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See e.g. </w:t>
      </w:r>
      <w:r w:rsidR="00492700" w:rsidRPr="003B056B">
        <w:rPr>
          <w:rFonts w:ascii="Times New Roman" w:hAnsi="Times New Roman" w:cs="Times New Roman"/>
          <w:lang w:val="en-US"/>
        </w:rPr>
        <w:fldChar w:fldCharType="begin"/>
      </w:r>
      <w:r w:rsidR="00F9007C" w:rsidRPr="003B056B">
        <w:rPr>
          <w:rFonts w:ascii="Times New Roman" w:hAnsi="Times New Roman" w:cs="Times New Roman"/>
          <w:lang w:val="en-US"/>
        </w:rPr>
        <w:instrText xml:space="preserve"> ADDIN ZOTERO_ITEM CSL_CITATION {"citationID":"X2UefW8L","properties":{"formattedCitation":"Giulia Daniele, \\uc0\\u8220{}Mizrahi Jews and the Zionist Settler Colonial Context: Between Inclusion and Struggle,\\uc0\\u8221{} {\\i{}Settler Colonial Studies} 10, no. 4 (October 1, 2020): 461\\uc0\\u8211{}80; Smadar Lavie, \\uc0\\u8220{}Where Is the Mizrahi\\uc0\\u8211{}Palestinian Border Zone? Interrogating Feminist Transnationalism through the Bounds of the Lived,\\uc0\\u8221{} {\\i{}Social Semiotics} 21, no. 1 (February 2011): 67\\uc0\\u8211{}83; Shoshana Madmoni-Gerber, {\\i{}Israeli Media and the Framing of Internal Conflict: The Yemenite Babies Affair} (London: Palgrave Macmillan, 2009); Avi Shoshana, \\uc0\\u8220{}Major and Minor Languages of Ethnicity,\\uc0\\u8221{} {\\i{}Social Analysis} 55, no. 1 (2011): 48\\uc0\\u8211{}72.","plainCitation":"Giulia Daniele, “Mizrahi Jews and the Zionist Settler Colonial Context: Between Inclusion and Struggle,” Settler Colonial Studies 10, no. 4 (October 1, 2020): 461–80; Smadar Lavie, “Where Is the Mizrahi–Palestinian Border Zone? Interrogating Feminist Transnationalism through the Bounds of the Lived,” Social Semiotics 21, no. 1 (February 2011): 67–83; Shoshana Madmoni-Gerber, Israeli Media and the Framing of Internal Conflict: The Yemenite Babies Affair (London: Palgrave Macmillan, 2009); Avi Shoshana, “Major and Minor Languages of Ethnicity,” Social Analysis 55, no. 1 (2011): 48–72.","noteIndex":47},"citationItems":[{"id":5156,"uris":["http://zotero.org/users/1231610/items/B6DVAGFY"],"itemData":{"id":5156,"type":"article-journal","container-title":"Settler Colonial Studies","ISSN":"2201-473X, 1838-0743","issue":"4","journalAbbreviation":"Settler Colonial Studies","language":"en","page":"461-480","title":"Mizrahi Jews and the Zionist settler colonial context: between inclusion and struggle","title-short":"Mizrahi Jews and the Zionist settler colonial context","volume":"10","author":[{"family":"Daniele","given":"Giulia"}],"issued":{"date-parts":[["2020",10,1]]}}},{"id":5286,"uris":["http://zotero.org/users/1231610/items/S3ZN55UD"],"itemData":{"id":5286,"type":"article-journal","container-title":"Social Semiotics","issue":"1","journalAbbreviation":"Social Semiotics","language":"en","page":"67-83","source":"DOI.org (Crossref)","title":"Where is the Mizrahi–Palestinian border zone? Interrogating feminist transnationalism through the bounds of the lived","title-short":"Where is the Mizrahi–Palestinian border zone?","volume":"21","author":[{"family":"Lavie","given":"Smadar"}],"issued":{"date-parts":[["2011",2]]}}},{"id":5288,"uris":["http://zotero.org/users/1231610/items/4DBFIYR9"],"itemData":{"id":5288,"type":"book","event-place":"London","publisher":"Palgrave Macmillan","publisher-place":"London","title":"Israeli Media and the Framing of Internal Conflict: The Yemenite Babies Affair","title-short":"Israeli Media and the Framing of Internal Conflict","author":[{"family":"Madmoni-Gerber","given":"Shoshana"}],"issued":{"date-parts":[["2009"]]}}},{"id":5287,"uris":["http://zotero.org/users/1231610/items/WTV4IZI4"],"itemData":{"id":5287,"type":"article-journal","container-title":"Social Analysis","issue":"1","note":"publisher: Berghahn Journals","page":"48–72","source":"Google Scholar","title":"Major and minor languages of ethnicity","volume":"55","author":[{"family":"Shoshana","given":"Avi"}],"issued":{"date-parts":[["2011"]]}}}],"schema":"https://github.com/citation-style-language/schema/raw/master/csl-citation.json"} </w:instrText>
      </w:r>
      <w:r w:rsidR="00492700" w:rsidRPr="003B056B">
        <w:rPr>
          <w:rFonts w:ascii="Times New Roman" w:hAnsi="Times New Roman" w:cs="Times New Roman"/>
          <w:lang w:val="en-US"/>
        </w:rPr>
        <w:fldChar w:fldCharType="separate"/>
      </w:r>
      <w:r w:rsidR="00F9007C" w:rsidRPr="003B056B">
        <w:rPr>
          <w:rFonts w:ascii="Times New Roman" w:hAnsi="Times New Roman" w:cs="Times New Roman"/>
          <w:kern w:val="0"/>
          <w:lang w:val="en-US"/>
        </w:rPr>
        <w:t xml:space="preserve">Giulia Daniele, “Mizrahi Jews and the Zionist Settler Colonial Context: Between Inclusion and Struggle,” </w:t>
      </w:r>
      <w:r w:rsidR="00F9007C" w:rsidRPr="003B056B">
        <w:rPr>
          <w:rFonts w:ascii="Times New Roman" w:hAnsi="Times New Roman" w:cs="Times New Roman"/>
          <w:i/>
          <w:iCs/>
          <w:kern w:val="0"/>
          <w:lang w:val="en-US"/>
        </w:rPr>
        <w:t>Settler Colonial Studies</w:t>
      </w:r>
      <w:r w:rsidR="00F9007C" w:rsidRPr="003B056B">
        <w:rPr>
          <w:rFonts w:ascii="Times New Roman" w:hAnsi="Times New Roman" w:cs="Times New Roman"/>
          <w:kern w:val="0"/>
          <w:lang w:val="en-US"/>
        </w:rPr>
        <w:t xml:space="preserve"> 10, no. 4 (October 1, 2020): 461–80; Smadar Lavie, “Where Is the Mizrahi–Palestinian Border Zone? Interrogating Feminist Transnationalism through the Bounds of the Lived,” </w:t>
      </w:r>
      <w:r w:rsidR="00F9007C" w:rsidRPr="003B056B">
        <w:rPr>
          <w:rFonts w:ascii="Times New Roman" w:hAnsi="Times New Roman" w:cs="Times New Roman"/>
          <w:i/>
          <w:iCs/>
          <w:kern w:val="0"/>
          <w:lang w:val="en-US"/>
        </w:rPr>
        <w:t>Social Semiotics</w:t>
      </w:r>
      <w:r w:rsidR="00F9007C" w:rsidRPr="003B056B">
        <w:rPr>
          <w:rFonts w:ascii="Times New Roman" w:hAnsi="Times New Roman" w:cs="Times New Roman"/>
          <w:kern w:val="0"/>
          <w:lang w:val="en-US"/>
        </w:rPr>
        <w:t xml:space="preserve"> 21, no. 1 (February 2011): 67–83; Shoshana Madmoni-Gerber, </w:t>
      </w:r>
      <w:r w:rsidR="00F9007C" w:rsidRPr="003B056B">
        <w:rPr>
          <w:rFonts w:ascii="Times New Roman" w:hAnsi="Times New Roman" w:cs="Times New Roman"/>
          <w:i/>
          <w:iCs/>
          <w:kern w:val="0"/>
          <w:lang w:val="en-US"/>
        </w:rPr>
        <w:t>Israeli Media and the Framing of Internal Conflict: The Yemenite Babies Affair</w:t>
      </w:r>
      <w:r w:rsidR="00F9007C" w:rsidRPr="003B056B">
        <w:rPr>
          <w:rFonts w:ascii="Times New Roman" w:hAnsi="Times New Roman" w:cs="Times New Roman"/>
          <w:kern w:val="0"/>
          <w:lang w:val="en-US"/>
        </w:rPr>
        <w:t xml:space="preserve"> (London: Palgrave Macmillan, 2009); Avi Shoshana, “Major and Minor Languages of Ethnicity,” </w:t>
      </w:r>
      <w:r w:rsidR="00F9007C" w:rsidRPr="003B056B">
        <w:rPr>
          <w:rFonts w:ascii="Times New Roman" w:hAnsi="Times New Roman" w:cs="Times New Roman"/>
          <w:i/>
          <w:iCs/>
          <w:kern w:val="0"/>
          <w:lang w:val="en-US"/>
        </w:rPr>
        <w:t>Social Analysis</w:t>
      </w:r>
      <w:r w:rsidR="00F9007C" w:rsidRPr="003B056B">
        <w:rPr>
          <w:rFonts w:ascii="Times New Roman" w:hAnsi="Times New Roman" w:cs="Times New Roman"/>
          <w:kern w:val="0"/>
          <w:lang w:val="en-US"/>
        </w:rPr>
        <w:t xml:space="preserve"> 55, no. 1 (2011): 48–72.</w:t>
      </w:r>
      <w:r w:rsidR="00492700" w:rsidRPr="003B056B">
        <w:rPr>
          <w:rFonts w:ascii="Times New Roman" w:hAnsi="Times New Roman" w:cs="Times New Roman"/>
          <w:lang w:val="en-US"/>
        </w:rPr>
        <w:fldChar w:fldCharType="end"/>
      </w:r>
    </w:p>
  </w:footnote>
  <w:footnote w:id="50">
    <w:p w14:paraId="765DA892" w14:textId="620D9429" w:rsidR="00857EA4" w:rsidRPr="003B056B" w:rsidRDefault="00857EA4" w:rsidP="00857EA4">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See e.g.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{"citationID":"KWLScJ7F","properties":{"formattedCitation":"Chinski, \\uc0\\u8220{}Eyes Wide Shut\\uc0\\u8221{}; Sasson-Levy, \\uc0\\u8220{}A Different Kind of Whiteness.\\uc0\\u8221{}","plainCitation":"Chinski, “Eyes Wide Shut”; Sasson-Levy, “A Different Kind of Whiteness.”","noteIndex":48},"citationItems":[{"id":4585,"uris":["http://zotero.org/users/1231610/items/F28ZGQE5"],"itemData":{"id":4585,"type":"article-journal","container-title":"Teoria ve-Bikoret [Theory and Criticism]","page":"57–87","source":"Google Scholar","title":"\"Eynayim Atsumot le-Revacha:\" Al Tismonet ha-Lavkanut hanirkeshet be-Sade ha-Omanut ha-Yisraelit [Eyes wide shut: The acquired albino syndrome of the Israeli art field]","title-short":"Eyes wide shut","volume":"20","author":[{"family":"Chinski","given":"Sara"}],"issued":{"date-parts":[["2002"]]}}},{"id":3043,"uris":["http://zotero.org/users/1231610/items/KJRVSHWV"],"itemData":{"id":3043,"type":"article-journal","container-title":"Sociological Forum","issue":"1","page":"27–50","source":"Google Scholar","title":"A different kind of whiteness: Marking and unmarking of social boundaries in the construction of hegemonic ethnicity","title-short":"A different kind of whiteness","volume":"28","author":[{"family":"Sasson-Levy","given":"Orna"}],"issued":{"date-parts":[["2013"]]}}}],"schema":"https://github.com/citation-style-language/schema/raw/master/csl-citation.json"} </w:instrText>
      </w:r>
      <w:r w:rsidRPr="003B056B">
        <w:rPr>
          <w:rFonts w:ascii="Times New Roman" w:hAnsi="Times New Roman" w:cs="Times New Roman"/>
          <w:lang w:val="en-US"/>
        </w:rPr>
        <w:fldChar w:fldCharType="separate"/>
      </w:r>
      <w:r w:rsidR="008747DD" w:rsidRPr="003B056B">
        <w:rPr>
          <w:rFonts w:ascii="Times New Roman" w:hAnsi="Times New Roman" w:cs="Times New Roman"/>
          <w:kern w:val="0"/>
          <w:lang w:val="en-US"/>
        </w:rPr>
        <w:t>Chinski, “Eyes Wide Shut”; Sasson-Levy, “A Different Kind of Whiteness.”</w:t>
      </w:r>
      <w:r w:rsidRPr="003B056B">
        <w:rPr>
          <w:rFonts w:ascii="Times New Roman" w:hAnsi="Times New Roman" w:cs="Times New Roman"/>
          <w:lang w:val="en-US"/>
        </w:rPr>
        <w:fldChar w:fldCharType="end"/>
      </w:r>
      <w:r w:rsidRPr="003B056B">
        <w:rPr>
          <w:rFonts w:ascii="Times New Roman" w:hAnsi="Times New Roman" w:cs="Times New Roman"/>
          <w:lang w:val="en-US"/>
        </w:rPr>
        <w:t xml:space="preserve"> </w:t>
      </w:r>
    </w:p>
  </w:footnote>
  <w:footnote w:id="51">
    <w:p w14:paraId="32DD477D" w14:textId="5FDC9D40" w:rsidR="003E58E8" w:rsidRPr="003B056B" w:rsidRDefault="003E58E8" w:rsidP="003E58E8">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E80476" w:rsidRPr="003B056B">
        <w:rPr>
          <w:rFonts w:ascii="Times New Roman" w:hAnsi="Times New Roman" w:cs="Times New Roman"/>
          <w:lang w:val="en-US"/>
        </w:rPr>
        <w:fldChar w:fldCharType="begin"/>
      </w:r>
      <w:r w:rsidR="00F9007C" w:rsidRPr="003B056B">
        <w:rPr>
          <w:rFonts w:ascii="Times New Roman" w:hAnsi="Times New Roman" w:cs="Times New Roman"/>
          <w:lang w:val="en-US"/>
        </w:rPr>
        <w:instrText xml:space="preserve"> ADDIN ZOTERO_ITEM CSL_CITATION {"citationID":"WjbdeWED","properties":{"formattedCitation":"Tomasz Zarycki, {\\i{}Ideologies of Eastness in Central and Eastern Europe} (London: Routledge, 2014), 259.","plainCitation":"Tomasz Zarycki, Ideologies of Eastness in Central and Eastern Europe (London: Routledge, 2014), 259.","noteIndex":49},"citationItems":[{"id":4948,"uris":["http://zotero.org/users/1231610/items/9YT4KIA4"],"itemData":{"id":4948,"type":"book","event-place":"London","publisher":"Routledge","publisher-place":"London","source":"Google Scholar","title":"Ideologies of eastness in Central and Eastern Europe","author":[{"family":"Zarycki","given":"Tomasz"}],"accessed":{"date-parts":[["2023",12,6]]},"issued":{"date-parts":[["2014"]]}},"locator":"259","label":"page"}],"schema":"https://github.com/citation-style-language/schema/raw/master/csl-citation.json"} </w:instrText>
      </w:r>
      <w:r w:rsidR="00E80476" w:rsidRPr="003B056B">
        <w:rPr>
          <w:rFonts w:ascii="Times New Roman" w:hAnsi="Times New Roman" w:cs="Times New Roman"/>
          <w:lang w:val="en-US"/>
        </w:rPr>
        <w:fldChar w:fldCharType="separate"/>
      </w:r>
      <w:r w:rsidR="00F9007C" w:rsidRPr="003B056B">
        <w:rPr>
          <w:rFonts w:ascii="Times New Roman" w:hAnsi="Times New Roman" w:cs="Times New Roman"/>
          <w:kern w:val="0"/>
          <w:lang w:val="en-US"/>
        </w:rPr>
        <w:t xml:space="preserve">Tomasz Zarycki, </w:t>
      </w:r>
      <w:r w:rsidR="00F9007C" w:rsidRPr="003B056B">
        <w:rPr>
          <w:rFonts w:ascii="Times New Roman" w:hAnsi="Times New Roman" w:cs="Times New Roman"/>
          <w:i/>
          <w:iCs/>
          <w:kern w:val="0"/>
          <w:lang w:val="en-US"/>
        </w:rPr>
        <w:t>Ideologies of Eastness in Central and Eastern Europe</w:t>
      </w:r>
      <w:r w:rsidR="00F9007C" w:rsidRPr="003B056B">
        <w:rPr>
          <w:rFonts w:ascii="Times New Roman" w:hAnsi="Times New Roman" w:cs="Times New Roman"/>
          <w:kern w:val="0"/>
          <w:lang w:val="en-US"/>
        </w:rPr>
        <w:t xml:space="preserve"> (London: Routledge, 2014), 259.</w:t>
      </w:r>
      <w:r w:rsidR="00E80476" w:rsidRPr="003B056B">
        <w:rPr>
          <w:rFonts w:ascii="Times New Roman" w:hAnsi="Times New Roman" w:cs="Times New Roman"/>
          <w:lang w:val="en-US"/>
        </w:rPr>
        <w:fldChar w:fldCharType="end"/>
      </w:r>
      <w:r w:rsidRPr="003B056B">
        <w:rPr>
          <w:rFonts w:ascii="Times New Roman" w:hAnsi="Times New Roman" w:cs="Times New Roman"/>
          <w:lang w:val="en-US"/>
        </w:rPr>
        <w:t xml:space="preserve"> </w:t>
      </w:r>
    </w:p>
  </w:footnote>
  <w:footnote w:id="52">
    <w:p w14:paraId="6E7CA892" w14:textId="77777777" w:rsidR="00F600E1" w:rsidRPr="003B056B" w:rsidRDefault="00F600E1" w:rsidP="00F600E1">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i/>
          <w:lang w:val="en-US"/>
        </w:rPr>
        <w:t>Herut</w:t>
      </w:r>
      <w:r w:rsidRPr="003B056B">
        <w:rPr>
          <w:rFonts w:ascii="Times New Roman" w:hAnsi="Times New Roman" w:cs="Times New Roman"/>
          <w:lang w:val="en-US"/>
        </w:rPr>
        <w:t>, October 20, 1950, 5.</w:t>
      </w:r>
    </w:p>
  </w:footnote>
  <w:footnote w:id="53">
    <w:p w14:paraId="70BE5974" w14:textId="368B3AA8" w:rsidR="00E2016B" w:rsidRPr="003B056B" w:rsidRDefault="00E2016B">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Cited after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{"citationID":"aK0FZTE8","properties":{"formattedCitation":"Uri Bialer, {\\i{}Between East and West: Israel\\uc0\\u8217{}s Foreign Policy Orientation 1948-1956} (Cambridge: Cambridge University Press, 1990), 277.","plainCitation":"Uri Bialer, Between East and West: Israel’s Foreign Policy Orientation 1948-1956 (Cambridge: Cambridge University Press, 1990), 277.","noteIndex":51},"citationItems":[{"id":2817,"uris":["http://zotero.org/users/1231610/items/5KSQYEXB"],"itemData":{"id":2817,"type":"book","event-place":"Cambridge","publisher":"Cambridge University Press","publisher-place":"Cambridge","source":"Google Scholar","title":"Between East and West: Israel's Foreign Policy Orientation 1948-1956","title-short":"Between East and West","author":[{"family":"Bialer","given":"Uri"}],"issued":{"date-parts":[["1990"]]}},"locator":"277","label":"page"}],"schema":"https://github.com/citation-style-language/schema/raw/master/csl-citation.json"}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Uri Bialer, </w:t>
      </w:r>
      <w:r w:rsidRPr="003B056B">
        <w:rPr>
          <w:rFonts w:ascii="Times New Roman" w:hAnsi="Times New Roman" w:cs="Times New Roman"/>
          <w:i/>
          <w:iCs/>
          <w:kern w:val="0"/>
          <w:lang w:val="en-US"/>
        </w:rPr>
        <w:t>Between East and West: Israel’s Foreign Policy Orientation 1948-1956</w:t>
      </w:r>
      <w:r w:rsidRPr="003B056B">
        <w:rPr>
          <w:rFonts w:ascii="Times New Roman" w:hAnsi="Times New Roman" w:cs="Times New Roman"/>
          <w:kern w:val="0"/>
          <w:lang w:val="en-US"/>
        </w:rPr>
        <w:t xml:space="preserve"> (Cambridge: Cambridge University Press, 1990), 277.</w:t>
      </w:r>
      <w:r w:rsidRPr="003B056B">
        <w:rPr>
          <w:rFonts w:ascii="Times New Roman" w:hAnsi="Times New Roman" w:cs="Times New Roman"/>
          <w:lang w:val="en-US"/>
        </w:rPr>
        <w:fldChar w:fldCharType="end"/>
      </w:r>
    </w:p>
  </w:footnote>
  <w:footnote w:id="54">
    <w:p w14:paraId="13D76C7F" w14:textId="77777777" w:rsidR="002F3899" w:rsidRPr="003B056B" w:rsidRDefault="002F3899" w:rsidP="002F3899">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i/>
          <w:lang w:val="en-US"/>
        </w:rPr>
        <w:t>Davar</w:t>
      </w:r>
      <w:r w:rsidRPr="003B056B">
        <w:rPr>
          <w:rFonts w:ascii="Times New Roman" w:hAnsi="Times New Roman" w:cs="Times New Roman"/>
          <w:lang w:val="en-US"/>
        </w:rPr>
        <w:t>, July 18, 1976, 5.</w:t>
      </w:r>
    </w:p>
  </w:footnote>
  <w:footnote w:id="55">
    <w:p w14:paraId="13E1CE98" w14:textId="6EB4EE97" w:rsidR="002D51B0" w:rsidRPr="003B056B" w:rsidRDefault="002D51B0" w:rsidP="002D51B0">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{"citationID":"9xWb9nuY","properties":{"formattedCitation":"Dipesh Chakrabarty, \\uc0\\u8220{}Provincializing Europe: Postcoloniality and the Critique of History,\\uc0\\u8221{} {\\i{}Cultural Studies} 6, no. 3 (October 1992): 337\\uc0\\u8211{}57.","plainCitation":"Dipesh Chakrabarty, “Provincializing Europe: Postcoloniality and the Critique of History,” Cultural Studies 6, no. 3 (October 1992): 337–57.","noteIndex":53},"citationItems":[{"id":5275,"uris":["http://zotero.org/users/1231610/items/JXEAJP65"],"itemData":{"id":5275,"type":"article-journal","container-title":"Cultural Studies","ISSN":"0950-2386, 1466-4348","issue":"3","journalAbbreviation":"Cultural Studies","language":"en","page":"337-357","source":"DOI.org (Crossref)","title":"Provincializing Europe: Postcoloniality and the critique of history","title-short":"Provincializing Europe","volume":"6","author":[{"family":"Chakrabarty","given":"Dipesh"}],"issued":{"date-parts":[["1992",10]]}}}],"schema":"https://github.com/citation-style-language/schema/raw/master/csl-citation.json"}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Dipesh Chakrabarty, “Provincializing Europe: Postcoloniality and the Critique of History,” </w:t>
      </w:r>
      <w:r w:rsidRPr="003B056B">
        <w:rPr>
          <w:rFonts w:ascii="Times New Roman" w:hAnsi="Times New Roman" w:cs="Times New Roman"/>
          <w:i/>
          <w:iCs/>
          <w:kern w:val="0"/>
          <w:lang w:val="en-US"/>
        </w:rPr>
        <w:t>Cultural Studies</w:t>
      </w:r>
      <w:r w:rsidRPr="003B056B">
        <w:rPr>
          <w:rFonts w:ascii="Times New Roman" w:hAnsi="Times New Roman" w:cs="Times New Roman"/>
          <w:kern w:val="0"/>
          <w:lang w:val="en-US"/>
        </w:rPr>
        <w:t xml:space="preserve"> 6, no. 3 (October 1992): 337–57.</w:t>
      </w:r>
      <w:r w:rsidRPr="003B056B">
        <w:rPr>
          <w:rFonts w:ascii="Times New Roman" w:hAnsi="Times New Roman" w:cs="Times New Roman"/>
          <w:lang w:val="en-US"/>
        </w:rPr>
        <w:fldChar w:fldCharType="end"/>
      </w:r>
    </w:p>
  </w:footnote>
  <w:footnote w:id="56">
    <w:p w14:paraId="7DD0B148" w14:textId="7E3F35A2" w:rsidR="007E2288" w:rsidRPr="003B056B" w:rsidRDefault="007E2288">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{"citationID":"N7w8Gijo","properties":{"formattedCitation":"Walter D. Mignolo, {\\i{}Local Histories-Global Designs: Coloniality, Subaltern Knowledges, and Border Thinking} (Princeton: Princeton University Press, 2012).","plainCitation":"Walter D. Mignolo, Local Histories-Global Designs: Coloniality, Subaltern Knowledges, and Border Thinking (Princeton: Princeton University Press, 2012).","noteIndex":54},"citationItems":[{"id":5267,"uris":["http://zotero.org/users/1231610/items/32L6NEJU"],"itemData":{"id":5267,"type":"book","event-place":"Princeton","publisher":"Princeton University Press","publisher-place":"Princeton","source":"Google Scholar","title":"Local histories-global designs: Coloniality, subaltern knowledges, and border thinking","title-short":"Local histories-global designs","author":[{"family":"Mignolo","given":"Walter D."}],"accessed":{"date-parts":[["2024",4,10]]},"issued":{"date-parts":[["2012"]]}}}],"schema":"https://github.com/citation-style-language/schema/raw/master/csl-citation.json"}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Walter D. Mignolo, </w:t>
      </w:r>
      <w:r w:rsidRPr="003B056B">
        <w:rPr>
          <w:rFonts w:ascii="Times New Roman" w:hAnsi="Times New Roman" w:cs="Times New Roman"/>
          <w:i/>
          <w:iCs/>
          <w:kern w:val="0"/>
          <w:lang w:val="en-US"/>
        </w:rPr>
        <w:t>Local Histories-Global Designs: Coloniality, Subaltern Knowledges, and Border Thinking</w:t>
      </w:r>
      <w:r w:rsidRPr="003B056B">
        <w:rPr>
          <w:rFonts w:ascii="Times New Roman" w:hAnsi="Times New Roman" w:cs="Times New Roman"/>
          <w:kern w:val="0"/>
          <w:lang w:val="en-US"/>
        </w:rPr>
        <w:t xml:space="preserve"> (Princeton: Princeton University Press, 2012).</w:t>
      </w:r>
      <w:r w:rsidRPr="003B056B">
        <w:rPr>
          <w:rFonts w:ascii="Times New Roman" w:hAnsi="Times New Roman" w:cs="Times New Roman"/>
          <w:lang w:val="en-US"/>
        </w:rPr>
        <w:fldChar w:fldCharType="end"/>
      </w:r>
    </w:p>
  </w:footnote>
  <w:footnote w:id="57">
    <w:p w14:paraId="5CAAD050" w14:textId="38F8DEF2" w:rsidR="004C5D18" w:rsidRPr="003B056B" w:rsidRDefault="004C5D18" w:rsidP="004C5D18">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007E2288" w:rsidRPr="003B056B">
        <w:rPr>
          <w:rFonts w:ascii="Times New Roman" w:hAnsi="Times New Roman" w:cs="Times New Roman"/>
          <w:lang w:val="en-US"/>
        </w:rPr>
        <w:t xml:space="preserve"> For examples from East Central Europe, see </w:t>
      </w:r>
      <w:r w:rsidR="007E2288" w:rsidRPr="003B056B">
        <w:rPr>
          <w:rFonts w:ascii="Times New Roman" w:hAnsi="Times New Roman" w:cs="Times New Roman"/>
          <w:lang w:val="en-US"/>
        </w:rPr>
        <w:fldChar w:fldCharType="begin"/>
      </w:r>
      <w:r w:rsidR="00F9007C" w:rsidRPr="003B056B">
        <w:rPr>
          <w:rFonts w:ascii="Times New Roman" w:hAnsi="Times New Roman" w:cs="Times New Roman"/>
          <w:lang w:val="en-US"/>
        </w:rPr>
        <w:instrText xml:space="preserve"> ADDIN ZOTERO_ITEM CSL_CITATION {"citationID":"VvRtpg2d","properties":{"formattedCitation":"Merje Kuus, \\uc0\\u8220{}Europe\\uc0\\u8217{}s Eastern Expansion and the Reinscription of Otherness in East-Central Europe,\\uc0\\u8221{} {\\i{}Progress in Human Geography} 28, no. 4 (August 2004): 472\\uc0\\u8211{}89; Attila Melegh, {\\i{}On the East-West Slope: Globalization, Nationalism, Racism and Discourses on Eastern Europe} (Budapest: Central European University Press, 2006); Zarycki, {\\i{}Ideologies of Eastness in Central and Eastern Europe}.","plainCitation":"Merje Kuus, “Europe’s Eastern Expansion and the Reinscription of Otherness in East-Central Europe,” Progress in Human Geography 28, no. 4 (August 2004): 472–89; Attila Melegh, On the East-West Slope: Globalization, Nationalism, Racism and Discourses on Eastern Europe (Budapest: Central European University Press, 2006); Zarycki, Ideologies of Eastness in Central and Eastern Europe.","noteIndex":55},"citationItems":[{"id":4954,"uris":["http://zotero.org/users/1231610/items/A3VBPWVE"],"itemData":{"id":4954,"type":"article-journal","abstract":"This article examines how EU and NATO enlargement is framed by the dichotomy of Europe versus Eastern Europe, and how the enlargement process simultaneously transforms that dichotomy. I argue that the double enlargement is underpinned by a broadly orientalist discourse that assumes essential difference between Europe and Eastern Europe and frames difference from Western Europe as a distance from and a lack of Europeanness. I suggest that in order to expose and undercut this reinscription of otherness, research on East-Central Europe should engage with postcolonial theory in a more direct and sustained fashion.","container-title":"Progress in Human Geography","ISSN":"0309-1325, 1477-0288","issue":"4","journalAbbreviation":"Progress in Human Geography","language":"en","page":"472-489","source":"DOI.org (Crossref)","title":"Europe's eastern expansion and the reinscription of otherness in East-Central Europe","volume":"28","author":[{"family":"Kuus","given":"Merje"}],"issued":{"date-parts":[["2004",8]]}}},{"id":4951,"uris":["http://zotero.org/users/1231610/items/HC36EPM5"],"itemData":{"id":4951,"type":"book","event-place":"Budapest","publisher":"Central European University Press","publisher-place":"Budapest","source":"Google Scholar","title":"On the East-West slope: Globalization, nationalism, racism and discourses on Eastern Europe","title-short":"On the East-West slope","author":[{"family":"Melegh","given":"Attila"}],"accessed":{"date-parts":[["2023",12,7]]},"issued":{"date-parts":[["2006"]]}}},{"id":4948,"uris":["http://zotero.org/users/1231610/items/9YT4KIA4"],"itemData":{"id":4948,"type":"book","event-place":"London","publisher":"Routledge","publisher-place":"London","source":"Google Scholar","title":"Ideologies of eastness in Central and Eastern Europe","author":[{"family":"Zarycki","given":"Tomasz"}],"accessed":{"date-parts":[["2023",12,6]]},"issued":{"date-parts":[["2014"]]}}}],"schema":"https://github.com/citation-style-language/schema/raw/master/csl-citation.json"} </w:instrText>
      </w:r>
      <w:r w:rsidR="007E2288" w:rsidRPr="003B056B">
        <w:rPr>
          <w:rFonts w:ascii="Times New Roman" w:hAnsi="Times New Roman" w:cs="Times New Roman"/>
          <w:lang w:val="en-US"/>
        </w:rPr>
        <w:fldChar w:fldCharType="separate"/>
      </w:r>
      <w:r w:rsidR="00F9007C" w:rsidRPr="003B056B">
        <w:rPr>
          <w:rFonts w:ascii="Times New Roman" w:hAnsi="Times New Roman" w:cs="Times New Roman"/>
          <w:kern w:val="0"/>
          <w:lang w:val="en-US"/>
        </w:rPr>
        <w:t xml:space="preserve">Merje Kuus, “Europe’s Eastern Expansion and the Reinscription of Otherness in East-Central Europe,” </w:t>
      </w:r>
      <w:r w:rsidR="00F9007C" w:rsidRPr="003B056B">
        <w:rPr>
          <w:rFonts w:ascii="Times New Roman" w:hAnsi="Times New Roman" w:cs="Times New Roman"/>
          <w:i/>
          <w:iCs/>
          <w:kern w:val="0"/>
          <w:lang w:val="en-US"/>
        </w:rPr>
        <w:t>Progress in Human Geography</w:t>
      </w:r>
      <w:r w:rsidR="00F9007C" w:rsidRPr="003B056B">
        <w:rPr>
          <w:rFonts w:ascii="Times New Roman" w:hAnsi="Times New Roman" w:cs="Times New Roman"/>
          <w:kern w:val="0"/>
          <w:lang w:val="en-US"/>
        </w:rPr>
        <w:t xml:space="preserve"> 28, no. 4 (August 2004): 472–89; Attila Melegh, </w:t>
      </w:r>
      <w:r w:rsidR="00F9007C" w:rsidRPr="003B056B">
        <w:rPr>
          <w:rFonts w:ascii="Times New Roman" w:hAnsi="Times New Roman" w:cs="Times New Roman"/>
          <w:i/>
          <w:iCs/>
          <w:kern w:val="0"/>
          <w:lang w:val="en-US"/>
        </w:rPr>
        <w:t>On the East-West Slope: Globalization, Nationalism, Racism and Discourses on Eastern Europe</w:t>
      </w:r>
      <w:r w:rsidR="00F9007C" w:rsidRPr="003B056B">
        <w:rPr>
          <w:rFonts w:ascii="Times New Roman" w:hAnsi="Times New Roman" w:cs="Times New Roman"/>
          <w:kern w:val="0"/>
          <w:lang w:val="en-US"/>
        </w:rPr>
        <w:t xml:space="preserve"> (Budapest: Central European University Press, 2006); Zarycki, </w:t>
      </w:r>
      <w:r w:rsidR="00F9007C" w:rsidRPr="003B056B">
        <w:rPr>
          <w:rFonts w:ascii="Times New Roman" w:hAnsi="Times New Roman" w:cs="Times New Roman"/>
          <w:i/>
          <w:iCs/>
          <w:kern w:val="0"/>
          <w:lang w:val="en-US"/>
        </w:rPr>
        <w:t>Ideologies of Eastness in Central and Eastern Europe</w:t>
      </w:r>
      <w:r w:rsidR="00F9007C" w:rsidRPr="003B056B">
        <w:rPr>
          <w:rFonts w:ascii="Times New Roman" w:hAnsi="Times New Roman" w:cs="Times New Roman"/>
          <w:kern w:val="0"/>
          <w:lang w:val="en-US"/>
        </w:rPr>
        <w:t>.</w:t>
      </w:r>
      <w:r w:rsidR="007E2288" w:rsidRPr="003B056B">
        <w:rPr>
          <w:rFonts w:ascii="Times New Roman" w:hAnsi="Times New Roman" w:cs="Times New Roman"/>
          <w:lang w:val="en-US"/>
        </w:rPr>
        <w:fldChar w:fldCharType="end"/>
      </w:r>
      <w:r w:rsidRPr="003B056B">
        <w:rPr>
          <w:rFonts w:ascii="Times New Roman" w:hAnsi="Times New Roman" w:cs="Times New Roman"/>
          <w:lang w:val="en-US"/>
        </w:rPr>
        <w:t xml:space="preserve"> </w:t>
      </w:r>
    </w:p>
  </w:footnote>
  <w:footnote w:id="58">
    <w:p w14:paraId="549C0C44" w14:textId="3972D452" w:rsidR="0004204A" w:rsidRPr="003B056B" w:rsidRDefault="0004204A" w:rsidP="0004204A">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7E2288" w:rsidRPr="003B056B">
        <w:rPr>
          <w:rFonts w:ascii="Times New Roman" w:hAnsi="Times New Roman" w:cs="Times New Roman"/>
          <w:lang w:val="en-US"/>
        </w:rPr>
        <w:t xml:space="preserve">For a critique of such tendencies, see </w:t>
      </w:r>
      <w:r w:rsidR="007E2288"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{"citationID":"mGsaaUAK","properties":{"formattedCitation":"Arie M. Dubnov, \\uc0\\u8220{}Notes on the Zionist Passage to India, or: The Analogical Imagination and Its Boundaries,\\uc0\\u8221{} {\\i{}Journal of Israeli History} 35, no. 2 (2016): 177\\uc0\\u8211{}214.","plainCitation":"Arie M. Dubnov, “Notes on the Zionist Passage to India, or: The Analogical Imagination and Its Boundaries,” Journal of Israeli History 35, no. 2 (2016): 177–214.","noteIndex":56},"citationItems":[{"id":2982,"uris":["http://zotero.org/users/1231610/items/QMIFK298"],"itemData":{"id":2982,"type":"article-journal","container-title":"Journal of Israeli History","issue":"2","note":"publisher: Taylor &amp; Francis","page":"177–214","source":"Google Scholar","title":"Notes on the Zionist passage to India, or: The analogical imagination and its boundaries","title-short":"Notes on the Zionist passage to India, or","volume":"35","author":[{"family":"Dubnov","given":"Arie M."}],"issued":{"date-parts":[["2016"]]}}}],"schema":"https://github.com/citation-style-language/schema/raw/master/csl-citation.json"} </w:instrText>
      </w:r>
      <w:r w:rsidR="007E2288" w:rsidRPr="003B056B">
        <w:rPr>
          <w:rFonts w:ascii="Times New Roman" w:hAnsi="Times New Roman" w:cs="Times New Roman"/>
          <w:lang w:val="en-US"/>
        </w:rPr>
        <w:fldChar w:fldCharType="separate"/>
      </w:r>
      <w:r w:rsidR="007E2288" w:rsidRPr="003B056B">
        <w:rPr>
          <w:rFonts w:ascii="Times New Roman" w:hAnsi="Times New Roman" w:cs="Times New Roman"/>
          <w:kern w:val="0"/>
          <w:lang w:val="en-US"/>
        </w:rPr>
        <w:t xml:space="preserve">Arie M. Dubnov, “Notes on the Zionist Passage to India, or: The Analogical Imagination and Its Boundaries,” </w:t>
      </w:r>
      <w:r w:rsidR="007E2288" w:rsidRPr="003B056B">
        <w:rPr>
          <w:rFonts w:ascii="Times New Roman" w:hAnsi="Times New Roman" w:cs="Times New Roman"/>
          <w:i/>
          <w:iCs/>
          <w:kern w:val="0"/>
          <w:lang w:val="en-US"/>
        </w:rPr>
        <w:t>Journal of Israeli History</w:t>
      </w:r>
      <w:r w:rsidR="007E2288" w:rsidRPr="003B056B">
        <w:rPr>
          <w:rFonts w:ascii="Times New Roman" w:hAnsi="Times New Roman" w:cs="Times New Roman"/>
          <w:kern w:val="0"/>
          <w:lang w:val="en-US"/>
        </w:rPr>
        <w:t xml:space="preserve"> 35, no. 2 (2016): 177–214.</w:t>
      </w:r>
      <w:r w:rsidR="007E2288" w:rsidRPr="003B056B">
        <w:rPr>
          <w:rFonts w:ascii="Times New Roman" w:hAnsi="Times New Roman" w:cs="Times New Roman"/>
          <w:lang w:val="en-US"/>
        </w:rPr>
        <w:fldChar w:fldCharType="end"/>
      </w:r>
    </w:p>
  </w:footnote>
  <w:footnote w:id="59">
    <w:p w14:paraId="75D492E3" w14:textId="2E96565A" w:rsidR="001F3396" w:rsidRPr="005877FF" w:rsidRDefault="001F3396">
      <w:pPr>
        <w:pStyle w:val="FootnoteText"/>
        <w:rPr>
          <w:rFonts w:ascii="Times New Roman" w:hAnsi="Times New Roman" w:cs="Times New Roman"/>
        </w:rPr>
      </w:pPr>
      <w:r w:rsidRPr="003B056B">
        <w:rPr>
          <w:rStyle w:val="FootnoteReference"/>
          <w:rFonts w:ascii="Times New Roman" w:hAnsi="Times New Roman" w:cs="Times New Roman"/>
          <w:lang w:val="en-US"/>
        </w:rPr>
        <w:footnoteRef/>
      </w:r>
      <w:r w:rsidRPr="005877FF">
        <w:rPr>
          <w:rFonts w:ascii="Times New Roman" w:hAnsi="Times New Roman" w:cs="Times New Roman"/>
        </w:rPr>
        <w:t xml:space="preserve"> </w:t>
      </w:r>
      <w:r w:rsidRPr="005877FF">
        <w:rPr>
          <w:rFonts w:ascii="Times New Roman" w:hAnsi="Times New Roman" w:cs="Times New Roman"/>
        </w:rPr>
        <w:t>For a critique of such descriptions, see also</w:t>
      </w:r>
      <w:r w:rsidR="006F1CCF" w:rsidRPr="005877FF">
        <w:rPr>
          <w:rFonts w:ascii="Times New Roman" w:hAnsi="Times New Roman" w:cs="Times New Roman"/>
        </w:rPr>
        <w:t xml:space="preserve"> </w:t>
      </w:r>
      <w:r w:rsidR="006F1CCF" w:rsidRPr="003B056B">
        <w:rPr>
          <w:rFonts w:ascii="Times New Roman" w:hAnsi="Times New Roman" w:cs="Times New Roman"/>
          <w:lang w:val="en-US"/>
        </w:rPr>
        <w:fldChar w:fldCharType="begin"/>
      </w:r>
      <w:r w:rsidR="00D82A4B" w:rsidRPr="005877FF">
        <w:rPr>
          <w:rFonts w:ascii="Times New Roman" w:hAnsi="Times New Roman" w:cs="Times New Roman"/>
        </w:rPr>
        <w:instrText xml:space="preserve"> ADDIN ZOTERO_ITEM CSL_CITATION {"citationID":"KzMbbARO","properties":{"formattedCitation":"Dan Diner, {\\i{}Ged\\uc0\\u228{}chtniszeiten: \\uc0\\u220{}ber J\\uc0\\u252{}dische Und Andere Geschichten} (M\\uc0\\u252{}nchen: CH Beck, 2003), 204\\uc0\\u8211{}5.","plainCitation":"Dan Diner, Gedächtniszeiten: Über Jüdische Und Andere Geschichten (München: CH Beck, 2003), 204–5.","noteIndex":57},"citationItems":[{"id":5312,"uris":["http://zotero.org/users/1231610/items/KVI4XW2B"],"itemData":{"id":5312,"type":"book","event-place":"München","publisher":"CH Beck","publisher-place":"München","source":"Google Scholar","title":"Gedächtniszeiten: über jüdische und andere Geschichten","title-short":"Gedächtniszeiten","author":[{"family":"Diner","given":"Dan"}],"accessed":{"date-parts":[["2024",6,24]]},"issued":{"date-parts":[["2003"]]}},"locator":"204-205","label":"page"}],"schema":"https://github.com/citation-style-language/schema/raw/master/csl-citation.json"} </w:instrText>
      </w:r>
      <w:r w:rsidR="006F1CCF" w:rsidRPr="003B056B">
        <w:rPr>
          <w:rFonts w:ascii="Times New Roman" w:hAnsi="Times New Roman" w:cs="Times New Roman"/>
          <w:lang w:val="en-US"/>
        </w:rPr>
        <w:fldChar w:fldCharType="separate"/>
      </w:r>
      <w:r w:rsidR="006F1CCF" w:rsidRPr="005877FF">
        <w:rPr>
          <w:rFonts w:ascii="Times New Roman" w:hAnsi="Times New Roman" w:cs="Times New Roman"/>
          <w:kern w:val="0"/>
        </w:rPr>
        <w:t xml:space="preserve">Dan Diner, </w:t>
      </w:r>
      <w:r w:rsidR="006F1CCF" w:rsidRPr="005877FF">
        <w:rPr>
          <w:rFonts w:ascii="Times New Roman" w:hAnsi="Times New Roman" w:cs="Times New Roman"/>
          <w:i/>
          <w:iCs/>
          <w:kern w:val="0"/>
        </w:rPr>
        <w:t>Gedächtniszeiten: Über Jüdische Und Andere Geschichten</w:t>
      </w:r>
      <w:r w:rsidR="006F1CCF" w:rsidRPr="005877FF">
        <w:rPr>
          <w:rFonts w:ascii="Times New Roman" w:hAnsi="Times New Roman" w:cs="Times New Roman"/>
          <w:kern w:val="0"/>
        </w:rPr>
        <w:t xml:space="preserve"> (München: CH Beck, 2003), 204–5.</w:t>
      </w:r>
      <w:r w:rsidR="006F1CCF" w:rsidRPr="003B056B">
        <w:rPr>
          <w:rFonts w:ascii="Times New Roman" w:hAnsi="Times New Roman" w:cs="Times New Roman"/>
          <w:lang w:val="en-US"/>
        </w:rPr>
        <w:fldChar w:fldCharType="end"/>
      </w:r>
    </w:p>
  </w:footnote>
  <w:footnote w:id="60">
    <w:p w14:paraId="5064AC10" w14:textId="699160BB" w:rsidR="007E2288" w:rsidRPr="003B056B" w:rsidRDefault="007E2288">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00257491"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{"citationID":"8IffivAJ","properties":{"formattedCitation":"Penslar, \\uc0\\u8220{}Is Zionism a Colonial Movement?\\uc0\\u8221{}; Arieh Saposnik, Derek Penslar, and Stefan Vogt, {\\i{}Unacknowledged Kinships: Postcolonial Studies and the Historiography of Zionism} (Boston: Brandeis University Press, 2023).","plainCitation":"Penslar, “Is Zionism a Colonial Movement?”; Arieh Saposnik, Derek Penslar, and Stefan Vogt, Unacknowledged Kinships: Postcolonial Studies and the Historiography of Zionism (Boston: Brandeis University Press, 2023).","noteIndex":58},"citationItems":[{"id":1279,"uris":["http://zotero.org/users/1231610/items/C9BTCNKS"],"itemData":{"id":1279,"type":"chapter","container-title":"Israel in History: The Jewish State in Comparative Perspective","event-place":"London","page":"90-111","publisher":"Routledge","publisher-place":"London","source":"Google Scholar","title":"Is Zionism a colonial movement?","author":[{"family":"Penslar","given":"Derek"}],"issued":{"date-parts":[["2007"]]}}},{"id":5148,"uris":["http://zotero.org/users/1231610/items/IEWLUH7C"],"itemData":{"id":5148,"type":"book","event-place":"Boston","publisher":"Brandeis University Press","publisher-place":"Boston","source":"Google Scholar","title":"Unacknowledged Kinships: Postcolonial Studies and the Historiography of Zionism","title-short":"Unacknowledged Kinships","author":[{"family":"Saposnik","given":"Arieh"},{"family":"Penslar","given":"Derek"},{"family":"Vogt","given":"Stefan"}],"accessed":{"date-parts":[["2024",3,3]]},"issued":{"date-parts":[["2023"]]}}}],"schema":"https://github.com/citation-style-language/schema/raw/master/csl-citation.json"} </w:instrText>
      </w:r>
      <w:r w:rsidR="00257491" w:rsidRPr="003B056B">
        <w:rPr>
          <w:rFonts w:ascii="Times New Roman" w:hAnsi="Times New Roman" w:cs="Times New Roman"/>
          <w:lang w:val="en-US"/>
        </w:rPr>
        <w:fldChar w:fldCharType="separate"/>
      </w:r>
      <w:r w:rsidR="00B22A42" w:rsidRPr="003B056B">
        <w:rPr>
          <w:rFonts w:ascii="Times New Roman" w:hAnsi="Times New Roman" w:cs="Times New Roman"/>
          <w:kern w:val="0"/>
          <w:lang w:val="en-US"/>
        </w:rPr>
        <w:t xml:space="preserve">Penslar, “Is Zionism a Colonial Movement?”; Arieh Saposnik, Derek Penslar, and Stefan Vogt, </w:t>
      </w:r>
      <w:r w:rsidR="00B22A42" w:rsidRPr="003B056B">
        <w:rPr>
          <w:rFonts w:ascii="Times New Roman" w:hAnsi="Times New Roman" w:cs="Times New Roman"/>
          <w:i/>
          <w:iCs/>
          <w:kern w:val="0"/>
          <w:lang w:val="en-US"/>
        </w:rPr>
        <w:t>Unacknowledged Kinships: Postcolonial Studies and the Historiography of Zionism</w:t>
      </w:r>
      <w:r w:rsidR="00B22A42" w:rsidRPr="003B056B">
        <w:rPr>
          <w:rFonts w:ascii="Times New Roman" w:hAnsi="Times New Roman" w:cs="Times New Roman"/>
          <w:kern w:val="0"/>
          <w:lang w:val="en-US"/>
        </w:rPr>
        <w:t xml:space="preserve"> (Boston: Brandeis University Press, 2023).</w:t>
      </w:r>
      <w:r w:rsidR="00257491" w:rsidRPr="003B056B">
        <w:rPr>
          <w:rFonts w:ascii="Times New Roman" w:hAnsi="Times New Roman" w:cs="Times New Roman"/>
          <w:lang w:val="en-US"/>
        </w:rPr>
        <w:fldChar w:fldCharType="end"/>
      </w:r>
      <w:r w:rsidR="001953C4" w:rsidRPr="003B056B">
        <w:rPr>
          <w:rFonts w:ascii="Times New Roman" w:hAnsi="Times New Roman" w:cs="Times New Roman"/>
          <w:lang w:val="en-US"/>
        </w:rPr>
        <w:t xml:space="preserve"> See also </w:t>
      </w:r>
      <w:r w:rsidR="001953C4" w:rsidRPr="003B056B">
        <w:rPr>
          <w:rFonts w:ascii="Times New Roman" w:hAnsi="Times New Roman" w:cs="Times New Roman"/>
          <w:lang w:val="en-US"/>
        </w:rPr>
        <w:fldChar w:fldCharType="begin"/>
      </w:r>
      <w:r w:rsidR="00F9007C" w:rsidRPr="003B056B">
        <w:rPr>
          <w:rFonts w:ascii="Times New Roman" w:hAnsi="Times New Roman" w:cs="Times New Roman"/>
          <w:lang w:val="en-US"/>
        </w:rPr>
        <w:instrText xml:space="preserve"> ADDIN ZOTERO_ITEM CSL_CITATION {"citationID":"DAou8KHm","properties":{"formattedCitation":"Atalia Omer, \\uc0\\u8220{}{\\i{}Hitmazrehut} or Becoming of the East: Re-Orienting Israeli Social Mapping,\\uc0\\u8221{} {\\i{}Critical Sociology} 43, no. 6 (September 2017): 972.","plainCitation":"Atalia Omer, “Hitmazrehut or Becoming of the East: Re-Orienting Israeli Social Mapping,” Critical Sociology 43, no. 6 (September 2017): 972.","noteIndex":58},"citationItems":[{"id":5134,"uris":["http://zotero.org/users/1231610/items/67SIFUSX"],"itemData":{"id":5134,"type":"article-journal","abstract":"Through developing of the concept of hitmazrehut, the article highlights avenues for decolonializing and de-orientalizing sociopolitical theory and practice in Israel/Palestine. Hitmazrehut (literally ‘becoming of the East’) is understood as the transformation of relations between space, identity, and narrative through an intersectionality framework of social movement activism and intellectual counter-discourse. Exposing the intersections among sites of marginality as well as cultivating localized interpretations of identity (delinked from the orientalist positing of Israel in the ‘West’) would contribute to the possibility of the formation of transformative coalition building across national boundaries. Hitmazrehut is both an outcome and a necessary process for enabling geopolitical reframing. The article begins with the ahistorical and orientalist biases of sociological inquiry into the region. It continues with an analysis of efforts to localize and re-orient Jewish identity as well as the Mizrahi discursive critique of epistemological violence guiding sociological scholarship, double consciousness and patterns of ethnic passing.","container-title":"Critical Sociology","issue":"6","journalAbbreviation":"Critical Sociology","language":"en","page":"949-976","source":"DOI.org (Crossref)","title":"&lt;i&gt;Hitmazrehut&lt;/i&gt; or Becoming of the East: Re-Orienting Israeli Social Mapping","title-short":"Hitmazrehut","volume":"43","author":[{"family":"Omer","given":"Atalia"}],"issued":{"date-parts":[["2017",9]]}},"locator":"972","label":"page"}],"schema":"https://github.com/citation-style-language/schema/raw/master/csl-citation.json"} </w:instrText>
      </w:r>
      <w:r w:rsidR="001953C4" w:rsidRPr="003B056B">
        <w:rPr>
          <w:rFonts w:ascii="Times New Roman" w:hAnsi="Times New Roman" w:cs="Times New Roman"/>
          <w:lang w:val="en-US"/>
        </w:rPr>
        <w:fldChar w:fldCharType="separate"/>
      </w:r>
      <w:r w:rsidR="00F9007C" w:rsidRPr="003B056B">
        <w:rPr>
          <w:rFonts w:ascii="Times New Roman" w:hAnsi="Times New Roman" w:cs="Times New Roman"/>
          <w:kern w:val="0"/>
          <w:lang w:val="en-US"/>
        </w:rPr>
        <w:t>Atalia Omer, “</w:t>
      </w:r>
      <w:r w:rsidR="00F9007C" w:rsidRPr="003B056B">
        <w:rPr>
          <w:rFonts w:ascii="Times New Roman" w:hAnsi="Times New Roman" w:cs="Times New Roman"/>
          <w:i/>
          <w:iCs/>
          <w:kern w:val="0"/>
          <w:lang w:val="en-US"/>
        </w:rPr>
        <w:t>Hitmazrehut</w:t>
      </w:r>
      <w:r w:rsidR="00F9007C" w:rsidRPr="003B056B">
        <w:rPr>
          <w:rFonts w:ascii="Times New Roman" w:hAnsi="Times New Roman" w:cs="Times New Roman"/>
          <w:kern w:val="0"/>
          <w:lang w:val="en-US"/>
        </w:rPr>
        <w:t xml:space="preserve"> or Becoming of the East: Re-Orienting Israeli Social Mapping,” </w:t>
      </w:r>
      <w:r w:rsidR="00F9007C" w:rsidRPr="003B056B">
        <w:rPr>
          <w:rFonts w:ascii="Times New Roman" w:hAnsi="Times New Roman" w:cs="Times New Roman"/>
          <w:i/>
          <w:iCs/>
          <w:kern w:val="0"/>
          <w:lang w:val="en-US"/>
        </w:rPr>
        <w:t>Critical Sociology</w:t>
      </w:r>
      <w:r w:rsidR="00F9007C" w:rsidRPr="003B056B">
        <w:rPr>
          <w:rFonts w:ascii="Times New Roman" w:hAnsi="Times New Roman" w:cs="Times New Roman"/>
          <w:kern w:val="0"/>
          <w:lang w:val="en-US"/>
        </w:rPr>
        <w:t xml:space="preserve"> 43, no. 6 (September 2017): 972.</w:t>
      </w:r>
      <w:r w:rsidR="001953C4" w:rsidRPr="003B056B">
        <w:rPr>
          <w:rFonts w:ascii="Times New Roman" w:hAnsi="Times New Roman" w:cs="Times New Roman"/>
          <w:lang w:val="en-US"/>
        </w:rPr>
        <w:fldChar w:fldCharType="end"/>
      </w:r>
    </w:p>
  </w:footnote>
  <w:footnote w:id="61">
    <w:p w14:paraId="3D3D900E" w14:textId="79B0243E" w:rsidR="0014746E" w:rsidRPr="003B056B" w:rsidRDefault="0014746E">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Similarly on the relation character of </w:t>
      </w:r>
      <w:r w:rsidR="00F9007C" w:rsidRPr="003B056B">
        <w:rPr>
          <w:rFonts w:ascii="Times New Roman" w:hAnsi="Times New Roman" w:cs="Times New Roman"/>
          <w:lang w:val="en-US"/>
        </w:rPr>
        <w:t>distinctions</w:t>
      </w:r>
      <w:r w:rsidRPr="003B056B">
        <w:rPr>
          <w:rFonts w:ascii="Times New Roman" w:hAnsi="Times New Roman" w:cs="Times New Roman"/>
          <w:lang w:val="en-US"/>
        </w:rPr>
        <w:t xml:space="preserve"> between Occident and Orient</w:t>
      </w:r>
      <w:r w:rsidR="00F9007C" w:rsidRPr="003B056B">
        <w:rPr>
          <w:rFonts w:ascii="Times New Roman" w:hAnsi="Times New Roman" w:cs="Times New Roman"/>
          <w:lang w:val="en-US"/>
        </w:rPr>
        <w:t xml:space="preserve"> </w:t>
      </w:r>
      <w:r w:rsidRPr="003B056B">
        <w:rPr>
          <w:rFonts w:ascii="Times New Roman" w:hAnsi="Times New Roman" w:cs="Times New Roman"/>
          <w:lang w:val="en-US"/>
        </w:rPr>
        <w:t xml:space="preserve">in Zionist debates, see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{"citationID":"QOvr4WgR","properties":{"formattedCitation":"Dafna Hirsch, \\uc0\\u8220{}\\uc0\\u8216{} We Are Here to Bring the West, Not Only to Ourselves\\uc0\\u8217{}: Zionist Occidentalism and the Discourse of Hygiene in Mandate Palestine,\\uc0\\u8221{} {\\i{}International Journal of Middle East Studies} 41, no. 4 (2009): 577\\uc0\\u8211{}94.","plainCitation":"Dafna Hirsch, “‘ We Are Here to Bring the West, Not Only to Ourselves’: Zionist Occidentalism and the Discourse of Hygiene in Mandate Palestine,” International Journal of Middle East Studies 41, no. 4 (2009): 577–94.","noteIndex":59},"citationItems":[{"id":2873,"uris":["http://zotero.org/users/1231610/items/YDDX6XM6"],"itemData":{"id":2873,"type":"article-journal","container-title":"International Journal of Middle East Studies","issue":"4","note":"publisher: JSTOR","page":"577–594","source":"Google Scholar","title":"\" We Are Here to Bring the West, Not Only to Ourselves\": Zionist Occidentalism and the Discourse of Hygiene in Mandate Palestine","title-short":" We Are Here to Bring the West, Not Only to Ourselves","volume":"41","author":[{"family":"Hirsch","given":"Dafna"}],"issued":{"date-parts":[["2009"]]}}}],"schema":"https://github.com/citation-style-language/schema/raw/master/csl-citation.json"} </w:instrText>
      </w:r>
      <w:r w:rsidRPr="003B056B">
        <w:rPr>
          <w:rFonts w:ascii="Times New Roman" w:hAnsi="Times New Roman" w:cs="Times New Roman"/>
          <w:lang w:val="en-US"/>
        </w:rPr>
        <w:fldChar w:fldCharType="separate"/>
      </w:r>
      <w:r w:rsidR="00073019" w:rsidRPr="003B056B">
        <w:rPr>
          <w:rFonts w:ascii="Times New Roman" w:hAnsi="Times New Roman" w:cs="Times New Roman"/>
          <w:kern w:val="0"/>
          <w:lang w:val="en-US"/>
        </w:rPr>
        <w:t xml:space="preserve">Dafna Hirsch, “‘ We Are Here to Bring the West, Not Only to Ourselves’: Zionist Occidentalism and the Discourse of Hygiene in Mandate Palestine,” </w:t>
      </w:r>
      <w:r w:rsidR="00073019" w:rsidRPr="003B056B">
        <w:rPr>
          <w:rFonts w:ascii="Times New Roman" w:hAnsi="Times New Roman" w:cs="Times New Roman"/>
          <w:i/>
          <w:iCs/>
          <w:kern w:val="0"/>
          <w:lang w:val="en-US"/>
        </w:rPr>
        <w:t>International Journal of Middle East Studies</w:t>
      </w:r>
      <w:r w:rsidR="00073019" w:rsidRPr="003B056B">
        <w:rPr>
          <w:rFonts w:ascii="Times New Roman" w:hAnsi="Times New Roman" w:cs="Times New Roman"/>
          <w:kern w:val="0"/>
          <w:lang w:val="en-US"/>
        </w:rPr>
        <w:t xml:space="preserve"> 41, no. 4 (2009): 577–94.</w:t>
      </w:r>
      <w:r w:rsidRPr="003B056B">
        <w:rPr>
          <w:rFonts w:ascii="Times New Roman" w:hAnsi="Times New Roman" w:cs="Times New Roman"/>
          <w:lang w:val="en-US"/>
        </w:rPr>
        <w:fldChar w:fldCharType="end"/>
      </w:r>
    </w:p>
  </w:footnote>
  <w:footnote w:id="62">
    <w:p w14:paraId="0D438C6F" w14:textId="77777777" w:rsidR="00A9795A" w:rsidRPr="003B056B" w:rsidRDefault="00A9795A" w:rsidP="00A9795A">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w:t>
      </w:r>
      <w:r w:rsidRPr="003B056B">
        <w:rPr>
          <w:rFonts w:ascii="Times New Roman" w:hAnsi="Times New Roman" w:cs="Times New Roman"/>
          <w:i/>
          <w:lang w:val="en-US"/>
        </w:rPr>
        <w:t>Maariv</w:t>
      </w:r>
      <w:r w:rsidRPr="003B056B">
        <w:rPr>
          <w:rFonts w:ascii="Times New Roman" w:hAnsi="Times New Roman" w:cs="Times New Roman"/>
          <w:lang w:val="en-US"/>
        </w:rPr>
        <w:t>, June 18, 1979, 30.</w:t>
      </w:r>
    </w:p>
  </w:footnote>
  <w:footnote w:id="63">
    <w:p w14:paraId="35C623CD" w14:textId="1E97F3D6" w:rsidR="00664D75" w:rsidRPr="003B056B" w:rsidRDefault="00664D75">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005560F6" w:rsidRPr="003B056B">
        <w:rPr>
          <w:rFonts w:ascii="Times New Roman" w:hAnsi="Times New Roman" w:cs="Times New Roman"/>
          <w:lang w:val="en-US"/>
        </w:rPr>
        <w:t xml:space="preserve"> Sachar divides his study into chapters about Israel relations with single European countries. See </w:t>
      </w:r>
      <w:r w:rsidR="005560F6"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{"citationID":"t91Rm9jh","properties":{"formattedCitation":"Sachar, {\\i{}Israel and Europe}.","plainCitation":"Sachar, Israel and Europe.","noteIndex":61},"citationItems":[{"id":2778,"uris":["http://zotero.org/users/1231610/items/SD77VEIL"],"itemData":{"id":2778,"type":"book","event-place":"New York","publisher":"Alfred A. Knopf","publisher-place":"New York","source":"Google Scholar","title":"Israel and Europe: an appraisal in history","title-short":"Israel and Europe","author":[{"family":"Sachar","given":"Howard M."}],"issued":{"date-parts":[["2010"]]}}}],"schema":"https://github.com/citation-style-language/schema/raw/master/csl-citation.json"} </w:instrText>
      </w:r>
      <w:r w:rsidR="005560F6" w:rsidRPr="003B056B">
        <w:rPr>
          <w:rFonts w:ascii="Times New Roman" w:hAnsi="Times New Roman" w:cs="Times New Roman"/>
          <w:lang w:val="en-US"/>
        </w:rPr>
        <w:fldChar w:fldCharType="separate"/>
      </w:r>
      <w:r w:rsidR="005560F6" w:rsidRPr="003B056B">
        <w:rPr>
          <w:rFonts w:ascii="Times New Roman" w:hAnsi="Times New Roman" w:cs="Times New Roman"/>
          <w:kern w:val="0"/>
          <w:lang w:val="en-US"/>
        </w:rPr>
        <w:t xml:space="preserve">Sachar, </w:t>
      </w:r>
      <w:r w:rsidR="005560F6" w:rsidRPr="003B056B">
        <w:rPr>
          <w:rFonts w:ascii="Times New Roman" w:hAnsi="Times New Roman" w:cs="Times New Roman"/>
          <w:i/>
          <w:iCs/>
          <w:kern w:val="0"/>
          <w:lang w:val="en-US"/>
        </w:rPr>
        <w:t>Israel and Europe</w:t>
      </w:r>
      <w:r w:rsidR="005560F6" w:rsidRPr="003B056B">
        <w:rPr>
          <w:rFonts w:ascii="Times New Roman" w:hAnsi="Times New Roman" w:cs="Times New Roman"/>
          <w:kern w:val="0"/>
          <w:lang w:val="en-US"/>
        </w:rPr>
        <w:t>.</w:t>
      </w:r>
      <w:r w:rsidR="005560F6" w:rsidRPr="003B056B">
        <w:rPr>
          <w:rFonts w:ascii="Times New Roman" w:hAnsi="Times New Roman" w:cs="Times New Roman"/>
          <w:lang w:val="en-US"/>
        </w:rPr>
        <w:fldChar w:fldCharType="end"/>
      </w:r>
      <w:r w:rsidR="005560F6" w:rsidRPr="003B056B">
        <w:rPr>
          <w:rFonts w:ascii="Times New Roman" w:hAnsi="Times New Roman" w:cs="Times New Roman"/>
          <w:lang w:val="en-US"/>
        </w:rPr>
        <w:t xml:space="preserve"> </w:t>
      </w:r>
      <w:proofErr w:type="spellStart"/>
      <w:r w:rsidR="005560F6" w:rsidRPr="003B056B">
        <w:rPr>
          <w:rFonts w:ascii="Times New Roman" w:hAnsi="Times New Roman" w:cs="Times New Roman"/>
          <w:lang w:val="en-US"/>
        </w:rPr>
        <w:t>Reinharz</w:t>
      </w:r>
      <w:proofErr w:type="spellEnd"/>
      <w:r w:rsidR="005560F6" w:rsidRPr="003B056B">
        <w:rPr>
          <w:rFonts w:ascii="Times New Roman" w:hAnsi="Times New Roman" w:cs="Times New Roman"/>
          <w:lang w:val="en-US"/>
        </w:rPr>
        <w:t xml:space="preserve"> and Shavit </w:t>
      </w:r>
      <w:r w:rsidR="00D82A4B" w:rsidRPr="003B056B">
        <w:rPr>
          <w:rFonts w:ascii="Times New Roman" w:hAnsi="Times New Roman" w:cs="Times New Roman"/>
          <w:lang w:val="en-US"/>
        </w:rPr>
        <w:t>portray Israeli views of Europe as a remarkably stable part of broader Jewish perceptions of the continent during the nineteenth and twentieth centuries</w:t>
      </w:r>
      <w:r w:rsidR="005560F6" w:rsidRPr="003B056B">
        <w:rPr>
          <w:rFonts w:ascii="Times New Roman" w:hAnsi="Times New Roman" w:cs="Times New Roman"/>
          <w:lang w:val="en-US"/>
        </w:rPr>
        <w:t xml:space="preserve">. They also tend to focus heavily on individual countries in different sections. </w:t>
      </w:r>
      <w:proofErr w:type="spellStart"/>
      <w:r w:rsidR="005560F6" w:rsidRPr="003B056B">
        <w:rPr>
          <w:rFonts w:ascii="Times New Roman" w:hAnsi="Times New Roman" w:cs="Times New Roman"/>
          <w:lang w:val="en-US"/>
        </w:rPr>
        <w:t>Siehe</w:t>
      </w:r>
      <w:proofErr w:type="spellEnd"/>
      <w:r w:rsidR="005560F6" w:rsidRPr="003B056B">
        <w:rPr>
          <w:rFonts w:ascii="Times New Roman" w:hAnsi="Times New Roman" w:cs="Times New Roman"/>
          <w:lang w:val="en-US"/>
        </w:rPr>
        <w:t xml:space="preserv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{"citationID":"CJrvqTxd","properties":{"formattedCitation":"Reinharz and Shavit, {\\i{}Glorious, Accursed Europe: An Essay on Jewish Ambivalence}.","plainCitation":"Reinharz and Shavit, Glorious, Accursed Europe: An Essay on Jewish Ambivalence.","noteIndex":61},"citationItems":[{"id":1861,"uris":["http://zotero.org/users/1231610/items/W94JVFPK"],"itemData":{"id":1861,"type":"book","event-place":"Waltham, Mass.","publisher":"Brandeis University Press","publisher-place":"Waltham, Mass.","source":"Google Scholar","title":"Glorious, Accursed Europe: An Essay on Jewish Ambivalence","author":[{"family":"Reinharz","given":"Jehuda"},{"family":"Shavit","given":"Yaacov"}],"issued":{"date-parts":[["2010"]]}}}],"schema":"https://github.com/citation-style-language/schema/raw/master/csl-citation.json"} </w:instrText>
      </w:r>
      <w:r w:rsidRPr="003B056B">
        <w:rPr>
          <w:rFonts w:ascii="Times New Roman" w:hAnsi="Times New Roman" w:cs="Times New Roman"/>
          <w:lang w:val="en-US"/>
        </w:rPr>
        <w:fldChar w:fldCharType="separate"/>
      </w:r>
      <w:proofErr w:type="spellStart"/>
      <w:r w:rsidR="005560F6" w:rsidRPr="003B056B">
        <w:rPr>
          <w:rFonts w:ascii="Times New Roman" w:hAnsi="Times New Roman" w:cs="Times New Roman"/>
          <w:kern w:val="0"/>
          <w:lang w:val="en-US"/>
        </w:rPr>
        <w:t>Reinharz</w:t>
      </w:r>
      <w:proofErr w:type="spellEnd"/>
      <w:r w:rsidR="005560F6" w:rsidRPr="003B056B">
        <w:rPr>
          <w:rFonts w:ascii="Times New Roman" w:hAnsi="Times New Roman" w:cs="Times New Roman"/>
          <w:kern w:val="0"/>
          <w:lang w:val="en-US"/>
        </w:rPr>
        <w:t xml:space="preserve"> and Shavit, </w:t>
      </w:r>
      <w:r w:rsidR="005560F6" w:rsidRPr="003B056B">
        <w:rPr>
          <w:rFonts w:ascii="Times New Roman" w:hAnsi="Times New Roman" w:cs="Times New Roman"/>
          <w:i/>
          <w:iCs/>
          <w:kern w:val="0"/>
          <w:lang w:val="en-US"/>
        </w:rPr>
        <w:t>Glorious, Accursed Europe: An Essay on Jewish Ambivalence</w:t>
      </w:r>
      <w:r w:rsidR="005560F6" w:rsidRPr="003B056B">
        <w:rPr>
          <w:rFonts w:ascii="Times New Roman" w:hAnsi="Times New Roman" w:cs="Times New Roman"/>
          <w:kern w:val="0"/>
          <w:lang w:val="en-US"/>
        </w:rPr>
        <w:t>.</w:t>
      </w:r>
      <w:r w:rsidRPr="003B056B">
        <w:rPr>
          <w:rFonts w:ascii="Times New Roman" w:hAnsi="Times New Roman" w:cs="Times New Roman"/>
          <w:lang w:val="en-US"/>
        </w:rPr>
        <w:fldChar w:fldCharType="end"/>
      </w:r>
    </w:p>
  </w:footnote>
  <w:footnote w:id="64">
    <w:p w14:paraId="195B004C" w14:textId="23102B95" w:rsidR="00AE0028" w:rsidRPr="003B056B" w:rsidRDefault="00AE0028" w:rsidP="00AE0028">
      <w:pPr>
        <w:pStyle w:val="FootnoteText"/>
        <w:rPr>
          <w:rFonts w:ascii="Times New Roman" w:hAnsi="Times New Roman" w:cs="Times New Roman"/>
          <w:lang w:val="en-US"/>
        </w:rPr>
      </w:pPr>
      <w:r w:rsidRPr="003B056B">
        <w:rPr>
          <w:rStyle w:val="FootnoteReference"/>
          <w:rFonts w:ascii="Times New Roman" w:hAnsi="Times New Roman" w:cs="Times New Roman"/>
          <w:lang w:val="en-US"/>
        </w:rPr>
        <w:footnoteRef/>
      </w:r>
      <w:r w:rsidRPr="003B056B">
        <w:rPr>
          <w:rFonts w:ascii="Times New Roman" w:hAnsi="Times New Roman" w:cs="Times New Roman"/>
          <w:lang w:val="en-US"/>
        </w:rPr>
        <w:t xml:space="preserve"> On these arguments, see </w:t>
      </w:r>
      <w:r w:rsidRPr="003B056B">
        <w:rPr>
          <w:rFonts w:ascii="Times New Roman" w:hAnsi="Times New Roman" w:cs="Times New Roman"/>
          <w:lang w:val="en-US"/>
        </w:rPr>
        <w:fldChar w:fldCharType="begin"/>
      </w:r>
      <w:r w:rsidR="00D82A4B" w:rsidRPr="003B056B">
        <w:rPr>
          <w:rFonts w:ascii="Times New Roman" w:hAnsi="Times New Roman" w:cs="Times New Roman"/>
          <w:lang w:val="en-US"/>
        </w:rPr>
        <w:instrText xml:space="preserve"> ADDIN ZOTERO_ITEM CSL_CITATION {"citationID":"eIXd0BJl","properties":{"formattedCitation":"B\\uc0\\u246{}sch, Brill, and Greiner, {\\i{}Europabilder Im 20. Jahrhundert}, 10; Conway and Patel, {\\i{}Europeanization in the Twentieth Century}, 8.","plainCitation":"Bösch, Brill, and Greiner, Europabilder Im 20. Jahrhundert, 10; Conway and Patel, Europeanization in the Twentieth Century, 8.","noteIndex":62},"citationItems":[{"id":2800,"uris":["http://zotero.org/users/1231610/items/QVPB9XHT"],"itemData":{"id":2800,"type":"book","event-place":"Göttingen","publisher":"Wallstein","publisher-place":"Göttingen","title":"Europabilder im 20. Jahrhundert","editor":[{"family":"Bösch","given":"Frank"},{"family":"Brill","given":"Ariane"},{"family":"Greiner","given":"Florian"}],"issued":{"date-parts":[["2012"]]}},"locator":"10","label":"page"},{"id":4196,"uris":["http://zotero.org/users/1231610/items/CUJCZBPP"],"itemData":{"id":4196,"type":"book","event-place":"London","publisher":"Palgrave Macmillan","publisher-place":"London","source":"Google Scholar","title":"Europeanization in the Twentieth Century: Historical Approaches","title-short":"Europeanization in the Twentieth Century","author":[{"family":"Conway","given":"Martin"},{"family":"Patel","given":"Kiran"}],"issued":{"date-parts":[["2010"]]}},"locator":"8","label":"page"}],"schema":"https://github.com/citation-style-language/schema/raw/master/csl-citation.json"} </w:instrText>
      </w:r>
      <w:r w:rsidRPr="003B056B">
        <w:rPr>
          <w:rFonts w:ascii="Times New Roman" w:hAnsi="Times New Roman" w:cs="Times New Roman"/>
          <w:lang w:val="en-US"/>
        </w:rPr>
        <w:fldChar w:fldCharType="separate"/>
      </w:r>
      <w:r w:rsidRPr="003B056B">
        <w:rPr>
          <w:rFonts w:ascii="Times New Roman" w:hAnsi="Times New Roman" w:cs="Times New Roman"/>
          <w:kern w:val="0"/>
          <w:lang w:val="en-US"/>
        </w:rPr>
        <w:t xml:space="preserve">Bösch, Brill, and Greiner, </w:t>
      </w:r>
      <w:r w:rsidRPr="003B056B">
        <w:rPr>
          <w:rFonts w:ascii="Times New Roman" w:hAnsi="Times New Roman" w:cs="Times New Roman"/>
          <w:i/>
          <w:iCs/>
          <w:kern w:val="0"/>
          <w:lang w:val="en-US"/>
        </w:rPr>
        <w:t>Europabilder Im 20. Jahrhundert</w:t>
      </w:r>
      <w:r w:rsidRPr="003B056B">
        <w:rPr>
          <w:rFonts w:ascii="Times New Roman" w:hAnsi="Times New Roman" w:cs="Times New Roman"/>
          <w:kern w:val="0"/>
          <w:lang w:val="en-US"/>
        </w:rPr>
        <w:t xml:space="preserve">, 10; Conway and Patel, </w:t>
      </w:r>
      <w:r w:rsidRPr="003B056B">
        <w:rPr>
          <w:rFonts w:ascii="Times New Roman" w:hAnsi="Times New Roman" w:cs="Times New Roman"/>
          <w:i/>
          <w:iCs/>
          <w:kern w:val="0"/>
          <w:lang w:val="en-US"/>
        </w:rPr>
        <w:t>Europeanization in the Twentieth Century</w:t>
      </w:r>
      <w:r w:rsidRPr="003B056B">
        <w:rPr>
          <w:rFonts w:ascii="Times New Roman" w:hAnsi="Times New Roman" w:cs="Times New Roman"/>
          <w:kern w:val="0"/>
          <w:lang w:val="en-US"/>
        </w:rPr>
        <w:t>, 8.</w:t>
      </w:r>
      <w:r w:rsidRPr="003B056B">
        <w:rPr>
          <w:rFonts w:ascii="Times New Roman" w:hAnsi="Times New Roman" w:cs="Times New Roman"/>
          <w:lang w:val="en-US"/>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015B2"/>
    <w:multiLevelType w:val="hybridMultilevel"/>
    <w:tmpl w:val="9796F9AC"/>
    <w:lvl w:ilvl="0" w:tplc="B9AC9766">
      <w:numFmt w:val="bullet"/>
      <w:lvlText w:val="-"/>
      <w:lvlJc w:val="left"/>
      <w:pPr>
        <w:ind w:left="400" w:hanging="360"/>
      </w:pPr>
      <w:rPr>
        <w:rFonts w:ascii="Aptos" w:eastAsiaTheme="minorHAnsi" w:hAnsi="Aptos" w:cstheme="minorBidi" w:hint="default"/>
      </w:rPr>
    </w:lvl>
    <w:lvl w:ilvl="1" w:tplc="04070003" w:tentative="1">
      <w:start w:val="1"/>
      <w:numFmt w:val="bullet"/>
      <w:lvlText w:val="o"/>
      <w:lvlJc w:val="left"/>
      <w:pPr>
        <w:ind w:left="1120" w:hanging="360"/>
      </w:pPr>
      <w:rPr>
        <w:rFonts w:ascii="Courier New" w:hAnsi="Courier New" w:hint="default"/>
      </w:rPr>
    </w:lvl>
    <w:lvl w:ilvl="2" w:tplc="04070005" w:tentative="1">
      <w:start w:val="1"/>
      <w:numFmt w:val="bullet"/>
      <w:lvlText w:val=""/>
      <w:lvlJc w:val="left"/>
      <w:pPr>
        <w:ind w:left="1840" w:hanging="360"/>
      </w:pPr>
      <w:rPr>
        <w:rFonts w:ascii="Wingdings" w:hAnsi="Wingdings" w:hint="default"/>
      </w:rPr>
    </w:lvl>
    <w:lvl w:ilvl="3" w:tplc="04070001" w:tentative="1">
      <w:start w:val="1"/>
      <w:numFmt w:val="bullet"/>
      <w:lvlText w:val=""/>
      <w:lvlJc w:val="left"/>
      <w:pPr>
        <w:ind w:left="2560" w:hanging="360"/>
      </w:pPr>
      <w:rPr>
        <w:rFonts w:ascii="Symbol" w:hAnsi="Symbol" w:hint="default"/>
      </w:rPr>
    </w:lvl>
    <w:lvl w:ilvl="4" w:tplc="04070003" w:tentative="1">
      <w:start w:val="1"/>
      <w:numFmt w:val="bullet"/>
      <w:lvlText w:val="o"/>
      <w:lvlJc w:val="left"/>
      <w:pPr>
        <w:ind w:left="3280" w:hanging="360"/>
      </w:pPr>
      <w:rPr>
        <w:rFonts w:ascii="Courier New" w:hAnsi="Courier New" w:hint="default"/>
      </w:rPr>
    </w:lvl>
    <w:lvl w:ilvl="5" w:tplc="04070005" w:tentative="1">
      <w:start w:val="1"/>
      <w:numFmt w:val="bullet"/>
      <w:lvlText w:val=""/>
      <w:lvlJc w:val="left"/>
      <w:pPr>
        <w:ind w:left="4000" w:hanging="360"/>
      </w:pPr>
      <w:rPr>
        <w:rFonts w:ascii="Wingdings" w:hAnsi="Wingdings" w:hint="default"/>
      </w:rPr>
    </w:lvl>
    <w:lvl w:ilvl="6" w:tplc="04070001" w:tentative="1">
      <w:start w:val="1"/>
      <w:numFmt w:val="bullet"/>
      <w:lvlText w:val=""/>
      <w:lvlJc w:val="left"/>
      <w:pPr>
        <w:ind w:left="4720" w:hanging="360"/>
      </w:pPr>
      <w:rPr>
        <w:rFonts w:ascii="Symbol" w:hAnsi="Symbol" w:hint="default"/>
      </w:rPr>
    </w:lvl>
    <w:lvl w:ilvl="7" w:tplc="04070003" w:tentative="1">
      <w:start w:val="1"/>
      <w:numFmt w:val="bullet"/>
      <w:lvlText w:val="o"/>
      <w:lvlJc w:val="left"/>
      <w:pPr>
        <w:ind w:left="5440" w:hanging="360"/>
      </w:pPr>
      <w:rPr>
        <w:rFonts w:ascii="Courier New" w:hAnsi="Courier New" w:hint="default"/>
      </w:rPr>
    </w:lvl>
    <w:lvl w:ilvl="8" w:tplc="04070005" w:tentative="1">
      <w:start w:val="1"/>
      <w:numFmt w:val="bullet"/>
      <w:lvlText w:val=""/>
      <w:lvlJc w:val="left"/>
      <w:pPr>
        <w:ind w:left="6160" w:hanging="360"/>
      </w:pPr>
      <w:rPr>
        <w:rFonts w:ascii="Wingdings" w:hAnsi="Wingdings" w:hint="default"/>
      </w:rPr>
    </w:lvl>
  </w:abstractNum>
  <w:num w:numId="1" w16cid:durableId="525557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YwMTU3N7OwNLA0MzBU0lEKTi0uzszPAykwrAUAF/4vtSwAAAA="/>
  </w:docVars>
  <w:rsids>
    <w:rsidRoot w:val="000225AE"/>
    <w:rsid w:val="00001B69"/>
    <w:rsid w:val="00006A2C"/>
    <w:rsid w:val="0001071D"/>
    <w:rsid w:val="00013871"/>
    <w:rsid w:val="00015CD4"/>
    <w:rsid w:val="00015E91"/>
    <w:rsid w:val="00016062"/>
    <w:rsid w:val="0002192A"/>
    <w:rsid w:val="000225AE"/>
    <w:rsid w:val="000279FA"/>
    <w:rsid w:val="0003310C"/>
    <w:rsid w:val="00034E6D"/>
    <w:rsid w:val="00035932"/>
    <w:rsid w:val="0004204A"/>
    <w:rsid w:val="00046936"/>
    <w:rsid w:val="00053295"/>
    <w:rsid w:val="00053C77"/>
    <w:rsid w:val="000544A1"/>
    <w:rsid w:val="0005719F"/>
    <w:rsid w:val="000575C5"/>
    <w:rsid w:val="00061110"/>
    <w:rsid w:val="0006175D"/>
    <w:rsid w:val="0006285C"/>
    <w:rsid w:val="00066C8C"/>
    <w:rsid w:val="00067F37"/>
    <w:rsid w:val="00073019"/>
    <w:rsid w:val="000744E9"/>
    <w:rsid w:val="00081EAA"/>
    <w:rsid w:val="00086F31"/>
    <w:rsid w:val="000A30EB"/>
    <w:rsid w:val="000A65D6"/>
    <w:rsid w:val="000B1B7E"/>
    <w:rsid w:val="000B2420"/>
    <w:rsid w:val="000C0792"/>
    <w:rsid w:val="000C3F23"/>
    <w:rsid w:val="000C50E8"/>
    <w:rsid w:val="000D267F"/>
    <w:rsid w:val="000D297E"/>
    <w:rsid w:val="000D331B"/>
    <w:rsid w:val="000D3779"/>
    <w:rsid w:val="000D5944"/>
    <w:rsid w:val="000E2961"/>
    <w:rsid w:val="000E3A8F"/>
    <w:rsid w:val="000E7474"/>
    <w:rsid w:val="000F00DE"/>
    <w:rsid w:val="000F01CE"/>
    <w:rsid w:val="000F2AD2"/>
    <w:rsid w:val="000F4128"/>
    <w:rsid w:val="001028AD"/>
    <w:rsid w:val="00107EA8"/>
    <w:rsid w:val="00122AFE"/>
    <w:rsid w:val="0012616D"/>
    <w:rsid w:val="001325FD"/>
    <w:rsid w:val="00134126"/>
    <w:rsid w:val="00142EB2"/>
    <w:rsid w:val="00144F33"/>
    <w:rsid w:val="00146DE2"/>
    <w:rsid w:val="0014746E"/>
    <w:rsid w:val="001504DE"/>
    <w:rsid w:val="0015257C"/>
    <w:rsid w:val="00154A7E"/>
    <w:rsid w:val="001577E6"/>
    <w:rsid w:val="00173894"/>
    <w:rsid w:val="00176DA9"/>
    <w:rsid w:val="00186394"/>
    <w:rsid w:val="001865E8"/>
    <w:rsid w:val="001906F5"/>
    <w:rsid w:val="001953C4"/>
    <w:rsid w:val="001A3ED8"/>
    <w:rsid w:val="001A5836"/>
    <w:rsid w:val="001A72CC"/>
    <w:rsid w:val="001B0E65"/>
    <w:rsid w:val="001B7521"/>
    <w:rsid w:val="001C7A3E"/>
    <w:rsid w:val="001D56A7"/>
    <w:rsid w:val="001D598C"/>
    <w:rsid w:val="001D6111"/>
    <w:rsid w:val="001F0581"/>
    <w:rsid w:val="001F0BD1"/>
    <w:rsid w:val="001F1C9A"/>
    <w:rsid w:val="001F3071"/>
    <w:rsid w:val="001F3396"/>
    <w:rsid w:val="001F533D"/>
    <w:rsid w:val="002070EE"/>
    <w:rsid w:val="002078FB"/>
    <w:rsid w:val="002123FE"/>
    <w:rsid w:val="0021481F"/>
    <w:rsid w:val="002166DE"/>
    <w:rsid w:val="00220D78"/>
    <w:rsid w:val="00220F31"/>
    <w:rsid w:val="002230F0"/>
    <w:rsid w:val="0022324E"/>
    <w:rsid w:val="00226B73"/>
    <w:rsid w:val="0022795E"/>
    <w:rsid w:val="00227D1E"/>
    <w:rsid w:val="00231B39"/>
    <w:rsid w:val="002357B0"/>
    <w:rsid w:val="00257491"/>
    <w:rsid w:val="00257930"/>
    <w:rsid w:val="002762AF"/>
    <w:rsid w:val="002845B2"/>
    <w:rsid w:val="00284C05"/>
    <w:rsid w:val="00292ACC"/>
    <w:rsid w:val="002944FD"/>
    <w:rsid w:val="002A475E"/>
    <w:rsid w:val="002A659B"/>
    <w:rsid w:val="002B3E02"/>
    <w:rsid w:val="002C0DD5"/>
    <w:rsid w:val="002C0FC7"/>
    <w:rsid w:val="002D1DCF"/>
    <w:rsid w:val="002D51B0"/>
    <w:rsid w:val="002D6A1C"/>
    <w:rsid w:val="002D7C6E"/>
    <w:rsid w:val="002E1350"/>
    <w:rsid w:val="002E5139"/>
    <w:rsid w:val="002E5BB3"/>
    <w:rsid w:val="002F00B7"/>
    <w:rsid w:val="002F06EF"/>
    <w:rsid w:val="002F154C"/>
    <w:rsid w:val="002F3899"/>
    <w:rsid w:val="002F64CC"/>
    <w:rsid w:val="003038C0"/>
    <w:rsid w:val="003226D3"/>
    <w:rsid w:val="00324ADA"/>
    <w:rsid w:val="00324D85"/>
    <w:rsid w:val="00326116"/>
    <w:rsid w:val="00326A76"/>
    <w:rsid w:val="0033501C"/>
    <w:rsid w:val="003428C3"/>
    <w:rsid w:val="00345CC2"/>
    <w:rsid w:val="003531A2"/>
    <w:rsid w:val="00356089"/>
    <w:rsid w:val="003600DB"/>
    <w:rsid w:val="00360513"/>
    <w:rsid w:val="0037329E"/>
    <w:rsid w:val="003755C5"/>
    <w:rsid w:val="00380F67"/>
    <w:rsid w:val="0038227D"/>
    <w:rsid w:val="003840D4"/>
    <w:rsid w:val="00386D10"/>
    <w:rsid w:val="003876F1"/>
    <w:rsid w:val="00393699"/>
    <w:rsid w:val="00394010"/>
    <w:rsid w:val="00397EAB"/>
    <w:rsid w:val="003A299A"/>
    <w:rsid w:val="003A5AB1"/>
    <w:rsid w:val="003A662B"/>
    <w:rsid w:val="003A7778"/>
    <w:rsid w:val="003B056B"/>
    <w:rsid w:val="003B2882"/>
    <w:rsid w:val="003B7820"/>
    <w:rsid w:val="003C0A19"/>
    <w:rsid w:val="003C1588"/>
    <w:rsid w:val="003C6CB2"/>
    <w:rsid w:val="003D15D3"/>
    <w:rsid w:val="003D1BCF"/>
    <w:rsid w:val="003D2190"/>
    <w:rsid w:val="003E58E8"/>
    <w:rsid w:val="003F22CC"/>
    <w:rsid w:val="00403528"/>
    <w:rsid w:val="004043B2"/>
    <w:rsid w:val="004106EA"/>
    <w:rsid w:val="00410C11"/>
    <w:rsid w:val="0041127C"/>
    <w:rsid w:val="004175AE"/>
    <w:rsid w:val="004243C7"/>
    <w:rsid w:val="00430515"/>
    <w:rsid w:val="00431ED4"/>
    <w:rsid w:val="0043312B"/>
    <w:rsid w:val="00433248"/>
    <w:rsid w:val="00442A5D"/>
    <w:rsid w:val="00451D0B"/>
    <w:rsid w:val="00451FC3"/>
    <w:rsid w:val="00465B80"/>
    <w:rsid w:val="004805AB"/>
    <w:rsid w:val="00480B40"/>
    <w:rsid w:val="00491641"/>
    <w:rsid w:val="00492700"/>
    <w:rsid w:val="0049456D"/>
    <w:rsid w:val="004B2753"/>
    <w:rsid w:val="004B304F"/>
    <w:rsid w:val="004B5216"/>
    <w:rsid w:val="004B5C7C"/>
    <w:rsid w:val="004C1040"/>
    <w:rsid w:val="004C1BDB"/>
    <w:rsid w:val="004C2EFB"/>
    <w:rsid w:val="004C3357"/>
    <w:rsid w:val="004C33DA"/>
    <w:rsid w:val="004C4278"/>
    <w:rsid w:val="004C5D18"/>
    <w:rsid w:val="004C6E9B"/>
    <w:rsid w:val="004D06CC"/>
    <w:rsid w:val="004D13E3"/>
    <w:rsid w:val="004D774B"/>
    <w:rsid w:val="004E0723"/>
    <w:rsid w:val="004E1B0C"/>
    <w:rsid w:val="004F1460"/>
    <w:rsid w:val="004F23AA"/>
    <w:rsid w:val="005006B6"/>
    <w:rsid w:val="0050233C"/>
    <w:rsid w:val="00504249"/>
    <w:rsid w:val="005057C7"/>
    <w:rsid w:val="00522A70"/>
    <w:rsid w:val="0053036A"/>
    <w:rsid w:val="00530B23"/>
    <w:rsid w:val="005315E3"/>
    <w:rsid w:val="005324DD"/>
    <w:rsid w:val="00535079"/>
    <w:rsid w:val="00535C99"/>
    <w:rsid w:val="00536CA6"/>
    <w:rsid w:val="00541680"/>
    <w:rsid w:val="005473E9"/>
    <w:rsid w:val="00547EA5"/>
    <w:rsid w:val="005560F6"/>
    <w:rsid w:val="005605CB"/>
    <w:rsid w:val="00561310"/>
    <w:rsid w:val="00566973"/>
    <w:rsid w:val="00567871"/>
    <w:rsid w:val="005811B4"/>
    <w:rsid w:val="005877FF"/>
    <w:rsid w:val="005905B1"/>
    <w:rsid w:val="00594E86"/>
    <w:rsid w:val="005964B7"/>
    <w:rsid w:val="005A251F"/>
    <w:rsid w:val="005B63F7"/>
    <w:rsid w:val="005B6C30"/>
    <w:rsid w:val="005C3ABF"/>
    <w:rsid w:val="005D020C"/>
    <w:rsid w:val="005D1032"/>
    <w:rsid w:val="005D708B"/>
    <w:rsid w:val="005F4374"/>
    <w:rsid w:val="00600600"/>
    <w:rsid w:val="00600FB4"/>
    <w:rsid w:val="00611331"/>
    <w:rsid w:val="00613C34"/>
    <w:rsid w:val="00613C48"/>
    <w:rsid w:val="00614D64"/>
    <w:rsid w:val="00631F86"/>
    <w:rsid w:val="00634CFE"/>
    <w:rsid w:val="00640CEE"/>
    <w:rsid w:val="00647362"/>
    <w:rsid w:val="006552DE"/>
    <w:rsid w:val="00664D75"/>
    <w:rsid w:val="00665E95"/>
    <w:rsid w:val="0068061B"/>
    <w:rsid w:val="0068792B"/>
    <w:rsid w:val="0069182E"/>
    <w:rsid w:val="006A134E"/>
    <w:rsid w:val="006A502D"/>
    <w:rsid w:val="006B15A8"/>
    <w:rsid w:val="006B2D39"/>
    <w:rsid w:val="006B366C"/>
    <w:rsid w:val="006B700C"/>
    <w:rsid w:val="006C0859"/>
    <w:rsid w:val="006C2B95"/>
    <w:rsid w:val="006C3BC1"/>
    <w:rsid w:val="006C4CEB"/>
    <w:rsid w:val="006D27B2"/>
    <w:rsid w:val="006D48A8"/>
    <w:rsid w:val="006D590D"/>
    <w:rsid w:val="006E3809"/>
    <w:rsid w:val="006E535A"/>
    <w:rsid w:val="006E635F"/>
    <w:rsid w:val="006E64B5"/>
    <w:rsid w:val="006F1CCF"/>
    <w:rsid w:val="006F2E94"/>
    <w:rsid w:val="006F453B"/>
    <w:rsid w:val="0070080C"/>
    <w:rsid w:val="007044EE"/>
    <w:rsid w:val="00704A6B"/>
    <w:rsid w:val="00716F7A"/>
    <w:rsid w:val="00731FBE"/>
    <w:rsid w:val="007327A5"/>
    <w:rsid w:val="00734B37"/>
    <w:rsid w:val="00737BD3"/>
    <w:rsid w:val="00742BFF"/>
    <w:rsid w:val="007436EA"/>
    <w:rsid w:val="0074663E"/>
    <w:rsid w:val="00746FE0"/>
    <w:rsid w:val="00754298"/>
    <w:rsid w:val="00785C22"/>
    <w:rsid w:val="00794982"/>
    <w:rsid w:val="00795A39"/>
    <w:rsid w:val="00797076"/>
    <w:rsid w:val="007A12C5"/>
    <w:rsid w:val="007B66D4"/>
    <w:rsid w:val="007C0A00"/>
    <w:rsid w:val="007C0EE5"/>
    <w:rsid w:val="007C0F59"/>
    <w:rsid w:val="007C147B"/>
    <w:rsid w:val="007C2EB3"/>
    <w:rsid w:val="007C3690"/>
    <w:rsid w:val="007C3F54"/>
    <w:rsid w:val="007D1C9F"/>
    <w:rsid w:val="007D60DD"/>
    <w:rsid w:val="007E1C1C"/>
    <w:rsid w:val="007E2288"/>
    <w:rsid w:val="007E4513"/>
    <w:rsid w:val="007E47F8"/>
    <w:rsid w:val="007F0C2F"/>
    <w:rsid w:val="007F0F95"/>
    <w:rsid w:val="00807171"/>
    <w:rsid w:val="008073A1"/>
    <w:rsid w:val="00811DD5"/>
    <w:rsid w:val="00816E06"/>
    <w:rsid w:val="00824A02"/>
    <w:rsid w:val="0082745B"/>
    <w:rsid w:val="00831963"/>
    <w:rsid w:val="00840A12"/>
    <w:rsid w:val="00841CEB"/>
    <w:rsid w:val="008478B6"/>
    <w:rsid w:val="00857EA4"/>
    <w:rsid w:val="00865FC3"/>
    <w:rsid w:val="008742B3"/>
    <w:rsid w:val="008745A2"/>
    <w:rsid w:val="008747DD"/>
    <w:rsid w:val="00885624"/>
    <w:rsid w:val="0088681F"/>
    <w:rsid w:val="008918FC"/>
    <w:rsid w:val="008934AF"/>
    <w:rsid w:val="008950F8"/>
    <w:rsid w:val="008A00ED"/>
    <w:rsid w:val="008A5042"/>
    <w:rsid w:val="008B1350"/>
    <w:rsid w:val="008B196B"/>
    <w:rsid w:val="008C03A1"/>
    <w:rsid w:val="008C0CED"/>
    <w:rsid w:val="008C1790"/>
    <w:rsid w:val="008C342E"/>
    <w:rsid w:val="008C7474"/>
    <w:rsid w:val="008D48BA"/>
    <w:rsid w:val="008E3F14"/>
    <w:rsid w:val="008E62F8"/>
    <w:rsid w:val="008E7FA7"/>
    <w:rsid w:val="008F63A5"/>
    <w:rsid w:val="0090013A"/>
    <w:rsid w:val="0090039A"/>
    <w:rsid w:val="0090509A"/>
    <w:rsid w:val="00911985"/>
    <w:rsid w:val="00914558"/>
    <w:rsid w:val="0093167C"/>
    <w:rsid w:val="00937E81"/>
    <w:rsid w:val="00942F7A"/>
    <w:rsid w:val="009441B4"/>
    <w:rsid w:val="00953EFD"/>
    <w:rsid w:val="009617AD"/>
    <w:rsid w:val="00962B12"/>
    <w:rsid w:val="00972BC4"/>
    <w:rsid w:val="009737C3"/>
    <w:rsid w:val="00977716"/>
    <w:rsid w:val="00983AC7"/>
    <w:rsid w:val="009840E8"/>
    <w:rsid w:val="00990307"/>
    <w:rsid w:val="00994B58"/>
    <w:rsid w:val="009968E9"/>
    <w:rsid w:val="00996D5F"/>
    <w:rsid w:val="009A33A3"/>
    <w:rsid w:val="009A4BD0"/>
    <w:rsid w:val="009A7840"/>
    <w:rsid w:val="009C157C"/>
    <w:rsid w:val="009C17DC"/>
    <w:rsid w:val="009C2934"/>
    <w:rsid w:val="009C43C4"/>
    <w:rsid w:val="009C534B"/>
    <w:rsid w:val="009D142F"/>
    <w:rsid w:val="009D2565"/>
    <w:rsid w:val="009D49AE"/>
    <w:rsid w:val="009E6C46"/>
    <w:rsid w:val="00A05057"/>
    <w:rsid w:val="00A10B69"/>
    <w:rsid w:val="00A113DA"/>
    <w:rsid w:val="00A1174B"/>
    <w:rsid w:val="00A1782B"/>
    <w:rsid w:val="00A22FED"/>
    <w:rsid w:val="00A23DF9"/>
    <w:rsid w:val="00A24067"/>
    <w:rsid w:val="00A2496F"/>
    <w:rsid w:val="00A3392E"/>
    <w:rsid w:val="00A52DEF"/>
    <w:rsid w:val="00A53D74"/>
    <w:rsid w:val="00A5702D"/>
    <w:rsid w:val="00A575E9"/>
    <w:rsid w:val="00A6432C"/>
    <w:rsid w:val="00A67229"/>
    <w:rsid w:val="00A673EF"/>
    <w:rsid w:val="00A70E84"/>
    <w:rsid w:val="00A7675A"/>
    <w:rsid w:val="00A93FB9"/>
    <w:rsid w:val="00A9694A"/>
    <w:rsid w:val="00A9795A"/>
    <w:rsid w:val="00AA1C12"/>
    <w:rsid w:val="00AA66A1"/>
    <w:rsid w:val="00AA6DAA"/>
    <w:rsid w:val="00AC2E5B"/>
    <w:rsid w:val="00AC4604"/>
    <w:rsid w:val="00AC460E"/>
    <w:rsid w:val="00AC5407"/>
    <w:rsid w:val="00AC6498"/>
    <w:rsid w:val="00AD166D"/>
    <w:rsid w:val="00AD1C5E"/>
    <w:rsid w:val="00AE0028"/>
    <w:rsid w:val="00AE4E1E"/>
    <w:rsid w:val="00AE6703"/>
    <w:rsid w:val="00AF4EB4"/>
    <w:rsid w:val="00AF5A5E"/>
    <w:rsid w:val="00AF76AE"/>
    <w:rsid w:val="00B22A42"/>
    <w:rsid w:val="00B2301C"/>
    <w:rsid w:val="00B24099"/>
    <w:rsid w:val="00B25B65"/>
    <w:rsid w:val="00B329F3"/>
    <w:rsid w:val="00B4738E"/>
    <w:rsid w:val="00B52B89"/>
    <w:rsid w:val="00B55CE4"/>
    <w:rsid w:val="00B56BC7"/>
    <w:rsid w:val="00B75608"/>
    <w:rsid w:val="00B80788"/>
    <w:rsid w:val="00B962A2"/>
    <w:rsid w:val="00B97DC7"/>
    <w:rsid w:val="00BA2A61"/>
    <w:rsid w:val="00BA4524"/>
    <w:rsid w:val="00BA6120"/>
    <w:rsid w:val="00BA621A"/>
    <w:rsid w:val="00BB0A98"/>
    <w:rsid w:val="00BB417E"/>
    <w:rsid w:val="00BC023C"/>
    <w:rsid w:val="00BC06A2"/>
    <w:rsid w:val="00BC3F78"/>
    <w:rsid w:val="00BD1F12"/>
    <w:rsid w:val="00BD39A7"/>
    <w:rsid w:val="00BD7841"/>
    <w:rsid w:val="00BE1190"/>
    <w:rsid w:val="00BE3093"/>
    <w:rsid w:val="00BE3C8F"/>
    <w:rsid w:val="00BE4550"/>
    <w:rsid w:val="00BE4CCC"/>
    <w:rsid w:val="00BE530B"/>
    <w:rsid w:val="00BF6D46"/>
    <w:rsid w:val="00C1173B"/>
    <w:rsid w:val="00C12912"/>
    <w:rsid w:val="00C17422"/>
    <w:rsid w:val="00C218B3"/>
    <w:rsid w:val="00C2250B"/>
    <w:rsid w:val="00C22D7A"/>
    <w:rsid w:val="00C24A58"/>
    <w:rsid w:val="00C260D9"/>
    <w:rsid w:val="00C311EA"/>
    <w:rsid w:val="00C37C85"/>
    <w:rsid w:val="00C4210A"/>
    <w:rsid w:val="00C422AA"/>
    <w:rsid w:val="00C4297E"/>
    <w:rsid w:val="00C43116"/>
    <w:rsid w:val="00C4748E"/>
    <w:rsid w:val="00C47646"/>
    <w:rsid w:val="00C53E51"/>
    <w:rsid w:val="00C54EF2"/>
    <w:rsid w:val="00C70E64"/>
    <w:rsid w:val="00C70F90"/>
    <w:rsid w:val="00C825A4"/>
    <w:rsid w:val="00C84536"/>
    <w:rsid w:val="00C86954"/>
    <w:rsid w:val="00C90BDF"/>
    <w:rsid w:val="00C90D33"/>
    <w:rsid w:val="00C95B95"/>
    <w:rsid w:val="00CA596B"/>
    <w:rsid w:val="00CA6144"/>
    <w:rsid w:val="00CB680D"/>
    <w:rsid w:val="00CC598A"/>
    <w:rsid w:val="00CD0537"/>
    <w:rsid w:val="00CD519B"/>
    <w:rsid w:val="00CE0BB4"/>
    <w:rsid w:val="00CE1EC9"/>
    <w:rsid w:val="00CE252C"/>
    <w:rsid w:val="00CE25E2"/>
    <w:rsid w:val="00CF4A21"/>
    <w:rsid w:val="00D01242"/>
    <w:rsid w:val="00D06199"/>
    <w:rsid w:val="00D06279"/>
    <w:rsid w:val="00D2363A"/>
    <w:rsid w:val="00D26872"/>
    <w:rsid w:val="00D27106"/>
    <w:rsid w:val="00D3250A"/>
    <w:rsid w:val="00D3317D"/>
    <w:rsid w:val="00D35BF6"/>
    <w:rsid w:val="00D35C1D"/>
    <w:rsid w:val="00D36DBD"/>
    <w:rsid w:val="00D4027E"/>
    <w:rsid w:val="00D42391"/>
    <w:rsid w:val="00D43506"/>
    <w:rsid w:val="00D43BD1"/>
    <w:rsid w:val="00D43EAF"/>
    <w:rsid w:val="00D43F2E"/>
    <w:rsid w:val="00D52EB5"/>
    <w:rsid w:val="00D53C52"/>
    <w:rsid w:val="00D65A92"/>
    <w:rsid w:val="00D66035"/>
    <w:rsid w:val="00D703B2"/>
    <w:rsid w:val="00D716C2"/>
    <w:rsid w:val="00D82A4B"/>
    <w:rsid w:val="00D860BA"/>
    <w:rsid w:val="00D90ADE"/>
    <w:rsid w:val="00D90D91"/>
    <w:rsid w:val="00D9209C"/>
    <w:rsid w:val="00DA18F6"/>
    <w:rsid w:val="00DA5661"/>
    <w:rsid w:val="00DA606B"/>
    <w:rsid w:val="00DA616A"/>
    <w:rsid w:val="00DC22D7"/>
    <w:rsid w:val="00DC355D"/>
    <w:rsid w:val="00DD24F5"/>
    <w:rsid w:val="00DD5E43"/>
    <w:rsid w:val="00DE1130"/>
    <w:rsid w:val="00DE1FE5"/>
    <w:rsid w:val="00DE204B"/>
    <w:rsid w:val="00DE2D5F"/>
    <w:rsid w:val="00E0546B"/>
    <w:rsid w:val="00E05E69"/>
    <w:rsid w:val="00E10EE6"/>
    <w:rsid w:val="00E1189B"/>
    <w:rsid w:val="00E177E2"/>
    <w:rsid w:val="00E2016B"/>
    <w:rsid w:val="00E3096E"/>
    <w:rsid w:val="00E312A0"/>
    <w:rsid w:val="00E316F7"/>
    <w:rsid w:val="00E33461"/>
    <w:rsid w:val="00E47857"/>
    <w:rsid w:val="00E54A65"/>
    <w:rsid w:val="00E5546A"/>
    <w:rsid w:val="00E6075B"/>
    <w:rsid w:val="00E642BC"/>
    <w:rsid w:val="00E7692B"/>
    <w:rsid w:val="00E80476"/>
    <w:rsid w:val="00E80A77"/>
    <w:rsid w:val="00E82C23"/>
    <w:rsid w:val="00E962E0"/>
    <w:rsid w:val="00EA1B87"/>
    <w:rsid w:val="00EA60B5"/>
    <w:rsid w:val="00EA71DB"/>
    <w:rsid w:val="00EB4DAA"/>
    <w:rsid w:val="00EC049B"/>
    <w:rsid w:val="00EC4547"/>
    <w:rsid w:val="00EC71B8"/>
    <w:rsid w:val="00ED060D"/>
    <w:rsid w:val="00ED1013"/>
    <w:rsid w:val="00ED17B9"/>
    <w:rsid w:val="00ED2B82"/>
    <w:rsid w:val="00EF4DE5"/>
    <w:rsid w:val="00F0349A"/>
    <w:rsid w:val="00F05A8D"/>
    <w:rsid w:val="00F110EE"/>
    <w:rsid w:val="00F11BB6"/>
    <w:rsid w:val="00F12077"/>
    <w:rsid w:val="00F12E2D"/>
    <w:rsid w:val="00F21868"/>
    <w:rsid w:val="00F26FA3"/>
    <w:rsid w:val="00F2772B"/>
    <w:rsid w:val="00F34301"/>
    <w:rsid w:val="00F3459D"/>
    <w:rsid w:val="00F43221"/>
    <w:rsid w:val="00F55EA9"/>
    <w:rsid w:val="00F600E1"/>
    <w:rsid w:val="00F61567"/>
    <w:rsid w:val="00F67BE9"/>
    <w:rsid w:val="00F70991"/>
    <w:rsid w:val="00F73236"/>
    <w:rsid w:val="00F810AB"/>
    <w:rsid w:val="00F84BCB"/>
    <w:rsid w:val="00F866B1"/>
    <w:rsid w:val="00F90046"/>
    <w:rsid w:val="00F9007C"/>
    <w:rsid w:val="00F904C0"/>
    <w:rsid w:val="00F921FA"/>
    <w:rsid w:val="00F95549"/>
    <w:rsid w:val="00FA2204"/>
    <w:rsid w:val="00FA5889"/>
    <w:rsid w:val="00FB6156"/>
    <w:rsid w:val="00FC1C5F"/>
    <w:rsid w:val="00FC493A"/>
    <w:rsid w:val="00FC5257"/>
    <w:rsid w:val="00FC751F"/>
    <w:rsid w:val="00FF0809"/>
    <w:rsid w:val="00FF3E4A"/>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CD3AF"/>
  <w15:chartTrackingRefBased/>
  <w15:docId w15:val="{DA1630A7-B15C-DD41-9841-1B7CD143A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5AE"/>
  </w:style>
  <w:style w:type="paragraph" w:styleId="Heading1">
    <w:name w:val="heading 1"/>
    <w:basedOn w:val="Normal"/>
    <w:next w:val="Normal"/>
    <w:link w:val="Heading1Char"/>
    <w:uiPriority w:val="9"/>
    <w:qFormat/>
    <w:rsid w:val="007E1C1C"/>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0225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25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25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25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25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25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25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25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niel">
    <w:name w:val="Daniel"/>
    <w:basedOn w:val="Heading1"/>
    <w:link w:val="DanielZchn"/>
    <w:qFormat/>
    <w:rsid w:val="007E1C1C"/>
    <w:pPr>
      <w:spacing w:before="0" w:line="360" w:lineRule="auto"/>
    </w:pPr>
    <w:rPr>
      <w:rFonts w:asciiTheme="majorBidi" w:hAnsiTheme="majorBidi"/>
      <w:b/>
      <w:color w:val="auto"/>
      <w:kern w:val="0"/>
      <w:sz w:val="24"/>
      <w:lang w:eastAsia="de-DE"/>
      <w14:ligatures w14:val="none"/>
    </w:rPr>
  </w:style>
  <w:style w:type="character" w:customStyle="1" w:styleId="DanielZchn">
    <w:name w:val="Daniel Zchn"/>
    <w:basedOn w:val="DefaultParagraphFont"/>
    <w:link w:val="Daniel"/>
    <w:rsid w:val="007E1C1C"/>
    <w:rPr>
      <w:rFonts w:asciiTheme="majorBidi" w:eastAsiaTheme="majorEastAsia" w:hAnsiTheme="majorBidi" w:cstheme="majorBidi"/>
      <w:b/>
      <w:kern w:val="0"/>
      <w:szCs w:val="32"/>
      <w:lang w:eastAsia="de-DE"/>
      <w14:ligatures w14:val="none"/>
    </w:rPr>
  </w:style>
  <w:style w:type="character" w:customStyle="1" w:styleId="Heading1Char">
    <w:name w:val="Heading 1 Char"/>
    <w:basedOn w:val="DefaultParagraphFont"/>
    <w:link w:val="Heading1"/>
    <w:uiPriority w:val="9"/>
    <w:rsid w:val="007E1C1C"/>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semiHidden/>
    <w:rsid w:val="000225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25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25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25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25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25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25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25AE"/>
    <w:rPr>
      <w:rFonts w:eastAsiaTheme="majorEastAsia" w:cstheme="majorBidi"/>
      <w:color w:val="272727" w:themeColor="text1" w:themeTint="D8"/>
    </w:rPr>
  </w:style>
  <w:style w:type="paragraph" w:styleId="Title">
    <w:name w:val="Title"/>
    <w:basedOn w:val="Normal"/>
    <w:next w:val="Normal"/>
    <w:link w:val="TitleChar"/>
    <w:uiPriority w:val="10"/>
    <w:qFormat/>
    <w:rsid w:val="000225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5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25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25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25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225AE"/>
    <w:rPr>
      <w:i/>
      <w:iCs/>
      <w:color w:val="404040" w:themeColor="text1" w:themeTint="BF"/>
    </w:rPr>
  </w:style>
  <w:style w:type="paragraph" w:styleId="ListParagraph">
    <w:name w:val="List Paragraph"/>
    <w:basedOn w:val="Normal"/>
    <w:uiPriority w:val="34"/>
    <w:qFormat/>
    <w:rsid w:val="000225AE"/>
    <w:pPr>
      <w:ind w:left="720"/>
      <w:contextualSpacing/>
    </w:pPr>
  </w:style>
  <w:style w:type="character" w:styleId="IntenseEmphasis">
    <w:name w:val="Intense Emphasis"/>
    <w:basedOn w:val="DefaultParagraphFont"/>
    <w:uiPriority w:val="21"/>
    <w:qFormat/>
    <w:rsid w:val="000225AE"/>
    <w:rPr>
      <w:i/>
      <w:iCs/>
      <w:color w:val="0F4761" w:themeColor="accent1" w:themeShade="BF"/>
    </w:rPr>
  </w:style>
  <w:style w:type="paragraph" w:styleId="IntenseQuote">
    <w:name w:val="Intense Quote"/>
    <w:basedOn w:val="Normal"/>
    <w:next w:val="Normal"/>
    <w:link w:val="IntenseQuoteChar"/>
    <w:uiPriority w:val="30"/>
    <w:qFormat/>
    <w:rsid w:val="000225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25AE"/>
    <w:rPr>
      <w:i/>
      <w:iCs/>
      <w:color w:val="0F4761" w:themeColor="accent1" w:themeShade="BF"/>
    </w:rPr>
  </w:style>
  <w:style w:type="character" w:styleId="IntenseReference">
    <w:name w:val="Intense Reference"/>
    <w:basedOn w:val="DefaultParagraphFont"/>
    <w:uiPriority w:val="32"/>
    <w:qFormat/>
    <w:rsid w:val="000225AE"/>
    <w:rPr>
      <w:b/>
      <w:bCs/>
      <w:smallCaps/>
      <w:color w:val="0F4761" w:themeColor="accent1" w:themeShade="BF"/>
      <w:spacing w:val="5"/>
    </w:rPr>
  </w:style>
  <w:style w:type="paragraph" w:styleId="FootnoteText">
    <w:name w:val="footnote text"/>
    <w:basedOn w:val="Normal"/>
    <w:link w:val="FootnoteTextChar"/>
    <w:uiPriority w:val="99"/>
    <w:unhideWhenUsed/>
    <w:qFormat/>
    <w:rsid w:val="00034E6D"/>
    <w:rPr>
      <w:sz w:val="20"/>
      <w:szCs w:val="20"/>
    </w:rPr>
  </w:style>
  <w:style w:type="character" w:customStyle="1" w:styleId="FootnoteTextChar">
    <w:name w:val="Footnote Text Char"/>
    <w:basedOn w:val="DefaultParagraphFont"/>
    <w:link w:val="FootnoteText"/>
    <w:uiPriority w:val="99"/>
    <w:qFormat/>
    <w:rsid w:val="00034E6D"/>
    <w:rPr>
      <w:sz w:val="20"/>
      <w:szCs w:val="20"/>
    </w:rPr>
  </w:style>
  <w:style w:type="character" w:styleId="FootnoteReference">
    <w:name w:val="footnote reference"/>
    <w:basedOn w:val="DefaultParagraphFont"/>
    <w:uiPriority w:val="99"/>
    <w:unhideWhenUsed/>
    <w:rsid w:val="00034E6D"/>
    <w:rPr>
      <w:vertAlign w:val="superscript"/>
    </w:rPr>
  </w:style>
  <w:style w:type="paragraph" w:styleId="Footer">
    <w:name w:val="footer"/>
    <w:basedOn w:val="Normal"/>
    <w:link w:val="FooterChar"/>
    <w:uiPriority w:val="99"/>
    <w:unhideWhenUsed/>
    <w:rsid w:val="000744E9"/>
    <w:pPr>
      <w:tabs>
        <w:tab w:val="center" w:pos="4536"/>
        <w:tab w:val="right" w:pos="9072"/>
      </w:tabs>
    </w:pPr>
  </w:style>
  <w:style w:type="character" w:customStyle="1" w:styleId="FooterChar">
    <w:name w:val="Footer Char"/>
    <w:basedOn w:val="DefaultParagraphFont"/>
    <w:link w:val="Footer"/>
    <w:uiPriority w:val="99"/>
    <w:rsid w:val="000744E9"/>
  </w:style>
  <w:style w:type="character" w:styleId="PageNumber">
    <w:name w:val="page number"/>
    <w:basedOn w:val="DefaultParagraphFont"/>
    <w:uiPriority w:val="99"/>
    <w:semiHidden/>
    <w:unhideWhenUsed/>
    <w:rsid w:val="000744E9"/>
  </w:style>
  <w:style w:type="character" w:styleId="EndnoteReference">
    <w:name w:val="endnote reference"/>
    <w:basedOn w:val="DefaultParagraphFont"/>
    <w:uiPriority w:val="99"/>
    <w:semiHidden/>
    <w:unhideWhenUsed/>
    <w:rsid w:val="00451FC3"/>
    <w:rPr>
      <w:vertAlign w:val="superscript"/>
    </w:rPr>
  </w:style>
  <w:style w:type="paragraph" w:styleId="NormalWeb">
    <w:name w:val="Normal (Web)"/>
    <w:basedOn w:val="Normal"/>
    <w:uiPriority w:val="99"/>
    <w:semiHidden/>
    <w:unhideWhenUsed/>
    <w:rsid w:val="00E2016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716327">
      <w:bodyDiv w:val="1"/>
      <w:marLeft w:val="0"/>
      <w:marRight w:val="0"/>
      <w:marTop w:val="0"/>
      <w:marBottom w:val="0"/>
      <w:divBdr>
        <w:top w:val="none" w:sz="0" w:space="0" w:color="auto"/>
        <w:left w:val="none" w:sz="0" w:space="0" w:color="auto"/>
        <w:bottom w:val="none" w:sz="0" w:space="0" w:color="auto"/>
        <w:right w:val="none" w:sz="0" w:space="0" w:color="auto"/>
      </w:divBdr>
    </w:div>
    <w:div w:id="674067241">
      <w:bodyDiv w:val="1"/>
      <w:marLeft w:val="0"/>
      <w:marRight w:val="0"/>
      <w:marTop w:val="0"/>
      <w:marBottom w:val="0"/>
      <w:divBdr>
        <w:top w:val="none" w:sz="0" w:space="0" w:color="auto"/>
        <w:left w:val="none" w:sz="0" w:space="0" w:color="auto"/>
        <w:bottom w:val="none" w:sz="0" w:space="0" w:color="auto"/>
        <w:right w:val="none" w:sz="0" w:space="0" w:color="auto"/>
      </w:divBdr>
    </w:div>
    <w:div w:id="100991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7099</Words>
  <Characters>40540</Characters>
  <Application>Microsoft Office Word</Application>
  <DocSecurity>0</DocSecurity>
  <Lines>563</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דניאל מאלה</dc:creator>
  <cp:keywords/>
  <dc:description/>
  <cp:lastModifiedBy>Susan Doron</cp:lastModifiedBy>
  <cp:revision>2</cp:revision>
  <dcterms:created xsi:type="dcterms:W3CDTF">2024-10-10T14:56:00Z</dcterms:created>
  <dcterms:modified xsi:type="dcterms:W3CDTF">2024-10-10T14:56:00Z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id="gxVMvUPD"/&gt;&lt;style id="http://www.zotero.org/styles/chicago-fullnote-bibliography" locale="en-US" hasBibliography="1" bibliographyStyleHasBeenSet="0"/&gt;&lt;prefs&gt;&lt;pref name="fieldType" value="Field"/&gt;</vt:lpwstr>
  </property>
  <property fmtid="{D5CDD505-2E9C-101B-9397-08002B2CF9AE}" pid="3" name="ZOTERO_PREF_2">
    <vt:lpwstr>&lt;pref name="noteType" value="1"/&gt;&lt;/prefs&gt;&lt;/data&gt;</vt:lpwstr>
  </property>
</Properties>
</file>