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E245" w14:textId="046BD533" w:rsidR="00352C2A" w:rsidRPr="00A00E80" w:rsidRDefault="00352C2A" w:rsidP="003453AB">
      <w:pPr>
        <w:pStyle w:val="NormalWeb"/>
        <w:rPr>
          <w:rFonts w:ascii="Garamond" w:hAnsi="Garamond"/>
          <w:b/>
          <w:bCs/>
          <w:sz w:val="22"/>
          <w:szCs w:val="22"/>
          <w:u w:val="single"/>
        </w:rPr>
      </w:pPr>
      <w:bookmarkStart w:id="0" w:name="_Hlk152765538"/>
      <w:bookmarkStart w:id="1" w:name="_Hlk152791900"/>
      <w:r w:rsidRPr="00A00E80">
        <w:rPr>
          <w:rFonts w:ascii="Garamond" w:hAnsi="Garamond"/>
          <w:b/>
          <w:bCs/>
          <w:sz w:val="22"/>
          <w:szCs w:val="22"/>
          <w:u w:val="single"/>
        </w:rPr>
        <w:t xml:space="preserve">Proposal No.: </w:t>
      </w:r>
      <w:r w:rsidR="005F03ED" w:rsidRPr="00A00E80">
        <w:rPr>
          <w:rFonts w:ascii="Garamond" w:hAnsi="Garamond"/>
          <w:b/>
          <w:bCs/>
          <w:sz w:val="22"/>
          <w:szCs w:val="22"/>
          <w:u w:val="single"/>
        </w:rPr>
        <w:t>____</w:t>
      </w:r>
    </w:p>
    <w:p w14:paraId="0F60FB93" w14:textId="3D6F6987" w:rsidR="00352C2A" w:rsidRDefault="00352C2A" w:rsidP="003453AB">
      <w:pPr>
        <w:pStyle w:val="NormalWeb"/>
        <w:rPr>
          <w:rFonts w:ascii="Garamond" w:hAnsi="Garamond"/>
          <w:b/>
          <w:bCs/>
          <w:sz w:val="22"/>
          <w:szCs w:val="22"/>
          <w:u w:val="single"/>
        </w:rPr>
      </w:pPr>
      <w:r w:rsidRPr="00A00E80">
        <w:rPr>
          <w:rFonts w:ascii="Garamond" w:hAnsi="Garamond"/>
          <w:b/>
          <w:bCs/>
          <w:sz w:val="22"/>
          <w:szCs w:val="22"/>
          <w:u w:val="single"/>
        </w:rPr>
        <w:t>PI: Danielle Ayala Chaim</w:t>
      </w:r>
    </w:p>
    <w:p w14:paraId="4065F99F" w14:textId="3175EF87" w:rsidR="000A5483" w:rsidRDefault="000A5483" w:rsidP="000A5483">
      <w:pPr>
        <w:pStyle w:val="NormalWeb"/>
        <w:spacing w:line="360" w:lineRule="auto"/>
        <w:rPr>
          <w:rFonts w:ascii="Garamond" w:hAnsi="Garamond"/>
          <w:b/>
          <w:bCs/>
          <w:sz w:val="22"/>
          <w:szCs w:val="22"/>
          <w:u w:val="single"/>
        </w:rPr>
      </w:pPr>
      <w:r w:rsidRPr="009B566C">
        <w:rPr>
          <w:rFonts w:ascii="Garamond" w:hAnsi="Garamond"/>
          <w:b/>
          <w:bCs/>
          <w:sz w:val="22"/>
          <w:szCs w:val="22"/>
          <w:u w:val="single"/>
        </w:rPr>
        <w:t xml:space="preserve">Scientific Abstract: </w:t>
      </w:r>
      <w:bookmarkStart w:id="2" w:name="OLE_LINK3"/>
      <w:bookmarkStart w:id="3" w:name="OLE_LINK4"/>
      <w:r w:rsidRPr="004C0464">
        <w:rPr>
          <w:rFonts w:ascii="Garamond" w:hAnsi="Garamond"/>
          <w:b/>
          <w:bCs/>
          <w:sz w:val="22"/>
          <w:szCs w:val="22"/>
          <w:u w:val="single"/>
        </w:rPr>
        <w:t>I</w:t>
      </w:r>
      <w:r w:rsidRPr="009B566C">
        <w:rPr>
          <w:rFonts w:ascii="Garamond" w:hAnsi="Garamond"/>
          <w:b/>
          <w:bCs/>
          <w:sz w:val="22"/>
          <w:szCs w:val="22"/>
          <w:u w:val="single"/>
        </w:rPr>
        <w:t>PO Underpricing in an Era of Asset Manager Capitalism: Theory, Evidence, and Policy</w:t>
      </w:r>
      <w:bookmarkEnd w:id="2"/>
      <w:bookmarkEnd w:id="3"/>
    </w:p>
    <w:p w14:paraId="6D184B55" w14:textId="77777777" w:rsidR="000A5483" w:rsidRPr="00575063" w:rsidRDefault="000A5483" w:rsidP="000A5483">
      <w:pPr>
        <w:spacing w:line="360" w:lineRule="auto"/>
        <w:ind w:firstLine="426"/>
        <w:jc w:val="both"/>
        <w:rPr>
          <w:rFonts w:ascii="Garamond" w:hAnsi="Garamond"/>
          <w:sz w:val="22"/>
          <w:szCs w:val="22"/>
        </w:rPr>
      </w:pPr>
      <w:r w:rsidRPr="00575063">
        <w:rPr>
          <w:rFonts w:ascii="Garamond" w:hAnsi="Garamond"/>
          <w:sz w:val="22"/>
          <w:szCs w:val="22"/>
        </w:rPr>
        <w:t xml:space="preserve">The past decade has witnessed a meteoric rise of asset management giants, which has ignited intense scrutiny among legal scholars and economists. Among other concerns, the control wielded by these behemoths over vast capital pools and their outsized influence on financial markets have shown to pose myriad economic, social, and corporate governance challenges. This research proposal aims to uncover a critical yet overlooked arena in which the market power of these institutional investors is manifesting additional deleterious consequences: capital markets, specifically in the context of Initial Public Offerings (IPOs). </w:t>
      </w:r>
    </w:p>
    <w:p w14:paraId="580EDCFC" w14:textId="77777777" w:rsidR="000A5483" w:rsidRDefault="000A5483" w:rsidP="000A5483">
      <w:pPr>
        <w:spacing w:line="360" w:lineRule="auto"/>
        <w:ind w:firstLine="426"/>
        <w:jc w:val="both"/>
        <w:rPr>
          <w:rFonts w:ascii="Garamond" w:hAnsi="Garamond"/>
          <w:sz w:val="22"/>
          <w:szCs w:val="22"/>
        </w:rPr>
      </w:pPr>
      <w:r w:rsidRPr="00575063">
        <w:rPr>
          <w:rFonts w:ascii="Garamond" w:hAnsi="Garamond"/>
          <w:sz w:val="22"/>
          <w:szCs w:val="22"/>
        </w:rPr>
        <w:t xml:space="preserve">At the core of our theory is that </w:t>
      </w:r>
      <w:r w:rsidRPr="009B566C">
        <w:rPr>
          <w:rFonts w:ascii="Garamond" w:hAnsi="Garamond"/>
          <w:sz w:val="22"/>
          <w:szCs w:val="22"/>
        </w:rPr>
        <w:t xml:space="preserve">the concentration in the asset management industry and the rise of financial </w:t>
      </w:r>
      <w:r w:rsidRPr="009B566C">
        <w:rPr>
          <w:rFonts w:ascii="Garamond" w:hAnsi="Garamond"/>
          <w:iCs/>
          <w:sz w:val="22"/>
          <w:szCs w:val="22"/>
        </w:rPr>
        <w:t xml:space="preserve">behemoths which now exert enormous influence over financial markets </w:t>
      </w:r>
      <w:r w:rsidRPr="009B566C">
        <w:rPr>
          <w:rFonts w:ascii="Garamond" w:hAnsi="Garamond"/>
          <w:sz w:val="22"/>
          <w:szCs w:val="22"/>
        </w:rPr>
        <w:t>empowered them with significant market power in the primary market. This market power, we argue, is strategically leveraged by large, powerful institutional investors to depress stock prices in IPOs, holding explanatory power for the documented surge in IPO underpricing.</w:t>
      </w:r>
      <w:r>
        <w:rPr>
          <w:rFonts w:ascii="Garamond" w:hAnsi="Garamond"/>
          <w:sz w:val="22"/>
          <w:szCs w:val="22"/>
        </w:rPr>
        <w:t xml:space="preserve"> Over the last decade, IPO underpricing—</w:t>
      </w:r>
      <w:r w:rsidRPr="00B57A19">
        <w:rPr>
          <w:rFonts w:ascii="Garamond" w:hAnsi="Garamond"/>
          <w:sz w:val="22"/>
          <w:szCs w:val="22"/>
        </w:rPr>
        <w:t>defined as the difference between the offer price and the stock’s closing price on the first day of trading—has soared to extraordinary levels, resulting in an unprecedented $90 billion left “on the table” by issuers.</w:t>
      </w:r>
    </w:p>
    <w:p w14:paraId="4D4098F8" w14:textId="77777777" w:rsidR="000A5483" w:rsidRPr="00575063" w:rsidRDefault="000A5483" w:rsidP="000A5483">
      <w:pPr>
        <w:spacing w:line="360" w:lineRule="auto"/>
        <w:ind w:firstLine="426"/>
        <w:jc w:val="both"/>
        <w:rPr>
          <w:rFonts w:ascii="Garamond" w:hAnsi="Garamond"/>
          <w:sz w:val="22"/>
          <w:szCs w:val="22"/>
        </w:rPr>
      </w:pPr>
      <w:r w:rsidRPr="00575063">
        <w:rPr>
          <w:rFonts w:ascii="Garamond" w:hAnsi="Garamond"/>
          <w:sz w:val="22"/>
          <w:szCs w:val="22"/>
        </w:rPr>
        <w:t>Our focus is on the three largest institutional investors—BlackRock, Vanguard, and Fidelity—</w:t>
      </w:r>
      <w:r>
        <w:rPr>
          <w:rFonts w:ascii="Garamond" w:hAnsi="Garamond"/>
          <w:sz w:val="22"/>
          <w:szCs w:val="22"/>
        </w:rPr>
        <w:t>whose</w:t>
      </w:r>
      <w:r w:rsidRPr="00575063">
        <w:rPr>
          <w:rFonts w:ascii="Garamond" w:hAnsi="Garamond"/>
          <w:sz w:val="22"/>
          <w:szCs w:val="22"/>
        </w:rPr>
        <w:t xml:space="preserve"> market power is attributed to their relative market size</w:t>
      </w:r>
      <w:r>
        <w:rPr>
          <w:rFonts w:ascii="Garamond" w:hAnsi="Garamond"/>
          <w:sz w:val="22"/>
          <w:szCs w:val="22"/>
        </w:rPr>
        <w:t xml:space="preserve"> and</w:t>
      </w:r>
      <w:r w:rsidRPr="00575063">
        <w:rPr>
          <w:rFonts w:ascii="Garamond" w:hAnsi="Garamond"/>
          <w:sz w:val="22"/>
          <w:szCs w:val="22"/>
        </w:rPr>
        <w:t xml:space="preserve"> order volume</w:t>
      </w:r>
      <w:r>
        <w:rPr>
          <w:rFonts w:ascii="Garamond" w:hAnsi="Garamond"/>
          <w:sz w:val="22"/>
          <w:szCs w:val="22"/>
        </w:rPr>
        <w:t xml:space="preserve"> in public offerings</w:t>
      </w:r>
      <w:r w:rsidRPr="00575063">
        <w:rPr>
          <w:rFonts w:ascii="Garamond" w:hAnsi="Garamond"/>
          <w:sz w:val="22"/>
          <w:szCs w:val="22"/>
        </w:rPr>
        <w:t xml:space="preserve"> </w:t>
      </w:r>
      <w:r>
        <w:rPr>
          <w:rFonts w:ascii="Garamond" w:hAnsi="Garamond"/>
          <w:sz w:val="22"/>
          <w:szCs w:val="22"/>
        </w:rPr>
        <w:t>as well as to their market-leading status and significant pricing role during price discovery</w:t>
      </w:r>
      <w:r w:rsidRPr="00575063">
        <w:rPr>
          <w:rFonts w:ascii="Garamond" w:hAnsi="Garamond"/>
          <w:sz w:val="22"/>
          <w:szCs w:val="22"/>
        </w:rPr>
        <w:t xml:space="preserve">. Our preliminary results support our hypothesis. We find that the simultaneous participation of the Big Three in U.S. IPOs increased underpricing levels by an average of 16.7 percentage points. </w:t>
      </w:r>
      <w:r w:rsidRPr="00B57A19">
        <w:rPr>
          <w:rFonts w:ascii="Garamond" w:hAnsi="Garamond"/>
          <w:sz w:val="22"/>
          <w:szCs w:val="22"/>
        </w:rPr>
        <w:t xml:space="preserve">To enhance the robustness of our hypothesis, we plan to extend our empirical examination of the correlation between underpricing levels and the participation of key institutional investors, particularly the three largest institutions, in U.S. IPOs. This analysis will meticulously control for various factors, including </w:t>
      </w:r>
      <w:r>
        <w:rPr>
          <w:rFonts w:ascii="Garamond" w:hAnsi="Garamond"/>
          <w:sz w:val="22"/>
          <w:szCs w:val="22"/>
        </w:rPr>
        <w:t>the market cap of the issuers and the sector in which at operates, as well as investor sentiment and</w:t>
      </w:r>
      <w:r w:rsidRPr="008D6FFA">
        <w:rPr>
          <w:rFonts w:ascii="Garamond" w:hAnsi="Garamond"/>
          <w:sz w:val="22"/>
          <w:szCs w:val="22"/>
        </w:rPr>
        <w:t xml:space="preserve"> the relationship between underwriters and certain institutional investors</w:t>
      </w:r>
      <w:r>
        <w:rPr>
          <w:rFonts w:ascii="Garamond" w:hAnsi="Garamond"/>
          <w:sz w:val="22"/>
          <w:szCs w:val="22"/>
        </w:rPr>
        <w:t>.</w:t>
      </w:r>
    </w:p>
    <w:p w14:paraId="51E770BA" w14:textId="31CFD91A" w:rsidR="000A5483" w:rsidRDefault="000A5483" w:rsidP="00EF523A">
      <w:pPr>
        <w:spacing w:line="360" w:lineRule="auto"/>
        <w:ind w:firstLine="426"/>
        <w:jc w:val="both"/>
        <w:rPr>
          <w:rFonts w:ascii="Garamond" w:hAnsi="Garamond"/>
          <w:sz w:val="22"/>
          <w:szCs w:val="22"/>
        </w:rPr>
      </w:pPr>
      <w:r w:rsidRPr="00B57A19">
        <w:rPr>
          <w:rFonts w:ascii="Garamond" w:hAnsi="Garamond"/>
          <w:sz w:val="22"/>
          <w:szCs w:val="22"/>
        </w:rPr>
        <w:t xml:space="preserve">Our novel analysis of underpricing through the lens of institutional-investor market power </w:t>
      </w:r>
      <w:proofErr w:type="gramStart"/>
      <w:r w:rsidRPr="00C341C4">
        <w:rPr>
          <w:rFonts w:ascii="Garamond" w:hAnsi="Garamond"/>
          <w:sz w:val="22"/>
          <w:szCs w:val="22"/>
        </w:rPr>
        <w:t>takes into account</w:t>
      </w:r>
      <w:proofErr w:type="gramEnd"/>
      <w:r w:rsidRPr="00C341C4">
        <w:rPr>
          <w:rFonts w:ascii="Garamond" w:hAnsi="Garamond"/>
          <w:sz w:val="22"/>
          <w:szCs w:val="22"/>
        </w:rPr>
        <w:t xml:space="preserve"> shifts in the U.S. capital market landscape, particularly the escalating </w:t>
      </w:r>
      <w:r>
        <w:rPr>
          <w:rFonts w:ascii="Garamond" w:hAnsi="Garamond"/>
          <w:sz w:val="22"/>
          <w:szCs w:val="22"/>
        </w:rPr>
        <w:t>dominance</w:t>
      </w:r>
      <w:r w:rsidRPr="00C341C4">
        <w:rPr>
          <w:rFonts w:ascii="Garamond" w:hAnsi="Garamond"/>
          <w:sz w:val="22"/>
          <w:szCs w:val="22"/>
        </w:rPr>
        <w:t xml:space="preserve"> of a few giant institutional investors, as an important driver of IPO underpricing. We aim to conduct theoretical and empirical analyses to reveal how the joint participation of dominant market actors in IPOs affects underpricing levels. We also intend to identify key junctures in the IPO process where strategic behavior by institutional investors is likely to occur and expose shortcomings in the current regulatory regime. Specifically, we will identify the susceptibly of the book-building process—originally designed to facilitate efficient price discovery by incorporating market information from sophisticated institutional investors—to the abuse of market power by </w:t>
      </w:r>
      <w:r w:rsidRPr="00C341C4">
        <w:rPr>
          <w:rFonts w:ascii="Garamond" w:hAnsi="Garamond"/>
          <w:sz w:val="22"/>
          <w:szCs w:val="22"/>
        </w:rPr>
        <w:lastRenderedPageBreak/>
        <w:t>powerful institutional investors.</w:t>
      </w:r>
      <w:r>
        <w:rPr>
          <w:rFonts w:ascii="Garamond" w:hAnsi="Garamond"/>
          <w:sz w:val="22"/>
          <w:szCs w:val="22"/>
        </w:rPr>
        <w:t xml:space="preserve"> We also aim to </w:t>
      </w:r>
      <w:r w:rsidRPr="00B57A19">
        <w:rPr>
          <w:rFonts w:ascii="Garamond" w:hAnsi="Garamond"/>
          <w:sz w:val="22"/>
          <w:szCs w:val="22"/>
        </w:rPr>
        <w:t xml:space="preserve">offer </w:t>
      </w:r>
      <w:r>
        <w:rPr>
          <w:rFonts w:ascii="Garamond" w:hAnsi="Garamond"/>
          <w:sz w:val="22"/>
          <w:szCs w:val="22"/>
        </w:rPr>
        <w:t>policy</w:t>
      </w:r>
      <w:r w:rsidRPr="00B57A19">
        <w:rPr>
          <w:rFonts w:ascii="Garamond" w:hAnsi="Garamond"/>
          <w:sz w:val="22"/>
          <w:szCs w:val="22"/>
        </w:rPr>
        <w:t xml:space="preserve"> recommendations for fostering a more transparent and competitive IPO process,</w:t>
      </w:r>
      <w:r>
        <w:rPr>
          <w:rFonts w:ascii="Garamond" w:hAnsi="Garamond"/>
          <w:sz w:val="22"/>
          <w:szCs w:val="22"/>
        </w:rPr>
        <w:t xml:space="preserve"> which would be more attracted to potential issuers. </w:t>
      </w:r>
    </w:p>
    <w:p w14:paraId="059AA064" w14:textId="77777777" w:rsidR="00EF523A" w:rsidRPr="00EF523A" w:rsidRDefault="00EF523A" w:rsidP="00EF523A">
      <w:pPr>
        <w:spacing w:line="360" w:lineRule="auto"/>
        <w:ind w:firstLine="426"/>
        <w:jc w:val="both"/>
        <w:rPr>
          <w:rFonts w:ascii="Garamond" w:hAnsi="Garamond"/>
          <w:sz w:val="22"/>
          <w:szCs w:val="22"/>
        </w:rPr>
      </w:pPr>
    </w:p>
    <w:bookmarkEnd w:id="0"/>
    <w:p w14:paraId="1141C54B" w14:textId="17DBB89A" w:rsidR="00F039A9" w:rsidRPr="00A00E80" w:rsidRDefault="00A57609" w:rsidP="00CA65DA">
      <w:pPr>
        <w:pStyle w:val="NormalWeb"/>
        <w:spacing w:before="0" w:beforeAutospacing="0" w:after="0" w:afterAutospacing="0" w:line="360" w:lineRule="auto"/>
        <w:jc w:val="both"/>
        <w:rPr>
          <w:rFonts w:ascii="Garamond" w:hAnsi="Garamond"/>
          <w:b/>
          <w:bCs/>
          <w:sz w:val="22"/>
          <w:szCs w:val="22"/>
          <w:u w:val="single"/>
          <w:rtl/>
        </w:rPr>
      </w:pPr>
      <w:r w:rsidRPr="00A00E80">
        <w:rPr>
          <w:rFonts w:ascii="TimesNewRomanPS" w:hAnsi="TimesNewRomanPS"/>
          <w:b/>
          <w:bCs/>
          <w:sz w:val="22"/>
          <w:szCs w:val="22"/>
        </w:rPr>
        <w:t xml:space="preserve">I. </w:t>
      </w:r>
      <w:r w:rsidR="00494219" w:rsidRPr="00A00E80">
        <w:rPr>
          <w:rFonts w:ascii="Garamond" w:hAnsi="Garamond"/>
          <w:b/>
          <w:bCs/>
          <w:sz w:val="22"/>
          <w:szCs w:val="22"/>
        </w:rPr>
        <w:t>Scientific Background</w:t>
      </w:r>
    </w:p>
    <w:p w14:paraId="11F28E30" w14:textId="351A63A8" w:rsidR="004B5004" w:rsidRPr="00A00E80" w:rsidRDefault="00187D97" w:rsidP="006D4177">
      <w:pPr>
        <w:spacing w:line="360" w:lineRule="auto"/>
        <w:jc w:val="both"/>
        <w:rPr>
          <w:rFonts w:ascii="Garamond" w:hAnsi="Garamond"/>
          <w:sz w:val="22"/>
          <w:szCs w:val="22"/>
        </w:rPr>
      </w:pPr>
      <w:r w:rsidRPr="00A00E80">
        <w:rPr>
          <w:rFonts w:ascii="Garamond" w:hAnsi="Garamond"/>
          <w:sz w:val="22"/>
          <w:szCs w:val="22"/>
        </w:rPr>
        <w:t>Over the past few decades</w:t>
      </w:r>
      <w:r w:rsidR="00012B6C" w:rsidRPr="00A00E80">
        <w:rPr>
          <w:rFonts w:ascii="Garamond" w:hAnsi="Garamond"/>
          <w:sz w:val="22"/>
          <w:szCs w:val="22"/>
        </w:rPr>
        <w:t xml:space="preserve">, </w:t>
      </w:r>
      <w:r w:rsidR="00DF29EA" w:rsidRPr="00A00E80">
        <w:rPr>
          <w:rFonts w:ascii="Garamond" w:hAnsi="Garamond"/>
          <w:sz w:val="22"/>
          <w:szCs w:val="22"/>
        </w:rPr>
        <w:t xml:space="preserve">global </w:t>
      </w:r>
      <w:r w:rsidR="00CA65DA" w:rsidRPr="00A00E80">
        <w:rPr>
          <w:rFonts w:ascii="Garamond" w:hAnsi="Garamond"/>
          <w:sz w:val="22"/>
          <w:szCs w:val="22"/>
        </w:rPr>
        <w:t>stock</w:t>
      </w:r>
      <w:r w:rsidR="00C17F92" w:rsidRPr="00A00E80">
        <w:rPr>
          <w:rFonts w:ascii="Garamond" w:hAnsi="Garamond"/>
          <w:sz w:val="22"/>
          <w:szCs w:val="22"/>
        </w:rPr>
        <w:t xml:space="preserve"> market</w:t>
      </w:r>
      <w:r w:rsidR="007A5596" w:rsidRPr="00A00E80">
        <w:rPr>
          <w:rFonts w:ascii="Garamond" w:hAnsi="Garamond"/>
          <w:sz w:val="22"/>
          <w:szCs w:val="22"/>
        </w:rPr>
        <w:t>s</w:t>
      </w:r>
      <w:r w:rsidR="00C17F92" w:rsidRPr="00A00E80">
        <w:rPr>
          <w:rFonts w:ascii="Garamond" w:hAnsi="Garamond"/>
          <w:sz w:val="22"/>
          <w:szCs w:val="22"/>
        </w:rPr>
        <w:t xml:space="preserve"> </w:t>
      </w:r>
      <w:r w:rsidR="00012B6C" w:rsidRPr="00A00E80">
        <w:rPr>
          <w:rFonts w:ascii="Garamond" w:hAnsi="Garamond"/>
          <w:sz w:val="22"/>
          <w:szCs w:val="22"/>
        </w:rPr>
        <w:t>have undergone significant transformations</w:t>
      </w:r>
      <w:r w:rsidR="00C17F92" w:rsidRPr="00A00E80">
        <w:rPr>
          <w:rFonts w:ascii="Garamond" w:hAnsi="Garamond"/>
          <w:sz w:val="22"/>
          <w:szCs w:val="22"/>
        </w:rPr>
        <w:t xml:space="preserve">. </w:t>
      </w:r>
      <w:r w:rsidR="00012B6C" w:rsidRPr="00A00E80">
        <w:rPr>
          <w:rFonts w:ascii="Garamond" w:hAnsi="Garamond"/>
          <w:sz w:val="22"/>
          <w:szCs w:val="22"/>
        </w:rPr>
        <w:t>Traditional r</w:t>
      </w:r>
      <w:r w:rsidR="007A5596" w:rsidRPr="00A00E80">
        <w:rPr>
          <w:rFonts w:ascii="Garamond" w:hAnsi="Garamond"/>
          <w:sz w:val="22"/>
          <w:szCs w:val="22"/>
        </w:rPr>
        <w:t xml:space="preserve">etail investors have </w:t>
      </w:r>
      <w:r w:rsidRPr="00A00E80">
        <w:rPr>
          <w:rFonts w:ascii="Garamond" w:hAnsi="Garamond"/>
          <w:sz w:val="22"/>
          <w:szCs w:val="22"/>
        </w:rPr>
        <w:t xml:space="preserve">gradually </w:t>
      </w:r>
      <w:r w:rsidR="0042008B" w:rsidRPr="00A00E80">
        <w:rPr>
          <w:rFonts w:ascii="Garamond" w:hAnsi="Garamond"/>
          <w:sz w:val="22"/>
          <w:szCs w:val="22"/>
        </w:rPr>
        <w:t>ceded their positions</w:t>
      </w:r>
      <w:r w:rsidR="007A5596" w:rsidRPr="00A00E80">
        <w:rPr>
          <w:rFonts w:ascii="Garamond" w:hAnsi="Garamond"/>
          <w:sz w:val="22"/>
          <w:szCs w:val="22"/>
        </w:rPr>
        <w:t xml:space="preserve"> </w:t>
      </w:r>
      <w:r w:rsidR="008D1C6E" w:rsidRPr="00A00E80">
        <w:rPr>
          <w:rFonts w:ascii="Garamond" w:hAnsi="Garamond"/>
          <w:sz w:val="22"/>
          <w:szCs w:val="22"/>
        </w:rPr>
        <w:t xml:space="preserve">as </w:t>
      </w:r>
      <w:r w:rsidR="0059174C" w:rsidRPr="00A00E80">
        <w:rPr>
          <w:rFonts w:ascii="Garamond" w:hAnsi="Garamond"/>
          <w:sz w:val="22"/>
          <w:szCs w:val="22"/>
        </w:rPr>
        <w:t xml:space="preserve">the </w:t>
      </w:r>
      <w:r w:rsidR="008D1C6E" w:rsidRPr="00A00E80">
        <w:rPr>
          <w:rFonts w:ascii="Garamond" w:hAnsi="Garamond"/>
          <w:sz w:val="22"/>
          <w:szCs w:val="22"/>
        </w:rPr>
        <w:t xml:space="preserve">main market players </w:t>
      </w:r>
      <w:r w:rsidR="0042008B" w:rsidRPr="00A00E80">
        <w:rPr>
          <w:rFonts w:ascii="Garamond" w:hAnsi="Garamond"/>
          <w:sz w:val="22"/>
          <w:szCs w:val="22"/>
        </w:rPr>
        <w:t>to</w:t>
      </w:r>
      <w:r w:rsidR="007A5596" w:rsidRPr="00A00E80">
        <w:rPr>
          <w:rFonts w:ascii="Garamond" w:hAnsi="Garamond"/>
          <w:sz w:val="22"/>
          <w:szCs w:val="22"/>
        </w:rPr>
        <w:t xml:space="preserve"> large institutional investors</w:t>
      </w:r>
      <w:r w:rsidR="00DF29EA" w:rsidRPr="00A00E80">
        <w:rPr>
          <w:rFonts w:ascii="Garamond" w:hAnsi="Garamond"/>
          <w:sz w:val="22"/>
          <w:szCs w:val="22"/>
        </w:rPr>
        <w:t xml:space="preserve"> (</w:t>
      </w:r>
      <w:proofErr w:type="spellStart"/>
      <w:r w:rsidR="006D3BEB" w:rsidRPr="00A00E80">
        <w:rPr>
          <w:rFonts w:ascii="Garamond" w:hAnsi="Garamond"/>
          <w:sz w:val="22"/>
          <w:szCs w:val="22"/>
        </w:rPr>
        <w:t>Çelik</w:t>
      </w:r>
      <w:proofErr w:type="spellEnd"/>
      <w:r w:rsidR="006D3BEB" w:rsidRPr="00A00E80">
        <w:rPr>
          <w:rFonts w:ascii="Garamond" w:hAnsi="Garamond"/>
          <w:sz w:val="22"/>
          <w:szCs w:val="22"/>
        </w:rPr>
        <w:t xml:space="preserve"> &amp; Isaksson 2014, p. 54; </w:t>
      </w:r>
      <w:r w:rsidR="0042008B" w:rsidRPr="00A00E80">
        <w:rPr>
          <w:rFonts w:ascii="Garamond" w:hAnsi="Garamond"/>
          <w:sz w:val="22"/>
          <w:szCs w:val="22"/>
        </w:rPr>
        <w:t>Gilson</w:t>
      </w:r>
      <w:r w:rsidR="007A1EAE" w:rsidRPr="00A00E80">
        <w:rPr>
          <w:rFonts w:ascii="Garamond" w:hAnsi="Garamond"/>
          <w:sz w:val="22"/>
          <w:szCs w:val="22"/>
        </w:rPr>
        <w:t xml:space="preserve"> &amp; Gordon 2013, pp. 874-876</w:t>
      </w:r>
      <w:r w:rsidR="00DF29EA" w:rsidRPr="00A00E80">
        <w:rPr>
          <w:rFonts w:ascii="Garamond" w:hAnsi="Garamond"/>
          <w:sz w:val="22"/>
          <w:szCs w:val="22"/>
        </w:rPr>
        <w:t>)</w:t>
      </w:r>
      <w:r w:rsidR="00983EA0" w:rsidRPr="00A00E80">
        <w:rPr>
          <w:rFonts w:ascii="Garamond" w:hAnsi="Garamond"/>
          <w:sz w:val="22"/>
          <w:szCs w:val="22"/>
        </w:rPr>
        <w:t xml:space="preserve">, </w:t>
      </w:r>
      <w:r w:rsidR="005F03ED" w:rsidRPr="00A00E80">
        <w:rPr>
          <w:rFonts w:ascii="Garamond" w:hAnsi="Garamond"/>
          <w:sz w:val="22"/>
          <w:szCs w:val="22"/>
        </w:rPr>
        <w:t xml:space="preserve">which </w:t>
      </w:r>
      <w:r w:rsidR="00084478" w:rsidRPr="00A00E80">
        <w:rPr>
          <w:rFonts w:ascii="Garamond" w:hAnsi="Garamond"/>
          <w:sz w:val="22"/>
          <w:szCs w:val="22"/>
        </w:rPr>
        <w:t>now</w:t>
      </w:r>
      <w:r w:rsidR="00CA65DA" w:rsidRPr="00A00E80">
        <w:rPr>
          <w:rFonts w:ascii="Garamond" w:hAnsi="Garamond"/>
          <w:sz w:val="22"/>
          <w:szCs w:val="22"/>
        </w:rPr>
        <w:t xml:space="preserve"> </w:t>
      </w:r>
      <w:r w:rsidR="00084478" w:rsidRPr="00A00E80">
        <w:rPr>
          <w:rFonts w:ascii="Garamond" w:hAnsi="Garamond"/>
          <w:sz w:val="22"/>
          <w:szCs w:val="22"/>
        </w:rPr>
        <w:t>have substantial ownership</w:t>
      </w:r>
      <w:r w:rsidR="00CA65DA" w:rsidRPr="00A00E80">
        <w:rPr>
          <w:rFonts w:ascii="Garamond" w:hAnsi="Garamond"/>
          <w:sz w:val="22"/>
          <w:szCs w:val="22"/>
        </w:rPr>
        <w:t xml:space="preserve"> in listed equities </w:t>
      </w:r>
      <w:r w:rsidR="00084478" w:rsidRPr="00A00E80">
        <w:rPr>
          <w:rFonts w:ascii="Garamond" w:hAnsi="Garamond"/>
          <w:sz w:val="22"/>
          <w:szCs w:val="22"/>
        </w:rPr>
        <w:t>worldwi</w:t>
      </w:r>
      <w:r w:rsidR="001D2C9F" w:rsidRPr="00A00E80">
        <w:rPr>
          <w:rFonts w:ascii="Garamond" w:hAnsi="Garamond"/>
          <w:sz w:val="22"/>
          <w:szCs w:val="22"/>
        </w:rPr>
        <w:t>d</w:t>
      </w:r>
      <w:r w:rsidR="00084478" w:rsidRPr="00A00E80">
        <w:rPr>
          <w:rFonts w:ascii="Garamond" w:hAnsi="Garamond"/>
          <w:sz w:val="22"/>
          <w:szCs w:val="22"/>
        </w:rPr>
        <w:t>e</w:t>
      </w:r>
      <w:r w:rsidR="00CA65DA" w:rsidRPr="00A00E80">
        <w:rPr>
          <w:rFonts w:ascii="Garamond" w:hAnsi="Garamond"/>
          <w:sz w:val="22"/>
          <w:szCs w:val="22"/>
        </w:rPr>
        <w:t xml:space="preserve"> (Franks 2020, pp. 7-8)</w:t>
      </w:r>
      <w:r w:rsidR="00670304" w:rsidRPr="00A00E80">
        <w:rPr>
          <w:rFonts w:ascii="Garamond" w:hAnsi="Garamond"/>
          <w:sz w:val="22"/>
          <w:szCs w:val="22"/>
        </w:rPr>
        <w:t>.</w:t>
      </w:r>
      <w:r w:rsidR="00CA65DA" w:rsidRPr="00A00E80">
        <w:rPr>
          <w:rFonts w:ascii="Garamond" w:hAnsi="Garamond"/>
          <w:sz w:val="22"/>
          <w:szCs w:val="22"/>
        </w:rPr>
        <w:t xml:space="preserve"> </w:t>
      </w:r>
      <w:r w:rsidR="00670304" w:rsidRPr="00A00E80">
        <w:rPr>
          <w:rFonts w:ascii="Garamond" w:hAnsi="Garamond"/>
          <w:sz w:val="22"/>
          <w:szCs w:val="22"/>
        </w:rPr>
        <w:t xml:space="preserve">This </w:t>
      </w:r>
      <w:r w:rsidR="00084478" w:rsidRPr="00A00E80">
        <w:rPr>
          <w:rFonts w:ascii="Garamond" w:hAnsi="Garamond"/>
          <w:sz w:val="22"/>
          <w:szCs w:val="22"/>
        </w:rPr>
        <w:t>shift</w:t>
      </w:r>
      <w:r w:rsidR="00670304" w:rsidRPr="00A00E80">
        <w:rPr>
          <w:rFonts w:ascii="Garamond" w:hAnsi="Garamond"/>
          <w:sz w:val="22"/>
          <w:szCs w:val="22"/>
        </w:rPr>
        <w:t xml:space="preserve"> to</w:t>
      </w:r>
      <w:r w:rsidR="00084478" w:rsidRPr="00A00E80">
        <w:rPr>
          <w:rFonts w:ascii="Garamond" w:hAnsi="Garamond"/>
          <w:sz w:val="22"/>
          <w:szCs w:val="22"/>
        </w:rPr>
        <w:t>ward</w:t>
      </w:r>
      <w:r w:rsidR="00670304" w:rsidRPr="00A00E80">
        <w:rPr>
          <w:rFonts w:ascii="Garamond" w:hAnsi="Garamond"/>
          <w:sz w:val="22"/>
          <w:szCs w:val="22"/>
        </w:rPr>
        <w:t xml:space="preserve"> intermediated markets has been particularly </w:t>
      </w:r>
      <w:r w:rsidR="00084478" w:rsidRPr="00A00E80">
        <w:rPr>
          <w:rFonts w:ascii="Garamond" w:hAnsi="Garamond"/>
          <w:sz w:val="22"/>
          <w:szCs w:val="22"/>
        </w:rPr>
        <w:t>pronounced</w:t>
      </w:r>
      <w:r w:rsidR="00670304" w:rsidRPr="00A00E80">
        <w:rPr>
          <w:rFonts w:ascii="Garamond" w:hAnsi="Garamond"/>
          <w:sz w:val="22"/>
          <w:szCs w:val="22"/>
        </w:rPr>
        <w:t xml:space="preserve"> in the </w:t>
      </w:r>
      <w:r w:rsidR="00342D34" w:rsidRPr="00A00E80">
        <w:rPr>
          <w:rFonts w:ascii="Garamond" w:hAnsi="Garamond"/>
          <w:sz w:val="22"/>
          <w:szCs w:val="22"/>
        </w:rPr>
        <w:t>United States</w:t>
      </w:r>
      <w:r w:rsidR="00670304" w:rsidRPr="00A00E80">
        <w:rPr>
          <w:rFonts w:ascii="Garamond" w:hAnsi="Garamond"/>
          <w:sz w:val="22"/>
          <w:szCs w:val="22"/>
        </w:rPr>
        <w:t xml:space="preserve"> where institutional investors </w:t>
      </w:r>
      <w:r w:rsidR="00084478" w:rsidRPr="00A00E80">
        <w:rPr>
          <w:rFonts w:ascii="Garamond" w:hAnsi="Garamond"/>
          <w:sz w:val="22"/>
          <w:szCs w:val="22"/>
        </w:rPr>
        <w:t>own</w:t>
      </w:r>
      <w:r w:rsidR="00670304" w:rsidRPr="00A00E80">
        <w:rPr>
          <w:rFonts w:ascii="Garamond" w:hAnsi="Garamond"/>
          <w:sz w:val="22"/>
          <w:szCs w:val="22"/>
        </w:rPr>
        <w:t xml:space="preserve"> approximately </w:t>
      </w:r>
      <w:r w:rsidR="008929C3" w:rsidRPr="00A00E80">
        <w:rPr>
          <w:rFonts w:ascii="Garamond" w:hAnsi="Garamond"/>
          <w:sz w:val="22"/>
          <w:szCs w:val="22"/>
        </w:rPr>
        <w:t>two-t</w:t>
      </w:r>
      <w:r w:rsidR="00D6752E" w:rsidRPr="00A00E80">
        <w:rPr>
          <w:rFonts w:ascii="Garamond" w:hAnsi="Garamond"/>
          <w:sz w:val="22"/>
          <w:szCs w:val="22"/>
        </w:rPr>
        <w:t>h</w:t>
      </w:r>
      <w:r w:rsidR="008929C3" w:rsidRPr="00A00E80">
        <w:rPr>
          <w:rFonts w:ascii="Garamond" w:hAnsi="Garamond"/>
          <w:sz w:val="22"/>
          <w:szCs w:val="22"/>
        </w:rPr>
        <w:t>irds</w:t>
      </w:r>
      <w:r w:rsidR="00670304" w:rsidRPr="00A00E80">
        <w:rPr>
          <w:rFonts w:ascii="Garamond" w:hAnsi="Garamond"/>
          <w:sz w:val="22"/>
          <w:szCs w:val="22"/>
        </w:rPr>
        <w:t xml:space="preserve"> of the entire</w:t>
      </w:r>
      <w:r w:rsidR="00B75390" w:rsidRPr="00A00E80">
        <w:rPr>
          <w:rFonts w:ascii="Garamond" w:hAnsi="Garamond"/>
          <w:sz w:val="22"/>
          <w:szCs w:val="22"/>
        </w:rPr>
        <w:t xml:space="preserve"> </w:t>
      </w:r>
      <w:r w:rsidR="00670304" w:rsidRPr="00A00E80">
        <w:rPr>
          <w:rFonts w:ascii="Garamond" w:hAnsi="Garamond"/>
          <w:sz w:val="22"/>
          <w:szCs w:val="22"/>
        </w:rPr>
        <w:t>capital market (</w:t>
      </w:r>
      <w:r w:rsidR="00D6752E" w:rsidRPr="00A00E80">
        <w:rPr>
          <w:rFonts w:ascii="Garamond" w:hAnsi="Garamond"/>
          <w:sz w:val="22"/>
          <w:szCs w:val="22"/>
        </w:rPr>
        <w:t>Lu</w:t>
      </w:r>
      <w:r w:rsidR="00CA3A33" w:rsidRPr="00A00E80">
        <w:rPr>
          <w:rFonts w:ascii="Garamond" w:hAnsi="Garamond"/>
          <w:sz w:val="22"/>
          <w:szCs w:val="22"/>
        </w:rPr>
        <w:t>n</w:t>
      </w:r>
      <w:r w:rsidR="00D6752E" w:rsidRPr="00A00E80">
        <w:rPr>
          <w:rFonts w:ascii="Garamond" w:hAnsi="Garamond"/>
          <w:sz w:val="22"/>
          <w:szCs w:val="22"/>
        </w:rPr>
        <w:t xml:space="preserve">d </w:t>
      </w:r>
      <w:r w:rsidR="00304FE7" w:rsidRPr="00A00E80">
        <w:rPr>
          <w:rFonts w:ascii="Garamond" w:hAnsi="Garamond"/>
          <w:sz w:val="22"/>
          <w:szCs w:val="22"/>
        </w:rPr>
        <w:t>2022</w:t>
      </w:r>
      <w:r w:rsidR="00D6752E" w:rsidRPr="00A00E80">
        <w:rPr>
          <w:rFonts w:ascii="Garamond" w:hAnsi="Garamond"/>
          <w:sz w:val="22"/>
          <w:szCs w:val="22"/>
        </w:rPr>
        <w:t>, p. 93</w:t>
      </w:r>
      <w:r w:rsidR="00670304" w:rsidRPr="00A00E80">
        <w:rPr>
          <w:rFonts w:ascii="Garamond" w:hAnsi="Garamond"/>
          <w:sz w:val="22"/>
          <w:szCs w:val="22"/>
        </w:rPr>
        <w:t>)</w:t>
      </w:r>
      <w:r w:rsidR="00CA65DA" w:rsidRPr="00A00E80">
        <w:rPr>
          <w:rFonts w:ascii="Garamond" w:hAnsi="Garamond"/>
          <w:sz w:val="22"/>
          <w:szCs w:val="22"/>
        </w:rPr>
        <w:t>.</w:t>
      </w:r>
      <w:r w:rsidR="00B75390" w:rsidRPr="00A00E80">
        <w:rPr>
          <w:rFonts w:ascii="Garamond" w:hAnsi="Garamond"/>
          <w:sz w:val="22"/>
          <w:szCs w:val="22"/>
        </w:rPr>
        <w:t xml:space="preserve"> </w:t>
      </w:r>
      <w:r w:rsidR="001D03F2" w:rsidRPr="00A00E80">
        <w:rPr>
          <w:rFonts w:ascii="Garamond" w:hAnsi="Garamond"/>
          <w:sz w:val="22"/>
          <w:szCs w:val="22"/>
        </w:rPr>
        <w:t xml:space="preserve">In a further shift, the asset management industry </w:t>
      </w:r>
      <w:r w:rsidR="00876C9F" w:rsidRPr="00A00E80">
        <w:rPr>
          <w:rFonts w:ascii="Garamond" w:hAnsi="Garamond"/>
          <w:sz w:val="22"/>
          <w:szCs w:val="22"/>
        </w:rPr>
        <w:t>has become</w:t>
      </w:r>
      <w:r w:rsidR="001D03F2" w:rsidRPr="00A00E80">
        <w:rPr>
          <w:rFonts w:ascii="Garamond" w:hAnsi="Garamond"/>
          <w:sz w:val="22"/>
          <w:szCs w:val="22"/>
        </w:rPr>
        <w:t xml:space="preserve"> highly concentrated</w:t>
      </w:r>
      <w:r w:rsidR="00670304" w:rsidRPr="00A00E80">
        <w:rPr>
          <w:rFonts w:ascii="Garamond" w:hAnsi="Garamond"/>
          <w:sz w:val="22"/>
          <w:szCs w:val="22"/>
        </w:rPr>
        <w:t xml:space="preserve"> (Ben-David, </w:t>
      </w:r>
      <w:proofErr w:type="spellStart"/>
      <w:r w:rsidR="00670304" w:rsidRPr="00A00E80">
        <w:rPr>
          <w:rFonts w:ascii="Garamond" w:hAnsi="Garamond"/>
          <w:sz w:val="22"/>
          <w:szCs w:val="22"/>
        </w:rPr>
        <w:t>Franzoni</w:t>
      </w:r>
      <w:proofErr w:type="spellEnd"/>
      <w:r w:rsidR="00670304" w:rsidRPr="00A00E80">
        <w:rPr>
          <w:rFonts w:ascii="Garamond" w:hAnsi="Garamond"/>
          <w:sz w:val="22"/>
          <w:szCs w:val="22"/>
        </w:rPr>
        <w:t xml:space="preserve">, </w:t>
      </w:r>
      <w:proofErr w:type="spellStart"/>
      <w:r w:rsidR="00670304" w:rsidRPr="00A00E80">
        <w:rPr>
          <w:rFonts w:ascii="Garamond" w:hAnsi="Garamond"/>
          <w:sz w:val="22"/>
          <w:szCs w:val="22"/>
        </w:rPr>
        <w:t>Moussawi</w:t>
      </w:r>
      <w:proofErr w:type="spellEnd"/>
      <w:r w:rsidR="00670304" w:rsidRPr="00A00E80">
        <w:rPr>
          <w:rFonts w:ascii="Garamond" w:hAnsi="Garamond"/>
          <w:sz w:val="22"/>
          <w:szCs w:val="22"/>
        </w:rPr>
        <w:t xml:space="preserve"> &amp; </w:t>
      </w:r>
      <w:proofErr w:type="spellStart"/>
      <w:r w:rsidR="00670304" w:rsidRPr="00A00E80">
        <w:rPr>
          <w:rFonts w:ascii="Garamond" w:hAnsi="Garamond"/>
          <w:sz w:val="22"/>
          <w:szCs w:val="22"/>
        </w:rPr>
        <w:t>Sedunov</w:t>
      </w:r>
      <w:proofErr w:type="spellEnd"/>
      <w:r w:rsidR="00D44889" w:rsidRPr="00A00E80">
        <w:rPr>
          <w:rFonts w:ascii="Garamond" w:hAnsi="Garamond"/>
          <w:sz w:val="22"/>
          <w:szCs w:val="22"/>
        </w:rPr>
        <w:t xml:space="preserve"> </w:t>
      </w:r>
      <w:r w:rsidR="00670304" w:rsidRPr="00A00E80">
        <w:rPr>
          <w:rFonts w:ascii="Garamond" w:hAnsi="Garamond"/>
          <w:sz w:val="22"/>
          <w:szCs w:val="22"/>
        </w:rPr>
        <w:t>20</w:t>
      </w:r>
      <w:r w:rsidR="001D2C9F" w:rsidRPr="00A00E80">
        <w:rPr>
          <w:rFonts w:ascii="Garamond" w:hAnsi="Garamond"/>
          <w:sz w:val="22"/>
          <w:szCs w:val="22"/>
        </w:rPr>
        <w:t>21</w:t>
      </w:r>
      <w:r w:rsidR="00670304" w:rsidRPr="00A00E80">
        <w:rPr>
          <w:rFonts w:ascii="Garamond" w:hAnsi="Garamond"/>
          <w:sz w:val="22"/>
          <w:szCs w:val="22"/>
        </w:rPr>
        <w:t>)</w:t>
      </w:r>
      <w:r w:rsidR="00876C9F" w:rsidRPr="00A00E80">
        <w:rPr>
          <w:rFonts w:ascii="Garamond" w:hAnsi="Garamond"/>
          <w:sz w:val="22"/>
          <w:szCs w:val="22"/>
        </w:rPr>
        <w:t>, with a mere</w:t>
      </w:r>
      <w:r w:rsidR="001D03F2" w:rsidRPr="00A00E80">
        <w:rPr>
          <w:rFonts w:ascii="Garamond" w:hAnsi="Garamond"/>
          <w:sz w:val="22"/>
          <w:szCs w:val="22"/>
        </w:rPr>
        <w:t xml:space="preserve"> twenty-five institutional investors </w:t>
      </w:r>
      <w:r w:rsidR="00876C9F" w:rsidRPr="00A00E80">
        <w:rPr>
          <w:rFonts w:ascii="Garamond" w:hAnsi="Garamond"/>
          <w:sz w:val="22"/>
          <w:szCs w:val="22"/>
        </w:rPr>
        <w:t>owning</w:t>
      </w:r>
      <w:r w:rsidR="001D03F2" w:rsidRPr="00A00E80">
        <w:rPr>
          <w:rFonts w:ascii="Garamond" w:hAnsi="Garamond"/>
          <w:sz w:val="22"/>
          <w:szCs w:val="22"/>
        </w:rPr>
        <w:t xml:space="preserve"> more than </w:t>
      </w:r>
      <w:r w:rsidR="00A82AB1" w:rsidRPr="00A00E80">
        <w:rPr>
          <w:rFonts w:ascii="Garamond" w:hAnsi="Garamond"/>
          <w:sz w:val="22"/>
          <w:szCs w:val="22"/>
        </w:rPr>
        <w:t>30%</w:t>
      </w:r>
      <w:r w:rsidR="001D03F2" w:rsidRPr="00A00E80">
        <w:rPr>
          <w:rFonts w:ascii="Garamond" w:hAnsi="Garamond"/>
          <w:sz w:val="22"/>
          <w:szCs w:val="22"/>
        </w:rPr>
        <w:t xml:space="preserve"> of the U.S. capital market (Kahan </w:t>
      </w:r>
      <w:r w:rsidR="00802FD8" w:rsidRPr="00A00E80">
        <w:rPr>
          <w:rFonts w:ascii="Garamond" w:hAnsi="Garamond"/>
          <w:sz w:val="22"/>
          <w:szCs w:val="22"/>
        </w:rPr>
        <w:t>&amp;</w:t>
      </w:r>
      <w:r w:rsidR="001D03F2" w:rsidRPr="00A00E80">
        <w:rPr>
          <w:rFonts w:ascii="Garamond" w:hAnsi="Garamond"/>
          <w:sz w:val="22"/>
          <w:szCs w:val="22"/>
        </w:rPr>
        <w:t xml:space="preserve"> Rock</w:t>
      </w:r>
      <w:r w:rsidR="00B75390" w:rsidRPr="00A00E80">
        <w:rPr>
          <w:rFonts w:ascii="Garamond" w:hAnsi="Garamond"/>
          <w:sz w:val="22"/>
          <w:szCs w:val="22"/>
        </w:rPr>
        <w:t xml:space="preserve"> 20</w:t>
      </w:r>
      <w:r w:rsidR="00CA13DE" w:rsidRPr="00A00E80">
        <w:rPr>
          <w:rFonts w:ascii="Garamond" w:hAnsi="Garamond"/>
          <w:sz w:val="22"/>
          <w:szCs w:val="22"/>
        </w:rPr>
        <w:t>19</w:t>
      </w:r>
      <w:r w:rsidR="00B75390" w:rsidRPr="00A00E80">
        <w:rPr>
          <w:rFonts w:ascii="Garamond" w:hAnsi="Garamond"/>
          <w:sz w:val="22"/>
          <w:szCs w:val="22"/>
        </w:rPr>
        <w:t xml:space="preserve">, </w:t>
      </w:r>
      <w:r w:rsidR="00282093" w:rsidRPr="00A00E80">
        <w:rPr>
          <w:rFonts w:ascii="Garamond" w:hAnsi="Garamond"/>
          <w:sz w:val="22"/>
          <w:szCs w:val="22"/>
        </w:rPr>
        <w:t>p</w:t>
      </w:r>
      <w:r w:rsidR="00763ACB" w:rsidRPr="00A00E80">
        <w:rPr>
          <w:rFonts w:ascii="Garamond" w:hAnsi="Garamond"/>
          <w:sz w:val="22"/>
          <w:szCs w:val="22"/>
        </w:rPr>
        <w:t>p. 939</w:t>
      </w:r>
      <w:r w:rsidR="006F6568" w:rsidRPr="00A00E80">
        <w:rPr>
          <w:rFonts w:ascii="Garamond" w:hAnsi="Garamond"/>
          <w:sz w:val="22"/>
          <w:szCs w:val="22"/>
        </w:rPr>
        <w:t>–</w:t>
      </w:r>
      <w:r w:rsidR="00763ACB" w:rsidRPr="00A00E80">
        <w:rPr>
          <w:rFonts w:ascii="Garamond" w:hAnsi="Garamond"/>
          <w:sz w:val="22"/>
          <w:szCs w:val="22"/>
        </w:rPr>
        <w:t>940</w:t>
      </w:r>
      <w:r w:rsidR="00282093" w:rsidRPr="00A00E80">
        <w:rPr>
          <w:rFonts w:ascii="Garamond" w:hAnsi="Garamond"/>
          <w:sz w:val="22"/>
          <w:szCs w:val="22"/>
        </w:rPr>
        <w:t xml:space="preserve">). </w:t>
      </w:r>
      <w:r w:rsidR="00A54312" w:rsidRPr="00A00E80">
        <w:rPr>
          <w:rFonts w:ascii="Garamond" w:hAnsi="Garamond"/>
          <w:sz w:val="22"/>
          <w:szCs w:val="22"/>
        </w:rPr>
        <w:t>Collectively, t</w:t>
      </w:r>
      <w:r w:rsidR="00684778" w:rsidRPr="009B164F">
        <w:rPr>
          <w:rFonts w:ascii="Garamond" w:hAnsi="Garamond" w:cstheme="majorBidi"/>
          <w:sz w:val="22"/>
          <w:szCs w:val="22"/>
        </w:rPr>
        <w:t xml:space="preserve">he </w:t>
      </w:r>
      <w:r w:rsidR="002070B6">
        <w:rPr>
          <w:rFonts w:ascii="Garamond" w:hAnsi="Garamond" w:cstheme="majorBidi"/>
          <w:sz w:val="22"/>
          <w:szCs w:val="22"/>
        </w:rPr>
        <w:t>“</w:t>
      </w:r>
      <w:r w:rsidR="00684778" w:rsidRPr="009B164F">
        <w:rPr>
          <w:rFonts w:ascii="Garamond" w:hAnsi="Garamond" w:cstheme="majorBidi"/>
          <w:sz w:val="22"/>
          <w:szCs w:val="22"/>
        </w:rPr>
        <w:t xml:space="preserve">Big </w:t>
      </w:r>
      <w:r w:rsidR="00A54312" w:rsidRPr="009B164F">
        <w:rPr>
          <w:rFonts w:ascii="Garamond" w:hAnsi="Garamond" w:cstheme="majorBidi"/>
          <w:sz w:val="22"/>
          <w:szCs w:val="22"/>
        </w:rPr>
        <w:t>Three</w:t>
      </w:r>
      <w:r w:rsidR="002070B6">
        <w:rPr>
          <w:rFonts w:ascii="Garamond" w:hAnsi="Garamond" w:cstheme="majorBidi"/>
          <w:sz w:val="22"/>
          <w:szCs w:val="22"/>
        </w:rPr>
        <w:t>”</w:t>
      </w:r>
      <w:r w:rsidR="00684778" w:rsidRPr="009B164F">
        <w:rPr>
          <w:rFonts w:ascii="Garamond" w:hAnsi="Garamond" w:cstheme="majorBidi"/>
          <w:sz w:val="22"/>
          <w:szCs w:val="22"/>
        </w:rPr>
        <w:t xml:space="preserve"> asset managers—</w:t>
      </w:r>
      <w:r w:rsidR="00A85A9F">
        <w:rPr>
          <w:rFonts w:ascii="Garamond" w:hAnsi="Garamond" w:cstheme="majorBidi"/>
          <w:sz w:val="22"/>
          <w:szCs w:val="22"/>
        </w:rPr>
        <w:t xml:space="preserve">the </w:t>
      </w:r>
      <w:r w:rsidR="00684778" w:rsidRPr="009B164F">
        <w:rPr>
          <w:rFonts w:ascii="Garamond" w:hAnsi="Garamond" w:cstheme="majorBidi"/>
          <w:sz w:val="22"/>
          <w:szCs w:val="22"/>
        </w:rPr>
        <w:t>BlackRock</w:t>
      </w:r>
      <w:r w:rsidR="00A85A9F">
        <w:rPr>
          <w:rFonts w:ascii="Garamond" w:hAnsi="Garamond" w:cstheme="majorBidi"/>
          <w:sz w:val="22"/>
          <w:szCs w:val="22"/>
        </w:rPr>
        <w:t xml:space="preserve"> Group</w:t>
      </w:r>
      <w:r w:rsidR="00A54312" w:rsidRPr="009B164F">
        <w:rPr>
          <w:rFonts w:ascii="Garamond" w:hAnsi="Garamond" w:cstheme="majorBidi"/>
          <w:sz w:val="22"/>
          <w:szCs w:val="22"/>
        </w:rPr>
        <w:t xml:space="preserve">, </w:t>
      </w:r>
      <w:r w:rsidR="00A85A9F" w:rsidRPr="00A85A9F">
        <w:rPr>
          <w:rFonts w:ascii="Garamond" w:hAnsi="Garamond" w:cstheme="majorBidi"/>
          <w:sz w:val="22"/>
          <w:szCs w:val="22"/>
        </w:rPr>
        <w:t>the Vanguard Group</w:t>
      </w:r>
      <w:r w:rsidR="00A54312" w:rsidRPr="009B164F">
        <w:rPr>
          <w:rFonts w:ascii="Garamond" w:hAnsi="Garamond" w:cstheme="majorBidi"/>
          <w:sz w:val="22"/>
          <w:szCs w:val="22"/>
        </w:rPr>
        <w:t>, and Fidelity</w:t>
      </w:r>
      <w:r w:rsidR="00A85A9F">
        <w:rPr>
          <w:rFonts w:ascii="Garamond" w:hAnsi="Garamond" w:cstheme="majorBidi"/>
          <w:sz w:val="22"/>
          <w:szCs w:val="22"/>
        </w:rPr>
        <w:t xml:space="preserve"> Investments</w:t>
      </w:r>
      <w:r w:rsidR="00684778" w:rsidRPr="009B164F">
        <w:rPr>
          <w:rFonts w:ascii="Garamond" w:hAnsi="Garamond" w:cstheme="majorBidi"/>
          <w:sz w:val="22"/>
          <w:szCs w:val="22"/>
        </w:rPr>
        <w:t>—</w:t>
      </w:r>
      <w:r w:rsidR="00A54312" w:rsidRPr="009B164F">
        <w:rPr>
          <w:rFonts w:ascii="Garamond" w:hAnsi="Garamond" w:cstheme="majorBidi"/>
          <w:sz w:val="22"/>
          <w:szCs w:val="22"/>
        </w:rPr>
        <w:t xml:space="preserve">boast </w:t>
      </w:r>
      <w:r w:rsidR="007B2DF1">
        <w:rPr>
          <w:rFonts w:ascii="Garamond" w:hAnsi="Garamond" w:cstheme="majorBidi"/>
          <w:sz w:val="22"/>
          <w:szCs w:val="22"/>
        </w:rPr>
        <w:t>a</w:t>
      </w:r>
      <w:r w:rsidR="00A54312" w:rsidRPr="009B164F">
        <w:rPr>
          <w:rFonts w:ascii="Garamond" w:hAnsi="Garamond" w:cstheme="majorBidi"/>
          <w:sz w:val="22"/>
          <w:szCs w:val="22"/>
        </w:rPr>
        <w:t>ssets under management (AUM) of $24 trillion.</w:t>
      </w:r>
      <w:r w:rsidR="006D4177" w:rsidRPr="009B164F">
        <w:rPr>
          <w:rFonts w:ascii="Garamond" w:hAnsi="Garamond" w:cstheme="majorBidi"/>
          <w:sz w:val="22"/>
          <w:szCs w:val="22"/>
        </w:rPr>
        <w:t xml:space="preserve"> Together with the fourth largest asset manager, </w:t>
      </w:r>
      <w:r w:rsidR="00B82B87">
        <w:rPr>
          <w:rFonts w:ascii="Garamond" w:hAnsi="Garamond" w:cstheme="majorBidi"/>
          <w:sz w:val="22"/>
          <w:szCs w:val="22"/>
        </w:rPr>
        <w:t>State Street Global</w:t>
      </w:r>
      <w:r w:rsidR="00A85A9F">
        <w:rPr>
          <w:rFonts w:ascii="Garamond" w:hAnsi="Garamond" w:cstheme="majorBidi"/>
          <w:sz w:val="22"/>
          <w:szCs w:val="22"/>
        </w:rPr>
        <w:t xml:space="preserve"> Advisors</w:t>
      </w:r>
      <w:r w:rsidR="00B82B87">
        <w:rPr>
          <w:rFonts w:ascii="Garamond" w:hAnsi="Garamond" w:cstheme="majorBidi"/>
          <w:sz w:val="22"/>
          <w:szCs w:val="22"/>
        </w:rPr>
        <w:t xml:space="preserve">, </w:t>
      </w:r>
      <w:r w:rsidR="006D4177" w:rsidRPr="009B164F">
        <w:rPr>
          <w:rFonts w:ascii="Garamond" w:hAnsi="Garamond" w:cstheme="majorBidi"/>
          <w:sz w:val="22"/>
          <w:szCs w:val="22"/>
        </w:rPr>
        <w:t xml:space="preserve">they </w:t>
      </w:r>
      <w:r w:rsidR="00684778" w:rsidRPr="009B164F">
        <w:rPr>
          <w:rFonts w:ascii="Garamond" w:hAnsi="Garamond" w:cstheme="majorBidi"/>
          <w:sz w:val="22"/>
          <w:szCs w:val="22"/>
        </w:rPr>
        <w:t>control more than 20 percent of the voting power in S&amp;P 500 companies, representing a concentration of corporate influence hitherto unheard-of in American economic history</w:t>
      </w:r>
      <w:r w:rsidR="00A54312" w:rsidRPr="009B164F">
        <w:rPr>
          <w:rFonts w:ascii="Garamond" w:hAnsi="Garamond" w:cstheme="majorBidi"/>
          <w:sz w:val="22"/>
          <w:szCs w:val="22"/>
        </w:rPr>
        <w:t xml:space="preserve"> (Coats 2023). </w:t>
      </w:r>
    </w:p>
    <w:p w14:paraId="3212E557" w14:textId="3EC37102" w:rsidR="000A33F0" w:rsidRPr="00A00E80" w:rsidRDefault="00460EA8" w:rsidP="00176D8E">
      <w:pPr>
        <w:spacing w:line="360" w:lineRule="auto"/>
        <w:ind w:firstLine="426"/>
        <w:jc w:val="both"/>
        <w:rPr>
          <w:rFonts w:ascii="Garamond" w:hAnsi="Garamond"/>
          <w:sz w:val="22"/>
          <w:szCs w:val="22"/>
        </w:rPr>
      </w:pPr>
      <w:r w:rsidRPr="00A00E80">
        <w:rPr>
          <w:rFonts w:ascii="Garamond" w:hAnsi="Garamond"/>
          <w:sz w:val="22"/>
          <w:szCs w:val="22"/>
        </w:rPr>
        <w:t xml:space="preserve">The </w:t>
      </w:r>
      <w:r w:rsidR="00012B6C" w:rsidRPr="00A00E80">
        <w:rPr>
          <w:rFonts w:ascii="Garamond" w:hAnsi="Garamond"/>
          <w:sz w:val="22"/>
          <w:szCs w:val="22"/>
        </w:rPr>
        <w:t xml:space="preserve">paradigm </w:t>
      </w:r>
      <w:proofErr w:type="gramStart"/>
      <w:r w:rsidR="00BC3387" w:rsidRPr="00A00E80">
        <w:rPr>
          <w:rFonts w:ascii="Garamond" w:hAnsi="Garamond"/>
          <w:sz w:val="22"/>
          <w:szCs w:val="22"/>
        </w:rPr>
        <w:t>shift</w:t>
      </w:r>
      <w:proofErr w:type="gramEnd"/>
      <w:r w:rsidRPr="00A00E80">
        <w:rPr>
          <w:rFonts w:ascii="Garamond" w:hAnsi="Garamond"/>
          <w:sz w:val="22"/>
          <w:szCs w:val="22"/>
        </w:rPr>
        <w:t xml:space="preserve"> to intermediated markets</w:t>
      </w:r>
      <w:r w:rsidR="00241A4C" w:rsidRPr="00A00E80">
        <w:rPr>
          <w:rFonts w:ascii="Garamond" w:hAnsi="Garamond"/>
          <w:sz w:val="22"/>
          <w:szCs w:val="22"/>
        </w:rPr>
        <w:t>,</w:t>
      </w:r>
      <w:r w:rsidRPr="00A00E80">
        <w:rPr>
          <w:rFonts w:ascii="Garamond" w:hAnsi="Garamond"/>
          <w:sz w:val="22"/>
          <w:szCs w:val="22"/>
        </w:rPr>
        <w:t xml:space="preserve"> in which powerful institutional investors wield enormous influence over </w:t>
      </w:r>
      <w:r w:rsidR="001E6676" w:rsidRPr="00A00E80">
        <w:rPr>
          <w:rFonts w:ascii="Garamond" w:hAnsi="Garamond"/>
          <w:sz w:val="22"/>
          <w:szCs w:val="22"/>
        </w:rPr>
        <w:t>capital</w:t>
      </w:r>
      <w:r w:rsidRPr="00A00E80">
        <w:rPr>
          <w:rFonts w:ascii="Garamond" w:hAnsi="Garamond"/>
          <w:sz w:val="22"/>
          <w:szCs w:val="22"/>
        </w:rPr>
        <w:t xml:space="preserve"> market</w:t>
      </w:r>
      <w:r w:rsidR="001E6676" w:rsidRPr="00A00E80">
        <w:rPr>
          <w:rFonts w:ascii="Garamond" w:hAnsi="Garamond"/>
          <w:sz w:val="22"/>
          <w:szCs w:val="22"/>
        </w:rPr>
        <w:t>s</w:t>
      </w:r>
      <w:r w:rsidRPr="00A00E80">
        <w:rPr>
          <w:rFonts w:ascii="Garamond" w:hAnsi="Garamond"/>
          <w:sz w:val="22"/>
          <w:szCs w:val="22"/>
        </w:rPr>
        <w:t xml:space="preserve"> </w:t>
      </w:r>
      <w:r w:rsidR="001E6676" w:rsidRPr="00A00E80">
        <w:rPr>
          <w:rFonts w:ascii="Garamond" w:hAnsi="Garamond"/>
          <w:sz w:val="22"/>
          <w:szCs w:val="22"/>
        </w:rPr>
        <w:t>and the companies participat</w:t>
      </w:r>
      <w:r w:rsidR="008147AB" w:rsidRPr="00A00E80">
        <w:rPr>
          <w:rFonts w:ascii="Garamond" w:hAnsi="Garamond"/>
          <w:sz w:val="22"/>
          <w:szCs w:val="22"/>
        </w:rPr>
        <w:t>ing</w:t>
      </w:r>
      <w:r w:rsidR="001E6676" w:rsidRPr="00A00E80">
        <w:rPr>
          <w:rFonts w:ascii="Garamond" w:hAnsi="Garamond"/>
          <w:sz w:val="22"/>
          <w:szCs w:val="22"/>
        </w:rPr>
        <w:t xml:space="preserve"> in </w:t>
      </w:r>
      <w:r w:rsidR="00241A4C" w:rsidRPr="00A00E80">
        <w:rPr>
          <w:rFonts w:ascii="Garamond" w:hAnsi="Garamond"/>
          <w:sz w:val="22"/>
          <w:szCs w:val="22"/>
        </w:rPr>
        <w:t xml:space="preserve">these markets, </w:t>
      </w:r>
      <w:r w:rsidR="008F15CC" w:rsidRPr="00A00E80">
        <w:rPr>
          <w:rFonts w:ascii="Garamond" w:hAnsi="Garamond"/>
          <w:sz w:val="22"/>
          <w:szCs w:val="22"/>
        </w:rPr>
        <w:t>presents a myriad of</w:t>
      </w:r>
      <w:r w:rsidR="001E6676" w:rsidRPr="00A00E80">
        <w:rPr>
          <w:rFonts w:ascii="Garamond" w:hAnsi="Garamond"/>
          <w:sz w:val="22"/>
          <w:szCs w:val="22"/>
        </w:rPr>
        <w:t xml:space="preserve"> </w:t>
      </w:r>
      <w:r w:rsidR="003801C2" w:rsidRPr="00A00E80">
        <w:rPr>
          <w:rFonts w:ascii="Garamond" w:hAnsi="Garamond"/>
          <w:sz w:val="22"/>
          <w:szCs w:val="22"/>
        </w:rPr>
        <w:t>economic</w:t>
      </w:r>
      <w:r w:rsidR="00B23E82" w:rsidRPr="00A00E80">
        <w:rPr>
          <w:rFonts w:ascii="Garamond" w:hAnsi="Garamond"/>
          <w:sz w:val="22"/>
          <w:szCs w:val="22"/>
        </w:rPr>
        <w:t>, political,</w:t>
      </w:r>
      <w:r w:rsidR="003801C2" w:rsidRPr="00A00E80">
        <w:rPr>
          <w:rFonts w:ascii="Garamond" w:hAnsi="Garamond"/>
          <w:sz w:val="22"/>
          <w:szCs w:val="22"/>
        </w:rPr>
        <w:t xml:space="preserve"> and social</w:t>
      </w:r>
      <w:r w:rsidR="001E6676" w:rsidRPr="00A00E80">
        <w:rPr>
          <w:rFonts w:ascii="Garamond" w:hAnsi="Garamond"/>
          <w:sz w:val="22"/>
          <w:szCs w:val="22"/>
        </w:rPr>
        <w:t xml:space="preserve"> challenges</w:t>
      </w:r>
      <w:r w:rsidR="00B23E82" w:rsidRPr="00A00E80">
        <w:rPr>
          <w:rFonts w:ascii="Garamond" w:hAnsi="Garamond"/>
          <w:sz w:val="22"/>
          <w:szCs w:val="22"/>
        </w:rPr>
        <w:t xml:space="preserve"> (</w:t>
      </w:r>
      <w:r w:rsidR="00A82AB1" w:rsidRPr="00A00E80">
        <w:rPr>
          <w:rFonts w:ascii="Garamond" w:hAnsi="Garamond"/>
          <w:sz w:val="22"/>
          <w:szCs w:val="22"/>
        </w:rPr>
        <w:t xml:space="preserve">Azar, </w:t>
      </w:r>
      <w:proofErr w:type="spellStart"/>
      <w:r w:rsidR="00A82AB1" w:rsidRPr="00A00E80">
        <w:rPr>
          <w:rFonts w:ascii="Garamond" w:hAnsi="Garamond"/>
          <w:sz w:val="22"/>
          <w:szCs w:val="22"/>
        </w:rPr>
        <w:t>Tecu</w:t>
      </w:r>
      <w:proofErr w:type="spellEnd"/>
      <w:r w:rsidR="00A82AB1" w:rsidRPr="00A00E80">
        <w:rPr>
          <w:rFonts w:ascii="Garamond" w:hAnsi="Garamond"/>
          <w:sz w:val="22"/>
          <w:szCs w:val="22"/>
        </w:rPr>
        <w:t xml:space="preserve"> &amp; Schmaltz 2018; </w:t>
      </w:r>
      <w:proofErr w:type="spellStart"/>
      <w:r w:rsidR="003123DF" w:rsidRPr="00A00E80">
        <w:rPr>
          <w:rFonts w:ascii="Garamond" w:hAnsi="Garamond"/>
          <w:sz w:val="22"/>
          <w:szCs w:val="22"/>
        </w:rPr>
        <w:t>Bebchuk</w:t>
      </w:r>
      <w:proofErr w:type="spellEnd"/>
      <w:r w:rsidR="003123DF" w:rsidRPr="00A00E80">
        <w:rPr>
          <w:rFonts w:ascii="Garamond" w:hAnsi="Garamond"/>
          <w:sz w:val="22"/>
          <w:szCs w:val="22"/>
        </w:rPr>
        <w:t xml:space="preserve">, Cohen &amp; Hirst 2017; </w:t>
      </w:r>
      <w:r w:rsidR="005C4C3A" w:rsidRPr="00A00E80">
        <w:rPr>
          <w:rFonts w:ascii="Garamond" w:hAnsi="Garamond"/>
          <w:sz w:val="22"/>
          <w:szCs w:val="22"/>
        </w:rPr>
        <w:t>Brav, Malenko &amp; Malenko</w:t>
      </w:r>
      <w:r w:rsidR="00D44889" w:rsidRPr="00A00E80">
        <w:rPr>
          <w:rFonts w:ascii="Garamond" w:hAnsi="Garamond"/>
          <w:sz w:val="22"/>
          <w:szCs w:val="22"/>
        </w:rPr>
        <w:t xml:space="preserve"> 2023</w:t>
      </w:r>
      <w:r w:rsidR="00A82AB1" w:rsidRPr="00A00E80">
        <w:rPr>
          <w:rFonts w:ascii="Garamond" w:hAnsi="Garamond"/>
          <w:sz w:val="22"/>
          <w:szCs w:val="22"/>
        </w:rPr>
        <w:t>; Coates 2023</w:t>
      </w:r>
      <w:r w:rsidR="00B23E82" w:rsidRPr="00A00E80">
        <w:rPr>
          <w:rFonts w:ascii="Garamond" w:hAnsi="Garamond"/>
          <w:sz w:val="22"/>
          <w:szCs w:val="22"/>
        </w:rPr>
        <w:t>)</w:t>
      </w:r>
      <w:r w:rsidR="0021371A" w:rsidRPr="00A00E80">
        <w:rPr>
          <w:rFonts w:ascii="Garamond" w:hAnsi="Garamond"/>
          <w:sz w:val="22"/>
          <w:szCs w:val="22"/>
        </w:rPr>
        <w:t xml:space="preserve">. A rapidly growing </w:t>
      </w:r>
      <w:r w:rsidR="00241A4C" w:rsidRPr="00A00E80">
        <w:rPr>
          <w:rFonts w:ascii="Garamond" w:hAnsi="Garamond"/>
          <w:sz w:val="22"/>
          <w:szCs w:val="22"/>
        </w:rPr>
        <w:t xml:space="preserve">body </w:t>
      </w:r>
      <w:r w:rsidR="0021371A" w:rsidRPr="00A00E80">
        <w:rPr>
          <w:rFonts w:ascii="Garamond" w:hAnsi="Garamond"/>
          <w:sz w:val="22"/>
          <w:szCs w:val="22"/>
        </w:rPr>
        <w:t xml:space="preserve">of </w:t>
      </w:r>
      <w:r w:rsidR="006F208A" w:rsidRPr="00A00E80">
        <w:rPr>
          <w:rFonts w:ascii="Garamond" w:hAnsi="Garamond"/>
          <w:sz w:val="22"/>
          <w:szCs w:val="22"/>
        </w:rPr>
        <w:t xml:space="preserve">theoretical and empirical literature </w:t>
      </w:r>
      <w:r w:rsidR="005E6DF4" w:rsidRPr="00A00E80">
        <w:rPr>
          <w:rFonts w:ascii="Garamond" w:hAnsi="Garamond"/>
          <w:sz w:val="22"/>
          <w:szCs w:val="22"/>
        </w:rPr>
        <w:t xml:space="preserve">has begun to </w:t>
      </w:r>
      <w:r w:rsidR="00F7311E" w:rsidRPr="00A00E80">
        <w:rPr>
          <w:rFonts w:ascii="Garamond" w:hAnsi="Garamond"/>
          <w:sz w:val="22"/>
          <w:szCs w:val="22"/>
        </w:rPr>
        <w:t xml:space="preserve">identify these </w:t>
      </w:r>
      <w:r w:rsidR="000A2C5B" w:rsidRPr="00A00E80">
        <w:rPr>
          <w:rFonts w:ascii="Garamond" w:hAnsi="Garamond"/>
          <w:sz w:val="22"/>
          <w:szCs w:val="22"/>
        </w:rPr>
        <w:t>challenges</w:t>
      </w:r>
      <w:r w:rsidR="00DA368F" w:rsidRPr="00A00E80">
        <w:rPr>
          <w:rFonts w:ascii="Garamond" w:hAnsi="Garamond"/>
          <w:sz w:val="22"/>
          <w:szCs w:val="22"/>
        </w:rPr>
        <w:t>,</w:t>
      </w:r>
      <w:r w:rsidR="00F7311E" w:rsidRPr="00A00E80">
        <w:rPr>
          <w:rFonts w:ascii="Garamond" w:hAnsi="Garamond"/>
          <w:sz w:val="22"/>
          <w:szCs w:val="22"/>
        </w:rPr>
        <w:t xml:space="preserve"> </w:t>
      </w:r>
      <w:r w:rsidR="007A29E5" w:rsidRPr="00A00E80">
        <w:rPr>
          <w:rFonts w:ascii="Garamond" w:hAnsi="Garamond"/>
          <w:sz w:val="22"/>
          <w:szCs w:val="22"/>
        </w:rPr>
        <w:t xml:space="preserve">exploring </w:t>
      </w:r>
      <w:r w:rsidR="00DA368F" w:rsidRPr="00A00E80">
        <w:rPr>
          <w:rFonts w:ascii="Garamond" w:hAnsi="Garamond"/>
          <w:sz w:val="22"/>
          <w:szCs w:val="22"/>
        </w:rPr>
        <w:t xml:space="preserve">how </w:t>
      </w:r>
      <w:r w:rsidR="003A45F2" w:rsidRPr="00A00E80">
        <w:rPr>
          <w:rFonts w:ascii="Garamond" w:hAnsi="Garamond"/>
          <w:sz w:val="22"/>
          <w:szCs w:val="22"/>
        </w:rPr>
        <w:t xml:space="preserve">recent market </w:t>
      </w:r>
      <w:r w:rsidR="005E6DF4" w:rsidRPr="00A00E80">
        <w:rPr>
          <w:rFonts w:ascii="Garamond" w:hAnsi="Garamond"/>
          <w:sz w:val="22"/>
          <w:szCs w:val="22"/>
        </w:rPr>
        <w:t>changes</w:t>
      </w:r>
      <w:r w:rsidR="00DA368F" w:rsidRPr="00A00E80">
        <w:rPr>
          <w:rFonts w:ascii="Garamond" w:hAnsi="Garamond"/>
          <w:sz w:val="22"/>
          <w:szCs w:val="22"/>
        </w:rPr>
        <w:t xml:space="preserve"> </w:t>
      </w:r>
      <w:r w:rsidR="0053319F" w:rsidRPr="00A00E80">
        <w:rPr>
          <w:rFonts w:ascii="Garamond" w:hAnsi="Garamond"/>
          <w:sz w:val="22"/>
          <w:szCs w:val="22"/>
        </w:rPr>
        <w:t xml:space="preserve">entail significant anticompetitive risks in product markets </w:t>
      </w:r>
      <w:r w:rsidR="00131131" w:rsidRPr="00A00E80">
        <w:rPr>
          <w:rFonts w:ascii="Garamond" w:hAnsi="Garamond"/>
          <w:sz w:val="22"/>
          <w:szCs w:val="22"/>
        </w:rPr>
        <w:t>(</w:t>
      </w:r>
      <w:r w:rsidR="00845443" w:rsidRPr="00A00E80">
        <w:rPr>
          <w:rFonts w:ascii="Garamond" w:hAnsi="Garamond"/>
          <w:sz w:val="22"/>
          <w:szCs w:val="22"/>
        </w:rPr>
        <w:t xml:space="preserve">Azar, </w:t>
      </w:r>
      <w:proofErr w:type="spellStart"/>
      <w:r w:rsidR="00845443" w:rsidRPr="00A00E80">
        <w:rPr>
          <w:rFonts w:ascii="Garamond" w:hAnsi="Garamond"/>
          <w:sz w:val="22"/>
          <w:szCs w:val="22"/>
        </w:rPr>
        <w:t>Tecu</w:t>
      </w:r>
      <w:proofErr w:type="spellEnd"/>
      <w:r w:rsidR="00845443" w:rsidRPr="00A00E80">
        <w:rPr>
          <w:rFonts w:ascii="Garamond" w:hAnsi="Garamond"/>
          <w:sz w:val="22"/>
          <w:szCs w:val="22"/>
        </w:rPr>
        <w:t xml:space="preserve"> &amp; </w:t>
      </w:r>
      <w:proofErr w:type="spellStart"/>
      <w:r w:rsidR="00845443" w:rsidRPr="00A00E80">
        <w:rPr>
          <w:rFonts w:ascii="Garamond" w:hAnsi="Garamond"/>
          <w:sz w:val="22"/>
          <w:szCs w:val="22"/>
        </w:rPr>
        <w:t>Schmeltz</w:t>
      </w:r>
      <w:proofErr w:type="spellEnd"/>
      <w:r w:rsidR="00845443" w:rsidRPr="00A00E80">
        <w:rPr>
          <w:rFonts w:ascii="Garamond" w:hAnsi="Garamond"/>
          <w:sz w:val="22"/>
          <w:szCs w:val="22"/>
        </w:rPr>
        <w:t xml:space="preserve"> 2018</w:t>
      </w:r>
      <w:r w:rsidR="00131131" w:rsidRPr="00A00E80">
        <w:rPr>
          <w:rFonts w:ascii="Garamond" w:hAnsi="Garamond"/>
          <w:sz w:val="22"/>
          <w:szCs w:val="22"/>
        </w:rPr>
        <w:t>;</w:t>
      </w:r>
      <w:r w:rsidR="00845443" w:rsidRPr="00A00E80">
        <w:rPr>
          <w:rFonts w:ascii="Garamond" w:hAnsi="Garamond"/>
          <w:sz w:val="22"/>
          <w:szCs w:val="22"/>
        </w:rPr>
        <w:t xml:space="preserve"> Elhauge 201</w:t>
      </w:r>
      <w:r w:rsidR="007769F7" w:rsidRPr="00A00E80">
        <w:rPr>
          <w:rFonts w:ascii="Garamond" w:hAnsi="Garamond"/>
          <w:sz w:val="22"/>
          <w:szCs w:val="22"/>
        </w:rPr>
        <w:t>6</w:t>
      </w:r>
      <w:r w:rsidR="00845443" w:rsidRPr="00A00E80">
        <w:rPr>
          <w:rFonts w:ascii="Garamond" w:hAnsi="Garamond"/>
          <w:sz w:val="22"/>
          <w:szCs w:val="22"/>
        </w:rPr>
        <w:t>;</w:t>
      </w:r>
      <w:r w:rsidR="00131131" w:rsidRPr="00A00E80">
        <w:rPr>
          <w:rFonts w:ascii="Garamond" w:hAnsi="Garamond"/>
          <w:sz w:val="22"/>
          <w:szCs w:val="22"/>
        </w:rPr>
        <w:t xml:space="preserve"> Rock </w:t>
      </w:r>
      <w:r w:rsidR="0067151B" w:rsidRPr="00A00E80">
        <w:rPr>
          <w:rFonts w:ascii="Garamond" w:hAnsi="Garamond"/>
          <w:sz w:val="22"/>
          <w:szCs w:val="22"/>
        </w:rPr>
        <w:t>&amp;</w:t>
      </w:r>
      <w:r w:rsidR="00131131" w:rsidRPr="00A00E80">
        <w:rPr>
          <w:rFonts w:ascii="Garamond" w:hAnsi="Garamond"/>
          <w:sz w:val="22"/>
          <w:szCs w:val="22"/>
        </w:rPr>
        <w:t xml:space="preserve"> </w:t>
      </w:r>
      <w:proofErr w:type="spellStart"/>
      <w:r w:rsidR="00131131" w:rsidRPr="00A00E80">
        <w:rPr>
          <w:rFonts w:ascii="Garamond" w:hAnsi="Garamond"/>
          <w:sz w:val="22"/>
          <w:szCs w:val="22"/>
        </w:rPr>
        <w:t>Bluminfeld</w:t>
      </w:r>
      <w:proofErr w:type="spellEnd"/>
      <w:r w:rsidR="0067151B" w:rsidRPr="00A00E80">
        <w:rPr>
          <w:rFonts w:ascii="Garamond" w:hAnsi="Garamond"/>
          <w:sz w:val="22"/>
          <w:szCs w:val="22"/>
        </w:rPr>
        <w:t xml:space="preserve"> 2020</w:t>
      </w:r>
      <w:r w:rsidR="00131131" w:rsidRPr="00A00E80">
        <w:rPr>
          <w:rFonts w:ascii="Garamond" w:hAnsi="Garamond"/>
          <w:sz w:val="22"/>
          <w:szCs w:val="22"/>
        </w:rPr>
        <w:t>),</w:t>
      </w:r>
      <w:r w:rsidR="005B2239" w:rsidRPr="00A00E80">
        <w:rPr>
          <w:rFonts w:ascii="Garamond" w:hAnsi="Garamond"/>
          <w:sz w:val="22"/>
          <w:szCs w:val="22"/>
        </w:rPr>
        <w:t xml:space="preserve"> </w:t>
      </w:r>
      <w:r w:rsidR="00B30325" w:rsidRPr="00A00E80">
        <w:rPr>
          <w:rFonts w:ascii="Garamond" w:hAnsi="Garamond"/>
          <w:sz w:val="22"/>
          <w:szCs w:val="22"/>
        </w:rPr>
        <w:t xml:space="preserve">shortcomings in </w:t>
      </w:r>
      <w:r w:rsidR="005B2239" w:rsidRPr="00A00E80">
        <w:rPr>
          <w:rFonts w:ascii="Garamond" w:hAnsi="Garamond"/>
          <w:sz w:val="22"/>
          <w:szCs w:val="22"/>
        </w:rPr>
        <w:t>monitoring and stewardship (</w:t>
      </w:r>
      <w:proofErr w:type="spellStart"/>
      <w:r w:rsidR="00A82AB1" w:rsidRPr="00A00E80">
        <w:rPr>
          <w:rFonts w:ascii="Garamond" w:hAnsi="Garamond"/>
          <w:sz w:val="22"/>
          <w:szCs w:val="22"/>
        </w:rPr>
        <w:t>Bebchuk</w:t>
      </w:r>
      <w:proofErr w:type="spellEnd"/>
      <w:r w:rsidR="00A82AB1" w:rsidRPr="00A00E80">
        <w:rPr>
          <w:rFonts w:ascii="Garamond" w:hAnsi="Garamond"/>
          <w:sz w:val="22"/>
          <w:szCs w:val="22"/>
        </w:rPr>
        <w:t xml:space="preserve"> &amp; Hirst 2019; </w:t>
      </w:r>
      <w:r w:rsidR="00B23E82" w:rsidRPr="00A00E80">
        <w:rPr>
          <w:rFonts w:ascii="Garamond" w:hAnsi="Garamond"/>
          <w:sz w:val="22"/>
          <w:szCs w:val="22"/>
        </w:rPr>
        <w:t xml:space="preserve">Gilson </w:t>
      </w:r>
      <w:r w:rsidR="006B261E" w:rsidRPr="00A00E80">
        <w:rPr>
          <w:rFonts w:ascii="Garamond" w:hAnsi="Garamond"/>
          <w:sz w:val="22"/>
          <w:szCs w:val="22"/>
        </w:rPr>
        <w:t>&amp;</w:t>
      </w:r>
      <w:r w:rsidR="00B23E82" w:rsidRPr="00A00E80">
        <w:rPr>
          <w:rFonts w:ascii="Garamond" w:hAnsi="Garamond"/>
          <w:sz w:val="22"/>
          <w:szCs w:val="22"/>
        </w:rPr>
        <w:t xml:space="preserve"> Gordon</w:t>
      </w:r>
      <w:r w:rsidR="006B261E" w:rsidRPr="00A00E80">
        <w:rPr>
          <w:rFonts w:ascii="Garamond" w:hAnsi="Garamond"/>
          <w:sz w:val="22"/>
          <w:szCs w:val="22"/>
        </w:rPr>
        <w:t xml:space="preserve"> 2013</w:t>
      </w:r>
      <w:r w:rsidR="00D2721F" w:rsidRPr="00A00E80">
        <w:rPr>
          <w:rFonts w:ascii="Garamond" w:hAnsi="Garamond"/>
          <w:sz w:val="22"/>
          <w:szCs w:val="22"/>
        </w:rPr>
        <w:t>;</w:t>
      </w:r>
      <w:r w:rsidR="008E768D" w:rsidRPr="00A00E80">
        <w:rPr>
          <w:rFonts w:ascii="Garamond" w:hAnsi="Garamond"/>
          <w:sz w:val="22"/>
          <w:szCs w:val="22"/>
        </w:rPr>
        <w:t xml:space="preserve"> </w:t>
      </w:r>
      <w:r w:rsidR="00D2721F" w:rsidRPr="00A00E80">
        <w:rPr>
          <w:rFonts w:ascii="Garamond" w:hAnsi="Garamond"/>
          <w:sz w:val="22"/>
          <w:szCs w:val="22"/>
        </w:rPr>
        <w:t>Lund</w:t>
      </w:r>
      <w:r w:rsidR="006B261E" w:rsidRPr="00A00E80">
        <w:rPr>
          <w:rFonts w:ascii="Garamond" w:hAnsi="Garamond"/>
          <w:sz w:val="22"/>
          <w:szCs w:val="22"/>
        </w:rPr>
        <w:t xml:space="preserve"> 2018</w:t>
      </w:r>
      <w:r w:rsidR="005B2239" w:rsidRPr="00A00E80">
        <w:rPr>
          <w:rFonts w:ascii="Garamond" w:hAnsi="Garamond"/>
          <w:sz w:val="22"/>
          <w:szCs w:val="22"/>
        </w:rPr>
        <w:t>)</w:t>
      </w:r>
      <w:r w:rsidR="00AD0291" w:rsidRPr="00A00E80">
        <w:rPr>
          <w:rFonts w:ascii="Garamond" w:hAnsi="Garamond"/>
          <w:sz w:val="22"/>
          <w:szCs w:val="22"/>
        </w:rPr>
        <w:t>,</w:t>
      </w:r>
      <w:r w:rsidR="00131131" w:rsidRPr="00A00E80">
        <w:rPr>
          <w:rFonts w:ascii="Garamond" w:hAnsi="Garamond"/>
          <w:sz w:val="22"/>
          <w:szCs w:val="22"/>
        </w:rPr>
        <w:t xml:space="preserve"> </w:t>
      </w:r>
      <w:r w:rsidR="00467BD9" w:rsidRPr="00A00E80">
        <w:rPr>
          <w:rFonts w:ascii="Garamond" w:hAnsi="Garamond"/>
          <w:sz w:val="22"/>
          <w:szCs w:val="22"/>
        </w:rPr>
        <w:t xml:space="preserve">inequality (Goshen </w:t>
      </w:r>
      <w:r w:rsidR="00AC434F" w:rsidRPr="00A00E80">
        <w:rPr>
          <w:rFonts w:ascii="Garamond" w:hAnsi="Garamond"/>
          <w:sz w:val="22"/>
          <w:szCs w:val="22"/>
        </w:rPr>
        <w:t>&amp;</w:t>
      </w:r>
      <w:r w:rsidR="00467BD9" w:rsidRPr="00A00E80">
        <w:rPr>
          <w:rFonts w:ascii="Garamond" w:hAnsi="Garamond"/>
          <w:sz w:val="22"/>
          <w:szCs w:val="22"/>
        </w:rPr>
        <w:t xml:space="preserve"> Levit</w:t>
      </w:r>
      <w:r w:rsidR="00AC434F" w:rsidRPr="00A00E80">
        <w:rPr>
          <w:rFonts w:ascii="Garamond" w:hAnsi="Garamond"/>
          <w:sz w:val="22"/>
          <w:szCs w:val="22"/>
        </w:rPr>
        <w:t xml:space="preserve"> 2022</w:t>
      </w:r>
      <w:r w:rsidR="0053319F" w:rsidRPr="00A00E80">
        <w:rPr>
          <w:rFonts w:ascii="Garamond" w:hAnsi="Garamond"/>
          <w:sz w:val="22"/>
          <w:szCs w:val="22"/>
        </w:rPr>
        <w:t>; Klein 2022</w:t>
      </w:r>
      <w:r w:rsidR="00467BD9" w:rsidRPr="00A00E80">
        <w:rPr>
          <w:rFonts w:ascii="Garamond" w:hAnsi="Garamond"/>
          <w:sz w:val="22"/>
          <w:szCs w:val="22"/>
        </w:rPr>
        <w:t>)</w:t>
      </w:r>
      <w:r w:rsidR="00784A99" w:rsidRPr="00A00E80">
        <w:rPr>
          <w:rFonts w:ascii="Garamond" w:hAnsi="Garamond"/>
          <w:sz w:val="22"/>
          <w:szCs w:val="22"/>
        </w:rPr>
        <w:t xml:space="preserve">, </w:t>
      </w:r>
      <w:r w:rsidR="00463C2C" w:rsidRPr="00A00E80">
        <w:rPr>
          <w:rFonts w:ascii="Garamond" w:hAnsi="Garamond"/>
          <w:sz w:val="22"/>
          <w:szCs w:val="22"/>
        </w:rPr>
        <w:t xml:space="preserve">compliance </w:t>
      </w:r>
      <w:r w:rsidR="00D53B84" w:rsidRPr="00A00E80">
        <w:rPr>
          <w:rFonts w:ascii="Garamond" w:hAnsi="Garamond"/>
          <w:sz w:val="22"/>
          <w:szCs w:val="22"/>
        </w:rPr>
        <w:t>failures</w:t>
      </w:r>
      <w:r w:rsidR="00463C2C" w:rsidRPr="00A00E80">
        <w:rPr>
          <w:rFonts w:ascii="Garamond" w:hAnsi="Garamond"/>
          <w:sz w:val="22"/>
          <w:szCs w:val="22"/>
        </w:rPr>
        <w:t xml:space="preserve"> (Chaim 2023</w:t>
      </w:r>
      <w:r w:rsidR="00EA6AF3" w:rsidRPr="00A00E80">
        <w:rPr>
          <w:rFonts w:ascii="Garamond" w:hAnsi="Garamond"/>
          <w:sz w:val="22"/>
          <w:szCs w:val="22"/>
        </w:rPr>
        <w:t>a</w:t>
      </w:r>
      <w:r w:rsidR="0064613C" w:rsidRPr="00A00E80">
        <w:rPr>
          <w:rFonts w:ascii="Garamond" w:hAnsi="Garamond"/>
          <w:sz w:val="22"/>
          <w:szCs w:val="22"/>
        </w:rPr>
        <w:t>)</w:t>
      </w:r>
      <w:r w:rsidR="00A83343" w:rsidRPr="00A00E80">
        <w:rPr>
          <w:rFonts w:ascii="Garamond" w:hAnsi="Garamond"/>
          <w:sz w:val="22"/>
          <w:szCs w:val="22"/>
        </w:rPr>
        <w:t>,</w:t>
      </w:r>
      <w:r w:rsidR="00B87128" w:rsidRPr="00A00E80">
        <w:rPr>
          <w:rFonts w:ascii="Garamond" w:hAnsi="Garamond"/>
          <w:sz w:val="22"/>
          <w:szCs w:val="22"/>
        </w:rPr>
        <w:t xml:space="preserve"> market inefficiencies (</w:t>
      </w:r>
      <w:proofErr w:type="spellStart"/>
      <w:r w:rsidR="00B87128" w:rsidRPr="00A00E80">
        <w:rPr>
          <w:rFonts w:ascii="Garamond" w:hAnsi="Garamond"/>
          <w:sz w:val="22"/>
          <w:szCs w:val="22"/>
        </w:rPr>
        <w:t>Libson</w:t>
      </w:r>
      <w:proofErr w:type="spellEnd"/>
      <w:r w:rsidR="00B87128" w:rsidRPr="00A00E80">
        <w:rPr>
          <w:rFonts w:ascii="Garamond" w:hAnsi="Garamond"/>
          <w:sz w:val="22"/>
          <w:szCs w:val="22"/>
        </w:rPr>
        <w:t xml:space="preserve"> &amp; </w:t>
      </w:r>
      <w:proofErr w:type="spellStart"/>
      <w:r w:rsidR="00B87128" w:rsidRPr="00A00E80">
        <w:rPr>
          <w:rFonts w:ascii="Garamond" w:hAnsi="Garamond"/>
          <w:sz w:val="22"/>
          <w:szCs w:val="22"/>
        </w:rPr>
        <w:t>Parchomovsky</w:t>
      </w:r>
      <w:proofErr w:type="spellEnd"/>
      <w:r w:rsidR="00B87128" w:rsidRPr="00A00E80">
        <w:rPr>
          <w:rFonts w:ascii="Garamond" w:hAnsi="Garamond"/>
          <w:sz w:val="22"/>
          <w:szCs w:val="22"/>
        </w:rPr>
        <w:t xml:space="preserve"> 2020) and sustainability problems (Christie 2021; Hannes, </w:t>
      </w:r>
      <w:proofErr w:type="spellStart"/>
      <w:r w:rsidR="00B87128" w:rsidRPr="00A00E80">
        <w:rPr>
          <w:rFonts w:ascii="Garamond" w:hAnsi="Garamond"/>
          <w:sz w:val="22"/>
          <w:szCs w:val="22"/>
        </w:rPr>
        <w:t>Libson</w:t>
      </w:r>
      <w:proofErr w:type="spellEnd"/>
      <w:r w:rsidR="00B87128" w:rsidRPr="00A00E80">
        <w:rPr>
          <w:rFonts w:ascii="Garamond" w:hAnsi="Garamond"/>
          <w:sz w:val="22"/>
          <w:szCs w:val="22"/>
        </w:rPr>
        <w:t xml:space="preserve"> &amp; </w:t>
      </w:r>
      <w:proofErr w:type="spellStart"/>
      <w:r w:rsidR="00B87128" w:rsidRPr="00A00E80">
        <w:rPr>
          <w:rFonts w:ascii="Garamond" w:hAnsi="Garamond"/>
          <w:sz w:val="22"/>
          <w:szCs w:val="22"/>
        </w:rPr>
        <w:t>Parchomovsky</w:t>
      </w:r>
      <w:proofErr w:type="spellEnd"/>
      <w:r w:rsidR="00B87128" w:rsidRPr="00A00E80">
        <w:rPr>
          <w:rFonts w:ascii="Garamond" w:hAnsi="Garamond"/>
          <w:sz w:val="22"/>
          <w:szCs w:val="22"/>
        </w:rPr>
        <w:t xml:space="preserve"> 2023)</w:t>
      </w:r>
      <w:r w:rsidR="00236963" w:rsidRPr="00A00E80">
        <w:rPr>
          <w:rFonts w:ascii="Garamond" w:hAnsi="Garamond"/>
          <w:sz w:val="22"/>
          <w:szCs w:val="22"/>
        </w:rPr>
        <w:t>.</w:t>
      </w:r>
      <w:r w:rsidR="00FF0900" w:rsidRPr="00A00E80">
        <w:rPr>
          <w:rFonts w:ascii="Garamond" w:hAnsi="Garamond"/>
          <w:sz w:val="22"/>
          <w:szCs w:val="22"/>
        </w:rPr>
        <w:t xml:space="preserve"> </w:t>
      </w:r>
      <w:r w:rsidR="006E1D87" w:rsidRPr="00A00E80">
        <w:rPr>
          <w:rFonts w:ascii="Garamond" w:hAnsi="Garamond"/>
          <w:sz w:val="22"/>
          <w:szCs w:val="22"/>
        </w:rPr>
        <w:t>However</w:t>
      </w:r>
      <w:r w:rsidR="002F6866" w:rsidRPr="00A00E80">
        <w:rPr>
          <w:rFonts w:ascii="Garamond" w:hAnsi="Garamond"/>
          <w:sz w:val="22"/>
          <w:szCs w:val="22"/>
        </w:rPr>
        <w:t>,</w:t>
      </w:r>
      <w:r w:rsidR="006D1CA7" w:rsidRPr="00A00E80">
        <w:rPr>
          <w:rFonts w:ascii="Garamond" w:hAnsi="Garamond"/>
          <w:sz w:val="22"/>
          <w:szCs w:val="22"/>
        </w:rPr>
        <w:t xml:space="preserve"> </w:t>
      </w:r>
      <w:r w:rsidR="00412835" w:rsidRPr="00A00E80">
        <w:rPr>
          <w:rFonts w:ascii="Garamond" w:hAnsi="Garamond"/>
          <w:sz w:val="22"/>
          <w:szCs w:val="22"/>
        </w:rPr>
        <w:t xml:space="preserve">the </w:t>
      </w:r>
      <w:r w:rsidR="00241A4C" w:rsidRPr="00A00E80">
        <w:rPr>
          <w:rFonts w:ascii="Garamond" w:hAnsi="Garamond"/>
          <w:sz w:val="22"/>
          <w:szCs w:val="22"/>
        </w:rPr>
        <w:t xml:space="preserve">presence of giant institutional investors in </w:t>
      </w:r>
      <w:r w:rsidR="00412835" w:rsidRPr="00A00E80">
        <w:rPr>
          <w:rFonts w:ascii="Garamond" w:hAnsi="Garamond"/>
          <w:sz w:val="22"/>
          <w:szCs w:val="22"/>
        </w:rPr>
        <w:t>twenty-</w:t>
      </w:r>
      <w:r w:rsidR="00A13CA3" w:rsidRPr="00A00E80">
        <w:rPr>
          <w:rFonts w:ascii="Garamond" w:hAnsi="Garamond"/>
          <w:sz w:val="22"/>
          <w:szCs w:val="22"/>
        </w:rPr>
        <w:t>first-</w:t>
      </w:r>
      <w:r w:rsidR="00412835" w:rsidRPr="00A00E80">
        <w:rPr>
          <w:rFonts w:ascii="Garamond" w:hAnsi="Garamond"/>
          <w:sz w:val="22"/>
          <w:szCs w:val="22"/>
        </w:rPr>
        <w:t>century</w:t>
      </w:r>
      <w:r w:rsidR="00B23E82" w:rsidRPr="00A00E80">
        <w:rPr>
          <w:rFonts w:ascii="Garamond" w:hAnsi="Garamond"/>
          <w:sz w:val="22"/>
          <w:szCs w:val="22"/>
        </w:rPr>
        <w:t xml:space="preserve"> </w:t>
      </w:r>
      <w:r w:rsidR="006D1CA7" w:rsidRPr="00A00E80">
        <w:rPr>
          <w:rFonts w:ascii="Garamond" w:hAnsi="Garamond"/>
          <w:sz w:val="22"/>
          <w:szCs w:val="22"/>
        </w:rPr>
        <w:t>capital markets</w:t>
      </w:r>
      <w:r w:rsidR="000B24FD" w:rsidRPr="00A00E80">
        <w:rPr>
          <w:rFonts w:ascii="Garamond" w:hAnsi="Garamond"/>
          <w:sz w:val="22"/>
          <w:szCs w:val="22"/>
        </w:rPr>
        <w:t xml:space="preserve"> may inhibit disruptive effects and market distortions in wider context</w:t>
      </w:r>
      <w:r w:rsidR="008533E0" w:rsidRPr="00A00E80">
        <w:rPr>
          <w:rFonts w:ascii="Garamond" w:hAnsi="Garamond"/>
          <w:sz w:val="22"/>
          <w:szCs w:val="22"/>
        </w:rPr>
        <w:t>s</w:t>
      </w:r>
      <w:r w:rsidR="006D1CA7" w:rsidRPr="00A00E80">
        <w:rPr>
          <w:rFonts w:ascii="Garamond" w:hAnsi="Garamond"/>
          <w:sz w:val="22"/>
          <w:szCs w:val="22"/>
        </w:rPr>
        <w:t xml:space="preserve"> </w:t>
      </w:r>
      <w:r w:rsidR="000B24FD" w:rsidRPr="00A00E80">
        <w:rPr>
          <w:rFonts w:ascii="Garamond" w:hAnsi="Garamond"/>
          <w:sz w:val="22"/>
          <w:szCs w:val="22"/>
        </w:rPr>
        <w:t xml:space="preserve">that have not been </w:t>
      </w:r>
      <w:r w:rsidR="00226F08" w:rsidRPr="00A00E80">
        <w:rPr>
          <w:rFonts w:ascii="Garamond" w:hAnsi="Garamond"/>
          <w:sz w:val="22"/>
          <w:szCs w:val="22"/>
        </w:rPr>
        <w:t>identified</w:t>
      </w:r>
      <w:r w:rsidR="00663337" w:rsidRPr="00A00E80">
        <w:rPr>
          <w:rFonts w:ascii="Garamond" w:hAnsi="Garamond"/>
          <w:sz w:val="22"/>
          <w:szCs w:val="22"/>
        </w:rPr>
        <w:t xml:space="preserve">, </w:t>
      </w:r>
      <w:r w:rsidR="00DC551D" w:rsidRPr="00A00E80">
        <w:rPr>
          <w:rFonts w:ascii="Garamond" w:hAnsi="Garamond"/>
          <w:sz w:val="22"/>
          <w:szCs w:val="22"/>
        </w:rPr>
        <w:t>prompting the need for further research</w:t>
      </w:r>
      <w:r w:rsidR="00B92979" w:rsidRPr="00A00E80">
        <w:rPr>
          <w:rFonts w:ascii="Garamond" w:hAnsi="Garamond"/>
          <w:sz w:val="22"/>
          <w:szCs w:val="22"/>
        </w:rPr>
        <w:t>.</w:t>
      </w:r>
    </w:p>
    <w:p w14:paraId="58FCDAB0" w14:textId="0960A1FE" w:rsidR="008E7F9F" w:rsidRPr="00A00E80" w:rsidRDefault="003A24EE" w:rsidP="00887B85">
      <w:pPr>
        <w:spacing w:line="360" w:lineRule="auto"/>
        <w:ind w:firstLine="426"/>
        <w:jc w:val="both"/>
        <w:rPr>
          <w:rFonts w:ascii="Garamond" w:hAnsi="Garamond"/>
          <w:sz w:val="22"/>
          <w:szCs w:val="22"/>
        </w:rPr>
      </w:pPr>
      <w:r w:rsidRPr="00A00E80">
        <w:rPr>
          <w:rFonts w:ascii="Garamond" w:hAnsi="Garamond"/>
          <w:sz w:val="22"/>
          <w:szCs w:val="22"/>
        </w:rPr>
        <w:t xml:space="preserve">The proposed project </w:t>
      </w:r>
      <w:r w:rsidR="00DC551D" w:rsidRPr="00A00E80">
        <w:rPr>
          <w:rFonts w:ascii="Garamond" w:hAnsi="Garamond"/>
          <w:sz w:val="22"/>
          <w:szCs w:val="22"/>
        </w:rPr>
        <w:t>responds to this imperative</w:t>
      </w:r>
      <w:r w:rsidRPr="00A00E80">
        <w:rPr>
          <w:rFonts w:ascii="Garamond" w:hAnsi="Garamond"/>
          <w:sz w:val="22"/>
          <w:szCs w:val="22"/>
        </w:rPr>
        <w:t xml:space="preserve"> by </w:t>
      </w:r>
      <w:r w:rsidR="005E4C4F" w:rsidRPr="00E824FA">
        <w:rPr>
          <w:rFonts w:ascii="Garamond" w:hAnsi="Garamond"/>
          <w:sz w:val="22"/>
          <w:szCs w:val="22"/>
        </w:rPr>
        <w:t xml:space="preserve">exposing a critical yet overlooked arena in which the concentration in the asset management industry and rising dominance of giant institutional investors is manifesting additional deleterious consequences: capital markets, specifically in the context of Initial Public Offerings (IPOs). </w:t>
      </w:r>
      <w:r w:rsidR="005028C0">
        <w:rPr>
          <w:rFonts w:ascii="Garamond" w:hAnsi="Garamond"/>
          <w:sz w:val="22"/>
          <w:szCs w:val="22"/>
        </w:rPr>
        <w:t xml:space="preserve">Our hypothesis is </w:t>
      </w:r>
      <w:r w:rsidR="009759E5" w:rsidRPr="00A00E80">
        <w:rPr>
          <w:rFonts w:ascii="Garamond" w:hAnsi="Garamond"/>
          <w:sz w:val="22"/>
          <w:szCs w:val="22"/>
        </w:rPr>
        <w:t>that</w:t>
      </w:r>
      <w:r w:rsidR="00F25E5B" w:rsidRPr="00A00E80">
        <w:rPr>
          <w:rFonts w:ascii="Garamond" w:hAnsi="Garamond"/>
          <w:sz w:val="22"/>
          <w:szCs w:val="22"/>
        </w:rPr>
        <w:t xml:space="preserve"> the </w:t>
      </w:r>
      <w:r w:rsidR="0085787E" w:rsidRPr="00A00E80">
        <w:rPr>
          <w:rFonts w:ascii="Garamond" w:hAnsi="Garamond"/>
          <w:sz w:val="22"/>
          <w:szCs w:val="22"/>
        </w:rPr>
        <w:t xml:space="preserve">concentration in the asset management industry and </w:t>
      </w:r>
      <w:r w:rsidR="00F477D1">
        <w:rPr>
          <w:rFonts w:ascii="Garamond" w:hAnsi="Garamond"/>
          <w:sz w:val="22"/>
          <w:szCs w:val="22"/>
        </w:rPr>
        <w:t xml:space="preserve">the </w:t>
      </w:r>
      <w:r w:rsidR="0085787E" w:rsidRPr="00A00E80">
        <w:rPr>
          <w:rFonts w:ascii="Garamond" w:hAnsi="Garamond"/>
          <w:sz w:val="22"/>
          <w:szCs w:val="22"/>
        </w:rPr>
        <w:t xml:space="preserve">rise of financial </w:t>
      </w:r>
      <w:r w:rsidR="0085787E" w:rsidRPr="00E824FA">
        <w:rPr>
          <w:rFonts w:ascii="Garamond" w:hAnsi="Garamond"/>
          <w:iCs/>
          <w:sz w:val="22"/>
          <w:szCs w:val="22"/>
        </w:rPr>
        <w:t xml:space="preserve">behemoths </w:t>
      </w:r>
      <w:r w:rsidR="00D9118A" w:rsidRPr="00D9118A">
        <w:rPr>
          <w:rFonts w:ascii="Garamond" w:hAnsi="Garamond"/>
          <w:iCs/>
          <w:sz w:val="22"/>
          <w:szCs w:val="22"/>
        </w:rPr>
        <w:t xml:space="preserve">which now exert enormous influence over </w:t>
      </w:r>
      <w:r w:rsidR="00F477D1">
        <w:rPr>
          <w:rFonts w:ascii="Garamond" w:hAnsi="Garamond"/>
          <w:iCs/>
          <w:sz w:val="22"/>
          <w:szCs w:val="22"/>
        </w:rPr>
        <w:t>financial</w:t>
      </w:r>
      <w:r w:rsidR="00D9118A" w:rsidRPr="00D9118A">
        <w:rPr>
          <w:rFonts w:ascii="Garamond" w:hAnsi="Garamond"/>
          <w:iCs/>
          <w:sz w:val="22"/>
          <w:szCs w:val="22"/>
        </w:rPr>
        <w:t xml:space="preserve"> markets</w:t>
      </w:r>
      <w:r w:rsidR="00D9118A">
        <w:rPr>
          <w:rFonts w:ascii="Garamond" w:hAnsi="Garamond"/>
          <w:iCs/>
          <w:sz w:val="22"/>
          <w:szCs w:val="22"/>
        </w:rPr>
        <w:t xml:space="preserve"> </w:t>
      </w:r>
      <w:r w:rsidR="00142834" w:rsidRPr="00A00E80">
        <w:rPr>
          <w:rFonts w:ascii="Garamond" w:hAnsi="Garamond"/>
          <w:sz w:val="22"/>
          <w:szCs w:val="22"/>
        </w:rPr>
        <w:t xml:space="preserve">empowered </w:t>
      </w:r>
      <w:r w:rsidR="002070B6">
        <w:rPr>
          <w:rFonts w:ascii="Garamond" w:hAnsi="Garamond"/>
          <w:sz w:val="22"/>
          <w:szCs w:val="22"/>
        </w:rPr>
        <w:t>them</w:t>
      </w:r>
      <w:r w:rsidR="00142834" w:rsidRPr="00A00E80">
        <w:rPr>
          <w:rFonts w:ascii="Garamond" w:hAnsi="Garamond"/>
          <w:sz w:val="22"/>
          <w:szCs w:val="22"/>
        </w:rPr>
        <w:t xml:space="preserve"> with significant market power</w:t>
      </w:r>
      <w:r w:rsidR="0085787E" w:rsidRPr="00A00E80">
        <w:rPr>
          <w:rFonts w:ascii="Garamond" w:hAnsi="Garamond"/>
          <w:sz w:val="22"/>
          <w:szCs w:val="22"/>
        </w:rPr>
        <w:t xml:space="preserve"> </w:t>
      </w:r>
      <w:r w:rsidR="000D03AF">
        <w:rPr>
          <w:rFonts w:ascii="Garamond" w:hAnsi="Garamond"/>
          <w:sz w:val="22"/>
          <w:szCs w:val="22"/>
        </w:rPr>
        <w:t xml:space="preserve">in </w:t>
      </w:r>
      <w:r w:rsidR="00F477D1">
        <w:rPr>
          <w:rFonts w:ascii="Garamond" w:hAnsi="Garamond"/>
          <w:sz w:val="22"/>
          <w:szCs w:val="22"/>
        </w:rPr>
        <w:t>the primary market</w:t>
      </w:r>
      <w:r w:rsidR="00B96B15" w:rsidRPr="00A00E80">
        <w:rPr>
          <w:rFonts w:ascii="Garamond" w:hAnsi="Garamond"/>
          <w:sz w:val="22"/>
          <w:szCs w:val="22"/>
        </w:rPr>
        <w:t xml:space="preserve">. This market power can be </w:t>
      </w:r>
      <w:r w:rsidR="00A16BA2">
        <w:rPr>
          <w:rFonts w:ascii="Garamond" w:hAnsi="Garamond"/>
          <w:sz w:val="22"/>
          <w:szCs w:val="22"/>
        </w:rPr>
        <w:t xml:space="preserve">strategically </w:t>
      </w:r>
      <w:r w:rsidR="008475E3" w:rsidRPr="00A00E80">
        <w:rPr>
          <w:rFonts w:ascii="Garamond" w:hAnsi="Garamond"/>
          <w:sz w:val="22"/>
          <w:szCs w:val="22"/>
        </w:rPr>
        <w:t>leveraged</w:t>
      </w:r>
      <w:r w:rsidR="00B96B15" w:rsidRPr="00A00E80">
        <w:rPr>
          <w:rFonts w:ascii="Garamond" w:hAnsi="Garamond"/>
          <w:sz w:val="22"/>
          <w:szCs w:val="22"/>
        </w:rPr>
        <w:t xml:space="preserve"> by giants</w:t>
      </w:r>
      <w:r w:rsidR="002070B6">
        <w:rPr>
          <w:rFonts w:ascii="Garamond" w:hAnsi="Garamond"/>
          <w:sz w:val="22"/>
          <w:szCs w:val="22"/>
        </w:rPr>
        <w:t xml:space="preserve"> such as the Big Three</w:t>
      </w:r>
      <w:r w:rsidR="00A16BA2">
        <w:rPr>
          <w:rFonts w:ascii="Garamond" w:hAnsi="Garamond"/>
          <w:sz w:val="22"/>
          <w:szCs w:val="22"/>
        </w:rPr>
        <w:t xml:space="preserve"> to depress</w:t>
      </w:r>
      <w:r w:rsidR="00B96B15" w:rsidRPr="00A00E80">
        <w:rPr>
          <w:rFonts w:ascii="Garamond" w:hAnsi="Garamond"/>
          <w:sz w:val="22"/>
          <w:szCs w:val="22"/>
        </w:rPr>
        <w:t xml:space="preserve"> </w:t>
      </w:r>
      <w:r w:rsidR="00A16BA2">
        <w:rPr>
          <w:rFonts w:ascii="Garamond" w:hAnsi="Garamond"/>
          <w:sz w:val="22"/>
          <w:szCs w:val="22"/>
        </w:rPr>
        <w:t>stock prices in</w:t>
      </w:r>
      <w:r w:rsidR="008475E3" w:rsidRPr="00A00E80">
        <w:rPr>
          <w:rFonts w:ascii="Garamond" w:hAnsi="Garamond"/>
          <w:sz w:val="22"/>
          <w:szCs w:val="22"/>
        </w:rPr>
        <w:t xml:space="preserve"> IPOs, holding</w:t>
      </w:r>
      <w:r w:rsidR="00400DDC">
        <w:rPr>
          <w:rFonts w:ascii="Garamond" w:hAnsi="Garamond"/>
          <w:sz w:val="22"/>
          <w:szCs w:val="22"/>
        </w:rPr>
        <w:t xml:space="preserve"> important</w:t>
      </w:r>
      <w:r w:rsidR="008475E3" w:rsidRPr="00A00E80">
        <w:rPr>
          <w:rFonts w:ascii="Garamond" w:hAnsi="Garamond"/>
          <w:sz w:val="22"/>
          <w:szCs w:val="22"/>
        </w:rPr>
        <w:t xml:space="preserve"> explanatory</w:t>
      </w:r>
      <w:r w:rsidR="002070B6">
        <w:rPr>
          <w:rFonts w:ascii="Garamond" w:hAnsi="Garamond"/>
          <w:sz w:val="22"/>
          <w:szCs w:val="22"/>
        </w:rPr>
        <w:t xml:space="preserve"> power</w:t>
      </w:r>
      <w:r w:rsidR="008475E3" w:rsidRPr="00A00E80">
        <w:rPr>
          <w:rFonts w:ascii="Garamond" w:hAnsi="Garamond"/>
          <w:sz w:val="22"/>
          <w:szCs w:val="22"/>
        </w:rPr>
        <w:t xml:space="preserve"> for </w:t>
      </w:r>
      <w:r w:rsidR="00FD5847" w:rsidRPr="00A00E80">
        <w:rPr>
          <w:rFonts w:ascii="Garamond" w:hAnsi="Garamond"/>
          <w:sz w:val="22"/>
          <w:szCs w:val="22"/>
        </w:rPr>
        <w:t xml:space="preserve">the documented surge in </w:t>
      </w:r>
      <w:r w:rsidR="008475E3" w:rsidRPr="00A00E80">
        <w:rPr>
          <w:rFonts w:ascii="Garamond" w:hAnsi="Garamond"/>
          <w:sz w:val="22"/>
          <w:szCs w:val="22"/>
        </w:rPr>
        <w:t>IPO underpricing.</w:t>
      </w:r>
    </w:p>
    <w:p w14:paraId="3E661DAD" w14:textId="2E9F19F8" w:rsidR="0099541F" w:rsidRPr="00A00E80" w:rsidRDefault="003E0E48" w:rsidP="002C4154">
      <w:pPr>
        <w:spacing w:line="360" w:lineRule="auto"/>
        <w:ind w:firstLine="426"/>
        <w:jc w:val="both"/>
        <w:rPr>
          <w:rFonts w:ascii="Garamond" w:hAnsi="Garamond"/>
          <w:sz w:val="22"/>
          <w:szCs w:val="22"/>
        </w:rPr>
      </w:pPr>
      <w:r w:rsidRPr="00A00E80">
        <w:rPr>
          <w:rFonts w:ascii="Garamond" w:hAnsi="Garamond"/>
          <w:sz w:val="22"/>
          <w:szCs w:val="22"/>
        </w:rPr>
        <w:lastRenderedPageBreak/>
        <w:t>IPO underpricing—</w:t>
      </w:r>
      <w:r w:rsidR="00E47FDC" w:rsidRPr="00A00E80">
        <w:rPr>
          <w:rFonts w:ascii="Garamond" w:hAnsi="Garamond"/>
          <w:sz w:val="22"/>
          <w:szCs w:val="22"/>
        </w:rPr>
        <w:t>measured as the difference between the offer price and the stock’s closing price on the first day of trading</w:t>
      </w:r>
      <w:r w:rsidR="00D85659" w:rsidRPr="00A00E80">
        <w:rPr>
          <w:rFonts w:ascii="Garamond" w:hAnsi="Garamond"/>
          <w:sz w:val="22"/>
          <w:szCs w:val="22"/>
        </w:rPr>
        <w:t xml:space="preserve">—has </w:t>
      </w:r>
      <w:r w:rsidR="00457210" w:rsidRPr="00A00E80">
        <w:rPr>
          <w:rFonts w:ascii="Garamond" w:hAnsi="Garamond"/>
          <w:sz w:val="22"/>
          <w:szCs w:val="22"/>
        </w:rPr>
        <w:t xml:space="preserve">reached </w:t>
      </w:r>
      <w:r w:rsidR="001E59DF" w:rsidRPr="00A00E80">
        <w:rPr>
          <w:rFonts w:ascii="Garamond" w:hAnsi="Garamond"/>
          <w:sz w:val="22"/>
          <w:szCs w:val="22"/>
        </w:rPr>
        <w:t xml:space="preserve">unprecedented levels </w:t>
      </w:r>
      <w:r w:rsidR="00BC626C" w:rsidRPr="00A00E80">
        <w:rPr>
          <w:rFonts w:ascii="Garamond" w:hAnsi="Garamond"/>
          <w:sz w:val="22"/>
          <w:szCs w:val="22"/>
        </w:rPr>
        <w:t>in recent years</w:t>
      </w:r>
      <w:r w:rsidR="001E59DF" w:rsidRPr="00A00E80">
        <w:rPr>
          <w:rFonts w:ascii="Garamond" w:hAnsi="Garamond"/>
          <w:sz w:val="22"/>
          <w:szCs w:val="22"/>
        </w:rPr>
        <w:t>.</w:t>
      </w:r>
      <w:r w:rsidR="00BC626C" w:rsidRPr="00A00E80">
        <w:rPr>
          <w:rFonts w:ascii="Garamond" w:hAnsi="Garamond"/>
          <w:sz w:val="22"/>
          <w:szCs w:val="22"/>
        </w:rPr>
        <w:t xml:space="preserve"> Over the </w:t>
      </w:r>
      <w:r w:rsidR="00CA19AB" w:rsidRPr="00A00E80">
        <w:rPr>
          <w:rFonts w:ascii="Garamond" w:hAnsi="Garamond"/>
          <w:sz w:val="22"/>
          <w:szCs w:val="22"/>
        </w:rPr>
        <w:t>past</w:t>
      </w:r>
      <w:r w:rsidR="00BC626C" w:rsidRPr="00A00E80">
        <w:rPr>
          <w:rFonts w:ascii="Garamond" w:hAnsi="Garamond"/>
          <w:sz w:val="22"/>
          <w:szCs w:val="22"/>
        </w:rPr>
        <w:t xml:space="preserve"> decade, it averaged nearly 25%</w:t>
      </w:r>
      <w:r w:rsidR="00DB5540" w:rsidRPr="00A00E80">
        <w:rPr>
          <w:rFonts w:ascii="Garamond" w:hAnsi="Garamond"/>
          <w:sz w:val="22"/>
          <w:szCs w:val="22"/>
        </w:rPr>
        <w:t xml:space="preserve"> (Ritter 2022, pp. 11</w:t>
      </w:r>
      <w:r w:rsidR="00733DF3" w:rsidRPr="00A00E80">
        <w:rPr>
          <w:rFonts w:ascii="Garamond" w:hAnsi="Garamond"/>
          <w:sz w:val="22"/>
          <w:szCs w:val="22"/>
        </w:rPr>
        <w:t>–</w:t>
      </w:r>
      <w:r w:rsidR="00DB5540" w:rsidRPr="00A00E80">
        <w:rPr>
          <w:rFonts w:ascii="Garamond" w:hAnsi="Garamond"/>
          <w:sz w:val="22"/>
          <w:szCs w:val="22"/>
        </w:rPr>
        <w:t>12)</w:t>
      </w:r>
      <w:r w:rsidR="00BC626C" w:rsidRPr="00A00E80">
        <w:rPr>
          <w:rFonts w:ascii="Garamond" w:hAnsi="Garamond"/>
          <w:sz w:val="22"/>
          <w:szCs w:val="22"/>
        </w:rPr>
        <w:t xml:space="preserve">, with </w:t>
      </w:r>
      <w:r w:rsidR="00DA497D" w:rsidRPr="00A00E80">
        <w:rPr>
          <w:rFonts w:ascii="Garamond" w:hAnsi="Garamond"/>
          <w:sz w:val="22"/>
          <w:szCs w:val="22"/>
        </w:rPr>
        <w:t>enormous</w:t>
      </w:r>
      <w:r w:rsidR="00BC626C" w:rsidRPr="00A00E80">
        <w:rPr>
          <w:rFonts w:ascii="Garamond" w:hAnsi="Garamond"/>
          <w:sz w:val="22"/>
          <w:szCs w:val="22"/>
        </w:rPr>
        <w:t xml:space="preserve"> sums being “left on the table” by </w:t>
      </w:r>
      <w:r w:rsidR="00DA497D" w:rsidRPr="00A00E80">
        <w:rPr>
          <w:rFonts w:ascii="Garamond" w:hAnsi="Garamond"/>
          <w:sz w:val="22"/>
          <w:szCs w:val="22"/>
        </w:rPr>
        <w:t>issuers</w:t>
      </w:r>
      <w:r w:rsidR="00BC626C" w:rsidRPr="00A00E80">
        <w:rPr>
          <w:rFonts w:ascii="Garamond" w:hAnsi="Garamond"/>
          <w:sz w:val="22"/>
          <w:szCs w:val="22"/>
        </w:rPr>
        <w:t>, totaling over $</w:t>
      </w:r>
      <w:r w:rsidR="00876E0E" w:rsidRPr="00A00E80">
        <w:rPr>
          <w:rFonts w:ascii="Garamond" w:hAnsi="Garamond"/>
          <w:sz w:val="22"/>
          <w:szCs w:val="22"/>
        </w:rPr>
        <w:t>90</w:t>
      </w:r>
      <w:r w:rsidR="00BC626C" w:rsidRPr="00A00E80">
        <w:rPr>
          <w:rFonts w:ascii="Garamond" w:hAnsi="Garamond"/>
          <w:sz w:val="22"/>
          <w:szCs w:val="22"/>
        </w:rPr>
        <w:t xml:space="preserve"> billion (Ritter 2023, p.3). </w:t>
      </w:r>
      <w:r w:rsidR="00876E0E" w:rsidRPr="00A00E80">
        <w:rPr>
          <w:rFonts w:ascii="Garamond" w:hAnsi="Garamond"/>
          <w:sz w:val="22"/>
          <w:szCs w:val="22"/>
        </w:rPr>
        <w:t xml:space="preserve">We intend to </w:t>
      </w:r>
      <w:r w:rsidR="0094686F" w:rsidRPr="00A00E80">
        <w:rPr>
          <w:rFonts w:ascii="Garamond" w:hAnsi="Garamond"/>
          <w:sz w:val="22"/>
          <w:szCs w:val="22"/>
        </w:rPr>
        <w:t xml:space="preserve">show, both </w:t>
      </w:r>
      <w:r w:rsidR="00876E0E" w:rsidRPr="00A00E80">
        <w:rPr>
          <w:rFonts w:ascii="Garamond" w:hAnsi="Garamond"/>
          <w:sz w:val="22"/>
          <w:szCs w:val="22"/>
        </w:rPr>
        <w:t>theoretically and empirically</w:t>
      </w:r>
      <w:r w:rsidR="0094686F" w:rsidRPr="00A00E80">
        <w:rPr>
          <w:rFonts w:ascii="Garamond" w:hAnsi="Garamond"/>
          <w:sz w:val="22"/>
          <w:szCs w:val="22"/>
        </w:rPr>
        <w:t>,</w:t>
      </w:r>
      <w:r w:rsidR="00876E0E" w:rsidRPr="00A00E80">
        <w:rPr>
          <w:rFonts w:ascii="Garamond" w:hAnsi="Garamond"/>
          <w:sz w:val="22"/>
          <w:szCs w:val="22"/>
        </w:rPr>
        <w:t xml:space="preserve"> </w:t>
      </w:r>
      <w:r w:rsidR="00887B85" w:rsidRPr="00A00E80">
        <w:rPr>
          <w:rFonts w:ascii="Garamond" w:hAnsi="Garamond"/>
          <w:sz w:val="22"/>
          <w:szCs w:val="22"/>
        </w:rPr>
        <w:t xml:space="preserve">that the </w:t>
      </w:r>
      <w:r w:rsidR="00431908" w:rsidRPr="00A00E80">
        <w:rPr>
          <w:rFonts w:ascii="Garamond" w:hAnsi="Garamond"/>
          <w:sz w:val="22"/>
          <w:szCs w:val="22"/>
        </w:rPr>
        <w:t>participation of</w:t>
      </w:r>
      <w:r w:rsidR="005379F4" w:rsidRPr="00A00E80">
        <w:rPr>
          <w:rFonts w:ascii="Garamond" w:hAnsi="Garamond"/>
          <w:sz w:val="22"/>
          <w:szCs w:val="22"/>
        </w:rPr>
        <w:t xml:space="preserve"> </w:t>
      </w:r>
      <w:r w:rsidR="006A7A28">
        <w:rPr>
          <w:rFonts w:ascii="Garamond" w:hAnsi="Garamond"/>
          <w:sz w:val="22"/>
          <w:szCs w:val="22"/>
        </w:rPr>
        <w:t>the largest</w:t>
      </w:r>
      <w:r w:rsidR="005379F4" w:rsidRPr="00A00E80">
        <w:rPr>
          <w:rFonts w:ascii="Garamond" w:hAnsi="Garamond"/>
          <w:sz w:val="22"/>
          <w:szCs w:val="22"/>
        </w:rPr>
        <w:t xml:space="preserve"> </w:t>
      </w:r>
      <w:r w:rsidR="00431908" w:rsidRPr="00A00E80">
        <w:rPr>
          <w:rFonts w:ascii="Garamond" w:hAnsi="Garamond"/>
          <w:sz w:val="22"/>
          <w:szCs w:val="22"/>
        </w:rPr>
        <w:t>institutional investors</w:t>
      </w:r>
      <w:r w:rsidR="00463C10">
        <w:rPr>
          <w:rFonts w:ascii="Garamond" w:hAnsi="Garamond"/>
          <w:sz w:val="22"/>
          <w:szCs w:val="22"/>
        </w:rPr>
        <w:t>—namely, the Big Three</w:t>
      </w:r>
      <w:r w:rsidR="00761C4C">
        <w:rPr>
          <w:rFonts w:ascii="Garamond" w:hAnsi="Garamond"/>
          <w:sz w:val="22"/>
          <w:szCs w:val="22"/>
        </w:rPr>
        <w:t>—</w:t>
      </w:r>
      <w:r w:rsidR="00757FB6" w:rsidRPr="00A00E80">
        <w:rPr>
          <w:rFonts w:ascii="Garamond" w:hAnsi="Garamond"/>
          <w:sz w:val="22"/>
          <w:szCs w:val="22"/>
        </w:rPr>
        <w:t xml:space="preserve">in IPOs </w:t>
      </w:r>
      <w:r w:rsidR="00887B85" w:rsidRPr="00A00E80">
        <w:rPr>
          <w:rFonts w:ascii="Garamond" w:hAnsi="Garamond"/>
          <w:sz w:val="22"/>
          <w:szCs w:val="22"/>
        </w:rPr>
        <w:t>is linked to underpricing</w:t>
      </w:r>
      <w:r w:rsidR="000B276E" w:rsidRPr="00A00E80">
        <w:rPr>
          <w:rFonts w:ascii="Garamond" w:hAnsi="Garamond"/>
          <w:sz w:val="22"/>
          <w:szCs w:val="22"/>
        </w:rPr>
        <w:t>,</w:t>
      </w:r>
      <w:r w:rsidR="00887B85" w:rsidRPr="00A00E80">
        <w:rPr>
          <w:rFonts w:ascii="Garamond" w:hAnsi="Garamond"/>
          <w:sz w:val="22"/>
          <w:szCs w:val="22"/>
        </w:rPr>
        <w:t xml:space="preserve"> and </w:t>
      </w:r>
      <w:r w:rsidR="00C32ACF" w:rsidRPr="00A00E80">
        <w:rPr>
          <w:rFonts w:ascii="Garamond" w:hAnsi="Garamond"/>
          <w:sz w:val="22"/>
          <w:szCs w:val="22"/>
        </w:rPr>
        <w:t>introduce</w:t>
      </w:r>
      <w:r w:rsidR="00BD4814" w:rsidRPr="00A00E80">
        <w:rPr>
          <w:rFonts w:ascii="Garamond" w:hAnsi="Garamond"/>
          <w:sz w:val="22"/>
          <w:szCs w:val="22"/>
        </w:rPr>
        <w:t xml:space="preserve"> a</w:t>
      </w:r>
      <w:r w:rsidR="00887B85" w:rsidRPr="00A00E80">
        <w:rPr>
          <w:rFonts w:ascii="Garamond" w:hAnsi="Garamond"/>
          <w:sz w:val="22"/>
          <w:szCs w:val="22"/>
        </w:rPr>
        <w:t xml:space="preserve"> novel </w:t>
      </w:r>
      <w:r w:rsidR="00C32ACF" w:rsidRPr="00A00E80">
        <w:rPr>
          <w:rFonts w:ascii="Garamond" w:hAnsi="Garamond"/>
          <w:sz w:val="22"/>
          <w:szCs w:val="22"/>
        </w:rPr>
        <w:t>theory explaining</w:t>
      </w:r>
      <w:r w:rsidR="00887B85" w:rsidRPr="00A00E80">
        <w:rPr>
          <w:rFonts w:ascii="Garamond" w:hAnsi="Garamond"/>
          <w:sz w:val="22"/>
          <w:szCs w:val="22"/>
        </w:rPr>
        <w:t xml:space="preserve"> this</w:t>
      </w:r>
      <w:r w:rsidR="00814A79" w:rsidRPr="00A00E80">
        <w:rPr>
          <w:rFonts w:ascii="Garamond" w:hAnsi="Garamond"/>
          <w:sz w:val="22"/>
          <w:szCs w:val="22"/>
        </w:rPr>
        <w:t xml:space="preserve"> correlation.</w:t>
      </w:r>
      <w:r w:rsidR="0053319F" w:rsidRPr="00A00E80">
        <w:rPr>
          <w:rFonts w:ascii="Garamond" w:hAnsi="Garamond"/>
          <w:sz w:val="22"/>
          <w:szCs w:val="22"/>
        </w:rPr>
        <w:t xml:space="preserve"> </w:t>
      </w:r>
    </w:p>
    <w:p w14:paraId="41F62639" w14:textId="32961938" w:rsidR="00270989" w:rsidRDefault="007E519C" w:rsidP="00176D8E">
      <w:pPr>
        <w:spacing w:line="360" w:lineRule="auto"/>
        <w:ind w:firstLine="426"/>
        <w:jc w:val="both"/>
        <w:rPr>
          <w:rFonts w:ascii="Garamond" w:hAnsi="Garamond"/>
          <w:sz w:val="22"/>
          <w:szCs w:val="22"/>
        </w:rPr>
      </w:pPr>
      <w:r w:rsidRPr="00A00E80">
        <w:rPr>
          <w:rFonts w:ascii="Garamond" w:hAnsi="Garamond"/>
          <w:sz w:val="22"/>
          <w:szCs w:val="22"/>
        </w:rPr>
        <w:t>IPO underpricing</w:t>
      </w:r>
      <w:r w:rsidR="00B9650A" w:rsidRPr="00A00E80">
        <w:rPr>
          <w:rFonts w:ascii="Garamond" w:hAnsi="Garamond"/>
          <w:sz w:val="22"/>
          <w:szCs w:val="22"/>
        </w:rPr>
        <w:t xml:space="preserve"> </w:t>
      </w:r>
      <w:r w:rsidRPr="00A00E80">
        <w:rPr>
          <w:rFonts w:ascii="Garamond" w:hAnsi="Garamond"/>
          <w:sz w:val="22"/>
          <w:szCs w:val="22"/>
        </w:rPr>
        <w:t xml:space="preserve">has </w:t>
      </w:r>
      <w:r w:rsidR="00145B38" w:rsidRPr="00A00E80">
        <w:rPr>
          <w:rFonts w:ascii="Garamond" w:hAnsi="Garamond"/>
          <w:sz w:val="22"/>
          <w:szCs w:val="22"/>
        </w:rPr>
        <w:t xml:space="preserve">long </w:t>
      </w:r>
      <w:r w:rsidRPr="00A00E80">
        <w:rPr>
          <w:rFonts w:ascii="Garamond" w:hAnsi="Garamond"/>
          <w:sz w:val="22"/>
          <w:szCs w:val="22"/>
        </w:rPr>
        <w:t xml:space="preserve">been a focus of academic and </w:t>
      </w:r>
      <w:r w:rsidR="000B276E" w:rsidRPr="00A00E80">
        <w:rPr>
          <w:rFonts w:ascii="Garamond" w:hAnsi="Garamond"/>
          <w:sz w:val="22"/>
          <w:szCs w:val="22"/>
        </w:rPr>
        <w:t xml:space="preserve">media </w:t>
      </w:r>
      <w:r w:rsidRPr="00A00E80">
        <w:rPr>
          <w:rFonts w:ascii="Garamond" w:hAnsi="Garamond"/>
          <w:sz w:val="22"/>
          <w:szCs w:val="22"/>
        </w:rPr>
        <w:t>attention</w:t>
      </w:r>
      <w:r w:rsidR="00326CD6" w:rsidRPr="00A00E80">
        <w:rPr>
          <w:rFonts w:ascii="Garamond" w:hAnsi="Garamond"/>
          <w:sz w:val="22"/>
          <w:szCs w:val="22"/>
        </w:rPr>
        <w:t>, with a</w:t>
      </w:r>
      <w:r w:rsidR="00491A51" w:rsidRPr="00A00E80">
        <w:rPr>
          <w:rFonts w:ascii="Garamond" w:hAnsi="Garamond"/>
          <w:sz w:val="22"/>
          <w:szCs w:val="22"/>
        </w:rPr>
        <w:t xml:space="preserve">n extensive body of research </w:t>
      </w:r>
      <w:r w:rsidR="00326CD6" w:rsidRPr="00A00E80">
        <w:rPr>
          <w:rFonts w:ascii="Garamond" w:hAnsi="Garamond"/>
          <w:sz w:val="22"/>
          <w:szCs w:val="22"/>
        </w:rPr>
        <w:t>exploring its</w:t>
      </w:r>
      <w:r w:rsidR="00491A51" w:rsidRPr="00A00E80">
        <w:rPr>
          <w:rFonts w:ascii="Garamond" w:hAnsi="Garamond"/>
          <w:sz w:val="22"/>
          <w:szCs w:val="22"/>
        </w:rPr>
        <w:t xml:space="preserve"> correlates (</w:t>
      </w:r>
      <w:r w:rsidR="000B276E" w:rsidRPr="00A00E80">
        <w:rPr>
          <w:rFonts w:ascii="Garamond" w:hAnsi="Garamond"/>
          <w:sz w:val="22"/>
          <w:szCs w:val="22"/>
        </w:rPr>
        <w:t xml:space="preserve">Aggarwal </w:t>
      </w:r>
      <w:r w:rsidR="003E4CE7" w:rsidRPr="00A00E80">
        <w:rPr>
          <w:rFonts w:ascii="Garamond" w:hAnsi="Garamond"/>
          <w:sz w:val="22"/>
          <w:szCs w:val="22"/>
        </w:rPr>
        <w:t>2003</w:t>
      </w:r>
      <w:r w:rsidR="000B276E" w:rsidRPr="00A00E80">
        <w:rPr>
          <w:rFonts w:ascii="Garamond" w:hAnsi="Garamond"/>
          <w:sz w:val="22"/>
          <w:szCs w:val="22"/>
        </w:rPr>
        <w:t xml:space="preserve">; Aggarwal, </w:t>
      </w:r>
      <w:proofErr w:type="spellStart"/>
      <w:r w:rsidR="000B276E" w:rsidRPr="00A00E80">
        <w:rPr>
          <w:rFonts w:ascii="Garamond" w:hAnsi="Garamond"/>
          <w:sz w:val="22"/>
          <w:szCs w:val="22"/>
        </w:rPr>
        <w:t>Prabhala</w:t>
      </w:r>
      <w:proofErr w:type="spellEnd"/>
      <w:r w:rsidR="000B276E" w:rsidRPr="00A00E80">
        <w:rPr>
          <w:rFonts w:ascii="Garamond" w:hAnsi="Garamond"/>
          <w:sz w:val="22"/>
          <w:szCs w:val="22"/>
        </w:rPr>
        <w:t xml:space="preserve"> &amp; Puri 2002; </w:t>
      </w:r>
      <w:proofErr w:type="spellStart"/>
      <w:r w:rsidR="000B276E" w:rsidRPr="00A00E80">
        <w:rPr>
          <w:rFonts w:ascii="Garamond" w:hAnsi="Garamond"/>
          <w:sz w:val="22"/>
          <w:szCs w:val="22"/>
        </w:rPr>
        <w:t>Colaco</w:t>
      </w:r>
      <w:proofErr w:type="spellEnd"/>
      <w:r w:rsidR="000B276E" w:rsidRPr="00A00E80">
        <w:rPr>
          <w:rFonts w:ascii="Garamond" w:hAnsi="Garamond"/>
          <w:sz w:val="22"/>
          <w:szCs w:val="22"/>
        </w:rPr>
        <w:t xml:space="preserve">, Ghosh, Knopf &amp; </w:t>
      </w:r>
      <w:proofErr w:type="spellStart"/>
      <w:r w:rsidR="000B276E" w:rsidRPr="00A00E80">
        <w:rPr>
          <w:rFonts w:ascii="Garamond" w:hAnsi="Garamond"/>
          <w:sz w:val="22"/>
          <w:szCs w:val="22"/>
        </w:rPr>
        <w:t>Teall</w:t>
      </w:r>
      <w:proofErr w:type="spellEnd"/>
      <w:r w:rsidR="000B276E" w:rsidRPr="00A00E80">
        <w:rPr>
          <w:rFonts w:ascii="Garamond" w:hAnsi="Garamond"/>
          <w:sz w:val="22"/>
          <w:szCs w:val="22"/>
        </w:rPr>
        <w:t xml:space="preserve"> 2009; Corwin &amp; Schultz 2005; </w:t>
      </w:r>
      <w:proofErr w:type="spellStart"/>
      <w:r w:rsidR="000B276E" w:rsidRPr="00A00E80">
        <w:rPr>
          <w:rFonts w:ascii="Garamond" w:hAnsi="Garamond"/>
          <w:sz w:val="22"/>
          <w:szCs w:val="22"/>
        </w:rPr>
        <w:t>Grinblatt</w:t>
      </w:r>
      <w:proofErr w:type="spellEnd"/>
      <w:r w:rsidR="000B276E" w:rsidRPr="00A00E80">
        <w:rPr>
          <w:rFonts w:ascii="Garamond" w:hAnsi="Garamond"/>
          <w:sz w:val="22"/>
          <w:szCs w:val="22"/>
        </w:rPr>
        <w:t xml:space="preserve"> &amp; Hwang 1989; </w:t>
      </w:r>
      <w:r w:rsidR="002B698C" w:rsidRPr="00A00E80">
        <w:rPr>
          <w:rFonts w:ascii="Garamond" w:hAnsi="Garamond"/>
          <w:sz w:val="22"/>
          <w:szCs w:val="22"/>
        </w:rPr>
        <w:t xml:space="preserve">Ibbotson </w:t>
      </w:r>
      <w:r w:rsidR="005D13CB" w:rsidRPr="00A00E80">
        <w:rPr>
          <w:rFonts w:ascii="Garamond" w:hAnsi="Garamond"/>
          <w:sz w:val="22"/>
          <w:szCs w:val="22"/>
        </w:rPr>
        <w:t>&amp;</w:t>
      </w:r>
      <w:r w:rsidR="002B698C" w:rsidRPr="00A00E80">
        <w:rPr>
          <w:rFonts w:ascii="Garamond" w:hAnsi="Garamond"/>
          <w:sz w:val="22"/>
          <w:szCs w:val="22"/>
        </w:rPr>
        <w:t xml:space="preserve"> Jaffe 1975</w:t>
      </w:r>
      <w:r w:rsidR="000C75C6" w:rsidRPr="00A00E80">
        <w:rPr>
          <w:rFonts w:ascii="Garamond" w:hAnsi="Garamond"/>
          <w:sz w:val="22"/>
          <w:szCs w:val="22"/>
        </w:rPr>
        <w:t xml:space="preserve">; Loughran &amp; Ritter 2002; </w:t>
      </w:r>
      <w:r w:rsidR="000B276E" w:rsidRPr="00A00E80">
        <w:rPr>
          <w:rFonts w:ascii="Garamond" w:hAnsi="Garamond"/>
          <w:sz w:val="22"/>
          <w:szCs w:val="22"/>
        </w:rPr>
        <w:t xml:space="preserve">Ritter 1998; </w:t>
      </w:r>
      <w:r w:rsidR="00C67F6C" w:rsidRPr="00A00E80">
        <w:rPr>
          <w:rFonts w:ascii="Garamond" w:hAnsi="Garamond"/>
          <w:sz w:val="22"/>
          <w:szCs w:val="22"/>
        </w:rPr>
        <w:t xml:space="preserve">Rock 1986; </w:t>
      </w:r>
      <w:r w:rsidR="000B276E" w:rsidRPr="00A00E80">
        <w:rPr>
          <w:rFonts w:ascii="Garamond" w:hAnsi="Garamond"/>
          <w:sz w:val="22"/>
          <w:szCs w:val="22"/>
        </w:rPr>
        <w:t xml:space="preserve">Welch 1992; </w:t>
      </w:r>
      <w:r w:rsidR="002B698C" w:rsidRPr="00A00E80">
        <w:rPr>
          <w:rFonts w:ascii="Garamond" w:hAnsi="Garamond"/>
          <w:sz w:val="22"/>
          <w:szCs w:val="22"/>
        </w:rPr>
        <w:t>Welch 1989</w:t>
      </w:r>
      <w:r w:rsidR="00491A51" w:rsidRPr="00A00E80">
        <w:rPr>
          <w:rFonts w:ascii="Garamond" w:hAnsi="Garamond"/>
          <w:sz w:val="22"/>
          <w:szCs w:val="22"/>
        </w:rPr>
        <w:t>)</w:t>
      </w:r>
      <w:r w:rsidR="00152186" w:rsidRPr="00A00E80">
        <w:rPr>
          <w:rFonts w:ascii="Garamond" w:hAnsi="Garamond"/>
          <w:sz w:val="22"/>
          <w:szCs w:val="22"/>
        </w:rPr>
        <w:t xml:space="preserve">. </w:t>
      </w:r>
      <w:r w:rsidR="00D530C7" w:rsidRPr="00A00E80">
        <w:rPr>
          <w:rFonts w:ascii="Garamond" w:hAnsi="Garamond"/>
          <w:sz w:val="22"/>
          <w:szCs w:val="22"/>
        </w:rPr>
        <w:t xml:space="preserve">Yet, </w:t>
      </w:r>
      <w:proofErr w:type="gramStart"/>
      <w:r w:rsidR="00D530C7" w:rsidRPr="00A00E80">
        <w:rPr>
          <w:rFonts w:ascii="Garamond" w:hAnsi="Garamond"/>
          <w:sz w:val="22"/>
          <w:szCs w:val="22"/>
        </w:rPr>
        <w:t xml:space="preserve">the vast </w:t>
      </w:r>
      <w:r w:rsidR="0094686F" w:rsidRPr="00A00E80">
        <w:rPr>
          <w:rFonts w:ascii="Garamond" w:hAnsi="Garamond"/>
          <w:sz w:val="22"/>
          <w:szCs w:val="22"/>
        </w:rPr>
        <w:t>majority of</w:t>
      </w:r>
      <w:proofErr w:type="gramEnd"/>
      <w:r w:rsidR="0094686F" w:rsidRPr="00A00E80">
        <w:rPr>
          <w:rFonts w:ascii="Garamond" w:hAnsi="Garamond"/>
          <w:sz w:val="22"/>
          <w:szCs w:val="22"/>
        </w:rPr>
        <w:t xml:space="preserve"> the </w:t>
      </w:r>
      <w:r w:rsidR="00D530C7" w:rsidRPr="00A00E80">
        <w:rPr>
          <w:rFonts w:ascii="Garamond" w:hAnsi="Garamond"/>
          <w:sz w:val="22"/>
          <w:szCs w:val="22"/>
        </w:rPr>
        <w:t xml:space="preserve">existing literature </w:t>
      </w:r>
      <w:r w:rsidR="00326CD6" w:rsidRPr="00A00E80">
        <w:rPr>
          <w:rFonts w:ascii="Garamond" w:hAnsi="Garamond"/>
          <w:sz w:val="22"/>
          <w:szCs w:val="22"/>
        </w:rPr>
        <w:t>has not</w:t>
      </w:r>
      <w:r w:rsidR="00D530C7" w:rsidRPr="00A00E80">
        <w:rPr>
          <w:rFonts w:ascii="Garamond" w:hAnsi="Garamond"/>
          <w:sz w:val="22"/>
          <w:szCs w:val="22"/>
        </w:rPr>
        <w:t xml:space="preserve"> fully </w:t>
      </w:r>
      <w:r w:rsidR="00326CD6" w:rsidRPr="00A00E80">
        <w:rPr>
          <w:rFonts w:ascii="Garamond" w:hAnsi="Garamond"/>
          <w:sz w:val="22"/>
          <w:szCs w:val="22"/>
        </w:rPr>
        <w:t>grasped</w:t>
      </w:r>
      <w:r w:rsidR="00D530C7" w:rsidRPr="00A00E80">
        <w:rPr>
          <w:rFonts w:ascii="Garamond" w:hAnsi="Garamond"/>
          <w:sz w:val="22"/>
          <w:szCs w:val="22"/>
        </w:rPr>
        <w:t xml:space="preserve"> the primary driver</w:t>
      </w:r>
      <w:r w:rsidR="00326CD6" w:rsidRPr="00A00E80">
        <w:rPr>
          <w:rFonts w:ascii="Garamond" w:hAnsi="Garamond"/>
          <w:sz w:val="22"/>
          <w:szCs w:val="22"/>
        </w:rPr>
        <w:t xml:space="preserve">s </w:t>
      </w:r>
      <w:r w:rsidR="00D530C7" w:rsidRPr="00A00E80">
        <w:rPr>
          <w:rFonts w:ascii="Garamond" w:hAnsi="Garamond"/>
          <w:sz w:val="22"/>
          <w:szCs w:val="22"/>
        </w:rPr>
        <w:t>of underpricing</w:t>
      </w:r>
      <w:r w:rsidR="006A29CE" w:rsidRPr="00A00E80">
        <w:rPr>
          <w:rFonts w:ascii="Garamond" w:hAnsi="Garamond"/>
          <w:sz w:val="22"/>
          <w:szCs w:val="22"/>
        </w:rPr>
        <w:t xml:space="preserve"> (</w:t>
      </w:r>
      <w:r w:rsidR="00D10A44" w:rsidRPr="00A00E80">
        <w:rPr>
          <w:rFonts w:ascii="Garamond" w:hAnsi="Garamond"/>
          <w:sz w:val="22"/>
          <w:szCs w:val="22"/>
        </w:rPr>
        <w:t xml:space="preserve">Katti &amp; </w:t>
      </w:r>
      <w:proofErr w:type="spellStart"/>
      <w:r w:rsidR="00D10A44" w:rsidRPr="00A00E80">
        <w:rPr>
          <w:rFonts w:ascii="Garamond" w:hAnsi="Garamond"/>
          <w:sz w:val="22"/>
          <w:szCs w:val="22"/>
        </w:rPr>
        <w:t>Phani</w:t>
      </w:r>
      <w:proofErr w:type="spellEnd"/>
      <w:r w:rsidR="00D10A44" w:rsidRPr="00A00E80">
        <w:rPr>
          <w:rFonts w:ascii="Garamond" w:hAnsi="Garamond"/>
          <w:sz w:val="22"/>
          <w:szCs w:val="22"/>
        </w:rPr>
        <w:t xml:space="preserve"> 2016, p. 35</w:t>
      </w:r>
      <w:r w:rsidR="006A29CE" w:rsidRPr="00A00E80">
        <w:rPr>
          <w:rFonts w:ascii="Garamond" w:hAnsi="Garamond"/>
          <w:sz w:val="22"/>
          <w:szCs w:val="22"/>
        </w:rPr>
        <w:t>)</w:t>
      </w:r>
      <w:r w:rsidR="00185F88" w:rsidRPr="00A00E80">
        <w:rPr>
          <w:rFonts w:ascii="Garamond" w:hAnsi="Garamond"/>
          <w:sz w:val="22"/>
          <w:szCs w:val="22"/>
        </w:rPr>
        <w:t>.</w:t>
      </w:r>
      <w:r w:rsidR="00D530C7" w:rsidRPr="00A00E80">
        <w:rPr>
          <w:rFonts w:ascii="Garamond" w:hAnsi="Garamond"/>
          <w:sz w:val="22"/>
          <w:szCs w:val="22"/>
        </w:rPr>
        <w:t xml:space="preserve"> In fact</w:t>
      </w:r>
      <w:r w:rsidR="000530BC" w:rsidRPr="00A00E80">
        <w:rPr>
          <w:rFonts w:ascii="Garamond" w:hAnsi="Garamond"/>
          <w:sz w:val="22"/>
          <w:szCs w:val="22"/>
        </w:rPr>
        <w:t xml:space="preserve">, </w:t>
      </w:r>
      <w:r w:rsidR="00E854E6" w:rsidRPr="00A00E80">
        <w:rPr>
          <w:rFonts w:ascii="Garamond" w:hAnsi="Garamond"/>
          <w:sz w:val="22"/>
          <w:szCs w:val="22"/>
        </w:rPr>
        <w:t>some</w:t>
      </w:r>
      <w:r w:rsidR="00671A2C" w:rsidRPr="00A00E80">
        <w:rPr>
          <w:rFonts w:ascii="Garamond" w:hAnsi="Garamond"/>
          <w:sz w:val="22"/>
          <w:szCs w:val="22"/>
        </w:rPr>
        <w:t xml:space="preserve"> of the </w:t>
      </w:r>
      <w:r w:rsidR="00326CD6" w:rsidRPr="00A00E80">
        <w:rPr>
          <w:rFonts w:ascii="Garamond" w:hAnsi="Garamond"/>
          <w:sz w:val="22"/>
          <w:szCs w:val="22"/>
        </w:rPr>
        <w:t>leading</w:t>
      </w:r>
      <w:r w:rsidR="00671A2C" w:rsidRPr="00A00E80">
        <w:rPr>
          <w:rFonts w:ascii="Garamond" w:hAnsi="Garamond"/>
          <w:sz w:val="22"/>
          <w:szCs w:val="22"/>
        </w:rPr>
        <w:t xml:space="preserve"> theories explaining IPO underpricing</w:t>
      </w:r>
      <w:r w:rsidR="00AB6731" w:rsidRPr="00A00E80">
        <w:rPr>
          <w:rFonts w:ascii="Garamond" w:hAnsi="Garamond"/>
          <w:sz w:val="22"/>
          <w:szCs w:val="22"/>
        </w:rPr>
        <w:t xml:space="preserve"> </w:t>
      </w:r>
      <w:r w:rsidR="00671A2C" w:rsidRPr="00A00E80">
        <w:rPr>
          <w:rFonts w:ascii="Garamond" w:hAnsi="Garamond"/>
          <w:sz w:val="22"/>
          <w:szCs w:val="22"/>
        </w:rPr>
        <w:t xml:space="preserve">have limited applicability </w:t>
      </w:r>
      <w:r w:rsidR="00326CD6" w:rsidRPr="00A00E80">
        <w:rPr>
          <w:rFonts w:ascii="Garamond" w:hAnsi="Garamond"/>
          <w:sz w:val="22"/>
          <w:szCs w:val="22"/>
        </w:rPr>
        <w:t>given</w:t>
      </w:r>
      <w:r w:rsidR="00671A2C" w:rsidRPr="00A00E80">
        <w:rPr>
          <w:rFonts w:ascii="Garamond" w:hAnsi="Garamond"/>
          <w:sz w:val="22"/>
          <w:szCs w:val="22"/>
        </w:rPr>
        <w:t xml:space="preserve"> current market conditions, regulatory environment</w:t>
      </w:r>
      <w:r w:rsidR="00270989">
        <w:rPr>
          <w:rFonts w:ascii="Garamond" w:hAnsi="Garamond"/>
          <w:sz w:val="22"/>
          <w:szCs w:val="22"/>
        </w:rPr>
        <w:t xml:space="preserve">, and the </w:t>
      </w:r>
      <w:r w:rsidR="00270989" w:rsidRPr="00270989">
        <w:rPr>
          <w:rFonts w:ascii="Garamond" w:hAnsi="Garamond"/>
          <w:sz w:val="22"/>
          <w:szCs w:val="22"/>
        </w:rPr>
        <w:t xml:space="preserve">prevalence of </w:t>
      </w:r>
      <w:r w:rsidR="00B047FC">
        <w:rPr>
          <w:rFonts w:ascii="Garamond" w:hAnsi="Garamond"/>
          <w:sz w:val="22"/>
          <w:szCs w:val="22"/>
        </w:rPr>
        <w:t xml:space="preserve">the </w:t>
      </w:r>
      <w:r w:rsidR="00270989" w:rsidRPr="00270989">
        <w:rPr>
          <w:rFonts w:ascii="Garamond" w:hAnsi="Garamond"/>
          <w:sz w:val="22"/>
          <w:szCs w:val="22"/>
        </w:rPr>
        <w:t>book-building</w:t>
      </w:r>
      <w:r w:rsidR="00B047FC">
        <w:rPr>
          <w:rFonts w:ascii="Garamond" w:hAnsi="Garamond"/>
          <w:sz w:val="22"/>
          <w:szCs w:val="22"/>
        </w:rPr>
        <w:t xml:space="preserve"> method</w:t>
      </w:r>
      <w:r w:rsidR="00270989" w:rsidRPr="00270989">
        <w:rPr>
          <w:rFonts w:ascii="Garamond" w:hAnsi="Garamond"/>
          <w:sz w:val="22"/>
          <w:szCs w:val="22"/>
        </w:rPr>
        <w:t xml:space="preserve"> as the primary </w:t>
      </w:r>
      <w:r w:rsidR="00B047FC">
        <w:rPr>
          <w:rFonts w:ascii="Garamond" w:hAnsi="Garamond"/>
          <w:sz w:val="22"/>
          <w:szCs w:val="22"/>
        </w:rPr>
        <w:t>mechanism</w:t>
      </w:r>
      <w:r w:rsidR="00270989" w:rsidRPr="00270989">
        <w:rPr>
          <w:rFonts w:ascii="Garamond" w:hAnsi="Garamond"/>
          <w:sz w:val="22"/>
          <w:szCs w:val="22"/>
        </w:rPr>
        <w:t xml:space="preserve"> for selling IPOs</w:t>
      </w:r>
      <w:r w:rsidR="0063050D" w:rsidRPr="0063050D">
        <w:rPr>
          <w:rFonts w:ascii="Garamond" w:hAnsi="Garamond"/>
          <w:sz w:val="22"/>
          <w:szCs w:val="22"/>
        </w:rPr>
        <w:t xml:space="preserve"> </w:t>
      </w:r>
      <w:r w:rsidR="0063050D" w:rsidRPr="00270989">
        <w:rPr>
          <w:rFonts w:ascii="Garamond" w:hAnsi="Garamond"/>
          <w:sz w:val="22"/>
          <w:szCs w:val="22"/>
        </w:rPr>
        <w:t>in the United States</w:t>
      </w:r>
      <w:r w:rsidR="00270989" w:rsidRPr="00270989">
        <w:rPr>
          <w:rFonts w:ascii="Garamond" w:hAnsi="Garamond"/>
          <w:sz w:val="22"/>
          <w:szCs w:val="22"/>
        </w:rPr>
        <w:t>.</w:t>
      </w:r>
      <w:r w:rsidR="000530BC" w:rsidRPr="00A00E80">
        <w:rPr>
          <w:rFonts w:ascii="Garamond" w:hAnsi="Garamond"/>
          <w:sz w:val="22"/>
          <w:szCs w:val="22"/>
        </w:rPr>
        <w:t xml:space="preserve"> </w:t>
      </w:r>
    </w:p>
    <w:p w14:paraId="5376B3C3" w14:textId="3213C5B0" w:rsidR="009102BA" w:rsidRDefault="002134BC" w:rsidP="002134BC">
      <w:pPr>
        <w:spacing w:line="360" w:lineRule="auto"/>
        <w:ind w:firstLine="426"/>
        <w:jc w:val="both"/>
        <w:rPr>
          <w:rFonts w:ascii="Garamond" w:hAnsi="Garamond"/>
          <w:sz w:val="22"/>
          <w:szCs w:val="22"/>
        </w:rPr>
      </w:pPr>
      <w:r>
        <w:rPr>
          <w:rFonts w:ascii="Garamond" w:hAnsi="Garamond"/>
          <w:sz w:val="22"/>
          <w:szCs w:val="22"/>
        </w:rPr>
        <w:t>In the remainder of this section</w:t>
      </w:r>
      <w:r w:rsidR="00DD41A7">
        <w:rPr>
          <w:rFonts w:ascii="Garamond" w:hAnsi="Garamond"/>
          <w:sz w:val="22"/>
          <w:szCs w:val="22"/>
        </w:rPr>
        <w:t xml:space="preserve">, </w:t>
      </w:r>
      <w:r>
        <w:rPr>
          <w:rFonts w:ascii="Garamond" w:hAnsi="Garamond"/>
          <w:sz w:val="22"/>
          <w:szCs w:val="22"/>
        </w:rPr>
        <w:t xml:space="preserve">we review some of the leading theories explaining IPO underpricing. The goal of our research is not to </w:t>
      </w:r>
      <w:r w:rsidR="00887555" w:rsidRPr="00887555">
        <w:rPr>
          <w:rFonts w:ascii="Garamond" w:hAnsi="Garamond"/>
          <w:sz w:val="22"/>
          <w:szCs w:val="22"/>
        </w:rPr>
        <w:t>invalidate</w:t>
      </w:r>
      <w:r w:rsidR="00887555">
        <w:rPr>
          <w:rFonts w:ascii="Garamond" w:hAnsi="Garamond"/>
          <w:sz w:val="22"/>
          <w:szCs w:val="22"/>
        </w:rPr>
        <w:t xml:space="preserve"> </w:t>
      </w:r>
      <w:r>
        <w:rPr>
          <w:rFonts w:ascii="Garamond" w:hAnsi="Garamond"/>
          <w:sz w:val="22"/>
          <w:szCs w:val="22"/>
        </w:rPr>
        <w:t>these theories</w:t>
      </w:r>
      <w:r w:rsidR="00887555">
        <w:rPr>
          <w:rFonts w:ascii="Garamond" w:hAnsi="Garamond"/>
          <w:sz w:val="22"/>
          <w:szCs w:val="22"/>
        </w:rPr>
        <w:t xml:space="preserve"> </w:t>
      </w:r>
      <w:r>
        <w:rPr>
          <w:rFonts w:ascii="Garamond" w:hAnsi="Garamond"/>
          <w:sz w:val="22"/>
          <w:szCs w:val="22"/>
        </w:rPr>
        <w:t xml:space="preserve">but </w:t>
      </w:r>
      <w:r w:rsidR="005028C0">
        <w:rPr>
          <w:rFonts w:ascii="Garamond" w:hAnsi="Garamond"/>
          <w:sz w:val="22"/>
          <w:szCs w:val="22"/>
        </w:rPr>
        <w:t xml:space="preserve">to </w:t>
      </w:r>
      <w:r w:rsidR="00887555">
        <w:rPr>
          <w:rFonts w:ascii="Garamond" w:hAnsi="Garamond"/>
          <w:sz w:val="22"/>
          <w:szCs w:val="22"/>
        </w:rPr>
        <w:t>examine</w:t>
      </w:r>
      <w:r w:rsidR="005028C0">
        <w:rPr>
          <w:rFonts w:ascii="Garamond" w:hAnsi="Garamond"/>
          <w:sz w:val="22"/>
          <w:szCs w:val="22"/>
        </w:rPr>
        <w:t xml:space="preserve"> their limitations and </w:t>
      </w:r>
      <w:r w:rsidR="00887555">
        <w:rPr>
          <w:rFonts w:ascii="Garamond" w:hAnsi="Garamond"/>
          <w:sz w:val="22"/>
          <w:szCs w:val="22"/>
        </w:rPr>
        <w:t>propose</w:t>
      </w:r>
      <w:r>
        <w:rPr>
          <w:rFonts w:ascii="Garamond" w:hAnsi="Garamond"/>
          <w:sz w:val="22"/>
          <w:szCs w:val="22"/>
        </w:rPr>
        <w:t xml:space="preserve"> </w:t>
      </w:r>
      <w:r w:rsidR="00887555">
        <w:rPr>
          <w:rFonts w:ascii="Garamond" w:hAnsi="Garamond"/>
          <w:sz w:val="22"/>
          <w:szCs w:val="22"/>
        </w:rPr>
        <w:t>an additional</w:t>
      </w:r>
      <w:r>
        <w:rPr>
          <w:rFonts w:ascii="Garamond" w:hAnsi="Garamond"/>
          <w:sz w:val="22"/>
          <w:szCs w:val="22"/>
        </w:rPr>
        <w:t xml:space="preserve"> potential explanation for </w:t>
      </w:r>
      <w:r w:rsidR="00887555">
        <w:rPr>
          <w:rFonts w:ascii="Garamond" w:hAnsi="Garamond"/>
          <w:sz w:val="22"/>
          <w:szCs w:val="22"/>
        </w:rPr>
        <w:t>this phenomenon</w:t>
      </w:r>
      <w:r>
        <w:rPr>
          <w:rFonts w:ascii="Garamond" w:hAnsi="Garamond"/>
          <w:sz w:val="22"/>
          <w:szCs w:val="22"/>
        </w:rPr>
        <w:t xml:space="preserve">. </w:t>
      </w:r>
      <w:r w:rsidR="007A4232" w:rsidRPr="007A4232">
        <w:rPr>
          <w:rFonts w:ascii="Garamond" w:hAnsi="Garamond"/>
          <w:sz w:val="22"/>
          <w:szCs w:val="22"/>
        </w:rPr>
        <w:t>We posit that IPO underpricing is attributable to multiple factors, and we seek to introduce a novel cause that, to the best of our knowledge, has not been previously suggested in the literature.</w:t>
      </w:r>
    </w:p>
    <w:p w14:paraId="184F66B1" w14:textId="1AE8BFAE" w:rsidR="00DB78ED" w:rsidRPr="00A00E80" w:rsidRDefault="0010295F" w:rsidP="0010295F">
      <w:pPr>
        <w:pStyle w:val="ListParagraph"/>
        <w:numPr>
          <w:ilvl w:val="0"/>
          <w:numId w:val="2"/>
        </w:numPr>
        <w:spacing w:line="360" w:lineRule="auto"/>
        <w:ind w:left="426" w:hanging="426"/>
        <w:jc w:val="both"/>
        <w:rPr>
          <w:rFonts w:ascii="Garamond" w:hAnsi="Garamond"/>
          <w:sz w:val="22"/>
          <w:szCs w:val="22"/>
          <w:u w:val="single"/>
        </w:rPr>
      </w:pPr>
      <w:r w:rsidRPr="00A00E80">
        <w:rPr>
          <w:rFonts w:ascii="Garamond" w:hAnsi="Garamond"/>
          <w:sz w:val="22"/>
          <w:szCs w:val="22"/>
          <w:u w:val="single"/>
        </w:rPr>
        <w:t xml:space="preserve">Information </w:t>
      </w:r>
      <w:r w:rsidR="00CC4E63" w:rsidRPr="00A00E80">
        <w:rPr>
          <w:rFonts w:ascii="Garamond" w:hAnsi="Garamond"/>
          <w:sz w:val="22"/>
          <w:szCs w:val="22"/>
          <w:u w:val="single"/>
        </w:rPr>
        <w:t>asymmetry</w:t>
      </w:r>
      <w:r w:rsidRPr="00A00E80">
        <w:rPr>
          <w:rFonts w:ascii="Garamond" w:hAnsi="Garamond"/>
          <w:sz w:val="22"/>
          <w:szCs w:val="22"/>
          <w:u w:val="single"/>
        </w:rPr>
        <w:t xml:space="preserve"> theories </w:t>
      </w:r>
    </w:p>
    <w:p w14:paraId="063574F1" w14:textId="72B8324D" w:rsidR="00797F5B" w:rsidRPr="00A00E80" w:rsidRDefault="004D0324" w:rsidP="00906091">
      <w:pPr>
        <w:spacing w:line="360" w:lineRule="auto"/>
        <w:ind w:firstLine="426"/>
        <w:jc w:val="both"/>
        <w:rPr>
          <w:rFonts w:ascii="Garamond" w:hAnsi="Garamond"/>
          <w:sz w:val="22"/>
          <w:szCs w:val="22"/>
        </w:rPr>
      </w:pPr>
      <w:r w:rsidRPr="00A00E80">
        <w:rPr>
          <w:rFonts w:ascii="Garamond" w:hAnsi="Garamond"/>
          <w:sz w:val="22"/>
          <w:szCs w:val="22"/>
        </w:rPr>
        <w:t>Over</w:t>
      </w:r>
      <w:r w:rsidR="00354E6B" w:rsidRPr="00A00E80">
        <w:rPr>
          <w:rFonts w:ascii="Garamond" w:hAnsi="Garamond"/>
          <w:sz w:val="22"/>
          <w:szCs w:val="22"/>
        </w:rPr>
        <w:t xml:space="preserve"> the years, </w:t>
      </w:r>
      <w:r w:rsidR="00B04909" w:rsidRPr="00A00E80">
        <w:rPr>
          <w:rFonts w:ascii="Garamond" w:hAnsi="Garamond"/>
          <w:sz w:val="22"/>
          <w:szCs w:val="22"/>
        </w:rPr>
        <w:t>researchers have identified and modeled information asymmetry as</w:t>
      </w:r>
      <w:r w:rsidR="008F2729" w:rsidRPr="00A00E80">
        <w:rPr>
          <w:rFonts w:ascii="Garamond" w:hAnsi="Garamond"/>
          <w:sz w:val="22"/>
          <w:szCs w:val="22"/>
        </w:rPr>
        <w:t xml:space="preserve"> a</w:t>
      </w:r>
      <w:r w:rsidR="00B04909" w:rsidRPr="00A00E80">
        <w:rPr>
          <w:rFonts w:ascii="Garamond" w:hAnsi="Garamond"/>
          <w:sz w:val="22"/>
          <w:szCs w:val="22"/>
        </w:rPr>
        <w:t xml:space="preserve"> </w:t>
      </w:r>
      <w:r w:rsidR="00EC420A" w:rsidRPr="00A00E80">
        <w:rPr>
          <w:rFonts w:ascii="Garamond" w:hAnsi="Garamond"/>
          <w:sz w:val="22"/>
          <w:szCs w:val="22"/>
        </w:rPr>
        <w:t>crucial</w:t>
      </w:r>
      <w:r w:rsidR="00B04909" w:rsidRPr="00A00E80">
        <w:rPr>
          <w:rFonts w:ascii="Garamond" w:hAnsi="Garamond"/>
          <w:sz w:val="22"/>
          <w:szCs w:val="22"/>
        </w:rPr>
        <w:t xml:space="preserve"> determinant </w:t>
      </w:r>
      <w:r w:rsidR="00750C95" w:rsidRPr="00A00E80">
        <w:rPr>
          <w:rFonts w:ascii="Garamond" w:hAnsi="Garamond"/>
          <w:sz w:val="22"/>
          <w:szCs w:val="22"/>
        </w:rPr>
        <w:t>in</w:t>
      </w:r>
      <w:r w:rsidR="00B04909" w:rsidRPr="00A00E80">
        <w:rPr>
          <w:rFonts w:ascii="Garamond" w:hAnsi="Garamond"/>
          <w:sz w:val="22"/>
          <w:szCs w:val="22"/>
        </w:rPr>
        <w:t xml:space="preserve"> IPO underpricing (Baron </w:t>
      </w:r>
      <w:r w:rsidR="00A72284" w:rsidRPr="00A00E80">
        <w:rPr>
          <w:rFonts w:ascii="Garamond" w:hAnsi="Garamond"/>
          <w:sz w:val="22"/>
          <w:szCs w:val="22"/>
        </w:rPr>
        <w:t>1982;</w:t>
      </w:r>
      <w:r w:rsidR="00B04909" w:rsidRPr="00A00E80">
        <w:rPr>
          <w:rFonts w:ascii="Garamond" w:hAnsi="Garamond"/>
          <w:sz w:val="22"/>
          <w:szCs w:val="22"/>
        </w:rPr>
        <w:t xml:space="preserve"> </w:t>
      </w:r>
      <w:r w:rsidR="000B276E" w:rsidRPr="00A00E80">
        <w:rPr>
          <w:rFonts w:ascii="Garamond" w:hAnsi="Garamond"/>
          <w:sz w:val="22"/>
          <w:szCs w:val="22"/>
        </w:rPr>
        <w:t xml:space="preserve">Rock 1986; </w:t>
      </w:r>
      <w:r w:rsidR="00B04909" w:rsidRPr="00A00E80">
        <w:rPr>
          <w:rFonts w:ascii="Garamond" w:hAnsi="Garamond"/>
          <w:sz w:val="22"/>
          <w:szCs w:val="22"/>
        </w:rPr>
        <w:t xml:space="preserve">Welch </w:t>
      </w:r>
      <w:r w:rsidR="007E6137" w:rsidRPr="00A00E80">
        <w:rPr>
          <w:rFonts w:ascii="Garamond" w:hAnsi="Garamond"/>
          <w:sz w:val="22"/>
          <w:szCs w:val="22"/>
        </w:rPr>
        <w:t>1992</w:t>
      </w:r>
      <w:r w:rsidR="00B04909" w:rsidRPr="00A00E80">
        <w:rPr>
          <w:rFonts w:ascii="Garamond" w:hAnsi="Garamond"/>
          <w:sz w:val="22"/>
          <w:szCs w:val="22"/>
        </w:rPr>
        <w:t>)</w:t>
      </w:r>
      <w:r w:rsidR="00E50D0D" w:rsidRPr="00A00E80">
        <w:rPr>
          <w:rFonts w:ascii="Garamond" w:hAnsi="Garamond"/>
          <w:sz w:val="22"/>
          <w:szCs w:val="22"/>
        </w:rPr>
        <w:t xml:space="preserve">. </w:t>
      </w:r>
      <w:r w:rsidR="00C67F6C" w:rsidRPr="00A00E80">
        <w:rPr>
          <w:rFonts w:ascii="Garamond" w:hAnsi="Garamond"/>
          <w:sz w:val="22"/>
          <w:szCs w:val="22"/>
        </w:rPr>
        <w:t>These information asymmetry models—which were also extended to other financial markets transactions such as equity crowdfunding (</w:t>
      </w:r>
      <w:proofErr w:type="spellStart"/>
      <w:r w:rsidR="00C67F6C" w:rsidRPr="00A00E80">
        <w:rPr>
          <w:rFonts w:ascii="Garamond" w:hAnsi="Garamond"/>
          <w:sz w:val="22"/>
          <w:szCs w:val="22"/>
        </w:rPr>
        <w:t>Ahlers</w:t>
      </w:r>
      <w:proofErr w:type="spellEnd"/>
      <w:r w:rsidR="00C67F6C" w:rsidRPr="00A00E80">
        <w:rPr>
          <w:rFonts w:ascii="Garamond" w:hAnsi="Garamond"/>
          <w:sz w:val="22"/>
          <w:szCs w:val="22"/>
        </w:rPr>
        <w:t xml:space="preserve">, Cumming, Gunther &amp; Schweizer 2015) and the initial offering of digital coins (Ofir &amp; </w:t>
      </w:r>
      <w:proofErr w:type="spellStart"/>
      <w:r w:rsidR="00C67F6C" w:rsidRPr="00A00E80">
        <w:rPr>
          <w:rFonts w:ascii="Garamond" w:hAnsi="Garamond"/>
          <w:sz w:val="22"/>
          <w:szCs w:val="22"/>
        </w:rPr>
        <w:t>Sadeh</w:t>
      </w:r>
      <w:proofErr w:type="spellEnd"/>
      <w:r w:rsidR="00C67F6C" w:rsidRPr="00A00E80">
        <w:rPr>
          <w:rFonts w:ascii="Garamond" w:hAnsi="Garamond"/>
          <w:sz w:val="22"/>
          <w:szCs w:val="22"/>
        </w:rPr>
        <w:t xml:space="preserve"> 2020)—view information asymmetry as a crucial market friction which hampers the ability of investors to estimate the true value of an asset. </w:t>
      </w:r>
      <w:r w:rsidR="003E60C6" w:rsidRPr="00A00E80">
        <w:rPr>
          <w:rFonts w:ascii="Garamond" w:hAnsi="Garamond"/>
          <w:sz w:val="22"/>
          <w:szCs w:val="22"/>
        </w:rPr>
        <w:t>O</w:t>
      </w:r>
      <w:r w:rsidR="00B42034" w:rsidRPr="00A00E80">
        <w:rPr>
          <w:rFonts w:ascii="Garamond" w:hAnsi="Garamond"/>
          <w:sz w:val="22"/>
          <w:szCs w:val="22"/>
        </w:rPr>
        <w:t xml:space="preserve">ne of the </w:t>
      </w:r>
      <w:r w:rsidR="00750C95" w:rsidRPr="00A00E80">
        <w:rPr>
          <w:rFonts w:ascii="Garamond" w:hAnsi="Garamond"/>
          <w:sz w:val="22"/>
          <w:szCs w:val="22"/>
        </w:rPr>
        <w:t>prevailing</w:t>
      </w:r>
      <w:r w:rsidR="00B42034" w:rsidRPr="00A00E80">
        <w:rPr>
          <w:rFonts w:ascii="Garamond" w:hAnsi="Garamond"/>
          <w:sz w:val="22"/>
          <w:szCs w:val="22"/>
        </w:rPr>
        <w:t xml:space="preserve"> theories</w:t>
      </w:r>
      <w:r w:rsidR="006830B1" w:rsidRPr="00A00E80">
        <w:rPr>
          <w:rFonts w:ascii="Garamond" w:hAnsi="Garamond"/>
          <w:sz w:val="22"/>
          <w:szCs w:val="22"/>
        </w:rPr>
        <w:t xml:space="preserve"> </w:t>
      </w:r>
      <w:r w:rsidR="00FA69EE" w:rsidRPr="00A00E80">
        <w:rPr>
          <w:rFonts w:ascii="Garamond" w:hAnsi="Garamond"/>
          <w:sz w:val="22"/>
          <w:szCs w:val="22"/>
        </w:rPr>
        <w:t xml:space="preserve">in this </w:t>
      </w:r>
      <w:r w:rsidR="00441217" w:rsidRPr="00A00E80">
        <w:rPr>
          <w:rFonts w:ascii="Garamond" w:hAnsi="Garamond"/>
          <w:sz w:val="22"/>
          <w:szCs w:val="22"/>
        </w:rPr>
        <w:t xml:space="preserve">area </w:t>
      </w:r>
      <w:r w:rsidR="00EA3EE7" w:rsidRPr="00A00E80">
        <w:rPr>
          <w:rFonts w:ascii="Garamond" w:hAnsi="Garamond"/>
          <w:sz w:val="22"/>
          <w:szCs w:val="22"/>
        </w:rPr>
        <w:t>is</w:t>
      </w:r>
      <w:r w:rsidR="007A4A7E" w:rsidRPr="00A00E80">
        <w:rPr>
          <w:rFonts w:ascii="Garamond" w:hAnsi="Garamond"/>
          <w:sz w:val="22"/>
          <w:szCs w:val="22"/>
        </w:rPr>
        <w:t xml:space="preserve"> </w:t>
      </w:r>
      <w:r w:rsidR="000E46DC" w:rsidRPr="00A00E80">
        <w:rPr>
          <w:rFonts w:ascii="Garamond" w:hAnsi="Garamond"/>
          <w:sz w:val="22"/>
          <w:szCs w:val="22"/>
        </w:rPr>
        <w:t>Rock’s winner’s curse theory</w:t>
      </w:r>
      <w:r w:rsidR="008F2729" w:rsidRPr="00A00E80">
        <w:rPr>
          <w:rFonts w:ascii="Garamond" w:hAnsi="Garamond"/>
          <w:sz w:val="22"/>
          <w:szCs w:val="22"/>
        </w:rPr>
        <w:t>,</w:t>
      </w:r>
      <w:r w:rsidR="000E46DC" w:rsidRPr="00A00E80">
        <w:rPr>
          <w:rFonts w:ascii="Garamond" w:hAnsi="Garamond"/>
          <w:sz w:val="22"/>
          <w:szCs w:val="22"/>
        </w:rPr>
        <w:t xml:space="preserve"> </w:t>
      </w:r>
      <w:r w:rsidR="00EA3EE7" w:rsidRPr="00A00E80">
        <w:rPr>
          <w:rFonts w:ascii="Garamond" w:hAnsi="Garamond"/>
          <w:sz w:val="22"/>
          <w:szCs w:val="22"/>
        </w:rPr>
        <w:t xml:space="preserve">which stipulates that </w:t>
      </w:r>
      <w:r w:rsidR="000E46DC" w:rsidRPr="00A00E80">
        <w:rPr>
          <w:rFonts w:ascii="Garamond" w:hAnsi="Garamond"/>
          <w:sz w:val="22"/>
          <w:szCs w:val="22"/>
        </w:rPr>
        <w:t>IPO underpricing occurs because the winning bidder in an IPO auction typically overestimates the value of the stock</w:t>
      </w:r>
      <w:r w:rsidR="008C5944" w:rsidRPr="00A00E80">
        <w:rPr>
          <w:rFonts w:ascii="Garamond" w:hAnsi="Garamond"/>
          <w:sz w:val="22"/>
          <w:szCs w:val="22"/>
        </w:rPr>
        <w:t xml:space="preserve">. To avoid </w:t>
      </w:r>
      <w:r w:rsidR="008F2729" w:rsidRPr="00A00E80">
        <w:rPr>
          <w:rFonts w:ascii="Garamond" w:hAnsi="Garamond"/>
          <w:sz w:val="22"/>
          <w:szCs w:val="22"/>
        </w:rPr>
        <w:t>the</w:t>
      </w:r>
      <w:r w:rsidR="008C5944" w:rsidRPr="00A00E80">
        <w:rPr>
          <w:rFonts w:ascii="Garamond" w:hAnsi="Garamond"/>
          <w:sz w:val="22"/>
          <w:szCs w:val="22"/>
        </w:rPr>
        <w:t xml:space="preserve"> </w:t>
      </w:r>
      <w:r w:rsidR="00996842" w:rsidRPr="00A00E80">
        <w:rPr>
          <w:rFonts w:ascii="Garamond" w:hAnsi="Garamond"/>
          <w:sz w:val="22"/>
          <w:szCs w:val="22"/>
        </w:rPr>
        <w:t>curse</w:t>
      </w:r>
      <w:r w:rsidR="008F2729" w:rsidRPr="00A00E80">
        <w:rPr>
          <w:rFonts w:ascii="Garamond" w:hAnsi="Garamond"/>
          <w:sz w:val="22"/>
          <w:szCs w:val="22"/>
        </w:rPr>
        <w:t xml:space="preserve"> of overpaying</w:t>
      </w:r>
      <w:r w:rsidR="008C5944" w:rsidRPr="00A00E80">
        <w:rPr>
          <w:rFonts w:ascii="Garamond" w:hAnsi="Garamond"/>
          <w:sz w:val="22"/>
          <w:szCs w:val="22"/>
        </w:rPr>
        <w:t>,</w:t>
      </w:r>
      <w:r w:rsidR="000E46DC" w:rsidRPr="00A00E80">
        <w:rPr>
          <w:rFonts w:ascii="Garamond" w:hAnsi="Garamond"/>
          <w:sz w:val="22"/>
          <w:szCs w:val="22"/>
        </w:rPr>
        <w:t xml:space="preserve"> </w:t>
      </w:r>
      <w:r w:rsidR="008F2729" w:rsidRPr="00A00E80">
        <w:rPr>
          <w:rFonts w:ascii="Garamond" w:hAnsi="Garamond"/>
          <w:sz w:val="22"/>
          <w:szCs w:val="22"/>
        </w:rPr>
        <w:t>the winning bidder</w:t>
      </w:r>
      <w:r w:rsidR="000E46DC" w:rsidRPr="00A00E80">
        <w:rPr>
          <w:rFonts w:ascii="Garamond" w:hAnsi="Garamond"/>
          <w:sz w:val="22"/>
          <w:szCs w:val="22"/>
        </w:rPr>
        <w:t xml:space="preserve"> may demand a lower price</w:t>
      </w:r>
      <w:r w:rsidR="008F2729" w:rsidRPr="00A00E80">
        <w:rPr>
          <w:rFonts w:ascii="Garamond" w:hAnsi="Garamond"/>
          <w:sz w:val="22"/>
          <w:szCs w:val="22"/>
        </w:rPr>
        <w:t xml:space="preserve">, leading to underpricing </w:t>
      </w:r>
      <w:r w:rsidR="000E46DC" w:rsidRPr="00A00E80">
        <w:rPr>
          <w:rFonts w:ascii="Garamond" w:hAnsi="Garamond"/>
          <w:sz w:val="22"/>
          <w:szCs w:val="22"/>
        </w:rPr>
        <w:t xml:space="preserve">(Rock 1986). </w:t>
      </w:r>
    </w:p>
    <w:p w14:paraId="3280E235" w14:textId="306A7419" w:rsidR="00426A39" w:rsidRPr="00A00E80" w:rsidRDefault="008F2729" w:rsidP="007D2482">
      <w:pPr>
        <w:spacing w:line="360" w:lineRule="auto"/>
        <w:ind w:firstLine="426"/>
        <w:jc w:val="both"/>
        <w:rPr>
          <w:rFonts w:ascii="Garamond" w:hAnsi="Garamond"/>
          <w:sz w:val="22"/>
          <w:szCs w:val="22"/>
        </w:rPr>
      </w:pPr>
      <w:r w:rsidRPr="00A00E80">
        <w:rPr>
          <w:rFonts w:ascii="Garamond" w:hAnsi="Garamond"/>
          <w:sz w:val="22"/>
          <w:szCs w:val="22"/>
        </w:rPr>
        <w:t xml:space="preserve">However, </w:t>
      </w:r>
      <w:r w:rsidR="00797F5B" w:rsidRPr="00A00E80">
        <w:rPr>
          <w:rFonts w:ascii="Garamond" w:hAnsi="Garamond"/>
          <w:sz w:val="22"/>
          <w:szCs w:val="22"/>
        </w:rPr>
        <w:t xml:space="preserve">Rock’s theory </w:t>
      </w:r>
      <w:r w:rsidR="00750C95" w:rsidRPr="00A00E80">
        <w:rPr>
          <w:rFonts w:ascii="Garamond" w:hAnsi="Garamond"/>
          <w:sz w:val="22"/>
          <w:szCs w:val="22"/>
        </w:rPr>
        <w:t>exhibits</w:t>
      </w:r>
      <w:r w:rsidR="00E873C9" w:rsidRPr="00A00E80">
        <w:rPr>
          <w:rFonts w:ascii="Garamond" w:hAnsi="Garamond"/>
          <w:sz w:val="22"/>
          <w:szCs w:val="22"/>
        </w:rPr>
        <w:t xml:space="preserve"> </w:t>
      </w:r>
      <w:r w:rsidR="00F477D1">
        <w:rPr>
          <w:rFonts w:ascii="Garamond" w:hAnsi="Garamond"/>
          <w:sz w:val="22"/>
          <w:szCs w:val="22"/>
        </w:rPr>
        <w:t>several</w:t>
      </w:r>
      <w:r w:rsidR="00F477D1" w:rsidRPr="00A00E80">
        <w:rPr>
          <w:rFonts w:ascii="Garamond" w:hAnsi="Garamond"/>
          <w:sz w:val="22"/>
          <w:szCs w:val="22"/>
        </w:rPr>
        <w:t xml:space="preserve"> </w:t>
      </w:r>
      <w:r w:rsidR="00E873C9" w:rsidRPr="00A00E80">
        <w:rPr>
          <w:rFonts w:ascii="Garamond" w:hAnsi="Garamond"/>
          <w:sz w:val="22"/>
          <w:szCs w:val="22"/>
        </w:rPr>
        <w:t xml:space="preserve">limitations </w:t>
      </w:r>
      <w:r w:rsidRPr="00A00E80">
        <w:rPr>
          <w:rFonts w:ascii="Garamond" w:hAnsi="Garamond"/>
          <w:sz w:val="22"/>
          <w:szCs w:val="22"/>
        </w:rPr>
        <w:t>when applied to</w:t>
      </w:r>
      <w:r w:rsidR="00797F5B" w:rsidRPr="00A00E80">
        <w:rPr>
          <w:rFonts w:ascii="Garamond" w:hAnsi="Garamond"/>
          <w:sz w:val="22"/>
          <w:szCs w:val="22"/>
        </w:rPr>
        <w:t xml:space="preserve"> today’s capital market</w:t>
      </w:r>
      <w:r w:rsidR="004E027F" w:rsidRPr="00A00E80">
        <w:rPr>
          <w:rFonts w:ascii="Garamond" w:hAnsi="Garamond"/>
          <w:sz w:val="22"/>
          <w:szCs w:val="22"/>
        </w:rPr>
        <w:t>s</w:t>
      </w:r>
      <w:r w:rsidR="00797F5B" w:rsidRPr="00A00E80">
        <w:rPr>
          <w:rFonts w:ascii="Garamond" w:hAnsi="Garamond"/>
          <w:sz w:val="22"/>
          <w:szCs w:val="22"/>
        </w:rPr>
        <w:t xml:space="preserve">. </w:t>
      </w:r>
      <w:r w:rsidR="009B0A9E">
        <w:rPr>
          <w:rFonts w:ascii="Garamond" w:hAnsi="Garamond"/>
          <w:sz w:val="22"/>
          <w:szCs w:val="22"/>
        </w:rPr>
        <w:t>Notably,</w:t>
      </w:r>
      <w:r w:rsidR="000E46DC" w:rsidRPr="00A00E80">
        <w:rPr>
          <w:rFonts w:ascii="Garamond" w:hAnsi="Garamond"/>
          <w:sz w:val="22"/>
          <w:szCs w:val="22"/>
        </w:rPr>
        <w:t xml:space="preserve"> </w:t>
      </w:r>
      <w:r w:rsidR="00E710E5">
        <w:rPr>
          <w:rFonts w:ascii="Garamond" w:hAnsi="Garamond"/>
          <w:sz w:val="22"/>
          <w:szCs w:val="22"/>
        </w:rPr>
        <w:t>the</w:t>
      </w:r>
      <w:r w:rsidR="00E710E5" w:rsidRPr="00A00E80">
        <w:rPr>
          <w:rFonts w:ascii="Garamond" w:hAnsi="Garamond"/>
          <w:sz w:val="22"/>
          <w:szCs w:val="22"/>
        </w:rPr>
        <w:t xml:space="preserve"> </w:t>
      </w:r>
      <w:r w:rsidR="00C927C2" w:rsidRPr="00A00E80">
        <w:rPr>
          <w:rFonts w:ascii="Garamond" w:hAnsi="Garamond"/>
          <w:sz w:val="22"/>
          <w:szCs w:val="22"/>
        </w:rPr>
        <w:t>theory</w:t>
      </w:r>
      <w:r w:rsidR="000E46DC" w:rsidRPr="00A00E80">
        <w:rPr>
          <w:rFonts w:ascii="Garamond" w:hAnsi="Garamond"/>
          <w:sz w:val="22"/>
          <w:szCs w:val="22"/>
        </w:rPr>
        <w:t xml:space="preserve"> </w:t>
      </w:r>
      <w:r w:rsidRPr="00A00E80">
        <w:rPr>
          <w:rFonts w:ascii="Garamond" w:hAnsi="Garamond"/>
          <w:sz w:val="22"/>
          <w:szCs w:val="22"/>
        </w:rPr>
        <w:t>is primarily relevant</w:t>
      </w:r>
      <w:r w:rsidR="000E46DC" w:rsidRPr="00A00E80">
        <w:rPr>
          <w:rFonts w:ascii="Garamond" w:hAnsi="Garamond"/>
          <w:sz w:val="22"/>
          <w:szCs w:val="22"/>
        </w:rPr>
        <w:t xml:space="preserve"> to </w:t>
      </w:r>
      <w:r w:rsidRPr="00A00E80">
        <w:rPr>
          <w:rFonts w:ascii="Garamond" w:hAnsi="Garamond"/>
          <w:sz w:val="22"/>
          <w:szCs w:val="22"/>
        </w:rPr>
        <w:t xml:space="preserve">situations with </w:t>
      </w:r>
      <w:r w:rsidR="000C75C6" w:rsidRPr="00A00E80">
        <w:rPr>
          <w:rFonts w:ascii="Garamond" w:hAnsi="Garamond"/>
          <w:sz w:val="22"/>
          <w:szCs w:val="22"/>
        </w:rPr>
        <w:t xml:space="preserve">a </w:t>
      </w:r>
      <w:r w:rsidR="000E46DC" w:rsidRPr="00A00E80">
        <w:rPr>
          <w:rFonts w:ascii="Garamond" w:hAnsi="Garamond"/>
          <w:sz w:val="22"/>
          <w:szCs w:val="22"/>
        </w:rPr>
        <w:t xml:space="preserve">strict pro-rata allocation </w:t>
      </w:r>
      <w:r w:rsidR="00EA3EE7" w:rsidRPr="00A00E80">
        <w:rPr>
          <w:rFonts w:ascii="Garamond" w:hAnsi="Garamond"/>
          <w:sz w:val="22"/>
          <w:szCs w:val="22"/>
        </w:rPr>
        <w:t xml:space="preserve">and </w:t>
      </w:r>
      <w:r w:rsidR="00B52CCD" w:rsidRPr="00A00E80">
        <w:rPr>
          <w:rFonts w:ascii="Garamond" w:hAnsi="Garamond"/>
          <w:sz w:val="22"/>
          <w:szCs w:val="22"/>
        </w:rPr>
        <w:t>is</w:t>
      </w:r>
      <w:r w:rsidRPr="00A00E80">
        <w:rPr>
          <w:rFonts w:ascii="Garamond" w:hAnsi="Garamond"/>
          <w:sz w:val="22"/>
          <w:szCs w:val="22"/>
        </w:rPr>
        <w:t xml:space="preserve"> </w:t>
      </w:r>
      <w:r w:rsidR="00B52CCD" w:rsidRPr="00A00E80">
        <w:rPr>
          <w:rFonts w:ascii="Garamond" w:hAnsi="Garamond"/>
          <w:sz w:val="22"/>
          <w:szCs w:val="22"/>
        </w:rPr>
        <w:t>irrelevant</w:t>
      </w:r>
      <w:r w:rsidR="00EA3EE7" w:rsidRPr="00A00E80">
        <w:rPr>
          <w:rFonts w:ascii="Garamond" w:hAnsi="Garamond"/>
          <w:sz w:val="22"/>
          <w:szCs w:val="22"/>
        </w:rPr>
        <w:t xml:space="preserve"> to the book-building method </w:t>
      </w:r>
      <w:r w:rsidR="00735DF5" w:rsidRPr="00A00E80">
        <w:rPr>
          <w:rFonts w:ascii="Garamond" w:hAnsi="Garamond"/>
          <w:sz w:val="22"/>
          <w:szCs w:val="22"/>
        </w:rPr>
        <w:t>(</w:t>
      </w:r>
      <w:proofErr w:type="spellStart"/>
      <w:r w:rsidR="00735DF5" w:rsidRPr="00A00E80">
        <w:rPr>
          <w:rFonts w:ascii="Garamond" w:hAnsi="Garamond"/>
          <w:sz w:val="22"/>
          <w:szCs w:val="22"/>
        </w:rPr>
        <w:t>Ljungqvist</w:t>
      </w:r>
      <w:proofErr w:type="spellEnd"/>
      <w:r w:rsidR="00735DF5" w:rsidRPr="00A00E80">
        <w:rPr>
          <w:rFonts w:ascii="Garamond" w:hAnsi="Garamond"/>
          <w:sz w:val="22"/>
          <w:szCs w:val="22"/>
        </w:rPr>
        <w:t xml:space="preserve"> 2007</w:t>
      </w:r>
      <w:r w:rsidR="00324E13" w:rsidRPr="00A00E80">
        <w:rPr>
          <w:rFonts w:ascii="Garamond" w:hAnsi="Garamond"/>
          <w:sz w:val="22"/>
          <w:szCs w:val="22"/>
        </w:rPr>
        <w:t>, p</w:t>
      </w:r>
      <w:r w:rsidR="009B452C" w:rsidRPr="00A00E80">
        <w:rPr>
          <w:rFonts w:ascii="Garamond" w:hAnsi="Garamond"/>
          <w:sz w:val="22"/>
          <w:szCs w:val="22"/>
        </w:rPr>
        <w:t>.</w:t>
      </w:r>
      <w:r w:rsidR="00324E13" w:rsidRPr="00A00E80">
        <w:rPr>
          <w:rFonts w:ascii="Garamond" w:hAnsi="Garamond"/>
          <w:sz w:val="22"/>
          <w:szCs w:val="22"/>
        </w:rPr>
        <w:t xml:space="preserve"> 389</w:t>
      </w:r>
      <w:r w:rsidR="00EA3EE7" w:rsidRPr="00A00E80">
        <w:rPr>
          <w:rFonts w:ascii="Garamond" w:hAnsi="Garamond"/>
          <w:sz w:val="22"/>
          <w:szCs w:val="22"/>
        </w:rPr>
        <w:t>)</w:t>
      </w:r>
      <w:r w:rsidR="000E46DC" w:rsidRPr="00A00E80">
        <w:rPr>
          <w:rFonts w:ascii="Garamond" w:hAnsi="Garamond"/>
          <w:sz w:val="22"/>
          <w:szCs w:val="22"/>
        </w:rPr>
        <w:t xml:space="preserve">. </w:t>
      </w:r>
      <w:r w:rsidR="00ED762F" w:rsidRPr="00A00E80">
        <w:rPr>
          <w:rFonts w:ascii="Garamond" w:hAnsi="Garamond"/>
          <w:sz w:val="22"/>
          <w:szCs w:val="22"/>
        </w:rPr>
        <w:t>Today, in the U</w:t>
      </w:r>
      <w:r w:rsidR="000C75C6" w:rsidRPr="00A00E80">
        <w:rPr>
          <w:rFonts w:ascii="Garamond" w:hAnsi="Garamond"/>
          <w:sz w:val="22"/>
          <w:szCs w:val="22"/>
        </w:rPr>
        <w:t>nited States</w:t>
      </w:r>
      <w:r w:rsidR="00ED762F" w:rsidRPr="00A00E80">
        <w:rPr>
          <w:rFonts w:ascii="Garamond" w:hAnsi="Garamond"/>
          <w:sz w:val="22"/>
          <w:szCs w:val="22"/>
        </w:rPr>
        <w:t xml:space="preserve"> and an increasing number of countries, underwriters bringing issues to the market usually follow a book-building approach</w:t>
      </w:r>
      <w:r w:rsidR="00A07AE1" w:rsidRPr="00A00E80">
        <w:rPr>
          <w:rFonts w:ascii="Garamond" w:hAnsi="Garamond"/>
          <w:sz w:val="22"/>
          <w:szCs w:val="22"/>
        </w:rPr>
        <w:t xml:space="preserve"> (</w:t>
      </w:r>
      <w:r w:rsidR="00750C95" w:rsidRPr="00A00E80">
        <w:rPr>
          <w:rFonts w:ascii="Garamond" w:hAnsi="Garamond"/>
          <w:sz w:val="22"/>
          <w:szCs w:val="22"/>
        </w:rPr>
        <w:t xml:space="preserve">Jagannathan, </w:t>
      </w:r>
      <w:proofErr w:type="spellStart"/>
      <w:r w:rsidR="00750C95" w:rsidRPr="00E710E5">
        <w:rPr>
          <w:rFonts w:ascii="Garamond" w:hAnsi="Garamond" w:cs="Arial"/>
          <w:color w:val="000000" w:themeColor="text1"/>
          <w:sz w:val="22"/>
          <w:szCs w:val="22"/>
          <w:shd w:val="clear" w:color="auto" w:fill="FFFFFF"/>
        </w:rPr>
        <w:t>Jirnyi</w:t>
      </w:r>
      <w:proofErr w:type="spellEnd"/>
      <w:r w:rsidR="00750C95" w:rsidRPr="00A00E80">
        <w:rPr>
          <w:rFonts w:ascii="Garamond" w:hAnsi="Garamond"/>
          <w:sz w:val="22"/>
          <w:szCs w:val="22"/>
        </w:rPr>
        <w:t xml:space="preserve"> &amp; Sherman 2015, pp. 285-291; Jovanovic &amp; </w:t>
      </w:r>
      <w:proofErr w:type="spellStart"/>
      <w:r w:rsidR="00750C95" w:rsidRPr="00A00E80">
        <w:rPr>
          <w:rFonts w:ascii="Garamond" w:hAnsi="Garamond"/>
          <w:sz w:val="22"/>
          <w:szCs w:val="22"/>
        </w:rPr>
        <w:t>Szentes</w:t>
      </w:r>
      <w:proofErr w:type="spellEnd"/>
      <w:r w:rsidR="00750C95" w:rsidRPr="00A00E80">
        <w:rPr>
          <w:rFonts w:ascii="Garamond" w:hAnsi="Garamond"/>
          <w:sz w:val="22"/>
          <w:szCs w:val="22"/>
        </w:rPr>
        <w:t xml:space="preserve"> 2007, p. 1; Kati &amp; </w:t>
      </w:r>
      <w:proofErr w:type="spellStart"/>
      <w:r w:rsidR="00750C95" w:rsidRPr="00A00E80">
        <w:rPr>
          <w:rFonts w:ascii="Garamond" w:hAnsi="Garamond"/>
          <w:sz w:val="22"/>
          <w:szCs w:val="22"/>
        </w:rPr>
        <w:t>Phani</w:t>
      </w:r>
      <w:proofErr w:type="spellEnd"/>
      <w:r w:rsidR="00750C95" w:rsidRPr="00A00E80">
        <w:rPr>
          <w:rFonts w:ascii="Garamond" w:hAnsi="Garamond"/>
          <w:sz w:val="22"/>
          <w:szCs w:val="22"/>
        </w:rPr>
        <w:t xml:space="preserve"> 2016, p. 41; </w:t>
      </w:r>
      <w:r w:rsidR="00DA41ED" w:rsidRPr="00A00E80">
        <w:rPr>
          <w:rFonts w:ascii="Garamond" w:hAnsi="Garamond"/>
          <w:sz w:val="22"/>
          <w:szCs w:val="22"/>
        </w:rPr>
        <w:t>Sherman 2005</w:t>
      </w:r>
      <w:r w:rsidR="001A37F1" w:rsidRPr="00A00E80">
        <w:rPr>
          <w:rFonts w:ascii="Garamond" w:hAnsi="Garamond"/>
          <w:sz w:val="22"/>
          <w:szCs w:val="22"/>
        </w:rPr>
        <w:t>, p. 615</w:t>
      </w:r>
      <w:r w:rsidR="00A07AE1" w:rsidRPr="00A00E80">
        <w:rPr>
          <w:rFonts w:ascii="Garamond" w:hAnsi="Garamond"/>
          <w:sz w:val="22"/>
          <w:szCs w:val="22"/>
        </w:rPr>
        <w:t>)</w:t>
      </w:r>
      <w:r w:rsidR="00ED762F" w:rsidRPr="00A00E80">
        <w:rPr>
          <w:rFonts w:ascii="Garamond" w:hAnsi="Garamond"/>
          <w:sz w:val="22"/>
          <w:szCs w:val="22"/>
        </w:rPr>
        <w:t xml:space="preserve">, which is </w:t>
      </w:r>
      <w:r w:rsidRPr="00A00E80">
        <w:rPr>
          <w:rFonts w:ascii="Garamond" w:hAnsi="Garamond"/>
          <w:sz w:val="22"/>
          <w:szCs w:val="22"/>
        </w:rPr>
        <w:t>designed to</w:t>
      </w:r>
      <w:r w:rsidR="00ED762F" w:rsidRPr="00A00E80">
        <w:rPr>
          <w:rFonts w:ascii="Garamond" w:hAnsi="Garamond"/>
          <w:sz w:val="22"/>
          <w:szCs w:val="22"/>
        </w:rPr>
        <w:t xml:space="preserve"> </w:t>
      </w:r>
      <w:r w:rsidRPr="00A00E80">
        <w:rPr>
          <w:rFonts w:ascii="Garamond" w:hAnsi="Garamond"/>
          <w:sz w:val="22"/>
          <w:szCs w:val="22"/>
        </w:rPr>
        <w:t>mitigate</w:t>
      </w:r>
      <w:r w:rsidR="00ED762F" w:rsidRPr="00A00E80">
        <w:rPr>
          <w:rFonts w:ascii="Garamond" w:hAnsi="Garamond"/>
          <w:sz w:val="22"/>
          <w:szCs w:val="22"/>
        </w:rPr>
        <w:t xml:space="preserve"> the magnitude of information asymmetry </w:t>
      </w:r>
      <w:r w:rsidR="00D50927" w:rsidRPr="00A00E80">
        <w:rPr>
          <w:rFonts w:ascii="Garamond" w:hAnsi="Garamond"/>
          <w:sz w:val="22"/>
          <w:szCs w:val="22"/>
        </w:rPr>
        <w:t>(</w:t>
      </w:r>
      <w:proofErr w:type="spellStart"/>
      <w:r w:rsidR="009B452C" w:rsidRPr="00A00E80">
        <w:rPr>
          <w:rFonts w:ascii="Garamond" w:hAnsi="Garamond"/>
          <w:sz w:val="22"/>
          <w:szCs w:val="22"/>
        </w:rPr>
        <w:t>Ljungqvist</w:t>
      </w:r>
      <w:proofErr w:type="spellEnd"/>
      <w:r w:rsidR="009B452C" w:rsidRPr="00A00E80">
        <w:rPr>
          <w:rFonts w:ascii="Garamond" w:hAnsi="Garamond"/>
          <w:sz w:val="22"/>
          <w:szCs w:val="22"/>
        </w:rPr>
        <w:t xml:space="preserve"> 2007, p. 391</w:t>
      </w:r>
      <w:r w:rsidR="00D50927" w:rsidRPr="00A00E80">
        <w:rPr>
          <w:rFonts w:ascii="Garamond" w:hAnsi="Garamond"/>
          <w:sz w:val="22"/>
          <w:szCs w:val="22"/>
        </w:rPr>
        <w:t>)</w:t>
      </w:r>
      <w:r w:rsidR="00ED762F" w:rsidRPr="00A00E80">
        <w:rPr>
          <w:rFonts w:ascii="Garamond" w:hAnsi="Garamond"/>
          <w:sz w:val="22"/>
          <w:szCs w:val="22"/>
        </w:rPr>
        <w:t xml:space="preserve">. </w:t>
      </w:r>
      <w:r w:rsidR="00EC420A" w:rsidRPr="00A00E80">
        <w:rPr>
          <w:rFonts w:ascii="Garamond" w:hAnsi="Garamond"/>
          <w:sz w:val="22"/>
          <w:szCs w:val="22"/>
        </w:rPr>
        <w:t>Under this method,</w:t>
      </w:r>
      <w:r w:rsidR="00123E12" w:rsidRPr="00A00E80">
        <w:rPr>
          <w:rFonts w:ascii="Garamond" w:hAnsi="Garamond"/>
          <w:sz w:val="22"/>
          <w:szCs w:val="22"/>
        </w:rPr>
        <w:t xml:space="preserve"> </w:t>
      </w:r>
      <w:r w:rsidR="00EC420A" w:rsidRPr="00A00E80">
        <w:rPr>
          <w:rFonts w:ascii="Garamond" w:hAnsi="Garamond"/>
          <w:sz w:val="22"/>
          <w:szCs w:val="22"/>
        </w:rPr>
        <w:t>offer</w:t>
      </w:r>
      <w:r w:rsidR="006D75CE" w:rsidRPr="00A00E80">
        <w:rPr>
          <w:rFonts w:ascii="Garamond" w:hAnsi="Garamond"/>
          <w:sz w:val="22"/>
          <w:szCs w:val="22"/>
        </w:rPr>
        <w:t xml:space="preserve"> prices are conditioned on nonbinding pre-offer indications of interest, allowing </w:t>
      </w:r>
      <w:r w:rsidR="00EC420A" w:rsidRPr="00A00E80">
        <w:rPr>
          <w:rFonts w:ascii="Garamond" w:hAnsi="Garamond"/>
          <w:sz w:val="22"/>
          <w:szCs w:val="22"/>
        </w:rPr>
        <w:t xml:space="preserve">prospective </w:t>
      </w:r>
      <w:r w:rsidR="00EC420A" w:rsidRPr="00A00E80">
        <w:rPr>
          <w:rFonts w:ascii="Garamond" w:hAnsi="Garamond"/>
          <w:sz w:val="22"/>
          <w:szCs w:val="22"/>
        </w:rPr>
        <w:lastRenderedPageBreak/>
        <w:t xml:space="preserve">investors to place </w:t>
      </w:r>
      <w:r w:rsidR="006D75CE" w:rsidRPr="00A00E80">
        <w:rPr>
          <w:rFonts w:ascii="Garamond" w:hAnsi="Garamond"/>
          <w:sz w:val="22"/>
          <w:szCs w:val="22"/>
        </w:rPr>
        <w:t xml:space="preserve">flexible bids within a predetermined price range (Kati </w:t>
      </w:r>
      <w:r w:rsidR="008C163C" w:rsidRPr="00A00E80">
        <w:rPr>
          <w:rFonts w:ascii="Garamond" w:hAnsi="Garamond"/>
          <w:sz w:val="22"/>
          <w:szCs w:val="22"/>
        </w:rPr>
        <w:t>&amp;</w:t>
      </w:r>
      <w:r w:rsidR="006D75CE" w:rsidRPr="00A00E80">
        <w:rPr>
          <w:rFonts w:ascii="Garamond" w:hAnsi="Garamond"/>
          <w:sz w:val="22"/>
          <w:szCs w:val="22"/>
        </w:rPr>
        <w:t xml:space="preserve"> </w:t>
      </w:r>
      <w:proofErr w:type="spellStart"/>
      <w:r w:rsidR="006D75CE" w:rsidRPr="00A00E80">
        <w:rPr>
          <w:rFonts w:ascii="Garamond" w:hAnsi="Garamond"/>
          <w:sz w:val="22"/>
          <w:szCs w:val="22"/>
        </w:rPr>
        <w:t>Phani</w:t>
      </w:r>
      <w:proofErr w:type="spellEnd"/>
      <w:r w:rsidR="008C163C" w:rsidRPr="00A00E80">
        <w:rPr>
          <w:rFonts w:ascii="Garamond" w:hAnsi="Garamond"/>
          <w:sz w:val="22"/>
          <w:szCs w:val="22"/>
        </w:rPr>
        <w:t xml:space="preserve"> 2016, p. 43</w:t>
      </w:r>
      <w:r w:rsidR="006D75CE" w:rsidRPr="00A00E80">
        <w:rPr>
          <w:rFonts w:ascii="Garamond" w:hAnsi="Garamond"/>
          <w:sz w:val="22"/>
          <w:szCs w:val="22"/>
        </w:rPr>
        <w:t xml:space="preserve">). </w:t>
      </w:r>
      <w:r w:rsidR="00BE3474">
        <w:rPr>
          <w:rFonts w:ascii="Garamond" w:hAnsi="Garamond"/>
          <w:sz w:val="22"/>
          <w:szCs w:val="22"/>
        </w:rPr>
        <w:t>During this process, bidders</w:t>
      </w:r>
      <w:r w:rsidR="00BE3474" w:rsidRPr="00BE3474">
        <w:rPr>
          <w:rFonts w:ascii="Garamond" w:hAnsi="Garamond"/>
          <w:sz w:val="22"/>
          <w:szCs w:val="22"/>
        </w:rPr>
        <w:t xml:space="preserve"> indicate to the book-builder the number of shares that they are interested in</w:t>
      </w:r>
      <w:r w:rsidR="009A32A7" w:rsidRPr="009A32A7">
        <w:rPr>
          <w:rFonts w:ascii="Garamond" w:hAnsi="Garamond"/>
          <w:sz w:val="22"/>
          <w:szCs w:val="22"/>
        </w:rPr>
        <w:t xml:space="preserve"> and the corresponding price at which they are willing to purchase</w:t>
      </w:r>
      <w:r w:rsidR="00BE3474" w:rsidRPr="00BE3474">
        <w:rPr>
          <w:rFonts w:ascii="Garamond" w:hAnsi="Garamond"/>
          <w:sz w:val="22"/>
          <w:szCs w:val="22"/>
        </w:rPr>
        <w:t>.</w:t>
      </w:r>
      <w:r w:rsidR="007D2482">
        <w:rPr>
          <w:rFonts w:ascii="Garamond" w:hAnsi="Garamond"/>
          <w:sz w:val="22"/>
          <w:szCs w:val="22"/>
        </w:rPr>
        <w:t xml:space="preserve"> </w:t>
      </w:r>
      <w:r w:rsidR="009B0A9E" w:rsidRPr="009B0A9E">
        <w:rPr>
          <w:rFonts w:ascii="Garamond" w:hAnsi="Garamond"/>
          <w:sz w:val="22"/>
          <w:szCs w:val="22"/>
        </w:rPr>
        <w:t>These bids are recorded and then analyzed by the underwriter to arrive at the final offer price for the issued security.</w:t>
      </w:r>
    </w:p>
    <w:p w14:paraId="40AB5C17" w14:textId="4966A5FC" w:rsidR="009B0A9E" w:rsidRDefault="00646BE2" w:rsidP="00A54C25">
      <w:pPr>
        <w:spacing w:line="360" w:lineRule="auto"/>
        <w:ind w:firstLine="426"/>
        <w:jc w:val="both"/>
        <w:rPr>
          <w:rFonts w:ascii="Garamond" w:hAnsi="Garamond"/>
          <w:sz w:val="22"/>
          <w:szCs w:val="22"/>
        </w:rPr>
      </w:pPr>
      <w:r>
        <w:rPr>
          <w:rFonts w:ascii="Garamond" w:hAnsi="Garamond"/>
          <w:sz w:val="22"/>
          <w:szCs w:val="22"/>
        </w:rPr>
        <w:t>The</w:t>
      </w:r>
      <w:r w:rsidR="00965D8F" w:rsidRPr="00A00E80">
        <w:rPr>
          <w:rFonts w:ascii="Garamond" w:hAnsi="Garamond"/>
          <w:sz w:val="22"/>
          <w:szCs w:val="22"/>
        </w:rPr>
        <w:t xml:space="preserve"> preva</w:t>
      </w:r>
      <w:r w:rsidR="00750C95" w:rsidRPr="00A00E80">
        <w:rPr>
          <w:rFonts w:ascii="Garamond" w:hAnsi="Garamond"/>
          <w:sz w:val="22"/>
          <w:szCs w:val="22"/>
        </w:rPr>
        <w:t>il</w:t>
      </w:r>
      <w:r w:rsidR="000C75C6" w:rsidRPr="00A00E80">
        <w:rPr>
          <w:rFonts w:ascii="Garamond" w:hAnsi="Garamond"/>
          <w:sz w:val="22"/>
          <w:szCs w:val="22"/>
        </w:rPr>
        <w:t>i</w:t>
      </w:r>
      <w:r w:rsidR="00750C95" w:rsidRPr="00A00E80">
        <w:rPr>
          <w:rFonts w:ascii="Garamond" w:hAnsi="Garamond"/>
          <w:sz w:val="22"/>
          <w:szCs w:val="22"/>
        </w:rPr>
        <w:t>ng</w:t>
      </w:r>
      <w:r w:rsidR="00965D8F" w:rsidRPr="00A00E80">
        <w:rPr>
          <w:rFonts w:ascii="Garamond" w:hAnsi="Garamond"/>
          <w:sz w:val="22"/>
          <w:szCs w:val="22"/>
        </w:rPr>
        <w:t xml:space="preserve"> </w:t>
      </w:r>
      <w:r w:rsidR="00E5043C" w:rsidRPr="00A00E80">
        <w:rPr>
          <w:rFonts w:ascii="Garamond" w:hAnsi="Garamond"/>
          <w:sz w:val="22"/>
          <w:szCs w:val="22"/>
        </w:rPr>
        <w:t xml:space="preserve">view </w:t>
      </w:r>
      <w:r w:rsidR="002F6866" w:rsidRPr="00A00E80">
        <w:rPr>
          <w:rFonts w:ascii="Garamond" w:hAnsi="Garamond"/>
          <w:sz w:val="22"/>
          <w:szCs w:val="22"/>
        </w:rPr>
        <w:t>in</w:t>
      </w:r>
      <w:r w:rsidR="0022287E" w:rsidRPr="00A00E80">
        <w:rPr>
          <w:rFonts w:ascii="Garamond" w:hAnsi="Garamond"/>
          <w:sz w:val="22"/>
          <w:szCs w:val="22"/>
        </w:rPr>
        <w:t xml:space="preserve"> the literature</w:t>
      </w:r>
      <w:r w:rsidR="00965D8F" w:rsidRPr="00A00E80">
        <w:rPr>
          <w:rFonts w:ascii="Garamond" w:hAnsi="Garamond"/>
          <w:sz w:val="22"/>
          <w:szCs w:val="22"/>
        </w:rPr>
        <w:t xml:space="preserve"> is that</w:t>
      </w:r>
      <w:r w:rsidR="009B0A9E">
        <w:rPr>
          <w:rFonts w:ascii="Garamond" w:hAnsi="Garamond"/>
          <w:sz w:val="22"/>
          <w:szCs w:val="22"/>
        </w:rPr>
        <w:t xml:space="preserve"> </w:t>
      </w:r>
      <w:r w:rsidR="0084714D" w:rsidRPr="00A00E80">
        <w:rPr>
          <w:rFonts w:ascii="Garamond" w:hAnsi="Garamond"/>
          <w:sz w:val="22"/>
          <w:szCs w:val="22"/>
        </w:rPr>
        <w:t>the</w:t>
      </w:r>
      <w:r w:rsidR="00BE0E4E" w:rsidRPr="00A00E80">
        <w:rPr>
          <w:rFonts w:ascii="Garamond" w:hAnsi="Garamond"/>
          <w:sz w:val="22"/>
          <w:szCs w:val="22"/>
        </w:rPr>
        <w:t xml:space="preserve"> </w:t>
      </w:r>
      <w:r w:rsidR="00814881" w:rsidRPr="00A00E80">
        <w:rPr>
          <w:rFonts w:ascii="Garamond" w:hAnsi="Garamond"/>
          <w:sz w:val="22"/>
          <w:szCs w:val="22"/>
        </w:rPr>
        <w:t xml:space="preserve">book-building </w:t>
      </w:r>
      <w:r w:rsidR="00965D8F" w:rsidRPr="00A00E80">
        <w:rPr>
          <w:rFonts w:ascii="Garamond" w:hAnsi="Garamond"/>
          <w:sz w:val="22"/>
          <w:szCs w:val="22"/>
        </w:rPr>
        <w:t>approach</w:t>
      </w:r>
      <w:r w:rsidR="0084714D" w:rsidRPr="00A00E80">
        <w:rPr>
          <w:rFonts w:ascii="Garamond" w:hAnsi="Garamond"/>
          <w:sz w:val="22"/>
          <w:szCs w:val="22"/>
        </w:rPr>
        <w:t xml:space="preserve"> </w:t>
      </w:r>
      <w:r w:rsidR="00426A39" w:rsidRPr="00A00E80">
        <w:rPr>
          <w:rFonts w:ascii="Garamond" w:hAnsi="Garamond"/>
          <w:sz w:val="22"/>
          <w:szCs w:val="22"/>
        </w:rPr>
        <w:t>incentiv</w:t>
      </w:r>
      <w:r w:rsidR="00341CCF" w:rsidRPr="00A00E80">
        <w:rPr>
          <w:rFonts w:ascii="Garamond" w:hAnsi="Garamond"/>
          <w:sz w:val="22"/>
          <w:szCs w:val="22"/>
        </w:rPr>
        <w:t>iz</w:t>
      </w:r>
      <w:r w:rsidR="00426A39" w:rsidRPr="00A00E80">
        <w:rPr>
          <w:rFonts w:ascii="Garamond" w:hAnsi="Garamond"/>
          <w:sz w:val="22"/>
          <w:szCs w:val="22"/>
        </w:rPr>
        <w:t>es investors</w:t>
      </w:r>
      <w:r w:rsidR="0084714D" w:rsidRPr="00A00E80">
        <w:rPr>
          <w:rFonts w:ascii="Garamond" w:hAnsi="Garamond"/>
          <w:sz w:val="22"/>
          <w:szCs w:val="22"/>
        </w:rPr>
        <w:t xml:space="preserve"> to report </w:t>
      </w:r>
      <w:r w:rsidR="00554D21" w:rsidRPr="00A00E80">
        <w:rPr>
          <w:rFonts w:ascii="Garamond" w:hAnsi="Garamond"/>
          <w:sz w:val="22"/>
          <w:szCs w:val="22"/>
        </w:rPr>
        <w:t xml:space="preserve">any </w:t>
      </w:r>
      <w:r w:rsidR="0084714D" w:rsidRPr="00A00E80">
        <w:rPr>
          <w:rFonts w:ascii="Garamond" w:hAnsi="Garamond"/>
          <w:sz w:val="22"/>
          <w:szCs w:val="22"/>
        </w:rPr>
        <w:t>information</w:t>
      </w:r>
      <w:r w:rsidR="00341CCF" w:rsidRPr="00A00E80">
        <w:rPr>
          <w:rFonts w:ascii="Garamond" w:hAnsi="Garamond"/>
          <w:sz w:val="22"/>
          <w:szCs w:val="22"/>
        </w:rPr>
        <w:t xml:space="preserve"> </w:t>
      </w:r>
      <w:r w:rsidR="00554D21" w:rsidRPr="00A00E80">
        <w:rPr>
          <w:rFonts w:ascii="Garamond" w:hAnsi="Garamond"/>
          <w:sz w:val="22"/>
          <w:szCs w:val="22"/>
        </w:rPr>
        <w:t xml:space="preserve">they hold more </w:t>
      </w:r>
      <w:r w:rsidR="00341CCF" w:rsidRPr="00A00E80">
        <w:rPr>
          <w:rFonts w:ascii="Garamond" w:hAnsi="Garamond"/>
          <w:sz w:val="22"/>
          <w:szCs w:val="22"/>
        </w:rPr>
        <w:t>accurately</w:t>
      </w:r>
      <w:r w:rsidR="00F477D1">
        <w:rPr>
          <w:rFonts w:ascii="Garamond" w:hAnsi="Garamond"/>
          <w:sz w:val="22"/>
          <w:szCs w:val="22"/>
        </w:rPr>
        <w:t>, mitigating the winner’s curse effect</w:t>
      </w:r>
      <w:r w:rsidR="0084714D" w:rsidRPr="00A00E80">
        <w:rPr>
          <w:rFonts w:ascii="Garamond" w:hAnsi="Garamond"/>
          <w:sz w:val="22"/>
          <w:szCs w:val="22"/>
        </w:rPr>
        <w:t xml:space="preserve"> </w:t>
      </w:r>
      <w:r w:rsidR="00965D8F" w:rsidRPr="00A00E80">
        <w:rPr>
          <w:rFonts w:ascii="Garamond" w:hAnsi="Garamond"/>
          <w:sz w:val="22"/>
          <w:szCs w:val="22"/>
        </w:rPr>
        <w:t>(</w:t>
      </w:r>
      <w:proofErr w:type="spellStart"/>
      <w:r w:rsidR="00965D8F" w:rsidRPr="00A00E80">
        <w:rPr>
          <w:rFonts w:ascii="Garamond" w:hAnsi="Garamond"/>
          <w:sz w:val="22"/>
          <w:szCs w:val="22"/>
        </w:rPr>
        <w:t>Benveniste</w:t>
      </w:r>
      <w:proofErr w:type="spellEnd"/>
      <w:r w:rsidR="00965D8F" w:rsidRPr="00A00E80">
        <w:rPr>
          <w:rFonts w:ascii="Garamond" w:hAnsi="Garamond"/>
          <w:sz w:val="22"/>
          <w:szCs w:val="22"/>
        </w:rPr>
        <w:t xml:space="preserve"> </w:t>
      </w:r>
      <w:r w:rsidR="0084714D" w:rsidRPr="00A00E80">
        <w:rPr>
          <w:rFonts w:ascii="Garamond" w:hAnsi="Garamond"/>
          <w:sz w:val="22"/>
          <w:szCs w:val="22"/>
        </w:rPr>
        <w:t>&amp;</w:t>
      </w:r>
      <w:r w:rsidR="00965D8F" w:rsidRPr="00A00E80">
        <w:rPr>
          <w:rFonts w:ascii="Garamond" w:hAnsi="Garamond"/>
          <w:sz w:val="22"/>
          <w:szCs w:val="22"/>
        </w:rPr>
        <w:t xml:space="preserve"> </w:t>
      </w:r>
      <w:proofErr w:type="spellStart"/>
      <w:r w:rsidR="00965D8F" w:rsidRPr="00A00E80">
        <w:rPr>
          <w:rFonts w:ascii="Garamond" w:hAnsi="Garamond"/>
          <w:sz w:val="22"/>
          <w:szCs w:val="22"/>
        </w:rPr>
        <w:t>Spindt</w:t>
      </w:r>
      <w:proofErr w:type="spellEnd"/>
      <w:r w:rsidR="00965D8F" w:rsidRPr="00A00E80">
        <w:rPr>
          <w:rFonts w:ascii="Garamond" w:hAnsi="Garamond"/>
          <w:sz w:val="22"/>
          <w:szCs w:val="22"/>
        </w:rPr>
        <w:t xml:space="preserve"> 1989</w:t>
      </w:r>
      <w:r w:rsidR="000362CA" w:rsidRPr="00A00E80">
        <w:rPr>
          <w:rFonts w:ascii="Garamond" w:hAnsi="Garamond"/>
          <w:sz w:val="22"/>
          <w:szCs w:val="22"/>
        </w:rPr>
        <w:t>, pp.</w:t>
      </w:r>
      <w:r w:rsidR="000C75C6" w:rsidRPr="00A00E80">
        <w:rPr>
          <w:rFonts w:ascii="Garamond" w:hAnsi="Garamond"/>
          <w:sz w:val="22"/>
          <w:szCs w:val="22"/>
        </w:rPr>
        <w:t xml:space="preserve"> </w:t>
      </w:r>
      <w:r w:rsidR="000362CA" w:rsidRPr="00A00E80">
        <w:rPr>
          <w:rFonts w:ascii="Garamond" w:hAnsi="Garamond"/>
          <w:sz w:val="22"/>
          <w:szCs w:val="22"/>
        </w:rPr>
        <w:t>347</w:t>
      </w:r>
      <w:r w:rsidR="00750C95" w:rsidRPr="00A00E80">
        <w:rPr>
          <w:rFonts w:ascii="Garamond" w:hAnsi="Garamond"/>
          <w:sz w:val="22"/>
          <w:szCs w:val="22"/>
        </w:rPr>
        <w:t>–</w:t>
      </w:r>
      <w:r w:rsidR="000362CA" w:rsidRPr="00A00E80">
        <w:rPr>
          <w:rFonts w:ascii="Garamond" w:hAnsi="Garamond"/>
          <w:sz w:val="22"/>
          <w:szCs w:val="22"/>
        </w:rPr>
        <w:t xml:space="preserve">354; </w:t>
      </w:r>
      <w:proofErr w:type="spellStart"/>
      <w:r w:rsidR="000362CA" w:rsidRPr="00A00E80">
        <w:rPr>
          <w:rFonts w:ascii="Garamond" w:hAnsi="Garamond"/>
          <w:sz w:val="22"/>
          <w:szCs w:val="22"/>
        </w:rPr>
        <w:t>B</w:t>
      </w:r>
      <w:r w:rsidR="00965D8F" w:rsidRPr="00A00E80">
        <w:rPr>
          <w:rFonts w:ascii="Garamond" w:hAnsi="Garamond"/>
          <w:sz w:val="22"/>
          <w:szCs w:val="22"/>
        </w:rPr>
        <w:t>enveniste</w:t>
      </w:r>
      <w:proofErr w:type="spellEnd"/>
      <w:r w:rsidR="00965D8F" w:rsidRPr="00A00E80">
        <w:rPr>
          <w:rFonts w:ascii="Garamond" w:hAnsi="Garamond"/>
          <w:sz w:val="22"/>
          <w:szCs w:val="22"/>
        </w:rPr>
        <w:t xml:space="preserve"> </w:t>
      </w:r>
      <w:r w:rsidR="0084714D" w:rsidRPr="00A00E80">
        <w:rPr>
          <w:rFonts w:ascii="Garamond" w:hAnsi="Garamond"/>
          <w:sz w:val="22"/>
          <w:szCs w:val="22"/>
        </w:rPr>
        <w:t>&amp;</w:t>
      </w:r>
      <w:r w:rsidR="00965D8F" w:rsidRPr="00A00E80">
        <w:rPr>
          <w:rFonts w:ascii="Garamond" w:hAnsi="Garamond"/>
          <w:sz w:val="22"/>
          <w:szCs w:val="22"/>
        </w:rPr>
        <w:t xml:space="preserve"> Wilhelm 1990</w:t>
      </w:r>
      <w:r w:rsidR="00900809" w:rsidRPr="00A00E80">
        <w:rPr>
          <w:rFonts w:ascii="Garamond" w:hAnsi="Garamond"/>
          <w:sz w:val="22"/>
          <w:szCs w:val="22"/>
        </w:rPr>
        <w:t>, pp. 193</w:t>
      </w:r>
      <w:r w:rsidR="00750C95" w:rsidRPr="00A00E80">
        <w:rPr>
          <w:rFonts w:ascii="Garamond" w:hAnsi="Garamond"/>
          <w:sz w:val="22"/>
          <w:szCs w:val="22"/>
        </w:rPr>
        <w:t>–</w:t>
      </w:r>
      <w:r w:rsidR="00900809" w:rsidRPr="00A00E80">
        <w:rPr>
          <w:rFonts w:ascii="Garamond" w:hAnsi="Garamond"/>
          <w:sz w:val="22"/>
          <w:szCs w:val="22"/>
        </w:rPr>
        <w:t>195</w:t>
      </w:r>
      <w:r w:rsidR="00965D8F" w:rsidRPr="00A00E80">
        <w:rPr>
          <w:rFonts w:ascii="Garamond" w:hAnsi="Garamond"/>
          <w:sz w:val="22"/>
          <w:szCs w:val="22"/>
        </w:rPr>
        <w:t xml:space="preserve">). The </w:t>
      </w:r>
      <w:r w:rsidR="00341CCF" w:rsidRPr="00A00E80">
        <w:rPr>
          <w:rFonts w:ascii="Garamond" w:hAnsi="Garamond"/>
          <w:sz w:val="22"/>
          <w:szCs w:val="22"/>
        </w:rPr>
        <w:t>incentive arises because</w:t>
      </w:r>
      <w:r w:rsidR="00965D8F" w:rsidRPr="00A00E80">
        <w:rPr>
          <w:rFonts w:ascii="Garamond" w:hAnsi="Garamond"/>
          <w:sz w:val="22"/>
          <w:szCs w:val="22"/>
        </w:rPr>
        <w:t xml:space="preserve"> </w:t>
      </w:r>
      <w:r w:rsidR="00750C95" w:rsidRPr="00A00E80">
        <w:rPr>
          <w:rFonts w:ascii="Garamond" w:hAnsi="Garamond"/>
          <w:sz w:val="22"/>
          <w:szCs w:val="22"/>
        </w:rPr>
        <w:t>using</w:t>
      </w:r>
      <w:r w:rsidR="00341CCF" w:rsidRPr="00A00E80">
        <w:rPr>
          <w:rFonts w:ascii="Garamond" w:hAnsi="Garamond"/>
          <w:sz w:val="22"/>
          <w:szCs w:val="22"/>
        </w:rPr>
        <w:t xml:space="preserve"> book-building, </w:t>
      </w:r>
      <w:r w:rsidR="00965D8F" w:rsidRPr="00A00E80">
        <w:rPr>
          <w:rFonts w:ascii="Garamond" w:hAnsi="Garamond"/>
          <w:sz w:val="22"/>
          <w:szCs w:val="22"/>
        </w:rPr>
        <w:t xml:space="preserve">underwriters </w:t>
      </w:r>
      <w:r w:rsidR="00341CCF" w:rsidRPr="00A00E80">
        <w:rPr>
          <w:rFonts w:ascii="Garamond" w:hAnsi="Garamond"/>
          <w:sz w:val="22"/>
          <w:szCs w:val="22"/>
        </w:rPr>
        <w:t>can</w:t>
      </w:r>
      <w:r w:rsidR="00965D8F" w:rsidRPr="00A00E80">
        <w:rPr>
          <w:rFonts w:ascii="Garamond" w:hAnsi="Garamond"/>
          <w:sz w:val="22"/>
          <w:szCs w:val="22"/>
        </w:rPr>
        <w:t xml:space="preserve"> allocate IPO shares in a discriminatory fashion</w:t>
      </w:r>
      <w:r w:rsidR="00750C95" w:rsidRPr="00A00E80">
        <w:rPr>
          <w:rFonts w:ascii="Garamond" w:hAnsi="Garamond"/>
          <w:sz w:val="22"/>
          <w:szCs w:val="22"/>
        </w:rPr>
        <w:t xml:space="preserve"> by</w:t>
      </w:r>
      <w:r w:rsidR="00965D8F" w:rsidRPr="00A00E80">
        <w:rPr>
          <w:rFonts w:ascii="Garamond" w:hAnsi="Garamond"/>
          <w:sz w:val="22"/>
          <w:szCs w:val="22"/>
        </w:rPr>
        <w:t xml:space="preserve"> </w:t>
      </w:r>
      <w:r w:rsidR="00341CCF" w:rsidRPr="00A00E80">
        <w:rPr>
          <w:rFonts w:ascii="Garamond" w:hAnsi="Garamond"/>
          <w:sz w:val="22"/>
          <w:szCs w:val="22"/>
        </w:rPr>
        <w:t xml:space="preserve">favoring investors </w:t>
      </w:r>
      <w:r w:rsidR="00750C95" w:rsidRPr="00A00E80">
        <w:rPr>
          <w:rFonts w:ascii="Garamond" w:hAnsi="Garamond"/>
          <w:sz w:val="22"/>
          <w:szCs w:val="22"/>
        </w:rPr>
        <w:t>that</w:t>
      </w:r>
      <w:r w:rsidR="00341CCF" w:rsidRPr="00A00E80">
        <w:rPr>
          <w:rFonts w:ascii="Garamond" w:hAnsi="Garamond"/>
          <w:sz w:val="22"/>
          <w:szCs w:val="22"/>
        </w:rPr>
        <w:t xml:space="preserve"> reveal positive information and bid aggressively, while allocating fewer (or no)</w:t>
      </w:r>
      <w:r w:rsidR="00965D8F" w:rsidRPr="00A00E80">
        <w:rPr>
          <w:rFonts w:ascii="Garamond" w:hAnsi="Garamond"/>
          <w:sz w:val="22"/>
          <w:szCs w:val="22"/>
        </w:rPr>
        <w:t xml:space="preserve"> shares to </w:t>
      </w:r>
      <w:r w:rsidR="00341CCF" w:rsidRPr="00A00E80">
        <w:rPr>
          <w:rFonts w:ascii="Garamond" w:hAnsi="Garamond"/>
          <w:sz w:val="22"/>
          <w:szCs w:val="22"/>
        </w:rPr>
        <w:t>those</w:t>
      </w:r>
      <w:r w:rsidR="00965D8F" w:rsidRPr="00A00E80">
        <w:rPr>
          <w:rFonts w:ascii="Garamond" w:hAnsi="Garamond"/>
          <w:sz w:val="22"/>
          <w:szCs w:val="22"/>
        </w:rPr>
        <w:t xml:space="preserve"> </w:t>
      </w:r>
      <w:r w:rsidR="00750C95" w:rsidRPr="00A00E80">
        <w:rPr>
          <w:rFonts w:ascii="Garamond" w:hAnsi="Garamond"/>
          <w:sz w:val="22"/>
          <w:szCs w:val="22"/>
        </w:rPr>
        <w:t>that</w:t>
      </w:r>
      <w:r w:rsidR="00965D8F" w:rsidRPr="00A00E80">
        <w:rPr>
          <w:rFonts w:ascii="Garamond" w:hAnsi="Garamond"/>
          <w:sz w:val="22"/>
          <w:szCs w:val="22"/>
        </w:rPr>
        <w:t xml:space="preserve"> bid conservatively (</w:t>
      </w:r>
      <w:proofErr w:type="spellStart"/>
      <w:r w:rsidR="00965D8F" w:rsidRPr="00A00E80">
        <w:rPr>
          <w:rFonts w:ascii="Garamond" w:hAnsi="Garamond"/>
          <w:sz w:val="22"/>
          <w:szCs w:val="22"/>
        </w:rPr>
        <w:t>Ljungqvist</w:t>
      </w:r>
      <w:proofErr w:type="spellEnd"/>
      <w:r w:rsidR="00965D8F" w:rsidRPr="00A00E80">
        <w:rPr>
          <w:rFonts w:ascii="Garamond" w:hAnsi="Garamond"/>
          <w:sz w:val="22"/>
          <w:szCs w:val="22"/>
        </w:rPr>
        <w:t xml:space="preserve"> 2007</w:t>
      </w:r>
      <w:r w:rsidR="004F0093" w:rsidRPr="00A00E80">
        <w:rPr>
          <w:rFonts w:ascii="Garamond" w:hAnsi="Garamond"/>
          <w:sz w:val="22"/>
          <w:szCs w:val="22"/>
        </w:rPr>
        <w:t>, p. 390</w:t>
      </w:r>
      <w:r w:rsidR="00965D8F" w:rsidRPr="00A00E80">
        <w:rPr>
          <w:rFonts w:ascii="Garamond" w:hAnsi="Garamond"/>
          <w:sz w:val="22"/>
          <w:szCs w:val="22"/>
        </w:rPr>
        <w:t xml:space="preserve">). </w:t>
      </w:r>
      <w:r w:rsidR="009B0A9E">
        <w:rPr>
          <w:rFonts w:ascii="Garamond" w:hAnsi="Garamond"/>
          <w:sz w:val="22"/>
          <w:szCs w:val="22"/>
        </w:rPr>
        <w:t xml:space="preserve">Thus, </w:t>
      </w:r>
      <w:r w:rsidR="000354FC">
        <w:rPr>
          <w:rFonts w:ascii="Garamond" w:hAnsi="Garamond"/>
          <w:sz w:val="22"/>
          <w:szCs w:val="22"/>
        </w:rPr>
        <w:t>the concern tha</w:t>
      </w:r>
      <w:r w:rsidR="000354FC" w:rsidRPr="000354FC">
        <w:rPr>
          <w:rFonts w:ascii="Garamond" w:hAnsi="Garamond"/>
          <w:sz w:val="22"/>
          <w:szCs w:val="22"/>
        </w:rPr>
        <w:t>t informed investors would crowd-out uninformed investors in “good” offerings and withdraw from “bad” ones</w:t>
      </w:r>
      <w:r w:rsidR="00B32B77">
        <w:rPr>
          <w:rFonts w:ascii="Garamond" w:hAnsi="Garamond"/>
          <w:sz w:val="22"/>
          <w:szCs w:val="22"/>
        </w:rPr>
        <w:t>—</w:t>
      </w:r>
      <w:r w:rsidR="000354FC" w:rsidRPr="000354FC">
        <w:rPr>
          <w:rFonts w:ascii="Garamond" w:hAnsi="Garamond"/>
          <w:sz w:val="22"/>
          <w:szCs w:val="22"/>
        </w:rPr>
        <w:t xml:space="preserve">becomes </w:t>
      </w:r>
      <w:r w:rsidR="00F477D1">
        <w:rPr>
          <w:rFonts w:ascii="Garamond" w:hAnsi="Garamond"/>
          <w:sz w:val="22"/>
          <w:szCs w:val="22"/>
        </w:rPr>
        <w:t xml:space="preserve">less </w:t>
      </w:r>
      <w:r w:rsidR="000354FC" w:rsidRPr="000354FC">
        <w:rPr>
          <w:rFonts w:ascii="Garamond" w:hAnsi="Garamond"/>
          <w:sz w:val="22"/>
          <w:szCs w:val="22"/>
        </w:rPr>
        <w:t xml:space="preserve">relevant when the book-building </w:t>
      </w:r>
      <w:r w:rsidR="006A66B2">
        <w:rPr>
          <w:rFonts w:ascii="Garamond" w:hAnsi="Garamond"/>
          <w:sz w:val="22"/>
          <w:szCs w:val="22"/>
        </w:rPr>
        <w:t>method</w:t>
      </w:r>
      <w:r w:rsidR="006A66B2" w:rsidRPr="000354FC">
        <w:rPr>
          <w:rFonts w:ascii="Garamond" w:hAnsi="Garamond"/>
          <w:sz w:val="22"/>
          <w:szCs w:val="22"/>
        </w:rPr>
        <w:t xml:space="preserve"> </w:t>
      </w:r>
      <w:r w:rsidR="000354FC" w:rsidRPr="000354FC">
        <w:rPr>
          <w:rFonts w:ascii="Garamond" w:hAnsi="Garamond"/>
          <w:sz w:val="22"/>
          <w:szCs w:val="22"/>
        </w:rPr>
        <w:t xml:space="preserve">is utilized. </w:t>
      </w:r>
      <w:r w:rsidR="000354FC">
        <w:rPr>
          <w:rFonts w:ascii="Garamond" w:hAnsi="Garamond"/>
          <w:sz w:val="22"/>
          <w:szCs w:val="22"/>
        </w:rPr>
        <w:t xml:space="preserve"> </w:t>
      </w:r>
    </w:p>
    <w:p w14:paraId="382181EA" w14:textId="6E5A1CEB" w:rsidR="00CF7A8F" w:rsidRPr="00A00E80" w:rsidRDefault="00CF7A8F" w:rsidP="002B1E28">
      <w:pPr>
        <w:pStyle w:val="ListParagraph"/>
        <w:numPr>
          <w:ilvl w:val="0"/>
          <w:numId w:val="2"/>
        </w:numPr>
        <w:spacing w:line="360" w:lineRule="auto"/>
        <w:ind w:left="426" w:hanging="426"/>
        <w:jc w:val="both"/>
        <w:rPr>
          <w:rFonts w:ascii="Garamond" w:hAnsi="Garamond"/>
          <w:sz w:val="22"/>
          <w:szCs w:val="22"/>
          <w:u w:val="single"/>
        </w:rPr>
      </w:pPr>
      <w:r w:rsidRPr="00A00E80">
        <w:rPr>
          <w:rFonts w:ascii="Garamond" w:hAnsi="Garamond"/>
          <w:sz w:val="22"/>
          <w:szCs w:val="22"/>
          <w:u w:val="single"/>
        </w:rPr>
        <w:t xml:space="preserve">Principal-agent </w:t>
      </w:r>
      <w:r w:rsidR="00F00923" w:rsidRPr="00A00E80">
        <w:rPr>
          <w:rFonts w:ascii="Garamond" w:hAnsi="Garamond"/>
          <w:sz w:val="22"/>
          <w:szCs w:val="22"/>
          <w:u w:val="single"/>
        </w:rPr>
        <w:t>t</w:t>
      </w:r>
      <w:r w:rsidRPr="00A00E80">
        <w:rPr>
          <w:rFonts w:ascii="Garamond" w:hAnsi="Garamond"/>
          <w:sz w:val="22"/>
          <w:szCs w:val="22"/>
          <w:u w:val="single"/>
        </w:rPr>
        <w:t>heories</w:t>
      </w:r>
    </w:p>
    <w:p w14:paraId="3916CF55" w14:textId="7CDF6A56" w:rsidR="009A53CB" w:rsidRDefault="009D4A07" w:rsidP="00A449CC">
      <w:pPr>
        <w:spacing w:line="360" w:lineRule="auto"/>
        <w:ind w:firstLine="426"/>
        <w:jc w:val="both"/>
        <w:rPr>
          <w:rFonts w:ascii="Garamond" w:hAnsi="Garamond"/>
          <w:sz w:val="22"/>
          <w:szCs w:val="22"/>
        </w:rPr>
      </w:pPr>
      <w:r w:rsidRPr="00A00E80">
        <w:rPr>
          <w:rFonts w:ascii="Garamond" w:hAnsi="Garamond"/>
          <w:sz w:val="22"/>
          <w:szCs w:val="22"/>
        </w:rPr>
        <w:t>R</w:t>
      </w:r>
      <w:r w:rsidR="00D3302E" w:rsidRPr="00A00E80">
        <w:rPr>
          <w:rFonts w:ascii="Garamond" w:hAnsi="Garamond"/>
          <w:sz w:val="22"/>
          <w:szCs w:val="22"/>
        </w:rPr>
        <w:t xml:space="preserve">esearchers have </w:t>
      </w:r>
      <w:r w:rsidRPr="00A00E80">
        <w:rPr>
          <w:rFonts w:ascii="Garamond" w:hAnsi="Garamond"/>
          <w:sz w:val="22"/>
          <w:szCs w:val="22"/>
        </w:rPr>
        <w:t xml:space="preserve">also </w:t>
      </w:r>
      <w:r w:rsidR="00D3302E" w:rsidRPr="00A00E80">
        <w:rPr>
          <w:rFonts w:ascii="Garamond" w:hAnsi="Garamond"/>
          <w:sz w:val="22"/>
          <w:szCs w:val="22"/>
        </w:rPr>
        <w:t xml:space="preserve">explored the phenomenon </w:t>
      </w:r>
      <w:r w:rsidRPr="00A00E80">
        <w:rPr>
          <w:rFonts w:ascii="Garamond" w:hAnsi="Garamond"/>
          <w:sz w:val="22"/>
          <w:szCs w:val="22"/>
        </w:rPr>
        <w:t xml:space="preserve">of IPO underpricing </w:t>
      </w:r>
      <w:r w:rsidR="00A449CC">
        <w:rPr>
          <w:rFonts w:ascii="Garamond" w:hAnsi="Garamond"/>
          <w:sz w:val="22"/>
          <w:szCs w:val="22"/>
        </w:rPr>
        <w:t xml:space="preserve">through the lens of </w:t>
      </w:r>
      <w:r w:rsidR="00A449CC" w:rsidRPr="00A449CC">
        <w:rPr>
          <w:rFonts w:ascii="Garamond" w:hAnsi="Garamond"/>
          <w:sz w:val="22"/>
          <w:szCs w:val="22"/>
        </w:rPr>
        <w:t>the</w:t>
      </w:r>
      <w:r w:rsidR="00D3302E" w:rsidRPr="00A449CC">
        <w:rPr>
          <w:rFonts w:ascii="Garamond" w:hAnsi="Garamond"/>
          <w:sz w:val="22"/>
          <w:szCs w:val="22"/>
        </w:rPr>
        <w:t xml:space="preserve"> </w:t>
      </w:r>
      <w:r w:rsidR="000751A7" w:rsidRPr="007E6C99">
        <w:rPr>
          <w:rFonts w:ascii="Garamond" w:hAnsi="Garamond"/>
          <w:sz w:val="22"/>
          <w:szCs w:val="22"/>
        </w:rPr>
        <w:t>agency relationship between issuers and underwriters</w:t>
      </w:r>
      <w:r w:rsidR="000751A7" w:rsidRPr="00A449CC">
        <w:rPr>
          <w:rFonts w:ascii="Garamond" w:hAnsi="Garamond"/>
          <w:sz w:val="22"/>
          <w:szCs w:val="22"/>
        </w:rPr>
        <w:t xml:space="preserve">. </w:t>
      </w:r>
      <w:r w:rsidR="009A53CB" w:rsidRPr="009A53CB">
        <w:rPr>
          <w:rFonts w:ascii="Garamond" w:hAnsi="Garamond"/>
          <w:sz w:val="22"/>
          <w:szCs w:val="22"/>
        </w:rPr>
        <w:t>A widely accepted agency model in the IPO literature is predicated on the idea that underwriters abuse their discretionary powers in share allocation during IPOs by giving preferential treatment to certain bidders, particularly institutional investors with which they have ongoing business relationships as buy-side investors, in exchange for quid pro quo arrangements</w:t>
      </w:r>
      <w:r w:rsidR="009A53CB">
        <w:rPr>
          <w:rFonts w:ascii="Garamond" w:hAnsi="Garamond"/>
          <w:sz w:val="22"/>
          <w:szCs w:val="22"/>
        </w:rPr>
        <w:t xml:space="preserve"> (</w:t>
      </w:r>
      <w:r w:rsidR="009A53CB" w:rsidRPr="009A53CB">
        <w:rPr>
          <w:rFonts w:ascii="Garamond" w:hAnsi="Garamond"/>
          <w:sz w:val="22"/>
          <w:szCs w:val="22"/>
        </w:rPr>
        <w:t xml:space="preserve">Baron &amp; </w:t>
      </w:r>
      <w:proofErr w:type="spellStart"/>
      <w:r w:rsidR="009A53CB" w:rsidRPr="009A53CB">
        <w:rPr>
          <w:rFonts w:ascii="Garamond" w:hAnsi="Garamond"/>
          <w:sz w:val="22"/>
          <w:szCs w:val="22"/>
        </w:rPr>
        <w:t>Holmström</w:t>
      </w:r>
      <w:proofErr w:type="spellEnd"/>
      <w:r w:rsidR="009A53CB" w:rsidRPr="009A53CB">
        <w:rPr>
          <w:rFonts w:ascii="Garamond" w:hAnsi="Garamond"/>
          <w:sz w:val="22"/>
          <w:szCs w:val="22"/>
        </w:rPr>
        <w:t xml:space="preserve">, </w:t>
      </w:r>
      <w:r w:rsidR="009A53CB">
        <w:rPr>
          <w:rFonts w:ascii="Garamond" w:hAnsi="Garamond"/>
          <w:sz w:val="22"/>
          <w:szCs w:val="22"/>
        </w:rPr>
        <w:t xml:space="preserve">1980; </w:t>
      </w:r>
      <w:r w:rsidR="009A53CB" w:rsidRPr="00A00E80">
        <w:rPr>
          <w:rFonts w:ascii="Garamond" w:hAnsi="Garamond"/>
          <w:sz w:val="22"/>
          <w:szCs w:val="22"/>
        </w:rPr>
        <w:t>Loughran &amp; Ritter 2004</w:t>
      </w:r>
      <w:r w:rsidR="009A53CB" w:rsidRPr="009A53CB">
        <w:rPr>
          <w:rFonts w:ascii="Garamond" w:hAnsi="Garamond"/>
          <w:sz w:val="22"/>
          <w:szCs w:val="22"/>
        </w:rPr>
        <w:t xml:space="preserve">).  Some scholars even argue that this behavior may indicate potential collusion between underwriters and informed investors </w:t>
      </w:r>
      <w:proofErr w:type="gramStart"/>
      <w:r w:rsidR="009A53CB" w:rsidRPr="009A53CB">
        <w:rPr>
          <w:rFonts w:ascii="Garamond" w:hAnsi="Garamond"/>
          <w:sz w:val="22"/>
          <w:szCs w:val="22"/>
        </w:rPr>
        <w:t>as a means to</w:t>
      </w:r>
      <w:proofErr w:type="gramEnd"/>
      <w:r w:rsidR="009A53CB" w:rsidRPr="009A53CB">
        <w:rPr>
          <w:rFonts w:ascii="Garamond" w:hAnsi="Garamond"/>
          <w:sz w:val="22"/>
          <w:szCs w:val="22"/>
        </w:rPr>
        <w:t xml:space="preserve"> maximize profits at the expense of issuing firms and existing investors.</w:t>
      </w:r>
    </w:p>
    <w:p w14:paraId="34D25069" w14:textId="0DD0B46B" w:rsidR="00282A80" w:rsidRPr="00A00E80" w:rsidRDefault="00001E37" w:rsidP="004D26FF">
      <w:pPr>
        <w:tabs>
          <w:tab w:val="left" w:pos="426"/>
        </w:tabs>
        <w:spacing w:line="360" w:lineRule="auto"/>
        <w:jc w:val="both"/>
        <w:rPr>
          <w:rFonts w:ascii="Garamond" w:hAnsi="Garamond"/>
          <w:sz w:val="22"/>
          <w:szCs w:val="22"/>
        </w:rPr>
      </w:pPr>
      <w:r>
        <w:rPr>
          <w:rFonts w:ascii="Garamond" w:hAnsi="Garamond"/>
          <w:sz w:val="22"/>
          <w:szCs w:val="22"/>
        </w:rPr>
        <w:tab/>
      </w:r>
      <w:r w:rsidR="00785E28" w:rsidRPr="00A00E80">
        <w:rPr>
          <w:rFonts w:ascii="Garamond" w:hAnsi="Garamond"/>
          <w:sz w:val="22"/>
          <w:szCs w:val="22"/>
        </w:rPr>
        <w:t>The e</w:t>
      </w:r>
      <w:r w:rsidR="00D3302E" w:rsidRPr="00A00E80">
        <w:rPr>
          <w:rFonts w:ascii="Garamond" w:hAnsi="Garamond"/>
          <w:sz w:val="22"/>
          <w:szCs w:val="22"/>
        </w:rPr>
        <w:t>mpirical evidence support</w:t>
      </w:r>
      <w:r w:rsidR="00785E28" w:rsidRPr="00A00E80">
        <w:rPr>
          <w:rFonts w:ascii="Garamond" w:hAnsi="Garamond"/>
          <w:sz w:val="22"/>
          <w:szCs w:val="22"/>
        </w:rPr>
        <w:t>s</w:t>
      </w:r>
      <w:r w:rsidR="00D3302E" w:rsidRPr="00A00E80">
        <w:rPr>
          <w:rFonts w:ascii="Garamond" w:hAnsi="Garamond"/>
          <w:sz w:val="22"/>
          <w:szCs w:val="22"/>
        </w:rPr>
        <w:t xml:space="preserve"> the idea that underwriters</w:t>
      </w:r>
      <w:r w:rsidR="00613744" w:rsidRPr="00A00E80">
        <w:rPr>
          <w:rFonts w:ascii="Garamond" w:hAnsi="Garamond"/>
          <w:sz w:val="22"/>
          <w:szCs w:val="22"/>
        </w:rPr>
        <w:t>’</w:t>
      </w:r>
      <w:r w:rsidR="00D3302E" w:rsidRPr="00A00E80">
        <w:rPr>
          <w:rFonts w:ascii="Garamond" w:hAnsi="Garamond"/>
          <w:sz w:val="22"/>
          <w:szCs w:val="22"/>
        </w:rPr>
        <w:t xml:space="preserve"> rent-seeking behavior contributes to IPO underpricing</w:t>
      </w:r>
      <w:r w:rsidR="006A30D1" w:rsidRPr="00A00E80">
        <w:rPr>
          <w:rFonts w:ascii="Garamond" w:hAnsi="Garamond"/>
          <w:sz w:val="22"/>
          <w:szCs w:val="22"/>
        </w:rPr>
        <w:t xml:space="preserve"> (</w:t>
      </w:r>
      <w:r w:rsidR="001120DE" w:rsidRPr="00A00E80">
        <w:rPr>
          <w:rFonts w:ascii="Garamond" w:hAnsi="Garamond"/>
          <w:sz w:val="22"/>
          <w:szCs w:val="22"/>
        </w:rPr>
        <w:t xml:space="preserve">Griffin, Harris &amp; </w:t>
      </w:r>
      <w:proofErr w:type="spellStart"/>
      <w:r w:rsidR="001120DE" w:rsidRPr="00A00E80">
        <w:rPr>
          <w:rFonts w:ascii="Garamond" w:hAnsi="Garamond"/>
          <w:sz w:val="22"/>
          <w:szCs w:val="22"/>
        </w:rPr>
        <w:t>Topaloglu</w:t>
      </w:r>
      <w:proofErr w:type="spellEnd"/>
      <w:r w:rsidR="001120DE" w:rsidRPr="00A00E80">
        <w:rPr>
          <w:rFonts w:ascii="Garamond" w:hAnsi="Garamond"/>
          <w:sz w:val="22"/>
          <w:szCs w:val="22"/>
        </w:rPr>
        <w:t xml:space="preserve"> 2007; </w:t>
      </w:r>
      <w:proofErr w:type="spellStart"/>
      <w:r w:rsidR="001120DE" w:rsidRPr="00A00E80">
        <w:rPr>
          <w:rFonts w:ascii="Garamond" w:hAnsi="Garamond"/>
          <w:sz w:val="22"/>
          <w:szCs w:val="22"/>
        </w:rPr>
        <w:t>Ljungqvist</w:t>
      </w:r>
      <w:proofErr w:type="spellEnd"/>
      <w:r w:rsidR="001120DE" w:rsidRPr="00A00E80">
        <w:rPr>
          <w:rFonts w:ascii="Garamond" w:hAnsi="Garamond"/>
          <w:sz w:val="22"/>
          <w:szCs w:val="22"/>
        </w:rPr>
        <w:t xml:space="preserve"> 2003; </w:t>
      </w:r>
      <w:proofErr w:type="spellStart"/>
      <w:r w:rsidR="001120DE" w:rsidRPr="00A00E80">
        <w:rPr>
          <w:rFonts w:ascii="Garamond" w:hAnsi="Garamond"/>
          <w:sz w:val="22"/>
          <w:szCs w:val="22"/>
        </w:rPr>
        <w:t>Ljungqvist</w:t>
      </w:r>
      <w:proofErr w:type="spellEnd"/>
      <w:r w:rsidR="001120DE" w:rsidRPr="00A00E80">
        <w:rPr>
          <w:rFonts w:ascii="Garamond" w:hAnsi="Garamond"/>
          <w:sz w:val="22"/>
          <w:szCs w:val="22"/>
        </w:rPr>
        <w:t xml:space="preserve"> &amp; Wilhelm 2003; Loughran &amp; Ritter 2004; </w:t>
      </w:r>
      <w:proofErr w:type="spellStart"/>
      <w:r w:rsidR="00781899" w:rsidRPr="00A00E80">
        <w:rPr>
          <w:rFonts w:ascii="Garamond" w:hAnsi="Garamond"/>
          <w:sz w:val="22"/>
          <w:szCs w:val="22"/>
        </w:rPr>
        <w:t>Muscarella</w:t>
      </w:r>
      <w:proofErr w:type="spellEnd"/>
      <w:r w:rsidR="00781899" w:rsidRPr="00A00E80">
        <w:rPr>
          <w:rFonts w:ascii="Garamond" w:hAnsi="Garamond"/>
          <w:sz w:val="22"/>
          <w:szCs w:val="22"/>
        </w:rPr>
        <w:t xml:space="preserve"> &amp; </w:t>
      </w:r>
      <w:proofErr w:type="spellStart"/>
      <w:r w:rsidR="00781899" w:rsidRPr="00A00E80">
        <w:rPr>
          <w:rFonts w:ascii="Garamond" w:hAnsi="Garamond"/>
          <w:sz w:val="22"/>
          <w:szCs w:val="22"/>
        </w:rPr>
        <w:t>Vetsuypens</w:t>
      </w:r>
      <w:proofErr w:type="spellEnd"/>
      <w:r w:rsidR="00781899" w:rsidRPr="00A00E80">
        <w:rPr>
          <w:rFonts w:ascii="Garamond" w:hAnsi="Garamond"/>
          <w:sz w:val="22"/>
          <w:szCs w:val="22"/>
        </w:rPr>
        <w:t xml:space="preserve"> 1989; </w:t>
      </w:r>
      <w:r w:rsidR="001120DE" w:rsidRPr="00A00E80">
        <w:rPr>
          <w:rFonts w:ascii="Garamond" w:hAnsi="Garamond"/>
          <w:sz w:val="22"/>
          <w:szCs w:val="22"/>
        </w:rPr>
        <w:t>Ritter 1984</w:t>
      </w:r>
      <w:r w:rsidR="006A30D1" w:rsidRPr="00A00E80">
        <w:rPr>
          <w:rFonts w:ascii="Garamond" w:hAnsi="Garamond"/>
          <w:sz w:val="22"/>
          <w:szCs w:val="22"/>
        </w:rPr>
        <w:t>)</w:t>
      </w:r>
      <w:r w:rsidR="001D566B" w:rsidRPr="00A00E80">
        <w:rPr>
          <w:rFonts w:ascii="Garamond" w:hAnsi="Garamond"/>
          <w:sz w:val="22"/>
          <w:szCs w:val="22"/>
        </w:rPr>
        <w:t xml:space="preserve">. </w:t>
      </w:r>
      <w:r w:rsidR="00AE007E" w:rsidRPr="00A00E80">
        <w:rPr>
          <w:rFonts w:ascii="Garamond" w:hAnsi="Garamond"/>
          <w:sz w:val="22"/>
          <w:szCs w:val="22"/>
        </w:rPr>
        <w:t xml:space="preserve">However, </w:t>
      </w:r>
      <w:r w:rsidR="00CE4644" w:rsidRPr="00A00E80">
        <w:rPr>
          <w:rFonts w:ascii="Garamond" w:hAnsi="Garamond"/>
          <w:sz w:val="22"/>
          <w:szCs w:val="22"/>
        </w:rPr>
        <w:t xml:space="preserve">there </w:t>
      </w:r>
      <w:r w:rsidR="00DB68DF" w:rsidRPr="00A00E80">
        <w:rPr>
          <w:rFonts w:ascii="Garamond" w:hAnsi="Garamond"/>
          <w:sz w:val="22"/>
          <w:szCs w:val="22"/>
        </w:rPr>
        <w:t xml:space="preserve">has been </w:t>
      </w:r>
      <w:r w:rsidR="00D412DC">
        <w:rPr>
          <w:rFonts w:ascii="Garamond" w:hAnsi="Garamond"/>
          <w:sz w:val="22"/>
          <w:szCs w:val="22"/>
        </w:rPr>
        <w:t>very little</w:t>
      </w:r>
      <w:r w:rsidR="00D412DC" w:rsidRPr="00A00E80">
        <w:rPr>
          <w:rFonts w:ascii="Garamond" w:hAnsi="Garamond"/>
          <w:sz w:val="22"/>
          <w:szCs w:val="22"/>
        </w:rPr>
        <w:t xml:space="preserve"> </w:t>
      </w:r>
      <w:r w:rsidR="00DB68DF" w:rsidRPr="00A00E80">
        <w:rPr>
          <w:rFonts w:ascii="Garamond" w:hAnsi="Garamond"/>
          <w:sz w:val="22"/>
          <w:szCs w:val="22"/>
        </w:rPr>
        <w:t>research on th</w:t>
      </w:r>
      <w:r w:rsidR="00D412DC">
        <w:rPr>
          <w:rFonts w:ascii="Garamond" w:hAnsi="Garamond"/>
          <w:sz w:val="22"/>
          <w:szCs w:val="22"/>
        </w:rPr>
        <w:t xml:space="preserve">e ways in which the </w:t>
      </w:r>
      <w:r w:rsidR="00EF1185" w:rsidRPr="00A00E80">
        <w:rPr>
          <w:rFonts w:ascii="Garamond" w:hAnsi="Garamond"/>
          <w:sz w:val="22"/>
          <w:szCs w:val="22"/>
        </w:rPr>
        <w:t xml:space="preserve">growing domination </w:t>
      </w:r>
      <w:r w:rsidR="009D4A07" w:rsidRPr="00A00E80">
        <w:rPr>
          <w:rFonts w:ascii="Garamond" w:hAnsi="Garamond"/>
          <w:sz w:val="22"/>
          <w:szCs w:val="22"/>
        </w:rPr>
        <w:t xml:space="preserve">of </w:t>
      </w:r>
      <w:r w:rsidR="00D412DC">
        <w:rPr>
          <w:rFonts w:ascii="Garamond" w:hAnsi="Garamond"/>
          <w:sz w:val="22"/>
          <w:szCs w:val="22"/>
        </w:rPr>
        <w:t>institutional</w:t>
      </w:r>
      <w:r w:rsidR="00D412DC" w:rsidRPr="00A00E80">
        <w:rPr>
          <w:rFonts w:ascii="Garamond" w:hAnsi="Garamond"/>
          <w:sz w:val="22"/>
          <w:szCs w:val="22"/>
        </w:rPr>
        <w:t xml:space="preserve"> </w:t>
      </w:r>
      <w:r w:rsidR="009D4A07" w:rsidRPr="00A00E80">
        <w:rPr>
          <w:rFonts w:ascii="Garamond" w:hAnsi="Garamond"/>
          <w:sz w:val="22"/>
          <w:szCs w:val="22"/>
        </w:rPr>
        <w:t>investors</w:t>
      </w:r>
      <w:r w:rsidR="00D412DC">
        <w:rPr>
          <w:rFonts w:ascii="Garamond" w:hAnsi="Garamond"/>
          <w:sz w:val="22"/>
          <w:szCs w:val="22"/>
        </w:rPr>
        <w:t xml:space="preserve">, </w:t>
      </w:r>
      <w:r w:rsidR="00D412DC" w:rsidRPr="00A00E80">
        <w:rPr>
          <w:rFonts w:ascii="Garamond" w:hAnsi="Garamond"/>
          <w:sz w:val="22"/>
          <w:szCs w:val="22"/>
        </w:rPr>
        <w:t>which now account for approximately 90% of share allocation in IPOs,</w:t>
      </w:r>
      <w:r w:rsidR="00D412DC" w:rsidRPr="00A00E80">
        <w:rPr>
          <w:rStyle w:val="FootnoteReference"/>
          <w:rFonts w:ascii="Garamond" w:hAnsi="Garamond"/>
          <w:sz w:val="22"/>
          <w:szCs w:val="22"/>
        </w:rPr>
        <w:footnoteReference w:id="1"/>
      </w:r>
      <w:r w:rsidR="009D4A07" w:rsidRPr="00A00E80">
        <w:rPr>
          <w:rFonts w:ascii="Garamond" w:hAnsi="Garamond"/>
          <w:sz w:val="22"/>
          <w:szCs w:val="22"/>
        </w:rPr>
        <w:t xml:space="preserve"> </w:t>
      </w:r>
      <w:r w:rsidR="00D412DC">
        <w:rPr>
          <w:rFonts w:ascii="Garamond" w:hAnsi="Garamond"/>
          <w:sz w:val="22"/>
          <w:szCs w:val="22"/>
        </w:rPr>
        <w:t xml:space="preserve">affects </w:t>
      </w:r>
      <w:r w:rsidR="00014833" w:rsidRPr="00A00E80">
        <w:rPr>
          <w:rFonts w:ascii="Garamond" w:hAnsi="Garamond"/>
          <w:sz w:val="22"/>
          <w:szCs w:val="22"/>
        </w:rPr>
        <w:t>the behavior of rent-seeking underwriters</w:t>
      </w:r>
      <w:r w:rsidR="00A221B2" w:rsidRPr="00A00E80">
        <w:rPr>
          <w:rFonts w:ascii="Garamond" w:hAnsi="Garamond"/>
          <w:sz w:val="22"/>
          <w:szCs w:val="22"/>
        </w:rPr>
        <w:t>.</w:t>
      </w:r>
      <w:r w:rsidR="00B72D37" w:rsidRPr="00A00E80">
        <w:rPr>
          <w:rFonts w:ascii="Garamond" w:hAnsi="Garamond"/>
          <w:sz w:val="22"/>
          <w:szCs w:val="22"/>
        </w:rPr>
        <w:t xml:space="preserve"> Our proposed project intends to address this gap</w:t>
      </w:r>
      <w:r w:rsidR="006B442D" w:rsidRPr="00A00E80">
        <w:rPr>
          <w:rFonts w:ascii="Garamond" w:hAnsi="Garamond"/>
          <w:sz w:val="22"/>
          <w:szCs w:val="22"/>
        </w:rPr>
        <w:t xml:space="preserve"> in the research</w:t>
      </w:r>
      <w:r w:rsidR="00B72D37" w:rsidRPr="00A00E80">
        <w:rPr>
          <w:rFonts w:ascii="Garamond" w:hAnsi="Garamond"/>
          <w:sz w:val="22"/>
          <w:szCs w:val="22"/>
        </w:rPr>
        <w:t>.</w:t>
      </w:r>
    </w:p>
    <w:p w14:paraId="0DC38D2D" w14:textId="0D40124A" w:rsidR="009D5D15" w:rsidRPr="004D26FF" w:rsidRDefault="009D5D15" w:rsidP="004D26FF">
      <w:pPr>
        <w:pStyle w:val="ListParagraph"/>
        <w:numPr>
          <w:ilvl w:val="0"/>
          <w:numId w:val="2"/>
        </w:numPr>
        <w:spacing w:line="360" w:lineRule="auto"/>
        <w:ind w:left="426" w:hanging="426"/>
        <w:jc w:val="both"/>
        <w:rPr>
          <w:rFonts w:ascii="Garamond" w:hAnsi="Garamond"/>
          <w:sz w:val="22"/>
          <w:szCs w:val="22"/>
          <w:u w:val="single"/>
          <w:rtl/>
        </w:rPr>
      </w:pPr>
      <w:r w:rsidRPr="009D5D15">
        <w:rPr>
          <w:rFonts w:ascii="Garamond" w:hAnsi="Garamond"/>
          <w:sz w:val="22"/>
          <w:szCs w:val="22"/>
          <w:u w:val="single"/>
        </w:rPr>
        <w:t xml:space="preserve">Ownership and control theories </w:t>
      </w:r>
    </w:p>
    <w:p w14:paraId="57633C12" w14:textId="487EA2B7" w:rsidR="009D5D15" w:rsidRPr="004D26FF" w:rsidRDefault="009D5D15" w:rsidP="004D26FF">
      <w:pPr>
        <w:widowControl w:val="0"/>
        <w:spacing w:line="360" w:lineRule="auto"/>
        <w:ind w:firstLine="426"/>
        <w:jc w:val="both"/>
        <w:rPr>
          <w:rFonts w:ascii="Garamond" w:hAnsi="Garamond"/>
          <w:sz w:val="22"/>
          <w:szCs w:val="22"/>
        </w:rPr>
      </w:pPr>
      <w:r w:rsidRPr="004D26FF">
        <w:rPr>
          <w:rFonts w:ascii="Garamond" w:hAnsi="Garamond"/>
          <w:sz w:val="22"/>
          <w:szCs w:val="22"/>
        </w:rPr>
        <w:t xml:space="preserve">According to the IPO literature, underpricing may serve as a tool to mold a company’s shareholder base after an IPO. Two main hypotheses (which </w:t>
      </w:r>
      <w:r w:rsidR="007E6C99">
        <w:rPr>
          <w:rFonts w:ascii="Garamond" w:hAnsi="Garamond"/>
          <w:sz w:val="22"/>
          <w:szCs w:val="22"/>
        </w:rPr>
        <w:t>are in</w:t>
      </w:r>
      <w:r w:rsidRPr="004D26FF">
        <w:rPr>
          <w:rFonts w:ascii="Garamond" w:hAnsi="Garamond"/>
          <w:sz w:val="22"/>
          <w:szCs w:val="22"/>
        </w:rPr>
        <w:t xml:space="preserve"> direct opposition to one another) have been investigated: the “entrenchment of managerial control” hypothesis and the “limitation of private benefits” hypothesis.</w:t>
      </w:r>
      <w:r w:rsidRPr="004D26FF" w:rsidDel="006F040F">
        <w:rPr>
          <w:rFonts w:ascii="Garamond" w:hAnsi="Garamond"/>
          <w:sz w:val="22"/>
          <w:szCs w:val="22"/>
        </w:rPr>
        <w:t xml:space="preserve"> </w:t>
      </w:r>
    </w:p>
    <w:p w14:paraId="5D69CCD4" w14:textId="042A739F" w:rsidR="00A44899" w:rsidRDefault="009D5D15" w:rsidP="00A44899">
      <w:pPr>
        <w:tabs>
          <w:tab w:val="left" w:pos="426"/>
        </w:tabs>
        <w:spacing w:line="360" w:lineRule="auto"/>
        <w:ind w:firstLine="426"/>
        <w:jc w:val="both"/>
        <w:rPr>
          <w:rFonts w:ascii="Garamond" w:hAnsi="Garamond"/>
          <w:sz w:val="22"/>
          <w:szCs w:val="22"/>
        </w:rPr>
      </w:pPr>
      <w:r w:rsidRPr="00C40DD0">
        <w:rPr>
          <w:rFonts w:ascii="Garamond" w:hAnsi="Garamond"/>
          <w:sz w:val="22"/>
          <w:szCs w:val="22"/>
        </w:rPr>
        <w:t xml:space="preserve">The former, proposed by Michael Brennan and Julian Franks, suggests that </w:t>
      </w:r>
      <w:r w:rsidRPr="00A00E80">
        <w:rPr>
          <w:rFonts w:ascii="Garamond" w:hAnsi="Garamond"/>
          <w:sz w:val="22"/>
          <w:szCs w:val="22"/>
        </w:rPr>
        <w:t xml:space="preserve">underpricing serves as a means whereby the managers of issuers can entrench managerial control by allocating shares in a way that avoids those large shareholders that </w:t>
      </w:r>
      <w:r w:rsidR="00C40DD0">
        <w:rPr>
          <w:rFonts w:ascii="Garamond" w:hAnsi="Garamond"/>
          <w:sz w:val="22"/>
          <w:szCs w:val="22"/>
        </w:rPr>
        <w:t>are more likely to</w:t>
      </w:r>
      <w:r w:rsidRPr="00A00E80">
        <w:rPr>
          <w:rFonts w:ascii="Garamond" w:hAnsi="Garamond"/>
          <w:sz w:val="22"/>
          <w:szCs w:val="22"/>
        </w:rPr>
        <w:t xml:space="preserve"> monitor management (Brennan &amp; Franks 1997). This theory</w:t>
      </w:r>
      <w:r w:rsidR="00C40DD0">
        <w:rPr>
          <w:rFonts w:ascii="Garamond" w:hAnsi="Garamond"/>
          <w:sz w:val="22"/>
          <w:szCs w:val="22"/>
        </w:rPr>
        <w:t xml:space="preserve"> </w:t>
      </w:r>
      <w:r w:rsidRPr="00F477D1">
        <w:rPr>
          <w:rFonts w:ascii="Garamond" w:hAnsi="Garamond"/>
          <w:sz w:val="22"/>
          <w:szCs w:val="22"/>
        </w:rPr>
        <w:t xml:space="preserve">sheds </w:t>
      </w:r>
      <w:r w:rsidRPr="00F477D1">
        <w:rPr>
          <w:rFonts w:ascii="Garamond" w:hAnsi="Garamond"/>
          <w:sz w:val="22"/>
          <w:szCs w:val="22"/>
        </w:rPr>
        <w:lastRenderedPageBreak/>
        <w:t>light on the intricacies of IPO pricing and allocation mechanisms as well as the strategic decisions companies and underwriters make during the IPO process</w:t>
      </w:r>
      <w:r>
        <w:rPr>
          <w:rFonts w:ascii="Garamond" w:hAnsi="Garamond"/>
          <w:sz w:val="22"/>
          <w:szCs w:val="22"/>
        </w:rPr>
        <w:t xml:space="preserve">. Its </w:t>
      </w:r>
      <w:r w:rsidRPr="00A00E80">
        <w:rPr>
          <w:rFonts w:ascii="Garamond" w:hAnsi="Garamond"/>
          <w:sz w:val="22"/>
          <w:szCs w:val="22"/>
        </w:rPr>
        <w:t xml:space="preserve">core premise is that because underpricing leads to excess demand, owner-managers can allocate the allotment of shares to investors and reduce the size of new shareholdings held by large investors that are more likely to scrutinize rent-seeking behavior (Shleifer &amp; </w:t>
      </w:r>
      <w:proofErr w:type="spellStart"/>
      <w:r w:rsidRPr="00A00E80">
        <w:rPr>
          <w:rFonts w:ascii="Garamond" w:hAnsi="Garamond"/>
          <w:sz w:val="22"/>
          <w:szCs w:val="22"/>
        </w:rPr>
        <w:t>Vishny</w:t>
      </w:r>
      <w:proofErr w:type="spellEnd"/>
      <w:r w:rsidRPr="00A00E80">
        <w:rPr>
          <w:rFonts w:ascii="Garamond" w:hAnsi="Garamond"/>
          <w:sz w:val="22"/>
          <w:szCs w:val="22"/>
        </w:rPr>
        <w:t xml:space="preserve"> 1986). </w:t>
      </w:r>
      <w:r>
        <w:rPr>
          <w:rFonts w:ascii="Garamond" w:hAnsi="Garamond"/>
          <w:sz w:val="22"/>
          <w:szCs w:val="22"/>
        </w:rPr>
        <w:t xml:space="preserve">However, it is worth acknowledging that </w:t>
      </w:r>
      <w:r w:rsidRPr="00A00E80">
        <w:rPr>
          <w:rFonts w:ascii="Garamond" w:hAnsi="Garamond"/>
          <w:sz w:val="22"/>
          <w:szCs w:val="22"/>
        </w:rPr>
        <w:t xml:space="preserve">Brennan and Franks’ model </w:t>
      </w:r>
      <w:r>
        <w:rPr>
          <w:rFonts w:ascii="Garamond" w:hAnsi="Garamond"/>
          <w:sz w:val="22"/>
          <w:szCs w:val="22"/>
        </w:rPr>
        <w:t xml:space="preserve">only </w:t>
      </w:r>
      <w:r w:rsidRPr="00A00E80">
        <w:rPr>
          <w:rFonts w:ascii="Garamond" w:hAnsi="Garamond"/>
          <w:sz w:val="22"/>
          <w:szCs w:val="22"/>
        </w:rPr>
        <w:t>applies to IPO mechanisms involving fixed prices and pro-rata allocation. The argument does not apply to a book-building regime, since issuers can discriminate against conservative investors and omit them from allocations, without having to underprice the offering</w:t>
      </w:r>
      <w:r w:rsidR="001D33B7">
        <w:rPr>
          <w:rFonts w:ascii="Garamond" w:hAnsi="Garamond"/>
          <w:sz w:val="22"/>
          <w:szCs w:val="22"/>
        </w:rPr>
        <w:t xml:space="preserve"> </w:t>
      </w:r>
      <w:r w:rsidR="001D33B7" w:rsidRPr="00A00E80">
        <w:rPr>
          <w:rFonts w:ascii="Garamond" w:hAnsi="Garamond"/>
          <w:sz w:val="22"/>
          <w:szCs w:val="22"/>
        </w:rPr>
        <w:t>(</w:t>
      </w:r>
      <w:proofErr w:type="spellStart"/>
      <w:r w:rsidR="001D33B7" w:rsidRPr="00A00E80">
        <w:rPr>
          <w:rFonts w:ascii="Garamond" w:hAnsi="Garamond"/>
          <w:sz w:val="22"/>
          <w:szCs w:val="22"/>
        </w:rPr>
        <w:t>Lionquisent</w:t>
      </w:r>
      <w:proofErr w:type="spellEnd"/>
      <w:r w:rsidR="001D33B7" w:rsidRPr="00A00E80">
        <w:rPr>
          <w:rFonts w:ascii="Garamond" w:hAnsi="Garamond"/>
          <w:sz w:val="22"/>
          <w:szCs w:val="22"/>
        </w:rPr>
        <w:t xml:space="preserve"> 2007, pp. 411–412</w:t>
      </w:r>
      <w:r w:rsidR="001D33B7">
        <w:rPr>
          <w:rFonts w:ascii="Garamond" w:hAnsi="Garamond"/>
          <w:sz w:val="22"/>
          <w:szCs w:val="22"/>
        </w:rPr>
        <w:t>)</w:t>
      </w:r>
      <w:r w:rsidRPr="00A00E80">
        <w:rPr>
          <w:rFonts w:ascii="Garamond" w:hAnsi="Garamond"/>
          <w:sz w:val="22"/>
          <w:szCs w:val="22"/>
        </w:rPr>
        <w:t>.</w:t>
      </w:r>
      <w:r>
        <w:rPr>
          <w:rFonts w:ascii="Garamond" w:hAnsi="Garamond"/>
          <w:sz w:val="22"/>
          <w:szCs w:val="22"/>
        </w:rPr>
        <w:t xml:space="preserve"> </w:t>
      </w:r>
      <w:r w:rsidR="001D33B7">
        <w:rPr>
          <w:rFonts w:ascii="Garamond" w:hAnsi="Garamond"/>
          <w:sz w:val="22"/>
          <w:szCs w:val="22"/>
        </w:rPr>
        <w:t>Moreover, t</w:t>
      </w:r>
      <w:r w:rsidR="001D33B7" w:rsidRPr="00F477D1">
        <w:rPr>
          <w:rFonts w:ascii="Garamond" w:hAnsi="Garamond"/>
          <w:sz w:val="22"/>
          <w:szCs w:val="22"/>
        </w:rPr>
        <w:t>he fact that underpricing occurs at particularly high levels despite the significant participation of institutional investors in public offerings suggests that factors beyond managerial control may be at play</w:t>
      </w:r>
      <w:r w:rsidR="001D33B7">
        <w:rPr>
          <w:rFonts w:ascii="Garamond" w:hAnsi="Garamond"/>
          <w:sz w:val="22"/>
          <w:szCs w:val="22"/>
        </w:rPr>
        <w:t xml:space="preserve">. Our theory aims to identify such factors, by illuminating the link between institutional investors and IPO underpricing.  </w:t>
      </w:r>
    </w:p>
    <w:p w14:paraId="0BB58786" w14:textId="6EA9CCA4" w:rsidR="00761C4C" w:rsidRPr="00C21525" w:rsidRDefault="009D5D15" w:rsidP="00C21525">
      <w:pPr>
        <w:spacing w:line="360" w:lineRule="auto"/>
        <w:ind w:firstLine="426"/>
        <w:jc w:val="both"/>
        <w:rPr>
          <w:rFonts w:ascii="Garamond" w:hAnsi="Garamond"/>
          <w:sz w:val="22"/>
          <w:szCs w:val="22"/>
          <w:u w:val="single"/>
        </w:rPr>
      </w:pPr>
      <w:r>
        <w:rPr>
          <w:rFonts w:ascii="Garamond" w:hAnsi="Garamond"/>
          <w:sz w:val="22"/>
          <w:szCs w:val="22"/>
        </w:rPr>
        <w:t>T</w:t>
      </w:r>
      <w:r w:rsidRPr="009D5D15">
        <w:rPr>
          <w:rFonts w:ascii="Garamond" w:hAnsi="Garamond"/>
          <w:sz w:val="22"/>
          <w:szCs w:val="22"/>
        </w:rPr>
        <w:t>he “limitation of private benefits” hypothesis</w:t>
      </w:r>
      <w:r>
        <w:rPr>
          <w:rFonts w:ascii="Garamond" w:hAnsi="Garamond"/>
          <w:sz w:val="22"/>
          <w:szCs w:val="22"/>
        </w:rPr>
        <w:t>, on the other hand,</w:t>
      </w:r>
      <w:r w:rsidRPr="00C40DD0">
        <w:rPr>
          <w:rFonts w:ascii="Garamond" w:hAnsi="Garamond"/>
          <w:sz w:val="22"/>
          <w:szCs w:val="22"/>
        </w:rPr>
        <w:t xml:space="preserve"> suggests that owner-managers may try to limit their ability to obtain private benefits if agency costs cause IPO proceeds and share price to decline (Stoughton &amp; </w:t>
      </w:r>
      <w:proofErr w:type="spellStart"/>
      <w:r w:rsidRPr="00C40DD0">
        <w:rPr>
          <w:rFonts w:ascii="Garamond" w:hAnsi="Garamond"/>
          <w:sz w:val="22"/>
          <w:szCs w:val="22"/>
        </w:rPr>
        <w:t>Zechner</w:t>
      </w:r>
      <w:proofErr w:type="spellEnd"/>
      <w:r w:rsidRPr="00C40DD0">
        <w:rPr>
          <w:rFonts w:ascii="Garamond" w:hAnsi="Garamond"/>
          <w:sz w:val="22"/>
          <w:szCs w:val="22"/>
        </w:rPr>
        <w:t xml:space="preserve"> 1998). By optimally rationing the allotment of shares to small investors, owner-managers can capture the benefits associated with better monitoring by institutional shareholders. However, because monitoring is difficult to observe, a free-rider problem exists and large monitoring shareholders would require compensation in the form of underpricing and favorable allocation treatment (</w:t>
      </w:r>
      <w:proofErr w:type="spellStart"/>
      <w:r w:rsidRPr="00C40DD0">
        <w:rPr>
          <w:rFonts w:ascii="Garamond" w:hAnsi="Garamond"/>
          <w:sz w:val="22"/>
          <w:szCs w:val="22"/>
        </w:rPr>
        <w:t>Linquisent</w:t>
      </w:r>
      <w:proofErr w:type="spellEnd"/>
      <w:r w:rsidRPr="00C40DD0">
        <w:rPr>
          <w:rFonts w:ascii="Garamond" w:hAnsi="Garamond"/>
          <w:sz w:val="22"/>
          <w:szCs w:val="22"/>
        </w:rPr>
        <w:t xml:space="preserve"> 2007, p. 411; Stoughton &amp; </w:t>
      </w:r>
      <w:proofErr w:type="spellStart"/>
      <w:r w:rsidRPr="00C40DD0">
        <w:rPr>
          <w:rFonts w:ascii="Garamond" w:hAnsi="Garamond"/>
          <w:sz w:val="22"/>
          <w:szCs w:val="22"/>
        </w:rPr>
        <w:t>Zechner</w:t>
      </w:r>
      <w:proofErr w:type="spellEnd"/>
      <w:r w:rsidRPr="00C40DD0">
        <w:rPr>
          <w:rFonts w:ascii="Garamond" w:hAnsi="Garamond"/>
          <w:sz w:val="22"/>
          <w:szCs w:val="22"/>
        </w:rPr>
        <w:t xml:space="preserve"> 1998).</w:t>
      </w:r>
    </w:p>
    <w:p w14:paraId="6F27384E" w14:textId="23A114B0" w:rsidR="00D04014" w:rsidRPr="00A00E80" w:rsidRDefault="00D04014" w:rsidP="00F651C9">
      <w:pPr>
        <w:pStyle w:val="ListParagraph"/>
        <w:numPr>
          <w:ilvl w:val="0"/>
          <w:numId w:val="2"/>
        </w:numPr>
        <w:spacing w:line="360" w:lineRule="auto"/>
        <w:ind w:left="426" w:hanging="426"/>
        <w:jc w:val="both"/>
        <w:rPr>
          <w:rFonts w:ascii="Garamond" w:hAnsi="Garamond"/>
          <w:sz w:val="22"/>
          <w:szCs w:val="22"/>
          <w:u w:val="single"/>
        </w:rPr>
      </w:pPr>
      <w:r w:rsidRPr="00A00E80">
        <w:rPr>
          <w:rFonts w:ascii="Garamond" w:hAnsi="Garamond"/>
          <w:sz w:val="22"/>
          <w:szCs w:val="22"/>
          <w:u w:val="single"/>
        </w:rPr>
        <w:t xml:space="preserve">Behavioral theories </w:t>
      </w:r>
    </w:p>
    <w:p w14:paraId="59E0B3B9" w14:textId="77777777" w:rsidR="00C40DD0" w:rsidRDefault="00D04014" w:rsidP="00BD5A7F">
      <w:pPr>
        <w:spacing w:line="360" w:lineRule="auto"/>
        <w:ind w:firstLine="426"/>
        <w:jc w:val="both"/>
        <w:rPr>
          <w:rFonts w:ascii="Garamond" w:hAnsi="Garamond"/>
          <w:sz w:val="22"/>
          <w:szCs w:val="22"/>
        </w:rPr>
      </w:pPr>
      <w:r w:rsidRPr="00A00E80">
        <w:rPr>
          <w:rFonts w:ascii="Garamond" w:hAnsi="Garamond"/>
          <w:sz w:val="22"/>
          <w:szCs w:val="22"/>
        </w:rPr>
        <w:t xml:space="preserve">While most of the explanations for </w:t>
      </w:r>
      <w:r w:rsidR="002A4133" w:rsidRPr="00A00E80">
        <w:rPr>
          <w:rFonts w:ascii="Garamond" w:hAnsi="Garamond"/>
          <w:sz w:val="22"/>
          <w:szCs w:val="22"/>
        </w:rPr>
        <w:t>IPO</w:t>
      </w:r>
      <w:r w:rsidRPr="00A00E80">
        <w:rPr>
          <w:rFonts w:ascii="Garamond" w:hAnsi="Garamond"/>
          <w:sz w:val="22"/>
          <w:szCs w:val="22"/>
        </w:rPr>
        <w:t xml:space="preserve"> underpricing are</w:t>
      </w:r>
      <w:r w:rsidR="002A4133" w:rsidRPr="00A00E80">
        <w:rPr>
          <w:rFonts w:ascii="Garamond" w:hAnsi="Garamond"/>
          <w:sz w:val="22"/>
          <w:szCs w:val="22"/>
        </w:rPr>
        <w:t xml:space="preserve"> located</w:t>
      </w:r>
      <w:r w:rsidRPr="00A00E80">
        <w:rPr>
          <w:rFonts w:ascii="Garamond" w:hAnsi="Garamond"/>
          <w:sz w:val="22"/>
          <w:szCs w:val="22"/>
        </w:rPr>
        <w:t xml:space="preserve"> within the rational actor framework, some scholars have </w:t>
      </w:r>
      <w:r w:rsidR="0040791F" w:rsidRPr="00A00E80">
        <w:rPr>
          <w:rFonts w:ascii="Garamond" w:hAnsi="Garamond"/>
          <w:sz w:val="22"/>
          <w:szCs w:val="22"/>
        </w:rPr>
        <w:t>explored this phenomenon from the perspective of irrational beha</w:t>
      </w:r>
      <w:r w:rsidRPr="00A00E80">
        <w:rPr>
          <w:rFonts w:ascii="Garamond" w:hAnsi="Garamond"/>
          <w:sz w:val="22"/>
          <w:szCs w:val="22"/>
        </w:rPr>
        <w:t>vior</w:t>
      </w:r>
      <w:r w:rsidR="00755BA2" w:rsidRPr="00A00E80">
        <w:rPr>
          <w:rFonts w:ascii="Garamond" w:hAnsi="Garamond"/>
          <w:sz w:val="22"/>
          <w:szCs w:val="22"/>
        </w:rPr>
        <w:t>, as had been done in other contexts of financial pricing (Griffin 2010; Baker et al. 2012; Aran 2023)</w:t>
      </w:r>
      <w:r w:rsidRPr="00A00E80">
        <w:rPr>
          <w:rFonts w:ascii="Garamond" w:hAnsi="Garamond"/>
          <w:sz w:val="22"/>
          <w:szCs w:val="22"/>
        </w:rPr>
        <w:t xml:space="preserve">. </w:t>
      </w:r>
      <w:r w:rsidR="0040791F" w:rsidRPr="00A00E80">
        <w:rPr>
          <w:rFonts w:ascii="Garamond" w:hAnsi="Garamond"/>
          <w:sz w:val="22"/>
          <w:szCs w:val="22"/>
        </w:rPr>
        <w:t xml:space="preserve">One prominent explanation within this domain </w:t>
      </w:r>
      <w:r w:rsidRPr="00A00E80">
        <w:rPr>
          <w:rFonts w:ascii="Garamond" w:hAnsi="Garamond"/>
          <w:sz w:val="22"/>
          <w:szCs w:val="22"/>
        </w:rPr>
        <w:t xml:space="preserve">is the information cascade </w:t>
      </w:r>
      <w:r w:rsidR="00F21C6C" w:rsidRPr="00A00E80">
        <w:rPr>
          <w:rFonts w:ascii="Garamond" w:hAnsi="Garamond"/>
          <w:sz w:val="22"/>
          <w:szCs w:val="22"/>
        </w:rPr>
        <w:t>model</w:t>
      </w:r>
      <w:r w:rsidRPr="00A00E80">
        <w:rPr>
          <w:rFonts w:ascii="Garamond" w:hAnsi="Garamond"/>
          <w:sz w:val="22"/>
          <w:szCs w:val="22"/>
        </w:rPr>
        <w:t xml:space="preserve"> (Welch 1992). According to th</w:t>
      </w:r>
      <w:r w:rsidR="004D4B44" w:rsidRPr="00A00E80">
        <w:rPr>
          <w:rFonts w:ascii="Garamond" w:hAnsi="Garamond"/>
          <w:sz w:val="22"/>
          <w:szCs w:val="22"/>
        </w:rPr>
        <w:t>is</w:t>
      </w:r>
      <w:r w:rsidRPr="00A00E80">
        <w:rPr>
          <w:rFonts w:ascii="Garamond" w:hAnsi="Garamond"/>
          <w:sz w:val="22"/>
          <w:szCs w:val="22"/>
        </w:rPr>
        <w:t xml:space="preserve"> model, investors </w:t>
      </w:r>
      <w:r w:rsidR="00B2213E" w:rsidRPr="00A00E80">
        <w:rPr>
          <w:rFonts w:ascii="Garamond" w:hAnsi="Garamond"/>
          <w:sz w:val="22"/>
          <w:szCs w:val="22"/>
        </w:rPr>
        <w:t>make</w:t>
      </w:r>
      <w:r w:rsidRPr="00A00E80">
        <w:rPr>
          <w:rFonts w:ascii="Garamond" w:hAnsi="Garamond"/>
          <w:sz w:val="22"/>
          <w:szCs w:val="22"/>
        </w:rPr>
        <w:t xml:space="preserve"> investment decisions sequentially</w:t>
      </w:r>
      <w:r w:rsidR="0040791F" w:rsidRPr="00A00E80">
        <w:rPr>
          <w:rFonts w:ascii="Garamond" w:hAnsi="Garamond"/>
          <w:sz w:val="22"/>
          <w:szCs w:val="22"/>
        </w:rPr>
        <w:t xml:space="preserve">: </w:t>
      </w:r>
      <w:r w:rsidRPr="00A00E80">
        <w:rPr>
          <w:rFonts w:ascii="Garamond" w:hAnsi="Garamond"/>
          <w:sz w:val="22"/>
          <w:szCs w:val="22"/>
        </w:rPr>
        <w:t xml:space="preserve">the bids of some investors are made only after observing the bids of earlier investors, </w:t>
      </w:r>
      <w:r w:rsidR="0040791F" w:rsidRPr="00A00E80">
        <w:rPr>
          <w:rFonts w:ascii="Garamond" w:hAnsi="Garamond"/>
          <w:sz w:val="22"/>
          <w:szCs w:val="22"/>
        </w:rPr>
        <w:t>disregarding</w:t>
      </w:r>
      <w:r w:rsidRPr="00A00E80">
        <w:rPr>
          <w:rFonts w:ascii="Garamond" w:hAnsi="Garamond"/>
          <w:sz w:val="22"/>
          <w:szCs w:val="22"/>
        </w:rPr>
        <w:t xml:space="preserve"> their own information </w:t>
      </w:r>
      <w:r w:rsidR="0040791F" w:rsidRPr="00A00E80">
        <w:rPr>
          <w:rFonts w:ascii="Garamond" w:hAnsi="Garamond"/>
          <w:sz w:val="22"/>
          <w:szCs w:val="22"/>
        </w:rPr>
        <w:t>about</w:t>
      </w:r>
      <w:r w:rsidRPr="00A00E80">
        <w:rPr>
          <w:rFonts w:ascii="Garamond" w:hAnsi="Garamond"/>
          <w:sz w:val="22"/>
          <w:szCs w:val="22"/>
        </w:rPr>
        <w:t xml:space="preserve"> the investment. </w:t>
      </w:r>
      <w:r w:rsidR="00766320" w:rsidRPr="00A00E80">
        <w:rPr>
          <w:rFonts w:ascii="Garamond" w:hAnsi="Garamond"/>
          <w:sz w:val="22"/>
          <w:szCs w:val="22"/>
        </w:rPr>
        <w:t xml:space="preserve">This </w:t>
      </w:r>
      <w:r w:rsidR="0040791F" w:rsidRPr="00A00E80">
        <w:rPr>
          <w:rFonts w:ascii="Garamond" w:hAnsi="Garamond"/>
          <w:sz w:val="22"/>
          <w:szCs w:val="22"/>
        </w:rPr>
        <w:t>sequential decision-making leads to an informational cascade, wherein early investors gain market power and can</w:t>
      </w:r>
      <w:r w:rsidRPr="00A00E80">
        <w:rPr>
          <w:rFonts w:ascii="Garamond" w:hAnsi="Garamond"/>
          <w:sz w:val="22"/>
          <w:szCs w:val="22"/>
        </w:rPr>
        <w:t xml:space="preserve"> demand </w:t>
      </w:r>
      <w:r w:rsidR="0040791F" w:rsidRPr="00A00E80">
        <w:rPr>
          <w:rFonts w:ascii="Garamond" w:hAnsi="Garamond"/>
          <w:sz w:val="22"/>
          <w:szCs w:val="22"/>
        </w:rPr>
        <w:t xml:space="preserve">underpricing as a benefit for </w:t>
      </w:r>
      <w:r w:rsidR="0095564C" w:rsidRPr="00A00E80">
        <w:rPr>
          <w:rFonts w:ascii="Garamond" w:hAnsi="Garamond"/>
          <w:sz w:val="22"/>
          <w:szCs w:val="22"/>
        </w:rPr>
        <w:t>committing to the IPO and</w:t>
      </w:r>
      <w:r w:rsidRPr="00A00E80">
        <w:rPr>
          <w:rFonts w:ascii="Garamond" w:hAnsi="Garamond"/>
          <w:sz w:val="22"/>
          <w:szCs w:val="22"/>
        </w:rPr>
        <w:t xml:space="preserve"> </w:t>
      </w:r>
      <w:r w:rsidR="0095564C" w:rsidRPr="00A00E80">
        <w:rPr>
          <w:rFonts w:ascii="Garamond" w:hAnsi="Garamond"/>
          <w:sz w:val="22"/>
          <w:szCs w:val="22"/>
        </w:rPr>
        <w:t>initiating a positive</w:t>
      </w:r>
      <w:r w:rsidRPr="008D6FFA">
        <w:rPr>
          <w:rFonts w:ascii="Garamond" w:hAnsi="Garamond"/>
          <w:sz w:val="22"/>
          <w:szCs w:val="22"/>
        </w:rPr>
        <w:t xml:space="preserve"> cascade</w:t>
      </w:r>
      <w:r w:rsidR="009262EE" w:rsidRPr="008D6FFA">
        <w:rPr>
          <w:rFonts w:ascii="Garamond" w:hAnsi="Garamond"/>
          <w:sz w:val="22"/>
          <w:szCs w:val="22"/>
        </w:rPr>
        <w:t xml:space="preserve"> (</w:t>
      </w:r>
      <w:proofErr w:type="spellStart"/>
      <w:r w:rsidR="0074721C" w:rsidRPr="008D6FFA">
        <w:rPr>
          <w:rFonts w:ascii="Garamond" w:hAnsi="Garamond"/>
          <w:sz w:val="22"/>
          <w:szCs w:val="22"/>
        </w:rPr>
        <w:t>Ljungqvist</w:t>
      </w:r>
      <w:proofErr w:type="spellEnd"/>
      <w:r w:rsidR="0074721C" w:rsidRPr="008D6FFA">
        <w:rPr>
          <w:rFonts w:ascii="Garamond" w:hAnsi="Garamond"/>
          <w:sz w:val="22"/>
          <w:szCs w:val="22"/>
        </w:rPr>
        <w:t xml:space="preserve"> 2007, p. 413</w:t>
      </w:r>
      <w:r w:rsidR="009262EE" w:rsidRPr="008D6FFA">
        <w:rPr>
          <w:rFonts w:ascii="Garamond" w:hAnsi="Garamond"/>
          <w:sz w:val="22"/>
          <w:szCs w:val="22"/>
        </w:rPr>
        <w:t>).</w:t>
      </w:r>
      <w:r w:rsidRPr="008D6FFA">
        <w:rPr>
          <w:rFonts w:ascii="Garamond" w:hAnsi="Garamond"/>
          <w:sz w:val="22"/>
          <w:szCs w:val="22"/>
        </w:rPr>
        <w:t xml:space="preserve"> </w:t>
      </w:r>
      <w:r w:rsidR="00975932" w:rsidRPr="008D6FFA">
        <w:rPr>
          <w:rFonts w:ascii="Garamond" w:hAnsi="Garamond"/>
          <w:sz w:val="22"/>
          <w:szCs w:val="22"/>
        </w:rPr>
        <w:t>Recent research on institutional investors</w:t>
      </w:r>
      <w:r w:rsidR="006D5891" w:rsidRPr="008D6FFA">
        <w:rPr>
          <w:rFonts w:ascii="Garamond" w:hAnsi="Garamond"/>
          <w:sz w:val="22"/>
          <w:szCs w:val="22"/>
        </w:rPr>
        <w:t xml:space="preserve">’ </w:t>
      </w:r>
      <w:r w:rsidR="00975932" w:rsidRPr="008D6FFA">
        <w:rPr>
          <w:rFonts w:ascii="Garamond" w:hAnsi="Garamond"/>
          <w:sz w:val="22"/>
          <w:szCs w:val="22"/>
        </w:rPr>
        <w:t>voting behavior provide</w:t>
      </w:r>
      <w:r w:rsidR="003E55B1" w:rsidRPr="008D6FFA">
        <w:rPr>
          <w:rFonts w:ascii="Garamond" w:hAnsi="Garamond"/>
          <w:sz w:val="22"/>
          <w:szCs w:val="22"/>
        </w:rPr>
        <w:t>s</w:t>
      </w:r>
      <w:r w:rsidR="00975932" w:rsidRPr="008D6FFA">
        <w:rPr>
          <w:rFonts w:ascii="Garamond" w:hAnsi="Garamond"/>
          <w:sz w:val="22"/>
          <w:szCs w:val="22"/>
        </w:rPr>
        <w:t xml:space="preserve"> empirical </w:t>
      </w:r>
      <w:r w:rsidR="00EA4AF6" w:rsidRPr="008D6FFA">
        <w:rPr>
          <w:rFonts w:ascii="Garamond" w:hAnsi="Garamond"/>
          <w:sz w:val="22"/>
          <w:szCs w:val="22"/>
        </w:rPr>
        <w:t>evidence for</w:t>
      </w:r>
      <w:r w:rsidR="00975932" w:rsidRPr="008D6FFA">
        <w:rPr>
          <w:rFonts w:ascii="Garamond" w:hAnsi="Garamond"/>
          <w:sz w:val="22"/>
          <w:szCs w:val="22"/>
        </w:rPr>
        <w:t xml:space="preserve"> the underlying mechanisms behind these cascades, </w:t>
      </w:r>
      <w:r w:rsidR="00543B32" w:rsidRPr="008D6FFA">
        <w:rPr>
          <w:rFonts w:ascii="Garamond" w:hAnsi="Garamond"/>
          <w:sz w:val="22"/>
          <w:szCs w:val="22"/>
        </w:rPr>
        <w:t xml:space="preserve">including </w:t>
      </w:r>
      <w:r w:rsidR="003765E4" w:rsidRPr="008D6FFA">
        <w:rPr>
          <w:rFonts w:ascii="Garamond" w:hAnsi="Garamond"/>
          <w:sz w:val="22"/>
          <w:szCs w:val="22"/>
        </w:rPr>
        <w:t>but not limited to information channel</w:t>
      </w:r>
      <w:r w:rsidR="00A13CA3" w:rsidRPr="008D6FFA">
        <w:rPr>
          <w:rFonts w:ascii="Garamond" w:hAnsi="Garamond"/>
          <w:sz w:val="22"/>
          <w:szCs w:val="22"/>
        </w:rPr>
        <w:t>s</w:t>
      </w:r>
      <w:r w:rsidR="003765E4" w:rsidRPr="008D6FFA">
        <w:rPr>
          <w:rFonts w:ascii="Garamond" w:hAnsi="Garamond"/>
          <w:sz w:val="22"/>
          <w:szCs w:val="22"/>
        </w:rPr>
        <w:t xml:space="preserve">, </w:t>
      </w:r>
      <w:r w:rsidR="00975932" w:rsidRPr="008D6FFA">
        <w:rPr>
          <w:rFonts w:ascii="Garamond" w:hAnsi="Garamond"/>
          <w:sz w:val="22"/>
          <w:szCs w:val="22"/>
        </w:rPr>
        <w:t>peer effect</w:t>
      </w:r>
      <w:r w:rsidR="003E55B1" w:rsidRPr="008D6FFA">
        <w:rPr>
          <w:rFonts w:ascii="Garamond" w:hAnsi="Garamond"/>
          <w:sz w:val="22"/>
          <w:szCs w:val="22"/>
        </w:rPr>
        <w:t>s</w:t>
      </w:r>
      <w:r w:rsidR="00A84F1F" w:rsidRPr="008D6FFA">
        <w:rPr>
          <w:rFonts w:ascii="Garamond" w:hAnsi="Garamond"/>
          <w:sz w:val="22"/>
          <w:szCs w:val="22"/>
        </w:rPr>
        <w:t>, hedging</w:t>
      </w:r>
      <w:r w:rsidR="00A13CA3" w:rsidRPr="008D6FFA">
        <w:rPr>
          <w:rFonts w:ascii="Garamond" w:hAnsi="Garamond"/>
          <w:sz w:val="22"/>
          <w:szCs w:val="22"/>
        </w:rPr>
        <w:t>,</w:t>
      </w:r>
      <w:r w:rsidR="00A84F1F" w:rsidRPr="008D6FFA">
        <w:rPr>
          <w:rFonts w:ascii="Garamond" w:hAnsi="Garamond"/>
          <w:sz w:val="22"/>
          <w:szCs w:val="22"/>
        </w:rPr>
        <w:t xml:space="preserve"> or a combination of the three</w:t>
      </w:r>
      <w:r w:rsidR="00975932" w:rsidRPr="008D6FFA" w:rsidDel="00975932">
        <w:rPr>
          <w:rFonts w:ascii="Garamond" w:hAnsi="Garamond"/>
          <w:sz w:val="22"/>
          <w:szCs w:val="22"/>
        </w:rPr>
        <w:t xml:space="preserve"> </w:t>
      </w:r>
      <w:r w:rsidR="0062776E" w:rsidRPr="008D6FFA">
        <w:rPr>
          <w:rFonts w:ascii="Garamond" w:hAnsi="Garamond"/>
          <w:sz w:val="22"/>
          <w:szCs w:val="22"/>
        </w:rPr>
        <w:t>(</w:t>
      </w:r>
      <w:r w:rsidR="00EA4AF6" w:rsidRPr="008D6FFA">
        <w:rPr>
          <w:rFonts w:ascii="Garamond" w:hAnsi="Garamond"/>
          <w:sz w:val="22"/>
          <w:szCs w:val="22"/>
        </w:rPr>
        <w:t xml:space="preserve">Dressler 2020; Dressler &amp; </w:t>
      </w:r>
      <w:proofErr w:type="spellStart"/>
      <w:r w:rsidR="00EA4AF6" w:rsidRPr="008D6FFA">
        <w:rPr>
          <w:rFonts w:ascii="Garamond" w:hAnsi="Garamond"/>
          <w:sz w:val="22"/>
          <w:szCs w:val="22"/>
        </w:rPr>
        <w:t>Mugerman</w:t>
      </w:r>
      <w:proofErr w:type="spellEnd"/>
      <w:r w:rsidR="00EA4AF6" w:rsidRPr="008D6FFA">
        <w:rPr>
          <w:rFonts w:ascii="Garamond" w:hAnsi="Garamond"/>
          <w:sz w:val="22"/>
          <w:szCs w:val="22"/>
        </w:rPr>
        <w:t xml:space="preserve"> 2023; </w:t>
      </w:r>
      <w:proofErr w:type="spellStart"/>
      <w:r w:rsidR="00377832" w:rsidRPr="008D6FFA">
        <w:rPr>
          <w:rFonts w:ascii="Garamond" w:hAnsi="Garamond"/>
          <w:sz w:val="22"/>
          <w:szCs w:val="22"/>
        </w:rPr>
        <w:t>Mugerman</w:t>
      </w:r>
      <w:proofErr w:type="spellEnd"/>
      <w:r w:rsidR="00377832" w:rsidRPr="008D6FFA">
        <w:rPr>
          <w:rFonts w:ascii="Garamond" w:hAnsi="Garamond"/>
          <w:sz w:val="22"/>
          <w:szCs w:val="22"/>
        </w:rPr>
        <w:t xml:space="preserve"> </w:t>
      </w:r>
      <w:r w:rsidR="00A84F1F" w:rsidRPr="008D6FFA">
        <w:rPr>
          <w:rFonts w:ascii="Garamond" w:hAnsi="Garamond"/>
          <w:sz w:val="22"/>
          <w:szCs w:val="22"/>
        </w:rPr>
        <w:t>et al. 2014</w:t>
      </w:r>
      <w:r w:rsidR="003765E4" w:rsidRPr="008D6FFA">
        <w:rPr>
          <w:rFonts w:ascii="Garamond" w:hAnsi="Garamond"/>
          <w:sz w:val="22"/>
          <w:szCs w:val="22"/>
        </w:rPr>
        <w:t>)</w:t>
      </w:r>
      <w:r w:rsidR="004C09B1" w:rsidRPr="008D6FFA">
        <w:rPr>
          <w:rFonts w:ascii="Garamond" w:hAnsi="Garamond"/>
          <w:sz w:val="22"/>
          <w:szCs w:val="22"/>
        </w:rPr>
        <w:t>.</w:t>
      </w:r>
      <w:r w:rsidR="00505615">
        <w:rPr>
          <w:rFonts w:ascii="Garamond" w:hAnsi="Garamond"/>
          <w:sz w:val="22"/>
          <w:szCs w:val="22"/>
        </w:rPr>
        <w:t xml:space="preserve"> </w:t>
      </w:r>
    </w:p>
    <w:p w14:paraId="733FF584" w14:textId="031CA705" w:rsidR="00BD5A7F" w:rsidRDefault="005834E1" w:rsidP="00BD5A7F">
      <w:pPr>
        <w:spacing w:line="360" w:lineRule="auto"/>
        <w:ind w:firstLine="426"/>
        <w:jc w:val="both"/>
        <w:rPr>
          <w:rFonts w:ascii="Garamond" w:hAnsi="Garamond"/>
          <w:sz w:val="22"/>
          <w:szCs w:val="22"/>
        </w:rPr>
      </w:pPr>
      <w:r>
        <w:rPr>
          <w:rFonts w:ascii="Garamond" w:hAnsi="Garamond"/>
          <w:sz w:val="22"/>
          <w:szCs w:val="22"/>
        </w:rPr>
        <w:t>Our proposal</w:t>
      </w:r>
      <w:r w:rsidR="00CE2617">
        <w:rPr>
          <w:rFonts w:ascii="Garamond" w:hAnsi="Garamond"/>
          <w:sz w:val="22"/>
          <w:szCs w:val="22"/>
        </w:rPr>
        <w:t xml:space="preserve"> takes the potential for informational cascade into account,</w:t>
      </w:r>
      <w:r>
        <w:rPr>
          <w:rFonts w:ascii="Garamond" w:hAnsi="Garamond"/>
          <w:sz w:val="22"/>
          <w:szCs w:val="22"/>
        </w:rPr>
        <w:t xml:space="preserve"> maintain</w:t>
      </w:r>
      <w:r w:rsidR="00CE2617">
        <w:rPr>
          <w:rFonts w:ascii="Garamond" w:hAnsi="Garamond"/>
          <w:sz w:val="22"/>
          <w:szCs w:val="22"/>
        </w:rPr>
        <w:t xml:space="preserve">ing </w:t>
      </w:r>
      <w:r>
        <w:rPr>
          <w:rFonts w:ascii="Garamond" w:hAnsi="Garamond"/>
          <w:sz w:val="22"/>
          <w:szCs w:val="22"/>
        </w:rPr>
        <w:t>that, due to their market position and reputation,</w:t>
      </w:r>
      <w:r w:rsidR="00505615">
        <w:rPr>
          <w:rFonts w:ascii="Garamond" w:hAnsi="Garamond"/>
          <w:sz w:val="22"/>
          <w:szCs w:val="22"/>
        </w:rPr>
        <w:t xml:space="preserve"> </w:t>
      </w:r>
      <w:r>
        <w:rPr>
          <w:rFonts w:ascii="Garamond" w:hAnsi="Garamond"/>
          <w:sz w:val="22"/>
          <w:szCs w:val="22"/>
        </w:rPr>
        <w:t xml:space="preserve">market-leading institutional investors such as the Big Three </w:t>
      </w:r>
      <w:proofErr w:type="gramStart"/>
      <w:r>
        <w:rPr>
          <w:rFonts w:ascii="Garamond" w:hAnsi="Garamond"/>
          <w:sz w:val="22"/>
          <w:szCs w:val="22"/>
        </w:rPr>
        <w:t>are able to</w:t>
      </w:r>
      <w:proofErr w:type="gramEnd"/>
      <w:r>
        <w:rPr>
          <w:rFonts w:ascii="Garamond" w:hAnsi="Garamond"/>
          <w:sz w:val="22"/>
          <w:szCs w:val="22"/>
        </w:rPr>
        <w:t xml:space="preserve"> demand deep</w:t>
      </w:r>
      <w:r w:rsidR="00E80DE2">
        <w:rPr>
          <w:rFonts w:ascii="Garamond" w:hAnsi="Garamond"/>
          <w:sz w:val="22"/>
          <w:szCs w:val="22"/>
        </w:rPr>
        <w:t>er</w:t>
      </w:r>
      <w:r>
        <w:rPr>
          <w:rFonts w:ascii="Garamond" w:hAnsi="Garamond"/>
          <w:sz w:val="22"/>
          <w:szCs w:val="22"/>
        </w:rPr>
        <w:t xml:space="preserve"> underpricing in exchange for their participation</w:t>
      </w:r>
      <w:r w:rsidR="00E80DE2">
        <w:rPr>
          <w:rFonts w:ascii="Garamond" w:hAnsi="Garamond"/>
          <w:sz w:val="22"/>
          <w:szCs w:val="22"/>
        </w:rPr>
        <w:t xml:space="preserve"> and </w:t>
      </w:r>
      <w:r w:rsidR="00C40DD0">
        <w:rPr>
          <w:rFonts w:ascii="Garamond" w:hAnsi="Garamond"/>
          <w:sz w:val="22"/>
          <w:szCs w:val="22"/>
        </w:rPr>
        <w:t>the</w:t>
      </w:r>
      <w:r w:rsidR="00E80DE2">
        <w:rPr>
          <w:rFonts w:ascii="Garamond" w:hAnsi="Garamond"/>
          <w:sz w:val="22"/>
          <w:szCs w:val="22"/>
        </w:rPr>
        <w:t xml:space="preserve"> </w:t>
      </w:r>
      <w:r w:rsidR="00E80DE2" w:rsidRPr="00A00E80">
        <w:rPr>
          <w:rFonts w:ascii="Garamond" w:hAnsi="Garamond"/>
          <w:sz w:val="22"/>
          <w:szCs w:val="22"/>
        </w:rPr>
        <w:t>informational cascade</w:t>
      </w:r>
      <w:r w:rsidR="00E80DE2">
        <w:rPr>
          <w:rFonts w:ascii="Garamond" w:hAnsi="Garamond"/>
          <w:sz w:val="22"/>
          <w:szCs w:val="22"/>
        </w:rPr>
        <w:t xml:space="preserve"> </w:t>
      </w:r>
      <w:r w:rsidR="00C40DD0">
        <w:rPr>
          <w:rFonts w:ascii="Garamond" w:hAnsi="Garamond"/>
          <w:sz w:val="22"/>
          <w:szCs w:val="22"/>
        </w:rPr>
        <w:t>that their</w:t>
      </w:r>
      <w:r w:rsidR="00E80DE2">
        <w:rPr>
          <w:rFonts w:ascii="Garamond" w:hAnsi="Garamond"/>
          <w:sz w:val="22"/>
          <w:szCs w:val="22"/>
        </w:rPr>
        <w:t xml:space="preserve"> participation is likely to form</w:t>
      </w:r>
      <w:r>
        <w:rPr>
          <w:rFonts w:ascii="Garamond" w:hAnsi="Garamond"/>
          <w:sz w:val="22"/>
          <w:szCs w:val="22"/>
        </w:rPr>
        <w:t xml:space="preserve">. In this context, it is important to note that while issuers and book-builders can </w:t>
      </w:r>
      <w:r w:rsidR="00E00397">
        <w:rPr>
          <w:rFonts w:ascii="Garamond" w:hAnsi="Garamond"/>
          <w:sz w:val="22"/>
          <w:szCs w:val="22"/>
        </w:rPr>
        <w:t xml:space="preserve">theoretically </w:t>
      </w:r>
      <w:r>
        <w:rPr>
          <w:rFonts w:ascii="Garamond" w:hAnsi="Garamond"/>
          <w:sz w:val="22"/>
          <w:szCs w:val="22"/>
        </w:rPr>
        <w:t xml:space="preserve">maintain secrecy </w:t>
      </w:r>
      <w:r w:rsidRPr="005834E1">
        <w:rPr>
          <w:rFonts w:ascii="Garamond" w:hAnsi="Garamond"/>
          <w:sz w:val="22"/>
          <w:szCs w:val="22"/>
        </w:rPr>
        <w:t>over the development of the book</w:t>
      </w:r>
      <w:r w:rsidR="00E80DE2" w:rsidRPr="00E80DE2">
        <w:rPr>
          <w:rFonts w:ascii="Garamond" w:hAnsi="Garamond"/>
          <w:sz w:val="22"/>
          <w:szCs w:val="22"/>
        </w:rPr>
        <w:t xml:space="preserve"> </w:t>
      </w:r>
      <w:r w:rsidR="00E80DE2">
        <w:rPr>
          <w:rFonts w:ascii="Garamond" w:hAnsi="Garamond"/>
          <w:sz w:val="22"/>
          <w:szCs w:val="22"/>
        </w:rPr>
        <w:t>(</w:t>
      </w:r>
      <w:r w:rsidR="00E80DE2" w:rsidRPr="008D6FFA">
        <w:rPr>
          <w:rFonts w:ascii="Garamond" w:hAnsi="Garamond"/>
          <w:sz w:val="22"/>
          <w:szCs w:val="22"/>
        </w:rPr>
        <w:t xml:space="preserve">Katti &amp; </w:t>
      </w:r>
      <w:proofErr w:type="spellStart"/>
      <w:r w:rsidR="00E80DE2" w:rsidRPr="008D6FFA">
        <w:rPr>
          <w:rFonts w:ascii="Garamond" w:hAnsi="Garamond"/>
          <w:sz w:val="22"/>
          <w:szCs w:val="22"/>
        </w:rPr>
        <w:t>Phani</w:t>
      </w:r>
      <w:proofErr w:type="spellEnd"/>
      <w:r w:rsidR="00E80DE2" w:rsidRPr="008D6FFA">
        <w:rPr>
          <w:rFonts w:ascii="Garamond" w:hAnsi="Garamond"/>
          <w:sz w:val="22"/>
          <w:szCs w:val="22"/>
        </w:rPr>
        <w:t xml:space="preserve"> 2016)</w:t>
      </w:r>
      <w:r w:rsidR="00E80DE2">
        <w:rPr>
          <w:rFonts w:ascii="Garamond" w:hAnsi="Garamond"/>
          <w:sz w:val="22"/>
          <w:szCs w:val="22"/>
        </w:rPr>
        <w:t xml:space="preserve">, the identity of </w:t>
      </w:r>
      <w:r w:rsidR="00891B4E">
        <w:rPr>
          <w:rFonts w:ascii="Garamond" w:hAnsi="Garamond"/>
          <w:sz w:val="22"/>
          <w:szCs w:val="22"/>
        </w:rPr>
        <w:t xml:space="preserve">other investors in the </w:t>
      </w:r>
      <w:r w:rsidR="00891B4E">
        <w:rPr>
          <w:rFonts w:ascii="Garamond" w:hAnsi="Garamond"/>
          <w:sz w:val="22"/>
          <w:szCs w:val="22"/>
        </w:rPr>
        <w:lastRenderedPageBreak/>
        <w:t xml:space="preserve">book is of particular interest to </w:t>
      </w:r>
      <w:r w:rsidR="00D86AFB">
        <w:rPr>
          <w:rFonts w:ascii="Garamond" w:hAnsi="Garamond"/>
          <w:sz w:val="22"/>
          <w:szCs w:val="22"/>
        </w:rPr>
        <w:t xml:space="preserve">prospective </w:t>
      </w:r>
      <w:r w:rsidR="00891B4E">
        <w:rPr>
          <w:rFonts w:ascii="Garamond" w:hAnsi="Garamond"/>
          <w:sz w:val="22"/>
          <w:szCs w:val="22"/>
        </w:rPr>
        <w:t xml:space="preserve">institutional bidders </w:t>
      </w:r>
      <w:r w:rsidR="00D86AFB">
        <w:rPr>
          <w:rFonts w:ascii="Garamond" w:hAnsi="Garamond"/>
          <w:sz w:val="22"/>
          <w:szCs w:val="22"/>
        </w:rPr>
        <w:t>which often</w:t>
      </w:r>
      <w:r w:rsidR="00891B4E">
        <w:rPr>
          <w:rFonts w:ascii="Garamond" w:hAnsi="Garamond"/>
          <w:sz w:val="22"/>
          <w:szCs w:val="22"/>
        </w:rPr>
        <w:t xml:space="preserve"> obtain</w:t>
      </w:r>
      <w:r w:rsidR="00D86AFB">
        <w:rPr>
          <w:rFonts w:ascii="Garamond" w:hAnsi="Garamond"/>
          <w:sz w:val="22"/>
          <w:szCs w:val="22"/>
        </w:rPr>
        <w:t xml:space="preserve"> such </w:t>
      </w:r>
      <w:proofErr w:type="spellStart"/>
      <w:r w:rsidR="00D86AFB">
        <w:rPr>
          <w:rFonts w:ascii="Garamond" w:hAnsi="Garamond"/>
          <w:sz w:val="22"/>
          <w:szCs w:val="22"/>
        </w:rPr>
        <w:t>infromation</w:t>
      </w:r>
      <w:proofErr w:type="spellEnd"/>
      <w:r w:rsidR="00891B4E">
        <w:rPr>
          <w:rFonts w:ascii="Garamond" w:hAnsi="Garamond"/>
          <w:sz w:val="22"/>
          <w:szCs w:val="22"/>
        </w:rPr>
        <w:t xml:space="preserve"> from the book-builder</w:t>
      </w:r>
      <w:r w:rsidR="00E80DE2">
        <w:rPr>
          <w:rFonts w:ascii="Garamond" w:hAnsi="Garamond"/>
          <w:sz w:val="22"/>
          <w:szCs w:val="22"/>
        </w:rPr>
        <w:t xml:space="preserve"> </w:t>
      </w:r>
      <w:r w:rsidR="00E00397">
        <w:rPr>
          <w:rFonts w:ascii="Garamond" w:hAnsi="Garamond"/>
          <w:sz w:val="22"/>
          <w:szCs w:val="22"/>
        </w:rPr>
        <w:t>(Financial Conduct Authority</w:t>
      </w:r>
      <w:r w:rsidR="00D86AFB">
        <w:rPr>
          <w:rFonts w:ascii="Garamond" w:hAnsi="Garamond"/>
          <w:sz w:val="22"/>
          <w:szCs w:val="22"/>
        </w:rPr>
        <w:t xml:space="preserve"> 2019</w:t>
      </w:r>
      <w:r w:rsidR="00E00397">
        <w:rPr>
          <w:rFonts w:ascii="Garamond" w:hAnsi="Garamond"/>
          <w:sz w:val="22"/>
          <w:szCs w:val="22"/>
        </w:rPr>
        <w:t xml:space="preserve">, pp. </w:t>
      </w:r>
      <w:r w:rsidR="00891B4E">
        <w:rPr>
          <w:rFonts w:ascii="Garamond" w:hAnsi="Garamond"/>
          <w:sz w:val="22"/>
          <w:szCs w:val="22"/>
        </w:rPr>
        <w:t>32, 40).</w:t>
      </w:r>
    </w:p>
    <w:p w14:paraId="70A86411" w14:textId="0F0859B7" w:rsidR="00453559" w:rsidRDefault="002134BC" w:rsidP="002134BC">
      <w:pPr>
        <w:spacing w:line="360" w:lineRule="auto"/>
        <w:ind w:firstLine="426"/>
        <w:jc w:val="both"/>
        <w:rPr>
          <w:rFonts w:ascii="Garamond" w:hAnsi="Garamond"/>
          <w:sz w:val="22"/>
          <w:szCs w:val="22"/>
        </w:rPr>
      </w:pPr>
      <w:r>
        <w:rPr>
          <w:rFonts w:ascii="Garamond" w:hAnsi="Garamond"/>
          <w:sz w:val="22"/>
          <w:szCs w:val="22"/>
        </w:rPr>
        <w:t xml:space="preserve">Our </w:t>
      </w:r>
      <w:r w:rsidRPr="00270989">
        <w:rPr>
          <w:rFonts w:ascii="Garamond" w:hAnsi="Garamond"/>
          <w:sz w:val="22"/>
          <w:szCs w:val="22"/>
        </w:rPr>
        <w:t xml:space="preserve">novel </w:t>
      </w:r>
      <w:proofErr w:type="gramStart"/>
      <w:r w:rsidRPr="00270989">
        <w:rPr>
          <w:rFonts w:ascii="Garamond" w:hAnsi="Garamond"/>
          <w:sz w:val="22"/>
          <w:szCs w:val="22"/>
        </w:rPr>
        <w:t>proposition</w:t>
      </w:r>
      <w:r w:rsidR="00D86AFB">
        <w:rPr>
          <w:rFonts w:ascii="Garamond" w:hAnsi="Garamond"/>
          <w:sz w:val="22"/>
          <w:szCs w:val="22"/>
        </w:rPr>
        <w:t xml:space="preserve"> </w:t>
      </w:r>
      <w:r w:rsidRPr="002134BC">
        <w:rPr>
          <w:rFonts w:ascii="Garamond" w:hAnsi="Garamond"/>
          <w:sz w:val="22"/>
          <w:szCs w:val="22"/>
        </w:rPr>
        <w:t xml:space="preserve"> </w:t>
      </w:r>
      <w:r>
        <w:rPr>
          <w:rFonts w:ascii="Garamond" w:hAnsi="Garamond"/>
          <w:sz w:val="22"/>
          <w:szCs w:val="22"/>
        </w:rPr>
        <w:t>fills</w:t>
      </w:r>
      <w:proofErr w:type="gramEnd"/>
      <w:r>
        <w:rPr>
          <w:rFonts w:ascii="Garamond" w:hAnsi="Garamond"/>
          <w:sz w:val="22"/>
          <w:szCs w:val="22"/>
        </w:rPr>
        <w:t xml:space="preserve"> </w:t>
      </w:r>
      <w:r w:rsidRPr="0063050D">
        <w:rPr>
          <w:rFonts w:ascii="Garamond" w:hAnsi="Garamond"/>
          <w:sz w:val="22"/>
          <w:szCs w:val="22"/>
        </w:rPr>
        <w:t>a critical gap in current scholarly and regulatory approaches</w:t>
      </w:r>
      <w:r>
        <w:rPr>
          <w:rFonts w:ascii="Garamond" w:hAnsi="Garamond"/>
          <w:sz w:val="22"/>
          <w:szCs w:val="22"/>
        </w:rPr>
        <w:t xml:space="preserve"> to underpricing</w:t>
      </w:r>
      <w:r w:rsidR="00E91DD3">
        <w:rPr>
          <w:rFonts w:ascii="Garamond" w:hAnsi="Garamond"/>
          <w:sz w:val="22"/>
          <w:szCs w:val="22"/>
        </w:rPr>
        <w:t xml:space="preserve">. It positions </w:t>
      </w:r>
      <w:r w:rsidRPr="00270989">
        <w:rPr>
          <w:rFonts w:ascii="Garamond" w:hAnsi="Garamond"/>
          <w:sz w:val="22"/>
          <w:szCs w:val="22"/>
        </w:rPr>
        <w:t>the market power of large institutional investors as a key driver of IPO underpricin</w:t>
      </w:r>
      <w:r>
        <w:rPr>
          <w:rFonts w:ascii="Garamond" w:hAnsi="Garamond"/>
          <w:sz w:val="22"/>
          <w:szCs w:val="22"/>
        </w:rPr>
        <w:t>g</w:t>
      </w:r>
      <w:r w:rsidR="00E91DD3">
        <w:rPr>
          <w:rFonts w:ascii="Garamond" w:hAnsi="Garamond"/>
          <w:sz w:val="22"/>
          <w:szCs w:val="22"/>
        </w:rPr>
        <w:t xml:space="preserve"> and considers</w:t>
      </w:r>
      <w:r>
        <w:rPr>
          <w:rFonts w:ascii="Garamond" w:hAnsi="Garamond"/>
          <w:sz w:val="22"/>
          <w:szCs w:val="22"/>
        </w:rPr>
        <w:t xml:space="preserve"> </w:t>
      </w:r>
      <w:r w:rsidRPr="0063050D">
        <w:rPr>
          <w:rFonts w:ascii="Garamond" w:hAnsi="Garamond"/>
          <w:sz w:val="22"/>
          <w:szCs w:val="22"/>
        </w:rPr>
        <w:t xml:space="preserve">how the distinctive features of the </w:t>
      </w:r>
      <w:r>
        <w:rPr>
          <w:rFonts w:ascii="Garamond" w:hAnsi="Garamond"/>
          <w:sz w:val="22"/>
          <w:szCs w:val="22"/>
        </w:rPr>
        <w:t>IPO pricing</w:t>
      </w:r>
      <w:r w:rsidRPr="0063050D">
        <w:rPr>
          <w:rFonts w:ascii="Garamond" w:hAnsi="Garamond"/>
          <w:sz w:val="22"/>
          <w:szCs w:val="22"/>
        </w:rPr>
        <w:t xml:space="preserve"> process, </w:t>
      </w:r>
      <w:r w:rsidR="00697E1F">
        <w:rPr>
          <w:rFonts w:ascii="Garamond" w:hAnsi="Garamond"/>
          <w:sz w:val="22"/>
          <w:szCs w:val="22"/>
        </w:rPr>
        <w:t>coupled</w:t>
      </w:r>
      <w:r w:rsidRPr="0063050D">
        <w:rPr>
          <w:rFonts w:ascii="Garamond" w:hAnsi="Garamond"/>
          <w:sz w:val="22"/>
          <w:szCs w:val="22"/>
        </w:rPr>
        <w:t xml:space="preserve"> with </w:t>
      </w:r>
      <w:r w:rsidR="00697E1F">
        <w:rPr>
          <w:rFonts w:ascii="Garamond" w:hAnsi="Garamond"/>
          <w:sz w:val="22"/>
          <w:szCs w:val="22"/>
        </w:rPr>
        <w:t xml:space="preserve">recent </w:t>
      </w:r>
      <w:r w:rsidR="00697E1F" w:rsidRPr="00270989">
        <w:rPr>
          <w:rFonts w:ascii="Garamond" w:hAnsi="Garamond"/>
          <w:sz w:val="22"/>
          <w:szCs w:val="22"/>
        </w:rPr>
        <w:t xml:space="preserve">market shifts associated with </w:t>
      </w:r>
      <w:r w:rsidR="00697E1F">
        <w:rPr>
          <w:rFonts w:ascii="Garamond" w:hAnsi="Garamond"/>
          <w:sz w:val="22"/>
          <w:szCs w:val="22"/>
        </w:rPr>
        <w:t xml:space="preserve">the </w:t>
      </w:r>
      <w:r w:rsidR="00697E1F" w:rsidRPr="00270989">
        <w:rPr>
          <w:rFonts w:ascii="Garamond" w:hAnsi="Garamond"/>
          <w:sz w:val="22"/>
          <w:szCs w:val="22"/>
        </w:rPr>
        <w:t>concentration in the asset management industry</w:t>
      </w:r>
      <w:r w:rsidR="00453559">
        <w:rPr>
          <w:rFonts w:ascii="Garamond" w:hAnsi="Garamond"/>
          <w:sz w:val="22"/>
          <w:szCs w:val="22"/>
        </w:rPr>
        <w:t xml:space="preserve"> and the emergence of giant asset managers</w:t>
      </w:r>
      <w:r w:rsidR="00697E1F">
        <w:rPr>
          <w:rFonts w:ascii="Garamond" w:hAnsi="Garamond"/>
          <w:sz w:val="22"/>
          <w:szCs w:val="22"/>
        </w:rPr>
        <w:t xml:space="preserve">, exacerbates IPO underpricing. </w:t>
      </w:r>
    </w:p>
    <w:p w14:paraId="39501BF6" w14:textId="255AC3CF" w:rsidR="002E6ABA" w:rsidRDefault="008914DE" w:rsidP="00C06B1B">
      <w:pPr>
        <w:spacing w:line="360" w:lineRule="auto"/>
        <w:ind w:firstLine="426"/>
        <w:jc w:val="both"/>
        <w:rPr>
          <w:rFonts w:ascii="Garamond" w:hAnsi="Garamond"/>
          <w:sz w:val="22"/>
          <w:szCs w:val="22"/>
        </w:rPr>
      </w:pPr>
      <w:r>
        <w:rPr>
          <w:rFonts w:ascii="Garamond" w:hAnsi="Garamond"/>
          <w:sz w:val="22"/>
          <w:szCs w:val="22"/>
        </w:rPr>
        <w:t>Giant asset managers</w:t>
      </w:r>
      <w:r w:rsidR="00E91DD3">
        <w:rPr>
          <w:rFonts w:ascii="Garamond" w:hAnsi="Garamond"/>
          <w:sz w:val="22"/>
          <w:szCs w:val="22"/>
        </w:rPr>
        <w:t>,</w:t>
      </w:r>
      <w:r>
        <w:rPr>
          <w:rFonts w:ascii="Garamond" w:hAnsi="Garamond"/>
          <w:sz w:val="22"/>
          <w:szCs w:val="22"/>
        </w:rPr>
        <w:t xml:space="preserve"> such as the Big Three,</w:t>
      </w:r>
      <w:r w:rsidR="00E91DD3">
        <w:rPr>
          <w:rFonts w:ascii="Garamond" w:hAnsi="Garamond"/>
          <w:sz w:val="22"/>
          <w:szCs w:val="22"/>
        </w:rPr>
        <w:t xml:space="preserve"> which are repeat players in the</w:t>
      </w:r>
      <w:r w:rsidR="00E91DD3" w:rsidRPr="00E91DD3">
        <w:rPr>
          <w:rFonts w:ascii="Garamond" w:hAnsi="Garamond"/>
          <w:sz w:val="22"/>
          <w:szCs w:val="22"/>
        </w:rPr>
        <w:t xml:space="preserve"> </w:t>
      </w:r>
      <w:r w:rsidR="00E91DD3">
        <w:rPr>
          <w:rFonts w:ascii="Garamond" w:hAnsi="Garamond"/>
          <w:sz w:val="22"/>
          <w:szCs w:val="22"/>
        </w:rPr>
        <w:t>IPO market</w:t>
      </w:r>
      <w:r w:rsidR="00C06B1B">
        <w:rPr>
          <w:rFonts w:ascii="Garamond" w:hAnsi="Garamond"/>
          <w:sz w:val="22"/>
          <w:szCs w:val="22"/>
        </w:rPr>
        <w:t xml:space="preserve"> </w:t>
      </w:r>
      <w:r w:rsidR="00E91DD3">
        <w:rPr>
          <w:rFonts w:ascii="Garamond" w:hAnsi="Garamond"/>
          <w:sz w:val="22"/>
          <w:szCs w:val="22"/>
        </w:rPr>
        <w:t>have gained over the years significant power</w:t>
      </w:r>
      <w:r w:rsidR="00DB6E63">
        <w:rPr>
          <w:rFonts w:ascii="Garamond" w:hAnsi="Garamond"/>
          <w:sz w:val="22"/>
          <w:szCs w:val="22"/>
        </w:rPr>
        <w:t xml:space="preserve"> and influence</w:t>
      </w:r>
      <w:r w:rsidR="00E91DD3">
        <w:rPr>
          <w:rFonts w:ascii="Garamond" w:hAnsi="Garamond"/>
          <w:sz w:val="22"/>
          <w:szCs w:val="22"/>
        </w:rPr>
        <w:t xml:space="preserve"> </w:t>
      </w:r>
      <w:r w:rsidR="00DB6E63">
        <w:rPr>
          <w:rFonts w:ascii="Garamond" w:hAnsi="Garamond"/>
          <w:sz w:val="22"/>
          <w:szCs w:val="22"/>
        </w:rPr>
        <w:t>in primary markets</w:t>
      </w:r>
      <w:r w:rsidR="00E91DD3">
        <w:rPr>
          <w:rFonts w:ascii="Garamond" w:hAnsi="Garamond"/>
          <w:sz w:val="22"/>
          <w:szCs w:val="22"/>
        </w:rPr>
        <w:t xml:space="preserve">. </w:t>
      </w:r>
      <w:r w:rsidR="00DB6E63">
        <w:rPr>
          <w:rFonts w:ascii="Garamond" w:hAnsi="Garamond"/>
          <w:sz w:val="22"/>
          <w:szCs w:val="22"/>
        </w:rPr>
        <w:t>This</w:t>
      </w:r>
      <w:r w:rsidR="00E91DD3">
        <w:rPr>
          <w:rFonts w:ascii="Garamond" w:hAnsi="Garamond"/>
          <w:sz w:val="22"/>
          <w:szCs w:val="22"/>
        </w:rPr>
        <w:t xml:space="preserve"> power is attributed, among others, to their</w:t>
      </w:r>
      <w:r w:rsidR="00DB6E63">
        <w:rPr>
          <w:rFonts w:ascii="Garamond" w:hAnsi="Garamond"/>
          <w:sz w:val="22"/>
          <w:szCs w:val="22"/>
        </w:rPr>
        <w:t xml:space="preserve"> market status, significant </w:t>
      </w:r>
      <w:r w:rsidR="00E91DD3">
        <w:rPr>
          <w:rFonts w:ascii="Garamond" w:hAnsi="Garamond"/>
          <w:sz w:val="22"/>
          <w:szCs w:val="22"/>
        </w:rPr>
        <w:t xml:space="preserve">order volume, </w:t>
      </w:r>
      <w:r w:rsidR="00DB6E63">
        <w:rPr>
          <w:rFonts w:ascii="Garamond" w:hAnsi="Garamond"/>
          <w:sz w:val="22"/>
          <w:szCs w:val="22"/>
        </w:rPr>
        <w:t xml:space="preserve">and </w:t>
      </w:r>
      <w:r w:rsidR="00DC465B">
        <w:rPr>
          <w:rFonts w:ascii="Garamond" w:hAnsi="Garamond"/>
          <w:sz w:val="22"/>
          <w:szCs w:val="22"/>
        </w:rPr>
        <w:t>pricing role</w:t>
      </w:r>
      <w:r w:rsidR="00E91DD3">
        <w:rPr>
          <w:rFonts w:ascii="Garamond" w:hAnsi="Garamond"/>
          <w:sz w:val="22"/>
          <w:szCs w:val="22"/>
        </w:rPr>
        <w:t xml:space="preserve">. </w:t>
      </w:r>
      <w:r w:rsidR="00453559">
        <w:rPr>
          <w:rFonts w:ascii="Garamond" w:hAnsi="Garamond"/>
          <w:sz w:val="22"/>
          <w:szCs w:val="22"/>
        </w:rPr>
        <w:t>We maintain</w:t>
      </w:r>
      <w:r w:rsidR="002E6ABA">
        <w:rPr>
          <w:rFonts w:ascii="Garamond" w:hAnsi="Garamond"/>
          <w:sz w:val="22"/>
          <w:szCs w:val="22"/>
        </w:rPr>
        <w:t xml:space="preserve"> </w:t>
      </w:r>
      <w:r w:rsidR="00453559">
        <w:rPr>
          <w:rFonts w:ascii="Garamond" w:hAnsi="Garamond"/>
          <w:sz w:val="22"/>
          <w:szCs w:val="22"/>
        </w:rPr>
        <w:t xml:space="preserve">that the unprecedented market power of </w:t>
      </w:r>
      <w:r w:rsidR="00436D46">
        <w:rPr>
          <w:rFonts w:ascii="Garamond" w:hAnsi="Garamond"/>
          <w:sz w:val="22"/>
          <w:szCs w:val="22"/>
        </w:rPr>
        <w:t>these</w:t>
      </w:r>
      <w:r w:rsidR="00453559">
        <w:rPr>
          <w:rFonts w:ascii="Garamond" w:hAnsi="Garamond"/>
          <w:sz w:val="22"/>
          <w:szCs w:val="22"/>
        </w:rPr>
        <w:t xml:space="preserve"> giants </w:t>
      </w:r>
      <w:r w:rsidR="00C06B1B">
        <w:rPr>
          <w:rFonts w:ascii="Garamond" w:hAnsi="Garamond"/>
          <w:sz w:val="22"/>
          <w:szCs w:val="22"/>
        </w:rPr>
        <w:t xml:space="preserve">is utilized </w:t>
      </w:r>
      <w:r w:rsidR="00436D46">
        <w:rPr>
          <w:rFonts w:ascii="Garamond" w:hAnsi="Garamond"/>
          <w:sz w:val="22"/>
          <w:szCs w:val="22"/>
        </w:rPr>
        <w:t>to secure leverage</w:t>
      </w:r>
      <w:r w:rsidR="007841DC">
        <w:rPr>
          <w:rFonts w:ascii="Garamond" w:hAnsi="Garamond"/>
          <w:sz w:val="22"/>
          <w:szCs w:val="22"/>
        </w:rPr>
        <w:t xml:space="preserve"> over issuers and underwriters</w:t>
      </w:r>
      <w:r w:rsidR="00436D46">
        <w:rPr>
          <w:rFonts w:ascii="Garamond" w:hAnsi="Garamond"/>
          <w:sz w:val="22"/>
          <w:szCs w:val="22"/>
        </w:rPr>
        <w:t xml:space="preserve"> during the book-building process</w:t>
      </w:r>
      <w:r w:rsidR="002E6ABA">
        <w:rPr>
          <w:rFonts w:ascii="Garamond" w:hAnsi="Garamond"/>
          <w:sz w:val="22"/>
          <w:szCs w:val="22"/>
        </w:rPr>
        <w:t>—which is particularly susceptible to strategic behavior by institutional bidders</w:t>
      </w:r>
      <w:r w:rsidR="00DC465B">
        <w:rPr>
          <w:rFonts w:ascii="Garamond" w:hAnsi="Garamond"/>
          <w:sz w:val="22"/>
          <w:szCs w:val="22"/>
        </w:rPr>
        <w:t xml:space="preserve">. This, in turn, </w:t>
      </w:r>
      <w:r w:rsidR="00C06B1B">
        <w:rPr>
          <w:rFonts w:ascii="Garamond" w:hAnsi="Garamond"/>
          <w:sz w:val="22"/>
          <w:szCs w:val="22"/>
        </w:rPr>
        <w:t>force</w:t>
      </w:r>
      <w:r w:rsidR="00DC465B">
        <w:rPr>
          <w:rFonts w:ascii="Garamond" w:hAnsi="Garamond"/>
          <w:sz w:val="22"/>
          <w:szCs w:val="22"/>
        </w:rPr>
        <w:t>s</w:t>
      </w:r>
      <w:r w:rsidR="00C06B1B">
        <w:rPr>
          <w:rFonts w:ascii="Garamond" w:hAnsi="Garamond"/>
          <w:sz w:val="22"/>
          <w:szCs w:val="22"/>
        </w:rPr>
        <w:t xml:space="preserve"> lower offer</w:t>
      </w:r>
      <w:r w:rsidR="00436D46">
        <w:rPr>
          <w:rFonts w:ascii="Garamond" w:hAnsi="Garamond"/>
          <w:sz w:val="22"/>
          <w:szCs w:val="22"/>
        </w:rPr>
        <w:t xml:space="preserve"> prices</w:t>
      </w:r>
      <w:r w:rsidR="00DC465B">
        <w:rPr>
          <w:rFonts w:ascii="Garamond" w:hAnsi="Garamond"/>
          <w:sz w:val="22"/>
          <w:szCs w:val="22"/>
        </w:rPr>
        <w:t xml:space="preserve"> and </w:t>
      </w:r>
      <w:r w:rsidR="00E7455A">
        <w:rPr>
          <w:rFonts w:ascii="Garamond" w:hAnsi="Garamond"/>
          <w:sz w:val="22"/>
          <w:szCs w:val="22"/>
        </w:rPr>
        <w:t>exacerbates</w:t>
      </w:r>
      <w:r w:rsidR="00DC465B">
        <w:rPr>
          <w:rFonts w:ascii="Garamond" w:hAnsi="Garamond"/>
          <w:sz w:val="22"/>
          <w:szCs w:val="22"/>
        </w:rPr>
        <w:t xml:space="preserve"> underpricing</w:t>
      </w:r>
      <w:r w:rsidR="00C06B1B">
        <w:rPr>
          <w:rFonts w:ascii="Garamond" w:hAnsi="Garamond"/>
          <w:sz w:val="22"/>
          <w:szCs w:val="22"/>
        </w:rPr>
        <w:t xml:space="preserve">. </w:t>
      </w:r>
    </w:p>
    <w:p w14:paraId="29F92553" w14:textId="292D3564" w:rsidR="00E7455A" w:rsidRDefault="002E6ABA" w:rsidP="00E5073F">
      <w:pPr>
        <w:spacing w:line="360" w:lineRule="auto"/>
        <w:ind w:firstLine="426"/>
        <w:jc w:val="both"/>
        <w:rPr>
          <w:rFonts w:ascii="Garamond" w:hAnsi="Garamond"/>
          <w:sz w:val="22"/>
          <w:szCs w:val="22"/>
        </w:rPr>
      </w:pPr>
      <w:r>
        <w:rPr>
          <w:rFonts w:ascii="Garamond" w:hAnsi="Garamond"/>
          <w:sz w:val="22"/>
          <w:szCs w:val="22"/>
        </w:rPr>
        <w:t xml:space="preserve">Moreover, information sharing and communication between </w:t>
      </w:r>
      <w:r w:rsidR="007D1D8C">
        <w:rPr>
          <w:rFonts w:ascii="Garamond" w:hAnsi="Garamond"/>
          <w:sz w:val="22"/>
          <w:szCs w:val="22"/>
        </w:rPr>
        <w:t xml:space="preserve">giant asset managers which are </w:t>
      </w:r>
      <w:r w:rsidR="002072CB">
        <w:rPr>
          <w:rFonts w:ascii="Garamond" w:hAnsi="Garamond"/>
          <w:sz w:val="22"/>
          <w:szCs w:val="22"/>
        </w:rPr>
        <w:t>repeat</w:t>
      </w:r>
      <w:r>
        <w:rPr>
          <w:rFonts w:ascii="Garamond" w:hAnsi="Garamond"/>
          <w:sz w:val="22"/>
          <w:szCs w:val="22"/>
        </w:rPr>
        <w:t xml:space="preserve"> players</w:t>
      </w:r>
      <w:r w:rsidR="002072CB">
        <w:rPr>
          <w:rFonts w:ascii="Garamond" w:hAnsi="Garamond"/>
          <w:sz w:val="22"/>
          <w:szCs w:val="22"/>
        </w:rPr>
        <w:t xml:space="preserve"> in the primary market</w:t>
      </w:r>
      <w:r w:rsidR="007D1D8C">
        <w:rPr>
          <w:rFonts w:ascii="Garamond" w:hAnsi="Garamond"/>
          <w:sz w:val="22"/>
          <w:szCs w:val="22"/>
        </w:rPr>
        <w:t xml:space="preserve"> that</w:t>
      </w:r>
      <w:r w:rsidRPr="002E6ABA">
        <w:rPr>
          <w:rFonts w:ascii="Garamond" w:hAnsi="Garamond"/>
          <w:sz w:val="22"/>
          <w:szCs w:val="22"/>
        </w:rPr>
        <w:t xml:space="preserve"> </w:t>
      </w:r>
      <w:r w:rsidRPr="008D6FFA">
        <w:rPr>
          <w:rFonts w:ascii="Garamond" w:hAnsi="Garamond"/>
          <w:sz w:val="22"/>
          <w:szCs w:val="22"/>
        </w:rPr>
        <w:t>interact with each other in numerous offerings</w:t>
      </w:r>
      <w:r w:rsidR="00FD1004" w:rsidRPr="00FD1004">
        <w:rPr>
          <w:rFonts w:ascii="Garamond" w:hAnsi="Garamond"/>
          <w:sz w:val="22"/>
          <w:szCs w:val="22"/>
        </w:rPr>
        <w:t xml:space="preserve"> </w:t>
      </w:r>
      <w:r w:rsidR="00FD1004">
        <w:rPr>
          <w:rFonts w:ascii="Garamond" w:hAnsi="Garamond"/>
          <w:sz w:val="22"/>
          <w:szCs w:val="22"/>
        </w:rPr>
        <w:t>(</w:t>
      </w:r>
      <w:r w:rsidR="00FD1004" w:rsidRPr="008D6FFA">
        <w:rPr>
          <w:rFonts w:ascii="Garamond" w:hAnsi="Garamond"/>
          <w:sz w:val="22"/>
          <w:szCs w:val="22"/>
        </w:rPr>
        <w:t xml:space="preserve">Brown &amp; </w:t>
      </w:r>
      <w:proofErr w:type="spellStart"/>
      <w:r w:rsidR="00FD1004" w:rsidRPr="008D6FFA">
        <w:rPr>
          <w:rFonts w:ascii="Garamond" w:hAnsi="Garamond"/>
          <w:sz w:val="22"/>
          <w:szCs w:val="22"/>
        </w:rPr>
        <w:t>Kovbasyuk</w:t>
      </w:r>
      <w:proofErr w:type="spellEnd"/>
      <w:r w:rsidR="00FD1004" w:rsidRPr="008D6FFA">
        <w:rPr>
          <w:rFonts w:ascii="Garamond" w:hAnsi="Garamond"/>
          <w:sz w:val="22"/>
          <w:szCs w:val="22"/>
        </w:rPr>
        <w:t xml:space="preserve"> 2016</w:t>
      </w:r>
      <w:r w:rsidR="00FD1004">
        <w:rPr>
          <w:rFonts w:ascii="Garamond" w:hAnsi="Garamond"/>
          <w:sz w:val="22"/>
          <w:szCs w:val="22"/>
        </w:rPr>
        <w:t>; Financial Conduct Authority, pp. 22-23</w:t>
      </w:r>
      <w:r w:rsidR="00FD1004" w:rsidRPr="008D6FFA">
        <w:rPr>
          <w:rFonts w:ascii="Garamond" w:hAnsi="Garamond"/>
          <w:sz w:val="22"/>
          <w:szCs w:val="22"/>
        </w:rPr>
        <w:t>)</w:t>
      </w:r>
      <w:r w:rsidR="00FD1004">
        <w:rPr>
          <w:rFonts w:ascii="Garamond" w:hAnsi="Garamond"/>
          <w:sz w:val="22"/>
          <w:szCs w:val="22"/>
        </w:rPr>
        <w:t>,</w:t>
      </w:r>
      <w:r w:rsidR="00310AD4">
        <w:rPr>
          <w:rFonts w:ascii="Garamond" w:hAnsi="Garamond"/>
          <w:sz w:val="22"/>
          <w:szCs w:val="22"/>
        </w:rPr>
        <w:t xml:space="preserve"> has become more common in recent years </w:t>
      </w:r>
      <w:r w:rsidR="00310AD4" w:rsidRPr="008D6FFA">
        <w:rPr>
          <w:rFonts w:ascii="Garamond" w:hAnsi="Garamond"/>
          <w:sz w:val="22"/>
          <w:szCs w:val="22"/>
        </w:rPr>
        <w:t>(</w:t>
      </w:r>
      <w:proofErr w:type="spellStart"/>
      <w:r w:rsidR="00310AD4" w:rsidRPr="008D6FFA">
        <w:rPr>
          <w:rFonts w:ascii="Garamond" w:hAnsi="Garamond"/>
          <w:sz w:val="22"/>
          <w:szCs w:val="22"/>
        </w:rPr>
        <w:t>Sharfman</w:t>
      </w:r>
      <w:proofErr w:type="spellEnd"/>
      <w:r w:rsidR="00310AD4" w:rsidRPr="008D6FFA">
        <w:rPr>
          <w:rFonts w:ascii="Garamond" w:hAnsi="Garamond"/>
          <w:sz w:val="22"/>
          <w:szCs w:val="22"/>
        </w:rPr>
        <w:t xml:space="preserve"> 2018, pp. 1-6</w:t>
      </w:r>
      <w:r w:rsidR="00310AD4">
        <w:rPr>
          <w:rFonts w:ascii="Garamond" w:hAnsi="Garamond"/>
          <w:sz w:val="22"/>
          <w:szCs w:val="22"/>
        </w:rPr>
        <w:t xml:space="preserve">; </w:t>
      </w:r>
      <w:r w:rsidR="00310AD4" w:rsidRPr="008D6FFA">
        <w:rPr>
          <w:rFonts w:ascii="Garamond" w:hAnsi="Garamond"/>
          <w:sz w:val="22"/>
          <w:szCs w:val="22"/>
        </w:rPr>
        <w:t>Chaim 202</w:t>
      </w:r>
      <w:r w:rsidR="00310AD4">
        <w:rPr>
          <w:rFonts w:ascii="Garamond" w:hAnsi="Garamond"/>
          <w:sz w:val="22"/>
          <w:szCs w:val="22"/>
        </w:rPr>
        <w:t>5</w:t>
      </w:r>
      <w:r w:rsidR="00310AD4" w:rsidRPr="008D6FFA">
        <w:rPr>
          <w:rFonts w:ascii="Garamond" w:hAnsi="Garamond"/>
          <w:sz w:val="22"/>
          <w:szCs w:val="22"/>
        </w:rPr>
        <w:t>, pp. 11–14)</w:t>
      </w:r>
      <w:r w:rsidR="00310AD4">
        <w:rPr>
          <w:rFonts w:ascii="Garamond" w:hAnsi="Garamond"/>
          <w:sz w:val="22"/>
          <w:szCs w:val="22"/>
        </w:rPr>
        <w:t>.</w:t>
      </w:r>
      <w:r w:rsidR="00E7455A">
        <w:rPr>
          <w:rFonts w:ascii="Garamond" w:hAnsi="Garamond"/>
          <w:sz w:val="22"/>
          <w:szCs w:val="22"/>
        </w:rPr>
        <w:t xml:space="preserve"> </w:t>
      </w:r>
      <w:r w:rsidR="00E7455A" w:rsidRPr="00E7455A">
        <w:rPr>
          <w:rFonts w:ascii="Garamond" w:hAnsi="Garamond"/>
          <w:sz w:val="22"/>
          <w:szCs w:val="22"/>
        </w:rPr>
        <w:t>In that context, it bears noting that several asset managers have recently stated that information sharing is “an accepted and essential aspect of the price formation process in IPOs and placings” and that bids they submit during price discovery relayed on “the perceived level of interest from other investors’ that was obtained from conversations with other asset managers”</w:t>
      </w:r>
      <w:r w:rsidR="00E7455A">
        <w:rPr>
          <w:rFonts w:ascii="Garamond" w:hAnsi="Garamond"/>
          <w:sz w:val="22"/>
          <w:szCs w:val="22"/>
        </w:rPr>
        <w:t xml:space="preserve"> (Kwan 2024, p. 5).</w:t>
      </w:r>
    </w:p>
    <w:p w14:paraId="4F1AFEC2" w14:textId="29906202" w:rsidR="00E5073F" w:rsidRDefault="00E5073F" w:rsidP="00E5073F">
      <w:pPr>
        <w:spacing w:line="360" w:lineRule="auto"/>
        <w:ind w:firstLine="426"/>
        <w:jc w:val="both"/>
        <w:rPr>
          <w:rFonts w:ascii="Garamond" w:hAnsi="Garamond"/>
          <w:sz w:val="22"/>
          <w:szCs w:val="22"/>
        </w:rPr>
      </w:pPr>
      <w:r>
        <w:rPr>
          <w:rFonts w:ascii="Garamond" w:hAnsi="Garamond"/>
          <w:sz w:val="22"/>
          <w:szCs w:val="22"/>
        </w:rPr>
        <w:t>By sharing information related to an offering such as price feedback</w:t>
      </w:r>
      <w:r w:rsidR="00092CE6">
        <w:rPr>
          <w:rFonts w:ascii="Garamond" w:hAnsi="Garamond"/>
          <w:sz w:val="22"/>
          <w:szCs w:val="22"/>
        </w:rPr>
        <w:t xml:space="preserve">, </w:t>
      </w:r>
      <w:r>
        <w:rPr>
          <w:rFonts w:ascii="Garamond" w:hAnsi="Garamond"/>
          <w:sz w:val="22"/>
          <w:szCs w:val="22"/>
        </w:rPr>
        <w:t>bidding intentions</w:t>
      </w:r>
      <w:r w:rsidR="00092CE6">
        <w:rPr>
          <w:rFonts w:ascii="Garamond" w:hAnsi="Garamond"/>
          <w:sz w:val="22"/>
          <w:szCs w:val="22"/>
        </w:rPr>
        <w:t>, or general impression about the offering</w:t>
      </w:r>
      <w:r>
        <w:rPr>
          <w:rFonts w:ascii="Garamond" w:hAnsi="Garamond"/>
          <w:sz w:val="22"/>
          <w:szCs w:val="22"/>
        </w:rPr>
        <w:t>—an action that is not</w:t>
      </w:r>
      <w:r w:rsidR="00092CE6">
        <w:rPr>
          <w:rFonts w:ascii="Garamond" w:hAnsi="Garamond"/>
          <w:sz w:val="22"/>
          <w:szCs w:val="22"/>
        </w:rPr>
        <w:t xml:space="preserve"> explicitly</w:t>
      </w:r>
      <w:r>
        <w:rPr>
          <w:rFonts w:ascii="Garamond" w:hAnsi="Garamond"/>
          <w:sz w:val="22"/>
          <w:szCs w:val="22"/>
        </w:rPr>
        <w:t xml:space="preserve"> forbidden under U.S. securities law—institutional investors can secure informational advantage over issuers and leverage their market power to force lower offer prices. If the </w:t>
      </w:r>
      <w:r w:rsidRPr="006F7B58">
        <w:rPr>
          <w:rFonts w:ascii="Garamond" w:hAnsi="Garamond"/>
          <w:sz w:val="22"/>
          <w:szCs w:val="22"/>
        </w:rPr>
        <w:t>investors sharing information account for a large share of total volumes, the effect of the reduction in their bids is more significant</w:t>
      </w:r>
      <w:r>
        <w:rPr>
          <w:rFonts w:ascii="Garamond" w:hAnsi="Garamond"/>
          <w:sz w:val="22"/>
          <w:szCs w:val="22"/>
        </w:rPr>
        <w:t xml:space="preserve"> (Financial Conduct Authority, p. 44)</w:t>
      </w:r>
      <w:r w:rsidRPr="006F7B58">
        <w:rPr>
          <w:rFonts w:ascii="Garamond" w:hAnsi="Garamond"/>
          <w:sz w:val="22"/>
          <w:szCs w:val="22"/>
        </w:rPr>
        <w:t>.</w:t>
      </w:r>
    </w:p>
    <w:p w14:paraId="73B7F400" w14:textId="300C8606" w:rsidR="002E6ABA" w:rsidRDefault="00C06B1B" w:rsidP="00C06B1B">
      <w:pPr>
        <w:spacing w:line="360" w:lineRule="auto"/>
        <w:ind w:firstLine="426"/>
        <w:jc w:val="both"/>
        <w:rPr>
          <w:rFonts w:ascii="Garamond" w:hAnsi="Garamond"/>
          <w:sz w:val="22"/>
          <w:szCs w:val="22"/>
        </w:rPr>
      </w:pPr>
      <w:r>
        <w:rPr>
          <w:rFonts w:ascii="Garamond" w:hAnsi="Garamond"/>
          <w:sz w:val="22"/>
          <w:szCs w:val="22"/>
        </w:rPr>
        <w:t>These critical factors</w:t>
      </w:r>
      <w:r w:rsidR="00CD1CA4">
        <w:rPr>
          <w:rFonts w:ascii="Garamond" w:hAnsi="Garamond"/>
          <w:sz w:val="22"/>
          <w:szCs w:val="22"/>
        </w:rPr>
        <w:t xml:space="preserve"> are likely to </w:t>
      </w:r>
      <w:r w:rsidR="00CD1CA4" w:rsidRPr="0063050D">
        <w:rPr>
          <w:rFonts w:ascii="Garamond" w:hAnsi="Garamond"/>
          <w:sz w:val="22"/>
          <w:szCs w:val="22"/>
        </w:rPr>
        <w:t>impact the efficiency and integrity of pricing and allocation mechanisms in the primary market</w:t>
      </w:r>
      <w:r w:rsidR="00C152ED">
        <w:rPr>
          <w:rFonts w:ascii="Garamond" w:hAnsi="Garamond"/>
          <w:sz w:val="22"/>
          <w:szCs w:val="22"/>
        </w:rPr>
        <w:t xml:space="preserve">. Yet, they are </w:t>
      </w:r>
      <w:r w:rsidR="002E6ABA" w:rsidRPr="008D6FFA">
        <w:rPr>
          <w:rFonts w:ascii="Garamond" w:hAnsi="Garamond"/>
          <w:sz w:val="22"/>
          <w:szCs w:val="22"/>
        </w:rPr>
        <w:t>virtually absent from the theoretical and empirical literature on IPO underpricing currently available.</w:t>
      </w:r>
      <w:r w:rsidR="00CD1CA4" w:rsidRPr="00CD1CA4">
        <w:rPr>
          <w:rFonts w:ascii="Garamond" w:hAnsi="Garamond"/>
          <w:sz w:val="22"/>
          <w:szCs w:val="22"/>
        </w:rPr>
        <w:t xml:space="preserve"> </w:t>
      </w:r>
      <w:r w:rsidR="00CD1CA4">
        <w:rPr>
          <w:rFonts w:ascii="Garamond" w:hAnsi="Garamond"/>
          <w:sz w:val="22"/>
          <w:szCs w:val="22"/>
        </w:rPr>
        <w:t>We</w:t>
      </w:r>
      <w:r w:rsidR="00CD1CA4" w:rsidRPr="008D6FFA">
        <w:rPr>
          <w:rFonts w:ascii="Garamond" w:hAnsi="Garamond"/>
          <w:sz w:val="22"/>
          <w:szCs w:val="22"/>
        </w:rPr>
        <w:t xml:space="preserve"> intend to</w:t>
      </w:r>
      <w:r w:rsidR="004A0D25">
        <w:rPr>
          <w:rFonts w:ascii="Garamond" w:hAnsi="Garamond"/>
          <w:sz w:val="22"/>
          <w:szCs w:val="22"/>
        </w:rPr>
        <w:t xml:space="preserve"> fill this gap and </w:t>
      </w:r>
      <w:r w:rsidR="00895389">
        <w:rPr>
          <w:rFonts w:ascii="Garamond" w:hAnsi="Garamond"/>
          <w:sz w:val="22"/>
          <w:szCs w:val="22"/>
        </w:rPr>
        <w:t>investigate</w:t>
      </w:r>
      <w:r w:rsidR="004A0D25">
        <w:rPr>
          <w:rFonts w:ascii="Garamond" w:hAnsi="Garamond"/>
          <w:sz w:val="22"/>
          <w:szCs w:val="22"/>
        </w:rPr>
        <w:t xml:space="preserve"> them from both theoretical and empirical perspective. </w:t>
      </w:r>
    </w:p>
    <w:p w14:paraId="60048C82" w14:textId="77777777" w:rsidR="00453559" w:rsidRDefault="00453559" w:rsidP="00895389">
      <w:pPr>
        <w:spacing w:line="360" w:lineRule="auto"/>
        <w:ind w:firstLine="426"/>
        <w:jc w:val="both"/>
        <w:rPr>
          <w:rFonts w:ascii="Garamond" w:hAnsi="Garamond"/>
          <w:sz w:val="22"/>
          <w:szCs w:val="22"/>
        </w:rPr>
      </w:pPr>
    </w:p>
    <w:p w14:paraId="44F65C3B" w14:textId="77777777" w:rsidR="00A07A08" w:rsidRPr="008D6FFA" w:rsidRDefault="00A07A08" w:rsidP="00A07A08">
      <w:pPr>
        <w:pStyle w:val="NormalWeb"/>
        <w:rPr>
          <w:rFonts w:ascii="TimesNewRomanPS" w:hAnsi="TimesNewRomanPS"/>
          <w:b/>
          <w:bCs/>
          <w:sz w:val="22"/>
          <w:szCs w:val="22"/>
        </w:rPr>
      </w:pPr>
      <w:r w:rsidRPr="008D6FFA">
        <w:rPr>
          <w:rFonts w:ascii="TimesNewRomanPS" w:hAnsi="TimesNewRomanPS"/>
          <w:b/>
          <w:bCs/>
          <w:sz w:val="22"/>
          <w:szCs w:val="22"/>
        </w:rPr>
        <w:t xml:space="preserve">II. Objectives and Expected Significance </w:t>
      </w:r>
    </w:p>
    <w:p w14:paraId="4B45846E" w14:textId="0AC63A09" w:rsidR="00A07A08" w:rsidRPr="008D6FFA" w:rsidRDefault="00CE3092" w:rsidP="00555C6B">
      <w:pPr>
        <w:spacing w:line="360" w:lineRule="auto"/>
        <w:rPr>
          <w:rFonts w:ascii="Garamond" w:hAnsi="Garamond"/>
          <w:sz w:val="22"/>
          <w:szCs w:val="22"/>
        </w:rPr>
      </w:pPr>
      <w:r w:rsidRPr="008D6FFA">
        <w:rPr>
          <w:rFonts w:ascii="Garamond" w:hAnsi="Garamond"/>
          <w:sz w:val="22"/>
          <w:szCs w:val="22"/>
          <w:u w:val="single"/>
        </w:rPr>
        <w:t>Objectives</w:t>
      </w:r>
      <w:r w:rsidRPr="008D6FFA">
        <w:rPr>
          <w:rFonts w:ascii="Garamond" w:hAnsi="Garamond"/>
          <w:sz w:val="22"/>
          <w:szCs w:val="22"/>
        </w:rPr>
        <w:t xml:space="preserve">: </w:t>
      </w:r>
    </w:p>
    <w:p w14:paraId="6094BF7F" w14:textId="538D3D38" w:rsidR="009363B2" w:rsidRDefault="00A32047" w:rsidP="007C2703">
      <w:pPr>
        <w:spacing w:line="360" w:lineRule="auto"/>
        <w:ind w:firstLine="426"/>
        <w:jc w:val="both"/>
        <w:rPr>
          <w:rFonts w:ascii="Garamond" w:hAnsi="Garamond"/>
          <w:sz w:val="22"/>
          <w:szCs w:val="22"/>
        </w:rPr>
      </w:pPr>
      <w:r w:rsidRPr="008D6FFA">
        <w:rPr>
          <w:rFonts w:ascii="Garamond" w:hAnsi="Garamond"/>
          <w:sz w:val="22"/>
          <w:szCs w:val="22"/>
        </w:rPr>
        <w:t>The proposed project will introduce a novel</w:t>
      </w:r>
      <w:r w:rsidR="00E53076">
        <w:rPr>
          <w:rFonts w:ascii="Garamond" w:hAnsi="Garamond"/>
          <w:sz w:val="22"/>
          <w:szCs w:val="22"/>
        </w:rPr>
        <w:t>, market power</w:t>
      </w:r>
      <w:r w:rsidR="00757660">
        <w:rPr>
          <w:rFonts w:ascii="Garamond" w:hAnsi="Garamond"/>
          <w:sz w:val="22"/>
          <w:szCs w:val="22"/>
        </w:rPr>
        <w:t>-based</w:t>
      </w:r>
      <w:r w:rsidR="003F0B93">
        <w:rPr>
          <w:rFonts w:ascii="Garamond" w:hAnsi="Garamond"/>
          <w:sz w:val="22"/>
          <w:szCs w:val="22"/>
        </w:rPr>
        <w:t xml:space="preserve"> </w:t>
      </w:r>
      <w:r w:rsidR="003F0B93" w:rsidRPr="000B5145">
        <w:rPr>
          <w:rFonts w:ascii="Garamond" w:hAnsi="Garamond"/>
          <w:sz w:val="22"/>
          <w:szCs w:val="22"/>
        </w:rPr>
        <w:t>explanation</w:t>
      </w:r>
      <w:r w:rsidRPr="00757660">
        <w:rPr>
          <w:rFonts w:ascii="Garamond" w:hAnsi="Garamond"/>
          <w:sz w:val="22"/>
          <w:szCs w:val="22"/>
        </w:rPr>
        <w:t xml:space="preserve"> </w:t>
      </w:r>
      <w:r w:rsidR="000B5145" w:rsidRPr="00757660">
        <w:rPr>
          <w:rFonts w:ascii="Garamond" w:hAnsi="Garamond"/>
          <w:sz w:val="22"/>
          <w:szCs w:val="22"/>
        </w:rPr>
        <w:t>for</w:t>
      </w:r>
      <w:r w:rsidR="000B5145" w:rsidRPr="000B5145">
        <w:rPr>
          <w:rFonts w:ascii="Garamond" w:hAnsi="Garamond"/>
          <w:sz w:val="22"/>
          <w:szCs w:val="22"/>
        </w:rPr>
        <w:t xml:space="preserve"> </w:t>
      </w:r>
      <w:r w:rsidRPr="00757660">
        <w:rPr>
          <w:rFonts w:ascii="Garamond" w:hAnsi="Garamond"/>
          <w:sz w:val="22"/>
          <w:szCs w:val="22"/>
        </w:rPr>
        <w:t>IPO underpricing</w:t>
      </w:r>
      <w:r w:rsidRPr="000B5145">
        <w:rPr>
          <w:rFonts w:ascii="Garamond" w:hAnsi="Garamond"/>
          <w:sz w:val="22"/>
          <w:szCs w:val="22"/>
        </w:rPr>
        <w:t xml:space="preserve"> that</w:t>
      </w:r>
      <w:r w:rsidR="001B7562" w:rsidRPr="000B5145">
        <w:rPr>
          <w:rFonts w:ascii="Garamond" w:hAnsi="Garamond"/>
          <w:sz w:val="22"/>
          <w:szCs w:val="22"/>
        </w:rPr>
        <w:t xml:space="preserve"> </w:t>
      </w:r>
      <w:proofErr w:type="gramStart"/>
      <w:r w:rsidR="00757660">
        <w:rPr>
          <w:rFonts w:ascii="Garamond" w:hAnsi="Garamond"/>
          <w:sz w:val="22"/>
          <w:szCs w:val="22"/>
        </w:rPr>
        <w:t>takes into account</w:t>
      </w:r>
      <w:proofErr w:type="gramEnd"/>
      <w:r w:rsidR="009E7A1E" w:rsidRPr="008D6FFA">
        <w:rPr>
          <w:rFonts w:ascii="Garamond" w:hAnsi="Garamond"/>
          <w:sz w:val="22"/>
          <w:szCs w:val="22"/>
        </w:rPr>
        <w:t xml:space="preserve"> </w:t>
      </w:r>
      <w:r w:rsidR="00F72343" w:rsidRPr="008D6FFA">
        <w:rPr>
          <w:rFonts w:ascii="Garamond" w:hAnsi="Garamond"/>
          <w:sz w:val="22"/>
          <w:szCs w:val="22"/>
        </w:rPr>
        <w:t>shifts in the</w:t>
      </w:r>
      <w:r w:rsidR="009E7A1E">
        <w:rPr>
          <w:rFonts w:ascii="Garamond" w:hAnsi="Garamond"/>
          <w:sz w:val="22"/>
          <w:szCs w:val="22"/>
        </w:rPr>
        <w:t xml:space="preserve"> U.S.</w:t>
      </w:r>
      <w:r w:rsidR="00F72343" w:rsidRPr="008D6FFA">
        <w:rPr>
          <w:rFonts w:ascii="Garamond" w:hAnsi="Garamond"/>
          <w:sz w:val="22"/>
          <w:szCs w:val="22"/>
        </w:rPr>
        <w:t xml:space="preserve"> capital market </w:t>
      </w:r>
      <w:r w:rsidR="00870060" w:rsidRPr="008D6FFA">
        <w:rPr>
          <w:rFonts w:ascii="Garamond" w:hAnsi="Garamond"/>
          <w:sz w:val="22"/>
          <w:szCs w:val="22"/>
        </w:rPr>
        <w:t>landscape</w:t>
      </w:r>
      <w:r w:rsidR="00607A2E" w:rsidRPr="008D6FFA">
        <w:rPr>
          <w:rFonts w:ascii="Garamond" w:hAnsi="Garamond"/>
          <w:sz w:val="22"/>
          <w:szCs w:val="22"/>
        </w:rPr>
        <w:t xml:space="preserve">, </w:t>
      </w:r>
      <w:r w:rsidR="004837D0" w:rsidRPr="008D6FFA">
        <w:rPr>
          <w:rFonts w:ascii="Garamond" w:hAnsi="Garamond"/>
          <w:sz w:val="22"/>
          <w:szCs w:val="22"/>
        </w:rPr>
        <w:t>particularly</w:t>
      </w:r>
      <w:r w:rsidR="00281DE8" w:rsidRPr="008D6FFA">
        <w:rPr>
          <w:rFonts w:ascii="Garamond" w:hAnsi="Garamond"/>
          <w:sz w:val="22"/>
          <w:szCs w:val="22"/>
        </w:rPr>
        <w:t xml:space="preserve"> the escalating market power of </w:t>
      </w:r>
      <w:r w:rsidR="009F1A64" w:rsidRPr="008D6FFA">
        <w:rPr>
          <w:rFonts w:ascii="Garamond" w:hAnsi="Garamond"/>
          <w:sz w:val="22"/>
          <w:szCs w:val="22"/>
        </w:rPr>
        <w:t xml:space="preserve">a few </w:t>
      </w:r>
      <w:r w:rsidR="00783BAB" w:rsidRPr="008D6FFA">
        <w:rPr>
          <w:rFonts w:ascii="Garamond" w:hAnsi="Garamond"/>
          <w:i/>
          <w:iCs/>
          <w:sz w:val="22"/>
          <w:szCs w:val="22"/>
        </w:rPr>
        <w:t xml:space="preserve">giant </w:t>
      </w:r>
      <w:r w:rsidR="00281DE8" w:rsidRPr="008D6FFA">
        <w:rPr>
          <w:rFonts w:ascii="Garamond" w:hAnsi="Garamond"/>
          <w:i/>
          <w:iCs/>
          <w:sz w:val="22"/>
          <w:szCs w:val="22"/>
        </w:rPr>
        <w:t>institutional investors</w:t>
      </w:r>
      <w:r w:rsidR="004677E7" w:rsidRPr="008D6FFA">
        <w:rPr>
          <w:rFonts w:ascii="Garamond" w:hAnsi="Garamond"/>
          <w:i/>
          <w:iCs/>
          <w:sz w:val="22"/>
          <w:szCs w:val="22"/>
        </w:rPr>
        <w:t>,</w:t>
      </w:r>
      <w:r w:rsidR="00281DE8" w:rsidRPr="008D6FFA">
        <w:rPr>
          <w:rFonts w:ascii="Garamond" w:hAnsi="Garamond"/>
          <w:sz w:val="22"/>
          <w:szCs w:val="22"/>
        </w:rPr>
        <w:t xml:space="preserve"> as a</w:t>
      </w:r>
      <w:r w:rsidR="00632F6D" w:rsidRPr="008D6FFA">
        <w:rPr>
          <w:rFonts w:ascii="Garamond" w:hAnsi="Garamond"/>
          <w:sz w:val="22"/>
          <w:szCs w:val="22"/>
        </w:rPr>
        <w:t xml:space="preserve">n important </w:t>
      </w:r>
      <w:r w:rsidR="00281DE8" w:rsidRPr="008D6FFA">
        <w:rPr>
          <w:rFonts w:ascii="Garamond" w:hAnsi="Garamond"/>
          <w:sz w:val="22"/>
          <w:szCs w:val="22"/>
        </w:rPr>
        <w:t>driver of IPO underpricing.</w:t>
      </w:r>
      <w:r w:rsidR="00F72343" w:rsidRPr="008D6FFA">
        <w:rPr>
          <w:rFonts w:ascii="Garamond" w:hAnsi="Garamond"/>
          <w:sz w:val="22"/>
          <w:szCs w:val="22"/>
        </w:rPr>
        <w:t xml:space="preserve"> </w:t>
      </w:r>
      <w:r w:rsidR="009507DF" w:rsidRPr="008D6FFA">
        <w:rPr>
          <w:rFonts w:ascii="Garamond" w:hAnsi="Garamond"/>
          <w:sz w:val="22"/>
          <w:szCs w:val="22"/>
        </w:rPr>
        <w:t xml:space="preserve">We </w:t>
      </w:r>
      <w:r w:rsidR="00281DE8" w:rsidRPr="008D6FFA">
        <w:rPr>
          <w:rFonts w:ascii="Garamond" w:hAnsi="Garamond"/>
          <w:sz w:val="22"/>
          <w:szCs w:val="22"/>
        </w:rPr>
        <w:t>aim to conduct</w:t>
      </w:r>
      <w:r w:rsidR="009507DF" w:rsidRPr="008D6FFA">
        <w:rPr>
          <w:rFonts w:ascii="Garamond" w:hAnsi="Garamond"/>
          <w:sz w:val="22"/>
          <w:szCs w:val="22"/>
        </w:rPr>
        <w:t xml:space="preserve"> </w:t>
      </w:r>
      <w:r w:rsidR="00A534AF" w:rsidRPr="008D6FFA">
        <w:rPr>
          <w:rFonts w:ascii="Garamond" w:hAnsi="Garamond"/>
          <w:sz w:val="22"/>
          <w:szCs w:val="22"/>
        </w:rPr>
        <w:t>theoretical</w:t>
      </w:r>
      <w:r w:rsidR="00281DE8" w:rsidRPr="008D6FFA">
        <w:rPr>
          <w:rFonts w:ascii="Garamond" w:hAnsi="Garamond"/>
          <w:sz w:val="22"/>
          <w:szCs w:val="22"/>
        </w:rPr>
        <w:t xml:space="preserve"> </w:t>
      </w:r>
      <w:r w:rsidR="00A534AF" w:rsidRPr="008D6FFA">
        <w:rPr>
          <w:rFonts w:ascii="Garamond" w:hAnsi="Garamond"/>
          <w:sz w:val="22"/>
          <w:szCs w:val="22"/>
        </w:rPr>
        <w:t xml:space="preserve">and </w:t>
      </w:r>
      <w:r w:rsidR="00A534AF" w:rsidRPr="008D6FFA">
        <w:rPr>
          <w:rFonts w:ascii="Garamond" w:hAnsi="Garamond"/>
          <w:sz w:val="22"/>
          <w:szCs w:val="22"/>
        </w:rPr>
        <w:lastRenderedPageBreak/>
        <w:t>empirica</w:t>
      </w:r>
      <w:r w:rsidR="00281DE8" w:rsidRPr="008D6FFA">
        <w:rPr>
          <w:rFonts w:ascii="Garamond" w:hAnsi="Garamond"/>
          <w:sz w:val="22"/>
          <w:szCs w:val="22"/>
        </w:rPr>
        <w:t xml:space="preserve">l analyses to </w:t>
      </w:r>
      <w:r w:rsidR="007C348F" w:rsidRPr="008D6FFA">
        <w:rPr>
          <w:rFonts w:ascii="Garamond" w:hAnsi="Garamond"/>
          <w:sz w:val="22"/>
          <w:szCs w:val="22"/>
        </w:rPr>
        <w:t xml:space="preserve">reveal </w:t>
      </w:r>
      <w:r w:rsidR="00281DE8" w:rsidRPr="008D6FFA">
        <w:rPr>
          <w:rFonts w:ascii="Garamond" w:hAnsi="Garamond"/>
          <w:sz w:val="22"/>
          <w:szCs w:val="22"/>
        </w:rPr>
        <w:t>how</w:t>
      </w:r>
      <w:r w:rsidR="00A534AF" w:rsidRPr="008D6FFA">
        <w:rPr>
          <w:rFonts w:ascii="Garamond" w:hAnsi="Garamond"/>
          <w:sz w:val="22"/>
          <w:szCs w:val="22"/>
        </w:rPr>
        <w:t xml:space="preserve"> </w:t>
      </w:r>
      <w:r w:rsidR="00281DE8" w:rsidRPr="008D6FFA">
        <w:rPr>
          <w:rFonts w:ascii="Garamond" w:hAnsi="Garamond"/>
          <w:sz w:val="22"/>
          <w:szCs w:val="22"/>
        </w:rPr>
        <w:t>the</w:t>
      </w:r>
      <w:r w:rsidR="00757660">
        <w:rPr>
          <w:rFonts w:ascii="Garamond" w:hAnsi="Garamond"/>
          <w:sz w:val="22"/>
          <w:szCs w:val="22"/>
        </w:rPr>
        <w:t xml:space="preserve"> joint</w:t>
      </w:r>
      <w:r w:rsidR="00281DE8" w:rsidRPr="008D6FFA">
        <w:rPr>
          <w:rFonts w:ascii="Garamond" w:hAnsi="Garamond"/>
          <w:sz w:val="22"/>
          <w:szCs w:val="22"/>
        </w:rPr>
        <w:t xml:space="preserve"> </w:t>
      </w:r>
      <w:r w:rsidR="00394244" w:rsidRPr="008D6FFA">
        <w:rPr>
          <w:rFonts w:ascii="Garamond" w:hAnsi="Garamond"/>
          <w:sz w:val="22"/>
          <w:szCs w:val="22"/>
        </w:rPr>
        <w:t>participation of</w:t>
      </w:r>
      <w:r w:rsidR="00A534AF" w:rsidRPr="008D6FFA">
        <w:rPr>
          <w:rFonts w:ascii="Garamond" w:hAnsi="Garamond"/>
          <w:sz w:val="22"/>
          <w:szCs w:val="22"/>
        </w:rPr>
        <w:t xml:space="preserve"> </w:t>
      </w:r>
      <w:r w:rsidR="00E07CB0" w:rsidRPr="008D6FFA">
        <w:rPr>
          <w:rFonts w:ascii="Garamond" w:hAnsi="Garamond"/>
          <w:sz w:val="22"/>
          <w:szCs w:val="22"/>
        </w:rPr>
        <w:t>dominant</w:t>
      </w:r>
      <w:r w:rsidR="00A534AF" w:rsidRPr="008D6FFA">
        <w:rPr>
          <w:rFonts w:ascii="Garamond" w:hAnsi="Garamond"/>
          <w:sz w:val="22"/>
          <w:szCs w:val="22"/>
        </w:rPr>
        <w:t xml:space="preserve"> market actors</w:t>
      </w:r>
      <w:r w:rsidR="00335FAC" w:rsidRPr="008D6FFA">
        <w:rPr>
          <w:rFonts w:ascii="Garamond" w:hAnsi="Garamond"/>
          <w:sz w:val="22"/>
          <w:szCs w:val="22"/>
        </w:rPr>
        <w:t xml:space="preserve"> </w:t>
      </w:r>
      <w:r w:rsidR="00A534AF" w:rsidRPr="008D6FFA">
        <w:rPr>
          <w:rFonts w:ascii="Garamond" w:hAnsi="Garamond"/>
          <w:sz w:val="22"/>
          <w:szCs w:val="22"/>
        </w:rPr>
        <w:t>in IPOs</w:t>
      </w:r>
      <w:r w:rsidR="00EE1D59" w:rsidRPr="008D6FFA">
        <w:rPr>
          <w:rFonts w:ascii="Garamond" w:hAnsi="Garamond"/>
          <w:sz w:val="22"/>
          <w:szCs w:val="22"/>
        </w:rPr>
        <w:t xml:space="preserve"> </w:t>
      </w:r>
      <w:r w:rsidR="00032028">
        <w:rPr>
          <w:rFonts w:ascii="Garamond" w:hAnsi="Garamond"/>
          <w:sz w:val="22"/>
          <w:szCs w:val="22"/>
        </w:rPr>
        <w:t>affects</w:t>
      </w:r>
      <w:r w:rsidR="00032028" w:rsidRPr="008D6FFA">
        <w:rPr>
          <w:rFonts w:ascii="Garamond" w:hAnsi="Garamond"/>
          <w:sz w:val="22"/>
          <w:szCs w:val="22"/>
        </w:rPr>
        <w:t xml:space="preserve"> </w:t>
      </w:r>
      <w:r w:rsidR="005177BC" w:rsidRPr="008D6FFA">
        <w:rPr>
          <w:rFonts w:ascii="Garamond" w:hAnsi="Garamond"/>
          <w:sz w:val="22"/>
          <w:szCs w:val="22"/>
        </w:rPr>
        <w:t>underpricing</w:t>
      </w:r>
      <w:r w:rsidR="00032028">
        <w:rPr>
          <w:rFonts w:ascii="Garamond" w:hAnsi="Garamond"/>
          <w:sz w:val="22"/>
          <w:szCs w:val="22"/>
        </w:rPr>
        <w:t xml:space="preserve"> levels</w:t>
      </w:r>
      <w:r w:rsidR="009D6AB0" w:rsidRPr="008D6FFA">
        <w:rPr>
          <w:rFonts w:ascii="Garamond" w:hAnsi="Garamond"/>
          <w:sz w:val="22"/>
          <w:szCs w:val="22"/>
        </w:rPr>
        <w:t>. We also</w:t>
      </w:r>
      <w:r w:rsidR="00514367" w:rsidRPr="008D6FFA">
        <w:rPr>
          <w:rFonts w:ascii="Garamond" w:hAnsi="Garamond"/>
          <w:sz w:val="22"/>
          <w:szCs w:val="22"/>
        </w:rPr>
        <w:t xml:space="preserve"> </w:t>
      </w:r>
      <w:r w:rsidR="00694BBD">
        <w:rPr>
          <w:rFonts w:ascii="Garamond" w:hAnsi="Garamond"/>
          <w:sz w:val="22"/>
          <w:szCs w:val="22"/>
        </w:rPr>
        <w:t>intend</w:t>
      </w:r>
      <w:r w:rsidR="00694BBD" w:rsidRPr="008D6FFA">
        <w:rPr>
          <w:rFonts w:ascii="Garamond" w:hAnsi="Garamond"/>
          <w:sz w:val="22"/>
          <w:szCs w:val="22"/>
        </w:rPr>
        <w:t xml:space="preserve"> </w:t>
      </w:r>
      <w:r w:rsidR="00514367" w:rsidRPr="008D6FFA">
        <w:rPr>
          <w:rFonts w:ascii="Garamond" w:hAnsi="Garamond"/>
          <w:sz w:val="22"/>
          <w:szCs w:val="22"/>
        </w:rPr>
        <w:t>to</w:t>
      </w:r>
      <w:r w:rsidR="00194ECE" w:rsidRPr="008D6FFA">
        <w:rPr>
          <w:rFonts w:ascii="Garamond" w:hAnsi="Garamond"/>
          <w:sz w:val="22"/>
          <w:szCs w:val="22"/>
        </w:rPr>
        <w:t xml:space="preserve"> </w:t>
      </w:r>
      <w:r w:rsidR="00707304" w:rsidRPr="008D6FFA">
        <w:rPr>
          <w:rFonts w:ascii="Garamond" w:hAnsi="Garamond"/>
          <w:sz w:val="22"/>
          <w:szCs w:val="22"/>
        </w:rPr>
        <w:t>identify</w:t>
      </w:r>
      <w:r w:rsidR="00352728" w:rsidRPr="008D6FFA">
        <w:rPr>
          <w:rFonts w:ascii="Garamond" w:hAnsi="Garamond"/>
          <w:sz w:val="22"/>
          <w:szCs w:val="22"/>
        </w:rPr>
        <w:t xml:space="preserve"> </w:t>
      </w:r>
      <w:r w:rsidR="00281DE8" w:rsidRPr="008D6FFA">
        <w:rPr>
          <w:rFonts w:ascii="Garamond" w:hAnsi="Garamond"/>
          <w:sz w:val="22"/>
          <w:szCs w:val="22"/>
        </w:rPr>
        <w:t>key</w:t>
      </w:r>
      <w:r w:rsidR="00352728" w:rsidRPr="008D6FFA">
        <w:rPr>
          <w:rFonts w:ascii="Garamond" w:hAnsi="Garamond"/>
          <w:sz w:val="22"/>
          <w:szCs w:val="22"/>
        </w:rPr>
        <w:t xml:space="preserve"> </w:t>
      </w:r>
      <w:r w:rsidR="00281DE8" w:rsidRPr="008D6FFA">
        <w:rPr>
          <w:rFonts w:ascii="Garamond" w:hAnsi="Garamond"/>
          <w:sz w:val="22"/>
          <w:szCs w:val="22"/>
        </w:rPr>
        <w:t>junctures</w:t>
      </w:r>
      <w:r w:rsidR="00352728" w:rsidRPr="008D6FFA">
        <w:rPr>
          <w:rFonts w:ascii="Garamond" w:hAnsi="Garamond"/>
          <w:sz w:val="22"/>
          <w:szCs w:val="22"/>
        </w:rPr>
        <w:t xml:space="preserve"> in the IPO process where strategic </w:t>
      </w:r>
      <w:r w:rsidR="00933D14">
        <w:rPr>
          <w:rFonts w:ascii="Garamond" w:hAnsi="Garamond"/>
          <w:sz w:val="22"/>
          <w:szCs w:val="22"/>
        </w:rPr>
        <w:t>behavior</w:t>
      </w:r>
      <w:r w:rsidR="00933D14" w:rsidRPr="008D6FFA">
        <w:rPr>
          <w:rFonts w:ascii="Garamond" w:hAnsi="Garamond"/>
          <w:sz w:val="22"/>
          <w:szCs w:val="22"/>
        </w:rPr>
        <w:t xml:space="preserve"> </w:t>
      </w:r>
      <w:r w:rsidR="00352728" w:rsidRPr="008D6FFA">
        <w:rPr>
          <w:rFonts w:ascii="Garamond" w:hAnsi="Garamond"/>
          <w:sz w:val="22"/>
          <w:szCs w:val="22"/>
        </w:rPr>
        <w:t xml:space="preserve">by institutional investors </w:t>
      </w:r>
      <w:r w:rsidR="00DE283E">
        <w:rPr>
          <w:rFonts w:ascii="Garamond" w:hAnsi="Garamond"/>
          <w:sz w:val="22"/>
          <w:szCs w:val="22"/>
        </w:rPr>
        <w:t>is</w:t>
      </w:r>
      <w:r w:rsidR="00DE283E" w:rsidRPr="008D6FFA">
        <w:rPr>
          <w:rFonts w:ascii="Garamond" w:hAnsi="Garamond"/>
          <w:sz w:val="22"/>
          <w:szCs w:val="22"/>
        </w:rPr>
        <w:t xml:space="preserve"> </w:t>
      </w:r>
      <w:r w:rsidR="00BC33D6" w:rsidRPr="008D6FFA">
        <w:rPr>
          <w:rFonts w:ascii="Garamond" w:hAnsi="Garamond"/>
          <w:sz w:val="22"/>
          <w:szCs w:val="22"/>
        </w:rPr>
        <w:t>likely to occur</w:t>
      </w:r>
      <w:r w:rsidR="009363B2">
        <w:rPr>
          <w:rFonts w:ascii="Garamond" w:hAnsi="Garamond"/>
          <w:sz w:val="22"/>
          <w:szCs w:val="22"/>
        </w:rPr>
        <w:t xml:space="preserve"> and </w:t>
      </w:r>
      <w:r w:rsidR="00032028" w:rsidRPr="008D6FFA">
        <w:rPr>
          <w:rFonts w:ascii="Garamond" w:hAnsi="Garamond"/>
          <w:sz w:val="22"/>
          <w:szCs w:val="22"/>
        </w:rPr>
        <w:t>expos</w:t>
      </w:r>
      <w:r w:rsidR="00032028">
        <w:rPr>
          <w:rFonts w:ascii="Garamond" w:hAnsi="Garamond"/>
          <w:sz w:val="22"/>
          <w:szCs w:val="22"/>
        </w:rPr>
        <w:t>e</w:t>
      </w:r>
      <w:r w:rsidR="00032028" w:rsidRPr="008D6FFA">
        <w:rPr>
          <w:rFonts w:ascii="Garamond" w:hAnsi="Garamond"/>
          <w:sz w:val="22"/>
          <w:szCs w:val="22"/>
        </w:rPr>
        <w:t xml:space="preserve"> shortcomings in the current regulatory regime</w:t>
      </w:r>
      <w:r w:rsidR="00032028">
        <w:rPr>
          <w:rFonts w:ascii="Garamond" w:hAnsi="Garamond"/>
          <w:sz w:val="22"/>
          <w:szCs w:val="22"/>
        </w:rPr>
        <w:t>. Specifically, we will</w:t>
      </w:r>
      <w:r w:rsidR="00032028" w:rsidRPr="008D6FFA">
        <w:rPr>
          <w:rFonts w:ascii="Garamond" w:hAnsi="Garamond"/>
          <w:sz w:val="22"/>
          <w:szCs w:val="22"/>
        </w:rPr>
        <w:t xml:space="preserve"> </w:t>
      </w:r>
      <w:r w:rsidR="009363B2">
        <w:rPr>
          <w:rFonts w:ascii="Garamond" w:hAnsi="Garamond"/>
          <w:sz w:val="22"/>
          <w:szCs w:val="22"/>
        </w:rPr>
        <w:t>identify the susceptibly of the book-building process—o</w:t>
      </w:r>
      <w:r w:rsidR="009363B2" w:rsidRPr="009363B2">
        <w:rPr>
          <w:rFonts w:ascii="Garamond" w:hAnsi="Garamond"/>
          <w:sz w:val="22"/>
          <w:szCs w:val="22"/>
        </w:rPr>
        <w:t>riginally designed to facilitate efficient price discovery by incorporating market information from sophisticated institutional investors</w:t>
      </w:r>
      <w:r w:rsidR="009363B2">
        <w:rPr>
          <w:rFonts w:ascii="Garamond" w:hAnsi="Garamond"/>
          <w:sz w:val="22"/>
          <w:szCs w:val="22"/>
        </w:rPr>
        <w:t>—</w:t>
      </w:r>
      <w:r w:rsidR="00317D97">
        <w:rPr>
          <w:rFonts w:ascii="Garamond" w:hAnsi="Garamond"/>
          <w:sz w:val="22"/>
          <w:szCs w:val="22"/>
        </w:rPr>
        <w:t xml:space="preserve">to the abuse of market power by </w:t>
      </w:r>
      <w:r w:rsidR="00F02F5B">
        <w:rPr>
          <w:rFonts w:ascii="Garamond" w:hAnsi="Garamond"/>
          <w:sz w:val="22"/>
          <w:szCs w:val="22"/>
        </w:rPr>
        <w:t>powerful</w:t>
      </w:r>
      <w:r w:rsidR="009363B2" w:rsidRPr="009363B2">
        <w:rPr>
          <w:rFonts w:ascii="Garamond" w:hAnsi="Garamond"/>
          <w:sz w:val="22"/>
          <w:szCs w:val="22"/>
        </w:rPr>
        <w:t xml:space="preserve"> institutional investors</w:t>
      </w:r>
      <w:r w:rsidR="00000DB3">
        <w:rPr>
          <w:rFonts w:ascii="Garamond" w:hAnsi="Garamond"/>
          <w:sz w:val="22"/>
          <w:szCs w:val="22"/>
        </w:rPr>
        <w:t>.</w:t>
      </w:r>
      <w:r w:rsidR="00694BBD">
        <w:rPr>
          <w:rFonts w:ascii="Garamond" w:hAnsi="Garamond"/>
          <w:sz w:val="22"/>
          <w:szCs w:val="22"/>
        </w:rPr>
        <w:t xml:space="preserve"> </w:t>
      </w:r>
    </w:p>
    <w:p w14:paraId="64B4C97E" w14:textId="2675372C" w:rsidR="00A57F32" w:rsidRPr="008D6FFA" w:rsidRDefault="00A534AF" w:rsidP="007C2703">
      <w:pPr>
        <w:spacing w:line="360" w:lineRule="auto"/>
        <w:ind w:firstLine="426"/>
        <w:jc w:val="both"/>
        <w:rPr>
          <w:rFonts w:ascii="Garamond" w:hAnsi="Garamond"/>
          <w:sz w:val="22"/>
          <w:szCs w:val="22"/>
        </w:rPr>
      </w:pPr>
      <w:r w:rsidRPr="008D6FFA">
        <w:rPr>
          <w:rFonts w:ascii="Garamond" w:hAnsi="Garamond"/>
          <w:sz w:val="22"/>
          <w:szCs w:val="22"/>
        </w:rPr>
        <w:t xml:space="preserve">This research </w:t>
      </w:r>
      <w:r w:rsidR="00514367" w:rsidRPr="008D6FFA">
        <w:rPr>
          <w:rFonts w:ascii="Garamond" w:hAnsi="Garamond"/>
          <w:sz w:val="22"/>
          <w:szCs w:val="22"/>
        </w:rPr>
        <w:t xml:space="preserve">will </w:t>
      </w:r>
      <w:r w:rsidR="00F4034A" w:rsidRPr="008D6FFA">
        <w:rPr>
          <w:rFonts w:ascii="Garamond" w:hAnsi="Garamond"/>
          <w:sz w:val="22"/>
          <w:szCs w:val="22"/>
        </w:rPr>
        <w:t xml:space="preserve">enable us to offer normative recommendations </w:t>
      </w:r>
      <w:r w:rsidR="004C3FEC" w:rsidRPr="008D6FFA">
        <w:rPr>
          <w:rFonts w:ascii="Garamond" w:hAnsi="Garamond"/>
          <w:sz w:val="22"/>
          <w:szCs w:val="22"/>
        </w:rPr>
        <w:t xml:space="preserve">aimed at </w:t>
      </w:r>
      <w:r w:rsidR="00FE2AD9" w:rsidRPr="008D6FFA">
        <w:rPr>
          <w:rFonts w:ascii="Garamond" w:hAnsi="Garamond"/>
          <w:sz w:val="22"/>
          <w:szCs w:val="22"/>
        </w:rPr>
        <w:t>fostering</w:t>
      </w:r>
      <w:r w:rsidR="00F4034A" w:rsidRPr="008D6FFA">
        <w:rPr>
          <w:rFonts w:ascii="Garamond" w:hAnsi="Garamond"/>
          <w:sz w:val="22"/>
          <w:szCs w:val="22"/>
        </w:rPr>
        <w:t xml:space="preserve"> </w:t>
      </w:r>
      <w:r w:rsidR="00094059" w:rsidRPr="008D6FFA">
        <w:rPr>
          <w:rFonts w:ascii="Garamond" w:hAnsi="Garamond"/>
          <w:sz w:val="22"/>
          <w:szCs w:val="22"/>
        </w:rPr>
        <w:t>a more transparent</w:t>
      </w:r>
      <w:r w:rsidR="00FE2AD9" w:rsidRPr="008D6FFA">
        <w:rPr>
          <w:rFonts w:ascii="Garamond" w:hAnsi="Garamond"/>
          <w:sz w:val="22"/>
          <w:szCs w:val="22"/>
        </w:rPr>
        <w:t xml:space="preserve"> and </w:t>
      </w:r>
      <w:r w:rsidR="00F36370" w:rsidRPr="008D6FFA">
        <w:rPr>
          <w:rFonts w:ascii="Garamond" w:hAnsi="Garamond"/>
          <w:sz w:val="22"/>
          <w:szCs w:val="22"/>
        </w:rPr>
        <w:t>competitive IPO proc</w:t>
      </w:r>
      <w:r w:rsidR="00704C8B" w:rsidRPr="008D6FFA">
        <w:rPr>
          <w:rFonts w:ascii="Garamond" w:hAnsi="Garamond"/>
          <w:sz w:val="22"/>
          <w:szCs w:val="22"/>
        </w:rPr>
        <w:t>ess</w:t>
      </w:r>
      <w:r w:rsidR="00785766" w:rsidRPr="008D6FFA">
        <w:rPr>
          <w:rFonts w:ascii="Garamond" w:hAnsi="Garamond"/>
          <w:sz w:val="22"/>
          <w:szCs w:val="22"/>
        </w:rPr>
        <w:t xml:space="preserve"> in an era </w:t>
      </w:r>
      <w:r w:rsidR="00E7237F">
        <w:rPr>
          <w:rFonts w:ascii="Garamond" w:hAnsi="Garamond"/>
          <w:sz w:val="22"/>
          <w:szCs w:val="22"/>
        </w:rPr>
        <w:t>of agency capitalism</w:t>
      </w:r>
      <w:r w:rsidR="00F36370" w:rsidRPr="008D6FFA">
        <w:rPr>
          <w:rFonts w:ascii="Garamond" w:hAnsi="Garamond"/>
          <w:sz w:val="22"/>
          <w:szCs w:val="22"/>
        </w:rPr>
        <w:t>.</w:t>
      </w:r>
      <w:r w:rsidR="00B54626" w:rsidRPr="008D6FFA">
        <w:rPr>
          <w:rFonts w:ascii="Garamond" w:hAnsi="Garamond"/>
          <w:sz w:val="22"/>
          <w:szCs w:val="22"/>
        </w:rPr>
        <w:t xml:space="preserve"> By </w:t>
      </w:r>
      <w:r w:rsidR="00FE2AD9" w:rsidRPr="008D6FFA">
        <w:rPr>
          <w:rFonts w:ascii="Garamond" w:hAnsi="Garamond"/>
          <w:sz w:val="22"/>
          <w:szCs w:val="22"/>
        </w:rPr>
        <w:t>shedding light on</w:t>
      </w:r>
      <w:r w:rsidR="00B54626" w:rsidRPr="008D6FFA">
        <w:rPr>
          <w:rFonts w:ascii="Garamond" w:hAnsi="Garamond"/>
          <w:sz w:val="22"/>
          <w:szCs w:val="22"/>
        </w:rPr>
        <w:t xml:space="preserve"> the </w:t>
      </w:r>
      <w:r w:rsidR="00FE2AD9" w:rsidRPr="008D6FFA">
        <w:rPr>
          <w:rFonts w:ascii="Garamond" w:hAnsi="Garamond"/>
          <w:sz w:val="22"/>
          <w:szCs w:val="22"/>
        </w:rPr>
        <w:t>pivotal</w:t>
      </w:r>
      <w:r w:rsidR="00B54626" w:rsidRPr="008D6FFA">
        <w:rPr>
          <w:rFonts w:ascii="Garamond" w:hAnsi="Garamond"/>
          <w:sz w:val="22"/>
          <w:szCs w:val="22"/>
        </w:rPr>
        <w:t xml:space="preserve"> role</w:t>
      </w:r>
      <w:r w:rsidR="00CB576C" w:rsidRPr="008D6FFA">
        <w:rPr>
          <w:rFonts w:ascii="Garamond" w:hAnsi="Garamond"/>
          <w:sz w:val="22"/>
          <w:szCs w:val="22"/>
        </w:rPr>
        <w:t xml:space="preserve"> of </w:t>
      </w:r>
      <w:r w:rsidR="00194ECE" w:rsidRPr="008D6FFA">
        <w:rPr>
          <w:rFonts w:ascii="Garamond" w:hAnsi="Garamond"/>
          <w:sz w:val="22"/>
          <w:szCs w:val="22"/>
        </w:rPr>
        <w:t>institutional</w:t>
      </w:r>
      <w:r w:rsidR="00CB576C" w:rsidRPr="008D6FFA">
        <w:rPr>
          <w:rFonts w:ascii="Garamond" w:hAnsi="Garamond"/>
          <w:sz w:val="22"/>
          <w:szCs w:val="22"/>
        </w:rPr>
        <w:t xml:space="preserve"> investors</w:t>
      </w:r>
      <w:r w:rsidR="00B54626" w:rsidRPr="008D6FFA">
        <w:rPr>
          <w:rFonts w:ascii="Garamond" w:hAnsi="Garamond"/>
          <w:sz w:val="22"/>
          <w:szCs w:val="22"/>
        </w:rPr>
        <w:t xml:space="preserve"> </w:t>
      </w:r>
      <w:r w:rsidR="00F967AB" w:rsidRPr="008D6FFA">
        <w:rPr>
          <w:rFonts w:ascii="Garamond" w:hAnsi="Garamond"/>
          <w:sz w:val="22"/>
          <w:szCs w:val="22"/>
        </w:rPr>
        <w:t xml:space="preserve">in </w:t>
      </w:r>
      <w:r w:rsidR="004A1286" w:rsidRPr="008D6FFA">
        <w:rPr>
          <w:rFonts w:ascii="Garamond" w:hAnsi="Garamond"/>
          <w:sz w:val="22"/>
          <w:szCs w:val="22"/>
        </w:rPr>
        <w:t>underpricing</w:t>
      </w:r>
      <w:r w:rsidR="00354293" w:rsidRPr="008D6FFA">
        <w:rPr>
          <w:rFonts w:ascii="Garamond" w:hAnsi="Garamond"/>
          <w:sz w:val="22"/>
          <w:szCs w:val="22"/>
        </w:rPr>
        <w:t xml:space="preserve">, we further aim to </w:t>
      </w:r>
      <w:r w:rsidR="00FE2AD9" w:rsidRPr="008D6FFA">
        <w:rPr>
          <w:rFonts w:ascii="Garamond" w:hAnsi="Garamond"/>
          <w:sz w:val="22"/>
          <w:szCs w:val="22"/>
        </w:rPr>
        <w:t xml:space="preserve">draw attention to </w:t>
      </w:r>
      <w:r w:rsidR="002147E5" w:rsidRPr="008D6FFA">
        <w:rPr>
          <w:rFonts w:ascii="Garamond" w:hAnsi="Garamond"/>
          <w:sz w:val="22"/>
          <w:szCs w:val="22"/>
        </w:rPr>
        <w:t>this</w:t>
      </w:r>
      <w:r w:rsidR="00FE2AD9" w:rsidRPr="008D6FFA">
        <w:rPr>
          <w:rFonts w:ascii="Garamond" w:hAnsi="Garamond"/>
          <w:sz w:val="22"/>
          <w:szCs w:val="22"/>
        </w:rPr>
        <w:t xml:space="preserve"> overlooked, </w:t>
      </w:r>
      <w:r w:rsidR="00830C15" w:rsidRPr="008D6FFA">
        <w:rPr>
          <w:rFonts w:ascii="Garamond" w:hAnsi="Garamond"/>
          <w:sz w:val="22"/>
          <w:szCs w:val="22"/>
        </w:rPr>
        <w:t xml:space="preserve">troubling consequence of the </w:t>
      </w:r>
      <w:r w:rsidR="00FE2AD9" w:rsidRPr="008D6FFA">
        <w:rPr>
          <w:rFonts w:ascii="Garamond" w:hAnsi="Garamond"/>
          <w:sz w:val="22"/>
          <w:szCs w:val="22"/>
        </w:rPr>
        <w:t>increasing concentration of</w:t>
      </w:r>
      <w:r w:rsidR="00830C15" w:rsidRPr="008D6FFA">
        <w:rPr>
          <w:rFonts w:ascii="Garamond" w:hAnsi="Garamond"/>
          <w:sz w:val="22"/>
          <w:szCs w:val="22"/>
        </w:rPr>
        <w:t xml:space="preserve"> power</w:t>
      </w:r>
      <w:r w:rsidR="007479B9" w:rsidRPr="008D6FFA">
        <w:rPr>
          <w:rFonts w:ascii="Garamond" w:hAnsi="Garamond"/>
          <w:sz w:val="22"/>
          <w:szCs w:val="22"/>
        </w:rPr>
        <w:t xml:space="preserve"> </w:t>
      </w:r>
      <w:r w:rsidR="00FE2AD9" w:rsidRPr="008D6FFA">
        <w:rPr>
          <w:rFonts w:ascii="Garamond" w:hAnsi="Garamond"/>
          <w:sz w:val="22"/>
          <w:szCs w:val="22"/>
        </w:rPr>
        <w:t>in the hand</w:t>
      </w:r>
      <w:r w:rsidR="00514367" w:rsidRPr="008D6FFA">
        <w:rPr>
          <w:rFonts w:ascii="Garamond" w:hAnsi="Garamond"/>
          <w:sz w:val="22"/>
          <w:szCs w:val="22"/>
        </w:rPr>
        <w:t>s</w:t>
      </w:r>
      <w:r w:rsidR="00FE2AD9" w:rsidRPr="008D6FFA">
        <w:rPr>
          <w:rFonts w:ascii="Garamond" w:hAnsi="Garamond"/>
          <w:sz w:val="22"/>
          <w:szCs w:val="22"/>
        </w:rPr>
        <w:t xml:space="preserve"> of a core group of </w:t>
      </w:r>
      <w:r w:rsidR="00FD7577" w:rsidRPr="008D6FFA">
        <w:rPr>
          <w:rFonts w:ascii="Garamond" w:hAnsi="Garamond"/>
          <w:sz w:val="22"/>
          <w:szCs w:val="22"/>
        </w:rPr>
        <w:t>giant</w:t>
      </w:r>
      <w:r w:rsidR="007479B9" w:rsidRPr="008D6FFA">
        <w:rPr>
          <w:rFonts w:ascii="Garamond" w:hAnsi="Garamond"/>
          <w:sz w:val="22"/>
          <w:szCs w:val="22"/>
        </w:rPr>
        <w:t xml:space="preserve"> institutional investors</w:t>
      </w:r>
      <w:r w:rsidR="008E5C89" w:rsidRPr="008D6FFA">
        <w:rPr>
          <w:rFonts w:ascii="Garamond" w:hAnsi="Garamond"/>
          <w:sz w:val="22"/>
          <w:szCs w:val="22"/>
        </w:rPr>
        <w:t>.</w:t>
      </w:r>
      <w:r w:rsidR="00632F6D" w:rsidRPr="008D6FFA">
        <w:rPr>
          <w:rFonts w:ascii="Garamond" w:hAnsi="Garamond"/>
          <w:sz w:val="22"/>
          <w:szCs w:val="22"/>
        </w:rPr>
        <w:t xml:space="preserve"> The growing literature on institutional ownership focuses on the</w:t>
      </w:r>
      <w:r w:rsidR="009D2004">
        <w:rPr>
          <w:rFonts w:ascii="Garamond" w:hAnsi="Garamond"/>
          <w:sz w:val="22"/>
          <w:szCs w:val="22"/>
        </w:rPr>
        <w:t xml:space="preserve"> potential</w:t>
      </w:r>
      <w:r w:rsidR="00632F6D" w:rsidRPr="008D6FFA">
        <w:rPr>
          <w:rFonts w:ascii="Garamond" w:hAnsi="Garamond"/>
          <w:sz w:val="22"/>
          <w:szCs w:val="22"/>
        </w:rPr>
        <w:t xml:space="preserve"> markets</w:t>
      </w:r>
      <w:r w:rsidR="009D2004">
        <w:rPr>
          <w:rFonts w:ascii="Garamond" w:hAnsi="Garamond"/>
          <w:sz w:val="22"/>
          <w:szCs w:val="22"/>
        </w:rPr>
        <w:t xml:space="preserve"> distortions that ensue in the markets</w:t>
      </w:r>
      <w:r w:rsidR="00632F6D" w:rsidRPr="008D6FFA">
        <w:rPr>
          <w:rFonts w:ascii="Garamond" w:hAnsi="Garamond"/>
          <w:sz w:val="22"/>
          <w:szCs w:val="22"/>
        </w:rPr>
        <w:t xml:space="preserve"> in which the portfolio companies </w:t>
      </w:r>
      <w:r w:rsidR="009D2004">
        <w:rPr>
          <w:rFonts w:ascii="Garamond" w:hAnsi="Garamond"/>
          <w:sz w:val="22"/>
          <w:szCs w:val="22"/>
        </w:rPr>
        <w:t xml:space="preserve">held by </w:t>
      </w:r>
      <w:r w:rsidR="00632F6D" w:rsidRPr="008D6FFA">
        <w:rPr>
          <w:rFonts w:ascii="Garamond" w:hAnsi="Garamond"/>
          <w:sz w:val="22"/>
          <w:szCs w:val="22"/>
        </w:rPr>
        <w:t xml:space="preserve">large, </w:t>
      </w:r>
      <w:r w:rsidR="009D2004">
        <w:rPr>
          <w:rFonts w:ascii="Garamond" w:hAnsi="Garamond"/>
          <w:sz w:val="22"/>
          <w:szCs w:val="22"/>
        </w:rPr>
        <w:t>diversified</w:t>
      </w:r>
      <w:r w:rsidR="009D2004" w:rsidRPr="008D6FFA">
        <w:rPr>
          <w:rFonts w:ascii="Garamond" w:hAnsi="Garamond"/>
          <w:sz w:val="22"/>
          <w:szCs w:val="22"/>
        </w:rPr>
        <w:t xml:space="preserve"> </w:t>
      </w:r>
      <w:r w:rsidR="00632F6D" w:rsidRPr="008D6FFA">
        <w:rPr>
          <w:rFonts w:ascii="Garamond" w:hAnsi="Garamond"/>
          <w:sz w:val="22"/>
          <w:szCs w:val="22"/>
        </w:rPr>
        <w:t xml:space="preserve">institutional investors compete (Azar, </w:t>
      </w:r>
      <w:proofErr w:type="spellStart"/>
      <w:r w:rsidR="00632F6D" w:rsidRPr="008D6FFA">
        <w:rPr>
          <w:rFonts w:ascii="Garamond" w:hAnsi="Garamond"/>
          <w:sz w:val="22"/>
          <w:szCs w:val="22"/>
        </w:rPr>
        <w:t>Tecu</w:t>
      </w:r>
      <w:proofErr w:type="spellEnd"/>
      <w:r w:rsidR="00632F6D" w:rsidRPr="008D6FFA">
        <w:rPr>
          <w:rFonts w:ascii="Garamond" w:hAnsi="Garamond"/>
          <w:sz w:val="22"/>
          <w:szCs w:val="22"/>
        </w:rPr>
        <w:t xml:space="preserve"> &amp; </w:t>
      </w:r>
      <w:proofErr w:type="spellStart"/>
      <w:r w:rsidR="00632F6D" w:rsidRPr="008D6FFA">
        <w:rPr>
          <w:rFonts w:ascii="Garamond" w:hAnsi="Garamond"/>
          <w:sz w:val="22"/>
          <w:szCs w:val="22"/>
        </w:rPr>
        <w:t>Schmeltz</w:t>
      </w:r>
      <w:proofErr w:type="spellEnd"/>
      <w:r w:rsidR="00632F6D" w:rsidRPr="008D6FFA">
        <w:rPr>
          <w:rFonts w:ascii="Garamond" w:hAnsi="Garamond"/>
          <w:sz w:val="22"/>
          <w:szCs w:val="22"/>
        </w:rPr>
        <w:t xml:space="preserve"> 2018; Azar, Marinescu &amp; </w:t>
      </w:r>
      <w:proofErr w:type="spellStart"/>
      <w:r w:rsidR="00632F6D" w:rsidRPr="008D6FFA">
        <w:rPr>
          <w:rFonts w:ascii="Garamond" w:hAnsi="Garamond"/>
          <w:sz w:val="22"/>
          <w:szCs w:val="22"/>
        </w:rPr>
        <w:t>Steinbaum</w:t>
      </w:r>
      <w:proofErr w:type="spellEnd"/>
      <w:r w:rsidR="00632F6D" w:rsidRPr="008D6FFA">
        <w:rPr>
          <w:rFonts w:ascii="Garamond" w:hAnsi="Garamond"/>
          <w:sz w:val="22"/>
          <w:szCs w:val="22"/>
        </w:rPr>
        <w:t xml:space="preserve"> 2022). We advocate a shift in focus. We assert that attention should be redirected to the markets where these investors directly </w:t>
      </w:r>
      <w:proofErr w:type="gramStart"/>
      <w:r w:rsidR="00632F6D" w:rsidRPr="008D6FFA">
        <w:rPr>
          <w:rFonts w:ascii="Garamond" w:hAnsi="Garamond"/>
          <w:sz w:val="22"/>
          <w:szCs w:val="22"/>
        </w:rPr>
        <w:t>compete with each other</w:t>
      </w:r>
      <w:proofErr w:type="gramEnd"/>
      <w:r w:rsidR="00632F6D" w:rsidRPr="008D6FFA">
        <w:rPr>
          <w:rFonts w:ascii="Garamond" w:hAnsi="Garamond"/>
          <w:sz w:val="22"/>
          <w:szCs w:val="22"/>
        </w:rPr>
        <w:t xml:space="preserve">—namely, </w:t>
      </w:r>
      <w:r w:rsidR="00632F6D" w:rsidRPr="008D6FFA">
        <w:rPr>
          <w:rFonts w:ascii="Garamond" w:hAnsi="Garamond"/>
          <w:i/>
          <w:iCs/>
          <w:sz w:val="22"/>
          <w:szCs w:val="22"/>
        </w:rPr>
        <w:t>primary and secondary markets</w:t>
      </w:r>
      <w:r w:rsidR="00632F6D" w:rsidRPr="008D6FFA">
        <w:rPr>
          <w:rFonts w:ascii="Garamond" w:hAnsi="Garamond"/>
          <w:sz w:val="22"/>
          <w:szCs w:val="22"/>
        </w:rPr>
        <w:t>.</w:t>
      </w:r>
    </w:p>
    <w:p w14:paraId="646247F0" w14:textId="77777777" w:rsidR="00B5168D" w:rsidRPr="008D6FFA" w:rsidRDefault="00B5168D" w:rsidP="00A32047">
      <w:pPr>
        <w:spacing w:line="360" w:lineRule="auto"/>
        <w:ind w:firstLine="426"/>
        <w:jc w:val="both"/>
        <w:rPr>
          <w:rFonts w:ascii="Garamond" w:hAnsi="Garamond"/>
          <w:sz w:val="22"/>
          <w:szCs w:val="22"/>
        </w:rPr>
      </w:pPr>
    </w:p>
    <w:p w14:paraId="633B1FC0" w14:textId="7F5E7CE0" w:rsidR="006F5F20" w:rsidRPr="008D6FFA" w:rsidRDefault="00722FC6" w:rsidP="00722FC6">
      <w:pPr>
        <w:spacing w:line="360" w:lineRule="auto"/>
        <w:jc w:val="both"/>
        <w:rPr>
          <w:rFonts w:ascii="Garamond" w:hAnsi="Garamond"/>
          <w:sz w:val="22"/>
          <w:szCs w:val="22"/>
        </w:rPr>
      </w:pPr>
      <w:r w:rsidRPr="008D6FFA">
        <w:rPr>
          <w:rFonts w:ascii="Garamond" w:hAnsi="Garamond"/>
          <w:sz w:val="22"/>
          <w:szCs w:val="22"/>
          <w:u w:val="single"/>
        </w:rPr>
        <w:t>Significance</w:t>
      </w:r>
      <w:r w:rsidR="00FE0438" w:rsidRPr="008D6FFA">
        <w:rPr>
          <w:rFonts w:ascii="Garamond" w:hAnsi="Garamond"/>
          <w:sz w:val="22"/>
          <w:szCs w:val="22"/>
        </w:rPr>
        <w:t>:</w:t>
      </w:r>
    </w:p>
    <w:p w14:paraId="34C902B7" w14:textId="4D9FEDE5" w:rsidR="00A46F3B" w:rsidRDefault="00027782" w:rsidP="00B84F9A">
      <w:pPr>
        <w:spacing w:line="360" w:lineRule="auto"/>
        <w:ind w:firstLine="426"/>
        <w:jc w:val="both"/>
        <w:rPr>
          <w:rFonts w:ascii="Garamond" w:hAnsi="Garamond"/>
          <w:sz w:val="22"/>
          <w:szCs w:val="22"/>
        </w:rPr>
      </w:pPr>
      <w:r w:rsidRPr="008D6FFA">
        <w:rPr>
          <w:rFonts w:ascii="Garamond" w:hAnsi="Garamond"/>
          <w:sz w:val="22"/>
          <w:szCs w:val="22"/>
        </w:rPr>
        <w:t xml:space="preserve">Our </w:t>
      </w:r>
      <w:r w:rsidR="00D6552A" w:rsidRPr="008D6FFA">
        <w:rPr>
          <w:rFonts w:ascii="Garamond" w:hAnsi="Garamond"/>
          <w:sz w:val="22"/>
          <w:szCs w:val="22"/>
        </w:rPr>
        <w:t xml:space="preserve">proposed </w:t>
      </w:r>
      <w:r w:rsidRPr="008D6FFA">
        <w:rPr>
          <w:rFonts w:ascii="Garamond" w:hAnsi="Garamond"/>
          <w:sz w:val="22"/>
          <w:szCs w:val="22"/>
        </w:rPr>
        <w:t xml:space="preserve">project </w:t>
      </w:r>
      <w:r w:rsidR="006108B0" w:rsidRPr="008D6FFA">
        <w:rPr>
          <w:rFonts w:ascii="Garamond" w:hAnsi="Garamond"/>
          <w:sz w:val="22"/>
          <w:szCs w:val="22"/>
        </w:rPr>
        <w:t xml:space="preserve">will make </w:t>
      </w:r>
      <w:r w:rsidR="0012079B" w:rsidRPr="008D6FFA">
        <w:rPr>
          <w:rFonts w:ascii="Garamond" w:hAnsi="Garamond"/>
          <w:sz w:val="22"/>
          <w:szCs w:val="22"/>
        </w:rPr>
        <w:t>significant</w:t>
      </w:r>
      <w:r w:rsidRPr="008D6FFA">
        <w:rPr>
          <w:rFonts w:ascii="Garamond" w:hAnsi="Garamond"/>
          <w:sz w:val="22"/>
          <w:szCs w:val="22"/>
        </w:rPr>
        <w:t xml:space="preserve"> contributions to legal scholarship. First, </w:t>
      </w:r>
      <w:r w:rsidR="00F77542" w:rsidRPr="008D6FFA">
        <w:rPr>
          <w:rFonts w:ascii="Garamond" w:hAnsi="Garamond"/>
          <w:sz w:val="22"/>
          <w:szCs w:val="22"/>
        </w:rPr>
        <w:t xml:space="preserve">our theory aims to </w:t>
      </w:r>
      <w:r w:rsidR="00B84F9A">
        <w:rPr>
          <w:rFonts w:ascii="Garamond" w:hAnsi="Garamond"/>
          <w:sz w:val="22"/>
          <w:szCs w:val="22"/>
        </w:rPr>
        <w:t>add</w:t>
      </w:r>
      <w:r w:rsidR="00B84F9A" w:rsidRPr="008D6FFA">
        <w:rPr>
          <w:rFonts w:ascii="Garamond" w:hAnsi="Garamond"/>
          <w:sz w:val="22"/>
          <w:szCs w:val="22"/>
        </w:rPr>
        <w:t xml:space="preserve"> </w:t>
      </w:r>
      <w:r w:rsidR="006108B0" w:rsidRPr="008D6FFA">
        <w:rPr>
          <w:rFonts w:ascii="Garamond" w:hAnsi="Garamond"/>
          <w:sz w:val="22"/>
          <w:szCs w:val="22"/>
        </w:rPr>
        <w:t>an important</w:t>
      </w:r>
      <w:r w:rsidR="001833A9" w:rsidRPr="008D6FFA">
        <w:rPr>
          <w:rFonts w:ascii="Garamond" w:hAnsi="Garamond"/>
          <w:sz w:val="22"/>
          <w:szCs w:val="22"/>
        </w:rPr>
        <w:t xml:space="preserve"> </w:t>
      </w:r>
      <w:r w:rsidR="00F77542" w:rsidRPr="008D6FFA">
        <w:rPr>
          <w:rFonts w:ascii="Garamond" w:hAnsi="Garamond"/>
          <w:sz w:val="22"/>
          <w:szCs w:val="22"/>
        </w:rPr>
        <w:t xml:space="preserve">piece </w:t>
      </w:r>
      <w:r w:rsidR="00346826">
        <w:rPr>
          <w:rFonts w:ascii="Garamond" w:hAnsi="Garamond"/>
          <w:sz w:val="22"/>
          <w:szCs w:val="22"/>
        </w:rPr>
        <w:t>to</w:t>
      </w:r>
      <w:r w:rsidR="00346826" w:rsidRPr="008D6FFA">
        <w:rPr>
          <w:rFonts w:ascii="Garamond" w:hAnsi="Garamond"/>
          <w:sz w:val="22"/>
          <w:szCs w:val="22"/>
        </w:rPr>
        <w:t xml:space="preserve"> </w:t>
      </w:r>
      <w:r w:rsidR="00F77542" w:rsidRPr="008D6FFA">
        <w:rPr>
          <w:rFonts w:ascii="Garamond" w:hAnsi="Garamond"/>
          <w:sz w:val="22"/>
          <w:szCs w:val="22"/>
        </w:rPr>
        <w:t>the IPO underpricing puzzle.</w:t>
      </w:r>
      <w:r w:rsidR="000D0649" w:rsidRPr="008D6FFA">
        <w:rPr>
          <w:rFonts w:ascii="Garamond" w:hAnsi="Garamond"/>
          <w:sz w:val="22"/>
          <w:szCs w:val="22"/>
        </w:rPr>
        <w:t xml:space="preserve"> </w:t>
      </w:r>
      <w:r w:rsidR="00B84F9A" w:rsidRPr="00B84F9A">
        <w:rPr>
          <w:rFonts w:ascii="Garamond" w:hAnsi="Garamond"/>
          <w:sz w:val="22"/>
          <w:szCs w:val="22"/>
        </w:rPr>
        <w:t>Despite the plethora of studies examining this phenomenon, the persistence of IPO underpricing continues to challenge our understanding of market efficiency and the dynamics of capital formation</w:t>
      </w:r>
      <w:r w:rsidR="00B84F9A">
        <w:rPr>
          <w:rFonts w:ascii="Garamond" w:hAnsi="Garamond"/>
          <w:sz w:val="22"/>
          <w:szCs w:val="22"/>
        </w:rPr>
        <w:t xml:space="preserve"> </w:t>
      </w:r>
      <w:r w:rsidR="00567796" w:rsidRPr="008D6FFA">
        <w:rPr>
          <w:rFonts w:ascii="Garamond" w:hAnsi="Garamond"/>
          <w:sz w:val="22"/>
          <w:szCs w:val="22"/>
        </w:rPr>
        <w:t xml:space="preserve">(Katti &amp; </w:t>
      </w:r>
      <w:proofErr w:type="spellStart"/>
      <w:r w:rsidR="00567796" w:rsidRPr="008D6FFA">
        <w:rPr>
          <w:rFonts w:ascii="Garamond" w:hAnsi="Garamond"/>
          <w:sz w:val="22"/>
          <w:szCs w:val="22"/>
        </w:rPr>
        <w:t>Phani</w:t>
      </w:r>
      <w:proofErr w:type="spellEnd"/>
      <w:r w:rsidR="00567796" w:rsidRPr="008D6FFA">
        <w:rPr>
          <w:rFonts w:ascii="Garamond" w:hAnsi="Garamond"/>
          <w:sz w:val="22"/>
          <w:szCs w:val="22"/>
        </w:rPr>
        <w:t xml:space="preserve"> 2016, p. 35;</w:t>
      </w:r>
      <w:r w:rsidR="00AF5942" w:rsidRPr="008D6FFA">
        <w:rPr>
          <w:rFonts w:ascii="Garamond" w:hAnsi="Garamond"/>
          <w:sz w:val="22"/>
          <w:szCs w:val="22"/>
        </w:rPr>
        <w:t xml:space="preserve"> </w:t>
      </w:r>
      <w:proofErr w:type="spellStart"/>
      <w:r w:rsidR="00AF5942" w:rsidRPr="008D6FFA">
        <w:rPr>
          <w:rFonts w:ascii="Garamond" w:hAnsi="Garamond"/>
          <w:sz w:val="22"/>
          <w:szCs w:val="22"/>
        </w:rPr>
        <w:t>Ljungqvist</w:t>
      </w:r>
      <w:proofErr w:type="spellEnd"/>
      <w:r w:rsidR="00AF5942" w:rsidRPr="008D6FFA">
        <w:rPr>
          <w:rFonts w:ascii="Garamond" w:hAnsi="Garamond"/>
          <w:sz w:val="22"/>
          <w:szCs w:val="22"/>
        </w:rPr>
        <w:t xml:space="preserve"> &amp; Wilhelm 2003, p. 723</w:t>
      </w:r>
      <w:r w:rsidR="002B2B2F" w:rsidRPr="008D6FFA">
        <w:rPr>
          <w:rFonts w:ascii="Garamond" w:hAnsi="Garamond"/>
          <w:sz w:val="22"/>
          <w:szCs w:val="22"/>
        </w:rPr>
        <w:t>)</w:t>
      </w:r>
      <w:r w:rsidR="00722FC6" w:rsidRPr="008D6FFA">
        <w:rPr>
          <w:rFonts w:ascii="Garamond" w:hAnsi="Garamond"/>
          <w:sz w:val="22"/>
          <w:szCs w:val="22"/>
        </w:rPr>
        <w:t xml:space="preserve">. </w:t>
      </w:r>
      <w:r w:rsidR="00A46F3B">
        <w:rPr>
          <w:rFonts w:ascii="Garamond" w:hAnsi="Garamond"/>
          <w:sz w:val="22"/>
          <w:szCs w:val="22"/>
        </w:rPr>
        <w:t>Our</w:t>
      </w:r>
      <w:r w:rsidR="00A46F3B" w:rsidRPr="00A46F3B">
        <w:rPr>
          <w:rFonts w:ascii="Garamond" w:hAnsi="Garamond"/>
          <w:sz w:val="22"/>
          <w:szCs w:val="22"/>
        </w:rPr>
        <w:t xml:space="preserve"> analysis incorporates major capital market developments</w:t>
      </w:r>
      <w:r w:rsidR="006730E5">
        <w:rPr>
          <w:rFonts w:ascii="Garamond" w:hAnsi="Garamond"/>
          <w:sz w:val="22"/>
          <w:szCs w:val="22"/>
        </w:rPr>
        <w:t xml:space="preserve">, </w:t>
      </w:r>
      <w:r w:rsidR="00A46F3B" w:rsidRPr="00A46F3B">
        <w:rPr>
          <w:rFonts w:ascii="Garamond" w:hAnsi="Garamond"/>
          <w:sz w:val="22"/>
          <w:szCs w:val="22"/>
        </w:rPr>
        <w:t xml:space="preserve">most notably, the increasing concentration in asset management </w:t>
      </w:r>
      <w:r w:rsidR="00A46F3B">
        <w:rPr>
          <w:rFonts w:ascii="Garamond" w:hAnsi="Garamond"/>
          <w:sz w:val="22"/>
          <w:szCs w:val="22"/>
        </w:rPr>
        <w:t xml:space="preserve">industry </w:t>
      </w:r>
      <w:r w:rsidR="00A46F3B" w:rsidRPr="00A46F3B">
        <w:rPr>
          <w:rFonts w:ascii="Garamond" w:hAnsi="Garamond"/>
          <w:sz w:val="22"/>
          <w:szCs w:val="22"/>
        </w:rPr>
        <w:t>and the emergence of industry behemoths</w:t>
      </w:r>
      <w:r w:rsidR="00A46F3B">
        <w:rPr>
          <w:rFonts w:ascii="Garamond" w:hAnsi="Garamond"/>
          <w:sz w:val="22"/>
          <w:szCs w:val="22"/>
        </w:rPr>
        <w:t xml:space="preserve"> who are powerful, repeat players in the primary market</w:t>
      </w:r>
      <w:r w:rsidR="00A46F3B" w:rsidRPr="00A46F3B">
        <w:rPr>
          <w:rFonts w:ascii="Garamond" w:hAnsi="Garamond"/>
          <w:sz w:val="22"/>
          <w:szCs w:val="22"/>
        </w:rPr>
        <w:t>. By shifting the focus to the role of these actors, our theory offers explanatory power for the marked increase in IPO underpricing, which coincided with the rise of asset manager capitalism. This approach, therefore, addresses a significant gap in existing research, which has yet to fully account for the implications of these seismic shifts in the financial landscape.</w:t>
      </w:r>
    </w:p>
    <w:p w14:paraId="1FAF588E" w14:textId="3A180DA4" w:rsidR="00923726" w:rsidRPr="008D6FFA" w:rsidRDefault="00D6552A" w:rsidP="00082875">
      <w:pPr>
        <w:spacing w:line="360" w:lineRule="auto"/>
        <w:ind w:firstLine="426"/>
        <w:jc w:val="both"/>
        <w:rPr>
          <w:rFonts w:ascii="Garamond" w:hAnsi="Garamond"/>
          <w:sz w:val="22"/>
          <w:szCs w:val="22"/>
        </w:rPr>
      </w:pPr>
      <w:r w:rsidRPr="008D6FFA">
        <w:rPr>
          <w:rFonts w:ascii="Garamond" w:hAnsi="Garamond"/>
          <w:sz w:val="22"/>
          <w:szCs w:val="22"/>
        </w:rPr>
        <w:t>Second,</w:t>
      </w:r>
      <w:r w:rsidR="009D6350" w:rsidRPr="008D6FFA">
        <w:rPr>
          <w:rFonts w:ascii="Garamond" w:hAnsi="Garamond"/>
          <w:sz w:val="22"/>
          <w:szCs w:val="22"/>
        </w:rPr>
        <w:t xml:space="preserve"> our </w:t>
      </w:r>
      <w:r w:rsidR="00916A91" w:rsidRPr="008D6FFA">
        <w:rPr>
          <w:rFonts w:ascii="Garamond" w:hAnsi="Garamond"/>
          <w:sz w:val="22"/>
          <w:szCs w:val="22"/>
        </w:rPr>
        <w:t>theory</w:t>
      </w:r>
      <w:r w:rsidR="00752C1D" w:rsidRPr="008D6FFA">
        <w:rPr>
          <w:rFonts w:ascii="Garamond" w:hAnsi="Garamond"/>
          <w:sz w:val="22"/>
          <w:szCs w:val="22"/>
        </w:rPr>
        <w:t xml:space="preserve"> </w:t>
      </w:r>
      <w:r w:rsidR="001833A9" w:rsidRPr="008D6FFA">
        <w:rPr>
          <w:rFonts w:ascii="Garamond" w:hAnsi="Garamond"/>
          <w:sz w:val="22"/>
          <w:szCs w:val="22"/>
        </w:rPr>
        <w:t>underscores</w:t>
      </w:r>
      <w:r w:rsidR="00752C1D" w:rsidRPr="008D6FFA">
        <w:rPr>
          <w:rFonts w:ascii="Garamond" w:hAnsi="Garamond"/>
          <w:sz w:val="22"/>
          <w:szCs w:val="22"/>
        </w:rPr>
        <w:t xml:space="preserve"> the importance of the </w:t>
      </w:r>
      <w:r w:rsidR="000B5448" w:rsidRPr="008D6FFA">
        <w:rPr>
          <w:rFonts w:ascii="Garamond" w:hAnsi="Garamond"/>
          <w:sz w:val="22"/>
          <w:szCs w:val="22"/>
        </w:rPr>
        <w:t>institutional framework within which IPOs are conducted</w:t>
      </w:r>
      <w:r w:rsidR="006108B0" w:rsidRPr="008D6FFA">
        <w:rPr>
          <w:rFonts w:ascii="Garamond" w:hAnsi="Garamond"/>
          <w:sz w:val="22"/>
          <w:szCs w:val="22"/>
        </w:rPr>
        <w:t>. We will</w:t>
      </w:r>
      <w:r w:rsidR="009D4FC2" w:rsidRPr="008D6FFA">
        <w:rPr>
          <w:rFonts w:ascii="Garamond" w:hAnsi="Garamond"/>
          <w:sz w:val="22"/>
          <w:szCs w:val="22"/>
        </w:rPr>
        <w:t xml:space="preserve"> </w:t>
      </w:r>
      <w:r w:rsidR="000D2082" w:rsidRPr="008D6FFA">
        <w:rPr>
          <w:rFonts w:ascii="Garamond" w:hAnsi="Garamond"/>
          <w:sz w:val="22"/>
          <w:szCs w:val="22"/>
        </w:rPr>
        <w:t>demonstrate that</w:t>
      </w:r>
      <w:r w:rsidR="00175F97" w:rsidRPr="008D6FFA">
        <w:rPr>
          <w:rFonts w:ascii="Garamond" w:hAnsi="Garamond"/>
          <w:sz w:val="22"/>
          <w:szCs w:val="22"/>
        </w:rPr>
        <w:t xml:space="preserve"> </w:t>
      </w:r>
      <w:r w:rsidR="005F7BD1" w:rsidRPr="008D6FFA">
        <w:rPr>
          <w:rFonts w:ascii="Garamond" w:hAnsi="Garamond"/>
          <w:sz w:val="22"/>
          <w:szCs w:val="22"/>
        </w:rPr>
        <w:t>the effect of this framework</w:t>
      </w:r>
      <w:r w:rsidR="00175F97" w:rsidRPr="008D6FFA">
        <w:rPr>
          <w:rFonts w:ascii="Garamond" w:hAnsi="Garamond"/>
          <w:sz w:val="22"/>
          <w:szCs w:val="22"/>
        </w:rPr>
        <w:t xml:space="preserve"> on the </w:t>
      </w:r>
      <w:r w:rsidR="00E53C9E" w:rsidRPr="008D6FFA">
        <w:rPr>
          <w:rFonts w:ascii="Garamond" w:hAnsi="Garamond"/>
          <w:sz w:val="22"/>
          <w:szCs w:val="22"/>
        </w:rPr>
        <w:t>capital</w:t>
      </w:r>
      <w:r w:rsidR="005F7BD1" w:rsidRPr="008D6FFA">
        <w:rPr>
          <w:rFonts w:ascii="Garamond" w:hAnsi="Garamond"/>
          <w:sz w:val="22"/>
          <w:szCs w:val="22"/>
        </w:rPr>
        <w:t>-</w:t>
      </w:r>
      <w:r w:rsidR="00E53C9E" w:rsidRPr="008D6FFA">
        <w:rPr>
          <w:rFonts w:ascii="Garamond" w:hAnsi="Garamond"/>
          <w:sz w:val="22"/>
          <w:szCs w:val="22"/>
        </w:rPr>
        <w:t>raising</w:t>
      </w:r>
      <w:r w:rsidR="00175F97" w:rsidRPr="008D6FFA">
        <w:rPr>
          <w:rFonts w:ascii="Garamond" w:hAnsi="Garamond"/>
          <w:sz w:val="22"/>
          <w:szCs w:val="22"/>
        </w:rPr>
        <w:t xml:space="preserve"> process </w:t>
      </w:r>
      <w:r w:rsidR="000D2082" w:rsidRPr="008D6FFA">
        <w:rPr>
          <w:rFonts w:ascii="Garamond" w:hAnsi="Garamond"/>
          <w:sz w:val="22"/>
          <w:szCs w:val="22"/>
        </w:rPr>
        <w:t>depends</w:t>
      </w:r>
      <w:r w:rsidR="00175F97" w:rsidRPr="008D6FFA">
        <w:rPr>
          <w:rFonts w:ascii="Garamond" w:hAnsi="Garamond"/>
          <w:sz w:val="22"/>
          <w:szCs w:val="22"/>
        </w:rPr>
        <w:t xml:space="preserve"> </w:t>
      </w:r>
      <w:r w:rsidR="005F7BD1" w:rsidRPr="008D6FFA">
        <w:rPr>
          <w:rFonts w:ascii="Garamond" w:hAnsi="Garamond"/>
          <w:sz w:val="22"/>
          <w:szCs w:val="22"/>
        </w:rPr>
        <w:t xml:space="preserve">largely </w:t>
      </w:r>
      <w:r w:rsidR="00175F97" w:rsidRPr="008D6FFA">
        <w:rPr>
          <w:rFonts w:ascii="Garamond" w:hAnsi="Garamond"/>
          <w:sz w:val="22"/>
          <w:szCs w:val="22"/>
        </w:rPr>
        <w:t>on</w:t>
      </w:r>
      <w:r w:rsidR="00B20CC5" w:rsidRPr="008D6FFA">
        <w:rPr>
          <w:rFonts w:ascii="Garamond" w:hAnsi="Garamond"/>
          <w:sz w:val="22"/>
          <w:szCs w:val="22"/>
        </w:rPr>
        <w:t xml:space="preserve"> </w:t>
      </w:r>
      <w:r w:rsidR="006730E5">
        <w:rPr>
          <w:rFonts w:ascii="Garamond" w:hAnsi="Garamond"/>
          <w:sz w:val="22"/>
          <w:szCs w:val="22"/>
        </w:rPr>
        <w:t>capital</w:t>
      </w:r>
      <w:r w:rsidR="001703AD" w:rsidRPr="008D6FFA">
        <w:rPr>
          <w:rFonts w:ascii="Garamond" w:hAnsi="Garamond"/>
          <w:sz w:val="22"/>
          <w:szCs w:val="22"/>
        </w:rPr>
        <w:t xml:space="preserve"> </w:t>
      </w:r>
      <w:proofErr w:type="gramStart"/>
      <w:r w:rsidR="00175F97" w:rsidRPr="008D6FFA">
        <w:rPr>
          <w:rFonts w:ascii="Garamond" w:hAnsi="Garamond"/>
          <w:sz w:val="22"/>
          <w:szCs w:val="22"/>
        </w:rPr>
        <w:t>market</w:t>
      </w:r>
      <w:r w:rsidR="001703AD">
        <w:rPr>
          <w:rFonts w:ascii="Garamond" w:hAnsi="Garamond"/>
          <w:sz w:val="22"/>
          <w:szCs w:val="22"/>
        </w:rPr>
        <w:t>s</w:t>
      </w:r>
      <w:proofErr w:type="gramEnd"/>
      <w:r w:rsidR="00175F97" w:rsidRPr="008D6FFA">
        <w:rPr>
          <w:rFonts w:ascii="Garamond" w:hAnsi="Garamond"/>
          <w:sz w:val="22"/>
          <w:szCs w:val="22"/>
        </w:rPr>
        <w:t xml:space="preserve"> structure</w:t>
      </w:r>
      <w:r w:rsidR="00027983" w:rsidRPr="008D6FFA">
        <w:rPr>
          <w:rFonts w:ascii="Garamond" w:hAnsi="Garamond"/>
          <w:sz w:val="22"/>
          <w:szCs w:val="22"/>
        </w:rPr>
        <w:t xml:space="preserve">. </w:t>
      </w:r>
      <w:r w:rsidR="003978F2" w:rsidRPr="008D6FFA">
        <w:rPr>
          <w:rFonts w:ascii="Garamond" w:hAnsi="Garamond"/>
          <w:sz w:val="22"/>
          <w:szCs w:val="22"/>
        </w:rPr>
        <w:t>Specifically, we</w:t>
      </w:r>
      <w:r w:rsidRPr="008D6FFA">
        <w:rPr>
          <w:rFonts w:ascii="Garamond" w:hAnsi="Garamond"/>
          <w:sz w:val="22"/>
          <w:szCs w:val="22"/>
        </w:rPr>
        <w:t xml:space="preserve"> </w:t>
      </w:r>
      <w:r w:rsidR="005F7BD1" w:rsidRPr="008D6FFA">
        <w:rPr>
          <w:rFonts w:ascii="Garamond" w:hAnsi="Garamond"/>
          <w:sz w:val="22"/>
          <w:szCs w:val="22"/>
        </w:rPr>
        <w:t xml:space="preserve">will </w:t>
      </w:r>
      <w:r w:rsidR="00961ACC" w:rsidRPr="008D6FFA">
        <w:rPr>
          <w:rFonts w:ascii="Garamond" w:hAnsi="Garamond"/>
          <w:sz w:val="22"/>
          <w:szCs w:val="22"/>
        </w:rPr>
        <w:t>ca</w:t>
      </w:r>
      <w:r w:rsidR="006347EB" w:rsidRPr="008D6FFA">
        <w:rPr>
          <w:rFonts w:ascii="Garamond" w:hAnsi="Garamond"/>
          <w:sz w:val="22"/>
          <w:szCs w:val="22"/>
        </w:rPr>
        <w:t>ll</w:t>
      </w:r>
      <w:r w:rsidR="00F60A84" w:rsidRPr="008D6FFA">
        <w:rPr>
          <w:rFonts w:ascii="Garamond" w:hAnsi="Garamond"/>
          <w:sz w:val="22"/>
          <w:szCs w:val="22"/>
        </w:rPr>
        <w:t xml:space="preserve"> into question the efficiency of the traditional </w:t>
      </w:r>
      <w:r w:rsidR="00EC1AC2" w:rsidRPr="008D6FFA">
        <w:rPr>
          <w:rFonts w:ascii="Garamond" w:hAnsi="Garamond"/>
          <w:sz w:val="22"/>
          <w:szCs w:val="22"/>
        </w:rPr>
        <w:t>book-building</w:t>
      </w:r>
      <w:r w:rsidR="00F60A84" w:rsidRPr="008D6FFA">
        <w:rPr>
          <w:rFonts w:ascii="Garamond" w:hAnsi="Garamond"/>
          <w:sz w:val="22"/>
          <w:szCs w:val="22"/>
        </w:rPr>
        <w:t xml:space="preserve"> </w:t>
      </w:r>
      <w:r w:rsidR="00E962E0" w:rsidRPr="008D6FFA">
        <w:rPr>
          <w:rFonts w:ascii="Garamond" w:hAnsi="Garamond"/>
          <w:sz w:val="22"/>
          <w:szCs w:val="22"/>
        </w:rPr>
        <w:t>method</w:t>
      </w:r>
      <w:r w:rsidR="00F60A84" w:rsidRPr="008D6FFA">
        <w:rPr>
          <w:rFonts w:ascii="Garamond" w:hAnsi="Garamond"/>
          <w:sz w:val="22"/>
          <w:szCs w:val="22"/>
        </w:rPr>
        <w:t xml:space="preserve"> in </w:t>
      </w:r>
      <w:r w:rsidR="007F01F4" w:rsidRPr="008D6FFA">
        <w:rPr>
          <w:rFonts w:ascii="Garamond" w:hAnsi="Garamond"/>
          <w:sz w:val="22"/>
          <w:szCs w:val="22"/>
        </w:rPr>
        <w:t>modern</w:t>
      </w:r>
      <w:r w:rsidR="000A1DC8" w:rsidRPr="008D6FFA">
        <w:rPr>
          <w:rFonts w:ascii="Garamond" w:hAnsi="Garamond"/>
          <w:sz w:val="22"/>
          <w:szCs w:val="22"/>
        </w:rPr>
        <w:t xml:space="preserve"> U.S.</w:t>
      </w:r>
      <w:r w:rsidR="007F01F4" w:rsidRPr="008D6FFA">
        <w:rPr>
          <w:rFonts w:ascii="Garamond" w:hAnsi="Garamond"/>
          <w:sz w:val="22"/>
          <w:szCs w:val="22"/>
        </w:rPr>
        <w:t xml:space="preserve"> </w:t>
      </w:r>
      <w:r w:rsidR="00F60A84" w:rsidRPr="008D6FFA">
        <w:rPr>
          <w:rFonts w:ascii="Garamond" w:hAnsi="Garamond"/>
          <w:sz w:val="22"/>
          <w:szCs w:val="22"/>
        </w:rPr>
        <w:t xml:space="preserve">capital markets. </w:t>
      </w:r>
      <w:r w:rsidR="00FA6931" w:rsidRPr="008D6FFA">
        <w:rPr>
          <w:rFonts w:ascii="Garamond" w:hAnsi="Garamond"/>
          <w:sz w:val="22"/>
          <w:szCs w:val="22"/>
        </w:rPr>
        <w:t xml:space="preserve">The </w:t>
      </w:r>
      <w:r w:rsidR="005F7BD1" w:rsidRPr="008D6FFA">
        <w:rPr>
          <w:rFonts w:ascii="Garamond" w:hAnsi="Garamond"/>
          <w:sz w:val="22"/>
          <w:szCs w:val="22"/>
        </w:rPr>
        <w:t xml:space="preserve">book-building method </w:t>
      </w:r>
      <w:r w:rsidR="00FA6931" w:rsidRPr="008D6FFA">
        <w:rPr>
          <w:rFonts w:ascii="Garamond" w:hAnsi="Garamond"/>
          <w:sz w:val="22"/>
          <w:szCs w:val="22"/>
        </w:rPr>
        <w:t xml:space="preserve">was originally </w:t>
      </w:r>
      <w:r w:rsidR="00895E52" w:rsidRPr="008D6FFA">
        <w:rPr>
          <w:rFonts w:ascii="Garamond" w:hAnsi="Garamond"/>
          <w:sz w:val="22"/>
          <w:szCs w:val="22"/>
        </w:rPr>
        <w:t>devised</w:t>
      </w:r>
      <w:r w:rsidR="00FA6931" w:rsidRPr="008D6FFA">
        <w:rPr>
          <w:rFonts w:ascii="Garamond" w:hAnsi="Garamond"/>
          <w:sz w:val="22"/>
          <w:szCs w:val="22"/>
        </w:rPr>
        <w:t xml:space="preserve"> to </w:t>
      </w:r>
      <w:r w:rsidR="005F7BD1" w:rsidRPr="008D6FFA">
        <w:rPr>
          <w:rFonts w:ascii="Garamond" w:hAnsi="Garamond"/>
          <w:sz w:val="22"/>
          <w:szCs w:val="22"/>
        </w:rPr>
        <w:t xml:space="preserve">facilitate </w:t>
      </w:r>
      <w:r w:rsidR="00FA6931" w:rsidRPr="008D6FFA">
        <w:rPr>
          <w:rFonts w:ascii="Garamond" w:hAnsi="Garamond"/>
          <w:sz w:val="22"/>
          <w:szCs w:val="22"/>
        </w:rPr>
        <w:t>price discovery in a cost-effective way</w:t>
      </w:r>
      <w:r w:rsidR="005F7BD1" w:rsidRPr="008D6FFA">
        <w:rPr>
          <w:rFonts w:ascii="Garamond" w:hAnsi="Garamond"/>
          <w:sz w:val="22"/>
          <w:szCs w:val="22"/>
        </w:rPr>
        <w:t>,</w:t>
      </w:r>
      <w:r w:rsidR="00FA6931" w:rsidRPr="008D6FFA">
        <w:rPr>
          <w:rFonts w:ascii="Garamond" w:hAnsi="Garamond"/>
          <w:sz w:val="22"/>
          <w:szCs w:val="22"/>
        </w:rPr>
        <w:t xml:space="preserve"> by enabling issuers and underwriters to incorporate</w:t>
      </w:r>
      <w:r w:rsidR="00B54D92" w:rsidRPr="008D6FFA">
        <w:rPr>
          <w:rFonts w:ascii="Garamond" w:hAnsi="Garamond"/>
          <w:sz w:val="22"/>
          <w:szCs w:val="22"/>
        </w:rPr>
        <w:t xml:space="preserve"> </w:t>
      </w:r>
      <w:r w:rsidR="00FA6931" w:rsidRPr="008D6FFA">
        <w:rPr>
          <w:rFonts w:ascii="Garamond" w:hAnsi="Garamond"/>
          <w:sz w:val="22"/>
          <w:szCs w:val="22"/>
        </w:rPr>
        <w:t>market information from</w:t>
      </w:r>
      <w:r w:rsidR="00D1104E" w:rsidRPr="008D6FFA">
        <w:rPr>
          <w:rFonts w:ascii="Garamond" w:hAnsi="Garamond"/>
          <w:sz w:val="22"/>
          <w:szCs w:val="22"/>
        </w:rPr>
        <w:t xml:space="preserve"> sophisticated</w:t>
      </w:r>
      <w:r w:rsidR="00FA6931" w:rsidRPr="008D6FFA">
        <w:rPr>
          <w:rFonts w:ascii="Garamond" w:hAnsi="Garamond"/>
          <w:sz w:val="22"/>
          <w:szCs w:val="22"/>
        </w:rPr>
        <w:t xml:space="preserve"> institutional investors</w:t>
      </w:r>
      <w:r w:rsidR="00D1104E" w:rsidRPr="008D6FFA">
        <w:rPr>
          <w:rFonts w:ascii="Garamond" w:hAnsi="Garamond"/>
          <w:sz w:val="22"/>
          <w:szCs w:val="22"/>
        </w:rPr>
        <w:t xml:space="preserve"> </w:t>
      </w:r>
      <w:r w:rsidR="005F7BD1" w:rsidRPr="008D6FFA">
        <w:rPr>
          <w:rFonts w:ascii="Garamond" w:hAnsi="Garamond"/>
          <w:sz w:val="22"/>
          <w:szCs w:val="22"/>
        </w:rPr>
        <w:t xml:space="preserve">into the final offer </w:t>
      </w:r>
      <w:r w:rsidR="00E0677F">
        <w:rPr>
          <w:rFonts w:ascii="Garamond" w:hAnsi="Garamond"/>
          <w:sz w:val="22"/>
          <w:szCs w:val="22"/>
        </w:rPr>
        <w:t>price and</w:t>
      </w:r>
      <w:r w:rsidR="00FA6931" w:rsidRPr="008D6FFA">
        <w:rPr>
          <w:rFonts w:ascii="Garamond" w:hAnsi="Garamond"/>
          <w:sz w:val="22"/>
          <w:szCs w:val="22"/>
        </w:rPr>
        <w:t xml:space="preserve"> </w:t>
      </w:r>
      <w:r w:rsidR="00B54D92" w:rsidRPr="008D6FFA">
        <w:rPr>
          <w:rFonts w:ascii="Garamond" w:hAnsi="Garamond"/>
          <w:sz w:val="22"/>
          <w:szCs w:val="22"/>
        </w:rPr>
        <w:t>aligning</w:t>
      </w:r>
      <w:r w:rsidR="00FA6931" w:rsidRPr="008D6FFA">
        <w:rPr>
          <w:rFonts w:ascii="Garamond" w:hAnsi="Garamond"/>
          <w:sz w:val="22"/>
          <w:szCs w:val="22"/>
        </w:rPr>
        <w:t xml:space="preserve"> it more closely with the intrinsic value of the stock (</w:t>
      </w:r>
      <w:proofErr w:type="spellStart"/>
      <w:r w:rsidR="00FA6931" w:rsidRPr="008D6FFA">
        <w:rPr>
          <w:rFonts w:ascii="Garamond" w:hAnsi="Garamond"/>
          <w:sz w:val="22"/>
          <w:szCs w:val="22"/>
        </w:rPr>
        <w:t>Biais</w:t>
      </w:r>
      <w:proofErr w:type="spellEnd"/>
      <w:r w:rsidR="00FA6931" w:rsidRPr="008D6FFA">
        <w:rPr>
          <w:rFonts w:ascii="Garamond" w:hAnsi="Garamond"/>
          <w:sz w:val="22"/>
          <w:szCs w:val="22"/>
        </w:rPr>
        <w:t xml:space="preserve"> &amp; </w:t>
      </w:r>
      <w:proofErr w:type="spellStart"/>
      <w:r w:rsidR="00FA6931" w:rsidRPr="008D6FFA">
        <w:rPr>
          <w:rFonts w:ascii="Garamond" w:hAnsi="Garamond"/>
          <w:sz w:val="22"/>
          <w:szCs w:val="22"/>
        </w:rPr>
        <w:t>Faugeron-Crouzet</w:t>
      </w:r>
      <w:proofErr w:type="spellEnd"/>
      <w:r w:rsidR="00FA6931" w:rsidRPr="008D6FFA">
        <w:rPr>
          <w:rFonts w:ascii="Garamond" w:hAnsi="Garamond"/>
          <w:sz w:val="22"/>
          <w:szCs w:val="22"/>
        </w:rPr>
        <w:t xml:space="preserve"> </w:t>
      </w:r>
      <w:r w:rsidR="00176CC6" w:rsidRPr="008D6FFA">
        <w:rPr>
          <w:rFonts w:ascii="Garamond" w:hAnsi="Garamond"/>
          <w:sz w:val="22"/>
          <w:szCs w:val="22"/>
        </w:rPr>
        <w:t>2002</w:t>
      </w:r>
      <w:r w:rsidR="00FA6931" w:rsidRPr="008D6FFA">
        <w:rPr>
          <w:rFonts w:ascii="Garamond" w:hAnsi="Garamond"/>
          <w:sz w:val="22"/>
          <w:szCs w:val="22"/>
        </w:rPr>
        <w:t>). W</w:t>
      </w:r>
      <w:r w:rsidR="00EC1AC2" w:rsidRPr="008D6FFA">
        <w:rPr>
          <w:rFonts w:ascii="Garamond" w:hAnsi="Garamond"/>
          <w:sz w:val="22"/>
          <w:szCs w:val="22"/>
        </w:rPr>
        <w:t xml:space="preserve">e </w:t>
      </w:r>
      <w:r w:rsidR="00FD7577" w:rsidRPr="008D6FFA">
        <w:rPr>
          <w:rFonts w:ascii="Garamond" w:hAnsi="Garamond"/>
          <w:sz w:val="22"/>
          <w:szCs w:val="22"/>
        </w:rPr>
        <w:t xml:space="preserve">expect </w:t>
      </w:r>
      <w:r w:rsidR="00EC1AC2" w:rsidRPr="008D6FFA">
        <w:rPr>
          <w:rFonts w:ascii="Garamond" w:hAnsi="Garamond"/>
          <w:sz w:val="22"/>
          <w:szCs w:val="22"/>
        </w:rPr>
        <w:t xml:space="preserve">to show that </w:t>
      </w:r>
      <w:r w:rsidR="00E962E0" w:rsidRPr="008D6FFA">
        <w:rPr>
          <w:rFonts w:ascii="Garamond" w:hAnsi="Garamond"/>
          <w:sz w:val="22"/>
          <w:szCs w:val="22"/>
        </w:rPr>
        <w:t>this process fails to serve its purpose when</w:t>
      </w:r>
      <w:r w:rsidR="00BB60B5" w:rsidRPr="008D6FFA">
        <w:rPr>
          <w:rFonts w:ascii="Garamond" w:hAnsi="Garamond"/>
          <w:sz w:val="22"/>
          <w:szCs w:val="22"/>
        </w:rPr>
        <w:t xml:space="preserve"> many of</w:t>
      </w:r>
      <w:r w:rsidR="00E962E0" w:rsidRPr="008D6FFA">
        <w:rPr>
          <w:rFonts w:ascii="Garamond" w:hAnsi="Garamond"/>
          <w:sz w:val="22"/>
          <w:szCs w:val="22"/>
        </w:rPr>
        <w:t xml:space="preserve"> the key participants in the process are </w:t>
      </w:r>
      <w:r w:rsidR="00B85C06" w:rsidRPr="008D6FFA">
        <w:rPr>
          <w:rFonts w:ascii="Garamond" w:hAnsi="Garamond"/>
          <w:sz w:val="22"/>
          <w:szCs w:val="22"/>
        </w:rPr>
        <w:t>concentrated</w:t>
      </w:r>
      <w:r w:rsidR="00E962E0" w:rsidRPr="008D6FFA">
        <w:rPr>
          <w:rFonts w:ascii="Garamond" w:hAnsi="Garamond"/>
          <w:sz w:val="22"/>
          <w:szCs w:val="22"/>
        </w:rPr>
        <w:t xml:space="preserve">, interconnected institutional investors </w:t>
      </w:r>
      <w:r w:rsidR="00F34D3F" w:rsidRPr="008D6FFA">
        <w:rPr>
          <w:rFonts w:ascii="Garamond" w:hAnsi="Garamond"/>
          <w:sz w:val="22"/>
          <w:szCs w:val="22"/>
        </w:rPr>
        <w:t>possess</w:t>
      </w:r>
      <w:r w:rsidR="0071262E" w:rsidRPr="008D6FFA">
        <w:rPr>
          <w:rFonts w:ascii="Garamond" w:hAnsi="Garamond"/>
          <w:sz w:val="22"/>
          <w:szCs w:val="22"/>
        </w:rPr>
        <w:t>ing</w:t>
      </w:r>
      <w:r w:rsidR="007A14AE" w:rsidRPr="008D6FFA">
        <w:rPr>
          <w:rFonts w:ascii="Garamond" w:hAnsi="Garamond"/>
          <w:sz w:val="22"/>
          <w:szCs w:val="22"/>
        </w:rPr>
        <w:t xml:space="preserve"> market power </w:t>
      </w:r>
      <w:r w:rsidR="00352F68" w:rsidRPr="008D6FFA">
        <w:rPr>
          <w:rFonts w:ascii="Garamond" w:hAnsi="Garamond"/>
          <w:sz w:val="22"/>
          <w:szCs w:val="22"/>
        </w:rPr>
        <w:t>over issuers and underwriters</w:t>
      </w:r>
      <w:r w:rsidR="00E962E0" w:rsidRPr="008D6FFA">
        <w:rPr>
          <w:rFonts w:ascii="Garamond" w:hAnsi="Garamond"/>
          <w:sz w:val="22"/>
          <w:szCs w:val="22"/>
        </w:rPr>
        <w:t>.</w:t>
      </w:r>
      <w:r w:rsidR="001E4177" w:rsidRPr="008D6FFA">
        <w:rPr>
          <w:rFonts w:ascii="Garamond" w:hAnsi="Garamond"/>
          <w:sz w:val="22"/>
          <w:szCs w:val="22"/>
        </w:rPr>
        <w:t xml:space="preserve"> </w:t>
      </w:r>
    </w:p>
    <w:p w14:paraId="7C0CD267" w14:textId="1689B928" w:rsidR="002777A9" w:rsidRDefault="00700F5C" w:rsidP="00E62329">
      <w:pPr>
        <w:spacing w:line="360" w:lineRule="auto"/>
        <w:ind w:firstLine="426"/>
        <w:jc w:val="both"/>
        <w:rPr>
          <w:rFonts w:ascii="Garamond" w:hAnsi="Garamond"/>
          <w:sz w:val="22"/>
          <w:szCs w:val="22"/>
        </w:rPr>
      </w:pPr>
      <w:r w:rsidRPr="008D6FFA">
        <w:rPr>
          <w:rFonts w:ascii="Garamond" w:hAnsi="Garamond"/>
          <w:sz w:val="22"/>
          <w:szCs w:val="22"/>
        </w:rPr>
        <w:lastRenderedPageBreak/>
        <w:t xml:space="preserve">Third, </w:t>
      </w:r>
      <w:r w:rsidR="00ED6721" w:rsidRPr="008D6FFA">
        <w:rPr>
          <w:rFonts w:ascii="Garamond" w:hAnsi="Garamond"/>
          <w:sz w:val="22"/>
          <w:szCs w:val="22"/>
        </w:rPr>
        <w:t>the proposed</w:t>
      </w:r>
      <w:r w:rsidR="00D0646E" w:rsidRPr="008D6FFA">
        <w:rPr>
          <w:rFonts w:ascii="Garamond" w:hAnsi="Garamond"/>
          <w:sz w:val="22"/>
          <w:szCs w:val="22"/>
        </w:rPr>
        <w:t xml:space="preserve"> </w:t>
      </w:r>
      <w:r w:rsidR="002227A2" w:rsidRPr="008D6FFA">
        <w:rPr>
          <w:rFonts w:ascii="Garamond" w:hAnsi="Garamond"/>
          <w:sz w:val="22"/>
          <w:szCs w:val="22"/>
        </w:rPr>
        <w:t xml:space="preserve">project </w:t>
      </w:r>
      <w:r w:rsidR="00776354" w:rsidRPr="008D6FFA">
        <w:rPr>
          <w:rFonts w:ascii="Garamond" w:hAnsi="Garamond"/>
          <w:sz w:val="22"/>
          <w:szCs w:val="22"/>
        </w:rPr>
        <w:t xml:space="preserve">adds a significant dimension to the case law and literature </w:t>
      </w:r>
      <w:r w:rsidR="00895E52" w:rsidRPr="008D6FFA">
        <w:rPr>
          <w:rFonts w:ascii="Garamond" w:hAnsi="Garamond"/>
          <w:sz w:val="22"/>
          <w:szCs w:val="22"/>
        </w:rPr>
        <w:t>analyzing</w:t>
      </w:r>
      <w:r w:rsidR="00776354" w:rsidRPr="008D6FFA">
        <w:rPr>
          <w:rFonts w:ascii="Garamond" w:hAnsi="Garamond"/>
          <w:sz w:val="22"/>
          <w:szCs w:val="22"/>
        </w:rPr>
        <w:t xml:space="preserve"> the intersection between capital markets and </w:t>
      </w:r>
      <w:r w:rsidR="00FE0D92">
        <w:rPr>
          <w:rFonts w:ascii="Garamond" w:hAnsi="Garamond"/>
          <w:sz w:val="22"/>
          <w:szCs w:val="22"/>
        </w:rPr>
        <w:t>competition</w:t>
      </w:r>
      <w:r w:rsidR="00FE0D92" w:rsidRPr="008D6FFA">
        <w:rPr>
          <w:rFonts w:ascii="Garamond" w:hAnsi="Garamond"/>
          <w:sz w:val="22"/>
          <w:szCs w:val="22"/>
        </w:rPr>
        <w:t xml:space="preserve"> </w:t>
      </w:r>
      <w:r w:rsidR="00776354" w:rsidRPr="008D6FFA">
        <w:rPr>
          <w:rFonts w:ascii="Garamond" w:hAnsi="Garamond"/>
          <w:sz w:val="22"/>
          <w:szCs w:val="22"/>
        </w:rPr>
        <w:t>law (</w:t>
      </w:r>
      <w:r w:rsidR="00792929" w:rsidRPr="008D6FFA">
        <w:rPr>
          <w:rFonts w:ascii="Garamond" w:hAnsi="Garamond"/>
          <w:sz w:val="22"/>
          <w:szCs w:val="22"/>
        </w:rPr>
        <w:t>Chaim 2023</w:t>
      </w:r>
      <w:r w:rsidR="00EA6AF3" w:rsidRPr="008D6FFA">
        <w:rPr>
          <w:rFonts w:ascii="Garamond" w:hAnsi="Garamond"/>
          <w:sz w:val="22"/>
          <w:szCs w:val="22"/>
        </w:rPr>
        <w:t>b</w:t>
      </w:r>
      <w:r w:rsidR="00792929" w:rsidRPr="008D6FFA">
        <w:rPr>
          <w:rFonts w:ascii="Garamond" w:hAnsi="Garamond"/>
          <w:sz w:val="22"/>
          <w:szCs w:val="22"/>
        </w:rPr>
        <w:t xml:space="preserve">; </w:t>
      </w:r>
      <w:proofErr w:type="spellStart"/>
      <w:r w:rsidR="00792929" w:rsidRPr="008D6FFA">
        <w:rPr>
          <w:rFonts w:ascii="Garamond" w:hAnsi="Garamond"/>
          <w:sz w:val="22"/>
          <w:szCs w:val="22"/>
        </w:rPr>
        <w:t>Piraino</w:t>
      </w:r>
      <w:proofErr w:type="spellEnd"/>
      <w:r w:rsidR="00792929" w:rsidRPr="008D6FFA">
        <w:rPr>
          <w:rFonts w:ascii="Garamond" w:hAnsi="Garamond"/>
          <w:sz w:val="22"/>
          <w:szCs w:val="22"/>
        </w:rPr>
        <w:t xml:space="preserve"> 2008; </w:t>
      </w:r>
      <w:r w:rsidR="00776354" w:rsidRPr="008D6FFA">
        <w:rPr>
          <w:rFonts w:ascii="Garamond" w:hAnsi="Garamond"/>
          <w:sz w:val="22"/>
          <w:szCs w:val="22"/>
        </w:rPr>
        <w:t xml:space="preserve">Rock </w:t>
      </w:r>
      <w:r w:rsidR="0033137C" w:rsidRPr="008D6FFA">
        <w:rPr>
          <w:rFonts w:ascii="Garamond" w:hAnsi="Garamond"/>
          <w:sz w:val="22"/>
          <w:szCs w:val="22"/>
        </w:rPr>
        <w:t>1992;</w:t>
      </w:r>
      <w:r w:rsidR="00E037A9" w:rsidRPr="008D6FFA">
        <w:rPr>
          <w:rFonts w:ascii="Garamond" w:hAnsi="Garamond"/>
          <w:sz w:val="22"/>
          <w:szCs w:val="22"/>
        </w:rPr>
        <w:t xml:space="preserve"> Waller </w:t>
      </w:r>
      <w:r w:rsidR="00176CC6" w:rsidRPr="008D6FFA">
        <w:rPr>
          <w:rFonts w:ascii="Garamond" w:hAnsi="Garamond"/>
          <w:sz w:val="22"/>
          <w:szCs w:val="22"/>
        </w:rPr>
        <w:t>2011</w:t>
      </w:r>
      <w:r w:rsidR="00776354" w:rsidRPr="008D6FFA">
        <w:rPr>
          <w:rFonts w:ascii="Garamond" w:hAnsi="Garamond"/>
          <w:sz w:val="22"/>
          <w:szCs w:val="22"/>
        </w:rPr>
        <w:t xml:space="preserve">). </w:t>
      </w:r>
      <w:r w:rsidR="00090DFD">
        <w:rPr>
          <w:rFonts w:ascii="Garamond" w:hAnsi="Garamond"/>
          <w:sz w:val="22"/>
          <w:szCs w:val="22"/>
        </w:rPr>
        <w:t>O</w:t>
      </w:r>
      <w:r w:rsidR="00090DFD" w:rsidRPr="008D6FFA">
        <w:rPr>
          <w:rFonts w:ascii="Garamond" w:hAnsi="Garamond"/>
          <w:sz w:val="22"/>
          <w:szCs w:val="22"/>
        </w:rPr>
        <w:t>ur research aims to uncover a major peril associated with the growing power and concentration of institutional investors, complementing the existing literature that explores the market distortions and suboptimal economic outcomes caused by</w:t>
      </w:r>
      <w:r w:rsidR="00090DFD">
        <w:rPr>
          <w:rFonts w:ascii="Garamond" w:hAnsi="Garamond"/>
          <w:sz w:val="22"/>
          <w:szCs w:val="22"/>
        </w:rPr>
        <w:t xml:space="preserve"> the</w:t>
      </w:r>
      <w:r w:rsidR="00090DFD" w:rsidRPr="008D6FFA">
        <w:rPr>
          <w:rFonts w:ascii="Garamond" w:hAnsi="Garamond"/>
          <w:sz w:val="22"/>
          <w:szCs w:val="22"/>
        </w:rPr>
        <w:t xml:space="preserve"> </w:t>
      </w:r>
      <w:r w:rsidR="00090DFD" w:rsidRPr="002777A9">
        <w:rPr>
          <w:rFonts w:ascii="Garamond" w:hAnsi="Garamond"/>
          <w:sz w:val="22"/>
          <w:szCs w:val="22"/>
        </w:rPr>
        <w:t>concentration of power among a core group of giant institutional investor</w:t>
      </w:r>
      <w:r w:rsidR="00090DFD">
        <w:rPr>
          <w:rFonts w:ascii="Garamond" w:hAnsi="Garamond"/>
          <w:sz w:val="22"/>
          <w:szCs w:val="22"/>
        </w:rPr>
        <w:t>s</w:t>
      </w:r>
      <w:r w:rsidR="00090DFD" w:rsidRPr="002777A9">
        <w:rPr>
          <w:rFonts w:ascii="Garamond" w:hAnsi="Garamond"/>
          <w:sz w:val="22"/>
          <w:szCs w:val="22"/>
        </w:rPr>
        <w:t xml:space="preserve"> </w:t>
      </w:r>
      <w:r w:rsidR="00090DFD" w:rsidRPr="008D6FFA">
        <w:rPr>
          <w:rFonts w:ascii="Garamond" w:hAnsi="Garamond"/>
          <w:sz w:val="22"/>
          <w:szCs w:val="22"/>
        </w:rPr>
        <w:t xml:space="preserve">(Azar, Marinescu &amp; </w:t>
      </w:r>
      <w:proofErr w:type="spellStart"/>
      <w:r w:rsidR="00090DFD" w:rsidRPr="008D6FFA">
        <w:rPr>
          <w:rFonts w:ascii="Garamond" w:hAnsi="Garamond"/>
          <w:sz w:val="22"/>
          <w:szCs w:val="22"/>
        </w:rPr>
        <w:t>Steinbaum</w:t>
      </w:r>
      <w:proofErr w:type="spellEnd"/>
      <w:r w:rsidR="00090DFD" w:rsidRPr="008D6FFA">
        <w:rPr>
          <w:rFonts w:ascii="Garamond" w:hAnsi="Garamond"/>
          <w:sz w:val="22"/>
          <w:szCs w:val="22"/>
        </w:rPr>
        <w:t xml:space="preserve"> 2022; Azar, </w:t>
      </w:r>
      <w:proofErr w:type="spellStart"/>
      <w:r w:rsidR="00090DFD" w:rsidRPr="008D6FFA">
        <w:rPr>
          <w:rFonts w:ascii="Garamond" w:hAnsi="Garamond"/>
          <w:sz w:val="22"/>
          <w:szCs w:val="22"/>
        </w:rPr>
        <w:t>Tecu</w:t>
      </w:r>
      <w:proofErr w:type="spellEnd"/>
      <w:r w:rsidR="00090DFD" w:rsidRPr="008D6FFA">
        <w:rPr>
          <w:rFonts w:ascii="Garamond" w:hAnsi="Garamond"/>
          <w:sz w:val="22"/>
          <w:szCs w:val="22"/>
        </w:rPr>
        <w:t xml:space="preserve"> &amp; </w:t>
      </w:r>
      <w:proofErr w:type="spellStart"/>
      <w:r w:rsidR="00090DFD" w:rsidRPr="008D6FFA">
        <w:rPr>
          <w:rFonts w:ascii="Garamond" w:hAnsi="Garamond"/>
          <w:sz w:val="22"/>
          <w:szCs w:val="22"/>
        </w:rPr>
        <w:t>Schmeltz</w:t>
      </w:r>
      <w:proofErr w:type="spellEnd"/>
      <w:r w:rsidR="00090DFD" w:rsidRPr="008D6FFA">
        <w:rPr>
          <w:rFonts w:ascii="Garamond" w:hAnsi="Garamond"/>
          <w:sz w:val="22"/>
          <w:szCs w:val="22"/>
        </w:rPr>
        <w:t xml:space="preserve"> 2018; </w:t>
      </w:r>
      <w:proofErr w:type="spellStart"/>
      <w:r w:rsidR="00090DFD" w:rsidRPr="008D6FFA">
        <w:rPr>
          <w:rFonts w:ascii="Garamond" w:hAnsi="Garamond"/>
          <w:sz w:val="22"/>
          <w:szCs w:val="22"/>
        </w:rPr>
        <w:t>Bebchuk</w:t>
      </w:r>
      <w:proofErr w:type="spellEnd"/>
      <w:r w:rsidR="00090DFD" w:rsidRPr="008D6FFA">
        <w:rPr>
          <w:rFonts w:ascii="Garamond" w:hAnsi="Garamond"/>
          <w:sz w:val="22"/>
          <w:szCs w:val="22"/>
        </w:rPr>
        <w:t xml:space="preserve">, Brav, Malenko &amp; Malenko 2023; </w:t>
      </w:r>
      <w:proofErr w:type="spellStart"/>
      <w:r w:rsidR="00090DFD" w:rsidRPr="008D6FFA">
        <w:rPr>
          <w:rFonts w:ascii="Garamond" w:hAnsi="Garamond"/>
          <w:sz w:val="22"/>
          <w:szCs w:val="22"/>
        </w:rPr>
        <w:t>Bebchuk</w:t>
      </w:r>
      <w:proofErr w:type="spellEnd"/>
      <w:r w:rsidR="00090DFD" w:rsidRPr="008D6FFA">
        <w:rPr>
          <w:rFonts w:ascii="Garamond" w:hAnsi="Garamond"/>
          <w:sz w:val="22"/>
          <w:szCs w:val="22"/>
        </w:rPr>
        <w:t xml:space="preserve"> &amp; Hirst 2019; Chaim 2023a; Chaim 2023b; Christie 2021; Coates 2023; Cohen &amp; Hirst 2017; Gilson &amp; Gordon 2013; Goshen &amp; Levit 2022; </w:t>
      </w:r>
      <w:proofErr w:type="spellStart"/>
      <w:r w:rsidR="00090DFD" w:rsidRPr="008D6FFA">
        <w:rPr>
          <w:rFonts w:ascii="Garamond" w:hAnsi="Garamond"/>
          <w:sz w:val="22"/>
          <w:szCs w:val="22"/>
        </w:rPr>
        <w:t>Schmeltz</w:t>
      </w:r>
      <w:proofErr w:type="spellEnd"/>
      <w:r w:rsidR="00090DFD" w:rsidRPr="008D6FFA">
        <w:rPr>
          <w:rFonts w:ascii="Garamond" w:hAnsi="Garamond"/>
          <w:sz w:val="22"/>
          <w:szCs w:val="22"/>
        </w:rPr>
        <w:t xml:space="preserve"> 2018). </w:t>
      </w:r>
      <w:r w:rsidR="002777A9" w:rsidRPr="002777A9">
        <w:rPr>
          <w:rFonts w:ascii="Garamond" w:hAnsi="Garamond"/>
          <w:sz w:val="22"/>
          <w:szCs w:val="22"/>
        </w:rPr>
        <w:t xml:space="preserve">While the growing literature </w:t>
      </w:r>
      <w:r w:rsidR="00090DFD">
        <w:rPr>
          <w:rFonts w:ascii="Garamond" w:hAnsi="Garamond"/>
          <w:sz w:val="22"/>
          <w:szCs w:val="22"/>
        </w:rPr>
        <w:t>in this field</w:t>
      </w:r>
      <w:r w:rsidR="002777A9" w:rsidRPr="002777A9">
        <w:rPr>
          <w:rFonts w:ascii="Garamond" w:hAnsi="Garamond"/>
          <w:sz w:val="22"/>
          <w:szCs w:val="22"/>
        </w:rPr>
        <w:t xml:space="preserve"> has primarily focused on the product and labor markets where the portfolio companies of these powerful market players compete, </w:t>
      </w:r>
      <w:r w:rsidR="002777A9">
        <w:rPr>
          <w:rFonts w:ascii="Garamond" w:hAnsi="Garamond"/>
          <w:sz w:val="22"/>
          <w:szCs w:val="22"/>
        </w:rPr>
        <w:t>o</w:t>
      </w:r>
      <w:r w:rsidR="002777A9" w:rsidRPr="002777A9">
        <w:rPr>
          <w:rFonts w:ascii="Garamond" w:hAnsi="Garamond"/>
          <w:sz w:val="22"/>
          <w:szCs w:val="22"/>
        </w:rPr>
        <w:t xml:space="preserve">ur work redirects attention toward markets where these investors compete directly.  As we demonstrate, </w:t>
      </w:r>
      <w:r w:rsidR="002777A9">
        <w:rPr>
          <w:rFonts w:ascii="Garamond" w:hAnsi="Garamond"/>
          <w:sz w:val="22"/>
          <w:szCs w:val="22"/>
        </w:rPr>
        <w:t>the primary</w:t>
      </w:r>
      <w:r w:rsidR="002777A9" w:rsidRPr="002777A9">
        <w:rPr>
          <w:rFonts w:ascii="Garamond" w:hAnsi="Garamond"/>
          <w:sz w:val="22"/>
          <w:szCs w:val="22"/>
        </w:rPr>
        <w:t xml:space="preserve"> market</w:t>
      </w:r>
      <w:r w:rsidR="002777A9">
        <w:rPr>
          <w:rFonts w:ascii="Garamond" w:hAnsi="Garamond"/>
          <w:sz w:val="22"/>
          <w:szCs w:val="22"/>
        </w:rPr>
        <w:t>, where institutional investor compete on share allocation,</w:t>
      </w:r>
      <w:r w:rsidR="002777A9" w:rsidRPr="002777A9">
        <w:rPr>
          <w:rFonts w:ascii="Garamond" w:hAnsi="Garamond"/>
          <w:sz w:val="22"/>
          <w:szCs w:val="22"/>
        </w:rPr>
        <w:t xml:space="preserve"> is particularly susceptible to the exercise of market power by </w:t>
      </w:r>
      <w:r w:rsidR="002777A9">
        <w:rPr>
          <w:rFonts w:ascii="Garamond" w:hAnsi="Garamond"/>
          <w:sz w:val="22"/>
          <w:szCs w:val="22"/>
        </w:rPr>
        <w:t xml:space="preserve">these institutions. </w:t>
      </w:r>
    </w:p>
    <w:p w14:paraId="1DC12910" w14:textId="537214B4" w:rsidR="00311B95" w:rsidRPr="008D6FFA" w:rsidRDefault="00FF27E6" w:rsidP="006F47CC">
      <w:pPr>
        <w:spacing w:line="360" w:lineRule="auto"/>
        <w:ind w:firstLine="426"/>
        <w:jc w:val="both"/>
        <w:rPr>
          <w:rFonts w:ascii="Garamond" w:hAnsi="Garamond"/>
          <w:sz w:val="22"/>
          <w:szCs w:val="22"/>
        </w:rPr>
      </w:pPr>
      <w:r>
        <w:rPr>
          <w:rFonts w:ascii="Garamond" w:hAnsi="Garamond"/>
          <w:sz w:val="22"/>
          <w:szCs w:val="22"/>
        </w:rPr>
        <w:t>Finally, u</w:t>
      </w:r>
      <w:r w:rsidRPr="00FF27E6">
        <w:rPr>
          <w:rFonts w:ascii="Garamond" w:hAnsi="Garamond"/>
          <w:sz w:val="22"/>
          <w:szCs w:val="22"/>
        </w:rPr>
        <w:t>pon empirical validation of our proposed theory of IPO underpricing, we aim to formulate evidence-based policy recommendations.</w:t>
      </w:r>
      <w:r w:rsidR="00582D33" w:rsidRPr="008D6FFA">
        <w:rPr>
          <w:rStyle w:val="BodyTextChar"/>
          <w:rFonts w:ascii="Garamond" w:eastAsiaTheme="majorEastAsia" w:hAnsi="Garamond"/>
          <w:sz w:val="22"/>
          <w:szCs w:val="22"/>
        </w:rPr>
        <w:t xml:space="preserve"> </w:t>
      </w:r>
      <w:r w:rsidR="00BA1E3B" w:rsidRPr="008D6FFA">
        <w:rPr>
          <w:rStyle w:val="BodyTextChar"/>
          <w:rFonts w:ascii="Garamond" w:eastAsiaTheme="majorEastAsia" w:hAnsi="Garamond"/>
          <w:sz w:val="22"/>
          <w:szCs w:val="22"/>
        </w:rPr>
        <w:t xml:space="preserve">We will </w:t>
      </w:r>
      <w:r w:rsidR="00EA51A0" w:rsidRPr="00F91E19">
        <w:rPr>
          <w:rFonts w:ascii="Garamond" w:hAnsi="Garamond"/>
          <w:sz w:val="22"/>
          <w:szCs w:val="22"/>
        </w:rPr>
        <w:t xml:space="preserve">offer several policy proposals aimed at </w:t>
      </w:r>
      <w:r w:rsidR="00EA51A0" w:rsidRPr="00B57A19">
        <w:rPr>
          <w:rFonts w:ascii="Garamond" w:hAnsi="Garamond"/>
          <w:sz w:val="22"/>
          <w:szCs w:val="22"/>
        </w:rPr>
        <w:t>reshaping the landscape of primary market regulation</w:t>
      </w:r>
      <w:r w:rsidR="00EA51A0" w:rsidRPr="002C4154">
        <w:rPr>
          <w:rFonts w:ascii="Garamond" w:eastAsia="Times New Roman" w:hAnsi="Garamond" w:cs="Times New Roman"/>
          <w:kern w:val="0"/>
          <w14:ligatures w14:val="none"/>
        </w:rPr>
        <w:t xml:space="preserve"> </w:t>
      </w:r>
      <w:r w:rsidR="00EA51A0">
        <w:rPr>
          <w:rFonts w:ascii="Garamond" w:hAnsi="Garamond"/>
          <w:sz w:val="22"/>
          <w:szCs w:val="22"/>
        </w:rPr>
        <w:t xml:space="preserve">and propose </w:t>
      </w:r>
      <w:r w:rsidR="00477607" w:rsidRPr="008D6FFA">
        <w:rPr>
          <w:rFonts w:ascii="Garamond" w:hAnsi="Garamond"/>
          <w:sz w:val="22"/>
          <w:szCs w:val="22"/>
        </w:rPr>
        <w:t xml:space="preserve">a reform </w:t>
      </w:r>
      <w:r w:rsidR="00594108" w:rsidRPr="008D6FFA">
        <w:rPr>
          <w:rFonts w:ascii="Garamond" w:hAnsi="Garamond"/>
          <w:sz w:val="22"/>
          <w:szCs w:val="22"/>
        </w:rPr>
        <w:t>of</w:t>
      </w:r>
      <w:r w:rsidR="00FB6789" w:rsidRPr="008D6FFA">
        <w:rPr>
          <w:rFonts w:ascii="Garamond" w:hAnsi="Garamond"/>
          <w:sz w:val="22"/>
          <w:szCs w:val="22"/>
        </w:rPr>
        <w:t xml:space="preserve"> the U.S. book-building process</w:t>
      </w:r>
      <w:r w:rsidR="00594108" w:rsidRPr="008D6FFA">
        <w:rPr>
          <w:rFonts w:ascii="Garamond" w:hAnsi="Garamond"/>
          <w:sz w:val="22"/>
          <w:szCs w:val="22"/>
        </w:rPr>
        <w:t xml:space="preserve"> to make</w:t>
      </w:r>
      <w:r w:rsidR="00FB6789" w:rsidRPr="008D6FFA">
        <w:rPr>
          <w:rFonts w:ascii="Garamond" w:hAnsi="Garamond"/>
          <w:sz w:val="22"/>
          <w:szCs w:val="22"/>
        </w:rPr>
        <w:t xml:space="preserve"> it less susceptible to the potential </w:t>
      </w:r>
      <w:r w:rsidR="00594108" w:rsidRPr="008D6FFA">
        <w:rPr>
          <w:rFonts w:ascii="Garamond" w:hAnsi="Garamond"/>
          <w:sz w:val="22"/>
          <w:szCs w:val="22"/>
        </w:rPr>
        <w:t>abuse</w:t>
      </w:r>
      <w:r w:rsidR="00FB6789" w:rsidRPr="008D6FFA">
        <w:rPr>
          <w:rFonts w:ascii="Garamond" w:hAnsi="Garamond"/>
          <w:sz w:val="22"/>
          <w:szCs w:val="22"/>
        </w:rPr>
        <w:t xml:space="preserve"> of market power by dominant institutional investors. </w:t>
      </w:r>
      <w:r w:rsidR="00A82C7E" w:rsidRPr="008D6FFA">
        <w:rPr>
          <w:rFonts w:ascii="Garamond" w:hAnsi="Garamond"/>
          <w:sz w:val="22"/>
          <w:szCs w:val="22"/>
        </w:rPr>
        <w:t xml:space="preserve">In </w:t>
      </w:r>
      <w:r w:rsidR="00594108" w:rsidRPr="008D6FFA">
        <w:rPr>
          <w:rFonts w:ascii="Garamond" w:hAnsi="Garamond"/>
          <w:sz w:val="22"/>
          <w:szCs w:val="22"/>
        </w:rPr>
        <w:t xml:space="preserve">this </w:t>
      </w:r>
      <w:r w:rsidR="00C14B5B" w:rsidRPr="008D6FFA">
        <w:rPr>
          <w:rFonts w:ascii="Garamond" w:hAnsi="Garamond"/>
          <w:sz w:val="22"/>
          <w:szCs w:val="22"/>
        </w:rPr>
        <w:t>context,</w:t>
      </w:r>
      <w:r w:rsidR="006F47CC" w:rsidRPr="006F47CC">
        <w:t xml:space="preserve"> </w:t>
      </w:r>
      <w:r w:rsidR="006F47CC">
        <w:rPr>
          <w:rFonts w:ascii="Garamond" w:hAnsi="Garamond"/>
          <w:sz w:val="22"/>
          <w:szCs w:val="22"/>
        </w:rPr>
        <w:t>we will</w:t>
      </w:r>
      <w:r w:rsidR="006F47CC" w:rsidRPr="006F47CC">
        <w:rPr>
          <w:rFonts w:ascii="Garamond" w:hAnsi="Garamond"/>
          <w:sz w:val="22"/>
          <w:szCs w:val="22"/>
        </w:rPr>
        <w:t xml:space="preserve"> propose a two-pronged approach</w:t>
      </w:r>
      <w:r w:rsidR="00FD2EAC">
        <w:rPr>
          <w:rFonts w:ascii="Garamond" w:hAnsi="Garamond"/>
          <w:sz w:val="22"/>
          <w:szCs w:val="22"/>
        </w:rPr>
        <w:t>. F</w:t>
      </w:r>
      <w:r w:rsidR="006F47CC" w:rsidRPr="006F47CC">
        <w:rPr>
          <w:rFonts w:ascii="Garamond" w:hAnsi="Garamond"/>
          <w:sz w:val="22"/>
          <w:szCs w:val="22"/>
        </w:rPr>
        <w:t xml:space="preserve">irst, implementing market-structure changes to limit the size and associated market </w:t>
      </w:r>
      <w:r w:rsidR="00D9572A">
        <w:rPr>
          <w:rFonts w:ascii="Garamond" w:hAnsi="Garamond"/>
          <w:sz w:val="22"/>
          <w:szCs w:val="22"/>
        </w:rPr>
        <w:t>clout</w:t>
      </w:r>
      <w:r w:rsidR="006F47CC" w:rsidRPr="006F47CC">
        <w:rPr>
          <w:rFonts w:ascii="Garamond" w:hAnsi="Garamond"/>
          <w:sz w:val="22"/>
          <w:szCs w:val="22"/>
        </w:rPr>
        <w:t xml:space="preserve"> of asset managers; </w:t>
      </w:r>
      <w:proofErr w:type="gramStart"/>
      <w:r w:rsidR="006F47CC" w:rsidRPr="006F47CC">
        <w:rPr>
          <w:rFonts w:ascii="Garamond" w:hAnsi="Garamond"/>
          <w:sz w:val="22"/>
          <w:szCs w:val="22"/>
        </w:rPr>
        <w:t>and,</w:t>
      </w:r>
      <w:proofErr w:type="gramEnd"/>
      <w:r w:rsidR="006F47CC" w:rsidRPr="006F47CC">
        <w:rPr>
          <w:rFonts w:ascii="Garamond" w:hAnsi="Garamond"/>
          <w:sz w:val="22"/>
          <w:szCs w:val="22"/>
        </w:rPr>
        <w:t xml:space="preserve"> second, recalibrating the book-building method by enhancing transparency and imposing communication restrictions among prospective bidders during the pricing process.</w:t>
      </w:r>
      <w:r w:rsidR="00FB6789" w:rsidRPr="008D6FFA">
        <w:rPr>
          <w:rFonts w:ascii="Garamond" w:hAnsi="Garamond"/>
          <w:sz w:val="22"/>
          <w:szCs w:val="22"/>
        </w:rPr>
        <w:t xml:space="preserve"> </w:t>
      </w:r>
    </w:p>
    <w:p w14:paraId="1FB6B1F5" w14:textId="59457CC5" w:rsidR="00270336" w:rsidRDefault="004E57E4" w:rsidP="0081358B">
      <w:pPr>
        <w:spacing w:line="360" w:lineRule="auto"/>
        <w:ind w:firstLine="426"/>
        <w:jc w:val="both"/>
        <w:rPr>
          <w:rStyle w:val="BodyTextChar"/>
          <w:rFonts w:ascii="Garamond" w:eastAsiaTheme="majorEastAsia" w:hAnsi="Garamond"/>
          <w:sz w:val="22"/>
          <w:szCs w:val="22"/>
        </w:rPr>
      </w:pPr>
      <w:r w:rsidRPr="008D6FFA">
        <w:rPr>
          <w:rFonts w:ascii="Garamond" w:hAnsi="Garamond"/>
          <w:sz w:val="22"/>
          <w:szCs w:val="22"/>
        </w:rPr>
        <w:t>O</w:t>
      </w:r>
      <w:r w:rsidR="00A920F2" w:rsidRPr="008D6FFA">
        <w:rPr>
          <w:rFonts w:ascii="Garamond" w:hAnsi="Garamond"/>
          <w:sz w:val="22"/>
          <w:szCs w:val="22"/>
        </w:rPr>
        <w:t xml:space="preserve">ur theoretical predictions and empirical findings on underpricing in book-built IPOs </w:t>
      </w:r>
      <w:r w:rsidR="007E69B9" w:rsidRPr="008D6FFA">
        <w:rPr>
          <w:rFonts w:ascii="Garamond" w:hAnsi="Garamond"/>
          <w:sz w:val="22"/>
          <w:szCs w:val="22"/>
        </w:rPr>
        <w:t>are expected to have</w:t>
      </w:r>
      <w:r w:rsidRPr="008D6FFA">
        <w:rPr>
          <w:rFonts w:ascii="Garamond" w:hAnsi="Garamond"/>
          <w:sz w:val="22"/>
          <w:szCs w:val="22"/>
        </w:rPr>
        <w:t xml:space="preserve"> </w:t>
      </w:r>
      <w:r w:rsidR="004677E7" w:rsidRPr="008D6FFA">
        <w:rPr>
          <w:rFonts w:ascii="Garamond" w:hAnsi="Garamond"/>
          <w:sz w:val="22"/>
          <w:szCs w:val="22"/>
        </w:rPr>
        <w:t xml:space="preserve">a </w:t>
      </w:r>
      <w:r w:rsidRPr="008D6FFA">
        <w:rPr>
          <w:rFonts w:ascii="Garamond" w:hAnsi="Garamond"/>
          <w:sz w:val="22"/>
          <w:szCs w:val="22"/>
        </w:rPr>
        <w:t xml:space="preserve">bearing </w:t>
      </w:r>
      <w:r w:rsidR="004677E7" w:rsidRPr="008D6FFA">
        <w:rPr>
          <w:rFonts w:ascii="Garamond" w:hAnsi="Garamond"/>
          <w:sz w:val="22"/>
          <w:szCs w:val="22"/>
        </w:rPr>
        <w:t>on</w:t>
      </w:r>
      <w:r w:rsidRPr="008D6FFA">
        <w:rPr>
          <w:rFonts w:ascii="Garamond" w:hAnsi="Garamond"/>
          <w:sz w:val="22"/>
          <w:szCs w:val="22"/>
        </w:rPr>
        <w:t xml:space="preserve"> </w:t>
      </w:r>
      <w:r w:rsidR="00FD2EAC">
        <w:rPr>
          <w:rStyle w:val="BodyTextChar"/>
          <w:rFonts w:ascii="Garamond" w:eastAsiaTheme="majorEastAsia" w:hAnsi="Garamond"/>
          <w:sz w:val="22"/>
          <w:szCs w:val="22"/>
        </w:rPr>
        <w:t>financial</w:t>
      </w:r>
      <w:r w:rsidR="00FD2EAC" w:rsidRPr="008D6FFA">
        <w:rPr>
          <w:rStyle w:val="BodyTextChar"/>
          <w:rFonts w:ascii="Garamond" w:eastAsiaTheme="majorEastAsia" w:hAnsi="Garamond"/>
          <w:sz w:val="22"/>
          <w:szCs w:val="22"/>
        </w:rPr>
        <w:t xml:space="preserve"> </w:t>
      </w:r>
      <w:r w:rsidR="00A920F2" w:rsidRPr="008D6FFA">
        <w:rPr>
          <w:rStyle w:val="BodyTextChar"/>
          <w:rFonts w:ascii="Garamond" w:eastAsiaTheme="majorEastAsia" w:hAnsi="Garamond"/>
          <w:sz w:val="22"/>
          <w:szCs w:val="22"/>
        </w:rPr>
        <w:t xml:space="preserve">markets worldwide. In recent decades, </w:t>
      </w:r>
      <w:r w:rsidR="00971E76" w:rsidRPr="008D6FFA">
        <w:rPr>
          <w:rStyle w:val="BodyTextChar"/>
          <w:rFonts w:ascii="Garamond" w:eastAsiaTheme="majorEastAsia" w:hAnsi="Garamond"/>
          <w:sz w:val="22"/>
          <w:szCs w:val="22"/>
        </w:rPr>
        <w:t xml:space="preserve">sealed-bid IPO auctions have been abandoned in favor of </w:t>
      </w:r>
      <w:r w:rsidR="00A920F2" w:rsidRPr="008D6FFA">
        <w:rPr>
          <w:rStyle w:val="BodyTextChar"/>
          <w:rFonts w:ascii="Garamond" w:eastAsiaTheme="majorEastAsia" w:hAnsi="Garamond"/>
          <w:sz w:val="22"/>
          <w:szCs w:val="22"/>
        </w:rPr>
        <w:t>the book-building method in many countries</w:t>
      </w:r>
      <w:r w:rsidR="00B27547" w:rsidRPr="008D6FFA">
        <w:rPr>
          <w:rStyle w:val="BodyTextChar"/>
          <w:rFonts w:ascii="Garamond" w:eastAsiaTheme="majorEastAsia" w:hAnsi="Garamond"/>
          <w:sz w:val="22"/>
          <w:szCs w:val="22"/>
        </w:rPr>
        <w:t xml:space="preserve"> </w:t>
      </w:r>
      <w:r w:rsidR="00A920F2" w:rsidRPr="008D6FFA">
        <w:rPr>
          <w:rStyle w:val="BodyTextChar"/>
          <w:rFonts w:ascii="Garamond" w:eastAsiaTheme="majorEastAsia" w:hAnsi="Garamond"/>
          <w:sz w:val="22"/>
          <w:szCs w:val="22"/>
        </w:rPr>
        <w:t>(</w:t>
      </w:r>
      <w:r w:rsidR="00E41283" w:rsidRPr="008D6FFA">
        <w:rPr>
          <w:rFonts w:ascii="Garamond" w:hAnsi="Garamond"/>
          <w:sz w:val="22"/>
          <w:szCs w:val="22"/>
        </w:rPr>
        <w:t xml:space="preserve">Jagannathan &amp; Sherman 2015, pp. 285–291; </w:t>
      </w:r>
      <w:r w:rsidR="00A920F2" w:rsidRPr="008D6FFA">
        <w:rPr>
          <w:rFonts w:ascii="Garamond" w:hAnsi="Garamond"/>
          <w:sz w:val="22"/>
          <w:szCs w:val="22"/>
        </w:rPr>
        <w:t xml:space="preserve">Jovanovic &amp; </w:t>
      </w:r>
      <w:proofErr w:type="spellStart"/>
      <w:r w:rsidR="00A920F2" w:rsidRPr="008D6FFA">
        <w:rPr>
          <w:rFonts w:ascii="Garamond" w:hAnsi="Garamond"/>
          <w:sz w:val="22"/>
          <w:szCs w:val="22"/>
        </w:rPr>
        <w:t>Szentes</w:t>
      </w:r>
      <w:proofErr w:type="spellEnd"/>
      <w:r w:rsidR="00A920F2" w:rsidRPr="008D6FFA">
        <w:rPr>
          <w:rFonts w:ascii="Garamond" w:hAnsi="Garamond"/>
          <w:sz w:val="22"/>
          <w:szCs w:val="22"/>
        </w:rPr>
        <w:t xml:space="preserve"> 2007, p. 1; Kati &amp; </w:t>
      </w:r>
      <w:proofErr w:type="spellStart"/>
      <w:r w:rsidR="00A920F2" w:rsidRPr="008D6FFA">
        <w:rPr>
          <w:rFonts w:ascii="Garamond" w:hAnsi="Garamond"/>
          <w:sz w:val="22"/>
          <w:szCs w:val="22"/>
        </w:rPr>
        <w:t>Phani</w:t>
      </w:r>
      <w:proofErr w:type="spellEnd"/>
      <w:r w:rsidR="00A920F2" w:rsidRPr="008D6FFA">
        <w:rPr>
          <w:rFonts w:ascii="Garamond" w:hAnsi="Garamond"/>
          <w:sz w:val="22"/>
          <w:szCs w:val="22"/>
        </w:rPr>
        <w:t xml:space="preserve"> 2016, p. 41</w:t>
      </w:r>
      <w:r w:rsidR="00E41283" w:rsidRPr="008D6FFA">
        <w:rPr>
          <w:rFonts w:ascii="Garamond" w:hAnsi="Garamond"/>
          <w:sz w:val="22"/>
          <w:szCs w:val="22"/>
        </w:rPr>
        <w:t xml:space="preserve"> Sherman 2005, p. 615</w:t>
      </w:r>
      <w:r w:rsidR="00A920F2" w:rsidRPr="008D6FFA">
        <w:rPr>
          <w:rStyle w:val="BodyTextChar"/>
          <w:rFonts w:ascii="Garamond" w:eastAsiaTheme="majorEastAsia" w:hAnsi="Garamond"/>
          <w:sz w:val="22"/>
          <w:szCs w:val="22"/>
        </w:rPr>
        <w:t xml:space="preserve">). </w:t>
      </w:r>
      <w:r w:rsidR="00A920F2" w:rsidRPr="008D6FFA">
        <w:rPr>
          <w:rFonts w:ascii="Garamond" w:hAnsi="Garamond"/>
          <w:sz w:val="22"/>
          <w:szCs w:val="22"/>
        </w:rPr>
        <w:t xml:space="preserve">Policymakers tend to focus on the advantages of registries but fail to explore </w:t>
      </w:r>
      <w:r w:rsidR="00971E76" w:rsidRPr="008D6FFA">
        <w:rPr>
          <w:rFonts w:ascii="Garamond" w:hAnsi="Garamond"/>
          <w:sz w:val="22"/>
          <w:szCs w:val="22"/>
        </w:rPr>
        <w:t xml:space="preserve">their </w:t>
      </w:r>
      <w:r w:rsidR="00A920F2" w:rsidRPr="008D6FFA">
        <w:rPr>
          <w:rFonts w:ascii="Garamond" w:hAnsi="Garamond"/>
          <w:sz w:val="22"/>
          <w:szCs w:val="22"/>
        </w:rPr>
        <w:t>potential vulnerability to strategic behavior by</w:t>
      </w:r>
      <w:r w:rsidR="00FF5B38" w:rsidRPr="008D6FFA">
        <w:rPr>
          <w:rFonts w:ascii="Garamond" w:hAnsi="Garamond"/>
          <w:sz w:val="22"/>
          <w:szCs w:val="22"/>
        </w:rPr>
        <w:t xml:space="preserve"> </w:t>
      </w:r>
      <w:r w:rsidR="00731CA1" w:rsidRPr="008D6FFA">
        <w:rPr>
          <w:rFonts w:ascii="Garamond" w:hAnsi="Garamond"/>
          <w:sz w:val="22"/>
          <w:szCs w:val="22"/>
        </w:rPr>
        <w:t xml:space="preserve">giant </w:t>
      </w:r>
      <w:r w:rsidR="00A920F2" w:rsidRPr="008D6FFA">
        <w:rPr>
          <w:rFonts w:ascii="Garamond" w:hAnsi="Garamond"/>
          <w:sz w:val="22"/>
          <w:szCs w:val="22"/>
        </w:rPr>
        <w:t xml:space="preserve">institutional investors. </w:t>
      </w:r>
      <w:r w:rsidR="007B1774" w:rsidRPr="008D6FFA">
        <w:rPr>
          <w:rFonts w:ascii="Garamond" w:hAnsi="Garamond"/>
          <w:sz w:val="22"/>
          <w:szCs w:val="22"/>
        </w:rPr>
        <w:t>Hence, o</w:t>
      </w:r>
      <w:r w:rsidR="00A920F2" w:rsidRPr="008D6FFA">
        <w:rPr>
          <w:rStyle w:val="BodyTextChar"/>
          <w:rFonts w:ascii="Garamond" w:eastAsiaTheme="majorEastAsia" w:hAnsi="Garamond"/>
          <w:sz w:val="22"/>
          <w:szCs w:val="22"/>
        </w:rPr>
        <w:t xml:space="preserve">ur proposed project should </w:t>
      </w:r>
      <w:r w:rsidR="007B1774" w:rsidRPr="008D6FFA">
        <w:rPr>
          <w:rStyle w:val="BodyTextChar"/>
          <w:rFonts w:ascii="Garamond" w:eastAsiaTheme="majorEastAsia" w:hAnsi="Garamond"/>
          <w:sz w:val="22"/>
          <w:szCs w:val="22"/>
        </w:rPr>
        <w:t>serve as a clarion call to</w:t>
      </w:r>
      <w:r w:rsidR="00A920F2" w:rsidRPr="008D6FFA">
        <w:rPr>
          <w:rStyle w:val="BodyTextChar"/>
          <w:rFonts w:ascii="Garamond" w:eastAsiaTheme="majorEastAsia" w:hAnsi="Garamond"/>
          <w:sz w:val="22"/>
          <w:szCs w:val="22"/>
        </w:rPr>
        <w:t xml:space="preserve"> policymakers</w:t>
      </w:r>
      <w:r w:rsidRPr="008D6FFA">
        <w:rPr>
          <w:rStyle w:val="BodyTextChar"/>
          <w:rFonts w:ascii="Garamond" w:eastAsiaTheme="majorEastAsia" w:hAnsi="Garamond"/>
          <w:sz w:val="22"/>
          <w:szCs w:val="22"/>
        </w:rPr>
        <w:t xml:space="preserve"> outside the </w:t>
      </w:r>
      <w:r w:rsidR="00505FBF" w:rsidRPr="008D6FFA">
        <w:rPr>
          <w:rStyle w:val="BodyTextChar"/>
          <w:rFonts w:ascii="Garamond" w:eastAsiaTheme="majorEastAsia" w:hAnsi="Garamond"/>
          <w:sz w:val="22"/>
          <w:szCs w:val="22"/>
        </w:rPr>
        <w:t>U</w:t>
      </w:r>
      <w:r w:rsidR="00AB7947" w:rsidRPr="008D6FFA">
        <w:rPr>
          <w:rStyle w:val="BodyTextChar"/>
          <w:rFonts w:ascii="Garamond" w:eastAsiaTheme="majorEastAsia" w:hAnsi="Garamond"/>
          <w:sz w:val="22"/>
          <w:szCs w:val="22"/>
        </w:rPr>
        <w:t>nited States</w:t>
      </w:r>
      <w:r w:rsidR="007B1774" w:rsidRPr="008D6FFA">
        <w:rPr>
          <w:rStyle w:val="BodyTextChar"/>
          <w:rFonts w:ascii="Garamond" w:eastAsiaTheme="majorEastAsia" w:hAnsi="Garamond"/>
          <w:sz w:val="22"/>
          <w:szCs w:val="22"/>
        </w:rPr>
        <w:t>, inspiring them</w:t>
      </w:r>
      <w:r w:rsidRPr="008D6FFA">
        <w:rPr>
          <w:rStyle w:val="BodyTextChar"/>
          <w:rFonts w:ascii="Garamond" w:eastAsiaTheme="majorEastAsia" w:hAnsi="Garamond"/>
          <w:sz w:val="22"/>
          <w:szCs w:val="22"/>
        </w:rPr>
        <w:t xml:space="preserve"> </w:t>
      </w:r>
      <w:r w:rsidR="00A920F2" w:rsidRPr="008D6FFA">
        <w:rPr>
          <w:rStyle w:val="BodyTextChar"/>
          <w:rFonts w:ascii="Garamond" w:eastAsiaTheme="majorEastAsia" w:hAnsi="Garamond"/>
          <w:sz w:val="22"/>
          <w:szCs w:val="22"/>
        </w:rPr>
        <w:t xml:space="preserve">to </w:t>
      </w:r>
      <w:r w:rsidR="00724B5B" w:rsidRPr="008D6FFA">
        <w:rPr>
          <w:rStyle w:val="BodyTextChar"/>
          <w:rFonts w:ascii="Garamond" w:eastAsiaTheme="majorEastAsia" w:hAnsi="Garamond"/>
          <w:sz w:val="22"/>
          <w:szCs w:val="22"/>
        </w:rPr>
        <w:t>evaluate</w:t>
      </w:r>
      <w:r w:rsidR="00A920F2" w:rsidRPr="008D6FFA">
        <w:rPr>
          <w:rStyle w:val="BodyTextChar"/>
          <w:rFonts w:ascii="Garamond" w:eastAsiaTheme="majorEastAsia" w:hAnsi="Garamond"/>
          <w:sz w:val="22"/>
          <w:szCs w:val="22"/>
        </w:rPr>
        <w:t xml:space="preserve"> the utility of this method in their </w:t>
      </w:r>
      <w:r w:rsidR="007B1774" w:rsidRPr="008D6FFA">
        <w:rPr>
          <w:rStyle w:val="BodyTextChar"/>
          <w:rFonts w:ascii="Garamond" w:eastAsiaTheme="majorEastAsia" w:hAnsi="Garamond"/>
          <w:sz w:val="22"/>
          <w:szCs w:val="22"/>
        </w:rPr>
        <w:t xml:space="preserve">respective </w:t>
      </w:r>
      <w:r w:rsidR="00A920F2" w:rsidRPr="008D6FFA">
        <w:rPr>
          <w:rStyle w:val="BodyTextChar"/>
          <w:rFonts w:ascii="Garamond" w:eastAsiaTheme="majorEastAsia" w:hAnsi="Garamond"/>
          <w:sz w:val="22"/>
          <w:szCs w:val="22"/>
        </w:rPr>
        <w:t>region</w:t>
      </w:r>
      <w:r w:rsidR="009E5B5D" w:rsidRPr="008D6FFA">
        <w:rPr>
          <w:rStyle w:val="BodyTextChar"/>
          <w:rFonts w:ascii="Garamond" w:eastAsiaTheme="majorEastAsia" w:hAnsi="Garamond"/>
          <w:sz w:val="22"/>
          <w:szCs w:val="22"/>
        </w:rPr>
        <w:t>s</w:t>
      </w:r>
      <w:r w:rsidR="00A920F2" w:rsidRPr="008D6FFA">
        <w:rPr>
          <w:rStyle w:val="BodyTextChar"/>
          <w:rFonts w:ascii="Garamond" w:eastAsiaTheme="majorEastAsia" w:hAnsi="Garamond"/>
          <w:sz w:val="22"/>
          <w:szCs w:val="22"/>
        </w:rPr>
        <w:t xml:space="preserve">. </w:t>
      </w:r>
    </w:p>
    <w:p w14:paraId="5E5D099E" w14:textId="77777777" w:rsidR="00145EA8" w:rsidRDefault="00145EA8" w:rsidP="0081358B">
      <w:pPr>
        <w:spacing w:line="360" w:lineRule="auto"/>
        <w:ind w:firstLine="426"/>
        <w:jc w:val="both"/>
        <w:rPr>
          <w:rStyle w:val="BodyTextChar"/>
          <w:rFonts w:ascii="Garamond" w:eastAsiaTheme="majorEastAsia" w:hAnsi="Garamond"/>
          <w:sz w:val="22"/>
          <w:szCs w:val="22"/>
        </w:rPr>
      </w:pPr>
    </w:p>
    <w:p w14:paraId="44967CDA" w14:textId="77777777" w:rsidR="009E10A7" w:rsidRPr="00C21525" w:rsidRDefault="009E10A7" w:rsidP="009E10A7">
      <w:pPr>
        <w:pStyle w:val="Heading2"/>
        <w:rPr>
          <w:sz w:val="22"/>
          <w:szCs w:val="22"/>
        </w:rPr>
      </w:pPr>
      <w:r w:rsidRPr="00C21525">
        <w:rPr>
          <w:sz w:val="22"/>
          <w:szCs w:val="22"/>
        </w:rPr>
        <w:t>III. Detailed Description of the Proposed Research</w:t>
      </w:r>
    </w:p>
    <w:p w14:paraId="5C409138" w14:textId="77777777" w:rsidR="009E10A7" w:rsidRPr="00C21525" w:rsidRDefault="009E10A7" w:rsidP="009E10A7">
      <w:pPr>
        <w:rPr>
          <w:rFonts w:ascii="Garamond" w:hAnsi="Garamond"/>
          <w:sz w:val="22"/>
          <w:szCs w:val="22"/>
        </w:rPr>
      </w:pPr>
    </w:p>
    <w:p w14:paraId="34100795" w14:textId="77777777" w:rsidR="009E10A7" w:rsidRPr="00C21525" w:rsidRDefault="009E10A7" w:rsidP="009E10A7">
      <w:pPr>
        <w:pStyle w:val="Heading3"/>
        <w:rPr>
          <w:sz w:val="22"/>
          <w:szCs w:val="22"/>
        </w:rPr>
      </w:pPr>
      <w:r w:rsidRPr="00C21525">
        <w:rPr>
          <w:sz w:val="22"/>
          <w:szCs w:val="22"/>
        </w:rPr>
        <w:t>A. Working Hypothesis</w:t>
      </w:r>
    </w:p>
    <w:p w14:paraId="61C99206" w14:textId="77777777" w:rsidR="0086787E" w:rsidRPr="008D6FFA" w:rsidRDefault="0086787E" w:rsidP="00B4538F">
      <w:pPr>
        <w:spacing w:line="360" w:lineRule="auto"/>
        <w:jc w:val="both"/>
        <w:rPr>
          <w:rStyle w:val="BodyTextChar"/>
          <w:rFonts w:ascii="Garamond" w:eastAsiaTheme="majorEastAsia" w:hAnsi="Garamond"/>
          <w:b/>
          <w:bCs/>
          <w:sz w:val="22"/>
          <w:szCs w:val="22"/>
        </w:rPr>
      </w:pPr>
    </w:p>
    <w:p w14:paraId="3A21C90D" w14:textId="31FD0D38" w:rsidR="00BD6805" w:rsidRPr="008D6FFA" w:rsidRDefault="00BD6805" w:rsidP="00BD6805">
      <w:pPr>
        <w:spacing w:line="360" w:lineRule="auto"/>
        <w:ind w:firstLine="426"/>
        <w:jc w:val="both"/>
        <w:rPr>
          <w:rFonts w:ascii="Garamond" w:hAnsi="Garamond"/>
          <w:sz w:val="22"/>
          <w:szCs w:val="22"/>
        </w:rPr>
      </w:pPr>
      <w:r w:rsidRPr="008D6FFA">
        <w:rPr>
          <w:rFonts w:ascii="Garamond" w:hAnsi="Garamond"/>
          <w:sz w:val="22"/>
          <w:szCs w:val="22"/>
        </w:rPr>
        <w:t xml:space="preserve">Our working hypothesis </w:t>
      </w:r>
      <w:r w:rsidR="000C548C" w:rsidRPr="008D6FFA">
        <w:rPr>
          <w:rFonts w:ascii="Garamond" w:hAnsi="Garamond"/>
          <w:sz w:val="22"/>
          <w:szCs w:val="22"/>
        </w:rPr>
        <w:t>posits</w:t>
      </w:r>
      <w:r w:rsidR="00AB7947" w:rsidRPr="008D6FFA">
        <w:rPr>
          <w:rFonts w:ascii="Garamond" w:hAnsi="Garamond"/>
          <w:sz w:val="22"/>
          <w:szCs w:val="22"/>
        </w:rPr>
        <w:t xml:space="preserve"> that l</w:t>
      </w:r>
      <w:r w:rsidR="00C36CD8" w:rsidRPr="008D6FFA">
        <w:rPr>
          <w:rFonts w:ascii="Garamond" w:hAnsi="Garamond"/>
          <w:sz w:val="22"/>
          <w:szCs w:val="22"/>
        </w:rPr>
        <w:t xml:space="preserve">arge </w:t>
      </w:r>
      <w:r w:rsidRPr="008D6FFA">
        <w:rPr>
          <w:rFonts w:ascii="Garamond" w:hAnsi="Garamond"/>
          <w:sz w:val="22"/>
          <w:szCs w:val="22"/>
        </w:rPr>
        <w:t xml:space="preserve">institutional investors utilize their </w:t>
      </w:r>
      <w:r w:rsidR="00043DB9">
        <w:rPr>
          <w:rFonts w:ascii="Garamond" w:hAnsi="Garamond"/>
          <w:sz w:val="22"/>
          <w:szCs w:val="22"/>
        </w:rPr>
        <w:t xml:space="preserve">market </w:t>
      </w:r>
      <w:r w:rsidRPr="008D6FFA">
        <w:rPr>
          <w:rFonts w:ascii="Garamond" w:hAnsi="Garamond"/>
          <w:sz w:val="22"/>
          <w:szCs w:val="22"/>
        </w:rPr>
        <w:t>power</w:t>
      </w:r>
      <w:r w:rsidR="003E6927" w:rsidRPr="008D6FFA">
        <w:rPr>
          <w:rFonts w:ascii="Garamond" w:hAnsi="Garamond"/>
          <w:sz w:val="22"/>
          <w:szCs w:val="22"/>
        </w:rPr>
        <w:t xml:space="preserve"> </w:t>
      </w:r>
      <w:r w:rsidRPr="008D6FFA">
        <w:rPr>
          <w:rFonts w:ascii="Garamond" w:hAnsi="Garamond"/>
          <w:sz w:val="22"/>
          <w:szCs w:val="22"/>
        </w:rPr>
        <w:t xml:space="preserve">to </w:t>
      </w:r>
      <w:r w:rsidR="00090F1E" w:rsidRPr="008D6FFA">
        <w:rPr>
          <w:rFonts w:ascii="Garamond" w:hAnsi="Garamond"/>
          <w:sz w:val="22"/>
          <w:szCs w:val="22"/>
        </w:rPr>
        <w:t>pressure</w:t>
      </w:r>
      <w:r w:rsidRPr="008D6FFA">
        <w:rPr>
          <w:rFonts w:ascii="Garamond" w:hAnsi="Garamond"/>
          <w:sz w:val="22"/>
          <w:szCs w:val="22"/>
        </w:rPr>
        <w:t xml:space="preserve"> issuers to sell shares </w:t>
      </w:r>
      <w:r w:rsidR="00D634E1" w:rsidRPr="008D6FFA">
        <w:rPr>
          <w:rFonts w:ascii="Garamond" w:hAnsi="Garamond"/>
          <w:sz w:val="22"/>
          <w:szCs w:val="22"/>
        </w:rPr>
        <w:t>in IPOs</w:t>
      </w:r>
      <w:r w:rsidR="00D71578" w:rsidRPr="008D6FFA">
        <w:rPr>
          <w:rFonts w:ascii="Garamond" w:hAnsi="Garamond"/>
          <w:sz w:val="22"/>
          <w:szCs w:val="22"/>
        </w:rPr>
        <w:t xml:space="preserve"> at a price </w:t>
      </w:r>
      <w:r w:rsidRPr="008D6FFA">
        <w:rPr>
          <w:rFonts w:ascii="Garamond" w:hAnsi="Garamond"/>
          <w:sz w:val="22"/>
          <w:szCs w:val="22"/>
        </w:rPr>
        <w:t xml:space="preserve">lower than </w:t>
      </w:r>
      <w:r w:rsidR="003E6927" w:rsidRPr="008D6FFA">
        <w:rPr>
          <w:rFonts w:ascii="Garamond" w:hAnsi="Garamond"/>
          <w:sz w:val="22"/>
          <w:szCs w:val="22"/>
        </w:rPr>
        <w:t>the</w:t>
      </w:r>
      <w:r w:rsidR="00AE39A3" w:rsidRPr="008D6FFA">
        <w:rPr>
          <w:rFonts w:ascii="Garamond" w:hAnsi="Garamond"/>
          <w:sz w:val="22"/>
          <w:szCs w:val="22"/>
        </w:rPr>
        <w:t xml:space="preserve">ir </w:t>
      </w:r>
      <w:r w:rsidR="003E6927" w:rsidRPr="008D6FFA">
        <w:rPr>
          <w:rFonts w:ascii="Garamond" w:hAnsi="Garamond"/>
          <w:sz w:val="22"/>
          <w:szCs w:val="22"/>
        </w:rPr>
        <w:t>intrinsic value</w:t>
      </w:r>
      <w:r w:rsidR="00043DB9">
        <w:rPr>
          <w:rFonts w:ascii="Garamond" w:hAnsi="Garamond"/>
          <w:sz w:val="22"/>
          <w:szCs w:val="22"/>
        </w:rPr>
        <w:t>,</w:t>
      </w:r>
      <w:r w:rsidR="00043DB9" w:rsidRPr="008D6FFA">
        <w:rPr>
          <w:rFonts w:ascii="Garamond" w:hAnsi="Garamond"/>
          <w:sz w:val="22"/>
          <w:szCs w:val="22"/>
        </w:rPr>
        <w:t xml:space="preserve"> </w:t>
      </w:r>
      <w:r w:rsidR="00043DB9">
        <w:rPr>
          <w:rFonts w:ascii="Garamond" w:hAnsi="Garamond"/>
          <w:sz w:val="22"/>
          <w:szCs w:val="22"/>
        </w:rPr>
        <w:t>contributing to the</w:t>
      </w:r>
      <w:r w:rsidR="00FA3D72" w:rsidRPr="008D6FFA">
        <w:rPr>
          <w:rFonts w:ascii="Garamond" w:hAnsi="Garamond"/>
          <w:sz w:val="22"/>
          <w:szCs w:val="22"/>
        </w:rPr>
        <w:t xml:space="preserve"> unprecedent</w:t>
      </w:r>
      <w:r w:rsidR="00A13CA3" w:rsidRPr="008D6FFA">
        <w:rPr>
          <w:rFonts w:ascii="Garamond" w:hAnsi="Garamond"/>
          <w:sz w:val="22"/>
          <w:szCs w:val="22"/>
        </w:rPr>
        <w:t>ed</w:t>
      </w:r>
      <w:r w:rsidR="00FA3D72" w:rsidRPr="008D6FFA">
        <w:rPr>
          <w:rFonts w:ascii="Garamond" w:hAnsi="Garamond"/>
          <w:sz w:val="22"/>
          <w:szCs w:val="22"/>
        </w:rPr>
        <w:t xml:space="preserve"> levels of IPO</w:t>
      </w:r>
      <w:r w:rsidRPr="008D6FFA">
        <w:rPr>
          <w:rFonts w:ascii="Garamond" w:hAnsi="Garamond"/>
          <w:sz w:val="22"/>
          <w:szCs w:val="22"/>
        </w:rPr>
        <w:t xml:space="preserve"> underpricing </w:t>
      </w:r>
      <w:r w:rsidR="00FA3D72" w:rsidRPr="008D6FFA">
        <w:rPr>
          <w:rFonts w:ascii="Garamond" w:hAnsi="Garamond"/>
          <w:sz w:val="22"/>
          <w:szCs w:val="22"/>
        </w:rPr>
        <w:t xml:space="preserve">documented in the last two decades. </w:t>
      </w:r>
    </w:p>
    <w:p w14:paraId="2D746178" w14:textId="4005B223" w:rsidR="00BD6805" w:rsidRDefault="00C36CD8" w:rsidP="00853D93">
      <w:pPr>
        <w:spacing w:line="360" w:lineRule="auto"/>
        <w:ind w:firstLine="426"/>
        <w:jc w:val="both"/>
        <w:rPr>
          <w:rFonts w:ascii="Garamond" w:hAnsi="Garamond"/>
          <w:sz w:val="22"/>
          <w:szCs w:val="22"/>
        </w:rPr>
      </w:pPr>
      <w:r w:rsidRPr="008D6FFA">
        <w:rPr>
          <w:rFonts w:ascii="Garamond" w:hAnsi="Garamond"/>
          <w:sz w:val="22"/>
          <w:szCs w:val="22"/>
        </w:rPr>
        <w:t xml:space="preserve">Our </w:t>
      </w:r>
      <w:r w:rsidR="005D262A" w:rsidRPr="008D6FFA">
        <w:rPr>
          <w:rFonts w:ascii="Garamond" w:hAnsi="Garamond"/>
          <w:sz w:val="22"/>
          <w:szCs w:val="22"/>
        </w:rPr>
        <w:t xml:space="preserve">initial </w:t>
      </w:r>
      <w:r w:rsidR="0047280F" w:rsidRPr="008D6FFA">
        <w:rPr>
          <w:rFonts w:ascii="Garamond" w:hAnsi="Garamond"/>
          <w:sz w:val="22"/>
          <w:szCs w:val="22"/>
        </w:rPr>
        <w:t xml:space="preserve">focus </w:t>
      </w:r>
      <w:r w:rsidR="00971E76" w:rsidRPr="008D6FFA">
        <w:rPr>
          <w:rFonts w:ascii="Garamond" w:hAnsi="Garamond"/>
          <w:sz w:val="22"/>
          <w:szCs w:val="22"/>
        </w:rPr>
        <w:t xml:space="preserve">will </w:t>
      </w:r>
      <w:r w:rsidR="0047280F" w:rsidRPr="008D6FFA">
        <w:rPr>
          <w:rFonts w:ascii="Garamond" w:hAnsi="Garamond"/>
          <w:sz w:val="22"/>
          <w:szCs w:val="22"/>
        </w:rPr>
        <w:t xml:space="preserve">be </w:t>
      </w:r>
      <w:r w:rsidR="005D262A" w:rsidRPr="008D6FFA">
        <w:rPr>
          <w:rFonts w:ascii="Garamond" w:hAnsi="Garamond"/>
          <w:sz w:val="22"/>
          <w:szCs w:val="22"/>
        </w:rPr>
        <w:t xml:space="preserve">on </w:t>
      </w:r>
      <w:r w:rsidR="00661646" w:rsidRPr="008D6FFA">
        <w:rPr>
          <w:rFonts w:ascii="Garamond" w:hAnsi="Garamond"/>
          <w:sz w:val="22"/>
          <w:szCs w:val="22"/>
        </w:rPr>
        <w:t>BlackRock, Vanguard, and Fidelity</w:t>
      </w:r>
      <w:r w:rsidR="00D24D25" w:rsidRPr="008D6FFA">
        <w:rPr>
          <w:rFonts w:ascii="Garamond" w:hAnsi="Garamond"/>
          <w:sz w:val="22"/>
          <w:szCs w:val="22"/>
        </w:rPr>
        <w:t xml:space="preserve">, </w:t>
      </w:r>
      <w:r w:rsidR="00971E76" w:rsidRPr="008D6FFA">
        <w:rPr>
          <w:rFonts w:ascii="Garamond" w:hAnsi="Garamond"/>
          <w:sz w:val="22"/>
          <w:szCs w:val="22"/>
        </w:rPr>
        <w:t xml:space="preserve">which </w:t>
      </w:r>
      <w:r w:rsidR="00D24D25" w:rsidRPr="008D6FFA">
        <w:rPr>
          <w:rFonts w:ascii="Garamond" w:hAnsi="Garamond"/>
          <w:sz w:val="22"/>
          <w:szCs w:val="22"/>
        </w:rPr>
        <w:t xml:space="preserve">are currently the three largest institutional investors in terms of </w:t>
      </w:r>
      <w:r w:rsidR="006C2079" w:rsidRPr="008D6FFA">
        <w:rPr>
          <w:rFonts w:ascii="Garamond" w:hAnsi="Garamond"/>
          <w:sz w:val="22"/>
          <w:szCs w:val="22"/>
        </w:rPr>
        <w:t>AUM</w:t>
      </w:r>
      <w:r w:rsidR="00D24D25" w:rsidRPr="008D6FFA">
        <w:rPr>
          <w:rFonts w:ascii="Garamond" w:hAnsi="Garamond"/>
          <w:sz w:val="22"/>
          <w:szCs w:val="22"/>
        </w:rPr>
        <w:t xml:space="preserve"> </w:t>
      </w:r>
      <w:r w:rsidR="00853D93" w:rsidRPr="008D6FFA">
        <w:rPr>
          <w:rFonts w:ascii="Garamond" w:hAnsi="Garamond"/>
          <w:sz w:val="22"/>
          <w:szCs w:val="22"/>
        </w:rPr>
        <w:t xml:space="preserve">and equity under management </w:t>
      </w:r>
      <w:r w:rsidR="001C699F" w:rsidRPr="008D6FFA">
        <w:rPr>
          <w:rFonts w:ascii="Garamond" w:hAnsi="Garamond"/>
          <w:sz w:val="22"/>
          <w:szCs w:val="22"/>
        </w:rPr>
        <w:t>(</w:t>
      </w:r>
      <w:r w:rsidR="00853D93" w:rsidRPr="008D6FFA">
        <w:rPr>
          <w:rFonts w:ascii="Garamond" w:hAnsi="Garamond"/>
          <w:sz w:val="22"/>
          <w:szCs w:val="22"/>
        </w:rPr>
        <w:t>EUM</w:t>
      </w:r>
      <w:r w:rsidR="001C699F" w:rsidRPr="008D6FFA">
        <w:rPr>
          <w:rFonts w:ascii="Garamond" w:hAnsi="Garamond"/>
          <w:sz w:val="22"/>
          <w:szCs w:val="22"/>
        </w:rPr>
        <w:t>)</w:t>
      </w:r>
      <w:r w:rsidR="00853D93" w:rsidRPr="008D6FFA">
        <w:rPr>
          <w:rFonts w:ascii="Garamond" w:hAnsi="Garamond"/>
          <w:sz w:val="22"/>
          <w:szCs w:val="22"/>
        </w:rPr>
        <w:t xml:space="preserve"> </w:t>
      </w:r>
      <w:r w:rsidR="00D24D25" w:rsidRPr="008D6FFA">
        <w:rPr>
          <w:rFonts w:ascii="Garamond" w:hAnsi="Garamond"/>
          <w:sz w:val="22"/>
          <w:szCs w:val="22"/>
        </w:rPr>
        <w:t>(Lund &amp; Robertson 2023</w:t>
      </w:r>
      <w:r w:rsidR="00DF71EC" w:rsidRPr="008D6FFA">
        <w:rPr>
          <w:rFonts w:ascii="Garamond" w:hAnsi="Garamond"/>
          <w:sz w:val="22"/>
          <w:szCs w:val="22"/>
        </w:rPr>
        <w:t>, p. 2</w:t>
      </w:r>
      <w:r w:rsidR="00853D93" w:rsidRPr="008D6FFA">
        <w:rPr>
          <w:rFonts w:ascii="Garamond" w:hAnsi="Garamond"/>
          <w:sz w:val="22"/>
          <w:szCs w:val="22"/>
        </w:rPr>
        <w:t>, 14</w:t>
      </w:r>
      <w:r w:rsidR="00D24D25" w:rsidRPr="008D6FFA">
        <w:rPr>
          <w:rFonts w:ascii="Garamond" w:hAnsi="Garamond"/>
          <w:sz w:val="22"/>
          <w:szCs w:val="22"/>
        </w:rPr>
        <w:t>).</w:t>
      </w:r>
      <w:r w:rsidR="00BD6805" w:rsidRPr="008D6FFA">
        <w:rPr>
          <w:rFonts w:ascii="Garamond" w:hAnsi="Garamond"/>
          <w:sz w:val="22"/>
          <w:szCs w:val="22"/>
        </w:rPr>
        <w:t xml:space="preserve"> Furthermore, when </w:t>
      </w:r>
      <w:r w:rsidR="00853D93" w:rsidRPr="008D6FFA">
        <w:rPr>
          <w:rFonts w:ascii="Garamond" w:hAnsi="Garamond"/>
          <w:sz w:val="22"/>
          <w:szCs w:val="22"/>
        </w:rPr>
        <w:t xml:space="preserve">considering their </w:t>
      </w:r>
      <w:r w:rsidR="00BD6805" w:rsidRPr="008D6FFA">
        <w:rPr>
          <w:rFonts w:ascii="Garamond" w:hAnsi="Garamond"/>
          <w:sz w:val="22"/>
          <w:szCs w:val="22"/>
        </w:rPr>
        <w:t xml:space="preserve">actively managed mutual funds, which </w:t>
      </w:r>
      <w:r w:rsidR="00853D93" w:rsidRPr="008D6FFA">
        <w:rPr>
          <w:rFonts w:ascii="Garamond" w:hAnsi="Garamond"/>
          <w:sz w:val="22"/>
          <w:szCs w:val="22"/>
        </w:rPr>
        <w:t xml:space="preserve">bear greater relevance to the </w:t>
      </w:r>
      <w:r w:rsidR="00853D93" w:rsidRPr="008D6FFA">
        <w:rPr>
          <w:rFonts w:ascii="Garamond" w:hAnsi="Garamond"/>
          <w:sz w:val="22"/>
          <w:szCs w:val="22"/>
        </w:rPr>
        <w:lastRenderedPageBreak/>
        <w:t>IPO market</w:t>
      </w:r>
      <w:r w:rsidR="00BD6805" w:rsidRPr="008D6FFA">
        <w:rPr>
          <w:rFonts w:ascii="Garamond" w:hAnsi="Garamond"/>
          <w:sz w:val="22"/>
          <w:szCs w:val="22"/>
        </w:rPr>
        <w:t>—</w:t>
      </w:r>
      <w:r w:rsidR="00D21BA2" w:rsidRPr="008D6FFA">
        <w:rPr>
          <w:rFonts w:ascii="Garamond" w:hAnsi="Garamond"/>
          <w:sz w:val="22"/>
          <w:szCs w:val="22"/>
        </w:rPr>
        <w:t>index funds typically do not</w:t>
      </w:r>
      <w:r w:rsidR="00BD6805" w:rsidRPr="008D6FFA">
        <w:rPr>
          <w:rFonts w:ascii="Garamond" w:hAnsi="Garamond"/>
          <w:sz w:val="22"/>
          <w:szCs w:val="22"/>
        </w:rPr>
        <w:t xml:space="preserve"> invest in IPOs</w:t>
      </w:r>
      <w:r w:rsidR="00971E76" w:rsidRPr="008D6FFA">
        <w:rPr>
          <w:rFonts w:ascii="Garamond" w:hAnsi="Garamond"/>
          <w:sz w:val="22"/>
          <w:szCs w:val="22"/>
        </w:rPr>
        <w:t>,</w:t>
      </w:r>
      <w:r w:rsidR="00D21BA2" w:rsidRPr="008D6FFA">
        <w:rPr>
          <w:rFonts w:ascii="Garamond" w:hAnsi="Garamond"/>
          <w:sz w:val="22"/>
          <w:szCs w:val="22"/>
        </w:rPr>
        <w:t xml:space="preserve"> as </w:t>
      </w:r>
      <w:r w:rsidR="00971E76" w:rsidRPr="008D6FFA">
        <w:rPr>
          <w:rFonts w:ascii="Garamond" w:hAnsi="Garamond"/>
          <w:sz w:val="22"/>
          <w:szCs w:val="22"/>
        </w:rPr>
        <w:t xml:space="preserve">new </w:t>
      </w:r>
      <w:r w:rsidR="00D21BA2" w:rsidRPr="008D6FFA">
        <w:rPr>
          <w:rFonts w:ascii="Garamond" w:hAnsi="Garamond"/>
          <w:sz w:val="22"/>
          <w:szCs w:val="22"/>
        </w:rPr>
        <w:t>issuers are not automatically</w:t>
      </w:r>
      <w:r w:rsidR="00E20239" w:rsidRPr="008D6FFA">
        <w:rPr>
          <w:rFonts w:ascii="Garamond" w:hAnsi="Garamond"/>
          <w:sz w:val="22"/>
          <w:szCs w:val="22"/>
        </w:rPr>
        <w:t xml:space="preserve"> added</w:t>
      </w:r>
      <w:r w:rsidR="00D21BA2" w:rsidRPr="008D6FFA">
        <w:rPr>
          <w:rFonts w:ascii="Garamond" w:hAnsi="Garamond"/>
          <w:sz w:val="22"/>
          <w:szCs w:val="22"/>
        </w:rPr>
        <w:t xml:space="preserve"> to market indices</w:t>
      </w:r>
      <w:r w:rsidR="00BD6805" w:rsidRPr="008D6FFA">
        <w:rPr>
          <w:rFonts w:ascii="Garamond" w:hAnsi="Garamond"/>
          <w:sz w:val="22"/>
          <w:szCs w:val="22"/>
        </w:rPr>
        <w:t>—</w:t>
      </w:r>
      <w:r w:rsidR="00853D93" w:rsidRPr="008D6FFA">
        <w:rPr>
          <w:rFonts w:ascii="Garamond" w:hAnsi="Garamond"/>
          <w:sz w:val="22"/>
          <w:szCs w:val="22"/>
        </w:rPr>
        <w:t>these three giants hold significant market share</w:t>
      </w:r>
      <w:r w:rsidR="00BD6805" w:rsidRPr="008D6FFA">
        <w:rPr>
          <w:rFonts w:ascii="Garamond" w:hAnsi="Garamond"/>
          <w:sz w:val="22"/>
          <w:szCs w:val="22"/>
        </w:rPr>
        <w:t xml:space="preserve">. </w:t>
      </w:r>
      <w:r w:rsidR="00853D93" w:rsidRPr="008D6FFA">
        <w:rPr>
          <w:rFonts w:ascii="Garamond" w:hAnsi="Garamond"/>
          <w:sz w:val="22"/>
          <w:szCs w:val="22"/>
        </w:rPr>
        <w:t>Combined, they have</w:t>
      </w:r>
      <w:r w:rsidR="00BD6805" w:rsidRPr="008D6FFA">
        <w:rPr>
          <w:rFonts w:ascii="Garamond" w:hAnsi="Garamond"/>
          <w:sz w:val="22"/>
          <w:szCs w:val="22"/>
        </w:rPr>
        <w:t xml:space="preserve"> </w:t>
      </w:r>
      <w:r w:rsidR="00853D93" w:rsidRPr="008D6FFA">
        <w:rPr>
          <w:rFonts w:ascii="Garamond" w:hAnsi="Garamond"/>
          <w:sz w:val="22"/>
          <w:szCs w:val="22"/>
        </w:rPr>
        <w:t xml:space="preserve">approximately </w:t>
      </w:r>
      <w:r w:rsidR="00BD6805" w:rsidRPr="008D6FFA">
        <w:rPr>
          <w:rFonts w:ascii="Garamond" w:hAnsi="Garamond"/>
          <w:sz w:val="22"/>
          <w:szCs w:val="22"/>
        </w:rPr>
        <w:t>$</w:t>
      </w:r>
      <w:r w:rsidR="00853D93" w:rsidRPr="008D6FFA">
        <w:rPr>
          <w:rFonts w:ascii="Garamond" w:hAnsi="Garamond"/>
          <w:sz w:val="22"/>
          <w:szCs w:val="22"/>
        </w:rPr>
        <w:t xml:space="preserve">18.5 </w:t>
      </w:r>
      <w:r w:rsidR="00BD6805" w:rsidRPr="008D6FFA">
        <w:rPr>
          <w:rFonts w:ascii="Garamond" w:hAnsi="Garamond"/>
          <w:sz w:val="22"/>
          <w:szCs w:val="22"/>
        </w:rPr>
        <w:t xml:space="preserve">trillion in actively managed mutual funds </w:t>
      </w:r>
      <w:r w:rsidR="0062178A" w:rsidRPr="008D6FFA">
        <w:rPr>
          <w:rFonts w:ascii="Garamond" w:hAnsi="Garamond"/>
          <w:sz w:val="22"/>
          <w:szCs w:val="22"/>
        </w:rPr>
        <w:t>(Lund &amp; Robertson 2023</w:t>
      </w:r>
      <w:r w:rsidR="00C417A3" w:rsidRPr="008D6FFA">
        <w:rPr>
          <w:rFonts w:ascii="Garamond" w:hAnsi="Garamond"/>
          <w:sz w:val="22"/>
          <w:szCs w:val="22"/>
        </w:rPr>
        <w:t>, p. 14</w:t>
      </w:r>
      <w:r w:rsidR="0062178A" w:rsidRPr="008D6FFA">
        <w:rPr>
          <w:rFonts w:ascii="Garamond" w:hAnsi="Garamond"/>
          <w:sz w:val="22"/>
          <w:szCs w:val="22"/>
        </w:rPr>
        <w:t>)</w:t>
      </w:r>
      <w:r w:rsidR="00BD6805" w:rsidRPr="008D6FFA">
        <w:rPr>
          <w:rFonts w:ascii="Garamond" w:hAnsi="Garamond"/>
          <w:sz w:val="22"/>
          <w:szCs w:val="22"/>
        </w:rPr>
        <w:t>.</w:t>
      </w:r>
      <w:r w:rsidR="00E10AF0" w:rsidRPr="008D6FFA">
        <w:rPr>
          <w:rFonts w:ascii="Garamond" w:hAnsi="Garamond"/>
          <w:sz w:val="22"/>
          <w:szCs w:val="22"/>
        </w:rPr>
        <w:t xml:space="preserve"> </w:t>
      </w:r>
    </w:p>
    <w:p w14:paraId="60B0D6DD" w14:textId="008991FC" w:rsidR="00043DB9" w:rsidRDefault="00043DB9" w:rsidP="005C2EF5">
      <w:pPr>
        <w:spacing w:line="360" w:lineRule="auto"/>
        <w:ind w:firstLine="426"/>
        <w:jc w:val="both"/>
        <w:rPr>
          <w:rFonts w:ascii="Garamond" w:hAnsi="Garamond"/>
          <w:sz w:val="22"/>
          <w:szCs w:val="22"/>
        </w:rPr>
      </w:pPr>
      <w:r>
        <w:rPr>
          <w:rFonts w:ascii="Garamond" w:hAnsi="Garamond"/>
          <w:sz w:val="22"/>
          <w:szCs w:val="22"/>
        </w:rPr>
        <w:t xml:space="preserve">We </w:t>
      </w:r>
      <w:r w:rsidR="00AD167F">
        <w:rPr>
          <w:rFonts w:ascii="Garamond" w:hAnsi="Garamond"/>
          <w:sz w:val="22"/>
          <w:szCs w:val="22"/>
        </w:rPr>
        <w:t>argue</w:t>
      </w:r>
      <w:r w:rsidR="00DD1DD1" w:rsidRPr="00DD1DD1">
        <w:rPr>
          <w:rFonts w:ascii="Garamond" w:hAnsi="Garamond"/>
          <w:sz w:val="22"/>
          <w:szCs w:val="22"/>
        </w:rPr>
        <w:t xml:space="preserve"> that the market power of these titans in the primary market manifests in two distinct forms, direct and indirect.</w:t>
      </w:r>
      <w:r w:rsidR="00AD167F">
        <w:rPr>
          <w:rFonts w:ascii="Garamond" w:hAnsi="Garamond"/>
          <w:sz w:val="22"/>
          <w:szCs w:val="22"/>
        </w:rPr>
        <w:t xml:space="preserve"> </w:t>
      </w:r>
      <w:r w:rsidR="00AD167F" w:rsidRPr="00AD167F">
        <w:rPr>
          <w:rFonts w:ascii="Garamond" w:hAnsi="Garamond"/>
          <w:sz w:val="22"/>
          <w:szCs w:val="22"/>
        </w:rPr>
        <w:t xml:space="preserve">The </w:t>
      </w:r>
      <w:r w:rsidR="00AD167F" w:rsidRPr="00FF27E6">
        <w:rPr>
          <w:rFonts w:ascii="Garamond" w:hAnsi="Garamond"/>
          <w:i/>
          <w:iCs/>
          <w:sz w:val="22"/>
          <w:szCs w:val="22"/>
        </w:rPr>
        <w:t>direct</w:t>
      </w:r>
      <w:r w:rsidR="00AD167F" w:rsidRPr="00AD167F">
        <w:rPr>
          <w:rFonts w:ascii="Garamond" w:hAnsi="Garamond"/>
          <w:sz w:val="22"/>
          <w:szCs w:val="22"/>
        </w:rPr>
        <w:t xml:space="preserve"> form stems from their sheer size in terms of </w:t>
      </w:r>
      <w:r w:rsidR="00AD167F">
        <w:rPr>
          <w:rFonts w:ascii="Garamond" w:hAnsi="Garamond"/>
          <w:sz w:val="22"/>
          <w:szCs w:val="22"/>
        </w:rPr>
        <w:t xml:space="preserve">AUM </w:t>
      </w:r>
      <w:r w:rsidR="00AD167F" w:rsidRPr="00AD167F">
        <w:rPr>
          <w:rFonts w:ascii="Garamond" w:hAnsi="Garamond"/>
          <w:sz w:val="22"/>
          <w:szCs w:val="22"/>
        </w:rPr>
        <w:t>and their substantial order volume</w:t>
      </w:r>
      <w:r w:rsidR="00AC1523">
        <w:rPr>
          <w:rFonts w:ascii="Garamond" w:hAnsi="Garamond"/>
          <w:sz w:val="22"/>
          <w:szCs w:val="22"/>
        </w:rPr>
        <w:t xml:space="preserve"> in IPOs</w:t>
      </w:r>
      <w:r w:rsidR="00AD167F" w:rsidRPr="00AD167F">
        <w:rPr>
          <w:rFonts w:ascii="Garamond" w:hAnsi="Garamond"/>
          <w:sz w:val="22"/>
          <w:szCs w:val="22"/>
        </w:rPr>
        <w:t>. As our</w:t>
      </w:r>
      <w:r w:rsidR="00AD167F">
        <w:rPr>
          <w:rFonts w:ascii="Garamond" w:hAnsi="Garamond"/>
          <w:sz w:val="22"/>
          <w:szCs w:val="22"/>
        </w:rPr>
        <w:t xml:space="preserve"> initial empirical</w:t>
      </w:r>
      <w:r w:rsidR="00AD167F" w:rsidRPr="00AD167F">
        <w:rPr>
          <w:rFonts w:ascii="Garamond" w:hAnsi="Garamond"/>
          <w:sz w:val="22"/>
          <w:szCs w:val="22"/>
        </w:rPr>
        <w:t xml:space="preserve"> </w:t>
      </w:r>
      <w:r w:rsidR="00AD167F">
        <w:rPr>
          <w:rFonts w:ascii="Garamond" w:hAnsi="Garamond"/>
          <w:sz w:val="22"/>
          <w:szCs w:val="22"/>
        </w:rPr>
        <w:t>data</w:t>
      </w:r>
      <w:r w:rsidR="00AD167F" w:rsidRPr="00AD167F">
        <w:rPr>
          <w:rFonts w:ascii="Garamond" w:hAnsi="Garamond"/>
          <w:sz w:val="22"/>
          <w:szCs w:val="22"/>
        </w:rPr>
        <w:t xml:space="preserve"> reveals, the Big Three participate in a significant number of offerings and are consistently prominent players in the primary market.</w:t>
      </w:r>
      <w:r w:rsidR="00AD167F">
        <w:rPr>
          <w:rFonts w:ascii="Garamond" w:hAnsi="Garamond"/>
          <w:sz w:val="22"/>
          <w:szCs w:val="22"/>
        </w:rPr>
        <w:t xml:space="preserve"> </w:t>
      </w:r>
      <w:r w:rsidR="00AD167F" w:rsidRPr="00AD167F">
        <w:rPr>
          <w:rFonts w:ascii="Garamond" w:hAnsi="Garamond"/>
          <w:sz w:val="22"/>
          <w:szCs w:val="22"/>
        </w:rPr>
        <w:t xml:space="preserve">Moreover, </w:t>
      </w:r>
      <w:r w:rsidR="00AD167F">
        <w:rPr>
          <w:rFonts w:ascii="Garamond" w:hAnsi="Garamond"/>
          <w:sz w:val="22"/>
          <w:szCs w:val="22"/>
        </w:rPr>
        <w:t>a</w:t>
      </w:r>
      <w:r w:rsidR="00AD167F" w:rsidRPr="00AD167F">
        <w:rPr>
          <w:rFonts w:ascii="Garamond" w:hAnsi="Garamond"/>
          <w:sz w:val="22"/>
          <w:szCs w:val="22"/>
        </w:rPr>
        <w:t>s of 2023, each of these institutions held equity positions in approximately 5,000 U.S. companies, collectively controlling around 23 percent of the average S&amp;P 500 company.</w:t>
      </w:r>
      <w:r w:rsidR="00AC1523">
        <w:rPr>
          <w:rFonts w:ascii="Garamond" w:hAnsi="Garamond"/>
          <w:sz w:val="22"/>
          <w:szCs w:val="22"/>
        </w:rPr>
        <w:t xml:space="preserve"> As the literature suggests</w:t>
      </w:r>
      <w:r w:rsidR="00443DA7">
        <w:rPr>
          <w:rFonts w:ascii="Garamond" w:hAnsi="Garamond"/>
          <w:sz w:val="22"/>
          <w:szCs w:val="22"/>
        </w:rPr>
        <w:t>, institutional investors that place</w:t>
      </w:r>
      <w:r w:rsidR="00AC1523" w:rsidRPr="00AC1523">
        <w:rPr>
          <w:rFonts w:ascii="Garamond" w:hAnsi="Garamond"/>
          <w:sz w:val="22"/>
          <w:szCs w:val="22"/>
        </w:rPr>
        <w:t xml:space="preserve"> </w:t>
      </w:r>
      <w:r w:rsidR="00443DA7">
        <w:rPr>
          <w:rFonts w:ascii="Garamond" w:hAnsi="Garamond"/>
          <w:sz w:val="22"/>
          <w:szCs w:val="22"/>
        </w:rPr>
        <w:t>larger</w:t>
      </w:r>
      <w:r w:rsidR="00AC1523" w:rsidRPr="00AC1523">
        <w:rPr>
          <w:rFonts w:ascii="Garamond" w:hAnsi="Garamond"/>
          <w:sz w:val="22"/>
          <w:szCs w:val="22"/>
        </w:rPr>
        <w:t xml:space="preserve"> bids and</w:t>
      </w:r>
      <w:r w:rsidR="0051617B">
        <w:rPr>
          <w:rFonts w:ascii="Garamond" w:hAnsi="Garamond"/>
          <w:sz w:val="22"/>
          <w:szCs w:val="22"/>
        </w:rPr>
        <w:t xml:space="preserve"> are</w:t>
      </w:r>
      <w:r w:rsidR="00AC1523" w:rsidRPr="00AC1523">
        <w:rPr>
          <w:rFonts w:ascii="Garamond" w:hAnsi="Garamond"/>
          <w:sz w:val="22"/>
          <w:szCs w:val="22"/>
        </w:rPr>
        <w:t xml:space="preserve"> more frequent bidders</w:t>
      </w:r>
      <w:r w:rsidR="003A1621">
        <w:rPr>
          <w:rFonts w:ascii="Garamond" w:hAnsi="Garamond"/>
          <w:sz w:val="22"/>
          <w:szCs w:val="22"/>
        </w:rPr>
        <w:t xml:space="preserve"> </w:t>
      </w:r>
      <w:r w:rsidR="00443DA7">
        <w:rPr>
          <w:rFonts w:ascii="Garamond" w:hAnsi="Garamond"/>
          <w:sz w:val="22"/>
          <w:szCs w:val="22"/>
        </w:rPr>
        <w:t xml:space="preserve">are </w:t>
      </w:r>
      <w:r w:rsidR="00AC1523" w:rsidRPr="00AC1523">
        <w:rPr>
          <w:rFonts w:ascii="Garamond" w:hAnsi="Garamond"/>
          <w:sz w:val="22"/>
          <w:szCs w:val="22"/>
        </w:rPr>
        <w:t>have a stronger effect on the final issue price</w:t>
      </w:r>
      <w:r w:rsidR="003A1621">
        <w:rPr>
          <w:rFonts w:ascii="Garamond" w:hAnsi="Garamond"/>
          <w:sz w:val="22"/>
          <w:szCs w:val="22"/>
        </w:rPr>
        <w:t xml:space="preserve"> (</w:t>
      </w:r>
      <w:proofErr w:type="spellStart"/>
      <w:r w:rsidR="003A1621">
        <w:rPr>
          <w:rFonts w:ascii="Garamond" w:hAnsi="Garamond"/>
          <w:sz w:val="22"/>
          <w:szCs w:val="22"/>
        </w:rPr>
        <w:t>Cornelli</w:t>
      </w:r>
      <w:proofErr w:type="spellEnd"/>
      <w:r w:rsidR="003A1621">
        <w:rPr>
          <w:rFonts w:ascii="Garamond" w:hAnsi="Garamond"/>
          <w:sz w:val="22"/>
          <w:szCs w:val="22"/>
        </w:rPr>
        <w:t xml:space="preserve"> &amp; </w:t>
      </w:r>
      <w:proofErr w:type="spellStart"/>
      <w:r w:rsidR="003A1621">
        <w:rPr>
          <w:rFonts w:ascii="Garamond" w:hAnsi="Garamond"/>
          <w:sz w:val="22"/>
          <w:szCs w:val="22"/>
        </w:rPr>
        <w:t>Goldreich</w:t>
      </w:r>
      <w:proofErr w:type="spellEnd"/>
      <w:r w:rsidR="003A1621">
        <w:rPr>
          <w:rFonts w:ascii="Garamond" w:hAnsi="Garamond"/>
          <w:sz w:val="22"/>
          <w:szCs w:val="22"/>
        </w:rPr>
        <w:t xml:space="preserve"> 2003, p. 1423)</w:t>
      </w:r>
      <w:r w:rsidR="002C63AC">
        <w:rPr>
          <w:rFonts w:ascii="Garamond" w:hAnsi="Garamond"/>
          <w:sz w:val="22"/>
          <w:szCs w:val="22"/>
        </w:rPr>
        <w:t xml:space="preserve">. This </w:t>
      </w:r>
      <w:r w:rsidR="000A7F37">
        <w:rPr>
          <w:rFonts w:ascii="Garamond" w:hAnsi="Garamond"/>
          <w:sz w:val="22"/>
          <w:szCs w:val="22"/>
        </w:rPr>
        <w:t>observation</w:t>
      </w:r>
      <w:r w:rsidR="005C2EF5">
        <w:rPr>
          <w:rFonts w:ascii="Garamond" w:hAnsi="Garamond"/>
          <w:sz w:val="22"/>
          <w:szCs w:val="22"/>
        </w:rPr>
        <w:t xml:space="preserve"> </w:t>
      </w:r>
      <w:r w:rsidR="00FF27E6">
        <w:rPr>
          <w:rFonts w:ascii="Garamond" w:hAnsi="Garamond"/>
          <w:sz w:val="22"/>
          <w:szCs w:val="22"/>
        </w:rPr>
        <w:t xml:space="preserve">therefore </w:t>
      </w:r>
      <w:r w:rsidR="005C2EF5">
        <w:rPr>
          <w:rFonts w:ascii="Garamond" w:hAnsi="Garamond"/>
          <w:sz w:val="22"/>
          <w:szCs w:val="22"/>
        </w:rPr>
        <w:t>inform</w:t>
      </w:r>
      <w:r w:rsidR="002C63AC">
        <w:rPr>
          <w:rFonts w:ascii="Garamond" w:hAnsi="Garamond"/>
          <w:sz w:val="22"/>
          <w:szCs w:val="22"/>
        </w:rPr>
        <w:t xml:space="preserve">s </w:t>
      </w:r>
      <w:r w:rsidR="005C2EF5">
        <w:rPr>
          <w:rFonts w:ascii="Garamond" w:hAnsi="Garamond"/>
          <w:sz w:val="22"/>
          <w:szCs w:val="22"/>
        </w:rPr>
        <w:t>our focus on the Big Three.</w:t>
      </w:r>
    </w:p>
    <w:p w14:paraId="339A096F" w14:textId="6FFB7D5D" w:rsidR="000229F8" w:rsidRPr="00F0405C" w:rsidRDefault="000229F8" w:rsidP="00853D93">
      <w:pPr>
        <w:spacing w:line="360" w:lineRule="auto"/>
        <w:ind w:firstLine="426"/>
        <w:jc w:val="both"/>
        <w:rPr>
          <w:rFonts w:ascii="Garamond" w:hAnsi="Garamond"/>
          <w:color w:val="000000" w:themeColor="text1"/>
          <w:sz w:val="22"/>
          <w:szCs w:val="22"/>
        </w:rPr>
      </w:pPr>
      <w:r w:rsidRPr="00C21525">
        <w:rPr>
          <w:rFonts w:ascii="Garamond" w:hAnsi="Garamond"/>
          <w:color w:val="000000" w:themeColor="text1"/>
          <w:sz w:val="22"/>
          <w:szCs w:val="22"/>
        </w:rPr>
        <w:t xml:space="preserve">The </w:t>
      </w:r>
      <w:r w:rsidRPr="00C21525">
        <w:rPr>
          <w:rFonts w:ascii="Garamond" w:hAnsi="Garamond"/>
          <w:i/>
          <w:iCs/>
          <w:color w:val="000000" w:themeColor="text1"/>
          <w:sz w:val="22"/>
          <w:szCs w:val="22"/>
        </w:rPr>
        <w:t>indirect</w:t>
      </w:r>
      <w:r w:rsidRPr="00C21525">
        <w:rPr>
          <w:rFonts w:ascii="Garamond" w:hAnsi="Garamond"/>
          <w:color w:val="000000" w:themeColor="text1"/>
          <w:sz w:val="22"/>
          <w:szCs w:val="22"/>
        </w:rPr>
        <w:t xml:space="preserve"> market power</w:t>
      </w:r>
      <w:r w:rsidR="000A7F37" w:rsidRPr="00C21525">
        <w:rPr>
          <w:rFonts w:ascii="Garamond" w:hAnsi="Garamond"/>
          <w:color w:val="000000" w:themeColor="text1"/>
          <w:sz w:val="22"/>
          <w:szCs w:val="22"/>
        </w:rPr>
        <w:t xml:space="preserve"> of the Big Three</w:t>
      </w:r>
      <w:r w:rsidRPr="00C21525">
        <w:rPr>
          <w:rFonts w:ascii="Garamond" w:hAnsi="Garamond"/>
          <w:color w:val="000000" w:themeColor="text1"/>
          <w:sz w:val="22"/>
          <w:szCs w:val="22"/>
        </w:rPr>
        <w:t xml:space="preserve"> is attributed to</w:t>
      </w:r>
      <w:r w:rsidR="00F55F24" w:rsidRPr="00C21525">
        <w:rPr>
          <w:rFonts w:ascii="Garamond" w:hAnsi="Garamond"/>
          <w:color w:val="000000" w:themeColor="text1"/>
          <w:sz w:val="22"/>
          <w:szCs w:val="22"/>
        </w:rPr>
        <w:t xml:space="preserve"> several factors. First,</w:t>
      </w:r>
      <w:r w:rsidRPr="00C21525">
        <w:rPr>
          <w:rFonts w:ascii="Garamond" w:hAnsi="Garamond"/>
          <w:color w:val="000000" w:themeColor="text1"/>
          <w:sz w:val="22"/>
          <w:szCs w:val="22"/>
        </w:rPr>
        <w:t xml:space="preserve"> </w:t>
      </w:r>
      <w:r w:rsidR="00FE45E7" w:rsidRPr="00C21525">
        <w:rPr>
          <w:rFonts w:ascii="Garamond" w:hAnsi="Garamond"/>
          <w:color w:val="000000" w:themeColor="text1"/>
          <w:sz w:val="22"/>
          <w:szCs w:val="22"/>
        </w:rPr>
        <w:t xml:space="preserve">the influence giant institutional investors have on </w:t>
      </w:r>
      <w:r w:rsidR="00722E9C" w:rsidRPr="00C21525">
        <w:rPr>
          <w:rFonts w:ascii="Garamond" w:hAnsi="Garamond"/>
          <w:color w:val="000000" w:themeColor="text1"/>
          <w:sz w:val="22"/>
          <w:szCs w:val="22"/>
        </w:rPr>
        <w:t xml:space="preserve">the behavior of </w:t>
      </w:r>
      <w:r w:rsidR="00FE45E7" w:rsidRPr="00C21525">
        <w:rPr>
          <w:rFonts w:ascii="Garamond" w:hAnsi="Garamond"/>
          <w:color w:val="000000" w:themeColor="text1"/>
          <w:sz w:val="22"/>
          <w:szCs w:val="22"/>
        </w:rPr>
        <w:t>other market players</w:t>
      </w:r>
      <w:r w:rsidR="00722E9C" w:rsidRPr="00C21525">
        <w:rPr>
          <w:rFonts w:ascii="Garamond" w:hAnsi="Garamond"/>
          <w:color w:val="000000" w:themeColor="text1"/>
          <w:sz w:val="22"/>
          <w:szCs w:val="22"/>
        </w:rPr>
        <w:t xml:space="preserve">, which has been observed </w:t>
      </w:r>
      <w:r w:rsidR="00FE45E7" w:rsidRPr="00C21525">
        <w:rPr>
          <w:rFonts w:ascii="Garamond" w:hAnsi="Garamond"/>
          <w:color w:val="000000" w:themeColor="text1"/>
          <w:sz w:val="22"/>
          <w:szCs w:val="22"/>
        </w:rPr>
        <w:t>in the primary market (</w:t>
      </w:r>
      <w:r w:rsidR="00F0405C" w:rsidRPr="00C21525">
        <w:rPr>
          <w:rFonts w:ascii="Garamond" w:hAnsi="Garamond"/>
          <w:color w:val="000000" w:themeColor="text1"/>
          <w:sz w:val="22"/>
          <w:szCs w:val="22"/>
        </w:rPr>
        <w:t>Financial Conduct Authority 2019</w:t>
      </w:r>
      <w:r w:rsidR="00FE45E7" w:rsidRPr="00C21525">
        <w:rPr>
          <w:rFonts w:ascii="Garamond" w:hAnsi="Garamond"/>
          <w:color w:val="000000" w:themeColor="text1"/>
          <w:sz w:val="22"/>
          <w:szCs w:val="22"/>
        </w:rPr>
        <w:t>)</w:t>
      </w:r>
      <w:r w:rsidR="00FE45E7" w:rsidRPr="00C21525">
        <w:rPr>
          <w:rFonts w:ascii="Garamond" w:hAnsi="Garamond"/>
          <w:color w:val="000000" w:themeColor="text1"/>
          <w:sz w:val="22"/>
          <w:szCs w:val="22"/>
        </w:rPr>
        <w:t xml:space="preserve"> </w:t>
      </w:r>
      <w:r w:rsidR="00722E9C" w:rsidRPr="00C21525">
        <w:rPr>
          <w:rFonts w:ascii="Garamond" w:hAnsi="Garamond"/>
          <w:color w:val="000000" w:themeColor="text1"/>
          <w:sz w:val="22"/>
          <w:szCs w:val="22"/>
        </w:rPr>
        <w:t xml:space="preserve">and </w:t>
      </w:r>
      <w:r w:rsidR="00F0405C" w:rsidRPr="00C21525">
        <w:rPr>
          <w:rFonts w:ascii="Garamond" w:hAnsi="Garamond"/>
          <w:color w:val="000000" w:themeColor="text1"/>
          <w:sz w:val="22"/>
          <w:szCs w:val="22"/>
        </w:rPr>
        <w:t xml:space="preserve">in </w:t>
      </w:r>
      <w:r w:rsidR="00722E9C" w:rsidRPr="00C21525">
        <w:rPr>
          <w:rFonts w:ascii="Garamond" w:hAnsi="Garamond"/>
          <w:color w:val="000000" w:themeColor="text1"/>
          <w:sz w:val="22"/>
          <w:szCs w:val="22"/>
        </w:rPr>
        <w:t>other contexts such as proxy contests (</w:t>
      </w:r>
      <w:r w:rsidR="009B3D55" w:rsidRPr="00C21525">
        <w:rPr>
          <w:rFonts w:ascii="Garamond" w:hAnsi="Garamond"/>
          <w:color w:val="000000" w:themeColor="text1"/>
          <w:sz w:val="22"/>
          <w:szCs w:val="22"/>
        </w:rPr>
        <w:t>McHugh &amp; Goldfarb 2024</w:t>
      </w:r>
      <w:r w:rsidR="00AA3776" w:rsidRPr="00C21525">
        <w:rPr>
          <w:rFonts w:ascii="Garamond" w:hAnsi="Garamond"/>
          <w:color w:val="000000" w:themeColor="text1"/>
          <w:sz w:val="22"/>
          <w:szCs w:val="22"/>
        </w:rPr>
        <w:t xml:space="preserve">) </w:t>
      </w:r>
      <w:r w:rsidR="00722E9C" w:rsidRPr="00C21525">
        <w:rPr>
          <w:rFonts w:ascii="Garamond" w:hAnsi="Garamond"/>
          <w:color w:val="000000" w:themeColor="text1"/>
          <w:sz w:val="22"/>
          <w:szCs w:val="22"/>
        </w:rPr>
        <w:t xml:space="preserve">and </w:t>
      </w:r>
      <w:r w:rsidR="00FE45E7" w:rsidRPr="00C21525">
        <w:rPr>
          <w:rFonts w:ascii="Garamond" w:hAnsi="Garamond"/>
          <w:color w:val="000000" w:themeColor="text1"/>
          <w:sz w:val="22"/>
          <w:szCs w:val="22"/>
        </w:rPr>
        <w:t xml:space="preserve">the adoption of investment guidelines </w:t>
      </w:r>
      <w:r w:rsidR="00AA3776" w:rsidRPr="00C21525">
        <w:rPr>
          <w:rFonts w:ascii="Garamond" w:hAnsi="Garamond"/>
          <w:color w:val="000000" w:themeColor="text1"/>
          <w:sz w:val="22"/>
          <w:szCs w:val="22"/>
        </w:rPr>
        <w:t>(</w:t>
      </w:r>
      <w:r w:rsidR="00AA3776" w:rsidRPr="00C21525">
        <w:rPr>
          <w:rFonts w:ascii="Garamond" w:hAnsi="Garamond"/>
          <w:color w:val="000000" w:themeColor="text1"/>
          <w:sz w:val="22"/>
          <w:szCs w:val="22"/>
        </w:rPr>
        <w:t xml:space="preserve">Eckstein 2023, pp. 962-975) </w:t>
      </w:r>
      <w:r w:rsidR="00722E9C" w:rsidRPr="00C21525">
        <w:rPr>
          <w:rFonts w:ascii="Garamond" w:hAnsi="Garamond"/>
          <w:color w:val="000000" w:themeColor="text1"/>
          <w:sz w:val="22"/>
          <w:szCs w:val="22"/>
        </w:rPr>
        <w:t>is pronounced</w:t>
      </w:r>
      <w:r w:rsidR="00FE45E7" w:rsidRPr="00C21525">
        <w:rPr>
          <w:rFonts w:ascii="Garamond" w:hAnsi="Garamond"/>
          <w:color w:val="000000" w:themeColor="text1"/>
          <w:sz w:val="22"/>
          <w:szCs w:val="22"/>
        </w:rPr>
        <w:t>.</w:t>
      </w:r>
      <w:r w:rsidR="00722E9C" w:rsidRPr="00C21525">
        <w:rPr>
          <w:rFonts w:ascii="Garamond" w:hAnsi="Garamond"/>
          <w:color w:val="000000" w:themeColor="text1"/>
          <w:sz w:val="22"/>
          <w:szCs w:val="22"/>
        </w:rPr>
        <w:t xml:space="preserve"> In the IPO setting,</w:t>
      </w:r>
      <w:r w:rsidR="00FE45E7" w:rsidRPr="00C21525">
        <w:rPr>
          <w:rFonts w:ascii="Garamond" w:hAnsi="Garamond"/>
          <w:color w:val="000000" w:themeColor="text1"/>
          <w:sz w:val="22"/>
          <w:szCs w:val="22"/>
        </w:rPr>
        <w:t xml:space="preserve"> </w:t>
      </w:r>
      <w:r w:rsidR="00F55F24" w:rsidRPr="00C21525">
        <w:rPr>
          <w:rFonts w:ascii="Garamond" w:hAnsi="Garamond"/>
          <w:color w:val="000000" w:themeColor="text1"/>
          <w:sz w:val="22"/>
          <w:szCs w:val="22"/>
        </w:rPr>
        <w:t xml:space="preserve">these </w:t>
      </w:r>
      <w:r w:rsidR="00722E9C" w:rsidRPr="00C21525">
        <w:rPr>
          <w:rFonts w:ascii="Garamond" w:hAnsi="Garamond"/>
          <w:color w:val="000000" w:themeColor="text1"/>
          <w:sz w:val="22"/>
          <w:szCs w:val="22"/>
        </w:rPr>
        <w:t>giants</w:t>
      </w:r>
      <w:r w:rsidR="00F55F24" w:rsidRPr="00C21525">
        <w:rPr>
          <w:rFonts w:ascii="Garamond" w:hAnsi="Garamond"/>
          <w:color w:val="000000" w:themeColor="text1"/>
          <w:sz w:val="22"/>
          <w:szCs w:val="22"/>
        </w:rPr>
        <w:t xml:space="preserve">’ participation in IPOs </w:t>
      </w:r>
      <w:r w:rsidR="00624D74" w:rsidRPr="00C21525">
        <w:rPr>
          <w:rFonts w:ascii="Garamond" w:hAnsi="Garamond"/>
          <w:color w:val="000000" w:themeColor="text1"/>
          <w:sz w:val="22"/>
          <w:szCs w:val="22"/>
        </w:rPr>
        <w:t>sends a positive mes</w:t>
      </w:r>
      <w:r w:rsidR="00C40837" w:rsidRPr="00C21525">
        <w:rPr>
          <w:rFonts w:ascii="Garamond" w:hAnsi="Garamond"/>
          <w:color w:val="000000" w:themeColor="text1"/>
          <w:sz w:val="22"/>
          <w:szCs w:val="22"/>
        </w:rPr>
        <w:t>s</w:t>
      </w:r>
      <w:r w:rsidR="00624D74" w:rsidRPr="00C21525">
        <w:rPr>
          <w:rFonts w:ascii="Garamond" w:hAnsi="Garamond"/>
          <w:color w:val="000000" w:themeColor="text1"/>
          <w:sz w:val="22"/>
          <w:szCs w:val="22"/>
        </w:rPr>
        <w:t>age</w:t>
      </w:r>
      <w:r w:rsidR="00145EA8" w:rsidRPr="00C21525">
        <w:rPr>
          <w:rFonts w:ascii="Garamond" w:hAnsi="Garamond"/>
          <w:color w:val="000000" w:themeColor="text1"/>
          <w:sz w:val="22"/>
          <w:szCs w:val="22"/>
        </w:rPr>
        <w:t xml:space="preserve"> to the markets</w:t>
      </w:r>
      <w:r w:rsidR="00F55F24" w:rsidRPr="00C21525">
        <w:rPr>
          <w:rFonts w:ascii="Garamond" w:hAnsi="Garamond"/>
          <w:color w:val="000000" w:themeColor="text1"/>
          <w:sz w:val="22"/>
          <w:szCs w:val="22"/>
        </w:rPr>
        <w:t xml:space="preserve"> </w:t>
      </w:r>
      <w:r w:rsidR="000B311D" w:rsidRPr="00C21525">
        <w:rPr>
          <w:rFonts w:ascii="Garamond" w:hAnsi="Garamond"/>
          <w:color w:val="000000" w:themeColor="text1"/>
          <w:sz w:val="22"/>
          <w:szCs w:val="22"/>
        </w:rPr>
        <w:t>thus boosting the offering’s prospects</w:t>
      </w:r>
      <w:r w:rsidR="00F55F24" w:rsidRPr="00C21525">
        <w:rPr>
          <w:rFonts w:ascii="Garamond" w:hAnsi="Garamond"/>
          <w:color w:val="000000" w:themeColor="text1"/>
          <w:sz w:val="22"/>
          <w:szCs w:val="22"/>
        </w:rPr>
        <w:t>.</w:t>
      </w:r>
      <w:r w:rsidR="00FE45E7" w:rsidRPr="00C21525">
        <w:rPr>
          <w:rFonts w:ascii="Garamond" w:hAnsi="Garamond"/>
          <w:color w:val="000000" w:themeColor="text1"/>
          <w:sz w:val="22"/>
          <w:szCs w:val="22"/>
        </w:rPr>
        <w:t xml:space="preserve"> </w:t>
      </w:r>
      <w:r w:rsidR="00F55F24" w:rsidRPr="00C21525">
        <w:rPr>
          <w:rFonts w:ascii="Garamond" w:hAnsi="Garamond"/>
          <w:color w:val="000000" w:themeColor="text1"/>
          <w:sz w:val="22"/>
          <w:szCs w:val="22"/>
        </w:rPr>
        <w:t>Specifically, w</w:t>
      </w:r>
      <w:r w:rsidRPr="00C21525">
        <w:rPr>
          <w:rFonts w:ascii="Garamond" w:hAnsi="Garamond"/>
          <w:color w:val="000000" w:themeColor="text1"/>
          <w:sz w:val="22"/>
          <w:szCs w:val="22"/>
        </w:rPr>
        <w:t>hen high-profile asset managers like the Big Three allocate funds to an IPO, their involvement often serves as a de facto “seal of approval” for the issuing company, conveying a positive signal about its prospects. This creates a strong incentive for issuers to include these institutions in their shareholder base, granting these investors the ability to</w:t>
      </w:r>
      <w:r w:rsidR="00F0405C" w:rsidRPr="00C21525">
        <w:rPr>
          <w:rFonts w:ascii="Garamond" w:hAnsi="Garamond"/>
          <w:color w:val="000000" w:themeColor="text1"/>
          <w:sz w:val="22"/>
          <w:szCs w:val="22"/>
        </w:rPr>
        <w:t xml:space="preserve"> receive share allocation despite</w:t>
      </w:r>
      <w:r w:rsidRPr="00C21525">
        <w:rPr>
          <w:rFonts w:ascii="Garamond" w:hAnsi="Garamond"/>
          <w:color w:val="000000" w:themeColor="text1"/>
          <w:sz w:val="22"/>
          <w:szCs w:val="22"/>
        </w:rPr>
        <w:t xml:space="preserve"> undervalu</w:t>
      </w:r>
      <w:r w:rsidR="00F0405C" w:rsidRPr="00C21525">
        <w:rPr>
          <w:rFonts w:ascii="Garamond" w:hAnsi="Garamond"/>
          <w:color w:val="000000" w:themeColor="text1"/>
          <w:sz w:val="22"/>
          <w:szCs w:val="22"/>
        </w:rPr>
        <w:t>ing</w:t>
      </w:r>
      <w:r w:rsidRPr="00C21525">
        <w:rPr>
          <w:rFonts w:ascii="Garamond" w:hAnsi="Garamond"/>
          <w:color w:val="000000" w:themeColor="text1"/>
          <w:sz w:val="22"/>
          <w:szCs w:val="22"/>
        </w:rPr>
        <w:t xml:space="preserve"> the issuer. </w:t>
      </w:r>
      <w:r w:rsidR="00624D74" w:rsidRPr="00C21525">
        <w:rPr>
          <w:rFonts w:ascii="Garamond" w:hAnsi="Garamond"/>
          <w:color w:val="000000" w:themeColor="text1"/>
          <w:sz w:val="22"/>
          <w:szCs w:val="22"/>
        </w:rPr>
        <w:t>Second</w:t>
      </w:r>
      <w:r w:rsidRPr="00C21525">
        <w:rPr>
          <w:rFonts w:ascii="Garamond" w:hAnsi="Garamond"/>
          <w:color w:val="000000" w:themeColor="text1"/>
          <w:sz w:val="22"/>
          <w:szCs w:val="22"/>
        </w:rPr>
        <w:t>, as sophisticated, informed investors, institutional investors such as the Big Three provide feedback on the value of the issuer during roadshows and, more recently, during test-the-water (TTW) communications.</w:t>
      </w:r>
      <w:r w:rsidR="00951A31" w:rsidRPr="00C21525">
        <w:rPr>
          <w:rFonts w:ascii="Garamond" w:hAnsi="Garamond"/>
          <w:color w:val="000000" w:themeColor="text1"/>
          <w:sz w:val="22"/>
          <w:szCs w:val="22"/>
        </w:rPr>
        <w:t xml:space="preserve"> </w:t>
      </w:r>
      <w:r w:rsidRPr="00C21525">
        <w:rPr>
          <w:rFonts w:ascii="Garamond" w:hAnsi="Garamond"/>
          <w:color w:val="000000" w:themeColor="text1"/>
          <w:sz w:val="22"/>
          <w:szCs w:val="22"/>
        </w:rPr>
        <w:t xml:space="preserve">The essential role </w:t>
      </w:r>
      <w:r w:rsidR="00FE45E7" w:rsidRPr="00C21525">
        <w:rPr>
          <w:rFonts w:ascii="Garamond" w:hAnsi="Garamond"/>
          <w:color w:val="000000" w:themeColor="text1"/>
          <w:sz w:val="22"/>
          <w:szCs w:val="22"/>
        </w:rPr>
        <w:t xml:space="preserve">that </w:t>
      </w:r>
      <w:r w:rsidR="00FE45E7" w:rsidRPr="00F0405C">
        <w:rPr>
          <w:rFonts w:ascii="Garamond" w:hAnsi="Garamond"/>
          <w:color w:val="000000" w:themeColor="text1"/>
          <w:sz w:val="22"/>
          <w:szCs w:val="22"/>
        </w:rPr>
        <w:t xml:space="preserve">these institutions </w:t>
      </w:r>
      <w:r w:rsidRPr="00F0405C">
        <w:rPr>
          <w:rFonts w:ascii="Garamond" w:hAnsi="Garamond"/>
          <w:color w:val="000000" w:themeColor="text1"/>
          <w:sz w:val="22"/>
          <w:szCs w:val="22"/>
        </w:rPr>
        <w:t xml:space="preserve">as providers of valuation feedback grants them significant pricing power, which amplifies their ability to influence </w:t>
      </w:r>
      <w:r w:rsidR="000B311D" w:rsidRPr="00F0405C">
        <w:rPr>
          <w:rFonts w:ascii="Garamond" w:hAnsi="Garamond"/>
          <w:color w:val="000000" w:themeColor="text1"/>
          <w:sz w:val="22"/>
          <w:szCs w:val="22"/>
        </w:rPr>
        <w:t xml:space="preserve">both the initial price range as well as the final </w:t>
      </w:r>
      <w:r w:rsidRPr="00F0405C">
        <w:rPr>
          <w:rFonts w:ascii="Garamond" w:hAnsi="Garamond"/>
          <w:color w:val="000000" w:themeColor="text1"/>
          <w:sz w:val="22"/>
          <w:szCs w:val="22"/>
        </w:rPr>
        <w:t>offer price.</w:t>
      </w:r>
      <w:r w:rsidR="00EF652B" w:rsidRPr="00F0405C">
        <w:rPr>
          <w:rFonts w:ascii="Garamond" w:hAnsi="Garamond"/>
          <w:color w:val="000000" w:themeColor="text1"/>
          <w:sz w:val="22"/>
          <w:szCs w:val="22"/>
        </w:rPr>
        <w:t xml:space="preserve"> </w:t>
      </w:r>
    </w:p>
    <w:p w14:paraId="25922A9A" w14:textId="2A7BDD18" w:rsidR="005D518E" w:rsidRDefault="005D518E" w:rsidP="005329B8">
      <w:pPr>
        <w:spacing w:line="360" w:lineRule="auto"/>
        <w:ind w:firstLine="426"/>
        <w:jc w:val="both"/>
        <w:rPr>
          <w:rFonts w:ascii="Garamond" w:hAnsi="Garamond"/>
          <w:sz w:val="22"/>
          <w:szCs w:val="22"/>
        </w:rPr>
      </w:pPr>
      <w:r>
        <w:rPr>
          <w:rFonts w:ascii="Garamond" w:hAnsi="Garamond"/>
          <w:sz w:val="22"/>
          <w:szCs w:val="22"/>
        </w:rPr>
        <w:t>While</w:t>
      </w:r>
      <w:r w:rsidR="00987A5A" w:rsidRPr="00987A5A">
        <w:rPr>
          <w:rFonts w:ascii="Garamond" w:hAnsi="Garamond"/>
          <w:sz w:val="22"/>
          <w:szCs w:val="22"/>
        </w:rPr>
        <w:t xml:space="preserve"> each of the Big Three is a dominant player in the primary market and may strategically leverage its position to negotiate lower offer prices</w:t>
      </w:r>
      <w:r>
        <w:rPr>
          <w:rFonts w:ascii="Garamond" w:hAnsi="Garamond"/>
          <w:sz w:val="22"/>
          <w:szCs w:val="22"/>
        </w:rPr>
        <w:t>,</w:t>
      </w:r>
      <w:r w:rsidR="00987A5A" w:rsidRPr="00987A5A">
        <w:rPr>
          <w:rFonts w:ascii="Garamond" w:hAnsi="Garamond"/>
          <w:sz w:val="22"/>
          <w:szCs w:val="22"/>
        </w:rPr>
        <w:t xml:space="preserve"> when these competitors engage in various forms of convergent, parallel, or coordinated behavior, their market power can be wielded more effectively</w:t>
      </w:r>
      <w:r w:rsidR="0084068C">
        <w:rPr>
          <w:rFonts w:ascii="Garamond" w:hAnsi="Garamond"/>
          <w:sz w:val="22"/>
          <w:szCs w:val="22"/>
        </w:rPr>
        <w:t>,</w:t>
      </w:r>
      <w:r w:rsidR="00987A5A" w:rsidRPr="00987A5A">
        <w:rPr>
          <w:rFonts w:ascii="Garamond" w:hAnsi="Garamond"/>
          <w:sz w:val="22"/>
          <w:szCs w:val="22"/>
        </w:rPr>
        <w:t xml:space="preserve"> lead</w:t>
      </w:r>
      <w:r w:rsidR="0084068C">
        <w:rPr>
          <w:rFonts w:ascii="Garamond" w:hAnsi="Garamond"/>
          <w:sz w:val="22"/>
          <w:szCs w:val="22"/>
        </w:rPr>
        <w:t>ing</w:t>
      </w:r>
      <w:r w:rsidR="00987A5A" w:rsidRPr="00987A5A">
        <w:rPr>
          <w:rFonts w:ascii="Garamond" w:hAnsi="Garamond"/>
          <w:sz w:val="22"/>
          <w:szCs w:val="22"/>
        </w:rPr>
        <w:t xml:space="preserve"> to an even deeper underpricing.</w:t>
      </w:r>
      <w:r w:rsidR="0084068C">
        <w:rPr>
          <w:rFonts w:ascii="Garamond" w:hAnsi="Garamond"/>
          <w:sz w:val="22"/>
          <w:szCs w:val="22"/>
        </w:rPr>
        <w:t xml:space="preserve"> </w:t>
      </w:r>
      <w:r>
        <w:rPr>
          <w:rFonts w:ascii="Garamond" w:hAnsi="Garamond"/>
          <w:sz w:val="22"/>
          <w:szCs w:val="22"/>
        </w:rPr>
        <w:t xml:space="preserve">Indeed, </w:t>
      </w:r>
      <w:r w:rsidR="00145EA8">
        <w:rPr>
          <w:rFonts w:ascii="Garamond" w:hAnsi="Garamond"/>
          <w:sz w:val="22"/>
          <w:szCs w:val="22"/>
        </w:rPr>
        <w:t>evidence of</w:t>
      </w:r>
      <w:r>
        <w:rPr>
          <w:rFonts w:ascii="Garamond" w:hAnsi="Garamond"/>
          <w:sz w:val="22"/>
          <w:szCs w:val="22"/>
        </w:rPr>
        <w:t xml:space="preserve"> signaling, direct communication, and even coordination among large institution</w:t>
      </w:r>
      <w:r w:rsidR="00AC1523">
        <w:rPr>
          <w:rFonts w:ascii="Garamond" w:hAnsi="Garamond"/>
          <w:sz w:val="22"/>
          <w:szCs w:val="22"/>
        </w:rPr>
        <w:t>al investors</w:t>
      </w:r>
      <w:r>
        <w:rPr>
          <w:rFonts w:ascii="Garamond" w:hAnsi="Garamond"/>
          <w:sz w:val="22"/>
          <w:szCs w:val="22"/>
        </w:rPr>
        <w:t xml:space="preserve"> </w:t>
      </w:r>
      <w:r w:rsidR="00000309">
        <w:rPr>
          <w:rFonts w:ascii="Garamond" w:hAnsi="Garamond"/>
          <w:sz w:val="22"/>
          <w:szCs w:val="22"/>
        </w:rPr>
        <w:t>during IPOs</w:t>
      </w:r>
      <w:r w:rsidR="0062368D">
        <w:rPr>
          <w:rFonts w:ascii="Garamond" w:hAnsi="Garamond"/>
          <w:sz w:val="22"/>
          <w:szCs w:val="22"/>
        </w:rPr>
        <w:t xml:space="preserve">, as detailed below, </w:t>
      </w:r>
      <w:r w:rsidR="00145EA8">
        <w:rPr>
          <w:rFonts w:ascii="Garamond" w:hAnsi="Garamond"/>
          <w:sz w:val="22"/>
          <w:szCs w:val="22"/>
        </w:rPr>
        <w:t>is</w:t>
      </w:r>
      <w:r>
        <w:rPr>
          <w:rFonts w:ascii="Garamond" w:hAnsi="Garamond"/>
          <w:sz w:val="22"/>
          <w:szCs w:val="22"/>
        </w:rPr>
        <w:t xml:space="preserve"> available.</w:t>
      </w:r>
      <w:r w:rsidR="0062368D" w:rsidRPr="0062368D">
        <w:rPr>
          <w:rFonts w:ascii="Garamond" w:hAnsi="Garamond"/>
          <w:sz w:val="22"/>
          <w:szCs w:val="22"/>
        </w:rPr>
        <w:t xml:space="preserve"> </w:t>
      </w:r>
      <w:r w:rsidR="0062368D">
        <w:rPr>
          <w:rFonts w:ascii="Garamond" w:hAnsi="Garamond"/>
          <w:sz w:val="22"/>
          <w:szCs w:val="22"/>
        </w:rPr>
        <w:t xml:space="preserve">In our research, we intent to </w:t>
      </w:r>
      <w:r w:rsidR="00F0405C">
        <w:rPr>
          <w:rFonts w:ascii="Garamond" w:hAnsi="Garamond"/>
          <w:sz w:val="22"/>
          <w:szCs w:val="22"/>
        </w:rPr>
        <w:t>pinpoint the</w:t>
      </w:r>
      <w:r w:rsidR="0062368D">
        <w:rPr>
          <w:rFonts w:ascii="Garamond" w:hAnsi="Garamond"/>
          <w:sz w:val="22"/>
          <w:szCs w:val="22"/>
        </w:rPr>
        <w:t xml:space="preserve"> mechanisms through which</w:t>
      </w:r>
      <w:r w:rsidR="0062368D" w:rsidRPr="002A0B82">
        <w:rPr>
          <w:rFonts w:ascii="Garamond" w:hAnsi="Garamond" w:cstheme="majorBidi"/>
          <w:sz w:val="22"/>
          <w:szCs w:val="22"/>
        </w:rPr>
        <w:t xml:space="preserve"> </w:t>
      </w:r>
      <w:r w:rsidR="0062368D" w:rsidRPr="00B57A19">
        <w:rPr>
          <w:rFonts w:ascii="Garamond" w:hAnsi="Garamond" w:cstheme="majorBidi"/>
          <w:sz w:val="22"/>
          <w:szCs w:val="22"/>
        </w:rPr>
        <w:t xml:space="preserve">the Big Three may leverage their </w:t>
      </w:r>
      <w:r w:rsidR="005B56F1">
        <w:rPr>
          <w:rFonts w:ascii="Garamond" w:hAnsi="Garamond" w:cstheme="majorBidi"/>
          <w:sz w:val="22"/>
          <w:szCs w:val="22"/>
        </w:rPr>
        <w:t xml:space="preserve">collective </w:t>
      </w:r>
      <w:r w:rsidR="0062368D">
        <w:rPr>
          <w:rFonts w:ascii="Garamond" w:hAnsi="Garamond" w:cstheme="majorBidi"/>
          <w:sz w:val="22"/>
          <w:szCs w:val="22"/>
        </w:rPr>
        <w:t>market power</w:t>
      </w:r>
      <w:r w:rsidR="0062368D" w:rsidRPr="00B57A19">
        <w:rPr>
          <w:rFonts w:ascii="Garamond" w:hAnsi="Garamond" w:cstheme="majorBidi"/>
          <w:sz w:val="22"/>
          <w:szCs w:val="22"/>
        </w:rPr>
        <w:t xml:space="preserve"> </w:t>
      </w:r>
      <w:r w:rsidR="0062368D">
        <w:rPr>
          <w:rFonts w:ascii="Garamond" w:hAnsi="Garamond" w:cstheme="majorBidi"/>
          <w:sz w:val="22"/>
          <w:szCs w:val="22"/>
        </w:rPr>
        <w:t xml:space="preserve">in public offerings </w:t>
      </w:r>
      <w:r w:rsidR="0062368D" w:rsidRPr="00B57A19">
        <w:rPr>
          <w:rFonts w:ascii="Garamond" w:hAnsi="Garamond" w:cstheme="majorBidi"/>
          <w:sz w:val="22"/>
          <w:szCs w:val="22"/>
        </w:rPr>
        <w:t xml:space="preserve">to depress offer prices and benefit </w:t>
      </w:r>
      <w:r w:rsidR="0062368D">
        <w:rPr>
          <w:rFonts w:ascii="Garamond" w:hAnsi="Garamond" w:cstheme="majorBidi"/>
          <w:sz w:val="22"/>
          <w:szCs w:val="22"/>
        </w:rPr>
        <w:t>from increased underpricing.</w:t>
      </w:r>
    </w:p>
    <w:p w14:paraId="3D495D96" w14:textId="6A1300A5" w:rsidR="005C41B2" w:rsidRDefault="005D518E" w:rsidP="007676DE">
      <w:pPr>
        <w:spacing w:line="360" w:lineRule="auto"/>
        <w:ind w:firstLine="426"/>
        <w:jc w:val="both"/>
        <w:rPr>
          <w:rFonts w:ascii="Garamond" w:hAnsi="Garamond"/>
          <w:sz w:val="22"/>
          <w:szCs w:val="22"/>
        </w:rPr>
      </w:pPr>
      <w:r w:rsidRPr="00F0405C">
        <w:rPr>
          <w:rFonts w:ascii="Garamond" w:hAnsi="Garamond"/>
          <w:i/>
          <w:iCs/>
          <w:sz w:val="22"/>
          <w:szCs w:val="22"/>
        </w:rPr>
        <w:t>Signaling</w:t>
      </w:r>
      <w:r>
        <w:rPr>
          <w:rFonts w:ascii="Garamond" w:hAnsi="Garamond"/>
          <w:sz w:val="22"/>
          <w:szCs w:val="22"/>
        </w:rPr>
        <w:t xml:space="preserve"> can occur during the pricing process</w:t>
      </w:r>
      <w:r w:rsidR="005C41B2">
        <w:rPr>
          <w:rFonts w:ascii="Garamond" w:hAnsi="Garamond"/>
          <w:sz w:val="22"/>
          <w:szCs w:val="22"/>
        </w:rPr>
        <w:t xml:space="preserve">, and particularly in book-built offerings. </w:t>
      </w:r>
      <w:r w:rsidR="005C41B2" w:rsidRPr="005C41B2">
        <w:rPr>
          <w:rFonts w:ascii="Garamond" w:hAnsi="Garamond"/>
          <w:sz w:val="22"/>
          <w:szCs w:val="22"/>
        </w:rPr>
        <w:t xml:space="preserve">Normal book-building processes allow some information flows between the book-builder and </w:t>
      </w:r>
      <w:r w:rsidR="00F0405C">
        <w:rPr>
          <w:rFonts w:ascii="Garamond" w:hAnsi="Garamond"/>
          <w:sz w:val="22"/>
          <w:szCs w:val="22"/>
        </w:rPr>
        <w:t xml:space="preserve">the </w:t>
      </w:r>
      <w:r w:rsidR="005C41B2" w:rsidRPr="005C41B2">
        <w:rPr>
          <w:rFonts w:ascii="Garamond" w:hAnsi="Garamond"/>
          <w:sz w:val="22"/>
          <w:szCs w:val="22"/>
        </w:rPr>
        <w:t xml:space="preserve">investors. For example, investors may receive information on the development of the book from the book-builder, including the coverage of the book at </w:t>
      </w:r>
      <w:r w:rsidR="005C41B2">
        <w:rPr>
          <w:rFonts w:ascii="Garamond" w:hAnsi="Garamond"/>
          <w:sz w:val="22"/>
          <w:szCs w:val="22"/>
        </w:rPr>
        <w:t>different price ranges</w:t>
      </w:r>
      <w:r w:rsidR="00A03CD4">
        <w:rPr>
          <w:rFonts w:ascii="Garamond" w:hAnsi="Garamond"/>
          <w:sz w:val="22"/>
          <w:szCs w:val="22"/>
        </w:rPr>
        <w:t>, as well as the level of</w:t>
      </w:r>
      <w:r w:rsidR="00A03CD4" w:rsidRPr="00A03CD4">
        <w:rPr>
          <w:rFonts w:ascii="Garamond" w:hAnsi="Garamond"/>
          <w:sz w:val="22"/>
          <w:szCs w:val="22"/>
        </w:rPr>
        <w:t xml:space="preserve"> interest </w:t>
      </w:r>
      <w:r w:rsidR="00A03CD4">
        <w:rPr>
          <w:rFonts w:ascii="Garamond" w:hAnsi="Garamond"/>
          <w:sz w:val="22"/>
          <w:szCs w:val="22"/>
        </w:rPr>
        <w:t>from</w:t>
      </w:r>
      <w:r w:rsidR="00A03CD4" w:rsidRPr="00A03CD4">
        <w:rPr>
          <w:rFonts w:ascii="Garamond" w:hAnsi="Garamond"/>
          <w:sz w:val="22"/>
          <w:szCs w:val="22"/>
        </w:rPr>
        <w:t xml:space="preserve"> other </w:t>
      </w:r>
      <w:r w:rsidR="00A03CD4">
        <w:rPr>
          <w:rFonts w:ascii="Garamond" w:hAnsi="Garamond"/>
          <w:sz w:val="22"/>
          <w:szCs w:val="22"/>
        </w:rPr>
        <w:t xml:space="preserve">institutional </w:t>
      </w:r>
      <w:r w:rsidR="00A03CD4" w:rsidRPr="00A03CD4">
        <w:rPr>
          <w:rFonts w:ascii="Garamond" w:hAnsi="Garamond"/>
          <w:sz w:val="22"/>
          <w:szCs w:val="22"/>
        </w:rPr>
        <w:t>investors</w:t>
      </w:r>
      <w:r w:rsidR="005C41B2">
        <w:rPr>
          <w:rFonts w:ascii="Garamond" w:hAnsi="Garamond"/>
          <w:sz w:val="22"/>
          <w:szCs w:val="22"/>
        </w:rPr>
        <w:t xml:space="preserve"> (Financial Conduct Authority</w:t>
      </w:r>
      <w:r w:rsidR="00F0405C">
        <w:rPr>
          <w:rFonts w:ascii="Garamond" w:hAnsi="Garamond"/>
          <w:sz w:val="22"/>
          <w:szCs w:val="22"/>
        </w:rPr>
        <w:t xml:space="preserve"> 2019</w:t>
      </w:r>
      <w:r w:rsidR="005C41B2">
        <w:rPr>
          <w:rFonts w:ascii="Garamond" w:hAnsi="Garamond"/>
          <w:sz w:val="22"/>
          <w:szCs w:val="22"/>
        </w:rPr>
        <w:t>, p</w:t>
      </w:r>
      <w:r w:rsidR="00A03CD4">
        <w:rPr>
          <w:rFonts w:ascii="Garamond" w:hAnsi="Garamond"/>
          <w:sz w:val="22"/>
          <w:szCs w:val="22"/>
        </w:rPr>
        <w:t>p</w:t>
      </w:r>
      <w:r w:rsidR="005C41B2">
        <w:rPr>
          <w:rFonts w:ascii="Garamond" w:hAnsi="Garamond"/>
          <w:sz w:val="22"/>
          <w:szCs w:val="22"/>
        </w:rPr>
        <w:t>.</w:t>
      </w:r>
      <w:r w:rsidR="00A03CD4">
        <w:rPr>
          <w:rFonts w:ascii="Garamond" w:hAnsi="Garamond"/>
          <w:sz w:val="22"/>
          <w:szCs w:val="22"/>
        </w:rPr>
        <w:t xml:space="preserve"> 40,</w:t>
      </w:r>
      <w:r w:rsidR="005C41B2">
        <w:rPr>
          <w:rFonts w:ascii="Garamond" w:hAnsi="Garamond"/>
          <w:sz w:val="22"/>
          <w:szCs w:val="22"/>
        </w:rPr>
        <w:t xml:space="preserve"> 49)</w:t>
      </w:r>
      <w:r w:rsidR="005C41B2" w:rsidRPr="005C41B2">
        <w:rPr>
          <w:rFonts w:ascii="Garamond" w:hAnsi="Garamond"/>
          <w:sz w:val="22"/>
          <w:szCs w:val="22"/>
        </w:rPr>
        <w:t xml:space="preserve">. </w:t>
      </w:r>
      <w:r w:rsidR="007676DE">
        <w:rPr>
          <w:rFonts w:ascii="Garamond" w:hAnsi="Garamond"/>
          <w:sz w:val="22"/>
          <w:szCs w:val="22"/>
        </w:rPr>
        <w:t xml:space="preserve">By signaling their bidding intentions, often through </w:t>
      </w:r>
      <w:proofErr w:type="gramStart"/>
      <w:r w:rsidR="007676DE">
        <w:rPr>
          <w:rFonts w:ascii="Garamond" w:hAnsi="Garamond"/>
          <w:sz w:val="22"/>
          <w:szCs w:val="22"/>
        </w:rPr>
        <w:t>third-</w:t>
      </w:r>
      <w:r w:rsidR="007676DE">
        <w:rPr>
          <w:rFonts w:ascii="Garamond" w:hAnsi="Garamond"/>
          <w:sz w:val="22"/>
          <w:szCs w:val="22"/>
        </w:rPr>
        <w:lastRenderedPageBreak/>
        <w:t>parties</w:t>
      </w:r>
      <w:proofErr w:type="gramEnd"/>
      <w:r w:rsidR="007676DE">
        <w:rPr>
          <w:rFonts w:ascii="Garamond" w:hAnsi="Garamond"/>
          <w:sz w:val="22"/>
          <w:szCs w:val="22"/>
        </w:rPr>
        <w:t xml:space="preserve"> such as the book-builder or other market participants, these powerful institutional investors can align their bidding strategies to force lower of</w:t>
      </w:r>
      <w:r w:rsidR="00AD7ADF">
        <w:rPr>
          <w:rFonts w:ascii="Garamond" w:hAnsi="Garamond"/>
          <w:sz w:val="22"/>
          <w:szCs w:val="22"/>
        </w:rPr>
        <w:t>f</w:t>
      </w:r>
      <w:r w:rsidR="007676DE">
        <w:rPr>
          <w:rFonts w:ascii="Garamond" w:hAnsi="Garamond"/>
          <w:sz w:val="22"/>
          <w:szCs w:val="22"/>
        </w:rPr>
        <w:t>er price</w:t>
      </w:r>
      <w:r w:rsidR="00AD7ADF">
        <w:rPr>
          <w:rFonts w:ascii="Garamond" w:hAnsi="Garamond"/>
          <w:sz w:val="22"/>
          <w:szCs w:val="22"/>
        </w:rPr>
        <w:t>s</w:t>
      </w:r>
      <w:r w:rsidR="007676DE">
        <w:rPr>
          <w:rFonts w:ascii="Garamond" w:hAnsi="Garamond"/>
          <w:sz w:val="22"/>
          <w:szCs w:val="22"/>
        </w:rPr>
        <w:t xml:space="preserve">. </w:t>
      </w:r>
    </w:p>
    <w:p w14:paraId="068D1601" w14:textId="4B76D3D8" w:rsidR="005C41B2" w:rsidRDefault="005D518E" w:rsidP="005B56F1">
      <w:pPr>
        <w:spacing w:line="360" w:lineRule="auto"/>
        <w:ind w:firstLine="426"/>
        <w:jc w:val="both"/>
        <w:rPr>
          <w:rFonts w:ascii="Garamond" w:hAnsi="Garamond"/>
          <w:sz w:val="22"/>
          <w:szCs w:val="22"/>
        </w:rPr>
      </w:pPr>
      <w:r>
        <w:rPr>
          <w:rFonts w:ascii="Garamond" w:hAnsi="Garamond"/>
          <w:sz w:val="22"/>
          <w:szCs w:val="22"/>
        </w:rPr>
        <w:t xml:space="preserve">As to </w:t>
      </w:r>
      <w:r w:rsidRPr="00F0405C">
        <w:rPr>
          <w:rFonts w:ascii="Garamond" w:hAnsi="Garamond"/>
          <w:i/>
          <w:iCs/>
          <w:sz w:val="22"/>
          <w:szCs w:val="22"/>
        </w:rPr>
        <w:t>direct communication</w:t>
      </w:r>
      <w:r>
        <w:rPr>
          <w:rFonts w:ascii="Garamond" w:hAnsi="Garamond"/>
          <w:sz w:val="22"/>
          <w:szCs w:val="22"/>
        </w:rPr>
        <w:t>, r</w:t>
      </w:r>
      <w:r w:rsidRPr="005D518E">
        <w:rPr>
          <w:rFonts w:ascii="Garamond" w:hAnsi="Garamond"/>
          <w:sz w:val="22"/>
          <w:szCs w:val="22"/>
        </w:rPr>
        <w:t>ecent empirical evidence suggests that institutional investors do, indeed, engage in word-of-mouth communication and information sharing</w:t>
      </w:r>
      <w:r w:rsidR="006335FF">
        <w:rPr>
          <w:rFonts w:ascii="Garamond" w:hAnsi="Garamond"/>
          <w:sz w:val="22"/>
          <w:szCs w:val="22"/>
        </w:rPr>
        <w:t xml:space="preserve"> in both the primary (Financial Conduct Authority</w:t>
      </w:r>
      <w:r w:rsidR="00F0405C">
        <w:rPr>
          <w:rFonts w:ascii="Garamond" w:hAnsi="Garamond"/>
          <w:sz w:val="22"/>
          <w:szCs w:val="22"/>
        </w:rPr>
        <w:t xml:space="preserve"> 2019</w:t>
      </w:r>
      <w:r w:rsidR="006335FF">
        <w:rPr>
          <w:rFonts w:ascii="Garamond" w:hAnsi="Garamond"/>
          <w:sz w:val="22"/>
          <w:szCs w:val="22"/>
        </w:rPr>
        <w:t>, pp. 68-79) and the secondary</w:t>
      </w:r>
      <w:r w:rsidRPr="005D518E">
        <w:rPr>
          <w:rFonts w:ascii="Garamond" w:hAnsi="Garamond"/>
          <w:sz w:val="22"/>
          <w:szCs w:val="22"/>
        </w:rPr>
        <w:t xml:space="preserve"> </w:t>
      </w:r>
      <w:r>
        <w:rPr>
          <w:rFonts w:ascii="Garamond" w:hAnsi="Garamond"/>
          <w:sz w:val="22"/>
          <w:szCs w:val="22"/>
        </w:rPr>
        <w:t>(</w:t>
      </w:r>
      <w:proofErr w:type="spellStart"/>
      <w:r w:rsidR="00773D5A" w:rsidRPr="008D6FFA">
        <w:rPr>
          <w:rFonts w:ascii="Garamond" w:hAnsi="Garamond"/>
          <w:sz w:val="22"/>
          <w:szCs w:val="22"/>
        </w:rPr>
        <w:t>Chemmanur</w:t>
      </w:r>
      <w:proofErr w:type="spellEnd"/>
      <w:r w:rsidR="00773D5A" w:rsidRPr="008D6FFA">
        <w:rPr>
          <w:rFonts w:ascii="Garamond" w:hAnsi="Garamond"/>
          <w:sz w:val="22"/>
          <w:szCs w:val="22"/>
        </w:rPr>
        <w:t xml:space="preserve">, Huang, Xie &amp; Zhu 2022; Hong, </w:t>
      </w:r>
      <w:proofErr w:type="spellStart"/>
      <w:r w:rsidR="00773D5A" w:rsidRPr="008D6FFA">
        <w:rPr>
          <w:rFonts w:ascii="Garamond" w:hAnsi="Garamond"/>
          <w:sz w:val="22"/>
          <w:szCs w:val="22"/>
        </w:rPr>
        <w:t>Kubik</w:t>
      </w:r>
      <w:proofErr w:type="spellEnd"/>
      <w:r w:rsidR="00773D5A" w:rsidRPr="008D6FFA">
        <w:rPr>
          <w:rFonts w:ascii="Garamond" w:hAnsi="Garamond"/>
          <w:sz w:val="22"/>
          <w:szCs w:val="22"/>
        </w:rPr>
        <w:t xml:space="preserve"> &amp; Stein 2005; Pool, </w:t>
      </w:r>
      <w:proofErr w:type="spellStart"/>
      <w:r w:rsidR="00773D5A" w:rsidRPr="008D6FFA">
        <w:rPr>
          <w:rFonts w:ascii="Garamond" w:hAnsi="Garamond"/>
          <w:sz w:val="22"/>
          <w:szCs w:val="22"/>
        </w:rPr>
        <w:t>Stoffman</w:t>
      </w:r>
      <w:proofErr w:type="spellEnd"/>
      <w:r w:rsidR="00773D5A" w:rsidRPr="008D6FFA">
        <w:rPr>
          <w:rFonts w:ascii="Garamond" w:hAnsi="Garamond"/>
          <w:sz w:val="22"/>
          <w:szCs w:val="22"/>
        </w:rPr>
        <w:t xml:space="preserve"> &amp; </w:t>
      </w:r>
      <w:proofErr w:type="spellStart"/>
      <w:r w:rsidR="00773D5A" w:rsidRPr="008D6FFA">
        <w:rPr>
          <w:rFonts w:ascii="Garamond" w:hAnsi="Garamond"/>
          <w:sz w:val="22"/>
          <w:szCs w:val="22"/>
        </w:rPr>
        <w:t>Yonker</w:t>
      </w:r>
      <w:proofErr w:type="spellEnd"/>
      <w:r w:rsidR="00773D5A" w:rsidRPr="008D6FFA">
        <w:rPr>
          <w:rFonts w:ascii="Garamond" w:hAnsi="Garamond"/>
          <w:sz w:val="22"/>
          <w:szCs w:val="22"/>
        </w:rPr>
        <w:t xml:space="preserve"> 2015</w:t>
      </w:r>
      <w:r w:rsidR="007676DE">
        <w:rPr>
          <w:rFonts w:ascii="Garamond" w:hAnsi="Garamond"/>
          <w:sz w:val="22"/>
          <w:szCs w:val="22"/>
        </w:rPr>
        <w:t>)</w:t>
      </w:r>
      <w:r w:rsidR="006335FF">
        <w:rPr>
          <w:rFonts w:ascii="Garamond" w:hAnsi="Garamond"/>
          <w:sz w:val="22"/>
          <w:szCs w:val="22"/>
        </w:rPr>
        <w:t xml:space="preserve"> market</w:t>
      </w:r>
      <w:r w:rsidRPr="005D518E">
        <w:rPr>
          <w:rFonts w:ascii="Garamond" w:hAnsi="Garamond"/>
          <w:sz w:val="22"/>
          <w:szCs w:val="22"/>
        </w:rPr>
        <w:t xml:space="preserve">. </w:t>
      </w:r>
      <w:r w:rsidR="006335FF">
        <w:rPr>
          <w:rFonts w:ascii="Garamond" w:hAnsi="Garamond"/>
          <w:sz w:val="22"/>
          <w:szCs w:val="22"/>
        </w:rPr>
        <w:t xml:space="preserve">In the IPO </w:t>
      </w:r>
      <w:r w:rsidR="00AD7ADF">
        <w:rPr>
          <w:rFonts w:ascii="Garamond" w:hAnsi="Garamond"/>
          <w:sz w:val="22"/>
          <w:szCs w:val="22"/>
        </w:rPr>
        <w:t>context</w:t>
      </w:r>
      <w:r w:rsidR="006335FF">
        <w:rPr>
          <w:rFonts w:ascii="Garamond" w:hAnsi="Garamond"/>
          <w:sz w:val="22"/>
          <w:szCs w:val="22"/>
        </w:rPr>
        <w:t>, s</w:t>
      </w:r>
      <w:r w:rsidRPr="005D518E">
        <w:rPr>
          <w:rFonts w:ascii="Garamond" w:hAnsi="Garamond"/>
          <w:sz w:val="22"/>
          <w:szCs w:val="22"/>
        </w:rPr>
        <w:t>uch communication</w:t>
      </w:r>
      <w:r w:rsidR="00234483">
        <w:rPr>
          <w:rFonts w:ascii="Garamond" w:hAnsi="Garamond"/>
          <w:sz w:val="22"/>
          <w:szCs w:val="22"/>
        </w:rPr>
        <w:t xml:space="preserve"> and information sharing regarding the </w:t>
      </w:r>
      <w:r w:rsidR="00092E5B">
        <w:rPr>
          <w:rFonts w:ascii="Garamond" w:hAnsi="Garamond"/>
          <w:sz w:val="22"/>
          <w:szCs w:val="22"/>
        </w:rPr>
        <w:t>offering</w:t>
      </w:r>
      <w:r w:rsidR="00E27861">
        <w:rPr>
          <w:rFonts w:ascii="Garamond" w:hAnsi="Garamond"/>
          <w:sz w:val="22"/>
          <w:szCs w:val="22"/>
        </w:rPr>
        <w:t>, and particularly</w:t>
      </w:r>
      <w:r w:rsidR="00E61E06">
        <w:rPr>
          <w:rFonts w:ascii="Garamond" w:hAnsi="Garamond"/>
          <w:sz w:val="22"/>
          <w:szCs w:val="22"/>
        </w:rPr>
        <w:t xml:space="preserve"> insights</w:t>
      </w:r>
      <w:r w:rsidR="00E27861">
        <w:rPr>
          <w:rFonts w:ascii="Garamond" w:hAnsi="Garamond"/>
          <w:sz w:val="22"/>
          <w:szCs w:val="22"/>
        </w:rPr>
        <w:t xml:space="preserve"> </w:t>
      </w:r>
      <w:r w:rsidR="00092E5B">
        <w:rPr>
          <w:rFonts w:ascii="Garamond" w:hAnsi="Garamond"/>
          <w:sz w:val="22"/>
          <w:szCs w:val="22"/>
        </w:rPr>
        <w:t xml:space="preserve">that can affect the </w:t>
      </w:r>
      <w:r w:rsidR="00092E5B" w:rsidRPr="00092E5B">
        <w:rPr>
          <w:rFonts w:ascii="Garamond" w:hAnsi="Garamond"/>
          <w:sz w:val="22"/>
          <w:szCs w:val="22"/>
        </w:rPr>
        <w:t>assessments of the issuers value</w:t>
      </w:r>
      <w:r w:rsidR="00E61E06">
        <w:rPr>
          <w:rFonts w:ascii="Garamond" w:hAnsi="Garamond"/>
          <w:sz w:val="22"/>
          <w:szCs w:val="22"/>
        </w:rPr>
        <w:t>,</w:t>
      </w:r>
      <w:r w:rsidRPr="005D518E">
        <w:rPr>
          <w:rFonts w:ascii="Garamond" w:hAnsi="Garamond"/>
          <w:sz w:val="22"/>
          <w:szCs w:val="22"/>
        </w:rPr>
        <w:t xml:space="preserve"> can occur in formal settings such as roadshows and meetings with issuers and underwriters, where multiple institutional investors may be present. Informal discussions and exchanges of information can also happen in more casual settings, such as professional conferences or even social events.</w:t>
      </w:r>
      <w:r w:rsidR="00214A95">
        <w:rPr>
          <w:rFonts w:ascii="Garamond" w:hAnsi="Garamond"/>
          <w:sz w:val="22"/>
          <w:szCs w:val="22"/>
        </w:rPr>
        <w:t xml:space="preserve"> </w:t>
      </w:r>
      <w:r w:rsidR="00234483">
        <w:rPr>
          <w:rFonts w:ascii="Garamond" w:hAnsi="Garamond"/>
          <w:sz w:val="22"/>
          <w:szCs w:val="22"/>
        </w:rPr>
        <w:t>Since</w:t>
      </w:r>
      <w:r w:rsidR="00234483" w:rsidRPr="00AD79F5">
        <w:rPr>
          <w:rFonts w:ascii="Garamond" w:hAnsi="Garamond"/>
          <w:sz w:val="22"/>
          <w:szCs w:val="22"/>
        </w:rPr>
        <w:t xml:space="preserve"> </w:t>
      </w:r>
      <w:r w:rsidR="00234483">
        <w:rPr>
          <w:rFonts w:ascii="Garamond" w:hAnsi="Garamond"/>
          <w:sz w:val="22"/>
          <w:szCs w:val="22"/>
        </w:rPr>
        <w:t>the underwriter</w:t>
      </w:r>
      <w:r w:rsidR="00234483" w:rsidRPr="00AD79F5">
        <w:rPr>
          <w:rFonts w:ascii="Garamond" w:hAnsi="Garamond"/>
          <w:sz w:val="22"/>
          <w:szCs w:val="22"/>
        </w:rPr>
        <w:t xml:space="preserve"> relies on the bids made </w:t>
      </w:r>
      <w:r w:rsidR="00234483">
        <w:rPr>
          <w:rFonts w:ascii="Garamond" w:hAnsi="Garamond"/>
          <w:sz w:val="22"/>
          <w:szCs w:val="22"/>
        </w:rPr>
        <w:t xml:space="preserve">by institutional investors </w:t>
      </w:r>
      <w:r w:rsidR="00234483" w:rsidRPr="00AD79F5">
        <w:rPr>
          <w:rFonts w:ascii="Garamond" w:hAnsi="Garamond"/>
          <w:sz w:val="22"/>
          <w:szCs w:val="22"/>
        </w:rPr>
        <w:t>to gauge overall interest in the company</w:t>
      </w:r>
      <w:r w:rsidR="00234483">
        <w:rPr>
          <w:rFonts w:ascii="Garamond" w:hAnsi="Garamond"/>
          <w:sz w:val="22"/>
          <w:szCs w:val="22"/>
        </w:rPr>
        <w:t xml:space="preserve">, such information sharing may result in lower offer prices, undermining the </w:t>
      </w:r>
      <w:r w:rsidR="00234483" w:rsidRPr="00AD79F5">
        <w:rPr>
          <w:rFonts w:ascii="Garamond" w:hAnsi="Garamond"/>
          <w:sz w:val="22"/>
          <w:szCs w:val="22"/>
        </w:rPr>
        <w:t xml:space="preserve">credibility of the book-building process as </w:t>
      </w:r>
      <w:r w:rsidR="00234483">
        <w:rPr>
          <w:rFonts w:ascii="Garamond" w:hAnsi="Garamond"/>
          <w:sz w:val="22"/>
          <w:szCs w:val="22"/>
        </w:rPr>
        <w:t>means to</w:t>
      </w:r>
      <w:r w:rsidR="00234483" w:rsidRPr="00AD79F5">
        <w:rPr>
          <w:rFonts w:ascii="Garamond" w:hAnsi="Garamond"/>
          <w:sz w:val="22"/>
          <w:szCs w:val="22"/>
        </w:rPr>
        <w:t xml:space="preserve"> raise capital for companie</w:t>
      </w:r>
      <w:r w:rsidR="00234483">
        <w:rPr>
          <w:rFonts w:ascii="Garamond" w:hAnsi="Garamond"/>
          <w:sz w:val="22"/>
          <w:szCs w:val="22"/>
        </w:rPr>
        <w:t>s (Financial Conduct Authority 2019, pp. 44-45).</w:t>
      </w:r>
      <w:r w:rsidR="00214A95">
        <w:rPr>
          <w:rFonts w:ascii="Garamond" w:hAnsi="Garamond"/>
          <w:sz w:val="22"/>
          <w:szCs w:val="22"/>
        </w:rPr>
        <w:t>In this context, it is necessary to emphasize th</w:t>
      </w:r>
      <w:r w:rsidR="00875735">
        <w:rPr>
          <w:rFonts w:ascii="Garamond" w:hAnsi="Garamond"/>
          <w:sz w:val="22"/>
          <w:szCs w:val="22"/>
        </w:rPr>
        <w:t xml:space="preserve">at such information sharing is not explicitly forbidden under U.S. securities law and might even be encouraged </w:t>
      </w:r>
      <w:r w:rsidR="00773D5A">
        <w:rPr>
          <w:rFonts w:ascii="Garamond" w:hAnsi="Garamond"/>
          <w:sz w:val="22"/>
          <w:szCs w:val="22"/>
        </w:rPr>
        <w:t xml:space="preserve">as </w:t>
      </w:r>
      <w:r w:rsidR="00AD7ADF">
        <w:rPr>
          <w:rFonts w:ascii="Garamond" w:hAnsi="Garamond"/>
          <w:sz w:val="22"/>
          <w:szCs w:val="22"/>
        </w:rPr>
        <w:t xml:space="preserve">a tool to achieve greater price efficiency. </w:t>
      </w:r>
    </w:p>
    <w:p w14:paraId="7A16B031" w14:textId="1A0EBE88" w:rsidR="00FB7C68" w:rsidRDefault="00214A95" w:rsidP="00C93249">
      <w:pPr>
        <w:widowControl w:val="0"/>
        <w:spacing w:line="360" w:lineRule="auto"/>
        <w:ind w:firstLine="360"/>
        <w:jc w:val="both"/>
        <w:rPr>
          <w:rFonts w:ascii="Garamond" w:hAnsi="Garamond"/>
          <w:sz w:val="22"/>
          <w:szCs w:val="22"/>
        </w:rPr>
      </w:pPr>
      <w:r w:rsidRPr="00C93249">
        <w:rPr>
          <w:rFonts w:ascii="Garamond" w:hAnsi="Garamond"/>
          <w:i/>
          <w:iCs/>
          <w:sz w:val="22"/>
          <w:szCs w:val="22"/>
        </w:rPr>
        <w:t>C</w:t>
      </w:r>
      <w:r w:rsidR="005D518E" w:rsidRPr="00C93249">
        <w:rPr>
          <w:rFonts w:ascii="Garamond" w:hAnsi="Garamond"/>
          <w:i/>
          <w:iCs/>
          <w:sz w:val="22"/>
          <w:szCs w:val="22"/>
        </w:rPr>
        <w:t>oordination</w:t>
      </w:r>
      <w:r w:rsidRPr="00E00921">
        <w:rPr>
          <w:rFonts w:ascii="Garamond" w:hAnsi="Garamond"/>
          <w:sz w:val="22"/>
          <w:szCs w:val="22"/>
        </w:rPr>
        <w:t xml:space="preserve"> </w:t>
      </w:r>
      <w:r w:rsidR="00B80BFF" w:rsidRPr="00E00921">
        <w:rPr>
          <w:rFonts w:ascii="Garamond" w:hAnsi="Garamond"/>
          <w:sz w:val="22"/>
          <w:szCs w:val="22"/>
        </w:rPr>
        <w:t>among</w:t>
      </w:r>
      <w:r w:rsidRPr="00E00921">
        <w:rPr>
          <w:rFonts w:ascii="Garamond" w:hAnsi="Garamond"/>
          <w:sz w:val="22"/>
          <w:szCs w:val="22"/>
        </w:rPr>
        <w:t xml:space="preserve"> institutional investors, which may be more suggestive of potential antitrust violations, </w:t>
      </w:r>
      <w:r w:rsidR="00AD7ADF" w:rsidRPr="00E00921">
        <w:rPr>
          <w:rFonts w:ascii="Garamond" w:hAnsi="Garamond"/>
          <w:sz w:val="22"/>
          <w:szCs w:val="22"/>
        </w:rPr>
        <w:t xml:space="preserve">has </w:t>
      </w:r>
      <w:r w:rsidR="00B80BFF" w:rsidRPr="00E00921">
        <w:rPr>
          <w:rFonts w:ascii="Garamond" w:hAnsi="Garamond"/>
          <w:sz w:val="22"/>
          <w:szCs w:val="22"/>
        </w:rPr>
        <w:t xml:space="preserve">recently been observed in the context </w:t>
      </w:r>
      <w:r w:rsidR="00E00921" w:rsidRPr="00C93249">
        <w:rPr>
          <w:rFonts w:ascii="Garamond" w:eastAsia="Calibri" w:hAnsi="Garamond"/>
          <w:sz w:val="22"/>
          <w:szCs w:val="22"/>
        </w:rPr>
        <w:t>of corporate governance arrangements</w:t>
      </w:r>
      <w:r w:rsidR="00F0405C">
        <w:rPr>
          <w:rFonts w:ascii="Garamond" w:eastAsia="Calibri" w:hAnsi="Garamond"/>
          <w:sz w:val="22"/>
          <w:szCs w:val="22"/>
        </w:rPr>
        <w:t xml:space="preserve"> adopted by</w:t>
      </w:r>
      <w:r w:rsidR="00F0405C" w:rsidRPr="00F0405C">
        <w:rPr>
          <w:rFonts w:ascii="Garamond" w:eastAsia="Calibri" w:hAnsi="Garamond"/>
          <w:sz w:val="22"/>
          <w:szCs w:val="22"/>
        </w:rPr>
        <w:t xml:space="preserve"> </w:t>
      </w:r>
      <w:r w:rsidR="00F0405C" w:rsidRPr="00E00921">
        <w:rPr>
          <w:rFonts w:ascii="Garamond" w:eastAsia="Calibri" w:hAnsi="Garamond"/>
          <w:sz w:val="22"/>
          <w:szCs w:val="22"/>
        </w:rPr>
        <w:t>newly issued company</w:t>
      </w:r>
      <w:r w:rsidR="00E00921" w:rsidRPr="00C93249">
        <w:rPr>
          <w:rFonts w:ascii="Garamond" w:eastAsia="Calibri" w:hAnsi="Garamond"/>
          <w:sz w:val="22"/>
          <w:szCs w:val="22"/>
        </w:rPr>
        <w:t xml:space="preserve"> that institutional investors typically view as suboptimal</w:t>
      </w:r>
      <w:r w:rsidR="00E00921" w:rsidRPr="00E00921">
        <w:rPr>
          <w:rFonts w:ascii="Garamond" w:eastAsia="Calibri" w:hAnsi="Garamond"/>
          <w:sz w:val="22"/>
          <w:szCs w:val="22"/>
        </w:rPr>
        <w:t>,</w:t>
      </w:r>
      <w:r w:rsidR="00E00921" w:rsidRPr="00C93249">
        <w:rPr>
          <w:rFonts w:ascii="Garamond" w:eastAsia="Calibri" w:hAnsi="Garamond"/>
          <w:sz w:val="22"/>
          <w:szCs w:val="22"/>
        </w:rPr>
        <w:t xml:space="preserve"> such as </w:t>
      </w:r>
      <w:proofErr w:type="gramStart"/>
      <w:r w:rsidR="00E00921" w:rsidRPr="00C93249">
        <w:rPr>
          <w:rFonts w:ascii="Garamond" w:eastAsia="Calibri" w:hAnsi="Garamond"/>
          <w:sz w:val="22"/>
          <w:szCs w:val="22"/>
        </w:rPr>
        <w:t>dual-class</w:t>
      </w:r>
      <w:proofErr w:type="gramEnd"/>
      <w:r w:rsidR="00E00921" w:rsidRPr="00C93249">
        <w:rPr>
          <w:rFonts w:ascii="Garamond" w:eastAsia="Calibri" w:hAnsi="Garamond"/>
          <w:sz w:val="22"/>
          <w:szCs w:val="22"/>
        </w:rPr>
        <w:t xml:space="preserve"> share structures. Evidence shows that not only do institutional investors like the Big Three tend to hold similarly negative views on a variety of governance arrangements</w:t>
      </w:r>
      <w:r w:rsidR="00E00921" w:rsidRPr="00E00921">
        <w:rPr>
          <w:rStyle w:val="FootnoteReference"/>
          <w:rFonts w:ascii="Garamond" w:hAnsi="Garamond" w:cstheme="majorBidi"/>
          <w:sz w:val="22"/>
          <w:szCs w:val="22"/>
        </w:rPr>
        <w:t xml:space="preserve"> </w:t>
      </w:r>
      <w:r w:rsidR="00E00921" w:rsidRPr="00E00921">
        <w:rPr>
          <w:rFonts w:ascii="Garamond" w:hAnsi="Garamond" w:cstheme="majorBidi"/>
          <w:sz w:val="22"/>
          <w:szCs w:val="22"/>
        </w:rPr>
        <w:t xml:space="preserve">(Cook 2020) </w:t>
      </w:r>
      <w:r w:rsidR="00C93249">
        <w:rPr>
          <w:rFonts w:ascii="Garamond" w:eastAsia="Calibri" w:hAnsi="Garamond"/>
          <w:sz w:val="22"/>
          <w:szCs w:val="22"/>
        </w:rPr>
        <w:t>and that</w:t>
      </w:r>
      <w:r w:rsidR="00E00921" w:rsidRPr="00C93249">
        <w:rPr>
          <w:rFonts w:ascii="Garamond" w:eastAsia="Calibri" w:hAnsi="Garamond"/>
          <w:sz w:val="22"/>
          <w:szCs w:val="22"/>
        </w:rPr>
        <w:t xml:space="preserve"> these terms are typically factored into IPO pricing, potentially leading to reduced offer prices</w:t>
      </w:r>
      <w:r w:rsidR="00E00921" w:rsidRPr="00E00921">
        <w:rPr>
          <w:rFonts w:ascii="Garamond" w:eastAsia="Calibri" w:hAnsi="Garamond"/>
          <w:sz w:val="22"/>
          <w:szCs w:val="22"/>
        </w:rPr>
        <w:t xml:space="preserve"> (Choi 2023).</w:t>
      </w:r>
      <w:r w:rsidR="00E00921" w:rsidRPr="00C93249">
        <w:rPr>
          <w:rFonts w:ascii="Garamond" w:eastAsia="Calibri" w:hAnsi="Garamond"/>
          <w:sz w:val="22"/>
          <w:szCs w:val="22"/>
        </w:rPr>
        <w:t xml:space="preserve"> A notable illustration is the coalition against dual-class shares, a </w:t>
      </w:r>
      <w:r w:rsidR="00C93249">
        <w:rPr>
          <w:rFonts w:ascii="Garamond" w:eastAsia="Calibri" w:hAnsi="Garamond"/>
          <w:sz w:val="22"/>
          <w:szCs w:val="22"/>
        </w:rPr>
        <w:t xml:space="preserve">share capital </w:t>
      </w:r>
      <w:r w:rsidR="00E00921" w:rsidRPr="00C93249">
        <w:rPr>
          <w:rFonts w:ascii="Garamond" w:eastAsia="Calibri" w:hAnsi="Garamond"/>
          <w:sz w:val="22"/>
          <w:szCs w:val="22"/>
        </w:rPr>
        <w:t>structure that features two classes of stock with unequal voting rights</w:t>
      </w:r>
      <w:r w:rsidR="00C93249">
        <w:rPr>
          <w:rFonts w:ascii="Garamond" w:eastAsia="Calibri" w:hAnsi="Garamond"/>
          <w:sz w:val="22"/>
          <w:szCs w:val="22"/>
        </w:rPr>
        <w:t>.</w:t>
      </w:r>
      <w:r w:rsidR="00E00921">
        <w:rPr>
          <w:rFonts w:ascii="Garamond" w:eastAsia="Calibri" w:hAnsi="Garamond"/>
          <w:sz w:val="22"/>
          <w:szCs w:val="22"/>
        </w:rPr>
        <w:t xml:space="preserve"> </w:t>
      </w:r>
      <w:r w:rsidR="00C93249">
        <w:rPr>
          <w:rFonts w:ascii="Garamond" w:eastAsia="Calibri" w:hAnsi="Garamond"/>
          <w:sz w:val="22"/>
          <w:szCs w:val="22"/>
        </w:rPr>
        <w:t>Over the last decade</w:t>
      </w:r>
      <w:r w:rsidR="00E00921">
        <w:rPr>
          <w:rFonts w:ascii="Garamond" w:eastAsia="Calibri" w:hAnsi="Garamond"/>
          <w:sz w:val="22"/>
          <w:szCs w:val="22"/>
        </w:rPr>
        <w:t xml:space="preserve">, </w:t>
      </w:r>
      <w:r w:rsidR="00C93249">
        <w:rPr>
          <w:rFonts w:ascii="Garamond" w:eastAsia="Calibri" w:hAnsi="Garamond"/>
          <w:sz w:val="22"/>
          <w:szCs w:val="22"/>
        </w:rPr>
        <w:t>a</w:t>
      </w:r>
      <w:r w:rsidR="00E00921">
        <w:rPr>
          <w:rFonts w:ascii="Garamond" w:eastAsia="Calibri" w:hAnsi="Garamond"/>
          <w:sz w:val="22"/>
          <w:szCs w:val="22"/>
        </w:rPr>
        <w:t xml:space="preserve"> coalition</w:t>
      </w:r>
      <w:r w:rsidR="00C93249">
        <w:rPr>
          <w:rFonts w:ascii="Garamond" w:eastAsia="Calibri" w:hAnsi="Garamond"/>
          <w:sz w:val="22"/>
          <w:szCs w:val="22"/>
        </w:rPr>
        <w:t xml:space="preserve"> of various institutional investors, including </w:t>
      </w:r>
      <w:proofErr w:type="spellStart"/>
      <w:r w:rsidR="00C93249">
        <w:rPr>
          <w:rFonts w:ascii="Garamond" w:eastAsia="Calibri" w:hAnsi="Garamond"/>
          <w:sz w:val="22"/>
          <w:szCs w:val="22"/>
        </w:rPr>
        <w:t>dminant</w:t>
      </w:r>
      <w:proofErr w:type="spellEnd"/>
      <w:r w:rsidR="00C93249">
        <w:rPr>
          <w:rFonts w:ascii="Garamond" w:eastAsia="Calibri" w:hAnsi="Garamond"/>
          <w:sz w:val="22"/>
          <w:szCs w:val="22"/>
        </w:rPr>
        <w:t xml:space="preserve"> investors such as the big Three,</w:t>
      </w:r>
      <w:r w:rsidR="00E00921">
        <w:rPr>
          <w:rFonts w:ascii="Garamond" w:eastAsia="Calibri" w:hAnsi="Garamond"/>
          <w:sz w:val="22"/>
          <w:szCs w:val="22"/>
        </w:rPr>
        <w:t xml:space="preserve"> has</w:t>
      </w:r>
      <w:r w:rsidR="00E00921" w:rsidRPr="00C93249">
        <w:rPr>
          <w:rFonts w:ascii="Garamond" w:hAnsi="Garamond" w:cstheme="majorBidi"/>
          <w:sz w:val="22"/>
          <w:szCs w:val="22"/>
        </w:rPr>
        <w:t xml:space="preserve"> actively and openly campaigned to ban dual-class stock listings and exclude dual-class stock from leading market indices. Some large institutions have even made public statements against dual-class structures, in some instances specifying the discount rate they believe should apply to dual-class stock compared to single-class stock</w:t>
      </w:r>
      <w:r w:rsidR="00E00921">
        <w:rPr>
          <w:rFonts w:ascii="Garamond" w:hAnsi="Garamond" w:cstheme="majorBidi"/>
          <w:sz w:val="22"/>
          <w:szCs w:val="22"/>
        </w:rPr>
        <w:t xml:space="preserve"> (Chaim 2025, p. 37).</w:t>
      </w:r>
      <w:r w:rsidR="00324864">
        <w:rPr>
          <w:rFonts w:ascii="Garamond" w:hAnsi="Garamond" w:cstheme="majorBidi"/>
          <w:sz w:val="22"/>
          <w:szCs w:val="22"/>
        </w:rPr>
        <w:t xml:space="preserve"> </w:t>
      </w:r>
      <w:r w:rsidR="00324864" w:rsidRPr="00C93249">
        <w:rPr>
          <w:rFonts w:ascii="Garamond" w:hAnsi="Garamond" w:cstheme="majorBidi"/>
          <w:sz w:val="22"/>
          <w:szCs w:val="22"/>
        </w:rPr>
        <w:t xml:space="preserve">It </w:t>
      </w:r>
      <w:r w:rsidR="00C93249">
        <w:rPr>
          <w:rFonts w:ascii="Garamond" w:hAnsi="Garamond" w:cstheme="majorBidi"/>
          <w:sz w:val="22"/>
          <w:szCs w:val="22"/>
        </w:rPr>
        <w:t>may therefore be the case that</w:t>
      </w:r>
      <w:r w:rsidR="00324864" w:rsidRPr="00C93249">
        <w:rPr>
          <w:rFonts w:ascii="Garamond" w:hAnsi="Garamond" w:cstheme="majorBidi"/>
          <w:sz w:val="22"/>
          <w:szCs w:val="22"/>
        </w:rPr>
        <w:t xml:space="preserve"> during price discovery, </w:t>
      </w:r>
      <w:r w:rsidR="00324864">
        <w:rPr>
          <w:rFonts w:ascii="Garamond" w:hAnsi="Garamond" w:cstheme="majorBidi"/>
          <w:sz w:val="22"/>
          <w:szCs w:val="22"/>
        </w:rPr>
        <w:t>powerful institutional investors such as the Big Three</w:t>
      </w:r>
      <w:r w:rsidR="00324864" w:rsidRPr="00C93249">
        <w:rPr>
          <w:rFonts w:ascii="Garamond" w:hAnsi="Garamond" w:cstheme="majorBidi"/>
          <w:sz w:val="22"/>
          <w:szCs w:val="22"/>
        </w:rPr>
        <w:t xml:space="preserve"> could provide similar feedback to the issuer on the topic of any such arrangements it has in place. In other words, it is conceivable that they could all give the issuer a similar sense of the “penalty” they would impose (the discount they would expect) if any such governance arrangement were adopte</w:t>
      </w:r>
      <w:r w:rsidR="002A0B82">
        <w:rPr>
          <w:rFonts w:ascii="Garamond" w:hAnsi="Garamond" w:cstheme="majorBidi"/>
          <w:sz w:val="22"/>
          <w:szCs w:val="22"/>
        </w:rPr>
        <w:t xml:space="preserve">d. </w:t>
      </w:r>
      <w:r w:rsidR="002A0B82" w:rsidRPr="00A00E80">
        <w:rPr>
          <w:rFonts w:ascii="Garamond" w:hAnsi="Garamond"/>
          <w:sz w:val="22"/>
          <w:szCs w:val="22"/>
        </w:rPr>
        <w:t xml:space="preserve">Curiously, recent </w:t>
      </w:r>
      <w:r w:rsidR="002A0B82">
        <w:rPr>
          <w:rFonts w:ascii="Garamond" w:hAnsi="Garamond"/>
          <w:sz w:val="22"/>
          <w:szCs w:val="22"/>
        </w:rPr>
        <w:t>scholarship</w:t>
      </w:r>
      <w:r w:rsidR="002A0B82" w:rsidRPr="00A00E80">
        <w:rPr>
          <w:rFonts w:ascii="Garamond" w:hAnsi="Garamond"/>
          <w:sz w:val="22"/>
          <w:szCs w:val="22"/>
        </w:rPr>
        <w:t xml:space="preserve"> finds that the level of IPO underpricing for multi-class stock is almost twice that of single-class companies’ stock (</w:t>
      </w:r>
      <w:proofErr w:type="spellStart"/>
      <w:r w:rsidR="002A0B82" w:rsidRPr="00A00E80">
        <w:rPr>
          <w:rFonts w:ascii="Garamond" w:hAnsi="Garamond"/>
          <w:sz w:val="22"/>
          <w:szCs w:val="22"/>
        </w:rPr>
        <w:t>Tallarita</w:t>
      </w:r>
      <w:proofErr w:type="spellEnd"/>
      <w:r w:rsidR="002A0B82" w:rsidRPr="00A00E80">
        <w:rPr>
          <w:rFonts w:ascii="Garamond" w:hAnsi="Garamond"/>
          <w:sz w:val="22"/>
          <w:szCs w:val="22"/>
        </w:rPr>
        <w:t xml:space="preserve"> 2018, p. 7), with multi-class issuers accounting for </w:t>
      </w:r>
      <w:proofErr w:type="gramStart"/>
      <w:r w:rsidR="002A0B82" w:rsidRPr="00A00E80">
        <w:rPr>
          <w:rFonts w:ascii="Garamond" w:hAnsi="Garamond"/>
          <w:sz w:val="22"/>
          <w:szCs w:val="22"/>
        </w:rPr>
        <w:t>the vast majority of</w:t>
      </w:r>
      <w:proofErr w:type="gramEnd"/>
      <w:r w:rsidR="002A0B82" w:rsidRPr="00A00E80">
        <w:rPr>
          <w:rFonts w:ascii="Garamond" w:hAnsi="Garamond"/>
          <w:sz w:val="22"/>
          <w:szCs w:val="22"/>
        </w:rPr>
        <w:t xml:space="preserve"> the most underpriced IPOs in history (Ritter 2022, p. 2).</w:t>
      </w:r>
    </w:p>
    <w:p w14:paraId="64B87B95" w14:textId="65CCC9F9" w:rsidR="00987A5A" w:rsidRPr="008D6FFA" w:rsidRDefault="00FB7C68" w:rsidP="00C21525">
      <w:pPr>
        <w:spacing w:line="360" w:lineRule="auto"/>
        <w:ind w:firstLine="360"/>
        <w:jc w:val="both"/>
        <w:rPr>
          <w:rFonts w:ascii="Garamond" w:hAnsi="Garamond"/>
          <w:sz w:val="22"/>
          <w:szCs w:val="22"/>
        </w:rPr>
      </w:pPr>
      <w:r>
        <w:rPr>
          <w:rFonts w:ascii="Garamond" w:hAnsi="Garamond"/>
          <w:sz w:val="22"/>
          <w:szCs w:val="22"/>
        </w:rPr>
        <w:t>In addition to the mechanisms</w:t>
      </w:r>
      <w:r w:rsidR="00A83437">
        <w:rPr>
          <w:rFonts w:ascii="Garamond" w:hAnsi="Garamond"/>
          <w:sz w:val="22"/>
          <w:szCs w:val="22"/>
        </w:rPr>
        <w:t xml:space="preserve"> mentioned above</w:t>
      </w:r>
      <w:r>
        <w:rPr>
          <w:rFonts w:ascii="Garamond" w:hAnsi="Garamond"/>
          <w:sz w:val="22"/>
          <w:szCs w:val="22"/>
        </w:rPr>
        <w:t>, we intent to identify additional ways through which</w:t>
      </w:r>
      <w:r w:rsidRPr="002A0B82">
        <w:rPr>
          <w:rFonts w:ascii="Garamond" w:hAnsi="Garamond" w:cstheme="majorBidi"/>
          <w:sz w:val="22"/>
          <w:szCs w:val="22"/>
        </w:rPr>
        <w:t xml:space="preserve"> </w:t>
      </w:r>
      <w:r w:rsidRPr="00B57A19">
        <w:rPr>
          <w:rFonts w:ascii="Garamond" w:hAnsi="Garamond" w:cstheme="majorBidi"/>
          <w:sz w:val="22"/>
          <w:szCs w:val="22"/>
        </w:rPr>
        <w:t>the Big Three may</w:t>
      </w:r>
      <w:r w:rsidR="00E210F8">
        <w:rPr>
          <w:rFonts w:ascii="Garamond" w:hAnsi="Garamond" w:cstheme="majorBidi"/>
          <w:sz w:val="22"/>
          <w:szCs w:val="22"/>
        </w:rPr>
        <w:t xml:space="preserve"> </w:t>
      </w:r>
      <w:r w:rsidRPr="00B57A19">
        <w:rPr>
          <w:rFonts w:ascii="Garamond" w:hAnsi="Garamond" w:cstheme="majorBidi"/>
          <w:sz w:val="22"/>
          <w:szCs w:val="22"/>
        </w:rPr>
        <w:t xml:space="preserve">leverage their </w:t>
      </w:r>
      <w:r w:rsidR="00E210F8">
        <w:rPr>
          <w:rFonts w:ascii="Garamond" w:hAnsi="Garamond" w:cstheme="majorBidi"/>
          <w:sz w:val="22"/>
          <w:szCs w:val="22"/>
        </w:rPr>
        <w:t xml:space="preserve">collective </w:t>
      </w:r>
      <w:r>
        <w:rPr>
          <w:rFonts w:ascii="Garamond" w:hAnsi="Garamond" w:cstheme="majorBidi"/>
          <w:sz w:val="22"/>
          <w:szCs w:val="22"/>
        </w:rPr>
        <w:t>market power</w:t>
      </w:r>
      <w:r w:rsidRPr="00B57A19">
        <w:rPr>
          <w:rFonts w:ascii="Garamond" w:hAnsi="Garamond" w:cstheme="majorBidi"/>
          <w:sz w:val="22"/>
          <w:szCs w:val="22"/>
        </w:rPr>
        <w:t xml:space="preserve"> </w:t>
      </w:r>
      <w:r>
        <w:rPr>
          <w:rFonts w:ascii="Garamond" w:hAnsi="Garamond" w:cstheme="majorBidi"/>
          <w:sz w:val="22"/>
          <w:szCs w:val="22"/>
        </w:rPr>
        <w:t xml:space="preserve">in public offerings </w:t>
      </w:r>
      <w:r w:rsidRPr="00B57A19">
        <w:rPr>
          <w:rFonts w:ascii="Garamond" w:hAnsi="Garamond" w:cstheme="majorBidi"/>
          <w:sz w:val="22"/>
          <w:szCs w:val="22"/>
        </w:rPr>
        <w:t xml:space="preserve">to depress offer prices and benefit </w:t>
      </w:r>
      <w:r>
        <w:rPr>
          <w:rFonts w:ascii="Garamond" w:hAnsi="Garamond" w:cstheme="majorBidi"/>
          <w:sz w:val="22"/>
          <w:szCs w:val="22"/>
        </w:rPr>
        <w:t>from increased underpricing.</w:t>
      </w:r>
      <w:r w:rsidR="00E210F8">
        <w:rPr>
          <w:rFonts w:ascii="Garamond" w:hAnsi="Garamond"/>
          <w:sz w:val="22"/>
          <w:szCs w:val="22"/>
        </w:rPr>
        <w:t xml:space="preserve"> </w:t>
      </w:r>
      <w:r w:rsidR="00E210F8">
        <w:rPr>
          <w:rFonts w:ascii="Garamond" w:hAnsi="Garamond"/>
          <w:iCs/>
          <w:sz w:val="22"/>
          <w:szCs w:val="22"/>
        </w:rPr>
        <w:t xml:space="preserve">This </w:t>
      </w:r>
      <w:r w:rsidR="00086744" w:rsidRPr="00162E27">
        <w:rPr>
          <w:rFonts w:ascii="Garamond" w:hAnsi="Garamond"/>
          <w:iCs/>
          <w:sz w:val="22"/>
          <w:szCs w:val="22"/>
        </w:rPr>
        <w:t xml:space="preserve">novel analysis of </w:t>
      </w:r>
      <w:r w:rsidR="005B56F1">
        <w:rPr>
          <w:rFonts w:ascii="Garamond" w:hAnsi="Garamond"/>
          <w:iCs/>
          <w:sz w:val="22"/>
          <w:szCs w:val="22"/>
        </w:rPr>
        <w:t xml:space="preserve">IPO </w:t>
      </w:r>
      <w:r w:rsidR="00086744" w:rsidRPr="00162E27">
        <w:rPr>
          <w:rFonts w:ascii="Garamond" w:hAnsi="Garamond"/>
          <w:iCs/>
          <w:sz w:val="22"/>
          <w:szCs w:val="22"/>
        </w:rPr>
        <w:t xml:space="preserve">underpricing through the lens of institutional-investor </w:t>
      </w:r>
      <w:r w:rsidR="00086744" w:rsidRPr="00162E27">
        <w:rPr>
          <w:rFonts w:ascii="Garamond" w:hAnsi="Garamond"/>
          <w:iCs/>
          <w:sz w:val="22"/>
          <w:szCs w:val="22"/>
        </w:rPr>
        <w:lastRenderedPageBreak/>
        <w:t>market power</w:t>
      </w:r>
      <w:r w:rsidR="009B676F">
        <w:rPr>
          <w:rFonts w:ascii="Garamond" w:hAnsi="Garamond"/>
          <w:iCs/>
          <w:sz w:val="22"/>
          <w:szCs w:val="22"/>
        </w:rPr>
        <w:t>, which we intend to empirically substantiate,</w:t>
      </w:r>
      <w:r w:rsidR="00086744" w:rsidRPr="00162E27">
        <w:rPr>
          <w:rFonts w:ascii="Garamond" w:hAnsi="Garamond"/>
          <w:iCs/>
          <w:sz w:val="22"/>
          <w:szCs w:val="22"/>
        </w:rPr>
        <w:t xml:space="preserve"> adds a crucial piece to the IPO underpricing puzzle and illuminates the marked correlation between rising underpricing levels and the ascendancy of asset manager capitalism.</w:t>
      </w:r>
    </w:p>
    <w:p w14:paraId="47B95436" w14:textId="77777777" w:rsidR="00270336" w:rsidRPr="008D6FFA" w:rsidRDefault="00270336" w:rsidP="00373B90">
      <w:pPr>
        <w:spacing w:line="360" w:lineRule="auto"/>
        <w:ind w:firstLine="426"/>
        <w:jc w:val="both"/>
        <w:rPr>
          <w:rFonts w:ascii="Garamond" w:hAnsi="Garamond"/>
          <w:sz w:val="22"/>
          <w:szCs w:val="22"/>
        </w:rPr>
      </w:pPr>
    </w:p>
    <w:p w14:paraId="655787B8" w14:textId="77777777" w:rsidR="00A346A7" w:rsidRPr="00C21525" w:rsidRDefault="00A346A7" w:rsidP="00A346A7">
      <w:pPr>
        <w:pStyle w:val="Heading3"/>
        <w:rPr>
          <w:sz w:val="22"/>
          <w:szCs w:val="22"/>
        </w:rPr>
      </w:pPr>
      <w:r w:rsidRPr="00C21525">
        <w:rPr>
          <w:sz w:val="22"/>
          <w:szCs w:val="22"/>
        </w:rPr>
        <w:t>B. Research Design and Methods</w:t>
      </w:r>
    </w:p>
    <w:p w14:paraId="69FE9C3F" w14:textId="77777777" w:rsidR="00A346A7" w:rsidRPr="00C21525" w:rsidRDefault="00A346A7" w:rsidP="00A346A7">
      <w:pPr>
        <w:rPr>
          <w:rFonts w:ascii="Garamond" w:hAnsi="Garamond"/>
          <w:sz w:val="22"/>
          <w:szCs w:val="22"/>
          <w:rtl/>
        </w:rPr>
      </w:pPr>
    </w:p>
    <w:p w14:paraId="49C74B84" w14:textId="6B419893" w:rsidR="00B95173" w:rsidRDefault="004C7A15" w:rsidP="00FE05E8">
      <w:pPr>
        <w:spacing w:line="360" w:lineRule="auto"/>
        <w:ind w:firstLine="426"/>
        <w:jc w:val="both"/>
        <w:rPr>
          <w:rFonts w:ascii="Garamond" w:hAnsi="Garamond"/>
          <w:sz w:val="22"/>
          <w:szCs w:val="22"/>
        </w:rPr>
      </w:pPr>
      <w:r w:rsidRPr="008D6FFA">
        <w:rPr>
          <w:rFonts w:ascii="Garamond" w:hAnsi="Garamond"/>
          <w:sz w:val="22"/>
          <w:szCs w:val="22"/>
        </w:rPr>
        <w:t xml:space="preserve">There will be </w:t>
      </w:r>
      <w:r w:rsidR="00162E27" w:rsidRPr="00C21525">
        <w:rPr>
          <w:rFonts w:ascii="Garamond" w:hAnsi="Garamond"/>
          <w:sz w:val="22"/>
          <w:szCs w:val="22"/>
          <w:highlight w:val="yellow"/>
        </w:rPr>
        <w:t>five</w:t>
      </w:r>
      <w:r w:rsidR="00162E27" w:rsidRPr="008D6FFA">
        <w:rPr>
          <w:rFonts w:ascii="Garamond" w:hAnsi="Garamond"/>
          <w:sz w:val="22"/>
          <w:szCs w:val="22"/>
        </w:rPr>
        <w:t xml:space="preserve"> </w:t>
      </w:r>
      <w:r w:rsidR="00A40191" w:rsidRPr="008D6FFA">
        <w:rPr>
          <w:rFonts w:ascii="Garamond" w:hAnsi="Garamond"/>
          <w:sz w:val="22"/>
          <w:szCs w:val="22"/>
        </w:rPr>
        <w:t xml:space="preserve">phases </w:t>
      </w:r>
      <w:r w:rsidRPr="008D6FFA">
        <w:rPr>
          <w:rFonts w:ascii="Garamond" w:hAnsi="Garamond"/>
          <w:sz w:val="22"/>
          <w:szCs w:val="22"/>
        </w:rPr>
        <w:t>in o</w:t>
      </w:r>
      <w:r w:rsidR="00A346A7" w:rsidRPr="008D6FFA">
        <w:rPr>
          <w:rFonts w:ascii="Garamond" w:hAnsi="Garamond"/>
          <w:sz w:val="22"/>
          <w:szCs w:val="22"/>
        </w:rPr>
        <w:t xml:space="preserve">ur research. The first and </w:t>
      </w:r>
      <w:r w:rsidR="00F46E54" w:rsidRPr="008D6FFA">
        <w:rPr>
          <w:rFonts w:ascii="Garamond" w:hAnsi="Garamond"/>
          <w:sz w:val="22"/>
          <w:szCs w:val="22"/>
        </w:rPr>
        <w:t xml:space="preserve">most important </w:t>
      </w:r>
      <w:r w:rsidR="00A40191" w:rsidRPr="008D6FFA">
        <w:rPr>
          <w:rFonts w:ascii="Garamond" w:hAnsi="Garamond"/>
          <w:sz w:val="22"/>
          <w:szCs w:val="22"/>
        </w:rPr>
        <w:t xml:space="preserve">phase </w:t>
      </w:r>
      <w:r w:rsidR="00A346A7" w:rsidRPr="008D6FFA">
        <w:rPr>
          <w:rFonts w:ascii="Garamond" w:hAnsi="Garamond"/>
          <w:sz w:val="22"/>
          <w:szCs w:val="22"/>
        </w:rPr>
        <w:t xml:space="preserve">of our research is to examine the relationship between the </w:t>
      </w:r>
      <w:r w:rsidR="00C526D5" w:rsidRPr="008D6FFA">
        <w:rPr>
          <w:rFonts w:ascii="Garamond" w:hAnsi="Garamond"/>
          <w:sz w:val="22"/>
          <w:szCs w:val="22"/>
        </w:rPr>
        <w:t xml:space="preserve">joint </w:t>
      </w:r>
      <w:r w:rsidR="00A346A7" w:rsidRPr="008D6FFA">
        <w:rPr>
          <w:rFonts w:ascii="Garamond" w:hAnsi="Garamond"/>
          <w:sz w:val="22"/>
          <w:szCs w:val="22"/>
        </w:rPr>
        <w:t xml:space="preserve">participation of </w:t>
      </w:r>
      <w:r w:rsidR="00641B60" w:rsidRPr="008D6FFA">
        <w:rPr>
          <w:rFonts w:ascii="Garamond" w:hAnsi="Garamond"/>
          <w:sz w:val="22"/>
          <w:szCs w:val="22"/>
        </w:rPr>
        <w:t xml:space="preserve">the </w:t>
      </w:r>
      <w:r w:rsidR="00DB7558" w:rsidRPr="008D6FFA">
        <w:rPr>
          <w:rFonts w:ascii="Garamond" w:hAnsi="Garamond"/>
          <w:sz w:val="22"/>
          <w:szCs w:val="22"/>
        </w:rPr>
        <w:t>t</w:t>
      </w:r>
      <w:r w:rsidR="00641B60" w:rsidRPr="008D6FFA">
        <w:rPr>
          <w:rFonts w:ascii="Garamond" w:hAnsi="Garamond"/>
          <w:sz w:val="22"/>
          <w:szCs w:val="22"/>
        </w:rPr>
        <w:t>hree</w:t>
      </w:r>
      <w:r w:rsidR="00DB7558" w:rsidRPr="008D6FFA">
        <w:rPr>
          <w:rFonts w:ascii="Garamond" w:hAnsi="Garamond"/>
          <w:sz w:val="22"/>
          <w:szCs w:val="22"/>
        </w:rPr>
        <w:t xml:space="preserve"> largest institutional investors (BlackRock, Vanguard, and Fidelity) i</w:t>
      </w:r>
      <w:r w:rsidR="00386B98" w:rsidRPr="008D6FFA">
        <w:rPr>
          <w:rFonts w:ascii="Garamond" w:hAnsi="Garamond"/>
          <w:sz w:val="22"/>
          <w:szCs w:val="22"/>
        </w:rPr>
        <w:t>n</w:t>
      </w:r>
      <w:r w:rsidR="00386B98" w:rsidRPr="008D6FFA">
        <w:rPr>
          <w:rFonts w:ascii="Garamond" w:hAnsi="Garamond" w:hint="cs"/>
          <w:sz w:val="22"/>
          <w:szCs w:val="22"/>
          <w:rtl/>
        </w:rPr>
        <w:t xml:space="preserve"> </w:t>
      </w:r>
      <w:r w:rsidR="00386B98" w:rsidRPr="008D6FFA">
        <w:rPr>
          <w:rFonts w:ascii="Garamond" w:hAnsi="Garamond"/>
          <w:sz w:val="22"/>
          <w:szCs w:val="22"/>
        </w:rPr>
        <w:t>U.S.</w:t>
      </w:r>
      <w:r w:rsidR="00386B98" w:rsidRPr="008D6FFA">
        <w:rPr>
          <w:rFonts w:ascii="Garamond" w:hAnsi="Garamond" w:hint="cs"/>
          <w:sz w:val="22"/>
          <w:szCs w:val="22"/>
          <w:rtl/>
        </w:rPr>
        <w:t xml:space="preserve"> </w:t>
      </w:r>
      <w:r w:rsidR="00A346A7" w:rsidRPr="008D6FFA">
        <w:rPr>
          <w:rFonts w:ascii="Garamond" w:hAnsi="Garamond"/>
          <w:sz w:val="22"/>
          <w:szCs w:val="22"/>
        </w:rPr>
        <w:t xml:space="preserve">IPOs and </w:t>
      </w:r>
      <w:r w:rsidR="00150888" w:rsidRPr="008D6FFA">
        <w:rPr>
          <w:rFonts w:ascii="Garamond" w:hAnsi="Garamond"/>
          <w:sz w:val="22"/>
          <w:szCs w:val="22"/>
        </w:rPr>
        <w:t xml:space="preserve">the degree of </w:t>
      </w:r>
      <w:r w:rsidR="00925289" w:rsidRPr="008D6FFA">
        <w:rPr>
          <w:rFonts w:ascii="Garamond" w:hAnsi="Garamond"/>
          <w:sz w:val="22"/>
          <w:szCs w:val="22"/>
        </w:rPr>
        <w:t>underpricing</w:t>
      </w:r>
      <w:r w:rsidR="00A346A7" w:rsidRPr="008D6FFA">
        <w:rPr>
          <w:rFonts w:ascii="Garamond" w:hAnsi="Garamond"/>
          <w:sz w:val="22"/>
          <w:szCs w:val="22"/>
        </w:rPr>
        <w:t>.</w:t>
      </w:r>
      <w:r w:rsidR="00150888" w:rsidRPr="008D6FFA">
        <w:rPr>
          <w:rFonts w:ascii="Garamond" w:hAnsi="Garamond"/>
          <w:sz w:val="22"/>
          <w:szCs w:val="22"/>
        </w:rPr>
        <w:t xml:space="preserve"> A positive correlation between the </w:t>
      </w:r>
      <w:r w:rsidR="00C526D5" w:rsidRPr="008D6FFA">
        <w:rPr>
          <w:rFonts w:ascii="Garamond" w:hAnsi="Garamond"/>
          <w:sz w:val="22"/>
          <w:szCs w:val="22"/>
        </w:rPr>
        <w:t>joint</w:t>
      </w:r>
      <w:r w:rsidR="00CE089E" w:rsidRPr="008D6FFA">
        <w:rPr>
          <w:rFonts w:ascii="Garamond" w:hAnsi="Garamond"/>
          <w:sz w:val="22"/>
          <w:szCs w:val="22"/>
        </w:rPr>
        <w:t xml:space="preserve"> </w:t>
      </w:r>
      <w:r w:rsidR="00150888" w:rsidRPr="008D6FFA">
        <w:rPr>
          <w:rFonts w:ascii="Garamond" w:hAnsi="Garamond"/>
          <w:sz w:val="22"/>
          <w:szCs w:val="22"/>
        </w:rPr>
        <w:t>participation of these three financial giants</w:t>
      </w:r>
      <w:r w:rsidR="003E61D4" w:rsidRPr="008D6FFA">
        <w:rPr>
          <w:rFonts w:ascii="Garamond" w:hAnsi="Garamond"/>
          <w:sz w:val="22"/>
          <w:szCs w:val="22"/>
        </w:rPr>
        <w:t xml:space="preserve"> and underpricing</w:t>
      </w:r>
      <w:r w:rsidR="00150888" w:rsidRPr="008D6FFA">
        <w:rPr>
          <w:rFonts w:ascii="Garamond" w:hAnsi="Garamond"/>
          <w:sz w:val="22"/>
          <w:szCs w:val="22"/>
        </w:rPr>
        <w:t xml:space="preserve"> will provide empirical </w:t>
      </w:r>
      <w:r w:rsidR="00386B98" w:rsidRPr="008D6FFA">
        <w:rPr>
          <w:rFonts w:ascii="Garamond" w:hAnsi="Garamond"/>
          <w:sz w:val="22"/>
          <w:szCs w:val="22"/>
        </w:rPr>
        <w:t>support</w:t>
      </w:r>
      <w:r w:rsidR="00150888" w:rsidRPr="008D6FFA">
        <w:rPr>
          <w:rFonts w:ascii="Garamond" w:hAnsi="Garamond"/>
          <w:sz w:val="22"/>
          <w:szCs w:val="22"/>
        </w:rPr>
        <w:t xml:space="preserve"> </w:t>
      </w:r>
      <w:r w:rsidR="00F46E54" w:rsidRPr="008D6FFA">
        <w:rPr>
          <w:rFonts w:ascii="Garamond" w:hAnsi="Garamond"/>
          <w:sz w:val="22"/>
          <w:szCs w:val="22"/>
        </w:rPr>
        <w:t xml:space="preserve">for </w:t>
      </w:r>
      <w:r w:rsidR="00C526D5" w:rsidRPr="008D6FFA">
        <w:rPr>
          <w:rFonts w:ascii="Garamond" w:hAnsi="Garamond"/>
          <w:sz w:val="22"/>
          <w:szCs w:val="22"/>
        </w:rPr>
        <w:t xml:space="preserve">the </w:t>
      </w:r>
      <w:r w:rsidR="00B95173" w:rsidRPr="008D6FFA">
        <w:rPr>
          <w:rFonts w:ascii="Garamond" w:hAnsi="Garamond"/>
          <w:sz w:val="22"/>
          <w:szCs w:val="22"/>
        </w:rPr>
        <w:t xml:space="preserve">existence of collusion between </w:t>
      </w:r>
      <w:r w:rsidR="008638E8" w:rsidRPr="008D6FFA">
        <w:rPr>
          <w:rFonts w:ascii="Garamond" w:hAnsi="Garamond"/>
          <w:sz w:val="22"/>
          <w:szCs w:val="22"/>
        </w:rPr>
        <w:t>these</w:t>
      </w:r>
      <w:r w:rsidR="00CF4C3B" w:rsidRPr="008D6FFA">
        <w:rPr>
          <w:rFonts w:ascii="Garamond" w:hAnsi="Garamond"/>
          <w:sz w:val="22"/>
          <w:szCs w:val="22"/>
        </w:rPr>
        <w:t xml:space="preserve"> </w:t>
      </w:r>
      <w:r w:rsidR="00B95173" w:rsidRPr="008D6FFA">
        <w:rPr>
          <w:rFonts w:ascii="Garamond" w:hAnsi="Garamond"/>
          <w:sz w:val="22"/>
          <w:szCs w:val="22"/>
        </w:rPr>
        <w:t>institutional investors</w:t>
      </w:r>
      <w:r w:rsidR="003C4773" w:rsidRPr="008D6FFA">
        <w:rPr>
          <w:rFonts w:ascii="Garamond" w:hAnsi="Garamond"/>
          <w:sz w:val="22"/>
          <w:szCs w:val="22"/>
        </w:rPr>
        <w:t xml:space="preserve">, giving rise to </w:t>
      </w:r>
      <w:r w:rsidR="003E61D4" w:rsidRPr="008D6FFA">
        <w:rPr>
          <w:rFonts w:ascii="Garamond" w:hAnsi="Garamond"/>
          <w:sz w:val="22"/>
          <w:szCs w:val="22"/>
        </w:rPr>
        <w:t>a coalition of</w:t>
      </w:r>
      <w:r w:rsidR="003C4773" w:rsidRPr="008D6FFA">
        <w:rPr>
          <w:rFonts w:ascii="Garamond" w:hAnsi="Garamond"/>
          <w:sz w:val="22"/>
          <w:szCs w:val="22"/>
        </w:rPr>
        <w:t xml:space="preserve"> bidders in the primary market</w:t>
      </w:r>
      <w:r w:rsidR="00B95173" w:rsidRPr="008D6FFA">
        <w:rPr>
          <w:rFonts w:ascii="Garamond" w:hAnsi="Garamond"/>
          <w:sz w:val="22"/>
          <w:szCs w:val="22"/>
        </w:rPr>
        <w:t xml:space="preserve"> </w:t>
      </w:r>
      <w:r w:rsidR="001A4C22" w:rsidRPr="008D6FFA">
        <w:rPr>
          <w:rFonts w:ascii="Garamond" w:hAnsi="Garamond"/>
          <w:sz w:val="22"/>
          <w:szCs w:val="22"/>
        </w:rPr>
        <w:t xml:space="preserve">which </w:t>
      </w:r>
      <w:r w:rsidR="006C1F56" w:rsidRPr="008D6FFA">
        <w:rPr>
          <w:rFonts w:ascii="Garamond" w:hAnsi="Garamond"/>
          <w:sz w:val="22"/>
          <w:szCs w:val="22"/>
        </w:rPr>
        <w:t>depress</w:t>
      </w:r>
      <w:r w:rsidR="001A4C22" w:rsidRPr="008D6FFA">
        <w:rPr>
          <w:rFonts w:ascii="Garamond" w:hAnsi="Garamond"/>
          <w:sz w:val="22"/>
          <w:szCs w:val="22"/>
        </w:rPr>
        <w:t>es</w:t>
      </w:r>
      <w:r w:rsidR="006C1F56" w:rsidRPr="008D6FFA">
        <w:rPr>
          <w:rFonts w:ascii="Garamond" w:hAnsi="Garamond"/>
          <w:sz w:val="22"/>
          <w:szCs w:val="22"/>
        </w:rPr>
        <w:t xml:space="preserve"> offering prices</w:t>
      </w:r>
      <w:r w:rsidR="00B95173" w:rsidRPr="008D6FFA">
        <w:rPr>
          <w:rFonts w:ascii="Garamond" w:hAnsi="Garamond"/>
          <w:sz w:val="22"/>
          <w:szCs w:val="22"/>
        </w:rPr>
        <w:t xml:space="preserve">. </w:t>
      </w:r>
      <w:r w:rsidR="003E61D4" w:rsidRPr="008D6FFA">
        <w:rPr>
          <w:rFonts w:ascii="Garamond" w:hAnsi="Garamond"/>
          <w:sz w:val="22"/>
          <w:szCs w:val="22"/>
        </w:rPr>
        <w:t xml:space="preserve">The correlation </w:t>
      </w:r>
      <w:proofErr w:type="gramStart"/>
      <w:r w:rsidR="003E61D4" w:rsidRPr="008D6FFA">
        <w:rPr>
          <w:rFonts w:ascii="Garamond" w:hAnsi="Garamond"/>
          <w:sz w:val="22"/>
          <w:szCs w:val="22"/>
        </w:rPr>
        <w:t>in itself is</w:t>
      </w:r>
      <w:proofErr w:type="gramEnd"/>
      <w:r w:rsidR="003E61D4" w:rsidRPr="008D6FFA">
        <w:rPr>
          <w:rFonts w:ascii="Garamond" w:hAnsi="Garamond"/>
          <w:sz w:val="22"/>
          <w:szCs w:val="22"/>
        </w:rPr>
        <w:t xml:space="preserve"> not sufficient for inferring that collusion is taking place; hence, we will explore other potential explanations for such correlation, and control for the independent variables </w:t>
      </w:r>
      <w:r w:rsidR="004677E7" w:rsidRPr="008D6FFA">
        <w:rPr>
          <w:rFonts w:ascii="Garamond" w:hAnsi="Garamond"/>
          <w:sz w:val="22"/>
          <w:szCs w:val="22"/>
        </w:rPr>
        <w:t>that</w:t>
      </w:r>
      <w:r w:rsidR="003E61D4" w:rsidRPr="008D6FFA">
        <w:rPr>
          <w:rFonts w:ascii="Garamond" w:hAnsi="Garamond"/>
          <w:sz w:val="22"/>
          <w:szCs w:val="22"/>
        </w:rPr>
        <w:t xml:space="preserve"> are key to alternative explanations, such as</w:t>
      </w:r>
      <w:r w:rsidR="000D217A">
        <w:rPr>
          <w:rFonts w:ascii="Garamond" w:hAnsi="Garamond"/>
          <w:sz w:val="22"/>
          <w:szCs w:val="22"/>
        </w:rPr>
        <w:t xml:space="preserve"> the market cap </w:t>
      </w:r>
      <w:r w:rsidR="00C46D89">
        <w:rPr>
          <w:rFonts w:ascii="Garamond" w:hAnsi="Garamond"/>
          <w:sz w:val="22"/>
          <w:szCs w:val="22"/>
        </w:rPr>
        <w:t>of the issuers and the</w:t>
      </w:r>
      <w:r w:rsidR="000D217A">
        <w:rPr>
          <w:rFonts w:ascii="Garamond" w:hAnsi="Garamond"/>
          <w:sz w:val="22"/>
          <w:szCs w:val="22"/>
        </w:rPr>
        <w:t xml:space="preserve"> se</w:t>
      </w:r>
      <w:r w:rsidR="00700492">
        <w:rPr>
          <w:rFonts w:ascii="Garamond" w:hAnsi="Garamond"/>
          <w:sz w:val="22"/>
          <w:szCs w:val="22"/>
        </w:rPr>
        <w:t xml:space="preserve">ctor in which </w:t>
      </w:r>
      <w:r w:rsidR="00C46D89">
        <w:rPr>
          <w:rFonts w:ascii="Garamond" w:hAnsi="Garamond"/>
          <w:sz w:val="22"/>
          <w:szCs w:val="22"/>
        </w:rPr>
        <w:t>at operates</w:t>
      </w:r>
      <w:r w:rsidR="006A4258">
        <w:rPr>
          <w:rFonts w:ascii="Garamond" w:hAnsi="Garamond"/>
          <w:sz w:val="22"/>
          <w:szCs w:val="22"/>
        </w:rPr>
        <w:t>,</w:t>
      </w:r>
      <w:r w:rsidR="00C46D89">
        <w:rPr>
          <w:rFonts w:ascii="Garamond" w:hAnsi="Garamond"/>
          <w:sz w:val="22"/>
          <w:szCs w:val="22"/>
        </w:rPr>
        <w:t xml:space="preserve"> as well as investor</w:t>
      </w:r>
      <w:r w:rsidR="000A5483">
        <w:rPr>
          <w:rFonts w:ascii="Garamond" w:hAnsi="Garamond"/>
          <w:sz w:val="22"/>
          <w:szCs w:val="22"/>
        </w:rPr>
        <w:t xml:space="preserve"> sentiment </w:t>
      </w:r>
      <w:r w:rsidR="00C46D89">
        <w:rPr>
          <w:rFonts w:ascii="Garamond" w:hAnsi="Garamond"/>
          <w:sz w:val="22"/>
          <w:szCs w:val="22"/>
        </w:rPr>
        <w:t>and</w:t>
      </w:r>
      <w:r w:rsidR="003E61D4" w:rsidRPr="008D6FFA">
        <w:rPr>
          <w:rFonts w:ascii="Garamond" w:hAnsi="Garamond"/>
          <w:sz w:val="22"/>
          <w:szCs w:val="22"/>
        </w:rPr>
        <w:t xml:space="preserve"> the relationship between underwriters and certain institutional investors. This meticulous approach ensures a comprehensive analysis that considers various factors influencing the observed correlation, allowing us to discern whether collusion is a primary driver of the underpricing phenomenon in U.S. IPOs involving the identified institutional investors.</w:t>
      </w:r>
    </w:p>
    <w:p w14:paraId="7CE6A830" w14:textId="6D144FE7" w:rsidR="00AB4FBD" w:rsidRDefault="006A4258" w:rsidP="00ED4C35">
      <w:pPr>
        <w:spacing w:line="360" w:lineRule="auto"/>
        <w:ind w:firstLine="426"/>
        <w:jc w:val="both"/>
        <w:rPr>
          <w:rFonts w:ascii="Garamond" w:hAnsi="Garamond"/>
          <w:sz w:val="22"/>
          <w:szCs w:val="22"/>
        </w:rPr>
      </w:pPr>
      <w:r>
        <w:rPr>
          <w:rFonts w:ascii="Garamond" w:hAnsi="Garamond"/>
          <w:sz w:val="22"/>
          <w:szCs w:val="22"/>
        </w:rPr>
        <w:t xml:space="preserve">In the second phase, we </w:t>
      </w:r>
      <w:r w:rsidR="00B957D4">
        <w:rPr>
          <w:rFonts w:ascii="Garamond" w:hAnsi="Garamond"/>
          <w:sz w:val="22"/>
          <w:szCs w:val="22"/>
        </w:rPr>
        <w:t xml:space="preserve">aim </w:t>
      </w:r>
      <w:r w:rsidR="00C46D89">
        <w:rPr>
          <w:rFonts w:ascii="Garamond" w:hAnsi="Garamond"/>
          <w:sz w:val="22"/>
          <w:szCs w:val="22"/>
        </w:rPr>
        <w:t>to strengthen</w:t>
      </w:r>
      <w:r w:rsidR="00ED4C35">
        <w:rPr>
          <w:rFonts w:ascii="Garamond" w:hAnsi="Garamond"/>
          <w:sz w:val="22"/>
          <w:szCs w:val="22"/>
        </w:rPr>
        <w:t xml:space="preserve"> </w:t>
      </w:r>
      <w:r w:rsidR="00DB2F86">
        <w:rPr>
          <w:rFonts w:ascii="Garamond" w:hAnsi="Garamond"/>
          <w:sz w:val="22"/>
          <w:szCs w:val="22"/>
        </w:rPr>
        <w:t>the identification of</w:t>
      </w:r>
      <w:r w:rsidR="00ED4C35">
        <w:rPr>
          <w:rFonts w:ascii="Garamond" w:hAnsi="Garamond"/>
          <w:sz w:val="22"/>
          <w:szCs w:val="22"/>
        </w:rPr>
        <w:t xml:space="preserve"> gi</w:t>
      </w:r>
      <w:r w:rsidR="00D76278">
        <w:rPr>
          <w:rFonts w:ascii="Garamond" w:hAnsi="Garamond"/>
          <w:sz w:val="22"/>
          <w:szCs w:val="22"/>
        </w:rPr>
        <w:t>ant</w:t>
      </w:r>
      <w:r w:rsidR="00ED4C35">
        <w:rPr>
          <w:rFonts w:ascii="Garamond" w:hAnsi="Garamond"/>
          <w:sz w:val="22"/>
          <w:szCs w:val="22"/>
        </w:rPr>
        <w:t xml:space="preserve"> institutional investors</w:t>
      </w:r>
      <w:r w:rsidR="00D76278">
        <w:rPr>
          <w:rFonts w:ascii="Garamond" w:hAnsi="Garamond"/>
          <w:sz w:val="22"/>
          <w:szCs w:val="22"/>
        </w:rPr>
        <w:t xml:space="preserve"> as a</w:t>
      </w:r>
      <w:r w:rsidR="00DB2F86">
        <w:rPr>
          <w:rFonts w:ascii="Garamond" w:hAnsi="Garamond"/>
          <w:sz w:val="22"/>
          <w:szCs w:val="22"/>
        </w:rPr>
        <w:t xml:space="preserve"> </w:t>
      </w:r>
      <w:r w:rsidR="006826F8">
        <w:rPr>
          <w:rFonts w:ascii="Garamond" w:hAnsi="Garamond"/>
          <w:sz w:val="22"/>
          <w:szCs w:val="22"/>
        </w:rPr>
        <w:t xml:space="preserve">casual </w:t>
      </w:r>
      <w:r w:rsidR="00D76278">
        <w:rPr>
          <w:rFonts w:ascii="Garamond" w:hAnsi="Garamond"/>
          <w:sz w:val="22"/>
          <w:szCs w:val="22"/>
        </w:rPr>
        <w:t xml:space="preserve">factor in </w:t>
      </w:r>
      <w:r w:rsidR="0013675D">
        <w:rPr>
          <w:rFonts w:ascii="Garamond" w:hAnsi="Garamond"/>
          <w:sz w:val="22"/>
          <w:szCs w:val="22"/>
        </w:rPr>
        <w:t>underpricing.</w:t>
      </w:r>
      <w:r w:rsidR="00DB2F86">
        <w:rPr>
          <w:rFonts w:ascii="Garamond" w:hAnsi="Garamond"/>
          <w:sz w:val="22"/>
          <w:szCs w:val="22"/>
        </w:rPr>
        <w:t xml:space="preserve"> This will be executed </w:t>
      </w:r>
      <w:r w:rsidR="009C6D45">
        <w:rPr>
          <w:rFonts w:ascii="Garamond" w:hAnsi="Garamond"/>
          <w:sz w:val="22"/>
          <w:szCs w:val="22"/>
        </w:rPr>
        <w:t>by examining the period following</w:t>
      </w:r>
      <w:r w:rsidR="00B415C9">
        <w:rPr>
          <w:rFonts w:ascii="Garamond" w:hAnsi="Garamond"/>
          <w:sz w:val="22"/>
          <w:szCs w:val="22"/>
        </w:rPr>
        <w:t xml:space="preserve"> the enactment of the </w:t>
      </w:r>
      <w:r w:rsidR="000712B5">
        <w:rPr>
          <w:rFonts w:ascii="Garamond" w:hAnsi="Garamond"/>
          <w:sz w:val="22"/>
          <w:szCs w:val="22"/>
        </w:rPr>
        <w:t xml:space="preserve">Jumpstarting our Business Sector Act </w:t>
      </w:r>
      <w:r w:rsidR="001F7269">
        <w:rPr>
          <w:rFonts w:ascii="Garamond" w:hAnsi="Garamond"/>
          <w:sz w:val="22"/>
          <w:szCs w:val="22"/>
        </w:rPr>
        <w:t>(</w:t>
      </w:r>
      <w:r w:rsidR="00D61FA6">
        <w:rPr>
          <w:rFonts w:ascii="Garamond" w:hAnsi="Garamond"/>
          <w:sz w:val="22"/>
          <w:szCs w:val="22"/>
        </w:rPr>
        <w:t>the “</w:t>
      </w:r>
      <w:r w:rsidR="00B415C9">
        <w:rPr>
          <w:rFonts w:ascii="Garamond" w:hAnsi="Garamond"/>
          <w:sz w:val="22"/>
          <w:szCs w:val="22"/>
        </w:rPr>
        <w:t>JOBS Act</w:t>
      </w:r>
      <w:r w:rsidR="00D61FA6">
        <w:rPr>
          <w:rFonts w:ascii="Garamond" w:hAnsi="Garamond"/>
          <w:sz w:val="22"/>
          <w:szCs w:val="22"/>
        </w:rPr>
        <w:t>”</w:t>
      </w:r>
      <w:r w:rsidR="001F7269">
        <w:rPr>
          <w:rFonts w:ascii="Garamond" w:hAnsi="Garamond"/>
          <w:sz w:val="22"/>
          <w:szCs w:val="22"/>
        </w:rPr>
        <w:t>)</w:t>
      </w:r>
      <w:r w:rsidR="00950CEA">
        <w:rPr>
          <w:rFonts w:ascii="Garamond" w:hAnsi="Garamond"/>
          <w:sz w:val="22"/>
          <w:szCs w:val="22"/>
        </w:rPr>
        <w:t xml:space="preserve"> in 2012 until 2019. In this period</w:t>
      </w:r>
      <w:r w:rsidR="004312E0">
        <w:rPr>
          <w:rFonts w:ascii="Garamond" w:hAnsi="Garamond"/>
          <w:sz w:val="22"/>
          <w:szCs w:val="22"/>
        </w:rPr>
        <w:t xml:space="preserve">, the JOBS Act has exclusively permitted </w:t>
      </w:r>
      <w:r w:rsidR="00D61FA6">
        <w:rPr>
          <w:rFonts w:ascii="Garamond" w:hAnsi="Garamond"/>
          <w:sz w:val="22"/>
          <w:szCs w:val="22"/>
        </w:rPr>
        <w:t>E</w:t>
      </w:r>
      <w:r w:rsidR="00D61FA6">
        <w:rPr>
          <w:rFonts w:ascii="Garamond" w:hAnsi="Garamond"/>
          <w:sz w:val="22"/>
          <w:szCs w:val="22"/>
        </w:rPr>
        <w:t xml:space="preserve">merging </w:t>
      </w:r>
      <w:r w:rsidR="00D61FA6">
        <w:rPr>
          <w:rFonts w:ascii="Garamond" w:hAnsi="Garamond"/>
          <w:sz w:val="22"/>
          <w:szCs w:val="22"/>
        </w:rPr>
        <w:t>G</w:t>
      </w:r>
      <w:r w:rsidR="00281835">
        <w:rPr>
          <w:rFonts w:ascii="Garamond" w:hAnsi="Garamond"/>
          <w:sz w:val="22"/>
          <w:szCs w:val="22"/>
        </w:rPr>
        <w:t xml:space="preserve">rowth </w:t>
      </w:r>
      <w:r w:rsidR="00D61FA6">
        <w:rPr>
          <w:rFonts w:ascii="Garamond" w:hAnsi="Garamond"/>
          <w:sz w:val="22"/>
          <w:szCs w:val="22"/>
        </w:rPr>
        <w:t>C</w:t>
      </w:r>
      <w:r w:rsidR="00281835">
        <w:rPr>
          <w:rFonts w:ascii="Garamond" w:hAnsi="Garamond"/>
          <w:sz w:val="22"/>
          <w:szCs w:val="22"/>
        </w:rPr>
        <w:t>ompanies (EGC</w:t>
      </w:r>
      <w:r w:rsidR="00D61FA6">
        <w:rPr>
          <w:rFonts w:ascii="Garamond" w:hAnsi="Garamond"/>
          <w:sz w:val="22"/>
          <w:szCs w:val="22"/>
        </w:rPr>
        <w:t>s</w:t>
      </w:r>
      <w:r w:rsidR="00281835">
        <w:rPr>
          <w:rFonts w:ascii="Garamond" w:hAnsi="Garamond"/>
          <w:sz w:val="22"/>
          <w:szCs w:val="22"/>
        </w:rPr>
        <w:t>)</w:t>
      </w:r>
      <w:r w:rsidR="00C46D89">
        <w:rPr>
          <w:rFonts w:ascii="Garamond" w:hAnsi="Garamond"/>
          <w:sz w:val="22"/>
          <w:szCs w:val="22"/>
        </w:rPr>
        <w:t xml:space="preserve">—issuers </w:t>
      </w:r>
      <w:r w:rsidR="00281835">
        <w:rPr>
          <w:rFonts w:ascii="Garamond" w:hAnsi="Garamond"/>
          <w:sz w:val="22"/>
          <w:szCs w:val="22"/>
        </w:rPr>
        <w:t>which have a</w:t>
      </w:r>
      <w:r w:rsidR="0091761C">
        <w:rPr>
          <w:rFonts w:ascii="Garamond" w:hAnsi="Garamond"/>
          <w:sz w:val="22"/>
          <w:szCs w:val="22"/>
        </w:rPr>
        <w:t xml:space="preserve">n annual revenue of less than one billion </w:t>
      </w:r>
      <w:r w:rsidR="00C46D89">
        <w:rPr>
          <w:rFonts w:ascii="Garamond" w:hAnsi="Garamond"/>
          <w:sz w:val="22"/>
          <w:szCs w:val="22"/>
        </w:rPr>
        <w:t>dollars—</w:t>
      </w:r>
      <w:r w:rsidR="00664827">
        <w:rPr>
          <w:rFonts w:ascii="Garamond" w:hAnsi="Garamond"/>
          <w:sz w:val="22"/>
          <w:szCs w:val="22"/>
        </w:rPr>
        <w:t xml:space="preserve">to engage in </w:t>
      </w:r>
      <w:r w:rsidR="00C46D89">
        <w:rPr>
          <w:rFonts w:ascii="Garamond" w:hAnsi="Garamond"/>
          <w:sz w:val="22"/>
          <w:szCs w:val="22"/>
        </w:rPr>
        <w:t>TTW</w:t>
      </w:r>
      <w:r w:rsidR="0021136C">
        <w:rPr>
          <w:rFonts w:ascii="Garamond" w:hAnsi="Garamond"/>
          <w:sz w:val="22"/>
          <w:szCs w:val="22"/>
        </w:rPr>
        <w:t xml:space="preserve"> communicating with investors </w:t>
      </w:r>
      <w:r w:rsidR="00D61FA6">
        <w:rPr>
          <w:rFonts w:ascii="Garamond" w:hAnsi="Garamond"/>
          <w:sz w:val="22"/>
          <w:szCs w:val="22"/>
        </w:rPr>
        <w:t>in connection to a contemplated IPO,</w:t>
      </w:r>
      <w:r w:rsidR="004826B8">
        <w:rPr>
          <w:rFonts w:ascii="Garamond" w:hAnsi="Garamond"/>
          <w:sz w:val="22"/>
          <w:szCs w:val="22"/>
        </w:rPr>
        <w:t xml:space="preserve"> before registering the IPO with the S</w:t>
      </w:r>
      <w:r w:rsidR="00D61FA6">
        <w:rPr>
          <w:rFonts w:ascii="Garamond" w:hAnsi="Garamond"/>
          <w:sz w:val="22"/>
          <w:szCs w:val="22"/>
        </w:rPr>
        <w:t xml:space="preserve">ecurities and </w:t>
      </w:r>
      <w:r w:rsidR="004826B8">
        <w:rPr>
          <w:rFonts w:ascii="Garamond" w:hAnsi="Garamond"/>
          <w:sz w:val="22"/>
          <w:szCs w:val="22"/>
        </w:rPr>
        <w:t>E</w:t>
      </w:r>
      <w:r w:rsidR="00D61FA6">
        <w:rPr>
          <w:rFonts w:ascii="Garamond" w:hAnsi="Garamond"/>
          <w:sz w:val="22"/>
          <w:szCs w:val="22"/>
        </w:rPr>
        <w:t>xchange Commission (“SEC”)</w:t>
      </w:r>
      <w:r w:rsidR="004826B8">
        <w:rPr>
          <w:rFonts w:ascii="Garamond" w:hAnsi="Garamond"/>
          <w:sz w:val="22"/>
          <w:szCs w:val="22"/>
        </w:rPr>
        <w:t>.</w:t>
      </w:r>
      <w:r w:rsidR="0047217F">
        <w:rPr>
          <w:rFonts w:ascii="Garamond" w:hAnsi="Garamond"/>
          <w:sz w:val="22"/>
          <w:szCs w:val="22"/>
        </w:rPr>
        <w:t xml:space="preserve"> According to our theory, we would expect </w:t>
      </w:r>
      <w:r w:rsidR="00BD4332">
        <w:rPr>
          <w:rFonts w:ascii="Garamond" w:hAnsi="Garamond"/>
          <w:sz w:val="22"/>
          <w:szCs w:val="22"/>
        </w:rPr>
        <w:t xml:space="preserve">that </w:t>
      </w:r>
      <w:r w:rsidR="00D61FA6">
        <w:rPr>
          <w:rFonts w:ascii="Garamond" w:hAnsi="Garamond"/>
          <w:sz w:val="22"/>
          <w:szCs w:val="22"/>
        </w:rPr>
        <w:t>the capacity of the Big Three</w:t>
      </w:r>
      <w:r w:rsidR="00BD4332">
        <w:rPr>
          <w:rFonts w:ascii="Garamond" w:hAnsi="Garamond"/>
          <w:sz w:val="22"/>
          <w:szCs w:val="22"/>
        </w:rPr>
        <w:t xml:space="preserve"> </w:t>
      </w:r>
      <w:r w:rsidR="00D61FA6">
        <w:rPr>
          <w:rFonts w:ascii="Garamond" w:hAnsi="Garamond"/>
          <w:sz w:val="22"/>
          <w:szCs w:val="22"/>
        </w:rPr>
        <w:t xml:space="preserve">to </w:t>
      </w:r>
      <w:r w:rsidR="00BD4332">
        <w:rPr>
          <w:rFonts w:ascii="Garamond" w:hAnsi="Garamond"/>
          <w:sz w:val="22"/>
          <w:szCs w:val="22"/>
        </w:rPr>
        <w:t xml:space="preserve">influence </w:t>
      </w:r>
      <w:r w:rsidR="002A525A">
        <w:rPr>
          <w:rFonts w:ascii="Garamond" w:hAnsi="Garamond"/>
          <w:sz w:val="22"/>
          <w:szCs w:val="22"/>
        </w:rPr>
        <w:t xml:space="preserve">the </w:t>
      </w:r>
      <w:r w:rsidR="00D61FA6">
        <w:rPr>
          <w:rFonts w:ascii="Garamond" w:hAnsi="Garamond"/>
          <w:sz w:val="22"/>
          <w:szCs w:val="22"/>
        </w:rPr>
        <w:t>perception of the issuer and the underwriter prior to</w:t>
      </w:r>
      <w:r w:rsidR="002A525A">
        <w:rPr>
          <w:rFonts w:ascii="Garamond" w:hAnsi="Garamond"/>
          <w:sz w:val="22"/>
          <w:szCs w:val="22"/>
        </w:rPr>
        <w:t xml:space="preserve"> </w:t>
      </w:r>
      <w:r w:rsidR="00D61FA6">
        <w:rPr>
          <w:rFonts w:ascii="Garamond" w:hAnsi="Garamond"/>
          <w:sz w:val="22"/>
          <w:szCs w:val="22"/>
        </w:rPr>
        <w:t>setting the initial offer</w:t>
      </w:r>
      <w:r w:rsidR="002A525A">
        <w:rPr>
          <w:rFonts w:ascii="Garamond" w:hAnsi="Garamond"/>
          <w:sz w:val="22"/>
          <w:szCs w:val="22"/>
        </w:rPr>
        <w:t xml:space="preserve"> price range</w:t>
      </w:r>
      <w:r w:rsidR="00DF2619">
        <w:rPr>
          <w:rFonts w:ascii="Garamond" w:hAnsi="Garamond"/>
          <w:sz w:val="22"/>
          <w:szCs w:val="22"/>
        </w:rPr>
        <w:t xml:space="preserve">, would </w:t>
      </w:r>
      <w:r w:rsidR="00D61FA6">
        <w:rPr>
          <w:rFonts w:ascii="Garamond" w:hAnsi="Garamond"/>
          <w:sz w:val="22"/>
          <w:szCs w:val="22"/>
        </w:rPr>
        <w:t>exacerbate</w:t>
      </w:r>
      <w:r w:rsidR="00DF2619">
        <w:rPr>
          <w:rFonts w:ascii="Garamond" w:hAnsi="Garamond"/>
          <w:sz w:val="22"/>
          <w:szCs w:val="22"/>
        </w:rPr>
        <w:t xml:space="preserve"> IPO underpricing. </w:t>
      </w:r>
      <w:r w:rsidR="00475F81">
        <w:rPr>
          <w:rFonts w:ascii="Garamond" w:hAnsi="Garamond"/>
          <w:sz w:val="22"/>
          <w:szCs w:val="22"/>
        </w:rPr>
        <w:t>In 2019, this special treatment of E</w:t>
      </w:r>
      <w:r w:rsidR="00654643">
        <w:rPr>
          <w:rFonts w:ascii="Garamond" w:hAnsi="Garamond"/>
          <w:sz w:val="22"/>
          <w:szCs w:val="22"/>
        </w:rPr>
        <w:t>GC</w:t>
      </w:r>
      <w:r w:rsidR="00D61FA6">
        <w:rPr>
          <w:rFonts w:ascii="Garamond" w:hAnsi="Garamond"/>
          <w:sz w:val="22"/>
          <w:szCs w:val="22"/>
        </w:rPr>
        <w:t>s</w:t>
      </w:r>
      <w:r w:rsidR="00475F81">
        <w:rPr>
          <w:rFonts w:ascii="Garamond" w:hAnsi="Garamond"/>
          <w:sz w:val="22"/>
          <w:szCs w:val="22"/>
        </w:rPr>
        <w:t xml:space="preserve"> was abolished, by permitting all companies to engage in TTW</w:t>
      </w:r>
      <w:r w:rsidR="00D61FA6">
        <w:rPr>
          <w:rFonts w:ascii="Garamond" w:hAnsi="Garamond"/>
          <w:sz w:val="22"/>
          <w:szCs w:val="22"/>
        </w:rPr>
        <w:t xml:space="preserve"> communication</w:t>
      </w:r>
      <w:r w:rsidR="00475F81">
        <w:rPr>
          <w:rFonts w:ascii="Garamond" w:hAnsi="Garamond"/>
          <w:sz w:val="22"/>
          <w:szCs w:val="22"/>
        </w:rPr>
        <w:t>.</w:t>
      </w:r>
      <w:r w:rsidR="00361520">
        <w:rPr>
          <w:rFonts w:ascii="Garamond" w:hAnsi="Garamond"/>
          <w:sz w:val="22"/>
          <w:szCs w:val="22"/>
        </w:rPr>
        <w:t xml:space="preserve"> We plan to collect data of </w:t>
      </w:r>
      <w:r w:rsidR="00D61FA6">
        <w:rPr>
          <w:rFonts w:ascii="Garamond" w:hAnsi="Garamond"/>
          <w:sz w:val="22"/>
          <w:szCs w:val="22"/>
        </w:rPr>
        <w:t>all EGCs</w:t>
      </w:r>
      <w:r w:rsidR="00D82E49">
        <w:rPr>
          <w:rFonts w:ascii="Garamond" w:hAnsi="Garamond"/>
          <w:sz w:val="22"/>
          <w:szCs w:val="22"/>
        </w:rPr>
        <w:t xml:space="preserve"> which engaged in TTW</w:t>
      </w:r>
      <w:r w:rsidR="00361520">
        <w:rPr>
          <w:rFonts w:ascii="Garamond" w:hAnsi="Garamond"/>
          <w:sz w:val="22"/>
          <w:szCs w:val="22"/>
        </w:rPr>
        <w:t xml:space="preserve"> </w:t>
      </w:r>
      <w:r w:rsidR="00D61FA6">
        <w:rPr>
          <w:rFonts w:ascii="Garamond" w:hAnsi="Garamond"/>
          <w:sz w:val="22"/>
          <w:szCs w:val="22"/>
        </w:rPr>
        <w:t>communication during</w:t>
      </w:r>
      <w:r w:rsidR="00405BEE">
        <w:rPr>
          <w:rFonts w:ascii="Garamond" w:hAnsi="Garamond"/>
          <w:sz w:val="22"/>
          <w:szCs w:val="22"/>
        </w:rPr>
        <w:t xml:space="preserve"> the period 2012-2019 and employ</w:t>
      </w:r>
      <w:r w:rsidR="00D82E49">
        <w:rPr>
          <w:rFonts w:ascii="Garamond" w:hAnsi="Garamond"/>
          <w:sz w:val="22"/>
          <w:szCs w:val="22"/>
        </w:rPr>
        <w:t xml:space="preserve"> a difference-in-difference </w:t>
      </w:r>
      <w:r w:rsidR="006A7025">
        <w:rPr>
          <w:rFonts w:ascii="Garamond" w:hAnsi="Garamond"/>
          <w:sz w:val="22"/>
          <w:szCs w:val="22"/>
        </w:rPr>
        <w:t>regression to compare the underpricing</w:t>
      </w:r>
      <w:r w:rsidR="00BF768D">
        <w:rPr>
          <w:rFonts w:ascii="Garamond" w:hAnsi="Garamond"/>
          <w:sz w:val="22"/>
          <w:szCs w:val="22"/>
        </w:rPr>
        <w:t xml:space="preserve"> </w:t>
      </w:r>
      <w:r w:rsidR="00D61FA6">
        <w:rPr>
          <w:rFonts w:ascii="Garamond" w:hAnsi="Garamond"/>
          <w:sz w:val="22"/>
          <w:szCs w:val="22"/>
        </w:rPr>
        <w:t>of</w:t>
      </w:r>
      <w:r w:rsidR="00BF768D">
        <w:rPr>
          <w:rFonts w:ascii="Garamond" w:hAnsi="Garamond"/>
          <w:sz w:val="22"/>
          <w:szCs w:val="22"/>
        </w:rPr>
        <w:t xml:space="preserve"> E</w:t>
      </w:r>
      <w:r w:rsidR="00654643">
        <w:rPr>
          <w:rFonts w:ascii="Garamond" w:hAnsi="Garamond"/>
          <w:sz w:val="22"/>
          <w:szCs w:val="22"/>
        </w:rPr>
        <w:t>GC</w:t>
      </w:r>
      <w:r w:rsidR="00D61FA6">
        <w:rPr>
          <w:rFonts w:ascii="Garamond" w:hAnsi="Garamond"/>
          <w:sz w:val="22"/>
          <w:szCs w:val="22"/>
        </w:rPr>
        <w:t xml:space="preserve"> </w:t>
      </w:r>
      <w:r w:rsidR="00BF768D">
        <w:rPr>
          <w:rFonts w:ascii="Garamond" w:hAnsi="Garamond"/>
          <w:sz w:val="22"/>
          <w:szCs w:val="22"/>
        </w:rPr>
        <w:t>to that of</w:t>
      </w:r>
      <w:r w:rsidR="007178A0">
        <w:rPr>
          <w:rFonts w:ascii="Garamond" w:hAnsi="Garamond"/>
          <w:sz w:val="22"/>
          <w:szCs w:val="22"/>
        </w:rPr>
        <w:t xml:space="preserve"> none</w:t>
      </w:r>
      <w:r w:rsidR="00BA47B2">
        <w:rPr>
          <w:rFonts w:ascii="Garamond" w:hAnsi="Garamond"/>
          <w:sz w:val="22"/>
          <w:szCs w:val="22"/>
        </w:rPr>
        <w:t>-</w:t>
      </w:r>
      <w:r w:rsidR="007178A0">
        <w:rPr>
          <w:rFonts w:ascii="Garamond" w:hAnsi="Garamond"/>
          <w:sz w:val="22"/>
          <w:szCs w:val="22"/>
        </w:rPr>
        <w:t>E</w:t>
      </w:r>
      <w:r w:rsidR="00654643">
        <w:rPr>
          <w:rFonts w:ascii="Garamond" w:hAnsi="Garamond"/>
          <w:sz w:val="22"/>
          <w:szCs w:val="22"/>
        </w:rPr>
        <w:t>GC</w:t>
      </w:r>
      <w:r w:rsidR="007178A0">
        <w:rPr>
          <w:rFonts w:ascii="Garamond" w:hAnsi="Garamond"/>
          <w:sz w:val="22"/>
          <w:szCs w:val="22"/>
        </w:rPr>
        <w:t xml:space="preserve"> companies </w:t>
      </w:r>
      <w:r w:rsidR="00D61FA6">
        <w:rPr>
          <w:rFonts w:ascii="Garamond" w:hAnsi="Garamond"/>
          <w:sz w:val="22"/>
          <w:szCs w:val="22"/>
        </w:rPr>
        <w:t>over that</w:t>
      </w:r>
      <w:r w:rsidR="007178A0">
        <w:rPr>
          <w:rFonts w:ascii="Garamond" w:hAnsi="Garamond"/>
          <w:sz w:val="22"/>
          <w:szCs w:val="22"/>
        </w:rPr>
        <w:t xml:space="preserve"> period.</w:t>
      </w:r>
      <w:r w:rsidR="00D92517">
        <w:rPr>
          <w:rFonts w:ascii="Garamond" w:hAnsi="Garamond"/>
          <w:sz w:val="22"/>
          <w:szCs w:val="22"/>
        </w:rPr>
        <w:t xml:space="preserve"> Any significant disparity in underpricing </w:t>
      </w:r>
      <w:r w:rsidR="001E5CDC">
        <w:rPr>
          <w:rFonts w:ascii="Garamond" w:hAnsi="Garamond"/>
          <w:sz w:val="22"/>
          <w:szCs w:val="22"/>
        </w:rPr>
        <w:t xml:space="preserve">between these two categories of companies would strengthen the identification of </w:t>
      </w:r>
      <w:r w:rsidR="006447A9">
        <w:rPr>
          <w:rFonts w:ascii="Garamond" w:hAnsi="Garamond"/>
          <w:sz w:val="22"/>
          <w:szCs w:val="22"/>
        </w:rPr>
        <w:t xml:space="preserve">giant </w:t>
      </w:r>
      <w:r w:rsidR="001E5CDC">
        <w:rPr>
          <w:rFonts w:ascii="Garamond" w:hAnsi="Garamond"/>
          <w:sz w:val="22"/>
          <w:szCs w:val="22"/>
        </w:rPr>
        <w:t>institutional investors</w:t>
      </w:r>
      <w:r w:rsidR="00D61FA6">
        <w:rPr>
          <w:rFonts w:ascii="Garamond" w:hAnsi="Garamond"/>
          <w:sz w:val="22"/>
          <w:szCs w:val="22"/>
        </w:rPr>
        <w:t>’ influence over pricing</w:t>
      </w:r>
      <w:r w:rsidR="001E5CDC">
        <w:rPr>
          <w:rFonts w:ascii="Garamond" w:hAnsi="Garamond"/>
          <w:sz w:val="22"/>
          <w:szCs w:val="22"/>
        </w:rPr>
        <w:t xml:space="preserve"> as </w:t>
      </w:r>
      <w:r w:rsidR="00F1744C">
        <w:rPr>
          <w:rFonts w:ascii="Garamond" w:hAnsi="Garamond"/>
          <w:sz w:val="22"/>
          <w:szCs w:val="22"/>
        </w:rPr>
        <w:t xml:space="preserve">a </w:t>
      </w:r>
      <w:r w:rsidR="004435B1">
        <w:rPr>
          <w:rFonts w:ascii="Garamond" w:hAnsi="Garamond"/>
          <w:sz w:val="22"/>
          <w:szCs w:val="22"/>
        </w:rPr>
        <w:t>causal</w:t>
      </w:r>
      <w:r w:rsidR="00F1744C">
        <w:rPr>
          <w:rFonts w:ascii="Garamond" w:hAnsi="Garamond"/>
          <w:sz w:val="22"/>
          <w:szCs w:val="22"/>
        </w:rPr>
        <w:t xml:space="preserve"> </w:t>
      </w:r>
      <w:r w:rsidR="004435B1">
        <w:rPr>
          <w:rFonts w:ascii="Garamond" w:hAnsi="Garamond"/>
          <w:sz w:val="22"/>
          <w:szCs w:val="22"/>
        </w:rPr>
        <w:t xml:space="preserve">factor </w:t>
      </w:r>
      <w:r w:rsidR="001332B6">
        <w:rPr>
          <w:rFonts w:ascii="Garamond" w:hAnsi="Garamond"/>
          <w:sz w:val="22"/>
          <w:szCs w:val="22"/>
        </w:rPr>
        <w:t xml:space="preserve">for </w:t>
      </w:r>
      <w:r w:rsidR="004435B1">
        <w:rPr>
          <w:rFonts w:ascii="Garamond" w:hAnsi="Garamond"/>
          <w:sz w:val="22"/>
          <w:szCs w:val="22"/>
        </w:rPr>
        <w:t>underpricing.</w:t>
      </w:r>
    </w:p>
    <w:p w14:paraId="350F9442" w14:textId="53CFB070" w:rsidR="006A4258" w:rsidRPr="008D6FFA" w:rsidRDefault="00AB4FBD" w:rsidP="00ED4C35">
      <w:pPr>
        <w:spacing w:line="360" w:lineRule="auto"/>
        <w:ind w:firstLine="426"/>
        <w:jc w:val="both"/>
        <w:rPr>
          <w:rFonts w:ascii="Garamond" w:hAnsi="Garamond"/>
          <w:sz w:val="22"/>
          <w:szCs w:val="22"/>
        </w:rPr>
      </w:pPr>
      <w:r>
        <w:rPr>
          <w:rFonts w:ascii="Garamond" w:hAnsi="Garamond"/>
          <w:sz w:val="22"/>
          <w:szCs w:val="22"/>
        </w:rPr>
        <w:t>In the third phase</w:t>
      </w:r>
      <w:r w:rsidR="00D61FA6">
        <w:rPr>
          <w:rFonts w:ascii="Garamond" w:hAnsi="Garamond"/>
          <w:sz w:val="22"/>
          <w:szCs w:val="22"/>
        </w:rPr>
        <w:t xml:space="preserve">, </w:t>
      </w:r>
      <w:r w:rsidR="000672EE">
        <w:rPr>
          <w:rFonts w:ascii="Garamond" w:hAnsi="Garamond"/>
          <w:sz w:val="22"/>
          <w:szCs w:val="22"/>
        </w:rPr>
        <w:t xml:space="preserve">we aim at </w:t>
      </w:r>
      <w:r w:rsidR="00261010">
        <w:rPr>
          <w:rFonts w:ascii="Garamond" w:hAnsi="Garamond"/>
          <w:sz w:val="22"/>
          <w:szCs w:val="22"/>
        </w:rPr>
        <w:t>further strengthening the identification of giant institutional investors</w:t>
      </w:r>
      <w:r w:rsidR="001332B6">
        <w:rPr>
          <w:rFonts w:ascii="Garamond" w:hAnsi="Garamond"/>
          <w:sz w:val="22"/>
          <w:szCs w:val="22"/>
        </w:rPr>
        <w:t xml:space="preserve"> as a casual factor for </w:t>
      </w:r>
      <w:r w:rsidR="00B61E80">
        <w:rPr>
          <w:rFonts w:ascii="Garamond" w:hAnsi="Garamond"/>
          <w:sz w:val="22"/>
          <w:szCs w:val="22"/>
        </w:rPr>
        <w:t>underpricing</w:t>
      </w:r>
      <w:r w:rsidR="004E5DF9">
        <w:rPr>
          <w:rFonts w:ascii="Garamond" w:hAnsi="Garamond"/>
          <w:sz w:val="22"/>
          <w:szCs w:val="22"/>
        </w:rPr>
        <w:t xml:space="preserve"> by conducting a </w:t>
      </w:r>
      <w:r w:rsidR="00B31F49">
        <w:rPr>
          <w:rFonts w:ascii="Garamond" w:hAnsi="Garamond"/>
          <w:sz w:val="22"/>
          <w:szCs w:val="22"/>
        </w:rPr>
        <w:t xml:space="preserve">longitudinal study </w:t>
      </w:r>
      <w:r w:rsidR="00F93E7C">
        <w:rPr>
          <w:rFonts w:ascii="Garamond" w:hAnsi="Garamond"/>
          <w:sz w:val="22"/>
          <w:szCs w:val="22"/>
        </w:rPr>
        <w:t>exploring</w:t>
      </w:r>
      <w:r w:rsidR="00B31F49">
        <w:rPr>
          <w:rFonts w:ascii="Garamond" w:hAnsi="Garamond"/>
          <w:sz w:val="22"/>
          <w:szCs w:val="22"/>
        </w:rPr>
        <w:t xml:space="preserve"> the relationship between </w:t>
      </w:r>
      <w:r w:rsidR="00F03B62">
        <w:rPr>
          <w:rFonts w:ascii="Garamond" w:hAnsi="Garamond"/>
          <w:sz w:val="22"/>
          <w:szCs w:val="22"/>
        </w:rPr>
        <w:t xml:space="preserve">the proportional size of </w:t>
      </w:r>
      <w:r w:rsidR="00C25243">
        <w:rPr>
          <w:rFonts w:ascii="Garamond" w:hAnsi="Garamond"/>
          <w:sz w:val="22"/>
          <w:szCs w:val="22"/>
        </w:rPr>
        <w:t xml:space="preserve">institutional investors </w:t>
      </w:r>
      <w:r w:rsidR="00F93E7C">
        <w:rPr>
          <w:rFonts w:ascii="Garamond" w:hAnsi="Garamond"/>
          <w:sz w:val="22"/>
          <w:szCs w:val="22"/>
        </w:rPr>
        <w:t>compared</w:t>
      </w:r>
      <w:r w:rsidR="00C25243">
        <w:rPr>
          <w:rFonts w:ascii="Garamond" w:hAnsi="Garamond"/>
          <w:sz w:val="22"/>
          <w:szCs w:val="22"/>
        </w:rPr>
        <w:t xml:space="preserve"> to the size of the market</w:t>
      </w:r>
      <w:r w:rsidR="00F93E7C">
        <w:rPr>
          <w:rFonts w:ascii="Garamond" w:hAnsi="Garamond"/>
          <w:sz w:val="22"/>
          <w:szCs w:val="22"/>
        </w:rPr>
        <w:t xml:space="preserve"> </w:t>
      </w:r>
      <w:r w:rsidR="00B61E80">
        <w:rPr>
          <w:rFonts w:ascii="Garamond" w:hAnsi="Garamond"/>
          <w:sz w:val="22"/>
          <w:szCs w:val="22"/>
        </w:rPr>
        <w:t xml:space="preserve">and the degree of underpricing. In addition, we will examine the </w:t>
      </w:r>
      <w:r w:rsidR="00562482">
        <w:rPr>
          <w:rFonts w:ascii="Garamond" w:hAnsi="Garamond"/>
          <w:sz w:val="22"/>
          <w:szCs w:val="22"/>
        </w:rPr>
        <w:t xml:space="preserve">relationship between the degree of </w:t>
      </w:r>
      <w:r w:rsidR="00471E33">
        <w:rPr>
          <w:rFonts w:ascii="Garamond" w:hAnsi="Garamond"/>
          <w:sz w:val="22"/>
          <w:szCs w:val="22"/>
        </w:rPr>
        <w:t xml:space="preserve">market </w:t>
      </w:r>
      <w:r w:rsidR="00562482">
        <w:rPr>
          <w:rFonts w:ascii="Garamond" w:hAnsi="Garamond"/>
          <w:sz w:val="22"/>
          <w:szCs w:val="22"/>
        </w:rPr>
        <w:t>concentration</w:t>
      </w:r>
      <w:r w:rsidR="00471E33">
        <w:rPr>
          <w:rFonts w:ascii="Garamond" w:hAnsi="Garamond"/>
          <w:sz w:val="22"/>
          <w:szCs w:val="22"/>
        </w:rPr>
        <w:t xml:space="preserve"> </w:t>
      </w:r>
      <w:r w:rsidR="00F93E7C">
        <w:rPr>
          <w:rFonts w:ascii="Garamond" w:hAnsi="Garamond"/>
          <w:sz w:val="22"/>
          <w:szCs w:val="22"/>
        </w:rPr>
        <w:t>in the asset management industry</w:t>
      </w:r>
      <w:r w:rsidR="00471E33">
        <w:rPr>
          <w:rFonts w:ascii="Garamond" w:hAnsi="Garamond"/>
          <w:sz w:val="22"/>
          <w:szCs w:val="22"/>
        </w:rPr>
        <w:t xml:space="preserve"> and the</w:t>
      </w:r>
      <w:r w:rsidR="00596ECB">
        <w:rPr>
          <w:rFonts w:ascii="Garamond" w:hAnsi="Garamond"/>
          <w:sz w:val="22"/>
          <w:szCs w:val="22"/>
        </w:rPr>
        <w:t xml:space="preserve"> degree of underpricing. </w:t>
      </w:r>
      <w:r w:rsidR="00910D3E">
        <w:rPr>
          <w:rFonts w:ascii="Garamond" w:hAnsi="Garamond"/>
          <w:sz w:val="22"/>
          <w:szCs w:val="22"/>
        </w:rPr>
        <w:t>The longitudinal study will inc</w:t>
      </w:r>
      <w:r w:rsidR="00C00299">
        <w:rPr>
          <w:rFonts w:ascii="Garamond" w:hAnsi="Garamond"/>
          <w:sz w:val="22"/>
          <w:szCs w:val="22"/>
        </w:rPr>
        <w:t xml:space="preserve">lude the period of 65 years </w:t>
      </w:r>
      <w:r w:rsidR="00F93E7C">
        <w:rPr>
          <w:rFonts w:ascii="Garamond" w:hAnsi="Garamond"/>
          <w:sz w:val="22"/>
          <w:szCs w:val="22"/>
        </w:rPr>
        <w:lastRenderedPageBreak/>
        <w:t>—</w:t>
      </w:r>
      <w:r w:rsidR="00C00299">
        <w:rPr>
          <w:rFonts w:ascii="Garamond" w:hAnsi="Garamond"/>
          <w:sz w:val="22"/>
          <w:szCs w:val="22"/>
        </w:rPr>
        <w:t xml:space="preserve">from </w:t>
      </w:r>
      <w:r w:rsidR="00931BAD">
        <w:rPr>
          <w:rFonts w:ascii="Garamond" w:hAnsi="Garamond"/>
          <w:sz w:val="22"/>
          <w:szCs w:val="22"/>
        </w:rPr>
        <w:t>1959 to 202</w:t>
      </w:r>
      <w:r w:rsidR="00A511B4">
        <w:rPr>
          <w:rFonts w:ascii="Garamond" w:hAnsi="Garamond"/>
          <w:sz w:val="22"/>
          <w:szCs w:val="22"/>
        </w:rPr>
        <w:t>3</w:t>
      </w:r>
      <w:r w:rsidR="00F93E7C">
        <w:rPr>
          <w:rFonts w:ascii="Garamond" w:hAnsi="Garamond"/>
          <w:sz w:val="22"/>
          <w:szCs w:val="22"/>
        </w:rPr>
        <w:t>—</w:t>
      </w:r>
      <w:r w:rsidR="00A511B4">
        <w:rPr>
          <w:rFonts w:ascii="Garamond" w:hAnsi="Garamond"/>
          <w:sz w:val="22"/>
          <w:szCs w:val="22"/>
        </w:rPr>
        <w:t xml:space="preserve">the longest period for which such data is easily available. </w:t>
      </w:r>
      <w:r w:rsidR="00A44291">
        <w:rPr>
          <w:rFonts w:ascii="Garamond" w:hAnsi="Garamond"/>
          <w:sz w:val="22"/>
          <w:szCs w:val="22"/>
        </w:rPr>
        <w:t>A positive correlation</w:t>
      </w:r>
      <w:r w:rsidR="00E94D29">
        <w:rPr>
          <w:rFonts w:ascii="Garamond" w:hAnsi="Garamond"/>
          <w:sz w:val="22"/>
          <w:szCs w:val="22"/>
        </w:rPr>
        <w:t xml:space="preserve"> between the relative size of instituti</w:t>
      </w:r>
      <w:r w:rsidR="00D279D5">
        <w:rPr>
          <w:rFonts w:ascii="Garamond" w:hAnsi="Garamond"/>
          <w:sz w:val="22"/>
          <w:szCs w:val="22"/>
        </w:rPr>
        <w:t xml:space="preserve">onal investors in the market on the degree of concentration in the </w:t>
      </w:r>
      <w:r w:rsidR="00605411">
        <w:rPr>
          <w:rFonts w:ascii="Garamond" w:hAnsi="Garamond"/>
          <w:sz w:val="22"/>
          <w:szCs w:val="22"/>
        </w:rPr>
        <w:t>sector of institutional investors, will reinforce our hypothesis, that</w:t>
      </w:r>
      <w:r w:rsidR="007365E6">
        <w:rPr>
          <w:rFonts w:ascii="Garamond" w:hAnsi="Garamond"/>
          <w:sz w:val="22"/>
          <w:szCs w:val="22"/>
        </w:rPr>
        <w:t xml:space="preserve"> the clout of giant institutional investors</w:t>
      </w:r>
      <w:r w:rsidR="00072A62">
        <w:rPr>
          <w:rFonts w:ascii="Garamond" w:hAnsi="Garamond"/>
          <w:sz w:val="22"/>
          <w:szCs w:val="22"/>
        </w:rPr>
        <w:t xml:space="preserve"> is a casual factor for underpricing.</w:t>
      </w:r>
      <w:r w:rsidR="00471E33">
        <w:rPr>
          <w:rFonts w:ascii="Garamond" w:hAnsi="Garamond"/>
          <w:sz w:val="22"/>
          <w:szCs w:val="22"/>
        </w:rPr>
        <w:t xml:space="preserve"> </w:t>
      </w:r>
      <w:r w:rsidR="00B61E80">
        <w:rPr>
          <w:rFonts w:ascii="Garamond" w:hAnsi="Garamond"/>
          <w:sz w:val="22"/>
          <w:szCs w:val="22"/>
        </w:rPr>
        <w:t xml:space="preserve"> </w:t>
      </w:r>
      <w:r w:rsidR="00B31F49">
        <w:rPr>
          <w:rFonts w:ascii="Garamond" w:hAnsi="Garamond"/>
          <w:sz w:val="22"/>
          <w:szCs w:val="22"/>
        </w:rPr>
        <w:t xml:space="preserve">  </w:t>
      </w:r>
      <w:r w:rsidR="007178A0">
        <w:rPr>
          <w:rFonts w:ascii="Garamond" w:hAnsi="Garamond"/>
          <w:sz w:val="22"/>
          <w:szCs w:val="22"/>
        </w:rPr>
        <w:t xml:space="preserve"> </w:t>
      </w:r>
      <w:r w:rsidR="00116E5A">
        <w:rPr>
          <w:rFonts w:ascii="Garamond" w:hAnsi="Garamond"/>
          <w:sz w:val="22"/>
          <w:szCs w:val="22"/>
        </w:rPr>
        <w:t xml:space="preserve"> </w:t>
      </w:r>
      <w:r w:rsidR="00405BEE">
        <w:rPr>
          <w:rFonts w:ascii="Garamond" w:hAnsi="Garamond"/>
          <w:sz w:val="22"/>
          <w:szCs w:val="22"/>
        </w:rPr>
        <w:t xml:space="preserve"> </w:t>
      </w:r>
      <w:r w:rsidR="004826B8">
        <w:rPr>
          <w:rFonts w:ascii="Garamond" w:hAnsi="Garamond"/>
          <w:sz w:val="22"/>
          <w:szCs w:val="22"/>
        </w:rPr>
        <w:t xml:space="preserve"> </w:t>
      </w:r>
    </w:p>
    <w:p w14:paraId="5FCC178A" w14:textId="6E74EEDD" w:rsidR="003363FB" w:rsidRPr="008D6FFA" w:rsidRDefault="00A346A7" w:rsidP="003C586E">
      <w:pPr>
        <w:spacing w:line="360" w:lineRule="auto"/>
        <w:ind w:firstLine="426"/>
        <w:jc w:val="both"/>
        <w:rPr>
          <w:rFonts w:ascii="Garamond" w:hAnsi="Garamond"/>
          <w:sz w:val="22"/>
          <w:szCs w:val="22"/>
        </w:rPr>
      </w:pPr>
      <w:r w:rsidRPr="008D6FFA">
        <w:rPr>
          <w:rFonts w:ascii="Garamond" w:hAnsi="Garamond"/>
          <w:sz w:val="22"/>
          <w:szCs w:val="22"/>
        </w:rPr>
        <w:t xml:space="preserve">In the </w:t>
      </w:r>
      <w:r w:rsidR="00393EF6">
        <w:rPr>
          <w:rFonts w:ascii="Garamond" w:hAnsi="Garamond"/>
          <w:sz w:val="22"/>
          <w:szCs w:val="22"/>
        </w:rPr>
        <w:t>fourth p</w:t>
      </w:r>
      <w:r w:rsidR="00A40191" w:rsidRPr="008D6FFA">
        <w:rPr>
          <w:rFonts w:ascii="Garamond" w:hAnsi="Garamond"/>
          <w:sz w:val="22"/>
          <w:szCs w:val="22"/>
        </w:rPr>
        <w:t>hase</w:t>
      </w:r>
      <w:r w:rsidRPr="008D6FFA">
        <w:rPr>
          <w:rFonts w:ascii="Garamond" w:hAnsi="Garamond"/>
          <w:sz w:val="22"/>
          <w:szCs w:val="22"/>
        </w:rPr>
        <w:t xml:space="preserve">, we will examine </w:t>
      </w:r>
      <w:r w:rsidR="00DA571D" w:rsidRPr="008D6FFA">
        <w:rPr>
          <w:rFonts w:ascii="Garamond" w:hAnsi="Garamond"/>
          <w:sz w:val="22"/>
          <w:szCs w:val="22"/>
        </w:rPr>
        <w:t>whether</w:t>
      </w:r>
      <w:r w:rsidRPr="008D6FFA">
        <w:rPr>
          <w:rFonts w:ascii="Garamond" w:hAnsi="Garamond"/>
          <w:sz w:val="22"/>
          <w:szCs w:val="22"/>
        </w:rPr>
        <w:t xml:space="preserve"> additional </w:t>
      </w:r>
      <w:r w:rsidR="008638E8" w:rsidRPr="008D6FFA">
        <w:rPr>
          <w:rFonts w:ascii="Garamond" w:hAnsi="Garamond"/>
          <w:sz w:val="22"/>
          <w:szCs w:val="22"/>
        </w:rPr>
        <w:t xml:space="preserve">market </w:t>
      </w:r>
      <w:r w:rsidRPr="008D6FFA">
        <w:rPr>
          <w:rFonts w:ascii="Garamond" w:hAnsi="Garamond"/>
          <w:sz w:val="22"/>
          <w:szCs w:val="22"/>
        </w:rPr>
        <w:t xml:space="preserve">actors </w:t>
      </w:r>
      <w:r w:rsidR="00CB5662">
        <w:rPr>
          <w:rFonts w:ascii="Garamond" w:hAnsi="Garamond"/>
          <w:sz w:val="22"/>
          <w:szCs w:val="22"/>
        </w:rPr>
        <w:t>also affec</w:t>
      </w:r>
      <w:r w:rsidR="00E85789">
        <w:rPr>
          <w:rFonts w:ascii="Garamond" w:hAnsi="Garamond"/>
          <w:sz w:val="22"/>
          <w:szCs w:val="22"/>
        </w:rPr>
        <w:t>t</w:t>
      </w:r>
      <w:r w:rsidR="00CB5662">
        <w:rPr>
          <w:rFonts w:ascii="Garamond" w:hAnsi="Garamond"/>
          <w:sz w:val="22"/>
          <w:szCs w:val="22"/>
        </w:rPr>
        <w:t xml:space="preserve"> IPO underpricing</w:t>
      </w:r>
      <w:r w:rsidRPr="008D6FFA">
        <w:rPr>
          <w:rFonts w:ascii="Garamond" w:hAnsi="Garamond"/>
          <w:sz w:val="22"/>
          <w:szCs w:val="22"/>
        </w:rPr>
        <w:t>.</w:t>
      </w:r>
      <w:r w:rsidR="002C166A" w:rsidRPr="008D6FFA">
        <w:rPr>
          <w:rFonts w:ascii="Garamond" w:hAnsi="Garamond"/>
          <w:sz w:val="22"/>
          <w:szCs w:val="22"/>
        </w:rPr>
        <w:t xml:space="preserve"> Although </w:t>
      </w:r>
      <w:r w:rsidR="00FF7CB6" w:rsidRPr="008D6FFA">
        <w:rPr>
          <w:rFonts w:ascii="Garamond" w:hAnsi="Garamond"/>
          <w:sz w:val="22"/>
          <w:szCs w:val="22"/>
        </w:rPr>
        <w:t>many</w:t>
      </w:r>
      <w:r w:rsidR="00411624" w:rsidRPr="008D6FFA">
        <w:rPr>
          <w:rFonts w:ascii="Garamond" w:hAnsi="Garamond"/>
          <w:sz w:val="22"/>
          <w:szCs w:val="22"/>
        </w:rPr>
        <w:t xml:space="preserve"> </w:t>
      </w:r>
      <w:r w:rsidR="002C166A" w:rsidRPr="008D6FFA">
        <w:rPr>
          <w:rFonts w:ascii="Garamond" w:hAnsi="Garamond"/>
          <w:sz w:val="22"/>
          <w:szCs w:val="22"/>
        </w:rPr>
        <w:t xml:space="preserve">scholars </w:t>
      </w:r>
      <w:r w:rsidR="007D41F6" w:rsidRPr="008D6FFA">
        <w:rPr>
          <w:rFonts w:ascii="Garamond" w:hAnsi="Garamond"/>
          <w:sz w:val="22"/>
          <w:szCs w:val="22"/>
        </w:rPr>
        <w:t xml:space="preserve">tend to </w:t>
      </w:r>
      <w:r w:rsidR="002C166A" w:rsidRPr="008D6FFA">
        <w:rPr>
          <w:rFonts w:ascii="Garamond" w:hAnsi="Garamond"/>
          <w:sz w:val="22"/>
          <w:szCs w:val="22"/>
        </w:rPr>
        <w:t>focus on the</w:t>
      </w:r>
      <w:r w:rsidR="00104644" w:rsidRPr="008D6FFA">
        <w:rPr>
          <w:rFonts w:ascii="Garamond" w:hAnsi="Garamond"/>
          <w:sz w:val="22"/>
          <w:szCs w:val="22"/>
        </w:rPr>
        <w:t xml:space="preserve"> power of</w:t>
      </w:r>
      <w:r w:rsidR="00D61FA6">
        <w:rPr>
          <w:rFonts w:ascii="Garamond" w:hAnsi="Garamond"/>
          <w:sz w:val="22"/>
          <w:szCs w:val="22"/>
        </w:rPr>
        <w:t xml:space="preserve"> giants like</w:t>
      </w:r>
      <w:r w:rsidR="00104644" w:rsidRPr="008D6FFA">
        <w:rPr>
          <w:rFonts w:ascii="Garamond" w:hAnsi="Garamond"/>
          <w:sz w:val="22"/>
          <w:szCs w:val="22"/>
        </w:rPr>
        <w:t xml:space="preserve"> </w:t>
      </w:r>
      <w:r w:rsidR="007D41F6" w:rsidRPr="008D6FFA">
        <w:rPr>
          <w:rFonts w:ascii="Garamond" w:hAnsi="Garamond"/>
          <w:sz w:val="22"/>
          <w:szCs w:val="22"/>
        </w:rPr>
        <w:t>BlackRock, Vanguard, Fidelity</w:t>
      </w:r>
      <w:r w:rsidR="00094FA6" w:rsidRPr="008D6FFA">
        <w:rPr>
          <w:rFonts w:ascii="Garamond" w:hAnsi="Garamond"/>
          <w:sz w:val="22"/>
          <w:szCs w:val="22"/>
        </w:rPr>
        <w:t>,</w:t>
      </w:r>
      <w:r w:rsidR="007D41F6" w:rsidRPr="008D6FFA">
        <w:rPr>
          <w:rFonts w:ascii="Garamond" w:hAnsi="Garamond"/>
          <w:sz w:val="22"/>
          <w:szCs w:val="22"/>
        </w:rPr>
        <w:t xml:space="preserve"> and State Street </w:t>
      </w:r>
      <w:r w:rsidR="002C166A" w:rsidRPr="008D6FFA">
        <w:rPr>
          <w:rFonts w:ascii="Garamond" w:hAnsi="Garamond"/>
          <w:sz w:val="22"/>
          <w:szCs w:val="22"/>
        </w:rPr>
        <w:t>(</w:t>
      </w:r>
      <w:proofErr w:type="spellStart"/>
      <w:r w:rsidR="004C7A15" w:rsidRPr="008D6FFA">
        <w:rPr>
          <w:rFonts w:ascii="Garamond" w:hAnsi="Garamond"/>
          <w:sz w:val="22"/>
          <w:szCs w:val="22"/>
        </w:rPr>
        <w:t>Bebchuk</w:t>
      </w:r>
      <w:proofErr w:type="spellEnd"/>
      <w:r w:rsidR="004C7A15" w:rsidRPr="008D6FFA">
        <w:rPr>
          <w:rFonts w:ascii="Garamond" w:hAnsi="Garamond"/>
          <w:sz w:val="22"/>
          <w:szCs w:val="22"/>
        </w:rPr>
        <w:t xml:space="preserve"> &amp; Hirst 2022; </w:t>
      </w:r>
      <w:proofErr w:type="spellStart"/>
      <w:r w:rsidR="002A1EDB" w:rsidRPr="008D6FFA">
        <w:rPr>
          <w:rFonts w:ascii="Garamond" w:hAnsi="Garamond"/>
          <w:sz w:val="22"/>
          <w:szCs w:val="22"/>
        </w:rPr>
        <w:t>Fichtner</w:t>
      </w:r>
      <w:proofErr w:type="spellEnd"/>
      <w:r w:rsidR="002A1EDB" w:rsidRPr="008D6FFA">
        <w:rPr>
          <w:rFonts w:ascii="Garamond" w:hAnsi="Garamond"/>
          <w:sz w:val="22"/>
          <w:szCs w:val="22"/>
        </w:rPr>
        <w:t>, Heemskerk &amp; Garcia-Bernardo 2017, pp. 288</w:t>
      </w:r>
      <w:r w:rsidR="004C7A15" w:rsidRPr="008D6FFA">
        <w:rPr>
          <w:rFonts w:ascii="Garamond" w:hAnsi="Garamond"/>
          <w:sz w:val="22"/>
          <w:szCs w:val="22"/>
        </w:rPr>
        <w:t>–</w:t>
      </w:r>
      <w:r w:rsidR="002A1EDB" w:rsidRPr="008D6FFA">
        <w:rPr>
          <w:rFonts w:ascii="Garamond" w:hAnsi="Garamond"/>
          <w:sz w:val="22"/>
          <w:szCs w:val="22"/>
        </w:rPr>
        <w:t>299</w:t>
      </w:r>
      <w:r w:rsidR="007D41F6" w:rsidRPr="008D6FFA">
        <w:rPr>
          <w:rFonts w:ascii="Garamond" w:hAnsi="Garamond"/>
          <w:sz w:val="22"/>
          <w:szCs w:val="22"/>
        </w:rPr>
        <w:t xml:space="preserve">; </w:t>
      </w:r>
      <w:proofErr w:type="spellStart"/>
      <w:r w:rsidR="007D41F6" w:rsidRPr="008D6FFA">
        <w:rPr>
          <w:rFonts w:ascii="Garamond" w:hAnsi="Garamond"/>
          <w:sz w:val="22"/>
          <w:szCs w:val="22"/>
        </w:rPr>
        <w:t>Strine</w:t>
      </w:r>
      <w:proofErr w:type="spellEnd"/>
      <w:r w:rsidR="007D41F6" w:rsidRPr="008D6FFA">
        <w:rPr>
          <w:rFonts w:ascii="Garamond" w:hAnsi="Garamond"/>
          <w:sz w:val="22"/>
          <w:szCs w:val="22"/>
        </w:rPr>
        <w:t xml:space="preserve"> 2020</w:t>
      </w:r>
      <w:r w:rsidR="006840EE" w:rsidRPr="008D6FFA">
        <w:rPr>
          <w:rFonts w:ascii="Garamond" w:hAnsi="Garamond"/>
          <w:sz w:val="22"/>
          <w:szCs w:val="22"/>
        </w:rPr>
        <w:t>)</w:t>
      </w:r>
      <w:r w:rsidR="001F7091" w:rsidRPr="008D6FFA">
        <w:rPr>
          <w:rFonts w:ascii="Garamond" w:hAnsi="Garamond"/>
          <w:sz w:val="22"/>
          <w:szCs w:val="22"/>
        </w:rPr>
        <w:t xml:space="preserve">, </w:t>
      </w:r>
      <w:r w:rsidR="00C848AF" w:rsidRPr="008D6FFA">
        <w:rPr>
          <w:rFonts w:ascii="Garamond" w:hAnsi="Garamond"/>
          <w:sz w:val="22"/>
          <w:szCs w:val="22"/>
        </w:rPr>
        <w:t xml:space="preserve">some have </w:t>
      </w:r>
      <w:r w:rsidR="00591799" w:rsidRPr="008D6FFA">
        <w:rPr>
          <w:rFonts w:ascii="Garamond" w:hAnsi="Garamond"/>
          <w:sz w:val="22"/>
          <w:szCs w:val="22"/>
        </w:rPr>
        <w:t xml:space="preserve">also </w:t>
      </w:r>
      <w:proofErr w:type="gramStart"/>
      <w:r w:rsidR="00591799" w:rsidRPr="008D6FFA">
        <w:rPr>
          <w:rFonts w:ascii="Garamond" w:hAnsi="Garamond"/>
          <w:sz w:val="22"/>
          <w:szCs w:val="22"/>
        </w:rPr>
        <w:t>looked into</w:t>
      </w:r>
      <w:proofErr w:type="gramEnd"/>
      <w:r w:rsidR="00591799" w:rsidRPr="008D6FFA">
        <w:rPr>
          <w:rFonts w:ascii="Garamond" w:hAnsi="Garamond"/>
          <w:sz w:val="22"/>
          <w:szCs w:val="22"/>
        </w:rPr>
        <w:t xml:space="preserve"> </w:t>
      </w:r>
      <w:r w:rsidR="00C848AF" w:rsidRPr="008D6FFA">
        <w:rPr>
          <w:rFonts w:ascii="Garamond" w:hAnsi="Garamond"/>
          <w:sz w:val="22"/>
          <w:szCs w:val="22"/>
        </w:rPr>
        <w:t xml:space="preserve">the market power of </w:t>
      </w:r>
      <w:r w:rsidR="007A278D" w:rsidRPr="008D6FFA">
        <w:rPr>
          <w:rFonts w:ascii="Garamond" w:hAnsi="Garamond"/>
          <w:sz w:val="22"/>
          <w:szCs w:val="22"/>
        </w:rPr>
        <w:t>other</w:t>
      </w:r>
      <w:r w:rsidR="00C848AF" w:rsidRPr="008D6FFA">
        <w:rPr>
          <w:rFonts w:ascii="Garamond" w:hAnsi="Garamond"/>
          <w:sz w:val="22"/>
          <w:szCs w:val="22"/>
        </w:rPr>
        <w:t xml:space="preserve"> </w:t>
      </w:r>
      <w:r w:rsidR="000260FA" w:rsidRPr="008D6FFA">
        <w:rPr>
          <w:rFonts w:ascii="Garamond" w:hAnsi="Garamond"/>
          <w:sz w:val="22"/>
          <w:szCs w:val="22"/>
        </w:rPr>
        <w:t xml:space="preserve">dominant </w:t>
      </w:r>
      <w:r w:rsidR="00C848AF" w:rsidRPr="008D6FFA">
        <w:rPr>
          <w:rFonts w:ascii="Garamond" w:hAnsi="Garamond"/>
          <w:sz w:val="22"/>
          <w:szCs w:val="22"/>
        </w:rPr>
        <w:t xml:space="preserve">institutional investors. For instance, </w:t>
      </w:r>
      <w:r w:rsidR="009B0D8C" w:rsidRPr="008D6FFA">
        <w:rPr>
          <w:rFonts w:ascii="Garamond" w:hAnsi="Garamond"/>
          <w:sz w:val="22"/>
          <w:szCs w:val="22"/>
        </w:rPr>
        <w:t>Kahan &amp; Rock (2019, pp. 939</w:t>
      </w:r>
      <w:r w:rsidR="004C7A15" w:rsidRPr="008D6FFA">
        <w:rPr>
          <w:rFonts w:ascii="Garamond" w:hAnsi="Garamond"/>
          <w:sz w:val="22"/>
          <w:szCs w:val="22"/>
        </w:rPr>
        <w:t>–</w:t>
      </w:r>
      <w:r w:rsidR="009B0D8C" w:rsidRPr="008D6FFA">
        <w:rPr>
          <w:rFonts w:ascii="Garamond" w:hAnsi="Garamond"/>
          <w:sz w:val="22"/>
          <w:szCs w:val="22"/>
        </w:rPr>
        <w:t xml:space="preserve">940) have emphasized the power of the </w:t>
      </w:r>
      <w:r w:rsidR="001B675C" w:rsidRPr="008D6FFA">
        <w:rPr>
          <w:rFonts w:ascii="Garamond" w:hAnsi="Garamond"/>
          <w:sz w:val="22"/>
          <w:szCs w:val="22"/>
        </w:rPr>
        <w:t xml:space="preserve">twenty-five </w:t>
      </w:r>
      <w:r w:rsidR="009B0D8C" w:rsidRPr="008D6FFA">
        <w:rPr>
          <w:rFonts w:ascii="Garamond" w:hAnsi="Garamond"/>
          <w:sz w:val="22"/>
          <w:szCs w:val="22"/>
        </w:rPr>
        <w:t>largest institutional investors</w:t>
      </w:r>
      <w:r w:rsidR="00206831" w:rsidRPr="008D6FFA">
        <w:rPr>
          <w:rFonts w:ascii="Garamond" w:hAnsi="Garamond"/>
          <w:sz w:val="22"/>
          <w:szCs w:val="22"/>
        </w:rPr>
        <w:t>, something we also intend to explore in the context of IPO underpricing</w:t>
      </w:r>
      <w:r w:rsidR="009B0D8C" w:rsidRPr="008D6FFA">
        <w:rPr>
          <w:rFonts w:ascii="Garamond" w:hAnsi="Garamond"/>
          <w:sz w:val="22"/>
          <w:szCs w:val="22"/>
        </w:rPr>
        <w:t xml:space="preserve">. </w:t>
      </w:r>
      <w:r w:rsidR="002E5F94" w:rsidRPr="008D6FFA">
        <w:rPr>
          <w:rFonts w:ascii="Garamond" w:hAnsi="Garamond"/>
          <w:sz w:val="22"/>
          <w:szCs w:val="22"/>
        </w:rPr>
        <w:t xml:space="preserve">Moreover, </w:t>
      </w:r>
      <w:r w:rsidR="00CF77C6">
        <w:rPr>
          <w:rFonts w:ascii="Garamond" w:hAnsi="Garamond"/>
          <w:sz w:val="22"/>
          <w:szCs w:val="22"/>
        </w:rPr>
        <w:t xml:space="preserve">because </w:t>
      </w:r>
      <w:r w:rsidRPr="008D6FFA">
        <w:rPr>
          <w:rFonts w:ascii="Garamond" w:hAnsi="Garamond"/>
          <w:sz w:val="22"/>
          <w:szCs w:val="22"/>
        </w:rPr>
        <w:t>the size of</w:t>
      </w:r>
      <w:r w:rsidR="007E5ABE">
        <w:rPr>
          <w:rFonts w:ascii="Garamond" w:hAnsi="Garamond"/>
          <w:sz w:val="22"/>
          <w:szCs w:val="22"/>
        </w:rPr>
        <w:t xml:space="preserve"> the</w:t>
      </w:r>
      <w:r w:rsidRPr="008D6FFA">
        <w:rPr>
          <w:rFonts w:ascii="Garamond" w:hAnsi="Garamond"/>
          <w:sz w:val="22"/>
          <w:szCs w:val="22"/>
        </w:rPr>
        <w:t xml:space="preserve"> </w:t>
      </w:r>
      <w:r w:rsidR="00490254" w:rsidRPr="008D6FFA">
        <w:rPr>
          <w:rFonts w:ascii="Garamond" w:hAnsi="Garamond"/>
          <w:sz w:val="22"/>
          <w:szCs w:val="22"/>
        </w:rPr>
        <w:t>AUM</w:t>
      </w:r>
      <w:r w:rsidRPr="008D6FFA">
        <w:rPr>
          <w:rFonts w:ascii="Garamond" w:hAnsi="Garamond"/>
          <w:sz w:val="22"/>
          <w:szCs w:val="22"/>
        </w:rPr>
        <w:t xml:space="preserve"> is not</w:t>
      </w:r>
      <w:r w:rsidR="00B47886" w:rsidRPr="008D6FFA">
        <w:rPr>
          <w:rFonts w:ascii="Garamond" w:hAnsi="Garamond"/>
          <w:sz w:val="22"/>
          <w:szCs w:val="22"/>
        </w:rPr>
        <w:t xml:space="preserve"> necessarily</w:t>
      </w:r>
      <w:r w:rsidRPr="008D6FFA">
        <w:rPr>
          <w:rFonts w:ascii="Garamond" w:hAnsi="Garamond"/>
          <w:sz w:val="22"/>
          <w:szCs w:val="22"/>
        </w:rPr>
        <w:t xml:space="preserve"> the only factor that reflects the potential influence of various institutional investors on </w:t>
      </w:r>
      <w:r w:rsidR="00B40E14" w:rsidRPr="008D6FFA">
        <w:rPr>
          <w:rFonts w:ascii="Garamond" w:hAnsi="Garamond"/>
          <w:sz w:val="22"/>
          <w:szCs w:val="22"/>
        </w:rPr>
        <w:t>I</w:t>
      </w:r>
      <w:r w:rsidR="00AA62BB" w:rsidRPr="008D6FFA">
        <w:rPr>
          <w:rFonts w:ascii="Garamond" w:hAnsi="Garamond"/>
          <w:sz w:val="22"/>
          <w:szCs w:val="22"/>
        </w:rPr>
        <w:t xml:space="preserve">PO </w:t>
      </w:r>
      <w:r w:rsidR="00581C40">
        <w:rPr>
          <w:rFonts w:ascii="Garamond" w:hAnsi="Garamond"/>
          <w:sz w:val="22"/>
          <w:szCs w:val="22"/>
        </w:rPr>
        <w:t>under</w:t>
      </w:r>
      <w:r w:rsidR="00AA62BB" w:rsidRPr="008D6FFA">
        <w:rPr>
          <w:rFonts w:ascii="Garamond" w:hAnsi="Garamond"/>
          <w:sz w:val="22"/>
          <w:szCs w:val="22"/>
        </w:rPr>
        <w:t>pricing</w:t>
      </w:r>
      <w:r w:rsidR="001862A2">
        <w:rPr>
          <w:rFonts w:ascii="Garamond" w:hAnsi="Garamond"/>
          <w:sz w:val="22"/>
          <w:szCs w:val="22"/>
        </w:rPr>
        <w:t>,</w:t>
      </w:r>
      <w:r w:rsidR="001862A2" w:rsidRPr="008D6FFA">
        <w:rPr>
          <w:rFonts w:ascii="Garamond" w:hAnsi="Garamond"/>
          <w:sz w:val="22"/>
          <w:szCs w:val="22"/>
        </w:rPr>
        <w:t xml:space="preserve"> </w:t>
      </w:r>
      <w:r w:rsidR="00581C40">
        <w:rPr>
          <w:rFonts w:ascii="Garamond" w:hAnsi="Garamond"/>
          <w:sz w:val="22"/>
          <w:szCs w:val="22"/>
        </w:rPr>
        <w:t xml:space="preserve">we intent to identify other characteristics. </w:t>
      </w:r>
      <w:r w:rsidR="00490254" w:rsidRPr="008D6FFA">
        <w:rPr>
          <w:rFonts w:ascii="Garamond" w:hAnsi="Garamond"/>
          <w:sz w:val="22"/>
          <w:szCs w:val="22"/>
        </w:rPr>
        <w:t>AUM</w:t>
      </w:r>
      <w:r w:rsidRPr="008D6FFA">
        <w:rPr>
          <w:rFonts w:ascii="Garamond" w:hAnsi="Garamond"/>
          <w:sz w:val="22"/>
          <w:szCs w:val="22"/>
        </w:rPr>
        <w:t xml:space="preserve"> invested in equities; the ratio between the institutional investors’ active and passive funds; the geographic concentration </w:t>
      </w:r>
      <w:r w:rsidR="00FF13F5" w:rsidRPr="008D6FFA">
        <w:rPr>
          <w:rFonts w:ascii="Garamond" w:hAnsi="Garamond"/>
          <w:sz w:val="22"/>
          <w:szCs w:val="22"/>
        </w:rPr>
        <w:t>of these funds</w:t>
      </w:r>
      <w:r w:rsidR="001A4C22" w:rsidRPr="008D6FFA">
        <w:rPr>
          <w:rFonts w:ascii="Garamond" w:hAnsi="Garamond"/>
          <w:sz w:val="22"/>
          <w:szCs w:val="22"/>
        </w:rPr>
        <w:t>;</w:t>
      </w:r>
      <w:r w:rsidR="00FF13F5" w:rsidRPr="008D6FFA">
        <w:rPr>
          <w:rFonts w:ascii="Garamond" w:hAnsi="Garamond"/>
          <w:sz w:val="22"/>
          <w:szCs w:val="22"/>
        </w:rPr>
        <w:t xml:space="preserve"> </w:t>
      </w:r>
      <w:r w:rsidRPr="008D6FFA">
        <w:rPr>
          <w:rFonts w:ascii="Garamond" w:hAnsi="Garamond"/>
          <w:sz w:val="22"/>
          <w:szCs w:val="22"/>
        </w:rPr>
        <w:t xml:space="preserve">and </w:t>
      </w:r>
      <w:r w:rsidR="00FF13F5" w:rsidRPr="008D6FFA">
        <w:rPr>
          <w:rFonts w:ascii="Garamond" w:hAnsi="Garamond"/>
          <w:sz w:val="22"/>
          <w:szCs w:val="22"/>
        </w:rPr>
        <w:t xml:space="preserve">their </w:t>
      </w:r>
      <w:r w:rsidRPr="008D6FFA">
        <w:rPr>
          <w:rFonts w:ascii="Garamond" w:hAnsi="Garamond"/>
          <w:sz w:val="22"/>
          <w:szCs w:val="22"/>
        </w:rPr>
        <w:t>general investment strateg</w:t>
      </w:r>
      <w:r w:rsidR="00FF13F5" w:rsidRPr="008D6FFA">
        <w:rPr>
          <w:rFonts w:ascii="Garamond" w:hAnsi="Garamond"/>
          <w:sz w:val="22"/>
          <w:szCs w:val="22"/>
        </w:rPr>
        <w:t>ies</w:t>
      </w:r>
      <w:r w:rsidR="00DF0A9E" w:rsidRPr="008D6FFA">
        <w:rPr>
          <w:rFonts w:ascii="Garamond" w:hAnsi="Garamond"/>
          <w:sz w:val="22"/>
          <w:szCs w:val="22"/>
        </w:rPr>
        <w:t xml:space="preserve"> </w:t>
      </w:r>
      <w:r w:rsidR="00581C40">
        <w:rPr>
          <w:rFonts w:ascii="Garamond" w:hAnsi="Garamond"/>
          <w:sz w:val="22"/>
          <w:szCs w:val="22"/>
        </w:rPr>
        <w:t xml:space="preserve">will also be considered. </w:t>
      </w:r>
      <w:r w:rsidRPr="008D6FFA">
        <w:rPr>
          <w:rFonts w:ascii="Garamond" w:hAnsi="Garamond"/>
          <w:sz w:val="22"/>
          <w:szCs w:val="22"/>
        </w:rPr>
        <w:t xml:space="preserve">When </w:t>
      </w:r>
      <w:r w:rsidR="004F6290" w:rsidRPr="008D6FFA">
        <w:rPr>
          <w:rFonts w:ascii="Garamond" w:hAnsi="Garamond"/>
          <w:sz w:val="22"/>
          <w:szCs w:val="22"/>
        </w:rPr>
        <w:t>considering</w:t>
      </w:r>
      <w:r w:rsidRPr="008D6FFA">
        <w:rPr>
          <w:rFonts w:ascii="Garamond" w:hAnsi="Garamond"/>
          <w:sz w:val="22"/>
          <w:szCs w:val="22"/>
        </w:rPr>
        <w:t xml:space="preserve"> these various characteristics, we may detect other potentially </w:t>
      </w:r>
      <w:r w:rsidR="00CB784D" w:rsidRPr="008D6FFA">
        <w:rPr>
          <w:rFonts w:ascii="Garamond" w:hAnsi="Garamond"/>
          <w:sz w:val="22"/>
          <w:szCs w:val="22"/>
        </w:rPr>
        <w:t>powerful</w:t>
      </w:r>
      <w:r w:rsidRPr="008D6FFA">
        <w:rPr>
          <w:rFonts w:ascii="Garamond" w:hAnsi="Garamond"/>
          <w:sz w:val="22"/>
          <w:szCs w:val="22"/>
        </w:rPr>
        <w:t xml:space="preserve"> institutional investors that may influence the </w:t>
      </w:r>
      <w:r w:rsidR="0062218E" w:rsidRPr="008D6FFA">
        <w:rPr>
          <w:rFonts w:ascii="Garamond" w:hAnsi="Garamond"/>
          <w:sz w:val="22"/>
          <w:szCs w:val="22"/>
        </w:rPr>
        <w:t>price of an offer</w:t>
      </w:r>
      <w:r w:rsidRPr="008D6FFA">
        <w:rPr>
          <w:rFonts w:ascii="Garamond" w:hAnsi="Garamond"/>
          <w:sz w:val="22"/>
          <w:szCs w:val="22"/>
        </w:rPr>
        <w:t>.</w:t>
      </w:r>
      <w:r w:rsidR="006E0D44" w:rsidRPr="008D6FFA">
        <w:rPr>
          <w:rFonts w:ascii="Garamond" w:hAnsi="Garamond"/>
          <w:sz w:val="22"/>
          <w:szCs w:val="22"/>
        </w:rPr>
        <w:t xml:space="preserve"> For instance,</w:t>
      </w:r>
      <w:r w:rsidR="00B305E2" w:rsidRPr="008D6FFA">
        <w:rPr>
          <w:rFonts w:ascii="Garamond" w:hAnsi="Garamond"/>
          <w:sz w:val="22"/>
          <w:szCs w:val="22"/>
        </w:rPr>
        <w:t xml:space="preserve"> based on Brown &amp; </w:t>
      </w:r>
      <w:proofErr w:type="spellStart"/>
      <w:r w:rsidR="00B305E2" w:rsidRPr="008D6FFA">
        <w:rPr>
          <w:rFonts w:ascii="Garamond" w:hAnsi="Garamond"/>
          <w:sz w:val="22"/>
          <w:szCs w:val="22"/>
        </w:rPr>
        <w:t>Kovbaynuk</w:t>
      </w:r>
      <w:proofErr w:type="spellEnd"/>
      <w:r w:rsidR="00ED0E23" w:rsidRPr="008D6FFA">
        <w:rPr>
          <w:rFonts w:ascii="Garamond" w:hAnsi="Garamond"/>
          <w:sz w:val="22"/>
          <w:szCs w:val="22"/>
        </w:rPr>
        <w:t xml:space="preserve"> (2016)</w:t>
      </w:r>
      <w:r w:rsidR="00B305E2" w:rsidRPr="008D6FFA">
        <w:rPr>
          <w:rFonts w:ascii="Garamond" w:hAnsi="Garamond"/>
          <w:sz w:val="22"/>
          <w:szCs w:val="22"/>
        </w:rPr>
        <w:t xml:space="preserve"> </w:t>
      </w:r>
      <w:r w:rsidR="00C87F7C" w:rsidRPr="008D6FFA">
        <w:rPr>
          <w:rFonts w:ascii="Garamond" w:hAnsi="Garamond"/>
          <w:sz w:val="22"/>
          <w:szCs w:val="22"/>
        </w:rPr>
        <w:t xml:space="preserve">and the </w:t>
      </w:r>
      <w:r w:rsidR="00854E03" w:rsidRPr="008D6FFA">
        <w:rPr>
          <w:rFonts w:ascii="Garamond" w:hAnsi="Garamond"/>
          <w:sz w:val="22"/>
          <w:szCs w:val="22"/>
        </w:rPr>
        <w:t>attributes</w:t>
      </w:r>
      <w:r w:rsidR="00C87F7C" w:rsidRPr="008D6FFA">
        <w:rPr>
          <w:rFonts w:ascii="Garamond" w:hAnsi="Garamond"/>
          <w:sz w:val="22"/>
          <w:szCs w:val="22"/>
        </w:rPr>
        <w:t xml:space="preserve"> listed above</w:t>
      </w:r>
      <w:r w:rsidR="004D57FD" w:rsidRPr="008D6FFA">
        <w:rPr>
          <w:rFonts w:ascii="Garamond" w:hAnsi="Garamond"/>
          <w:sz w:val="22"/>
          <w:szCs w:val="22"/>
        </w:rPr>
        <w:t>, T</w:t>
      </w:r>
      <w:r w:rsidR="00466684" w:rsidRPr="008D6FFA">
        <w:rPr>
          <w:rFonts w:ascii="Garamond" w:hAnsi="Garamond"/>
          <w:sz w:val="22"/>
          <w:szCs w:val="22"/>
        </w:rPr>
        <w:t>.</w:t>
      </w:r>
      <w:r w:rsidR="004D57FD" w:rsidRPr="008D6FFA">
        <w:rPr>
          <w:rFonts w:ascii="Garamond" w:hAnsi="Garamond"/>
          <w:sz w:val="22"/>
          <w:szCs w:val="22"/>
        </w:rPr>
        <w:t xml:space="preserve"> Rowe Price</w:t>
      </w:r>
      <w:r w:rsidR="00C25B16" w:rsidRPr="008D6FFA">
        <w:rPr>
          <w:rFonts w:ascii="Garamond" w:hAnsi="Garamond"/>
          <w:sz w:val="22"/>
          <w:szCs w:val="22"/>
        </w:rPr>
        <w:t>,</w:t>
      </w:r>
      <w:r w:rsidR="004D57FD" w:rsidRPr="008D6FFA">
        <w:rPr>
          <w:rFonts w:ascii="Garamond" w:hAnsi="Garamond"/>
          <w:sz w:val="22"/>
          <w:szCs w:val="22"/>
        </w:rPr>
        <w:t xml:space="preserve"> J.P. Morgan </w:t>
      </w:r>
      <w:r w:rsidR="00F56026" w:rsidRPr="008D6FFA">
        <w:rPr>
          <w:rFonts w:ascii="Garamond" w:hAnsi="Garamond"/>
          <w:sz w:val="22"/>
          <w:szCs w:val="22"/>
        </w:rPr>
        <w:t>Investment Management,</w:t>
      </w:r>
      <w:r w:rsidR="00466684" w:rsidRPr="008D6FFA">
        <w:rPr>
          <w:rFonts w:ascii="Garamond" w:hAnsi="Garamond"/>
          <w:sz w:val="22"/>
          <w:szCs w:val="22"/>
        </w:rPr>
        <w:t xml:space="preserve"> Janus Capital,</w:t>
      </w:r>
      <w:r w:rsidR="00AE126B" w:rsidRPr="008D6FFA">
        <w:rPr>
          <w:rFonts w:ascii="Garamond" w:hAnsi="Garamond"/>
          <w:sz w:val="22"/>
          <w:szCs w:val="22"/>
        </w:rPr>
        <w:t xml:space="preserve"> and</w:t>
      </w:r>
      <w:r w:rsidR="00466684" w:rsidRPr="008D6FFA">
        <w:rPr>
          <w:rFonts w:ascii="Garamond" w:hAnsi="Garamond"/>
          <w:sz w:val="22"/>
          <w:szCs w:val="22"/>
        </w:rPr>
        <w:t xml:space="preserve"> PNC Bank</w:t>
      </w:r>
      <w:r w:rsidR="00F56026" w:rsidRPr="008D6FFA">
        <w:rPr>
          <w:rFonts w:ascii="Garamond" w:hAnsi="Garamond"/>
          <w:sz w:val="22"/>
          <w:szCs w:val="22"/>
        </w:rPr>
        <w:t xml:space="preserve"> c</w:t>
      </w:r>
      <w:r w:rsidR="00292B57" w:rsidRPr="008D6FFA">
        <w:rPr>
          <w:rFonts w:ascii="Garamond" w:hAnsi="Garamond"/>
          <w:sz w:val="22"/>
          <w:szCs w:val="22"/>
        </w:rPr>
        <w:t>ould</w:t>
      </w:r>
      <w:r w:rsidR="00F56026" w:rsidRPr="008D6FFA">
        <w:rPr>
          <w:rFonts w:ascii="Garamond" w:hAnsi="Garamond"/>
          <w:sz w:val="22"/>
          <w:szCs w:val="22"/>
        </w:rPr>
        <w:t xml:space="preserve"> also potentially</w:t>
      </w:r>
      <w:r w:rsidR="00553E3C" w:rsidRPr="008D6FFA">
        <w:rPr>
          <w:rFonts w:ascii="Garamond" w:hAnsi="Garamond"/>
          <w:sz w:val="22"/>
          <w:szCs w:val="22"/>
        </w:rPr>
        <w:t xml:space="preserve"> be part of </w:t>
      </w:r>
      <w:r w:rsidR="008A3DA6" w:rsidRPr="008D6FFA">
        <w:rPr>
          <w:rFonts w:ascii="Garamond" w:hAnsi="Garamond"/>
          <w:sz w:val="22"/>
          <w:szCs w:val="22"/>
        </w:rPr>
        <w:t xml:space="preserve">a powerful </w:t>
      </w:r>
      <w:r w:rsidR="00FE05E8" w:rsidRPr="008D6FFA">
        <w:rPr>
          <w:rFonts w:ascii="Garamond" w:hAnsi="Garamond"/>
          <w:sz w:val="22"/>
          <w:szCs w:val="22"/>
        </w:rPr>
        <w:t>coalition of bidders</w:t>
      </w:r>
      <w:r w:rsidR="00553E3C" w:rsidRPr="008D6FFA">
        <w:rPr>
          <w:rFonts w:ascii="Garamond" w:hAnsi="Garamond"/>
          <w:sz w:val="22"/>
          <w:szCs w:val="22"/>
        </w:rPr>
        <w:t xml:space="preserve"> </w:t>
      </w:r>
      <w:r w:rsidR="007A2F81" w:rsidRPr="008D6FFA">
        <w:rPr>
          <w:rFonts w:ascii="Garamond" w:hAnsi="Garamond"/>
          <w:sz w:val="22"/>
          <w:szCs w:val="22"/>
        </w:rPr>
        <w:t xml:space="preserve">that </w:t>
      </w:r>
      <w:r w:rsidR="00C919EC" w:rsidRPr="008D6FFA">
        <w:rPr>
          <w:rFonts w:ascii="Garamond" w:hAnsi="Garamond"/>
          <w:sz w:val="22"/>
          <w:szCs w:val="22"/>
        </w:rPr>
        <w:t xml:space="preserve">induces </w:t>
      </w:r>
      <w:r w:rsidR="007A2F81" w:rsidRPr="008D6FFA">
        <w:rPr>
          <w:rFonts w:ascii="Garamond" w:hAnsi="Garamond"/>
          <w:sz w:val="22"/>
          <w:szCs w:val="22"/>
        </w:rPr>
        <w:t>underpricing.</w:t>
      </w:r>
      <w:r w:rsidR="00B305E2" w:rsidRPr="008D6FFA">
        <w:rPr>
          <w:rFonts w:ascii="Garamond" w:hAnsi="Garamond"/>
          <w:sz w:val="22"/>
          <w:szCs w:val="22"/>
        </w:rPr>
        <w:t xml:space="preserve"> </w:t>
      </w:r>
      <w:r w:rsidR="00292B57" w:rsidRPr="008D6FFA">
        <w:rPr>
          <w:rFonts w:ascii="Garamond" w:hAnsi="Garamond"/>
          <w:sz w:val="22"/>
          <w:szCs w:val="22"/>
        </w:rPr>
        <w:t>Many</w:t>
      </w:r>
      <w:r w:rsidR="00C25B16" w:rsidRPr="008D6FFA">
        <w:rPr>
          <w:rFonts w:ascii="Garamond" w:hAnsi="Garamond"/>
          <w:sz w:val="22"/>
          <w:szCs w:val="22"/>
        </w:rPr>
        <w:t xml:space="preserve"> large pension funds, </w:t>
      </w:r>
      <w:r w:rsidR="00373B90" w:rsidRPr="008D6FFA">
        <w:rPr>
          <w:rFonts w:ascii="Garamond" w:hAnsi="Garamond"/>
          <w:sz w:val="22"/>
          <w:szCs w:val="22"/>
        </w:rPr>
        <w:t>such as California</w:t>
      </w:r>
      <w:r w:rsidR="00A94E03" w:rsidRPr="008D6FFA">
        <w:rPr>
          <w:rFonts w:ascii="Garamond" w:hAnsi="Garamond"/>
          <w:sz w:val="22"/>
          <w:szCs w:val="22"/>
        </w:rPr>
        <w:t xml:space="preserve"> Public Employee’ Retirement System (CalPERS), California State Teachers’ Retirement System</w:t>
      </w:r>
      <w:r w:rsidR="00373B90" w:rsidRPr="008D6FFA">
        <w:rPr>
          <w:rFonts w:ascii="Garamond" w:hAnsi="Garamond"/>
          <w:sz w:val="22"/>
          <w:szCs w:val="22"/>
        </w:rPr>
        <w:t xml:space="preserve"> </w:t>
      </w:r>
      <w:r w:rsidR="00A94E03" w:rsidRPr="008D6FFA">
        <w:rPr>
          <w:rFonts w:ascii="Garamond" w:hAnsi="Garamond"/>
          <w:sz w:val="22"/>
          <w:szCs w:val="22"/>
        </w:rPr>
        <w:t>(CalSTRS), and New York City Employees’ Retirement System (NYCERS)</w:t>
      </w:r>
      <w:r w:rsidR="00292B57" w:rsidRPr="008D6FFA">
        <w:rPr>
          <w:rFonts w:ascii="Garamond" w:hAnsi="Garamond"/>
          <w:sz w:val="22"/>
          <w:szCs w:val="22"/>
        </w:rPr>
        <w:t xml:space="preserve">, </w:t>
      </w:r>
      <w:r w:rsidR="00910448" w:rsidRPr="008D6FFA">
        <w:rPr>
          <w:rFonts w:ascii="Garamond" w:hAnsi="Garamond"/>
          <w:sz w:val="22"/>
          <w:szCs w:val="22"/>
        </w:rPr>
        <w:t xml:space="preserve">maintain close business relations with large mutual funds as </w:t>
      </w:r>
      <w:r w:rsidR="00C25B16" w:rsidRPr="008D6FFA">
        <w:rPr>
          <w:rFonts w:ascii="Garamond" w:hAnsi="Garamond"/>
          <w:sz w:val="22"/>
          <w:szCs w:val="22"/>
        </w:rPr>
        <w:t>sponsors</w:t>
      </w:r>
      <w:r w:rsidR="00292B57" w:rsidRPr="008D6FFA">
        <w:rPr>
          <w:rFonts w:ascii="Garamond" w:hAnsi="Garamond"/>
          <w:sz w:val="22"/>
          <w:szCs w:val="22"/>
        </w:rPr>
        <w:t xml:space="preserve">, and we would also like to examine the possibility that these pension funds </w:t>
      </w:r>
      <w:proofErr w:type="gramStart"/>
      <w:r w:rsidR="00C25B16" w:rsidRPr="008D6FFA">
        <w:rPr>
          <w:rFonts w:ascii="Garamond" w:hAnsi="Garamond"/>
          <w:sz w:val="22"/>
          <w:szCs w:val="22"/>
        </w:rPr>
        <w:t xml:space="preserve">are </w:t>
      </w:r>
      <w:r w:rsidR="005D22AC">
        <w:rPr>
          <w:rFonts w:ascii="Garamond" w:hAnsi="Garamond"/>
          <w:sz w:val="22"/>
          <w:szCs w:val="22"/>
        </w:rPr>
        <w:t>capable of using</w:t>
      </w:r>
      <w:proofErr w:type="gramEnd"/>
      <w:r w:rsidR="005D22AC">
        <w:rPr>
          <w:rFonts w:ascii="Garamond" w:hAnsi="Garamond"/>
          <w:sz w:val="22"/>
          <w:szCs w:val="22"/>
        </w:rPr>
        <w:t xml:space="preserve"> their power and influence to depress IPO prices.</w:t>
      </w:r>
      <w:r w:rsidR="003C586E">
        <w:rPr>
          <w:rFonts w:ascii="Garamond" w:hAnsi="Garamond"/>
          <w:sz w:val="22"/>
          <w:szCs w:val="22"/>
        </w:rPr>
        <w:t xml:space="preserve"> </w:t>
      </w:r>
      <w:r w:rsidR="00592715" w:rsidRPr="008D6FFA">
        <w:rPr>
          <w:rFonts w:ascii="Garamond" w:hAnsi="Garamond"/>
          <w:sz w:val="22"/>
          <w:szCs w:val="22"/>
        </w:rPr>
        <w:t>L</w:t>
      </w:r>
      <w:r w:rsidR="00975932" w:rsidRPr="008D6FFA">
        <w:rPr>
          <w:rFonts w:ascii="Garamond" w:hAnsi="Garamond"/>
          <w:sz w:val="22"/>
          <w:szCs w:val="22"/>
        </w:rPr>
        <w:t xml:space="preserve">ogistic regression will be used to determine whether the participation of </w:t>
      </w:r>
      <w:r w:rsidR="00A364E1">
        <w:rPr>
          <w:rFonts w:ascii="Garamond" w:hAnsi="Garamond"/>
          <w:sz w:val="22"/>
          <w:szCs w:val="22"/>
        </w:rPr>
        <w:t xml:space="preserve">these other </w:t>
      </w:r>
      <w:r w:rsidR="00BA0A8C" w:rsidRPr="008D6FFA">
        <w:rPr>
          <w:rFonts w:ascii="Garamond" w:hAnsi="Garamond"/>
          <w:sz w:val="22"/>
          <w:szCs w:val="22"/>
        </w:rPr>
        <w:t>“</w:t>
      </w:r>
      <w:r w:rsidR="00975932" w:rsidRPr="008D6FFA">
        <w:rPr>
          <w:rFonts w:ascii="Garamond" w:hAnsi="Garamond"/>
          <w:sz w:val="22"/>
          <w:szCs w:val="22"/>
        </w:rPr>
        <w:t>suspect</w:t>
      </w:r>
      <w:r w:rsidR="000E408F">
        <w:rPr>
          <w:rFonts w:ascii="Garamond" w:hAnsi="Garamond"/>
          <w:sz w:val="22"/>
          <w:szCs w:val="22"/>
        </w:rPr>
        <w:t>ed</w:t>
      </w:r>
      <w:r w:rsidR="00BA0A8C" w:rsidRPr="008D6FFA">
        <w:rPr>
          <w:rFonts w:ascii="Garamond" w:hAnsi="Garamond"/>
          <w:sz w:val="22"/>
          <w:szCs w:val="22"/>
        </w:rPr>
        <w:t>”</w:t>
      </w:r>
      <w:r w:rsidR="00975932" w:rsidRPr="008D6FFA">
        <w:rPr>
          <w:rFonts w:ascii="Garamond" w:hAnsi="Garamond"/>
          <w:sz w:val="22"/>
          <w:szCs w:val="22"/>
        </w:rPr>
        <w:t xml:space="preserve"> institutional investors </w:t>
      </w:r>
      <w:r w:rsidR="00A364E1">
        <w:rPr>
          <w:rFonts w:ascii="Garamond" w:hAnsi="Garamond"/>
          <w:sz w:val="22"/>
          <w:szCs w:val="22"/>
        </w:rPr>
        <w:t>together with the Big Three</w:t>
      </w:r>
      <w:r w:rsidR="00975932" w:rsidRPr="008D6FFA">
        <w:rPr>
          <w:rFonts w:ascii="Garamond" w:hAnsi="Garamond"/>
          <w:sz w:val="22"/>
          <w:szCs w:val="22"/>
        </w:rPr>
        <w:t xml:space="preserve"> is correlated with </w:t>
      </w:r>
      <w:r w:rsidR="00A364E1">
        <w:rPr>
          <w:rFonts w:ascii="Garamond" w:hAnsi="Garamond"/>
          <w:sz w:val="22"/>
          <w:szCs w:val="22"/>
        </w:rPr>
        <w:t>deeper</w:t>
      </w:r>
      <w:r w:rsidR="00975932" w:rsidRPr="008D6FFA">
        <w:rPr>
          <w:rFonts w:ascii="Garamond" w:hAnsi="Garamond"/>
          <w:sz w:val="22"/>
          <w:szCs w:val="22"/>
        </w:rPr>
        <w:t xml:space="preserve"> underpricing while controlling for the factors we have noted in the first </w:t>
      </w:r>
      <w:r w:rsidR="00A40191" w:rsidRPr="008D6FFA">
        <w:rPr>
          <w:rFonts w:ascii="Garamond" w:hAnsi="Garamond"/>
          <w:sz w:val="22"/>
          <w:szCs w:val="22"/>
        </w:rPr>
        <w:t>phase</w:t>
      </w:r>
      <w:r w:rsidR="00975932" w:rsidRPr="008D6FFA">
        <w:rPr>
          <w:rFonts w:ascii="Garamond" w:hAnsi="Garamond"/>
          <w:sz w:val="22"/>
          <w:szCs w:val="22"/>
        </w:rPr>
        <w:t xml:space="preserve">. </w:t>
      </w:r>
    </w:p>
    <w:p w14:paraId="2791968D" w14:textId="6EE9CF95" w:rsidR="002C42E6" w:rsidRPr="008D6FFA" w:rsidRDefault="003363FB" w:rsidP="005B6422">
      <w:pPr>
        <w:spacing w:line="360" w:lineRule="auto"/>
        <w:ind w:firstLine="426"/>
        <w:jc w:val="both"/>
        <w:rPr>
          <w:rFonts w:ascii="Garamond" w:hAnsi="Garamond"/>
          <w:sz w:val="22"/>
          <w:szCs w:val="22"/>
        </w:rPr>
      </w:pPr>
      <w:r w:rsidRPr="008D6FFA">
        <w:rPr>
          <w:rFonts w:ascii="Garamond" w:hAnsi="Garamond"/>
          <w:sz w:val="22"/>
          <w:szCs w:val="22"/>
        </w:rPr>
        <w:t xml:space="preserve">The </w:t>
      </w:r>
      <w:r w:rsidR="009B0090">
        <w:rPr>
          <w:rFonts w:ascii="Garamond" w:hAnsi="Garamond"/>
          <w:sz w:val="22"/>
          <w:szCs w:val="22"/>
        </w:rPr>
        <w:t>fifth</w:t>
      </w:r>
      <w:r w:rsidR="00D77CF0">
        <w:rPr>
          <w:rFonts w:ascii="Garamond" w:hAnsi="Garamond"/>
          <w:sz w:val="22"/>
          <w:szCs w:val="22"/>
        </w:rPr>
        <w:t xml:space="preserve"> </w:t>
      </w:r>
      <w:r w:rsidR="00A40191" w:rsidRPr="008D6FFA">
        <w:rPr>
          <w:rFonts w:ascii="Garamond" w:hAnsi="Garamond"/>
          <w:sz w:val="22"/>
          <w:szCs w:val="22"/>
        </w:rPr>
        <w:t>phase</w:t>
      </w:r>
      <w:r w:rsidR="0080217A" w:rsidRPr="008D6FFA">
        <w:rPr>
          <w:rFonts w:ascii="Garamond" w:hAnsi="Garamond"/>
          <w:sz w:val="22"/>
          <w:szCs w:val="22"/>
        </w:rPr>
        <w:t xml:space="preserve"> </w:t>
      </w:r>
      <w:r w:rsidR="00846FEF" w:rsidRPr="008D6FFA">
        <w:rPr>
          <w:rFonts w:ascii="Garamond" w:hAnsi="Garamond"/>
          <w:sz w:val="22"/>
          <w:szCs w:val="22"/>
        </w:rPr>
        <w:t xml:space="preserve">will </w:t>
      </w:r>
      <w:r w:rsidR="0080217A" w:rsidRPr="008D6FFA">
        <w:rPr>
          <w:rFonts w:ascii="Garamond" w:hAnsi="Garamond"/>
          <w:sz w:val="22"/>
          <w:szCs w:val="22"/>
        </w:rPr>
        <w:t>i</w:t>
      </w:r>
      <w:r w:rsidR="004005B6" w:rsidRPr="008D6FFA">
        <w:rPr>
          <w:rFonts w:ascii="Garamond" w:hAnsi="Garamond"/>
          <w:sz w:val="22"/>
          <w:szCs w:val="22"/>
        </w:rPr>
        <w:t>nvolve</w:t>
      </w:r>
      <w:r w:rsidR="0080217A" w:rsidRPr="008D6FFA">
        <w:rPr>
          <w:rFonts w:ascii="Garamond" w:hAnsi="Garamond"/>
          <w:sz w:val="22"/>
          <w:szCs w:val="22"/>
        </w:rPr>
        <w:t xml:space="preserve"> a comparative </w:t>
      </w:r>
      <w:r w:rsidR="004005B6" w:rsidRPr="008D6FFA">
        <w:rPr>
          <w:rFonts w:ascii="Garamond" w:hAnsi="Garamond"/>
          <w:sz w:val="22"/>
          <w:szCs w:val="22"/>
        </w:rPr>
        <w:t>analysis of</w:t>
      </w:r>
      <w:r w:rsidR="0080217A" w:rsidRPr="008D6FFA">
        <w:rPr>
          <w:rFonts w:ascii="Garamond" w:hAnsi="Garamond"/>
          <w:sz w:val="22"/>
          <w:szCs w:val="22"/>
        </w:rPr>
        <w:t xml:space="preserve"> IPO</w:t>
      </w:r>
      <w:r w:rsidR="00683486" w:rsidRPr="008D6FFA">
        <w:rPr>
          <w:rFonts w:ascii="Garamond" w:hAnsi="Garamond"/>
          <w:sz w:val="22"/>
          <w:szCs w:val="22"/>
        </w:rPr>
        <w:t xml:space="preserve"> underpricing</w:t>
      </w:r>
      <w:r w:rsidR="0080217A" w:rsidRPr="008D6FFA">
        <w:rPr>
          <w:rFonts w:ascii="Garamond" w:hAnsi="Garamond"/>
          <w:sz w:val="22"/>
          <w:szCs w:val="22"/>
        </w:rPr>
        <w:t xml:space="preserve"> </w:t>
      </w:r>
      <w:r w:rsidR="004005B6" w:rsidRPr="008D6FFA">
        <w:rPr>
          <w:rFonts w:ascii="Garamond" w:hAnsi="Garamond"/>
          <w:sz w:val="22"/>
          <w:szCs w:val="22"/>
        </w:rPr>
        <w:t xml:space="preserve">across </w:t>
      </w:r>
      <w:r w:rsidR="0080217A" w:rsidRPr="008D6FFA">
        <w:rPr>
          <w:rFonts w:ascii="Garamond" w:hAnsi="Garamond"/>
          <w:sz w:val="22"/>
          <w:szCs w:val="22"/>
        </w:rPr>
        <w:t xml:space="preserve">several countries, </w:t>
      </w:r>
      <w:r w:rsidR="004005B6" w:rsidRPr="008D6FFA">
        <w:rPr>
          <w:rFonts w:ascii="Garamond" w:hAnsi="Garamond"/>
          <w:sz w:val="22"/>
          <w:szCs w:val="22"/>
        </w:rPr>
        <w:t xml:space="preserve">emphasizing </w:t>
      </w:r>
      <w:r w:rsidR="0080217A" w:rsidRPr="008D6FFA">
        <w:rPr>
          <w:rFonts w:ascii="Garamond" w:hAnsi="Garamond"/>
          <w:sz w:val="22"/>
          <w:szCs w:val="22"/>
        </w:rPr>
        <w:t xml:space="preserve">the impact of institutional </w:t>
      </w:r>
      <w:r w:rsidR="004005B6" w:rsidRPr="008D6FFA">
        <w:rPr>
          <w:rFonts w:ascii="Garamond" w:hAnsi="Garamond"/>
          <w:sz w:val="22"/>
          <w:szCs w:val="22"/>
        </w:rPr>
        <w:t xml:space="preserve">frameworks </w:t>
      </w:r>
      <w:r w:rsidR="0080217A" w:rsidRPr="008D6FFA">
        <w:rPr>
          <w:rFonts w:ascii="Garamond" w:hAnsi="Garamond"/>
          <w:sz w:val="22"/>
          <w:szCs w:val="22"/>
        </w:rPr>
        <w:t>on</w:t>
      </w:r>
      <w:r w:rsidR="00A649D7" w:rsidRPr="008D6FFA">
        <w:rPr>
          <w:rFonts w:ascii="Garamond" w:hAnsi="Garamond"/>
          <w:sz w:val="22"/>
          <w:szCs w:val="22"/>
        </w:rPr>
        <w:t xml:space="preserve"> </w:t>
      </w:r>
      <w:r w:rsidR="0080217A" w:rsidRPr="008D6FFA">
        <w:rPr>
          <w:rFonts w:ascii="Garamond" w:hAnsi="Garamond"/>
          <w:sz w:val="22"/>
          <w:szCs w:val="22"/>
        </w:rPr>
        <w:t>underpricing</w:t>
      </w:r>
      <w:r w:rsidR="004005B6" w:rsidRPr="008D6FFA">
        <w:rPr>
          <w:rFonts w:ascii="Garamond" w:hAnsi="Garamond"/>
          <w:sz w:val="22"/>
          <w:szCs w:val="22"/>
        </w:rPr>
        <w:t xml:space="preserve"> levels</w:t>
      </w:r>
      <w:r w:rsidR="0080217A" w:rsidRPr="008D6FFA">
        <w:rPr>
          <w:rFonts w:ascii="Garamond" w:hAnsi="Garamond"/>
          <w:sz w:val="22"/>
          <w:szCs w:val="22"/>
        </w:rPr>
        <w:t xml:space="preserve">. </w:t>
      </w:r>
      <w:r w:rsidR="004005B6" w:rsidRPr="008D6FFA">
        <w:rPr>
          <w:rFonts w:ascii="Garamond" w:hAnsi="Garamond"/>
          <w:sz w:val="22"/>
          <w:szCs w:val="22"/>
        </w:rPr>
        <w:t xml:space="preserve">As part of this analysis, we </w:t>
      </w:r>
      <w:r w:rsidR="00846FEF" w:rsidRPr="008D6FFA">
        <w:rPr>
          <w:rFonts w:ascii="Garamond" w:hAnsi="Garamond"/>
          <w:sz w:val="22"/>
          <w:szCs w:val="22"/>
        </w:rPr>
        <w:t xml:space="preserve">will </w:t>
      </w:r>
      <w:r w:rsidR="00CF7D28" w:rsidRPr="008D6FFA">
        <w:rPr>
          <w:rFonts w:ascii="Garamond" w:hAnsi="Garamond"/>
          <w:sz w:val="22"/>
          <w:szCs w:val="22"/>
        </w:rPr>
        <w:t>focus</w:t>
      </w:r>
      <w:r w:rsidR="00846FEF" w:rsidRPr="008D6FFA">
        <w:rPr>
          <w:rFonts w:ascii="Garamond" w:hAnsi="Garamond"/>
          <w:sz w:val="22"/>
          <w:szCs w:val="22"/>
        </w:rPr>
        <w:t xml:space="preserve"> on</w:t>
      </w:r>
      <w:r w:rsidR="00CF7D28" w:rsidRPr="008D6FFA">
        <w:rPr>
          <w:rFonts w:ascii="Garamond" w:hAnsi="Garamond"/>
          <w:sz w:val="22"/>
          <w:szCs w:val="22"/>
        </w:rPr>
        <w:t xml:space="preserve"> </w:t>
      </w:r>
      <w:r w:rsidR="00B66634" w:rsidRPr="008D6FFA">
        <w:rPr>
          <w:rFonts w:ascii="Garamond" w:hAnsi="Garamond"/>
          <w:sz w:val="22"/>
          <w:szCs w:val="22"/>
        </w:rPr>
        <w:t>outlier</w:t>
      </w:r>
      <w:r w:rsidR="0080217A" w:rsidRPr="008D6FFA">
        <w:rPr>
          <w:rFonts w:ascii="Garamond" w:hAnsi="Garamond"/>
          <w:sz w:val="22"/>
          <w:szCs w:val="22"/>
        </w:rPr>
        <w:t xml:space="preserve"> </w:t>
      </w:r>
      <w:r w:rsidR="004005B6" w:rsidRPr="008D6FFA">
        <w:rPr>
          <w:rFonts w:ascii="Garamond" w:hAnsi="Garamond"/>
          <w:sz w:val="22"/>
          <w:szCs w:val="22"/>
        </w:rPr>
        <w:t>countries with notably high and low levels of underpricing. Specifically, our study will look at</w:t>
      </w:r>
      <w:r w:rsidR="0080217A" w:rsidRPr="008D6FFA">
        <w:rPr>
          <w:rFonts w:ascii="Garamond" w:hAnsi="Garamond"/>
          <w:sz w:val="22"/>
          <w:szCs w:val="22"/>
        </w:rPr>
        <w:t xml:space="preserve"> </w:t>
      </w:r>
      <w:r w:rsidR="00980986" w:rsidRPr="008D6FFA">
        <w:rPr>
          <w:rFonts w:ascii="Garamond" w:hAnsi="Garamond"/>
          <w:sz w:val="22"/>
          <w:szCs w:val="22"/>
        </w:rPr>
        <w:t xml:space="preserve">four </w:t>
      </w:r>
      <w:r w:rsidR="0080217A" w:rsidRPr="008D6FFA">
        <w:rPr>
          <w:rFonts w:ascii="Garamond" w:hAnsi="Garamond"/>
          <w:sz w:val="22"/>
          <w:szCs w:val="22"/>
        </w:rPr>
        <w:t>countries,</w:t>
      </w:r>
      <w:r w:rsidR="008F0318" w:rsidRPr="008D6FFA">
        <w:rPr>
          <w:rFonts w:ascii="Garamond" w:hAnsi="Garamond"/>
          <w:sz w:val="22"/>
          <w:szCs w:val="22"/>
        </w:rPr>
        <w:t xml:space="preserve"> two </w:t>
      </w:r>
      <w:r w:rsidR="004005B6" w:rsidRPr="008D6FFA">
        <w:rPr>
          <w:rFonts w:ascii="Garamond" w:hAnsi="Garamond"/>
          <w:sz w:val="22"/>
          <w:szCs w:val="22"/>
        </w:rPr>
        <w:t>within Europe and two outside.</w:t>
      </w:r>
      <w:r w:rsidR="0080217A" w:rsidRPr="008D6FFA">
        <w:rPr>
          <w:rFonts w:ascii="Garamond" w:hAnsi="Garamond"/>
          <w:sz w:val="22"/>
          <w:szCs w:val="22"/>
        </w:rPr>
        <w:t xml:space="preserve"> In Europe, we will examine Greece, which has</w:t>
      </w:r>
      <w:r w:rsidR="00846FEF" w:rsidRPr="008D6FFA">
        <w:rPr>
          <w:rFonts w:ascii="Garamond" w:hAnsi="Garamond"/>
          <w:sz w:val="22"/>
          <w:szCs w:val="22"/>
        </w:rPr>
        <w:t xml:space="preserve"> an</w:t>
      </w:r>
      <w:r w:rsidR="0080217A" w:rsidRPr="008D6FFA">
        <w:rPr>
          <w:rFonts w:ascii="Garamond" w:hAnsi="Garamond"/>
          <w:sz w:val="22"/>
          <w:szCs w:val="22"/>
        </w:rPr>
        <w:t xml:space="preserve"> </w:t>
      </w:r>
      <w:r w:rsidR="007414CA" w:rsidRPr="008D6FFA">
        <w:rPr>
          <w:rFonts w:ascii="Garamond" w:hAnsi="Garamond"/>
          <w:sz w:val="22"/>
          <w:szCs w:val="22"/>
        </w:rPr>
        <w:t xml:space="preserve">exceptionally high average underpricing of 50.8% </w:t>
      </w:r>
      <w:r w:rsidR="0080217A" w:rsidRPr="008D6FFA">
        <w:rPr>
          <w:rFonts w:ascii="Garamond" w:hAnsi="Garamond"/>
          <w:sz w:val="22"/>
          <w:szCs w:val="22"/>
        </w:rPr>
        <w:t>(Ritter</w:t>
      </w:r>
      <w:r w:rsidR="00626771" w:rsidRPr="008D6FFA">
        <w:rPr>
          <w:rFonts w:ascii="Garamond" w:hAnsi="Garamond"/>
          <w:sz w:val="22"/>
          <w:szCs w:val="22"/>
        </w:rPr>
        <w:t xml:space="preserve"> </w:t>
      </w:r>
      <w:r w:rsidR="0080217A" w:rsidRPr="008D6FFA">
        <w:rPr>
          <w:rFonts w:ascii="Garamond" w:hAnsi="Garamond"/>
          <w:sz w:val="22"/>
          <w:szCs w:val="22"/>
        </w:rPr>
        <w:t>2023)</w:t>
      </w:r>
      <w:r w:rsidR="00A13CA3" w:rsidRPr="008D6FFA">
        <w:rPr>
          <w:rFonts w:ascii="Garamond" w:hAnsi="Garamond"/>
          <w:sz w:val="22"/>
          <w:szCs w:val="22"/>
        </w:rPr>
        <w:t>,</w:t>
      </w:r>
      <w:r w:rsidR="0080217A" w:rsidRPr="008D6FFA">
        <w:rPr>
          <w:rFonts w:ascii="Garamond" w:hAnsi="Garamond"/>
          <w:sz w:val="22"/>
          <w:szCs w:val="22"/>
        </w:rPr>
        <w:t xml:space="preserve"> and Austria, which </w:t>
      </w:r>
      <w:r w:rsidR="007414CA" w:rsidRPr="008D6FFA">
        <w:rPr>
          <w:rFonts w:ascii="Garamond" w:hAnsi="Garamond"/>
          <w:sz w:val="22"/>
          <w:szCs w:val="22"/>
        </w:rPr>
        <w:t xml:space="preserve">displays a remarkably low underpricing of </w:t>
      </w:r>
      <w:r w:rsidR="0080217A" w:rsidRPr="008D6FFA">
        <w:rPr>
          <w:rFonts w:ascii="Garamond" w:hAnsi="Garamond"/>
          <w:sz w:val="22"/>
          <w:szCs w:val="22"/>
        </w:rPr>
        <w:t xml:space="preserve">5.2% (Ritter 2023). </w:t>
      </w:r>
      <w:r w:rsidR="007414CA" w:rsidRPr="008D6FFA">
        <w:rPr>
          <w:rFonts w:ascii="Garamond" w:hAnsi="Garamond"/>
          <w:sz w:val="22"/>
          <w:szCs w:val="22"/>
        </w:rPr>
        <w:t xml:space="preserve">Outside Europe, our analysis will include the United Arab Emirates, exhibiting an average underpricing of 186.4% (Ritter 2023), and Canada, where the average underpricing </w:t>
      </w:r>
      <w:r w:rsidR="00846FEF" w:rsidRPr="008D6FFA">
        <w:rPr>
          <w:rFonts w:ascii="Garamond" w:hAnsi="Garamond"/>
          <w:sz w:val="22"/>
          <w:szCs w:val="22"/>
        </w:rPr>
        <w:t>is only</w:t>
      </w:r>
      <w:r w:rsidR="007414CA" w:rsidRPr="008D6FFA">
        <w:rPr>
          <w:rFonts w:ascii="Garamond" w:hAnsi="Garamond"/>
          <w:sz w:val="22"/>
          <w:szCs w:val="22"/>
        </w:rPr>
        <w:t xml:space="preserve"> 6.8% (Ritter 2023).</w:t>
      </w:r>
      <w:r w:rsidR="0080217A" w:rsidRPr="008D6FFA">
        <w:rPr>
          <w:rFonts w:ascii="Garamond" w:hAnsi="Garamond"/>
          <w:sz w:val="22"/>
          <w:szCs w:val="22"/>
        </w:rPr>
        <w:t xml:space="preserve"> </w:t>
      </w:r>
      <w:bookmarkStart w:id="4" w:name="OLE_LINK1"/>
      <w:bookmarkStart w:id="5" w:name="OLE_LINK2"/>
      <w:r w:rsidR="0080217A" w:rsidRPr="008D6FFA">
        <w:rPr>
          <w:rFonts w:ascii="Garamond" w:hAnsi="Garamond"/>
          <w:sz w:val="22"/>
          <w:szCs w:val="22"/>
        </w:rPr>
        <w:t xml:space="preserve">Our </w:t>
      </w:r>
      <w:r w:rsidR="005B6422" w:rsidRPr="008D6FFA">
        <w:rPr>
          <w:rFonts w:ascii="Garamond" w:hAnsi="Garamond"/>
          <w:sz w:val="22"/>
          <w:szCs w:val="22"/>
        </w:rPr>
        <w:t xml:space="preserve">primary focus </w:t>
      </w:r>
      <w:r w:rsidR="0080217A" w:rsidRPr="008D6FFA">
        <w:rPr>
          <w:rFonts w:ascii="Garamond" w:hAnsi="Garamond"/>
          <w:sz w:val="22"/>
          <w:szCs w:val="22"/>
        </w:rPr>
        <w:t xml:space="preserve">will be on the bidding </w:t>
      </w:r>
      <w:r w:rsidR="005B6422" w:rsidRPr="008D6FFA">
        <w:rPr>
          <w:rFonts w:ascii="Garamond" w:hAnsi="Garamond"/>
          <w:sz w:val="22"/>
          <w:szCs w:val="22"/>
        </w:rPr>
        <w:t>mechanisms employed</w:t>
      </w:r>
      <w:r w:rsidR="00846FEF" w:rsidRPr="008D6FFA">
        <w:rPr>
          <w:rFonts w:ascii="Garamond" w:hAnsi="Garamond"/>
          <w:sz w:val="22"/>
          <w:szCs w:val="22"/>
        </w:rPr>
        <w:t xml:space="preserve">. </w:t>
      </w:r>
      <w:proofErr w:type="gramStart"/>
      <w:r w:rsidR="00846FEF" w:rsidRPr="008D6FFA">
        <w:rPr>
          <w:rFonts w:ascii="Garamond" w:hAnsi="Garamond"/>
          <w:sz w:val="22"/>
          <w:szCs w:val="22"/>
        </w:rPr>
        <w:t>In</w:t>
      </w:r>
      <w:r w:rsidR="005B6422" w:rsidRPr="008D6FFA">
        <w:rPr>
          <w:rFonts w:ascii="Garamond" w:hAnsi="Garamond"/>
          <w:sz w:val="22"/>
          <w:szCs w:val="22"/>
        </w:rPr>
        <w:t xml:space="preserve"> particular</w:t>
      </w:r>
      <w:r w:rsidR="00846FEF" w:rsidRPr="008D6FFA">
        <w:rPr>
          <w:rFonts w:ascii="Garamond" w:hAnsi="Garamond"/>
          <w:sz w:val="22"/>
          <w:szCs w:val="22"/>
        </w:rPr>
        <w:t>,</w:t>
      </w:r>
      <w:r w:rsidR="005B6422" w:rsidRPr="008D6FFA">
        <w:rPr>
          <w:rFonts w:ascii="Garamond" w:hAnsi="Garamond"/>
          <w:sz w:val="22"/>
          <w:szCs w:val="22"/>
        </w:rPr>
        <w:t xml:space="preserve"> </w:t>
      </w:r>
      <w:r w:rsidR="00846FEF" w:rsidRPr="008D6FFA">
        <w:rPr>
          <w:rFonts w:ascii="Garamond" w:hAnsi="Garamond"/>
          <w:sz w:val="22"/>
          <w:szCs w:val="22"/>
        </w:rPr>
        <w:t>we</w:t>
      </w:r>
      <w:proofErr w:type="gramEnd"/>
      <w:r w:rsidR="00846FEF" w:rsidRPr="008D6FFA">
        <w:rPr>
          <w:rFonts w:ascii="Garamond" w:hAnsi="Garamond"/>
          <w:sz w:val="22"/>
          <w:szCs w:val="22"/>
        </w:rPr>
        <w:t xml:space="preserve"> will </w:t>
      </w:r>
      <w:r w:rsidR="005B6422" w:rsidRPr="008D6FFA">
        <w:rPr>
          <w:rFonts w:ascii="Garamond" w:hAnsi="Garamond"/>
          <w:sz w:val="22"/>
          <w:szCs w:val="22"/>
        </w:rPr>
        <w:t>examin</w:t>
      </w:r>
      <w:r w:rsidR="00846FEF" w:rsidRPr="008D6FFA">
        <w:rPr>
          <w:rFonts w:ascii="Garamond" w:hAnsi="Garamond"/>
          <w:sz w:val="22"/>
          <w:szCs w:val="22"/>
        </w:rPr>
        <w:t>e</w:t>
      </w:r>
      <w:r w:rsidR="005B6422" w:rsidRPr="008D6FFA">
        <w:rPr>
          <w:rFonts w:ascii="Garamond" w:hAnsi="Garamond"/>
          <w:sz w:val="22"/>
          <w:szCs w:val="22"/>
        </w:rPr>
        <w:t xml:space="preserve"> whether these countries utilize the book-building method or alternative approaches and the specific characteristics of the bidding process in each system. Additionally, we will consider structural differences in their capital markets, including </w:t>
      </w:r>
      <w:r w:rsidR="00472065" w:rsidRPr="008D6FFA">
        <w:rPr>
          <w:rFonts w:ascii="Garamond" w:hAnsi="Garamond"/>
          <w:sz w:val="22"/>
          <w:szCs w:val="22"/>
        </w:rPr>
        <w:t>size</w:t>
      </w:r>
      <w:r w:rsidR="00077213" w:rsidRPr="008D6FFA">
        <w:rPr>
          <w:rFonts w:ascii="Garamond" w:hAnsi="Garamond"/>
          <w:sz w:val="22"/>
          <w:szCs w:val="22"/>
        </w:rPr>
        <w:t xml:space="preserve"> </w:t>
      </w:r>
      <w:r w:rsidR="005B6422" w:rsidRPr="008D6FFA">
        <w:rPr>
          <w:rFonts w:ascii="Garamond" w:hAnsi="Garamond"/>
          <w:sz w:val="22"/>
          <w:szCs w:val="22"/>
        </w:rPr>
        <w:t xml:space="preserve">and </w:t>
      </w:r>
      <w:r w:rsidR="00077213" w:rsidRPr="008D6FFA">
        <w:rPr>
          <w:rFonts w:ascii="Garamond" w:hAnsi="Garamond"/>
          <w:sz w:val="22"/>
          <w:szCs w:val="22"/>
        </w:rPr>
        <w:t>concentration</w:t>
      </w:r>
      <w:r w:rsidR="005B6422" w:rsidRPr="008D6FFA">
        <w:rPr>
          <w:rFonts w:ascii="Garamond" w:hAnsi="Garamond"/>
          <w:sz w:val="22"/>
          <w:szCs w:val="22"/>
        </w:rPr>
        <w:t xml:space="preserve"> </w:t>
      </w:r>
      <w:r w:rsidR="00077213" w:rsidRPr="008D6FFA">
        <w:rPr>
          <w:rFonts w:ascii="Garamond" w:hAnsi="Garamond"/>
          <w:sz w:val="22"/>
          <w:szCs w:val="22"/>
        </w:rPr>
        <w:t>in the asset management</w:t>
      </w:r>
      <w:r w:rsidR="005B6422" w:rsidRPr="008D6FFA">
        <w:rPr>
          <w:rFonts w:ascii="Garamond" w:hAnsi="Garamond"/>
          <w:sz w:val="22"/>
          <w:szCs w:val="22"/>
        </w:rPr>
        <w:t xml:space="preserve"> industry.</w:t>
      </w:r>
      <w:r w:rsidR="00077213" w:rsidRPr="008D6FFA">
        <w:rPr>
          <w:rFonts w:ascii="Garamond" w:hAnsi="Garamond"/>
          <w:sz w:val="22"/>
          <w:szCs w:val="22"/>
        </w:rPr>
        <w:t xml:space="preserve"> Our research will encompass countries that have transitioned from one bidding system to another, investigating how such shifts </w:t>
      </w:r>
      <w:r w:rsidR="00382A48" w:rsidRPr="008D6FFA">
        <w:rPr>
          <w:rFonts w:ascii="Garamond" w:hAnsi="Garamond"/>
          <w:sz w:val="22"/>
          <w:szCs w:val="22"/>
        </w:rPr>
        <w:lastRenderedPageBreak/>
        <w:t>affect</w:t>
      </w:r>
      <w:r w:rsidR="00077213" w:rsidRPr="008D6FFA">
        <w:rPr>
          <w:rFonts w:ascii="Garamond" w:hAnsi="Garamond"/>
          <w:sz w:val="22"/>
          <w:szCs w:val="22"/>
        </w:rPr>
        <w:t xml:space="preserve"> the magnitude of underpricing. For </w:t>
      </w:r>
      <w:r w:rsidR="00472065" w:rsidRPr="008D6FFA">
        <w:rPr>
          <w:rFonts w:ascii="Garamond" w:hAnsi="Garamond"/>
          <w:sz w:val="22"/>
          <w:szCs w:val="22"/>
        </w:rPr>
        <w:t>example</w:t>
      </w:r>
      <w:r w:rsidR="00077213" w:rsidRPr="008D6FFA">
        <w:rPr>
          <w:rFonts w:ascii="Garamond" w:hAnsi="Garamond"/>
          <w:sz w:val="22"/>
          <w:szCs w:val="22"/>
        </w:rPr>
        <w:t xml:space="preserve">, we will draw insights from the Israeli case, where recent regulatory changes enabling widespread book-building in IPOs coincided with a marked increase in underpricing. This </w:t>
      </w:r>
      <w:r w:rsidR="00472065" w:rsidRPr="008D6FFA">
        <w:rPr>
          <w:rFonts w:ascii="Garamond" w:hAnsi="Garamond"/>
          <w:sz w:val="22"/>
          <w:szCs w:val="22"/>
        </w:rPr>
        <w:t xml:space="preserve">final </w:t>
      </w:r>
      <w:r w:rsidR="009E0022" w:rsidRPr="008D6FFA">
        <w:rPr>
          <w:rFonts w:ascii="Garamond" w:hAnsi="Garamond"/>
          <w:sz w:val="22"/>
          <w:szCs w:val="22"/>
        </w:rPr>
        <w:t xml:space="preserve">phase </w:t>
      </w:r>
      <w:r w:rsidR="00077213" w:rsidRPr="008D6FFA">
        <w:rPr>
          <w:rFonts w:ascii="Garamond" w:hAnsi="Garamond"/>
          <w:sz w:val="22"/>
          <w:szCs w:val="22"/>
        </w:rPr>
        <w:t xml:space="preserve">will culminate in policy recommendations derived from the collective findings of all </w:t>
      </w:r>
      <w:r w:rsidR="009E0022" w:rsidRPr="008D6FFA">
        <w:rPr>
          <w:rFonts w:ascii="Garamond" w:hAnsi="Garamond"/>
          <w:sz w:val="22"/>
          <w:szCs w:val="22"/>
        </w:rPr>
        <w:t xml:space="preserve">four </w:t>
      </w:r>
      <w:r w:rsidR="00077213" w:rsidRPr="008D6FFA">
        <w:rPr>
          <w:rFonts w:ascii="Garamond" w:hAnsi="Garamond"/>
          <w:sz w:val="22"/>
          <w:szCs w:val="22"/>
        </w:rPr>
        <w:t>research</w:t>
      </w:r>
      <w:r w:rsidR="009E0022" w:rsidRPr="008D6FFA">
        <w:rPr>
          <w:rFonts w:ascii="Garamond" w:hAnsi="Garamond"/>
          <w:sz w:val="22"/>
          <w:szCs w:val="22"/>
        </w:rPr>
        <w:t xml:space="preserve"> phases</w:t>
      </w:r>
      <w:r w:rsidR="00077213" w:rsidRPr="008D6FFA">
        <w:rPr>
          <w:rFonts w:ascii="Garamond" w:hAnsi="Garamond"/>
          <w:sz w:val="22"/>
          <w:szCs w:val="22"/>
        </w:rPr>
        <w:t xml:space="preserve">. These recommendations will highlight optimal </w:t>
      </w:r>
      <w:r w:rsidR="009E0022" w:rsidRPr="008D6FFA">
        <w:rPr>
          <w:rFonts w:ascii="Garamond" w:hAnsi="Garamond"/>
          <w:sz w:val="22"/>
          <w:szCs w:val="22"/>
        </w:rPr>
        <w:t xml:space="preserve">regulatory </w:t>
      </w:r>
      <w:r w:rsidR="00077213" w:rsidRPr="008D6FFA">
        <w:rPr>
          <w:rFonts w:ascii="Garamond" w:hAnsi="Garamond"/>
          <w:sz w:val="22"/>
          <w:szCs w:val="22"/>
        </w:rPr>
        <w:t>settings that can effectively minimize underpricing while considering associated costs</w:t>
      </w:r>
      <w:r w:rsidR="00467552" w:rsidRPr="008D6FFA">
        <w:rPr>
          <w:rFonts w:ascii="Garamond" w:hAnsi="Garamond"/>
          <w:sz w:val="22"/>
          <w:szCs w:val="22"/>
        </w:rPr>
        <w:t>.</w:t>
      </w:r>
    </w:p>
    <w:bookmarkEnd w:id="4"/>
    <w:bookmarkEnd w:id="5"/>
    <w:p w14:paraId="6335F9A3" w14:textId="719020F1" w:rsidR="00A346A7" w:rsidRPr="008D6FFA" w:rsidRDefault="00A94E03" w:rsidP="00373B90">
      <w:pPr>
        <w:spacing w:line="360" w:lineRule="auto"/>
        <w:ind w:firstLine="426"/>
        <w:jc w:val="both"/>
        <w:rPr>
          <w:rFonts w:ascii="Garamond" w:hAnsi="Garamond"/>
          <w:sz w:val="22"/>
          <w:szCs w:val="22"/>
        </w:rPr>
      </w:pPr>
      <w:r w:rsidRPr="008D6FFA">
        <w:rPr>
          <w:rFonts w:ascii="Garamond" w:hAnsi="Garamond"/>
          <w:sz w:val="22"/>
          <w:szCs w:val="22"/>
        </w:rPr>
        <w:t xml:space="preserve">In each </w:t>
      </w:r>
      <w:r w:rsidR="00A40191" w:rsidRPr="008D6FFA">
        <w:rPr>
          <w:rFonts w:ascii="Garamond" w:hAnsi="Garamond"/>
          <w:sz w:val="22"/>
          <w:szCs w:val="22"/>
        </w:rPr>
        <w:t>phase</w:t>
      </w:r>
      <w:r w:rsidRPr="008D6FFA">
        <w:rPr>
          <w:rFonts w:ascii="Garamond" w:hAnsi="Garamond"/>
          <w:sz w:val="22"/>
          <w:szCs w:val="22"/>
        </w:rPr>
        <w:t xml:space="preserve">, our intention is to generate one </w:t>
      </w:r>
      <w:r w:rsidR="009E0022" w:rsidRPr="008D6FFA">
        <w:rPr>
          <w:rFonts w:ascii="Garamond" w:hAnsi="Garamond"/>
          <w:sz w:val="22"/>
          <w:szCs w:val="22"/>
        </w:rPr>
        <w:t>academic paper</w:t>
      </w:r>
      <w:r w:rsidRPr="008D6FFA">
        <w:rPr>
          <w:rFonts w:ascii="Garamond" w:hAnsi="Garamond"/>
          <w:sz w:val="22"/>
          <w:szCs w:val="22"/>
        </w:rPr>
        <w:t>. Specifically, in the first</w:t>
      </w:r>
      <w:r w:rsidR="00922E49">
        <w:rPr>
          <w:rFonts w:ascii="Garamond" w:hAnsi="Garamond"/>
          <w:sz w:val="22"/>
          <w:szCs w:val="22"/>
        </w:rPr>
        <w:t xml:space="preserve"> two</w:t>
      </w:r>
      <w:r w:rsidRPr="008D6FFA">
        <w:rPr>
          <w:rFonts w:ascii="Garamond" w:hAnsi="Garamond"/>
          <w:sz w:val="22"/>
          <w:szCs w:val="22"/>
        </w:rPr>
        <w:t xml:space="preserve"> </w:t>
      </w:r>
      <w:r w:rsidR="00A40191" w:rsidRPr="008D6FFA">
        <w:rPr>
          <w:rFonts w:ascii="Garamond" w:hAnsi="Garamond"/>
          <w:sz w:val="22"/>
          <w:szCs w:val="22"/>
        </w:rPr>
        <w:t>phase</w:t>
      </w:r>
      <w:r w:rsidR="00922E49">
        <w:rPr>
          <w:rFonts w:ascii="Garamond" w:hAnsi="Garamond"/>
          <w:sz w:val="22"/>
          <w:szCs w:val="22"/>
        </w:rPr>
        <w:t>s</w:t>
      </w:r>
      <w:r w:rsidRPr="008D6FFA">
        <w:rPr>
          <w:rFonts w:ascii="Garamond" w:hAnsi="Garamond"/>
          <w:sz w:val="22"/>
          <w:szCs w:val="22"/>
        </w:rPr>
        <w:t xml:space="preserve">, our goal is to produce </w:t>
      </w:r>
      <w:r w:rsidR="00366A3F">
        <w:rPr>
          <w:rFonts w:ascii="Garamond" w:hAnsi="Garamond"/>
          <w:sz w:val="22"/>
          <w:szCs w:val="22"/>
        </w:rPr>
        <w:t>three</w:t>
      </w:r>
      <w:r w:rsidR="00366A3F" w:rsidRPr="008D6FFA">
        <w:rPr>
          <w:rFonts w:ascii="Garamond" w:hAnsi="Garamond"/>
          <w:sz w:val="22"/>
          <w:szCs w:val="22"/>
        </w:rPr>
        <w:t xml:space="preserve"> </w:t>
      </w:r>
      <w:r w:rsidR="009E0022" w:rsidRPr="008D6FFA">
        <w:rPr>
          <w:rFonts w:ascii="Garamond" w:hAnsi="Garamond"/>
          <w:sz w:val="22"/>
          <w:szCs w:val="22"/>
        </w:rPr>
        <w:t>papers</w:t>
      </w:r>
      <w:r w:rsidRPr="008D6FFA">
        <w:rPr>
          <w:rFonts w:ascii="Garamond" w:hAnsi="Garamond"/>
          <w:sz w:val="22"/>
          <w:szCs w:val="22"/>
        </w:rPr>
        <w:t>—</w:t>
      </w:r>
      <w:r w:rsidR="00922E49">
        <w:rPr>
          <w:rFonts w:ascii="Garamond" w:hAnsi="Garamond"/>
          <w:sz w:val="22"/>
          <w:szCs w:val="22"/>
        </w:rPr>
        <w:t>two</w:t>
      </w:r>
      <w:r w:rsidR="00922E49" w:rsidRPr="008D6FFA">
        <w:rPr>
          <w:rFonts w:ascii="Garamond" w:hAnsi="Garamond"/>
          <w:sz w:val="22"/>
          <w:szCs w:val="22"/>
        </w:rPr>
        <w:t xml:space="preserve"> </w:t>
      </w:r>
      <w:r w:rsidRPr="008D6FFA">
        <w:rPr>
          <w:rFonts w:ascii="Garamond" w:hAnsi="Garamond"/>
          <w:sz w:val="22"/>
          <w:szCs w:val="22"/>
        </w:rPr>
        <w:t>for a</w:t>
      </w:r>
      <w:r w:rsidR="009E0022" w:rsidRPr="008D6FFA">
        <w:rPr>
          <w:rFonts w:ascii="Garamond" w:hAnsi="Garamond"/>
          <w:sz w:val="22"/>
          <w:szCs w:val="22"/>
        </w:rPr>
        <w:t>n academic</w:t>
      </w:r>
      <w:r w:rsidRPr="008D6FFA">
        <w:rPr>
          <w:rFonts w:ascii="Garamond" w:hAnsi="Garamond"/>
          <w:sz w:val="22"/>
          <w:szCs w:val="22"/>
        </w:rPr>
        <w:t xml:space="preserve"> finance journal and one for a general law review. For the subsequent two </w:t>
      </w:r>
      <w:r w:rsidR="00A40191" w:rsidRPr="008D6FFA">
        <w:rPr>
          <w:rFonts w:ascii="Garamond" w:hAnsi="Garamond"/>
          <w:sz w:val="22"/>
          <w:szCs w:val="22"/>
        </w:rPr>
        <w:t>phases</w:t>
      </w:r>
      <w:r w:rsidRPr="008D6FFA">
        <w:rPr>
          <w:rFonts w:ascii="Garamond" w:hAnsi="Garamond"/>
          <w:sz w:val="22"/>
          <w:szCs w:val="22"/>
        </w:rPr>
        <w:t>, our primary aim is publication in legal journals, preferably peer-reviewed, although law reviews are also a viable option.</w:t>
      </w:r>
    </w:p>
    <w:p w14:paraId="0720A23D" w14:textId="0FDC09D3" w:rsidR="00A346A7" w:rsidRPr="0072074B" w:rsidRDefault="00A346A7" w:rsidP="00A346A7">
      <w:pPr>
        <w:rPr>
          <w:rFonts w:ascii="Garamond" w:hAnsi="Garamond"/>
          <w:sz w:val="22"/>
          <w:szCs w:val="22"/>
        </w:rPr>
      </w:pPr>
    </w:p>
    <w:p w14:paraId="7D1BF7B8" w14:textId="614C76C7" w:rsidR="00637655" w:rsidRPr="0072074B" w:rsidRDefault="00A346A7" w:rsidP="008F3363">
      <w:pPr>
        <w:spacing w:line="360" w:lineRule="auto"/>
        <w:jc w:val="both"/>
        <w:rPr>
          <w:rFonts w:ascii="Garamond" w:hAnsi="Garamond"/>
          <w:b/>
          <w:bCs/>
          <w:sz w:val="22"/>
          <w:szCs w:val="22"/>
        </w:rPr>
      </w:pPr>
      <w:r w:rsidRPr="0072074B">
        <w:rPr>
          <w:rFonts w:ascii="Garamond" w:hAnsi="Garamond"/>
          <w:b/>
          <w:bCs/>
          <w:sz w:val="22"/>
          <w:szCs w:val="22"/>
        </w:rPr>
        <w:t>C. Preliminary Results</w:t>
      </w:r>
    </w:p>
    <w:p w14:paraId="2C3F9E14" w14:textId="05F683D9" w:rsidR="0063618B" w:rsidRPr="008D6FFA" w:rsidRDefault="00637655" w:rsidP="0063618B">
      <w:pPr>
        <w:spacing w:line="360" w:lineRule="auto"/>
        <w:ind w:firstLine="426"/>
        <w:jc w:val="both"/>
        <w:rPr>
          <w:rFonts w:ascii="Garamond" w:hAnsi="Garamond"/>
          <w:sz w:val="22"/>
          <w:szCs w:val="22"/>
        </w:rPr>
      </w:pPr>
      <w:r w:rsidRPr="008D6FFA">
        <w:rPr>
          <w:rFonts w:ascii="Garamond" w:hAnsi="Garamond"/>
          <w:sz w:val="22"/>
          <w:szCs w:val="22"/>
        </w:rPr>
        <w:t xml:space="preserve">At the current stage of our research, we are conducting an in-depth analysis of </w:t>
      </w:r>
      <w:r w:rsidR="00874CDF" w:rsidRPr="008D6FFA">
        <w:rPr>
          <w:rFonts w:ascii="Garamond" w:hAnsi="Garamond"/>
          <w:sz w:val="22"/>
          <w:szCs w:val="22"/>
        </w:rPr>
        <w:t xml:space="preserve">the </w:t>
      </w:r>
      <w:r w:rsidRPr="008D6FFA">
        <w:rPr>
          <w:rFonts w:ascii="Garamond" w:hAnsi="Garamond"/>
          <w:sz w:val="22"/>
          <w:szCs w:val="22"/>
        </w:rPr>
        <w:t xml:space="preserve">IPOs of U.S. </w:t>
      </w:r>
      <w:r w:rsidR="00874CDF" w:rsidRPr="008D6FFA">
        <w:rPr>
          <w:rFonts w:ascii="Garamond" w:hAnsi="Garamond"/>
          <w:sz w:val="22"/>
          <w:szCs w:val="22"/>
        </w:rPr>
        <w:t xml:space="preserve">companies </w:t>
      </w:r>
      <w:r w:rsidRPr="008D6FFA">
        <w:rPr>
          <w:rFonts w:ascii="Garamond" w:hAnsi="Garamond"/>
          <w:sz w:val="22"/>
          <w:szCs w:val="22"/>
        </w:rPr>
        <w:t>that took place between 2002 and 2022.</w:t>
      </w:r>
      <w:r w:rsidR="00AE2FC1" w:rsidRPr="008D6FFA">
        <w:rPr>
          <w:rStyle w:val="FootnoteReference"/>
          <w:rFonts w:ascii="Garamond" w:hAnsi="Garamond"/>
          <w:sz w:val="22"/>
          <w:szCs w:val="22"/>
        </w:rPr>
        <w:footnoteReference w:id="2"/>
      </w:r>
      <w:r w:rsidRPr="008D6FFA">
        <w:rPr>
          <w:rFonts w:ascii="Garamond" w:hAnsi="Garamond"/>
          <w:sz w:val="22"/>
          <w:szCs w:val="22"/>
        </w:rPr>
        <w:t xml:space="preserve"> We have accessed comprehensive data from the Thompson Financial Securities Database Corporation (SDC) and have cross-referenced it with the Audit Analytics Initial Public Offerings (Audit Analytics) databases available on Wharton Research Data Services (WRDS)</w:t>
      </w:r>
      <w:r w:rsidR="0016443B" w:rsidRPr="008D6FFA">
        <w:rPr>
          <w:rFonts w:ascii="Garamond" w:hAnsi="Garamond"/>
          <w:sz w:val="22"/>
          <w:szCs w:val="22"/>
        </w:rPr>
        <w:t>,</w:t>
      </w:r>
      <w:r w:rsidRPr="008D6FFA">
        <w:rPr>
          <w:rFonts w:ascii="Garamond" w:hAnsi="Garamond"/>
          <w:sz w:val="22"/>
          <w:szCs w:val="22"/>
        </w:rPr>
        <w:t xml:space="preserve"> </w:t>
      </w:r>
      <w:r w:rsidR="007C19F6" w:rsidRPr="008D6FFA">
        <w:rPr>
          <w:rFonts w:ascii="Garamond" w:hAnsi="Garamond"/>
          <w:sz w:val="22"/>
          <w:szCs w:val="22"/>
        </w:rPr>
        <w:t>to which we had partial access</w:t>
      </w:r>
      <w:r w:rsidR="0016443B" w:rsidRPr="008D6FFA">
        <w:rPr>
          <w:rFonts w:ascii="Garamond" w:hAnsi="Garamond"/>
          <w:sz w:val="22"/>
          <w:szCs w:val="22"/>
        </w:rPr>
        <w:t>,</w:t>
      </w:r>
      <w:r w:rsidR="007C19F6" w:rsidRPr="008D6FFA">
        <w:rPr>
          <w:rFonts w:ascii="Garamond" w:hAnsi="Garamond"/>
          <w:sz w:val="22"/>
          <w:szCs w:val="22"/>
        </w:rPr>
        <w:t xml:space="preserve"> </w:t>
      </w:r>
      <w:r w:rsidRPr="008D6FFA">
        <w:rPr>
          <w:rFonts w:ascii="Garamond" w:hAnsi="Garamond"/>
          <w:sz w:val="22"/>
          <w:szCs w:val="22"/>
        </w:rPr>
        <w:t xml:space="preserve">to obtain the closing stock prices at the end of the first trading day on the stock exchange. We have also incorporated data on </w:t>
      </w:r>
      <w:r w:rsidR="00692A38" w:rsidRPr="008D6FFA">
        <w:rPr>
          <w:rFonts w:ascii="Garamond" w:hAnsi="Garamond"/>
          <w:sz w:val="22"/>
          <w:szCs w:val="22"/>
        </w:rPr>
        <w:t xml:space="preserve">the stockholdings of </w:t>
      </w:r>
      <w:r w:rsidRPr="008D6FFA">
        <w:rPr>
          <w:rFonts w:ascii="Garamond" w:hAnsi="Garamond"/>
          <w:sz w:val="22"/>
          <w:szCs w:val="22"/>
        </w:rPr>
        <w:t>individual institutional investor</w:t>
      </w:r>
      <w:r w:rsidR="00692A38" w:rsidRPr="008D6FFA">
        <w:rPr>
          <w:rFonts w:ascii="Garamond" w:hAnsi="Garamond"/>
          <w:sz w:val="22"/>
          <w:szCs w:val="22"/>
        </w:rPr>
        <w:t>s</w:t>
      </w:r>
      <w:r w:rsidRPr="008D6FFA">
        <w:rPr>
          <w:rFonts w:ascii="Garamond" w:hAnsi="Garamond"/>
          <w:sz w:val="22"/>
          <w:szCs w:val="22"/>
        </w:rPr>
        <w:t xml:space="preserve">, extracted from 13F filings available through Thomson Reuters. Additionally, we have gathered various firm-specific characteristics and accounting data from </w:t>
      </w:r>
      <w:proofErr w:type="spellStart"/>
      <w:r w:rsidRPr="008D6FFA">
        <w:rPr>
          <w:rFonts w:ascii="Garamond" w:hAnsi="Garamond"/>
          <w:sz w:val="22"/>
          <w:szCs w:val="22"/>
        </w:rPr>
        <w:t>Compustat</w:t>
      </w:r>
      <w:proofErr w:type="spellEnd"/>
      <w:r w:rsidRPr="008D6FFA">
        <w:rPr>
          <w:rFonts w:ascii="Garamond" w:hAnsi="Garamond"/>
          <w:sz w:val="22"/>
          <w:szCs w:val="22"/>
        </w:rPr>
        <w:t>. Our final dataset comprises a total of 2,692 IPOs, encompassing all instances where we successfully gathered data from all relevant sources.</w:t>
      </w:r>
    </w:p>
    <w:p w14:paraId="5028BB5F" w14:textId="23E4FAB7" w:rsidR="00637655" w:rsidRPr="008D6FFA" w:rsidRDefault="00692A38" w:rsidP="0028408B">
      <w:pPr>
        <w:spacing w:line="360" w:lineRule="auto"/>
        <w:ind w:firstLine="426"/>
        <w:jc w:val="both"/>
        <w:rPr>
          <w:rFonts w:ascii="Garamond" w:hAnsi="Garamond"/>
          <w:sz w:val="22"/>
          <w:szCs w:val="22"/>
        </w:rPr>
      </w:pPr>
      <w:r w:rsidRPr="008D6FFA">
        <w:rPr>
          <w:rFonts w:ascii="Garamond" w:hAnsi="Garamond"/>
          <w:sz w:val="22"/>
          <w:szCs w:val="22"/>
        </w:rPr>
        <w:t>Our decision to begin the</w:t>
      </w:r>
      <w:r w:rsidR="0028408B" w:rsidRPr="008D6FFA">
        <w:rPr>
          <w:rFonts w:ascii="Garamond" w:hAnsi="Garamond"/>
          <w:sz w:val="22"/>
          <w:szCs w:val="22"/>
        </w:rPr>
        <w:t xml:space="preserve"> sample period in 2002 is informed by several considerations. First, the last two decades, particularly the most recent one, have witnessed a significant uptick in institutional ownership of public equity (</w:t>
      </w:r>
      <w:proofErr w:type="spellStart"/>
      <w:r w:rsidR="0028408B" w:rsidRPr="008D6FFA">
        <w:rPr>
          <w:rFonts w:ascii="Garamond" w:hAnsi="Garamond"/>
          <w:sz w:val="22"/>
          <w:szCs w:val="22"/>
        </w:rPr>
        <w:t>Bebchuk</w:t>
      </w:r>
      <w:proofErr w:type="spellEnd"/>
      <w:r w:rsidR="0028408B" w:rsidRPr="008D6FFA">
        <w:rPr>
          <w:rFonts w:ascii="Garamond" w:hAnsi="Garamond"/>
          <w:sz w:val="22"/>
          <w:szCs w:val="22"/>
        </w:rPr>
        <w:t xml:space="preserve"> &amp; Hirst, 2019, p. 5). This substantial increase in ownership </w:t>
      </w:r>
      <w:r w:rsidR="00B24B59" w:rsidRPr="008D6FFA">
        <w:rPr>
          <w:rFonts w:ascii="Garamond" w:hAnsi="Garamond"/>
          <w:sz w:val="22"/>
          <w:szCs w:val="22"/>
        </w:rPr>
        <w:t xml:space="preserve">by a few large institutional investors </w:t>
      </w:r>
      <w:r w:rsidR="0028408B" w:rsidRPr="008D6FFA">
        <w:rPr>
          <w:rFonts w:ascii="Garamond" w:hAnsi="Garamond"/>
          <w:sz w:val="22"/>
          <w:szCs w:val="22"/>
        </w:rPr>
        <w:t>confer</w:t>
      </w:r>
      <w:r w:rsidR="00B24B59" w:rsidRPr="008D6FFA">
        <w:rPr>
          <w:rFonts w:ascii="Garamond" w:hAnsi="Garamond"/>
          <w:sz w:val="22"/>
          <w:szCs w:val="22"/>
        </w:rPr>
        <w:t>s</w:t>
      </w:r>
      <w:r w:rsidR="0028408B" w:rsidRPr="008D6FFA">
        <w:rPr>
          <w:rFonts w:ascii="Garamond" w:hAnsi="Garamond"/>
          <w:sz w:val="22"/>
          <w:szCs w:val="22"/>
        </w:rPr>
        <w:t xml:space="preserve"> considerable influence and market power upon these </w:t>
      </w:r>
      <w:r w:rsidR="00B24B59" w:rsidRPr="008D6FFA">
        <w:rPr>
          <w:rFonts w:ascii="Garamond" w:hAnsi="Garamond"/>
          <w:sz w:val="22"/>
          <w:szCs w:val="22"/>
        </w:rPr>
        <w:t>investors</w:t>
      </w:r>
      <w:r w:rsidR="0028408B" w:rsidRPr="008D6FFA">
        <w:rPr>
          <w:rFonts w:ascii="Garamond" w:hAnsi="Garamond"/>
          <w:sz w:val="22"/>
          <w:szCs w:val="22"/>
        </w:rPr>
        <w:t xml:space="preserve"> within capital markets, potentially fostering a trend toward </w:t>
      </w:r>
      <w:r w:rsidR="00A13CA3" w:rsidRPr="008D6FFA">
        <w:rPr>
          <w:rFonts w:ascii="Garamond" w:hAnsi="Garamond"/>
          <w:sz w:val="22"/>
          <w:szCs w:val="22"/>
        </w:rPr>
        <w:t xml:space="preserve">cartel-forming </w:t>
      </w:r>
      <w:r w:rsidR="0028408B" w:rsidRPr="008D6FFA">
        <w:rPr>
          <w:rFonts w:ascii="Garamond" w:hAnsi="Garamond"/>
          <w:sz w:val="22"/>
          <w:szCs w:val="22"/>
        </w:rPr>
        <w:t>behavior. Second, our reliance on the Audit Analytics databases, which exclusively covers U.S.</w:t>
      </w:r>
      <w:r w:rsidR="00472065" w:rsidRPr="008D6FFA">
        <w:rPr>
          <w:rFonts w:ascii="Garamond" w:hAnsi="Garamond"/>
          <w:sz w:val="22"/>
          <w:szCs w:val="22"/>
        </w:rPr>
        <w:t>-</w:t>
      </w:r>
      <w:r w:rsidR="0028408B" w:rsidRPr="008D6FFA">
        <w:rPr>
          <w:rFonts w:ascii="Garamond" w:hAnsi="Garamond"/>
          <w:sz w:val="22"/>
          <w:szCs w:val="22"/>
        </w:rPr>
        <w:t xml:space="preserve">registered IPOs on major exchanges since 2000, </w:t>
      </w:r>
      <w:r w:rsidR="00472065" w:rsidRPr="008D6FFA">
        <w:rPr>
          <w:rFonts w:ascii="Garamond" w:hAnsi="Garamond"/>
          <w:sz w:val="22"/>
          <w:szCs w:val="22"/>
        </w:rPr>
        <w:t>mandates</w:t>
      </w:r>
      <w:r w:rsidR="0028408B" w:rsidRPr="008D6FFA">
        <w:rPr>
          <w:rFonts w:ascii="Garamond" w:hAnsi="Garamond"/>
          <w:sz w:val="22"/>
          <w:szCs w:val="22"/>
        </w:rPr>
        <w:t xml:space="preserve"> the commencement of our sample period in 2002. It is </w:t>
      </w:r>
      <w:r w:rsidR="00B24B59" w:rsidRPr="008D6FFA">
        <w:rPr>
          <w:rFonts w:ascii="Garamond" w:hAnsi="Garamond"/>
          <w:sz w:val="22"/>
          <w:szCs w:val="22"/>
        </w:rPr>
        <w:t xml:space="preserve">worth noting </w:t>
      </w:r>
      <w:r w:rsidR="0028408B" w:rsidRPr="008D6FFA">
        <w:rPr>
          <w:rFonts w:ascii="Garamond" w:hAnsi="Garamond"/>
          <w:sz w:val="22"/>
          <w:szCs w:val="22"/>
        </w:rPr>
        <w:t>that we deliberately exclude the dot-com bubble period characterized by exceptionally high first-day returns (</w:t>
      </w:r>
      <w:proofErr w:type="spellStart"/>
      <w:r w:rsidR="0028408B" w:rsidRPr="008D6FFA">
        <w:rPr>
          <w:rFonts w:ascii="Garamond" w:hAnsi="Garamond"/>
          <w:sz w:val="22"/>
          <w:szCs w:val="22"/>
        </w:rPr>
        <w:t>Ljungqvist</w:t>
      </w:r>
      <w:proofErr w:type="spellEnd"/>
      <w:r w:rsidR="0028408B" w:rsidRPr="008D6FFA">
        <w:rPr>
          <w:rFonts w:ascii="Garamond" w:hAnsi="Garamond"/>
          <w:sz w:val="22"/>
          <w:szCs w:val="22"/>
        </w:rPr>
        <w:t xml:space="preserve"> &amp; Wilhelm, 2002) to ensure the robustness and relevance of our analysis, focusing on a period less susceptible to extraordinary market conditions. </w:t>
      </w:r>
    </w:p>
    <w:p w14:paraId="7AD310C7" w14:textId="77777777" w:rsidR="0063618B" w:rsidRPr="008D6FFA" w:rsidRDefault="0063618B" w:rsidP="0063618B">
      <w:pPr>
        <w:spacing w:line="360" w:lineRule="auto"/>
        <w:ind w:firstLine="426"/>
        <w:jc w:val="both"/>
        <w:rPr>
          <w:rFonts w:ascii="Garamond" w:hAnsi="Garamond"/>
          <w:sz w:val="22"/>
          <w:szCs w:val="22"/>
        </w:rPr>
      </w:pPr>
      <w:r w:rsidRPr="008D6FFA">
        <w:rPr>
          <w:rFonts w:ascii="Garamond" w:hAnsi="Garamond"/>
          <w:sz w:val="22"/>
          <w:szCs w:val="22"/>
        </w:rPr>
        <w:lastRenderedPageBreak/>
        <w:t>In a comprehensive analysis of these IPOs, a significant trend is observed in the involvement of the Big Three institutional investors: BlackRock, Vanguard, and Fidelity. Over the examined period, these entities collectively participated in 614 transactions, accounting for 22.8% of all deals. This level of involvement underlines their substantial influence in the market.</w:t>
      </w:r>
    </w:p>
    <w:p w14:paraId="0E37A9EB" w14:textId="77777777" w:rsidR="0063618B" w:rsidRPr="008D6FFA" w:rsidRDefault="0063618B" w:rsidP="0063618B">
      <w:pPr>
        <w:spacing w:line="360" w:lineRule="auto"/>
        <w:ind w:firstLine="426"/>
        <w:jc w:val="both"/>
        <w:rPr>
          <w:rFonts w:ascii="Garamond" w:hAnsi="Garamond"/>
          <w:sz w:val="22"/>
          <w:szCs w:val="22"/>
        </w:rPr>
      </w:pPr>
      <w:r w:rsidRPr="008D6FFA">
        <w:rPr>
          <w:rFonts w:ascii="Garamond" w:hAnsi="Garamond"/>
          <w:sz w:val="22"/>
          <w:szCs w:val="22"/>
        </w:rPr>
        <w:t>However, the data reveals a more striking trend when analyzing IPOs with the joint presence of the Big Three. In such cases, the average underpricing escalates to 28.3%, indicating a possible influence of these major investors on IPO pricing strategies. Conversely, in situations where the Big Three are not collaboratively involved, the underpricing rate is notably lower, at 11.6%.</w:t>
      </w:r>
      <w:r w:rsidRPr="00C21525">
        <w:rPr>
          <w:sz w:val="22"/>
          <w:szCs w:val="22"/>
        </w:rPr>
        <w:t xml:space="preserve"> </w:t>
      </w:r>
      <w:r w:rsidRPr="008D6FFA">
        <w:rPr>
          <w:rFonts w:ascii="Garamond" w:hAnsi="Garamond"/>
          <w:sz w:val="22"/>
          <w:szCs w:val="22"/>
        </w:rPr>
        <w:t>The disparity in underpricing rates, based on the involvement of the Big Three, is not only substantial but also statistically significant. The gap of 16.7% in underpricing, conditional on the presence of the Big Three, is supported by a robust t-statistic of 10.82. This statistical significance underscores the profound impact these investors have on the market dynamics of IPOs.</w:t>
      </w:r>
    </w:p>
    <w:p w14:paraId="3F3A956D" w14:textId="1CB148E9" w:rsidR="0063618B" w:rsidRPr="008D6FFA" w:rsidRDefault="0063618B" w:rsidP="00E7148E">
      <w:pPr>
        <w:spacing w:line="360" w:lineRule="auto"/>
        <w:ind w:firstLine="426"/>
        <w:jc w:val="both"/>
        <w:rPr>
          <w:rFonts w:ascii="Garamond" w:hAnsi="Garamond"/>
          <w:sz w:val="22"/>
          <w:szCs w:val="22"/>
        </w:rPr>
      </w:pPr>
      <w:r w:rsidRPr="008D6FFA">
        <w:rPr>
          <w:rFonts w:ascii="Garamond" w:hAnsi="Garamond"/>
          <w:sz w:val="22"/>
          <w:szCs w:val="22"/>
        </w:rPr>
        <w:t xml:space="preserve">This univariate analysis highlights the dominant role that major institutional investors may play in shaping IPO outcomes. Moreover, this pattern may raise questions about market efficiency and fairness, particularly for smaller investors. It also may suggest that the strategies and influence of such large entities need to be understood and monitored carefully by regulators and market participants alike </w:t>
      </w:r>
      <w:r w:rsidR="00094FA6" w:rsidRPr="008D6FFA">
        <w:rPr>
          <w:rFonts w:ascii="Garamond" w:hAnsi="Garamond"/>
          <w:sz w:val="22"/>
          <w:szCs w:val="22"/>
        </w:rPr>
        <w:t>to maintain</w:t>
      </w:r>
      <w:r w:rsidRPr="008D6FFA">
        <w:rPr>
          <w:rFonts w:ascii="Garamond" w:hAnsi="Garamond"/>
          <w:sz w:val="22"/>
          <w:szCs w:val="22"/>
        </w:rPr>
        <w:t xml:space="preserve"> a balanced IPO environment.</w:t>
      </w:r>
    </w:p>
    <w:p w14:paraId="45A90F64" w14:textId="77777777" w:rsidR="00637655" w:rsidRPr="008D6FFA" w:rsidRDefault="00637655" w:rsidP="00637655">
      <w:pPr>
        <w:spacing w:line="360" w:lineRule="auto"/>
        <w:ind w:firstLine="426"/>
        <w:jc w:val="both"/>
        <w:rPr>
          <w:rFonts w:ascii="Garamond" w:hAnsi="Garamond"/>
          <w:sz w:val="22"/>
          <w:szCs w:val="22"/>
        </w:rPr>
      </w:pPr>
      <w:r w:rsidRPr="008D6FFA">
        <w:rPr>
          <w:rFonts w:ascii="Garamond" w:hAnsi="Garamond"/>
          <w:sz w:val="22"/>
          <w:szCs w:val="22"/>
        </w:rPr>
        <w:t>Formally, our primary regression specification, which we are currently estimating, can be represented as follows (Equation 1):</w:t>
      </w:r>
    </w:p>
    <w:p w14:paraId="01C04E0B" w14:textId="61B08D5B" w:rsidR="00637655" w:rsidRPr="008D6FFA" w:rsidRDefault="00637655" w:rsidP="00982C9F">
      <w:pPr>
        <w:spacing w:line="360" w:lineRule="auto"/>
        <w:jc w:val="both"/>
        <w:rPr>
          <w:rFonts w:ascii="Garamond" w:hAnsi="Garamond"/>
          <w:sz w:val="22"/>
          <w:szCs w:val="22"/>
        </w:rPr>
      </w:pPr>
    </w:p>
    <w:p w14:paraId="497E9FE3" w14:textId="5EE397CB" w:rsidR="00637655" w:rsidRPr="008D6FFA" w:rsidRDefault="00637655" w:rsidP="00982C9F">
      <w:pPr>
        <w:spacing w:line="360" w:lineRule="auto"/>
        <w:jc w:val="both"/>
        <w:rPr>
          <w:rFonts w:ascii="Garamond" w:hAnsi="Garamond"/>
          <w:sz w:val="22"/>
          <w:szCs w:val="22"/>
        </w:rPr>
      </w:pPr>
    </w:p>
    <w:p w14:paraId="58E75E01" w14:textId="64BCACE2" w:rsidR="00087090" w:rsidRPr="00EB1C59" w:rsidRDefault="00087090" w:rsidP="00637655">
      <w:pPr>
        <w:spacing w:line="360" w:lineRule="auto"/>
        <w:ind w:firstLine="426"/>
        <w:jc w:val="both"/>
        <w:rPr>
          <w:rFonts w:ascii="Garamond" w:hAnsi="Garamond"/>
          <w:sz w:val="22"/>
          <w:szCs w:val="22"/>
        </w:rPr>
      </w:pPr>
      <w:r w:rsidRPr="0058374A">
        <w:rPr>
          <w:rFonts w:ascii="Garamond" w:hAnsi="Garamond"/>
          <w:iCs/>
          <w:noProof/>
        </w:rPr>
        <w:drawing>
          <wp:anchor distT="0" distB="0" distL="114300" distR="114300" simplePos="0" relativeHeight="251661312" behindDoc="0" locked="0" layoutInCell="1" allowOverlap="1" wp14:anchorId="35414DB8" wp14:editId="32AE9315">
            <wp:simplePos x="0" y="0"/>
            <wp:positionH relativeFrom="margin">
              <wp:posOffset>436099</wp:posOffset>
            </wp:positionH>
            <wp:positionV relativeFrom="paragraph">
              <wp:posOffset>34828</wp:posOffset>
            </wp:positionV>
            <wp:extent cx="4716780" cy="254000"/>
            <wp:effectExtent l="0" t="0" r="7620" b="0"/>
            <wp:wrapTopAndBottom/>
            <wp:docPr id="206802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780" cy="254000"/>
                    </a:xfrm>
                    <a:prstGeom prst="rect">
                      <a:avLst/>
                    </a:prstGeom>
                    <a:noFill/>
                  </pic:spPr>
                </pic:pic>
              </a:graphicData>
            </a:graphic>
            <wp14:sizeRelH relativeFrom="margin">
              <wp14:pctWidth>0</wp14:pctWidth>
            </wp14:sizeRelH>
            <wp14:sizeRelV relativeFrom="margin">
              <wp14:pctHeight>0</wp14:pctHeight>
            </wp14:sizeRelV>
          </wp:anchor>
        </w:drawing>
      </w:r>
    </w:p>
    <w:p w14:paraId="7D8D5B0D" w14:textId="7E6E6446" w:rsidR="00702100" w:rsidRPr="00EB1C59" w:rsidRDefault="00702100" w:rsidP="00BF5163">
      <w:pPr>
        <w:spacing w:line="360" w:lineRule="auto"/>
        <w:ind w:firstLine="426"/>
        <w:jc w:val="both"/>
        <w:rPr>
          <w:rFonts w:ascii="Garamond" w:hAnsi="Garamond"/>
          <w:sz w:val="22"/>
          <w:szCs w:val="22"/>
        </w:rPr>
      </w:pPr>
      <w:r w:rsidRPr="00C21525">
        <w:rPr>
          <w:rFonts w:ascii="Garamond" w:hAnsi="Garamond"/>
          <w:iCs/>
          <w:sz w:val="22"/>
          <w:szCs w:val="22"/>
        </w:rPr>
        <w:t xml:space="preserve">In this model, the dependent variable </w:t>
      </w:r>
      <w:proofErr w:type="spellStart"/>
      <w:r w:rsidRPr="00C21525">
        <w:rPr>
          <w:rFonts w:ascii="Garamond" w:hAnsi="Garamond"/>
          <w:iCs/>
          <w:sz w:val="22"/>
          <w:szCs w:val="22"/>
        </w:rPr>
        <w:t>IPO_</w:t>
      </w:r>
      <w:proofErr w:type="gramStart"/>
      <w:r w:rsidRPr="00C21525">
        <w:rPr>
          <w:rFonts w:ascii="Garamond" w:hAnsi="Garamond"/>
          <w:iCs/>
          <w:sz w:val="22"/>
          <w:szCs w:val="22"/>
        </w:rPr>
        <w:t>Under</w:t>
      </w:r>
      <w:proofErr w:type="spellEnd"/>
      <w:r w:rsidRPr="00C21525">
        <w:rPr>
          <w:rFonts w:ascii="Garamond" w:hAnsi="Garamond"/>
          <w:iCs/>
          <w:sz w:val="22"/>
          <w:szCs w:val="22"/>
        </w:rPr>
        <w:t xml:space="preserve"> represents</w:t>
      </w:r>
      <w:proofErr w:type="gramEnd"/>
      <w:r w:rsidRPr="00C21525">
        <w:rPr>
          <w:rFonts w:ascii="Garamond" w:hAnsi="Garamond"/>
          <w:iCs/>
          <w:sz w:val="22"/>
          <w:szCs w:val="22"/>
        </w:rPr>
        <w:t xml:space="preserve"> IPO underpricing, defined as ((price - </w:t>
      </w:r>
      <w:proofErr w:type="spellStart"/>
      <w:r w:rsidRPr="00C21525">
        <w:rPr>
          <w:rFonts w:ascii="Garamond" w:hAnsi="Garamond"/>
          <w:iCs/>
          <w:sz w:val="22"/>
          <w:szCs w:val="22"/>
        </w:rPr>
        <w:t>ipo_price</w:t>
      </w:r>
      <w:proofErr w:type="spellEnd"/>
      <w:r w:rsidRPr="00C21525">
        <w:rPr>
          <w:rFonts w:ascii="Garamond" w:hAnsi="Garamond"/>
          <w:iCs/>
          <w:sz w:val="22"/>
          <w:szCs w:val="22"/>
        </w:rPr>
        <w:t xml:space="preserve">) / </w:t>
      </w:r>
      <w:proofErr w:type="spellStart"/>
      <w:r w:rsidRPr="00C21525">
        <w:rPr>
          <w:rFonts w:ascii="Garamond" w:hAnsi="Garamond"/>
          <w:iCs/>
          <w:sz w:val="22"/>
          <w:szCs w:val="22"/>
        </w:rPr>
        <w:t>ipo_price</w:t>
      </w:r>
      <w:proofErr w:type="spellEnd"/>
      <w:r w:rsidRPr="00C21525">
        <w:rPr>
          <w:rFonts w:ascii="Garamond" w:hAnsi="Garamond"/>
          <w:iCs/>
          <w:sz w:val="22"/>
          <w:szCs w:val="22"/>
        </w:rPr>
        <w:t xml:space="preserve">) * 100, where “price” denotes the stock price at the close of the first public trading day on the stock exchange. To mitigate the effect of potential outliers, we employ </w:t>
      </w:r>
      <w:proofErr w:type="spellStart"/>
      <w:r w:rsidRPr="00C21525">
        <w:rPr>
          <w:rFonts w:ascii="Garamond" w:hAnsi="Garamond"/>
          <w:iCs/>
          <w:sz w:val="22"/>
          <w:szCs w:val="22"/>
        </w:rPr>
        <w:t>winsorization</w:t>
      </w:r>
      <w:proofErr w:type="spellEnd"/>
      <w:r w:rsidRPr="00C21525">
        <w:rPr>
          <w:rFonts w:ascii="Garamond" w:hAnsi="Garamond"/>
          <w:iCs/>
          <w:sz w:val="22"/>
          <w:szCs w:val="22"/>
        </w:rPr>
        <w:t xml:space="preserve"> on the raw IPO_ Under data at the 1 percent and 99 percent levels. The key independent variable, </w:t>
      </w:r>
      <w:proofErr w:type="spellStart"/>
      <w:r w:rsidRPr="00C21525">
        <w:rPr>
          <w:rFonts w:ascii="Garamond" w:hAnsi="Garamond"/>
          <w:iCs/>
          <w:sz w:val="22"/>
          <w:szCs w:val="22"/>
        </w:rPr>
        <w:t>BigThree</w:t>
      </w:r>
      <w:proofErr w:type="spellEnd"/>
      <w:r w:rsidRPr="00C21525">
        <w:rPr>
          <w:rFonts w:ascii="Garamond" w:hAnsi="Garamond"/>
          <w:iCs/>
          <w:sz w:val="22"/>
          <w:szCs w:val="22"/>
        </w:rPr>
        <w:t xml:space="preserve">, is a binary indicator that is attributed the value of 1 if all three major institutional investors (BlackRock, Vanguard, and Fidelity) participate in the IPO deal, as evidenced by their holdings in the company at the end of the quarter following the IPO; otherwise, it is attributed the value of 0. We also consider the cumulative percentage holdings of the Big Three as an alternative explanatory variable. The regression models incorporate SIZE as a control variable, representing the natural logarithm of the firm’s IPO market valuation in millions of U.S. dollars, calculated as the product of the IPO price and outstanding shares. BR denotes the bookrunner fixed effects. All specifications include calendar-year and industry fixed effects, utilizing the </w:t>
      </w:r>
      <w:proofErr w:type="spellStart"/>
      <w:r w:rsidRPr="00C21525">
        <w:rPr>
          <w:rFonts w:ascii="Garamond" w:hAnsi="Garamond"/>
          <w:iCs/>
          <w:sz w:val="22"/>
          <w:szCs w:val="22"/>
        </w:rPr>
        <w:t>Fama</w:t>
      </w:r>
      <w:proofErr w:type="spellEnd"/>
      <w:r w:rsidRPr="00C21525">
        <w:rPr>
          <w:rFonts w:ascii="Garamond" w:hAnsi="Garamond"/>
          <w:iCs/>
          <w:sz w:val="22"/>
          <w:szCs w:val="22"/>
        </w:rPr>
        <w:t>–French 12-industry classification. The error term, ε, is robustly clustered at the industry level to account for potential correlations within industries.</w:t>
      </w:r>
    </w:p>
    <w:p w14:paraId="1D492F8E" w14:textId="00B149F3" w:rsidR="003C30A1" w:rsidRPr="00C21525" w:rsidRDefault="000614D5" w:rsidP="005B5769">
      <w:pPr>
        <w:spacing w:line="360" w:lineRule="auto"/>
        <w:ind w:firstLine="426"/>
        <w:jc w:val="both"/>
        <w:rPr>
          <w:rFonts w:ascii="Garamond" w:hAnsi="Garamond"/>
          <w:sz w:val="22"/>
          <w:szCs w:val="22"/>
        </w:rPr>
      </w:pPr>
      <w:r w:rsidRPr="00C21525">
        <w:rPr>
          <w:rFonts w:ascii="Garamond" w:hAnsi="Garamond"/>
          <w:iCs/>
          <w:sz w:val="22"/>
          <w:szCs w:val="22"/>
        </w:rPr>
        <w:t xml:space="preserve">To examine the relationship further, our analysis employs Ordinary Least Squares (OLS) regression (Equation 1). The results are presented in Table </w:t>
      </w:r>
      <w:r w:rsidR="005B5769" w:rsidRPr="00C21525">
        <w:rPr>
          <w:rFonts w:ascii="Garamond" w:hAnsi="Garamond"/>
          <w:iCs/>
          <w:sz w:val="22"/>
          <w:szCs w:val="22"/>
        </w:rPr>
        <w:t>1</w:t>
      </w:r>
      <w:r w:rsidRPr="00C21525">
        <w:rPr>
          <w:rFonts w:ascii="Garamond" w:hAnsi="Garamond"/>
          <w:iCs/>
          <w:sz w:val="22"/>
          <w:szCs w:val="22"/>
        </w:rPr>
        <w:t xml:space="preserve">. Columns 4 and 5 show findings from subsamples covering </w:t>
      </w:r>
      <w:r w:rsidRPr="00C21525">
        <w:rPr>
          <w:rFonts w:ascii="Garamond" w:hAnsi="Garamond"/>
          <w:iCs/>
          <w:sz w:val="22"/>
          <w:szCs w:val="22"/>
        </w:rPr>
        <w:lastRenderedPageBreak/>
        <w:t>the periods 2002–2011 and 2012–2022, respectively. Columns 3 and 7 extend the analysis by incorporating bookrunner fixed effects into the regression model.</w:t>
      </w:r>
      <w:r w:rsidR="005B5769" w:rsidRPr="00EB1C59">
        <w:rPr>
          <w:rFonts w:ascii="Garamond" w:hAnsi="Garamond"/>
          <w:sz w:val="22"/>
          <w:szCs w:val="22"/>
        </w:rPr>
        <w:t xml:space="preserve"> </w:t>
      </w:r>
      <w:r w:rsidR="00637655" w:rsidRPr="00EB1C59">
        <w:rPr>
          <w:rFonts w:ascii="Garamond" w:hAnsi="Garamond"/>
          <w:sz w:val="22"/>
          <w:szCs w:val="22"/>
        </w:rPr>
        <w:t xml:space="preserve">These preliminary findings indicate that when </w:t>
      </w:r>
      <w:proofErr w:type="gramStart"/>
      <w:r w:rsidR="00637655" w:rsidRPr="00EB1C59">
        <w:rPr>
          <w:rFonts w:ascii="Garamond" w:hAnsi="Garamond"/>
          <w:sz w:val="22"/>
          <w:szCs w:val="22"/>
        </w:rPr>
        <w:t xml:space="preserve">all </w:t>
      </w:r>
      <w:r w:rsidR="00A13CA3" w:rsidRPr="00EB1C59">
        <w:rPr>
          <w:rFonts w:ascii="Garamond" w:hAnsi="Garamond"/>
          <w:sz w:val="22"/>
          <w:szCs w:val="22"/>
        </w:rPr>
        <w:t>of</w:t>
      </w:r>
      <w:proofErr w:type="gramEnd"/>
      <w:r w:rsidR="00A13CA3" w:rsidRPr="00EB1C59">
        <w:rPr>
          <w:rFonts w:ascii="Garamond" w:hAnsi="Garamond"/>
          <w:sz w:val="22"/>
          <w:szCs w:val="22"/>
        </w:rPr>
        <w:t xml:space="preserve"> the </w:t>
      </w:r>
      <w:r w:rsidR="00382A48" w:rsidRPr="00EB1C59">
        <w:rPr>
          <w:rFonts w:ascii="Garamond" w:hAnsi="Garamond"/>
          <w:sz w:val="22"/>
          <w:szCs w:val="22"/>
        </w:rPr>
        <w:t>B</w:t>
      </w:r>
      <w:r w:rsidR="00637655" w:rsidRPr="00EB1C59">
        <w:rPr>
          <w:rFonts w:ascii="Garamond" w:hAnsi="Garamond"/>
          <w:sz w:val="22"/>
          <w:szCs w:val="22"/>
        </w:rPr>
        <w:t xml:space="preserve">ig </w:t>
      </w:r>
      <w:r w:rsidR="00382A48" w:rsidRPr="00EB1C59">
        <w:rPr>
          <w:rFonts w:ascii="Garamond" w:hAnsi="Garamond"/>
          <w:sz w:val="22"/>
          <w:szCs w:val="22"/>
        </w:rPr>
        <w:t>T</w:t>
      </w:r>
      <w:r w:rsidR="00637655" w:rsidRPr="00EB1C59">
        <w:rPr>
          <w:rFonts w:ascii="Garamond" w:hAnsi="Garamond"/>
          <w:sz w:val="22"/>
          <w:szCs w:val="22"/>
        </w:rPr>
        <w:t xml:space="preserve">hree institutional investors participate in an IPO, IPO underpricing experiences a significant increase of 13 percentage points. This result remains robust even after controlling for factors such as IPO size, </w:t>
      </w:r>
      <w:r w:rsidR="00CC6BCF" w:rsidRPr="00EB1C59">
        <w:rPr>
          <w:rFonts w:ascii="Garamond" w:hAnsi="Garamond"/>
          <w:sz w:val="22"/>
          <w:szCs w:val="22"/>
        </w:rPr>
        <w:t xml:space="preserve">identity of book-runner, </w:t>
      </w:r>
      <w:r w:rsidR="00637655" w:rsidRPr="00EB1C59">
        <w:rPr>
          <w:rFonts w:ascii="Garamond" w:hAnsi="Garamond"/>
          <w:sz w:val="22"/>
          <w:szCs w:val="22"/>
        </w:rPr>
        <w:t xml:space="preserve">high institutional holdings, </w:t>
      </w:r>
      <w:r w:rsidR="00A13CA3" w:rsidRPr="00EB1C59">
        <w:rPr>
          <w:rFonts w:ascii="Garamond" w:hAnsi="Garamond"/>
          <w:sz w:val="22"/>
          <w:szCs w:val="22"/>
        </w:rPr>
        <w:t xml:space="preserve">and </w:t>
      </w:r>
      <w:r w:rsidR="00637655" w:rsidRPr="00EB1C59">
        <w:rPr>
          <w:rFonts w:ascii="Garamond" w:hAnsi="Garamond"/>
          <w:sz w:val="22"/>
          <w:szCs w:val="22"/>
        </w:rPr>
        <w:t>high concentration of institutional holdings, as well as accounting for year</w:t>
      </w:r>
      <w:r w:rsidR="00A13CA3" w:rsidRPr="00EB1C59">
        <w:rPr>
          <w:rFonts w:ascii="Garamond" w:hAnsi="Garamond"/>
          <w:sz w:val="22"/>
          <w:szCs w:val="22"/>
        </w:rPr>
        <w:t>-</w:t>
      </w:r>
      <w:r w:rsidR="00637655" w:rsidRPr="00EB1C59">
        <w:rPr>
          <w:rFonts w:ascii="Garamond" w:hAnsi="Garamond"/>
          <w:sz w:val="22"/>
          <w:szCs w:val="22"/>
        </w:rPr>
        <w:t xml:space="preserve"> and industry</w:t>
      </w:r>
      <w:r w:rsidR="00A13CA3" w:rsidRPr="00EB1C59">
        <w:rPr>
          <w:rFonts w:ascii="Garamond" w:hAnsi="Garamond"/>
          <w:sz w:val="22"/>
          <w:szCs w:val="22"/>
        </w:rPr>
        <w:t>-</w:t>
      </w:r>
      <w:r w:rsidR="00637655" w:rsidRPr="00EB1C59">
        <w:rPr>
          <w:rFonts w:ascii="Garamond" w:hAnsi="Garamond"/>
          <w:sz w:val="22"/>
          <w:szCs w:val="22"/>
        </w:rPr>
        <w:t>fixed effects.</w:t>
      </w:r>
      <w:r w:rsidR="00AE025E" w:rsidRPr="00EB1C59">
        <w:rPr>
          <w:rFonts w:ascii="Garamond" w:hAnsi="Garamond"/>
          <w:sz w:val="22"/>
          <w:szCs w:val="22"/>
        </w:rPr>
        <w:t xml:space="preserve"> </w:t>
      </w:r>
      <w:r w:rsidR="004561F8" w:rsidRPr="00EB1C59">
        <w:rPr>
          <w:rFonts w:ascii="Garamond" w:hAnsi="Garamond"/>
          <w:sz w:val="22"/>
          <w:szCs w:val="22"/>
        </w:rPr>
        <w:t xml:space="preserve">The gap in underpricing diminishes to </w:t>
      </w:r>
      <w:r w:rsidR="00B72256" w:rsidRPr="00EB1C59">
        <w:rPr>
          <w:rFonts w:ascii="Garamond" w:hAnsi="Garamond"/>
          <w:sz w:val="22"/>
          <w:szCs w:val="22"/>
        </w:rPr>
        <w:t>9.65 percentage points</w:t>
      </w:r>
      <w:r w:rsidR="00565549" w:rsidRPr="00EB1C59">
        <w:rPr>
          <w:rFonts w:ascii="Garamond" w:hAnsi="Garamond"/>
          <w:sz w:val="22"/>
          <w:szCs w:val="22"/>
        </w:rPr>
        <w:t xml:space="preserve"> when controlling for all the various factors mentioned above</w:t>
      </w:r>
      <w:r w:rsidR="0072281B" w:rsidRPr="00EB1C59">
        <w:rPr>
          <w:rFonts w:ascii="Garamond" w:hAnsi="Garamond"/>
          <w:sz w:val="22"/>
          <w:szCs w:val="22"/>
        </w:rPr>
        <w:t xml:space="preserve">, but the result </w:t>
      </w:r>
      <w:r w:rsidR="00113432" w:rsidRPr="00EB1C59">
        <w:rPr>
          <w:rFonts w:ascii="Garamond" w:hAnsi="Garamond"/>
          <w:sz w:val="22"/>
          <w:szCs w:val="22"/>
        </w:rPr>
        <w:t xml:space="preserve">maintains high statistical significance </w:t>
      </w:r>
      <w:r w:rsidR="005D14AD" w:rsidRPr="00EB1C59">
        <w:rPr>
          <w:rFonts w:ascii="Garamond" w:hAnsi="Garamond"/>
          <w:sz w:val="22"/>
          <w:szCs w:val="22"/>
        </w:rPr>
        <w:t>bellow the 1% level.</w:t>
      </w:r>
      <w:r w:rsidR="00AE025E" w:rsidRPr="00EB1C59">
        <w:rPr>
          <w:rFonts w:ascii="Garamond" w:hAnsi="Garamond"/>
          <w:sz w:val="22"/>
          <w:szCs w:val="22"/>
        </w:rPr>
        <w:t xml:space="preserve"> </w:t>
      </w:r>
      <w:r w:rsidR="004D308D" w:rsidRPr="00EB1C59">
        <w:rPr>
          <w:rFonts w:ascii="Garamond" w:hAnsi="Garamond"/>
          <w:sz w:val="22"/>
          <w:szCs w:val="22"/>
        </w:rPr>
        <w:t>Our preliminary results maintain their robustness when subjected to separate analyses for distinct time intervals—specifically, 2002</w:t>
      </w:r>
      <w:r w:rsidR="005755A0" w:rsidRPr="00EB1C59">
        <w:rPr>
          <w:rFonts w:ascii="Garamond" w:hAnsi="Garamond"/>
          <w:sz w:val="22"/>
          <w:szCs w:val="22"/>
        </w:rPr>
        <w:t>–</w:t>
      </w:r>
      <w:r w:rsidR="004D308D" w:rsidRPr="00EB1C59">
        <w:rPr>
          <w:rFonts w:ascii="Garamond" w:hAnsi="Garamond"/>
          <w:sz w:val="22"/>
          <w:szCs w:val="22"/>
        </w:rPr>
        <w:t xml:space="preserve">2012 and 2012-2022. </w:t>
      </w:r>
      <w:r w:rsidR="00AE2FC1" w:rsidRPr="00EB1C59">
        <w:rPr>
          <w:rFonts w:ascii="Garamond" w:hAnsi="Garamond"/>
          <w:sz w:val="22"/>
          <w:szCs w:val="22"/>
        </w:rPr>
        <w:t>Importantly, our findings indicate a larger underpricing during the latter period (2012–2022), aligning with the hypothesis that suggests a link between IPO underpricing and the increasing dominance of institutional market power.</w:t>
      </w:r>
      <w:r w:rsidR="004D308D" w:rsidRPr="00EB1C59">
        <w:rPr>
          <w:rFonts w:ascii="Garamond" w:hAnsi="Garamond"/>
          <w:sz w:val="22"/>
          <w:szCs w:val="22"/>
        </w:rPr>
        <w:t xml:space="preserve"> </w:t>
      </w:r>
    </w:p>
    <w:p w14:paraId="7A140577" w14:textId="77777777" w:rsidR="00270336" w:rsidRPr="00C21525" w:rsidRDefault="00270336" w:rsidP="00270336">
      <w:pPr>
        <w:rPr>
          <w:sz w:val="22"/>
          <w:szCs w:val="22"/>
        </w:rPr>
      </w:pPr>
    </w:p>
    <w:p w14:paraId="40317520" w14:textId="75BAEF0C" w:rsidR="00A346A7" w:rsidRPr="00C21525" w:rsidRDefault="003C30A1" w:rsidP="00A346A7">
      <w:pPr>
        <w:pStyle w:val="Heading3"/>
        <w:rPr>
          <w:sz w:val="22"/>
          <w:szCs w:val="22"/>
        </w:rPr>
      </w:pPr>
      <w:r w:rsidRPr="00C21525">
        <w:rPr>
          <w:sz w:val="22"/>
          <w:szCs w:val="22"/>
        </w:rPr>
        <w:t xml:space="preserve">E. </w:t>
      </w:r>
      <w:r w:rsidR="00A346A7" w:rsidRPr="00C21525">
        <w:rPr>
          <w:sz w:val="22"/>
          <w:szCs w:val="22"/>
        </w:rPr>
        <w:t>Expected Pitfalls</w:t>
      </w:r>
    </w:p>
    <w:p w14:paraId="4467299C" w14:textId="77777777" w:rsidR="00A346A7" w:rsidRPr="00C21525" w:rsidRDefault="00A346A7" w:rsidP="00A346A7">
      <w:pPr>
        <w:rPr>
          <w:sz w:val="22"/>
          <w:szCs w:val="22"/>
        </w:rPr>
      </w:pPr>
    </w:p>
    <w:p w14:paraId="62A55D45" w14:textId="36796582" w:rsidR="00897257" w:rsidRPr="008D6FFA" w:rsidRDefault="00A446D7" w:rsidP="00590EFF">
      <w:pPr>
        <w:spacing w:line="360" w:lineRule="auto"/>
        <w:ind w:firstLine="426"/>
        <w:jc w:val="both"/>
        <w:rPr>
          <w:rFonts w:ascii="Garamond" w:hAnsi="Garamond"/>
          <w:sz w:val="22"/>
          <w:szCs w:val="22"/>
        </w:rPr>
      </w:pPr>
      <w:r w:rsidRPr="008D6FFA">
        <w:rPr>
          <w:rFonts w:ascii="Garamond" w:hAnsi="Garamond"/>
          <w:sz w:val="22"/>
          <w:szCs w:val="22"/>
        </w:rPr>
        <w:t>Our proposed project faces several challenges</w:t>
      </w:r>
      <w:r w:rsidR="005F1327" w:rsidRPr="008D6FFA">
        <w:rPr>
          <w:rFonts w:ascii="Garamond" w:hAnsi="Garamond"/>
          <w:sz w:val="22"/>
          <w:szCs w:val="22"/>
        </w:rPr>
        <w:t xml:space="preserve">. </w:t>
      </w:r>
      <w:r w:rsidR="00EC5498" w:rsidRPr="008D6FFA">
        <w:rPr>
          <w:rFonts w:ascii="Garamond" w:hAnsi="Garamond"/>
          <w:sz w:val="22"/>
          <w:szCs w:val="22"/>
        </w:rPr>
        <w:t>O</w:t>
      </w:r>
      <w:r w:rsidR="005F1327" w:rsidRPr="008D6FFA">
        <w:rPr>
          <w:rFonts w:ascii="Garamond" w:hAnsi="Garamond"/>
          <w:sz w:val="22"/>
          <w:szCs w:val="22"/>
        </w:rPr>
        <w:t xml:space="preserve">ne </w:t>
      </w:r>
      <w:r w:rsidR="00A346A7" w:rsidRPr="008D6FFA">
        <w:rPr>
          <w:rFonts w:ascii="Garamond" w:hAnsi="Garamond"/>
          <w:sz w:val="22"/>
          <w:szCs w:val="22"/>
        </w:rPr>
        <w:t xml:space="preserve">of the main challenges </w:t>
      </w:r>
      <w:r w:rsidR="000F5B65" w:rsidRPr="008D6FFA">
        <w:rPr>
          <w:rFonts w:ascii="Garamond" w:hAnsi="Garamond"/>
          <w:sz w:val="22"/>
          <w:szCs w:val="22"/>
        </w:rPr>
        <w:t xml:space="preserve">is </w:t>
      </w:r>
      <w:r w:rsidR="00EC5498" w:rsidRPr="008D6FFA">
        <w:rPr>
          <w:rFonts w:ascii="Garamond" w:hAnsi="Garamond"/>
          <w:sz w:val="22"/>
          <w:szCs w:val="22"/>
        </w:rPr>
        <w:t>associated with</w:t>
      </w:r>
      <w:r w:rsidR="00A346A7" w:rsidRPr="008D6FFA">
        <w:rPr>
          <w:rFonts w:ascii="Garamond" w:hAnsi="Garamond"/>
          <w:sz w:val="22"/>
          <w:szCs w:val="22"/>
        </w:rPr>
        <w:t xml:space="preserve"> obtain</w:t>
      </w:r>
      <w:r w:rsidR="00EC5498" w:rsidRPr="008D6FFA">
        <w:rPr>
          <w:rFonts w:ascii="Garamond" w:hAnsi="Garamond"/>
          <w:sz w:val="22"/>
          <w:szCs w:val="22"/>
        </w:rPr>
        <w:t>ing</w:t>
      </w:r>
      <w:r w:rsidR="00A346A7" w:rsidRPr="008D6FFA">
        <w:rPr>
          <w:rFonts w:ascii="Garamond" w:hAnsi="Garamond"/>
          <w:sz w:val="22"/>
          <w:szCs w:val="22"/>
        </w:rPr>
        <w:t xml:space="preserve"> information regarding the shares </w:t>
      </w:r>
      <w:r w:rsidR="005755A0" w:rsidRPr="008D6FFA">
        <w:rPr>
          <w:rFonts w:ascii="Garamond" w:hAnsi="Garamond"/>
          <w:sz w:val="22"/>
          <w:szCs w:val="22"/>
        </w:rPr>
        <w:t>allotted to</w:t>
      </w:r>
      <w:r w:rsidR="00A346A7" w:rsidRPr="008D6FFA">
        <w:rPr>
          <w:rFonts w:ascii="Garamond" w:hAnsi="Garamond"/>
          <w:sz w:val="22"/>
          <w:szCs w:val="22"/>
        </w:rPr>
        <w:t xml:space="preserve"> institutional investors at the IPO stage</w:t>
      </w:r>
      <w:r w:rsidR="00590EFF">
        <w:rPr>
          <w:rFonts w:ascii="Garamond" w:hAnsi="Garamond"/>
          <w:sz w:val="22"/>
          <w:szCs w:val="22"/>
        </w:rPr>
        <w:t xml:space="preserve">, </w:t>
      </w:r>
      <w:r w:rsidR="004B457E">
        <w:rPr>
          <w:rFonts w:ascii="Garamond" w:hAnsi="Garamond"/>
          <w:sz w:val="22"/>
          <w:szCs w:val="22"/>
        </w:rPr>
        <w:t>given that</w:t>
      </w:r>
      <w:r w:rsidR="00590EFF">
        <w:rPr>
          <w:rFonts w:ascii="Garamond" w:hAnsi="Garamond"/>
          <w:sz w:val="22"/>
          <w:szCs w:val="22"/>
        </w:rPr>
        <w:t xml:space="preserve"> such information is not publicly </w:t>
      </w:r>
      <w:r w:rsidR="00675398">
        <w:rPr>
          <w:rFonts w:ascii="Garamond" w:hAnsi="Garamond"/>
          <w:sz w:val="22"/>
          <w:szCs w:val="22"/>
        </w:rPr>
        <w:t>available</w:t>
      </w:r>
      <w:r w:rsidR="00A346A7" w:rsidRPr="008D6FFA">
        <w:rPr>
          <w:rFonts w:ascii="Garamond" w:hAnsi="Garamond"/>
          <w:sz w:val="22"/>
          <w:szCs w:val="22"/>
        </w:rPr>
        <w:t xml:space="preserve">. </w:t>
      </w:r>
      <w:r w:rsidR="00F73419" w:rsidRPr="008D6FFA">
        <w:rPr>
          <w:rFonts w:ascii="Garamond" w:hAnsi="Garamond"/>
          <w:sz w:val="22"/>
          <w:szCs w:val="22"/>
        </w:rPr>
        <w:t xml:space="preserve">Our intent is to </w:t>
      </w:r>
      <w:r w:rsidR="005755A0" w:rsidRPr="008D6FFA">
        <w:rPr>
          <w:rFonts w:ascii="Garamond" w:hAnsi="Garamond"/>
          <w:sz w:val="22"/>
          <w:szCs w:val="22"/>
        </w:rPr>
        <w:t>examine</w:t>
      </w:r>
      <w:r w:rsidR="00F73419" w:rsidRPr="008D6FFA">
        <w:rPr>
          <w:rFonts w:ascii="Garamond" w:hAnsi="Garamond"/>
          <w:sz w:val="22"/>
          <w:szCs w:val="22"/>
        </w:rPr>
        <w:t xml:space="preserve"> the</w:t>
      </w:r>
      <w:r w:rsidR="00E9602C" w:rsidRPr="008D6FFA">
        <w:rPr>
          <w:rFonts w:ascii="Garamond" w:hAnsi="Garamond"/>
          <w:sz w:val="22"/>
          <w:szCs w:val="22"/>
        </w:rPr>
        <w:t xml:space="preserve"> </w:t>
      </w:r>
      <w:r w:rsidR="004A29A5" w:rsidRPr="008D6FFA">
        <w:rPr>
          <w:rFonts w:ascii="Garamond" w:hAnsi="Garamond"/>
          <w:sz w:val="22"/>
          <w:szCs w:val="22"/>
        </w:rPr>
        <w:t xml:space="preserve">13F </w:t>
      </w:r>
      <w:r w:rsidR="00E9602C" w:rsidRPr="008D6FFA">
        <w:rPr>
          <w:rFonts w:ascii="Garamond" w:hAnsi="Garamond"/>
          <w:sz w:val="22"/>
          <w:szCs w:val="22"/>
        </w:rPr>
        <w:t>filings of</w:t>
      </w:r>
      <w:r w:rsidR="00F73419" w:rsidRPr="008D6FFA">
        <w:rPr>
          <w:rFonts w:ascii="Garamond" w:hAnsi="Garamond"/>
          <w:sz w:val="22"/>
          <w:szCs w:val="22"/>
        </w:rPr>
        <w:t xml:space="preserve"> </w:t>
      </w:r>
      <w:r w:rsidR="00FF105C" w:rsidRPr="008D6FFA">
        <w:rPr>
          <w:rFonts w:ascii="Garamond" w:hAnsi="Garamond"/>
          <w:sz w:val="22"/>
          <w:szCs w:val="22"/>
        </w:rPr>
        <w:t xml:space="preserve">institutional investment managers </w:t>
      </w:r>
      <w:r w:rsidR="004A29A5" w:rsidRPr="008D6FFA">
        <w:rPr>
          <w:rFonts w:ascii="Garamond" w:hAnsi="Garamond"/>
          <w:sz w:val="22"/>
          <w:szCs w:val="22"/>
        </w:rPr>
        <w:t>in</w:t>
      </w:r>
      <w:r w:rsidR="00A346A7" w:rsidRPr="008D6FFA">
        <w:rPr>
          <w:rFonts w:ascii="Garamond" w:hAnsi="Garamond"/>
          <w:sz w:val="22"/>
          <w:szCs w:val="22"/>
        </w:rPr>
        <w:t xml:space="preserve"> </w:t>
      </w:r>
      <w:r w:rsidR="00E9602C" w:rsidRPr="008D6FFA">
        <w:rPr>
          <w:rFonts w:ascii="Garamond" w:hAnsi="Garamond"/>
          <w:sz w:val="22"/>
          <w:szCs w:val="22"/>
        </w:rPr>
        <w:t>the</w:t>
      </w:r>
      <w:r w:rsidR="006721A7" w:rsidRPr="008D6FFA">
        <w:rPr>
          <w:rFonts w:ascii="Garamond" w:hAnsi="Garamond"/>
          <w:sz w:val="22"/>
          <w:szCs w:val="22"/>
        </w:rPr>
        <w:t xml:space="preserve"> first</w:t>
      </w:r>
      <w:r w:rsidR="00E9602C" w:rsidRPr="008D6FFA">
        <w:rPr>
          <w:rFonts w:ascii="Garamond" w:hAnsi="Garamond"/>
          <w:sz w:val="22"/>
          <w:szCs w:val="22"/>
        </w:rPr>
        <w:t xml:space="preserve"> </w:t>
      </w:r>
      <w:r w:rsidR="00A346A7" w:rsidRPr="008D6FFA">
        <w:rPr>
          <w:rFonts w:ascii="Garamond" w:hAnsi="Garamond"/>
          <w:sz w:val="22"/>
          <w:szCs w:val="22"/>
        </w:rPr>
        <w:t>quarter</w:t>
      </w:r>
      <w:r w:rsidR="004A29A5" w:rsidRPr="008D6FFA">
        <w:rPr>
          <w:rFonts w:ascii="Garamond" w:hAnsi="Garamond"/>
          <w:sz w:val="22"/>
          <w:szCs w:val="22"/>
        </w:rPr>
        <w:t xml:space="preserve"> following the IPO</w:t>
      </w:r>
      <w:r w:rsidR="00FF105C" w:rsidRPr="008D6FFA">
        <w:rPr>
          <w:rFonts w:ascii="Garamond" w:hAnsi="Garamond"/>
          <w:sz w:val="22"/>
          <w:szCs w:val="22"/>
        </w:rPr>
        <w:t xml:space="preserve">. These </w:t>
      </w:r>
      <w:r w:rsidR="007C19F6" w:rsidRPr="008D6FFA">
        <w:rPr>
          <w:rFonts w:ascii="Garamond" w:hAnsi="Garamond"/>
          <w:sz w:val="22"/>
          <w:szCs w:val="22"/>
        </w:rPr>
        <w:t xml:space="preserve">documents </w:t>
      </w:r>
      <w:r w:rsidR="00FF105C" w:rsidRPr="008D6FFA">
        <w:rPr>
          <w:rFonts w:ascii="Garamond" w:hAnsi="Garamond"/>
          <w:sz w:val="22"/>
          <w:szCs w:val="22"/>
        </w:rPr>
        <w:t xml:space="preserve">include a </w:t>
      </w:r>
      <w:r w:rsidR="007C19F6" w:rsidRPr="008D6FFA">
        <w:rPr>
          <w:rFonts w:ascii="Garamond" w:hAnsi="Garamond"/>
          <w:sz w:val="22"/>
          <w:szCs w:val="22"/>
        </w:rPr>
        <w:t xml:space="preserve">mandatory </w:t>
      </w:r>
      <w:r w:rsidR="006721A7" w:rsidRPr="008D6FFA">
        <w:rPr>
          <w:rFonts w:ascii="Garamond" w:hAnsi="Garamond"/>
          <w:sz w:val="22"/>
          <w:szCs w:val="22"/>
        </w:rPr>
        <w:t xml:space="preserve">reporting form </w:t>
      </w:r>
      <w:r w:rsidR="00A346A7" w:rsidRPr="008D6FFA">
        <w:rPr>
          <w:rFonts w:ascii="Garamond" w:hAnsi="Garamond"/>
          <w:sz w:val="22"/>
          <w:szCs w:val="22"/>
        </w:rPr>
        <w:t xml:space="preserve">in which institutional investors </w:t>
      </w:r>
      <w:r w:rsidR="00EC5498" w:rsidRPr="008D6FFA">
        <w:rPr>
          <w:rFonts w:ascii="Garamond" w:hAnsi="Garamond"/>
          <w:sz w:val="22"/>
          <w:szCs w:val="22"/>
        </w:rPr>
        <w:t>must</w:t>
      </w:r>
      <w:r w:rsidR="00A346A7" w:rsidRPr="008D6FFA">
        <w:rPr>
          <w:rFonts w:ascii="Garamond" w:hAnsi="Garamond"/>
          <w:sz w:val="22"/>
          <w:szCs w:val="22"/>
        </w:rPr>
        <w:t xml:space="preserve"> disclose </w:t>
      </w:r>
      <w:r w:rsidR="00CC1600" w:rsidRPr="008D6FFA">
        <w:rPr>
          <w:rFonts w:ascii="Garamond" w:hAnsi="Garamond"/>
          <w:sz w:val="22"/>
          <w:szCs w:val="22"/>
        </w:rPr>
        <w:t xml:space="preserve">their equity </w:t>
      </w:r>
      <w:r w:rsidR="00D279EE" w:rsidRPr="008D6FFA">
        <w:rPr>
          <w:rFonts w:ascii="Garamond" w:hAnsi="Garamond"/>
          <w:sz w:val="22"/>
          <w:szCs w:val="22"/>
        </w:rPr>
        <w:t>holdings</w:t>
      </w:r>
      <w:r w:rsidR="00CC1600" w:rsidRPr="008D6FFA">
        <w:rPr>
          <w:rFonts w:ascii="Garamond" w:hAnsi="Garamond"/>
          <w:sz w:val="22"/>
          <w:szCs w:val="22"/>
        </w:rPr>
        <w:t xml:space="preserve"> in all listed </w:t>
      </w:r>
      <w:r w:rsidR="003024AF" w:rsidRPr="008D6FFA">
        <w:rPr>
          <w:rFonts w:ascii="Garamond" w:hAnsi="Garamond"/>
          <w:sz w:val="22"/>
          <w:szCs w:val="22"/>
        </w:rPr>
        <w:t>companies</w:t>
      </w:r>
      <w:r w:rsidR="00A346A7" w:rsidRPr="008D6FFA">
        <w:rPr>
          <w:rFonts w:ascii="Garamond" w:hAnsi="Garamond"/>
          <w:sz w:val="22"/>
          <w:szCs w:val="22"/>
        </w:rPr>
        <w:t xml:space="preserve">. </w:t>
      </w:r>
      <w:r w:rsidR="00E140A4" w:rsidRPr="008D6FFA">
        <w:rPr>
          <w:rFonts w:ascii="Garamond" w:hAnsi="Garamond"/>
          <w:sz w:val="22"/>
          <w:szCs w:val="22"/>
        </w:rPr>
        <w:t>The</w:t>
      </w:r>
      <w:r w:rsidR="00A346A7" w:rsidRPr="008D6FFA">
        <w:rPr>
          <w:rFonts w:ascii="Garamond" w:hAnsi="Garamond"/>
          <w:sz w:val="22"/>
          <w:szCs w:val="22"/>
        </w:rPr>
        <w:t xml:space="preserve"> utilization of the information disclosed on 13F forms as a proxy for </w:t>
      </w:r>
      <w:r w:rsidR="002708D5" w:rsidRPr="008D6FFA">
        <w:rPr>
          <w:rFonts w:ascii="Garamond" w:hAnsi="Garamond"/>
          <w:sz w:val="22"/>
          <w:szCs w:val="22"/>
        </w:rPr>
        <w:t>IPO allocation</w:t>
      </w:r>
      <w:r w:rsidR="00A346A7" w:rsidRPr="008D6FFA">
        <w:rPr>
          <w:rFonts w:ascii="Garamond" w:hAnsi="Garamond"/>
          <w:sz w:val="22"/>
          <w:szCs w:val="22"/>
        </w:rPr>
        <w:t xml:space="preserve"> is a common practice in empirical studies </w:t>
      </w:r>
      <w:r w:rsidR="00C71A3D" w:rsidRPr="008D6FFA">
        <w:rPr>
          <w:rFonts w:ascii="Garamond" w:hAnsi="Garamond"/>
          <w:sz w:val="22"/>
          <w:szCs w:val="22"/>
        </w:rPr>
        <w:t xml:space="preserve">on public offerings </w:t>
      </w:r>
      <w:r w:rsidR="00A346A7" w:rsidRPr="008D6FFA">
        <w:rPr>
          <w:rFonts w:ascii="Garamond" w:hAnsi="Garamond"/>
          <w:sz w:val="22"/>
          <w:szCs w:val="22"/>
        </w:rPr>
        <w:t>(</w:t>
      </w:r>
      <w:proofErr w:type="spellStart"/>
      <w:r w:rsidR="005755A0" w:rsidRPr="008D6FFA">
        <w:rPr>
          <w:rFonts w:ascii="Garamond" w:hAnsi="Garamond"/>
          <w:sz w:val="22"/>
          <w:szCs w:val="22"/>
        </w:rPr>
        <w:t>Binay</w:t>
      </w:r>
      <w:proofErr w:type="spellEnd"/>
      <w:r w:rsidR="005755A0" w:rsidRPr="008D6FFA">
        <w:rPr>
          <w:rFonts w:ascii="Garamond" w:hAnsi="Garamond"/>
          <w:sz w:val="22"/>
          <w:szCs w:val="22"/>
        </w:rPr>
        <w:t xml:space="preserve">, </w:t>
      </w:r>
      <w:proofErr w:type="spellStart"/>
      <w:r w:rsidR="005755A0" w:rsidRPr="008D6FFA">
        <w:rPr>
          <w:rFonts w:ascii="Garamond" w:hAnsi="Garamond"/>
          <w:sz w:val="22"/>
          <w:szCs w:val="22"/>
        </w:rPr>
        <w:t>Gatchev</w:t>
      </w:r>
      <w:proofErr w:type="spellEnd"/>
      <w:r w:rsidR="005755A0" w:rsidRPr="008D6FFA">
        <w:rPr>
          <w:rFonts w:ascii="Garamond" w:hAnsi="Garamond"/>
          <w:sz w:val="22"/>
          <w:szCs w:val="22"/>
        </w:rPr>
        <w:t xml:space="preserve"> &amp; </w:t>
      </w:r>
      <w:proofErr w:type="spellStart"/>
      <w:r w:rsidR="005755A0" w:rsidRPr="008D6FFA">
        <w:rPr>
          <w:rFonts w:ascii="Garamond" w:hAnsi="Garamond"/>
          <w:sz w:val="22"/>
          <w:szCs w:val="22"/>
        </w:rPr>
        <w:t>Prinsky</w:t>
      </w:r>
      <w:proofErr w:type="spellEnd"/>
      <w:r w:rsidR="005755A0" w:rsidRPr="008D6FFA">
        <w:rPr>
          <w:rFonts w:ascii="Garamond" w:hAnsi="Garamond"/>
          <w:sz w:val="22"/>
          <w:szCs w:val="22"/>
        </w:rPr>
        <w:t xml:space="preserve"> 2007; Brown &amp; </w:t>
      </w:r>
      <w:proofErr w:type="spellStart"/>
      <w:r w:rsidR="005755A0" w:rsidRPr="008D6FFA">
        <w:rPr>
          <w:rFonts w:ascii="Garamond" w:hAnsi="Garamond"/>
          <w:sz w:val="22"/>
          <w:szCs w:val="22"/>
        </w:rPr>
        <w:t>Kovbasyuk</w:t>
      </w:r>
      <w:proofErr w:type="spellEnd"/>
      <w:r w:rsidR="005755A0" w:rsidRPr="008D6FFA">
        <w:rPr>
          <w:rFonts w:ascii="Garamond" w:hAnsi="Garamond"/>
          <w:sz w:val="22"/>
          <w:szCs w:val="22"/>
        </w:rPr>
        <w:t xml:space="preserve"> 2016; </w:t>
      </w:r>
      <w:r w:rsidR="00A346A7" w:rsidRPr="008D6FFA">
        <w:rPr>
          <w:rFonts w:ascii="Garamond" w:hAnsi="Garamond"/>
          <w:sz w:val="22"/>
          <w:szCs w:val="22"/>
        </w:rPr>
        <w:t>Reute</w:t>
      </w:r>
      <w:r w:rsidR="007C3FEA" w:rsidRPr="008D6FFA">
        <w:rPr>
          <w:rFonts w:ascii="Garamond" w:hAnsi="Garamond"/>
          <w:sz w:val="22"/>
          <w:szCs w:val="22"/>
        </w:rPr>
        <w:t>r</w:t>
      </w:r>
      <w:r w:rsidR="00A346A7" w:rsidRPr="008D6FFA">
        <w:rPr>
          <w:rFonts w:ascii="Garamond" w:hAnsi="Garamond"/>
          <w:sz w:val="22"/>
          <w:szCs w:val="22"/>
        </w:rPr>
        <w:t xml:space="preserve"> 2006)</w:t>
      </w:r>
      <w:r w:rsidR="00172AEF" w:rsidRPr="008D6FFA">
        <w:rPr>
          <w:rFonts w:ascii="Garamond" w:hAnsi="Garamond"/>
          <w:sz w:val="22"/>
          <w:szCs w:val="22"/>
        </w:rPr>
        <w:t xml:space="preserve">. However, it may </w:t>
      </w:r>
      <w:r w:rsidR="00A346A7" w:rsidRPr="008D6FFA">
        <w:rPr>
          <w:rFonts w:ascii="Garamond" w:hAnsi="Garamond"/>
          <w:sz w:val="22"/>
          <w:szCs w:val="22"/>
        </w:rPr>
        <w:t xml:space="preserve">not necessarily reflect the allocation of shares in the IPO. </w:t>
      </w:r>
      <w:r w:rsidR="003116F9" w:rsidRPr="008D6FFA">
        <w:rPr>
          <w:rFonts w:ascii="Garamond" w:hAnsi="Garamond"/>
          <w:sz w:val="22"/>
          <w:szCs w:val="22"/>
        </w:rPr>
        <w:t xml:space="preserve">Indeed, </w:t>
      </w:r>
      <w:r w:rsidR="00A346A7" w:rsidRPr="008D6FFA">
        <w:rPr>
          <w:rFonts w:ascii="Garamond" w:hAnsi="Garamond"/>
          <w:sz w:val="22"/>
          <w:szCs w:val="22"/>
        </w:rPr>
        <w:t xml:space="preserve">there are indications </w:t>
      </w:r>
      <w:r w:rsidR="00EC5498" w:rsidRPr="008D6FFA">
        <w:rPr>
          <w:rFonts w:ascii="Garamond" w:hAnsi="Garamond"/>
          <w:sz w:val="22"/>
          <w:szCs w:val="22"/>
        </w:rPr>
        <w:t xml:space="preserve">of </w:t>
      </w:r>
      <w:r w:rsidR="00A346A7" w:rsidRPr="008D6FFA">
        <w:rPr>
          <w:rFonts w:ascii="Garamond" w:hAnsi="Garamond"/>
          <w:sz w:val="22"/>
          <w:szCs w:val="22"/>
        </w:rPr>
        <w:t xml:space="preserve">a systematic gap between shares allocated </w:t>
      </w:r>
      <w:r w:rsidR="00C3300B" w:rsidRPr="008D6FFA">
        <w:rPr>
          <w:rFonts w:ascii="Garamond" w:hAnsi="Garamond"/>
          <w:sz w:val="22"/>
          <w:szCs w:val="22"/>
        </w:rPr>
        <w:t xml:space="preserve">to institutional investors </w:t>
      </w:r>
      <w:r w:rsidR="00A346A7" w:rsidRPr="008D6FFA">
        <w:rPr>
          <w:rFonts w:ascii="Garamond" w:hAnsi="Garamond"/>
          <w:sz w:val="22"/>
          <w:szCs w:val="22"/>
        </w:rPr>
        <w:t>in IPO</w:t>
      </w:r>
      <w:r w:rsidR="00A04615" w:rsidRPr="008D6FFA">
        <w:rPr>
          <w:rFonts w:ascii="Garamond" w:hAnsi="Garamond"/>
          <w:sz w:val="22"/>
          <w:szCs w:val="22"/>
        </w:rPr>
        <w:t>s</w:t>
      </w:r>
      <w:r w:rsidR="00A346A7" w:rsidRPr="008D6FFA">
        <w:rPr>
          <w:rFonts w:ascii="Garamond" w:hAnsi="Garamond"/>
          <w:sz w:val="22"/>
          <w:szCs w:val="22"/>
        </w:rPr>
        <w:t xml:space="preserve"> and their holding</w:t>
      </w:r>
      <w:r w:rsidR="00C3300B" w:rsidRPr="008D6FFA">
        <w:rPr>
          <w:rFonts w:ascii="Garamond" w:hAnsi="Garamond"/>
          <w:sz w:val="22"/>
          <w:szCs w:val="22"/>
        </w:rPr>
        <w:t>s</w:t>
      </w:r>
      <w:r w:rsidR="00A346A7" w:rsidRPr="008D6FFA">
        <w:rPr>
          <w:rFonts w:ascii="Garamond" w:hAnsi="Garamond"/>
          <w:sz w:val="22"/>
          <w:szCs w:val="22"/>
        </w:rPr>
        <w:t xml:space="preserve"> a short period later (</w:t>
      </w:r>
      <w:r w:rsidR="00020F27" w:rsidRPr="008D6FFA">
        <w:rPr>
          <w:rFonts w:ascii="Garamond" w:hAnsi="Garamond"/>
          <w:sz w:val="22"/>
          <w:szCs w:val="22"/>
        </w:rPr>
        <w:t xml:space="preserve">Field </w:t>
      </w:r>
      <w:r w:rsidR="00A346A7" w:rsidRPr="008D6FFA">
        <w:rPr>
          <w:rFonts w:ascii="Garamond" w:hAnsi="Garamond"/>
          <w:sz w:val="22"/>
          <w:szCs w:val="22"/>
        </w:rPr>
        <w:t xml:space="preserve">&amp; Lowry 2009). </w:t>
      </w:r>
      <w:proofErr w:type="spellStart"/>
      <w:r w:rsidR="00A346A7" w:rsidRPr="008D6FFA">
        <w:rPr>
          <w:rFonts w:ascii="Garamond" w:hAnsi="Garamond"/>
          <w:sz w:val="22"/>
          <w:szCs w:val="22"/>
        </w:rPr>
        <w:t>Aggrawal</w:t>
      </w:r>
      <w:proofErr w:type="spellEnd"/>
      <w:r w:rsidR="00A346A7" w:rsidRPr="008D6FFA">
        <w:rPr>
          <w:rFonts w:ascii="Garamond" w:hAnsi="Garamond"/>
          <w:sz w:val="22"/>
          <w:szCs w:val="22"/>
        </w:rPr>
        <w:t xml:space="preserve"> (2003)</w:t>
      </w:r>
      <w:r w:rsidR="00E32FD0" w:rsidRPr="008D6FFA">
        <w:rPr>
          <w:rFonts w:ascii="Garamond" w:hAnsi="Garamond"/>
          <w:sz w:val="22"/>
          <w:szCs w:val="22"/>
        </w:rPr>
        <w:t>, for example,</w:t>
      </w:r>
      <w:r w:rsidR="00A346A7" w:rsidRPr="008D6FFA">
        <w:rPr>
          <w:rFonts w:ascii="Garamond" w:hAnsi="Garamond"/>
          <w:sz w:val="22"/>
          <w:szCs w:val="22"/>
        </w:rPr>
        <w:t xml:space="preserve"> found that institutional investors flip 26% of their allocated shares </w:t>
      </w:r>
      <w:r w:rsidR="00A13CA3" w:rsidRPr="008D6FFA">
        <w:rPr>
          <w:rFonts w:ascii="Garamond" w:hAnsi="Garamond"/>
          <w:sz w:val="22"/>
          <w:szCs w:val="22"/>
        </w:rPr>
        <w:t>o</w:t>
      </w:r>
      <w:r w:rsidR="00A346A7" w:rsidRPr="008D6FFA">
        <w:rPr>
          <w:rFonts w:ascii="Garamond" w:hAnsi="Garamond"/>
          <w:sz w:val="22"/>
          <w:szCs w:val="22"/>
        </w:rPr>
        <w:t>n the first day of trading</w:t>
      </w:r>
      <w:r w:rsidR="00E32FD0" w:rsidRPr="008D6FFA">
        <w:rPr>
          <w:rFonts w:ascii="Garamond" w:hAnsi="Garamond"/>
          <w:sz w:val="22"/>
          <w:szCs w:val="22"/>
        </w:rPr>
        <w:t>.</w:t>
      </w:r>
      <w:r w:rsidR="00A346A7" w:rsidRPr="008D6FFA">
        <w:rPr>
          <w:rFonts w:ascii="Garamond" w:hAnsi="Garamond"/>
          <w:sz w:val="22"/>
          <w:szCs w:val="22"/>
        </w:rPr>
        <w:t xml:space="preserve"> </w:t>
      </w:r>
      <w:r w:rsidR="00396E9B" w:rsidRPr="008D6FFA">
        <w:rPr>
          <w:rFonts w:ascii="Garamond" w:hAnsi="Garamond"/>
          <w:sz w:val="22"/>
          <w:szCs w:val="22"/>
        </w:rPr>
        <w:t xml:space="preserve">Likewise, </w:t>
      </w:r>
      <w:proofErr w:type="spellStart"/>
      <w:r w:rsidR="00A346A7" w:rsidRPr="008D6FFA">
        <w:rPr>
          <w:rFonts w:ascii="Garamond" w:hAnsi="Garamond"/>
          <w:sz w:val="22"/>
          <w:szCs w:val="22"/>
        </w:rPr>
        <w:t>Chemmanur</w:t>
      </w:r>
      <w:proofErr w:type="spellEnd"/>
      <w:r w:rsidR="00A346A7" w:rsidRPr="008D6FFA">
        <w:rPr>
          <w:rFonts w:ascii="Garamond" w:hAnsi="Garamond"/>
          <w:sz w:val="22"/>
          <w:szCs w:val="22"/>
        </w:rPr>
        <w:t xml:space="preserve"> </w:t>
      </w:r>
      <w:r w:rsidR="00C4552E" w:rsidRPr="008D6FFA">
        <w:rPr>
          <w:rFonts w:ascii="Garamond" w:hAnsi="Garamond"/>
          <w:sz w:val="22"/>
          <w:szCs w:val="22"/>
        </w:rPr>
        <w:t xml:space="preserve">&amp; </w:t>
      </w:r>
      <w:r w:rsidR="00A346A7" w:rsidRPr="008D6FFA">
        <w:rPr>
          <w:rFonts w:ascii="Garamond" w:hAnsi="Garamond"/>
          <w:sz w:val="22"/>
          <w:szCs w:val="22"/>
        </w:rPr>
        <w:t>Hu (2007) found heavy selling by institutional investors throughout the first month of trading.</w:t>
      </w:r>
      <w:r w:rsidR="002D2F57" w:rsidRPr="008D6FFA">
        <w:rPr>
          <w:rFonts w:ascii="Garamond" w:hAnsi="Garamond"/>
          <w:sz w:val="22"/>
          <w:szCs w:val="22"/>
        </w:rPr>
        <w:t xml:space="preserve"> Brown &amp; </w:t>
      </w:r>
      <w:proofErr w:type="spellStart"/>
      <w:r w:rsidR="002D2F57" w:rsidRPr="008D6FFA">
        <w:rPr>
          <w:rFonts w:ascii="Garamond" w:hAnsi="Garamond"/>
          <w:sz w:val="22"/>
          <w:szCs w:val="22"/>
        </w:rPr>
        <w:t>Kovbasyuk</w:t>
      </w:r>
      <w:proofErr w:type="spellEnd"/>
      <w:r w:rsidR="002D2F57" w:rsidRPr="008D6FFA">
        <w:rPr>
          <w:rFonts w:ascii="Garamond" w:hAnsi="Garamond"/>
          <w:sz w:val="22"/>
          <w:szCs w:val="22"/>
        </w:rPr>
        <w:t xml:space="preserve"> (2016, p. 4), on the other hand, </w:t>
      </w:r>
      <w:r w:rsidR="00C879C5" w:rsidRPr="008D6FFA">
        <w:rPr>
          <w:rFonts w:ascii="Garamond" w:hAnsi="Garamond"/>
          <w:sz w:val="22"/>
          <w:szCs w:val="22"/>
        </w:rPr>
        <w:t>found</w:t>
      </w:r>
      <w:r w:rsidR="002D2F57" w:rsidRPr="008D6FFA">
        <w:rPr>
          <w:rFonts w:ascii="Garamond" w:hAnsi="Garamond"/>
          <w:sz w:val="22"/>
          <w:szCs w:val="22"/>
        </w:rPr>
        <w:t xml:space="preserve"> a high correlation</w:t>
      </w:r>
      <w:r w:rsidR="000119E8" w:rsidRPr="008D6FFA">
        <w:rPr>
          <w:rFonts w:ascii="Garamond" w:hAnsi="Garamond"/>
          <w:sz w:val="22"/>
          <w:szCs w:val="22"/>
        </w:rPr>
        <w:t xml:space="preserve"> (87%)</w:t>
      </w:r>
      <w:r w:rsidR="002D2F57" w:rsidRPr="008D6FFA">
        <w:rPr>
          <w:rFonts w:ascii="Garamond" w:hAnsi="Garamond"/>
          <w:sz w:val="22"/>
          <w:szCs w:val="22"/>
        </w:rPr>
        <w:t xml:space="preserve"> between the disclosure of holding</w:t>
      </w:r>
      <w:r w:rsidR="00EC4F20" w:rsidRPr="008D6FFA">
        <w:rPr>
          <w:rFonts w:ascii="Garamond" w:hAnsi="Garamond"/>
          <w:sz w:val="22"/>
          <w:szCs w:val="22"/>
        </w:rPr>
        <w:t>s</w:t>
      </w:r>
      <w:r w:rsidR="002D2F57" w:rsidRPr="008D6FFA">
        <w:rPr>
          <w:rFonts w:ascii="Garamond" w:hAnsi="Garamond"/>
          <w:sz w:val="22"/>
          <w:szCs w:val="22"/>
        </w:rPr>
        <w:t xml:space="preserve"> on 13F forms and the actual allocation in IPO</w:t>
      </w:r>
      <w:r w:rsidR="00C3300B" w:rsidRPr="008D6FFA">
        <w:rPr>
          <w:rFonts w:ascii="Garamond" w:hAnsi="Garamond"/>
          <w:sz w:val="22"/>
          <w:szCs w:val="22"/>
        </w:rPr>
        <w:t>s</w:t>
      </w:r>
      <w:r w:rsidR="002D2F57" w:rsidRPr="008D6FFA">
        <w:rPr>
          <w:rFonts w:ascii="Garamond" w:hAnsi="Garamond"/>
          <w:sz w:val="22"/>
          <w:szCs w:val="22"/>
        </w:rPr>
        <w:t>. The</w:t>
      </w:r>
      <w:r w:rsidR="00382AAB" w:rsidRPr="008D6FFA">
        <w:rPr>
          <w:rFonts w:ascii="Garamond" w:hAnsi="Garamond"/>
          <w:sz w:val="22"/>
          <w:szCs w:val="22"/>
        </w:rPr>
        <w:t>refore</w:t>
      </w:r>
      <w:r w:rsidR="00CA7C0A" w:rsidRPr="008D6FFA">
        <w:rPr>
          <w:rFonts w:ascii="Garamond" w:hAnsi="Garamond"/>
          <w:sz w:val="22"/>
          <w:szCs w:val="22"/>
        </w:rPr>
        <w:t>,</w:t>
      </w:r>
      <w:r w:rsidR="00382AAB" w:rsidRPr="008D6FFA">
        <w:rPr>
          <w:rFonts w:ascii="Garamond" w:hAnsi="Garamond"/>
          <w:sz w:val="22"/>
          <w:szCs w:val="22"/>
        </w:rPr>
        <w:t xml:space="preserve"> they </w:t>
      </w:r>
      <w:r w:rsidR="00C879C5" w:rsidRPr="008D6FFA">
        <w:rPr>
          <w:rFonts w:ascii="Garamond" w:hAnsi="Garamond"/>
          <w:sz w:val="22"/>
          <w:szCs w:val="22"/>
        </w:rPr>
        <w:t>argue that</w:t>
      </w:r>
      <w:r w:rsidR="002D2F57" w:rsidRPr="008D6FFA">
        <w:rPr>
          <w:rFonts w:ascii="Garamond" w:hAnsi="Garamond"/>
          <w:sz w:val="22"/>
          <w:szCs w:val="22"/>
        </w:rPr>
        <w:t xml:space="preserve"> post-IPO trading activity </w:t>
      </w:r>
      <w:r w:rsidR="00C3300B" w:rsidRPr="008D6FFA">
        <w:rPr>
          <w:rFonts w:ascii="Garamond" w:hAnsi="Garamond"/>
          <w:sz w:val="22"/>
          <w:szCs w:val="22"/>
        </w:rPr>
        <w:t xml:space="preserve">does </w:t>
      </w:r>
      <w:r w:rsidR="002D2F57" w:rsidRPr="008D6FFA">
        <w:rPr>
          <w:rFonts w:ascii="Garamond" w:hAnsi="Garamond"/>
          <w:sz w:val="22"/>
          <w:szCs w:val="22"/>
        </w:rPr>
        <w:t>not bias the measure</w:t>
      </w:r>
      <w:r w:rsidR="00C3300B" w:rsidRPr="008D6FFA">
        <w:rPr>
          <w:rFonts w:ascii="Garamond" w:hAnsi="Garamond"/>
          <w:sz w:val="22"/>
          <w:szCs w:val="22"/>
        </w:rPr>
        <w:t>ment</w:t>
      </w:r>
      <w:r w:rsidR="002D2F57" w:rsidRPr="008D6FFA">
        <w:rPr>
          <w:rFonts w:ascii="Garamond" w:hAnsi="Garamond"/>
          <w:sz w:val="22"/>
          <w:szCs w:val="22"/>
        </w:rPr>
        <w:t xml:space="preserve"> of IPO allocation through 13F disclosure.</w:t>
      </w:r>
    </w:p>
    <w:p w14:paraId="14D81C72" w14:textId="4EDE1675" w:rsidR="00A346A7" w:rsidRPr="00C21525" w:rsidRDefault="007F186A" w:rsidP="006F62ED">
      <w:pPr>
        <w:spacing w:line="360" w:lineRule="auto"/>
        <w:ind w:firstLine="426"/>
        <w:jc w:val="both"/>
        <w:rPr>
          <w:sz w:val="22"/>
          <w:szCs w:val="22"/>
        </w:rPr>
      </w:pPr>
      <w:r w:rsidRPr="008D6FFA">
        <w:rPr>
          <w:rFonts w:ascii="Garamond" w:hAnsi="Garamond"/>
          <w:sz w:val="22"/>
          <w:szCs w:val="22"/>
        </w:rPr>
        <w:t>Despite</w:t>
      </w:r>
      <w:r w:rsidR="00897257" w:rsidRPr="008D6FFA">
        <w:rPr>
          <w:rFonts w:ascii="Garamond" w:hAnsi="Garamond"/>
          <w:sz w:val="22"/>
          <w:szCs w:val="22"/>
        </w:rPr>
        <w:t xml:space="preserve"> th</w:t>
      </w:r>
      <w:r w:rsidR="002D2F57" w:rsidRPr="008D6FFA">
        <w:rPr>
          <w:rFonts w:ascii="Garamond" w:hAnsi="Garamond"/>
          <w:sz w:val="22"/>
          <w:szCs w:val="22"/>
        </w:rPr>
        <w:t>e</w:t>
      </w:r>
      <w:r w:rsidR="00897257" w:rsidRPr="008D6FFA">
        <w:rPr>
          <w:rFonts w:ascii="Garamond" w:hAnsi="Garamond"/>
          <w:sz w:val="22"/>
          <w:szCs w:val="22"/>
        </w:rPr>
        <w:t xml:space="preserve"> limitation</w:t>
      </w:r>
      <w:r w:rsidR="00C3300B" w:rsidRPr="008D6FFA">
        <w:rPr>
          <w:rFonts w:ascii="Garamond" w:hAnsi="Garamond"/>
          <w:sz w:val="22"/>
          <w:szCs w:val="22"/>
        </w:rPr>
        <w:t>s</w:t>
      </w:r>
      <w:r w:rsidR="002D2F57" w:rsidRPr="008D6FFA">
        <w:rPr>
          <w:rFonts w:ascii="Garamond" w:hAnsi="Garamond"/>
          <w:sz w:val="22"/>
          <w:szCs w:val="22"/>
        </w:rPr>
        <w:t xml:space="preserve"> associated with using 13F filings</w:t>
      </w:r>
      <w:r w:rsidR="00897257" w:rsidRPr="008D6FFA">
        <w:rPr>
          <w:rFonts w:ascii="Garamond" w:hAnsi="Garamond"/>
          <w:sz w:val="22"/>
          <w:szCs w:val="22"/>
        </w:rPr>
        <w:t xml:space="preserve">, </w:t>
      </w:r>
      <w:r w:rsidR="00F60D46" w:rsidRPr="008D6FFA">
        <w:rPr>
          <w:rFonts w:ascii="Garamond" w:hAnsi="Garamond"/>
          <w:sz w:val="22"/>
          <w:szCs w:val="22"/>
        </w:rPr>
        <w:t xml:space="preserve">our methodology is </w:t>
      </w:r>
      <w:r w:rsidR="002270F5" w:rsidRPr="008D6FFA">
        <w:rPr>
          <w:rFonts w:ascii="Garamond" w:hAnsi="Garamond"/>
          <w:sz w:val="22"/>
          <w:szCs w:val="22"/>
        </w:rPr>
        <w:t xml:space="preserve">more robust against </w:t>
      </w:r>
      <w:r w:rsidR="00F60D46" w:rsidRPr="008D6FFA">
        <w:rPr>
          <w:rFonts w:ascii="Garamond" w:hAnsi="Garamond"/>
          <w:sz w:val="22"/>
          <w:szCs w:val="22"/>
        </w:rPr>
        <w:t xml:space="preserve">bias due to </w:t>
      </w:r>
      <w:r w:rsidR="00243F2F" w:rsidRPr="008D6FFA">
        <w:rPr>
          <w:rFonts w:ascii="Garamond" w:hAnsi="Garamond"/>
          <w:sz w:val="22"/>
          <w:szCs w:val="22"/>
        </w:rPr>
        <w:t>the</w:t>
      </w:r>
      <w:r w:rsidR="00F60D46" w:rsidRPr="008D6FFA">
        <w:rPr>
          <w:rFonts w:ascii="Garamond" w:hAnsi="Garamond"/>
          <w:sz w:val="22"/>
          <w:szCs w:val="22"/>
        </w:rPr>
        <w:t xml:space="preserve"> gap between IPO allocation and </w:t>
      </w:r>
      <w:r w:rsidR="00FC548B" w:rsidRPr="008D6FFA">
        <w:rPr>
          <w:rFonts w:ascii="Garamond" w:hAnsi="Garamond"/>
          <w:sz w:val="22"/>
          <w:szCs w:val="22"/>
        </w:rPr>
        <w:t xml:space="preserve">13F holdings. This is largely because </w:t>
      </w:r>
      <w:r w:rsidR="006560D1" w:rsidRPr="008D6FFA">
        <w:rPr>
          <w:rFonts w:ascii="Garamond" w:hAnsi="Garamond"/>
          <w:sz w:val="22"/>
          <w:szCs w:val="22"/>
        </w:rPr>
        <w:t xml:space="preserve">most studies that have found a systematic gap between the two </w:t>
      </w:r>
      <w:r w:rsidR="002270F5" w:rsidRPr="008D6FFA">
        <w:rPr>
          <w:rFonts w:ascii="Garamond" w:hAnsi="Garamond"/>
          <w:sz w:val="22"/>
          <w:szCs w:val="22"/>
        </w:rPr>
        <w:t xml:space="preserve">indicate </w:t>
      </w:r>
      <w:r w:rsidR="006560D1" w:rsidRPr="008D6FFA">
        <w:rPr>
          <w:rFonts w:ascii="Garamond" w:hAnsi="Garamond"/>
          <w:sz w:val="22"/>
          <w:szCs w:val="22"/>
        </w:rPr>
        <w:t>a one-directional gap: institutional investors tended to flip a large percentage of their initial allocation at the beginning of the trading in the market (</w:t>
      </w:r>
      <w:proofErr w:type="spellStart"/>
      <w:r w:rsidR="005755A0" w:rsidRPr="008D6FFA">
        <w:rPr>
          <w:rFonts w:ascii="Garamond" w:hAnsi="Garamond"/>
          <w:sz w:val="22"/>
          <w:szCs w:val="22"/>
        </w:rPr>
        <w:t>Aggrawal</w:t>
      </w:r>
      <w:proofErr w:type="spellEnd"/>
      <w:r w:rsidR="005755A0" w:rsidRPr="008D6FFA">
        <w:rPr>
          <w:rFonts w:ascii="Garamond" w:hAnsi="Garamond"/>
          <w:sz w:val="22"/>
          <w:szCs w:val="22"/>
        </w:rPr>
        <w:t xml:space="preserve"> 2003; </w:t>
      </w:r>
      <w:proofErr w:type="spellStart"/>
      <w:r w:rsidR="005755A0" w:rsidRPr="008D6FFA">
        <w:rPr>
          <w:rFonts w:ascii="Garamond" w:hAnsi="Garamond"/>
          <w:sz w:val="22"/>
          <w:szCs w:val="22"/>
        </w:rPr>
        <w:t>Chemmanor</w:t>
      </w:r>
      <w:proofErr w:type="spellEnd"/>
      <w:r w:rsidR="005755A0" w:rsidRPr="008D6FFA">
        <w:rPr>
          <w:rFonts w:ascii="Garamond" w:hAnsi="Garamond"/>
          <w:sz w:val="22"/>
          <w:szCs w:val="22"/>
        </w:rPr>
        <w:t xml:space="preserve"> &amp; Hu 2007; </w:t>
      </w:r>
      <w:r w:rsidR="001C42CD" w:rsidRPr="008D6FFA">
        <w:rPr>
          <w:rFonts w:ascii="Garamond" w:hAnsi="Garamond"/>
          <w:sz w:val="22"/>
          <w:szCs w:val="22"/>
        </w:rPr>
        <w:t>Fi</w:t>
      </w:r>
      <w:r w:rsidR="00D010AD" w:rsidRPr="008D6FFA">
        <w:rPr>
          <w:rFonts w:ascii="Garamond" w:hAnsi="Garamond"/>
          <w:sz w:val="22"/>
          <w:szCs w:val="22"/>
        </w:rPr>
        <w:t>eld</w:t>
      </w:r>
      <w:r w:rsidR="001C42CD" w:rsidRPr="008D6FFA">
        <w:rPr>
          <w:rFonts w:ascii="Garamond" w:hAnsi="Garamond"/>
          <w:sz w:val="22"/>
          <w:szCs w:val="22"/>
        </w:rPr>
        <w:t xml:space="preserve"> </w:t>
      </w:r>
      <w:r w:rsidR="006560D1" w:rsidRPr="008D6FFA">
        <w:rPr>
          <w:rFonts w:ascii="Garamond" w:hAnsi="Garamond"/>
          <w:sz w:val="22"/>
          <w:szCs w:val="22"/>
        </w:rPr>
        <w:t>&amp; Lowry 2009). Thus, institutional investor</w:t>
      </w:r>
      <w:r w:rsidR="00C8114B" w:rsidRPr="008D6FFA">
        <w:rPr>
          <w:rFonts w:ascii="Garamond" w:hAnsi="Garamond"/>
          <w:sz w:val="22"/>
          <w:szCs w:val="22"/>
        </w:rPr>
        <w:t>s</w:t>
      </w:r>
      <w:r w:rsidR="006560D1" w:rsidRPr="008D6FFA">
        <w:rPr>
          <w:rFonts w:ascii="Garamond" w:hAnsi="Garamond"/>
          <w:sz w:val="22"/>
          <w:szCs w:val="22"/>
        </w:rPr>
        <w:t xml:space="preserve"> may have held shares at the initial allocation</w:t>
      </w:r>
      <w:r w:rsidR="00780313" w:rsidRPr="008D6FFA">
        <w:rPr>
          <w:rFonts w:ascii="Garamond" w:hAnsi="Garamond"/>
          <w:sz w:val="22"/>
          <w:szCs w:val="22"/>
        </w:rPr>
        <w:t xml:space="preserve"> stage</w:t>
      </w:r>
      <w:r w:rsidR="006560D1" w:rsidRPr="008D6FFA">
        <w:rPr>
          <w:rFonts w:ascii="Garamond" w:hAnsi="Garamond"/>
          <w:sz w:val="22"/>
          <w:szCs w:val="22"/>
        </w:rPr>
        <w:t xml:space="preserve"> </w:t>
      </w:r>
      <w:r w:rsidR="005755A0" w:rsidRPr="008D6FFA">
        <w:rPr>
          <w:rFonts w:ascii="Garamond" w:hAnsi="Garamond"/>
          <w:sz w:val="22"/>
          <w:szCs w:val="22"/>
        </w:rPr>
        <w:t>that</w:t>
      </w:r>
      <w:r w:rsidR="006560D1" w:rsidRPr="008D6FFA">
        <w:rPr>
          <w:rFonts w:ascii="Garamond" w:hAnsi="Garamond"/>
          <w:sz w:val="22"/>
          <w:szCs w:val="22"/>
        </w:rPr>
        <w:t xml:space="preserve"> are not reflected in their holding disclosures in the first quarter</w:t>
      </w:r>
      <w:r w:rsidR="00AB365A" w:rsidRPr="008D6FFA">
        <w:rPr>
          <w:rFonts w:ascii="Garamond" w:hAnsi="Garamond"/>
          <w:sz w:val="22"/>
          <w:szCs w:val="22"/>
        </w:rPr>
        <w:t xml:space="preserve">. The opposite scenario is less </w:t>
      </w:r>
      <w:r w:rsidR="00717DDF" w:rsidRPr="008D6FFA">
        <w:rPr>
          <w:rFonts w:ascii="Garamond" w:hAnsi="Garamond"/>
          <w:sz w:val="22"/>
          <w:szCs w:val="22"/>
        </w:rPr>
        <w:t>probable</w:t>
      </w:r>
      <w:r w:rsidR="00AB365A" w:rsidRPr="008D6FFA">
        <w:rPr>
          <w:rFonts w:ascii="Garamond" w:hAnsi="Garamond"/>
          <w:sz w:val="22"/>
          <w:szCs w:val="22"/>
        </w:rPr>
        <w:t xml:space="preserve"> (</w:t>
      </w:r>
      <w:proofErr w:type="spellStart"/>
      <w:r w:rsidR="00342773" w:rsidRPr="008D6FFA">
        <w:rPr>
          <w:rFonts w:ascii="Garamond" w:hAnsi="Garamond"/>
          <w:sz w:val="22"/>
          <w:szCs w:val="22"/>
        </w:rPr>
        <w:t>Chemmanor</w:t>
      </w:r>
      <w:proofErr w:type="spellEnd"/>
      <w:r w:rsidR="00342773" w:rsidRPr="008D6FFA">
        <w:rPr>
          <w:rFonts w:ascii="Garamond" w:hAnsi="Garamond"/>
          <w:sz w:val="22"/>
          <w:szCs w:val="22"/>
        </w:rPr>
        <w:t xml:space="preserve"> &amp; Hu 2007</w:t>
      </w:r>
      <w:r w:rsidR="00AB365A" w:rsidRPr="008D6FFA">
        <w:rPr>
          <w:rFonts w:ascii="Garamond" w:hAnsi="Garamond"/>
          <w:sz w:val="22"/>
          <w:szCs w:val="22"/>
        </w:rPr>
        <w:t>).</w:t>
      </w:r>
      <w:r w:rsidR="001B1BAD" w:rsidRPr="008D6FFA">
        <w:rPr>
          <w:rFonts w:ascii="Garamond" w:hAnsi="Garamond"/>
          <w:sz w:val="22"/>
          <w:szCs w:val="22"/>
        </w:rPr>
        <w:t xml:space="preserve"> </w:t>
      </w:r>
      <w:r w:rsidR="002E7567" w:rsidRPr="008D6FFA">
        <w:rPr>
          <w:rFonts w:ascii="Garamond" w:hAnsi="Garamond"/>
          <w:sz w:val="22"/>
          <w:szCs w:val="22"/>
        </w:rPr>
        <w:t>It should also be noted that t</w:t>
      </w:r>
      <w:r w:rsidR="00B511D2" w:rsidRPr="008D6FFA">
        <w:rPr>
          <w:rFonts w:ascii="Garamond" w:hAnsi="Garamond"/>
          <w:sz w:val="22"/>
          <w:szCs w:val="22"/>
        </w:rPr>
        <w:t>he</w:t>
      </w:r>
      <w:r w:rsidR="00A346A7" w:rsidRPr="008D6FFA">
        <w:rPr>
          <w:rFonts w:ascii="Garamond" w:hAnsi="Garamond"/>
          <w:sz w:val="22"/>
          <w:szCs w:val="22"/>
        </w:rPr>
        <w:t xml:space="preserve"> model in our study is based on a </w:t>
      </w:r>
      <w:r w:rsidR="002270F5" w:rsidRPr="008D6FFA">
        <w:rPr>
          <w:rFonts w:ascii="Garamond" w:hAnsi="Garamond"/>
          <w:sz w:val="22"/>
          <w:szCs w:val="22"/>
        </w:rPr>
        <w:t xml:space="preserve">binary </w:t>
      </w:r>
      <w:r w:rsidR="00A346A7" w:rsidRPr="008D6FFA">
        <w:rPr>
          <w:rFonts w:ascii="Garamond" w:hAnsi="Garamond"/>
          <w:sz w:val="22"/>
          <w:szCs w:val="22"/>
        </w:rPr>
        <w:t xml:space="preserve">variable </w:t>
      </w:r>
      <w:r w:rsidR="002270F5" w:rsidRPr="008D6FFA">
        <w:rPr>
          <w:rFonts w:ascii="Garamond" w:hAnsi="Garamond"/>
          <w:sz w:val="22"/>
          <w:szCs w:val="22"/>
        </w:rPr>
        <w:t>indicating</w:t>
      </w:r>
      <w:r w:rsidR="00A346A7" w:rsidRPr="008D6FFA">
        <w:rPr>
          <w:rFonts w:ascii="Garamond" w:hAnsi="Garamond"/>
          <w:sz w:val="22"/>
          <w:szCs w:val="22"/>
        </w:rPr>
        <w:t xml:space="preserve"> whether </w:t>
      </w:r>
      <w:r w:rsidR="003B06B7" w:rsidRPr="008D6FFA">
        <w:rPr>
          <w:rFonts w:ascii="Garamond" w:hAnsi="Garamond"/>
          <w:sz w:val="22"/>
          <w:szCs w:val="22"/>
        </w:rPr>
        <w:t>all three major institutional investors</w:t>
      </w:r>
      <w:r w:rsidR="003B06B7" w:rsidRPr="008D6FFA" w:rsidDel="002270F5">
        <w:rPr>
          <w:rFonts w:ascii="Garamond" w:hAnsi="Garamond"/>
          <w:sz w:val="22"/>
          <w:szCs w:val="22"/>
        </w:rPr>
        <w:t xml:space="preserve"> </w:t>
      </w:r>
      <w:r w:rsidR="00A346A7" w:rsidRPr="008D6FFA">
        <w:rPr>
          <w:rFonts w:ascii="Garamond" w:hAnsi="Garamond"/>
          <w:sz w:val="22"/>
          <w:szCs w:val="22"/>
        </w:rPr>
        <w:t>held any shares at the time of the first quarterly disclosure after the IPO. As noted above, if</w:t>
      </w:r>
      <w:r w:rsidR="009651BB" w:rsidRPr="008D6FFA">
        <w:rPr>
          <w:rFonts w:ascii="Garamond" w:hAnsi="Garamond"/>
          <w:sz w:val="22"/>
          <w:szCs w:val="22"/>
        </w:rPr>
        <w:t>,</w:t>
      </w:r>
      <w:r w:rsidR="00A346A7" w:rsidRPr="008D6FFA">
        <w:rPr>
          <w:rFonts w:ascii="Garamond" w:hAnsi="Garamond"/>
          <w:sz w:val="22"/>
          <w:szCs w:val="22"/>
        </w:rPr>
        <w:t xml:space="preserve"> </w:t>
      </w:r>
      <w:r w:rsidR="00142479" w:rsidRPr="008D6FFA">
        <w:rPr>
          <w:rFonts w:ascii="Garamond" w:hAnsi="Garamond"/>
          <w:sz w:val="22"/>
          <w:szCs w:val="22"/>
        </w:rPr>
        <w:t xml:space="preserve">according to </w:t>
      </w:r>
      <w:r w:rsidR="00A346A7" w:rsidRPr="008D6FFA">
        <w:rPr>
          <w:rFonts w:ascii="Garamond" w:hAnsi="Garamond"/>
          <w:sz w:val="22"/>
          <w:szCs w:val="22"/>
        </w:rPr>
        <w:t xml:space="preserve">the first quarterly disclosure, </w:t>
      </w:r>
      <w:r w:rsidR="009651BB" w:rsidRPr="008D6FFA">
        <w:rPr>
          <w:rFonts w:ascii="Garamond" w:hAnsi="Garamond"/>
          <w:sz w:val="22"/>
          <w:szCs w:val="22"/>
        </w:rPr>
        <w:t xml:space="preserve">an investor held shares, </w:t>
      </w:r>
      <w:r w:rsidR="00A346A7" w:rsidRPr="008D6FFA">
        <w:rPr>
          <w:rFonts w:ascii="Garamond" w:hAnsi="Garamond"/>
          <w:sz w:val="22"/>
          <w:szCs w:val="22"/>
        </w:rPr>
        <w:lastRenderedPageBreak/>
        <w:t>it most likely held th</w:t>
      </w:r>
      <w:r w:rsidR="003B06B7" w:rsidRPr="008D6FFA">
        <w:rPr>
          <w:rFonts w:ascii="Garamond" w:hAnsi="Garamond"/>
          <w:sz w:val="22"/>
          <w:szCs w:val="22"/>
        </w:rPr>
        <w:t>e</w:t>
      </w:r>
      <w:r w:rsidR="00A346A7" w:rsidRPr="008D6FFA">
        <w:rPr>
          <w:rFonts w:ascii="Garamond" w:hAnsi="Garamond"/>
          <w:sz w:val="22"/>
          <w:szCs w:val="22"/>
        </w:rPr>
        <w:t xml:space="preserve">se shares at the time of the IPO. </w:t>
      </w:r>
      <w:r w:rsidR="006F62ED" w:rsidRPr="008D6FFA">
        <w:rPr>
          <w:rFonts w:ascii="Garamond" w:hAnsi="Garamond"/>
          <w:sz w:val="22"/>
          <w:szCs w:val="22"/>
        </w:rPr>
        <w:t>The main reason we did</w:t>
      </w:r>
      <w:r w:rsidR="00E40917" w:rsidRPr="008D6FFA">
        <w:rPr>
          <w:rFonts w:ascii="Garamond" w:hAnsi="Garamond"/>
          <w:sz w:val="22"/>
          <w:szCs w:val="22"/>
        </w:rPr>
        <w:t xml:space="preserve"> no</w:t>
      </w:r>
      <w:r w:rsidR="006F62ED" w:rsidRPr="008D6FFA">
        <w:rPr>
          <w:rFonts w:ascii="Garamond" w:hAnsi="Garamond"/>
          <w:sz w:val="22"/>
          <w:szCs w:val="22"/>
        </w:rPr>
        <w:t>t choose an alternative model</w:t>
      </w:r>
      <w:r w:rsidR="009651BB" w:rsidRPr="008D6FFA">
        <w:rPr>
          <w:rFonts w:ascii="Garamond" w:hAnsi="Garamond"/>
          <w:sz w:val="22"/>
          <w:szCs w:val="22"/>
        </w:rPr>
        <w:t xml:space="preserve">, such as </w:t>
      </w:r>
      <w:r w:rsidR="006F62ED" w:rsidRPr="008D6FFA">
        <w:rPr>
          <w:rFonts w:ascii="Garamond" w:hAnsi="Garamond"/>
          <w:sz w:val="22"/>
          <w:szCs w:val="22"/>
        </w:rPr>
        <w:t xml:space="preserve">looking at the correlation between the aggregate </w:t>
      </w:r>
      <w:r w:rsidR="003B06B7" w:rsidRPr="008D6FFA">
        <w:rPr>
          <w:rFonts w:ascii="Garamond" w:hAnsi="Garamond"/>
          <w:sz w:val="22"/>
          <w:szCs w:val="22"/>
        </w:rPr>
        <w:t xml:space="preserve">size </w:t>
      </w:r>
      <w:r w:rsidR="006F62ED" w:rsidRPr="008D6FFA">
        <w:rPr>
          <w:rFonts w:ascii="Garamond" w:hAnsi="Garamond"/>
          <w:sz w:val="22"/>
          <w:szCs w:val="22"/>
        </w:rPr>
        <w:t>of the holding</w:t>
      </w:r>
      <w:r w:rsidR="003B06B7" w:rsidRPr="008D6FFA">
        <w:rPr>
          <w:rFonts w:ascii="Garamond" w:hAnsi="Garamond"/>
          <w:sz w:val="22"/>
          <w:szCs w:val="22"/>
        </w:rPr>
        <w:t>s</w:t>
      </w:r>
      <w:r w:rsidR="006F62ED" w:rsidRPr="008D6FFA">
        <w:rPr>
          <w:rFonts w:ascii="Garamond" w:hAnsi="Garamond"/>
          <w:sz w:val="22"/>
          <w:szCs w:val="22"/>
        </w:rPr>
        <w:t xml:space="preserve"> of the giant institutional investors and underpricing</w:t>
      </w:r>
      <w:r w:rsidR="003B06B7" w:rsidRPr="008D6FFA">
        <w:rPr>
          <w:rFonts w:ascii="Garamond" w:hAnsi="Garamond"/>
          <w:sz w:val="22"/>
          <w:szCs w:val="22"/>
        </w:rPr>
        <w:t xml:space="preserve">, </w:t>
      </w:r>
      <w:r w:rsidR="006F62ED" w:rsidRPr="008D6FFA">
        <w:rPr>
          <w:rFonts w:ascii="Garamond" w:hAnsi="Garamond"/>
          <w:sz w:val="22"/>
          <w:szCs w:val="22"/>
        </w:rPr>
        <w:t xml:space="preserve">is the potential gap between shares held in the IPO and those disclosed in the first quarter after the IPO. The latter would have suffered </w:t>
      </w:r>
      <w:r w:rsidR="001F1432" w:rsidRPr="008D6FFA">
        <w:rPr>
          <w:rFonts w:ascii="Garamond" w:hAnsi="Garamond"/>
          <w:sz w:val="22"/>
          <w:szCs w:val="22"/>
        </w:rPr>
        <w:t xml:space="preserve">a </w:t>
      </w:r>
      <w:r w:rsidR="006F62ED" w:rsidRPr="008D6FFA">
        <w:rPr>
          <w:rFonts w:ascii="Garamond" w:hAnsi="Garamond"/>
          <w:sz w:val="22"/>
          <w:szCs w:val="22"/>
        </w:rPr>
        <w:t xml:space="preserve">more </w:t>
      </w:r>
      <w:r w:rsidR="001F1432" w:rsidRPr="008D6FFA">
        <w:rPr>
          <w:rFonts w:ascii="Garamond" w:hAnsi="Garamond"/>
          <w:sz w:val="22"/>
          <w:szCs w:val="22"/>
        </w:rPr>
        <w:t xml:space="preserve">significant </w:t>
      </w:r>
      <w:r w:rsidR="006F62ED" w:rsidRPr="008D6FFA">
        <w:rPr>
          <w:rFonts w:ascii="Garamond" w:hAnsi="Garamond"/>
          <w:sz w:val="22"/>
          <w:szCs w:val="22"/>
        </w:rPr>
        <w:t xml:space="preserve">systematic discrepancy between the size of holdings in the first quarter and the size of holdings in the IPO. </w:t>
      </w:r>
    </w:p>
    <w:p w14:paraId="3050A8B9" w14:textId="6A37F9ED" w:rsidR="006D49D7" w:rsidRPr="006D49D7" w:rsidRDefault="006D49D7" w:rsidP="006D49D7">
      <w:pPr>
        <w:spacing w:line="360" w:lineRule="auto"/>
        <w:ind w:firstLine="426"/>
        <w:jc w:val="both"/>
        <w:rPr>
          <w:rFonts w:ascii="Garamond" w:hAnsi="Garamond"/>
          <w:sz w:val="22"/>
          <w:szCs w:val="22"/>
        </w:rPr>
      </w:pPr>
      <w:r w:rsidRPr="006D49D7">
        <w:rPr>
          <w:rFonts w:ascii="Garamond" w:hAnsi="Garamond"/>
          <w:sz w:val="22"/>
          <w:szCs w:val="22"/>
        </w:rPr>
        <w:t>A potential pitfall of this research lies in the difficulty of pinpointing the causal mechanisms that link the collective market power of giant institutional investors to IPO underpricing. While we intend to demonstrate that the participation of these large asset managers has a substantial impact on IPO underpricing, the nuanced interactions and dynamic between institutional bidders, underwriters, and issuers during the book-building process pose a considerable challenge to investigate.</w:t>
      </w:r>
    </w:p>
    <w:p w14:paraId="21659547" w14:textId="25BBA48F" w:rsidR="006D49D7" w:rsidRPr="006D49D7" w:rsidRDefault="006D49D7" w:rsidP="006D49D7">
      <w:pPr>
        <w:spacing w:line="360" w:lineRule="auto"/>
        <w:ind w:firstLine="426"/>
        <w:jc w:val="both"/>
        <w:rPr>
          <w:rFonts w:ascii="Garamond" w:hAnsi="Garamond"/>
          <w:sz w:val="22"/>
          <w:szCs w:val="22"/>
        </w:rPr>
      </w:pPr>
      <w:r w:rsidRPr="006D49D7">
        <w:rPr>
          <w:rFonts w:ascii="Garamond" w:hAnsi="Garamond"/>
          <w:sz w:val="22"/>
          <w:szCs w:val="22"/>
        </w:rPr>
        <w:t>The opaque nature of the book-building process and the lack of available data on actual bids and allocations make it challenging to identify any strategic behavior by asset managers that may facilitate high levels of underpricing. While we have identified several indicators of information sharing</w:t>
      </w:r>
      <w:r>
        <w:rPr>
          <w:rFonts w:ascii="Garamond" w:hAnsi="Garamond"/>
          <w:sz w:val="22"/>
          <w:szCs w:val="22"/>
        </w:rPr>
        <w:t>,</w:t>
      </w:r>
      <w:r w:rsidRPr="006D49D7">
        <w:rPr>
          <w:rFonts w:ascii="Garamond" w:hAnsi="Garamond"/>
          <w:sz w:val="22"/>
          <w:szCs w:val="22"/>
        </w:rPr>
        <w:t xml:space="preserve"> </w:t>
      </w:r>
      <w:r>
        <w:rPr>
          <w:rFonts w:ascii="Garamond" w:hAnsi="Garamond"/>
          <w:sz w:val="22"/>
          <w:szCs w:val="22"/>
        </w:rPr>
        <w:t>as well as</w:t>
      </w:r>
      <w:r w:rsidRPr="006D49D7">
        <w:rPr>
          <w:rFonts w:ascii="Garamond" w:hAnsi="Garamond"/>
          <w:sz w:val="22"/>
          <w:szCs w:val="22"/>
        </w:rPr>
        <w:t xml:space="preserve"> coordination among institutional investors regarding</w:t>
      </w:r>
      <w:r>
        <w:rPr>
          <w:rFonts w:ascii="Garamond" w:hAnsi="Garamond"/>
          <w:sz w:val="22"/>
          <w:szCs w:val="22"/>
        </w:rPr>
        <w:t xml:space="preserve"> issues related to the issuers</w:t>
      </w:r>
      <w:r w:rsidRPr="006D49D7">
        <w:rPr>
          <w:rFonts w:ascii="Garamond" w:hAnsi="Garamond"/>
          <w:sz w:val="22"/>
          <w:szCs w:val="22"/>
        </w:rPr>
        <w:t xml:space="preserve"> which could impact pricing, we believe that additional data would be helpful in further elucidating these mechanisms.</w:t>
      </w:r>
    </w:p>
    <w:p w14:paraId="5A36EFDB" w14:textId="0E884260" w:rsidR="00590EFF" w:rsidRPr="008D6FFA" w:rsidRDefault="006D49D7" w:rsidP="00704DD8">
      <w:pPr>
        <w:spacing w:line="360" w:lineRule="auto"/>
        <w:ind w:firstLine="426"/>
        <w:jc w:val="both"/>
        <w:rPr>
          <w:rFonts w:ascii="Garamond" w:hAnsi="Garamond"/>
          <w:sz w:val="22"/>
          <w:szCs w:val="22"/>
        </w:rPr>
      </w:pPr>
      <w:r w:rsidRPr="006D49D7">
        <w:rPr>
          <w:rFonts w:ascii="Garamond" w:hAnsi="Garamond"/>
          <w:sz w:val="22"/>
          <w:szCs w:val="22"/>
        </w:rPr>
        <w:t>To address this limitation, we plan to conduct off-the-record interviews with market participants, including underwriters, legal advisors, and relevant personnel at large money managers. Our aim is that these interviews will provide more insight into the linkages between asset managers and IPO underpricing.</w:t>
      </w:r>
      <w:r w:rsidR="00C22DE3">
        <w:rPr>
          <w:rFonts w:ascii="Garamond" w:hAnsi="Garamond"/>
          <w:sz w:val="22"/>
          <w:szCs w:val="22"/>
        </w:rPr>
        <w:t xml:space="preserve"> </w:t>
      </w:r>
      <w:r w:rsidR="00C22DE3" w:rsidRPr="00C22DE3">
        <w:rPr>
          <w:rFonts w:ascii="Garamond" w:hAnsi="Garamond"/>
          <w:sz w:val="22"/>
          <w:szCs w:val="22"/>
        </w:rPr>
        <w:t xml:space="preserve">Additionally, we will seek to use the information gathered from these interviews to understand how the feedback received by giant asset managers prior to the formal book-building process impacts the preliminary price range set before the book-building initiates. We will also try to understand whether, and to what degree, the initial price range and final offer price are </w:t>
      </w:r>
      <w:r w:rsidR="00C22DE3">
        <w:rPr>
          <w:rFonts w:ascii="Garamond" w:hAnsi="Garamond"/>
          <w:sz w:val="22"/>
          <w:szCs w:val="22"/>
        </w:rPr>
        <w:t>“</w:t>
      </w:r>
      <w:r w:rsidR="00C22DE3" w:rsidRPr="00C22DE3">
        <w:rPr>
          <w:rFonts w:ascii="Garamond" w:hAnsi="Garamond"/>
          <w:sz w:val="22"/>
          <w:szCs w:val="22"/>
        </w:rPr>
        <w:t>sticky</w:t>
      </w:r>
      <w:r w:rsidR="00C22DE3">
        <w:rPr>
          <w:rFonts w:ascii="Garamond" w:hAnsi="Garamond"/>
          <w:sz w:val="22"/>
          <w:szCs w:val="22"/>
        </w:rPr>
        <w:t>”</w:t>
      </w:r>
      <w:r w:rsidR="00C22DE3" w:rsidRPr="00C22DE3">
        <w:rPr>
          <w:rFonts w:ascii="Garamond" w:hAnsi="Garamond"/>
          <w:sz w:val="22"/>
          <w:szCs w:val="22"/>
        </w:rPr>
        <w:t xml:space="preserve"> or relatively resistant to change. In such a case, the effect of any strategic behavior by asset managers may be extended to earlier stages in the IPO process, beyond just the book-building phase.</w:t>
      </w:r>
    </w:p>
    <w:p w14:paraId="497FA18F" w14:textId="05F47AB1" w:rsidR="006E6E32" w:rsidRPr="008D6FFA" w:rsidRDefault="00590EFF" w:rsidP="00A2291D">
      <w:pPr>
        <w:spacing w:line="360" w:lineRule="auto"/>
        <w:ind w:firstLine="426"/>
        <w:jc w:val="both"/>
        <w:rPr>
          <w:rFonts w:ascii="Garamond" w:hAnsi="Garamond"/>
          <w:sz w:val="22"/>
          <w:szCs w:val="22"/>
        </w:rPr>
      </w:pPr>
      <w:r>
        <w:rPr>
          <w:rFonts w:ascii="Garamond" w:hAnsi="Garamond"/>
          <w:sz w:val="22"/>
          <w:szCs w:val="22"/>
        </w:rPr>
        <w:t>A</w:t>
      </w:r>
      <w:r w:rsidR="00F543EF">
        <w:rPr>
          <w:rFonts w:ascii="Garamond" w:hAnsi="Garamond"/>
          <w:sz w:val="22"/>
          <w:szCs w:val="22"/>
        </w:rPr>
        <w:t xml:space="preserve"> </w:t>
      </w:r>
      <w:r w:rsidR="006D49D7">
        <w:rPr>
          <w:rFonts w:ascii="Garamond" w:hAnsi="Garamond"/>
          <w:sz w:val="22"/>
          <w:szCs w:val="22"/>
        </w:rPr>
        <w:t>third</w:t>
      </w:r>
      <w:r>
        <w:rPr>
          <w:rFonts w:ascii="Garamond" w:hAnsi="Garamond"/>
          <w:sz w:val="22"/>
          <w:szCs w:val="22"/>
        </w:rPr>
        <w:t xml:space="preserve"> </w:t>
      </w:r>
      <w:r w:rsidR="00A346A7" w:rsidRPr="008D6FFA">
        <w:rPr>
          <w:rFonts w:ascii="Garamond" w:hAnsi="Garamond"/>
          <w:sz w:val="22"/>
          <w:szCs w:val="22"/>
        </w:rPr>
        <w:t xml:space="preserve">pitfall we </w:t>
      </w:r>
      <w:r w:rsidR="009263B2" w:rsidRPr="008D6FFA">
        <w:rPr>
          <w:rFonts w:ascii="Garamond" w:hAnsi="Garamond"/>
          <w:sz w:val="22"/>
          <w:szCs w:val="22"/>
        </w:rPr>
        <w:t>intend</w:t>
      </w:r>
      <w:r w:rsidR="00A346A7" w:rsidRPr="008D6FFA">
        <w:rPr>
          <w:rFonts w:ascii="Garamond" w:hAnsi="Garamond"/>
          <w:sz w:val="22"/>
          <w:szCs w:val="22"/>
        </w:rPr>
        <w:t xml:space="preserve"> to address is the possibility that there are additional </w:t>
      </w:r>
      <w:r>
        <w:rPr>
          <w:rFonts w:ascii="Garamond" w:hAnsi="Garamond"/>
          <w:sz w:val="22"/>
          <w:szCs w:val="22"/>
        </w:rPr>
        <w:t xml:space="preserve">powerful </w:t>
      </w:r>
      <w:r w:rsidR="0064730D" w:rsidRPr="008D6FFA">
        <w:rPr>
          <w:rFonts w:ascii="Garamond" w:hAnsi="Garamond"/>
          <w:sz w:val="22"/>
          <w:szCs w:val="22"/>
        </w:rPr>
        <w:t>market actors</w:t>
      </w:r>
      <w:r>
        <w:rPr>
          <w:rFonts w:ascii="Garamond" w:hAnsi="Garamond" w:hint="cs"/>
          <w:sz w:val="22"/>
          <w:szCs w:val="22"/>
          <w:rtl/>
        </w:rPr>
        <w:t xml:space="preserve"> </w:t>
      </w:r>
      <w:r w:rsidR="003B06B7" w:rsidRPr="008D6FFA">
        <w:rPr>
          <w:rFonts w:ascii="Garamond" w:hAnsi="Garamond"/>
          <w:sz w:val="22"/>
          <w:szCs w:val="22"/>
        </w:rPr>
        <w:t xml:space="preserve">that </w:t>
      </w:r>
      <w:r w:rsidR="00BC2AAE" w:rsidRPr="008D6FFA">
        <w:rPr>
          <w:rFonts w:ascii="Garamond" w:hAnsi="Garamond"/>
          <w:sz w:val="22"/>
          <w:szCs w:val="22"/>
        </w:rPr>
        <w:t>induce IPO underpricing</w:t>
      </w:r>
      <w:r w:rsidR="00A346A7" w:rsidRPr="008D6FFA">
        <w:rPr>
          <w:rFonts w:ascii="Garamond" w:hAnsi="Garamond"/>
          <w:sz w:val="22"/>
          <w:szCs w:val="22"/>
        </w:rPr>
        <w:t xml:space="preserve">. </w:t>
      </w:r>
      <w:r w:rsidR="00C93272" w:rsidRPr="008D6FFA">
        <w:rPr>
          <w:rFonts w:ascii="Garamond" w:hAnsi="Garamond"/>
          <w:sz w:val="22"/>
          <w:szCs w:val="22"/>
        </w:rPr>
        <w:t xml:space="preserve">The </w:t>
      </w:r>
      <w:r w:rsidR="009D6D76">
        <w:rPr>
          <w:rFonts w:ascii="Garamond" w:hAnsi="Garamond"/>
          <w:sz w:val="22"/>
          <w:szCs w:val="22"/>
        </w:rPr>
        <w:t xml:space="preserve">fourth </w:t>
      </w:r>
      <w:r w:rsidR="00C93272" w:rsidRPr="008D6FFA">
        <w:rPr>
          <w:rFonts w:ascii="Garamond" w:hAnsi="Garamond"/>
          <w:sz w:val="22"/>
          <w:szCs w:val="22"/>
        </w:rPr>
        <w:t xml:space="preserve">stage of our research is designed to </w:t>
      </w:r>
      <w:r w:rsidR="005E58C7" w:rsidRPr="008D6FFA">
        <w:rPr>
          <w:rFonts w:ascii="Garamond" w:hAnsi="Garamond"/>
          <w:sz w:val="22"/>
          <w:szCs w:val="22"/>
        </w:rPr>
        <w:t xml:space="preserve">mitigate </w:t>
      </w:r>
      <w:r w:rsidR="00543935" w:rsidRPr="008D6FFA">
        <w:rPr>
          <w:rFonts w:ascii="Garamond" w:hAnsi="Garamond"/>
          <w:sz w:val="22"/>
          <w:szCs w:val="22"/>
        </w:rPr>
        <w:t xml:space="preserve">this </w:t>
      </w:r>
      <w:r w:rsidR="00E7270B" w:rsidRPr="008D6FFA">
        <w:rPr>
          <w:rFonts w:ascii="Garamond" w:hAnsi="Garamond"/>
          <w:sz w:val="22"/>
          <w:szCs w:val="22"/>
        </w:rPr>
        <w:t>concern,</w:t>
      </w:r>
      <w:r w:rsidR="00543935" w:rsidRPr="008D6FFA">
        <w:rPr>
          <w:rFonts w:ascii="Garamond" w:hAnsi="Garamond"/>
          <w:sz w:val="22"/>
          <w:szCs w:val="22"/>
        </w:rPr>
        <w:t xml:space="preserve"> but it is </w:t>
      </w:r>
      <w:r w:rsidR="000E5EED" w:rsidRPr="008D6FFA">
        <w:rPr>
          <w:rFonts w:ascii="Garamond" w:hAnsi="Garamond"/>
          <w:sz w:val="22"/>
          <w:szCs w:val="22"/>
        </w:rPr>
        <w:t>less</w:t>
      </w:r>
      <w:r w:rsidR="00543935" w:rsidRPr="008D6FFA">
        <w:rPr>
          <w:rFonts w:ascii="Garamond" w:hAnsi="Garamond"/>
          <w:sz w:val="22"/>
          <w:szCs w:val="22"/>
        </w:rPr>
        <w:t xml:space="preserve"> robust </w:t>
      </w:r>
      <w:r w:rsidR="000E5EED" w:rsidRPr="008D6FFA">
        <w:rPr>
          <w:rFonts w:ascii="Garamond" w:hAnsi="Garamond"/>
          <w:sz w:val="22"/>
          <w:szCs w:val="22"/>
        </w:rPr>
        <w:t>than</w:t>
      </w:r>
      <w:r w:rsidR="00543935" w:rsidRPr="008D6FFA">
        <w:rPr>
          <w:rFonts w:ascii="Garamond" w:hAnsi="Garamond"/>
          <w:sz w:val="22"/>
          <w:szCs w:val="22"/>
        </w:rPr>
        <w:t xml:space="preserve"> the first stage—we may miss some import</w:t>
      </w:r>
      <w:r w:rsidR="00860E6E" w:rsidRPr="008D6FFA">
        <w:rPr>
          <w:rFonts w:ascii="Garamond" w:hAnsi="Garamond"/>
          <w:sz w:val="22"/>
          <w:szCs w:val="22"/>
        </w:rPr>
        <w:t xml:space="preserve">ant institutional </w:t>
      </w:r>
      <w:r w:rsidR="000D0077" w:rsidRPr="008D6FFA">
        <w:rPr>
          <w:rFonts w:ascii="Garamond" w:hAnsi="Garamond"/>
          <w:sz w:val="22"/>
          <w:szCs w:val="22"/>
        </w:rPr>
        <w:t xml:space="preserve">players </w:t>
      </w:r>
      <w:r w:rsidR="00094FA6" w:rsidRPr="008D6FFA">
        <w:rPr>
          <w:rFonts w:ascii="Garamond" w:hAnsi="Garamond"/>
          <w:sz w:val="22"/>
          <w:szCs w:val="22"/>
        </w:rPr>
        <w:t>who</w:t>
      </w:r>
      <w:r w:rsidR="00860E6E" w:rsidRPr="008D6FFA">
        <w:rPr>
          <w:rFonts w:ascii="Garamond" w:hAnsi="Garamond"/>
          <w:sz w:val="22"/>
          <w:szCs w:val="22"/>
        </w:rPr>
        <w:t xml:space="preserve"> </w:t>
      </w:r>
      <w:r w:rsidR="009626B9" w:rsidRPr="008D6FFA">
        <w:rPr>
          <w:rFonts w:ascii="Garamond" w:hAnsi="Garamond"/>
          <w:sz w:val="22"/>
          <w:szCs w:val="22"/>
        </w:rPr>
        <w:t xml:space="preserve">are </w:t>
      </w:r>
      <w:r w:rsidR="00367363" w:rsidRPr="008D6FFA">
        <w:rPr>
          <w:rFonts w:ascii="Garamond" w:hAnsi="Garamond"/>
          <w:sz w:val="22"/>
          <w:szCs w:val="22"/>
        </w:rPr>
        <w:t xml:space="preserve">also members of the </w:t>
      </w:r>
      <w:r w:rsidR="005A34D6" w:rsidRPr="008D6FFA">
        <w:rPr>
          <w:rFonts w:ascii="Garamond" w:hAnsi="Garamond"/>
          <w:sz w:val="22"/>
          <w:szCs w:val="22"/>
        </w:rPr>
        <w:t>colluding coalition</w:t>
      </w:r>
      <w:r w:rsidR="009626B9" w:rsidRPr="008D6FFA">
        <w:rPr>
          <w:rFonts w:ascii="Garamond" w:hAnsi="Garamond"/>
          <w:sz w:val="22"/>
          <w:szCs w:val="22"/>
        </w:rPr>
        <w:t>.</w:t>
      </w:r>
      <w:r w:rsidR="00AC553C" w:rsidRPr="008D6FFA">
        <w:rPr>
          <w:rFonts w:ascii="Garamond" w:hAnsi="Garamond"/>
          <w:sz w:val="22"/>
          <w:szCs w:val="22"/>
        </w:rPr>
        <w:t xml:space="preserve"> We believe that by </w:t>
      </w:r>
      <w:r w:rsidR="00F476A4" w:rsidRPr="008D6FFA">
        <w:rPr>
          <w:rFonts w:ascii="Garamond" w:hAnsi="Garamond"/>
          <w:sz w:val="22"/>
          <w:szCs w:val="22"/>
        </w:rPr>
        <w:t xml:space="preserve">examining </w:t>
      </w:r>
      <w:r w:rsidR="003B06B7" w:rsidRPr="008D6FFA">
        <w:rPr>
          <w:rFonts w:ascii="Garamond" w:hAnsi="Garamond"/>
          <w:sz w:val="22"/>
          <w:szCs w:val="22"/>
        </w:rPr>
        <w:t xml:space="preserve">the </w:t>
      </w:r>
      <w:r w:rsidR="000E5EED" w:rsidRPr="008D6FFA">
        <w:rPr>
          <w:rFonts w:ascii="Garamond" w:hAnsi="Garamond"/>
          <w:sz w:val="22"/>
          <w:szCs w:val="22"/>
        </w:rPr>
        <w:t>attributes</w:t>
      </w:r>
      <w:r w:rsidR="003B06B7" w:rsidRPr="008D6FFA">
        <w:rPr>
          <w:rFonts w:ascii="Garamond" w:hAnsi="Garamond"/>
          <w:sz w:val="22"/>
          <w:szCs w:val="22"/>
        </w:rPr>
        <w:t xml:space="preserve"> of </w:t>
      </w:r>
      <w:r w:rsidR="004701F2" w:rsidRPr="008D6FFA">
        <w:rPr>
          <w:rFonts w:ascii="Garamond" w:hAnsi="Garamond"/>
          <w:sz w:val="22"/>
          <w:szCs w:val="22"/>
        </w:rPr>
        <w:t xml:space="preserve">other </w:t>
      </w:r>
      <w:r w:rsidR="001D32F9" w:rsidRPr="008D6FFA">
        <w:rPr>
          <w:rFonts w:ascii="Garamond" w:hAnsi="Garamond"/>
          <w:sz w:val="22"/>
          <w:szCs w:val="22"/>
        </w:rPr>
        <w:t>institutions</w:t>
      </w:r>
      <w:r w:rsidR="003B06B7" w:rsidRPr="008D6FFA">
        <w:rPr>
          <w:rFonts w:ascii="Garamond" w:hAnsi="Garamond"/>
          <w:sz w:val="22"/>
          <w:szCs w:val="22"/>
        </w:rPr>
        <w:t>,</w:t>
      </w:r>
      <w:r w:rsidR="001D32F9" w:rsidRPr="008D6FFA">
        <w:rPr>
          <w:rFonts w:ascii="Garamond" w:hAnsi="Garamond"/>
          <w:sz w:val="22"/>
          <w:szCs w:val="22"/>
        </w:rPr>
        <w:t xml:space="preserve"> </w:t>
      </w:r>
      <w:r w:rsidR="00F476A4" w:rsidRPr="008D6FFA">
        <w:rPr>
          <w:rFonts w:ascii="Garamond" w:hAnsi="Garamond"/>
          <w:sz w:val="22"/>
          <w:szCs w:val="22"/>
        </w:rPr>
        <w:t>mention</w:t>
      </w:r>
      <w:r w:rsidR="00F91C40" w:rsidRPr="008D6FFA">
        <w:rPr>
          <w:rFonts w:ascii="Garamond" w:hAnsi="Garamond"/>
          <w:sz w:val="22"/>
          <w:szCs w:val="22"/>
        </w:rPr>
        <w:t>ed</w:t>
      </w:r>
      <w:r w:rsidR="00F476A4" w:rsidRPr="008D6FFA">
        <w:rPr>
          <w:rFonts w:ascii="Garamond" w:hAnsi="Garamond"/>
          <w:sz w:val="22"/>
          <w:szCs w:val="22"/>
        </w:rPr>
        <w:t xml:space="preserve"> above</w:t>
      </w:r>
      <w:r w:rsidR="00373B90" w:rsidRPr="008D6FFA">
        <w:rPr>
          <w:rFonts w:ascii="Garamond" w:hAnsi="Garamond"/>
          <w:sz w:val="22"/>
          <w:szCs w:val="22"/>
        </w:rPr>
        <w:t>, in addition to the AUM test</w:t>
      </w:r>
      <w:r w:rsidR="0032392B" w:rsidRPr="008D6FFA">
        <w:rPr>
          <w:rFonts w:ascii="Garamond" w:hAnsi="Garamond"/>
          <w:sz w:val="22"/>
          <w:szCs w:val="22"/>
        </w:rPr>
        <w:t>—</w:t>
      </w:r>
      <w:r w:rsidR="00373B90" w:rsidRPr="008D6FFA">
        <w:rPr>
          <w:rFonts w:ascii="Garamond" w:hAnsi="Garamond"/>
          <w:sz w:val="22"/>
          <w:szCs w:val="22"/>
        </w:rPr>
        <w:t>such as E</w:t>
      </w:r>
      <w:r w:rsidR="000E5EED" w:rsidRPr="008D6FFA">
        <w:rPr>
          <w:rFonts w:ascii="Garamond" w:hAnsi="Garamond"/>
          <w:sz w:val="22"/>
          <w:szCs w:val="22"/>
        </w:rPr>
        <w:t>U</w:t>
      </w:r>
      <w:r w:rsidR="00373B90" w:rsidRPr="008D6FFA">
        <w:rPr>
          <w:rFonts w:ascii="Garamond" w:hAnsi="Garamond"/>
          <w:sz w:val="22"/>
          <w:szCs w:val="22"/>
        </w:rPr>
        <w:t>M</w:t>
      </w:r>
      <w:r w:rsidR="00F476A4" w:rsidRPr="008D6FFA">
        <w:rPr>
          <w:rFonts w:ascii="Garamond" w:hAnsi="Garamond"/>
          <w:sz w:val="22"/>
          <w:szCs w:val="22"/>
        </w:rPr>
        <w:t>, the</w:t>
      </w:r>
      <w:r w:rsidR="00495E54" w:rsidRPr="008D6FFA">
        <w:rPr>
          <w:rFonts w:ascii="Garamond" w:hAnsi="Garamond"/>
          <w:sz w:val="22"/>
          <w:szCs w:val="22"/>
        </w:rPr>
        <w:t xml:space="preserve"> institutional investors’</w:t>
      </w:r>
      <w:r w:rsidR="00F476A4" w:rsidRPr="008D6FFA">
        <w:rPr>
          <w:rFonts w:ascii="Garamond" w:hAnsi="Garamond"/>
          <w:sz w:val="22"/>
          <w:szCs w:val="22"/>
        </w:rPr>
        <w:t xml:space="preserve"> ratio of passive to active fund</w:t>
      </w:r>
      <w:r w:rsidR="00495E54" w:rsidRPr="008D6FFA">
        <w:rPr>
          <w:rFonts w:ascii="Garamond" w:hAnsi="Garamond"/>
          <w:sz w:val="22"/>
          <w:szCs w:val="22"/>
        </w:rPr>
        <w:t>s</w:t>
      </w:r>
      <w:r w:rsidR="000E5EED" w:rsidRPr="008D6FFA">
        <w:rPr>
          <w:rFonts w:ascii="Garamond" w:hAnsi="Garamond"/>
          <w:sz w:val="22"/>
          <w:szCs w:val="22"/>
        </w:rPr>
        <w:t>,</w:t>
      </w:r>
      <w:r w:rsidR="00660CDF" w:rsidRPr="008D6FFA">
        <w:rPr>
          <w:rFonts w:ascii="Garamond" w:hAnsi="Garamond"/>
          <w:sz w:val="22"/>
          <w:szCs w:val="22"/>
        </w:rPr>
        <w:t xml:space="preserve"> and geographic</w:t>
      </w:r>
      <w:r w:rsidR="00BC7DEB" w:rsidRPr="008D6FFA">
        <w:rPr>
          <w:rFonts w:ascii="Garamond" w:hAnsi="Garamond"/>
          <w:sz w:val="22"/>
          <w:szCs w:val="22"/>
        </w:rPr>
        <w:t xml:space="preserve"> concentration, as well as the </w:t>
      </w:r>
      <w:r w:rsidR="003A2EBC" w:rsidRPr="008D6FFA">
        <w:rPr>
          <w:rFonts w:ascii="Garamond" w:hAnsi="Garamond"/>
          <w:sz w:val="22"/>
          <w:szCs w:val="22"/>
        </w:rPr>
        <w:t>general correlation between the institutional investors’ participation in an IPO and underpricing</w:t>
      </w:r>
      <w:r w:rsidR="00AF1756" w:rsidRPr="008D6FFA">
        <w:rPr>
          <w:rFonts w:ascii="Garamond" w:hAnsi="Garamond"/>
          <w:sz w:val="22"/>
          <w:szCs w:val="22"/>
        </w:rPr>
        <w:t xml:space="preserve">—we reduce the likelihood of </w:t>
      </w:r>
      <w:r w:rsidR="00563DF3" w:rsidRPr="008D6FFA">
        <w:rPr>
          <w:rFonts w:ascii="Garamond" w:hAnsi="Garamond"/>
          <w:sz w:val="22"/>
          <w:szCs w:val="22"/>
        </w:rPr>
        <w:t>overlooking</w:t>
      </w:r>
      <w:r w:rsidR="00352C2A" w:rsidRPr="008D6FFA">
        <w:rPr>
          <w:rFonts w:ascii="Garamond" w:hAnsi="Garamond"/>
          <w:sz w:val="22"/>
          <w:szCs w:val="22"/>
        </w:rPr>
        <w:t xml:space="preserve"> central players in the depression of IPO pricing</w:t>
      </w:r>
      <w:r w:rsidR="00372E1B" w:rsidRPr="008D6FFA">
        <w:rPr>
          <w:rFonts w:ascii="Garamond" w:hAnsi="Garamond"/>
          <w:sz w:val="22"/>
          <w:szCs w:val="22"/>
        </w:rPr>
        <w:t xml:space="preserve">. </w:t>
      </w:r>
      <w:r w:rsidR="0093759F" w:rsidRPr="008D6FFA">
        <w:rPr>
          <w:rFonts w:ascii="Garamond" w:hAnsi="Garamond"/>
          <w:sz w:val="22"/>
          <w:szCs w:val="22"/>
        </w:rPr>
        <w:t>I</w:t>
      </w:r>
      <w:r w:rsidR="001A0879" w:rsidRPr="008D6FFA">
        <w:rPr>
          <w:rFonts w:ascii="Garamond" w:hAnsi="Garamond"/>
          <w:sz w:val="22"/>
          <w:szCs w:val="22"/>
        </w:rPr>
        <w:t xml:space="preserve">nformal interviews with </w:t>
      </w:r>
      <w:r w:rsidR="00652410" w:rsidRPr="008D6FFA">
        <w:rPr>
          <w:rFonts w:ascii="Garamond" w:hAnsi="Garamond"/>
          <w:sz w:val="22"/>
          <w:szCs w:val="22"/>
        </w:rPr>
        <w:t>central</w:t>
      </w:r>
      <w:r w:rsidR="0093759F" w:rsidRPr="008D6FFA">
        <w:rPr>
          <w:rFonts w:ascii="Garamond" w:hAnsi="Garamond"/>
          <w:sz w:val="22"/>
          <w:szCs w:val="22"/>
        </w:rPr>
        <w:t xml:space="preserve"> </w:t>
      </w:r>
      <w:r w:rsidR="009D2318" w:rsidRPr="008D6FFA">
        <w:rPr>
          <w:rFonts w:ascii="Garamond" w:hAnsi="Garamond"/>
          <w:sz w:val="22"/>
          <w:szCs w:val="22"/>
        </w:rPr>
        <w:t xml:space="preserve">players in the </w:t>
      </w:r>
      <w:r w:rsidR="00F903B5" w:rsidRPr="008D6FFA">
        <w:rPr>
          <w:rFonts w:ascii="Garamond" w:hAnsi="Garamond"/>
          <w:sz w:val="22"/>
          <w:szCs w:val="22"/>
        </w:rPr>
        <w:t xml:space="preserve">primary </w:t>
      </w:r>
      <w:r w:rsidR="00DF0DC8" w:rsidRPr="008D6FFA">
        <w:rPr>
          <w:rFonts w:ascii="Garamond" w:hAnsi="Garamond"/>
          <w:sz w:val="22"/>
          <w:szCs w:val="22"/>
        </w:rPr>
        <w:t xml:space="preserve">market </w:t>
      </w:r>
      <w:r w:rsidR="009D2318" w:rsidRPr="008D6FFA">
        <w:rPr>
          <w:rFonts w:ascii="Garamond" w:hAnsi="Garamond"/>
          <w:sz w:val="22"/>
          <w:szCs w:val="22"/>
        </w:rPr>
        <w:t xml:space="preserve">should also assist us in identifying </w:t>
      </w:r>
      <w:r w:rsidR="000C0DCC" w:rsidRPr="008D6FFA">
        <w:rPr>
          <w:rFonts w:ascii="Garamond" w:hAnsi="Garamond"/>
          <w:sz w:val="22"/>
          <w:szCs w:val="22"/>
        </w:rPr>
        <w:t>potential</w:t>
      </w:r>
      <w:r w:rsidR="005A34D6" w:rsidRPr="008D6FFA">
        <w:rPr>
          <w:rFonts w:ascii="Garamond" w:hAnsi="Garamond" w:hint="cs"/>
          <w:sz w:val="22"/>
          <w:szCs w:val="22"/>
          <w:rtl/>
        </w:rPr>
        <w:t xml:space="preserve"> </w:t>
      </w:r>
      <w:r w:rsidR="00623B2E" w:rsidRPr="008D6FFA">
        <w:rPr>
          <w:rFonts w:ascii="Garamond" w:hAnsi="Garamond"/>
          <w:sz w:val="22"/>
          <w:szCs w:val="22"/>
        </w:rPr>
        <w:t>coalition</w:t>
      </w:r>
      <w:r w:rsidR="005A34D6" w:rsidRPr="008D6FFA">
        <w:rPr>
          <w:rFonts w:ascii="Garamond" w:hAnsi="Garamond"/>
          <w:sz w:val="22"/>
          <w:szCs w:val="22"/>
        </w:rPr>
        <w:t xml:space="preserve"> </w:t>
      </w:r>
      <w:r w:rsidR="000C0DCC" w:rsidRPr="008D6FFA">
        <w:rPr>
          <w:rFonts w:ascii="Garamond" w:hAnsi="Garamond"/>
          <w:sz w:val="22"/>
          <w:szCs w:val="22"/>
        </w:rPr>
        <w:t xml:space="preserve">members. </w:t>
      </w:r>
    </w:p>
    <w:p w14:paraId="305FB2CD" w14:textId="5D4D38A9" w:rsidR="00B4523E" w:rsidRPr="008D6FFA" w:rsidRDefault="00B4523E" w:rsidP="00A2291D">
      <w:pPr>
        <w:spacing w:line="360" w:lineRule="auto"/>
        <w:ind w:firstLine="426"/>
        <w:jc w:val="both"/>
        <w:rPr>
          <w:rFonts w:ascii="Garamond" w:hAnsi="Garamond"/>
          <w:sz w:val="22"/>
          <w:szCs w:val="22"/>
        </w:rPr>
      </w:pPr>
    </w:p>
    <w:p w14:paraId="47197C2A" w14:textId="35E20163" w:rsidR="00B4523E" w:rsidRPr="008D6FFA" w:rsidRDefault="00B4523E" w:rsidP="00B4523E">
      <w:pPr>
        <w:spacing w:line="360" w:lineRule="auto"/>
        <w:jc w:val="both"/>
        <w:rPr>
          <w:rFonts w:ascii="Garamond" w:hAnsi="Garamond"/>
          <w:b/>
          <w:bCs/>
          <w:sz w:val="22"/>
          <w:szCs w:val="22"/>
        </w:rPr>
      </w:pPr>
      <w:r w:rsidRPr="008D6FFA">
        <w:rPr>
          <w:rFonts w:ascii="Garamond" w:hAnsi="Garamond"/>
          <w:b/>
          <w:bCs/>
          <w:sz w:val="22"/>
          <w:szCs w:val="22"/>
        </w:rPr>
        <w:t xml:space="preserve">F. Suitability of the Researchers to Conduct the Study </w:t>
      </w:r>
    </w:p>
    <w:p w14:paraId="3E2AA53C" w14:textId="372D6AD6" w:rsidR="00B4523E" w:rsidRPr="008D6FFA" w:rsidRDefault="00B4523E" w:rsidP="00B4523E">
      <w:pPr>
        <w:spacing w:line="360" w:lineRule="auto"/>
        <w:ind w:firstLine="426"/>
        <w:jc w:val="both"/>
        <w:rPr>
          <w:rFonts w:ascii="Garamond" w:hAnsi="Garamond"/>
          <w:sz w:val="22"/>
          <w:szCs w:val="22"/>
        </w:rPr>
      </w:pPr>
      <w:r w:rsidRPr="008D6FFA">
        <w:rPr>
          <w:rFonts w:ascii="Garamond" w:hAnsi="Garamond"/>
          <w:sz w:val="22"/>
          <w:szCs w:val="22"/>
        </w:rPr>
        <w:t>The proposed project requires deep familiarity with corporate finance, capital market</w:t>
      </w:r>
      <w:r w:rsidR="00094FA6" w:rsidRPr="008D6FFA">
        <w:rPr>
          <w:rFonts w:ascii="Garamond" w:hAnsi="Garamond"/>
          <w:sz w:val="22"/>
          <w:szCs w:val="22"/>
        </w:rPr>
        <w:t>s</w:t>
      </w:r>
      <w:r w:rsidR="008C1AAF" w:rsidRPr="008D6FFA">
        <w:rPr>
          <w:rFonts w:ascii="Garamond" w:hAnsi="Garamond"/>
          <w:sz w:val="22"/>
          <w:szCs w:val="22"/>
        </w:rPr>
        <w:t>, and</w:t>
      </w:r>
      <w:r w:rsidRPr="008D6FFA">
        <w:rPr>
          <w:rFonts w:ascii="Garamond" w:hAnsi="Garamond"/>
          <w:sz w:val="22"/>
          <w:szCs w:val="22"/>
        </w:rPr>
        <w:t xml:space="preserve"> </w:t>
      </w:r>
      <w:r w:rsidR="008C1AAF" w:rsidRPr="008D6FFA">
        <w:rPr>
          <w:rFonts w:ascii="Garamond" w:hAnsi="Garamond"/>
          <w:sz w:val="22"/>
          <w:szCs w:val="22"/>
        </w:rPr>
        <w:t>financial institutions</w:t>
      </w:r>
      <w:r w:rsidRPr="008D6FFA">
        <w:rPr>
          <w:rFonts w:ascii="Garamond" w:hAnsi="Garamond"/>
          <w:sz w:val="22"/>
          <w:szCs w:val="22"/>
        </w:rPr>
        <w:t xml:space="preserve">. All three of us taught, researched, and </w:t>
      </w:r>
      <w:r w:rsidR="00144B40" w:rsidRPr="008D6FFA">
        <w:rPr>
          <w:rFonts w:ascii="Garamond" w:hAnsi="Garamond"/>
          <w:sz w:val="22"/>
          <w:szCs w:val="22"/>
        </w:rPr>
        <w:t xml:space="preserve">contributed to publications </w:t>
      </w:r>
      <w:r w:rsidRPr="008D6FFA">
        <w:rPr>
          <w:rFonts w:ascii="Garamond" w:hAnsi="Garamond"/>
          <w:sz w:val="22"/>
          <w:szCs w:val="22"/>
        </w:rPr>
        <w:t xml:space="preserve">on these topics. We believe that </w:t>
      </w:r>
      <w:r w:rsidRPr="008D6FFA">
        <w:rPr>
          <w:rFonts w:ascii="Garamond" w:hAnsi="Garamond"/>
          <w:sz w:val="22"/>
          <w:szCs w:val="22"/>
        </w:rPr>
        <w:lastRenderedPageBreak/>
        <w:t>our</w:t>
      </w:r>
      <w:r w:rsidR="00144B40" w:rsidRPr="008D6FFA">
        <w:rPr>
          <w:rFonts w:ascii="Garamond" w:hAnsi="Garamond"/>
          <w:sz w:val="22"/>
          <w:szCs w:val="22"/>
        </w:rPr>
        <w:t xml:space="preserve"> collective</w:t>
      </w:r>
      <w:r w:rsidRPr="008D6FFA">
        <w:rPr>
          <w:rFonts w:ascii="Garamond" w:hAnsi="Garamond"/>
          <w:sz w:val="22"/>
          <w:szCs w:val="22"/>
        </w:rPr>
        <w:t xml:space="preserve"> experience and previous research</w:t>
      </w:r>
      <w:r w:rsidR="00144B40" w:rsidRPr="008D6FFA">
        <w:rPr>
          <w:rFonts w:ascii="Garamond" w:hAnsi="Garamond"/>
          <w:sz w:val="22"/>
          <w:szCs w:val="22"/>
        </w:rPr>
        <w:t>, coupled with the</w:t>
      </w:r>
      <w:r w:rsidR="0006239A" w:rsidRPr="008D6FFA">
        <w:rPr>
          <w:rFonts w:ascii="Garamond" w:hAnsi="Garamond"/>
          <w:sz w:val="22"/>
          <w:szCs w:val="22"/>
        </w:rPr>
        <w:t xml:space="preserve"> robust</w:t>
      </w:r>
      <w:r w:rsidR="00144B40" w:rsidRPr="008D6FFA">
        <w:rPr>
          <w:rFonts w:ascii="Garamond" w:hAnsi="Garamond"/>
          <w:sz w:val="22"/>
          <w:szCs w:val="22"/>
        </w:rPr>
        <w:t xml:space="preserve"> econometrical capabilities of one </w:t>
      </w:r>
      <w:r w:rsidR="0006239A" w:rsidRPr="008D6FFA">
        <w:rPr>
          <w:rFonts w:ascii="Garamond" w:hAnsi="Garamond"/>
          <w:sz w:val="22"/>
          <w:szCs w:val="22"/>
        </w:rPr>
        <w:t>team member</w:t>
      </w:r>
      <w:r w:rsidR="00144B40" w:rsidRPr="008D6FFA">
        <w:rPr>
          <w:rFonts w:ascii="Garamond" w:hAnsi="Garamond"/>
          <w:sz w:val="22"/>
          <w:szCs w:val="22"/>
        </w:rPr>
        <w:t>,</w:t>
      </w:r>
      <w:r w:rsidRPr="008D6FFA">
        <w:rPr>
          <w:rFonts w:ascii="Garamond" w:hAnsi="Garamond"/>
          <w:sz w:val="22"/>
          <w:szCs w:val="22"/>
        </w:rPr>
        <w:t xml:space="preserve"> </w:t>
      </w:r>
      <w:r w:rsidR="0006239A" w:rsidRPr="008D6FFA">
        <w:rPr>
          <w:rFonts w:ascii="Garamond" w:hAnsi="Garamond"/>
          <w:sz w:val="22"/>
          <w:szCs w:val="22"/>
        </w:rPr>
        <w:t xml:space="preserve">positions </w:t>
      </w:r>
      <w:r w:rsidRPr="008D6FFA">
        <w:rPr>
          <w:rFonts w:ascii="Garamond" w:hAnsi="Garamond"/>
          <w:sz w:val="22"/>
          <w:szCs w:val="22"/>
        </w:rPr>
        <w:t xml:space="preserve">us to </w:t>
      </w:r>
      <w:r w:rsidR="008C1AAF" w:rsidRPr="008D6FFA">
        <w:rPr>
          <w:rFonts w:ascii="Garamond" w:hAnsi="Garamond"/>
          <w:sz w:val="22"/>
          <w:szCs w:val="22"/>
        </w:rPr>
        <w:t xml:space="preserve">add value to the </w:t>
      </w:r>
      <w:r w:rsidR="0006239A" w:rsidRPr="008D6FFA">
        <w:rPr>
          <w:rFonts w:ascii="Garamond" w:hAnsi="Garamond"/>
          <w:sz w:val="22"/>
          <w:szCs w:val="22"/>
        </w:rPr>
        <w:t xml:space="preserve">existing </w:t>
      </w:r>
      <w:r w:rsidR="008C1AAF" w:rsidRPr="008D6FFA">
        <w:rPr>
          <w:rFonts w:ascii="Garamond" w:hAnsi="Garamond"/>
          <w:sz w:val="22"/>
          <w:szCs w:val="22"/>
        </w:rPr>
        <w:t xml:space="preserve">scholarship on these topics by </w:t>
      </w:r>
      <w:r w:rsidR="0006239A" w:rsidRPr="008D6FFA">
        <w:rPr>
          <w:rFonts w:ascii="Garamond" w:hAnsi="Garamond"/>
          <w:sz w:val="22"/>
          <w:szCs w:val="22"/>
        </w:rPr>
        <w:t>providing a distinctive and empirically validated exploration of the factors influencing IPO underpricing.</w:t>
      </w:r>
    </w:p>
    <w:p w14:paraId="7F4F36D9" w14:textId="31069D05" w:rsidR="0086787E" w:rsidRPr="008D6FFA" w:rsidRDefault="00B4523E" w:rsidP="00E40917">
      <w:pPr>
        <w:spacing w:line="360" w:lineRule="auto"/>
        <w:ind w:firstLine="720"/>
        <w:jc w:val="both"/>
        <w:rPr>
          <w:rStyle w:val="BodyTextChar"/>
          <w:rFonts w:ascii="Garamond" w:eastAsiaTheme="majorEastAsia" w:hAnsi="Garamond"/>
          <w:b/>
          <w:bCs/>
          <w:sz w:val="22"/>
          <w:szCs w:val="22"/>
        </w:rPr>
      </w:pPr>
      <w:r w:rsidRPr="008D6FFA">
        <w:rPr>
          <w:rStyle w:val="BodyTextChar"/>
          <w:rFonts w:ascii="Garamond" w:eastAsiaTheme="majorEastAsia" w:hAnsi="Garamond"/>
          <w:sz w:val="22"/>
          <w:szCs w:val="22"/>
        </w:rPr>
        <w:t xml:space="preserve">Adi </w:t>
      </w:r>
      <w:proofErr w:type="spellStart"/>
      <w:r w:rsidRPr="008D6FFA">
        <w:rPr>
          <w:rStyle w:val="BodyTextChar"/>
          <w:rFonts w:ascii="Garamond" w:eastAsiaTheme="majorEastAsia" w:hAnsi="Garamond"/>
          <w:sz w:val="22"/>
          <w:szCs w:val="22"/>
        </w:rPr>
        <w:t>Libson</w:t>
      </w:r>
      <w:proofErr w:type="spellEnd"/>
      <w:r w:rsidRPr="008D6FFA">
        <w:rPr>
          <w:rStyle w:val="BodyTextChar"/>
          <w:rFonts w:ascii="Garamond" w:eastAsiaTheme="majorEastAsia" w:hAnsi="Garamond"/>
          <w:sz w:val="22"/>
          <w:szCs w:val="22"/>
        </w:rPr>
        <w:t xml:space="preserve"> has researched and written extensively on market inefficiencies caused by institutional investors (</w:t>
      </w:r>
      <w:proofErr w:type="spellStart"/>
      <w:r w:rsidRPr="008D6FFA">
        <w:rPr>
          <w:rStyle w:val="BodyTextChar"/>
          <w:rFonts w:ascii="Garamond" w:eastAsiaTheme="majorEastAsia" w:hAnsi="Garamond"/>
          <w:sz w:val="22"/>
          <w:szCs w:val="22"/>
        </w:rPr>
        <w:t>Libson</w:t>
      </w:r>
      <w:proofErr w:type="spellEnd"/>
      <w:r w:rsidRPr="008D6FFA">
        <w:rPr>
          <w:rStyle w:val="BodyTextChar"/>
          <w:rFonts w:ascii="Garamond" w:eastAsiaTheme="majorEastAsia" w:hAnsi="Garamond"/>
          <w:sz w:val="22"/>
          <w:szCs w:val="22"/>
        </w:rPr>
        <w:t xml:space="preserve"> &amp; </w:t>
      </w:r>
      <w:proofErr w:type="spellStart"/>
      <w:r w:rsidRPr="008D6FFA">
        <w:rPr>
          <w:rStyle w:val="BodyTextChar"/>
          <w:rFonts w:ascii="Garamond" w:eastAsiaTheme="majorEastAsia" w:hAnsi="Garamond"/>
          <w:sz w:val="22"/>
          <w:szCs w:val="22"/>
        </w:rPr>
        <w:t>Parchomovsky</w:t>
      </w:r>
      <w:proofErr w:type="spellEnd"/>
      <w:r w:rsidRPr="008D6FFA">
        <w:rPr>
          <w:rStyle w:val="BodyTextChar"/>
          <w:rFonts w:ascii="Garamond" w:eastAsiaTheme="majorEastAsia" w:hAnsi="Garamond"/>
          <w:sz w:val="22"/>
          <w:szCs w:val="22"/>
        </w:rPr>
        <w:t xml:space="preserve"> 2020; Hannes, </w:t>
      </w:r>
      <w:proofErr w:type="spellStart"/>
      <w:r w:rsidRPr="008D6FFA">
        <w:rPr>
          <w:rStyle w:val="BodyTextChar"/>
          <w:rFonts w:ascii="Garamond" w:eastAsiaTheme="majorEastAsia" w:hAnsi="Garamond"/>
          <w:sz w:val="22"/>
          <w:szCs w:val="22"/>
        </w:rPr>
        <w:t>Libson</w:t>
      </w:r>
      <w:proofErr w:type="spellEnd"/>
      <w:r w:rsidRPr="008D6FFA">
        <w:rPr>
          <w:rStyle w:val="BodyTextChar"/>
          <w:rFonts w:ascii="Garamond" w:eastAsiaTheme="majorEastAsia" w:hAnsi="Garamond"/>
          <w:sz w:val="22"/>
          <w:szCs w:val="22"/>
        </w:rPr>
        <w:t xml:space="preserve"> &amp; </w:t>
      </w:r>
      <w:proofErr w:type="spellStart"/>
      <w:r w:rsidRPr="008D6FFA">
        <w:rPr>
          <w:rStyle w:val="BodyTextChar"/>
          <w:rFonts w:ascii="Garamond" w:eastAsiaTheme="majorEastAsia" w:hAnsi="Garamond"/>
          <w:sz w:val="22"/>
          <w:szCs w:val="22"/>
        </w:rPr>
        <w:t>Parchomovsky</w:t>
      </w:r>
      <w:proofErr w:type="spellEnd"/>
      <w:r w:rsidRPr="008D6FFA">
        <w:rPr>
          <w:rStyle w:val="BodyTextChar"/>
          <w:rFonts w:ascii="Garamond" w:eastAsiaTheme="majorEastAsia" w:hAnsi="Garamond"/>
          <w:sz w:val="22"/>
          <w:szCs w:val="22"/>
        </w:rPr>
        <w:t xml:space="preserve"> 2023). Danielle Chaim wrote her dissertation on the perils and pitfalls of institutional ownership in the twenty-first century and has recently published her work on the compliance distortions associated with the horizontal ownership of large institutions in public companies (Chaim 2023</w:t>
      </w:r>
      <w:r w:rsidR="00A93DD2" w:rsidRPr="008D6FFA">
        <w:rPr>
          <w:rStyle w:val="BodyTextChar"/>
          <w:rFonts w:ascii="Garamond" w:eastAsiaTheme="majorEastAsia" w:hAnsi="Garamond"/>
          <w:sz w:val="22"/>
          <w:szCs w:val="22"/>
        </w:rPr>
        <w:t>a</w:t>
      </w:r>
      <w:r w:rsidRPr="008D6FFA">
        <w:rPr>
          <w:rStyle w:val="BodyTextChar"/>
          <w:rFonts w:ascii="Garamond" w:eastAsiaTheme="majorEastAsia" w:hAnsi="Garamond"/>
          <w:sz w:val="22"/>
          <w:szCs w:val="22"/>
        </w:rPr>
        <w:t xml:space="preserve">). </w:t>
      </w:r>
      <w:r w:rsidR="00FC776B" w:rsidRPr="008D6FFA">
        <w:rPr>
          <w:rStyle w:val="BodyTextChar"/>
          <w:rFonts w:ascii="Garamond" w:eastAsiaTheme="majorEastAsia" w:hAnsi="Garamond"/>
          <w:sz w:val="22"/>
          <w:szCs w:val="22"/>
        </w:rPr>
        <w:t xml:space="preserve">Yevgeny </w:t>
      </w:r>
      <w:proofErr w:type="spellStart"/>
      <w:r w:rsidR="00FC776B" w:rsidRPr="008D6FFA">
        <w:rPr>
          <w:rStyle w:val="BodyTextChar"/>
          <w:rFonts w:ascii="Garamond" w:eastAsiaTheme="majorEastAsia" w:hAnsi="Garamond"/>
          <w:sz w:val="22"/>
          <w:szCs w:val="22"/>
        </w:rPr>
        <w:t>Mugerman</w:t>
      </w:r>
      <w:proofErr w:type="spellEnd"/>
      <w:r w:rsidR="00FC776B" w:rsidRPr="008D6FFA">
        <w:rPr>
          <w:rStyle w:val="BodyTextChar"/>
          <w:rFonts w:ascii="Garamond" w:eastAsiaTheme="majorEastAsia" w:hAnsi="Garamond"/>
          <w:sz w:val="22"/>
          <w:szCs w:val="22"/>
        </w:rPr>
        <w:t xml:space="preserve"> has made contributions to th</w:t>
      </w:r>
      <w:r w:rsidR="00B964EF" w:rsidRPr="008D6FFA">
        <w:rPr>
          <w:rStyle w:val="BodyTextChar"/>
          <w:rFonts w:ascii="Garamond" w:eastAsiaTheme="majorEastAsia" w:hAnsi="Garamond"/>
          <w:sz w:val="22"/>
          <w:szCs w:val="22"/>
        </w:rPr>
        <w:t>e</w:t>
      </w:r>
      <w:r w:rsidR="00FC776B" w:rsidRPr="008D6FFA">
        <w:rPr>
          <w:rStyle w:val="BodyTextChar"/>
          <w:rFonts w:ascii="Garamond" w:eastAsiaTheme="majorEastAsia" w:hAnsi="Garamond"/>
          <w:sz w:val="22"/>
          <w:szCs w:val="22"/>
        </w:rPr>
        <w:t xml:space="preserve"> field, evidenced by his several publications and current research projects. His collaborative works, including </w:t>
      </w:r>
      <w:r w:rsidR="00845461" w:rsidRPr="008D6FFA">
        <w:rPr>
          <w:rStyle w:val="BodyTextChar"/>
          <w:rFonts w:ascii="Garamond" w:eastAsiaTheme="majorEastAsia" w:hAnsi="Garamond"/>
          <w:sz w:val="22"/>
          <w:szCs w:val="22"/>
        </w:rPr>
        <w:t xml:space="preserve">Dressler and </w:t>
      </w:r>
      <w:proofErr w:type="spellStart"/>
      <w:r w:rsidR="00845461" w:rsidRPr="008D6FFA">
        <w:rPr>
          <w:rStyle w:val="BodyTextChar"/>
          <w:rFonts w:ascii="Garamond" w:eastAsiaTheme="majorEastAsia" w:hAnsi="Garamond"/>
          <w:sz w:val="22"/>
          <w:szCs w:val="22"/>
        </w:rPr>
        <w:t>Mugerman</w:t>
      </w:r>
      <w:proofErr w:type="spellEnd"/>
      <w:r w:rsidR="00845461" w:rsidRPr="008D6FFA">
        <w:rPr>
          <w:rStyle w:val="BodyTextChar"/>
          <w:rFonts w:ascii="Garamond" w:eastAsiaTheme="majorEastAsia" w:hAnsi="Garamond"/>
          <w:sz w:val="22"/>
          <w:szCs w:val="22"/>
        </w:rPr>
        <w:t xml:space="preserve"> (2023), </w:t>
      </w:r>
      <w:r w:rsidR="00FC776B" w:rsidRPr="008D6FFA">
        <w:rPr>
          <w:rStyle w:val="BodyTextChar"/>
          <w:rFonts w:ascii="Garamond" w:eastAsiaTheme="majorEastAsia" w:hAnsi="Garamond"/>
          <w:sz w:val="22"/>
          <w:szCs w:val="22"/>
        </w:rPr>
        <w:t xml:space="preserve">Lauterbach and </w:t>
      </w:r>
      <w:proofErr w:type="spellStart"/>
      <w:r w:rsidR="00FC776B" w:rsidRPr="008D6FFA">
        <w:rPr>
          <w:rStyle w:val="BodyTextChar"/>
          <w:rFonts w:ascii="Garamond" w:eastAsiaTheme="majorEastAsia" w:hAnsi="Garamond"/>
          <w:sz w:val="22"/>
          <w:szCs w:val="22"/>
        </w:rPr>
        <w:t>Mugerman</w:t>
      </w:r>
      <w:proofErr w:type="spellEnd"/>
      <w:r w:rsidR="00FC776B" w:rsidRPr="008D6FFA">
        <w:rPr>
          <w:rStyle w:val="BodyTextChar"/>
          <w:rFonts w:ascii="Garamond" w:eastAsiaTheme="majorEastAsia" w:hAnsi="Garamond"/>
          <w:sz w:val="22"/>
          <w:szCs w:val="22"/>
        </w:rPr>
        <w:t xml:space="preserve"> (2020), </w:t>
      </w:r>
      <w:r w:rsidR="00845461" w:rsidRPr="008D6FFA">
        <w:rPr>
          <w:rStyle w:val="BodyTextChar"/>
          <w:rFonts w:ascii="Garamond" w:eastAsiaTheme="majorEastAsia" w:hAnsi="Garamond"/>
          <w:sz w:val="22"/>
          <w:szCs w:val="22"/>
        </w:rPr>
        <w:t xml:space="preserve">and </w:t>
      </w:r>
      <w:r w:rsidR="00FC776B" w:rsidRPr="008D6FFA">
        <w:rPr>
          <w:rStyle w:val="BodyTextChar"/>
          <w:rFonts w:ascii="Garamond" w:eastAsiaTheme="majorEastAsia" w:hAnsi="Garamond"/>
          <w:sz w:val="22"/>
          <w:szCs w:val="22"/>
        </w:rPr>
        <w:t xml:space="preserve">Lauterbach, </w:t>
      </w:r>
      <w:proofErr w:type="spellStart"/>
      <w:r w:rsidR="00FC776B" w:rsidRPr="008D6FFA">
        <w:rPr>
          <w:rStyle w:val="BodyTextChar"/>
          <w:rFonts w:ascii="Garamond" w:eastAsiaTheme="majorEastAsia" w:hAnsi="Garamond"/>
          <w:sz w:val="22"/>
          <w:szCs w:val="22"/>
        </w:rPr>
        <w:t>Mugerman</w:t>
      </w:r>
      <w:proofErr w:type="spellEnd"/>
      <w:r w:rsidR="00FC776B" w:rsidRPr="008D6FFA">
        <w:rPr>
          <w:rStyle w:val="BodyTextChar"/>
          <w:rFonts w:ascii="Garamond" w:eastAsiaTheme="majorEastAsia" w:hAnsi="Garamond"/>
          <w:sz w:val="22"/>
          <w:szCs w:val="22"/>
        </w:rPr>
        <w:t>, and Shemesh (2023)</w:t>
      </w:r>
      <w:r w:rsidR="00845461" w:rsidRPr="008D6FFA">
        <w:rPr>
          <w:rStyle w:val="BodyTextChar"/>
          <w:rFonts w:ascii="Garamond" w:eastAsiaTheme="majorEastAsia" w:hAnsi="Garamond"/>
          <w:sz w:val="22"/>
          <w:szCs w:val="22"/>
        </w:rPr>
        <w:t>,</w:t>
      </w:r>
      <w:r w:rsidR="00FC776B" w:rsidRPr="008D6FFA">
        <w:rPr>
          <w:rStyle w:val="BodyTextChar"/>
          <w:rFonts w:ascii="Garamond" w:eastAsiaTheme="majorEastAsia" w:hAnsi="Garamond"/>
          <w:sz w:val="22"/>
          <w:szCs w:val="22"/>
        </w:rPr>
        <w:t xml:space="preserve"> delve into the pivotal influence of institutional investors within diverse contexts of corporate</w:t>
      </w:r>
      <w:r w:rsidR="00611C54" w:rsidRPr="008D6FFA">
        <w:rPr>
          <w:rStyle w:val="BodyTextChar"/>
          <w:rFonts w:ascii="Garamond" w:eastAsiaTheme="majorEastAsia" w:hAnsi="Garamond"/>
          <w:sz w:val="22"/>
          <w:szCs w:val="22"/>
        </w:rPr>
        <w:t xml:space="preserve"> finance.</w:t>
      </w:r>
      <w:r w:rsidR="00FC776B" w:rsidRPr="008D6FFA">
        <w:rPr>
          <w:rStyle w:val="BodyTextChar"/>
          <w:rFonts w:ascii="Garamond" w:eastAsiaTheme="majorEastAsia" w:hAnsi="Garamond"/>
          <w:sz w:val="22"/>
          <w:szCs w:val="22"/>
        </w:rPr>
        <w:t xml:space="preserve"> </w:t>
      </w:r>
    </w:p>
    <w:p w14:paraId="4361678D" w14:textId="77777777" w:rsidR="0099455D" w:rsidRPr="00C21525" w:rsidRDefault="0099455D" w:rsidP="004001D6">
      <w:pPr>
        <w:spacing w:before="240" w:after="160" w:line="259" w:lineRule="auto"/>
        <w:jc w:val="center"/>
        <w:rPr>
          <w:rFonts w:ascii="Garamond" w:hAnsi="Garamond" w:cstheme="majorBidi"/>
          <w:b/>
          <w:bCs/>
          <w:kern w:val="0"/>
          <w:sz w:val="22"/>
          <w:szCs w:val="22"/>
          <w14:ligatures w14:val="none"/>
        </w:rPr>
      </w:pPr>
      <w:r w:rsidRPr="00C21525">
        <w:rPr>
          <w:rFonts w:ascii="Garamond" w:hAnsi="Garamond" w:cstheme="majorBidi"/>
          <w:b/>
          <w:bCs/>
          <w:kern w:val="0"/>
          <w:sz w:val="22"/>
          <w:szCs w:val="22"/>
          <w14:ligatures w14:val="none"/>
        </w:rPr>
        <w:t>Preliminary Regression Results</w:t>
      </w:r>
    </w:p>
    <w:p w14:paraId="0ACE7606" w14:textId="77777777" w:rsidR="0099455D" w:rsidRPr="008D6FFA" w:rsidRDefault="0099455D" w:rsidP="0099455D">
      <w:pPr>
        <w:shd w:val="clear" w:color="auto" w:fill="FFFFFF"/>
        <w:rPr>
          <w:rFonts w:ascii="Garamond" w:eastAsiaTheme="minorEastAsia" w:hAnsi="Garamond" w:cstheme="majorBidi"/>
          <w:kern w:val="0"/>
          <w:sz w:val="22"/>
          <w:szCs w:val="22"/>
          <w14:ligatures w14:val="none"/>
        </w:rPr>
      </w:pPr>
      <w:bookmarkStart w:id="6" w:name="_Hlk52522782"/>
      <w:r w:rsidRPr="008D6FFA">
        <w:rPr>
          <w:rFonts w:ascii="Garamond" w:eastAsia="Times New Roman" w:hAnsi="Garamond" w:cstheme="majorBidi"/>
          <w:b/>
          <w:bCs/>
          <w:kern w:val="0"/>
          <w:sz w:val="22"/>
          <w:szCs w:val="22"/>
          <w14:ligatures w14:val="none"/>
        </w:rPr>
        <w:t xml:space="preserve">Table 1: Financial Giants and IPO Underpricing </w:t>
      </w:r>
    </w:p>
    <w:p w14:paraId="2D9289F0" w14:textId="77777777" w:rsidR="0099455D" w:rsidRPr="008D6FFA" w:rsidRDefault="0099455D" w:rsidP="0099455D">
      <w:pPr>
        <w:shd w:val="clear" w:color="auto" w:fill="FFFFFF"/>
        <w:jc w:val="both"/>
        <w:rPr>
          <w:rFonts w:ascii="Garamond" w:eastAsia="Times New Roman" w:hAnsi="Garamond" w:cstheme="majorBidi"/>
          <w:kern w:val="0"/>
          <w:sz w:val="22"/>
          <w:szCs w:val="22"/>
          <w14:ligatures w14:val="none"/>
        </w:rPr>
      </w:pPr>
    </w:p>
    <w:bookmarkEnd w:id="6"/>
    <w:p w14:paraId="69C29A25" w14:textId="47F695AE" w:rsidR="0099455D" w:rsidRDefault="0099455D" w:rsidP="0099455D">
      <w:pPr>
        <w:spacing w:line="360" w:lineRule="auto"/>
        <w:jc w:val="both"/>
        <w:rPr>
          <w:rFonts w:ascii="Garamond" w:eastAsia="Times New Roman" w:hAnsi="Garamond" w:cstheme="majorBidi"/>
          <w:kern w:val="0"/>
          <w:sz w:val="22"/>
          <w:szCs w:val="22"/>
          <w14:ligatures w14:val="none"/>
        </w:rPr>
      </w:pPr>
      <w:r w:rsidRPr="008D6FFA">
        <w:rPr>
          <w:rFonts w:ascii="Garamond" w:eastAsia="Times New Roman" w:hAnsi="Garamond" w:cstheme="majorBidi"/>
          <w:kern w:val="0"/>
          <w:sz w:val="22"/>
          <w:szCs w:val="22"/>
          <w14:ligatures w14:val="none"/>
        </w:rPr>
        <w:t>The table presents the results of Ordinary Least Squares (OLS) regression analyses conducted on IPO Underpricing (</w:t>
      </w:r>
      <w:proofErr w:type="spellStart"/>
      <w:r w:rsidRPr="008D6FFA">
        <w:rPr>
          <w:rFonts w:ascii="Garamond" w:eastAsia="Times New Roman" w:hAnsi="Garamond" w:cstheme="majorBidi"/>
          <w:kern w:val="0"/>
          <w:sz w:val="22"/>
          <w:szCs w:val="22"/>
          <w14:ligatures w14:val="none"/>
        </w:rPr>
        <w:t>IPO_Under</w:t>
      </w:r>
      <w:proofErr w:type="spellEnd"/>
      <w:r w:rsidRPr="008D6FFA">
        <w:rPr>
          <w:rFonts w:ascii="Garamond" w:eastAsia="Times New Roman" w:hAnsi="Garamond" w:cstheme="majorBidi"/>
          <w:kern w:val="0"/>
          <w:sz w:val="22"/>
          <w:szCs w:val="22"/>
          <w14:ligatures w14:val="none"/>
        </w:rPr>
        <w:t xml:space="preserve">). IPO Underpricing is defined as ((price - </w:t>
      </w:r>
      <w:proofErr w:type="spellStart"/>
      <w:r w:rsidRPr="008D6FFA">
        <w:rPr>
          <w:rFonts w:ascii="Garamond" w:eastAsia="Times New Roman" w:hAnsi="Garamond" w:cstheme="majorBidi"/>
          <w:kern w:val="0"/>
          <w:sz w:val="22"/>
          <w:szCs w:val="22"/>
          <w14:ligatures w14:val="none"/>
        </w:rPr>
        <w:t>ipo_price</w:t>
      </w:r>
      <w:proofErr w:type="spellEnd"/>
      <w:r w:rsidRPr="008D6FFA">
        <w:rPr>
          <w:rFonts w:ascii="Garamond" w:eastAsia="Times New Roman" w:hAnsi="Garamond" w:cstheme="majorBidi"/>
          <w:kern w:val="0"/>
          <w:sz w:val="22"/>
          <w:szCs w:val="22"/>
          <w14:ligatures w14:val="none"/>
        </w:rPr>
        <w:t xml:space="preserve">) / </w:t>
      </w:r>
      <w:proofErr w:type="spellStart"/>
      <w:r w:rsidRPr="008D6FFA">
        <w:rPr>
          <w:rFonts w:ascii="Garamond" w:eastAsia="Times New Roman" w:hAnsi="Garamond" w:cstheme="majorBidi"/>
          <w:kern w:val="0"/>
          <w:sz w:val="22"/>
          <w:szCs w:val="22"/>
          <w14:ligatures w14:val="none"/>
        </w:rPr>
        <w:t>ipo_price</w:t>
      </w:r>
      <w:proofErr w:type="spellEnd"/>
      <w:r w:rsidRPr="008D6FFA">
        <w:rPr>
          <w:rFonts w:ascii="Garamond" w:eastAsia="Times New Roman" w:hAnsi="Garamond" w:cstheme="majorBidi"/>
          <w:kern w:val="0"/>
          <w:sz w:val="22"/>
          <w:szCs w:val="22"/>
          <w14:ligatures w14:val="none"/>
        </w:rPr>
        <w:t xml:space="preserve">) * 100, with </w:t>
      </w:r>
      <w:r w:rsidR="00AA3220"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price</w:t>
      </w:r>
      <w:r w:rsidR="00AA3220"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 xml:space="preserve"> representing the closing stock price at the conclusion of the first public trading day on the stock exchange. To mitigate </w:t>
      </w:r>
      <w:r w:rsidR="00AA3220" w:rsidRPr="008D6FFA">
        <w:rPr>
          <w:rFonts w:ascii="Garamond" w:eastAsia="Times New Roman" w:hAnsi="Garamond" w:cstheme="majorBidi"/>
          <w:kern w:val="0"/>
          <w:sz w:val="22"/>
          <w:szCs w:val="22"/>
          <w14:ligatures w14:val="none"/>
        </w:rPr>
        <w:t xml:space="preserve">the effect of </w:t>
      </w:r>
      <w:r w:rsidRPr="008D6FFA">
        <w:rPr>
          <w:rFonts w:ascii="Garamond" w:eastAsia="Times New Roman" w:hAnsi="Garamond" w:cstheme="majorBidi"/>
          <w:kern w:val="0"/>
          <w:sz w:val="22"/>
          <w:szCs w:val="22"/>
          <w14:ligatures w14:val="none"/>
        </w:rPr>
        <w:t xml:space="preserve">potential outliers, we employ </w:t>
      </w:r>
      <w:proofErr w:type="spellStart"/>
      <w:r w:rsidRPr="008D6FFA">
        <w:rPr>
          <w:rFonts w:ascii="Garamond" w:eastAsia="Times New Roman" w:hAnsi="Garamond" w:cstheme="majorBidi"/>
          <w:kern w:val="0"/>
          <w:sz w:val="22"/>
          <w:szCs w:val="22"/>
          <w14:ligatures w14:val="none"/>
        </w:rPr>
        <w:t>winsorizing</w:t>
      </w:r>
      <w:proofErr w:type="spellEnd"/>
      <w:r w:rsidRPr="008D6FFA">
        <w:rPr>
          <w:rFonts w:ascii="Garamond" w:eastAsia="Times New Roman" w:hAnsi="Garamond" w:cstheme="majorBidi"/>
          <w:kern w:val="0"/>
          <w:sz w:val="22"/>
          <w:szCs w:val="22"/>
          <w14:ligatures w14:val="none"/>
        </w:rPr>
        <w:t xml:space="preserve"> on the raw IPO Underpricing data at the 1% and 99% levels. Our primary explanatory variable of interest is </w:t>
      </w:r>
      <w:r w:rsidR="00E50423" w:rsidRPr="008D6FFA">
        <w:rPr>
          <w:rFonts w:ascii="Garamond" w:eastAsia="Times New Roman" w:hAnsi="Garamond" w:cstheme="majorBidi"/>
          <w:kern w:val="0"/>
          <w:sz w:val="22"/>
          <w:szCs w:val="22"/>
          <w14:ligatures w14:val="none"/>
        </w:rPr>
        <w:t>“</w:t>
      </w:r>
      <w:proofErr w:type="spellStart"/>
      <w:r w:rsidRPr="008D6FFA">
        <w:rPr>
          <w:rFonts w:ascii="Garamond" w:eastAsia="Times New Roman" w:hAnsi="Garamond" w:cstheme="majorBidi"/>
          <w:kern w:val="0"/>
          <w:sz w:val="22"/>
          <w:szCs w:val="22"/>
          <w14:ligatures w14:val="none"/>
        </w:rPr>
        <w:t>BigThree</w:t>
      </w:r>
      <w:proofErr w:type="spellEnd"/>
      <w:r w:rsidRPr="008D6FFA">
        <w:rPr>
          <w:rFonts w:ascii="Garamond" w:eastAsia="Times New Roman" w:hAnsi="Garamond" w:cstheme="majorBidi"/>
          <w:kern w:val="0"/>
          <w:sz w:val="22"/>
          <w:szCs w:val="22"/>
          <w14:ligatures w14:val="none"/>
        </w:rPr>
        <w:t>,</w:t>
      </w:r>
      <w:r w:rsidR="00E50423"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 xml:space="preserve"> which is a binary indicator </w:t>
      </w:r>
      <w:r w:rsidR="00AA3220" w:rsidRPr="008D6FFA">
        <w:rPr>
          <w:rFonts w:ascii="Garamond" w:eastAsia="Times New Roman" w:hAnsi="Garamond" w:cstheme="majorBidi"/>
          <w:kern w:val="0"/>
          <w:sz w:val="22"/>
          <w:szCs w:val="22"/>
          <w14:ligatures w14:val="none"/>
        </w:rPr>
        <w:t xml:space="preserve">equal to </w:t>
      </w:r>
      <w:r w:rsidRPr="008D6FFA">
        <w:rPr>
          <w:rFonts w:ascii="Garamond" w:eastAsia="Times New Roman" w:hAnsi="Garamond" w:cstheme="majorBidi"/>
          <w:kern w:val="0"/>
          <w:sz w:val="22"/>
          <w:szCs w:val="22"/>
          <w14:ligatures w14:val="none"/>
        </w:rPr>
        <w:t>1 when all three major institutional investors collectively known as the Big Three are engaged in the IPO deal (holding shares in the company at the end of the quarter following the IPO)</w:t>
      </w:r>
      <w:r w:rsidR="00AA3220" w:rsidRPr="008D6FFA">
        <w:rPr>
          <w:rFonts w:ascii="Garamond" w:eastAsia="Times New Roman" w:hAnsi="Garamond" w:cstheme="majorBidi"/>
          <w:kern w:val="0"/>
          <w:sz w:val="22"/>
          <w:szCs w:val="22"/>
          <w14:ligatures w14:val="none"/>
        </w:rPr>
        <w:t xml:space="preserve"> and</w:t>
      </w:r>
      <w:r w:rsidRPr="008D6FFA">
        <w:rPr>
          <w:rFonts w:ascii="Garamond" w:eastAsia="Times New Roman" w:hAnsi="Garamond" w:cstheme="majorBidi"/>
          <w:kern w:val="0"/>
          <w:sz w:val="22"/>
          <w:szCs w:val="22"/>
          <w14:ligatures w14:val="none"/>
        </w:rPr>
        <w:t xml:space="preserve"> 0 when they are not involved. Among our control variables, </w:t>
      </w:r>
      <w:r w:rsidR="00E50423"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SIZE</w:t>
      </w:r>
      <w:r w:rsidR="00E50423"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 xml:space="preserve"> represents the natural logarithm of the firm</w:t>
      </w:r>
      <w:r w:rsidR="00AA3220"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 xml:space="preserve">s IPO market valuation, measured in millions of U.S. dollars. This valuation is computed as the product of the IPO price and the number of outstanding shares. </w:t>
      </w:r>
      <w:r w:rsidR="00E50423" w:rsidRPr="008D6FFA">
        <w:rPr>
          <w:rFonts w:ascii="Garamond" w:eastAsia="Times New Roman" w:hAnsi="Garamond" w:cstheme="majorBidi"/>
          <w:kern w:val="0"/>
          <w:sz w:val="22"/>
          <w:szCs w:val="22"/>
          <w14:ligatures w14:val="none"/>
        </w:rPr>
        <w:t>“</w:t>
      </w:r>
      <w:proofErr w:type="spellStart"/>
      <w:r w:rsidR="00741240">
        <w:rPr>
          <w:rFonts w:ascii="Garamond" w:eastAsia="Times New Roman" w:hAnsi="Garamond" w:cstheme="majorBidi"/>
          <w:kern w:val="0"/>
          <w:sz w:val="22"/>
          <w:szCs w:val="22"/>
          <w14:ligatures w14:val="none"/>
        </w:rPr>
        <w:t>BigThreeHoldings</w:t>
      </w:r>
      <w:proofErr w:type="spellEnd"/>
      <w:r w:rsidR="00E50423" w:rsidRPr="008D6FFA">
        <w:rPr>
          <w:rFonts w:ascii="Garamond" w:eastAsia="Times New Roman" w:hAnsi="Garamond" w:cstheme="majorBidi"/>
          <w:kern w:val="0"/>
          <w:sz w:val="22"/>
          <w:szCs w:val="22"/>
          <w14:ligatures w14:val="none"/>
        </w:rPr>
        <w:t xml:space="preserve">” </w:t>
      </w:r>
      <w:r w:rsidRPr="008D6FFA">
        <w:rPr>
          <w:rFonts w:ascii="Garamond" w:eastAsia="Times New Roman" w:hAnsi="Garamond" w:cstheme="majorBidi"/>
          <w:kern w:val="0"/>
          <w:sz w:val="22"/>
          <w:szCs w:val="22"/>
          <w14:ligatures w14:val="none"/>
        </w:rPr>
        <w:t xml:space="preserve">is a dummy variable set to 1 if the total institutional holdings in the company at the end of the quarter following the IPO </w:t>
      </w:r>
      <w:r w:rsidR="00AA3220" w:rsidRPr="008D6FFA">
        <w:rPr>
          <w:rFonts w:ascii="Garamond" w:eastAsia="Times New Roman" w:hAnsi="Garamond" w:cstheme="majorBidi"/>
          <w:kern w:val="0"/>
          <w:sz w:val="22"/>
          <w:szCs w:val="22"/>
          <w14:ligatures w14:val="none"/>
        </w:rPr>
        <w:t>are at least as large as</w:t>
      </w:r>
      <w:r w:rsidRPr="008D6FFA">
        <w:rPr>
          <w:rFonts w:ascii="Garamond" w:eastAsia="Times New Roman" w:hAnsi="Garamond" w:cstheme="majorBidi"/>
          <w:kern w:val="0"/>
          <w:sz w:val="22"/>
          <w:szCs w:val="22"/>
          <w14:ligatures w14:val="none"/>
        </w:rPr>
        <w:t xml:space="preserve"> the median institutional holdings for all companies in our sample (24.88% or more); otherwise, it equals </w:t>
      </w:r>
      <w:proofErr w:type="gramStart"/>
      <w:r w:rsidRPr="008D6FFA">
        <w:rPr>
          <w:rFonts w:ascii="Garamond" w:eastAsia="Times New Roman" w:hAnsi="Garamond" w:cstheme="majorBidi"/>
          <w:kern w:val="0"/>
          <w:sz w:val="22"/>
          <w:szCs w:val="22"/>
          <w14:ligatures w14:val="none"/>
        </w:rPr>
        <w:t>0..</w:t>
      </w:r>
      <w:proofErr w:type="gramEnd"/>
      <w:r w:rsidRPr="008D6FFA">
        <w:rPr>
          <w:rFonts w:ascii="Garamond" w:eastAsia="Times New Roman" w:hAnsi="Garamond" w:cstheme="majorBidi"/>
          <w:kern w:val="0"/>
          <w:sz w:val="22"/>
          <w:szCs w:val="22"/>
          <w14:ligatures w14:val="none"/>
        </w:rPr>
        <w:t xml:space="preserve"> All model specifications incorporate calendar year fixed effects and industry</w:t>
      </w:r>
      <w:r w:rsidR="00936204" w:rsidRPr="008D6FFA">
        <w:rPr>
          <w:rFonts w:ascii="Garamond" w:eastAsia="Times New Roman" w:hAnsi="Garamond" w:cstheme="majorBidi"/>
          <w:kern w:val="0"/>
          <w:sz w:val="22"/>
          <w:szCs w:val="22"/>
          <w14:ligatures w14:val="none"/>
        </w:rPr>
        <w:t>-</w:t>
      </w:r>
      <w:r w:rsidRPr="008D6FFA">
        <w:rPr>
          <w:rFonts w:ascii="Garamond" w:eastAsia="Times New Roman" w:hAnsi="Garamond" w:cstheme="majorBidi"/>
          <w:kern w:val="0"/>
          <w:sz w:val="22"/>
          <w:szCs w:val="22"/>
          <w14:ligatures w14:val="none"/>
        </w:rPr>
        <w:t xml:space="preserve">fixed effects based on the </w:t>
      </w:r>
      <w:proofErr w:type="spellStart"/>
      <w:r w:rsidRPr="008D6FFA">
        <w:rPr>
          <w:rFonts w:ascii="Garamond" w:eastAsia="Times New Roman" w:hAnsi="Garamond" w:cstheme="majorBidi"/>
          <w:kern w:val="0"/>
          <w:sz w:val="22"/>
          <w:szCs w:val="22"/>
          <w14:ligatures w14:val="none"/>
        </w:rPr>
        <w:t>Fama</w:t>
      </w:r>
      <w:proofErr w:type="spellEnd"/>
      <w:r w:rsidRPr="008D6FFA">
        <w:rPr>
          <w:rFonts w:ascii="Garamond" w:eastAsia="Times New Roman" w:hAnsi="Garamond" w:cstheme="majorBidi"/>
          <w:kern w:val="0"/>
          <w:sz w:val="22"/>
          <w:szCs w:val="22"/>
          <w14:ligatures w14:val="none"/>
        </w:rPr>
        <w:t xml:space="preserve">-French 12 industry classification. Columns </w:t>
      </w:r>
      <w:r w:rsidR="00987F2E" w:rsidRPr="008D6FFA">
        <w:rPr>
          <w:rFonts w:ascii="Garamond" w:eastAsia="Times New Roman" w:hAnsi="Garamond" w:cstheme="majorBidi"/>
          <w:kern w:val="0"/>
          <w:sz w:val="22"/>
          <w:szCs w:val="22"/>
          <w14:ligatures w14:val="none"/>
        </w:rPr>
        <w:t>4</w:t>
      </w:r>
      <w:r w:rsidRPr="008D6FFA">
        <w:rPr>
          <w:rFonts w:ascii="Garamond" w:eastAsia="Times New Roman" w:hAnsi="Garamond" w:cstheme="majorBidi"/>
          <w:kern w:val="0"/>
          <w:sz w:val="22"/>
          <w:szCs w:val="22"/>
          <w14:ligatures w14:val="none"/>
        </w:rPr>
        <w:t xml:space="preserve"> and </w:t>
      </w:r>
      <w:r w:rsidR="00987F2E" w:rsidRPr="008D6FFA">
        <w:rPr>
          <w:rFonts w:ascii="Garamond" w:eastAsia="Times New Roman" w:hAnsi="Garamond" w:cstheme="majorBidi"/>
          <w:kern w:val="0"/>
          <w:sz w:val="22"/>
          <w:szCs w:val="22"/>
          <w14:ligatures w14:val="none"/>
        </w:rPr>
        <w:t>5</w:t>
      </w:r>
      <w:r w:rsidRPr="008D6FFA">
        <w:rPr>
          <w:rFonts w:ascii="Garamond" w:eastAsia="Times New Roman" w:hAnsi="Garamond" w:cstheme="majorBidi"/>
          <w:kern w:val="0"/>
          <w:sz w:val="22"/>
          <w:szCs w:val="22"/>
          <w14:ligatures w14:val="none"/>
        </w:rPr>
        <w:t xml:space="preserve"> in the table present results from subsamples, with Column </w:t>
      </w:r>
      <w:r w:rsidR="00987F2E" w:rsidRPr="008D6FFA">
        <w:rPr>
          <w:rFonts w:ascii="Garamond" w:eastAsia="Times New Roman" w:hAnsi="Garamond" w:cstheme="majorBidi"/>
          <w:kern w:val="0"/>
          <w:sz w:val="22"/>
          <w:szCs w:val="22"/>
          <w14:ligatures w14:val="none"/>
        </w:rPr>
        <w:t>4</w:t>
      </w:r>
      <w:r w:rsidRPr="008D6FFA">
        <w:rPr>
          <w:rFonts w:ascii="Garamond" w:eastAsia="Times New Roman" w:hAnsi="Garamond" w:cstheme="majorBidi"/>
          <w:kern w:val="0"/>
          <w:sz w:val="22"/>
          <w:szCs w:val="22"/>
          <w14:ligatures w14:val="none"/>
        </w:rPr>
        <w:t xml:space="preserve"> focusing on the years 2002-2011 and Column </w:t>
      </w:r>
      <w:r w:rsidR="00987F2E" w:rsidRPr="008D6FFA">
        <w:rPr>
          <w:rFonts w:ascii="Garamond" w:eastAsia="Times New Roman" w:hAnsi="Garamond" w:cstheme="majorBidi"/>
          <w:kern w:val="0"/>
          <w:sz w:val="22"/>
          <w:szCs w:val="22"/>
          <w14:ligatures w14:val="none"/>
        </w:rPr>
        <w:t>5</w:t>
      </w:r>
      <w:r w:rsidRPr="008D6FFA">
        <w:rPr>
          <w:rFonts w:ascii="Garamond" w:eastAsia="Times New Roman" w:hAnsi="Garamond" w:cstheme="majorBidi"/>
          <w:kern w:val="0"/>
          <w:sz w:val="22"/>
          <w:szCs w:val="22"/>
          <w14:ligatures w14:val="none"/>
        </w:rPr>
        <w:t xml:space="preserve"> concentrating on the years 2012-2022. Standard errors are robust and clustered at the industry level, with significance levels indicated by asterisks: *, **, and *** denote statistical significance at the 10%, 5%, and 1% levels, respectively.</w:t>
      </w:r>
    </w:p>
    <w:p w14:paraId="7AE2317B" w14:textId="5D006666" w:rsidR="009200F4" w:rsidRPr="00C21525" w:rsidRDefault="009200F4" w:rsidP="00C21525">
      <w:pPr>
        <w:spacing w:line="360" w:lineRule="auto"/>
        <w:jc w:val="center"/>
        <w:rPr>
          <w:rFonts w:ascii="Garamond" w:eastAsia="Times New Roman" w:hAnsi="Garamond" w:cstheme="majorBidi"/>
          <w:b/>
          <w:bCs/>
          <w:kern w:val="0"/>
          <w:sz w:val="22"/>
          <w:szCs w:val="22"/>
          <w:u w:val="single"/>
          <w14:ligatures w14:val="none"/>
        </w:rPr>
      </w:pPr>
      <w:r w:rsidRPr="00C21525">
        <w:rPr>
          <w:rFonts w:ascii="Garamond" w:hAnsi="Garamond"/>
          <w:b/>
          <w:bCs/>
          <w:iCs/>
          <w:noProof/>
          <w:u w:val="single"/>
        </w:rPr>
        <w:lastRenderedPageBreak/>
        <w:drawing>
          <wp:anchor distT="0" distB="0" distL="114300" distR="114300" simplePos="0" relativeHeight="251663360" behindDoc="0" locked="0" layoutInCell="1" allowOverlap="1" wp14:anchorId="13D957FF" wp14:editId="49C64F8E">
            <wp:simplePos x="0" y="0"/>
            <wp:positionH relativeFrom="margin">
              <wp:posOffset>246184</wp:posOffset>
            </wp:positionH>
            <wp:positionV relativeFrom="paragraph">
              <wp:posOffset>239395</wp:posOffset>
            </wp:positionV>
            <wp:extent cx="5458460" cy="1482090"/>
            <wp:effectExtent l="0" t="0" r="8890" b="3810"/>
            <wp:wrapTopAndBottom/>
            <wp:docPr id="543373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8460" cy="1482090"/>
                    </a:xfrm>
                    <a:prstGeom prst="rect">
                      <a:avLst/>
                    </a:prstGeom>
                    <a:noFill/>
                  </pic:spPr>
                </pic:pic>
              </a:graphicData>
            </a:graphic>
            <wp14:sizeRelH relativeFrom="margin">
              <wp14:pctWidth>0</wp14:pctWidth>
            </wp14:sizeRelH>
            <wp14:sizeRelV relativeFrom="margin">
              <wp14:pctHeight>0</wp14:pctHeight>
            </wp14:sizeRelV>
          </wp:anchor>
        </w:drawing>
      </w:r>
    </w:p>
    <w:p w14:paraId="69A0751A" w14:textId="77777777" w:rsidR="0099455D" w:rsidRPr="008D6FFA" w:rsidRDefault="0099455D" w:rsidP="00982C9F">
      <w:pPr>
        <w:bidi/>
        <w:spacing w:line="360" w:lineRule="auto"/>
        <w:jc w:val="both"/>
        <w:rPr>
          <w:rFonts w:asciiTheme="minorBidi" w:eastAsia="Times New Roman" w:hAnsiTheme="minorBidi"/>
          <w:kern w:val="0"/>
          <w:sz w:val="22"/>
          <w:szCs w:val="22"/>
          <w14:ligatures w14:val="none"/>
        </w:rPr>
      </w:pPr>
    </w:p>
    <w:p w14:paraId="19DA030A" w14:textId="4DB6BDFC" w:rsidR="00316251" w:rsidRPr="008D6FFA" w:rsidRDefault="00316251" w:rsidP="00A93DD2">
      <w:pPr>
        <w:rPr>
          <w:rFonts w:ascii="Garamond" w:hAnsi="Garamond"/>
          <w:sz w:val="22"/>
          <w:szCs w:val="22"/>
        </w:rPr>
      </w:pPr>
    </w:p>
    <w:p w14:paraId="113A60C1" w14:textId="77777777" w:rsidR="0036244F" w:rsidRPr="00C21525" w:rsidRDefault="0036244F" w:rsidP="00EC47C6">
      <w:pPr>
        <w:jc w:val="center"/>
        <w:rPr>
          <w:rFonts w:ascii="Garamond" w:hAnsi="Garamond"/>
          <w:b/>
          <w:bCs/>
          <w:color w:val="000000" w:themeColor="text1"/>
          <w:sz w:val="22"/>
          <w:szCs w:val="22"/>
          <w:u w:val="single"/>
        </w:rPr>
      </w:pPr>
    </w:p>
    <w:p w14:paraId="66217A92" w14:textId="77777777" w:rsidR="0036244F" w:rsidRPr="00C21525" w:rsidRDefault="0036244F" w:rsidP="00EC47C6">
      <w:pPr>
        <w:jc w:val="center"/>
        <w:rPr>
          <w:rFonts w:ascii="Garamond" w:hAnsi="Garamond"/>
          <w:b/>
          <w:bCs/>
          <w:color w:val="000000" w:themeColor="text1"/>
          <w:sz w:val="22"/>
          <w:szCs w:val="22"/>
          <w:u w:val="single"/>
        </w:rPr>
      </w:pPr>
    </w:p>
    <w:p w14:paraId="0CC879A5" w14:textId="77777777" w:rsidR="0036244F" w:rsidRPr="00C21525" w:rsidRDefault="0036244F" w:rsidP="00EC47C6">
      <w:pPr>
        <w:jc w:val="center"/>
        <w:rPr>
          <w:rFonts w:ascii="Garamond" w:hAnsi="Garamond"/>
          <w:b/>
          <w:bCs/>
          <w:color w:val="000000" w:themeColor="text1"/>
          <w:sz w:val="22"/>
          <w:szCs w:val="22"/>
          <w:u w:val="single"/>
        </w:rPr>
      </w:pPr>
    </w:p>
    <w:p w14:paraId="58D8C672" w14:textId="77777777" w:rsidR="0036244F" w:rsidRPr="00C21525" w:rsidRDefault="0036244F" w:rsidP="00EC47C6">
      <w:pPr>
        <w:jc w:val="center"/>
        <w:rPr>
          <w:rFonts w:ascii="Garamond" w:hAnsi="Garamond"/>
          <w:b/>
          <w:bCs/>
          <w:color w:val="000000" w:themeColor="text1"/>
          <w:sz w:val="22"/>
          <w:szCs w:val="22"/>
          <w:u w:val="single"/>
        </w:rPr>
      </w:pPr>
    </w:p>
    <w:p w14:paraId="6E6CFCCB" w14:textId="77777777" w:rsidR="0036244F" w:rsidRPr="00C21525" w:rsidRDefault="0036244F" w:rsidP="00EC47C6">
      <w:pPr>
        <w:jc w:val="center"/>
        <w:rPr>
          <w:rFonts w:ascii="Garamond" w:hAnsi="Garamond"/>
          <w:b/>
          <w:bCs/>
          <w:color w:val="000000" w:themeColor="text1"/>
          <w:sz w:val="22"/>
          <w:szCs w:val="22"/>
          <w:u w:val="single"/>
        </w:rPr>
      </w:pPr>
    </w:p>
    <w:p w14:paraId="408A45EC" w14:textId="0F41E7F9" w:rsidR="00EC47C6" w:rsidRPr="00C21525" w:rsidRDefault="00EC47C6" w:rsidP="00EC47C6">
      <w:pPr>
        <w:jc w:val="center"/>
        <w:rPr>
          <w:rFonts w:ascii="Garamond" w:hAnsi="Garamond"/>
          <w:b/>
          <w:bCs/>
          <w:color w:val="000000" w:themeColor="text1"/>
          <w:sz w:val="22"/>
          <w:szCs w:val="22"/>
          <w:u w:val="single"/>
        </w:rPr>
      </w:pPr>
      <w:r w:rsidRPr="00C21525">
        <w:rPr>
          <w:rFonts w:ascii="Garamond" w:hAnsi="Garamond"/>
          <w:b/>
          <w:bCs/>
          <w:color w:val="000000" w:themeColor="text1"/>
          <w:sz w:val="22"/>
          <w:szCs w:val="22"/>
          <w:u w:val="single"/>
        </w:rPr>
        <w:t>Bibliography</w:t>
      </w:r>
    </w:p>
    <w:p w14:paraId="13A940DC" w14:textId="77777777" w:rsidR="00EC47C6" w:rsidRPr="00C21525" w:rsidRDefault="00EC47C6" w:rsidP="00EC47C6">
      <w:pPr>
        <w:pStyle w:val="ListParagraph"/>
        <w:rPr>
          <w:rFonts w:ascii="Garamond" w:hAnsi="Garamond" w:cs="Arial"/>
          <w:color w:val="000000" w:themeColor="text1"/>
          <w:sz w:val="22"/>
          <w:szCs w:val="22"/>
          <w:shd w:val="clear" w:color="auto" w:fill="FFFFFF"/>
        </w:rPr>
      </w:pPr>
    </w:p>
    <w:p w14:paraId="5AA33996"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Aggarwal, R. 2003. “Allocation of Initial Public Offerings and Flipping Activity.”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68:111</w:t>
      </w:r>
    </w:p>
    <w:p w14:paraId="42E50CB4"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Aggarwal, R., </w:t>
      </w:r>
      <w:proofErr w:type="spellStart"/>
      <w:r w:rsidRPr="00C21525">
        <w:rPr>
          <w:rFonts w:ascii="Garamond" w:hAnsi="Garamond" w:cs="Arial"/>
          <w:color w:val="000000" w:themeColor="text1"/>
          <w:sz w:val="22"/>
          <w:szCs w:val="22"/>
          <w:shd w:val="clear" w:color="auto" w:fill="FFFFFF"/>
        </w:rPr>
        <w:t>Prabhala</w:t>
      </w:r>
      <w:proofErr w:type="spellEnd"/>
      <w:r w:rsidRPr="00C21525">
        <w:rPr>
          <w:rFonts w:ascii="Garamond" w:hAnsi="Garamond" w:cs="Arial"/>
          <w:color w:val="000000" w:themeColor="text1"/>
          <w:sz w:val="22"/>
          <w:szCs w:val="22"/>
          <w:shd w:val="clear" w:color="auto" w:fill="FFFFFF"/>
        </w:rPr>
        <w:t>, N. R., &amp; Puri, M. 2002. “Institutional Allocation in Initial Public Offerings: Empirical Evidence.”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57:1421</w:t>
      </w:r>
    </w:p>
    <w:p w14:paraId="68252DBB"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ppleSystemUIFont"/>
          <w:color w:val="000000" w:themeColor="text1"/>
          <w:kern w:val="0"/>
          <w:sz w:val="22"/>
          <w:szCs w:val="22"/>
        </w:rPr>
        <w:t>Ahlers</w:t>
      </w:r>
      <w:proofErr w:type="spellEnd"/>
      <w:r w:rsidRPr="00C21525">
        <w:rPr>
          <w:rFonts w:ascii="Garamond" w:hAnsi="Garamond" w:cs="AppleSystemUIFont"/>
          <w:color w:val="000000" w:themeColor="text1"/>
          <w:kern w:val="0"/>
          <w:sz w:val="22"/>
          <w:szCs w:val="22"/>
        </w:rPr>
        <w:t xml:space="preserve">, G. K.C., Cumming D., Gunther C. &amp; Schweizer D. 2015. “Signaling in Equity Crowdfunding.” </w:t>
      </w:r>
      <w:r w:rsidRPr="00C21525">
        <w:rPr>
          <w:rFonts w:ascii="Garamond" w:hAnsi="Garamond" w:cs="AppleSystemUIFont"/>
          <w:i/>
          <w:iCs/>
          <w:color w:val="000000" w:themeColor="text1"/>
          <w:kern w:val="0"/>
          <w:sz w:val="22"/>
          <w:szCs w:val="22"/>
        </w:rPr>
        <w:t>Entrepreneurship Theory and Perspective</w:t>
      </w:r>
      <w:r w:rsidRPr="00C21525">
        <w:rPr>
          <w:rFonts w:ascii="Garamond" w:hAnsi="Garamond" w:cs="AppleSystemUIFont"/>
          <w:color w:val="000000" w:themeColor="text1"/>
          <w:kern w:val="0"/>
          <w:sz w:val="22"/>
          <w:szCs w:val="22"/>
        </w:rPr>
        <w:t xml:space="preserve"> 39:955</w:t>
      </w:r>
    </w:p>
    <w:p w14:paraId="75583EB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Allen, F., &amp; </w:t>
      </w:r>
      <w:proofErr w:type="spellStart"/>
      <w:r w:rsidRPr="00C21525">
        <w:rPr>
          <w:rFonts w:ascii="Garamond" w:hAnsi="Garamond" w:cs="Arial"/>
          <w:color w:val="000000" w:themeColor="text1"/>
          <w:sz w:val="22"/>
          <w:szCs w:val="22"/>
          <w:shd w:val="clear" w:color="auto" w:fill="FFFFFF"/>
        </w:rPr>
        <w:t>Faulhaber</w:t>
      </w:r>
      <w:proofErr w:type="spellEnd"/>
      <w:r w:rsidRPr="00C21525">
        <w:rPr>
          <w:rFonts w:ascii="Garamond" w:hAnsi="Garamond" w:cs="Arial"/>
          <w:color w:val="000000" w:themeColor="text1"/>
          <w:sz w:val="22"/>
          <w:szCs w:val="22"/>
          <w:shd w:val="clear" w:color="auto" w:fill="FFFFFF"/>
        </w:rPr>
        <w:t>, G. R. 1989. “</w:t>
      </w:r>
      <w:proofErr w:type="spellStart"/>
      <w:r w:rsidRPr="00C21525">
        <w:rPr>
          <w:rFonts w:ascii="Garamond" w:hAnsi="Garamond" w:cs="Arial"/>
          <w:color w:val="000000" w:themeColor="text1"/>
          <w:sz w:val="22"/>
          <w:szCs w:val="22"/>
          <w:shd w:val="clear" w:color="auto" w:fill="FFFFFF"/>
        </w:rPr>
        <w:t>Signalling</w:t>
      </w:r>
      <w:proofErr w:type="spellEnd"/>
      <w:r w:rsidRPr="00C21525">
        <w:rPr>
          <w:rFonts w:ascii="Garamond" w:hAnsi="Garamond" w:cs="Arial"/>
          <w:color w:val="000000" w:themeColor="text1"/>
          <w:sz w:val="22"/>
          <w:szCs w:val="22"/>
          <w:shd w:val="clear" w:color="auto" w:fill="FFFFFF"/>
        </w:rPr>
        <w:t xml:space="preserve"> by Underpricing in the IPO Market.”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23:303</w:t>
      </w:r>
    </w:p>
    <w:p w14:paraId="5569EB6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Aran. Y., &amp; </w:t>
      </w:r>
      <w:proofErr w:type="spellStart"/>
      <w:r w:rsidRPr="00C21525">
        <w:rPr>
          <w:rFonts w:ascii="Garamond" w:hAnsi="Garamond" w:cs="Arial"/>
          <w:color w:val="000000" w:themeColor="text1"/>
          <w:sz w:val="22"/>
          <w:szCs w:val="22"/>
          <w:shd w:val="clear" w:color="auto" w:fill="FFFFFF"/>
        </w:rPr>
        <w:t>Murciano-Goroff</w:t>
      </w:r>
      <w:proofErr w:type="spellEnd"/>
      <w:r w:rsidRPr="00C21525">
        <w:rPr>
          <w:rFonts w:ascii="Garamond" w:hAnsi="Garamond" w:cs="Arial"/>
          <w:color w:val="000000" w:themeColor="text1"/>
          <w:sz w:val="22"/>
          <w:szCs w:val="22"/>
          <w:shd w:val="clear" w:color="auto" w:fill="FFFFFF"/>
        </w:rPr>
        <w:t xml:space="preserve"> R. 2023. “Equity Illusions.” </w:t>
      </w:r>
      <w:r w:rsidRPr="00C21525">
        <w:rPr>
          <w:rFonts w:ascii="Garamond" w:hAnsi="Garamond" w:cs="Arial"/>
          <w:i/>
          <w:iCs/>
          <w:color w:val="000000" w:themeColor="text1"/>
          <w:sz w:val="22"/>
          <w:szCs w:val="22"/>
          <w:shd w:val="clear" w:color="auto" w:fill="FFFFFF"/>
        </w:rPr>
        <w:t>Journal of Law, Economics and Organization</w:t>
      </w:r>
      <w:r w:rsidRPr="00C21525">
        <w:rPr>
          <w:rFonts w:ascii="Garamond" w:hAnsi="Garamond" w:cs="Arial"/>
          <w:color w:val="000000" w:themeColor="text1"/>
          <w:sz w:val="22"/>
          <w:szCs w:val="22"/>
          <w:shd w:val="clear" w:color="auto" w:fill="FFFFFF"/>
        </w:rPr>
        <w:t xml:space="preserve"> ewad017 </w:t>
      </w:r>
    </w:p>
    <w:p w14:paraId="5B77FBC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Azar, J., Marinescu, I., &amp; </w:t>
      </w:r>
      <w:proofErr w:type="spellStart"/>
      <w:r w:rsidRPr="00C21525">
        <w:rPr>
          <w:rFonts w:ascii="Garamond" w:hAnsi="Garamond" w:cs="Arial"/>
          <w:color w:val="000000" w:themeColor="text1"/>
          <w:sz w:val="22"/>
          <w:szCs w:val="22"/>
          <w:shd w:val="clear" w:color="auto" w:fill="FFFFFF"/>
        </w:rPr>
        <w:t>Steinbaum</w:t>
      </w:r>
      <w:proofErr w:type="spellEnd"/>
      <w:r w:rsidRPr="00C21525">
        <w:rPr>
          <w:rFonts w:ascii="Garamond" w:hAnsi="Garamond" w:cs="Arial"/>
          <w:color w:val="000000" w:themeColor="text1"/>
          <w:sz w:val="22"/>
          <w:szCs w:val="22"/>
          <w:shd w:val="clear" w:color="auto" w:fill="FFFFFF"/>
        </w:rPr>
        <w:t>, M. 2022. “Labor Market Concentration.” </w:t>
      </w:r>
      <w:r w:rsidRPr="00C21525">
        <w:rPr>
          <w:rFonts w:ascii="Garamond" w:hAnsi="Garamond" w:cs="Arial"/>
          <w:i/>
          <w:iCs/>
          <w:color w:val="000000" w:themeColor="text1"/>
          <w:sz w:val="22"/>
          <w:szCs w:val="22"/>
          <w:shd w:val="clear" w:color="auto" w:fill="FFFFFF"/>
        </w:rPr>
        <w:t>Journal of Human Resources</w:t>
      </w:r>
      <w:r w:rsidRPr="00C21525">
        <w:rPr>
          <w:rFonts w:ascii="Garamond" w:hAnsi="Garamond" w:cs="Arial"/>
          <w:color w:val="000000" w:themeColor="text1"/>
          <w:sz w:val="22"/>
          <w:szCs w:val="22"/>
          <w:shd w:val="clear" w:color="auto" w:fill="FFFFFF"/>
        </w:rPr>
        <w:t> 57(S):167</w:t>
      </w:r>
      <w:r w:rsidRPr="00C21525">
        <w:rPr>
          <w:rFonts w:ascii="Garamond" w:hAnsi="Garamond" w:cs="Arial" w:hint="eastAsia"/>
          <w:color w:val="000000" w:themeColor="text1"/>
          <w:sz w:val="22"/>
          <w:szCs w:val="22"/>
          <w:shd w:val="clear" w:color="auto" w:fill="FFFFFF"/>
          <w:rtl/>
        </w:rPr>
        <w:t>‏</w:t>
      </w:r>
    </w:p>
    <w:p w14:paraId="2502A75C"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Azar, J., Raina, S., &amp; Schmalz, M. 2022. “Ultimate Ownership and Bank Competition.” </w:t>
      </w:r>
      <w:r w:rsidRPr="00C21525">
        <w:rPr>
          <w:rFonts w:ascii="Garamond" w:hAnsi="Garamond" w:cs="Arial"/>
          <w:i/>
          <w:iCs/>
          <w:color w:val="000000" w:themeColor="text1"/>
          <w:sz w:val="22"/>
          <w:szCs w:val="22"/>
          <w:shd w:val="clear" w:color="auto" w:fill="FFFFFF"/>
        </w:rPr>
        <w:t>Financial Management</w:t>
      </w:r>
      <w:r w:rsidRPr="00C21525">
        <w:rPr>
          <w:rFonts w:ascii="Garamond" w:hAnsi="Garamond" w:cs="Arial"/>
          <w:color w:val="000000" w:themeColor="text1"/>
          <w:sz w:val="22"/>
          <w:szCs w:val="22"/>
          <w:shd w:val="clear" w:color="auto" w:fill="FFFFFF"/>
        </w:rPr>
        <w:t> 51:227</w:t>
      </w:r>
    </w:p>
    <w:p w14:paraId="71DB3263"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Azar, J., Schmalz, M. C., &amp; </w:t>
      </w:r>
      <w:proofErr w:type="spellStart"/>
      <w:r w:rsidRPr="00C21525">
        <w:rPr>
          <w:rFonts w:ascii="Garamond" w:hAnsi="Garamond" w:cs="Arial"/>
          <w:color w:val="000000" w:themeColor="text1"/>
          <w:sz w:val="22"/>
          <w:szCs w:val="22"/>
          <w:shd w:val="clear" w:color="auto" w:fill="FFFFFF"/>
        </w:rPr>
        <w:t>Tecu</w:t>
      </w:r>
      <w:proofErr w:type="spellEnd"/>
      <w:r w:rsidRPr="00C21525">
        <w:rPr>
          <w:rFonts w:ascii="Garamond" w:hAnsi="Garamond" w:cs="Arial"/>
          <w:color w:val="000000" w:themeColor="text1"/>
          <w:sz w:val="22"/>
          <w:szCs w:val="22"/>
          <w:shd w:val="clear" w:color="auto" w:fill="FFFFFF"/>
        </w:rPr>
        <w:t>, I. 2018. “Anticompetitive Effects of Common Ownership.”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73:1513</w:t>
      </w:r>
    </w:p>
    <w:p w14:paraId="0128E22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Baron, D. P. 1982. “A Model of The Demand for Investment Banking Advising and Distribution Services for New Issues.” </w:t>
      </w:r>
      <w:r w:rsidRPr="00C21525">
        <w:rPr>
          <w:rFonts w:ascii="Garamond" w:hAnsi="Garamond" w:cs="Arial"/>
          <w:i/>
          <w:iCs/>
          <w:color w:val="000000" w:themeColor="text1"/>
          <w:sz w:val="22"/>
          <w:szCs w:val="22"/>
          <w:shd w:val="clear" w:color="auto" w:fill="FFFFFF"/>
        </w:rPr>
        <w:t xml:space="preserve">The Journal of Finance </w:t>
      </w:r>
      <w:r w:rsidRPr="00C21525">
        <w:rPr>
          <w:rFonts w:ascii="Garamond" w:hAnsi="Garamond" w:cs="Arial"/>
          <w:color w:val="000000" w:themeColor="text1"/>
          <w:sz w:val="22"/>
          <w:szCs w:val="22"/>
          <w:shd w:val="clear" w:color="auto" w:fill="FFFFFF"/>
        </w:rPr>
        <w:t>37:955</w:t>
      </w:r>
    </w:p>
    <w:p w14:paraId="18779728"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Bartus</w:t>
      </w:r>
      <w:proofErr w:type="spellEnd"/>
      <w:r w:rsidRPr="00C21525">
        <w:rPr>
          <w:rFonts w:ascii="Garamond" w:hAnsi="Garamond"/>
          <w:color w:val="000000" w:themeColor="text1"/>
          <w:sz w:val="22"/>
          <w:szCs w:val="22"/>
        </w:rPr>
        <w:t xml:space="preserve">, M. 2022. “How Many Authorized Shares Should I Use in My Certificate of Incorporation?” </w:t>
      </w:r>
      <w:proofErr w:type="spellStart"/>
      <w:r w:rsidRPr="00C21525">
        <w:rPr>
          <w:rFonts w:ascii="Garamond" w:hAnsi="Garamond"/>
          <w:i/>
          <w:iCs/>
          <w:color w:val="000000" w:themeColor="text1"/>
          <w:sz w:val="22"/>
          <w:szCs w:val="22"/>
        </w:rPr>
        <w:t>CooleyGo</w:t>
      </w:r>
      <w:proofErr w:type="spellEnd"/>
      <w:r w:rsidRPr="00C21525">
        <w:rPr>
          <w:rFonts w:ascii="Garamond" w:hAnsi="Garamond"/>
          <w:color w:val="000000" w:themeColor="text1"/>
          <w:sz w:val="22"/>
          <w:szCs w:val="22"/>
        </w:rPr>
        <w:t xml:space="preserve"> </w:t>
      </w:r>
      <w:r w:rsidRPr="00C21525">
        <w:rPr>
          <w:rFonts w:ascii="Garamond" w:hAnsi="Garamond"/>
          <w:i/>
          <w:iCs/>
          <w:color w:val="000000" w:themeColor="text1"/>
          <w:sz w:val="22"/>
          <w:szCs w:val="22"/>
        </w:rPr>
        <w:t>Blog</w:t>
      </w:r>
      <w:r w:rsidRPr="00C21525">
        <w:rPr>
          <w:rFonts w:ascii="Garamond" w:hAnsi="Garamond"/>
          <w:color w:val="000000" w:themeColor="text1"/>
          <w:sz w:val="22"/>
          <w:szCs w:val="22"/>
        </w:rPr>
        <w:t>. https://www.cooleygo.com/authorized-shares-vs-issued</w:t>
      </w:r>
    </w:p>
    <w:p w14:paraId="3EEE8F7B"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Bebchuk</w:t>
      </w:r>
      <w:proofErr w:type="spellEnd"/>
      <w:r w:rsidRPr="00C21525">
        <w:rPr>
          <w:rFonts w:ascii="Garamond" w:hAnsi="Garamond" w:cs="Arial"/>
          <w:color w:val="000000" w:themeColor="text1"/>
          <w:sz w:val="22"/>
          <w:szCs w:val="22"/>
          <w:shd w:val="clear" w:color="auto" w:fill="FFFFFF"/>
        </w:rPr>
        <w:t xml:space="preserve">, L. A., &amp; Hirst, S. 2019. “Index Funds and The Future of Corporate Governance: Theory, Evidence, And Policy.” </w:t>
      </w:r>
      <w:r w:rsidRPr="00C21525">
        <w:rPr>
          <w:rFonts w:ascii="Garamond" w:hAnsi="Garamond" w:cs="Arial"/>
          <w:i/>
          <w:iCs/>
          <w:color w:val="000000" w:themeColor="text1"/>
          <w:sz w:val="22"/>
          <w:szCs w:val="22"/>
          <w:shd w:val="clear" w:color="auto" w:fill="FFFFFF"/>
        </w:rPr>
        <w:t>Columbia Law Review</w:t>
      </w:r>
      <w:r w:rsidRPr="00C21525">
        <w:rPr>
          <w:rFonts w:ascii="Garamond" w:hAnsi="Garamond" w:cs="Arial"/>
          <w:color w:val="000000" w:themeColor="text1"/>
          <w:sz w:val="22"/>
          <w:szCs w:val="22"/>
          <w:shd w:val="clear" w:color="auto" w:fill="FFFFFF"/>
        </w:rPr>
        <w:t> 119:2029</w:t>
      </w:r>
    </w:p>
    <w:p w14:paraId="61033EA1"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Bebchuk</w:t>
      </w:r>
      <w:proofErr w:type="spellEnd"/>
      <w:r w:rsidRPr="00C21525">
        <w:rPr>
          <w:rFonts w:ascii="Garamond" w:hAnsi="Garamond" w:cs="Arial"/>
          <w:color w:val="000000" w:themeColor="text1"/>
          <w:sz w:val="22"/>
          <w:szCs w:val="22"/>
          <w:shd w:val="clear" w:color="auto" w:fill="FFFFFF"/>
        </w:rPr>
        <w:t>, L. A., &amp; Hirst, S. 2019. “</w:t>
      </w:r>
      <w:r w:rsidRPr="00C21525">
        <w:rPr>
          <w:rFonts w:ascii="Garamond" w:hAnsi="Garamond" w:cs="Arial"/>
          <w:i/>
          <w:iCs/>
          <w:color w:val="000000" w:themeColor="text1"/>
          <w:sz w:val="22"/>
          <w:szCs w:val="22"/>
          <w:shd w:val="clear" w:color="auto" w:fill="FFFFFF"/>
        </w:rPr>
        <w:t>The Specter of The Giant Three.”</w:t>
      </w:r>
      <w:r w:rsidRPr="00C21525">
        <w:rPr>
          <w:rFonts w:ascii="Garamond" w:hAnsi="Garamond" w:cs="Arial"/>
          <w:color w:val="000000" w:themeColor="text1"/>
          <w:sz w:val="22"/>
          <w:szCs w:val="22"/>
          <w:shd w:val="clear" w:color="auto" w:fill="FFFFFF"/>
        </w:rPr>
        <w:t xml:space="preserve">  No. w25914. </w:t>
      </w:r>
      <w:r w:rsidRPr="00C21525">
        <w:rPr>
          <w:rFonts w:ascii="Garamond" w:hAnsi="Garamond" w:cs="Arial"/>
          <w:i/>
          <w:iCs/>
          <w:color w:val="000000" w:themeColor="text1"/>
          <w:sz w:val="22"/>
          <w:szCs w:val="22"/>
          <w:shd w:val="clear" w:color="auto" w:fill="FFFFFF"/>
        </w:rPr>
        <w:t>National Bureau of Economic Research.</w:t>
      </w:r>
      <w:r w:rsidRPr="00C21525">
        <w:rPr>
          <w:rFonts w:ascii="Garamond" w:hAnsi="Garamond" w:cs="Arial" w:hint="eastAsia"/>
          <w:i/>
          <w:iCs/>
          <w:color w:val="000000" w:themeColor="text1"/>
          <w:sz w:val="22"/>
          <w:szCs w:val="22"/>
          <w:shd w:val="clear" w:color="auto" w:fill="FFFFFF"/>
          <w:rtl/>
        </w:rPr>
        <w:t>‏</w:t>
      </w:r>
      <w:r w:rsidRPr="00C21525">
        <w:rPr>
          <w:rFonts w:ascii="Garamond" w:hAnsi="Garamond" w:cs="Arial"/>
          <w:color w:val="000000" w:themeColor="text1"/>
          <w:sz w:val="22"/>
          <w:szCs w:val="22"/>
          <w:shd w:val="clear" w:color="auto" w:fill="FFFFFF"/>
        </w:rPr>
        <w:t xml:space="preserve"> </w:t>
      </w:r>
      <w:hyperlink r:id="rId13" w:history="1">
        <w:r w:rsidRPr="00C21525">
          <w:rPr>
            <w:rStyle w:val="Hyperlink"/>
            <w:rFonts w:ascii="Garamond" w:hAnsi="Garamond" w:cs="Arial"/>
            <w:color w:val="000000" w:themeColor="text1"/>
            <w:sz w:val="22"/>
            <w:szCs w:val="22"/>
            <w:u w:val="none"/>
            <w:shd w:val="clear" w:color="auto" w:fill="FFFFFF"/>
          </w:rPr>
          <w:t>https://www.nber.org/papers/w25914</w:t>
        </w:r>
      </w:hyperlink>
    </w:p>
    <w:p w14:paraId="5486A00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Bebchuk</w:t>
      </w:r>
      <w:proofErr w:type="spellEnd"/>
      <w:r w:rsidRPr="00C21525">
        <w:rPr>
          <w:rFonts w:ascii="Garamond" w:hAnsi="Garamond" w:cs="Arial"/>
          <w:color w:val="000000" w:themeColor="text1"/>
          <w:sz w:val="22"/>
          <w:szCs w:val="22"/>
          <w:shd w:val="clear" w:color="auto" w:fill="FFFFFF"/>
        </w:rPr>
        <w:t>, L. A., &amp; Kastiel, K. 2017. “The Untenable Case for Perpetual Dual-Class Stock.” </w:t>
      </w:r>
      <w:r w:rsidRPr="00C21525">
        <w:rPr>
          <w:rFonts w:ascii="Garamond" w:hAnsi="Garamond" w:cs="Arial"/>
          <w:i/>
          <w:iCs/>
          <w:color w:val="000000" w:themeColor="text1"/>
          <w:sz w:val="22"/>
          <w:szCs w:val="22"/>
          <w:shd w:val="clear" w:color="auto" w:fill="FFFFFF"/>
        </w:rPr>
        <w:t>Virginia Law Review</w:t>
      </w:r>
      <w:r w:rsidRPr="00C21525">
        <w:rPr>
          <w:rFonts w:ascii="Garamond" w:hAnsi="Garamond" w:cs="Arial"/>
          <w:color w:val="000000" w:themeColor="text1"/>
          <w:sz w:val="22"/>
          <w:szCs w:val="22"/>
          <w:shd w:val="clear" w:color="auto" w:fill="FFFFFF"/>
        </w:rPr>
        <w:t xml:space="preserve"> 103:585</w:t>
      </w:r>
      <w:r w:rsidRPr="00C21525">
        <w:rPr>
          <w:rFonts w:ascii="Garamond" w:hAnsi="Garamond" w:cs="Arial"/>
          <w:color w:val="000000" w:themeColor="text1"/>
          <w:sz w:val="22"/>
          <w:szCs w:val="22"/>
          <w:shd w:val="clear" w:color="auto" w:fill="FFFFFF"/>
          <w:rtl/>
        </w:rPr>
        <w:t xml:space="preserve"> </w:t>
      </w:r>
    </w:p>
    <w:p w14:paraId="4BB5D17B"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Bebchuk</w:t>
      </w:r>
      <w:proofErr w:type="spellEnd"/>
      <w:r w:rsidRPr="00C21525">
        <w:rPr>
          <w:rFonts w:ascii="Garamond" w:hAnsi="Garamond"/>
          <w:color w:val="000000" w:themeColor="text1"/>
          <w:sz w:val="22"/>
          <w:szCs w:val="22"/>
        </w:rPr>
        <w:t xml:space="preserve">, L. A., Cohen, A., &amp; Hirst, S. 2017. “The Agency Problems of Institutional Investors.” </w:t>
      </w:r>
      <w:r w:rsidRPr="00C21525">
        <w:rPr>
          <w:rFonts w:ascii="Garamond" w:hAnsi="Garamond"/>
          <w:i/>
          <w:iCs/>
          <w:color w:val="000000" w:themeColor="text1"/>
          <w:sz w:val="22"/>
          <w:szCs w:val="22"/>
        </w:rPr>
        <w:t>Journal of Economic Perspectives</w:t>
      </w:r>
      <w:r w:rsidRPr="00C21525">
        <w:rPr>
          <w:rFonts w:ascii="Garamond" w:hAnsi="Garamond"/>
          <w:color w:val="000000" w:themeColor="text1"/>
          <w:sz w:val="22"/>
          <w:szCs w:val="22"/>
        </w:rPr>
        <w:t xml:space="preserve"> 31:89</w:t>
      </w:r>
    </w:p>
    <w:p w14:paraId="19324A9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Bebchuk</w:t>
      </w:r>
      <w:proofErr w:type="spellEnd"/>
      <w:r w:rsidRPr="00C21525">
        <w:rPr>
          <w:rFonts w:ascii="Garamond" w:hAnsi="Garamond" w:cs="Arial"/>
          <w:color w:val="000000" w:themeColor="text1"/>
          <w:sz w:val="22"/>
          <w:szCs w:val="22"/>
          <w:shd w:val="clear" w:color="auto" w:fill="FFFFFF"/>
        </w:rPr>
        <w:t>, L., &amp; Hirst, S. 2022. “Big Three Power, and Why It Matters.” </w:t>
      </w:r>
      <w:r w:rsidRPr="00C21525">
        <w:rPr>
          <w:rFonts w:ascii="Garamond" w:hAnsi="Garamond" w:cs="Arial"/>
          <w:i/>
          <w:iCs/>
          <w:color w:val="000000" w:themeColor="text1"/>
          <w:sz w:val="22"/>
          <w:szCs w:val="22"/>
          <w:shd w:val="clear" w:color="auto" w:fill="FFFFFF"/>
        </w:rPr>
        <w:t xml:space="preserve">Boston </w:t>
      </w:r>
      <w:proofErr w:type="spellStart"/>
      <w:r w:rsidRPr="00C21525">
        <w:rPr>
          <w:rFonts w:ascii="Garamond" w:hAnsi="Garamond" w:cs="Arial"/>
          <w:i/>
          <w:iCs/>
          <w:color w:val="000000" w:themeColor="text1"/>
          <w:sz w:val="22"/>
          <w:szCs w:val="22"/>
          <w:shd w:val="clear" w:color="auto" w:fill="FFFFFF"/>
        </w:rPr>
        <w:t>Univeristy</w:t>
      </w:r>
      <w:proofErr w:type="spellEnd"/>
      <w:r w:rsidRPr="00C21525">
        <w:rPr>
          <w:rFonts w:ascii="Garamond" w:hAnsi="Garamond" w:cs="Arial"/>
          <w:i/>
          <w:iCs/>
          <w:color w:val="000000" w:themeColor="text1"/>
          <w:sz w:val="22"/>
          <w:szCs w:val="22"/>
          <w:shd w:val="clear" w:color="auto" w:fill="FFFFFF"/>
        </w:rPr>
        <w:t xml:space="preserve"> Law Review </w:t>
      </w:r>
      <w:r w:rsidRPr="00C21525">
        <w:rPr>
          <w:rFonts w:ascii="Garamond" w:hAnsi="Garamond" w:cs="Arial"/>
          <w:color w:val="000000" w:themeColor="text1"/>
          <w:sz w:val="22"/>
          <w:szCs w:val="22"/>
          <w:shd w:val="clear" w:color="auto" w:fill="FFFFFF"/>
        </w:rPr>
        <w:t>102:1547</w:t>
      </w:r>
    </w:p>
    <w:p w14:paraId="3963E303"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rPr>
        <w:t xml:space="preserve">Ben-David, I., </w:t>
      </w:r>
      <w:proofErr w:type="spellStart"/>
      <w:r w:rsidRPr="00C21525">
        <w:rPr>
          <w:rFonts w:ascii="Garamond" w:hAnsi="Garamond"/>
          <w:color w:val="000000" w:themeColor="text1"/>
          <w:sz w:val="22"/>
          <w:szCs w:val="22"/>
        </w:rPr>
        <w:t>Franzoni</w:t>
      </w:r>
      <w:proofErr w:type="spellEnd"/>
      <w:r w:rsidRPr="00C21525">
        <w:rPr>
          <w:rFonts w:ascii="Garamond" w:hAnsi="Garamond"/>
          <w:color w:val="000000" w:themeColor="text1"/>
          <w:sz w:val="22"/>
          <w:szCs w:val="22"/>
        </w:rPr>
        <w:t xml:space="preserve">, F., </w:t>
      </w:r>
      <w:proofErr w:type="spellStart"/>
      <w:r w:rsidRPr="00C21525">
        <w:rPr>
          <w:rFonts w:ascii="Garamond" w:hAnsi="Garamond"/>
          <w:color w:val="000000" w:themeColor="text1"/>
          <w:sz w:val="22"/>
          <w:szCs w:val="22"/>
        </w:rPr>
        <w:t>Moussawi</w:t>
      </w:r>
      <w:proofErr w:type="spellEnd"/>
      <w:r w:rsidRPr="00C21525">
        <w:rPr>
          <w:rFonts w:ascii="Garamond" w:hAnsi="Garamond"/>
          <w:color w:val="000000" w:themeColor="text1"/>
          <w:sz w:val="22"/>
          <w:szCs w:val="22"/>
        </w:rPr>
        <w:t xml:space="preserve">, R., &amp; </w:t>
      </w:r>
      <w:proofErr w:type="spellStart"/>
      <w:r w:rsidRPr="00C21525">
        <w:rPr>
          <w:rFonts w:ascii="Garamond" w:hAnsi="Garamond"/>
          <w:color w:val="000000" w:themeColor="text1"/>
          <w:sz w:val="22"/>
          <w:szCs w:val="22"/>
        </w:rPr>
        <w:t>Sedunov</w:t>
      </w:r>
      <w:proofErr w:type="spellEnd"/>
      <w:r w:rsidRPr="00C21525">
        <w:rPr>
          <w:rFonts w:ascii="Garamond" w:hAnsi="Garamond"/>
          <w:color w:val="000000" w:themeColor="text1"/>
          <w:sz w:val="22"/>
          <w:szCs w:val="22"/>
        </w:rPr>
        <w:t xml:space="preserve">, J. 2021. “The Granular Nature of Large Institutional Investors.” </w:t>
      </w:r>
      <w:r w:rsidRPr="00C21525">
        <w:rPr>
          <w:rFonts w:ascii="Garamond" w:hAnsi="Garamond"/>
          <w:i/>
          <w:iCs/>
          <w:color w:val="000000" w:themeColor="text1"/>
          <w:sz w:val="22"/>
          <w:szCs w:val="22"/>
        </w:rPr>
        <w:t>Management Science</w:t>
      </w:r>
      <w:r w:rsidRPr="00C21525">
        <w:rPr>
          <w:rFonts w:ascii="Garamond" w:hAnsi="Garamond"/>
          <w:color w:val="000000" w:themeColor="text1"/>
          <w:sz w:val="22"/>
          <w:szCs w:val="22"/>
        </w:rPr>
        <w:t xml:space="preserve"> 67:6629</w:t>
      </w:r>
    </w:p>
    <w:p w14:paraId="4808BC5C"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lastRenderedPageBreak/>
        <w:t>Benveniste</w:t>
      </w:r>
      <w:proofErr w:type="spellEnd"/>
      <w:r w:rsidRPr="00C21525">
        <w:rPr>
          <w:rFonts w:ascii="Garamond" w:hAnsi="Garamond" w:cs="Arial"/>
          <w:color w:val="000000" w:themeColor="text1"/>
          <w:sz w:val="22"/>
          <w:szCs w:val="22"/>
          <w:shd w:val="clear" w:color="auto" w:fill="FFFFFF"/>
        </w:rPr>
        <w:t xml:space="preserve">, L. M., &amp; </w:t>
      </w:r>
      <w:proofErr w:type="spellStart"/>
      <w:r w:rsidRPr="00C21525">
        <w:rPr>
          <w:rFonts w:ascii="Garamond" w:hAnsi="Garamond" w:cs="Arial"/>
          <w:color w:val="000000" w:themeColor="text1"/>
          <w:sz w:val="22"/>
          <w:szCs w:val="22"/>
          <w:shd w:val="clear" w:color="auto" w:fill="FFFFFF"/>
        </w:rPr>
        <w:t>Spindt</w:t>
      </w:r>
      <w:proofErr w:type="spellEnd"/>
      <w:r w:rsidRPr="00C21525">
        <w:rPr>
          <w:rFonts w:ascii="Garamond" w:hAnsi="Garamond" w:cs="Arial"/>
          <w:color w:val="000000" w:themeColor="text1"/>
          <w:sz w:val="22"/>
          <w:szCs w:val="22"/>
          <w:shd w:val="clear" w:color="auto" w:fill="FFFFFF"/>
        </w:rPr>
        <w:t xml:space="preserve">, P. A. 1989. “How Investment Bankers Determine the Offer Price and Allocation of New Issues.” </w:t>
      </w:r>
      <w:r w:rsidRPr="00C21525">
        <w:rPr>
          <w:rFonts w:ascii="Garamond" w:hAnsi="Garamond" w:cs="Arial"/>
          <w:i/>
          <w:iCs/>
          <w:color w:val="000000" w:themeColor="text1"/>
          <w:sz w:val="22"/>
          <w:szCs w:val="22"/>
          <w:shd w:val="clear" w:color="auto" w:fill="FFFFFF"/>
        </w:rPr>
        <w:t xml:space="preserve">Journal of Financial Economics </w:t>
      </w:r>
      <w:r w:rsidRPr="00C21525">
        <w:rPr>
          <w:rFonts w:ascii="Garamond" w:hAnsi="Garamond" w:cs="Arial"/>
          <w:color w:val="000000" w:themeColor="text1"/>
          <w:sz w:val="22"/>
          <w:szCs w:val="22"/>
          <w:shd w:val="clear" w:color="auto" w:fill="FFFFFF"/>
        </w:rPr>
        <w:t>24:343</w:t>
      </w:r>
    </w:p>
    <w:p w14:paraId="122F0033"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Benveniste</w:t>
      </w:r>
      <w:proofErr w:type="spellEnd"/>
      <w:r w:rsidRPr="00C21525">
        <w:rPr>
          <w:rFonts w:ascii="Garamond" w:hAnsi="Garamond" w:cs="Arial"/>
          <w:color w:val="000000" w:themeColor="text1"/>
          <w:sz w:val="22"/>
          <w:szCs w:val="22"/>
          <w:shd w:val="clear" w:color="auto" w:fill="FFFFFF"/>
        </w:rPr>
        <w:t>, L. M., &amp; Wilhelm, W. J. 1990. “A Comparative Analysis of IPO Proceeds Under Alternative Regulatory Environments.”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28:173</w:t>
      </w:r>
    </w:p>
    <w:p w14:paraId="302751C9"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Biais</w:t>
      </w:r>
      <w:proofErr w:type="spellEnd"/>
      <w:r w:rsidRPr="00C21525">
        <w:rPr>
          <w:rFonts w:ascii="Garamond" w:hAnsi="Garamond" w:cs="Arial"/>
          <w:color w:val="000000" w:themeColor="text1"/>
          <w:sz w:val="22"/>
          <w:szCs w:val="22"/>
          <w:shd w:val="clear" w:color="auto" w:fill="FFFFFF"/>
        </w:rPr>
        <w:t xml:space="preserve">, B., &amp; </w:t>
      </w:r>
      <w:proofErr w:type="spellStart"/>
      <w:r w:rsidRPr="00C21525">
        <w:rPr>
          <w:rFonts w:ascii="Garamond" w:hAnsi="Garamond" w:cs="Arial"/>
          <w:color w:val="000000" w:themeColor="text1"/>
          <w:sz w:val="22"/>
          <w:szCs w:val="22"/>
          <w:shd w:val="clear" w:color="auto" w:fill="FFFFFF"/>
        </w:rPr>
        <w:t>Faugeron-Crouzet</w:t>
      </w:r>
      <w:proofErr w:type="spellEnd"/>
      <w:r w:rsidRPr="00C21525">
        <w:rPr>
          <w:rFonts w:ascii="Garamond" w:hAnsi="Garamond" w:cs="Arial"/>
          <w:color w:val="000000" w:themeColor="text1"/>
          <w:sz w:val="22"/>
          <w:szCs w:val="22"/>
          <w:shd w:val="clear" w:color="auto" w:fill="FFFFFF"/>
        </w:rPr>
        <w:t xml:space="preserve">, A. M. </w:t>
      </w:r>
      <w:r w:rsidRPr="00C21525">
        <w:rPr>
          <w:rFonts w:ascii="Garamond" w:hAnsi="Garamond"/>
          <w:color w:val="000000" w:themeColor="text1"/>
          <w:sz w:val="22"/>
          <w:szCs w:val="22"/>
          <w:shd w:val="clear" w:color="auto" w:fill="FFFFFF"/>
        </w:rPr>
        <w:t xml:space="preserve">2002. </w:t>
      </w:r>
      <w:r w:rsidRPr="00C21525">
        <w:rPr>
          <w:rFonts w:ascii="Garamond" w:hAnsi="Garamond" w:cs="Arial"/>
          <w:color w:val="000000" w:themeColor="text1"/>
          <w:sz w:val="22"/>
          <w:szCs w:val="22"/>
          <w:shd w:val="clear" w:color="auto" w:fill="FFFFFF"/>
        </w:rPr>
        <w:t xml:space="preserve">“IPO Auctions: English, </w:t>
      </w:r>
      <w:proofErr w:type="gramStart"/>
      <w:r w:rsidRPr="00C21525">
        <w:rPr>
          <w:rFonts w:ascii="Garamond" w:hAnsi="Garamond" w:cs="Arial"/>
          <w:color w:val="000000" w:themeColor="text1"/>
          <w:sz w:val="22"/>
          <w:szCs w:val="22"/>
          <w:shd w:val="clear" w:color="auto" w:fill="FFFFFF"/>
        </w:rPr>
        <w:t>Dutch,…</w:t>
      </w:r>
      <w:proofErr w:type="gramEnd"/>
      <w:r w:rsidRPr="00C21525">
        <w:rPr>
          <w:rFonts w:ascii="Garamond" w:hAnsi="Garamond" w:cs="Arial"/>
          <w:color w:val="000000" w:themeColor="text1"/>
          <w:sz w:val="22"/>
          <w:szCs w:val="22"/>
          <w:shd w:val="clear" w:color="auto" w:fill="FFFFFF"/>
        </w:rPr>
        <w:t xml:space="preserve"> French, and Internet.” </w:t>
      </w:r>
      <w:r w:rsidRPr="00C21525">
        <w:rPr>
          <w:rFonts w:ascii="Garamond" w:hAnsi="Garamond" w:cs="Arial"/>
          <w:i/>
          <w:iCs/>
          <w:color w:val="000000" w:themeColor="text1"/>
          <w:sz w:val="22"/>
          <w:szCs w:val="22"/>
          <w:shd w:val="clear" w:color="auto" w:fill="FFFFFF"/>
        </w:rPr>
        <w:t>Journal of Financial Intermediation</w:t>
      </w:r>
      <w:r w:rsidRPr="00C21525">
        <w:rPr>
          <w:rFonts w:ascii="Garamond" w:hAnsi="Garamond" w:cs="Arial"/>
          <w:color w:val="000000" w:themeColor="text1"/>
          <w:sz w:val="22"/>
          <w:szCs w:val="22"/>
          <w:shd w:val="clear" w:color="auto" w:fill="FFFFFF"/>
        </w:rPr>
        <w:t> 11:9</w:t>
      </w:r>
    </w:p>
    <w:p w14:paraId="6F795AC4"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Biais</w:t>
      </w:r>
      <w:proofErr w:type="spellEnd"/>
      <w:r w:rsidRPr="00C21525">
        <w:rPr>
          <w:rFonts w:ascii="Garamond" w:hAnsi="Garamond" w:cs="Arial"/>
          <w:color w:val="000000" w:themeColor="text1"/>
          <w:sz w:val="22"/>
          <w:szCs w:val="22"/>
          <w:shd w:val="clear" w:color="auto" w:fill="FFFFFF"/>
        </w:rPr>
        <w:t xml:space="preserve">, B., </w:t>
      </w:r>
      <w:proofErr w:type="spellStart"/>
      <w:r w:rsidRPr="00C21525">
        <w:rPr>
          <w:rFonts w:ascii="Garamond" w:hAnsi="Garamond" w:cs="Arial"/>
          <w:color w:val="000000" w:themeColor="text1"/>
          <w:sz w:val="22"/>
          <w:szCs w:val="22"/>
          <w:shd w:val="clear" w:color="auto" w:fill="FFFFFF"/>
        </w:rPr>
        <w:t>Bossaerts</w:t>
      </w:r>
      <w:proofErr w:type="spellEnd"/>
      <w:r w:rsidRPr="00C21525">
        <w:rPr>
          <w:rFonts w:ascii="Garamond" w:hAnsi="Garamond" w:cs="Arial"/>
          <w:color w:val="000000" w:themeColor="text1"/>
          <w:sz w:val="22"/>
          <w:szCs w:val="22"/>
          <w:shd w:val="clear" w:color="auto" w:fill="FFFFFF"/>
        </w:rPr>
        <w:t xml:space="preserve">, P., &amp; Rochet, J. C. 2002. “An Optimal IPO Mechanism.” </w:t>
      </w:r>
      <w:r w:rsidRPr="00C21525">
        <w:rPr>
          <w:rFonts w:ascii="Garamond" w:hAnsi="Garamond" w:cs="Arial"/>
          <w:i/>
          <w:iCs/>
          <w:color w:val="000000" w:themeColor="text1"/>
          <w:sz w:val="22"/>
          <w:szCs w:val="22"/>
          <w:shd w:val="clear" w:color="auto" w:fill="FFFFFF"/>
        </w:rPr>
        <w:t xml:space="preserve">The Review of Economic Studies </w:t>
      </w:r>
      <w:r w:rsidRPr="00C21525">
        <w:rPr>
          <w:rFonts w:ascii="Garamond" w:hAnsi="Garamond" w:cs="Arial"/>
          <w:color w:val="000000" w:themeColor="text1"/>
          <w:sz w:val="22"/>
          <w:szCs w:val="22"/>
          <w:shd w:val="clear" w:color="auto" w:fill="FFFFFF"/>
        </w:rPr>
        <w:t>69:117</w:t>
      </w:r>
    </w:p>
    <w:p w14:paraId="1D9C0DBD"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Binay</w:t>
      </w:r>
      <w:proofErr w:type="spellEnd"/>
      <w:r w:rsidRPr="00C21525">
        <w:rPr>
          <w:rFonts w:ascii="Garamond" w:hAnsi="Garamond" w:cs="Arial"/>
          <w:color w:val="000000" w:themeColor="text1"/>
          <w:sz w:val="22"/>
          <w:szCs w:val="22"/>
          <w:shd w:val="clear" w:color="auto" w:fill="FFFFFF"/>
        </w:rPr>
        <w:t xml:space="preserve">, M., </w:t>
      </w:r>
      <w:proofErr w:type="spellStart"/>
      <w:r w:rsidRPr="00C21525">
        <w:rPr>
          <w:rFonts w:ascii="Garamond" w:hAnsi="Garamond" w:cs="Arial"/>
          <w:color w:val="000000" w:themeColor="text1"/>
          <w:sz w:val="22"/>
          <w:szCs w:val="22"/>
          <w:shd w:val="clear" w:color="auto" w:fill="FFFFFF"/>
        </w:rPr>
        <w:t>Gatchev</w:t>
      </w:r>
      <w:proofErr w:type="spellEnd"/>
      <w:r w:rsidRPr="00C21525">
        <w:rPr>
          <w:rFonts w:ascii="Garamond" w:hAnsi="Garamond" w:cs="Arial"/>
          <w:color w:val="000000" w:themeColor="text1"/>
          <w:sz w:val="22"/>
          <w:szCs w:val="22"/>
          <w:shd w:val="clear" w:color="auto" w:fill="FFFFFF"/>
        </w:rPr>
        <w:t xml:space="preserve">, V.A. &amp; </w:t>
      </w:r>
      <w:proofErr w:type="spellStart"/>
      <w:r w:rsidRPr="00C21525">
        <w:rPr>
          <w:rFonts w:ascii="Garamond" w:hAnsi="Garamond" w:cs="Arial"/>
          <w:color w:val="000000" w:themeColor="text1"/>
          <w:sz w:val="22"/>
          <w:szCs w:val="22"/>
          <w:shd w:val="clear" w:color="auto" w:fill="FFFFFF"/>
        </w:rPr>
        <w:t>Prinsky</w:t>
      </w:r>
      <w:proofErr w:type="spellEnd"/>
      <w:r w:rsidRPr="00C21525">
        <w:rPr>
          <w:rFonts w:ascii="Garamond" w:hAnsi="Garamond" w:cs="Arial"/>
          <w:color w:val="000000" w:themeColor="text1"/>
          <w:sz w:val="22"/>
          <w:szCs w:val="22"/>
          <w:shd w:val="clear" w:color="auto" w:fill="FFFFFF"/>
        </w:rPr>
        <w:t xml:space="preserve">, C.A. 2007. The Role of Underwriter-Investor Relationships in The IPO Process. </w:t>
      </w:r>
      <w:r w:rsidRPr="00C21525">
        <w:rPr>
          <w:rFonts w:ascii="Garamond" w:hAnsi="Garamond" w:cs="Arial"/>
          <w:i/>
          <w:iCs/>
          <w:color w:val="000000" w:themeColor="text1"/>
          <w:sz w:val="22"/>
          <w:szCs w:val="22"/>
          <w:shd w:val="clear" w:color="auto" w:fill="FFFFFF"/>
        </w:rPr>
        <w:t>Journal of Financial and Quantitative Analysis</w:t>
      </w:r>
      <w:r w:rsidRPr="00C21525">
        <w:rPr>
          <w:rFonts w:ascii="Garamond" w:hAnsi="Garamond" w:cs="Arial"/>
          <w:color w:val="000000" w:themeColor="text1"/>
          <w:sz w:val="22"/>
          <w:szCs w:val="22"/>
          <w:shd w:val="clear" w:color="auto" w:fill="FFFFFF"/>
        </w:rPr>
        <w:t xml:space="preserve"> 42:785</w:t>
      </w:r>
    </w:p>
    <w:p w14:paraId="06C7BACB"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Brav, A., Malenko, N., &amp; Malenko, A. 2022. “Corporate Governance Implications of The Growth in Indexing.</w:t>
      </w:r>
      <w:r w:rsidRPr="00C21525">
        <w:rPr>
          <w:rFonts w:ascii="Garamond" w:hAnsi="Garamond" w:cs="Arial"/>
          <w:i/>
          <w:iCs/>
          <w:color w:val="000000" w:themeColor="text1"/>
          <w:sz w:val="22"/>
          <w:szCs w:val="22"/>
          <w:shd w:val="clear" w:color="auto" w:fill="FFFFFF"/>
        </w:rPr>
        <w:t xml:space="preserve">” </w:t>
      </w:r>
      <w:r w:rsidRPr="00C21525">
        <w:rPr>
          <w:rFonts w:ascii="Garamond" w:hAnsi="Garamond" w:cs="Arial"/>
          <w:color w:val="000000" w:themeColor="text1"/>
          <w:sz w:val="22"/>
          <w:szCs w:val="22"/>
          <w:shd w:val="clear" w:color="auto" w:fill="FFFFFF"/>
        </w:rPr>
        <w:t xml:space="preserve">No. w30718. </w:t>
      </w:r>
      <w:r w:rsidRPr="00C21525">
        <w:rPr>
          <w:rFonts w:ascii="Garamond" w:hAnsi="Garamond" w:cs="Arial"/>
          <w:i/>
          <w:iCs/>
          <w:color w:val="000000" w:themeColor="text1"/>
          <w:sz w:val="22"/>
          <w:szCs w:val="22"/>
          <w:shd w:val="clear" w:color="auto" w:fill="FFFFFF"/>
        </w:rPr>
        <w:t>National Bureau of Economic Research</w:t>
      </w:r>
      <w:r w:rsidRPr="00C21525">
        <w:rPr>
          <w:rFonts w:ascii="Garamond" w:hAnsi="Garamond" w:cs="Arial"/>
          <w:color w:val="000000" w:themeColor="text1"/>
          <w:sz w:val="22"/>
          <w:szCs w:val="22"/>
          <w:shd w:val="clear" w:color="auto" w:fill="FFFFFF"/>
        </w:rPr>
        <w:t xml:space="preserve">. </w:t>
      </w:r>
      <w:hyperlink r:id="rId14" w:history="1">
        <w:r w:rsidRPr="00C21525">
          <w:rPr>
            <w:rStyle w:val="Hyperlink"/>
            <w:rFonts w:ascii="Garamond" w:hAnsi="Garamond" w:cs="Arial"/>
            <w:color w:val="000000" w:themeColor="text1"/>
            <w:sz w:val="22"/>
            <w:szCs w:val="22"/>
            <w:u w:val="none"/>
            <w:shd w:val="clear" w:color="auto" w:fill="FFFFFF"/>
          </w:rPr>
          <w:t>https://papers.ssrn.com/sol3/papers.cfm?abstract_id=4222402</w:t>
        </w:r>
      </w:hyperlink>
    </w:p>
    <w:p w14:paraId="3755BAE3"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Brennan, M. J., &amp; Franks, J. 1997. “Underpricing, Ownership and Control in Initial Public Offerings of Equity Securities in the UK.”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45:391</w:t>
      </w:r>
    </w:p>
    <w:p w14:paraId="6EEF78B1"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i/>
          <w:iCs/>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Brown, D. C., &amp; </w:t>
      </w:r>
      <w:proofErr w:type="spellStart"/>
      <w:r w:rsidRPr="00C21525">
        <w:rPr>
          <w:rFonts w:ascii="Garamond" w:hAnsi="Garamond" w:cs="Arial"/>
          <w:color w:val="000000" w:themeColor="text1"/>
          <w:sz w:val="22"/>
          <w:szCs w:val="22"/>
          <w:shd w:val="clear" w:color="auto" w:fill="FFFFFF"/>
        </w:rPr>
        <w:t>Kovbasyuk</w:t>
      </w:r>
      <w:proofErr w:type="spellEnd"/>
      <w:r w:rsidRPr="00C21525">
        <w:rPr>
          <w:rFonts w:ascii="Garamond" w:hAnsi="Garamond" w:cs="Arial"/>
          <w:color w:val="000000" w:themeColor="text1"/>
          <w:sz w:val="22"/>
          <w:szCs w:val="22"/>
          <w:shd w:val="clear" w:color="auto" w:fill="FFFFFF"/>
        </w:rPr>
        <w:t xml:space="preserve">, S. 2016. “Key investors in IPOs.” </w:t>
      </w:r>
      <w:r w:rsidRPr="00C21525">
        <w:rPr>
          <w:rFonts w:ascii="Garamond" w:hAnsi="Garamond" w:cs="Arial"/>
          <w:i/>
          <w:iCs/>
          <w:color w:val="000000" w:themeColor="text1"/>
          <w:sz w:val="22"/>
          <w:szCs w:val="22"/>
          <w:shd w:val="clear" w:color="auto" w:fill="FFFFFF"/>
        </w:rPr>
        <w:t>Working Paper.</w:t>
      </w:r>
      <w:r w:rsidRPr="00C21525">
        <w:rPr>
          <w:color w:val="000000" w:themeColor="text1"/>
          <w:sz w:val="22"/>
          <w:szCs w:val="22"/>
        </w:rPr>
        <w:t xml:space="preserve"> </w:t>
      </w:r>
      <w:hyperlink r:id="rId15" w:history="1">
        <w:r w:rsidRPr="00C21525">
          <w:rPr>
            <w:rStyle w:val="Hyperlink"/>
            <w:rFonts w:ascii="Garamond" w:hAnsi="Garamond" w:cs="Arial"/>
            <w:i/>
            <w:iCs/>
            <w:color w:val="000000" w:themeColor="text1"/>
            <w:sz w:val="22"/>
            <w:szCs w:val="22"/>
            <w:u w:val="none"/>
            <w:shd w:val="clear" w:color="auto" w:fill="FFFFFF"/>
          </w:rPr>
          <w:t>https://papers.ssrn.com/sol3/papers.cfm?abstract_id=2657394</w:t>
        </w:r>
      </w:hyperlink>
    </w:p>
    <w:p w14:paraId="73F6238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Catenacci</w:t>
      </w:r>
      <w:proofErr w:type="spellEnd"/>
      <w:r w:rsidRPr="00C21525">
        <w:rPr>
          <w:rFonts w:ascii="Garamond" w:hAnsi="Garamond"/>
          <w:color w:val="000000" w:themeColor="text1"/>
          <w:sz w:val="22"/>
          <w:szCs w:val="22"/>
        </w:rPr>
        <w:t xml:space="preserve"> T. 2023. “Republican-led State Opens Sweeping Investigation into Woke Investing Group.” </w:t>
      </w:r>
      <w:r w:rsidRPr="00C21525">
        <w:rPr>
          <w:rFonts w:ascii="Garamond" w:hAnsi="Garamond"/>
          <w:i/>
          <w:iCs/>
          <w:color w:val="000000" w:themeColor="text1"/>
          <w:sz w:val="22"/>
          <w:szCs w:val="22"/>
        </w:rPr>
        <w:t>Fox News</w:t>
      </w:r>
      <w:r w:rsidRPr="00C21525">
        <w:rPr>
          <w:rFonts w:ascii="Garamond" w:hAnsi="Garamond"/>
          <w:color w:val="000000" w:themeColor="text1"/>
          <w:sz w:val="22"/>
          <w:szCs w:val="22"/>
        </w:rPr>
        <w:t xml:space="preserve">. https://www.foxnews.com/politics/republican-led-state-opens-sweeping-investigation-woke-investing-group </w:t>
      </w:r>
    </w:p>
    <w:p w14:paraId="44BDA3DF"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Çelik</w:t>
      </w:r>
      <w:proofErr w:type="spellEnd"/>
      <w:r w:rsidRPr="00C21525">
        <w:rPr>
          <w:rFonts w:ascii="Garamond" w:hAnsi="Garamond"/>
          <w:color w:val="000000" w:themeColor="text1"/>
          <w:sz w:val="22"/>
          <w:szCs w:val="22"/>
        </w:rPr>
        <w:t xml:space="preserve">, S., &amp; Isaksson, M. 2014. “Institutional Investors and Ownership Engagement.” </w:t>
      </w:r>
      <w:r w:rsidRPr="00C21525">
        <w:rPr>
          <w:rFonts w:ascii="Garamond" w:hAnsi="Garamond"/>
          <w:i/>
          <w:iCs/>
          <w:color w:val="000000" w:themeColor="text1"/>
          <w:sz w:val="22"/>
          <w:szCs w:val="22"/>
        </w:rPr>
        <w:t>OECD Journal: Financial Market Trends</w:t>
      </w:r>
      <w:r w:rsidRPr="00C21525">
        <w:rPr>
          <w:rFonts w:ascii="Garamond" w:hAnsi="Garamond"/>
          <w:color w:val="000000" w:themeColor="text1"/>
          <w:sz w:val="22"/>
          <w:szCs w:val="22"/>
        </w:rPr>
        <w:t xml:space="preserve"> 2013:93</w:t>
      </w:r>
      <w:r w:rsidRPr="00C21525">
        <w:rPr>
          <w:rFonts w:ascii="Garamond" w:hAnsi="Garamond" w:cs="Arial" w:hint="eastAsia"/>
          <w:color w:val="000000" w:themeColor="text1"/>
          <w:sz w:val="22"/>
          <w:szCs w:val="22"/>
          <w:rtl/>
        </w:rPr>
        <w:t>‏</w:t>
      </w:r>
    </w:p>
    <w:p w14:paraId="3A4473E9"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Chaim, D. A. 2023. “The Common Ownership Tax Game”. </w:t>
      </w:r>
      <w:r w:rsidRPr="00C21525">
        <w:rPr>
          <w:rFonts w:ascii="Garamond" w:hAnsi="Garamond" w:cs="Arial"/>
          <w:i/>
          <w:iCs/>
          <w:color w:val="000000" w:themeColor="text1"/>
          <w:sz w:val="22"/>
          <w:szCs w:val="22"/>
          <w:shd w:val="clear" w:color="auto" w:fill="FFFFFF"/>
        </w:rPr>
        <w:t xml:space="preserve">Washington University Law Review </w:t>
      </w:r>
      <w:r w:rsidRPr="00C21525">
        <w:rPr>
          <w:rFonts w:ascii="Garamond" w:hAnsi="Garamond" w:cs="Arial"/>
          <w:color w:val="000000" w:themeColor="text1"/>
          <w:sz w:val="22"/>
          <w:szCs w:val="22"/>
          <w:shd w:val="clear" w:color="auto" w:fill="FFFFFF"/>
        </w:rPr>
        <w:t>101:501</w:t>
      </w:r>
    </w:p>
    <w:p w14:paraId="6F1F7993" w14:textId="2D4E5D24"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Chaim, D. A. </w:t>
      </w:r>
      <w:r w:rsidR="00C21525" w:rsidRPr="00C21525">
        <w:rPr>
          <w:rFonts w:ascii="Garamond" w:hAnsi="Garamond" w:cs="Arial"/>
          <w:color w:val="000000" w:themeColor="text1"/>
          <w:sz w:val="22"/>
          <w:szCs w:val="22"/>
          <w:shd w:val="clear" w:color="auto" w:fill="FFFFFF"/>
        </w:rPr>
        <w:t>202</w:t>
      </w:r>
      <w:r w:rsidR="00C21525">
        <w:rPr>
          <w:rFonts w:ascii="Garamond" w:hAnsi="Garamond" w:cs="Arial"/>
          <w:color w:val="000000" w:themeColor="text1"/>
          <w:sz w:val="22"/>
          <w:szCs w:val="22"/>
          <w:shd w:val="clear" w:color="auto" w:fill="FFFFFF"/>
        </w:rPr>
        <w:t>5 (forthcoming)</w:t>
      </w:r>
      <w:r w:rsidRPr="00C21525">
        <w:rPr>
          <w:rFonts w:ascii="Garamond" w:hAnsi="Garamond" w:cs="Arial"/>
          <w:color w:val="000000" w:themeColor="text1"/>
          <w:sz w:val="22"/>
          <w:szCs w:val="22"/>
          <w:shd w:val="clear" w:color="auto" w:fill="FFFFFF"/>
        </w:rPr>
        <w:t>. “</w:t>
      </w:r>
      <w:r w:rsidR="00C21525">
        <w:rPr>
          <w:rFonts w:ascii="Garamond" w:hAnsi="Garamond" w:cs="Arial"/>
          <w:color w:val="000000" w:themeColor="text1"/>
          <w:sz w:val="22"/>
          <w:szCs w:val="22"/>
          <w:shd w:val="clear" w:color="auto" w:fill="FFFFFF"/>
        </w:rPr>
        <w:t>Investor Coalitions Through an Antirust Lens</w:t>
      </w:r>
      <w:r w:rsidRPr="00C21525">
        <w:rPr>
          <w:rFonts w:ascii="Garamond" w:hAnsi="Garamond" w:cs="Arial"/>
          <w:color w:val="000000" w:themeColor="text1"/>
          <w:sz w:val="22"/>
          <w:szCs w:val="22"/>
          <w:shd w:val="clear" w:color="auto" w:fill="FFFFFF"/>
        </w:rPr>
        <w:t xml:space="preserve">.” </w:t>
      </w:r>
      <w:r w:rsidR="00C21525">
        <w:rPr>
          <w:rFonts w:ascii="Garamond" w:hAnsi="Garamond" w:cs="Arial"/>
          <w:i/>
          <w:iCs/>
          <w:color w:val="000000" w:themeColor="text1"/>
          <w:sz w:val="22"/>
          <w:szCs w:val="22"/>
          <w:shd w:val="clear" w:color="auto" w:fill="FFFFFF"/>
        </w:rPr>
        <w:t>U.C. Irvine Law Review</w:t>
      </w:r>
      <w:r w:rsidRPr="00C21525">
        <w:rPr>
          <w:rFonts w:ascii="Garamond" w:hAnsi="Garamond" w:cs="Arial"/>
          <w:color w:val="000000" w:themeColor="text1"/>
          <w:sz w:val="22"/>
          <w:szCs w:val="22"/>
          <w:shd w:val="clear" w:color="auto" w:fill="FFFFFF"/>
        </w:rPr>
        <w:t>.</w:t>
      </w:r>
      <w:r w:rsidRPr="00C21525">
        <w:rPr>
          <w:rFonts w:ascii="Garamond" w:hAnsi="Garamond" w:cs="Arial"/>
          <w:i/>
          <w:iCs/>
          <w:color w:val="000000" w:themeColor="text1"/>
          <w:sz w:val="22"/>
          <w:szCs w:val="22"/>
          <w:shd w:val="clear" w:color="auto" w:fill="FFFFFF"/>
        </w:rPr>
        <w:t xml:space="preserve"> </w:t>
      </w:r>
      <w:hyperlink r:id="rId16" w:history="1">
        <w:r w:rsidRPr="00C21525">
          <w:rPr>
            <w:rStyle w:val="Hyperlink"/>
            <w:rFonts w:ascii="Garamond" w:hAnsi="Garamond" w:cs="Arial"/>
            <w:color w:val="000000" w:themeColor="text1"/>
            <w:sz w:val="22"/>
            <w:szCs w:val="22"/>
            <w:u w:val="none"/>
            <w:shd w:val="clear" w:color="auto" w:fill="FFFFFF"/>
          </w:rPr>
          <w:t>https://papers. ssrn.com/sol3/</w:t>
        </w:r>
        <w:proofErr w:type="spellStart"/>
        <w:r w:rsidRPr="00C21525">
          <w:rPr>
            <w:rStyle w:val="Hyperlink"/>
            <w:rFonts w:ascii="Garamond" w:hAnsi="Garamond" w:cs="Arial"/>
            <w:color w:val="000000" w:themeColor="text1"/>
            <w:sz w:val="22"/>
            <w:szCs w:val="22"/>
            <w:u w:val="none"/>
            <w:shd w:val="clear" w:color="auto" w:fill="FFFFFF"/>
          </w:rPr>
          <w:t>papers.cfm?abstract_id</w:t>
        </w:r>
        <w:proofErr w:type="spellEnd"/>
        <w:r w:rsidRPr="00C21525">
          <w:rPr>
            <w:rStyle w:val="Hyperlink"/>
            <w:rFonts w:ascii="Garamond" w:hAnsi="Garamond" w:cs="Arial"/>
            <w:color w:val="000000" w:themeColor="text1"/>
            <w:sz w:val="22"/>
            <w:szCs w:val="22"/>
            <w:u w:val="none"/>
            <w:shd w:val="clear" w:color="auto" w:fill="FFFFFF"/>
          </w:rPr>
          <w:t>=4324567</w:t>
        </w:r>
      </w:hyperlink>
    </w:p>
    <w:p w14:paraId="2587E4A1"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Chalk, A. J., &amp; Peavy III, J. W. 1987. “Initial Public Offerings: Daily Returns, Offering Types and The Price Effect.” </w:t>
      </w:r>
      <w:r w:rsidRPr="00C21525">
        <w:rPr>
          <w:rFonts w:ascii="Garamond" w:hAnsi="Garamond" w:cs="Arial"/>
          <w:i/>
          <w:iCs/>
          <w:color w:val="000000" w:themeColor="text1"/>
          <w:sz w:val="22"/>
          <w:szCs w:val="22"/>
          <w:shd w:val="clear" w:color="auto" w:fill="FFFFFF"/>
        </w:rPr>
        <w:t>Financial Analysts Journal</w:t>
      </w:r>
      <w:r w:rsidRPr="00C21525">
        <w:rPr>
          <w:rFonts w:ascii="Garamond" w:hAnsi="Garamond" w:cs="Arial"/>
          <w:color w:val="000000" w:themeColor="text1"/>
          <w:sz w:val="22"/>
          <w:szCs w:val="22"/>
          <w:shd w:val="clear" w:color="auto" w:fill="FFFFFF"/>
        </w:rPr>
        <w:t xml:space="preserve"> 43:65</w:t>
      </w:r>
    </w:p>
    <w:p w14:paraId="695AC17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Chemmanur</w:t>
      </w:r>
      <w:proofErr w:type="spellEnd"/>
      <w:r w:rsidRPr="00C21525">
        <w:rPr>
          <w:rFonts w:ascii="Garamond" w:hAnsi="Garamond" w:cs="Arial"/>
          <w:color w:val="000000" w:themeColor="text1"/>
          <w:sz w:val="22"/>
          <w:szCs w:val="22"/>
          <w:shd w:val="clear" w:color="auto" w:fill="FFFFFF"/>
        </w:rPr>
        <w:t>, T. J., Huang, J., Xie, J., &amp; Zhu, Y. A. 2022. “The Geography of Institutional Investors, Information Sharing among Institutions, and Initial Public Offerings.” </w:t>
      </w:r>
      <w:r w:rsidRPr="00C21525">
        <w:rPr>
          <w:rFonts w:ascii="Garamond" w:hAnsi="Garamond" w:cs="Arial"/>
          <w:i/>
          <w:iCs/>
          <w:color w:val="000000" w:themeColor="text1"/>
          <w:sz w:val="22"/>
          <w:szCs w:val="22"/>
          <w:shd w:val="clear" w:color="auto" w:fill="FFFFFF"/>
        </w:rPr>
        <w:t xml:space="preserve">Working Paper. </w:t>
      </w:r>
      <w:hyperlink r:id="rId17" w:history="1">
        <w:r w:rsidRPr="00C21525">
          <w:rPr>
            <w:rStyle w:val="Hyperlink"/>
            <w:rFonts w:ascii="Garamond" w:hAnsi="Garamond" w:cs="Arial"/>
            <w:color w:val="000000" w:themeColor="text1"/>
            <w:sz w:val="22"/>
            <w:szCs w:val="22"/>
            <w:u w:val="none"/>
            <w:shd w:val="clear" w:color="auto" w:fill="FFFFFF"/>
          </w:rPr>
          <w:t>https://papers.ssrn.com/sol3/papers.cfm?abstract_id=4079632</w:t>
        </w:r>
      </w:hyperlink>
    </w:p>
    <w:p w14:paraId="59BBD46E"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Chemmanur</w:t>
      </w:r>
      <w:proofErr w:type="spellEnd"/>
      <w:r w:rsidRPr="00C21525">
        <w:rPr>
          <w:rFonts w:ascii="Garamond" w:hAnsi="Garamond" w:cs="Arial"/>
          <w:color w:val="000000" w:themeColor="text1"/>
          <w:sz w:val="22"/>
          <w:szCs w:val="22"/>
          <w:shd w:val="clear" w:color="auto" w:fill="FFFFFF"/>
        </w:rPr>
        <w:t xml:space="preserve">, T., &amp; Hu, G. 2007. “Institutional Trading, Allocation Sales, and Private Information in IPOs.” </w:t>
      </w:r>
      <w:r w:rsidRPr="00C21525">
        <w:rPr>
          <w:rFonts w:ascii="Garamond" w:hAnsi="Garamond" w:cs="Arial"/>
          <w:i/>
          <w:iCs/>
          <w:color w:val="000000" w:themeColor="text1"/>
          <w:sz w:val="22"/>
          <w:szCs w:val="22"/>
          <w:shd w:val="clear" w:color="auto" w:fill="FFFFFF"/>
        </w:rPr>
        <w:t>Western Finance Association 2007 Meetings Paper</w:t>
      </w:r>
      <w:r w:rsidRPr="00C21525">
        <w:rPr>
          <w:rFonts w:ascii="Garamond" w:hAnsi="Garamond" w:cs="Arial"/>
          <w:color w:val="000000" w:themeColor="text1"/>
          <w:sz w:val="22"/>
          <w:szCs w:val="22"/>
          <w:shd w:val="clear" w:color="auto" w:fill="FFFFFF"/>
        </w:rPr>
        <w:t xml:space="preserve"> </w:t>
      </w:r>
    </w:p>
    <w:p w14:paraId="15D16BA3"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Christie, A. 2021. “The Agency Costs of Sustainable Capitalism”. </w:t>
      </w:r>
      <w:r w:rsidRPr="00C21525">
        <w:rPr>
          <w:rFonts w:ascii="Garamond" w:hAnsi="Garamond" w:cs="Arial"/>
          <w:i/>
          <w:iCs/>
          <w:color w:val="000000" w:themeColor="text1"/>
          <w:sz w:val="22"/>
          <w:szCs w:val="22"/>
          <w:shd w:val="clear" w:color="auto" w:fill="FFFFFF"/>
        </w:rPr>
        <w:t>UC Davis Law Review</w:t>
      </w:r>
      <w:r w:rsidRPr="00C21525">
        <w:rPr>
          <w:rFonts w:ascii="Garamond" w:hAnsi="Garamond" w:cs="Arial"/>
          <w:color w:val="000000" w:themeColor="text1"/>
          <w:sz w:val="22"/>
          <w:szCs w:val="22"/>
          <w:shd w:val="clear" w:color="auto" w:fill="FFFFFF"/>
        </w:rPr>
        <w:t> 55:875</w:t>
      </w:r>
    </w:p>
    <w:p w14:paraId="1E1B005E"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i/>
          <w:iCs/>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Coats, J. 2023. “The Problem of Twelve: When a Few Financial Institutions Control Everything.”</w:t>
      </w:r>
      <w:r w:rsidRPr="00C21525">
        <w:rPr>
          <w:rFonts w:ascii="Garamond" w:hAnsi="Garamond" w:cs="Arial"/>
          <w:i/>
          <w:iCs/>
          <w:color w:val="000000" w:themeColor="text1"/>
          <w:sz w:val="22"/>
          <w:szCs w:val="22"/>
          <w:shd w:val="clear" w:color="auto" w:fill="FFFFFF"/>
        </w:rPr>
        <w:t xml:space="preserve"> Columbia Global Reports</w:t>
      </w:r>
    </w:p>
    <w:p w14:paraId="0CE9D9D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Colaco</w:t>
      </w:r>
      <w:proofErr w:type="spellEnd"/>
      <w:r w:rsidRPr="00C21525">
        <w:rPr>
          <w:rFonts w:ascii="Garamond" w:hAnsi="Garamond" w:cs="Arial"/>
          <w:color w:val="000000" w:themeColor="text1"/>
          <w:sz w:val="22"/>
          <w:szCs w:val="22"/>
          <w:shd w:val="clear" w:color="auto" w:fill="FFFFFF"/>
        </w:rPr>
        <w:t xml:space="preserve">, H. M., Ghosh, C., Knopf, J. D., &amp; </w:t>
      </w:r>
      <w:proofErr w:type="spellStart"/>
      <w:r w:rsidRPr="00C21525">
        <w:rPr>
          <w:rFonts w:ascii="Garamond" w:hAnsi="Garamond" w:cs="Arial"/>
          <w:color w:val="000000" w:themeColor="text1"/>
          <w:sz w:val="22"/>
          <w:szCs w:val="22"/>
          <w:shd w:val="clear" w:color="auto" w:fill="FFFFFF"/>
        </w:rPr>
        <w:t>Teall</w:t>
      </w:r>
      <w:proofErr w:type="spellEnd"/>
      <w:r w:rsidRPr="00C21525">
        <w:rPr>
          <w:rFonts w:ascii="Garamond" w:hAnsi="Garamond" w:cs="Arial"/>
          <w:color w:val="000000" w:themeColor="text1"/>
          <w:sz w:val="22"/>
          <w:szCs w:val="22"/>
          <w:shd w:val="clear" w:color="auto" w:fill="FFFFFF"/>
        </w:rPr>
        <w:t>, J. L. 2009. “IPOs, Clustering, Indirect Learning and Filing Independently.” </w:t>
      </w:r>
      <w:r w:rsidRPr="00C21525">
        <w:rPr>
          <w:rFonts w:ascii="Garamond" w:hAnsi="Garamond" w:cs="Arial"/>
          <w:i/>
          <w:iCs/>
          <w:color w:val="000000" w:themeColor="text1"/>
          <w:sz w:val="22"/>
          <w:szCs w:val="22"/>
          <w:shd w:val="clear" w:color="auto" w:fill="FFFFFF"/>
        </w:rPr>
        <w:t>Journal of Banking and Finance</w:t>
      </w:r>
      <w:r w:rsidRPr="00C21525">
        <w:rPr>
          <w:rFonts w:ascii="Garamond" w:hAnsi="Garamond" w:cs="Arial"/>
          <w:color w:val="000000" w:themeColor="text1"/>
          <w:sz w:val="22"/>
          <w:szCs w:val="22"/>
          <w:shd w:val="clear" w:color="auto" w:fill="FFFFFF"/>
        </w:rPr>
        <w:t> 33:2070</w:t>
      </w:r>
    </w:p>
    <w:p w14:paraId="0255B4DE"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Cook, J. 2020. </w:t>
      </w:r>
      <w:r w:rsidRPr="00C21525">
        <w:rPr>
          <w:rFonts w:ascii="Garamond" w:hAnsi="Garamond" w:cs="AppleSystemUIFont"/>
          <w:color w:val="000000" w:themeColor="text1"/>
          <w:kern w:val="0"/>
          <w:sz w:val="22"/>
          <w:szCs w:val="22"/>
        </w:rPr>
        <w:t>“</w:t>
      </w:r>
      <w:r w:rsidRPr="00C21525">
        <w:rPr>
          <w:rFonts w:ascii="Garamond" w:hAnsi="Garamond" w:cs="Arial"/>
          <w:color w:val="000000" w:themeColor="text1"/>
          <w:sz w:val="22"/>
          <w:szCs w:val="22"/>
          <w:shd w:val="clear" w:color="auto" w:fill="FFFFFF"/>
        </w:rPr>
        <w:t xml:space="preserve">How Can Fund Providers Protect the Future for Worker-Investors?” </w:t>
      </w:r>
      <w:r w:rsidRPr="00C21525">
        <w:rPr>
          <w:rFonts w:ascii="Garamond" w:hAnsi="Garamond" w:cs="Arial"/>
          <w:i/>
          <w:iCs/>
          <w:color w:val="000000" w:themeColor="text1"/>
          <w:sz w:val="22"/>
          <w:szCs w:val="22"/>
          <w:shd w:val="clear" w:color="auto" w:fill="FFFFFF"/>
        </w:rPr>
        <w:t xml:space="preserve">Morningstar. </w:t>
      </w:r>
      <w:hyperlink r:id="rId18" w:history="1">
        <w:r w:rsidRPr="00C21525">
          <w:rPr>
            <w:rStyle w:val="Hyperlink"/>
            <w:rFonts w:ascii="Garamond" w:hAnsi="Garamond" w:cs="Arial"/>
            <w:color w:val="000000" w:themeColor="text1"/>
            <w:sz w:val="22"/>
            <w:szCs w:val="22"/>
            <w:u w:val="none"/>
            <w:shd w:val="clear" w:color="auto" w:fill="FFFFFF"/>
          </w:rPr>
          <w:t>https://www.morningstar.com/sustainable-investing/how-can-fund-providers-protect-future-worker-investors</w:t>
        </w:r>
      </w:hyperlink>
    </w:p>
    <w:p w14:paraId="2D0853E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rPr>
        <w:t xml:space="preserve">Corrigan, P. M. 2019. “The Seller’s Curse and The Underwriter’s Pricing Pivot: A Behavioral Theory of IPO Underpricing Theory.” </w:t>
      </w:r>
      <w:r w:rsidRPr="00C21525">
        <w:rPr>
          <w:rFonts w:ascii="Garamond" w:hAnsi="Garamond"/>
          <w:i/>
          <w:iCs/>
          <w:color w:val="000000" w:themeColor="text1"/>
          <w:sz w:val="22"/>
          <w:szCs w:val="22"/>
        </w:rPr>
        <w:t>Virginia Law and Business Review</w:t>
      </w:r>
      <w:r w:rsidRPr="00C21525">
        <w:rPr>
          <w:rFonts w:ascii="Garamond" w:hAnsi="Garamond"/>
          <w:color w:val="000000" w:themeColor="text1"/>
          <w:sz w:val="22"/>
          <w:szCs w:val="22"/>
        </w:rPr>
        <w:t xml:space="preserve"> 13:335</w:t>
      </w:r>
    </w:p>
    <w:p w14:paraId="3386D787"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Corwin, S. A., &amp; Schultz, P. 2005. “The Role of IPO Underwriting Syndicates: Pricing, Information Production, and Underwriter Competition.”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60:443</w:t>
      </w:r>
    </w:p>
    <w:p w14:paraId="46580A38"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Dressler, E. &amp; </w:t>
      </w:r>
      <w:proofErr w:type="spellStart"/>
      <w:r w:rsidRPr="00C21525">
        <w:rPr>
          <w:rFonts w:ascii="Garamond" w:hAnsi="Garamond" w:cs="Arial"/>
          <w:color w:val="000000" w:themeColor="text1"/>
          <w:sz w:val="22"/>
          <w:szCs w:val="22"/>
          <w:shd w:val="clear" w:color="auto" w:fill="FFFFFF"/>
        </w:rPr>
        <w:t>Mugerman</w:t>
      </w:r>
      <w:proofErr w:type="spellEnd"/>
      <w:r w:rsidRPr="00C21525">
        <w:rPr>
          <w:rFonts w:ascii="Garamond" w:hAnsi="Garamond" w:cs="Arial"/>
          <w:color w:val="000000" w:themeColor="text1"/>
          <w:sz w:val="22"/>
          <w:szCs w:val="22"/>
          <w:shd w:val="clear" w:color="auto" w:fill="FFFFFF"/>
        </w:rPr>
        <w:t xml:space="preserve">, Y. 2023. “Doing the Right Thing? The Voting Power Effect and Institutional Shareholder Voting.” </w:t>
      </w:r>
      <w:r w:rsidRPr="00C21525">
        <w:rPr>
          <w:rFonts w:ascii="Garamond" w:hAnsi="Garamond" w:cs="Arial"/>
          <w:i/>
          <w:iCs/>
          <w:color w:val="000000" w:themeColor="text1"/>
          <w:sz w:val="22"/>
          <w:szCs w:val="22"/>
          <w:shd w:val="clear" w:color="auto" w:fill="FFFFFF"/>
        </w:rPr>
        <w:t>Journal of Business Ethics</w:t>
      </w:r>
      <w:r w:rsidRPr="00C21525">
        <w:rPr>
          <w:rFonts w:ascii="Garamond" w:hAnsi="Garamond" w:cs="Arial"/>
          <w:color w:val="000000" w:themeColor="text1"/>
          <w:sz w:val="22"/>
          <w:szCs w:val="22"/>
          <w:shd w:val="clear" w:color="auto" w:fill="FFFFFF"/>
        </w:rPr>
        <w:t xml:space="preserve"> 183:1089</w:t>
      </w:r>
    </w:p>
    <w:p w14:paraId="3A8CD6AB"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Dressler, E. 2020. “Voice and Power: Do Institutional Shareholders Make Use of Their Voting Power?” </w:t>
      </w:r>
      <w:r w:rsidRPr="00C21525">
        <w:rPr>
          <w:rFonts w:ascii="Garamond" w:hAnsi="Garamond" w:cs="Arial"/>
          <w:i/>
          <w:iCs/>
          <w:color w:val="000000" w:themeColor="text1"/>
          <w:sz w:val="22"/>
          <w:szCs w:val="22"/>
          <w:shd w:val="clear" w:color="auto" w:fill="FFFFFF"/>
        </w:rPr>
        <w:t>Journal of Corporate Finance</w:t>
      </w:r>
      <w:r w:rsidRPr="00C21525">
        <w:rPr>
          <w:rFonts w:ascii="Garamond" w:hAnsi="Garamond" w:cs="Arial"/>
          <w:color w:val="000000" w:themeColor="text1"/>
          <w:sz w:val="22"/>
          <w:szCs w:val="22"/>
          <w:shd w:val="clear" w:color="auto" w:fill="FFFFFF"/>
        </w:rPr>
        <w:t xml:space="preserve"> 65:101716 </w:t>
      </w:r>
    </w:p>
    <w:p w14:paraId="334FF91B" w14:textId="6A18D68D" w:rsidR="00C21525" w:rsidRDefault="00C21525"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Pr>
          <w:rFonts w:ascii="Garamond" w:hAnsi="Garamond"/>
          <w:color w:val="000000" w:themeColor="text1"/>
          <w:sz w:val="22"/>
          <w:szCs w:val="22"/>
        </w:rPr>
        <w:t>Eckstein. A. 2023. “</w:t>
      </w:r>
      <w:r w:rsidRPr="00C21525">
        <w:rPr>
          <w:rFonts w:ascii="Garamond" w:hAnsi="Garamond"/>
          <w:color w:val="000000" w:themeColor="text1"/>
          <w:sz w:val="22"/>
          <w:szCs w:val="22"/>
        </w:rPr>
        <w:t xml:space="preserve">The Rise </w:t>
      </w:r>
      <w:r>
        <w:rPr>
          <w:rFonts w:ascii="Garamond" w:hAnsi="Garamond"/>
          <w:color w:val="000000" w:themeColor="text1"/>
          <w:sz w:val="22"/>
          <w:szCs w:val="22"/>
        </w:rPr>
        <w:t>o</w:t>
      </w:r>
      <w:r w:rsidRPr="00C21525">
        <w:rPr>
          <w:rFonts w:ascii="Garamond" w:hAnsi="Garamond"/>
          <w:color w:val="000000" w:themeColor="text1"/>
          <w:sz w:val="22"/>
          <w:szCs w:val="22"/>
        </w:rPr>
        <w:t>f Corporate Guidelines</w:t>
      </w:r>
      <w:r>
        <w:rPr>
          <w:rFonts w:ascii="Garamond" w:hAnsi="Garamond"/>
          <w:color w:val="000000" w:themeColor="text1"/>
          <w:sz w:val="22"/>
          <w:szCs w:val="22"/>
        </w:rPr>
        <w:t xml:space="preserve"> </w:t>
      </w:r>
      <w:r w:rsidRPr="00C21525">
        <w:rPr>
          <w:rFonts w:ascii="Garamond" w:hAnsi="Garamond"/>
          <w:color w:val="000000" w:themeColor="text1"/>
          <w:sz w:val="22"/>
          <w:szCs w:val="22"/>
        </w:rPr>
        <w:t>in the United States, 2005-2021: Theory and Evidence</w:t>
      </w:r>
      <w:r>
        <w:rPr>
          <w:rFonts w:ascii="Garamond" w:hAnsi="Garamond"/>
          <w:color w:val="000000" w:themeColor="text1"/>
          <w:sz w:val="22"/>
          <w:szCs w:val="22"/>
        </w:rPr>
        <w:t>.” Indiana Law Journal 98:921</w:t>
      </w:r>
    </w:p>
    <w:p w14:paraId="48142D2C" w14:textId="5F8CB030"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rPr>
        <w:t xml:space="preserve">Elhauge, E. 2016. “Horizontal Shareholding.” </w:t>
      </w:r>
      <w:r w:rsidRPr="00C21525">
        <w:rPr>
          <w:rFonts w:ascii="Garamond" w:hAnsi="Garamond"/>
          <w:i/>
          <w:iCs/>
          <w:color w:val="000000" w:themeColor="text1"/>
          <w:sz w:val="22"/>
          <w:szCs w:val="22"/>
        </w:rPr>
        <w:t>Harvard Law Review</w:t>
      </w:r>
      <w:r w:rsidRPr="00C21525">
        <w:rPr>
          <w:rFonts w:ascii="Garamond" w:hAnsi="Garamond"/>
          <w:color w:val="000000" w:themeColor="text1"/>
          <w:sz w:val="22"/>
          <w:szCs w:val="22"/>
        </w:rPr>
        <w:t xml:space="preserve"> 129:1267</w:t>
      </w:r>
    </w:p>
    <w:p w14:paraId="4915BCA9"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lastRenderedPageBreak/>
        <w:t>Elhauge, E. 2020. “How Horizontal Shareholding Harms Our Economy-And Why Antitrust Law Can Fix It.” </w:t>
      </w:r>
      <w:r w:rsidRPr="00C21525">
        <w:rPr>
          <w:rFonts w:ascii="Garamond" w:hAnsi="Garamond" w:cs="Arial"/>
          <w:i/>
          <w:iCs/>
          <w:color w:val="000000" w:themeColor="text1"/>
          <w:sz w:val="22"/>
          <w:szCs w:val="22"/>
          <w:shd w:val="clear" w:color="auto" w:fill="FFFFFF"/>
        </w:rPr>
        <w:t>Harvard Business Law Rev</w:t>
      </w:r>
      <w:r w:rsidRPr="00C21525">
        <w:rPr>
          <w:rFonts w:ascii="Garamond" w:hAnsi="Garamond" w:cs="Arial"/>
          <w:color w:val="000000" w:themeColor="text1"/>
          <w:sz w:val="22"/>
          <w:szCs w:val="22"/>
          <w:shd w:val="clear" w:color="auto" w:fill="FFFFFF"/>
        </w:rPr>
        <w:t>iew 10:207</w:t>
      </w:r>
      <w:r w:rsidRPr="00C21525">
        <w:rPr>
          <w:rFonts w:ascii="Garamond" w:hAnsi="Garamond" w:cs="Arial" w:hint="eastAsia"/>
          <w:color w:val="000000" w:themeColor="text1"/>
          <w:sz w:val="22"/>
          <w:szCs w:val="22"/>
          <w:shd w:val="clear" w:color="auto" w:fill="FFFFFF"/>
          <w:rtl/>
        </w:rPr>
        <w:t>‏</w:t>
      </w:r>
    </w:p>
    <w:p w14:paraId="61F38AC4"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Fairfax, L. M. 2011. “Shareholder Democracy: A Primer on Shareholder Activism and Participation.” </w:t>
      </w:r>
      <w:r w:rsidRPr="00C21525">
        <w:rPr>
          <w:rFonts w:ascii="Garamond" w:hAnsi="Garamond" w:cs="Arial"/>
          <w:i/>
          <w:iCs/>
          <w:color w:val="000000" w:themeColor="text1"/>
          <w:sz w:val="22"/>
          <w:szCs w:val="22"/>
          <w:shd w:val="clear" w:color="auto" w:fill="FFFFFF"/>
        </w:rPr>
        <w:t xml:space="preserve">Durham, Carolina Academic Press </w:t>
      </w:r>
      <w:r w:rsidRPr="00C21525">
        <w:rPr>
          <w:rFonts w:ascii="Garamond" w:hAnsi="Garamond" w:cs="Arial"/>
          <w:color w:val="000000" w:themeColor="text1"/>
          <w:sz w:val="22"/>
          <w:szCs w:val="22"/>
          <w:shd w:val="clear" w:color="auto" w:fill="FFFFFF"/>
        </w:rPr>
        <w:t>54:1035</w:t>
      </w:r>
    </w:p>
    <w:p w14:paraId="571F663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Fichtner</w:t>
      </w:r>
      <w:proofErr w:type="spellEnd"/>
      <w:r w:rsidRPr="00C21525">
        <w:rPr>
          <w:rFonts w:ascii="Garamond" w:hAnsi="Garamond" w:cs="Arial"/>
          <w:color w:val="000000" w:themeColor="text1"/>
          <w:sz w:val="22"/>
          <w:szCs w:val="22"/>
          <w:shd w:val="clear" w:color="auto" w:fill="FFFFFF"/>
        </w:rPr>
        <w:t>, J., Heemskerk, E. M., &amp; Garcia-Bernardo, J. 2017. “Hidden Power of The Big Three? Passive Index Funds, Re-Concentration of Corporate Ownership, and New Financial Risk.” </w:t>
      </w:r>
      <w:r w:rsidRPr="00C21525">
        <w:rPr>
          <w:rFonts w:ascii="Garamond" w:hAnsi="Garamond" w:cs="Arial"/>
          <w:i/>
          <w:iCs/>
          <w:color w:val="000000" w:themeColor="text1"/>
          <w:sz w:val="22"/>
          <w:szCs w:val="22"/>
          <w:shd w:val="clear" w:color="auto" w:fill="FFFFFF"/>
        </w:rPr>
        <w:t>Business and Politics</w:t>
      </w:r>
      <w:r w:rsidRPr="00C21525">
        <w:rPr>
          <w:rFonts w:ascii="Garamond" w:hAnsi="Garamond" w:cs="Arial"/>
          <w:color w:val="000000" w:themeColor="text1"/>
          <w:sz w:val="22"/>
          <w:szCs w:val="22"/>
          <w:shd w:val="clear" w:color="auto" w:fill="FFFFFF"/>
        </w:rPr>
        <w:t> 19:298</w:t>
      </w:r>
    </w:p>
    <w:p w14:paraId="6AA0D365" w14:textId="77777777" w:rsidR="00EC47C6" w:rsidRPr="00D75301"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Field, L. C., &amp; Lowry, M. 2009. “Institutional Versus Individual Investment in IPOs: The Importance of Firm Fundamentals.” </w:t>
      </w:r>
      <w:r w:rsidRPr="00C21525">
        <w:rPr>
          <w:rFonts w:ascii="Garamond" w:hAnsi="Garamond" w:cs="Arial"/>
          <w:i/>
          <w:iCs/>
          <w:color w:val="000000" w:themeColor="text1"/>
          <w:sz w:val="22"/>
          <w:szCs w:val="22"/>
          <w:shd w:val="clear" w:color="auto" w:fill="FFFFFF"/>
        </w:rPr>
        <w:t>Journal of Financial and Quantitative Analysis</w:t>
      </w:r>
      <w:r w:rsidRPr="00C21525">
        <w:rPr>
          <w:rFonts w:ascii="Garamond" w:hAnsi="Garamond" w:cs="Arial"/>
          <w:color w:val="000000" w:themeColor="text1"/>
          <w:sz w:val="22"/>
          <w:szCs w:val="22"/>
          <w:shd w:val="clear" w:color="auto" w:fill="FFFFFF"/>
        </w:rPr>
        <w:t> 44:489</w:t>
      </w:r>
    </w:p>
    <w:p w14:paraId="70EA8594" w14:textId="57A6B88E" w:rsidR="00D75301" w:rsidRPr="00D75301" w:rsidRDefault="00D75301" w:rsidP="00D7530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D75301">
        <w:rPr>
          <w:rFonts w:ascii="Garamond" w:hAnsi="Garamond"/>
          <w:color w:val="000000" w:themeColor="text1"/>
          <w:sz w:val="22"/>
          <w:szCs w:val="22"/>
        </w:rPr>
        <w:t>Financial Conduct Authority. “</w:t>
      </w:r>
      <w:r w:rsidRPr="00D75301">
        <w:rPr>
          <w:rFonts w:ascii="Garamond" w:hAnsi="Garamond"/>
          <w:color w:val="000000" w:themeColor="text1"/>
          <w:sz w:val="22"/>
          <w:szCs w:val="22"/>
        </w:rPr>
        <w:t>Competition Act 1998:</w:t>
      </w:r>
      <w:r w:rsidRPr="00D75301">
        <w:rPr>
          <w:rFonts w:ascii="Garamond" w:hAnsi="Garamond"/>
          <w:color w:val="000000" w:themeColor="text1"/>
          <w:sz w:val="22"/>
          <w:szCs w:val="22"/>
        </w:rPr>
        <w:t xml:space="preserve"> </w:t>
      </w:r>
      <w:r w:rsidRPr="00D75301">
        <w:rPr>
          <w:rFonts w:ascii="Garamond" w:hAnsi="Garamond"/>
          <w:color w:val="000000" w:themeColor="text1"/>
          <w:sz w:val="22"/>
          <w:szCs w:val="22"/>
        </w:rPr>
        <w:t>Decisions of the Financial</w:t>
      </w:r>
      <w:r w:rsidRPr="00D75301">
        <w:rPr>
          <w:rFonts w:ascii="Garamond" w:hAnsi="Garamond"/>
          <w:color w:val="000000" w:themeColor="text1"/>
          <w:sz w:val="22"/>
          <w:szCs w:val="22"/>
        </w:rPr>
        <w:t xml:space="preserve"> </w:t>
      </w:r>
      <w:r w:rsidRPr="00D75301">
        <w:rPr>
          <w:rFonts w:ascii="Garamond" w:hAnsi="Garamond"/>
          <w:color w:val="000000" w:themeColor="text1"/>
          <w:sz w:val="22"/>
          <w:szCs w:val="22"/>
        </w:rPr>
        <w:t>Conduct Authority</w:t>
      </w:r>
      <w:r w:rsidRPr="00D75301">
        <w:rPr>
          <w:rFonts w:ascii="Garamond" w:hAnsi="Garamond"/>
          <w:color w:val="000000" w:themeColor="text1"/>
          <w:sz w:val="22"/>
          <w:szCs w:val="22"/>
        </w:rPr>
        <w:t xml:space="preserve">.” 2019. </w:t>
      </w:r>
      <w:hyperlink r:id="rId19" w:history="1">
        <w:r w:rsidRPr="00D75301">
          <w:rPr>
            <w:rStyle w:val="Hyperlink"/>
            <w:rFonts w:ascii="Garamond" w:hAnsi="Garamond"/>
            <w:sz w:val="22"/>
            <w:szCs w:val="22"/>
            <w:u w:val="none"/>
          </w:rPr>
          <w:t>https://www.fca.org.uk/publication</w:t>
        </w:r>
        <w:r w:rsidRPr="00D75301">
          <w:rPr>
            <w:rStyle w:val="Hyperlink"/>
            <w:rFonts w:ascii="Garamond" w:hAnsi="Garamond"/>
            <w:sz w:val="22"/>
            <w:szCs w:val="22"/>
            <w:u w:val="none"/>
          </w:rPr>
          <w:t>/</w:t>
        </w:r>
        <w:r w:rsidRPr="00D75301">
          <w:rPr>
            <w:rStyle w:val="Hyperlink"/>
            <w:rFonts w:ascii="Garamond" w:hAnsi="Garamond"/>
            <w:sz w:val="22"/>
            <w:szCs w:val="22"/>
            <w:u w:val="none"/>
          </w:rPr>
          <w:t>notices-and-decisions/anti-competitive-conduct-in-asset-management-sector.pdf</w:t>
        </w:r>
      </w:hyperlink>
    </w:p>
    <w:p w14:paraId="36DAC938" w14:textId="271F2566"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Franks, J. 2020. “Institutional Ownership and Governance.” </w:t>
      </w:r>
      <w:r w:rsidRPr="00C21525">
        <w:rPr>
          <w:rFonts w:ascii="Garamond" w:hAnsi="Garamond" w:cs="Arial"/>
          <w:i/>
          <w:iCs/>
          <w:color w:val="000000" w:themeColor="text1"/>
          <w:sz w:val="22"/>
          <w:szCs w:val="22"/>
          <w:shd w:val="clear" w:color="auto" w:fill="FFFFFF"/>
        </w:rPr>
        <w:t>Oxford Review of Economic Policy</w:t>
      </w:r>
      <w:r w:rsidRPr="00C21525">
        <w:rPr>
          <w:rFonts w:ascii="Garamond" w:hAnsi="Garamond" w:cs="Arial"/>
          <w:color w:val="000000" w:themeColor="text1"/>
          <w:sz w:val="22"/>
          <w:szCs w:val="22"/>
          <w:shd w:val="clear" w:color="auto" w:fill="FFFFFF"/>
        </w:rPr>
        <w:t> 36:258</w:t>
      </w:r>
    </w:p>
    <w:p w14:paraId="02664908"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Gilson, R. J., &amp; Gordon, J. N. 2013. “The Agency Costs of Agency Capitalism: Activist Investors and the Revaluation of Governance Rights.” </w:t>
      </w:r>
      <w:r w:rsidRPr="00C21525">
        <w:rPr>
          <w:rFonts w:ascii="Garamond" w:hAnsi="Garamond" w:cs="Arial"/>
          <w:i/>
          <w:iCs/>
          <w:color w:val="000000" w:themeColor="text1"/>
          <w:sz w:val="22"/>
          <w:szCs w:val="22"/>
          <w:shd w:val="clear" w:color="auto" w:fill="FFFFFF"/>
        </w:rPr>
        <w:t>Columbia Law Review</w:t>
      </w:r>
      <w:r w:rsidRPr="00C21525">
        <w:rPr>
          <w:rFonts w:ascii="Garamond" w:hAnsi="Garamond" w:cs="Arial"/>
          <w:color w:val="000000" w:themeColor="text1"/>
          <w:sz w:val="22"/>
          <w:szCs w:val="22"/>
          <w:shd w:val="clear" w:color="auto" w:fill="FFFFFF"/>
        </w:rPr>
        <w:t> 113:863</w:t>
      </w:r>
    </w:p>
    <w:p w14:paraId="5C3E434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Goshen, Z., &amp; Levit, D. 2022. “Agents of Inequality: Common Ownership and the Decline of the American Worker”. </w:t>
      </w:r>
      <w:r w:rsidRPr="00C21525">
        <w:rPr>
          <w:rFonts w:ascii="Garamond" w:hAnsi="Garamond" w:cs="Arial"/>
          <w:i/>
          <w:iCs/>
          <w:color w:val="000000" w:themeColor="text1"/>
          <w:sz w:val="22"/>
          <w:szCs w:val="22"/>
          <w:shd w:val="clear" w:color="auto" w:fill="FFFFFF"/>
        </w:rPr>
        <w:t xml:space="preserve">Duke Law Journal </w:t>
      </w:r>
      <w:r w:rsidRPr="00C21525">
        <w:rPr>
          <w:rFonts w:ascii="Garamond" w:hAnsi="Garamond" w:cs="Arial"/>
          <w:color w:val="000000" w:themeColor="text1"/>
          <w:sz w:val="22"/>
          <w:szCs w:val="22"/>
          <w:shd w:val="clear" w:color="auto" w:fill="FFFFFF"/>
        </w:rPr>
        <w:t>72:1</w:t>
      </w:r>
      <w:r w:rsidRPr="00C21525">
        <w:rPr>
          <w:rFonts w:ascii="Garamond" w:hAnsi="Garamond" w:cs="Arial" w:hint="eastAsia"/>
          <w:color w:val="000000" w:themeColor="text1"/>
          <w:sz w:val="22"/>
          <w:szCs w:val="22"/>
          <w:shd w:val="clear" w:color="auto" w:fill="FFFFFF"/>
          <w:rtl/>
        </w:rPr>
        <w:t>‏</w:t>
      </w:r>
    </w:p>
    <w:p w14:paraId="5BA6CA56"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Griffin, J. M., Harris, J. H., &amp; </w:t>
      </w:r>
      <w:proofErr w:type="spellStart"/>
      <w:r w:rsidRPr="00C21525">
        <w:rPr>
          <w:rFonts w:ascii="Garamond" w:hAnsi="Garamond" w:cs="Arial"/>
          <w:color w:val="000000" w:themeColor="text1"/>
          <w:sz w:val="22"/>
          <w:szCs w:val="22"/>
          <w:shd w:val="clear" w:color="auto" w:fill="FFFFFF"/>
        </w:rPr>
        <w:t>Topaloglu</w:t>
      </w:r>
      <w:proofErr w:type="spellEnd"/>
      <w:r w:rsidRPr="00C21525">
        <w:rPr>
          <w:rFonts w:ascii="Garamond" w:hAnsi="Garamond" w:cs="Arial"/>
          <w:color w:val="000000" w:themeColor="text1"/>
          <w:sz w:val="22"/>
          <w:szCs w:val="22"/>
          <w:shd w:val="clear" w:color="auto" w:fill="FFFFFF"/>
        </w:rPr>
        <w:t>, S. 2007. “Why Are IPO Investors Net Buyers Through Lead Underwriters?”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85:518</w:t>
      </w:r>
    </w:p>
    <w:p w14:paraId="28AD2826"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rPr>
        <w:t xml:space="preserve">Griffin, H. 2010. “Abnormal Returns and Stock Splits: The Decimalized vs. Fractional System of Stock Price Quotes.” </w:t>
      </w:r>
      <w:r w:rsidRPr="00C21525">
        <w:rPr>
          <w:rFonts w:ascii="Garamond" w:hAnsi="Garamond"/>
          <w:i/>
          <w:iCs/>
          <w:color w:val="000000" w:themeColor="text1"/>
          <w:sz w:val="22"/>
          <w:szCs w:val="22"/>
        </w:rPr>
        <w:t>International Journal of Business and Management</w:t>
      </w:r>
      <w:r w:rsidRPr="00C21525">
        <w:rPr>
          <w:rFonts w:ascii="Garamond" w:hAnsi="Garamond"/>
          <w:color w:val="000000" w:themeColor="text1"/>
          <w:sz w:val="22"/>
          <w:szCs w:val="22"/>
        </w:rPr>
        <w:t xml:space="preserve"> 5:3 </w:t>
      </w:r>
    </w:p>
    <w:p w14:paraId="15EA0AA8"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Grinblatt</w:t>
      </w:r>
      <w:proofErr w:type="spellEnd"/>
      <w:r w:rsidRPr="00C21525">
        <w:rPr>
          <w:rFonts w:ascii="Garamond" w:hAnsi="Garamond" w:cs="Arial"/>
          <w:color w:val="000000" w:themeColor="text1"/>
          <w:sz w:val="22"/>
          <w:szCs w:val="22"/>
          <w:shd w:val="clear" w:color="auto" w:fill="FFFFFF"/>
        </w:rPr>
        <w:t>, M., &amp; Hwang, C. Y. 1989. “</w:t>
      </w:r>
      <w:proofErr w:type="spellStart"/>
      <w:r w:rsidRPr="00C21525">
        <w:rPr>
          <w:rFonts w:ascii="Garamond" w:hAnsi="Garamond" w:cs="Arial"/>
          <w:color w:val="000000" w:themeColor="text1"/>
          <w:sz w:val="22"/>
          <w:szCs w:val="22"/>
          <w:shd w:val="clear" w:color="auto" w:fill="FFFFFF"/>
        </w:rPr>
        <w:t>Signalling</w:t>
      </w:r>
      <w:proofErr w:type="spellEnd"/>
      <w:r w:rsidRPr="00C21525">
        <w:rPr>
          <w:rFonts w:ascii="Garamond" w:hAnsi="Garamond" w:cs="Arial"/>
          <w:color w:val="000000" w:themeColor="text1"/>
          <w:sz w:val="22"/>
          <w:szCs w:val="22"/>
          <w:shd w:val="clear" w:color="auto" w:fill="FFFFFF"/>
        </w:rPr>
        <w:t xml:space="preserve"> and the Pricing of New Issues.”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44:393</w:t>
      </w:r>
    </w:p>
    <w:p w14:paraId="4EA7822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Hamdani, A., &amp; Hannes, S. 2019. “The Future of Shareholder Activism.” </w:t>
      </w:r>
      <w:r w:rsidRPr="00C21525">
        <w:rPr>
          <w:rFonts w:ascii="Garamond" w:hAnsi="Garamond" w:cs="Arial"/>
          <w:i/>
          <w:iCs/>
          <w:color w:val="000000" w:themeColor="text1"/>
          <w:sz w:val="22"/>
          <w:szCs w:val="22"/>
          <w:shd w:val="clear" w:color="auto" w:fill="FFFFFF"/>
        </w:rPr>
        <w:t>Boston University Law Review</w:t>
      </w:r>
      <w:r w:rsidRPr="00C21525">
        <w:rPr>
          <w:rFonts w:ascii="Garamond" w:hAnsi="Garamond" w:cs="Arial"/>
          <w:color w:val="000000" w:themeColor="text1"/>
          <w:sz w:val="22"/>
          <w:szCs w:val="22"/>
          <w:shd w:val="clear" w:color="auto" w:fill="FFFFFF"/>
        </w:rPr>
        <w:t> 99:971</w:t>
      </w:r>
    </w:p>
    <w:p w14:paraId="0B38278C"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Hanafi, M. M. 2021. “Fixed Price and Book Building Methods in an Exogenous Environment: Evidence from Indonesia Stock Market.” </w:t>
      </w:r>
      <w:r w:rsidRPr="00C21525">
        <w:rPr>
          <w:rFonts w:ascii="Garamond" w:hAnsi="Garamond" w:cs="Arial"/>
          <w:i/>
          <w:iCs/>
          <w:color w:val="000000" w:themeColor="text1"/>
          <w:sz w:val="22"/>
          <w:szCs w:val="22"/>
          <w:shd w:val="clear" w:color="auto" w:fill="FFFFFF"/>
        </w:rPr>
        <w:t>Research in International Business and Finance</w:t>
      </w:r>
      <w:r w:rsidRPr="00C21525">
        <w:rPr>
          <w:rFonts w:ascii="Garamond" w:hAnsi="Garamond" w:cs="Arial"/>
          <w:color w:val="000000" w:themeColor="text1"/>
          <w:sz w:val="22"/>
          <w:szCs w:val="22"/>
          <w:shd w:val="clear" w:color="auto" w:fill="FFFFFF"/>
        </w:rPr>
        <w:t>, 58:101430</w:t>
      </w:r>
      <w:r w:rsidRPr="00C21525">
        <w:rPr>
          <w:rFonts w:ascii="Garamond" w:hAnsi="Garamond" w:cs="Arial" w:hint="eastAsia"/>
          <w:color w:val="000000" w:themeColor="text1"/>
          <w:sz w:val="22"/>
          <w:szCs w:val="22"/>
          <w:shd w:val="clear" w:color="auto" w:fill="FFFFFF"/>
          <w:rtl/>
        </w:rPr>
        <w:t>‏</w:t>
      </w:r>
    </w:p>
    <w:p w14:paraId="0451ED7F"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Hong, H., </w:t>
      </w:r>
      <w:proofErr w:type="spellStart"/>
      <w:r w:rsidRPr="00C21525">
        <w:rPr>
          <w:rFonts w:ascii="Garamond" w:hAnsi="Garamond" w:cs="Arial"/>
          <w:color w:val="000000" w:themeColor="text1"/>
          <w:sz w:val="22"/>
          <w:szCs w:val="22"/>
          <w:shd w:val="clear" w:color="auto" w:fill="FFFFFF"/>
        </w:rPr>
        <w:t>Kubik</w:t>
      </w:r>
      <w:proofErr w:type="spellEnd"/>
      <w:r w:rsidRPr="00C21525">
        <w:rPr>
          <w:rFonts w:ascii="Garamond" w:hAnsi="Garamond" w:cs="Arial"/>
          <w:color w:val="000000" w:themeColor="text1"/>
          <w:sz w:val="22"/>
          <w:szCs w:val="22"/>
          <w:shd w:val="clear" w:color="auto" w:fill="FFFFFF"/>
        </w:rPr>
        <w:t xml:space="preserve">, J. D., &amp; Stein, J. C. 2005. “Thy </w:t>
      </w:r>
      <w:proofErr w:type="spellStart"/>
      <w:r w:rsidRPr="00C21525">
        <w:rPr>
          <w:rFonts w:ascii="Garamond" w:hAnsi="Garamond" w:cs="Arial"/>
          <w:color w:val="000000" w:themeColor="text1"/>
          <w:sz w:val="22"/>
          <w:szCs w:val="22"/>
          <w:shd w:val="clear" w:color="auto" w:fill="FFFFFF"/>
        </w:rPr>
        <w:t>Neighbour’s</w:t>
      </w:r>
      <w:proofErr w:type="spellEnd"/>
      <w:r w:rsidRPr="00C21525">
        <w:rPr>
          <w:rFonts w:ascii="Garamond" w:hAnsi="Garamond" w:cs="Arial"/>
          <w:color w:val="000000" w:themeColor="text1"/>
          <w:sz w:val="22"/>
          <w:szCs w:val="22"/>
          <w:shd w:val="clear" w:color="auto" w:fill="FFFFFF"/>
        </w:rPr>
        <w:t xml:space="preserve"> Portfolio: Word</w:t>
      </w:r>
      <w:r w:rsidRPr="00C21525">
        <w:rPr>
          <w:rFonts w:ascii="Cambria Math" w:hAnsi="Cambria Math" w:cs="Cambria Math"/>
          <w:color w:val="000000" w:themeColor="text1"/>
          <w:sz w:val="22"/>
          <w:szCs w:val="22"/>
          <w:shd w:val="clear" w:color="auto" w:fill="FFFFFF"/>
        </w:rPr>
        <w:t>‐</w:t>
      </w:r>
      <w:r w:rsidRPr="00C21525">
        <w:rPr>
          <w:rFonts w:ascii="Garamond" w:hAnsi="Garamond" w:cs="Arial"/>
          <w:color w:val="000000" w:themeColor="text1"/>
          <w:sz w:val="22"/>
          <w:szCs w:val="22"/>
          <w:shd w:val="clear" w:color="auto" w:fill="FFFFFF"/>
        </w:rPr>
        <w:t>Of</w:t>
      </w:r>
      <w:r w:rsidRPr="00C21525">
        <w:rPr>
          <w:rFonts w:ascii="Cambria Math" w:hAnsi="Cambria Math" w:cs="Cambria Math"/>
          <w:color w:val="000000" w:themeColor="text1"/>
          <w:sz w:val="22"/>
          <w:szCs w:val="22"/>
          <w:shd w:val="clear" w:color="auto" w:fill="FFFFFF"/>
        </w:rPr>
        <w:t>‐</w:t>
      </w:r>
      <w:r w:rsidRPr="00C21525">
        <w:rPr>
          <w:rFonts w:ascii="Garamond" w:hAnsi="Garamond" w:cs="Arial"/>
          <w:color w:val="000000" w:themeColor="text1"/>
          <w:sz w:val="22"/>
          <w:szCs w:val="22"/>
          <w:shd w:val="clear" w:color="auto" w:fill="FFFFFF"/>
        </w:rPr>
        <w:t>Mouth Effects in The Holdings and Trades of Money Managers.” </w:t>
      </w:r>
      <w:r w:rsidRPr="00C21525">
        <w:rPr>
          <w:rFonts w:ascii="Garamond" w:hAnsi="Garamond" w:cs="Arial"/>
          <w:i/>
          <w:iCs/>
          <w:color w:val="000000" w:themeColor="text1"/>
          <w:sz w:val="22"/>
          <w:szCs w:val="22"/>
          <w:shd w:val="clear" w:color="auto" w:fill="FFFFFF"/>
        </w:rPr>
        <w:t xml:space="preserve">The Journal of Finance </w:t>
      </w:r>
      <w:r w:rsidRPr="00C21525">
        <w:rPr>
          <w:rFonts w:ascii="Garamond" w:hAnsi="Garamond" w:cs="Arial"/>
          <w:color w:val="000000" w:themeColor="text1"/>
          <w:sz w:val="22"/>
          <w:szCs w:val="22"/>
          <w:shd w:val="clear" w:color="auto" w:fill="FFFFFF"/>
        </w:rPr>
        <w:t>60:2801</w:t>
      </w:r>
    </w:p>
    <w:p w14:paraId="5610C720"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Huang, R., Zhang, D. &amp; </w:t>
      </w:r>
      <w:proofErr w:type="spellStart"/>
      <w:r w:rsidRPr="00C21525">
        <w:rPr>
          <w:rFonts w:ascii="Garamond" w:hAnsi="Garamond" w:cs="Arial"/>
          <w:color w:val="000000" w:themeColor="text1"/>
          <w:sz w:val="22"/>
          <w:szCs w:val="22"/>
          <w:shd w:val="clear" w:color="auto" w:fill="FFFFFF"/>
        </w:rPr>
        <w:t>Shangguan</w:t>
      </w:r>
      <w:proofErr w:type="spellEnd"/>
      <w:r w:rsidRPr="00C21525">
        <w:rPr>
          <w:rFonts w:ascii="Garamond" w:hAnsi="Garamond" w:cs="Arial"/>
          <w:color w:val="000000" w:themeColor="text1"/>
          <w:sz w:val="22"/>
          <w:szCs w:val="22"/>
          <w:shd w:val="clear" w:color="auto" w:fill="FFFFFF"/>
        </w:rPr>
        <w:t xml:space="preserve">, J. Z. 2008. “The Networking Function of Investment Banks: Evidence from Private Investments in Public Equity.” </w:t>
      </w:r>
      <w:r w:rsidRPr="00C21525">
        <w:rPr>
          <w:rFonts w:ascii="Garamond" w:hAnsi="Garamond" w:cs="Arial"/>
          <w:i/>
          <w:iCs/>
          <w:color w:val="000000" w:themeColor="text1"/>
          <w:sz w:val="22"/>
          <w:szCs w:val="22"/>
          <w:shd w:val="clear" w:color="auto" w:fill="FFFFFF"/>
        </w:rPr>
        <w:t xml:space="preserve">Journal of Corporate Finance </w:t>
      </w:r>
      <w:r w:rsidRPr="00C21525">
        <w:rPr>
          <w:rFonts w:ascii="Garamond" w:hAnsi="Garamond" w:cs="Arial"/>
          <w:color w:val="000000" w:themeColor="text1"/>
          <w:sz w:val="22"/>
          <w:szCs w:val="22"/>
          <w:shd w:val="clear" w:color="auto" w:fill="FFFFFF"/>
        </w:rPr>
        <w:t>14:738</w:t>
      </w:r>
    </w:p>
    <w:p w14:paraId="5CB3F3FC"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Ibbotson, R. G. 1975. “Price Performance of Common Stock New Issues.”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2:235</w:t>
      </w:r>
    </w:p>
    <w:p w14:paraId="7EA3F0D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Ibbotson, R. G., &amp; Jaffe, J. F. 1975. “Hot issue” Markets.”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30:1027</w:t>
      </w:r>
    </w:p>
    <w:p w14:paraId="1AA59F7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Jagannathan, R., </w:t>
      </w:r>
      <w:proofErr w:type="spellStart"/>
      <w:r w:rsidRPr="00C21525">
        <w:rPr>
          <w:rFonts w:ascii="Garamond" w:hAnsi="Garamond" w:cs="Arial"/>
          <w:color w:val="000000" w:themeColor="text1"/>
          <w:sz w:val="22"/>
          <w:szCs w:val="22"/>
          <w:shd w:val="clear" w:color="auto" w:fill="FFFFFF"/>
        </w:rPr>
        <w:t>Jirnyi</w:t>
      </w:r>
      <w:proofErr w:type="spellEnd"/>
      <w:r w:rsidRPr="00C21525">
        <w:rPr>
          <w:rFonts w:ascii="Garamond" w:hAnsi="Garamond" w:cs="Arial"/>
          <w:color w:val="000000" w:themeColor="text1"/>
          <w:sz w:val="22"/>
          <w:szCs w:val="22"/>
          <w:shd w:val="clear" w:color="auto" w:fill="FFFFFF"/>
        </w:rPr>
        <w:t>, A., &amp; Sherman, A. G. 2015. “Share Auctions of Initial Public Offerings: Global Evidence.” </w:t>
      </w:r>
      <w:r w:rsidRPr="00C21525">
        <w:rPr>
          <w:rFonts w:ascii="Garamond" w:hAnsi="Garamond" w:cs="Arial"/>
          <w:i/>
          <w:iCs/>
          <w:color w:val="000000" w:themeColor="text1"/>
          <w:sz w:val="22"/>
          <w:szCs w:val="22"/>
          <w:shd w:val="clear" w:color="auto" w:fill="FFFFFF"/>
        </w:rPr>
        <w:t>Journal of Financial Intermediation</w:t>
      </w:r>
      <w:r w:rsidRPr="00C21525">
        <w:rPr>
          <w:rFonts w:ascii="Garamond" w:hAnsi="Garamond" w:cs="Arial"/>
          <w:color w:val="000000" w:themeColor="text1"/>
          <w:sz w:val="22"/>
          <w:szCs w:val="22"/>
          <w:shd w:val="clear" w:color="auto" w:fill="FFFFFF"/>
        </w:rPr>
        <w:t xml:space="preserve"> 24:283</w:t>
      </w:r>
    </w:p>
    <w:p w14:paraId="5EE30B44" w14:textId="39625595" w:rsidR="00EC47C6" w:rsidRPr="00C21525" w:rsidRDefault="00EC47C6" w:rsidP="004001D6">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Jenkinson, T., &amp; Jones, H. 2004. “Bids and Allocations in European IPO Bookbuilding.”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59:2309</w:t>
      </w:r>
    </w:p>
    <w:p w14:paraId="47341FA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Jovanovic, B., &amp; </w:t>
      </w:r>
      <w:proofErr w:type="spellStart"/>
      <w:r w:rsidRPr="00C21525">
        <w:rPr>
          <w:rFonts w:ascii="Garamond" w:hAnsi="Garamond" w:cs="Arial"/>
          <w:color w:val="000000" w:themeColor="text1"/>
          <w:sz w:val="22"/>
          <w:szCs w:val="22"/>
          <w:shd w:val="clear" w:color="auto" w:fill="FFFFFF"/>
        </w:rPr>
        <w:t>Szentes</w:t>
      </w:r>
      <w:proofErr w:type="spellEnd"/>
      <w:r w:rsidRPr="00C21525">
        <w:rPr>
          <w:rFonts w:ascii="Garamond" w:hAnsi="Garamond" w:cs="Arial"/>
          <w:color w:val="000000" w:themeColor="text1"/>
          <w:sz w:val="22"/>
          <w:szCs w:val="22"/>
          <w:shd w:val="clear" w:color="auto" w:fill="FFFFFF"/>
        </w:rPr>
        <w:t>, B. 2007. “IPO Underpricing: Auctions vs. Book Building.” </w:t>
      </w:r>
      <w:r w:rsidRPr="00C21525">
        <w:rPr>
          <w:rFonts w:ascii="Garamond" w:hAnsi="Garamond" w:cs="Arial"/>
          <w:i/>
          <w:iCs/>
          <w:color w:val="000000" w:themeColor="text1"/>
          <w:sz w:val="22"/>
          <w:szCs w:val="22"/>
          <w:shd w:val="clear" w:color="auto" w:fill="FFFFFF"/>
        </w:rPr>
        <w:t xml:space="preserve">Working Paper. </w:t>
      </w:r>
      <w:hyperlink r:id="rId20" w:history="1">
        <w:r w:rsidRPr="00C21525">
          <w:rPr>
            <w:rStyle w:val="Hyperlink"/>
            <w:rFonts w:ascii="Garamond" w:hAnsi="Garamond" w:cs="Arial"/>
            <w:color w:val="000000" w:themeColor="text1"/>
            <w:sz w:val="22"/>
            <w:szCs w:val="22"/>
            <w:u w:val="none"/>
            <w:shd w:val="clear" w:color="auto" w:fill="FFFFFF"/>
          </w:rPr>
          <w:t>https://conference.nber.org/confer/2007/si2007/EFRSW/ jovanovic.pdf</w:t>
        </w:r>
      </w:hyperlink>
    </w:p>
    <w:p w14:paraId="35AEE505"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Kahan, M., &amp; Rock, E. 2019. “</w:t>
      </w:r>
      <w:r w:rsidRPr="00C21525">
        <w:rPr>
          <w:rFonts w:ascii="Garamond" w:hAnsi="Garamond" w:cs="Arial"/>
          <w:i/>
          <w:iCs/>
          <w:color w:val="000000" w:themeColor="text1"/>
          <w:sz w:val="22"/>
          <w:szCs w:val="22"/>
          <w:shd w:val="clear" w:color="auto" w:fill="FFFFFF"/>
        </w:rPr>
        <w:t>Anti-activist Poison Pills</w:t>
      </w:r>
      <w:r w:rsidRPr="00C21525">
        <w:rPr>
          <w:rFonts w:ascii="Garamond" w:hAnsi="Garamond" w:cs="Arial"/>
          <w:color w:val="000000" w:themeColor="text1"/>
          <w:sz w:val="22"/>
          <w:szCs w:val="22"/>
          <w:shd w:val="clear" w:color="auto" w:fill="FFFFFF"/>
        </w:rPr>
        <w:t>.” </w:t>
      </w:r>
      <w:r w:rsidRPr="00C21525">
        <w:rPr>
          <w:rFonts w:ascii="Garamond" w:hAnsi="Garamond" w:cs="Arial"/>
          <w:i/>
          <w:iCs/>
          <w:color w:val="000000" w:themeColor="text1"/>
          <w:sz w:val="22"/>
          <w:szCs w:val="22"/>
          <w:shd w:val="clear" w:color="auto" w:fill="FFFFFF"/>
        </w:rPr>
        <w:t xml:space="preserve">Boston </w:t>
      </w:r>
      <w:proofErr w:type="spellStart"/>
      <w:r w:rsidRPr="00C21525">
        <w:rPr>
          <w:rFonts w:ascii="Garamond" w:hAnsi="Garamond" w:cs="Arial"/>
          <w:i/>
          <w:iCs/>
          <w:color w:val="000000" w:themeColor="text1"/>
          <w:sz w:val="22"/>
          <w:szCs w:val="22"/>
          <w:shd w:val="clear" w:color="auto" w:fill="FFFFFF"/>
        </w:rPr>
        <w:t>Univeristy</w:t>
      </w:r>
      <w:proofErr w:type="spellEnd"/>
      <w:r w:rsidRPr="00C21525">
        <w:rPr>
          <w:rFonts w:ascii="Garamond" w:hAnsi="Garamond" w:cs="Arial"/>
          <w:i/>
          <w:iCs/>
          <w:color w:val="000000" w:themeColor="text1"/>
          <w:sz w:val="22"/>
          <w:szCs w:val="22"/>
          <w:shd w:val="clear" w:color="auto" w:fill="FFFFFF"/>
        </w:rPr>
        <w:t xml:space="preserve"> Law Review</w:t>
      </w:r>
      <w:r w:rsidRPr="00C21525">
        <w:rPr>
          <w:rFonts w:ascii="Garamond" w:hAnsi="Garamond" w:cs="Arial"/>
          <w:color w:val="000000" w:themeColor="text1"/>
          <w:sz w:val="22"/>
          <w:szCs w:val="22"/>
          <w:shd w:val="clear" w:color="auto" w:fill="FFFFFF"/>
        </w:rPr>
        <w:t> 99:915</w:t>
      </w:r>
      <w:r w:rsidRPr="00C21525">
        <w:rPr>
          <w:rFonts w:ascii="Garamond" w:hAnsi="Garamond" w:cs="Arial" w:hint="eastAsia"/>
          <w:color w:val="000000" w:themeColor="text1"/>
          <w:sz w:val="22"/>
          <w:szCs w:val="22"/>
          <w:shd w:val="clear" w:color="auto" w:fill="FFFFFF"/>
          <w:rtl/>
        </w:rPr>
        <w:t>‏</w:t>
      </w:r>
    </w:p>
    <w:p w14:paraId="1194AFC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Katti, S., &amp; </w:t>
      </w:r>
      <w:proofErr w:type="spellStart"/>
      <w:r w:rsidRPr="00C21525">
        <w:rPr>
          <w:rFonts w:ascii="Garamond" w:hAnsi="Garamond" w:cs="Arial"/>
          <w:color w:val="000000" w:themeColor="text1"/>
          <w:sz w:val="22"/>
          <w:szCs w:val="22"/>
          <w:shd w:val="clear" w:color="auto" w:fill="FFFFFF"/>
        </w:rPr>
        <w:t>Phani</w:t>
      </w:r>
      <w:proofErr w:type="spellEnd"/>
      <w:r w:rsidRPr="00C21525">
        <w:rPr>
          <w:rFonts w:ascii="Garamond" w:hAnsi="Garamond" w:cs="Arial"/>
          <w:color w:val="000000" w:themeColor="text1"/>
          <w:sz w:val="22"/>
          <w:szCs w:val="22"/>
          <w:shd w:val="clear" w:color="auto" w:fill="FFFFFF"/>
        </w:rPr>
        <w:t>, B. V. 2016. “Underpricing of Initial Public Offerings: A Literature Review.” </w:t>
      </w:r>
      <w:r w:rsidRPr="00C21525">
        <w:rPr>
          <w:rFonts w:ascii="Garamond" w:hAnsi="Garamond" w:cs="Arial"/>
          <w:i/>
          <w:iCs/>
          <w:color w:val="000000" w:themeColor="text1"/>
          <w:sz w:val="22"/>
          <w:szCs w:val="22"/>
          <w:shd w:val="clear" w:color="auto" w:fill="FFFFFF"/>
        </w:rPr>
        <w:t>Universal Journal of Accounting and Finance</w:t>
      </w:r>
      <w:r w:rsidRPr="00C21525">
        <w:rPr>
          <w:rFonts w:ascii="Garamond" w:hAnsi="Garamond" w:cs="Arial"/>
          <w:color w:val="000000" w:themeColor="text1"/>
          <w:sz w:val="22"/>
          <w:szCs w:val="22"/>
          <w:shd w:val="clear" w:color="auto" w:fill="FFFFFF"/>
        </w:rPr>
        <w:t> 4:35</w:t>
      </w:r>
    </w:p>
    <w:p w14:paraId="10276F22" w14:textId="77777777" w:rsidR="00EC47C6" w:rsidRPr="00C21525" w:rsidRDefault="00EC47C6" w:rsidP="004001D6">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Klein, I. 2023. “Voting on Reporting.” </w:t>
      </w:r>
      <w:r w:rsidRPr="00C21525">
        <w:rPr>
          <w:rFonts w:ascii="Garamond" w:hAnsi="Garamond" w:cs="Arial"/>
          <w:i/>
          <w:iCs/>
          <w:color w:val="000000" w:themeColor="text1"/>
          <w:sz w:val="22"/>
          <w:szCs w:val="22"/>
          <w:shd w:val="clear" w:color="auto" w:fill="FFFFFF"/>
        </w:rPr>
        <w:t xml:space="preserve">Journal of Corporation Law </w:t>
      </w:r>
      <w:r w:rsidRPr="00C21525">
        <w:rPr>
          <w:rFonts w:ascii="Garamond" w:hAnsi="Garamond" w:cs="Arial"/>
          <w:color w:val="000000" w:themeColor="text1"/>
          <w:sz w:val="22"/>
          <w:szCs w:val="22"/>
          <w:shd w:val="clear" w:color="auto" w:fill="FFFFFF"/>
        </w:rPr>
        <w:t>48:777</w:t>
      </w:r>
    </w:p>
    <w:p w14:paraId="40CBB162" w14:textId="179BBB3D" w:rsidR="00A93DD2" w:rsidRPr="00C21525" w:rsidRDefault="00A93DD2">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Lauterbach, B. &amp; </w:t>
      </w:r>
      <w:proofErr w:type="spellStart"/>
      <w:r w:rsidRPr="00C21525">
        <w:rPr>
          <w:rFonts w:ascii="Garamond" w:hAnsi="Garamond" w:cs="Arial"/>
          <w:color w:val="000000" w:themeColor="text1"/>
          <w:sz w:val="22"/>
          <w:szCs w:val="22"/>
          <w:shd w:val="clear" w:color="auto" w:fill="FFFFFF"/>
        </w:rPr>
        <w:t>Mugerman</w:t>
      </w:r>
      <w:proofErr w:type="spellEnd"/>
      <w:r w:rsidRPr="00C21525">
        <w:rPr>
          <w:rFonts w:ascii="Garamond" w:hAnsi="Garamond" w:cs="Arial"/>
          <w:color w:val="000000" w:themeColor="text1"/>
          <w:sz w:val="22"/>
          <w:szCs w:val="22"/>
          <w:shd w:val="clear" w:color="auto" w:fill="FFFFFF"/>
        </w:rPr>
        <w:t xml:space="preserve"> Y. 2020. </w:t>
      </w:r>
      <w:r w:rsidR="006A39FC" w:rsidRPr="00C21525">
        <w:rPr>
          <w:rFonts w:ascii="Garamond" w:hAnsi="Garamond" w:cs="Arial"/>
          <w:color w:val="000000" w:themeColor="text1"/>
          <w:sz w:val="22"/>
          <w:szCs w:val="22"/>
          <w:shd w:val="clear" w:color="auto" w:fill="FFFFFF"/>
        </w:rPr>
        <w:t>“</w:t>
      </w:r>
      <w:r w:rsidRPr="00C21525">
        <w:rPr>
          <w:rFonts w:ascii="Garamond" w:hAnsi="Garamond" w:cs="Arial"/>
          <w:color w:val="000000" w:themeColor="text1"/>
          <w:sz w:val="22"/>
          <w:szCs w:val="22"/>
          <w:shd w:val="clear" w:color="auto" w:fill="FFFFFF"/>
        </w:rPr>
        <w:t>The Effect of Institutional Investors’ Voice on the Terms and Outcome of Freeze-out Tender Offers.</w:t>
      </w:r>
      <w:r w:rsidR="006A39FC" w:rsidRPr="00C21525">
        <w:rPr>
          <w:rFonts w:ascii="Garamond" w:hAnsi="Garamond" w:cs="Arial"/>
          <w:color w:val="000000" w:themeColor="text1"/>
          <w:sz w:val="22"/>
          <w:szCs w:val="22"/>
          <w:shd w:val="clear" w:color="auto" w:fill="FFFFFF"/>
        </w:rPr>
        <w:t xml:space="preserve">” </w:t>
      </w:r>
      <w:r w:rsidRPr="00C21525">
        <w:rPr>
          <w:rFonts w:ascii="Garamond" w:hAnsi="Garamond" w:cs="Arial"/>
          <w:i/>
          <w:iCs/>
          <w:color w:val="000000" w:themeColor="text1"/>
          <w:sz w:val="22"/>
          <w:szCs w:val="22"/>
          <w:shd w:val="clear" w:color="auto" w:fill="FFFFFF"/>
        </w:rPr>
        <w:t>Quarterly Journal of Finance</w:t>
      </w:r>
      <w:r w:rsidRPr="00C21525">
        <w:rPr>
          <w:rFonts w:ascii="Garamond" w:hAnsi="Garamond" w:cs="Arial"/>
          <w:color w:val="000000" w:themeColor="text1"/>
          <w:sz w:val="22"/>
          <w:szCs w:val="22"/>
          <w:shd w:val="clear" w:color="auto" w:fill="FFFFFF"/>
        </w:rPr>
        <w:t xml:space="preserve"> 10:1</w:t>
      </w:r>
    </w:p>
    <w:p w14:paraId="5915957C" w14:textId="03E75353" w:rsidR="00A93DD2" w:rsidRPr="00C21525" w:rsidRDefault="0084546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Lauterbach, B., </w:t>
      </w:r>
      <w:proofErr w:type="spellStart"/>
      <w:r w:rsidRPr="00C21525">
        <w:rPr>
          <w:rFonts w:ascii="Garamond" w:hAnsi="Garamond" w:cs="Arial"/>
          <w:color w:val="000000" w:themeColor="text1"/>
          <w:sz w:val="22"/>
          <w:szCs w:val="22"/>
          <w:shd w:val="clear" w:color="auto" w:fill="FFFFFF"/>
        </w:rPr>
        <w:t>Mugerman</w:t>
      </w:r>
      <w:proofErr w:type="spellEnd"/>
      <w:r w:rsidRPr="00C21525">
        <w:rPr>
          <w:rFonts w:ascii="Garamond" w:hAnsi="Garamond" w:cs="Arial"/>
          <w:color w:val="000000" w:themeColor="text1"/>
          <w:sz w:val="22"/>
          <w:szCs w:val="22"/>
          <w:shd w:val="clear" w:color="auto" w:fill="FFFFFF"/>
        </w:rPr>
        <w:t xml:space="preserve"> Y, &amp; Shemesh, J. 2023. “Retail and Institutional Investors’ Historical Purchase Prices: Do they Affect Merger Offer Premiums and Deal Response?” Working Paper, https://ssrn.com/abstract=3856462 </w:t>
      </w:r>
    </w:p>
    <w:p w14:paraId="53DF3408" w14:textId="6160C940"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Lee, P. M., &amp; </w:t>
      </w:r>
      <w:proofErr w:type="spellStart"/>
      <w:r w:rsidRPr="00C21525">
        <w:rPr>
          <w:rFonts w:ascii="Garamond" w:hAnsi="Garamond" w:cs="Arial"/>
          <w:color w:val="000000" w:themeColor="text1"/>
          <w:sz w:val="22"/>
          <w:szCs w:val="22"/>
          <w:shd w:val="clear" w:color="auto" w:fill="FFFFFF"/>
        </w:rPr>
        <w:t>Wahal</w:t>
      </w:r>
      <w:proofErr w:type="spellEnd"/>
      <w:r w:rsidRPr="00C21525">
        <w:rPr>
          <w:rFonts w:ascii="Garamond" w:hAnsi="Garamond" w:cs="Arial"/>
          <w:color w:val="000000" w:themeColor="text1"/>
          <w:sz w:val="22"/>
          <w:szCs w:val="22"/>
          <w:shd w:val="clear" w:color="auto" w:fill="FFFFFF"/>
        </w:rPr>
        <w:t xml:space="preserve">, S. 2004. “Grandstanding, Certification and The Underpricing of Venture Capital Backed IPOs.”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73:375</w:t>
      </w:r>
    </w:p>
    <w:p w14:paraId="34DBF817"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lastRenderedPageBreak/>
        <w:t>Lehmann, T., &amp; Weber, M. 2023. “Auctions versus Bookbuilding: The Effects of IPO Regulation in Japan.” </w:t>
      </w:r>
      <w:r w:rsidRPr="00C21525">
        <w:rPr>
          <w:rFonts w:ascii="Garamond" w:hAnsi="Garamond" w:cs="Arial"/>
          <w:i/>
          <w:iCs/>
          <w:color w:val="000000" w:themeColor="text1"/>
          <w:sz w:val="22"/>
          <w:szCs w:val="22"/>
          <w:shd w:val="clear" w:color="auto" w:fill="FFFFFF"/>
        </w:rPr>
        <w:t>Financial Review</w:t>
      </w:r>
      <w:r w:rsidRPr="00C21525">
        <w:rPr>
          <w:rFonts w:ascii="Garamond" w:hAnsi="Garamond" w:cs="Arial"/>
          <w:color w:val="000000" w:themeColor="text1"/>
          <w:sz w:val="22"/>
          <w:szCs w:val="22"/>
          <w:shd w:val="clear" w:color="auto" w:fill="FFFFFF"/>
        </w:rPr>
        <w:t> 58:117</w:t>
      </w:r>
    </w:p>
    <w:p w14:paraId="4C3209A4" w14:textId="0C1CDB7B" w:rsidR="00D03A49" w:rsidRPr="00C21525" w:rsidRDefault="00D03A49" w:rsidP="003F7A6F">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Libson</w:t>
      </w:r>
      <w:proofErr w:type="spellEnd"/>
      <w:r w:rsidRPr="00C21525">
        <w:rPr>
          <w:rFonts w:ascii="Garamond" w:hAnsi="Garamond"/>
          <w:color w:val="000000" w:themeColor="text1"/>
          <w:sz w:val="22"/>
          <w:szCs w:val="22"/>
        </w:rPr>
        <w:t xml:space="preserve">, A. &amp; </w:t>
      </w:r>
      <w:proofErr w:type="spellStart"/>
      <w:r w:rsidRPr="00C21525">
        <w:rPr>
          <w:rFonts w:ascii="Garamond" w:hAnsi="Garamond"/>
          <w:color w:val="000000" w:themeColor="text1"/>
          <w:sz w:val="22"/>
          <w:szCs w:val="22"/>
        </w:rPr>
        <w:t>Parchomovsky</w:t>
      </w:r>
      <w:proofErr w:type="spellEnd"/>
      <w:r w:rsidRPr="00C21525">
        <w:rPr>
          <w:rFonts w:ascii="Garamond" w:hAnsi="Garamond"/>
          <w:color w:val="000000" w:themeColor="text1"/>
          <w:sz w:val="22"/>
          <w:szCs w:val="22"/>
        </w:rPr>
        <w:t xml:space="preserve">, G. 2020. “Reversing the Fortunes of Active Funds.” </w:t>
      </w:r>
      <w:r w:rsidRPr="00C21525">
        <w:rPr>
          <w:rFonts w:ascii="Garamond" w:hAnsi="Garamond"/>
          <w:i/>
          <w:iCs/>
          <w:color w:val="000000" w:themeColor="text1"/>
          <w:sz w:val="22"/>
          <w:szCs w:val="22"/>
        </w:rPr>
        <w:t>Texas Law Review</w:t>
      </w:r>
      <w:r w:rsidRPr="00C21525">
        <w:rPr>
          <w:rFonts w:ascii="Garamond" w:hAnsi="Garamond"/>
          <w:color w:val="000000" w:themeColor="text1"/>
          <w:sz w:val="22"/>
          <w:szCs w:val="22"/>
        </w:rPr>
        <w:t xml:space="preserve"> 99: 581</w:t>
      </w:r>
    </w:p>
    <w:p w14:paraId="51D2096A" w14:textId="73352AEC" w:rsidR="00D03A49" w:rsidRPr="00C21525" w:rsidRDefault="00D03A49" w:rsidP="003F7A6F">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olor w:val="000000" w:themeColor="text1"/>
          <w:sz w:val="22"/>
          <w:szCs w:val="22"/>
        </w:rPr>
        <w:t>Libson</w:t>
      </w:r>
      <w:proofErr w:type="spellEnd"/>
      <w:r w:rsidRPr="00C21525">
        <w:rPr>
          <w:rFonts w:ascii="Garamond" w:hAnsi="Garamond"/>
          <w:color w:val="000000" w:themeColor="text1"/>
          <w:sz w:val="22"/>
          <w:szCs w:val="22"/>
        </w:rPr>
        <w:t xml:space="preserve">, A., </w:t>
      </w:r>
      <w:proofErr w:type="spellStart"/>
      <w:r w:rsidRPr="00C21525">
        <w:rPr>
          <w:rFonts w:ascii="Garamond" w:hAnsi="Garamond"/>
          <w:color w:val="000000" w:themeColor="text1"/>
          <w:sz w:val="22"/>
          <w:szCs w:val="22"/>
        </w:rPr>
        <w:t>Parchomovksy</w:t>
      </w:r>
      <w:proofErr w:type="spellEnd"/>
      <w:r w:rsidRPr="00C21525">
        <w:rPr>
          <w:rFonts w:ascii="Garamond" w:hAnsi="Garamond"/>
          <w:color w:val="000000" w:themeColor="text1"/>
          <w:sz w:val="22"/>
          <w:szCs w:val="22"/>
        </w:rPr>
        <w:t xml:space="preserve">, G., &amp; </w:t>
      </w:r>
      <w:r w:rsidRPr="00C21525">
        <w:rPr>
          <w:rFonts w:ascii="Garamond" w:hAnsi="Garamond" w:cs="Arial"/>
          <w:color w:val="000000" w:themeColor="text1"/>
          <w:sz w:val="22"/>
          <w:szCs w:val="22"/>
          <w:shd w:val="clear" w:color="auto" w:fill="FFFFFF"/>
        </w:rPr>
        <w:t xml:space="preserve">Hannes, S. </w:t>
      </w:r>
      <w:r w:rsidRPr="00C21525">
        <w:rPr>
          <w:rFonts w:ascii="Garamond" w:hAnsi="Garamond"/>
          <w:color w:val="000000" w:themeColor="text1"/>
          <w:sz w:val="22"/>
          <w:szCs w:val="22"/>
        </w:rPr>
        <w:t>2023 “The ESG Gap” BYU Law Review (forthcoming),</w:t>
      </w:r>
      <w:r w:rsidRPr="00C21525">
        <w:rPr>
          <w:rFonts w:ascii="Garamond" w:hAnsi="Garamond" w:cs="Arial"/>
          <w:color w:val="000000" w:themeColor="text1"/>
          <w:sz w:val="22"/>
          <w:szCs w:val="22"/>
          <w:shd w:val="clear" w:color="auto" w:fill="FFFFFF"/>
        </w:rPr>
        <w:t xml:space="preserve"> https://papers.ssrn.com/sol3/papers.cfm?abstract_id=4293914</w:t>
      </w:r>
    </w:p>
    <w:p w14:paraId="75C95462" w14:textId="376C2E1E"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Ljungqvist</w:t>
      </w:r>
      <w:proofErr w:type="spellEnd"/>
      <w:r w:rsidRPr="00C21525">
        <w:rPr>
          <w:rFonts w:ascii="Garamond" w:hAnsi="Garamond" w:cs="Arial"/>
          <w:color w:val="000000" w:themeColor="text1"/>
          <w:sz w:val="22"/>
          <w:szCs w:val="22"/>
          <w:shd w:val="clear" w:color="auto" w:fill="FFFFFF"/>
        </w:rPr>
        <w:t>, A. 2003. “Conflicts of Interest and Efficient Contracting in IPOs.” </w:t>
      </w:r>
      <w:r w:rsidRPr="00C21525">
        <w:rPr>
          <w:rFonts w:ascii="Garamond" w:hAnsi="Garamond" w:cs="Arial"/>
          <w:i/>
          <w:iCs/>
          <w:color w:val="000000" w:themeColor="text1"/>
          <w:sz w:val="22"/>
          <w:szCs w:val="22"/>
          <w:shd w:val="clear" w:color="auto" w:fill="FFFFFF"/>
        </w:rPr>
        <w:t>New York University Center for Law and Business Research Paper</w:t>
      </w:r>
      <w:r w:rsidRPr="00C21525">
        <w:rPr>
          <w:rFonts w:ascii="Garamond" w:hAnsi="Garamond" w:cs="Arial"/>
          <w:color w:val="000000" w:themeColor="text1"/>
          <w:sz w:val="22"/>
          <w:szCs w:val="22"/>
          <w:shd w:val="clear" w:color="auto" w:fill="FFFFFF"/>
        </w:rPr>
        <w:t>, 03-03.</w:t>
      </w:r>
      <w:r w:rsidRPr="00C21525">
        <w:rPr>
          <w:rFonts w:ascii="Garamond" w:hAnsi="Garamond" w:cs="Arial" w:hint="eastAsia"/>
          <w:color w:val="000000" w:themeColor="text1"/>
          <w:sz w:val="22"/>
          <w:szCs w:val="22"/>
          <w:shd w:val="clear" w:color="auto" w:fill="FFFFFF"/>
          <w:rtl/>
        </w:rPr>
        <w:t>‏‏</w:t>
      </w:r>
      <w:r w:rsidRPr="00C21525">
        <w:rPr>
          <w:rFonts w:ascii="Garamond" w:hAnsi="Garamond" w:cs="Arial"/>
          <w:color w:val="000000" w:themeColor="text1"/>
          <w:sz w:val="22"/>
          <w:szCs w:val="22"/>
          <w:shd w:val="clear" w:color="auto" w:fill="FFFFFF"/>
        </w:rPr>
        <w:t xml:space="preserve"> </w:t>
      </w:r>
      <w:hyperlink r:id="rId21" w:history="1">
        <w:r w:rsidRPr="00C21525">
          <w:rPr>
            <w:rStyle w:val="Hyperlink"/>
            <w:rFonts w:ascii="Garamond" w:hAnsi="Garamond" w:cs="Arial"/>
            <w:color w:val="000000" w:themeColor="text1"/>
            <w:sz w:val="22"/>
            <w:szCs w:val="22"/>
            <w:u w:val="none"/>
            <w:shd w:val="clear" w:color="auto" w:fill="FFFFFF"/>
          </w:rPr>
          <w:t>https://papers.ssrn.com/sol3/papers.cfm?abstract_id=333820</w:t>
        </w:r>
      </w:hyperlink>
    </w:p>
    <w:p w14:paraId="47B71F20"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Ljungqvist</w:t>
      </w:r>
      <w:proofErr w:type="spellEnd"/>
      <w:r w:rsidRPr="00C21525">
        <w:rPr>
          <w:rFonts w:ascii="Garamond" w:hAnsi="Garamond" w:cs="Arial"/>
          <w:color w:val="000000" w:themeColor="text1"/>
          <w:sz w:val="22"/>
          <w:szCs w:val="22"/>
          <w:shd w:val="clear" w:color="auto" w:fill="FFFFFF"/>
        </w:rPr>
        <w:t>, A. 2007. “IPO Underpricing.” </w:t>
      </w:r>
      <w:r w:rsidRPr="00C21525">
        <w:rPr>
          <w:rFonts w:ascii="Garamond" w:hAnsi="Garamond" w:cs="Arial"/>
          <w:i/>
          <w:iCs/>
          <w:color w:val="000000" w:themeColor="text1"/>
          <w:sz w:val="22"/>
          <w:szCs w:val="22"/>
          <w:shd w:val="clear" w:color="auto" w:fill="FFFFFF"/>
        </w:rPr>
        <w:t>Handbook of Corporate Finance: Empirical Corporate Finance</w:t>
      </w:r>
      <w:r w:rsidRPr="00C21525">
        <w:rPr>
          <w:rFonts w:ascii="Garamond" w:hAnsi="Garamond" w:cs="Arial"/>
          <w:color w:val="000000" w:themeColor="text1"/>
          <w:sz w:val="22"/>
          <w:szCs w:val="22"/>
          <w:shd w:val="clear" w:color="auto" w:fill="FFFFFF"/>
        </w:rPr>
        <w:t xml:space="preserve"> 1:375</w:t>
      </w:r>
    </w:p>
    <w:p w14:paraId="5731DB47"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Ljungqvist</w:t>
      </w:r>
      <w:proofErr w:type="spellEnd"/>
      <w:r w:rsidRPr="00C21525">
        <w:rPr>
          <w:rFonts w:ascii="Garamond" w:hAnsi="Garamond" w:cs="Arial"/>
          <w:color w:val="000000" w:themeColor="text1"/>
          <w:sz w:val="22"/>
          <w:szCs w:val="22"/>
          <w:shd w:val="clear" w:color="auto" w:fill="FFFFFF"/>
        </w:rPr>
        <w:t>, A., &amp; Wilhelm Jr, W. J. 2003. “IPO Pricing in The Dot</w:t>
      </w:r>
      <w:r w:rsidRPr="00C21525">
        <w:rPr>
          <w:rFonts w:ascii="Cambria Math" w:hAnsi="Cambria Math" w:cs="Cambria Math"/>
          <w:color w:val="000000" w:themeColor="text1"/>
          <w:sz w:val="22"/>
          <w:szCs w:val="22"/>
          <w:shd w:val="clear" w:color="auto" w:fill="FFFFFF"/>
        </w:rPr>
        <w:t>‐</w:t>
      </w:r>
      <w:r w:rsidRPr="00C21525">
        <w:rPr>
          <w:rFonts w:ascii="Garamond" w:hAnsi="Garamond" w:cs="Arial"/>
          <w:color w:val="000000" w:themeColor="text1"/>
          <w:sz w:val="22"/>
          <w:szCs w:val="22"/>
          <w:shd w:val="clear" w:color="auto" w:fill="FFFFFF"/>
        </w:rPr>
        <w:t>Com Bubble.”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58:723</w:t>
      </w:r>
    </w:p>
    <w:p w14:paraId="2EB605AA"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Loughran, T., &amp; Ritter, J. 2004. “Why Has IPO Underpricing Changed Over Time?” </w:t>
      </w:r>
      <w:r w:rsidRPr="00C21525">
        <w:rPr>
          <w:rFonts w:ascii="Garamond" w:hAnsi="Garamond" w:cs="Arial"/>
          <w:i/>
          <w:iCs/>
          <w:color w:val="000000" w:themeColor="text1"/>
          <w:sz w:val="22"/>
          <w:szCs w:val="22"/>
          <w:shd w:val="clear" w:color="auto" w:fill="FFFFFF"/>
        </w:rPr>
        <w:t>Financial Management</w:t>
      </w:r>
      <w:r w:rsidRPr="00C21525">
        <w:rPr>
          <w:rFonts w:ascii="Garamond" w:hAnsi="Garamond" w:cs="Arial"/>
          <w:color w:val="000000" w:themeColor="text1"/>
          <w:sz w:val="22"/>
          <w:szCs w:val="22"/>
          <w:shd w:val="clear" w:color="auto" w:fill="FFFFFF"/>
        </w:rPr>
        <w:t xml:space="preserve"> 33:5</w:t>
      </w:r>
    </w:p>
    <w:p w14:paraId="1804208E"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Loughran, T., &amp; Ritter, J. R. 2002. “Why Don’t Issuers Get Upset About Leaving Money on The Table in IPOs?” </w:t>
      </w:r>
      <w:r w:rsidRPr="00C21525">
        <w:rPr>
          <w:rFonts w:ascii="Garamond" w:hAnsi="Garamond" w:cs="Arial"/>
          <w:i/>
          <w:iCs/>
          <w:color w:val="000000" w:themeColor="text1"/>
          <w:sz w:val="22"/>
          <w:szCs w:val="22"/>
          <w:shd w:val="clear" w:color="auto" w:fill="FFFFFF"/>
        </w:rPr>
        <w:t>The Review of Financial Studies</w:t>
      </w:r>
      <w:r w:rsidRPr="00C21525">
        <w:rPr>
          <w:rFonts w:ascii="Garamond" w:hAnsi="Garamond" w:cs="Arial"/>
          <w:color w:val="000000" w:themeColor="text1"/>
          <w:sz w:val="22"/>
          <w:szCs w:val="22"/>
          <w:shd w:val="clear" w:color="auto" w:fill="FFFFFF"/>
        </w:rPr>
        <w:t> 15:413</w:t>
      </w:r>
    </w:p>
    <w:p w14:paraId="71619A3C"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Lund, D. S. &amp; Robertson, A. 2023. “Giant Asset Managers, the Big Three, and Index Investing.” </w:t>
      </w:r>
      <w:r w:rsidRPr="00C21525">
        <w:rPr>
          <w:rFonts w:ascii="Garamond" w:hAnsi="Garamond" w:cs="Arial"/>
          <w:i/>
          <w:iCs/>
          <w:color w:val="000000" w:themeColor="text1"/>
          <w:sz w:val="22"/>
          <w:szCs w:val="22"/>
          <w:shd w:val="clear" w:color="auto" w:fill="FFFFFF"/>
        </w:rPr>
        <w:t>Working Paper.</w:t>
      </w:r>
      <w:r w:rsidRPr="00C21525">
        <w:rPr>
          <w:rFonts w:ascii="Garamond" w:hAnsi="Garamond" w:cs="Arial"/>
          <w:color w:val="000000" w:themeColor="text1"/>
          <w:sz w:val="22"/>
          <w:szCs w:val="22"/>
          <w:shd w:val="clear" w:color="auto" w:fill="FFFFFF"/>
        </w:rPr>
        <w:t> </w:t>
      </w:r>
      <w:hyperlink r:id="rId22" w:history="1">
        <w:r w:rsidRPr="00C21525">
          <w:rPr>
            <w:rStyle w:val="Hyperlink"/>
            <w:rFonts w:ascii="Garamond" w:hAnsi="Garamond" w:cs="Arial"/>
            <w:color w:val="000000" w:themeColor="text1"/>
            <w:sz w:val="22"/>
            <w:szCs w:val="22"/>
            <w:u w:val="none"/>
            <w:shd w:val="clear" w:color="auto" w:fill="FFFFFF"/>
          </w:rPr>
          <w:t>https://papers.ssrn.com/sol3/papers.cfm?abstract_id =4406204</w:t>
        </w:r>
      </w:hyperlink>
    </w:p>
    <w:p w14:paraId="4866E7E8"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shd w:val="clear" w:color="auto" w:fill="FFFFFF"/>
        </w:rPr>
        <w:t>Lund, D. S. 2018. “The Case Against Passive Shareholder Voting.” </w:t>
      </w:r>
      <w:r w:rsidRPr="00C21525">
        <w:rPr>
          <w:rFonts w:ascii="Garamond" w:hAnsi="Garamond"/>
          <w:i/>
          <w:iCs/>
          <w:color w:val="000000" w:themeColor="text1"/>
          <w:sz w:val="22"/>
          <w:szCs w:val="22"/>
          <w:shd w:val="clear" w:color="auto" w:fill="FFFFFF"/>
        </w:rPr>
        <w:t xml:space="preserve">Journal of Corporation Law </w:t>
      </w:r>
      <w:r w:rsidRPr="00C21525">
        <w:rPr>
          <w:rFonts w:ascii="Garamond" w:hAnsi="Garamond"/>
          <w:color w:val="000000" w:themeColor="text1"/>
          <w:sz w:val="22"/>
          <w:szCs w:val="22"/>
          <w:shd w:val="clear" w:color="auto" w:fill="FFFFFF"/>
        </w:rPr>
        <w:t>43:493</w:t>
      </w:r>
    </w:p>
    <w:p w14:paraId="2EDB8FB7"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olor w:val="000000" w:themeColor="text1"/>
          <w:sz w:val="22"/>
          <w:szCs w:val="22"/>
          <w:shd w:val="clear" w:color="auto" w:fill="FFFFFF"/>
        </w:rPr>
        <w:t>Lund, D. S. 2022. “Asset Managers as Regulators.” </w:t>
      </w:r>
      <w:r w:rsidRPr="00C21525">
        <w:rPr>
          <w:rFonts w:ascii="Garamond" w:hAnsi="Garamond"/>
          <w:i/>
          <w:iCs/>
          <w:color w:val="000000" w:themeColor="text1"/>
          <w:sz w:val="22"/>
          <w:szCs w:val="22"/>
          <w:shd w:val="clear" w:color="auto" w:fill="FFFFFF"/>
        </w:rPr>
        <w:t>University of Pennsylvania Law Review</w:t>
      </w:r>
      <w:r w:rsidRPr="00C21525">
        <w:rPr>
          <w:rFonts w:ascii="Garamond" w:hAnsi="Garamond"/>
          <w:color w:val="000000" w:themeColor="text1"/>
          <w:sz w:val="22"/>
          <w:szCs w:val="22"/>
          <w:shd w:val="clear" w:color="auto" w:fill="FFFFFF"/>
        </w:rPr>
        <w:t>,</w:t>
      </w:r>
      <w:r w:rsidRPr="00C21525">
        <w:rPr>
          <w:rFonts w:ascii="Garamond" w:hAnsi="Garamond"/>
          <w:i/>
          <w:iCs/>
          <w:color w:val="000000" w:themeColor="text1"/>
          <w:sz w:val="22"/>
          <w:szCs w:val="22"/>
          <w:shd w:val="clear" w:color="auto" w:fill="FFFFFF"/>
        </w:rPr>
        <w:t xml:space="preserve"> </w:t>
      </w:r>
      <w:r w:rsidRPr="00C21525">
        <w:rPr>
          <w:rFonts w:ascii="Garamond" w:hAnsi="Garamond"/>
          <w:color w:val="000000" w:themeColor="text1"/>
          <w:sz w:val="22"/>
          <w:szCs w:val="22"/>
          <w:shd w:val="clear" w:color="auto" w:fill="FFFFFF"/>
        </w:rPr>
        <w:t>171:77</w:t>
      </w:r>
    </w:p>
    <w:p w14:paraId="05C47F99"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Megginson, W. L., &amp; Weiss, K. A. 1991. “Venture Capitalist Certification in Initial Public Offerings.” </w:t>
      </w:r>
      <w:r w:rsidRPr="00C21525">
        <w:rPr>
          <w:rFonts w:ascii="Garamond" w:hAnsi="Garamond" w:cs="Arial"/>
          <w:i/>
          <w:iCs/>
          <w:color w:val="000000" w:themeColor="text1"/>
          <w:sz w:val="22"/>
          <w:szCs w:val="22"/>
          <w:shd w:val="clear" w:color="auto" w:fill="FFFFFF"/>
        </w:rPr>
        <w:t>Journal of Finance</w:t>
      </w:r>
      <w:r w:rsidRPr="00C21525">
        <w:rPr>
          <w:rFonts w:ascii="Garamond" w:hAnsi="Garamond" w:cs="Arial"/>
          <w:color w:val="000000" w:themeColor="text1"/>
          <w:sz w:val="22"/>
          <w:szCs w:val="22"/>
          <w:shd w:val="clear" w:color="auto" w:fill="FFFFFF"/>
        </w:rPr>
        <w:t xml:space="preserve"> 46:879</w:t>
      </w:r>
    </w:p>
    <w:p w14:paraId="1359BBFF" w14:textId="63E4DEB5" w:rsidR="00C21525" w:rsidRPr="00922245" w:rsidRDefault="00C21525"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Pr>
          <w:rFonts w:ascii="Garamond" w:hAnsi="Garamond" w:cs="Arial"/>
          <w:color w:val="000000" w:themeColor="text1"/>
          <w:sz w:val="22"/>
          <w:szCs w:val="22"/>
          <w:shd w:val="clear" w:color="auto" w:fill="FFFFFF"/>
        </w:rPr>
        <w:t>McHugh, Patrick J., &amp; Goldfarb H. Bruce. “</w:t>
      </w:r>
      <w:r w:rsidRPr="00C21525">
        <w:rPr>
          <w:rFonts w:ascii="Garamond" w:hAnsi="Garamond" w:cs="Arial"/>
          <w:color w:val="000000" w:themeColor="text1"/>
          <w:sz w:val="22"/>
          <w:szCs w:val="22"/>
          <w:shd w:val="clear" w:color="auto" w:fill="FFFFFF"/>
        </w:rPr>
        <w:t>Rewriting the Proxy Playbook: Trian Partners vs. Disney Case Study</w:t>
      </w:r>
      <w:r>
        <w:rPr>
          <w:rFonts w:ascii="Garamond" w:hAnsi="Garamond" w:cs="Arial"/>
          <w:color w:val="000000" w:themeColor="text1"/>
          <w:sz w:val="22"/>
          <w:szCs w:val="22"/>
          <w:shd w:val="clear" w:color="auto" w:fill="FFFFFF"/>
        </w:rPr>
        <w:t xml:space="preserve">.” 2024. </w:t>
      </w:r>
      <w:r w:rsidRPr="00922245">
        <w:rPr>
          <w:rFonts w:ascii="Garamond" w:hAnsi="Garamond" w:cs="Arial"/>
          <w:i/>
          <w:iCs/>
          <w:color w:val="000000" w:themeColor="text1"/>
          <w:sz w:val="22"/>
          <w:szCs w:val="22"/>
          <w:shd w:val="clear" w:color="auto" w:fill="FFFFFF"/>
        </w:rPr>
        <w:t>Harvard Law School Forum on Corporate Governance</w:t>
      </w:r>
      <w:r>
        <w:rPr>
          <w:rFonts w:ascii="Garamond" w:hAnsi="Garamond" w:cs="Arial"/>
          <w:i/>
          <w:iCs/>
          <w:color w:val="000000" w:themeColor="text1"/>
          <w:sz w:val="22"/>
          <w:szCs w:val="22"/>
          <w:shd w:val="clear" w:color="auto" w:fill="FFFFFF"/>
        </w:rPr>
        <w:t xml:space="preserve">. </w:t>
      </w:r>
      <w:hyperlink r:id="rId23" w:history="1">
        <w:r w:rsidRPr="00D75301">
          <w:rPr>
            <w:rStyle w:val="Hyperlink"/>
            <w:rFonts w:ascii="Garamond" w:hAnsi="Garamond" w:cs="Arial"/>
            <w:sz w:val="22"/>
            <w:szCs w:val="22"/>
            <w:u w:val="none"/>
            <w:shd w:val="clear" w:color="auto" w:fill="FFFFFF"/>
          </w:rPr>
          <w:t>https://corpgov.law.harvard.edu/2024/09/16/rewriting-the-proxy-playbook-trian-partners-vs-disney-case-study/.</w:t>
        </w:r>
      </w:hyperlink>
    </w:p>
    <w:p w14:paraId="5E5FB30C" w14:textId="1CB62943" w:rsidR="00EC47C6" w:rsidRPr="0092224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922245">
        <w:rPr>
          <w:rFonts w:ascii="Garamond" w:hAnsi="Garamond" w:cs="Arial"/>
          <w:color w:val="000000" w:themeColor="text1"/>
          <w:sz w:val="22"/>
          <w:szCs w:val="22"/>
          <w:shd w:val="clear" w:color="auto" w:fill="FFFFFF"/>
        </w:rPr>
        <w:t xml:space="preserve">Michel, A., Oded, J. &amp; Shaked, I. 2019. “The Shareholder Perspective on Security Breaches.” </w:t>
      </w:r>
      <w:r w:rsidRPr="00922245">
        <w:rPr>
          <w:rFonts w:ascii="Garamond" w:hAnsi="Garamond" w:cs="Arial"/>
          <w:i/>
          <w:iCs/>
          <w:color w:val="000000" w:themeColor="text1"/>
          <w:sz w:val="22"/>
          <w:szCs w:val="22"/>
          <w:shd w:val="clear" w:color="auto" w:fill="FFFFFF"/>
        </w:rPr>
        <w:t>European Financial Management</w:t>
      </w:r>
      <w:r w:rsidRPr="00922245">
        <w:rPr>
          <w:rFonts w:ascii="Garamond" w:hAnsi="Garamond" w:cs="Arial"/>
          <w:color w:val="000000" w:themeColor="text1"/>
          <w:sz w:val="22"/>
          <w:szCs w:val="22"/>
          <w:shd w:val="clear" w:color="auto" w:fill="FFFFFF"/>
        </w:rPr>
        <w:t xml:space="preserve"> 26:288</w:t>
      </w:r>
      <w:r w:rsidRPr="00922245">
        <w:rPr>
          <w:rFonts w:ascii="Garamond" w:hAnsi="Garamond" w:cs="Arial"/>
          <w:i/>
          <w:iCs/>
          <w:color w:val="000000" w:themeColor="text1"/>
          <w:sz w:val="22"/>
          <w:szCs w:val="22"/>
          <w:shd w:val="clear" w:color="auto" w:fill="FFFFFF"/>
        </w:rPr>
        <w:t xml:space="preserve"> </w:t>
      </w:r>
    </w:p>
    <w:p w14:paraId="6C85AA78"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proofErr w:type="spellStart"/>
      <w:r w:rsidRPr="00C21525">
        <w:rPr>
          <w:rFonts w:ascii="Garamond" w:hAnsi="Garamond" w:cs="Arial"/>
          <w:color w:val="000000" w:themeColor="text1"/>
          <w:sz w:val="22"/>
          <w:szCs w:val="22"/>
          <w:shd w:val="clear" w:color="auto" w:fill="FFFFFF"/>
        </w:rPr>
        <w:t>Muscarella</w:t>
      </w:r>
      <w:proofErr w:type="spellEnd"/>
      <w:r w:rsidRPr="00C21525">
        <w:rPr>
          <w:rFonts w:ascii="Garamond" w:hAnsi="Garamond" w:cs="Arial"/>
          <w:color w:val="000000" w:themeColor="text1"/>
          <w:sz w:val="22"/>
          <w:szCs w:val="22"/>
          <w:shd w:val="clear" w:color="auto" w:fill="FFFFFF"/>
        </w:rPr>
        <w:t xml:space="preserve">, C. J., &amp; </w:t>
      </w:r>
      <w:proofErr w:type="spellStart"/>
      <w:r w:rsidRPr="00C21525">
        <w:rPr>
          <w:rFonts w:ascii="Garamond" w:hAnsi="Garamond" w:cs="Arial"/>
          <w:color w:val="000000" w:themeColor="text1"/>
          <w:sz w:val="22"/>
          <w:szCs w:val="22"/>
          <w:shd w:val="clear" w:color="auto" w:fill="FFFFFF"/>
        </w:rPr>
        <w:t>Vetsuypens</w:t>
      </w:r>
      <w:proofErr w:type="spellEnd"/>
      <w:r w:rsidRPr="00C21525">
        <w:rPr>
          <w:rFonts w:ascii="Garamond" w:hAnsi="Garamond" w:cs="Arial"/>
          <w:color w:val="000000" w:themeColor="text1"/>
          <w:sz w:val="22"/>
          <w:szCs w:val="22"/>
          <w:shd w:val="clear" w:color="auto" w:fill="FFFFFF"/>
        </w:rPr>
        <w:t>, M. R. 1989. “A Simple Test of Baron’s Model of IPO Underpricing.”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xml:space="preserve"> 24:125</w:t>
      </w:r>
    </w:p>
    <w:p w14:paraId="5EE9A9DD"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Ofir, M., &amp; </w:t>
      </w:r>
      <w:proofErr w:type="spellStart"/>
      <w:r w:rsidRPr="00C21525">
        <w:rPr>
          <w:rFonts w:ascii="Garamond" w:hAnsi="Garamond" w:cs="Arial"/>
          <w:color w:val="000000" w:themeColor="text1"/>
          <w:sz w:val="22"/>
          <w:szCs w:val="22"/>
          <w:shd w:val="clear" w:color="auto" w:fill="FFFFFF"/>
        </w:rPr>
        <w:t>Sadeh</w:t>
      </w:r>
      <w:proofErr w:type="spellEnd"/>
      <w:r w:rsidRPr="00C21525">
        <w:rPr>
          <w:rFonts w:ascii="Garamond" w:hAnsi="Garamond" w:cs="Arial"/>
          <w:color w:val="000000" w:themeColor="text1"/>
          <w:sz w:val="22"/>
          <w:szCs w:val="22"/>
          <w:shd w:val="clear" w:color="auto" w:fill="FFFFFF"/>
        </w:rPr>
        <w:t xml:space="preserve"> I. 2020. “ICO vs. IPO: Empirical Findings, Information Asymmetry, and the Appropriate Regulatory Framework.” </w:t>
      </w:r>
      <w:r w:rsidRPr="00C21525">
        <w:rPr>
          <w:rFonts w:ascii="Garamond" w:hAnsi="Garamond" w:cs="Arial"/>
          <w:i/>
          <w:iCs/>
          <w:color w:val="000000" w:themeColor="text1"/>
          <w:sz w:val="22"/>
          <w:szCs w:val="22"/>
          <w:shd w:val="clear" w:color="auto" w:fill="FFFFFF"/>
        </w:rPr>
        <w:t>Vanderbilt Journal of Transitional Law</w:t>
      </w:r>
      <w:r w:rsidRPr="00C21525">
        <w:rPr>
          <w:rFonts w:ascii="Garamond" w:hAnsi="Garamond" w:cs="Arial"/>
          <w:color w:val="000000" w:themeColor="text1"/>
          <w:sz w:val="22"/>
          <w:szCs w:val="22"/>
          <w:shd w:val="clear" w:color="auto" w:fill="FFFFFF"/>
        </w:rPr>
        <w:t xml:space="preserve"> 53:525 </w:t>
      </w:r>
    </w:p>
    <w:p w14:paraId="6E8706FF"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Piraino</w:t>
      </w:r>
      <w:proofErr w:type="spellEnd"/>
      <w:r w:rsidRPr="00C21525">
        <w:rPr>
          <w:rFonts w:ascii="Garamond" w:hAnsi="Garamond" w:cs="Arial"/>
          <w:color w:val="000000" w:themeColor="text1"/>
          <w:sz w:val="22"/>
          <w:szCs w:val="22"/>
          <w:shd w:val="clear" w:color="auto" w:fill="FFFFFF"/>
        </w:rPr>
        <w:t xml:space="preserve"> Jr. T. A. 2008. “The Antitrust Implications of Going Private and Other Changes of Corporate Control.” </w:t>
      </w:r>
      <w:r w:rsidRPr="00C21525">
        <w:rPr>
          <w:rFonts w:ascii="Garamond" w:hAnsi="Garamond" w:cs="Arial"/>
          <w:i/>
          <w:iCs/>
          <w:color w:val="000000" w:themeColor="text1"/>
          <w:sz w:val="22"/>
          <w:szCs w:val="22"/>
          <w:shd w:val="clear" w:color="auto" w:fill="FFFFFF"/>
        </w:rPr>
        <w:t>Boston College Law Review</w:t>
      </w:r>
      <w:r w:rsidRPr="00C21525">
        <w:rPr>
          <w:rFonts w:ascii="Garamond" w:hAnsi="Garamond" w:cs="Arial"/>
          <w:color w:val="000000" w:themeColor="text1"/>
          <w:sz w:val="22"/>
          <w:szCs w:val="22"/>
          <w:shd w:val="clear" w:color="auto" w:fill="FFFFFF"/>
        </w:rPr>
        <w:t> 49:971</w:t>
      </w:r>
    </w:p>
    <w:p w14:paraId="4D24648A" w14:textId="24F8B496"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Pool, V. K., </w:t>
      </w:r>
      <w:proofErr w:type="spellStart"/>
      <w:r w:rsidRPr="00C21525">
        <w:rPr>
          <w:rFonts w:ascii="Garamond" w:hAnsi="Garamond" w:cs="Arial"/>
          <w:color w:val="000000" w:themeColor="text1"/>
          <w:sz w:val="22"/>
          <w:szCs w:val="22"/>
          <w:shd w:val="clear" w:color="auto" w:fill="FFFFFF"/>
        </w:rPr>
        <w:t>Stoffman</w:t>
      </w:r>
      <w:proofErr w:type="spellEnd"/>
      <w:r w:rsidRPr="00C21525">
        <w:rPr>
          <w:rFonts w:ascii="Garamond" w:hAnsi="Garamond" w:cs="Arial"/>
          <w:color w:val="000000" w:themeColor="text1"/>
          <w:sz w:val="22"/>
          <w:szCs w:val="22"/>
          <w:shd w:val="clear" w:color="auto" w:fill="FFFFFF"/>
        </w:rPr>
        <w:t xml:space="preserve">, N., &amp; </w:t>
      </w:r>
      <w:proofErr w:type="spellStart"/>
      <w:r w:rsidRPr="00C21525">
        <w:rPr>
          <w:rFonts w:ascii="Garamond" w:hAnsi="Garamond" w:cs="Arial"/>
          <w:color w:val="000000" w:themeColor="text1"/>
          <w:sz w:val="22"/>
          <w:szCs w:val="22"/>
          <w:shd w:val="clear" w:color="auto" w:fill="FFFFFF"/>
        </w:rPr>
        <w:t>Yonker</w:t>
      </w:r>
      <w:proofErr w:type="spellEnd"/>
      <w:r w:rsidRPr="00C21525">
        <w:rPr>
          <w:rFonts w:ascii="Garamond" w:hAnsi="Garamond" w:cs="Arial"/>
          <w:color w:val="000000" w:themeColor="text1"/>
          <w:sz w:val="22"/>
          <w:szCs w:val="22"/>
          <w:shd w:val="clear" w:color="auto" w:fill="FFFFFF"/>
        </w:rPr>
        <w:t xml:space="preserve">, S. E. 2015. “The People in Your </w:t>
      </w:r>
      <w:r w:rsidR="00DF2F70" w:rsidRPr="00C21525">
        <w:rPr>
          <w:rFonts w:ascii="Garamond" w:hAnsi="Garamond" w:cs="Arial"/>
          <w:color w:val="000000" w:themeColor="text1"/>
          <w:sz w:val="22"/>
          <w:szCs w:val="22"/>
          <w:shd w:val="clear" w:color="auto" w:fill="FFFFFF"/>
        </w:rPr>
        <w:t>Neighborhood</w:t>
      </w:r>
      <w:r w:rsidRPr="00C21525">
        <w:rPr>
          <w:rFonts w:ascii="Garamond" w:hAnsi="Garamond" w:cs="Arial"/>
          <w:color w:val="000000" w:themeColor="text1"/>
          <w:sz w:val="22"/>
          <w:szCs w:val="22"/>
          <w:shd w:val="clear" w:color="auto" w:fill="FFFFFF"/>
        </w:rPr>
        <w:t>: Social Interactions and Mutual Fund Portfolios.”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70:2679</w:t>
      </w:r>
    </w:p>
    <w:p w14:paraId="0831DE60"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Reuter, J. 2006. “Are IPO Allocations for Sale? Evidence From Mutual Funds.”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61:2289</w:t>
      </w:r>
    </w:p>
    <w:p w14:paraId="7C2CACFD"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Ritter, J. R. 1984. “The “Hot Issue” Market of 1980.” </w:t>
      </w:r>
      <w:r w:rsidRPr="00C21525">
        <w:rPr>
          <w:rFonts w:ascii="Garamond" w:hAnsi="Garamond" w:cs="Arial"/>
          <w:i/>
          <w:iCs/>
          <w:color w:val="000000" w:themeColor="text1"/>
          <w:sz w:val="22"/>
          <w:szCs w:val="22"/>
          <w:shd w:val="clear" w:color="auto" w:fill="FFFFFF"/>
        </w:rPr>
        <w:t>Journal of Business</w:t>
      </w:r>
      <w:r w:rsidRPr="00C21525">
        <w:rPr>
          <w:rFonts w:ascii="Garamond" w:hAnsi="Garamond" w:cs="Arial"/>
          <w:color w:val="000000" w:themeColor="text1"/>
          <w:sz w:val="22"/>
          <w:szCs w:val="22"/>
          <w:shd w:val="clear" w:color="auto" w:fill="FFFFFF"/>
        </w:rPr>
        <w:t xml:space="preserve"> 57:215</w:t>
      </w:r>
    </w:p>
    <w:p w14:paraId="58F554E1"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Ritter, J. R. 1998. “Initial Public Offerings.” </w:t>
      </w:r>
      <w:r w:rsidRPr="00C21525">
        <w:rPr>
          <w:rFonts w:ascii="Garamond" w:hAnsi="Garamond" w:cs="Arial"/>
          <w:i/>
          <w:iCs/>
          <w:color w:val="000000" w:themeColor="text1"/>
          <w:sz w:val="22"/>
          <w:szCs w:val="22"/>
          <w:shd w:val="clear" w:color="auto" w:fill="FFFFFF"/>
        </w:rPr>
        <w:t>Contemporary Finance Digest</w:t>
      </w:r>
      <w:r w:rsidRPr="00C21525">
        <w:rPr>
          <w:rFonts w:ascii="Garamond" w:hAnsi="Garamond" w:cs="Arial"/>
          <w:color w:val="000000" w:themeColor="text1"/>
          <w:sz w:val="22"/>
          <w:szCs w:val="22"/>
          <w:shd w:val="clear" w:color="auto" w:fill="FFFFFF"/>
        </w:rPr>
        <w:t> 2:5</w:t>
      </w:r>
    </w:p>
    <w:p w14:paraId="56C61607"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Ritter, J. R. 2022. “Money Left on the Table in IPOs by Firm.” </w:t>
      </w:r>
      <w:hyperlink r:id="rId24" w:history="1">
        <w:r w:rsidRPr="00C21525">
          <w:rPr>
            <w:rStyle w:val="Hyperlink"/>
            <w:rFonts w:ascii="Garamond" w:hAnsi="Garamond" w:cs="Arial"/>
            <w:color w:val="000000" w:themeColor="text1"/>
            <w:sz w:val="22"/>
            <w:szCs w:val="22"/>
            <w:u w:val="none"/>
            <w:shd w:val="clear" w:color="auto" w:fill="FFFFFF"/>
          </w:rPr>
          <w:t>https://site.warrin gton.ufl.edu/ritter/ files/money-left-on-the-table.pdf</w:t>
        </w:r>
      </w:hyperlink>
    </w:p>
    <w:p w14:paraId="0847DFAA"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Ritter, J. R. 2023. “Initial Public Offerings: Underpricing.” </w:t>
      </w:r>
      <w:hyperlink r:id="rId25" w:history="1">
        <w:r w:rsidRPr="00C21525">
          <w:rPr>
            <w:rStyle w:val="Hyperlink"/>
            <w:rFonts w:ascii="Garamond" w:hAnsi="Garamond" w:cs="Arial"/>
            <w:color w:val="000000" w:themeColor="text1"/>
            <w:sz w:val="22"/>
            <w:szCs w:val="22"/>
            <w:u w:val="none"/>
            <w:shd w:val="clear" w:color="auto" w:fill="FFFFFF"/>
          </w:rPr>
          <w:t>https://site.warrington.ufl.edu /ritter/files/IPOs-Underpricing.pdf</w:t>
        </w:r>
      </w:hyperlink>
    </w:p>
    <w:p w14:paraId="485C3D6C"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Rock, E. B. 1992. “Corporate Law Through an Antitrust Lens.” </w:t>
      </w:r>
      <w:r w:rsidRPr="00C21525">
        <w:rPr>
          <w:rFonts w:ascii="Garamond" w:hAnsi="Garamond" w:cs="Arial"/>
          <w:i/>
          <w:iCs/>
          <w:color w:val="000000" w:themeColor="text1"/>
          <w:sz w:val="22"/>
          <w:szCs w:val="22"/>
          <w:shd w:val="clear" w:color="auto" w:fill="FFFFFF"/>
        </w:rPr>
        <w:t xml:space="preserve">Columbia Law Review </w:t>
      </w:r>
      <w:r w:rsidRPr="00C21525">
        <w:rPr>
          <w:rFonts w:ascii="Garamond" w:hAnsi="Garamond" w:cs="Arial"/>
          <w:color w:val="000000" w:themeColor="text1"/>
          <w:sz w:val="22"/>
          <w:szCs w:val="22"/>
          <w:shd w:val="clear" w:color="auto" w:fill="FFFFFF"/>
        </w:rPr>
        <w:t>92:497</w:t>
      </w:r>
    </w:p>
    <w:p w14:paraId="15AD28B6"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Rock, E. B., &amp; Rubinfeld, D. L. 2020. “Common Ownership and Coordinated Effects”. </w:t>
      </w:r>
      <w:r w:rsidRPr="00C21525">
        <w:rPr>
          <w:rFonts w:ascii="Garamond" w:hAnsi="Garamond" w:cs="Arial"/>
          <w:i/>
          <w:iCs/>
          <w:color w:val="000000" w:themeColor="text1"/>
          <w:sz w:val="22"/>
          <w:szCs w:val="22"/>
          <w:shd w:val="clear" w:color="auto" w:fill="FFFFFF"/>
        </w:rPr>
        <w:t>Antitrust Law Journal</w:t>
      </w:r>
      <w:r w:rsidRPr="00C21525">
        <w:rPr>
          <w:rFonts w:ascii="Garamond" w:hAnsi="Garamond" w:cs="Arial"/>
          <w:color w:val="000000" w:themeColor="text1"/>
          <w:sz w:val="22"/>
          <w:szCs w:val="22"/>
          <w:shd w:val="clear" w:color="auto" w:fill="FFFFFF"/>
        </w:rPr>
        <w:t> 83: 201</w:t>
      </w:r>
    </w:p>
    <w:p w14:paraId="2EFF84BE"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Rock, K. 1986. “Why New Issues Are Underpriced”.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xml:space="preserve"> 15:187</w:t>
      </w:r>
      <w:r w:rsidRPr="00C21525">
        <w:rPr>
          <w:rFonts w:ascii="Garamond" w:hAnsi="Garamond" w:cs="Arial" w:hint="eastAsia"/>
          <w:color w:val="000000" w:themeColor="text1"/>
          <w:sz w:val="22"/>
          <w:szCs w:val="22"/>
          <w:shd w:val="clear" w:color="auto" w:fill="FFFFFF"/>
          <w:rtl/>
        </w:rPr>
        <w:t>‏</w:t>
      </w:r>
    </w:p>
    <w:p w14:paraId="1B943076"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hint="eastAsia"/>
          <w:color w:val="000000" w:themeColor="text1"/>
          <w:sz w:val="22"/>
          <w:szCs w:val="22"/>
          <w:shd w:val="clear" w:color="auto" w:fill="FFFFFF"/>
          <w:rtl/>
        </w:rPr>
        <w:t>‏</w:t>
      </w:r>
      <w:r w:rsidRPr="00C21525">
        <w:rPr>
          <w:rFonts w:ascii="Garamond" w:hAnsi="Garamond" w:cs="Arial"/>
          <w:color w:val="000000" w:themeColor="text1"/>
          <w:sz w:val="22"/>
          <w:szCs w:val="22"/>
          <w:shd w:val="clear" w:color="auto" w:fill="FFFFFF"/>
        </w:rPr>
        <w:t>Schmalz, M. C. 2018. “Common-ownership Concentration and Corporate Conduct.” </w:t>
      </w:r>
      <w:r w:rsidRPr="00C21525">
        <w:rPr>
          <w:rFonts w:ascii="Garamond" w:hAnsi="Garamond" w:cs="Arial"/>
          <w:i/>
          <w:iCs/>
          <w:color w:val="000000" w:themeColor="text1"/>
          <w:sz w:val="22"/>
          <w:szCs w:val="22"/>
          <w:shd w:val="clear" w:color="auto" w:fill="FFFFFF"/>
        </w:rPr>
        <w:t xml:space="preserve">Annual Review of Financial Economics </w:t>
      </w:r>
      <w:r w:rsidRPr="00C21525">
        <w:rPr>
          <w:rFonts w:ascii="Garamond" w:hAnsi="Garamond" w:cs="Arial"/>
          <w:color w:val="000000" w:themeColor="text1"/>
          <w:sz w:val="22"/>
          <w:szCs w:val="22"/>
          <w:shd w:val="clear" w:color="auto" w:fill="FFFFFF"/>
        </w:rPr>
        <w:t>10:413</w:t>
      </w:r>
      <w:r w:rsidRPr="00C21525">
        <w:rPr>
          <w:rFonts w:ascii="Garamond" w:hAnsi="Garamond" w:cs="Arial" w:hint="eastAsia"/>
          <w:color w:val="000000" w:themeColor="text1"/>
          <w:sz w:val="22"/>
          <w:szCs w:val="22"/>
          <w:shd w:val="clear" w:color="auto" w:fill="FFFFFF"/>
          <w:rtl/>
        </w:rPr>
        <w:t>‏</w:t>
      </w:r>
    </w:p>
    <w:p w14:paraId="1F13E4A1" w14:textId="77777777" w:rsidR="00EC47C6" w:rsidRPr="00C21525" w:rsidRDefault="00EC47C6" w:rsidP="00AE2FC1">
      <w:pPr>
        <w:pStyle w:val="ListParagraph"/>
        <w:numPr>
          <w:ilvl w:val="0"/>
          <w:numId w:val="5"/>
        </w:numPr>
        <w:tabs>
          <w:tab w:val="left" w:pos="720"/>
        </w:tabs>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Schwartz-Ziv, M., &amp; Russ W. 2022. “Do Institutional Investors Monitor Their Large-Scale vs. Small-Scale Investments Differently? Evidence from The Say-On-Pay Vote?” </w:t>
      </w:r>
      <w:r w:rsidRPr="00C21525">
        <w:rPr>
          <w:rFonts w:ascii="Garamond" w:hAnsi="Garamond" w:cs="Arial"/>
          <w:i/>
          <w:iCs/>
          <w:color w:val="000000" w:themeColor="text1"/>
          <w:sz w:val="22"/>
          <w:szCs w:val="22"/>
          <w:shd w:val="clear" w:color="auto" w:fill="FFFFFF"/>
        </w:rPr>
        <w:t>Journal of Banking and Finance</w:t>
      </w:r>
      <w:r w:rsidRPr="00C21525">
        <w:rPr>
          <w:rFonts w:ascii="Garamond" w:hAnsi="Garamond" w:cs="Arial"/>
          <w:color w:val="000000" w:themeColor="text1"/>
          <w:sz w:val="22"/>
          <w:szCs w:val="22"/>
          <w:shd w:val="clear" w:color="auto" w:fill="FFFFFF"/>
        </w:rPr>
        <w:t xml:space="preserve"> 141: 106532</w:t>
      </w:r>
    </w:p>
    <w:p w14:paraId="5936AC15"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lastRenderedPageBreak/>
        <w:t>Sharfman</w:t>
      </w:r>
      <w:proofErr w:type="spellEnd"/>
      <w:r w:rsidRPr="00C21525">
        <w:rPr>
          <w:rFonts w:ascii="Garamond" w:hAnsi="Garamond" w:cs="Arial"/>
          <w:color w:val="000000" w:themeColor="text1"/>
          <w:sz w:val="22"/>
          <w:szCs w:val="22"/>
          <w:shd w:val="clear" w:color="auto" w:fill="FFFFFF"/>
        </w:rPr>
        <w:t xml:space="preserve">, B. S. 2018. “A private Ordering Defense of a Company’s Right to Use Dual Class Share Structures in IPOs.” </w:t>
      </w:r>
      <w:r w:rsidRPr="00C21525">
        <w:rPr>
          <w:rFonts w:ascii="Garamond" w:hAnsi="Garamond" w:cs="Arial"/>
          <w:i/>
          <w:iCs/>
          <w:color w:val="000000" w:themeColor="text1"/>
          <w:sz w:val="22"/>
          <w:szCs w:val="22"/>
          <w:shd w:val="clear" w:color="auto" w:fill="FFFFFF"/>
        </w:rPr>
        <w:t>Villanova Law Review</w:t>
      </w:r>
      <w:r w:rsidRPr="00C21525">
        <w:rPr>
          <w:rFonts w:ascii="Garamond" w:hAnsi="Garamond" w:cs="Arial"/>
          <w:color w:val="000000" w:themeColor="text1"/>
          <w:sz w:val="22"/>
          <w:szCs w:val="22"/>
          <w:shd w:val="clear" w:color="auto" w:fill="FFFFFF"/>
        </w:rPr>
        <w:t> 63:1</w:t>
      </w:r>
    </w:p>
    <w:p w14:paraId="2174994B"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Sherman, A. E. 2005. “Global Trends in IPO Methods: Book Building Versus Auctions with Endogenous Entry.”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78:615</w:t>
      </w:r>
    </w:p>
    <w:p w14:paraId="112988CC"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Shleifer, A., &amp; </w:t>
      </w:r>
      <w:proofErr w:type="spellStart"/>
      <w:r w:rsidRPr="00C21525">
        <w:rPr>
          <w:rFonts w:ascii="Garamond" w:hAnsi="Garamond" w:cs="Arial"/>
          <w:color w:val="000000" w:themeColor="text1"/>
          <w:sz w:val="22"/>
          <w:szCs w:val="22"/>
          <w:shd w:val="clear" w:color="auto" w:fill="FFFFFF"/>
        </w:rPr>
        <w:t>Vishny</w:t>
      </w:r>
      <w:proofErr w:type="spellEnd"/>
      <w:r w:rsidRPr="00C21525">
        <w:rPr>
          <w:rFonts w:ascii="Garamond" w:hAnsi="Garamond" w:cs="Arial"/>
          <w:color w:val="000000" w:themeColor="text1"/>
          <w:sz w:val="22"/>
          <w:szCs w:val="22"/>
          <w:shd w:val="clear" w:color="auto" w:fill="FFFFFF"/>
        </w:rPr>
        <w:t>, R. W. 1986. “Large Shareholders and Corporate Control.” </w:t>
      </w:r>
      <w:r w:rsidRPr="00C21525">
        <w:rPr>
          <w:rFonts w:ascii="Garamond" w:hAnsi="Garamond" w:cs="Arial"/>
          <w:i/>
          <w:iCs/>
          <w:color w:val="000000" w:themeColor="text1"/>
          <w:sz w:val="22"/>
          <w:szCs w:val="22"/>
          <w:shd w:val="clear" w:color="auto" w:fill="FFFFFF"/>
        </w:rPr>
        <w:t>Journal of Political Economy</w:t>
      </w:r>
      <w:r w:rsidRPr="00C21525">
        <w:rPr>
          <w:rFonts w:ascii="Garamond" w:hAnsi="Garamond" w:cs="Arial"/>
          <w:color w:val="000000" w:themeColor="text1"/>
          <w:sz w:val="22"/>
          <w:szCs w:val="22"/>
          <w:shd w:val="clear" w:color="auto" w:fill="FFFFFF"/>
        </w:rPr>
        <w:t> 94:461</w:t>
      </w:r>
    </w:p>
    <w:p w14:paraId="027615A6"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olor w:val="000000" w:themeColor="text1"/>
          <w:sz w:val="22"/>
          <w:szCs w:val="22"/>
        </w:rPr>
      </w:pPr>
      <w:r w:rsidRPr="00C21525">
        <w:rPr>
          <w:rFonts w:ascii="Garamond" w:hAnsi="Garamond" w:cs="Arial"/>
          <w:color w:val="000000" w:themeColor="text1"/>
          <w:sz w:val="22"/>
          <w:szCs w:val="22"/>
          <w:shd w:val="clear" w:color="auto" w:fill="FFFFFF"/>
        </w:rPr>
        <w:t xml:space="preserve">Stoughton, N. M., &amp; </w:t>
      </w:r>
      <w:proofErr w:type="spellStart"/>
      <w:r w:rsidRPr="00C21525">
        <w:rPr>
          <w:rFonts w:ascii="Garamond" w:hAnsi="Garamond" w:cs="Arial"/>
          <w:color w:val="000000" w:themeColor="text1"/>
          <w:sz w:val="22"/>
          <w:szCs w:val="22"/>
          <w:shd w:val="clear" w:color="auto" w:fill="FFFFFF"/>
        </w:rPr>
        <w:t>Zechner</w:t>
      </w:r>
      <w:proofErr w:type="spellEnd"/>
      <w:r w:rsidRPr="00C21525">
        <w:rPr>
          <w:rFonts w:ascii="Garamond" w:hAnsi="Garamond" w:cs="Arial"/>
          <w:color w:val="000000" w:themeColor="text1"/>
          <w:sz w:val="22"/>
          <w:szCs w:val="22"/>
          <w:shd w:val="clear" w:color="auto" w:fill="FFFFFF"/>
        </w:rPr>
        <w:t>, J. 1998. “IPO-Mechanisms, Monitoring and Ownership Structure.” </w:t>
      </w:r>
      <w:r w:rsidRPr="00C21525">
        <w:rPr>
          <w:rFonts w:ascii="Garamond" w:hAnsi="Garamond" w:cs="Arial"/>
          <w:i/>
          <w:iCs/>
          <w:color w:val="000000" w:themeColor="text1"/>
          <w:sz w:val="22"/>
          <w:szCs w:val="22"/>
          <w:shd w:val="clear" w:color="auto" w:fill="FFFFFF"/>
        </w:rPr>
        <w:t>Journal of Financial Economics</w:t>
      </w:r>
      <w:r w:rsidRPr="00C21525">
        <w:rPr>
          <w:rFonts w:ascii="Garamond" w:hAnsi="Garamond" w:cs="Arial"/>
          <w:color w:val="000000" w:themeColor="text1"/>
          <w:sz w:val="22"/>
          <w:szCs w:val="22"/>
          <w:shd w:val="clear" w:color="auto" w:fill="FFFFFF"/>
        </w:rPr>
        <w:t> 49:45</w:t>
      </w:r>
    </w:p>
    <w:p w14:paraId="07293888"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proofErr w:type="spellStart"/>
      <w:r w:rsidRPr="00C21525">
        <w:rPr>
          <w:rFonts w:ascii="Garamond" w:hAnsi="Garamond" w:cs="Arial"/>
          <w:color w:val="000000" w:themeColor="text1"/>
          <w:sz w:val="22"/>
          <w:szCs w:val="22"/>
          <w:shd w:val="clear" w:color="auto" w:fill="FFFFFF"/>
        </w:rPr>
        <w:t>Strine</w:t>
      </w:r>
      <w:proofErr w:type="spellEnd"/>
      <w:r w:rsidRPr="00C21525">
        <w:rPr>
          <w:rFonts w:ascii="Garamond" w:hAnsi="Garamond" w:cs="Arial"/>
          <w:color w:val="000000" w:themeColor="text1"/>
          <w:sz w:val="22"/>
          <w:szCs w:val="22"/>
          <w:shd w:val="clear" w:color="auto" w:fill="FFFFFF"/>
        </w:rPr>
        <w:t xml:space="preserve">, L. E. 2020. “Fiduciary Blind Spot: The Failure of Institutional Investors to Prevent the Illegitimate Use of Working Americans’ Savings for Corporate Political Spending.” </w:t>
      </w:r>
      <w:r w:rsidRPr="00C21525">
        <w:rPr>
          <w:rFonts w:ascii="Garamond" w:hAnsi="Garamond" w:cs="Arial"/>
          <w:i/>
          <w:iCs/>
          <w:color w:val="000000" w:themeColor="text1"/>
          <w:sz w:val="22"/>
          <w:szCs w:val="22"/>
          <w:shd w:val="clear" w:color="auto" w:fill="FFFFFF"/>
        </w:rPr>
        <w:t>Washington University Law Review</w:t>
      </w:r>
      <w:r w:rsidRPr="00C21525">
        <w:rPr>
          <w:rFonts w:ascii="Garamond" w:hAnsi="Garamond" w:cs="Arial"/>
          <w:color w:val="000000" w:themeColor="text1"/>
          <w:sz w:val="22"/>
          <w:szCs w:val="22"/>
          <w:shd w:val="clear" w:color="auto" w:fill="FFFFFF"/>
        </w:rPr>
        <w:t xml:space="preserve"> 97:1007</w:t>
      </w:r>
    </w:p>
    <w:p w14:paraId="35D87998"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 xml:space="preserve">Utami, T., &amp; </w:t>
      </w:r>
      <w:proofErr w:type="spellStart"/>
      <w:r w:rsidRPr="00C21525">
        <w:rPr>
          <w:rFonts w:ascii="Garamond" w:hAnsi="Garamond" w:cs="Arial"/>
          <w:color w:val="000000" w:themeColor="text1"/>
          <w:sz w:val="22"/>
          <w:szCs w:val="22"/>
          <w:shd w:val="clear" w:color="auto" w:fill="FFFFFF"/>
        </w:rPr>
        <w:t>Irawan</w:t>
      </w:r>
      <w:proofErr w:type="spellEnd"/>
      <w:r w:rsidRPr="00C21525">
        <w:rPr>
          <w:rFonts w:ascii="Garamond" w:hAnsi="Garamond" w:cs="Arial"/>
          <w:color w:val="000000" w:themeColor="text1"/>
          <w:sz w:val="22"/>
          <w:szCs w:val="22"/>
          <w:shd w:val="clear" w:color="auto" w:fill="FFFFFF"/>
        </w:rPr>
        <w:t>, A. S. 2022. “Book Building vs Fixed Price Revisited: The Case of Indonesia.” </w:t>
      </w:r>
      <w:proofErr w:type="spellStart"/>
      <w:r w:rsidRPr="00C21525">
        <w:rPr>
          <w:rFonts w:ascii="Garamond" w:hAnsi="Garamond" w:cs="Arial"/>
          <w:i/>
          <w:iCs/>
          <w:color w:val="000000" w:themeColor="text1"/>
          <w:sz w:val="22"/>
          <w:szCs w:val="22"/>
          <w:shd w:val="clear" w:color="auto" w:fill="FFFFFF"/>
        </w:rPr>
        <w:t>Riset</w:t>
      </w:r>
      <w:proofErr w:type="spellEnd"/>
      <w:r w:rsidRPr="00C21525">
        <w:rPr>
          <w:rFonts w:ascii="Garamond" w:hAnsi="Garamond" w:cs="Arial"/>
          <w:i/>
          <w:iCs/>
          <w:color w:val="000000" w:themeColor="text1"/>
          <w:sz w:val="22"/>
          <w:szCs w:val="22"/>
          <w:shd w:val="clear" w:color="auto" w:fill="FFFFFF"/>
        </w:rPr>
        <w:t xml:space="preserve"> </w:t>
      </w:r>
      <w:proofErr w:type="spellStart"/>
      <w:r w:rsidRPr="00C21525">
        <w:rPr>
          <w:rFonts w:ascii="Garamond" w:hAnsi="Garamond" w:cs="Arial"/>
          <w:i/>
          <w:iCs/>
          <w:color w:val="000000" w:themeColor="text1"/>
          <w:sz w:val="22"/>
          <w:szCs w:val="22"/>
          <w:shd w:val="clear" w:color="auto" w:fill="FFFFFF"/>
        </w:rPr>
        <w:t>Akuntansi</w:t>
      </w:r>
      <w:proofErr w:type="spellEnd"/>
      <w:r w:rsidRPr="00C21525">
        <w:rPr>
          <w:rFonts w:ascii="Garamond" w:hAnsi="Garamond" w:cs="Arial"/>
          <w:i/>
          <w:iCs/>
          <w:color w:val="000000" w:themeColor="text1"/>
          <w:sz w:val="22"/>
          <w:szCs w:val="22"/>
          <w:shd w:val="clear" w:color="auto" w:fill="FFFFFF"/>
        </w:rPr>
        <w:t xml:space="preserve"> dan </w:t>
      </w:r>
      <w:proofErr w:type="spellStart"/>
      <w:r w:rsidRPr="00C21525">
        <w:rPr>
          <w:rFonts w:ascii="Garamond" w:hAnsi="Garamond" w:cs="Arial"/>
          <w:i/>
          <w:iCs/>
          <w:color w:val="000000" w:themeColor="text1"/>
          <w:sz w:val="22"/>
          <w:szCs w:val="22"/>
          <w:shd w:val="clear" w:color="auto" w:fill="FFFFFF"/>
        </w:rPr>
        <w:t>Keuangan</w:t>
      </w:r>
      <w:proofErr w:type="spellEnd"/>
      <w:r w:rsidRPr="00C21525">
        <w:rPr>
          <w:rFonts w:ascii="Garamond" w:hAnsi="Garamond" w:cs="Arial"/>
          <w:i/>
          <w:iCs/>
          <w:color w:val="000000" w:themeColor="text1"/>
          <w:sz w:val="22"/>
          <w:szCs w:val="22"/>
          <w:shd w:val="clear" w:color="auto" w:fill="FFFFFF"/>
        </w:rPr>
        <w:t xml:space="preserve"> Indonesia</w:t>
      </w:r>
      <w:r w:rsidRPr="00C21525">
        <w:rPr>
          <w:rFonts w:ascii="Garamond" w:hAnsi="Garamond" w:cs="Arial"/>
          <w:color w:val="000000" w:themeColor="text1"/>
          <w:sz w:val="22"/>
          <w:szCs w:val="22"/>
          <w:shd w:val="clear" w:color="auto" w:fill="FFFFFF"/>
        </w:rPr>
        <w:t> 7:39</w:t>
      </w:r>
    </w:p>
    <w:p w14:paraId="4CBD8F8A"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Waller, S. W. 2011. “Corporate Governance and Competition Policy.” </w:t>
      </w:r>
      <w:r w:rsidRPr="00C21525">
        <w:rPr>
          <w:rFonts w:ascii="Garamond" w:hAnsi="Garamond" w:cs="Arial"/>
          <w:i/>
          <w:iCs/>
          <w:color w:val="000000" w:themeColor="text1"/>
          <w:sz w:val="22"/>
          <w:szCs w:val="22"/>
          <w:shd w:val="clear" w:color="auto" w:fill="FFFFFF"/>
        </w:rPr>
        <w:t>George Mason Law Review</w:t>
      </w:r>
      <w:r w:rsidRPr="00C21525">
        <w:rPr>
          <w:rFonts w:ascii="Garamond" w:hAnsi="Garamond" w:cs="Arial"/>
          <w:color w:val="000000" w:themeColor="text1"/>
          <w:sz w:val="22"/>
          <w:szCs w:val="22"/>
          <w:shd w:val="clear" w:color="auto" w:fill="FFFFFF"/>
        </w:rPr>
        <w:t> 18:833</w:t>
      </w:r>
      <w:r w:rsidRPr="00C21525">
        <w:rPr>
          <w:rFonts w:ascii="Garamond" w:hAnsi="Garamond" w:cs="Arial" w:hint="eastAsia"/>
          <w:color w:val="000000" w:themeColor="text1"/>
          <w:sz w:val="22"/>
          <w:szCs w:val="22"/>
          <w:shd w:val="clear" w:color="auto" w:fill="FFFFFF"/>
          <w:rtl/>
        </w:rPr>
        <w:t>‏</w:t>
      </w:r>
    </w:p>
    <w:p w14:paraId="1F387A60" w14:textId="77777777" w:rsidR="00EC47C6" w:rsidRPr="00C21525" w:rsidRDefault="00EC47C6" w:rsidP="00AE2FC1">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Welch, I. 1989. “Seasoned Offerings, Imitation Costs, and The Underpricing of Initial Public Offerings.”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44:421</w:t>
      </w:r>
    </w:p>
    <w:p w14:paraId="70DBE389" w14:textId="668F20C1" w:rsidR="005B392E" w:rsidRDefault="00EC47C6" w:rsidP="00BA1D7F">
      <w:pPr>
        <w:pStyle w:val="ListParagraph"/>
        <w:numPr>
          <w:ilvl w:val="0"/>
          <w:numId w:val="5"/>
        </w:numPr>
        <w:spacing w:after="160" w:line="276" w:lineRule="auto"/>
        <w:ind w:left="284" w:right="-563" w:hanging="568"/>
        <w:jc w:val="both"/>
        <w:rPr>
          <w:rFonts w:ascii="Garamond" w:hAnsi="Garamond" w:cs="Arial"/>
          <w:color w:val="000000" w:themeColor="text1"/>
          <w:sz w:val="22"/>
          <w:szCs w:val="22"/>
          <w:shd w:val="clear" w:color="auto" w:fill="FFFFFF"/>
        </w:rPr>
      </w:pPr>
      <w:r w:rsidRPr="00C21525">
        <w:rPr>
          <w:rFonts w:ascii="Garamond" w:hAnsi="Garamond" w:cs="Arial"/>
          <w:color w:val="000000" w:themeColor="text1"/>
          <w:sz w:val="22"/>
          <w:szCs w:val="22"/>
          <w:shd w:val="clear" w:color="auto" w:fill="FFFFFF"/>
        </w:rPr>
        <w:t>Welch, I. 1992. “Sequential Sales, Learning, and Cascades.” </w:t>
      </w:r>
      <w:r w:rsidRPr="00C21525">
        <w:rPr>
          <w:rFonts w:ascii="Garamond" w:hAnsi="Garamond" w:cs="Arial"/>
          <w:i/>
          <w:iCs/>
          <w:color w:val="000000" w:themeColor="text1"/>
          <w:sz w:val="22"/>
          <w:szCs w:val="22"/>
          <w:shd w:val="clear" w:color="auto" w:fill="FFFFFF"/>
        </w:rPr>
        <w:t>The Journal of Finance</w:t>
      </w:r>
      <w:r w:rsidRPr="00C21525">
        <w:rPr>
          <w:rFonts w:ascii="Garamond" w:hAnsi="Garamond" w:cs="Arial"/>
          <w:color w:val="000000" w:themeColor="text1"/>
          <w:sz w:val="22"/>
          <w:szCs w:val="22"/>
          <w:shd w:val="clear" w:color="auto" w:fill="FFFFFF"/>
        </w:rPr>
        <w:t xml:space="preserve"> 47:695</w:t>
      </w:r>
      <w:bookmarkEnd w:id="1"/>
    </w:p>
    <w:p w14:paraId="3A5E94A5" w14:textId="77777777" w:rsidR="009B3D55" w:rsidRPr="00C21525" w:rsidRDefault="009B3D55" w:rsidP="00C21525">
      <w:pPr>
        <w:spacing w:after="160" w:line="276" w:lineRule="auto"/>
        <w:ind w:right="-563"/>
        <w:jc w:val="both"/>
        <w:rPr>
          <w:rFonts w:ascii="Garamond" w:hAnsi="Garamond" w:cs="Arial"/>
          <w:color w:val="000000" w:themeColor="text1"/>
          <w:sz w:val="22"/>
          <w:szCs w:val="22"/>
          <w:shd w:val="clear" w:color="auto" w:fill="FFFFFF"/>
        </w:rPr>
      </w:pPr>
    </w:p>
    <w:sectPr w:rsidR="009B3D55" w:rsidRPr="00C21525" w:rsidSect="00BF5163">
      <w:footerReference w:type="even" r:id="rId26"/>
      <w:footerReference w:type="default" r:id="rId27"/>
      <w:pgSz w:w="12240" w:h="15840"/>
      <w:pgMar w:top="1118" w:right="1440" w:bottom="12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622F" w14:textId="77777777" w:rsidR="002F45A0" w:rsidRDefault="002F45A0" w:rsidP="00F039A9">
      <w:r>
        <w:separator/>
      </w:r>
    </w:p>
  </w:endnote>
  <w:endnote w:type="continuationSeparator" w:id="0">
    <w:p w14:paraId="1F4837DA" w14:textId="77777777" w:rsidR="002F45A0" w:rsidRDefault="002F45A0" w:rsidP="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20B0604020202020204"/>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65367"/>
      <w:docPartObj>
        <w:docPartGallery w:val="Page Numbers (Bottom of Page)"/>
        <w:docPartUnique/>
      </w:docPartObj>
    </w:sdtPr>
    <w:sdtContent>
      <w:p w14:paraId="75D1B1C3" w14:textId="1EECBD01" w:rsidR="00C92A36" w:rsidRDefault="00C92A36" w:rsidP="00C373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E31E" w14:textId="77777777" w:rsidR="00C92A36"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3607B9" w:rsidRDefault="00C92A36" w:rsidP="00C37322">
        <w:pPr>
          <w:pStyle w:val="Footer"/>
          <w:framePr w:wrap="none" w:vAnchor="text" w:hAnchor="margin" w:xAlign="center" w:y="1"/>
          <w:rPr>
            <w:rStyle w:val="PageNumber"/>
            <w:sz w:val="22"/>
            <w:szCs w:val="22"/>
          </w:rPr>
        </w:pPr>
        <w:r w:rsidRPr="003E425B">
          <w:rPr>
            <w:rStyle w:val="PageNumber"/>
            <w:rFonts w:ascii="Garamond" w:hAnsi="Garamond"/>
            <w:sz w:val="22"/>
            <w:szCs w:val="22"/>
          </w:rPr>
          <w:fldChar w:fldCharType="begin"/>
        </w:r>
        <w:r w:rsidRPr="003E425B">
          <w:rPr>
            <w:rStyle w:val="PageNumber"/>
            <w:rFonts w:ascii="Garamond" w:hAnsi="Garamond"/>
            <w:sz w:val="22"/>
            <w:szCs w:val="22"/>
          </w:rPr>
          <w:instrText xml:space="preserve"> PAGE </w:instrText>
        </w:r>
        <w:r w:rsidRPr="003E425B">
          <w:rPr>
            <w:rStyle w:val="PageNumber"/>
            <w:rFonts w:ascii="Garamond" w:hAnsi="Garamond"/>
            <w:sz w:val="22"/>
            <w:szCs w:val="22"/>
          </w:rPr>
          <w:fldChar w:fldCharType="separate"/>
        </w:r>
        <w:r w:rsidRPr="003E425B">
          <w:rPr>
            <w:rStyle w:val="PageNumber"/>
            <w:rFonts w:ascii="Garamond" w:hAnsi="Garamond"/>
            <w:noProof/>
            <w:sz w:val="22"/>
            <w:szCs w:val="22"/>
          </w:rPr>
          <w:t>1</w:t>
        </w:r>
        <w:r w:rsidRPr="003E425B">
          <w:rPr>
            <w:rStyle w:val="PageNumber"/>
            <w:rFonts w:ascii="Garamond" w:hAnsi="Garamond"/>
            <w:sz w:val="22"/>
            <w:szCs w:val="22"/>
          </w:rPr>
          <w:fldChar w:fldCharType="end"/>
        </w:r>
      </w:p>
    </w:sdtContent>
  </w:sdt>
  <w:p w14:paraId="6195AB0E" w14:textId="77777777" w:rsidR="00C92A36"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362E" w14:textId="77777777" w:rsidR="002F45A0" w:rsidRDefault="002F45A0" w:rsidP="00F039A9">
      <w:r>
        <w:separator/>
      </w:r>
    </w:p>
  </w:footnote>
  <w:footnote w:type="continuationSeparator" w:id="0">
    <w:p w14:paraId="2220AA98" w14:textId="77777777" w:rsidR="002F45A0" w:rsidRDefault="002F45A0" w:rsidP="00F039A9">
      <w:r>
        <w:continuationSeparator/>
      </w:r>
    </w:p>
  </w:footnote>
  <w:footnote w:id="1">
    <w:p w14:paraId="57F704C1" w14:textId="77777777" w:rsidR="00D412DC" w:rsidRPr="00C21525" w:rsidRDefault="00D412DC" w:rsidP="00D412DC">
      <w:pPr>
        <w:pStyle w:val="FootnoteText"/>
        <w:jc w:val="both"/>
        <w:rPr>
          <w:rFonts w:ascii="Garamond" w:hAnsi="Garamond"/>
        </w:rPr>
      </w:pPr>
      <w:r w:rsidRPr="00C21525">
        <w:rPr>
          <w:rStyle w:val="FootnoteReference"/>
          <w:rFonts w:ascii="Garamond" w:hAnsi="Garamond"/>
        </w:rPr>
        <w:footnoteRef/>
      </w:r>
      <w:r w:rsidRPr="00C21525">
        <w:rPr>
          <w:rFonts w:ascii="Garamond" w:hAnsi="Garamond"/>
        </w:rPr>
        <w:t xml:space="preserve"> Understanding the IPO Share Allocation Process, Fidelity, https://www.fidelity.com/learningcenter/trading-investing/trading/ipo-share-allocation-process.</w:t>
      </w:r>
    </w:p>
  </w:footnote>
  <w:footnote w:id="2">
    <w:p w14:paraId="5D2CCF75" w14:textId="224B4A61" w:rsidR="00AE2FC1" w:rsidRPr="00C21525" w:rsidRDefault="00AE2FC1" w:rsidP="00B320FB">
      <w:pPr>
        <w:pStyle w:val="FootnoteText"/>
        <w:jc w:val="both"/>
        <w:rPr>
          <w:rFonts w:ascii="Garamond" w:hAnsi="Garamond"/>
        </w:rPr>
      </w:pPr>
      <w:r w:rsidRPr="00C21525">
        <w:rPr>
          <w:rStyle w:val="FootnoteReference"/>
          <w:rFonts w:ascii="Garamond" w:hAnsi="Garamond"/>
        </w:rPr>
        <w:footnoteRef/>
      </w:r>
      <w:r w:rsidRPr="00C21525">
        <w:rPr>
          <w:rStyle w:val="FootnoteReference"/>
          <w:rFonts w:ascii="Garamond" w:hAnsi="Garamond"/>
        </w:rPr>
        <w:t xml:space="preserve"> </w:t>
      </w:r>
      <w:r w:rsidRPr="00C21525">
        <w:rPr>
          <w:rFonts w:ascii="Garamond" w:hAnsi="Garamond"/>
        </w:rPr>
        <w:t xml:space="preserve"> Our decision to begin the sample period in 2002 is informed by several considerations. First, the last two decades, particularly the most recent one, have witnessed a significant uptick in institutional ownership of public equity (Bebchuk &amp; Hirst, 2019, p. 5). This substantial increase in ownership by a few large institutional investors confers considerable influence and market power upon these investors within capital markets, potentially fostering a trend toward cartel-forming behavior. Second, our reliance on the Audit Analytics databases, which exclusively covers U.S.-registered IPOs on major exchanges since 2000, mandates the commencement of our sample period in 2002. It is worth noting that we deliberately exclude the dot-com bubble period characterized by exceptionally high first-day returns (Ljungqvist &amp; Wilhelm, 2002) to ensure the robustness and relevance of our analysis, focusing on a period less susceptible to extraordinary market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0F"/>
    <w:multiLevelType w:val="hybridMultilevel"/>
    <w:tmpl w:val="06148466"/>
    <w:lvl w:ilvl="0" w:tplc="A7AA8E84">
      <w:start w:val="1"/>
      <w:numFmt w:val="decimal"/>
      <w:lvlText w:val="%1."/>
      <w:lvlJc w:val="left"/>
      <w:pPr>
        <w:ind w:left="720" w:hanging="360"/>
      </w:pPr>
      <w:rPr>
        <w:rFonts w:ascii="Garamond" w:hAnsi="Garamond"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9507226">
    <w:abstractNumId w:val="1"/>
  </w:num>
  <w:num w:numId="2" w16cid:durableId="580718067">
    <w:abstractNumId w:val="3"/>
  </w:num>
  <w:num w:numId="3" w16cid:durableId="227958495">
    <w:abstractNumId w:val="0"/>
  </w:num>
  <w:num w:numId="4" w16cid:durableId="622610968">
    <w:abstractNumId w:val="2"/>
  </w:num>
  <w:num w:numId="5" w16cid:durableId="1436632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TcyMbA0sTQ3NDJU0lEKTi0uzszPAykwqgUAMNoMMywAAAA="/>
  </w:docVars>
  <w:rsids>
    <w:rsidRoot w:val="00AF7D6F"/>
    <w:rsid w:val="00000309"/>
    <w:rsid w:val="00000D62"/>
    <w:rsid w:val="00000DB3"/>
    <w:rsid w:val="000011D3"/>
    <w:rsid w:val="00001E37"/>
    <w:rsid w:val="00003484"/>
    <w:rsid w:val="0000348A"/>
    <w:rsid w:val="00003CFB"/>
    <w:rsid w:val="000051A1"/>
    <w:rsid w:val="00006A31"/>
    <w:rsid w:val="00007C62"/>
    <w:rsid w:val="00010553"/>
    <w:rsid w:val="000119E8"/>
    <w:rsid w:val="0001249A"/>
    <w:rsid w:val="00012A4F"/>
    <w:rsid w:val="00012B6C"/>
    <w:rsid w:val="00013CC3"/>
    <w:rsid w:val="000146FA"/>
    <w:rsid w:val="00014833"/>
    <w:rsid w:val="00014973"/>
    <w:rsid w:val="00015F82"/>
    <w:rsid w:val="00016256"/>
    <w:rsid w:val="00020F27"/>
    <w:rsid w:val="00021E20"/>
    <w:rsid w:val="00021F02"/>
    <w:rsid w:val="000229F8"/>
    <w:rsid w:val="00023775"/>
    <w:rsid w:val="0002496C"/>
    <w:rsid w:val="000252AF"/>
    <w:rsid w:val="0002581C"/>
    <w:rsid w:val="000260FA"/>
    <w:rsid w:val="000262E9"/>
    <w:rsid w:val="00027782"/>
    <w:rsid w:val="00027983"/>
    <w:rsid w:val="00027BEA"/>
    <w:rsid w:val="000308F3"/>
    <w:rsid w:val="00031106"/>
    <w:rsid w:val="00032028"/>
    <w:rsid w:val="00032573"/>
    <w:rsid w:val="0003273D"/>
    <w:rsid w:val="00032748"/>
    <w:rsid w:val="00032855"/>
    <w:rsid w:val="0003439B"/>
    <w:rsid w:val="0003472F"/>
    <w:rsid w:val="000354FC"/>
    <w:rsid w:val="0003563A"/>
    <w:rsid w:val="00035885"/>
    <w:rsid w:val="00035B0B"/>
    <w:rsid w:val="00035D77"/>
    <w:rsid w:val="0003601B"/>
    <w:rsid w:val="000362CA"/>
    <w:rsid w:val="00036348"/>
    <w:rsid w:val="00036DB4"/>
    <w:rsid w:val="00037E89"/>
    <w:rsid w:val="00040AF7"/>
    <w:rsid w:val="00040C0E"/>
    <w:rsid w:val="00040FC2"/>
    <w:rsid w:val="00041667"/>
    <w:rsid w:val="000427DC"/>
    <w:rsid w:val="00042BD8"/>
    <w:rsid w:val="00043DB9"/>
    <w:rsid w:val="00044315"/>
    <w:rsid w:val="000446E4"/>
    <w:rsid w:val="00046149"/>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4D5"/>
    <w:rsid w:val="0006169D"/>
    <w:rsid w:val="00061B76"/>
    <w:rsid w:val="00061D62"/>
    <w:rsid w:val="0006239A"/>
    <w:rsid w:val="000645E8"/>
    <w:rsid w:val="00064EAA"/>
    <w:rsid w:val="000656FE"/>
    <w:rsid w:val="00065A07"/>
    <w:rsid w:val="000672EE"/>
    <w:rsid w:val="00067591"/>
    <w:rsid w:val="00067913"/>
    <w:rsid w:val="000712B5"/>
    <w:rsid w:val="000729CD"/>
    <w:rsid w:val="00072A62"/>
    <w:rsid w:val="0007330B"/>
    <w:rsid w:val="00074044"/>
    <w:rsid w:val="000751A7"/>
    <w:rsid w:val="000753AF"/>
    <w:rsid w:val="00076CF5"/>
    <w:rsid w:val="000770FB"/>
    <w:rsid w:val="00077213"/>
    <w:rsid w:val="000775A9"/>
    <w:rsid w:val="000778CB"/>
    <w:rsid w:val="00077E56"/>
    <w:rsid w:val="00080C02"/>
    <w:rsid w:val="0008124A"/>
    <w:rsid w:val="000826BF"/>
    <w:rsid w:val="00082875"/>
    <w:rsid w:val="00083758"/>
    <w:rsid w:val="000837E1"/>
    <w:rsid w:val="00084478"/>
    <w:rsid w:val="00085846"/>
    <w:rsid w:val="00086744"/>
    <w:rsid w:val="00087090"/>
    <w:rsid w:val="00090DFD"/>
    <w:rsid w:val="00090F1E"/>
    <w:rsid w:val="000914A0"/>
    <w:rsid w:val="000914E0"/>
    <w:rsid w:val="000918B6"/>
    <w:rsid w:val="00092AEE"/>
    <w:rsid w:val="00092CE6"/>
    <w:rsid w:val="00092E5B"/>
    <w:rsid w:val="00093B53"/>
    <w:rsid w:val="00094059"/>
    <w:rsid w:val="0009455B"/>
    <w:rsid w:val="00094884"/>
    <w:rsid w:val="00094FA6"/>
    <w:rsid w:val="000953BC"/>
    <w:rsid w:val="000953C8"/>
    <w:rsid w:val="0009696E"/>
    <w:rsid w:val="00096ACC"/>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483"/>
    <w:rsid w:val="000A592A"/>
    <w:rsid w:val="000A5A21"/>
    <w:rsid w:val="000A5F79"/>
    <w:rsid w:val="000A689A"/>
    <w:rsid w:val="000A6982"/>
    <w:rsid w:val="000A69A4"/>
    <w:rsid w:val="000A7327"/>
    <w:rsid w:val="000A7F37"/>
    <w:rsid w:val="000B014C"/>
    <w:rsid w:val="000B0B3C"/>
    <w:rsid w:val="000B10D8"/>
    <w:rsid w:val="000B24FD"/>
    <w:rsid w:val="000B276E"/>
    <w:rsid w:val="000B2BBD"/>
    <w:rsid w:val="000B311D"/>
    <w:rsid w:val="000B367A"/>
    <w:rsid w:val="000B3CD3"/>
    <w:rsid w:val="000B3F54"/>
    <w:rsid w:val="000B5145"/>
    <w:rsid w:val="000B5448"/>
    <w:rsid w:val="000B5768"/>
    <w:rsid w:val="000B62E7"/>
    <w:rsid w:val="000B7161"/>
    <w:rsid w:val="000C01A4"/>
    <w:rsid w:val="000C0315"/>
    <w:rsid w:val="000C093B"/>
    <w:rsid w:val="000C0959"/>
    <w:rsid w:val="000C0B56"/>
    <w:rsid w:val="000C0DCC"/>
    <w:rsid w:val="000C34F8"/>
    <w:rsid w:val="000C49BB"/>
    <w:rsid w:val="000C548C"/>
    <w:rsid w:val="000C57F3"/>
    <w:rsid w:val="000C75C6"/>
    <w:rsid w:val="000C7CEA"/>
    <w:rsid w:val="000C7E7E"/>
    <w:rsid w:val="000D0077"/>
    <w:rsid w:val="000D03AF"/>
    <w:rsid w:val="000D04F9"/>
    <w:rsid w:val="000D0649"/>
    <w:rsid w:val="000D0DF7"/>
    <w:rsid w:val="000D0DF8"/>
    <w:rsid w:val="000D1856"/>
    <w:rsid w:val="000D2082"/>
    <w:rsid w:val="000D216C"/>
    <w:rsid w:val="000D217A"/>
    <w:rsid w:val="000D2958"/>
    <w:rsid w:val="000D2D3C"/>
    <w:rsid w:val="000D2DD9"/>
    <w:rsid w:val="000D355D"/>
    <w:rsid w:val="000D3810"/>
    <w:rsid w:val="000D4B47"/>
    <w:rsid w:val="000D4C4E"/>
    <w:rsid w:val="000D4CF1"/>
    <w:rsid w:val="000D5475"/>
    <w:rsid w:val="000D548B"/>
    <w:rsid w:val="000D5505"/>
    <w:rsid w:val="000D6D78"/>
    <w:rsid w:val="000D79E7"/>
    <w:rsid w:val="000E0131"/>
    <w:rsid w:val="000E04E7"/>
    <w:rsid w:val="000E14F5"/>
    <w:rsid w:val="000E19E7"/>
    <w:rsid w:val="000E1F42"/>
    <w:rsid w:val="000E3E40"/>
    <w:rsid w:val="000E408F"/>
    <w:rsid w:val="000E44F8"/>
    <w:rsid w:val="000E46DC"/>
    <w:rsid w:val="000E4ED8"/>
    <w:rsid w:val="000E53C4"/>
    <w:rsid w:val="000E5E7C"/>
    <w:rsid w:val="000E5EED"/>
    <w:rsid w:val="000E763D"/>
    <w:rsid w:val="000E791C"/>
    <w:rsid w:val="000E7EE2"/>
    <w:rsid w:val="000F0C52"/>
    <w:rsid w:val="000F0D4C"/>
    <w:rsid w:val="000F212D"/>
    <w:rsid w:val="000F24C9"/>
    <w:rsid w:val="000F3A04"/>
    <w:rsid w:val="000F3AD8"/>
    <w:rsid w:val="000F40A3"/>
    <w:rsid w:val="000F4245"/>
    <w:rsid w:val="000F527E"/>
    <w:rsid w:val="000F5B65"/>
    <w:rsid w:val="000F7071"/>
    <w:rsid w:val="000F737C"/>
    <w:rsid w:val="000F7A53"/>
    <w:rsid w:val="000F7B7B"/>
    <w:rsid w:val="000F7FC5"/>
    <w:rsid w:val="0010089E"/>
    <w:rsid w:val="00100EB0"/>
    <w:rsid w:val="001012EE"/>
    <w:rsid w:val="00101C58"/>
    <w:rsid w:val="0010295F"/>
    <w:rsid w:val="00102AF9"/>
    <w:rsid w:val="00103750"/>
    <w:rsid w:val="00104644"/>
    <w:rsid w:val="00111BCD"/>
    <w:rsid w:val="001120DE"/>
    <w:rsid w:val="00112859"/>
    <w:rsid w:val="00112FBC"/>
    <w:rsid w:val="00113432"/>
    <w:rsid w:val="00113642"/>
    <w:rsid w:val="00114454"/>
    <w:rsid w:val="00114807"/>
    <w:rsid w:val="00115BDA"/>
    <w:rsid w:val="00115D08"/>
    <w:rsid w:val="00116E5A"/>
    <w:rsid w:val="0012079B"/>
    <w:rsid w:val="00120B83"/>
    <w:rsid w:val="00120F4A"/>
    <w:rsid w:val="0012136A"/>
    <w:rsid w:val="001215FB"/>
    <w:rsid w:val="001219A0"/>
    <w:rsid w:val="001221BC"/>
    <w:rsid w:val="001226A3"/>
    <w:rsid w:val="00122934"/>
    <w:rsid w:val="001239B5"/>
    <w:rsid w:val="00123D66"/>
    <w:rsid w:val="00123E12"/>
    <w:rsid w:val="001240BC"/>
    <w:rsid w:val="001247CD"/>
    <w:rsid w:val="00125C96"/>
    <w:rsid w:val="00125EDA"/>
    <w:rsid w:val="00126274"/>
    <w:rsid w:val="00126842"/>
    <w:rsid w:val="0012787F"/>
    <w:rsid w:val="00130246"/>
    <w:rsid w:val="00130651"/>
    <w:rsid w:val="00131000"/>
    <w:rsid w:val="00131131"/>
    <w:rsid w:val="00131917"/>
    <w:rsid w:val="001332B6"/>
    <w:rsid w:val="00133480"/>
    <w:rsid w:val="00134681"/>
    <w:rsid w:val="0013477E"/>
    <w:rsid w:val="001364D0"/>
    <w:rsid w:val="0013651E"/>
    <w:rsid w:val="0013675D"/>
    <w:rsid w:val="00136806"/>
    <w:rsid w:val="00136821"/>
    <w:rsid w:val="001371C2"/>
    <w:rsid w:val="00137D78"/>
    <w:rsid w:val="00141F29"/>
    <w:rsid w:val="00142479"/>
    <w:rsid w:val="00142834"/>
    <w:rsid w:val="00142CDC"/>
    <w:rsid w:val="00142F69"/>
    <w:rsid w:val="00143C29"/>
    <w:rsid w:val="001444E3"/>
    <w:rsid w:val="00144670"/>
    <w:rsid w:val="00144826"/>
    <w:rsid w:val="00144B40"/>
    <w:rsid w:val="0014524A"/>
    <w:rsid w:val="001455C0"/>
    <w:rsid w:val="00145706"/>
    <w:rsid w:val="00145B38"/>
    <w:rsid w:val="00145EA8"/>
    <w:rsid w:val="001474B4"/>
    <w:rsid w:val="00150888"/>
    <w:rsid w:val="00150A6C"/>
    <w:rsid w:val="0015115D"/>
    <w:rsid w:val="001511DC"/>
    <w:rsid w:val="00152087"/>
    <w:rsid w:val="001520FE"/>
    <w:rsid w:val="00152186"/>
    <w:rsid w:val="00152D23"/>
    <w:rsid w:val="001554DA"/>
    <w:rsid w:val="00155595"/>
    <w:rsid w:val="00155E5A"/>
    <w:rsid w:val="00160D86"/>
    <w:rsid w:val="00162E27"/>
    <w:rsid w:val="00163321"/>
    <w:rsid w:val="001635E4"/>
    <w:rsid w:val="001640BA"/>
    <w:rsid w:val="0016443B"/>
    <w:rsid w:val="00164939"/>
    <w:rsid w:val="00166751"/>
    <w:rsid w:val="001669DE"/>
    <w:rsid w:val="00166BA7"/>
    <w:rsid w:val="00166D00"/>
    <w:rsid w:val="001703AD"/>
    <w:rsid w:val="00170C2F"/>
    <w:rsid w:val="00171443"/>
    <w:rsid w:val="00171A1D"/>
    <w:rsid w:val="00172ACE"/>
    <w:rsid w:val="00172AEF"/>
    <w:rsid w:val="00172B4A"/>
    <w:rsid w:val="001733BB"/>
    <w:rsid w:val="00175F13"/>
    <w:rsid w:val="00175F97"/>
    <w:rsid w:val="00176CC6"/>
    <w:rsid w:val="00176D8E"/>
    <w:rsid w:val="00176FA9"/>
    <w:rsid w:val="00177F22"/>
    <w:rsid w:val="001833A9"/>
    <w:rsid w:val="00183FE7"/>
    <w:rsid w:val="00184F2B"/>
    <w:rsid w:val="00185F88"/>
    <w:rsid w:val="001862A2"/>
    <w:rsid w:val="0018643F"/>
    <w:rsid w:val="00187A95"/>
    <w:rsid w:val="00187D97"/>
    <w:rsid w:val="00191435"/>
    <w:rsid w:val="00193F12"/>
    <w:rsid w:val="00194ECE"/>
    <w:rsid w:val="001A0879"/>
    <w:rsid w:val="001A1B90"/>
    <w:rsid w:val="001A2926"/>
    <w:rsid w:val="001A2EFE"/>
    <w:rsid w:val="001A37F1"/>
    <w:rsid w:val="001A417D"/>
    <w:rsid w:val="001A461C"/>
    <w:rsid w:val="001A4C22"/>
    <w:rsid w:val="001A5ECD"/>
    <w:rsid w:val="001A74F2"/>
    <w:rsid w:val="001B0628"/>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4B4"/>
    <w:rsid w:val="001C42CD"/>
    <w:rsid w:val="001C4E1E"/>
    <w:rsid w:val="001C5E89"/>
    <w:rsid w:val="001C5EF2"/>
    <w:rsid w:val="001C6528"/>
    <w:rsid w:val="001C699F"/>
    <w:rsid w:val="001D03F2"/>
    <w:rsid w:val="001D0573"/>
    <w:rsid w:val="001D05E1"/>
    <w:rsid w:val="001D13C8"/>
    <w:rsid w:val="001D1A16"/>
    <w:rsid w:val="001D1D7F"/>
    <w:rsid w:val="001D26FC"/>
    <w:rsid w:val="001D2A9B"/>
    <w:rsid w:val="001D2C9F"/>
    <w:rsid w:val="001D32F9"/>
    <w:rsid w:val="001D33B7"/>
    <w:rsid w:val="001D566B"/>
    <w:rsid w:val="001D5832"/>
    <w:rsid w:val="001D666C"/>
    <w:rsid w:val="001E12E2"/>
    <w:rsid w:val="001E154A"/>
    <w:rsid w:val="001E16A8"/>
    <w:rsid w:val="001E2784"/>
    <w:rsid w:val="001E3006"/>
    <w:rsid w:val="001E366E"/>
    <w:rsid w:val="001E40B3"/>
    <w:rsid w:val="001E4177"/>
    <w:rsid w:val="001E4318"/>
    <w:rsid w:val="001E4697"/>
    <w:rsid w:val="001E58E8"/>
    <w:rsid w:val="001E59DF"/>
    <w:rsid w:val="001E5C6F"/>
    <w:rsid w:val="001E5CDC"/>
    <w:rsid w:val="001E6676"/>
    <w:rsid w:val="001F002D"/>
    <w:rsid w:val="001F098F"/>
    <w:rsid w:val="001F09DB"/>
    <w:rsid w:val="001F1432"/>
    <w:rsid w:val="001F228A"/>
    <w:rsid w:val="001F2A3E"/>
    <w:rsid w:val="001F3755"/>
    <w:rsid w:val="001F37C5"/>
    <w:rsid w:val="001F3B77"/>
    <w:rsid w:val="001F476B"/>
    <w:rsid w:val="001F4E61"/>
    <w:rsid w:val="001F5753"/>
    <w:rsid w:val="001F5959"/>
    <w:rsid w:val="001F5C1D"/>
    <w:rsid w:val="001F6773"/>
    <w:rsid w:val="001F7091"/>
    <w:rsid w:val="001F7269"/>
    <w:rsid w:val="001F7A9D"/>
    <w:rsid w:val="002005F0"/>
    <w:rsid w:val="00200832"/>
    <w:rsid w:val="0020116C"/>
    <w:rsid w:val="00201A4F"/>
    <w:rsid w:val="0020393A"/>
    <w:rsid w:val="00203DEE"/>
    <w:rsid w:val="00204D2B"/>
    <w:rsid w:val="00206831"/>
    <w:rsid w:val="00206AF5"/>
    <w:rsid w:val="002070B6"/>
    <w:rsid w:val="002072CB"/>
    <w:rsid w:val="002076B6"/>
    <w:rsid w:val="00207A70"/>
    <w:rsid w:val="00207E9C"/>
    <w:rsid w:val="0021066D"/>
    <w:rsid w:val="0021136C"/>
    <w:rsid w:val="002119A1"/>
    <w:rsid w:val="00211EB2"/>
    <w:rsid w:val="00212918"/>
    <w:rsid w:val="00212EA1"/>
    <w:rsid w:val="002134BC"/>
    <w:rsid w:val="0021371A"/>
    <w:rsid w:val="00213D21"/>
    <w:rsid w:val="0021401B"/>
    <w:rsid w:val="0021448A"/>
    <w:rsid w:val="002147E5"/>
    <w:rsid w:val="00214A95"/>
    <w:rsid w:val="00214B49"/>
    <w:rsid w:val="00214E29"/>
    <w:rsid w:val="00215099"/>
    <w:rsid w:val="00216052"/>
    <w:rsid w:val="00220112"/>
    <w:rsid w:val="0022027A"/>
    <w:rsid w:val="002211B5"/>
    <w:rsid w:val="002227A2"/>
    <w:rsid w:val="0022287E"/>
    <w:rsid w:val="0022385F"/>
    <w:rsid w:val="002238CD"/>
    <w:rsid w:val="002258AE"/>
    <w:rsid w:val="0022668C"/>
    <w:rsid w:val="002268DA"/>
    <w:rsid w:val="002268FB"/>
    <w:rsid w:val="00226F08"/>
    <w:rsid w:val="00226F90"/>
    <w:rsid w:val="002270F5"/>
    <w:rsid w:val="002278DB"/>
    <w:rsid w:val="00230510"/>
    <w:rsid w:val="002308C2"/>
    <w:rsid w:val="002313A7"/>
    <w:rsid w:val="002315C1"/>
    <w:rsid w:val="002319CB"/>
    <w:rsid w:val="00231C1D"/>
    <w:rsid w:val="002322FD"/>
    <w:rsid w:val="00232AF7"/>
    <w:rsid w:val="00232CD9"/>
    <w:rsid w:val="00233905"/>
    <w:rsid w:val="00234483"/>
    <w:rsid w:val="00234949"/>
    <w:rsid w:val="00235379"/>
    <w:rsid w:val="00235A75"/>
    <w:rsid w:val="002366B1"/>
    <w:rsid w:val="00236963"/>
    <w:rsid w:val="00236EEC"/>
    <w:rsid w:val="00237DA8"/>
    <w:rsid w:val="00240848"/>
    <w:rsid w:val="00241A4C"/>
    <w:rsid w:val="00242512"/>
    <w:rsid w:val="00242895"/>
    <w:rsid w:val="00243A70"/>
    <w:rsid w:val="00243F2F"/>
    <w:rsid w:val="00246598"/>
    <w:rsid w:val="002467BF"/>
    <w:rsid w:val="00246E09"/>
    <w:rsid w:val="00246FA2"/>
    <w:rsid w:val="002471F3"/>
    <w:rsid w:val="00250B69"/>
    <w:rsid w:val="0025257E"/>
    <w:rsid w:val="00252BE2"/>
    <w:rsid w:val="00252E1D"/>
    <w:rsid w:val="002536AD"/>
    <w:rsid w:val="00254565"/>
    <w:rsid w:val="002545E5"/>
    <w:rsid w:val="00254CE4"/>
    <w:rsid w:val="002551C1"/>
    <w:rsid w:val="002553E2"/>
    <w:rsid w:val="00255ED5"/>
    <w:rsid w:val="00256345"/>
    <w:rsid w:val="00260451"/>
    <w:rsid w:val="00261010"/>
    <w:rsid w:val="0026157C"/>
    <w:rsid w:val="00261EB4"/>
    <w:rsid w:val="0026210D"/>
    <w:rsid w:val="00262430"/>
    <w:rsid w:val="0026410C"/>
    <w:rsid w:val="002643E6"/>
    <w:rsid w:val="00264731"/>
    <w:rsid w:val="0026591A"/>
    <w:rsid w:val="00265D8D"/>
    <w:rsid w:val="002662A6"/>
    <w:rsid w:val="002668F6"/>
    <w:rsid w:val="0026695A"/>
    <w:rsid w:val="002669AE"/>
    <w:rsid w:val="002676EC"/>
    <w:rsid w:val="00270336"/>
    <w:rsid w:val="002708D5"/>
    <w:rsid w:val="00270989"/>
    <w:rsid w:val="0027130B"/>
    <w:rsid w:val="00271885"/>
    <w:rsid w:val="00272510"/>
    <w:rsid w:val="0027314E"/>
    <w:rsid w:val="00274B24"/>
    <w:rsid w:val="00274BE8"/>
    <w:rsid w:val="00274C6C"/>
    <w:rsid w:val="0027572E"/>
    <w:rsid w:val="002768CF"/>
    <w:rsid w:val="0027698D"/>
    <w:rsid w:val="002777A9"/>
    <w:rsid w:val="00277D58"/>
    <w:rsid w:val="00280056"/>
    <w:rsid w:val="00280142"/>
    <w:rsid w:val="0028088A"/>
    <w:rsid w:val="00280F46"/>
    <w:rsid w:val="0028125A"/>
    <w:rsid w:val="00281835"/>
    <w:rsid w:val="00281B87"/>
    <w:rsid w:val="00281DE8"/>
    <w:rsid w:val="00282093"/>
    <w:rsid w:val="002821E0"/>
    <w:rsid w:val="00282226"/>
    <w:rsid w:val="0028272D"/>
    <w:rsid w:val="00282A80"/>
    <w:rsid w:val="00283603"/>
    <w:rsid w:val="00283D23"/>
    <w:rsid w:val="0028408B"/>
    <w:rsid w:val="0028413A"/>
    <w:rsid w:val="0028413D"/>
    <w:rsid w:val="0028419E"/>
    <w:rsid w:val="002849DB"/>
    <w:rsid w:val="002853EB"/>
    <w:rsid w:val="00285B6B"/>
    <w:rsid w:val="00285F1C"/>
    <w:rsid w:val="0028624A"/>
    <w:rsid w:val="00286603"/>
    <w:rsid w:val="00286E0B"/>
    <w:rsid w:val="00291AEB"/>
    <w:rsid w:val="00291EC7"/>
    <w:rsid w:val="00291F53"/>
    <w:rsid w:val="00292B57"/>
    <w:rsid w:val="002945B3"/>
    <w:rsid w:val="002945E3"/>
    <w:rsid w:val="00294A1E"/>
    <w:rsid w:val="00295E37"/>
    <w:rsid w:val="0029624B"/>
    <w:rsid w:val="00296423"/>
    <w:rsid w:val="00296560"/>
    <w:rsid w:val="00296C85"/>
    <w:rsid w:val="00296FCE"/>
    <w:rsid w:val="00297F6E"/>
    <w:rsid w:val="002A05ED"/>
    <w:rsid w:val="002A067F"/>
    <w:rsid w:val="002A0B82"/>
    <w:rsid w:val="002A144F"/>
    <w:rsid w:val="002A1EDB"/>
    <w:rsid w:val="002A2D36"/>
    <w:rsid w:val="002A2DD3"/>
    <w:rsid w:val="002A2EB9"/>
    <w:rsid w:val="002A3BE2"/>
    <w:rsid w:val="002A3C61"/>
    <w:rsid w:val="002A3D5B"/>
    <w:rsid w:val="002A4118"/>
    <w:rsid w:val="002A4133"/>
    <w:rsid w:val="002A4411"/>
    <w:rsid w:val="002A46B1"/>
    <w:rsid w:val="002A525A"/>
    <w:rsid w:val="002A56DD"/>
    <w:rsid w:val="002A5CD7"/>
    <w:rsid w:val="002B024F"/>
    <w:rsid w:val="002B078C"/>
    <w:rsid w:val="002B0A00"/>
    <w:rsid w:val="002B0E35"/>
    <w:rsid w:val="002B1E28"/>
    <w:rsid w:val="002B240C"/>
    <w:rsid w:val="002B2888"/>
    <w:rsid w:val="002B2B2F"/>
    <w:rsid w:val="002B314C"/>
    <w:rsid w:val="002B5262"/>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54"/>
    <w:rsid w:val="002C4197"/>
    <w:rsid w:val="002C42E6"/>
    <w:rsid w:val="002C5790"/>
    <w:rsid w:val="002C63AC"/>
    <w:rsid w:val="002C7138"/>
    <w:rsid w:val="002D0260"/>
    <w:rsid w:val="002D098E"/>
    <w:rsid w:val="002D27BB"/>
    <w:rsid w:val="002D2A90"/>
    <w:rsid w:val="002D2E83"/>
    <w:rsid w:val="002D2F57"/>
    <w:rsid w:val="002D3A38"/>
    <w:rsid w:val="002D3DA1"/>
    <w:rsid w:val="002D46EB"/>
    <w:rsid w:val="002D49AC"/>
    <w:rsid w:val="002D57CE"/>
    <w:rsid w:val="002D5CD3"/>
    <w:rsid w:val="002E058A"/>
    <w:rsid w:val="002E3392"/>
    <w:rsid w:val="002E345C"/>
    <w:rsid w:val="002E39F7"/>
    <w:rsid w:val="002E45AB"/>
    <w:rsid w:val="002E4A74"/>
    <w:rsid w:val="002E5F94"/>
    <w:rsid w:val="002E696E"/>
    <w:rsid w:val="002E6ABA"/>
    <w:rsid w:val="002E6DB5"/>
    <w:rsid w:val="002E7567"/>
    <w:rsid w:val="002E7847"/>
    <w:rsid w:val="002E7A71"/>
    <w:rsid w:val="002E7AF8"/>
    <w:rsid w:val="002E7C93"/>
    <w:rsid w:val="002F009C"/>
    <w:rsid w:val="002F02EE"/>
    <w:rsid w:val="002F0908"/>
    <w:rsid w:val="002F13BD"/>
    <w:rsid w:val="002F1498"/>
    <w:rsid w:val="002F224E"/>
    <w:rsid w:val="002F45A0"/>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07A30"/>
    <w:rsid w:val="00310333"/>
    <w:rsid w:val="0031057A"/>
    <w:rsid w:val="00310AD4"/>
    <w:rsid w:val="00310C1E"/>
    <w:rsid w:val="003116BD"/>
    <w:rsid w:val="003116F9"/>
    <w:rsid w:val="00311B95"/>
    <w:rsid w:val="0031212F"/>
    <w:rsid w:val="003123DF"/>
    <w:rsid w:val="0031279A"/>
    <w:rsid w:val="00312F21"/>
    <w:rsid w:val="0031369D"/>
    <w:rsid w:val="00315C4C"/>
    <w:rsid w:val="00316251"/>
    <w:rsid w:val="00317BDD"/>
    <w:rsid w:val="00317D97"/>
    <w:rsid w:val="003201CA"/>
    <w:rsid w:val="003201DE"/>
    <w:rsid w:val="0032102B"/>
    <w:rsid w:val="00321A45"/>
    <w:rsid w:val="00323515"/>
    <w:rsid w:val="0032392B"/>
    <w:rsid w:val="003239B3"/>
    <w:rsid w:val="003242E9"/>
    <w:rsid w:val="003244DA"/>
    <w:rsid w:val="0032485E"/>
    <w:rsid w:val="00324864"/>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45F"/>
    <w:rsid w:val="00336657"/>
    <w:rsid w:val="0033749B"/>
    <w:rsid w:val="0034009D"/>
    <w:rsid w:val="003400B6"/>
    <w:rsid w:val="003403EB"/>
    <w:rsid w:val="003414DE"/>
    <w:rsid w:val="00341BD4"/>
    <w:rsid w:val="00341CCF"/>
    <w:rsid w:val="00342773"/>
    <w:rsid w:val="00342D34"/>
    <w:rsid w:val="00343015"/>
    <w:rsid w:val="003431D0"/>
    <w:rsid w:val="00344383"/>
    <w:rsid w:val="00344DAB"/>
    <w:rsid w:val="003453AB"/>
    <w:rsid w:val="00346826"/>
    <w:rsid w:val="00351548"/>
    <w:rsid w:val="00351D73"/>
    <w:rsid w:val="00352728"/>
    <w:rsid w:val="003527FB"/>
    <w:rsid w:val="00352C2A"/>
    <w:rsid w:val="00352F68"/>
    <w:rsid w:val="0035349D"/>
    <w:rsid w:val="00353A8C"/>
    <w:rsid w:val="00354293"/>
    <w:rsid w:val="003546C5"/>
    <w:rsid w:val="003547EC"/>
    <w:rsid w:val="00354E6B"/>
    <w:rsid w:val="00354F34"/>
    <w:rsid w:val="0035568D"/>
    <w:rsid w:val="003561DF"/>
    <w:rsid w:val="0035684E"/>
    <w:rsid w:val="00357118"/>
    <w:rsid w:val="00357162"/>
    <w:rsid w:val="00357B42"/>
    <w:rsid w:val="00357C55"/>
    <w:rsid w:val="003607B9"/>
    <w:rsid w:val="00361151"/>
    <w:rsid w:val="00361520"/>
    <w:rsid w:val="00361BF6"/>
    <w:rsid w:val="00362118"/>
    <w:rsid w:val="0036244F"/>
    <w:rsid w:val="003629DF"/>
    <w:rsid w:val="00362F9B"/>
    <w:rsid w:val="00364865"/>
    <w:rsid w:val="0036486F"/>
    <w:rsid w:val="0036574B"/>
    <w:rsid w:val="00366A3F"/>
    <w:rsid w:val="00366C97"/>
    <w:rsid w:val="00367363"/>
    <w:rsid w:val="00367837"/>
    <w:rsid w:val="003701F1"/>
    <w:rsid w:val="003705A4"/>
    <w:rsid w:val="003710CA"/>
    <w:rsid w:val="00372E1B"/>
    <w:rsid w:val="00373B90"/>
    <w:rsid w:val="00373ECD"/>
    <w:rsid w:val="003765E4"/>
    <w:rsid w:val="0037749E"/>
    <w:rsid w:val="00377619"/>
    <w:rsid w:val="003777ED"/>
    <w:rsid w:val="00377832"/>
    <w:rsid w:val="003801C2"/>
    <w:rsid w:val="003829DF"/>
    <w:rsid w:val="00382A48"/>
    <w:rsid w:val="00382AAB"/>
    <w:rsid w:val="003833DA"/>
    <w:rsid w:val="003836C7"/>
    <w:rsid w:val="00383D17"/>
    <w:rsid w:val="003844F0"/>
    <w:rsid w:val="00384614"/>
    <w:rsid w:val="0038542B"/>
    <w:rsid w:val="00385735"/>
    <w:rsid w:val="00386B98"/>
    <w:rsid w:val="00387CDF"/>
    <w:rsid w:val="0039079A"/>
    <w:rsid w:val="0039134D"/>
    <w:rsid w:val="003919C9"/>
    <w:rsid w:val="00391B54"/>
    <w:rsid w:val="0039252D"/>
    <w:rsid w:val="00392C75"/>
    <w:rsid w:val="00392DCF"/>
    <w:rsid w:val="00393EF6"/>
    <w:rsid w:val="00394244"/>
    <w:rsid w:val="00394C08"/>
    <w:rsid w:val="003954C9"/>
    <w:rsid w:val="00395AC4"/>
    <w:rsid w:val="00395C92"/>
    <w:rsid w:val="00396E9B"/>
    <w:rsid w:val="00397224"/>
    <w:rsid w:val="00397331"/>
    <w:rsid w:val="0039753A"/>
    <w:rsid w:val="00397557"/>
    <w:rsid w:val="003978F2"/>
    <w:rsid w:val="003A08B3"/>
    <w:rsid w:val="003A1621"/>
    <w:rsid w:val="003A24EE"/>
    <w:rsid w:val="003A2A91"/>
    <w:rsid w:val="003A2EBC"/>
    <w:rsid w:val="003A3934"/>
    <w:rsid w:val="003A42CB"/>
    <w:rsid w:val="003A45F2"/>
    <w:rsid w:val="003A4940"/>
    <w:rsid w:val="003A4946"/>
    <w:rsid w:val="003A4ED1"/>
    <w:rsid w:val="003A5136"/>
    <w:rsid w:val="003A6B56"/>
    <w:rsid w:val="003A6DCB"/>
    <w:rsid w:val="003A7E51"/>
    <w:rsid w:val="003B025F"/>
    <w:rsid w:val="003B0301"/>
    <w:rsid w:val="003B04CC"/>
    <w:rsid w:val="003B06B7"/>
    <w:rsid w:val="003B129C"/>
    <w:rsid w:val="003B172B"/>
    <w:rsid w:val="003B1F56"/>
    <w:rsid w:val="003B3045"/>
    <w:rsid w:val="003B3F9E"/>
    <w:rsid w:val="003B47F8"/>
    <w:rsid w:val="003B680E"/>
    <w:rsid w:val="003B6A07"/>
    <w:rsid w:val="003B76BB"/>
    <w:rsid w:val="003B7A0A"/>
    <w:rsid w:val="003C06F5"/>
    <w:rsid w:val="003C0778"/>
    <w:rsid w:val="003C10D2"/>
    <w:rsid w:val="003C1419"/>
    <w:rsid w:val="003C1CDB"/>
    <w:rsid w:val="003C30A1"/>
    <w:rsid w:val="003C4773"/>
    <w:rsid w:val="003C4A31"/>
    <w:rsid w:val="003C586E"/>
    <w:rsid w:val="003C630F"/>
    <w:rsid w:val="003C63EF"/>
    <w:rsid w:val="003D049F"/>
    <w:rsid w:val="003D10A0"/>
    <w:rsid w:val="003D2164"/>
    <w:rsid w:val="003D2642"/>
    <w:rsid w:val="003D3759"/>
    <w:rsid w:val="003D3A1C"/>
    <w:rsid w:val="003D45F7"/>
    <w:rsid w:val="003D76CA"/>
    <w:rsid w:val="003D7E6B"/>
    <w:rsid w:val="003E03CC"/>
    <w:rsid w:val="003E0E48"/>
    <w:rsid w:val="003E1E63"/>
    <w:rsid w:val="003E2488"/>
    <w:rsid w:val="003E3189"/>
    <w:rsid w:val="003E405F"/>
    <w:rsid w:val="003E425B"/>
    <w:rsid w:val="003E4CE7"/>
    <w:rsid w:val="003E5397"/>
    <w:rsid w:val="003E55B1"/>
    <w:rsid w:val="003E5BEF"/>
    <w:rsid w:val="003E60C6"/>
    <w:rsid w:val="003E61AF"/>
    <w:rsid w:val="003E61D4"/>
    <w:rsid w:val="003E6927"/>
    <w:rsid w:val="003E6EFC"/>
    <w:rsid w:val="003F08B5"/>
    <w:rsid w:val="003F0B93"/>
    <w:rsid w:val="003F13EF"/>
    <w:rsid w:val="003F1FD1"/>
    <w:rsid w:val="003F2752"/>
    <w:rsid w:val="003F282F"/>
    <w:rsid w:val="003F38C0"/>
    <w:rsid w:val="003F3DF5"/>
    <w:rsid w:val="003F4458"/>
    <w:rsid w:val="003F46FD"/>
    <w:rsid w:val="003F717A"/>
    <w:rsid w:val="003F724F"/>
    <w:rsid w:val="003F7A6F"/>
    <w:rsid w:val="0040018B"/>
    <w:rsid w:val="004001D6"/>
    <w:rsid w:val="004005B6"/>
    <w:rsid w:val="00400A6C"/>
    <w:rsid w:val="00400DDC"/>
    <w:rsid w:val="00400FC8"/>
    <w:rsid w:val="0040292E"/>
    <w:rsid w:val="004045F1"/>
    <w:rsid w:val="00404FAC"/>
    <w:rsid w:val="0040595D"/>
    <w:rsid w:val="00405BEE"/>
    <w:rsid w:val="0040682C"/>
    <w:rsid w:val="00406C24"/>
    <w:rsid w:val="00406F78"/>
    <w:rsid w:val="0040791F"/>
    <w:rsid w:val="00407A0A"/>
    <w:rsid w:val="00411097"/>
    <w:rsid w:val="004110FB"/>
    <w:rsid w:val="00411424"/>
    <w:rsid w:val="00411624"/>
    <w:rsid w:val="00411C7F"/>
    <w:rsid w:val="0041271E"/>
    <w:rsid w:val="00412835"/>
    <w:rsid w:val="00412BA8"/>
    <w:rsid w:val="00413140"/>
    <w:rsid w:val="00415793"/>
    <w:rsid w:val="00415F3D"/>
    <w:rsid w:val="00416B00"/>
    <w:rsid w:val="004174E5"/>
    <w:rsid w:val="0042008B"/>
    <w:rsid w:val="00420906"/>
    <w:rsid w:val="00420E95"/>
    <w:rsid w:val="00421382"/>
    <w:rsid w:val="00421683"/>
    <w:rsid w:val="00422F86"/>
    <w:rsid w:val="00423226"/>
    <w:rsid w:val="0042446E"/>
    <w:rsid w:val="00424B7C"/>
    <w:rsid w:val="00425007"/>
    <w:rsid w:val="00426635"/>
    <w:rsid w:val="00426A39"/>
    <w:rsid w:val="00426B66"/>
    <w:rsid w:val="00427C96"/>
    <w:rsid w:val="00430104"/>
    <w:rsid w:val="004312E0"/>
    <w:rsid w:val="0043133F"/>
    <w:rsid w:val="00431390"/>
    <w:rsid w:val="00431908"/>
    <w:rsid w:val="004319EB"/>
    <w:rsid w:val="00431C32"/>
    <w:rsid w:val="00431CC2"/>
    <w:rsid w:val="00431EF2"/>
    <w:rsid w:val="00433E10"/>
    <w:rsid w:val="0043497E"/>
    <w:rsid w:val="00434A3B"/>
    <w:rsid w:val="004366CD"/>
    <w:rsid w:val="00436D46"/>
    <w:rsid w:val="004400C1"/>
    <w:rsid w:val="0044075F"/>
    <w:rsid w:val="00440C0C"/>
    <w:rsid w:val="00441217"/>
    <w:rsid w:val="0044144A"/>
    <w:rsid w:val="00442E9E"/>
    <w:rsid w:val="00442F91"/>
    <w:rsid w:val="004435B1"/>
    <w:rsid w:val="00443DA7"/>
    <w:rsid w:val="004441F1"/>
    <w:rsid w:val="00444266"/>
    <w:rsid w:val="00444B10"/>
    <w:rsid w:val="0044536A"/>
    <w:rsid w:val="00445469"/>
    <w:rsid w:val="00446BE3"/>
    <w:rsid w:val="00446E37"/>
    <w:rsid w:val="00447FE4"/>
    <w:rsid w:val="004500B3"/>
    <w:rsid w:val="004504EE"/>
    <w:rsid w:val="00450683"/>
    <w:rsid w:val="00451CC8"/>
    <w:rsid w:val="00453559"/>
    <w:rsid w:val="00454C15"/>
    <w:rsid w:val="00455197"/>
    <w:rsid w:val="00455E21"/>
    <w:rsid w:val="004561F8"/>
    <w:rsid w:val="00457210"/>
    <w:rsid w:val="00460695"/>
    <w:rsid w:val="00460EA8"/>
    <w:rsid w:val="004618A4"/>
    <w:rsid w:val="00461FBB"/>
    <w:rsid w:val="0046216F"/>
    <w:rsid w:val="0046253A"/>
    <w:rsid w:val="00462927"/>
    <w:rsid w:val="00462DA5"/>
    <w:rsid w:val="00462E44"/>
    <w:rsid w:val="00463100"/>
    <w:rsid w:val="00463C10"/>
    <w:rsid w:val="00463C2C"/>
    <w:rsid w:val="0046429C"/>
    <w:rsid w:val="0046452B"/>
    <w:rsid w:val="00464655"/>
    <w:rsid w:val="00466684"/>
    <w:rsid w:val="00466825"/>
    <w:rsid w:val="00466B6A"/>
    <w:rsid w:val="00467452"/>
    <w:rsid w:val="00467552"/>
    <w:rsid w:val="004677E7"/>
    <w:rsid w:val="00467BD5"/>
    <w:rsid w:val="00467BD9"/>
    <w:rsid w:val="004701F2"/>
    <w:rsid w:val="00470324"/>
    <w:rsid w:val="00471E33"/>
    <w:rsid w:val="00472065"/>
    <w:rsid w:val="004720FA"/>
    <w:rsid w:val="0047217F"/>
    <w:rsid w:val="0047228D"/>
    <w:rsid w:val="00472698"/>
    <w:rsid w:val="004727DD"/>
    <w:rsid w:val="0047280F"/>
    <w:rsid w:val="00473023"/>
    <w:rsid w:val="00474A7C"/>
    <w:rsid w:val="004750EC"/>
    <w:rsid w:val="004752BE"/>
    <w:rsid w:val="00475F81"/>
    <w:rsid w:val="004765BF"/>
    <w:rsid w:val="00477607"/>
    <w:rsid w:val="004802DD"/>
    <w:rsid w:val="00480ACC"/>
    <w:rsid w:val="004810B2"/>
    <w:rsid w:val="00481365"/>
    <w:rsid w:val="004819C5"/>
    <w:rsid w:val="004826B8"/>
    <w:rsid w:val="004837D0"/>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A51"/>
    <w:rsid w:val="004920D2"/>
    <w:rsid w:val="0049312E"/>
    <w:rsid w:val="004935F3"/>
    <w:rsid w:val="00494219"/>
    <w:rsid w:val="00494AE1"/>
    <w:rsid w:val="00494C62"/>
    <w:rsid w:val="00495E54"/>
    <w:rsid w:val="00495E76"/>
    <w:rsid w:val="00495FCC"/>
    <w:rsid w:val="00496DC3"/>
    <w:rsid w:val="00497D16"/>
    <w:rsid w:val="004A0D25"/>
    <w:rsid w:val="004A0E80"/>
    <w:rsid w:val="004A1117"/>
    <w:rsid w:val="004A1286"/>
    <w:rsid w:val="004A29A5"/>
    <w:rsid w:val="004A4060"/>
    <w:rsid w:val="004A583A"/>
    <w:rsid w:val="004A599B"/>
    <w:rsid w:val="004A6BDA"/>
    <w:rsid w:val="004A7BC0"/>
    <w:rsid w:val="004B0262"/>
    <w:rsid w:val="004B06EE"/>
    <w:rsid w:val="004B15FD"/>
    <w:rsid w:val="004B1C8E"/>
    <w:rsid w:val="004B2AE6"/>
    <w:rsid w:val="004B457E"/>
    <w:rsid w:val="004B47C8"/>
    <w:rsid w:val="004B5004"/>
    <w:rsid w:val="004B5A2E"/>
    <w:rsid w:val="004B7302"/>
    <w:rsid w:val="004B795A"/>
    <w:rsid w:val="004C0641"/>
    <w:rsid w:val="004C09B1"/>
    <w:rsid w:val="004C0C05"/>
    <w:rsid w:val="004C0D05"/>
    <w:rsid w:val="004C141E"/>
    <w:rsid w:val="004C2DFB"/>
    <w:rsid w:val="004C355C"/>
    <w:rsid w:val="004C3617"/>
    <w:rsid w:val="004C3FEC"/>
    <w:rsid w:val="004C5287"/>
    <w:rsid w:val="004C7194"/>
    <w:rsid w:val="004C7215"/>
    <w:rsid w:val="004C78C5"/>
    <w:rsid w:val="004C7A15"/>
    <w:rsid w:val="004C7B6E"/>
    <w:rsid w:val="004C7BAF"/>
    <w:rsid w:val="004C7F0E"/>
    <w:rsid w:val="004D0324"/>
    <w:rsid w:val="004D0B59"/>
    <w:rsid w:val="004D0DE1"/>
    <w:rsid w:val="004D10A2"/>
    <w:rsid w:val="004D20BB"/>
    <w:rsid w:val="004D2130"/>
    <w:rsid w:val="004D26FF"/>
    <w:rsid w:val="004D2DC1"/>
    <w:rsid w:val="004D308D"/>
    <w:rsid w:val="004D3D5A"/>
    <w:rsid w:val="004D3F7A"/>
    <w:rsid w:val="004D422C"/>
    <w:rsid w:val="004D4B44"/>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390B"/>
    <w:rsid w:val="004E3B78"/>
    <w:rsid w:val="004E4266"/>
    <w:rsid w:val="004E4C7E"/>
    <w:rsid w:val="004E57E4"/>
    <w:rsid w:val="004E5DF9"/>
    <w:rsid w:val="004F0093"/>
    <w:rsid w:val="004F015B"/>
    <w:rsid w:val="004F0172"/>
    <w:rsid w:val="004F0C4A"/>
    <w:rsid w:val="004F1D52"/>
    <w:rsid w:val="004F233C"/>
    <w:rsid w:val="004F27CA"/>
    <w:rsid w:val="004F286F"/>
    <w:rsid w:val="004F29B5"/>
    <w:rsid w:val="004F2E26"/>
    <w:rsid w:val="004F4306"/>
    <w:rsid w:val="004F6290"/>
    <w:rsid w:val="004F6400"/>
    <w:rsid w:val="004F6EF4"/>
    <w:rsid w:val="004F7B89"/>
    <w:rsid w:val="00500D71"/>
    <w:rsid w:val="0050189E"/>
    <w:rsid w:val="005028C0"/>
    <w:rsid w:val="00503D44"/>
    <w:rsid w:val="0050404F"/>
    <w:rsid w:val="00504BA9"/>
    <w:rsid w:val="00505615"/>
    <w:rsid w:val="005058D5"/>
    <w:rsid w:val="00505B10"/>
    <w:rsid w:val="00505E87"/>
    <w:rsid w:val="00505FBF"/>
    <w:rsid w:val="00506431"/>
    <w:rsid w:val="005068D9"/>
    <w:rsid w:val="00506F92"/>
    <w:rsid w:val="00506FE3"/>
    <w:rsid w:val="005072D3"/>
    <w:rsid w:val="005102E4"/>
    <w:rsid w:val="005112E2"/>
    <w:rsid w:val="005119F4"/>
    <w:rsid w:val="00511B41"/>
    <w:rsid w:val="00512086"/>
    <w:rsid w:val="00512F53"/>
    <w:rsid w:val="0051338D"/>
    <w:rsid w:val="00514367"/>
    <w:rsid w:val="0051493B"/>
    <w:rsid w:val="00514B08"/>
    <w:rsid w:val="0051511B"/>
    <w:rsid w:val="00515934"/>
    <w:rsid w:val="005159C1"/>
    <w:rsid w:val="00515ADD"/>
    <w:rsid w:val="0051617B"/>
    <w:rsid w:val="005177BC"/>
    <w:rsid w:val="00520AB2"/>
    <w:rsid w:val="00520D3D"/>
    <w:rsid w:val="005212B7"/>
    <w:rsid w:val="00522D09"/>
    <w:rsid w:val="00524D0B"/>
    <w:rsid w:val="00524FF6"/>
    <w:rsid w:val="00525A37"/>
    <w:rsid w:val="00525DA4"/>
    <w:rsid w:val="005260EB"/>
    <w:rsid w:val="00526363"/>
    <w:rsid w:val="00527A20"/>
    <w:rsid w:val="0053023F"/>
    <w:rsid w:val="00530E53"/>
    <w:rsid w:val="0053292D"/>
    <w:rsid w:val="005329B8"/>
    <w:rsid w:val="00532C1A"/>
    <w:rsid w:val="0053313F"/>
    <w:rsid w:val="0053319F"/>
    <w:rsid w:val="00533766"/>
    <w:rsid w:val="00533A7D"/>
    <w:rsid w:val="00534A6E"/>
    <w:rsid w:val="00535A62"/>
    <w:rsid w:val="00536117"/>
    <w:rsid w:val="00536703"/>
    <w:rsid w:val="005372D8"/>
    <w:rsid w:val="00537905"/>
    <w:rsid w:val="005379F4"/>
    <w:rsid w:val="005405AF"/>
    <w:rsid w:val="00540C70"/>
    <w:rsid w:val="00540E14"/>
    <w:rsid w:val="0054243A"/>
    <w:rsid w:val="005435E3"/>
    <w:rsid w:val="00543707"/>
    <w:rsid w:val="00543935"/>
    <w:rsid w:val="00543B32"/>
    <w:rsid w:val="00544ACB"/>
    <w:rsid w:val="00545BA1"/>
    <w:rsid w:val="00545CC0"/>
    <w:rsid w:val="005475A3"/>
    <w:rsid w:val="00547A35"/>
    <w:rsid w:val="00550FA1"/>
    <w:rsid w:val="00551D09"/>
    <w:rsid w:val="005528EE"/>
    <w:rsid w:val="00552B8B"/>
    <w:rsid w:val="00553E3C"/>
    <w:rsid w:val="005540D6"/>
    <w:rsid w:val="005542EE"/>
    <w:rsid w:val="005545A4"/>
    <w:rsid w:val="00554D21"/>
    <w:rsid w:val="0055534E"/>
    <w:rsid w:val="0055574D"/>
    <w:rsid w:val="00555C6B"/>
    <w:rsid w:val="0055634B"/>
    <w:rsid w:val="005565F5"/>
    <w:rsid w:val="00557F6C"/>
    <w:rsid w:val="005609E5"/>
    <w:rsid w:val="005615A4"/>
    <w:rsid w:val="0056210A"/>
    <w:rsid w:val="00562482"/>
    <w:rsid w:val="0056264C"/>
    <w:rsid w:val="00562A19"/>
    <w:rsid w:val="0056346F"/>
    <w:rsid w:val="00563D22"/>
    <w:rsid w:val="00563DF3"/>
    <w:rsid w:val="00565549"/>
    <w:rsid w:val="00566211"/>
    <w:rsid w:val="00566550"/>
    <w:rsid w:val="00567598"/>
    <w:rsid w:val="00567796"/>
    <w:rsid w:val="00570CA4"/>
    <w:rsid w:val="00571082"/>
    <w:rsid w:val="00571548"/>
    <w:rsid w:val="00571E35"/>
    <w:rsid w:val="005721DE"/>
    <w:rsid w:val="00572EE1"/>
    <w:rsid w:val="0057346E"/>
    <w:rsid w:val="00573B3C"/>
    <w:rsid w:val="00573C08"/>
    <w:rsid w:val="005745CE"/>
    <w:rsid w:val="005755A0"/>
    <w:rsid w:val="00576519"/>
    <w:rsid w:val="0057722E"/>
    <w:rsid w:val="00577CEF"/>
    <w:rsid w:val="0058142E"/>
    <w:rsid w:val="005818C7"/>
    <w:rsid w:val="00581C40"/>
    <w:rsid w:val="005828E4"/>
    <w:rsid w:val="00582B58"/>
    <w:rsid w:val="00582CB5"/>
    <w:rsid w:val="00582D33"/>
    <w:rsid w:val="00582DEF"/>
    <w:rsid w:val="005830F5"/>
    <w:rsid w:val="005834C0"/>
    <w:rsid w:val="005834E1"/>
    <w:rsid w:val="005852DA"/>
    <w:rsid w:val="005855BF"/>
    <w:rsid w:val="00585D16"/>
    <w:rsid w:val="00585FC8"/>
    <w:rsid w:val="0058782E"/>
    <w:rsid w:val="00587D70"/>
    <w:rsid w:val="00590EFF"/>
    <w:rsid w:val="0059174C"/>
    <w:rsid w:val="00591799"/>
    <w:rsid w:val="00592715"/>
    <w:rsid w:val="00593564"/>
    <w:rsid w:val="005938C8"/>
    <w:rsid w:val="00593FC1"/>
    <w:rsid w:val="00594107"/>
    <w:rsid w:val="00594108"/>
    <w:rsid w:val="005959EE"/>
    <w:rsid w:val="005961F7"/>
    <w:rsid w:val="00596780"/>
    <w:rsid w:val="00596ECB"/>
    <w:rsid w:val="005A06CE"/>
    <w:rsid w:val="005A1B73"/>
    <w:rsid w:val="005A1DE9"/>
    <w:rsid w:val="005A223F"/>
    <w:rsid w:val="005A27E8"/>
    <w:rsid w:val="005A2CFD"/>
    <w:rsid w:val="005A2D8E"/>
    <w:rsid w:val="005A3195"/>
    <w:rsid w:val="005A34D6"/>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A24"/>
    <w:rsid w:val="005B3423"/>
    <w:rsid w:val="005B392E"/>
    <w:rsid w:val="005B39BF"/>
    <w:rsid w:val="005B4540"/>
    <w:rsid w:val="005B4F4F"/>
    <w:rsid w:val="005B50C2"/>
    <w:rsid w:val="005B56F1"/>
    <w:rsid w:val="005B5769"/>
    <w:rsid w:val="005B5B1F"/>
    <w:rsid w:val="005B5EDD"/>
    <w:rsid w:val="005B6422"/>
    <w:rsid w:val="005B6551"/>
    <w:rsid w:val="005B6F08"/>
    <w:rsid w:val="005C0137"/>
    <w:rsid w:val="005C03C4"/>
    <w:rsid w:val="005C03EF"/>
    <w:rsid w:val="005C075E"/>
    <w:rsid w:val="005C07EB"/>
    <w:rsid w:val="005C14B7"/>
    <w:rsid w:val="005C1873"/>
    <w:rsid w:val="005C18EE"/>
    <w:rsid w:val="005C299A"/>
    <w:rsid w:val="005C2B83"/>
    <w:rsid w:val="005C2EF5"/>
    <w:rsid w:val="005C3E2D"/>
    <w:rsid w:val="005C41B2"/>
    <w:rsid w:val="005C4992"/>
    <w:rsid w:val="005C4C3A"/>
    <w:rsid w:val="005C73D9"/>
    <w:rsid w:val="005C7726"/>
    <w:rsid w:val="005C785F"/>
    <w:rsid w:val="005C7B67"/>
    <w:rsid w:val="005C7ED4"/>
    <w:rsid w:val="005C7F67"/>
    <w:rsid w:val="005D02E0"/>
    <w:rsid w:val="005D13CB"/>
    <w:rsid w:val="005D14AD"/>
    <w:rsid w:val="005D15EC"/>
    <w:rsid w:val="005D16D2"/>
    <w:rsid w:val="005D22AC"/>
    <w:rsid w:val="005D25FF"/>
    <w:rsid w:val="005D262A"/>
    <w:rsid w:val="005D39A3"/>
    <w:rsid w:val="005D42CD"/>
    <w:rsid w:val="005D4CEE"/>
    <w:rsid w:val="005D518E"/>
    <w:rsid w:val="005D63CE"/>
    <w:rsid w:val="005D722D"/>
    <w:rsid w:val="005D7305"/>
    <w:rsid w:val="005D7369"/>
    <w:rsid w:val="005D75AB"/>
    <w:rsid w:val="005E0A15"/>
    <w:rsid w:val="005E0DF8"/>
    <w:rsid w:val="005E1982"/>
    <w:rsid w:val="005E247A"/>
    <w:rsid w:val="005E2A3F"/>
    <w:rsid w:val="005E4251"/>
    <w:rsid w:val="005E4C4F"/>
    <w:rsid w:val="005E4F94"/>
    <w:rsid w:val="005E531D"/>
    <w:rsid w:val="005E588C"/>
    <w:rsid w:val="005E58C7"/>
    <w:rsid w:val="005E6C87"/>
    <w:rsid w:val="005E6DF4"/>
    <w:rsid w:val="005E7CF5"/>
    <w:rsid w:val="005F03ED"/>
    <w:rsid w:val="005F0F15"/>
    <w:rsid w:val="005F1327"/>
    <w:rsid w:val="005F23B5"/>
    <w:rsid w:val="005F2512"/>
    <w:rsid w:val="005F2FCE"/>
    <w:rsid w:val="005F327E"/>
    <w:rsid w:val="005F4A5A"/>
    <w:rsid w:val="005F62BD"/>
    <w:rsid w:val="005F6F45"/>
    <w:rsid w:val="005F74BC"/>
    <w:rsid w:val="005F74C2"/>
    <w:rsid w:val="005F7535"/>
    <w:rsid w:val="005F7870"/>
    <w:rsid w:val="005F7BD1"/>
    <w:rsid w:val="00600BA5"/>
    <w:rsid w:val="00600E7B"/>
    <w:rsid w:val="00602A95"/>
    <w:rsid w:val="00603120"/>
    <w:rsid w:val="00604847"/>
    <w:rsid w:val="00605411"/>
    <w:rsid w:val="00607A2E"/>
    <w:rsid w:val="006101E5"/>
    <w:rsid w:val="006108B0"/>
    <w:rsid w:val="00611552"/>
    <w:rsid w:val="00611C54"/>
    <w:rsid w:val="00611CE7"/>
    <w:rsid w:val="00613744"/>
    <w:rsid w:val="00613E20"/>
    <w:rsid w:val="006148DA"/>
    <w:rsid w:val="0061490E"/>
    <w:rsid w:val="00615A29"/>
    <w:rsid w:val="00615B63"/>
    <w:rsid w:val="00615BBD"/>
    <w:rsid w:val="006170EC"/>
    <w:rsid w:val="00617C8C"/>
    <w:rsid w:val="00617DDF"/>
    <w:rsid w:val="00620512"/>
    <w:rsid w:val="0062178A"/>
    <w:rsid w:val="00621976"/>
    <w:rsid w:val="00622155"/>
    <w:rsid w:val="0062218E"/>
    <w:rsid w:val="0062368D"/>
    <w:rsid w:val="00623A64"/>
    <w:rsid w:val="00623B2E"/>
    <w:rsid w:val="006242BB"/>
    <w:rsid w:val="00624D74"/>
    <w:rsid w:val="00625393"/>
    <w:rsid w:val="00626771"/>
    <w:rsid w:val="00626E16"/>
    <w:rsid w:val="0062776E"/>
    <w:rsid w:val="0063050D"/>
    <w:rsid w:val="00630A7F"/>
    <w:rsid w:val="00630B86"/>
    <w:rsid w:val="006313CF"/>
    <w:rsid w:val="00632B36"/>
    <w:rsid w:val="00632F6D"/>
    <w:rsid w:val="00632F99"/>
    <w:rsid w:val="006334E4"/>
    <w:rsid w:val="006335FF"/>
    <w:rsid w:val="00633BC1"/>
    <w:rsid w:val="006347EB"/>
    <w:rsid w:val="006351D3"/>
    <w:rsid w:val="0063618B"/>
    <w:rsid w:val="006361A4"/>
    <w:rsid w:val="00636B2A"/>
    <w:rsid w:val="00637655"/>
    <w:rsid w:val="00637F50"/>
    <w:rsid w:val="00637F58"/>
    <w:rsid w:val="0064065A"/>
    <w:rsid w:val="00640A3C"/>
    <w:rsid w:val="00641B60"/>
    <w:rsid w:val="0064248E"/>
    <w:rsid w:val="00642534"/>
    <w:rsid w:val="00642607"/>
    <w:rsid w:val="006434AB"/>
    <w:rsid w:val="00643A7D"/>
    <w:rsid w:val="006447A9"/>
    <w:rsid w:val="00644AB0"/>
    <w:rsid w:val="0064613C"/>
    <w:rsid w:val="00646BE2"/>
    <w:rsid w:val="00646C00"/>
    <w:rsid w:val="0064730D"/>
    <w:rsid w:val="006476FD"/>
    <w:rsid w:val="00647885"/>
    <w:rsid w:val="0065120F"/>
    <w:rsid w:val="00652410"/>
    <w:rsid w:val="006525E6"/>
    <w:rsid w:val="006531CA"/>
    <w:rsid w:val="006544CB"/>
    <w:rsid w:val="00654643"/>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449B"/>
    <w:rsid w:val="00664827"/>
    <w:rsid w:val="006651A6"/>
    <w:rsid w:val="0066524B"/>
    <w:rsid w:val="00665371"/>
    <w:rsid w:val="00665961"/>
    <w:rsid w:val="00666EC1"/>
    <w:rsid w:val="00667B94"/>
    <w:rsid w:val="00670304"/>
    <w:rsid w:val="006712B8"/>
    <w:rsid w:val="0067151B"/>
    <w:rsid w:val="00671A2C"/>
    <w:rsid w:val="006721A7"/>
    <w:rsid w:val="0067229D"/>
    <w:rsid w:val="0067258A"/>
    <w:rsid w:val="00672AB7"/>
    <w:rsid w:val="0067303E"/>
    <w:rsid w:val="006730E5"/>
    <w:rsid w:val="0067408C"/>
    <w:rsid w:val="006744FA"/>
    <w:rsid w:val="00675398"/>
    <w:rsid w:val="00675444"/>
    <w:rsid w:val="0067666B"/>
    <w:rsid w:val="00676894"/>
    <w:rsid w:val="0068116A"/>
    <w:rsid w:val="00682087"/>
    <w:rsid w:val="006826F8"/>
    <w:rsid w:val="006830B1"/>
    <w:rsid w:val="00683486"/>
    <w:rsid w:val="006835D9"/>
    <w:rsid w:val="00683D04"/>
    <w:rsid w:val="006840EE"/>
    <w:rsid w:val="00684778"/>
    <w:rsid w:val="00686D4D"/>
    <w:rsid w:val="00686FB3"/>
    <w:rsid w:val="00687311"/>
    <w:rsid w:val="00687E37"/>
    <w:rsid w:val="006905D2"/>
    <w:rsid w:val="00690B91"/>
    <w:rsid w:val="00690DF5"/>
    <w:rsid w:val="00690EF6"/>
    <w:rsid w:val="00690FC8"/>
    <w:rsid w:val="006911B8"/>
    <w:rsid w:val="006911E4"/>
    <w:rsid w:val="00692134"/>
    <w:rsid w:val="00692A38"/>
    <w:rsid w:val="00693DA5"/>
    <w:rsid w:val="00694BBD"/>
    <w:rsid w:val="0069580C"/>
    <w:rsid w:val="00695A01"/>
    <w:rsid w:val="00695A27"/>
    <w:rsid w:val="00695F5F"/>
    <w:rsid w:val="00696241"/>
    <w:rsid w:val="00697E1F"/>
    <w:rsid w:val="006A02DB"/>
    <w:rsid w:val="006A04CE"/>
    <w:rsid w:val="006A0FCF"/>
    <w:rsid w:val="006A14C6"/>
    <w:rsid w:val="006A181B"/>
    <w:rsid w:val="006A29CE"/>
    <w:rsid w:val="006A30D1"/>
    <w:rsid w:val="006A30D8"/>
    <w:rsid w:val="006A31B5"/>
    <w:rsid w:val="006A39FC"/>
    <w:rsid w:val="006A3A24"/>
    <w:rsid w:val="006A3EE4"/>
    <w:rsid w:val="006A4258"/>
    <w:rsid w:val="006A54AE"/>
    <w:rsid w:val="006A5AF9"/>
    <w:rsid w:val="006A5B83"/>
    <w:rsid w:val="006A66A5"/>
    <w:rsid w:val="006A66B2"/>
    <w:rsid w:val="006A6E5D"/>
    <w:rsid w:val="006A6F9E"/>
    <w:rsid w:val="006A7025"/>
    <w:rsid w:val="006A77F3"/>
    <w:rsid w:val="006A7A28"/>
    <w:rsid w:val="006A7C57"/>
    <w:rsid w:val="006B0481"/>
    <w:rsid w:val="006B1679"/>
    <w:rsid w:val="006B168D"/>
    <w:rsid w:val="006B2174"/>
    <w:rsid w:val="006B261E"/>
    <w:rsid w:val="006B2974"/>
    <w:rsid w:val="006B442D"/>
    <w:rsid w:val="006B443D"/>
    <w:rsid w:val="006B48C3"/>
    <w:rsid w:val="006B4C30"/>
    <w:rsid w:val="006B55BC"/>
    <w:rsid w:val="006B64EE"/>
    <w:rsid w:val="006B6528"/>
    <w:rsid w:val="006C1F56"/>
    <w:rsid w:val="006C2079"/>
    <w:rsid w:val="006C20DB"/>
    <w:rsid w:val="006C2567"/>
    <w:rsid w:val="006C2AB3"/>
    <w:rsid w:val="006C2E04"/>
    <w:rsid w:val="006C3BF7"/>
    <w:rsid w:val="006C3D3D"/>
    <w:rsid w:val="006C3E1D"/>
    <w:rsid w:val="006C4798"/>
    <w:rsid w:val="006C5B9C"/>
    <w:rsid w:val="006C7A4A"/>
    <w:rsid w:val="006C7BB4"/>
    <w:rsid w:val="006D07D4"/>
    <w:rsid w:val="006D0AB7"/>
    <w:rsid w:val="006D1CA7"/>
    <w:rsid w:val="006D27C5"/>
    <w:rsid w:val="006D2D15"/>
    <w:rsid w:val="006D3BEB"/>
    <w:rsid w:val="006D3F08"/>
    <w:rsid w:val="006D415A"/>
    <w:rsid w:val="006D4177"/>
    <w:rsid w:val="006D4450"/>
    <w:rsid w:val="006D4694"/>
    <w:rsid w:val="006D49D7"/>
    <w:rsid w:val="006D533E"/>
    <w:rsid w:val="006D53F6"/>
    <w:rsid w:val="006D5602"/>
    <w:rsid w:val="006D5891"/>
    <w:rsid w:val="006D5DF0"/>
    <w:rsid w:val="006D6865"/>
    <w:rsid w:val="006D68D2"/>
    <w:rsid w:val="006D715D"/>
    <w:rsid w:val="006D75CE"/>
    <w:rsid w:val="006E0133"/>
    <w:rsid w:val="006E01EF"/>
    <w:rsid w:val="006E0AEA"/>
    <w:rsid w:val="006E0D44"/>
    <w:rsid w:val="006E0ED5"/>
    <w:rsid w:val="006E11BD"/>
    <w:rsid w:val="006E1D87"/>
    <w:rsid w:val="006E576B"/>
    <w:rsid w:val="006E6328"/>
    <w:rsid w:val="006E6E32"/>
    <w:rsid w:val="006E7145"/>
    <w:rsid w:val="006E76B9"/>
    <w:rsid w:val="006E79EC"/>
    <w:rsid w:val="006E7ABE"/>
    <w:rsid w:val="006F093C"/>
    <w:rsid w:val="006F0D5A"/>
    <w:rsid w:val="006F208A"/>
    <w:rsid w:val="006F20CE"/>
    <w:rsid w:val="006F47CC"/>
    <w:rsid w:val="006F50BE"/>
    <w:rsid w:val="006F520B"/>
    <w:rsid w:val="006F5EB8"/>
    <w:rsid w:val="006F5F20"/>
    <w:rsid w:val="006F62ED"/>
    <w:rsid w:val="006F6568"/>
    <w:rsid w:val="006F681C"/>
    <w:rsid w:val="006F7B58"/>
    <w:rsid w:val="00700492"/>
    <w:rsid w:val="0070073C"/>
    <w:rsid w:val="00700D11"/>
    <w:rsid w:val="00700DF5"/>
    <w:rsid w:val="00700F5C"/>
    <w:rsid w:val="00702100"/>
    <w:rsid w:val="00702219"/>
    <w:rsid w:val="00702D7B"/>
    <w:rsid w:val="0070373F"/>
    <w:rsid w:val="007040FE"/>
    <w:rsid w:val="00704C8B"/>
    <w:rsid w:val="00704DD8"/>
    <w:rsid w:val="00704EE4"/>
    <w:rsid w:val="00705A61"/>
    <w:rsid w:val="007062A2"/>
    <w:rsid w:val="007067AA"/>
    <w:rsid w:val="00707304"/>
    <w:rsid w:val="00707E4B"/>
    <w:rsid w:val="00710C05"/>
    <w:rsid w:val="00711544"/>
    <w:rsid w:val="00711739"/>
    <w:rsid w:val="00712577"/>
    <w:rsid w:val="0071262E"/>
    <w:rsid w:val="0071268C"/>
    <w:rsid w:val="00712F13"/>
    <w:rsid w:val="007134DC"/>
    <w:rsid w:val="007145D2"/>
    <w:rsid w:val="00714A5E"/>
    <w:rsid w:val="007150BB"/>
    <w:rsid w:val="0071525F"/>
    <w:rsid w:val="00716DD8"/>
    <w:rsid w:val="007178A0"/>
    <w:rsid w:val="00717DDF"/>
    <w:rsid w:val="0072074B"/>
    <w:rsid w:val="00721048"/>
    <w:rsid w:val="007224A4"/>
    <w:rsid w:val="0072281B"/>
    <w:rsid w:val="00722979"/>
    <w:rsid w:val="00722E9C"/>
    <w:rsid w:val="00722FC6"/>
    <w:rsid w:val="00723AD0"/>
    <w:rsid w:val="00723D27"/>
    <w:rsid w:val="00724B5B"/>
    <w:rsid w:val="007255A5"/>
    <w:rsid w:val="00725AA5"/>
    <w:rsid w:val="00725AF4"/>
    <w:rsid w:val="00726D09"/>
    <w:rsid w:val="00727ACA"/>
    <w:rsid w:val="007300D7"/>
    <w:rsid w:val="0073024D"/>
    <w:rsid w:val="00730D1F"/>
    <w:rsid w:val="00731452"/>
    <w:rsid w:val="00731CA1"/>
    <w:rsid w:val="00732FBE"/>
    <w:rsid w:val="00733DF3"/>
    <w:rsid w:val="00734547"/>
    <w:rsid w:val="00735355"/>
    <w:rsid w:val="007357F9"/>
    <w:rsid w:val="00735DF5"/>
    <w:rsid w:val="007365E6"/>
    <w:rsid w:val="00736AA3"/>
    <w:rsid w:val="00736AFA"/>
    <w:rsid w:val="00736D7A"/>
    <w:rsid w:val="00736D9A"/>
    <w:rsid w:val="00740246"/>
    <w:rsid w:val="007402E1"/>
    <w:rsid w:val="00740E72"/>
    <w:rsid w:val="00741240"/>
    <w:rsid w:val="007414CA"/>
    <w:rsid w:val="00742774"/>
    <w:rsid w:val="007450E8"/>
    <w:rsid w:val="007457F3"/>
    <w:rsid w:val="007458C5"/>
    <w:rsid w:val="0074684C"/>
    <w:rsid w:val="00747190"/>
    <w:rsid w:val="0074721C"/>
    <w:rsid w:val="007479B9"/>
    <w:rsid w:val="00750C95"/>
    <w:rsid w:val="00751041"/>
    <w:rsid w:val="007517B2"/>
    <w:rsid w:val="00751B81"/>
    <w:rsid w:val="007524B2"/>
    <w:rsid w:val="00752C1D"/>
    <w:rsid w:val="00753AB6"/>
    <w:rsid w:val="0075492D"/>
    <w:rsid w:val="00754C4B"/>
    <w:rsid w:val="00754F11"/>
    <w:rsid w:val="00755462"/>
    <w:rsid w:val="0075563D"/>
    <w:rsid w:val="0075570B"/>
    <w:rsid w:val="00755BA2"/>
    <w:rsid w:val="00756686"/>
    <w:rsid w:val="007572D7"/>
    <w:rsid w:val="00757660"/>
    <w:rsid w:val="00757FB6"/>
    <w:rsid w:val="00760108"/>
    <w:rsid w:val="00761C4C"/>
    <w:rsid w:val="007637C7"/>
    <w:rsid w:val="00763ACB"/>
    <w:rsid w:val="00763B19"/>
    <w:rsid w:val="00763F01"/>
    <w:rsid w:val="007643AF"/>
    <w:rsid w:val="007654E5"/>
    <w:rsid w:val="00765940"/>
    <w:rsid w:val="00766320"/>
    <w:rsid w:val="00767643"/>
    <w:rsid w:val="007676DE"/>
    <w:rsid w:val="007678C6"/>
    <w:rsid w:val="00771804"/>
    <w:rsid w:val="007722D6"/>
    <w:rsid w:val="00773011"/>
    <w:rsid w:val="00773D5A"/>
    <w:rsid w:val="00773FA5"/>
    <w:rsid w:val="00774EA7"/>
    <w:rsid w:val="0077510A"/>
    <w:rsid w:val="00775EBC"/>
    <w:rsid w:val="00776354"/>
    <w:rsid w:val="007769F7"/>
    <w:rsid w:val="00777635"/>
    <w:rsid w:val="007777B4"/>
    <w:rsid w:val="00777C7F"/>
    <w:rsid w:val="007802ED"/>
    <w:rsid w:val="00780313"/>
    <w:rsid w:val="007803E8"/>
    <w:rsid w:val="007807D4"/>
    <w:rsid w:val="007817AF"/>
    <w:rsid w:val="00781899"/>
    <w:rsid w:val="00782A85"/>
    <w:rsid w:val="00782B5A"/>
    <w:rsid w:val="00783BAB"/>
    <w:rsid w:val="00783D35"/>
    <w:rsid w:val="007841DC"/>
    <w:rsid w:val="00784A99"/>
    <w:rsid w:val="00785587"/>
    <w:rsid w:val="00785766"/>
    <w:rsid w:val="00785E28"/>
    <w:rsid w:val="00785E6C"/>
    <w:rsid w:val="0078609A"/>
    <w:rsid w:val="0078654A"/>
    <w:rsid w:val="00786DF7"/>
    <w:rsid w:val="007879AF"/>
    <w:rsid w:val="00787C81"/>
    <w:rsid w:val="007918BD"/>
    <w:rsid w:val="00791D58"/>
    <w:rsid w:val="00791D7D"/>
    <w:rsid w:val="00791EB4"/>
    <w:rsid w:val="00792237"/>
    <w:rsid w:val="00792929"/>
    <w:rsid w:val="00793749"/>
    <w:rsid w:val="007940A8"/>
    <w:rsid w:val="007948BA"/>
    <w:rsid w:val="0079553E"/>
    <w:rsid w:val="007971CA"/>
    <w:rsid w:val="00797F5B"/>
    <w:rsid w:val="007A0D87"/>
    <w:rsid w:val="007A14AE"/>
    <w:rsid w:val="007A1EAE"/>
    <w:rsid w:val="007A278D"/>
    <w:rsid w:val="007A29E5"/>
    <w:rsid w:val="007A2F81"/>
    <w:rsid w:val="007A3918"/>
    <w:rsid w:val="007A4232"/>
    <w:rsid w:val="007A44F3"/>
    <w:rsid w:val="007A4502"/>
    <w:rsid w:val="007A487A"/>
    <w:rsid w:val="007A4A7E"/>
    <w:rsid w:val="007A5596"/>
    <w:rsid w:val="007A568E"/>
    <w:rsid w:val="007A5F06"/>
    <w:rsid w:val="007A5F8E"/>
    <w:rsid w:val="007A6069"/>
    <w:rsid w:val="007A682C"/>
    <w:rsid w:val="007A74FF"/>
    <w:rsid w:val="007A7E92"/>
    <w:rsid w:val="007B0A3C"/>
    <w:rsid w:val="007B14B6"/>
    <w:rsid w:val="007B1774"/>
    <w:rsid w:val="007B2688"/>
    <w:rsid w:val="007B2DF1"/>
    <w:rsid w:val="007B36DA"/>
    <w:rsid w:val="007B4E02"/>
    <w:rsid w:val="007B4E47"/>
    <w:rsid w:val="007B5959"/>
    <w:rsid w:val="007B5C74"/>
    <w:rsid w:val="007B5F4F"/>
    <w:rsid w:val="007B633F"/>
    <w:rsid w:val="007B695A"/>
    <w:rsid w:val="007B69C7"/>
    <w:rsid w:val="007B794F"/>
    <w:rsid w:val="007B7998"/>
    <w:rsid w:val="007B7B66"/>
    <w:rsid w:val="007C14A7"/>
    <w:rsid w:val="007C17D1"/>
    <w:rsid w:val="007C19F6"/>
    <w:rsid w:val="007C24C9"/>
    <w:rsid w:val="007C2703"/>
    <w:rsid w:val="007C2E06"/>
    <w:rsid w:val="007C348F"/>
    <w:rsid w:val="007C371F"/>
    <w:rsid w:val="007C3FEA"/>
    <w:rsid w:val="007C6206"/>
    <w:rsid w:val="007C7FB4"/>
    <w:rsid w:val="007D1615"/>
    <w:rsid w:val="007D1BFF"/>
    <w:rsid w:val="007D1D8C"/>
    <w:rsid w:val="007D2482"/>
    <w:rsid w:val="007D348A"/>
    <w:rsid w:val="007D3B82"/>
    <w:rsid w:val="007D4031"/>
    <w:rsid w:val="007D419F"/>
    <w:rsid w:val="007D41F6"/>
    <w:rsid w:val="007D49F0"/>
    <w:rsid w:val="007D4F8D"/>
    <w:rsid w:val="007D5A9F"/>
    <w:rsid w:val="007D5CA8"/>
    <w:rsid w:val="007D6ACE"/>
    <w:rsid w:val="007D7212"/>
    <w:rsid w:val="007D75E4"/>
    <w:rsid w:val="007E0A89"/>
    <w:rsid w:val="007E209D"/>
    <w:rsid w:val="007E233C"/>
    <w:rsid w:val="007E324E"/>
    <w:rsid w:val="007E4B76"/>
    <w:rsid w:val="007E519C"/>
    <w:rsid w:val="007E53C5"/>
    <w:rsid w:val="007E5ABE"/>
    <w:rsid w:val="007E5B01"/>
    <w:rsid w:val="007E5F0E"/>
    <w:rsid w:val="007E6137"/>
    <w:rsid w:val="007E69B9"/>
    <w:rsid w:val="007E6C99"/>
    <w:rsid w:val="007F01F4"/>
    <w:rsid w:val="007F1189"/>
    <w:rsid w:val="007F186A"/>
    <w:rsid w:val="007F278F"/>
    <w:rsid w:val="007F31D5"/>
    <w:rsid w:val="007F3309"/>
    <w:rsid w:val="007F337C"/>
    <w:rsid w:val="007F434B"/>
    <w:rsid w:val="007F4E00"/>
    <w:rsid w:val="007F5F3C"/>
    <w:rsid w:val="007F6359"/>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F30"/>
    <w:rsid w:val="00811F4B"/>
    <w:rsid w:val="0081291B"/>
    <w:rsid w:val="0081346D"/>
    <w:rsid w:val="0081358B"/>
    <w:rsid w:val="00813EE5"/>
    <w:rsid w:val="0081440C"/>
    <w:rsid w:val="008147AB"/>
    <w:rsid w:val="00814881"/>
    <w:rsid w:val="008148D5"/>
    <w:rsid w:val="00814A79"/>
    <w:rsid w:val="008153A6"/>
    <w:rsid w:val="00815EBD"/>
    <w:rsid w:val="008168C6"/>
    <w:rsid w:val="0081721D"/>
    <w:rsid w:val="00817ED3"/>
    <w:rsid w:val="00820536"/>
    <w:rsid w:val="00820AAE"/>
    <w:rsid w:val="0082118B"/>
    <w:rsid w:val="00822158"/>
    <w:rsid w:val="00825241"/>
    <w:rsid w:val="008253E0"/>
    <w:rsid w:val="0082638E"/>
    <w:rsid w:val="008266C5"/>
    <w:rsid w:val="00827735"/>
    <w:rsid w:val="008309B0"/>
    <w:rsid w:val="00830C15"/>
    <w:rsid w:val="00832043"/>
    <w:rsid w:val="00832732"/>
    <w:rsid w:val="00832C7F"/>
    <w:rsid w:val="00832D45"/>
    <w:rsid w:val="00833430"/>
    <w:rsid w:val="00833F66"/>
    <w:rsid w:val="008370D9"/>
    <w:rsid w:val="008400E4"/>
    <w:rsid w:val="0084068C"/>
    <w:rsid w:val="008415F5"/>
    <w:rsid w:val="008432BE"/>
    <w:rsid w:val="00845443"/>
    <w:rsid w:val="00845461"/>
    <w:rsid w:val="00845585"/>
    <w:rsid w:val="00845C97"/>
    <w:rsid w:val="00845EAC"/>
    <w:rsid w:val="00845F87"/>
    <w:rsid w:val="00846305"/>
    <w:rsid w:val="008463F5"/>
    <w:rsid w:val="00846FEF"/>
    <w:rsid w:val="0084704F"/>
    <w:rsid w:val="0084714D"/>
    <w:rsid w:val="008475E3"/>
    <w:rsid w:val="0085012D"/>
    <w:rsid w:val="008503AC"/>
    <w:rsid w:val="008511FB"/>
    <w:rsid w:val="008516E4"/>
    <w:rsid w:val="00852878"/>
    <w:rsid w:val="00853107"/>
    <w:rsid w:val="008531BC"/>
    <w:rsid w:val="008533E0"/>
    <w:rsid w:val="00853C87"/>
    <w:rsid w:val="00853D93"/>
    <w:rsid w:val="00853EFF"/>
    <w:rsid w:val="00854E03"/>
    <w:rsid w:val="0085517B"/>
    <w:rsid w:val="00856059"/>
    <w:rsid w:val="0085611D"/>
    <w:rsid w:val="008573F7"/>
    <w:rsid w:val="0085787E"/>
    <w:rsid w:val="00860258"/>
    <w:rsid w:val="008604D9"/>
    <w:rsid w:val="00860E6E"/>
    <w:rsid w:val="008610D5"/>
    <w:rsid w:val="00861801"/>
    <w:rsid w:val="00861D2A"/>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EB1"/>
    <w:rsid w:val="00874CDF"/>
    <w:rsid w:val="00875735"/>
    <w:rsid w:val="00876C9F"/>
    <w:rsid w:val="00876E0E"/>
    <w:rsid w:val="008812C4"/>
    <w:rsid w:val="008818DC"/>
    <w:rsid w:val="00881E5A"/>
    <w:rsid w:val="008821B6"/>
    <w:rsid w:val="008843E8"/>
    <w:rsid w:val="0088550A"/>
    <w:rsid w:val="00885A3B"/>
    <w:rsid w:val="008868F1"/>
    <w:rsid w:val="00887555"/>
    <w:rsid w:val="008876A4"/>
    <w:rsid w:val="00887B85"/>
    <w:rsid w:val="00890058"/>
    <w:rsid w:val="008914DE"/>
    <w:rsid w:val="00891664"/>
    <w:rsid w:val="00891A77"/>
    <w:rsid w:val="00891B4E"/>
    <w:rsid w:val="008925B0"/>
    <w:rsid w:val="008925D2"/>
    <w:rsid w:val="008929C3"/>
    <w:rsid w:val="0089358C"/>
    <w:rsid w:val="008936BB"/>
    <w:rsid w:val="00894198"/>
    <w:rsid w:val="0089470B"/>
    <w:rsid w:val="008948C2"/>
    <w:rsid w:val="00894F4C"/>
    <w:rsid w:val="00895389"/>
    <w:rsid w:val="00895873"/>
    <w:rsid w:val="00895E52"/>
    <w:rsid w:val="0089633D"/>
    <w:rsid w:val="008966AD"/>
    <w:rsid w:val="00896A60"/>
    <w:rsid w:val="00896AC2"/>
    <w:rsid w:val="00897257"/>
    <w:rsid w:val="00897A21"/>
    <w:rsid w:val="00897FBF"/>
    <w:rsid w:val="008A0661"/>
    <w:rsid w:val="008A0ED0"/>
    <w:rsid w:val="008A17A4"/>
    <w:rsid w:val="008A2A1A"/>
    <w:rsid w:val="008A3445"/>
    <w:rsid w:val="008A3DA6"/>
    <w:rsid w:val="008A5009"/>
    <w:rsid w:val="008A558C"/>
    <w:rsid w:val="008A5621"/>
    <w:rsid w:val="008A7A13"/>
    <w:rsid w:val="008A7ADA"/>
    <w:rsid w:val="008B1289"/>
    <w:rsid w:val="008B1EE2"/>
    <w:rsid w:val="008B23A8"/>
    <w:rsid w:val="008B25FB"/>
    <w:rsid w:val="008B2F50"/>
    <w:rsid w:val="008B3F54"/>
    <w:rsid w:val="008B4A3F"/>
    <w:rsid w:val="008B5541"/>
    <w:rsid w:val="008B63CE"/>
    <w:rsid w:val="008B7625"/>
    <w:rsid w:val="008C0978"/>
    <w:rsid w:val="008C163C"/>
    <w:rsid w:val="008C168F"/>
    <w:rsid w:val="008C1760"/>
    <w:rsid w:val="008C1AAF"/>
    <w:rsid w:val="008C1DDE"/>
    <w:rsid w:val="008C2DB5"/>
    <w:rsid w:val="008C4170"/>
    <w:rsid w:val="008C47C4"/>
    <w:rsid w:val="008C48C3"/>
    <w:rsid w:val="008C4FBF"/>
    <w:rsid w:val="008C552C"/>
    <w:rsid w:val="008C5944"/>
    <w:rsid w:val="008C5B5C"/>
    <w:rsid w:val="008C6BE1"/>
    <w:rsid w:val="008C71ED"/>
    <w:rsid w:val="008D02A3"/>
    <w:rsid w:val="008D1026"/>
    <w:rsid w:val="008D1981"/>
    <w:rsid w:val="008D1C6E"/>
    <w:rsid w:val="008D1D13"/>
    <w:rsid w:val="008D1DB3"/>
    <w:rsid w:val="008D2256"/>
    <w:rsid w:val="008D227C"/>
    <w:rsid w:val="008D2330"/>
    <w:rsid w:val="008D2A7F"/>
    <w:rsid w:val="008D37A2"/>
    <w:rsid w:val="008D3E40"/>
    <w:rsid w:val="008D45D6"/>
    <w:rsid w:val="008D46A0"/>
    <w:rsid w:val="008D558F"/>
    <w:rsid w:val="008D5B34"/>
    <w:rsid w:val="008D5CD4"/>
    <w:rsid w:val="008D6561"/>
    <w:rsid w:val="008D6FFA"/>
    <w:rsid w:val="008E02DD"/>
    <w:rsid w:val="008E09E2"/>
    <w:rsid w:val="008E0EED"/>
    <w:rsid w:val="008E16EB"/>
    <w:rsid w:val="008E1D72"/>
    <w:rsid w:val="008E20FF"/>
    <w:rsid w:val="008E3599"/>
    <w:rsid w:val="008E3945"/>
    <w:rsid w:val="008E522A"/>
    <w:rsid w:val="008E5C89"/>
    <w:rsid w:val="008E725F"/>
    <w:rsid w:val="008E742E"/>
    <w:rsid w:val="008E768D"/>
    <w:rsid w:val="008E7D67"/>
    <w:rsid w:val="008E7F9F"/>
    <w:rsid w:val="008F0318"/>
    <w:rsid w:val="008F0383"/>
    <w:rsid w:val="008F10A8"/>
    <w:rsid w:val="008F15CC"/>
    <w:rsid w:val="008F15D8"/>
    <w:rsid w:val="008F173D"/>
    <w:rsid w:val="008F2729"/>
    <w:rsid w:val="008F3363"/>
    <w:rsid w:val="008F3DF5"/>
    <w:rsid w:val="008F40DA"/>
    <w:rsid w:val="008F4595"/>
    <w:rsid w:val="008F4D10"/>
    <w:rsid w:val="008F52DC"/>
    <w:rsid w:val="008F5D75"/>
    <w:rsid w:val="008F5E19"/>
    <w:rsid w:val="008F6723"/>
    <w:rsid w:val="008F6C81"/>
    <w:rsid w:val="008F775C"/>
    <w:rsid w:val="00900809"/>
    <w:rsid w:val="00900846"/>
    <w:rsid w:val="009013C4"/>
    <w:rsid w:val="009013CC"/>
    <w:rsid w:val="009024B2"/>
    <w:rsid w:val="009036DC"/>
    <w:rsid w:val="00903AE7"/>
    <w:rsid w:val="009040A6"/>
    <w:rsid w:val="00905A4C"/>
    <w:rsid w:val="00905D9B"/>
    <w:rsid w:val="00906091"/>
    <w:rsid w:val="009063C8"/>
    <w:rsid w:val="00906BB0"/>
    <w:rsid w:val="0091004E"/>
    <w:rsid w:val="009100CD"/>
    <w:rsid w:val="009102BA"/>
    <w:rsid w:val="00910404"/>
    <w:rsid w:val="00910448"/>
    <w:rsid w:val="009104BD"/>
    <w:rsid w:val="00910D22"/>
    <w:rsid w:val="00910D3E"/>
    <w:rsid w:val="00913FA7"/>
    <w:rsid w:val="00914364"/>
    <w:rsid w:val="00914C0E"/>
    <w:rsid w:val="00914F8F"/>
    <w:rsid w:val="009157F6"/>
    <w:rsid w:val="00916A91"/>
    <w:rsid w:val="0091761C"/>
    <w:rsid w:val="009200F4"/>
    <w:rsid w:val="009208BA"/>
    <w:rsid w:val="00921FBC"/>
    <w:rsid w:val="00922245"/>
    <w:rsid w:val="00922859"/>
    <w:rsid w:val="00922CC2"/>
    <w:rsid w:val="00922E49"/>
    <w:rsid w:val="00923726"/>
    <w:rsid w:val="00923FB7"/>
    <w:rsid w:val="00924377"/>
    <w:rsid w:val="00924BC7"/>
    <w:rsid w:val="00925289"/>
    <w:rsid w:val="00925821"/>
    <w:rsid w:val="00925DF5"/>
    <w:rsid w:val="0092628B"/>
    <w:rsid w:val="009262EE"/>
    <w:rsid w:val="009263B2"/>
    <w:rsid w:val="00927386"/>
    <w:rsid w:val="00927427"/>
    <w:rsid w:val="00930CE7"/>
    <w:rsid w:val="00931BAD"/>
    <w:rsid w:val="009320DB"/>
    <w:rsid w:val="0093294F"/>
    <w:rsid w:val="0093399C"/>
    <w:rsid w:val="00933D14"/>
    <w:rsid w:val="00934674"/>
    <w:rsid w:val="009347C2"/>
    <w:rsid w:val="009353F1"/>
    <w:rsid w:val="00935B2A"/>
    <w:rsid w:val="00935D96"/>
    <w:rsid w:val="00935E75"/>
    <w:rsid w:val="00936204"/>
    <w:rsid w:val="009363B2"/>
    <w:rsid w:val="00936597"/>
    <w:rsid w:val="00936609"/>
    <w:rsid w:val="0093759F"/>
    <w:rsid w:val="00940DB7"/>
    <w:rsid w:val="009410E6"/>
    <w:rsid w:val="00941293"/>
    <w:rsid w:val="0094579B"/>
    <w:rsid w:val="0094686F"/>
    <w:rsid w:val="009470E1"/>
    <w:rsid w:val="00947921"/>
    <w:rsid w:val="0095071D"/>
    <w:rsid w:val="009507DF"/>
    <w:rsid w:val="00950CEA"/>
    <w:rsid w:val="00951737"/>
    <w:rsid w:val="0095192F"/>
    <w:rsid w:val="00951A31"/>
    <w:rsid w:val="00952C26"/>
    <w:rsid w:val="00954AE7"/>
    <w:rsid w:val="00955305"/>
    <w:rsid w:val="00955407"/>
    <w:rsid w:val="009555A0"/>
    <w:rsid w:val="0095564C"/>
    <w:rsid w:val="0095671C"/>
    <w:rsid w:val="00957AED"/>
    <w:rsid w:val="00957B97"/>
    <w:rsid w:val="00957E8F"/>
    <w:rsid w:val="00957FE4"/>
    <w:rsid w:val="009605E5"/>
    <w:rsid w:val="0096150F"/>
    <w:rsid w:val="0096161A"/>
    <w:rsid w:val="00961ACC"/>
    <w:rsid w:val="00961E3C"/>
    <w:rsid w:val="00961E4E"/>
    <w:rsid w:val="0096230D"/>
    <w:rsid w:val="00962371"/>
    <w:rsid w:val="009626B9"/>
    <w:rsid w:val="009627A1"/>
    <w:rsid w:val="00962CBC"/>
    <w:rsid w:val="009646AF"/>
    <w:rsid w:val="0096513C"/>
    <w:rsid w:val="009651BB"/>
    <w:rsid w:val="00965246"/>
    <w:rsid w:val="00965D8F"/>
    <w:rsid w:val="0096614A"/>
    <w:rsid w:val="009669F3"/>
    <w:rsid w:val="00967791"/>
    <w:rsid w:val="00967F05"/>
    <w:rsid w:val="00970CFB"/>
    <w:rsid w:val="00970F36"/>
    <w:rsid w:val="00971E76"/>
    <w:rsid w:val="00971EF6"/>
    <w:rsid w:val="00972BEC"/>
    <w:rsid w:val="00973E87"/>
    <w:rsid w:val="00974E81"/>
    <w:rsid w:val="00975932"/>
    <w:rsid w:val="009759E5"/>
    <w:rsid w:val="0097609B"/>
    <w:rsid w:val="00976901"/>
    <w:rsid w:val="00976C40"/>
    <w:rsid w:val="00980986"/>
    <w:rsid w:val="00980B4F"/>
    <w:rsid w:val="00981CED"/>
    <w:rsid w:val="00982727"/>
    <w:rsid w:val="00982999"/>
    <w:rsid w:val="00982C9F"/>
    <w:rsid w:val="00983EA0"/>
    <w:rsid w:val="00987987"/>
    <w:rsid w:val="00987A5A"/>
    <w:rsid w:val="00987F2E"/>
    <w:rsid w:val="0099031C"/>
    <w:rsid w:val="00990641"/>
    <w:rsid w:val="00990670"/>
    <w:rsid w:val="00991BCD"/>
    <w:rsid w:val="00991F1D"/>
    <w:rsid w:val="00992C24"/>
    <w:rsid w:val="00992D42"/>
    <w:rsid w:val="009934AC"/>
    <w:rsid w:val="00993AE9"/>
    <w:rsid w:val="0099455D"/>
    <w:rsid w:val="00994900"/>
    <w:rsid w:val="00995307"/>
    <w:rsid w:val="0099541F"/>
    <w:rsid w:val="00996131"/>
    <w:rsid w:val="0099619A"/>
    <w:rsid w:val="00996842"/>
    <w:rsid w:val="009A1362"/>
    <w:rsid w:val="009A323B"/>
    <w:rsid w:val="009A32A7"/>
    <w:rsid w:val="009A3918"/>
    <w:rsid w:val="009A3D7D"/>
    <w:rsid w:val="009A53A8"/>
    <w:rsid w:val="009A53CB"/>
    <w:rsid w:val="009A6162"/>
    <w:rsid w:val="009A68F3"/>
    <w:rsid w:val="009A73E0"/>
    <w:rsid w:val="009A752C"/>
    <w:rsid w:val="009B0090"/>
    <w:rsid w:val="009B0568"/>
    <w:rsid w:val="009B0A9E"/>
    <w:rsid w:val="009B0D8C"/>
    <w:rsid w:val="009B164F"/>
    <w:rsid w:val="009B1E2D"/>
    <w:rsid w:val="009B3420"/>
    <w:rsid w:val="009B37A3"/>
    <w:rsid w:val="009B3D55"/>
    <w:rsid w:val="009B452C"/>
    <w:rsid w:val="009B54B1"/>
    <w:rsid w:val="009B5990"/>
    <w:rsid w:val="009B676F"/>
    <w:rsid w:val="009B720E"/>
    <w:rsid w:val="009C05CC"/>
    <w:rsid w:val="009C09C8"/>
    <w:rsid w:val="009C0D7D"/>
    <w:rsid w:val="009C1204"/>
    <w:rsid w:val="009C1630"/>
    <w:rsid w:val="009C409C"/>
    <w:rsid w:val="009C4DE9"/>
    <w:rsid w:val="009C5B68"/>
    <w:rsid w:val="009C626F"/>
    <w:rsid w:val="009C6D45"/>
    <w:rsid w:val="009D0445"/>
    <w:rsid w:val="009D0C99"/>
    <w:rsid w:val="009D2004"/>
    <w:rsid w:val="009D2246"/>
    <w:rsid w:val="009D2318"/>
    <w:rsid w:val="009D28F5"/>
    <w:rsid w:val="009D2BA9"/>
    <w:rsid w:val="009D3F96"/>
    <w:rsid w:val="009D4A07"/>
    <w:rsid w:val="009D4A8A"/>
    <w:rsid w:val="009D4D3F"/>
    <w:rsid w:val="009D4FC2"/>
    <w:rsid w:val="009D5816"/>
    <w:rsid w:val="009D5D15"/>
    <w:rsid w:val="009D6350"/>
    <w:rsid w:val="009D6AB0"/>
    <w:rsid w:val="009D6C72"/>
    <w:rsid w:val="009D6D76"/>
    <w:rsid w:val="009D7BE6"/>
    <w:rsid w:val="009D7DE9"/>
    <w:rsid w:val="009E0022"/>
    <w:rsid w:val="009E10A7"/>
    <w:rsid w:val="009E12B9"/>
    <w:rsid w:val="009E1EC9"/>
    <w:rsid w:val="009E238A"/>
    <w:rsid w:val="009E45E0"/>
    <w:rsid w:val="009E5155"/>
    <w:rsid w:val="009E5B5D"/>
    <w:rsid w:val="009E5E18"/>
    <w:rsid w:val="009E5F7E"/>
    <w:rsid w:val="009E7A1E"/>
    <w:rsid w:val="009E7A92"/>
    <w:rsid w:val="009F1A64"/>
    <w:rsid w:val="009F1B5F"/>
    <w:rsid w:val="009F253B"/>
    <w:rsid w:val="009F2D28"/>
    <w:rsid w:val="009F39A1"/>
    <w:rsid w:val="009F3DD9"/>
    <w:rsid w:val="009F712E"/>
    <w:rsid w:val="00A00E26"/>
    <w:rsid w:val="00A00E38"/>
    <w:rsid w:val="00A00E80"/>
    <w:rsid w:val="00A011D4"/>
    <w:rsid w:val="00A01CD2"/>
    <w:rsid w:val="00A03416"/>
    <w:rsid w:val="00A03CD4"/>
    <w:rsid w:val="00A044B5"/>
    <w:rsid w:val="00A04615"/>
    <w:rsid w:val="00A04CE3"/>
    <w:rsid w:val="00A05258"/>
    <w:rsid w:val="00A07A08"/>
    <w:rsid w:val="00A07AE1"/>
    <w:rsid w:val="00A1114A"/>
    <w:rsid w:val="00A11546"/>
    <w:rsid w:val="00A1228B"/>
    <w:rsid w:val="00A12354"/>
    <w:rsid w:val="00A128FB"/>
    <w:rsid w:val="00A13C2D"/>
    <w:rsid w:val="00A13CA3"/>
    <w:rsid w:val="00A13F12"/>
    <w:rsid w:val="00A148CD"/>
    <w:rsid w:val="00A160BB"/>
    <w:rsid w:val="00A16BA2"/>
    <w:rsid w:val="00A175AD"/>
    <w:rsid w:val="00A20548"/>
    <w:rsid w:val="00A2168A"/>
    <w:rsid w:val="00A21DC1"/>
    <w:rsid w:val="00A221B2"/>
    <w:rsid w:val="00A2221F"/>
    <w:rsid w:val="00A2272B"/>
    <w:rsid w:val="00A227C0"/>
    <w:rsid w:val="00A228E1"/>
    <w:rsid w:val="00A2291D"/>
    <w:rsid w:val="00A23198"/>
    <w:rsid w:val="00A23C9E"/>
    <w:rsid w:val="00A23F21"/>
    <w:rsid w:val="00A24444"/>
    <w:rsid w:val="00A24C94"/>
    <w:rsid w:val="00A2528C"/>
    <w:rsid w:val="00A254A1"/>
    <w:rsid w:val="00A25786"/>
    <w:rsid w:val="00A25ACC"/>
    <w:rsid w:val="00A263A2"/>
    <w:rsid w:val="00A27438"/>
    <w:rsid w:val="00A27933"/>
    <w:rsid w:val="00A30C1E"/>
    <w:rsid w:val="00A30C52"/>
    <w:rsid w:val="00A311A2"/>
    <w:rsid w:val="00A316C5"/>
    <w:rsid w:val="00A31707"/>
    <w:rsid w:val="00A32047"/>
    <w:rsid w:val="00A3231D"/>
    <w:rsid w:val="00A32908"/>
    <w:rsid w:val="00A33074"/>
    <w:rsid w:val="00A3451A"/>
    <w:rsid w:val="00A346A7"/>
    <w:rsid w:val="00A346DD"/>
    <w:rsid w:val="00A34768"/>
    <w:rsid w:val="00A34A5F"/>
    <w:rsid w:val="00A35D0A"/>
    <w:rsid w:val="00A364E1"/>
    <w:rsid w:val="00A36E8A"/>
    <w:rsid w:val="00A37755"/>
    <w:rsid w:val="00A37E21"/>
    <w:rsid w:val="00A37EE3"/>
    <w:rsid w:val="00A40191"/>
    <w:rsid w:val="00A402D1"/>
    <w:rsid w:val="00A4289E"/>
    <w:rsid w:val="00A44291"/>
    <w:rsid w:val="00A4434E"/>
    <w:rsid w:val="00A446D7"/>
    <w:rsid w:val="00A44899"/>
    <w:rsid w:val="00A449CC"/>
    <w:rsid w:val="00A458A5"/>
    <w:rsid w:val="00A462DE"/>
    <w:rsid w:val="00A46F3B"/>
    <w:rsid w:val="00A471DE"/>
    <w:rsid w:val="00A501DA"/>
    <w:rsid w:val="00A502AA"/>
    <w:rsid w:val="00A502AC"/>
    <w:rsid w:val="00A511B4"/>
    <w:rsid w:val="00A515AC"/>
    <w:rsid w:val="00A51B68"/>
    <w:rsid w:val="00A52179"/>
    <w:rsid w:val="00A52379"/>
    <w:rsid w:val="00A5259E"/>
    <w:rsid w:val="00A530BC"/>
    <w:rsid w:val="00A534AF"/>
    <w:rsid w:val="00A53C87"/>
    <w:rsid w:val="00A54312"/>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3A65"/>
    <w:rsid w:val="00A649D7"/>
    <w:rsid w:val="00A6500A"/>
    <w:rsid w:val="00A66D1C"/>
    <w:rsid w:val="00A66FDC"/>
    <w:rsid w:val="00A673BE"/>
    <w:rsid w:val="00A67465"/>
    <w:rsid w:val="00A7015E"/>
    <w:rsid w:val="00A70D7F"/>
    <w:rsid w:val="00A71421"/>
    <w:rsid w:val="00A72284"/>
    <w:rsid w:val="00A72352"/>
    <w:rsid w:val="00A72E5C"/>
    <w:rsid w:val="00A73F84"/>
    <w:rsid w:val="00A743E6"/>
    <w:rsid w:val="00A75D8B"/>
    <w:rsid w:val="00A76FDC"/>
    <w:rsid w:val="00A77146"/>
    <w:rsid w:val="00A77AF4"/>
    <w:rsid w:val="00A80900"/>
    <w:rsid w:val="00A815D6"/>
    <w:rsid w:val="00A8177C"/>
    <w:rsid w:val="00A82AB1"/>
    <w:rsid w:val="00A82C7E"/>
    <w:rsid w:val="00A830AB"/>
    <w:rsid w:val="00A83343"/>
    <w:rsid w:val="00A83437"/>
    <w:rsid w:val="00A83627"/>
    <w:rsid w:val="00A843BB"/>
    <w:rsid w:val="00A843F8"/>
    <w:rsid w:val="00A84F1F"/>
    <w:rsid w:val="00A85A9F"/>
    <w:rsid w:val="00A862A6"/>
    <w:rsid w:val="00A9173B"/>
    <w:rsid w:val="00A920F2"/>
    <w:rsid w:val="00A922BA"/>
    <w:rsid w:val="00A92475"/>
    <w:rsid w:val="00A9248E"/>
    <w:rsid w:val="00A92793"/>
    <w:rsid w:val="00A934A8"/>
    <w:rsid w:val="00A934DC"/>
    <w:rsid w:val="00A938F5"/>
    <w:rsid w:val="00A93DD2"/>
    <w:rsid w:val="00A94E03"/>
    <w:rsid w:val="00A9598D"/>
    <w:rsid w:val="00A967E7"/>
    <w:rsid w:val="00A971CE"/>
    <w:rsid w:val="00A97CD4"/>
    <w:rsid w:val="00AA0079"/>
    <w:rsid w:val="00AA034F"/>
    <w:rsid w:val="00AA1FBE"/>
    <w:rsid w:val="00AA276F"/>
    <w:rsid w:val="00AA2F7F"/>
    <w:rsid w:val="00AA3220"/>
    <w:rsid w:val="00AA3776"/>
    <w:rsid w:val="00AA6132"/>
    <w:rsid w:val="00AA62BB"/>
    <w:rsid w:val="00AA62BE"/>
    <w:rsid w:val="00AA79CB"/>
    <w:rsid w:val="00AA79D7"/>
    <w:rsid w:val="00AB035D"/>
    <w:rsid w:val="00AB0C16"/>
    <w:rsid w:val="00AB15C2"/>
    <w:rsid w:val="00AB1953"/>
    <w:rsid w:val="00AB1CD0"/>
    <w:rsid w:val="00AB3209"/>
    <w:rsid w:val="00AB365A"/>
    <w:rsid w:val="00AB3C56"/>
    <w:rsid w:val="00AB43F4"/>
    <w:rsid w:val="00AB4FBD"/>
    <w:rsid w:val="00AB50A2"/>
    <w:rsid w:val="00AB6731"/>
    <w:rsid w:val="00AB6AAC"/>
    <w:rsid w:val="00AB7947"/>
    <w:rsid w:val="00AC059B"/>
    <w:rsid w:val="00AC0ECD"/>
    <w:rsid w:val="00AC10B1"/>
    <w:rsid w:val="00AC10C9"/>
    <w:rsid w:val="00AC1523"/>
    <w:rsid w:val="00AC18AA"/>
    <w:rsid w:val="00AC27A7"/>
    <w:rsid w:val="00AC364C"/>
    <w:rsid w:val="00AC3E30"/>
    <w:rsid w:val="00AC434F"/>
    <w:rsid w:val="00AC553C"/>
    <w:rsid w:val="00AC6ED3"/>
    <w:rsid w:val="00AC7176"/>
    <w:rsid w:val="00AC72D9"/>
    <w:rsid w:val="00AD0291"/>
    <w:rsid w:val="00AD167F"/>
    <w:rsid w:val="00AD17A9"/>
    <w:rsid w:val="00AD1998"/>
    <w:rsid w:val="00AD28DA"/>
    <w:rsid w:val="00AD2C3E"/>
    <w:rsid w:val="00AD406C"/>
    <w:rsid w:val="00AD5C27"/>
    <w:rsid w:val="00AD734B"/>
    <w:rsid w:val="00AD7553"/>
    <w:rsid w:val="00AD79F5"/>
    <w:rsid w:val="00AD7ADF"/>
    <w:rsid w:val="00AE007E"/>
    <w:rsid w:val="00AE025E"/>
    <w:rsid w:val="00AE0A88"/>
    <w:rsid w:val="00AE0B18"/>
    <w:rsid w:val="00AE107E"/>
    <w:rsid w:val="00AE126B"/>
    <w:rsid w:val="00AE13ED"/>
    <w:rsid w:val="00AE14D2"/>
    <w:rsid w:val="00AE1A7F"/>
    <w:rsid w:val="00AE2284"/>
    <w:rsid w:val="00AE26DA"/>
    <w:rsid w:val="00AE2FC1"/>
    <w:rsid w:val="00AE35E6"/>
    <w:rsid w:val="00AE39A3"/>
    <w:rsid w:val="00AE492D"/>
    <w:rsid w:val="00AF0A83"/>
    <w:rsid w:val="00AF1756"/>
    <w:rsid w:val="00AF1D4D"/>
    <w:rsid w:val="00AF2F0E"/>
    <w:rsid w:val="00AF338A"/>
    <w:rsid w:val="00AF3852"/>
    <w:rsid w:val="00AF40B2"/>
    <w:rsid w:val="00AF47F5"/>
    <w:rsid w:val="00AF5942"/>
    <w:rsid w:val="00AF6292"/>
    <w:rsid w:val="00AF629F"/>
    <w:rsid w:val="00AF73A9"/>
    <w:rsid w:val="00AF7A45"/>
    <w:rsid w:val="00AF7D6F"/>
    <w:rsid w:val="00B00B11"/>
    <w:rsid w:val="00B047FC"/>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6E5"/>
    <w:rsid w:val="00B14914"/>
    <w:rsid w:val="00B15B5D"/>
    <w:rsid w:val="00B16427"/>
    <w:rsid w:val="00B17E53"/>
    <w:rsid w:val="00B17F03"/>
    <w:rsid w:val="00B202BD"/>
    <w:rsid w:val="00B207EF"/>
    <w:rsid w:val="00B20C3D"/>
    <w:rsid w:val="00B20CC5"/>
    <w:rsid w:val="00B21645"/>
    <w:rsid w:val="00B216C4"/>
    <w:rsid w:val="00B2213E"/>
    <w:rsid w:val="00B22849"/>
    <w:rsid w:val="00B23555"/>
    <w:rsid w:val="00B23922"/>
    <w:rsid w:val="00B23B94"/>
    <w:rsid w:val="00B23D33"/>
    <w:rsid w:val="00B23E82"/>
    <w:rsid w:val="00B2413E"/>
    <w:rsid w:val="00B241CD"/>
    <w:rsid w:val="00B24B59"/>
    <w:rsid w:val="00B24D53"/>
    <w:rsid w:val="00B262E5"/>
    <w:rsid w:val="00B2739C"/>
    <w:rsid w:val="00B27547"/>
    <w:rsid w:val="00B27808"/>
    <w:rsid w:val="00B300F4"/>
    <w:rsid w:val="00B30325"/>
    <w:rsid w:val="00B3032A"/>
    <w:rsid w:val="00B3054E"/>
    <w:rsid w:val="00B305E2"/>
    <w:rsid w:val="00B31F49"/>
    <w:rsid w:val="00B320FB"/>
    <w:rsid w:val="00B327C3"/>
    <w:rsid w:val="00B32B77"/>
    <w:rsid w:val="00B34D1A"/>
    <w:rsid w:val="00B34FEE"/>
    <w:rsid w:val="00B350BB"/>
    <w:rsid w:val="00B35A2C"/>
    <w:rsid w:val="00B360F5"/>
    <w:rsid w:val="00B36C06"/>
    <w:rsid w:val="00B37FF2"/>
    <w:rsid w:val="00B4038A"/>
    <w:rsid w:val="00B40E14"/>
    <w:rsid w:val="00B415C9"/>
    <w:rsid w:val="00B42034"/>
    <w:rsid w:val="00B4327F"/>
    <w:rsid w:val="00B435E6"/>
    <w:rsid w:val="00B43667"/>
    <w:rsid w:val="00B44D49"/>
    <w:rsid w:val="00B4523E"/>
    <w:rsid w:val="00B4538F"/>
    <w:rsid w:val="00B46079"/>
    <w:rsid w:val="00B46861"/>
    <w:rsid w:val="00B47886"/>
    <w:rsid w:val="00B47D14"/>
    <w:rsid w:val="00B511D2"/>
    <w:rsid w:val="00B5168D"/>
    <w:rsid w:val="00B5195E"/>
    <w:rsid w:val="00B5220E"/>
    <w:rsid w:val="00B52CCD"/>
    <w:rsid w:val="00B54626"/>
    <w:rsid w:val="00B54D66"/>
    <w:rsid w:val="00B54D92"/>
    <w:rsid w:val="00B55461"/>
    <w:rsid w:val="00B55E70"/>
    <w:rsid w:val="00B56DB0"/>
    <w:rsid w:val="00B57B2A"/>
    <w:rsid w:val="00B612CF"/>
    <w:rsid w:val="00B612EA"/>
    <w:rsid w:val="00B615AF"/>
    <w:rsid w:val="00B61707"/>
    <w:rsid w:val="00B6197F"/>
    <w:rsid w:val="00B61E80"/>
    <w:rsid w:val="00B62DF8"/>
    <w:rsid w:val="00B63750"/>
    <w:rsid w:val="00B63E09"/>
    <w:rsid w:val="00B6405F"/>
    <w:rsid w:val="00B65B83"/>
    <w:rsid w:val="00B65B89"/>
    <w:rsid w:val="00B66634"/>
    <w:rsid w:val="00B6676A"/>
    <w:rsid w:val="00B67570"/>
    <w:rsid w:val="00B7051E"/>
    <w:rsid w:val="00B7060D"/>
    <w:rsid w:val="00B70717"/>
    <w:rsid w:val="00B70FA8"/>
    <w:rsid w:val="00B72083"/>
    <w:rsid w:val="00B72256"/>
    <w:rsid w:val="00B72D37"/>
    <w:rsid w:val="00B75390"/>
    <w:rsid w:val="00B758D1"/>
    <w:rsid w:val="00B75B98"/>
    <w:rsid w:val="00B75B9E"/>
    <w:rsid w:val="00B76779"/>
    <w:rsid w:val="00B776D2"/>
    <w:rsid w:val="00B77D94"/>
    <w:rsid w:val="00B80068"/>
    <w:rsid w:val="00B80BFF"/>
    <w:rsid w:val="00B80EDB"/>
    <w:rsid w:val="00B82B87"/>
    <w:rsid w:val="00B832E1"/>
    <w:rsid w:val="00B846A3"/>
    <w:rsid w:val="00B84F9A"/>
    <w:rsid w:val="00B8573E"/>
    <w:rsid w:val="00B85B20"/>
    <w:rsid w:val="00B85C06"/>
    <w:rsid w:val="00B866A8"/>
    <w:rsid w:val="00B86E23"/>
    <w:rsid w:val="00B87128"/>
    <w:rsid w:val="00B92979"/>
    <w:rsid w:val="00B92F05"/>
    <w:rsid w:val="00B93DC5"/>
    <w:rsid w:val="00B94FDC"/>
    <w:rsid w:val="00B95173"/>
    <w:rsid w:val="00B957D4"/>
    <w:rsid w:val="00B964EF"/>
    <w:rsid w:val="00B9650A"/>
    <w:rsid w:val="00B96B15"/>
    <w:rsid w:val="00B96E93"/>
    <w:rsid w:val="00B97135"/>
    <w:rsid w:val="00BA05A6"/>
    <w:rsid w:val="00BA0A8C"/>
    <w:rsid w:val="00BA102C"/>
    <w:rsid w:val="00BA1CE5"/>
    <w:rsid w:val="00BA1D7F"/>
    <w:rsid w:val="00BA1E26"/>
    <w:rsid w:val="00BA1E3B"/>
    <w:rsid w:val="00BA327D"/>
    <w:rsid w:val="00BA390A"/>
    <w:rsid w:val="00BA3DA4"/>
    <w:rsid w:val="00BA456A"/>
    <w:rsid w:val="00BA47B2"/>
    <w:rsid w:val="00BA4BA2"/>
    <w:rsid w:val="00BA51E6"/>
    <w:rsid w:val="00BB0381"/>
    <w:rsid w:val="00BB1FDC"/>
    <w:rsid w:val="00BB2183"/>
    <w:rsid w:val="00BB22DD"/>
    <w:rsid w:val="00BB32D2"/>
    <w:rsid w:val="00BB4278"/>
    <w:rsid w:val="00BB5B86"/>
    <w:rsid w:val="00BB5D6E"/>
    <w:rsid w:val="00BB5E73"/>
    <w:rsid w:val="00BB5F77"/>
    <w:rsid w:val="00BB60B5"/>
    <w:rsid w:val="00BB6125"/>
    <w:rsid w:val="00BB6706"/>
    <w:rsid w:val="00BB7590"/>
    <w:rsid w:val="00BC03D5"/>
    <w:rsid w:val="00BC0B0D"/>
    <w:rsid w:val="00BC1AB3"/>
    <w:rsid w:val="00BC212D"/>
    <w:rsid w:val="00BC25A6"/>
    <w:rsid w:val="00BC2876"/>
    <w:rsid w:val="00BC28B7"/>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332"/>
    <w:rsid w:val="00BD45E5"/>
    <w:rsid w:val="00BD4814"/>
    <w:rsid w:val="00BD5A7F"/>
    <w:rsid w:val="00BD6805"/>
    <w:rsid w:val="00BE07A4"/>
    <w:rsid w:val="00BE0E4E"/>
    <w:rsid w:val="00BE1664"/>
    <w:rsid w:val="00BE2457"/>
    <w:rsid w:val="00BE2C7F"/>
    <w:rsid w:val="00BE3013"/>
    <w:rsid w:val="00BE3396"/>
    <w:rsid w:val="00BE3474"/>
    <w:rsid w:val="00BE3C7E"/>
    <w:rsid w:val="00BE3C98"/>
    <w:rsid w:val="00BE4898"/>
    <w:rsid w:val="00BE4F6D"/>
    <w:rsid w:val="00BE53FF"/>
    <w:rsid w:val="00BE5C55"/>
    <w:rsid w:val="00BE74FF"/>
    <w:rsid w:val="00BF2E90"/>
    <w:rsid w:val="00BF312A"/>
    <w:rsid w:val="00BF3190"/>
    <w:rsid w:val="00BF331E"/>
    <w:rsid w:val="00BF3825"/>
    <w:rsid w:val="00BF3E40"/>
    <w:rsid w:val="00BF4411"/>
    <w:rsid w:val="00BF511F"/>
    <w:rsid w:val="00BF5163"/>
    <w:rsid w:val="00BF51CE"/>
    <w:rsid w:val="00BF5376"/>
    <w:rsid w:val="00BF5427"/>
    <w:rsid w:val="00BF70D0"/>
    <w:rsid w:val="00BF730E"/>
    <w:rsid w:val="00BF768D"/>
    <w:rsid w:val="00C00299"/>
    <w:rsid w:val="00C002A5"/>
    <w:rsid w:val="00C00729"/>
    <w:rsid w:val="00C0098A"/>
    <w:rsid w:val="00C01656"/>
    <w:rsid w:val="00C017C7"/>
    <w:rsid w:val="00C01826"/>
    <w:rsid w:val="00C01D27"/>
    <w:rsid w:val="00C01FB0"/>
    <w:rsid w:val="00C0207B"/>
    <w:rsid w:val="00C04646"/>
    <w:rsid w:val="00C04732"/>
    <w:rsid w:val="00C04886"/>
    <w:rsid w:val="00C05D30"/>
    <w:rsid w:val="00C06B1B"/>
    <w:rsid w:val="00C07109"/>
    <w:rsid w:val="00C10A2A"/>
    <w:rsid w:val="00C12061"/>
    <w:rsid w:val="00C12340"/>
    <w:rsid w:val="00C12581"/>
    <w:rsid w:val="00C129C1"/>
    <w:rsid w:val="00C129C2"/>
    <w:rsid w:val="00C13105"/>
    <w:rsid w:val="00C1314B"/>
    <w:rsid w:val="00C13206"/>
    <w:rsid w:val="00C13B8F"/>
    <w:rsid w:val="00C14B25"/>
    <w:rsid w:val="00C14B5B"/>
    <w:rsid w:val="00C14C86"/>
    <w:rsid w:val="00C152ED"/>
    <w:rsid w:val="00C17F92"/>
    <w:rsid w:val="00C2055D"/>
    <w:rsid w:val="00C20DDA"/>
    <w:rsid w:val="00C2133C"/>
    <w:rsid w:val="00C21525"/>
    <w:rsid w:val="00C22A30"/>
    <w:rsid w:val="00C22C04"/>
    <w:rsid w:val="00C22DE3"/>
    <w:rsid w:val="00C23BBB"/>
    <w:rsid w:val="00C240C4"/>
    <w:rsid w:val="00C25243"/>
    <w:rsid w:val="00C257E8"/>
    <w:rsid w:val="00C25B16"/>
    <w:rsid w:val="00C268A8"/>
    <w:rsid w:val="00C278F6"/>
    <w:rsid w:val="00C27C7B"/>
    <w:rsid w:val="00C3054F"/>
    <w:rsid w:val="00C30A53"/>
    <w:rsid w:val="00C30B02"/>
    <w:rsid w:val="00C30F1B"/>
    <w:rsid w:val="00C324DA"/>
    <w:rsid w:val="00C327DD"/>
    <w:rsid w:val="00C32928"/>
    <w:rsid w:val="00C32ACF"/>
    <w:rsid w:val="00C32C89"/>
    <w:rsid w:val="00C32CB6"/>
    <w:rsid w:val="00C32E33"/>
    <w:rsid w:val="00C3300B"/>
    <w:rsid w:val="00C3326E"/>
    <w:rsid w:val="00C33772"/>
    <w:rsid w:val="00C3431E"/>
    <w:rsid w:val="00C3456A"/>
    <w:rsid w:val="00C3480A"/>
    <w:rsid w:val="00C351A5"/>
    <w:rsid w:val="00C358D7"/>
    <w:rsid w:val="00C35E7A"/>
    <w:rsid w:val="00C35FE0"/>
    <w:rsid w:val="00C36CD8"/>
    <w:rsid w:val="00C3735B"/>
    <w:rsid w:val="00C401EE"/>
    <w:rsid w:val="00C40837"/>
    <w:rsid w:val="00C40DD0"/>
    <w:rsid w:val="00C417A3"/>
    <w:rsid w:val="00C44BA2"/>
    <w:rsid w:val="00C45002"/>
    <w:rsid w:val="00C4552E"/>
    <w:rsid w:val="00C45E50"/>
    <w:rsid w:val="00C45F6F"/>
    <w:rsid w:val="00C46363"/>
    <w:rsid w:val="00C46634"/>
    <w:rsid w:val="00C46D89"/>
    <w:rsid w:val="00C509CC"/>
    <w:rsid w:val="00C519A2"/>
    <w:rsid w:val="00C52521"/>
    <w:rsid w:val="00C526D5"/>
    <w:rsid w:val="00C52F56"/>
    <w:rsid w:val="00C53934"/>
    <w:rsid w:val="00C54805"/>
    <w:rsid w:val="00C5530F"/>
    <w:rsid w:val="00C55CB5"/>
    <w:rsid w:val="00C5690D"/>
    <w:rsid w:val="00C56B6A"/>
    <w:rsid w:val="00C57099"/>
    <w:rsid w:val="00C570C0"/>
    <w:rsid w:val="00C60292"/>
    <w:rsid w:val="00C6101E"/>
    <w:rsid w:val="00C611B0"/>
    <w:rsid w:val="00C61363"/>
    <w:rsid w:val="00C61718"/>
    <w:rsid w:val="00C6179E"/>
    <w:rsid w:val="00C624BF"/>
    <w:rsid w:val="00C6445C"/>
    <w:rsid w:val="00C648E3"/>
    <w:rsid w:val="00C64AC5"/>
    <w:rsid w:val="00C65030"/>
    <w:rsid w:val="00C654AD"/>
    <w:rsid w:val="00C667EB"/>
    <w:rsid w:val="00C67014"/>
    <w:rsid w:val="00C673C2"/>
    <w:rsid w:val="00C67B77"/>
    <w:rsid w:val="00C67F6C"/>
    <w:rsid w:val="00C7082B"/>
    <w:rsid w:val="00C7084E"/>
    <w:rsid w:val="00C71A3D"/>
    <w:rsid w:val="00C71CF8"/>
    <w:rsid w:val="00C73022"/>
    <w:rsid w:val="00C739CE"/>
    <w:rsid w:val="00C74A07"/>
    <w:rsid w:val="00C754D1"/>
    <w:rsid w:val="00C758B5"/>
    <w:rsid w:val="00C767F7"/>
    <w:rsid w:val="00C76E61"/>
    <w:rsid w:val="00C77155"/>
    <w:rsid w:val="00C77846"/>
    <w:rsid w:val="00C77F09"/>
    <w:rsid w:val="00C805A7"/>
    <w:rsid w:val="00C80C69"/>
    <w:rsid w:val="00C8114B"/>
    <w:rsid w:val="00C81796"/>
    <w:rsid w:val="00C81AB2"/>
    <w:rsid w:val="00C81B01"/>
    <w:rsid w:val="00C826A4"/>
    <w:rsid w:val="00C835CE"/>
    <w:rsid w:val="00C8379D"/>
    <w:rsid w:val="00C84118"/>
    <w:rsid w:val="00C84847"/>
    <w:rsid w:val="00C848AF"/>
    <w:rsid w:val="00C850FA"/>
    <w:rsid w:val="00C8577B"/>
    <w:rsid w:val="00C85F59"/>
    <w:rsid w:val="00C86245"/>
    <w:rsid w:val="00C86D6F"/>
    <w:rsid w:val="00C86E9A"/>
    <w:rsid w:val="00C879C5"/>
    <w:rsid w:val="00C87C28"/>
    <w:rsid w:val="00C87F7C"/>
    <w:rsid w:val="00C90000"/>
    <w:rsid w:val="00C90E67"/>
    <w:rsid w:val="00C91640"/>
    <w:rsid w:val="00C919EC"/>
    <w:rsid w:val="00C927C2"/>
    <w:rsid w:val="00C92A36"/>
    <w:rsid w:val="00C93249"/>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3D5B"/>
    <w:rsid w:val="00CA406B"/>
    <w:rsid w:val="00CA4C3E"/>
    <w:rsid w:val="00CA4FA7"/>
    <w:rsid w:val="00CA516F"/>
    <w:rsid w:val="00CA5263"/>
    <w:rsid w:val="00CA5540"/>
    <w:rsid w:val="00CA5BE3"/>
    <w:rsid w:val="00CA6314"/>
    <w:rsid w:val="00CA65DA"/>
    <w:rsid w:val="00CA669F"/>
    <w:rsid w:val="00CA6C62"/>
    <w:rsid w:val="00CA773E"/>
    <w:rsid w:val="00CA7C0A"/>
    <w:rsid w:val="00CB11F6"/>
    <w:rsid w:val="00CB131D"/>
    <w:rsid w:val="00CB15B5"/>
    <w:rsid w:val="00CB1A0B"/>
    <w:rsid w:val="00CB1B6C"/>
    <w:rsid w:val="00CB2FCA"/>
    <w:rsid w:val="00CB3069"/>
    <w:rsid w:val="00CB34AC"/>
    <w:rsid w:val="00CB4830"/>
    <w:rsid w:val="00CB4CB7"/>
    <w:rsid w:val="00CB4F4B"/>
    <w:rsid w:val="00CB5662"/>
    <w:rsid w:val="00CB576C"/>
    <w:rsid w:val="00CB6428"/>
    <w:rsid w:val="00CB64B4"/>
    <w:rsid w:val="00CB6AF8"/>
    <w:rsid w:val="00CB721C"/>
    <w:rsid w:val="00CB784D"/>
    <w:rsid w:val="00CC1600"/>
    <w:rsid w:val="00CC2CEC"/>
    <w:rsid w:val="00CC47CA"/>
    <w:rsid w:val="00CC4CF8"/>
    <w:rsid w:val="00CC4E63"/>
    <w:rsid w:val="00CC50A7"/>
    <w:rsid w:val="00CC5639"/>
    <w:rsid w:val="00CC6A82"/>
    <w:rsid w:val="00CC6BCF"/>
    <w:rsid w:val="00CD1CA4"/>
    <w:rsid w:val="00CD2C97"/>
    <w:rsid w:val="00CD2FA0"/>
    <w:rsid w:val="00CD3248"/>
    <w:rsid w:val="00CD58AD"/>
    <w:rsid w:val="00CD773A"/>
    <w:rsid w:val="00CE089E"/>
    <w:rsid w:val="00CE09E9"/>
    <w:rsid w:val="00CE16B8"/>
    <w:rsid w:val="00CE1B58"/>
    <w:rsid w:val="00CE2617"/>
    <w:rsid w:val="00CE2627"/>
    <w:rsid w:val="00CE282C"/>
    <w:rsid w:val="00CE3092"/>
    <w:rsid w:val="00CE3261"/>
    <w:rsid w:val="00CE36E6"/>
    <w:rsid w:val="00CE405A"/>
    <w:rsid w:val="00CE4190"/>
    <w:rsid w:val="00CE4644"/>
    <w:rsid w:val="00CE4653"/>
    <w:rsid w:val="00CE4947"/>
    <w:rsid w:val="00CE4954"/>
    <w:rsid w:val="00CE4CC4"/>
    <w:rsid w:val="00CE4F4F"/>
    <w:rsid w:val="00CE52FB"/>
    <w:rsid w:val="00CE54CE"/>
    <w:rsid w:val="00CE5819"/>
    <w:rsid w:val="00CE59F4"/>
    <w:rsid w:val="00CE5AD6"/>
    <w:rsid w:val="00CE6239"/>
    <w:rsid w:val="00CE757E"/>
    <w:rsid w:val="00CF306B"/>
    <w:rsid w:val="00CF37EE"/>
    <w:rsid w:val="00CF3D98"/>
    <w:rsid w:val="00CF4C3B"/>
    <w:rsid w:val="00CF6A3A"/>
    <w:rsid w:val="00CF77C6"/>
    <w:rsid w:val="00CF7A8F"/>
    <w:rsid w:val="00CF7D28"/>
    <w:rsid w:val="00D00460"/>
    <w:rsid w:val="00D0056A"/>
    <w:rsid w:val="00D00FAA"/>
    <w:rsid w:val="00D010AD"/>
    <w:rsid w:val="00D024C8"/>
    <w:rsid w:val="00D0284A"/>
    <w:rsid w:val="00D03848"/>
    <w:rsid w:val="00D03A49"/>
    <w:rsid w:val="00D03B58"/>
    <w:rsid w:val="00D03F38"/>
    <w:rsid w:val="00D04014"/>
    <w:rsid w:val="00D0462C"/>
    <w:rsid w:val="00D05482"/>
    <w:rsid w:val="00D05C4B"/>
    <w:rsid w:val="00D0646E"/>
    <w:rsid w:val="00D07166"/>
    <w:rsid w:val="00D07809"/>
    <w:rsid w:val="00D07947"/>
    <w:rsid w:val="00D10A44"/>
    <w:rsid w:val="00D1104E"/>
    <w:rsid w:val="00D11ED4"/>
    <w:rsid w:val="00D12368"/>
    <w:rsid w:val="00D13245"/>
    <w:rsid w:val="00D13793"/>
    <w:rsid w:val="00D169CB"/>
    <w:rsid w:val="00D1733E"/>
    <w:rsid w:val="00D20540"/>
    <w:rsid w:val="00D21BA2"/>
    <w:rsid w:val="00D231E3"/>
    <w:rsid w:val="00D242A3"/>
    <w:rsid w:val="00D24D25"/>
    <w:rsid w:val="00D253B5"/>
    <w:rsid w:val="00D2590A"/>
    <w:rsid w:val="00D2721F"/>
    <w:rsid w:val="00D279D5"/>
    <w:rsid w:val="00D279EE"/>
    <w:rsid w:val="00D30051"/>
    <w:rsid w:val="00D30493"/>
    <w:rsid w:val="00D30E46"/>
    <w:rsid w:val="00D31E3E"/>
    <w:rsid w:val="00D3302E"/>
    <w:rsid w:val="00D335E0"/>
    <w:rsid w:val="00D3376E"/>
    <w:rsid w:val="00D33A7E"/>
    <w:rsid w:val="00D33F4C"/>
    <w:rsid w:val="00D35158"/>
    <w:rsid w:val="00D354E7"/>
    <w:rsid w:val="00D36064"/>
    <w:rsid w:val="00D36EF0"/>
    <w:rsid w:val="00D37693"/>
    <w:rsid w:val="00D37A52"/>
    <w:rsid w:val="00D40F67"/>
    <w:rsid w:val="00D412C2"/>
    <w:rsid w:val="00D412DC"/>
    <w:rsid w:val="00D41487"/>
    <w:rsid w:val="00D4267F"/>
    <w:rsid w:val="00D426DC"/>
    <w:rsid w:val="00D427AE"/>
    <w:rsid w:val="00D430CC"/>
    <w:rsid w:val="00D439C1"/>
    <w:rsid w:val="00D44889"/>
    <w:rsid w:val="00D45FDF"/>
    <w:rsid w:val="00D460B7"/>
    <w:rsid w:val="00D46604"/>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01A0"/>
    <w:rsid w:val="00D614A3"/>
    <w:rsid w:val="00D61523"/>
    <w:rsid w:val="00D617BA"/>
    <w:rsid w:val="00D61AC1"/>
    <w:rsid w:val="00D61C45"/>
    <w:rsid w:val="00D61FA6"/>
    <w:rsid w:val="00D6261E"/>
    <w:rsid w:val="00D6340A"/>
    <w:rsid w:val="00D634E1"/>
    <w:rsid w:val="00D6495D"/>
    <w:rsid w:val="00D65170"/>
    <w:rsid w:val="00D6552A"/>
    <w:rsid w:val="00D656F6"/>
    <w:rsid w:val="00D65C39"/>
    <w:rsid w:val="00D65C54"/>
    <w:rsid w:val="00D65E83"/>
    <w:rsid w:val="00D65F1A"/>
    <w:rsid w:val="00D66D37"/>
    <w:rsid w:val="00D6752E"/>
    <w:rsid w:val="00D67748"/>
    <w:rsid w:val="00D67F7C"/>
    <w:rsid w:val="00D705C0"/>
    <w:rsid w:val="00D70F73"/>
    <w:rsid w:val="00D71578"/>
    <w:rsid w:val="00D71A0E"/>
    <w:rsid w:val="00D72F87"/>
    <w:rsid w:val="00D740E9"/>
    <w:rsid w:val="00D7441E"/>
    <w:rsid w:val="00D747D6"/>
    <w:rsid w:val="00D74889"/>
    <w:rsid w:val="00D75301"/>
    <w:rsid w:val="00D75502"/>
    <w:rsid w:val="00D76278"/>
    <w:rsid w:val="00D769DA"/>
    <w:rsid w:val="00D76A08"/>
    <w:rsid w:val="00D76B65"/>
    <w:rsid w:val="00D77C38"/>
    <w:rsid w:val="00D77CF0"/>
    <w:rsid w:val="00D801DD"/>
    <w:rsid w:val="00D82E49"/>
    <w:rsid w:val="00D8358C"/>
    <w:rsid w:val="00D8394A"/>
    <w:rsid w:val="00D8440F"/>
    <w:rsid w:val="00D85659"/>
    <w:rsid w:val="00D8658D"/>
    <w:rsid w:val="00D86AFB"/>
    <w:rsid w:val="00D876C0"/>
    <w:rsid w:val="00D904E9"/>
    <w:rsid w:val="00D9118A"/>
    <w:rsid w:val="00D92420"/>
    <w:rsid w:val="00D92517"/>
    <w:rsid w:val="00D939E1"/>
    <w:rsid w:val="00D94B61"/>
    <w:rsid w:val="00D954E8"/>
    <w:rsid w:val="00D9572A"/>
    <w:rsid w:val="00D96D80"/>
    <w:rsid w:val="00D97EBC"/>
    <w:rsid w:val="00DA0155"/>
    <w:rsid w:val="00DA06C3"/>
    <w:rsid w:val="00DA0E63"/>
    <w:rsid w:val="00DA11F2"/>
    <w:rsid w:val="00DA15C7"/>
    <w:rsid w:val="00DA1746"/>
    <w:rsid w:val="00DA3136"/>
    <w:rsid w:val="00DA332F"/>
    <w:rsid w:val="00DA368F"/>
    <w:rsid w:val="00DA36D0"/>
    <w:rsid w:val="00DA41ED"/>
    <w:rsid w:val="00DA41F1"/>
    <w:rsid w:val="00DA492A"/>
    <w:rsid w:val="00DA497D"/>
    <w:rsid w:val="00DA5116"/>
    <w:rsid w:val="00DA571D"/>
    <w:rsid w:val="00DA5BCC"/>
    <w:rsid w:val="00DA632B"/>
    <w:rsid w:val="00DA64EF"/>
    <w:rsid w:val="00DA7257"/>
    <w:rsid w:val="00DA7368"/>
    <w:rsid w:val="00DB0271"/>
    <w:rsid w:val="00DB0F9C"/>
    <w:rsid w:val="00DB1B72"/>
    <w:rsid w:val="00DB1F05"/>
    <w:rsid w:val="00DB2E24"/>
    <w:rsid w:val="00DB2F86"/>
    <w:rsid w:val="00DB30ED"/>
    <w:rsid w:val="00DB3598"/>
    <w:rsid w:val="00DB43A0"/>
    <w:rsid w:val="00DB4491"/>
    <w:rsid w:val="00DB4D95"/>
    <w:rsid w:val="00DB5540"/>
    <w:rsid w:val="00DB5820"/>
    <w:rsid w:val="00DB68DF"/>
    <w:rsid w:val="00DB6E63"/>
    <w:rsid w:val="00DB70AB"/>
    <w:rsid w:val="00DB7558"/>
    <w:rsid w:val="00DB78ED"/>
    <w:rsid w:val="00DC169D"/>
    <w:rsid w:val="00DC1E80"/>
    <w:rsid w:val="00DC2283"/>
    <w:rsid w:val="00DC3908"/>
    <w:rsid w:val="00DC465B"/>
    <w:rsid w:val="00DC4780"/>
    <w:rsid w:val="00DC47BA"/>
    <w:rsid w:val="00DC4E4A"/>
    <w:rsid w:val="00DC4E4E"/>
    <w:rsid w:val="00DC52F3"/>
    <w:rsid w:val="00DC5359"/>
    <w:rsid w:val="00DC551D"/>
    <w:rsid w:val="00DC56E1"/>
    <w:rsid w:val="00DC5797"/>
    <w:rsid w:val="00DC7AB5"/>
    <w:rsid w:val="00DC7ACB"/>
    <w:rsid w:val="00DD0AA4"/>
    <w:rsid w:val="00DD18C3"/>
    <w:rsid w:val="00DD1DD1"/>
    <w:rsid w:val="00DD305D"/>
    <w:rsid w:val="00DD41A7"/>
    <w:rsid w:val="00DD5BB2"/>
    <w:rsid w:val="00DD5E65"/>
    <w:rsid w:val="00DD6139"/>
    <w:rsid w:val="00DD6256"/>
    <w:rsid w:val="00DD699C"/>
    <w:rsid w:val="00DD6C05"/>
    <w:rsid w:val="00DD7BD6"/>
    <w:rsid w:val="00DE14CA"/>
    <w:rsid w:val="00DE15E6"/>
    <w:rsid w:val="00DE189F"/>
    <w:rsid w:val="00DE283E"/>
    <w:rsid w:val="00DE28B2"/>
    <w:rsid w:val="00DE2FF1"/>
    <w:rsid w:val="00DE3781"/>
    <w:rsid w:val="00DE3959"/>
    <w:rsid w:val="00DE3D40"/>
    <w:rsid w:val="00DE40F7"/>
    <w:rsid w:val="00DE4280"/>
    <w:rsid w:val="00DE43EC"/>
    <w:rsid w:val="00DE4BAC"/>
    <w:rsid w:val="00DE4DEC"/>
    <w:rsid w:val="00DE58F8"/>
    <w:rsid w:val="00DE5ED1"/>
    <w:rsid w:val="00DE64D0"/>
    <w:rsid w:val="00DE783C"/>
    <w:rsid w:val="00DE7D13"/>
    <w:rsid w:val="00DF0A9E"/>
    <w:rsid w:val="00DF0DC8"/>
    <w:rsid w:val="00DF2619"/>
    <w:rsid w:val="00DF29EA"/>
    <w:rsid w:val="00DF2F70"/>
    <w:rsid w:val="00DF31A7"/>
    <w:rsid w:val="00DF3F2E"/>
    <w:rsid w:val="00DF434F"/>
    <w:rsid w:val="00DF4A2F"/>
    <w:rsid w:val="00DF4EF0"/>
    <w:rsid w:val="00DF5568"/>
    <w:rsid w:val="00DF6AE2"/>
    <w:rsid w:val="00DF6B27"/>
    <w:rsid w:val="00DF71EC"/>
    <w:rsid w:val="00DF7240"/>
    <w:rsid w:val="00E00397"/>
    <w:rsid w:val="00E0074B"/>
    <w:rsid w:val="00E00921"/>
    <w:rsid w:val="00E00B51"/>
    <w:rsid w:val="00E015BD"/>
    <w:rsid w:val="00E01A44"/>
    <w:rsid w:val="00E037A9"/>
    <w:rsid w:val="00E0438B"/>
    <w:rsid w:val="00E04EC4"/>
    <w:rsid w:val="00E0677F"/>
    <w:rsid w:val="00E067C3"/>
    <w:rsid w:val="00E07101"/>
    <w:rsid w:val="00E07201"/>
    <w:rsid w:val="00E07CB0"/>
    <w:rsid w:val="00E10579"/>
    <w:rsid w:val="00E10AF0"/>
    <w:rsid w:val="00E1118B"/>
    <w:rsid w:val="00E1217A"/>
    <w:rsid w:val="00E126A3"/>
    <w:rsid w:val="00E140A4"/>
    <w:rsid w:val="00E14C96"/>
    <w:rsid w:val="00E15A03"/>
    <w:rsid w:val="00E15C18"/>
    <w:rsid w:val="00E162E0"/>
    <w:rsid w:val="00E164C0"/>
    <w:rsid w:val="00E16594"/>
    <w:rsid w:val="00E167A3"/>
    <w:rsid w:val="00E20239"/>
    <w:rsid w:val="00E20434"/>
    <w:rsid w:val="00E210F8"/>
    <w:rsid w:val="00E22079"/>
    <w:rsid w:val="00E23D23"/>
    <w:rsid w:val="00E23FA0"/>
    <w:rsid w:val="00E244E7"/>
    <w:rsid w:val="00E253A8"/>
    <w:rsid w:val="00E25B3B"/>
    <w:rsid w:val="00E2706F"/>
    <w:rsid w:val="00E27861"/>
    <w:rsid w:val="00E30295"/>
    <w:rsid w:val="00E30FCC"/>
    <w:rsid w:val="00E321A5"/>
    <w:rsid w:val="00E32FD0"/>
    <w:rsid w:val="00E3319C"/>
    <w:rsid w:val="00E334C3"/>
    <w:rsid w:val="00E33CB5"/>
    <w:rsid w:val="00E344C9"/>
    <w:rsid w:val="00E366B6"/>
    <w:rsid w:val="00E379F3"/>
    <w:rsid w:val="00E40917"/>
    <w:rsid w:val="00E40A41"/>
    <w:rsid w:val="00E4112D"/>
    <w:rsid w:val="00E41283"/>
    <w:rsid w:val="00E420C5"/>
    <w:rsid w:val="00E42D4C"/>
    <w:rsid w:val="00E45934"/>
    <w:rsid w:val="00E45F43"/>
    <w:rsid w:val="00E4693B"/>
    <w:rsid w:val="00E46B86"/>
    <w:rsid w:val="00E46DAB"/>
    <w:rsid w:val="00E47302"/>
    <w:rsid w:val="00E47FDC"/>
    <w:rsid w:val="00E50423"/>
    <w:rsid w:val="00E5043C"/>
    <w:rsid w:val="00E505F5"/>
    <w:rsid w:val="00E5073F"/>
    <w:rsid w:val="00E50BF2"/>
    <w:rsid w:val="00E50D0D"/>
    <w:rsid w:val="00E52000"/>
    <w:rsid w:val="00E527AA"/>
    <w:rsid w:val="00E53076"/>
    <w:rsid w:val="00E534CD"/>
    <w:rsid w:val="00E53C9E"/>
    <w:rsid w:val="00E53D32"/>
    <w:rsid w:val="00E550BF"/>
    <w:rsid w:val="00E55295"/>
    <w:rsid w:val="00E552CE"/>
    <w:rsid w:val="00E57007"/>
    <w:rsid w:val="00E57B1E"/>
    <w:rsid w:val="00E602E0"/>
    <w:rsid w:val="00E606A0"/>
    <w:rsid w:val="00E61E06"/>
    <w:rsid w:val="00E620F6"/>
    <w:rsid w:val="00E62329"/>
    <w:rsid w:val="00E62F7E"/>
    <w:rsid w:val="00E64DE8"/>
    <w:rsid w:val="00E65E6E"/>
    <w:rsid w:val="00E66192"/>
    <w:rsid w:val="00E66517"/>
    <w:rsid w:val="00E6664E"/>
    <w:rsid w:val="00E66710"/>
    <w:rsid w:val="00E6706D"/>
    <w:rsid w:val="00E701ED"/>
    <w:rsid w:val="00E703A9"/>
    <w:rsid w:val="00E704AE"/>
    <w:rsid w:val="00E710E5"/>
    <w:rsid w:val="00E7148E"/>
    <w:rsid w:val="00E71D15"/>
    <w:rsid w:val="00E721E6"/>
    <w:rsid w:val="00E7237F"/>
    <w:rsid w:val="00E725C4"/>
    <w:rsid w:val="00E7270B"/>
    <w:rsid w:val="00E733DF"/>
    <w:rsid w:val="00E73CF4"/>
    <w:rsid w:val="00E73F85"/>
    <w:rsid w:val="00E7455A"/>
    <w:rsid w:val="00E74E4E"/>
    <w:rsid w:val="00E750E9"/>
    <w:rsid w:val="00E7685F"/>
    <w:rsid w:val="00E77D2C"/>
    <w:rsid w:val="00E80DE2"/>
    <w:rsid w:val="00E81B1F"/>
    <w:rsid w:val="00E81E59"/>
    <w:rsid w:val="00E824FA"/>
    <w:rsid w:val="00E827A6"/>
    <w:rsid w:val="00E84B86"/>
    <w:rsid w:val="00E854E6"/>
    <w:rsid w:val="00E85654"/>
    <w:rsid w:val="00E85789"/>
    <w:rsid w:val="00E863D0"/>
    <w:rsid w:val="00E873C9"/>
    <w:rsid w:val="00E87D91"/>
    <w:rsid w:val="00E91C69"/>
    <w:rsid w:val="00E91DD3"/>
    <w:rsid w:val="00E91F0A"/>
    <w:rsid w:val="00E9255A"/>
    <w:rsid w:val="00E94457"/>
    <w:rsid w:val="00E94782"/>
    <w:rsid w:val="00E947A9"/>
    <w:rsid w:val="00E94A9F"/>
    <w:rsid w:val="00E94D29"/>
    <w:rsid w:val="00E95112"/>
    <w:rsid w:val="00E9602C"/>
    <w:rsid w:val="00E962E0"/>
    <w:rsid w:val="00E97F51"/>
    <w:rsid w:val="00EA02AA"/>
    <w:rsid w:val="00EA28BF"/>
    <w:rsid w:val="00EA2E54"/>
    <w:rsid w:val="00EA3EE7"/>
    <w:rsid w:val="00EA3F7D"/>
    <w:rsid w:val="00EA4722"/>
    <w:rsid w:val="00EA4AF6"/>
    <w:rsid w:val="00EA51A0"/>
    <w:rsid w:val="00EA6AF3"/>
    <w:rsid w:val="00EA73FB"/>
    <w:rsid w:val="00EB17B4"/>
    <w:rsid w:val="00EB1C59"/>
    <w:rsid w:val="00EB2247"/>
    <w:rsid w:val="00EB27C9"/>
    <w:rsid w:val="00EB2D09"/>
    <w:rsid w:val="00EB3222"/>
    <w:rsid w:val="00EB35A3"/>
    <w:rsid w:val="00EB3964"/>
    <w:rsid w:val="00EB3AA9"/>
    <w:rsid w:val="00EB4859"/>
    <w:rsid w:val="00EB556E"/>
    <w:rsid w:val="00EB637B"/>
    <w:rsid w:val="00EB772D"/>
    <w:rsid w:val="00EB7828"/>
    <w:rsid w:val="00EC065C"/>
    <w:rsid w:val="00EC1AC2"/>
    <w:rsid w:val="00EC2586"/>
    <w:rsid w:val="00EC2C29"/>
    <w:rsid w:val="00EC3083"/>
    <w:rsid w:val="00EC3313"/>
    <w:rsid w:val="00EC37D1"/>
    <w:rsid w:val="00EC3E4F"/>
    <w:rsid w:val="00EC420A"/>
    <w:rsid w:val="00EC47C6"/>
    <w:rsid w:val="00EC4F20"/>
    <w:rsid w:val="00EC5498"/>
    <w:rsid w:val="00EC64B6"/>
    <w:rsid w:val="00EC6B90"/>
    <w:rsid w:val="00EC7165"/>
    <w:rsid w:val="00EC7E2D"/>
    <w:rsid w:val="00ED0248"/>
    <w:rsid w:val="00ED0E23"/>
    <w:rsid w:val="00ED0EFA"/>
    <w:rsid w:val="00ED3D07"/>
    <w:rsid w:val="00ED4C35"/>
    <w:rsid w:val="00ED5492"/>
    <w:rsid w:val="00ED6721"/>
    <w:rsid w:val="00ED762F"/>
    <w:rsid w:val="00EE1D59"/>
    <w:rsid w:val="00EE1F7E"/>
    <w:rsid w:val="00EE33F7"/>
    <w:rsid w:val="00EE34CA"/>
    <w:rsid w:val="00EE3863"/>
    <w:rsid w:val="00EE4312"/>
    <w:rsid w:val="00EE4A13"/>
    <w:rsid w:val="00EE4A45"/>
    <w:rsid w:val="00EE4BBF"/>
    <w:rsid w:val="00EE4E73"/>
    <w:rsid w:val="00EE62F7"/>
    <w:rsid w:val="00EE69D2"/>
    <w:rsid w:val="00EE78F3"/>
    <w:rsid w:val="00EE79A0"/>
    <w:rsid w:val="00EE7E83"/>
    <w:rsid w:val="00EF0110"/>
    <w:rsid w:val="00EF0A8F"/>
    <w:rsid w:val="00EF1185"/>
    <w:rsid w:val="00EF286B"/>
    <w:rsid w:val="00EF2E66"/>
    <w:rsid w:val="00EF3DFF"/>
    <w:rsid w:val="00EF4173"/>
    <w:rsid w:val="00EF523A"/>
    <w:rsid w:val="00EF652B"/>
    <w:rsid w:val="00EF6AC9"/>
    <w:rsid w:val="00EF73A7"/>
    <w:rsid w:val="00F00607"/>
    <w:rsid w:val="00F00923"/>
    <w:rsid w:val="00F01ACE"/>
    <w:rsid w:val="00F02A56"/>
    <w:rsid w:val="00F02F5B"/>
    <w:rsid w:val="00F032E1"/>
    <w:rsid w:val="00F0372D"/>
    <w:rsid w:val="00F039A9"/>
    <w:rsid w:val="00F03B62"/>
    <w:rsid w:val="00F03C9B"/>
    <w:rsid w:val="00F03D4A"/>
    <w:rsid w:val="00F0405C"/>
    <w:rsid w:val="00F04631"/>
    <w:rsid w:val="00F048A1"/>
    <w:rsid w:val="00F04BB4"/>
    <w:rsid w:val="00F050DD"/>
    <w:rsid w:val="00F059BF"/>
    <w:rsid w:val="00F05BB0"/>
    <w:rsid w:val="00F05EE3"/>
    <w:rsid w:val="00F06301"/>
    <w:rsid w:val="00F07061"/>
    <w:rsid w:val="00F0745A"/>
    <w:rsid w:val="00F107DA"/>
    <w:rsid w:val="00F1082F"/>
    <w:rsid w:val="00F117B3"/>
    <w:rsid w:val="00F16EA2"/>
    <w:rsid w:val="00F16F78"/>
    <w:rsid w:val="00F17034"/>
    <w:rsid w:val="00F1744C"/>
    <w:rsid w:val="00F177A3"/>
    <w:rsid w:val="00F21C6C"/>
    <w:rsid w:val="00F21FA1"/>
    <w:rsid w:val="00F22BED"/>
    <w:rsid w:val="00F24832"/>
    <w:rsid w:val="00F2495E"/>
    <w:rsid w:val="00F24BD2"/>
    <w:rsid w:val="00F24C9F"/>
    <w:rsid w:val="00F25429"/>
    <w:rsid w:val="00F25B50"/>
    <w:rsid w:val="00F25B73"/>
    <w:rsid w:val="00F25E5B"/>
    <w:rsid w:val="00F26337"/>
    <w:rsid w:val="00F26499"/>
    <w:rsid w:val="00F26879"/>
    <w:rsid w:val="00F27FE0"/>
    <w:rsid w:val="00F301E5"/>
    <w:rsid w:val="00F3069E"/>
    <w:rsid w:val="00F32764"/>
    <w:rsid w:val="00F32A54"/>
    <w:rsid w:val="00F33E40"/>
    <w:rsid w:val="00F34D3F"/>
    <w:rsid w:val="00F35738"/>
    <w:rsid w:val="00F36370"/>
    <w:rsid w:val="00F370D3"/>
    <w:rsid w:val="00F371FD"/>
    <w:rsid w:val="00F40134"/>
    <w:rsid w:val="00F402A5"/>
    <w:rsid w:val="00F40308"/>
    <w:rsid w:val="00F4034A"/>
    <w:rsid w:val="00F4037B"/>
    <w:rsid w:val="00F40732"/>
    <w:rsid w:val="00F4199F"/>
    <w:rsid w:val="00F43E15"/>
    <w:rsid w:val="00F451C9"/>
    <w:rsid w:val="00F45597"/>
    <w:rsid w:val="00F45802"/>
    <w:rsid w:val="00F460B7"/>
    <w:rsid w:val="00F46433"/>
    <w:rsid w:val="00F46BEC"/>
    <w:rsid w:val="00F46E54"/>
    <w:rsid w:val="00F47062"/>
    <w:rsid w:val="00F471CF"/>
    <w:rsid w:val="00F476A4"/>
    <w:rsid w:val="00F477D1"/>
    <w:rsid w:val="00F50005"/>
    <w:rsid w:val="00F5017C"/>
    <w:rsid w:val="00F5061D"/>
    <w:rsid w:val="00F5112E"/>
    <w:rsid w:val="00F520AF"/>
    <w:rsid w:val="00F5239A"/>
    <w:rsid w:val="00F52A0F"/>
    <w:rsid w:val="00F54369"/>
    <w:rsid w:val="00F543EF"/>
    <w:rsid w:val="00F54584"/>
    <w:rsid w:val="00F55F24"/>
    <w:rsid w:val="00F56026"/>
    <w:rsid w:val="00F56662"/>
    <w:rsid w:val="00F56D3F"/>
    <w:rsid w:val="00F56EE2"/>
    <w:rsid w:val="00F56F16"/>
    <w:rsid w:val="00F571EC"/>
    <w:rsid w:val="00F57D08"/>
    <w:rsid w:val="00F60A5D"/>
    <w:rsid w:val="00F60A84"/>
    <w:rsid w:val="00F60D46"/>
    <w:rsid w:val="00F61EC2"/>
    <w:rsid w:val="00F61F2B"/>
    <w:rsid w:val="00F6275C"/>
    <w:rsid w:val="00F63656"/>
    <w:rsid w:val="00F640C4"/>
    <w:rsid w:val="00F64FD0"/>
    <w:rsid w:val="00F651C9"/>
    <w:rsid w:val="00F65BC3"/>
    <w:rsid w:val="00F65D8C"/>
    <w:rsid w:val="00F6603C"/>
    <w:rsid w:val="00F66DB2"/>
    <w:rsid w:val="00F67009"/>
    <w:rsid w:val="00F67094"/>
    <w:rsid w:val="00F708EC"/>
    <w:rsid w:val="00F7229D"/>
    <w:rsid w:val="00F72343"/>
    <w:rsid w:val="00F72383"/>
    <w:rsid w:val="00F726F3"/>
    <w:rsid w:val="00F72EBD"/>
    <w:rsid w:val="00F7309D"/>
    <w:rsid w:val="00F7311E"/>
    <w:rsid w:val="00F73419"/>
    <w:rsid w:val="00F73FB5"/>
    <w:rsid w:val="00F75019"/>
    <w:rsid w:val="00F7574D"/>
    <w:rsid w:val="00F75B4F"/>
    <w:rsid w:val="00F76356"/>
    <w:rsid w:val="00F77542"/>
    <w:rsid w:val="00F77E26"/>
    <w:rsid w:val="00F801A4"/>
    <w:rsid w:val="00F80F66"/>
    <w:rsid w:val="00F81884"/>
    <w:rsid w:val="00F81BEB"/>
    <w:rsid w:val="00F81E10"/>
    <w:rsid w:val="00F82B29"/>
    <w:rsid w:val="00F845B4"/>
    <w:rsid w:val="00F84ACF"/>
    <w:rsid w:val="00F8517D"/>
    <w:rsid w:val="00F8551A"/>
    <w:rsid w:val="00F86172"/>
    <w:rsid w:val="00F903B5"/>
    <w:rsid w:val="00F911BB"/>
    <w:rsid w:val="00F915A6"/>
    <w:rsid w:val="00F91C40"/>
    <w:rsid w:val="00F91CE4"/>
    <w:rsid w:val="00F91D2D"/>
    <w:rsid w:val="00F91E19"/>
    <w:rsid w:val="00F93E7C"/>
    <w:rsid w:val="00F93E82"/>
    <w:rsid w:val="00F9498F"/>
    <w:rsid w:val="00F94D30"/>
    <w:rsid w:val="00F95380"/>
    <w:rsid w:val="00F95514"/>
    <w:rsid w:val="00F95EC4"/>
    <w:rsid w:val="00F95EC9"/>
    <w:rsid w:val="00F967AB"/>
    <w:rsid w:val="00F97AE2"/>
    <w:rsid w:val="00FA112C"/>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E8B"/>
    <w:rsid w:val="00FB6789"/>
    <w:rsid w:val="00FB76B0"/>
    <w:rsid w:val="00FB7C68"/>
    <w:rsid w:val="00FC0080"/>
    <w:rsid w:val="00FC145A"/>
    <w:rsid w:val="00FC3F10"/>
    <w:rsid w:val="00FC548B"/>
    <w:rsid w:val="00FC776B"/>
    <w:rsid w:val="00FC79A3"/>
    <w:rsid w:val="00FD007F"/>
    <w:rsid w:val="00FD0EAD"/>
    <w:rsid w:val="00FD1004"/>
    <w:rsid w:val="00FD1515"/>
    <w:rsid w:val="00FD1626"/>
    <w:rsid w:val="00FD1A85"/>
    <w:rsid w:val="00FD2C3A"/>
    <w:rsid w:val="00FD2EAC"/>
    <w:rsid w:val="00FD3F44"/>
    <w:rsid w:val="00FD4C45"/>
    <w:rsid w:val="00FD5316"/>
    <w:rsid w:val="00FD5796"/>
    <w:rsid w:val="00FD57DC"/>
    <w:rsid w:val="00FD5847"/>
    <w:rsid w:val="00FD5B68"/>
    <w:rsid w:val="00FD5B81"/>
    <w:rsid w:val="00FD61DB"/>
    <w:rsid w:val="00FD72FE"/>
    <w:rsid w:val="00FD7577"/>
    <w:rsid w:val="00FE00F8"/>
    <w:rsid w:val="00FE03FF"/>
    <w:rsid w:val="00FE0438"/>
    <w:rsid w:val="00FE05E8"/>
    <w:rsid w:val="00FE0D92"/>
    <w:rsid w:val="00FE135D"/>
    <w:rsid w:val="00FE1582"/>
    <w:rsid w:val="00FE26CB"/>
    <w:rsid w:val="00FE29B7"/>
    <w:rsid w:val="00FE2AD9"/>
    <w:rsid w:val="00FE2D84"/>
    <w:rsid w:val="00FE3720"/>
    <w:rsid w:val="00FE3F2E"/>
    <w:rsid w:val="00FE45E7"/>
    <w:rsid w:val="00FE48DB"/>
    <w:rsid w:val="00FE4EA0"/>
    <w:rsid w:val="00FE55A0"/>
    <w:rsid w:val="00FE56FC"/>
    <w:rsid w:val="00FE5FA1"/>
    <w:rsid w:val="00FE6FAF"/>
    <w:rsid w:val="00FF0900"/>
    <w:rsid w:val="00FF105C"/>
    <w:rsid w:val="00FF10AF"/>
    <w:rsid w:val="00FF13F5"/>
    <w:rsid w:val="00FF1FE2"/>
    <w:rsid w:val="00FF27E6"/>
    <w:rsid w:val="00FF332E"/>
    <w:rsid w:val="00FF396F"/>
    <w:rsid w:val="00FF3FAE"/>
    <w:rsid w:val="00FF4708"/>
    <w:rsid w:val="00FF4792"/>
    <w:rsid w:val="00FF551B"/>
    <w:rsid w:val="00FF5AF4"/>
    <w:rsid w:val="00FF5B38"/>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6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1">
    <w:name w:val="heading 1"/>
    <w:basedOn w:val="Normal"/>
    <w:next w:val="Normal"/>
    <w:link w:val="Heading1Char"/>
    <w:uiPriority w:val="9"/>
    <w:qFormat/>
    <w:rsid w:val="009B3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0A7"/>
    <w:pPr>
      <w:outlineLvl w:val="1"/>
    </w:pPr>
    <w:rPr>
      <w:rFonts w:ascii="Garamond" w:hAnsi="Garamond"/>
      <w:b/>
      <w:bCs/>
    </w:rPr>
  </w:style>
  <w:style w:type="paragraph" w:styleId="Heading3">
    <w:name w:val="heading 3"/>
    <w:basedOn w:val="Normal"/>
    <w:next w:val="Normal"/>
    <w:link w:val="Heading3Char"/>
    <w:uiPriority w:val="9"/>
    <w:unhideWhenUsed/>
    <w:qFormat/>
    <w:rsid w:val="009E10A7"/>
    <w:pPr>
      <w:outlineLvl w:val="2"/>
    </w:pPr>
    <w:rPr>
      <w:rFonts w:ascii="Garamond" w:hAnsi="Garamond"/>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aliases w:val="תו תו תו תו,תו תו תו תו Char,טקסט הערות שוליים תו Char Char,Footnote Text Char Char Char Char,FA,FA Fußnotentext,Note de bas de page Car Car,Char"/>
    <w:basedOn w:val="Normal"/>
    <w:link w:val="FootnoteTextChar"/>
    <w:uiPriority w:val="99"/>
    <w:unhideWhenUsed/>
    <w:qFormat/>
    <w:rsid w:val="008C168F"/>
    <w:rPr>
      <w:sz w:val="20"/>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w:basedOn w:val="DefaultParagraphFont"/>
    <w:link w:val="FootnoteText"/>
    <w:uiPriority w:val="99"/>
    <w:rsid w:val="008C168F"/>
    <w:rPr>
      <w:sz w:val="20"/>
      <w:szCs w:val="20"/>
    </w:rPr>
  </w:style>
  <w:style w:type="character" w:styleId="FootnoteReference">
    <w:name w:val="footnote reference"/>
    <w:aliases w:val="header 3,Ref,de nota al pie"/>
    <w:basedOn w:val="DefaultParagraphFont"/>
    <w:uiPriority w:val="99"/>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 w:type="character" w:customStyle="1" w:styleId="Heading1Char">
    <w:name w:val="Heading 1 Char"/>
    <w:basedOn w:val="DefaultParagraphFont"/>
    <w:link w:val="Heading1"/>
    <w:uiPriority w:val="9"/>
    <w:rsid w:val="009B3D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6188">
      <w:bodyDiv w:val="1"/>
      <w:marLeft w:val="0"/>
      <w:marRight w:val="0"/>
      <w:marTop w:val="0"/>
      <w:marBottom w:val="0"/>
      <w:divBdr>
        <w:top w:val="none" w:sz="0" w:space="0" w:color="auto"/>
        <w:left w:val="none" w:sz="0" w:space="0" w:color="auto"/>
        <w:bottom w:val="none" w:sz="0" w:space="0" w:color="auto"/>
        <w:right w:val="none" w:sz="0" w:space="0" w:color="auto"/>
      </w:divBdr>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79">
      <w:bodyDiv w:val="1"/>
      <w:marLeft w:val="0"/>
      <w:marRight w:val="0"/>
      <w:marTop w:val="0"/>
      <w:marBottom w:val="0"/>
      <w:divBdr>
        <w:top w:val="none" w:sz="0" w:space="0" w:color="auto"/>
        <w:left w:val="none" w:sz="0" w:space="0" w:color="auto"/>
        <w:bottom w:val="none" w:sz="0" w:space="0" w:color="auto"/>
        <w:right w:val="none" w:sz="0" w:space="0" w:color="auto"/>
      </w:divBdr>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6454">
      <w:bodyDiv w:val="1"/>
      <w:marLeft w:val="0"/>
      <w:marRight w:val="0"/>
      <w:marTop w:val="0"/>
      <w:marBottom w:val="0"/>
      <w:divBdr>
        <w:top w:val="none" w:sz="0" w:space="0" w:color="auto"/>
        <w:left w:val="none" w:sz="0" w:space="0" w:color="auto"/>
        <w:bottom w:val="none" w:sz="0" w:space="0" w:color="auto"/>
        <w:right w:val="none" w:sz="0" w:space="0" w:color="auto"/>
      </w:divBdr>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er.org/papers/w25914" TargetMode="External"/><Relationship Id="rId18" Type="http://schemas.openxmlformats.org/officeDocument/2006/relationships/hyperlink" Target="https://www.morningstar.com/sustainable-investing/how-can-fund-providers-protect-future-worker-investo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pers.ssrn.com/sol3/papers.cfm?abstract_id=3338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apers.ssrn.com/sol3/papers.cfm?abstract_id=4079632" TargetMode="External"/><Relationship Id="rId25" Type="http://schemas.openxmlformats.org/officeDocument/2006/relationships/hyperlink" Target="https://site.warrington.ufl.edu/ritter/files/IPOs-Underpricing.pdf" TargetMode="External"/><Relationship Id="rId2" Type="http://schemas.openxmlformats.org/officeDocument/2006/relationships/customXml" Target="../customXml/item2.xml"/><Relationship Id="rId16" Type="http://schemas.openxmlformats.org/officeDocument/2006/relationships/hyperlink" Target="https://papers.ssrn.com/sol3/papers.cfm?abstract_id=4324567" TargetMode="External"/><Relationship Id="rId20" Type="http://schemas.openxmlformats.org/officeDocument/2006/relationships/hyperlink" Target="https://conference.nber.org/confer/2007/si2007/EFRSW/jovanovi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te.warrington.ufl.edu/ritter/files/money-left-on-the-table.pdf" TargetMode="External"/><Relationship Id="rId5" Type="http://schemas.openxmlformats.org/officeDocument/2006/relationships/numbering" Target="numbering.xml"/><Relationship Id="rId15" Type="http://schemas.openxmlformats.org/officeDocument/2006/relationships/hyperlink" Target="https://papers.ssrn.com/sol3/papers.cfm?abstract_id=2657394" TargetMode="External"/><Relationship Id="rId23" Type="http://schemas.openxmlformats.org/officeDocument/2006/relationships/hyperlink" Target="https://corpgov.law.harvard.edu/2024/09/16/rewriting-the-proxy-playbook-trian-partners-vs-disney-case-stud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ca.org.uk/publication/notices-and-decisions/anti-competitive-conduct-in-asset-management-secto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pers.ssrn.com/sol3/papers.cfm?abstract_id=4222402" TargetMode="External"/><Relationship Id="rId22" Type="http://schemas.openxmlformats.org/officeDocument/2006/relationships/hyperlink" Target="https://papers.ssrn.com/sol3/papers.cfm?abstract_id=440620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92C8D6D9B30D45B2B9DBE8C450796D" ma:contentTypeVersion="14" ma:contentTypeDescription="Create a new document." ma:contentTypeScope="" ma:versionID="054c009632a37931f5f85e5bc558a6cb">
  <xsd:schema xmlns:xsd="http://www.w3.org/2001/XMLSchema" xmlns:xs="http://www.w3.org/2001/XMLSchema" xmlns:p="http://schemas.microsoft.com/office/2006/metadata/properties" xmlns:ns3="de3f0738-311d-4d64-991a-58f10b99836f" targetNamespace="http://schemas.microsoft.com/office/2006/metadata/properties" ma:root="true" ma:fieldsID="2eed8f2018cdd9fa888f6f65180bbd70" ns3:_="">
    <xsd:import namespace="de3f0738-311d-4d64-991a-58f10b9983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f0738-311d-4d64-991a-58f10b998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3f0738-311d-4d64-991a-58f10b99836f" xsi:nil="true"/>
  </documentManagement>
</p:properties>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customXml/itemProps2.xml><?xml version="1.0" encoding="utf-8"?>
<ds:datastoreItem xmlns:ds="http://schemas.openxmlformats.org/officeDocument/2006/customXml" ds:itemID="{6F2F3405-10D4-48E4-8481-4A77250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f0738-311d-4d64-991a-58f10b998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41635-0003-4CA1-B329-81B9C1BF6014}">
  <ds:schemaRefs>
    <ds:schemaRef ds:uri="http://schemas.microsoft.com/sharepoint/v3/contenttype/forms"/>
  </ds:schemaRefs>
</ds:datastoreItem>
</file>

<file path=customXml/itemProps4.xml><?xml version="1.0" encoding="utf-8"?>
<ds:datastoreItem xmlns:ds="http://schemas.openxmlformats.org/officeDocument/2006/customXml" ds:itemID="{B966FFCC-69B0-46AE-B7CE-6510D43A8D2A}">
  <ds:schemaRefs>
    <ds:schemaRef ds:uri="http://schemas.microsoft.com/office/2006/metadata/properties"/>
    <ds:schemaRef ds:uri="http://schemas.microsoft.com/office/infopath/2007/PartnerControls"/>
    <ds:schemaRef ds:uri="de3f0738-311d-4d64-991a-58f10b99836f"/>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11034</Words>
  <Characters>62894</Characters>
  <Application>Microsoft Office Word</Application>
  <DocSecurity>0</DocSecurity>
  <Lines>524</Lines>
  <Paragraphs>147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2024-10-08T12:12:00Z</dcterms:created>
  <dcterms:modified xsi:type="dcterms:W3CDTF">2024-10-08T12:12:00Z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0x0101000692C8D6D9B30D45B2B9DBE8C450796D</vt:lpwstr>
  </property>
</Properties>
</file>